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footer5.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D5AA8" w14:textId="312D1011" w:rsidR="00655D73" w:rsidRPr="00105972" w:rsidRDefault="000D068C" w:rsidP="00A56262">
      <w:pPr>
        <w:pStyle w:val="Title"/>
        <w:ind w:right="-171"/>
      </w:pPr>
      <w:r w:rsidRPr="00CA6DB6">
        <w:t>Aid Program Performance Report 2012</w:t>
      </w:r>
      <w:r w:rsidRPr="00052BF3">
        <w:t>−</w:t>
      </w:r>
      <w:r w:rsidRPr="00CA6DB6">
        <w:t xml:space="preserve">13 </w:t>
      </w:r>
      <w:r w:rsidR="00F32325">
        <w:t>Fiji</w:t>
      </w:r>
      <w:r w:rsidR="00655D73" w:rsidRPr="00105972">
        <w:tab/>
      </w:r>
    </w:p>
    <w:p w14:paraId="3DDD5AAA" w14:textId="77777777" w:rsidR="00655D73" w:rsidRPr="00C56CC1" w:rsidRDefault="00655D73" w:rsidP="00C56CC1">
      <w:pPr>
        <w:pStyle w:val="Heading1"/>
      </w:pPr>
      <w:r w:rsidRPr="00C56CC1">
        <w:t xml:space="preserve">Key </w:t>
      </w:r>
      <w:r w:rsidR="008A1356" w:rsidRPr="00C56CC1">
        <w:t>m</w:t>
      </w:r>
      <w:r w:rsidRPr="00C56CC1">
        <w:t>essages</w:t>
      </w:r>
    </w:p>
    <w:p w14:paraId="3DDD5AAB" w14:textId="73116E82" w:rsidR="00E22F81" w:rsidRDefault="00655D73" w:rsidP="00C56CC1">
      <w:pPr>
        <w:pStyle w:val="BodyText"/>
      </w:pPr>
      <w:r w:rsidRPr="00952712">
        <w:t xml:space="preserve">This </w:t>
      </w:r>
      <w:r w:rsidR="006534A9">
        <w:t xml:space="preserve">Aid </w:t>
      </w:r>
      <w:r w:rsidR="008A1356" w:rsidRPr="00952712">
        <w:t>Program Performance Report</w:t>
      </w:r>
      <w:r w:rsidRPr="00952712">
        <w:t xml:space="preserve"> summarises the Australian aid program’s progress in Fiji from January 2012</w:t>
      </w:r>
      <w:r w:rsidR="008A1356" w:rsidRPr="00952712">
        <w:t xml:space="preserve"> to </w:t>
      </w:r>
      <w:r w:rsidRPr="00952712">
        <w:t>June 2013.</w:t>
      </w:r>
      <w:r>
        <w:t xml:space="preserve"> </w:t>
      </w:r>
    </w:p>
    <w:p w14:paraId="3DDD5AAC" w14:textId="77777777" w:rsidR="00655D73" w:rsidRDefault="00655D73" w:rsidP="00C56CC1">
      <w:pPr>
        <w:pStyle w:val="BodyText"/>
        <w:rPr>
          <w:b/>
        </w:rPr>
      </w:pPr>
      <w:r w:rsidRPr="00105972">
        <w:rPr>
          <w:b/>
        </w:rPr>
        <w:t>Key findings of this report include:</w:t>
      </w:r>
    </w:p>
    <w:p w14:paraId="3DDD5AAD" w14:textId="77777777" w:rsidR="00655D73" w:rsidRPr="001F582F" w:rsidRDefault="00655D73" w:rsidP="00C56CC1">
      <w:pPr>
        <w:pStyle w:val="ListBullet"/>
      </w:pPr>
      <w:r w:rsidRPr="001F582F">
        <w:t>In 2012</w:t>
      </w:r>
      <w:r w:rsidR="008A1356">
        <w:t>–</w:t>
      </w:r>
      <w:r w:rsidRPr="001F582F">
        <w:t xml:space="preserve">13, the Fiji </w:t>
      </w:r>
      <w:r w:rsidR="008A1356">
        <w:t>p</w:t>
      </w:r>
      <w:r w:rsidR="00FE5B2A">
        <w:t xml:space="preserve">rogram responded to three </w:t>
      </w:r>
      <w:r w:rsidRPr="001F582F">
        <w:t xml:space="preserve">natural disasters, bedded down three </w:t>
      </w:r>
      <w:r>
        <w:t xml:space="preserve">major </w:t>
      </w:r>
      <w:r w:rsidRPr="001F582F">
        <w:t xml:space="preserve">new programs and </w:t>
      </w:r>
      <w:r>
        <w:t>undertook the groundwork to meet</w:t>
      </w:r>
      <w:r w:rsidRPr="001F582F">
        <w:t xml:space="preserve"> the Australian Government’s commit</w:t>
      </w:r>
      <w:r>
        <w:t>ment to double the Fiji</w:t>
      </w:r>
      <w:r w:rsidR="008A1356">
        <w:t xml:space="preserve"> aid</w:t>
      </w:r>
      <w:r>
        <w:t xml:space="preserve"> </w:t>
      </w:r>
      <w:r w:rsidR="008A1356">
        <w:t>p</w:t>
      </w:r>
      <w:r>
        <w:t>rogram</w:t>
      </w:r>
      <w:r w:rsidRPr="001F582F">
        <w:t xml:space="preserve"> by 2013</w:t>
      </w:r>
      <w:r w:rsidR="008A1356">
        <w:t>–</w:t>
      </w:r>
      <w:r w:rsidRPr="001F582F">
        <w:t>14</w:t>
      </w:r>
      <w:r>
        <w:t xml:space="preserve">. </w:t>
      </w:r>
    </w:p>
    <w:p w14:paraId="3DDD5AAE" w14:textId="77777777" w:rsidR="003617DA" w:rsidRDefault="00655D73" w:rsidP="00C56CC1">
      <w:pPr>
        <w:pStyle w:val="ListBullet"/>
      </w:pPr>
      <w:r>
        <w:t xml:space="preserve">With Australian support, Fiji became the first country in the world to introduce the Pneumococcal, Rotavirus and Human Papilloma Virus vaccines together. This will </w:t>
      </w:r>
      <w:r w:rsidR="00AB2C32">
        <w:t xml:space="preserve">have a positive </w:t>
      </w:r>
      <w:r>
        <w:t xml:space="preserve">impact </w:t>
      </w:r>
      <w:r w:rsidR="00AB2C32">
        <w:t xml:space="preserve">on </w:t>
      </w:r>
      <w:r>
        <w:t xml:space="preserve">under-5 mortality and decrease cervical cancer. </w:t>
      </w:r>
    </w:p>
    <w:p w14:paraId="3DDD5AAF" w14:textId="037C1995" w:rsidR="00913190" w:rsidRDefault="00655D73" w:rsidP="00C56CC1">
      <w:pPr>
        <w:pStyle w:val="ListBullet"/>
      </w:pPr>
      <w:r w:rsidRPr="00913190">
        <w:t xml:space="preserve">Infrastructure upgrades to 50 of Fiji’s poorest schools </w:t>
      </w:r>
      <w:r w:rsidR="008A1356">
        <w:t xml:space="preserve">had a </w:t>
      </w:r>
      <w:r w:rsidRPr="00913190">
        <w:t>positive impact</w:t>
      </w:r>
      <w:r w:rsidR="008A1356">
        <w:t xml:space="preserve"> on</w:t>
      </w:r>
      <w:r w:rsidRPr="00913190">
        <w:t xml:space="preserve"> attendance rates and benefited 12</w:t>
      </w:r>
      <w:r w:rsidR="0031337C">
        <w:t>,</w:t>
      </w:r>
      <w:r w:rsidRPr="00913190">
        <w:t>455 students (5</w:t>
      </w:r>
      <w:r w:rsidR="0031337C">
        <w:t>,</w:t>
      </w:r>
      <w:r w:rsidRPr="00913190">
        <w:t>912 girls and 6</w:t>
      </w:r>
      <w:r w:rsidR="0031337C">
        <w:t>,</w:t>
      </w:r>
      <w:r w:rsidRPr="00913190">
        <w:t>543 boys).</w:t>
      </w:r>
    </w:p>
    <w:p w14:paraId="3DDD5AB0" w14:textId="77777777" w:rsidR="00655D73" w:rsidRPr="00913190" w:rsidRDefault="00913190" w:rsidP="00C56CC1">
      <w:pPr>
        <w:pStyle w:val="ListBullet"/>
      </w:pPr>
      <w:r>
        <w:t>A</w:t>
      </w:r>
      <w:r w:rsidR="00655D73" w:rsidRPr="00913190">
        <w:t xml:space="preserve">ustralian humanitarian assistance for floods in January and </w:t>
      </w:r>
      <w:r w:rsidR="00FE5B2A" w:rsidRPr="00913190">
        <w:t>April</w:t>
      </w:r>
      <w:r w:rsidR="00655D73" w:rsidRPr="00913190">
        <w:t xml:space="preserve"> and Tropical Cyclone Evan</w:t>
      </w:r>
      <w:r w:rsidR="00FE5B2A" w:rsidRPr="00913190">
        <w:t xml:space="preserve"> in December 2012</w:t>
      </w:r>
      <w:r w:rsidR="00655D73" w:rsidRPr="00913190">
        <w:t xml:space="preserve"> was provided within 48 hours of receiving the request for assistance. Australian humanitarian assistance for the floods reached </w:t>
      </w:r>
      <w:r w:rsidR="008A1356">
        <w:t>more than</w:t>
      </w:r>
      <w:r w:rsidR="008A1356" w:rsidRPr="00913190">
        <w:t xml:space="preserve"> </w:t>
      </w:r>
      <w:r w:rsidR="00655D73" w:rsidRPr="00913190">
        <w:t>143</w:t>
      </w:r>
      <w:r w:rsidR="008A1356">
        <w:t xml:space="preserve"> </w:t>
      </w:r>
      <w:r w:rsidR="00655D73" w:rsidRPr="00913190">
        <w:t>000 affected people.</w:t>
      </w:r>
    </w:p>
    <w:p w14:paraId="3DDD5AB1" w14:textId="77777777" w:rsidR="00913190" w:rsidRPr="00913190" w:rsidRDefault="00593776" w:rsidP="00C56CC1">
      <w:pPr>
        <w:pStyle w:val="ListBullet"/>
        <w:rPr>
          <w:sz w:val="20"/>
          <w:szCs w:val="20"/>
        </w:rPr>
      </w:pPr>
      <w:r w:rsidRPr="00913190">
        <w:t>For the first time since the abrogation of Fiji’s Constitution in 2009, Australia</w:t>
      </w:r>
      <w:r w:rsidR="00F37289">
        <w:t>-</w:t>
      </w:r>
      <w:r w:rsidRPr="00913190">
        <w:t xml:space="preserve">funded activities related to </w:t>
      </w:r>
      <w:r w:rsidR="008A1356">
        <w:t xml:space="preserve">preparing for </w:t>
      </w:r>
      <w:r w:rsidRPr="00913190">
        <w:t>elections</w:t>
      </w:r>
      <w:r w:rsidR="00712A45" w:rsidRPr="00913190">
        <w:t xml:space="preserve"> </w:t>
      </w:r>
      <w:r w:rsidRPr="00913190">
        <w:t xml:space="preserve">and </w:t>
      </w:r>
      <w:r w:rsidR="00FE5B2A" w:rsidRPr="00913190">
        <w:t>develop</w:t>
      </w:r>
      <w:r w:rsidR="008A1356">
        <w:t>ing</w:t>
      </w:r>
      <w:r w:rsidR="00FE5B2A" w:rsidRPr="00913190">
        <w:t xml:space="preserve"> a new c</w:t>
      </w:r>
      <w:r w:rsidRPr="00913190">
        <w:t>onstitution.</w:t>
      </w:r>
    </w:p>
    <w:p w14:paraId="3DDD5AB2" w14:textId="4AEE0B72" w:rsidR="00913190" w:rsidRPr="00913190" w:rsidRDefault="00593776" w:rsidP="00C56CC1">
      <w:pPr>
        <w:pStyle w:val="ListBullet"/>
        <w:rPr>
          <w:sz w:val="20"/>
          <w:szCs w:val="20"/>
        </w:rPr>
      </w:pPr>
      <w:r w:rsidRPr="00913190">
        <w:t xml:space="preserve">Australian assistance for Fiji’s transition to democracy contributed to </w:t>
      </w:r>
      <w:r w:rsidR="008A1356">
        <w:t>more than</w:t>
      </w:r>
      <w:r w:rsidR="008A1356" w:rsidRPr="00913190">
        <w:t xml:space="preserve"> </w:t>
      </w:r>
      <w:r w:rsidRPr="00913190">
        <w:t>500</w:t>
      </w:r>
      <w:r w:rsidR="0031337C">
        <w:t>,</w:t>
      </w:r>
      <w:r w:rsidRPr="00913190">
        <w:t>000 Fijians registering to vote, representing</w:t>
      </w:r>
      <w:r w:rsidR="00740567" w:rsidRPr="00913190">
        <w:t xml:space="preserve"> 83 per cent</w:t>
      </w:r>
      <w:r w:rsidRPr="00913190">
        <w:t xml:space="preserve"> of poten</w:t>
      </w:r>
      <w:r w:rsidR="00FE5B2A" w:rsidRPr="00913190">
        <w:t>tial voters</w:t>
      </w:r>
      <w:r w:rsidR="00FE5B2A" w:rsidRPr="00952712">
        <w:t>. Fifty</w:t>
      </w:r>
      <w:r w:rsidR="00740567" w:rsidRPr="00952712">
        <w:t>-</w:t>
      </w:r>
      <w:r w:rsidR="00FE5B2A" w:rsidRPr="00952712">
        <w:t>seven per cent</w:t>
      </w:r>
      <w:r w:rsidRPr="00952712">
        <w:t xml:space="preserve"> of submissions made to Fiji’s Constitution Commission </w:t>
      </w:r>
      <w:r w:rsidR="00780ADA" w:rsidRPr="00952712">
        <w:t xml:space="preserve">were facilitated by </w:t>
      </w:r>
      <w:r w:rsidRPr="00952712">
        <w:t>Australian support for civic education.</w:t>
      </w:r>
    </w:p>
    <w:p w14:paraId="3DDD5AB3" w14:textId="77777777" w:rsidR="0051525E" w:rsidRPr="0051525E" w:rsidRDefault="0051525E" w:rsidP="00C56CC1">
      <w:pPr>
        <w:pStyle w:val="ListBullet"/>
        <w:rPr>
          <w:sz w:val="20"/>
          <w:szCs w:val="20"/>
        </w:rPr>
      </w:pPr>
      <w:r w:rsidRPr="0051525E">
        <w:t>Due to restricted engagement with government, Australia</w:t>
      </w:r>
      <w:r w:rsidR="00173675">
        <w:t xml:space="preserve">’s </w:t>
      </w:r>
      <w:r w:rsidRPr="0051525E">
        <w:t>ability to influence policy, legislative or budget decisions in support of its poverty reduction objectives in Fiji</w:t>
      </w:r>
      <w:r w:rsidR="00173675">
        <w:t xml:space="preserve"> remains limited</w:t>
      </w:r>
      <w:r w:rsidRPr="0051525E">
        <w:t>. Australia’s ability to work with the highest levels of government to promote reform is also restricted.</w:t>
      </w:r>
    </w:p>
    <w:p w14:paraId="3DDD5AB4" w14:textId="77777777" w:rsidR="00655D73" w:rsidRPr="00C56CC1" w:rsidRDefault="00655D73" w:rsidP="00C56CC1">
      <w:pPr>
        <w:pStyle w:val="Heading1"/>
      </w:pPr>
      <w:r w:rsidRPr="00C56CC1">
        <w:t xml:space="preserve">Context </w:t>
      </w:r>
    </w:p>
    <w:p w14:paraId="3DDD5AB5" w14:textId="77777777" w:rsidR="00513B92" w:rsidRPr="00FE5B2A" w:rsidRDefault="00513B92" w:rsidP="00C56CC1">
      <w:pPr>
        <w:pStyle w:val="Heading2"/>
      </w:pPr>
      <w:r w:rsidRPr="00FE5B2A">
        <w:t xml:space="preserve">Poverty </w:t>
      </w:r>
      <w:r w:rsidR="00AD2C60">
        <w:t>a</w:t>
      </w:r>
      <w:r w:rsidRPr="00FE5B2A">
        <w:t>nalysis</w:t>
      </w:r>
    </w:p>
    <w:p w14:paraId="3DDD5AB7" w14:textId="77777777" w:rsidR="00655D73" w:rsidRPr="00641DDF" w:rsidRDefault="00655D73" w:rsidP="00A9620A">
      <w:pPr>
        <w:pStyle w:val="BodyText"/>
        <w:rPr>
          <w:rFonts w:eastAsiaTheme="minorHAnsi"/>
          <w:szCs w:val="22"/>
          <w:lang w:eastAsia="en-US"/>
        </w:rPr>
      </w:pPr>
      <w:r w:rsidRPr="00641DDF">
        <w:rPr>
          <w:szCs w:val="22"/>
        </w:rPr>
        <w:t xml:space="preserve">While Fiji continues to play a central role in the Pacific, its </w:t>
      </w:r>
      <w:r w:rsidR="004E03E8" w:rsidRPr="00641DDF">
        <w:rPr>
          <w:szCs w:val="22"/>
        </w:rPr>
        <w:t>development</w:t>
      </w:r>
      <w:r w:rsidRPr="00641DDF">
        <w:rPr>
          <w:szCs w:val="22"/>
        </w:rPr>
        <w:t xml:space="preserve"> has been </w:t>
      </w:r>
      <w:r w:rsidR="004E03E8" w:rsidRPr="00641DDF">
        <w:rPr>
          <w:szCs w:val="22"/>
        </w:rPr>
        <w:t>constrained</w:t>
      </w:r>
      <w:r w:rsidRPr="00641DDF">
        <w:rPr>
          <w:szCs w:val="22"/>
        </w:rPr>
        <w:t xml:space="preserve"> by four coups (1987, 2000 (two) and 2006). After four years of stagnation following the 2006 coup, the economy only returned to its pre-coup size in 2011. World Bank analysis showed poverty, although high, fell from 39 per cent in 2003 to around 35 per cent nationally in 2009. However, rural poverty is more stubborn, showing no discernible improvement. Alternative analysis by the Fiji Bureau of Statistics showed </w:t>
      </w:r>
      <w:r w:rsidR="00AD2C60" w:rsidRPr="00641DDF">
        <w:rPr>
          <w:szCs w:val="22"/>
        </w:rPr>
        <w:t>that</w:t>
      </w:r>
      <w:r w:rsidRPr="00641DDF">
        <w:rPr>
          <w:szCs w:val="22"/>
        </w:rPr>
        <w:t xml:space="preserve"> rural poverty </w:t>
      </w:r>
      <w:r w:rsidR="00AD2C60" w:rsidRPr="00641DDF">
        <w:rPr>
          <w:szCs w:val="22"/>
        </w:rPr>
        <w:t xml:space="preserve">increased </w:t>
      </w:r>
      <w:r w:rsidRPr="00641DDF">
        <w:rPr>
          <w:szCs w:val="22"/>
        </w:rPr>
        <w:t xml:space="preserve">from 40 per cent to 43 </w:t>
      </w:r>
      <w:r w:rsidRPr="00641DDF">
        <w:rPr>
          <w:rFonts w:eastAsiaTheme="minorHAnsi"/>
          <w:szCs w:val="22"/>
          <w:lang w:eastAsia="en-US"/>
        </w:rPr>
        <w:t xml:space="preserve">per cent in the same period. </w:t>
      </w:r>
    </w:p>
    <w:p w14:paraId="3DDD5AB8" w14:textId="7F876B61" w:rsidR="000E539D" w:rsidRPr="00641DDF" w:rsidRDefault="00593776" w:rsidP="00A9620A">
      <w:pPr>
        <w:pStyle w:val="BodyText"/>
        <w:rPr>
          <w:rFonts w:eastAsiaTheme="minorHAnsi"/>
          <w:szCs w:val="22"/>
          <w:lang w:eastAsia="en-US"/>
        </w:rPr>
      </w:pPr>
      <w:r w:rsidRPr="00641DDF">
        <w:rPr>
          <w:rFonts w:eastAsiaTheme="minorHAnsi"/>
          <w:szCs w:val="22"/>
          <w:lang w:eastAsia="en-US"/>
        </w:rPr>
        <w:t>In 2011, the Fiji Bureau of Statistics</w:t>
      </w:r>
      <w:r w:rsidR="00EC5137" w:rsidRPr="00641DDF">
        <w:rPr>
          <w:rFonts w:eastAsiaTheme="minorHAnsi"/>
          <w:szCs w:val="22"/>
          <w:lang w:eastAsia="en-US"/>
        </w:rPr>
        <w:t xml:space="preserve"> and the</w:t>
      </w:r>
      <w:r w:rsidR="002E69F7" w:rsidRPr="00641DDF">
        <w:rPr>
          <w:rFonts w:eastAsiaTheme="minorHAnsi"/>
          <w:szCs w:val="22"/>
          <w:lang w:eastAsia="en-US"/>
        </w:rPr>
        <w:t xml:space="preserve"> </w:t>
      </w:r>
      <w:r w:rsidRPr="00641DDF">
        <w:rPr>
          <w:rFonts w:eastAsiaTheme="minorHAnsi"/>
          <w:szCs w:val="22"/>
          <w:lang w:eastAsia="en-US"/>
        </w:rPr>
        <w:t>World Bank</w:t>
      </w:r>
      <w:r w:rsidR="00AD2C60" w:rsidRPr="00641DDF">
        <w:rPr>
          <w:rFonts w:eastAsiaTheme="minorHAnsi"/>
          <w:szCs w:val="22"/>
          <w:lang w:eastAsia="en-US"/>
        </w:rPr>
        <w:t>,</w:t>
      </w:r>
      <w:r w:rsidRPr="00641DDF">
        <w:rPr>
          <w:rFonts w:eastAsiaTheme="minorHAnsi"/>
          <w:szCs w:val="22"/>
          <w:lang w:eastAsia="en-US"/>
        </w:rPr>
        <w:t xml:space="preserve"> </w:t>
      </w:r>
      <w:r w:rsidR="00A41081" w:rsidRPr="00641DDF">
        <w:rPr>
          <w:rFonts w:eastAsiaTheme="minorHAnsi"/>
          <w:szCs w:val="22"/>
          <w:lang w:eastAsia="en-US"/>
        </w:rPr>
        <w:t xml:space="preserve">funded by </w:t>
      </w:r>
      <w:r w:rsidR="00AD2C60" w:rsidRPr="00641DDF">
        <w:rPr>
          <w:rFonts w:eastAsiaTheme="minorHAnsi"/>
          <w:szCs w:val="22"/>
          <w:lang w:eastAsia="en-US"/>
        </w:rPr>
        <w:t xml:space="preserve">the Australian </w:t>
      </w:r>
      <w:r w:rsidR="00243E5F">
        <w:rPr>
          <w:rFonts w:eastAsiaTheme="minorHAnsi"/>
          <w:szCs w:val="22"/>
          <w:lang w:eastAsia="en-US"/>
        </w:rPr>
        <w:t>Aid program</w:t>
      </w:r>
      <w:r w:rsidR="00AD2C60" w:rsidRPr="00641DDF">
        <w:rPr>
          <w:rFonts w:eastAsiaTheme="minorHAnsi"/>
          <w:szCs w:val="22"/>
          <w:lang w:eastAsia="en-US"/>
        </w:rPr>
        <w:t>,</w:t>
      </w:r>
      <w:r w:rsidRPr="00641DDF">
        <w:rPr>
          <w:rFonts w:eastAsiaTheme="minorHAnsi"/>
          <w:szCs w:val="22"/>
          <w:lang w:eastAsia="en-US"/>
        </w:rPr>
        <w:t xml:space="preserve"> undertook an exercise which dr</w:t>
      </w:r>
      <w:r w:rsidR="00AD2C60" w:rsidRPr="00641DDF">
        <w:rPr>
          <w:rFonts w:eastAsiaTheme="minorHAnsi"/>
          <w:szCs w:val="22"/>
          <w:lang w:eastAsia="en-US"/>
        </w:rPr>
        <w:t>e</w:t>
      </w:r>
      <w:r w:rsidRPr="00641DDF">
        <w:rPr>
          <w:rFonts w:eastAsiaTheme="minorHAnsi"/>
          <w:szCs w:val="22"/>
          <w:lang w:eastAsia="en-US"/>
        </w:rPr>
        <w:t xml:space="preserve">w on the last two rounds of the Household Income </w:t>
      </w:r>
      <w:r w:rsidRPr="00641DDF">
        <w:rPr>
          <w:rFonts w:eastAsiaTheme="minorHAnsi"/>
          <w:szCs w:val="22"/>
          <w:lang w:eastAsia="en-US"/>
        </w:rPr>
        <w:lastRenderedPageBreak/>
        <w:t>and Expenditure Survey (2002</w:t>
      </w:r>
      <w:r w:rsidR="00AD2C60" w:rsidRPr="00641DDF">
        <w:rPr>
          <w:rFonts w:eastAsiaTheme="minorHAnsi"/>
          <w:szCs w:val="22"/>
          <w:lang w:eastAsia="en-US"/>
        </w:rPr>
        <w:t>–</w:t>
      </w:r>
      <w:r w:rsidRPr="00641DDF">
        <w:rPr>
          <w:rFonts w:eastAsiaTheme="minorHAnsi"/>
          <w:szCs w:val="22"/>
          <w:lang w:eastAsia="en-US"/>
        </w:rPr>
        <w:t>03 and 2007</w:t>
      </w:r>
      <w:r w:rsidR="00AD2C60" w:rsidRPr="00641DDF">
        <w:rPr>
          <w:rFonts w:eastAsiaTheme="minorHAnsi"/>
          <w:szCs w:val="22"/>
          <w:lang w:eastAsia="en-US"/>
        </w:rPr>
        <w:t>–</w:t>
      </w:r>
      <w:r w:rsidRPr="00641DDF">
        <w:rPr>
          <w:rFonts w:eastAsiaTheme="minorHAnsi"/>
          <w:szCs w:val="22"/>
          <w:lang w:eastAsia="en-US"/>
        </w:rPr>
        <w:t>08) and the 2007 national census (latest available)</w:t>
      </w:r>
      <w:r w:rsidR="00FE41D5" w:rsidRPr="00641DDF">
        <w:rPr>
          <w:rStyle w:val="FootnoteReference"/>
          <w:rFonts w:eastAsiaTheme="minorHAnsi"/>
          <w:szCs w:val="22"/>
          <w:lang w:eastAsia="en-US"/>
        </w:rPr>
        <w:footnoteReference w:id="1"/>
      </w:r>
      <w:r w:rsidRPr="00641DDF">
        <w:rPr>
          <w:rFonts w:eastAsiaTheme="minorHAnsi"/>
          <w:szCs w:val="22"/>
          <w:lang w:eastAsia="en-US"/>
        </w:rPr>
        <w:t>.</w:t>
      </w:r>
      <w:r w:rsidR="006A48CA" w:rsidRPr="00641DDF">
        <w:rPr>
          <w:rFonts w:eastAsiaTheme="minorHAnsi"/>
          <w:szCs w:val="22"/>
          <w:lang w:eastAsia="en-US"/>
        </w:rPr>
        <w:t xml:space="preserve"> </w:t>
      </w:r>
      <w:r w:rsidRPr="00641DDF">
        <w:rPr>
          <w:rFonts w:eastAsiaTheme="minorHAnsi"/>
          <w:szCs w:val="22"/>
          <w:lang w:eastAsia="en-US"/>
        </w:rPr>
        <w:t xml:space="preserve">This produced Fiji’s first set of local maps showing </w:t>
      </w:r>
      <w:r w:rsidR="00AD2C60" w:rsidRPr="00641DDF">
        <w:rPr>
          <w:rFonts w:eastAsiaTheme="minorHAnsi"/>
          <w:szCs w:val="22"/>
          <w:lang w:eastAsia="en-US"/>
        </w:rPr>
        <w:t xml:space="preserve">poverty </w:t>
      </w:r>
      <w:r w:rsidRPr="00641DDF">
        <w:rPr>
          <w:rFonts w:eastAsiaTheme="minorHAnsi"/>
          <w:szCs w:val="22"/>
          <w:lang w:eastAsia="en-US"/>
        </w:rPr>
        <w:t>dis</w:t>
      </w:r>
      <w:r w:rsidR="006A48CA" w:rsidRPr="00641DDF">
        <w:rPr>
          <w:rFonts w:eastAsiaTheme="minorHAnsi"/>
          <w:szCs w:val="22"/>
          <w:lang w:eastAsia="en-US"/>
        </w:rPr>
        <w:t xml:space="preserve">tribution (maps are </w:t>
      </w:r>
      <w:hyperlink r:id="rId9" w:history="1">
        <w:r w:rsidR="006A48CA" w:rsidRPr="00641DDF">
          <w:rPr>
            <w:rStyle w:val="Hyperlink"/>
            <w:rFonts w:eastAsiaTheme="minorHAnsi"/>
            <w:color w:val="auto"/>
            <w:sz w:val="22"/>
            <w:szCs w:val="22"/>
            <w:lang w:eastAsia="en-US"/>
          </w:rPr>
          <w:t>available</w:t>
        </w:r>
      </w:hyperlink>
      <w:r w:rsidR="006A48CA" w:rsidRPr="00641DDF">
        <w:rPr>
          <w:rFonts w:eastAsiaTheme="minorHAnsi"/>
          <w:szCs w:val="22"/>
          <w:lang w:eastAsia="en-US"/>
        </w:rPr>
        <w:t xml:space="preserve"> </w:t>
      </w:r>
      <w:hyperlink r:id="rId10" w:history="1">
        <w:r w:rsidR="00D948D3" w:rsidRPr="00641DDF">
          <w:rPr>
            <w:rStyle w:val="Hyperlink"/>
            <w:rFonts w:eastAsiaTheme="minorHAnsi"/>
            <w:sz w:val="22"/>
            <w:szCs w:val="22"/>
            <w:lang w:eastAsia="en-US"/>
          </w:rPr>
          <w:t>here</w:t>
        </w:r>
      </w:hyperlink>
      <w:r w:rsidR="006A48CA" w:rsidRPr="00641DDF">
        <w:rPr>
          <w:rFonts w:eastAsiaTheme="minorHAnsi"/>
          <w:szCs w:val="22"/>
          <w:lang w:eastAsia="en-US"/>
        </w:rPr>
        <w:t xml:space="preserve">). </w:t>
      </w:r>
      <w:r w:rsidR="00712A45" w:rsidRPr="00641DDF">
        <w:rPr>
          <w:rFonts w:eastAsiaTheme="minorHAnsi"/>
          <w:szCs w:val="22"/>
          <w:lang w:eastAsia="en-US"/>
        </w:rPr>
        <w:t>This data has been used to target Australia’s aid program</w:t>
      </w:r>
      <w:r w:rsidR="006A48CA" w:rsidRPr="00641DDF">
        <w:rPr>
          <w:rFonts w:eastAsiaTheme="minorHAnsi"/>
          <w:szCs w:val="22"/>
          <w:lang w:eastAsia="en-US"/>
        </w:rPr>
        <w:t xml:space="preserve"> in Fiji</w:t>
      </w:r>
      <w:r w:rsidR="00712A45" w:rsidRPr="00641DDF">
        <w:rPr>
          <w:rFonts w:eastAsiaTheme="minorHAnsi"/>
          <w:szCs w:val="22"/>
          <w:lang w:eastAsia="en-US"/>
        </w:rPr>
        <w:t xml:space="preserve"> to the poorest communities. </w:t>
      </w:r>
    </w:p>
    <w:p w14:paraId="3DDD5AB9" w14:textId="77777777" w:rsidR="00593776" w:rsidRPr="00641DDF" w:rsidRDefault="00173675" w:rsidP="00A9620A">
      <w:pPr>
        <w:pStyle w:val="BodyText"/>
        <w:rPr>
          <w:rFonts w:eastAsiaTheme="minorHAnsi"/>
          <w:szCs w:val="22"/>
          <w:lang w:eastAsia="en-US"/>
        </w:rPr>
      </w:pPr>
      <w:r w:rsidRPr="00641DDF">
        <w:rPr>
          <w:rFonts w:eastAsiaTheme="minorHAnsi"/>
          <w:szCs w:val="22"/>
          <w:lang w:eastAsia="en-US"/>
        </w:rPr>
        <w:t>I</w:t>
      </w:r>
      <w:r w:rsidR="0024231D" w:rsidRPr="00641DDF">
        <w:rPr>
          <w:rFonts w:eastAsiaTheme="minorHAnsi"/>
          <w:szCs w:val="22"/>
          <w:lang w:eastAsia="en-US"/>
        </w:rPr>
        <w:t>mprovement in the poverty status among female</w:t>
      </w:r>
      <w:r w:rsidR="00F37289" w:rsidRPr="00641DDF">
        <w:rPr>
          <w:rFonts w:eastAsiaTheme="minorHAnsi"/>
          <w:szCs w:val="22"/>
          <w:lang w:eastAsia="en-US"/>
        </w:rPr>
        <w:t>-</w:t>
      </w:r>
      <w:r w:rsidR="0024231D" w:rsidRPr="00641DDF">
        <w:rPr>
          <w:rFonts w:eastAsiaTheme="minorHAnsi"/>
          <w:szCs w:val="22"/>
          <w:lang w:eastAsia="en-US"/>
        </w:rPr>
        <w:t>headed households (about 11</w:t>
      </w:r>
      <w:r w:rsidR="00AD2C60" w:rsidRPr="00641DDF">
        <w:rPr>
          <w:rFonts w:eastAsiaTheme="minorHAnsi"/>
          <w:szCs w:val="22"/>
          <w:lang w:eastAsia="en-US"/>
        </w:rPr>
        <w:t xml:space="preserve"> to </w:t>
      </w:r>
      <w:r w:rsidR="0024231D" w:rsidRPr="00641DDF">
        <w:rPr>
          <w:rFonts w:eastAsiaTheme="minorHAnsi"/>
          <w:szCs w:val="22"/>
          <w:lang w:eastAsia="en-US"/>
        </w:rPr>
        <w:t>12 per cent of households</w:t>
      </w:r>
      <w:r w:rsidR="00B11D73" w:rsidRPr="00641DDF">
        <w:rPr>
          <w:rFonts w:eastAsiaTheme="minorHAnsi"/>
          <w:szCs w:val="22"/>
          <w:lang w:eastAsia="en-US"/>
        </w:rPr>
        <w:t>) between the two rounds of the</w:t>
      </w:r>
      <w:r w:rsidRPr="00641DDF">
        <w:rPr>
          <w:rFonts w:eastAsiaTheme="minorHAnsi"/>
          <w:szCs w:val="22"/>
          <w:lang w:eastAsia="en-US"/>
        </w:rPr>
        <w:t xml:space="preserve"> Household Income and Expenditure Survey was encouraging.</w:t>
      </w:r>
      <w:r w:rsidR="0024231D" w:rsidRPr="00641DDF">
        <w:rPr>
          <w:rStyle w:val="FootnoteReference"/>
          <w:rFonts w:eastAsiaTheme="minorHAnsi"/>
          <w:szCs w:val="22"/>
          <w:lang w:eastAsia="en-US"/>
        </w:rPr>
        <w:footnoteReference w:id="2"/>
      </w:r>
      <w:r w:rsidR="00A41081" w:rsidRPr="00641DDF">
        <w:rPr>
          <w:rFonts w:eastAsiaTheme="minorHAnsi"/>
          <w:szCs w:val="22"/>
          <w:lang w:eastAsia="en-US"/>
        </w:rPr>
        <w:t xml:space="preserve"> This is </w:t>
      </w:r>
      <w:r w:rsidR="0024231D" w:rsidRPr="00641DDF">
        <w:rPr>
          <w:rFonts w:eastAsiaTheme="minorHAnsi"/>
          <w:szCs w:val="22"/>
          <w:lang w:eastAsia="en-US"/>
        </w:rPr>
        <w:t>due to increased remittances from male household heads working away from the family home.</w:t>
      </w:r>
      <w:r w:rsidR="00593776" w:rsidRPr="00641DDF">
        <w:rPr>
          <w:szCs w:val="22"/>
        </w:rPr>
        <w:t xml:space="preserve"> </w:t>
      </w:r>
      <w:r w:rsidR="00A41081" w:rsidRPr="00641DDF">
        <w:rPr>
          <w:szCs w:val="22"/>
        </w:rPr>
        <w:t xml:space="preserve">The World Bank </w:t>
      </w:r>
      <w:r w:rsidR="00B14474" w:rsidRPr="00641DDF">
        <w:rPr>
          <w:szCs w:val="22"/>
        </w:rPr>
        <w:t>exercise</w:t>
      </w:r>
      <w:r w:rsidR="00A41081" w:rsidRPr="00641DDF">
        <w:rPr>
          <w:szCs w:val="22"/>
        </w:rPr>
        <w:t xml:space="preserve"> did not produce a detailed analysis of the gendered dimensions of poverty. This</w:t>
      </w:r>
      <w:r w:rsidR="00346430" w:rsidRPr="00641DDF">
        <w:rPr>
          <w:szCs w:val="22"/>
        </w:rPr>
        <w:t xml:space="preserve"> issue</w:t>
      </w:r>
      <w:r w:rsidRPr="00641DDF">
        <w:rPr>
          <w:szCs w:val="22"/>
        </w:rPr>
        <w:t>,</w:t>
      </w:r>
      <w:r w:rsidR="00A41081" w:rsidRPr="00641DDF">
        <w:rPr>
          <w:szCs w:val="22"/>
        </w:rPr>
        <w:t xml:space="preserve"> coupled with </w:t>
      </w:r>
      <w:r w:rsidR="00593776" w:rsidRPr="00641DDF">
        <w:rPr>
          <w:szCs w:val="22"/>
        </w:rPr>
        <w:t>lack of recent data and analysis</w:t>
      </w:r>
      <w:r w:rsidRPr="00641DDF">
        <w:rPr>
          <w:szCs w:val="22"/>
        </w:rPr>
        <w:t>,</w:t>
      </w:r>
      <w:r w:rsidR="00593776" w:rsidRPr="00641DDF">
        <w:rPr>
          <w:szCs w:val="22"/>
        </w:rPr>
        <w:t xml:space="preserve"> </w:t>
      </w:r>
      <w:r w:rsidR="00E927F1" w:rsidRPr="00641DDF">
        <w:rPr>
          <w:szCs w:val="22"/>
        </w:rPr>
        <w:t>is limiting a better</w:t>
      </w:r>
      <w:r w:rsidR="00593776" w:rsidRPr="00641DDF">
        <w:rPr>
          <w:szCs w:val="22"/>
        </w:rPr>
        <w:t xml:space="preserve"> </w:t>
      </w:r>
      <w:r w:rsidR="00593776" w:rsidRPr="00641DDF">
        <w:rPr>
          <w:rFonts w:eastAsiaTheme="minorHAnsi"/>
          <w:szCs w:val="22"/>
          <w:lang w:eastAsia="en-US"/>
        </w:rPr>
        <w:t>understanding of poverty in Fiji.</w:t>
      </w:r>
    </w:p>
    <w:p w14:paraId="3DDD5ABA" w14:textId="77777777" w:rsidR="00593776" w:rsidRPr="00641DDF" w:rsidRDefault="00E927F1" w:rsidP="005D0E9B">
      <w:pPr>
        <w:pStyle w:val="BodyText"/>
        <w:rPr>
          <w:rFonts w:eastAsiaTheme="minorHAnsi"/>
          <w:szCs w:val="22"/>
          <w:lang w:eastAsia="en-US"/>
        </w:rPr>
      </w:pPr>
      <w:r w:rsidRPr="00641DDF">
        <w:rPr>
          <w:rFonts w:eastAsiaTheme="minorHAnsi"/>
          <w:szCs w:val="22"/>
          <w:lang w:eastAsia="en-US"/>
        </w:rPr>
        <w:t>T</w:t>
      </w:r>
      <w:r w:rsidR="00593776" w:rsidRPr="00641DDF">
        <w:rPr>
          <w:rFonts w:eastAsiaTheme="minorHAnsi"/>
          <w:szCs w:val="22"/>
          <w:lang w:eastAsia="en-US"/>
        </w:rPr>
        <w:t>h</w:t>
      </w:r>
      <w:r w:rsidRPr="00641DDF">
        <w:rPr>
          <w:rFonts w:eastAsiaTheme="minorHAnsi"/>
          <w:szCs w:val="22"/>
          <w:lang w:eastAsia="en-US"/>
        </w:rPr>
        <w:t>e U</w:t>
      </w:r>
      <w:r w:rsidR="00173675" w:rsidRPr="00641DDF">
        <w:rPr>
          <w:rFonts w:eastAsiaTheme="minorHAnsi"/>
          <w:szCs w:val="22"/>
          <w:lang w:eastAsia="en-US"/>
        </w:rPr>
        <w:t xml:space="preserve">nited </w:t>
      </w:r>
      <w:r w:rsidRPr="00641DDF">
        <w:rPr>
          <w:rFonts w:eastAsiaTheme="minorHAnsi"/>
          <w:szCs w:val="22"/>
          <w:lang w:eastAsia="en-US"/>
        </w:rPr>
        <w:t>N</w:t>
      </w:r>
      <w:r w:rsidR="00173675" w:rsidRPr="00641DDF">
        <w:rPr>
          <w:rFonts w:eastAsiaTheme="minorHAnsi"/>
          <w:szCs w:val="22"/>
          <w:lang w:eastAsia="en-US"/>
        </w:rPr>
        <w:t xml:space="preserve">ations </w:t>
      </w:r>
      <w:r w:rsidRPr="00641DDF">
        <w:rPr>
          <w:rFonts w:eastAsiaTheme="minorHAnsi"/>
          <w:szCs w:val="22"/>
          <w:lang w:eastAsia="en-US"/>
        </w:rPr>
        <w:t>D</w:t>
      </w:r>
      <w:r w:rsidR="00173675" w:rsidRPr="00641DDF">
        <w:rPr>
          <w:rFonts w:eastAsiaTheme="minorHAnsi"/>
          <w:szCs w:val="22"/>
          <w:lang w:eastAsia="en-US"/>
        </w:rPr>
        <w:t xml:space="preserve">evelopment </w:t>
      </w:r>
      <w:r w:rsidRPr="00641DDF">
        <w:rPr>
          <w:rFonts w:eastAsiaTheme="minorHAnsi"/>
          <w:szCs w:val="22"/>
          <w:lang w:eastAsia="en-US"/>
        </w:rPr>
        <w:t>P</w:t>
      </w:r>
      <w:r w:rsidR="00173675" w:rsidRPr="00641DDF">
        <w:rPr>
          <w:rFonts w:eastAsiaTheme="minorHAnsi"/>
          <w:szCs w:val="22"/>
          <w:lang w:eastAsia="en-US"/>
        </w:rPr>
        <w:t>rogramme</w:t>
      </w:r>
      <w:r w:rsidRPr="00641DDF">
        <w:rPr>
          <w:rFonts w:eastAsiaTheme="minorHAnsi"/>
          <w:szCs w:val="22"/>
          <w:lang w:eastAsia="en-US"/>
        </w:rPr>
        <w:t>’s</w:t>
      </w:r>
      <w:r w:rsidR="0036770A" w:rsidRPr="00641DDF">
        <w:rPr>
          <w:rFonts w:eastAsiaTheme="minorHAnsi"/>
          <w:szCs w:val="22"/>
          <w:lang w:eastAsia="en-US"/>
        </w:rPr>
        <w:t xml:space="preserve"> (UNDP)</w:t>
      </w:r>
      <w:r w:rsidRPr="00641DDF">
        <w:rPr>
          <w:rFonts w:eastAsiaTheme="minorHAnsi"/>
          <w:szCs w:val="22"/>
          <w:lang w:eastAsia="en-US"/>
        </w:rPr>
        <w:t xml:space="preserve"> Human Development Index</w:t>
      </w:r>
      <w:r w:rsidR="00740567" w:rsidRPr="00641DDF">
        <w:rPr>
          <w:rFonts w:eastAsiaTheme="minorHAnsi"/>
          <w:szCs w:val="22"/>
          <w:lang w:eastAsia="en-US"/>
        </w:rPr>
        <w:t xml:space="preserve"> </w:t>
      </w:r>
      <w:r w:rsidRPr="00641DDF">
        <w:rPr>
          <w:rFonts w:eastAsiaTheme="minorHAnsi"/>
          <w:szCs w:val="22"/>
          <w:lang w:eastAsia="en-US"/>
        </w:rPr>
        <w:t xml:space="preserve">ranks Fiji </w:t>
      </w:r>
      <w:r w:rsidR="00593776" w:rsidRPr="00641DDF">
        <w:rPr>
          <w:rFonts w:eastAsiaTheme="minorHAnsi"/>
          <w:szCs w:val="22"/>
          <w:lang w:eastAsia="en-US"/>
        </w:rPr>
        <w:t xml:space="preserve">in the Medium </w:t>
      </w:r>
      <w:r w:rsidR="00593776" w:rsidRPr="00641DDF">
        <w:rPr>
          <w:szCs w:val="22"/>
        </w:rPr>
        <w:t>Development Category.</w:t>
      </w:r>
      <w:r w:rsidR="00593776" w:rsidRPr="00641DDF">
        <w:rPr>
          <w:rStyle w:val="FootnoteReference"/>
          <w:szCs w:val="22"/>
        </w:rPr>
        <w:footnoteReference w:id="3"/>
      </w:r>
      <w:r w:rsidR="00593776" w:rsidRPr="00641DDF">
        <w:rPr>
          <w:szCs w:val="22"/>
          <w:vertAlign w:val="superscript"/>
        </w:rPr>
        <w:t xml:space="preserve"> </w:t>
      </w:r>
      <w:r w:rsidR="00593776" w:rsidRPr="00641DDF">
        <w:rPr>
          <w:szCs w:val="22"/>
        </w:rPr>
        <w:t xml:space="preserve">In </w:t>
      </w:r>
      <w:r w:rsidR="0036770A" w:rsidRPr="00641DDF">
        <w:rPr>
          <w:szCs w:val="22"/>
        </w:rPr>
        <w:t>2010</w:t>
      </w:r>
      <w:r w:rsidR="00F37289" w:rsidRPr="00641DDF">
        <w:rPr>
          <w:szCs w:val="22"/>
        </w:rPr>
        <w:t xml:space="preserve">, </w:t>
      </w:r>
      <w:r w:rsidR="00173675" w:rsidRPr="00641DDF">
        <w:rPr>
          <w:szCs w:val="22"/>
        </w:rPr>
        <w:t>Fiji</w:t>
      </w:r>
      <w:r w:rsidR="00593776" w:rsidRPr="00641DDF">
        <w:rPr>
          <w:szCs w:val="22"/>
        </w:rPr>
        <w:t xml:space="preserve"> ranked 86</w:t>
      </w:r>
      <w:r w:rsidR="00F37289" w:rsidRPr="00641DDF">
        <w:rPr>
          <w:szCs w:val="22"/>
        </w:rPr>
        <w:t xml:space="preserve"> out of 186 countries. I</w:t>
      </w:r>
      <w:r w:rsidR="00593776" w:rsidRPr="00641DDF">
        <w:rPr>
          <w:szCs w:val="22"/>
        </w:rPr>
        <w:t>n 2011</w:t>
      </w:r>
      <w:r w:rsidR="00F37289" w:rsidRPr="00641DDF">
        <w:rPr>
          <w:szCs w:val="22"/>
        </w:rPr>
        <w:t>,</w:t>
      </w:r>
      <w:r w:rsidR="00593776" w:rsidRPr="00641DDF">
        <w:rPr>
          <w:szCs w:val="22"/>
        </w:rPr>
        <w:t xml:space="preserve"> it ranked 100 and in 2012</w:t>
      </w:r>
      <w:r w:rsidR="00F37289" w:rsidRPr="00641DDF">
        <w:rPr>
          <w:szCs w:val="22"/>
        </w:rPr>
        <w:t>, it ranked</w:t>
      </w:r>
      <w:r w:rsidR="00593776" w:rsidRPr="00641DDF">
        <w:rPr>
          <w:szCs w:val="22"/>
        </w:rPr>
        <w:t xml:space="preserve"> 96. Fiji’s </w:t>
      </w:r>
      <w:r w:rsidR="00173675" w:rsidRPr="00641DDF">
        <w:rPr>
          <w:szCs w:val="22"/>
        </w:rPr>
        <w:t>index</w:t>
      </w:r>
      <w:r w:rsidR="00593776" w:rsidRPr="00641DDF">
        <w:rPr>
          <w:szCs w:val="22"/>
        </w:rPr>
        <w:t xml:space="preserve"> ranking is above the regional </w:t>
      </w:r>
      <w:r w:rsidR="00593776" w:rsidRPr="00641DDF">
        <w:rPr>
          <w:rFonts w:eastAsiaTheme="minorHAnsi"/>
          <w:szCs w:val="22"/>
          <w:lang w:eastAsia="en-US"/>
        </w:rPr>
        <w:t xml:space="preserve">average. </w:t>
      </w:r>
    </w:p>
    <w:p w14:paraId="3DDD5ABB" w14:textId="77777777" w:rsidR="00593776" w:rsidRPr="00641DDF" w:rsidRDefault="00593776" w:rsidP="005D0E9B">
      <w:pPr>
        <w:pStyle w:val="BodyText"/>
        <w:rPr>
          <w:szCs w:val="22"/>
        </w:rPr>
      </w:pPr>
      <w:r w:rsidRPr="00641DDF">
        <w:rPr>
          <w:rFonts w:eastAsiaTheme="minorHAnsi"/>
          <w:szCs w:val="22"/>
          <w:lang w:eastAsia="en-US"/>
        </w:rPr>
        <w:t xml:space="preserve">Government spending on social assistance in Fiji has historically been quite low. </w:t>
      </w:r>
      <w:r w:rsidRPr="00641DDF">
        <w:rPr>
          <w:szCs w:val="22"/>
        </w:rPr>
        <w:t xml:space="preserve">Recent enhancements in </w:t>
      </w:r>
      <w:r w:rsidR="00173675" w:rsidRPr="00641DDF">
        <w:rPr>
          <w:szCs w:val="22"/>
        </w:rPr>
        <w:t xml:space="preserve">the </w:t>
      </w:r>
      <w:r w:rsidRPr="00641DDF">
        <w:rPr>
          <w:szCs w:val="22"/>
        </w:rPr>
        <w:t xml:space="preserve">social welfare system, including an old-age pension (in line with the recommendations of </w:t>
      </w:r>
      <w:r w:rsidR="00712A45" w:rsidRPr="00641DDF">
        <w:rPr>
          <w:szCs w:val="22"/>
        </w:rPr>
        <w:t>a</w:t>
      </w:r>
      <w:r w:rsidRPr="00641DDF">
        <w:rPr>
          <w:szCs w:val="22"/>
        </w:rPr>
        <w:t xml:space="preserve"> World Bank report) will improve targeting and coverage, enabling it to benefit nearly 13</w:t>
      </w:r>
      <w:r w:rsidR="00AD2C60" w:rsidRPr="00641DDF">
        <w:rPr>
          <w:szCs w:val="22"/>
        </w:rPr>
        <w:t xml:space="preserve"> </w:t>
      </w:r>
      <w:r w:rsidRPr="00641DDF">
        <w:rPr>
          <w:szCs w:val="22"/>
        </w:rPr>
        <w:t>000 poor households.</w:t>
      </w:r>
      <w:r w:rsidRPr="00641DDF">
        <w:rPr>
          <w:rStyle w:val="FootnoteReference"/>
          <w:szCs w:val="22"/>
        </w:rPr>
        <w:footnoteReference w:id="4"/>
      </w:r>
      <w:r w:rsidRPr="00641DDF">
        <w:rPr>
          <w:szCs w:val="22"/>
        </w:rPr>
        <w:t xml:space="preserve"> This investment is welcome but </w:t>
      </w:r>
      <w:r w:rsidR="00A75AF5" w:rsidRPr="00641DDF">
        <w:rPr>
          <w:szCs w:val="22"/>
        </w:rPr>
        <w:t xml:space="preserve">the impact will likely </w:t>
      </w:r>
      <w:r w:rsidRPr="00641DDF">
        <w:rPr>
          <w:szCs w:val="22"/>
        </w:rPr>
        <w:t>be minimal. The old</w:t>
      </w:r>
      <w:r w:rsidR="00173675" w:rsidRPr="00641DDF">
        <w:rPr>
          <w:szCs w:val="22"/>
        </w:rPr>
        <w:t>-</w:t>
      </w:r>
      <w:r w:rsidRPr="00641DDF">
        <w:rPr>
          <w:szCs w:val="22"/>
        </w:rPr>
        <w:t xml:space="preserve">age pension will </w:t>
      </w:r>
      <w:r w:rsidR="00173675" w:rsidRPr="00641DDF">
        <w:rPr>
          <w:szCs w:val="22"/>
        </w:rPr>
        <w:t xml:space="preserve">remain </w:t>
      </w:r>
      <w:r w:rsidRPr="00641DDF">
        <w:rPr>
          <w:szCs w:val="22"/>
        </w:rPr>
        <w:t>well below the international benchmark of US</w:t>
      </w:r>
      <w:r w:rsidR="00740567" w:rsidRPr="00641DDF">
        <w:rPr>
          <w:szCs w:val="22"/>
        </w:rPr>
        <w:t>$</w:t>
      </w:r>
      <w:r w:rsidRPr="00641DDF">
        <w:rPr>
          <w:szCs w:val="22"/>
        </w:rPr>
        <w:t>1.25 per day.</w:t>
      </w:r>
    </w:p>
    <w:p w14:paraId="3DDD5ABC" w14:textId="77777777" w:rsidR="00C4231A" w:rsidRPr="005D0E9B" w:rsidRDefault="00C4231A" w:rsidP="00C56CC1">
      <w:pPr>
        <w:pStyle w:val="Heading3"/>
      </w:pPr>
      <w:r w:rsidRPr="0051525E">
        <w:t xml:space="preserve">Economic </w:t>
      </w:r>
      <w:r w:rsidR="00AD2C60">
        <w:t>o</w:t>
      </w:r>
      <w:r w:rsidRPr="0051525E">
        <w:t>verview</w:t>
      </w:r>
    </w:p>
    <w:p w14:paraId="3DDD5ABD" w14:textId="77777777" w:rsidR="00C4231A" w:rsidRPr="00C56CC1" w:rsidRDefault="00C4231A" w:rsidP="00C56CC1">
      <w:pPr>
        <w:pStyle w:val="BodyText"/>
        <w:rPr>
          <w:rFonts w:eastAsiaTheme="minorHAnsi"/>
        </w:rPr>
      </w:pPr>
      <w:r w:rsidRPr="00C56CC1">
        <w:t xml:space="preserve">After averaging nearly 2¾ per cent </w:t>
      </w:r>
      <w:r w:rsidR="00173675" w:rsidRPr="00C56CC1">
        <w:t xml:space="preserve">gross domestic product (GDP) </w:t>
      </w:r>
      <w:r w:rsidRPr="00C56CC1">
        <w:t xml:space="preserve">growth during the 1990s and early-2000s, growth fell to </w:t>
      </w:r>
      <w:r w:rsidR="00173675" w:rsidRPr="00C56CC1">
        <w:t xml:space="preserve">less than </w:t>
      </w:r>
      <w:r w:rsidR="00AD2C60" w:rsidRPr="00C56CC1">
        <w:t>one-quarter</w:t>
      </w:r>
      <w:r w:rsidR="0019453B" w:rsidRPr="00C56CC1">
        <w:t xml:space="preserve"> of a</w:t>
      </w:r>
      <w:r w:rsidR="00AD2C60" w:rsidRPr="00C56CC1">
        <w:t xml:space="preserve"> </w:t>
      </w:r>
      <w:r w:rsidRPr="00C56CC1">
        <w:t>per cent over the last five years. Macroeconomic imbalances which threatened a current account crisis in 2009 were largely addressed through devaluation of the Fiji dollar</w:t>
      </w:r>
      <w:r w:rsidR="00AD2C60" w:rsidRPr="00C56CC1">
        <w:t xml:space="preserve">. </w:t>
      </w:r>
      <w:r w:rsidRPr="00C56CC1">
        <w:t xml:space="preserve">However, </w:t>
      </w:r>
      <w:r w:rsidR="00173675" w:rsidRPr="00C56CC1">
        <w:t xml:space="preserve">the </w:t>
      </w:r>
      <w:r w:rsidRPr="00C56CC1">
        <w:t xml:space="preserve">economy contracted by </w:t>
      </w:r>
      <w:r w:rsidR="00173675" w:rsidRPr="00C56CC1">
        <w:t xml:space="preserve">25 </w:t>
      </w:r>
      <w:r w:rsidRPr="00C56CC1">
        <w:t>per cent in 2010, while other Pacific islands experienced modest growth.</w:t>
      </w:r>
      <w:r w:rsidRPr="00C56CC1">
        <w:rPr>
          <w:rStyle w:val="FootnoteReference"/>
          <w:szCs w:val="24"/>
        </w:rPr>
        <w:footnoteReference w:id="5"/>
      </w:r>
      <w:r w:rsidRPr="00C56CC1">
        <w:t xml:space="preserve"> Generally, low or </w:t>
      </w:r>
      <w:r w:rsidRPr="00C56CC1">
        <w:rPr>
          <w:rFonts w:eastAsiaTheme="minorHAnsi"/>
        </w:rPr>
        <w:t>negative growth is associated with a highe</w:t>
      </w:r>
      <w:r w:rsidR="002E69F7" w:rsidRPr="00C56CC1">
        <w:rPr>
          <w:rFonts w:eastAsiaTheme="minorHAnsi"/>
        </w:rPr>
        <w:t xml:space="preserve">r incidence of poverty </w:t>
      </w:r>
      <w:r w:rsidRPr="00C56CC1">
        <w:rPr>
          <w:rFonts w:eastAsiaTheme="minorHAnsi"/>
        </w:rPr>
        <w:t>and vice versa</w:t>
      </w:r>
      <w:r w:rsidR="00B11D73" w:rsidRPr="00C56CC1">
        <w:rPr>
          <w:rFonts w:eastAsiaTheme="minorHAnsi"/>
        </w:rPr>
        <w:t>.</w:t>
      </w:r>
      <w:r w:rsidRPr="00C56CC1">
        <w:rPr>
          <w:rFonts w:eastAsiaTheme="minorHAnsi"/>
          <w:vertAlign w:val="superscript"/>
        </w:rPr>
        <w:footnoteReference w:id="6"/>
      </w:r>
    </w:p>
    <w:p w14:paraId="3DDD5ABE" w14:textId="77777777" w:rsidR="00C4231A" w:rsidRPr="00C56CC1" w:rsidRDefault="00C4231A" w:rsidP="00C56CC1">
      <w:pPr>
        <w:pStyle w:val="BodyText"/>
      </w:pPr>
      <w:r w:rsidRPr="00C56CC1">
        <w:rPr>
          <w:rFonts w:eastAsiaTheme="minorHAnsi"/>
        </w:rPr>
        <w:t>Through 2011 and 2012</w:t>
      </w:r>
      <w:r w:rsidR="00740567" w:rsidRPr="00C56CC1">
        <w:rPr>
          <w:rFonts w:eastAsiaTheme="minorHAnsi"/>
        </w:rPr>
        <w:t>,</w:t>
      </w:r>
      <w:r w:rsidRPr="00C56CC1">
        <w:rPr>
          <w:rFonts w:eastAsiaTheme="minorHAnsi"/>
        </w:rPr>
        <w:t xml:space="preserve"> growth remained low at around 2 per cent, below </w:t>
      </w:r>
      <w:r w:rsidR="00173675" w:rsidRPr="00C56CC1">
        <w:rPr>
          <w:rFonts w:eastAsiaTheme="minorHAnsi"/>
        </w:rPr>
        <w:t>the</w:t>
      </w:r>
      <w:r w:rsidR="00173675" w:rsidRPr="00C56CC1">
        <w:rPr>
          <w:rFonts w:eastAsia="SimSun"/>
        </w:rPr>
        <w:t xml:space="preserve"> </w:t>
      </w:r>
      <w:r w:rsidRPr="00C56CC1">
        <w:rPr>
          <w:rFonts w:eastAsia="SimSun"/>
        </w:rPr>
        <w:t>pre</w:t>
      </w:r>
      <w:r w:rsidRPr="00C56CC1">
        <w:rPr>
          <w:rFonts w:eastAsia="SimSun"/>
        </w:rPr>
        <w:noBreakHyphen/>
        <w:t>coup</w:t>
      </w:r>
      <w:r w:rsidR="00173675" w:rsidRPr="00C56CC1">
        <w:rPr>
          <w:rFonts w:eastAsia="SimSun"/>
        </w:rPr>
        <w:t>,</w:t>
      </w:r>
      <w:r w:rsidRPr="00C56CC1">
        <w:rPr>
          <w:rFonts w:eastAsia="SimSun"/>
        </w:rPr>
        <w:t xml:space="preserve"> long</w:t>
      </w:r>
      <w:r w:rsidR="00173675" w:rsidRPr="00C56CC1">
        <w:rPr>
          <w:rFonts w:eastAsia="SimSun"/>
        </w:rPr>
        <w:t>-</w:t>
      </w:r>
      <w:r w:rsidRPr="00C56CC1">
        <w:rPr>
          <w:rFonts w:eastAsia="SimSun"/>
        </w:rPr>
        <w:t>term average growth rate of 3 per cent</w:t>
      </w:r>
      <w:r w:rsidR="00AD2C60" w:rsidRPr="00C56CC1">
        <w:rPr>
          <w:rFonts w:eastAsia="SimSun"/>
        </w:rPr>
        <w:t xml:space="preserve">. </w:t>
      </w:r>
      <w:r w:rsidRPr="00C56CC1">
        <w:rPr>
          <w:rFonts w:eastAsia="SimSun"/>
        </w:rPr>
        <w:t>Latest official estimates</w:t>
      </w:r>
      <w:r w:rsidR="00740567" w:rsidRPr="00C56CC1">
        <w:rPr>
          <w:rFonts w:eastAsia="SimSun"/>
        </w:rPr>
        <w:t xml:space="preserve"> in the 2013 Budget</w:t>
      </w:r>
      <w:r w:rsidRPr="00C56CC1">
        <w:rPr>
          <w:rFonts w:eastAsia="SimSun"/>
        </w:rPr>
        <w:t xml:space="preserve"> indicate that GDP growth was 2.5 per cent in 2012.</w:t>
      </w:r>
      <w:r w:rsidRPr="00C56CC1">
        <w:rPr>
          <w:rFonts w:eastAsia="SimSun"/>
          <w:vertAlign w:val="superscript"/>
        </w:rPr>
        <w:footnoteReference w:id="7"/>
      </w:r>
      <w:r w:rsidRPr="00C56CC1">
        <w:rPr>
          <w:rFonts w:eastAsia="SimSun"/>
        </w:rPr>
        <w:t xml:space="preserve"> </w:t>
      </w:r>
      <w:r w:rsidRPr="00C56CC1">
        <w:t>Damages from Cyclone Evan caused an estimated $42 million</w:t>
      </w:r>
      <w:r w:rsidR="00E927F1" w:rsidRPr="00C56CC1">
        <w:rPr>
          <w:rStyle w:val="FootnoteReference"/>
          <w:szCs w:val="24"/>
        </w:rPr>
        <w:footnoteReference w:id="8"/>
      </w:r>
      <w:r w:rsidRPr="00C56CC1">
        <w:t xml:space="preserve"> (about 1 per cent of GDP) in damage and are projected to weigh down 2013 growth.</w:t>
      </w:r>
      <w:r w:rsidRPr="00C56CC1">
        <w:rPr>
          <w:vertAlign w:val="superscript"/>
        </w:rPr>
        <w:footnoteReference w:id="9"/>
      </w:r>
      <w:r w:rsidR="00173675" w:rsidRPr="00C56CC1">
        <w:t xml:space="preserve"> </w:t>
      </w:r>
      <w:r w:rsidRPr="00C56CC1">
        <w:rPr>
          <w:rFonts w:eastAsiaTheme="minorHAnsi"/>
        </w:rPr>
        <w:t>The main drivers of growth in 2012 include</w:t>
      </w:r>
      <w:r w:rsidR="00173675" w:rsidRPr="00C56CC1">
        <w:rPr>
          <w:rFonts w:eastAsiaTheme="minorHAnsi"/>
        </w:rPr>
        <w:t>d</w:t>
      </w:r>
      <w:r w:rsidRPr="00C56CC1">
        <w:rPr>
          <w:rFonts w:eastAsiaTheme="minorHAnsi"/>
        </w:rPr>
        <w:t xml:space="preserve"> tourism, manufacturing, </w:t>
      </w:r>
      <w:r w:rsidRPr="00C56CC1">
        <w:rPr>
          <w:rFonts w:eastAsia="SimSun"/>
        </w:rPr>
        <w:t>agriculture</w:t>
      </w:r>
      <w:r w:rsidR="0019453B" w:rsidRPr="00C56CC1">
        <w:rPr>
          <w:rFonts w:eastAsia="SimSun"/>
        </w:rPr>
        <w:t>,</w:t>
      </w:r>
      <w:r w:rsidR="00952712" w:rsidRPr="00C56CC1">
        <w:rPr>
          <w:rFonts w:eastAsia="SimSun"/>
        </w:rPr>
        <w:t xml:space="preserve"> </w:t>
      </w:r>
      <w:r w:rsidR="00A75AF5" w:rsidRPr="00C56CC1">
        <w:rPr>
          <w:rFonts w:eastAsia="SimSun"/>
        </w:rPr>
        <w:t>wholesale and</w:t>
      </w:r>
      <w:r w:rsidRPr="00C56CC1">
        <w:rPr>
          <w:rFonts w:eastAsia="SimSun"/>
        </w:rPr>
        <w:t xml:space="preserve"> retail.</w:t>
      </w:r>
      <w:r w:rsidRPr="00C56CC1">
        <w:rPr>
          <w:rFonts w:eastAsia="SimSun"/>
          <w:vertAlign w:val="superscript"/>
        </w:rPr>
        <w:footnoteReference w:id="10"/>
      </w:r>
    </w:p>
    <w:p w14:paraId="3DDD5ABF" w14:textId="6B9F219D" w:rsidR="00C4231A" w:rsidRPr="00C56CC1" w:rsidRDefault="00C4231A" w:rsidP="00C56CC1">
      <w:pPr>
        <w:pStyle w:val="BodyText"/>
      </w:pPr>
      <w:r w:rsidRPr="00C56CC1">
        <w:rPr>
          <w:rFonts w:eastAsia="SimSun"/>
        </w:rPr>
        <w:t>In 2013</w:t>
      </w:r>
      <w:r w:rsidR="00173675" w:rsidRPr="00C56CC1">
        <w:rPr>
          <w:rFonts w:eastAsia="SimSun"/>
        </w:rPr>
        <w:t>,</w:t>
      </w:r>
      <w:r w:rsidRPr="00C56CC1">
        <w:rPr>
          <w:rFonts w:eastAsia="SimSun"/>
        </w:rPr>
        <w:t xml:space="preserve"> a key driver of growth is expected to be</w:t>
      </w:r>
      <w:r w:rsidR="00E65EDD" w:rsidRPr="00C56CC1">
        <w:rPr>
          <w:rFonts w:eastAsia="SimSun"/>
        </w:rPr>
        <w:t xml:space="preserve"> construction</w:t>
      </w:r>
      <w:r w:rsidR="0019453B" w:rsidRPr="00C56CC1">
        <w:rPr>
          <w:rFonts w:eastAsia="SimSun"/>
        </w:rPr>
        <w:t xml:space="preserve">, </w:t>
      </w:r>
      <w:r w:rsidRPr="00C56CC1">
        <w:rPr>
          <w:rFonts w:eastAsia="SimSun"/>
        </w:rPr>
        <w:t>fuelled by high</w:t>
      </w:r>
      <w:r w:rsidRPr="00C56CC1">
        <w:t xml:space="preserve"> levels of g</w:t>
      </w:r>
      <w:r w:rsidR="00E927F1" w:rsidRPr="00C56CC1">
        <w:t>overnment capital expenditure (</w:t>
      </w:r>
      <w:r w:rsidRPr="00C56CC1">
        <w:t>$400 million)</w:t>
      </w:r>
      <w:r w:rsidR="00740567" w:rsidRPr="00C56CC1">
        <w:t xml:space="preserve"> on roads, water and sanitation</w:t>
      </w:r>
      <w:r w:rsidR="0019453B" w:rsidRPr="00C56CC1">
        <w:t>,</w:t>
      </w:r>
      <w:r w:rsidRPr="00C56CC1">
        <w:t xml:space="preserve"> and </w:t>
      </w:r>
      <w:r w:rsidR="00173675" w:rsidRPr="00C56CC1">
        <w:t>information and communications technology</w:t>
      </w:r>
      <w:r w:rsidRPr="00C56CC1">
        <w:t>. The Exim Banks of China and Malaysia will be key sources of funding for the government’s capital program</w:t>
      </w:r>
      <w:r w:rsidR="00A861CC" w:rsidRPr="00C56CC1">
        <w:t>.</w:t>
      </w:r>
      <w:r w:rsidRPr="00C56CC1">
        <w:rPr>
          <w:rStyle w:val="FootnoteReference"/>
          <w:szCs w:val="24"/>
        </w:rPr>
        <w:footnoteReference w:id="11"/>
      </w:r>
      <w:r w:rsidRPr="00C56CC1">
        <w:rPr>
          <w:vertAlign w:val="superscript"/>
        </w:rPr>
        <w:t xml:space="preserve"> </w:t>
      </w:r>
      <w:r w:rsidRPr="00C56CC1">
        <w:t xml:space="preserve">Post flood and cyclone reconstruction is </w:t>
      </w:r>
      <w:r w:rsidRPr="00C56CC1">
        <w:lastRenderedPageBreak/>
        <w:t>contributing to increased construction activity. The</w:t>
      </w:r>
      <w:r w:rsidR="00A861CC" w:rsidRPr="00C56CC1">
        <w:t xml:space="preserve"> Fiji</w:t>
      </w:r>
      <w:r w:rsidRPr="00C56CC1">
        <w:t xml:space="preserve"> </w:t>
      </w:r>
      <w:r w:rsidR="00C3581B">
        <w:t>G</w:t>
      </w:r>
      <w:r w:rsidRPr="00C56CC1">
        <w:t>overnment has an</w:t>
      </w:r>
      <w:r w:rsidR="00C87912" w:rsidRPr="00C56CC1">
        <w:t xml:space="preserve"> ambitious</w:t>
      </w:r>
      <w:r w:rsidRPr="00C56CC1">
        <w:t xml:space="preserve"> investment target of 25 per cent of GDP. Private sector investment was just 6 per cent of GDP in 2012. This low level of private investment is slowing economic activity and limiting growth prospects. </w:t>
      </w:r>
      <w:r w:rsidR="00C87912" w:rsidRPr="00C56CC1">
        <w:t>Political uncertainty and an u</w:t>
      </w:r>
      <w:r w:rsidR="002E69F7" w:rsidRPr="00C56CC1">
        <w:t>n</w:t>
      </w:r>
      <w:r w:rsidR="00C87912" w:rsidRPr="00C56CC1">
        <w:t>predictable regulatory environment are the key constraints to private sector activity</w:t>
      </w:r>
      <w:r w:rsidR="00AD2C60" w:rsidRPr="00C56CC1">
        <w:t xml:space="preserve">. </w:t>
      </w:r>
      <w:r w:rsidRPr="00C56CC1">
        <w:t xml:space="preserve">To compensate, the </w:t>
      </w:r>
      <w:r w:rsidR="00274972">
        <w:t>g</w:t>
      </w:r>
      <w:r w:rsidRPr="00C56CC1">
        <w:t xml:space="preserve">overnment will embark on an expansionary fiscal policy that will </w:t>
      </w:r>
      <w:r w:rsidR="00C40A5B" w:rsidRPr="00C56CC1">
        <w:t xml:space="preserve">aim for a </w:t>
      </w:r>
      <w:r w:rsidRPr="00C56CC1">
        <w:t xml:space="preserve">capital expenditure increase to 32 per cent of total expenditure and </w:t>
      </w:r>
      <w:r w:rsidR="00C40A5B" w:rsidRPr="00C56CC1">
        <w:t xml:space="preserve">a </w:t>
      </w:r>
      <w:r w:rsidRPr="00C56CC1">
        <w:t>b</w:t>
      </w:r>
      <w:r w:rsidR="00C56CC1" w:rsidRPr="00C56CC1">
        <w:t xml:space="preserve">udget deficit increase from 1.9 </w:t>
      </w:r>
      <w:r w:rsidRPr="00C56CC1">
        <w:t>per cent of GDP in 2012 to 2.8 per cent in 2013.</w:t>
      </w:r>
      <w:r w:rsidRPr="00C56CC1">
        <w:rPr>
          <w:rStyle w:val="FootnoteReference"/>
          <w:szCs w:val="24"/>
        </w:rPr>
        <w:footnoteReference w:id="12"/>
      </w:r>
      <w:r w:rsidRPr="00C56CC1">
        <w:rPr>
          <w:vertAlign w:val="superscript"/>
        </w:rPr>
        <w:t xml:space="preserve"> </w:t>
      </w:r>
    </w:p>
    <w:p w14:paraId="3DDD5AC0" w14:textId="77777777" w:rsidR="00C4231A" w:rsidRPr="00C56CC1" w:rsidRDefault="00C4231A" w:rsidP="00C56CC1">
      <w:pPr>
        <w:pStyle w:val="BodyText"/>
      </w:pPr>
      <w:r w:rsidRPr="00C56CC1">
        <w:t>Public debt remains relatively high at 50.4 per cent of GDP, although around three-quarters of this is held domestically, providing relatively stable and low</w:t>
      </w:r>
      <w:r w:rsidR="00C40A5B" w:rsidRPr="00C56CC1">
        <w:t>-</w:t>
      </w:r>
      <w:r w:rsidRPr="00C56CC1">
        <w:t>risk financing for government.</w:t>
      </w:r>
      <w:r w:rsidRPr="00C56CC1">
        <w:rPr>
          <w:vertAlign w:val="superscript"/>
        </w:rPr>
        <w:footnoteReference w:id="13"/>
      </w:r>
      <w:r w:rsidR="00E927F1" w:rsidRPr="00C56CC1">
        <w:t xml:space="preserve"> </w:t>
      </w:r>
      <w:r w:rsidR="00A75AF5" w:rsidRPr="00C56CC1">
        <w:t>Tourism continues to dominate the economy</w:t>
      </w:r>
      <w:r w:rsidRPr="00C56CC1">
        <w:t xml:space="preserve">. Fiji’s earnings from tourism for 2012 are provisionally </w:t>
      </w:r>
      <w:r w:rsidR="00740567" w:rsidRPr="00C56CC1">
        <w:t>estimated at FJ</w:t>
      </w:r>
      <w:r w:rsidR="00496F25" w:rsidRPr="00C56CC1">
        <w:t>$</w:t>
      </w:r>
      <w:r w:rsidRPr="00C56CC1">
        <w:t>1.3 billion. This represents a 1.3 per cent increase over the 2011 earnings estimate</w:t>
      </w:r>
      <w:r w:rsidR="00C40A5B" w:rsidRPr="00C56CC1">
        <w:t>.</w:t>
      </w:r>
      <w:r w:rsidRPr="00C56CC1">
        <w:rPr>
          <w:vertAlign w:val="superscript"/>
        </w:rPr>
        <w:footnoteReference w:id="14"/>
      </w:r>
    </w:p>
    <w:p w14:paraId="3DDD5AC1" w14:textId="77777777" w:rsidR="00C87912" w:rsidRPr="00C56CC1" w:rsidRDefault="00C4231A" w:rsidP="00C56CC1">
      <w:pPr>
        <w:pStyle w:val="BodyText"/>
      </w:pPr>
      <w:r w:rsidRPr="00C56CC1">
        <w:t>While sugar has been a mainstay of Fiji</w:t>
      </w:r>
      <w:r w:rsidR="00C40A5B" w:rsidRPr="00C56CC1">
        <w:t>’s</w:t>
      </w:r>
      <w:r w:rsidRPr="00C56CC1">
        <w:t xml:space="preserve"> economy</w:t>
      </w:r>
      <w:r w:rsidR="00C40A5B" w:rsidRPr="00C56CC1">
        <w:t>,</w:t>
      </w:r>
      <w:r w:rsidR="00A75AF5" w:rsidRPr="00C56CC1">
        <w:t xml:space="preserve"> </w:t>
      </w:r>
      <w:r w:rsidRPr="00C56CC1">
        <w:t xml:space="preserve">its </w:t>
      </w:r>
      <w:r w:rsidR="00B37F46" w:rsidRPr="00C56CC1">
        <w:t xml:space="preserve">contribution </w:t>
      </w:r>
      <w:r w:rsidRPr="00C56CC1">
        <w:t>is declining</w:t>
      </w:r>
      <w:r w:rsidR="00C40A5B" w:rsidRPr="00C56CC1">
        <w:t>.</w:t>
      </w:r>
      <w:r w:rsidRPr="00C56CC1">
        <w:rPr>
          <w:vertAlign w:val="superscript"/>
        </w:rPr>
        <w:footnoteReference w:id="15"/>
      </w:r>
      <w:r w:rsidRPr="00C56CC1">
        <w:t xml:space="preserve"> In 2012</w:t>
      </w:r>
      <w:r w:rsidR="00B37F46" w:rsidRPr="00C56CC1">
        <w:t>, p</w:t>
      </w:r>
      <w:r w:rsidRPr="00C56CC1">
        <w:t>roduction fell 7.1 per cent</w:t>
      </w:r>
      <w:r w:rsidR="00B37F46" w:rsidRPr="00C56CC1">
        <w:t xml:space="preserve"> </w:t>
      </w:r>
      <w:r w:rsidR="00C40A5B" w:rsidRPr="00C56CC1">
        <w:t>over</w:t>
      </w:r>
      <w:r w:rsidR="00B37F46" w:rsidRPr="00C56CC1">
        <w:t xml:space="preserve"> 2011</w:t>
      </w:r>
      <w:r w:rsidRPr="00C56CC1">
        <w:t xml:space="preserve">, reflecting weak global demand and the impact of the floods. The sugar industry now accounts for less than 10 per cent of export earnings, down from 70 per </w:t>
      </w:r>
      <w:r w:rsidR="004E03E8" w:rsidRPr="00C56CC1">
        <w:t xml:space="preserve">cent in 1970. </w:t>
      </w:r>
      <w:r w:rsidRPr="00C56CC1">
        <w:t>Despite significant</w:t>
      </w:r>
      <w:r w:rsidR="004E03E8" w:rsidRPr="00C56CC1">
        <w:t xml:space="preserve"> </w:t>
      </w:r>
      <w:r w:rsidRPr="00C56CC1">
        <w:t>investments in recent years, the outlook for Fiji’s sugar industry remains uncertain.</w:t>
      </w:r>
      <w:r w:rsidRPr="00C56CC1">
        <w:rPr>
          <w:rStyle w:val="FootnoteReference"/>
          <w:szCs w:val="24"/>
        </w:rPr>
        <w:footnoteReference w:id="16"/>
      </w:r>
      <w:r w:rsidR="00C40A5B" w:rsidRPr="00C56CC1">
        <w:t xml:space="preserve"> </w:t>
      </w:r>
      <w:r w:rsidR="00C87912" w:rsidRPr="00C56CC1">
        <w:t xml:space="preserve">Nevertheless, sugar receipts are expected to rebound partially in 2013 and </w:t>
      </w:r>
      <w:r w:rsidR="00C40A5B" w:rsidRPr="00C56CC1">
        <w:t xml:space="preserve">the industry </w:t>
      </w:r>
      <w:r w:rsidR="00C87912" w:rsidRPr="00C56CC1">
        <w:t xml:space="preserve">will remain important to Fiji’s economic prospects for some time. </w:t>
      </w:r>
    </w:p>
    <w:p w14:paraId="3DDD5AC2" w14:textId="77777777" w:rsidR="002A3F37" w:rsidRDefault="00C4231A" w:rsidP="00C56CC1">
      <w:pPr>
        <w:pStyle w:val="Heading2"/>
      </w:pPr>
      <w:r w:rsidRPr="00F7055F">
        <w:t xml:space="preserve">Development </w:t>
      </w:r>
      <w:r w:rsidR="00C40A5B">
        <w:t>c</w:t>
      </w:r>
      <w:r w:rsidRPr="00F7055F">
        <w:t>ontext</w:t>
      </w:r>
    </w:p>
    <w:p w14:paraId="3DDD5AC3" w14:textId="77777777" w:rsidR="002A3F37" w:rsidRPr="00C56CC1" w:rsidRDefault="002A3F37" w:rsidP="00C56CC1">
      <w:pPr>
        <w:pStyle w:val="BodyText"/>
      </w:pPr>
      <w:r w:rsidRPr="00C56CC1">
        <w:t xml:space="preserve">The </w:t>
      </w:r>
      <w:r w:rsidRPr="00C56CC1">
        <w:rPr>
          <w:i/>
        </w:rPr>
        <w:t>2012 Pacific Regional Millennium Development Goal</w:t>
      </w:r>
      <w:r w:rsidR="00A66B4B" w:rsidRPr="00C56CC1">
        <w:rPr>
          <w:i/>
        </w:rPr>
        <w:t>s</w:t>
      </w:r>
      <w:r w:rsidRPr="00C56CC1">
        <w:rPr>
          <w:i/>
        </w:rPr>
        <w:t xml:space="preserve"> (M</w:t>
      </w:r>
      <w:r w:rsidR="00A861CC" w:rsidRPr="00C56CC1">
        <w:rPr>
          <w:i/>
        </w:rPr>
        <w:t>DG</w:t>
      </w:r>
      <w:r w:rsidRPr="00C56CC1">
        <w:rPr>
          <w:i/>
        </w:rPr>
        <w:t>)</w:t>
      </w:r>
      <w:r w:rsidR="00A861CC" w:rsidRPr="00C56CC1">
        <w:rPr>
          <w:i/>
        </w:rPr>
        <w:t xml:space="preserve"> </w:t>
      </w:r>
      <w:r w:rsidRPr="00C56CC1">
        <w:rPr>
          <w:i/>
        </w:rPr>
        <w:t>Tracking Report</w:t>
      </w:r>
      <w:r w:rsidRPr="00C56CC1">
        <w:t xml:space="preserve"> indicates that Fiji has achieved mixed results for three indicators (MDG 1</w:t>
      </w:r>
      <w:r w:rsidR="0019453B" w:rsidRPr="00C56CC1">
        <w:t>—eradicate extreme poverty and hunger</w:t>
      </w:r>
      <w:r w:rsidRPr="00C56CC1">
        <w:t>, MDG 3</w:t>
      </w:r>
      <w:r w:rsidR="0019453B" w:rsidRPr="00C56CC1">
        <w:t>—promote gender equality and empower women</w:t>
      </w:r>
      <w:r w:rsidRPr="00C56CC1">
        <w:t xml:space="preserve"> and MDG 6</w:t>
      </w:r>
      <w:r w:rsidR="0019453B" w:rsidRPr="00C56CC1">
        <w:t>—combat HIV/AIDs, malaria and other diseases</w:t>
      </w:r>
      <w:r w:rsidRPr="00C56CC1">
        <w:t>).</w:t>
      </w:r>
      <w:r w:rsidR="00E65EDD" w:rsidRPr="00C56CC1">
        <w:t xml:space="preserve"> Table 1 summarises progress towards the MDGs.</w:t>
      </w:r>
    </w:p>
    <w:p w14:paraId="3DDD5AC4" w14:textId="77777777" w:rsidR="00C4231A" w:rsidRPr="00740567" w:rsidRDefault="00C4231A" w:rsidP="00C56CC1">
      <w:pPr>
        <w:pStyle w:val="Caption"/>
      </w:pPr>
      <w:r w:rsidRPr="00740567">
        <w:t>Table 1: Progress towards the Millennium Development Goals in Fiji, 2012</w:t>
      </w:r>
    </w:p>
    <w:tbl>
      <w:tblPr>
        <w:tblStyle w:val="APPR"/>
        <w:tblW w:w="8017" w:type="dxa"/>
        <w:tblLook w:val="04A0" w:firstRow="1" w:lastRow="0" w:firstColumn="1" w:lastColumn="0" w:noHBand="0" w:noVBand="1"/>
      </w:tblPr>
      <w:tblGrid>
        <w:gridCol w:w="1156"/>
        <w:gridCol w:w="1142"/>
        <w:gridCol w:w="1138"/>
        <w:gridCol w:w="1141"/>
        <w:gridCol w:w="1142"/>
        <w:gridCol w:w="1143"/>
        <w:gridCol w:w="1155"/>
      </w:tblGrid>
      <w:tr w:rsidR="00C4231A" w:rsidRPr="00105972" w14:paraId="3DDD5ACC" w14:textId="77777777" w:rsidTr="00C56CC1">
        <w:trPr>
          <w:cnfStyle w:val="100000000000" w:firstRow="1" w:lastRow="0" w:firstColumn="0" w:lastColumn="0" w:oddVBand="0" w:evenVBand="0" w:oddHBand="0" w:evenHBand="0" w:firstRowFirstColumn="0" w:firstRowLastColumn="0" w:lastRowFirstColumn="0" w:lastRowLastColumn="0"/>
          <w:trHeight w:val="741"/>
        </w:trPr>
        <w:tc>
          <w:tcPr>
            <w:tcW w:w="1145" w:type="dxa"/>
          </w:tcPr>
          <w:p w14:paraId="3DDD5AC5" w14:textId="77777777" w:rsidR="00C4231A" w:rsidRPr="00105972" w:rsidRDefault="00C4231A" w:rsidP="00C4231A">
            <w:pPr>
              <w:pStyle w:val="BodyText"/>
              <w:spacing w:line="276" w:lineRule="auto"/>
              <w:rPr>
                <w:sz w:val="24"/>
                <w:lang w:eastAsia="en-US"/>
              </w:rPr>
            </w:pPr>
            <w:r w:rsidRPr="00B303B0">
              <w:rPr>
                <w:noProof/>
                <w:sz w:val="24"/>
              </w:rPr>
              <w:drawing>
                <wp:inline distT="0" distB="0" distL="0" distR="0" wp14:anchorId="3DDD5D54" wp14:editId="3DDD5D55">
                  <wp:extent cx="292100" cy="3175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100" cy="317500"/>
                          </a:xfrm>
                          <a:prstGeom prst="rect">
                            <a:avLst/>
                          </a:prstGeom>
                          <a:noFill/>
                          <a:ln>
                            <a:noFill/>
                          </a:ln>
                        </pic:spPr>
                      </pic:pic>
                    </a:graphicData>
                  </a:graphic>
                </wp:inline>
              </w:drawing>
            </w:r>
          </w:p>
        </w:tc>
        <w:tc>
          <w:tcPr>
            <w:tcW w:w="1145" w:type="dxa"/>
          </w:tcPr>
          <w:p w14:paraId="3DDD5AC6" w14:textId="77777777" w:rsidR="00C4231A" w:rsidRPr="00105972" w:rsidRDefault="00C4231A" w:rsidP="00C4231A">
            <w:pPr>
              <w:pStyle w:val="BodyText"/>
              <w:spacing w:line="276" w:lineRule="auto"/>
              <w:rPr>
                <w:sz w:val="24"/>
                <w:lang w:eastAsia="en-US"/>
              </w:rPr>
            </w:pPr>
            <w:r w:rsidRPr="00B303B0">
              <w:rPr>
                <w:noProof/>
                <w:sz w:val="24"/>
              </w:rPr>
              <w:drawing>
                <wp:inline distT="0" distB="0" distL="0" distR="0" wp14:anchorId="3DDD5D56" wp14:editId="3DDD5D57">
                  <wp:extent cx="279400" cy="2984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400" cy="298450"/>
                          </a:xfrm>
                          <a:prstGeom prst="rect">
                            <a:avLst/>
                          </a:prstGeom>
                          <a:noFill/>
                          <a:ln>
                            <a:noFill/>
                          </a:ln>
                        </pic:spPr>
                      </pic:pic>
                    </a:graphicData>
                  </a:graphic>
                </wp:inline>
              </w:drawing>
            </w:r>
          </w:p>
        </w:tc>
        <w:tc>
          <w:tcPr>
            <w:tcW w:w="1145" w:type="dxa"/>
          </w:tcPr>
          <w:p w14:paraId="3DDD5AC7" w14:textId="77777777" w:rsidR="00C4231A" w:rsidRPr="00105972" w:rsidRDefault="00C4231A" w:rsidP="00C4231A">
            <w:pPr>
              <w:pStyle w:val="BodyText"/>
              <w:spacing w:line="276" w:lineRule="auto"/>
              <w:rPr>
                <w:sz w:val="24"/>
                <w:lang w:eastAsia="en-US"/>
              </w:rPr>
            </w:pPr>
            <w:r w:rsidRPr="00B303B0">
              <w:rPr>
                <w:noProof/>
                <w:sz w:val="24"/>
              </w:rPr>
              <w:drawing>
                <wp:inline distT="0" distB="0" distL="0" distR="0" wp14:anchorId="3DDD5D58" wp14:editId="3DDD5D59">
                  <wp:extent cx="241300" cy="279400"/>
                  <wp:effectExtent l="0" t="0" r="635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300" cy="279400"/>
                          </a:xfrm>
                          <a:prstGeom prst="rect">
                            <a:avLst/>
                          </a:prstGeom>
                          <a:noFill/>
                          <a:ln>
                            <a:noFill/>
                          </a:ln>
                        </pic:spPr>
                      </pic:pic>
                    </a:graphicData>
                  </a:graphic>
                </wp:inline>
              </w:drawing>
            </w:r>
          </w:p>
        </w:tc>
        <w:tc>
          <w:tcPr>
            <w:tcW w:w="1146" w:type="dxa"/>
          </w:tcPr>
          <w:p w14:paraId="3DDD5AC8" w14:textId="77777777" w:rsidR="00C4231A" w:rsidRPr="00105972" w:rsidRDefault="00C4231A" w:rsidP="00C4231A">
            <w:pPr>
              <w:pStyle w:val="BodyText"/>
              <w:spacing w:line="276" w:lineRule="auto"/>
              <w:rPr>
                <w:sz w:val="24"/>
                <w:lang w:eastAsia="en-US"/>
              </w:rPr>
            </w:pPr>
            <w:r w:rsidRPr="00B303B0">
              <w:rPr>
                <w:noProof/>
                <w:sz w:val="24"/>
              </w:rPr>
              <w:drawing>
                <wp:inline distT="0" distB="0" distL="0" distR="0" wp14:anchorId="3DDD5D5A" wp14:editId="3DDD5D5B">
                  <wp:extent cx="266700" cy="304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304800"/>
                          </a:xfrm>
                          <a:prstGeom prst="rect">
                            <a:avLst/>
                          </a:prstGeom>
                          <a:noFill/>
                          <a:ln>
                            <a:noFill/>
                          </a:ln>
                        </pic:spPr>
                      </pic:pic>
                    </a:graphicData>
                  </a:graphic>
                </wp:inline>
              </w:drawing>
            </w:r>
          </w:p>
        </w:tc>
        <w:tc>
          <w:tcPr>
            <w:tcW w:w="1145" w:type="dxa"/>
          </w:tcPr>
          <w:p w14:paraId="3DDD5AC9" w14:textId="77777777" w:rsidR="00C4231A" w:rsidRPr="00105972" w:rsidRDefault="00C4231A" w:rsidP="00C4231A">
            <w:pPr>
              <w:pStyle w:val="BodyText"/>
              <w:spacing w:line="276" w:lineRule="auto"/>
              <w:rPr>
                <w:sz w:val="24"/>
                <w:lang w:eastAsia="en-US"/>
              </w:rPr>
            </w:pPr>
            <w:r w:rsidRPr="00B303B0">
              <w:rPr>
                <w:noProof/>
                <w:sz w:val="24"/>
              </w:rPr>
              <w:drawing>
                <wp:inline distT="0" distB="0" distL="0" distR="0" wp14:anchorId="3DDD5D5C" wp14:editId="3DDD5D5D">
                  <wp:extent cx="279400" cy="304800"/>
                  <wp:effectExtent l="0" t="0" r="635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400" cy="304800"/>
                          </a:xfrm>
                          <a:prstGeom prst="rect">
                            <a:avLst/>
                          </a:prstGeom>
                          <a:noFill/>
                          <a:ln>
                            <a:noFill/>
                          </a:ln>
                        </pic:spPr>
                      </pic:pic>
                    </a:graphicData>
                  </a:graphic>
                </wp:inline>
              </w:drawing>
            </w:r>
          </w:p>
        </w:tc>
        <w:tc>
          <w:tcPr>
            <w:tcW w:w="1145" w:type="dxa"/>
          </w:tcPr>
          <w:p w14:paraId="3DDD5ACA" w14:textId="77777777" w:rsidR="00C4231A" w:rsidRPr="00105972" w:rsidRDefault="00C4231A" w:rsidP="00C4231A">
            <w:pPr>
              <w:pStyle w:val="BodyText"/>
              <w:spacing w:line="276" w:lineRule="auto"/>
              <w:rPr>
                <w:sz w:val="24"/>
                <w:lang w:eastAsia="en-US"/>
              </w:rPr>
            </w:pPr>
            <w:r w:rsidRPr="00B303B0">
              <w:rPr>
                <w:noProof/>
                <w:sz w:val="24"/>
              </w:rPr>
              <w:drawing>
                <wp:inline distT="0" distB="0" distL="0" distR="0" wp14:anchorId="3DDD5D5E" wp14:editId="3DDD5D5F">
                  <wp:extent cx="292100" cy="336550"/>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100" cy="336550"/>
                          </a:xfrm>
                          <a:prstGeom prst="rect">
                            <a:avLst/>
                          </a:prstGeom>
                          <a:noFill/>
                          <a:ln>
                            <a:noFill/>
                          </a:ln>
                        </pic:spPr>
                      </pic:pic>
                    </a:graphicData>
                  </a:graphic>
                </wp:inline>
              </w:drawing>
            </w:r>
          </w:p>
        </w:tc>
        <w:tc>
          <w:tcPr>
            <w:tcW w:w="1146" w:type="dxa"/>
          </w:tcPr>
          <w:p w14:paraId="3DDD5ACB" w14:textId="77777777" w:rsidR="00C4231A" w:rsidRPr="00105972" w:rsidRDefault="00C4231A" w:rsidP="00C4231A">
            <w:pPr>
              <w:pStyle w:val="BodyText"/>
              <w:spacing w:line="276" w:lineRule="auto"/>
              <w:rPr>
                <w:sz w:val="24"/>
                <w:lang w:eastAsia="en-US"/>
              </w:rPr>
            </w:pPr>
            <w:r w:rsidRPr="00B303B0">
              <w:rPr>
                <w:noProof/>
                <w:sz w:val="24"/>
              </w:rPr>
              <w:drawing>
                <wp:inline distT="0" distB="0" distL="0" distR="0" wp14:anchorId="3DDD5D60" wp14:editId="3DDD5D61">
                  <wp:extent cx="266700" cy="2984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298450"/>
                          </a:xfrm>
                          <a:prstGeom prst="rect">
                            <a:avLst/>
                          </a:prstGeom>
                          <a:noFill/>
                          <a:ln>
                            <a:noFill/>
                          </a:ln>
                        </pic:spPr>
                      </pic:pic>
                    </a:graphicData>
                  </a:graphic>
                </wp:inline>
              </w:drawing>
            </w:r>
          </w:p>
        </w:tc>
      </w:tr>
      <w:tr w:rsidR="00C4231A" w:rsidRPr="00105972" w14:paraId="3DDD5AD4" w14:textId="77777777" w:rsidTr="00C56CC1">
        <w:trPr>
          <w:cnfStyle w:val="100000000000" w:firstRow="1" w:lastRow="0" w:firstColumn="0" w:lastColumn="0" w:oddVBand="0" w:evenVBand="0" w:oddHBand="0" w:evenHBand="0" w:firstRowFirstColumn="0" w:firstRowLastColumn="0" w:lastRowFirstColumn="0" w:lastRowLastColumn="0"/>
          <w:trHeight w:val="571"/>
        </w:trPr>
        <w:tc>
          <w:tcPr>
            <w:tcW w:w="1145" w:type="dxa"/>
          </w:tcPr>
          <w:p w14:paraId="3DDD5ACD" w14:textId="77777777" w:rsidR="00C4231A" w:rsidRPr="00105972" w:rsidRDefault="00C4231A" w:rsidP="00C4231A">
            <w:pPr>
              <w:pStyle w:val="BodyText"/>
              <w:spacing w:line="276" w:lineRule="auto"/>
              <w:rPr>
                <w:sz w:val="24"/>
                <w:lang w:eastAsia="en-US"/>
              </w:rPr>
            </w:pPr>
            <w:r w:rsidRPr="00B303B0">
              <w:rPr>
                <w:noProof/>
                <w:sz w:val="24"/>
              </w:rPr>
              <w:drawing>
                <wp:inline distT="0" distB="0" distL="0" distR="0" wp14:anchorId="3DDD5D62" wp14:editId="3DDD5D63">
                  <wp:extent cx="241300" cy="101600"/>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300" cy="101600"/>
                          </a:xfrm>
                          <a:prstGeom prst="rect">
                            <a:avLst/>
                          </a:prstGeom>
                          <a:noFill/>
                          <a:ln>
                            <a:noFill/>
                          </a:ln>
                        </pic:spPr>
                      </pic:pic>
                    </a:graphicData>
                  </a:graphic>
                </wp:inline>
              </w:drawing>
            </w:r>
          </w:p>
        </w:tc>
        <w:tc>
          <w:tcPr>
            <w:tcW w:w="1145" w:type="dxa"/>
          </w:tcPr>
          <w:p w14:paraId="3DDD5ACE" w14:textId="77777777" w:rsidR="00C4231A" w:rsidRPr="00105972" w:rsidRDefault="00C4231A" w:rsidP="00C4231A">
            <w:pPr>
              <w:pStyle w:val="BodyText"/>
              <w:spacing w:line="276" w:lineRule="auto"/>
              <w:rPr>
                <w:sz w:val="24"/>
                <w:lang w:eastAsia="en-US"/>
              </w:rPr>
            </w:pPr>
            <w:r w:rsidRPr="00B303B0">
              <w:rPr>
                <w:noProof/>
                <w:sz w:val="24"/>
              </w:rPr>
              <w:drawing>
                <wp:inline distT="0" distB="0" distL="0" distR="0" wp14:anchorId="3DDD5D64" wp14:editId="3DDD5D65">
                  <wp:extent cx="254000" cy="254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c>
          <w:tcPr>
            <w:tcW w:w="1145" w:type="dxa"/>
          </w:tcPr>
          <w:p w14:paraId="3DDD5ACF" w14:textId="77777777" w:rsidR="00C4231A" w:rsidRPr="00105972" w:rsidRDefault="00C4231A" w:rsidP="00C4231A">
            <w:pPr>
              <w:pStyle w:val="BodyText"/>
              <w:spacing w:line="276" w:lineRule="auto"/>
              <w:rPr>
                <w:sz w:val="24"/>
                <w:lang w:eastAsia="en-US"/>
              </w:rPr>
            </w:pPr>
            <w:r w:rsidRPr="00B303B0">
              <w:rPr>
                <w:noProof/>
                <w:sz w:val="24"/>
              </w:rPr>
              <w:drawing>
                <wp:inline distT="0" distB="0" distL="0" distR="0" wp14:anchorId="3DDD5D66" wp14:editId="3DDD5D67">
                  <wp:extent cx="241300" cy="101600"/>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300" cy="101600"/>
                          </a:xfrm>
                          <a:prstGeom prst="rect">
                            <a:avLst/>
                          </a:prstGeom>
                          <a:noFill/>
                          <a:ln>
                            <a:noFill/>
                          </a:ln>
                        </pic:spPr>
                      </pic:pic>
                    </a:graphicData>
                  </a:graphic>
                </wp:inline>
              </w:drawing>
            </w:r>
          </w:p>
        </w:tc>
        <w:tc>
          <w:tcPr>
            <w:tcW w:w="1146" w:type="dxa"/>
          </w:tcPr>
          <w:p w14:paraId="3DDD5AD0" w14:textId="77777777" w:rsidR="00C4231A" w:rsidRPr="00105972" w:rsidRDefault="00C4231A" w:rsidP="00C4231A">
            <w:pPr>
              <w:pStyle w:val="BodyText"/>
              <w:spacing w:line="276" w:lineRule="auto"/>
              <w:rPr>
                <w:sz w:val="24"/>
                <w:lang w:eastAsia="en-US"/>
              </w:rPr>
            </w:pPr>
            <w:r w:rsidRPr="00B303B0">
              <w:rPr>
                <w:noProof/>
                <w:sz w:val="24"/>
              </w:rPr>
              <w:drawing>
                <wp:inline distT="0" distB="0" distL="0" distR="0" wp14:anchorId="3DDD5D68" wp14:editId="3DDD5D69">
                  <wp:extent cx="254000" cy="254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c>
          <w:tcPr>
            <w:tcW w:w="1145" w:type="dxa"/>
          </w:tcPr>
          <w:p w14:paraId="3DDD5AD1" w14:textId="77777777" w:rsidR="00C4231A" w:rsidRPr="00105972" w:rsidRDefault="00C4231A" w:rsidP="00C4231A">
            <w:pPr>
              <w:pStyle w:val="BodyText"/>
              <w:spacing w:line="276" w:lineRule="auto"/>
              <w:rPr>
                <w:sz w:val="24"/>
                <w:lang w:eastAsia="en-US"/>
              </w:rPr>
            </w:pPr>
            <w:r w:rsidRPr="00B303B0">
              <w:rPr>
                <w:noProof/>
                <w:sz w:val="24"/>
              </w:rPr>
              <w:drawing>
                <wp:inline distT="0" distB="0" distL="0" distR="0" wp14:anchorId="3DDD5D6A" wp14:editId="3DDD5D6B">
                  <wp:extent cx="254000" cy="254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c>
          <w:tcPr>
            <w:tcW w:w="1145" w:type="dxa"/>
          </w:tcPr>
          <w:p w14:paraId="3DDD5AD2" w14:textId="77777777" w:rsidR="00C4231A" w:rsidRPr="00105972" w:rsidRDefault="00C4231A" w:rsidP="00C4231A">
            <w:pPr>
              <w:pStyle w:val="BodyText"/>
              <w:spacing w:line="276" w:lineRule="auto"/>
              <w:rPr>
                <w:sz w:val="24"/>
                <w:lang w:eastAsia="en-US"/>
              </w:rPr>
            </w:pPr>
            <w:r w:rsidRPr="00B303B0">
              <w:rPr>
                <w:noProof/>
                <w:sz w:val="24"/>
              </w:rPr>
              <w:drawing>
                <wp:inline distT="0" distB="0" distL="0" distR="0" wp14:anchorId="3DDD5D6C" wp14:editId="3DDD5D6D">
                  <wp:extent cx="241300" cy="10160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300" cy="101600"/>
                          </a:xfrm>
                          <a:prstGeom prst="rect">
                            <a:avLst/>
                          </a:prstGeom>
                          <a:noFill/>
                          <a:ln>
                            <a:noFill/>
                          </a:ln>
                        </pic:spPr>
                      </pic:pic>
                    </a:graphicData>
                  </a:graphic>
                </wp:inline>
              </w:drawing>
            </w:r>
          </w:p>
        </w:tc>
        <w:tc>
          <w:tcPr>
            <w:tcW w:w="1146" w:type="dxa"/>
          </w:tcPr>
          <w:p w14:paraId="3DDD5AD3" w14:textId="77777777" w:rsidR="00C4231A" w:rsidRPr="00105972" w:rsidRDefault="00C4231A" w:rsidP="00C4231A">
            <w:pPr>
              <w:pStyle w:val="BodyText"/>
              <w:spacing w:line="276" w:lineRule="auto"/>
              <w:rPr>
                <w:sz w:val="24"/>
                <w:lang w:eastAsia="en-US"/>
              </w:rPr>
            </w:pPr>
            <w:r w:rsidRPr="00B303B0">
              <w:rPr>
                <w:noProof/>
                <w:sz w:val="24"/>
              </w:rPr>
              <w:drawing>
                <wp:inline distT="0" distB="0" distL="0" distR="0" wp14:anchorId="3DDD5D6E" wp14:editId="3DDD5D6F">
                  <wp:extent cx="254000" cy="2540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p>
        </w:tc>
      </w:tr>
    </w:tbl>
    <w:p w14:paraId="3DDD5AD5" w14:textId="77777777" w:rsidR="00C56CC1" w:rsidRDefault="00C4231A" w:rsidP="00C56CC1">
      <w:pPr>
        <w:pStyle w:val="Note"/>
      </w:pPr>
      <w:r w:rsidRPr="000C0C8D">
        <w:t xml:space="preserve">Source: </w:t>
      </w:r>
      <w:r w:rsidRPr="00A861CC">
        <w:rPr>
          <w:i/>
        </w:rPr>
        <w:t>2012 Pacific Regional MDG</w:t>
      </w:r>
      <w:r w:rsidR="00A66B4B">
        <w:rPr>
          <w:i/>
        </w:rPr>
        <w:t>s</w:t>
      </w:r>
      <w:r w:rsidRPr="00A861CC">
        <w:rPr>
          <w:i/>
        </w:rPr>
        <w:t xml:space="preserve"> Tracking Report</w:t>
      </w:r>
      <w:r w:rsidRPr="000C0C8D">
        <w:t>, Pacific Islands Forum Secretariat</w:t>
      </w:r>
    </w:p>
    <w:p w14:paraId="3DDD5AD6" w14:textId="77777777" w:rsidR="00C56CC1" w:rsidRPr="00C56CC1" w:rsidRDefault="00C56CC1" w:rsidP="00C56CC1">
      <w:pPr>
        <w:rPr>
          <w:lang w:eastAsia="en-US"/>
        </w:rPr>
      </w:pPr>
    </w:p>
    <w:p w14:paraId="3DDD5AD7" w14:textId="77777777" w:rsidR="00D7203F" w:rsidRPr="00C56CC1" w:rsidRDefault="00C4231A" w:rsidP="00C56CC1">
      <w:pPr>
        <w:pStyle w:val="BodyText"/>
      </w:pPr>
      <w:r w:rsidRPr="00C56CC1">
        <w:t>On the elimination of extreme poverty and hunger (MDG</w:t>
      </w:r>
      <w:r w:rsidR="0085719D" w:rsidRPr="00C56CC1">
        <w:t xml:space="preserve"> </w:t>
      </w:r>
      <w:r w:rsidRPr="00C56CC1">
        <w:t>1)</w:t>
      </w:r>
      <w:r w:rsidR="00D7203F" w:rsidRPr="00C56CC1">
        <w:t>,</w:t>
      </w:r>
      <w:r w:rsidRPr="00C56CC1">
        <w:t xml:space="preserve"> the </w:t>
      </w:r>
      <w:r w:rsidR="005B4EC1" w:rsidRPr="00C56CC1">
        <w:t xml:space="preserve">tracking </w:t>
      </w:r>
      <w:r w:rsidRPr="00C56CC1">
        <w:t xml:space="preserve">report recognises that the depth of poverty has fallen. Extreme poverty is low at 7.5 per cent, while around one-third of the population </w:t>
      </w:r>
      <w:r w:rsidR="0085719D" w:rsidRPr="00C56CC1">
        <w:t xml:space="preserve">in Fiji </w:t>
      </w:r>
      <w:r w:rsidRPr="00C56CC1">
        <w:t>faces basic needs poverty.</w:t>
      </w:r>
      <w:r w:rsidR="00E927F1" w:rsidRPr="00C56CC1">
        <w:t xml:space="preserve"> </w:t>
      </w:r>
      <w:r w:rsidRPr="00C56CC1">
        <w:t xml:space="preserve">Poverty and hardship is markedly higher in rural areas compared to urban centres. </w:t>
      </w:r>
    </w:p>
    <w:p w14:paraId="3DDD5AD8" w14:textId="77777777" w:rsidR="00C4231A" w:rsidRPr="00C56CC1" w:rsidRDefault="00C4231A" w:rsidP="00C56CC1">
      <w:pPr>
        <w:pStyle w:val="BodyText"/>
      </w:pPr>
      <w:r w:rsidRPr="00C56CC1">
        <w:t xml:space="preserve">Fiji’s poverty gap is also the highest in the Pacific. The poverty gap ratio measures the depth of poverty or the percentage by which </w:t>
      </w:r>
      <w:r w:rsidR="00D7203F" w:rsidRPr="00C56CC1">
        <w:t xml:space="preserve">the </w:t>
      </w:r>
      <w:r w:rsidRPr="00C56CC1">
        <w:t xml:space="preserve">real incomes </w:t>
      </w:r>
      <w:r w:rsidR="00D7203F" w:rsidRPr="00C56CC1">
        <w:t xml:space="preserve">of poor households </w:t>
      </w:r>
      <w:r w:rsidRPr="00C56CC1">
        <w:t>must increase to escape poverty and hardship. Fiji recorded a poverty gap ratio of 10 per cent in 2008</w:t>
      </w:r>
      <w:r w:rsidR="00D7203F" w:rsidRPr="00C56CC1">
        <w:t>–</w:t>
      </w:r>
      <w:r w:rsidRPr="00C56CC1">
        <w:t>09</w:t>
      </w:r>
      <w:r w:rsidR="0085719D" w:rsidRPr="00C56CC1">
        <w:t>.</w:t>
      </w:r>
      <w:r w:rsidRPr="00C56CC1">
        <w:rPr>
          <w:rStyle w:val="FootnoteReference"/>
          <w:szCs w:val="24"/>
        </w:rPr>
        <w:footnoteReference w:id="17"/>
      </w:r>
      <w:r w:rsidR="00C15FCA" w:rsidRPr="00C56CC1">
        <w:rPr>
          <w:vertAlign w:val="superscript"/>
        </w:rPr>
        <w:t xml:space="preserve">, </w:t>
      </w:r>
      <w:r w:rsidR="00C15FCA" w:rsidRPr="00C56CC1">
        <w:rPr>
          <w:rStyle w:val="FootnoteReference"/>
          <w:szCs w:val="24"/>
        </w:rPr>
        <w:footnoteReference w:id="18"/>
      </w:r>
      <w:r w:rsidR="00A9620A" w:rsidRPr="00C56CC1">
        <w:t xml:space="preserve"> </w:t>
      </w:r>
      <w:r w:rsidR="00A9620A" w:rsidRPr="00C56CC1">
        <w:lastRenderedPageBreak/>
        <w:t>A lack of recent</w:t>
      </w:r>
      <w:r w:rsidR="00712A45" w:rsidRPr="00C56CC1">
        <w:t xml:space="preserve"> data</w:t>
      </w:r>
      <w:r w:rsidR="00A9620A" w:rsidRPr="00C56CC1">
        <w:t xml:space="preserve"> (post 2007</w:t>
      </w:r>
      <w:r w:rsidR="005B4EC1" w:rsidRPr="00C56CC1">
        <w:t>–</w:t>
      </w:r>
      <w:r w:rsidR="00A9620A" w:rsidRPr="00C56CC1">
        <w:t xml:space="preserve">08 </w:t>
      </w:r>
      <w:r w:rsidR="005B4EC1" w:rsidRPr="00C56CC1">
        <w:rPr>
          <w:rFonts w:eastAsiaTheme="minorHAnsi"/>
        </w:rPr>
        <w:t>Household Income and Expenditure Survey</w:t>
      </w:r>
      <w:r w:rsidR="00A9620A" w:rsidRPr="00C56CC1">
        <w:t>)</w:t>
      </w:r>
      <w:r w:rsidR="00712A45" w:rsidRPr="00C56CC1">
        <w:t xml:space="preserve"> </w:t>
      </w:r>
      <w:r w:rsidR="00A9620A" w:rsidRPr="00C56CC1">
        <w:t xml:space="preserve">makes it </w:t>
      </w:r>
      <w:r w:rsidR="00712A45" w:rsidRPr="00C56CC1">
        <w:t xml:space="preserve">difficult to estimate the state </w:t>
      </w:r>
      <w:r w:rsidR="006734C8" w:rsidRPr="00C56CC1">
        <w:t>of poverty</w:t>
      </w:r>
      <w:r w:rsidR="00712A45" w:rsidRPr="00C56CC1">
        <w:t>.</w:t>
      </w:r>
    </w:p>
    <w:p w14:paraId="3DDD5AD9" w14:textId="77777777" w:rsidR="004E03E8" w:rsidRPr="00C56CC1" w:rsidRDefault="00C4231A" w:rsidP="00C56CC1">
      <w:pPr>
        <w:pStyle w:val="BodyText"/>
      </w:pPr>
      <w:r w:rsidRPr="00C56CC1">
        <w:t>On gender equality (MDG</w:t>
      </w:r>
      <w:r w:rsidR="0085719D" w:rsidRPr="00C56CC1">
        <w:t xml:space="preserve"> </w:t>
      </w:r>
      <w:r w:rsidRPr="00C56CC1">
        <w:t xml:space="preserve">3), the </w:t>
      </w:r>
      <w:r w:rsidR="005B4EC1" w:rsidRPr="00C56CC1">
        <w:t xml:space="preserve">tracking </w:t>
      </w:r>
      <w:r w:rsidRPr="00C56CC1">
        <w:t>report found gender parity achieved</w:t>
      </w:r>
      <w:r w:rsidR="0003122C" w:rsidRPr="00C56CC1">
        <w:t xml:space="preserve"> in education</w:t>
      </w:r>
      <w:r w:rsidR="00A861CC" w:rsidRPr="00C56CC1">
        <w:t xml:space="preserve"> but noted</w:t>
      </w:r>
      <w:r w:rsidR="005B4EC1" w:rsidRPr="00C56CC1">
        <w:t xml:space="preserve"> </w:t>
      </w:r>
      <w:r w:rsidRPr="00C56CC1">
        <w:t>historically low levels of female representation in parliament</w:t>
      </w:r>
      <w:r w:rsidR="005B4EC1" w:rsidRPr="00C56CC1">
        <w:t>.</w:t>
      </w:r>
      <w:r w:rsidRPr="00C56CC1">
        <w:rPr>
          <w:vertAlign w:val="superscript"/>
        </w:rPr>
        <w:footnoteReference w:id="19"/>
      </w:r>
      <w:r w:rsidR="00E927F1" w:rsidRPr="00C56CC1">
        <w:t xml:space="preserve"> </w:t>
      </w:r>
      <w:r w:rsidR="005B4EC1" w:rsidRPr="00C56CC1">
        <w:t>Before the Fiji P</w:t>
      </w:r>
      <w:r w:rsidR="00327C7B" w:rsidRPr="00C56CC1">
        <w:t xml:space="preserve">arliament </w:t>
      </w:r>
      <w:r w:rsidR="005B4EC1" w:rsidRPr="00C56CC1">
        <w:t xml:space="preserve">was dissolved </w:t>
      </w:r>
      <w:r w:rsidR="00327C7B" w:rsidRPr="00C56CC1">
        <w:t xml:space="preserve">in 2007, women held 8.5 per cent of seats, lower than in 2000. </w:t>
      </w:r>
    </w:p>
    <w:p w14:paraId="3DDD5ADA" w14:textId="77777777" w:rsidR="00DD27B3" w:rsidRPr="00C56CC1" w:rsidRDefault="00DD27B3" w:rsidP="00C56CC1">
      <w:pPr>
        <w:pStyle w:val="BodyText"/>
      </w:pPr>
      <w:r w:rsidRPr="00C56CC1">
        <w:t>L</w:t>
      </w:r>
      <w:r w:rsidR="00C4231A" w:rsidRPr="00C56CC1">
        <w:t xml:space="preserve">evels of domestic and gender-based violence in Fiji remain serious. </w:t>
      </w:r>
      <w:r w:rsidRPr="00C56CC1">
        <w:t>Sixty</w:t>
      </w:r>
      <w:r w:rsidR="00740567" w:rsidRPr="00C56CC1">
        <w:t>-</w:t>
      </w:r>
      <w:r w:rsidRPr="00C56CC1">
        <w:t xml:space="preserve"> four per cent of women who have been in a relationship have experienced physical or sexual violence or both by a hus</w:t>
      </w:r>
      <w:r w:rsidR="00E615A4" w:rsidRPr="00C56CC1">
        <w:t>band or intimate partner. Fifty-</w:t>
      </w:r>
      <w:r w:rsidRPr="00C56CC1">
        <w:t>eight per cent have been emotionally abused by their husband or intimate partner.</w:t>
      </w:r>
      <w:r w:rsidRPr="00C56CC1">
        <w:rPr>
          <w:vertAlign w:val="superscript"/>
        </w:rPr>
        <w:footnoteReference w:id="20"/>
      </w:r>
    </w:p>
    <w:p w14:paraId="3DDD5ADB" w14:textId="5835A4DA" w:rsidR="00DD27B3" w:rsidRPr="00C56CC1" w:rsidRDefault="00DD27B3" w:rsidP="00C56CC1">
      <w:pPr>
        <w:pStyle w:val="BodyText"/>
      </w:pPr>
      <w:r w:rsidRPr="00C56CC1">
        <w:t xml:space="preserve">Women’s participation in the formal economy is low. Despite females attaining a better education than males, </w:t>
      </w:r>
      <w:r w:rsidR="00346430" w:rsidRPr="00C56CC1">
        <w:t xml:space="preserve">in 2005 (latest available data) </w:t>
      </w:r>
      <w:r w:rsidRPr="00C56CC1">
        <w:t>women only represent</w:t>
      </w:r>
      <w:r w:rsidR="00346430" w:rsidRPr="00C56CC1">
        <w:t>ed</w:t>
      </w:r>
      <w:r w:rsidRPr="00C56CC1">
        <w:t xml:space="preserve"> 30 per cent of employees in the formal economy.</w:t>
      </w:r>
      <w:r w:rsidRPr="00C56CC1">
        <w:rPr>
          <w:vertAlign w:val="superscript"/>
        </w:rPr>
        <w:footnoteReference w:id="21"/>
      </w:r>
      <w:r w:rsidRPr="00C56CC1">
        <w:t xml:space="preserve"> </w:t>
      </w:r>
      <w:r w:rsidR="005B4EC1" w:rsidRPr="00C56CC1">
        <w:t>While t</w:t>
      </w:r>
      <w:r w:rsidRPr="00C56CC1">
        <w:t>he income gap between males and females decreased over t</w:t>
      </w:r>
      <w:r w:rsidR="00A9620A" w:rsidRPr="00C56CC1">
        <w:t xml:space="preserve">he last decade, women </w:t>
      </w:r>
      <w:r w:rsidR="00E615A4" w:rsidRPr="00C56CC1">
        <w:t>earn</w:t>
      </w:r>
      <w:r w:rsidR="005B4EC1" w:rsidRPr="00C56CC1">
        <w:t>ed</w:t>
      </w:r>
      <w:r w:rsidR="00E615A4" w:rsidRPr="00C56CC1">
        <w:t xml:space="preserve"> on average</w:t>
      </w:r>
      <w:r w:rsidRPr="00C56CC1">
        <w:t xml:space="preserve"> 19 per cent less than men. Women ma</w:t>
      </w:r>
      <w:r w:rsidR="0085719D" w:rsidRPr="00C56CC1">
        <w:t>d</w:t>
      </w:r>
      <w:r w:rsidRPr="00C56CC1">
        <w:t xml:space="preserve">e up 46 per cent of the public </w:t>
      </w:r>
      <w:r w:rsidR="0085719D" w:rsidRPr="00C56CC1">
        <w:t xml:space="preserve">in the same period, </w:t>
      </w:r>
      <w:r w:rsidRPr="00C56CC1">
        <w:t xml:space="preserve">although only 14 per cent </w:t>
      </w:r>
      <w:r w:rsidR="0085719D" w:rsidRPr="00C56CC1">
        <w:t xml:space="preserve">were </w:t>
      </w:r>
      <w:r w:rsidRPr="00C56CC1">
        <w:t xml:space="preserve">at senior executive </w:t>
      </w:r>
      <w:r w:rsidR="00A9620A" w:rsidRPr="00C56CC1">
        <w:t>level</w:t>
      </w:r>
      <w:r w:rsidR="004E03E8" w:rsidRPr="00C56CC1">
        <w:t>.</w:t>
      </w:r>
      <w:r w:rsidRPr="00C56CC1">
        <w:rPr>
          <w:vertAlign w:val="superscript"/>
        </w:rPr>
        <w:footnoteReference w:id="22"/>
      </w:r>
      <w:r w:rsidRPr="00C56CC1">
        <w:t xml:space="preserve"> </w:t>
      </w:r>
    </w:p>
    <w:p w14:paraId="3DDD5ADC" w14:textId="77777777" w:rsidR="00C4231A" w:rsidRPr="00C56CC1" w:rsidRDefault="00C4231A" w:rsidP="00C56CC1">
      <w:pPr>
        <w:pStyle w:val="BodyText"/>
      </w:pPr>
      <w:r w:rsidRPr="00C56CC1">
        <w:t xml:space="preserve">Reportedly Fiji is on track to achieve </w:t>
      </w:r>
      <w:r w:rsidR="005B4EC1" w:rsidRPr="00C56CC1">
        <w:t>u</w:t>
      </w:r>
      <w:r w:rsidRPr="00C56CC1">
        <w:t xml:space="preserve">niversal </w:t>
      </w:r>
      <w:r w:rsidR="005B4EC1" w:rsidRPr="00C56CC1">
        <w:t>p</w:t>
      </w:r>
      <w:r w:rsidRPr="00C56CC1">
        <w:t xml:space="preserve">rimary </w:t>
      </w:r>
      <w:r w:rsidR="005B4EC1" w:rsidRPr="00C56CC1">
        <w:t>e</w:t>
      </w:r>
      <w:r w:rsidRPr="00C56CC1">
        <w:t xml:space="preserve">ducation (MDG 2), </w:t>
      </w:r>
      <w:r w:rsidR="005B4EC1" w:rsidRPr="00C56CC1">
        <w:t>r</w:t>
      </w:r>
      <w:r w:rsidRPr="00C56CC1">
        <w:t xml:space="preserve">educe </w:t>
      </w:r>
      <w:r w:rsidR="005B4EC1" w:rsidRPr="00C56CC1">
        <w:t>c</w:t>
      </w:r>
      <w:r w:rsidRPr="00C56CC1">
        <w:t xml:space="preserve">hildhood </w:t>
      </w:r>
      <w:r w:rsidR="005B4EC1" w:rsidRPr="00C56CC1">
        <w:t>m</w:t>
      </w:r>
      <w:r w:rsidRPr="00C56CC1">
        <w:t xml:space="preserve">ortality (MDG 4), </w:t>
      </w:r>
      <w:r w:rsidR="005B4EC1" w:rsidRPr="00C56CC1">
        <w:t>i</w:t>
      </w:r>
      <w:r w:rsidRPr="00C56CC1">
        <w:t xml:space="preserve">mprove </w:t>
      </w:r>
      <w:r w:rsidR="005B4EC1" w:rsidRPr="00C56CC1">
        <w:t>m</w:t>
      </w:r>
      <w:r w:rsidRPr="00C56CC1">
        <w:t xml:space="preserve">aternal </w:t>
      </w:r>
      <w:r w:rsidR="005B4EC1" w:rsidRPr="00C56CC1">
        <w:t>h</w:t>
      </w:r>
      <w:r w:rsidRPr="00C56CC1">
        <w:t xml:space="preserve">ealth (MDG 5) and </w:t>
      </w:r>
      <w:r w:rsidR="005B4EC1" w:rsidRPr="00C56CC1">
        <w:t>e</w:t>
      </w:r>
      <w:r w:rsidRPr="00C56CC1">
        <w:t xml:space="preserve">nsure </w:t>
      </w:r>
      <w:r w:rsidR="005B4EC1" w:rsidRPr="00C56CC1">
        <w:t>e</w:t>
      </w:r>
      <w:r w:rsidRPr="00C56CC1">
        <w:t xml:space="preserve">nvironmental </w:t>
      </w:r>
      <w:r w:rsidR="005B4EC1" w:rsidRPr="00C56CC1">
        <w:t xml:space="preserve">sustainability </w:t>
      </w:r>
      <w:r w:rsidRPr="00C56CC1">
        <w:t>(</w:t>
      </w:r>
      <w:r w:rsidR="00E615A4" w:rsidRPr="00C56CC1">
        <w:t xml:space="preserve">MDG </w:t>
      </w:r>
      <w:r w:rsidRPr="00C56CC1">
        <w:t>7). The pace of progress towards MDG</w:t>
      </w:r>
      <w:r w:rsidR="00BD3620" w:rsidRPr="00C56CC1">
        <w:t>s</w:t>
      </w:r>
      <w:r w:rsidRPr="00C56CC1">
        <w:t xml:space="preserve"> 4 and 5 will need to increase if Fiji is to reach its targets by 2015. </w:t>
      </w:r>
      <w:r w:rsidR="0003122C" w:rsidRPr="00C56CC1">
        <w:t xml:space="preserve">Fiji’s maternal mortality ratio has stagnated in recent years and was 39.2 </w:t>
      </w:r>
      <w:r w:rsidR="00E615A4" w:rsidRPr="00C56CC1">
        <w:t>per 100</w:t>
      </w:r>
      <w:r w:rsidR="00786A00" w:rsidRPr="00C56CC1">
        <w:t xml:space="preserve"> </w:t>
      </w:r>
      <w:r w:rsidR="00E615A4" w:rsidRPr="00C56CC1">
        <w:t xml:space="preserve">000 </w:t>
      </w:r>
      <w:r w:rsidR="0003122C" w:rsidRPr="00C56CC1">
        <w:t>in 2011</w:t>
      </w:r>
      <w:r w:rsidR="00786A00" w:rsidRPr="00C56CC1">
        <w:t>—</w:t>
      </w:r>
      <w:r w:rsidR="0003122C" w:rsidRPr="00C56CC1">
        <w:t xml:space="preserve">well above the target of 10.3 </w:t>
      </w:r>
      <w:r w:rsidR="00E615A4" w:rsidRPr="00C56CC1">
        <w:t>per 100</w:t>
      </w:r>
      <w:r w:rsidR="00786A00" w:rsidRPr="00C56CC1">
        <w:t xml:space="preserve"> </w:t>
      </w:r>
      <w:r w:rsidR="00E615A4" w:rsidRPr="00C56CC1">
        <w:t xml:space="preserve">000 </w:t>
      </w:r>
      <w:r w:rsidR="0003122C" w:rsidRPr="00C56CC1">
        <w:t>by 2015. The infant mortality rate has shown little improvement since 2007 and was 15.96 per 1000 live births in 2011, well short of the MDG target of 12</w:t>
      </w:r>
      <w:r w:rsidR="00786A00" w:rsidRPr="00C56CC1">
        <w:t xml:space="preserve"> per 1000 live births</w:t>
      </w:r>
      <w:r w:rsidR="0003122C" w:rsidRPr="00C56CC1">
        <w:t xml:space="preserve"> by 2015. Immunisation coverage also f</w:t>
      </w:r>
      <w:r w:rsidR="00786A00" w:rsidRPr="00C56CC1">
        <w:t>ell during the reporting year</w:t>
      </w:r>
      <w:r w:rsidR="00AD2C60" w:rsidRPr="00C56CC1">
        <w:t xml:space="preserve">. </w:t>
      </w:r>
      <w:r w:rsidR="00C21C20" w:rsidRPr="00C56CC1">
        <w:t>Whil</w:t>
      </w:r>
      <w:r w:rsidR="00786A00" w:rsidRPr="00C56CC1">
        <w:t>e</w:t>
      </w:r>
      <w:r w:rsidR="00C21C20" w:rsidRPr="00C56CC1">
        <w:t xml:space="preserve"> Fiji achieved universal enrolment in basic education</w:t>
      </w:r>
      <w:r w:rsidR="00786A00" w:rsidRPr="00C56CC1">
        <w:t xml:space="preserve"> against MDG 2</w:t>
      </w:r>
      <w:r w:rsidR="00C21C20" w:rsidRPr="00C56CC1">
        <w:t>, there is evidence of poor attendance and completion rates.</w:t>
      </w:r>
    </w:p>
    <w:p w14:paraId="3DDD5ADD" w14:textId="77777777" w:rsidR="00C4231A" w:rsidRPr="00F7055F" w:rsidRDefault="00C4231A" w:rsidP="00C56CC1">
      <w:pPr>
        <w:pStyle w:val="Heading3"/>
      </w:pPr>
      <w:r w:rsidRPr="00F7055F">
        <w:t xml:space="preserve">Donor </w:t>
      </w:r>
      <w:r w:rsidR="00786A00">
        <w:t>l</w:t>
      </w:r>
      <w:r w:rsidRPr="00F7055F">
        <w:t>andscape</w:t>
      </w:r>
    </w:p>
    <w:p w14:paraId="3DDD5ADE" w14:textId="77777777" w:rsidR="00C4231A" w:rsidRPr="00C56CC1" w:rsidRDefault="00C4231A" w:rsidP="00C56CC1">
      <w:pPr>
        <w:pStyle w:val="BodyText"/>
        <w:rPr>
          <w:rFonts w:eastAsiaTheme="minorHAnsi"/>
        </w:rPr>
      </w:pPr>
      <w:r w:rsidRPr="00C56CC1">
        <w:t>In 2012, Australia was Fiji’s largest bilateral donor</w:t>
      </w:r>
      <w:r w:rsidR="0085719D" w:rsidRPr="00C56CC1">
        <w:t>,</w:t>
      </w:r>
      <w:r w:rsidRPr="00C56CC1">
        <w:t xml:space="preserve"> accounting for an estimated </w:t>
      </w:r>
      <w:r w:rsidR="00E65EDD" w:rsidRPr="00C56CC1">
        <w:br/>
      </w:r>
      <w:r w:rsidRPr="00C56CC1">
        <w:t xml:space="preserve">47 per cent of total </w:t>
      </w:r>
      <w:r w:rsidR="00786A00" w:rsidRPr="00C56CC1">
        <w:t>o</w:t>
      </w:r>
      <w:r w:rsidRPr="00C56CC1">
        <w:t xml:space="preserve">fficial </w:t>
      </w:r>
      <w:r w:rsidR="00786A00" w:rsidRPr="00C56CC1">
        <w:t>d</w:t>
      </w:r>
      <w:r w:rsidRPr="00C56CC1">
        <w:t xml:space="preserve">evelopment </w:t>
      </w:r>
      <w:r w:rsidR="00786A00" w:rsidRPr="00C56CC1">
        <w:t>a</w:t>
      </w:r>
      <w:r w:rsidRPr="00C56CC1">
        <w:t>ssistance</w:t>
      </w:r>
      <w:r w:rsidR="00786A00" w:rsidRPr="00C56CC1">
        <w:t>,</w:t>
      </w:r>
      <w:r w:rsidRPr="00C56CC1">
        <w:t xml:space="preserve"> followed by Japan with </w:t>
      </w:r>
      <w:r w:rsidR="00E65EDD" w:rsidRPr="00C56CC1">
        <w:br/>
      </w:r>
      <w:r w:rsidRPr="00C56CC1">
        <w:t>27 per cent and the European Union with 9 per cent.</w:t>
      </w:r>
      <w:r w:rsidRPr="00C56CC1">
        <w:rPr>
          <w:rStyle w:val="FootnoteReference"/>
          <w:szCs w:val="24"/>
        </w:rPr>
        <w:footnoteReference w:id="23"/>
      </w:r>
      <w:r w:rsidRPr="00C56CC1">
        <w:t xml:space="preserve">  Australian assistance equates to around 1 per cent of Fiji’s GDP</w:t>
      </w:r>
      <w:r w:rsidRPr="00C56CC1">
        <w:rPr>
          <w:rFonts w:eastAsiaTheme="minorHAnsi"/>
        </w:rPr>
        <w:t>.</w:t>
      </w:r>
    </w:p>
    <w:p w14:paraId="3DDD5ADF" w14:textId="092F5410" w:rsidR="00C4231A" w:rsidRPr="0051525E" w:rsidRDefault="00C4231A" w:rsidP="00522545">
      <w:pPr>
        <w:pStyle w:val="BodyText"/>
      </w:pPr>
      <w:r>
        <w:t xml:space="preserve">In 2011, </w:t>
      </w:r>
      <w:r w:rsidRPr="00105972">
        <w:t>Australia</w:t>
      </w:r>
      <w:r>
        <w:t xml:space="preserve"> announced its </w:t>
      </w:r>
      <w:r w:rsidRPr="00105972">
        <w:t>decision to double bilateral aid</w:t>
      </w:r>
      <w:r>
        <w:t xml:space="preserve"> to Fiji</w:t>
      </w:r>
      <w:r w:rsidRPr="00105972">
        <w:t xml:space="preserve"> from </w:t>
      </w:r>
      <w:r w:rsidR="00E65EDD">
        <w:br/>
      </w:r>
      <w:r w:rsidRPr="00105972">
        <w:t>$18.6 million to $3</w:t>
      </w:r>
      <w:r>
        <w:t>7</w:t>
      </w:r>
      <w:r w:rsidRPr="00105972">
        <w:t xml:space="preserve"> milli</w:t>
      </w:r>
      <w:r>
        <w:t>on in</w:t>
      </w:r>
      <w:r w:rsidRPr="00105972">
        <w:t xml:space="preserve"> 2013</w:t>
      </w:r>
      <w:r w:rsidR="00786A00">
        <w:t>–</w:t>
      </w:r>
      <w:r w:rsidRPr="00105972">
        <w:t>14</w:t>
      </w:r>
      <w:r>
        <w:t>.</w:t>
      </w:r>
      <w:r w:rsidRPr="00C12904">
        <w:rPr>
          <w:rStyle w:val="FootnoteReference"/>
          <w:szCs w:val="16"/>
        </w:rPr>
        <w:footnoteReference w:id="24"/>
      </w:r>
      <w:r>
        <w:t xml:space="preserve"> As a result</w:t>
      </w:r>
      <w:r w:rsidR="00786A00">
        <w:t>,</w:t>
      </w:r>
      <w:r>
        <w:t xml:space="preserve"> Australia expanded its</w:t>
      </w:r>
      <w:r w:rsidRPr="00105972">
        <w:t xml:space="preserve"> existing programs in health, education and community resilience. In 2012</w:t>
      </w:r>
      <w:r w:rsidR="00786A00">
        <w:t>–</w:t>
      </w:r>
      <w:r w:rsidRPr="00105972">
        <w:t xml:space="preserve">13, </w:t>
      </w:r>
      <w:r w:rsidR="00786A00">
        <w:t xml:space="preserve">Australian </w:t>
      </w:r>
      <w:r w:rsidRPr="00105972">
        <w:t>official development assist</w:t>
      </w:r>
      <w:r>
        <w:t xml:space="preserve">ance to Fiji was $49.2 million, including $27.4 million for </w:t>
      </w:r>
      <w:r w:rsidR="00296F88">
        <w:t xml:space="preserve">the Australian </w:t>
      </w:r>
      <w:r w:rsidR="00A861CC">
        <w:t xml:space="preserve">bilateral </w:t>
      </w:r>
      <w:r w:rsidR="00296F88">
        <w:t xml:space="preserve">aid </w:t>
      </w:r>
      <w:r w:rsidR="00A861CC">
        <w:t>p</w:t>
      </w:r>
      <w:r>
        <w:t xml:space="preserve">rogram and $2.9 million for </w:t>
      </w:r>
      <w:r w:rsidR="00786A00">
        <w:t xml:space="preserve">initiatives by </w:t>
      </w:r>
      <w:r>
        <w:t>other government departments. F</w:t>
      </w:r>
      <w:r w:rsidRPr="00F272AD">
        <w:t xml:space="preserve">ollowing the Australian Government’s announcement on 17 December 2012 to reprioritise resources within </w:t>
      </w:r>
      <w:r w:rsidR="00350736">
        <w:t>its</w:t>
      </w:r>
      <w:r w:rsidR="00350736" w:rsidRPr="00F272AD">
        <w:t xml:space="preserve"> </w:t>
      </w:r>
      <w:r w:rsidRPr="00F272AD">
        <w:t>aid budget</w:t>
      </w:r>
      <w:r>
        <w:t xml:space="preserve">, the </w:t>
      </w:r>
      <w:r w:rsidRPr="00F272AD">
        <w:t xml:space="preserve">2012–13 budget </w:t>
      </w:r>
      <w:r w:rsidR="00603701" w:rsidRPr="00F272AD">
        <w:t>estimates</w:t>
      </w:r>
      <w:r w:rsidRPr="00F272AD">
        <w:t xml:space="preserve"> for the Fiji </w:t>
      </w:r>
      <w:r w:rsidR="00786A00">
        <w:t>p</w:t>
      </w:r>
      <w:r w:rsidRPr="00F272AD">
        <w:t>rogram was reduced by $3.1</w:t>
      </w:r>
      <w:r w:rsidR="00D17E8F">
        <w:t> </w:t>
      </w:r>
      <w:r w:rsidRPr="00F272AD">
        <w:t>million</w:t>
      </w:r>
      <w:r>
        <w:t xml:space="preserve">. This was almost completely accounted for by an additional $3 million provided to support relief and recovery efforts following </w:t>
      </w:r>
      <w:r w:rsidRPr="0051525E">
        <w:t>Tropical Cyclone Evan.</w:t>
      </w:r>
      <w:r w:rsidRPr="0051525E">
        <w:rPr>
          <w:rStyle w:val="FootnoteReference"/>
        </w:rPr>
        <w:footnoteReference w:id="25"/>
      </w:r>
    </w:p>
    <w:p w14:paraId="3DDD5AE0" w14:textId="77777777" w:rsidR="00C4231A" w:rsidRPr="00711F89" w:rsidRDefault="00E615A4" w:rsidP="00522545">
      <w:pPr>
        <w:pStyle w:val="BodyText"/>
      </w:pPr>
      <w:r w:rsidRPr="0051525E">
        <w:t xml:space="preserve">The World Bank </w:t>
      </w:r>
      <w:r w:rsidR="00C4231A" w:rsidRPr="0051525E">
        <w:t>and ADB have</w:t>
      </w:r>
      <w:r w:rsidR="0051525E">
        <w:t xml:space="preserve"> a limited work program </w:t>
      </w:r>
      <w:r w:rsidR="00C4231A" w:rsidRPr="0051525E">
        <w:t xml:space="preserve">in Fiji. </w:t>
      </w:r>
      <w:r w:rsidR="004E03E8" w:rsidRPr="0051525E">
        <w:t>Other than for humanitarian assistance, t</w:t>
      </w:r>
      <w:r w:rsidR="00C4231A" w:rsidRPr="0051525E">
        <w:t xml:space="preserve">here has been no new lending since the </w:t>
      </w:r>
      <w:r w:rsidR="0051525E">
        <w:t>coup</w:t>
      </w:r>
      <w:r w:rsidR="00C4231A" w:rsidRPr="0051525E">
        <w:t xml:space="preserve"> and current activity relates to technical assistance and completing activities ongoing at the time of the coup. Australia has </w:t>
      </w:r>
      <w:r w:rsidR="00C4231A" w:rsidRPr="0051525E">
        <w:lastRenderedPageBreak/>
        <w:t>funded the W</w:t>
      </w:r>
      <w:r w:rsidRPr="0051525E">
        <w:t>orld Bank</w:t>
      </w:r>
      <w:r w:rsidR="00C4231A" w:rsidRPr="0051525E">
        <w:t xml:space="preserve"> and ADB to conduct analysis on </w:t>
      </w:r>
      <w:r w:rsidR="00350736">
        <w:t>s</w:t>
      </w:r>
      <w:r w:rsidR="00C4231A" w:rsidRPr="0051525E">
        <w:t>tate-</w:t>
      </w:r>
      <w:r w:rsidR="00350736">
        <w:t>o</w:t>
      </w:r>
      <w:r w:rsidR="00C4231A" w:rsidRPr="0051525E">
        <w:t xml:space="preserve">wned </w:t>
      </w:r>
      <w:r w:rsidR="00350736">
        <w:t>e</w:t>
      </w:r>
      <w:r w:rsidR="00C4231A" w:rsidRPr="0051525E">
        <w:t>nterprise reform</w:t>
      </w:r>
      <w:r w:rsidRPr="0051525E">
        <w:t>s, social welfare reforms</w:t>
      </w:r>
      <w:r w:rsidR="00C4231A" w:rsidRPr="0051525E">
        <w:t xml:space="preserve"> and poverty.</w:t>
      </w:r>
    </w:p>
    <w:p w14:paraId="3DDD5AE1" w14:textId="7225B580" w:rsidR="00C4231A" w:rsidRPr="00105972" w:rsidRDefault="00C4231A" w:rsidP="00522545">
      <w:pPr>
        <w:pStyle w:val="BodyText"/>
      </w:pPr>
      <w:r w:rsidRPr="00105972">
        <w:t xml:space="preserve">The Fiji </w:t>
      </w:r>
      <w:r w:rsidR="00B14474">
        <w:t>G</w:t>
      </w:r>
      <w:r w:rsidRPr="00105972">
        <w:t>overnment</w:t>
      </w:r>
      <w:r w:rsidR="00946B1E">
        <w:rPr>
          <w:rFonts w:eastAsiaTheme="minorHAnsi"/>
        </w:rPr>
        <w:t xml:space="preserve"> recently signed a </w:t>
      </w:r>
      <w:r w:rsidRPr="00105972">
        <w:rPr>
          <w:rFonts w:eastAsiaTheme="minorHAnsi"/>
        </w:rPr>
        <w:t>De</w:t>
      </w:r>
      <w:r w:rsidR="00946B1E">
        <w:rPr>
          <w:rFonts w:eastAsiaTheme="minorHAnsi"/>
        </w:rPr>
        <w:t>velopment Cooperation Agreement</w:t>
      </w:r>
      <w:r w:rsidRPr="00105972">
        <w:rPr>
          <w:rFonts w:eastAsiaTheme="minorHAnsi"/>
        </w:rPr>
        <w:t xml:space="preserve"> with Indonesia and is </w:t>
      </w:r>
      <w:r>
        <w:rPr>
          <w:rFonts w:eastAsiaTheme="minorHAnsi"/>
        </w:rPr>
        <w:t xml:space="preserve">negotiating </w:t>
      </w:r>
      <w:r w:rsidR="00946B1E">
        <w:rPr>
          <w:rFonts w:eastAsiaTheme="minorHAnsi"/>
        </w:rPr>
        <w:t xml:space="preserve">several </w:t>
      </w:r>
      <w:r>
        <w:rPr>
          <w:rFonts w:eastAsiaTheme="minorHAnsi"/>
        </w:rPr>
        <w:t>others</w:t>
      </w:r>
      <w:r w:rsidR="0085719D">
        <w:rPr>
          <w:rFonts w:eastAsiaTheme="minorHAnsi"/>
        </w:rPr>
        <w:t xml:space="preserve"> with other countries</w:t>
      </w:r>
      <w:r w:rsidRPr="00105972">
        <w:rPr>
          <w:rFonts w:eastAsiaTheme="minorHAnsi"/>
        </w:rPr>
        <w:t xml:space="preserve">. Chinese </w:t>
      </w:r>
      <w:r w:rsidR="00786A00">
        <w:rPr>
          <w:rFonts w:eastAsiaTheme="minorHAnsi"/>
        </w:rPr>
        <w:t>official development assistance</w:t>
      </w:r>
      <w:r w:rsidRPr="00105972">
        <w:rPr>
          <w:rFonts w:eastAsiaTheme="minorHAnsi"/>
        </w:rPr>
        <w:t xml:space="preserve"> to Fiji has </w:t>
      </w:r>
      <w:r>
        <w:rPr>
          <w:rFonts w:eastAsiaTheme="minorHAnsi"/>
        </w:rPr>
        <w:t xml:space="preserve">increased </w:t>
      </w:r>
      <w:r w:rsidRPr="00B303B0">
        <w:rPr>
          <w:rFonts w:eastAsiaTheme="minorHAnsi"/>
          <w:color w:val="000000" w:themeColor="text1"/>
        </w:rPr>
        <w:t xml:space="preserve">and </w:t>
      </w:r>
      <w:r w:rsidR="00595482" w:rsidRPr="00B303B0">
        <w:rPr>
          <w:rFonts w:eastAsiaTheme="minorHAnsi"/>
          <w:color w:val="000000" w:themeColor="text1"/>
        </w:rPr>
        <w:t xml:space="preserve">its tied </w:t>
      </w:r>
      <w:r>
        <w:rPr>
          <w:rFonts w:eastAsiaTheme="minorHAnsi"/>
        </w:rPr>
        <w:t>a</w:t>
      </w:r>
      <w:r w:rsidRPr="00105972">
        <w:rPr>
          <w:rFonts w:eastAsiaTheme="minorHAnsi"/>
        </w:rPr>
        <w:t>ssistance is largely directed towards infrastructure projects</w:t>
      </w:r>
      <w:r w:rsidRPr="002F08FB">
        <w:rPr>
          <w:rFonts w:eastAsiaTheme="minorHAnsi"/>
          <w:sz w:val="16"/>
          <w:szCs w:val="16"/>
        </w:rPr>
        <w:t>.</w:t>
      </w:r>
      <w:r w:rsidRPr="002F08FB">
        <w:rPr>
          <w:rStyle w:val="FootnoteReference"/>
          <w:rFonts w:eastAsiaTheme="minorHAnsi"/>
          <w:szCs w:val="16"/>
        </w:rPr>
        <w:footnoteReference w:id="26"/>
      </w:r>
      <w:r w:rsidRPr="002F08FB">
        <w:rPr>
          <w:sz w:val="16"/>
          <w:szCs w:val="16"/>
        </w:rPr>
        <w:t xml:space="preserve"> </w:t>
      </w:r>
      <w:r w:rsidRPr="00105972">
        <w:t>Taiwan is</w:t>
      </w:r>
      <w:r>
        <w:t xml:space="preserve"> also increasing its profile in</w:t>
      </w:r>
      <w:r w:rsidRPr="00105972">
        <w:t xml:space="preserve"> Fij</w:t>
      </w:r>
      <w:r>
        <w:t>i</w:t>
      </w:r>
      <w:r w:rsidR="00350736">
        <w:t>,</w:t>
      </w:r>
      <w:r>
        <w:t xml:space="preserve"> including </w:t>
      </w:r>
      <w:r w:rsidRPr="00105972">
        <w:t>support for agricultura</w:t>
      </w:r>
      <w:r>
        <w:t>l export programs and</w:t>
      </w:r>
      <w:r w:rsidRPr="00105972">
        <w:t xml:space="preserve"> the Red Cross following the January 2012 floods. In April 2013, Papua New Guinea’s Prime Minister announced a grant of</w:t>
      </w:r>
      <w:r>
        <w:t xml:space="preserve"> 50 million Kina (</w:t>
      </w:r>
      <w:r w:rsidRPr="00105972">
        <w:t>approx</w:t>
      </w:r>
      <w:r>
        <w:t>imately</w:t>
      </w:r>
      <w:r w:rsidRPr="00105972">
        <w:t xml:space="preserve"> $22 million</w:t>
      </w:r>
      <w:r w:rsidR="00350736">
        <w:t xml:space="preserve"> for</w:t>
      </w:r>
      <w:r w:rsidRPr="00105972">
        <w:t xml:space="preserve"> 2014</w:t>
      </w:r>
      <w:r>
        <w:t xml:space="preserve"> to 20</w:t>
      </w:r>
      <w:r w:rsidRPr="00105972">
        <w:t>15</w:t>
      </w:r>
      <w:r>
        <w:t>)</w:t>
      </w:r>
      <w:r w:rsidRPr="00105972">
        <w:t xml:space="preserve"> to support Fiji’s planned 2014 election. </w:t>
      </w:r>
    </w:p>
    <w:p w14:paraId="3DDD5AE2" w14:textId="0456C0DA" w:rsidR="00C4231A" w:rsidRPr="00E615A4" w:rsidRDefault="00C4231A" w:rsidP="00522545">
      <w:pPr>
        <w:pStyle w:val="BodyText"/>
      </w:pPr>
      <w:r w:rsidRPr="00E615A4">
        <w:t xml:space="preserve">In November 2011, </w:t>
      </w:r>
      <w:r w:rsidR="00350736">
        <w:t>Australia’s</w:t>
      </w:r>
      <w:r w:rsidR="00350736" w:rsidRPr="00E615A4">
        <w:t xml:space="preserve"> </w:t>
      </w:r>
      <w:r w:rsidRPr="00E615A4">
        <w:t>Prime Minister and European Union President agreed to a delegated cooperation pilot in Fiji and Southern Sudan. In Fiji, Australia will manage €4</w:t>
      </w:r>
      <w:r w:rsidR="00D17E8F">
        <w:t> </w:t>
      </w:r>
      <w:r w:rsidRPr="00E615A4">
        <w:t>million (A$5 million) of aid funding on behalf of the E</w:t>
      </w:r>
      <w:r w:rsidR="00350736">
        <w:t>uropean Union</w:t>
      </w:r>
      <w:r w:rsidRPr="00E615A4">
        <w:t xml:space="preserve">. </w:t>
      </w:r>
      <w:r w:rsidR="00350736">
        <w:t>F</w:t>
      </w:r>
      <w:r w:rsidRPr="00E615A4">
        <w:t xml:space="preserve">unds will be used for training and skills improvement in Fiji’s sugar belt. The Australian Pacific Technical College (managed by </w:t>
      </w:r>
      <w:r w:rsidR="00451CAB">
        <w:t>DFAT</w:t>
      </w:r>
      <w:r w:rsidRPr="00E615A4">
        <w:t xml:space="preserve">’s </w:t>
      </w:r>
      <w:r w:rsidR="00350736">
        <w:t>Pacific r</w:t>
      </w:r>
      <w:r w:rsidRPr="00E615A4">
        <w:t xml:space="preserve">egional </w:t>
      </w:r>
      <w:r w:rsidR="00350736">
        <w:t>p</w:t>
      </w:r>
      <w:r w:rsidRPr="00E615A4">
        <w:t>rogram) in Fiji will deliver the training that is expected to begin by October 2013.</w:t>
      </w:r>
    </w:p>
    <w:p w14:paraId="3DDD5AE3" w14:textId="77777777" w:rsidR="00655D73" w:rsidRPr="00F7055F" w:rsidRDefault="00655D73" w:rsidP="00522545">
      <w:pPr>
        <w:pStyle w:val="Heading3"/>
      </w:pPr>
      <w:r w:rsidRPr="00F7055F">
        <w:t>Political context</w:t>
      </w:r>
    </w:p>
    <w:p w14:paraId="3DDD5AE4" w14:textId="2BB0E3DD" w:rsidR="00655D73" w:rsidRPr="00522545" w:rsidRDefault="004E03E8" w:rsidP="00522545">
      <w:pPr>
        <w:pStyle w:val="BodyText"/>
      </w:pPr>
      <w:r w:rsidRPr="00522545">
        <w:t>As a result of the 2006 coup, Australia ha</w:t>
      </w:r>
      <w:r w:rsidR="00C3581B">
        <w:t>d</w:t>
      </w:r>
      <w:r w:rsidRPr="00522545">
        <w:t xml:space="preserve"> a limited bilateral relationship with Fiji</w:t>
      </w:r>
      <w:r w:rsidR="00C3581B">
        <w:t xml:space="preserve"> in 2012</w:t>
      </w:r>
      <w:r w:rsidRPr="00522545">
        <w:t xml:space="preserve">. </w:t>
      </w:r>
      <w:r w:rsidR="000B4B3F" w:rsidRPr="00522545">
        <w:t xml:space="preserve">The political environment </w:t>
      </w:r>
      <w:r w:rsidR="00655D73" w:rsidRPr="00522545">
        <w:t xml:space="preserve">is highly relevant to the Fiji </w:t>
      </w:r>
      <w:r w:rsidR="00786A00" w:rsidRPr="00522545">
        <w:t>p</w:t>
      </w:r>
      <w:r w:rsidR="00655D73" w:rsidRPr="00522545">
        <w:t xml:space="preserve">rogram. It influences </w:t>
      </w:r>
      <w:r w:rsidR="00350736" w:rsidRPr="00522545">
        <w:t xml:space="preserve">program </w:t>
      </w:r>
      <w:r w:rsidR="00655D73" w:rsidRPr="00522545">
        <w:t xml:space="preserve">design, </w:t>
      </w:r>
      <w:r w:rsidR="000B4B3F" w:rsidRPr="00522545">
        <w:t>including implementation and management arrangements</w:t>
      </w:r>
      <w:r w:rsidR="00655D73" w:rsidRPr="00522545">
        <w:t xml:space="preserve">. </w:t>
      </w:r>
      <w:r w:rsidR="00350736" w:rsidRPr="00522545">
        <w:t xml:space="preserve">The state of the bilateral relationship </w:t>
      </w:r>
      <w:r w:rsidR="00655D73" w:rsidRPr="00522545">
        <w:t>limits the</w:t>
      </w:r>
      <w:r w:rsidR="00B14474" w:rsidRPr="00522545">
        <w:t xml:space="preserve"> areas</w:t>
      </w:r>
      <w:r w:rsidR="00655D73" w:rsidRPr="00522545">
        <w:t xml:space="preserve"> Australia works in and the activities it targets within these </w:t>
      </w:r>
      <w:r w:rsidR="00B14474" w:rsidRPr="00522545">
        <w:t>areas</w:t>
      </w:r>
      <w:r w:rsidR="00655D73" w:rsidRPr="00522545">
        <w:t xml:space="preserve">. The Fiji </w:t>
      </w:r>
      <w:r w:rsidR="00786A00" w:rsidRPr="00522545">
        <w:t>p</w:t>
      </w:r>
      <w:r w:rsidR="00655D73" w:rsidRPr="00522545">
        <w:t xml:space="preserve">rogram has needed to remain flexible to changing circumstances. </w:t>
      </w:r>
    </w:p>
    <w:p w14:paraId="3DDD5AE5" w14:textId="526F73F8" w:rsidR="00C87912" w:rsidRPr="00522545" w:rsidRDefault="00C87912" w:rsidP="00522545">
      <w:pPr>
        <w:pStyle w:val="BodyText"/>
      </w:pPr>
      <w:r w:rsidRPr="00522545">
        <w:t xml:space="preserve">Australia has not formed a partnership for development with Fiji and does not use Fiji </w:t>
      </w:r>
      <w:r w:rsidR="005379E4">
        <w:t xml:space="preserve">Government </w:t>
      </w:r>
      <w:r w:rsidRPr="00522545">
        <w:t xml:space="preserve">systems </w:t>
      </w:r>
      <w:r w:rsidR="00350736" w:rsidRPr="00522545">
        <w:t xml:space="preserve">to deliver </w:t>
      </w:r>
      <w:r w:rsidRPr="00522545">
        <w:t xml:space="preserve">its programs. The Fiji </w:t>
      </w:r>
      <w:r w:rsidR="00786A00" w:rsidRPr="00522545">
        <w:t>p</w:t>
      </w:r>
      <w:r w:rsidRPr="00522545">
        <w:t xml:space="preserve">rogram is largely delivered by managing contractors. </w:t>
      </w:r>
      <w:r w:rsidR="000B4B3F" w:rsidRPr="00522545">
        <w:t>Due to restricted engagement with government, Australia has limited</w:t>
      </w:r>
      <w:r w:rsidRPr="00522545">
        <w:t xml:space="preserve"> ability to influence policy, legislative or budget decisions in support of its poverty redu</w:t>
      </w:r>
      <w:r w:rsidR="00946B1E" w:rsidRPr="00522545">
        <w:t>ction objectives in Fiji. Australia’s</w:t>
      </w:r>
      <w:r w:rsidRPr="00522545">
        <w:t xml:space="preserve"> ability to work with the highest levels of government to promote reform</w:t>
      </w:r>
      <w:r w:rsidR="00946B1E" w:rsidRPr="00522545">
        <w:t xml:space="preserve"> is also restricted</w:t>
      </w:r>
      <w:r w:rsidRPr="00522545">
        <w:t>.</w:t>
      </w:r>
    </w:p>
    <w:p w14:paraId="3DDD5AE6" w14:textId="77777777" w:rsidR="00655D73" w:rsidRPr="0051525E" w:rsidRDefault="00655D73" w:rsidP="00522545">
      <w:pPr>
        <w:pStyle w:val="Heading3"/>
      </w:pPr>
      <w:r w:rsidRPr="0051525E">
        <w:t xml:space="preserve">Political </w:t>
      </w:r>
      <w:r w:rsidR="00350736">
        <w:t>e</w:t>
      </w:r>
      <w:r w:rsidRPr="0051525E">
        <w:t>vents in 2012</w:t>
      </w:r>
    </w:p>
    <w:p w14:paraId="3DDD5AE7" w14:textId="7CF85B53" w:rsidR="00655D73" w:rsidRPr="00522545" w:rsidRDefault="00655D73" w:rsidP="00522545">
      <w:pPr>
        <w:pStyle w:val="BodyText"/>
      </w:pPr>
      <w:r w:rsidRPr="00522545">
        <w:t>Australia stands ready to support Fiji to take credible steps towards a return to democracy. In 2012</w:t>
      </w:r>
      <w:r w:rsidR="00350736" w:rsidRPr="00522545">
        <w:t>,</w:t>
      </w:r>
      <w:r w:rsidRPr="00522545">
        <w:t xml:space="preserve"> Fiji’s </w:t>
      </w:r>
      <w:r w:rsidR="005379E4">
        <w:t>Government</w:t>
      </w:r>
      <w:r w:rsidRPr="00522545">
        <w:t xml:space="preserve"> reaffirmed its commitment to holding elections by September 2014. Despite deviating from its own constitutional process, and imposing onerous conditions on political party registration, Fiji has taken some positive steps</w:t>
      </w:r>
      <w:r w:rsidR="00350736" w:rsidRPr="00522545">
        <w:t>:</w:t>
      </w:r>
      <w:r w:rsidRPr="00522545">
        <w:t xml:space="preserve"> </w:t>
      </w:r>
    </w:p>
    <w:p w14:paraId="3DDD5AE8" w14:textId="77777777" w:rsidR="00655D73" w:rsidRPr="0051525E" w:rsidRDefault="00655D73" w:rsidP="00522545">
      <w:pPr>
        <w:pStyle w:val="ListBullet"/>
      </w:pPr>
      <w:r w:rsidRPr="0051525E">
        <w:t xml:space="preserve">some restrictions on public meetings have been eased </w:t>
      </w:r>
    </w:p>
    <w:p w14:paraId="3DDD5AE9" w14:textId="0F3129B0" w:rsidR="00655D73" w:rsidRPr="0051525E" w:rsidRDefault="00350736" w:rsidP="00522545">
      <w:pPr>
        <w:pStyle w:val="ListBullet"/>
      </w:pPr>
      <w:r>
        <w:t>more than</w:t>
      </w:r>
      <w:r w:rsidRPr="0051525E">
        <w:t xml:space="preserve"> </w:t>
      </w:r>
      <w:r w:rsidR="00655D73" w:rsidRPr="0051525E">
        <w:t>500</w:t>
      </w:r>
      <w:r w:rsidR="00D17E8F">
        <w:t>,</w:t>
      </w:r>
      <w:r w:rsidR="00655D73" w:rsidRPr="0051525E">
        <w:t>000 people</w:t>
      </w:r>
      <w:r w:rsidR="00946B1E" w:rsidRPr="0051525E">
        <w:t xml:space="preserve"> </w:t>
      </w:r>
      <w:r w:rsidR="00C87912" w:rsidRPr="0051525E">
        <w:t>have</w:t>
      </w:r>
      <w:r w:rsidR="00655D73" w:rsidRPr="0051525E">
        <w:t xml:space="preserve"> registered to vote</w:t>
      </w:r>
    </w:p>
    <w:p w14:paraId="3DDD5AEA" w14:textId="77777777" w:rsidR="00655D73" w:rsidRPr="0051525E" w:rsidRDefault="0051525E" w:rsidP="00522545">
      <w:pPr>
        <w:pStyle w:val="ListBullet"/>
      </w:pPr>
      <w:r>
        <w:t>f</w:t>
      </w:r>
      <w:r w:rsidR="006734C8" w:rsidRPr="0051525E">
        <w:t>our</w:t>
      </w:r>
      <w:r w:rsidR="00655D73" w:rsidRPr="0051525E">
        <w:t xml:space="preserve"> national political parties have</w:t>
      </w:r>
      <w:r w:rsidR="00C87912" w:rsidRPr="0051525E">
        <w:t xml:space="preserve"> passed the first stage of registration</w:t>
      </w:r>
      <w:r w:rsidR="00655D73" w:rsidRPr="0051525E">
        <w:t xml:space="preserve">. </w:t>
      </w:r>
    </w:p>
    <w:p w14:paraId="3DDD5AEB" w14:textId="3B3FF27B" w:rsidR="00655D73" w:rsidRDefault="00451CAB" w:rsidP="00655D73">
      <w:pPr>
        <w:pStyle w:val="BodyText"/>
        <w:rPr>
          <w:sz w:val="24"/>
        </w:rPr>
      </w:pPr>
      <w:r>
        <w:t>The Australian Government</w:t>
      </w:r>
      <w:r w:rsidR="00350736" w:rsidRPr="00522545">
        <w:t xml:space="preserve"> </w:t>
      </w:r>
      <w:r w:rsidR="00655D73" w:rsidRPr="00522545">
        <w:t>work</w:t>
      </w:r>
      <w:r>
        <w:t>s</w:t>
      </w:r>
      <w:r w:rsidR="00655D73" w:rsidRPr="00522545">
        <w:t xml:space="preserve"> closely </w:t>
      </w:r>
      <w:r w:rsidR="000B4B3F" w:rsidRPr="00522545">
        <w:t>with the international donor community to support</w:t>
      </w:r>
      <w:r w:rsidR="00655D73" w:rsidRPr="00522545">
        <w:t xml:space="preserve"> Fiji’s transition to democracy. </w:t>
      </w:r>
      <w:r>
        <w:t>DFAT</w:t>
      </w:r>
      <w:r w:rsidR="00496F25" w:rsidRPr="00522545">
        <w:t xml:space="preserve"> </w:t>
      </w:r>
      <w:r w:rsidR="00655D73" w:rsidRPr="00522545">
        <w:t>ha</w:t>
      </w:r>
      <w:r>
        <w:t>s</w:t>
      </w:r>
      <w:r w:rsidR="00655D73" w:rsidRPr="00522545">
        <w:t xml:space="preserve"> engaged the donor community on opportunities to support Fiji’s transition</w:t>
      </w:r>
      <w:r w:rsidR="00655D73" w:rsidRPr="0051525E">
        <w:rPr>
          <w:sz w:val="24"/>
        </w:rPr>
        <w:t xml:space="preserve"> to democracy.</w:t>
      </w:r>
    </w:p>
    <w:p w14:paraId="3DDD5AEC" w14:textId="77777777" w:rsidR="001D1D01" w:rsidRPr="00B303B0" w:rsidRDefault="001D1D01" w:rsidP="00522545">
      <w:pPr>
        <w:pStyle w:val="Heading3"/>
      </w:pPr>
      <w:r w:rsidRPr="00B303B0">
        <w:lastRenderedPageBreak/>
        <w:t xml:space="preserve">The Fiji </w:t>
      </w:r>
      <w:r w:rsidR="00786A00">
        <w:t>p</w:t>
      </w:r>
      <w:r w:rsidRPr="00B303B0">
        <w:t>rogram</w:t>
      </w:r>
    </w:p>
    <w:p w14:paraId="3DDD5AED" w14:textId="282C705E" w:rsidR="00145F37" w:rsidRDefault="000B4B3F" w:rsidP="00522545">
      <w:pPr>
        <w:pStyle w:val="BodyText"/>
      </w:pPr>
      <w:r>
        <w:t>T</w:t>
      </w:r>
      <w:r w:rsidR="001D1D01">
        <w:t>he</w:t>
      </w:r>
      <w:r w:rsidR="00065B9B">
        <w:t xml:space="preserve"> </w:t>
      </w:r>
      <w:r w:rsidR="00065B9B" w:rsidRPr="00105972">
        <w:t xml:space="preserve">Fiji </w:t>
      </w:r>
      <w:r w:rsidR="00065B9B">
        <w:t>p</w:t>
      </w:r>
      <w:r w:rsidR="00065B9B" w:rsidRPr="00105972">
        <w:t>rogram</w:t>
      </w:r>
      <w:r w:rsidR="00065B9B">
        <w:t xml:space="preserve"> is guided by </w:t>
      </w:r>
      <w:r w:rsidR="00451CAB">
        <w:t>DFAT</w:t>
      </w:r>
      <w:r w:rsidR="001E5087">
        <w:t>’s</w:t>
      </w:r>
      <w:r w:rsidR="001D1D01" w:rsidRPr="00105972">
        <w:t xml:space="preserve"> Fiji C</w:t>
      </w:r>
      <w:r w:rsidR="00841832">
        <w:t>ountry Strategy 2012</w:t>
      </w:r>
      <w:r w:rsidR="00496F25">
        <w:t>–</w:t>
      </w:r>
      <w:r w:rsidR="00841832">
        <w:t>14</w:t>
      </w:r>
      <w:r w:rsidR="00065B9B">
        <w:t>, which</w:t>
      </w:r>
      <w:r w:rsidR="00841832">
        <w:t xml:space="preserve"> focuse</w:t>
      </w:r>
      <w:r w:rsidR="00496F25">
        <w:t>s</w:t>
      </w:r>
      <w:r w:rsidR="00841832">
        <w:t xml:space="preserve"> on </w:t>
      </w:r>
      <w:r w:rsidR="00065B9B">
        <w:t xml:space="preserve">the country’s </w:t>
      </w:r>
      <w:r w:rsidR="00841832">
        <w:t xml:space="preserve">vulnerable and </w:t>
      </w:r>
      <w:r w:rsidR="001D1D01" w:rsidRPr="00105972">
        <w:t>most disadvantaged communities</w:t>
      </w:r>
      <w:r w:rsidR="001D1D01" w:rsidRPr="000B4B3F">
        <w:rPr>
          <w:rStyle w:val="FootnoteReference"/>
          <w:sz w:val="20"/>
          <w:szCs w:val="20"/>
        </w:rPr>
        <w:footnoteReference w:id="27"/>
      </w:r>
      <w:r w:rsidR="00065B9B">
        <w:t xml:space="preserve">. </w:t>
      </w:r>
      <w:r w:rsidR="009D4244">
        <w:t xml:space="preserve">It </w:t>
      </w:r>
      <w:r w:rsidR="00513B92">
        <w:t>provides a</w:t>
      </w:r>
      <w:r w:rsidR="001D1D01">
        <w:t xml:space="preserve">ssistance at the point of service delivery. </w:t>
      </w:r>
    </w:p>
    <w:p w14:paraId="3DDD5AEE" w14:textId="053A856A" w:rsidR="00065B9B" w:rsidRDefault="00065B9B" w:rsidP="00522545">
      <w:pPr>
        <w:pStyle w:val="BodyText"/>
      </w:pPr>
      <w:r>
        <w:t xml:space="preserve">This </w:t>
      </w:r>
      <w:r w:rsidR="002F5AE2">
        <w:t>APPR</w:t>
      </w:r>
      <w:r>
        <w:t xml:space="preserve"> assesses progress against the program’s three objectives </w:t>
      </w:r>
      <w:r w:rsidRPr="00F04D5B">
        <w:t xml:space="preserve">and </w:t>
      </w:r>
      <w:r w:rsidR="00F04D5B" w:rsidRPr="00F04D5B">
        <w:t>its</w:t>
      </w:r>
      <w:r w:rsidRPr="00F04D5B">
        <w:t xml:space="preserve"> crosscutting</w:t>
      </w:r>
      <w:r>
        <w:t xml:space="preserve"> themes. </w:t>
      </w:r>
    </w:p>
    <w:p w14:paraId="3DDD5AEF" w14:textId="77777777" w:rsidR="00A033D0" w:rsidRDefault="000B4B3F" w:rsidP="00522545">
      <w:pPr>
        <w:pStyle w:val="BodyText"/>
      </w:pPr>
      <w:r>
        <w:t>T</w:t>
      </w:r>
      <w:r w:rsidR="001D1D01">
        <w:t xml:space="preserve">he </w:t>
      </w:r>
      <w:r w:rsidR="00657B4A">
        <w:t>p</w:t>
      </w:r>
      <w:r w:rsidR="001D1D01">
        <w:t>rogram</w:t>
      </w:r>
      <w:r w:rsidR="00145F37">
        <w:t>’s</w:t>
      </w:r>
      <w:r w:rsidR="00657B4A">
        <w:t xml:space="preserve"> three objectives</w:t>
      </w:r>
      <w:r w:rsidR="00145F37">
        <w:t xml:space="preserve"> are</w:t>
      </w:r>
      <w:r w:rsidR="00657B4A">
        <w:t>:</w:t>
      </w:r>
      <w:r w:rsidR="001D1D01" w:rsidRPr="00105972">
        <w:t xml:space="preserve"> improv</w:t>
      </w:r>
      <w:r w:rsidR="00657B4A">
        <w:t>ing</w:t>
      </w:r>
      <w:r w:rsidR="001D1D01" w:rsidRPr="00105972">
        <w:t xml:space="preserve"> access to quality education</w:t>
      </w:r>
      <w:r w:rsidR="00657B4A">
        <w:t>;</w:t>
      </w:r>
      <w:r w:rsidR="001D1D01" w:rsidRPr="00105972">
        <w:t xml:space="preserve"> strengthen</w:t>
      </w:r>
      <w:r w:rsidR="00657B4A">
        <w:t>ing</w:t>
      </w:r>
      <w:r w:rsidR="001D1D01" w:rsidRPr="00105972">
        <w:t xml:space="preserve"> primary health </w:t>
      </w:r>
      <w:r w:rsidR="00657B4A" w:rsidRPr="00105972">
        <w:t>services</w:t>
      </w:r>
      <w:r w:rsidR="00657B4A">
        <w:t xml:space="preserve">; </w:t>
      </w:r>
      <w:r w:rsidR="001D1D01" w:rsidRPr="00105972">
        <w:t>and build</w:t>
      </w:r>
      <w:r w:rsidR="00657B4A">
        <w:t>ing</w:t>
      </w:r>
      <w:r w:rsidR="001D1D01" w:rsidRPr="00105972">
        <w:t xml:space="preserve"> resilience and economic opportunities in disadvantaged communities</w:t>
      </w:r>
      <w:r w:rsidR="00657B4A">
        <w:t>, including support to</w:t>
      </w:r>
      <w:r w:rsidR="00145F37">
        <w:t xml:space="preserve"> civil society organisations</w:t>
      </w:r>
      <w:r w:rsidR="00644802">
        <w:t xml:space="preserve"> (CSOs)</w:t>
      </w:r>
      <w:r w:rsidR="00657B4A">
        <w:t xml:space="preserve"> </w:t>
      </w:r>
      <w:r w:rsidR="00A033D0">
        <w:t>(tables 1A and 1B)</w:t>
      </w:r>
      <w:r w:rsidR="001D1D01">
        <w:t xml:space="preserve">. </w:t>
      </w:r>
    </w:p>
    <w:p w14:paraId="3DDD5AF0" w14:textId="77777777" w:rsidR="00A033D0" w:rsidRDefault="00A033D0" w:rsidP="00522545">
      <w:pPr>
        <w:pStyle w:val="BodyText"/>
      </w:pPr>
      <w:r>
        <w:t>The program</w:t>
      </w:r>
      <w:r w:rsidR="00145F37">
        <w:t>’s</w:t>
      </w:r>
      <w:r>
        <w:t xml:space="preserve"> crosscutting</w:t>
      </w:r>
      <w:r w:rsidR="00AA1968">
        <w:t xml:space="preserve"> themes includ</w:t>
      </w:r>
      <w:r w:rsidR="00145F37">
        <w:t>e</w:t>
      </w:r>
      <w:r>
        <w:t>:</w:t>
      </w:r>
    </w:p>
    <w:p w14:paraId="3DDD5AF1" w14:textId="77777777" w:rsidR="00A033D0" w:rsidRDefault="00A033D0" w:rsidP="00911E84">
      <w:pPr>
        <w:pStyle w:val="ListBullet"/>
      </w:pPr>
      <w:r>
        <w:t>S</w:t>
      </w:r>
      <w:r w:rsidR="001D1D01">
        <w:t>upporting Fiji’s transition to democracy</w:t>
      </w:r>
      <w:r>
        <w:t xml:space="preserve">, </w:t>
      </w:r>
      <w:r w:rsidR="0049183C">
        <w:t>as the country moves towards elections</w:t>
      </w:r>
      <w:r w:rsidR="001D1D01">
        <w:t xml:space="preserve">. This is aligned with Australia’s </w:t>
      </w:r>
      <w:r w:rsidR="001D1D01" w:rsidRPr="00105972">
        <w:t>commitment to support Fiji’s return to democracy and the rule of law</w:t>
      </w:r>
      <w:r w:rsidR="00AD2C60">
        <w:t>.</w:t>
      </w:r>
    </w:p>
    <w:p w14:paraId="3DDD5AF2" w14:textId="77777777" w:rsidR="00A033D0" w:rsidRDefault="00F04D5B" w:rsidP="00911E84">
      <w:pPr>
        <w:pStyle w:val="ListBullet"/>
      </w:pPr>
      <w:r>
        <w:t>Supporting deeper people-to-people linkages through Australia Awards s</w:t>
      </w:r>
      <w:r w:rsidR="00A033D0">
        <w:t>c</w:t>
      </w:r>
      <w:r>
        <w:t>holarships for Fijians to undertake study at Australian universities as well as at universities across the Pacific.</w:t>
      </w:r>
    </w:p>
    <w:p w14:paraId="3DDD5AF3" w14:textId="77777777" w:rsidR="00065B9B" w:rsidRDefault="00F04D5B" w:rsidP="00952712">
      <w:pPr>
        <w:pStyle w:val="ListBullet"/>
      </w:pPr>
      <w:r>
        <w:t>Effective responses to humanitarian emergencies and d</w:t>
      </w:r>
      <w:r w:rsidR="00A033D0">
        <w:t xml:space="preserve">isaster. </w:t>
      </w:r>
      <w:r w:rsidR="00AD2C60">
        <w:t xml:space="preserve"> </w:t>
      </w:r>
    </w:p>
    <w:p w14:paraId="3DDD5AF4" w14:textId="77777777" w:rsidR="00655D73" w:rsidRPr="00105972" w:rsidRDefault="00655D73" w:rsidP="00522545">
      <w:pPr>
        <w:pStyle w:val="Heading2"/>
      </w:pPr>
      <w:r w:rsidRPr="00522545">
        <w:t>Expenditure</w:t>
      </w:r>
    </w:p>
    <w:p w14:paraId="3DDD5AF5" w14:textId="77777777" w:rsidR="00655D73" w:rsidRPr="00E07D82" w:rsidRDefault="00655D73" w:rsidP="00655D73">
      <w:pPr>
        <w:pStyle w:val="Caption"/>
      </w:pPr>
      <w:r w:rsidRPr="00522545">
        <w:t xml:space="preserve">Table </w:t>
      </w:r>
      <w:r w:rsidR="00852C85">
        <w:fldChar w:fldCharType="begin"/>
      </w:r>
      <w:r w:rsidR="00852C85">
        <w:instrText xml:space="preserve"> SEQ Table \* ARABIC </w:instrText>
      </w:r>
      <w:r w:rsidR="00852C85">
        <w:fldChar w:fldCharType="separate"/>
      </w:r>
      <w:r w:rsidR="00641DDF">
        <w:rPr>
          <w:noProof/>
        </w:rPr>
        <w:t>1</w:t>
      </w:r>
      <w:r w:rsidR="00852C85">
        <w:rPr>
          <w:noProof/>
        </w:rPr>
        <w:fldChar w:fldCharType="end"/>
      </w:r>
      <w:r w:rsidRPr="00522545">
        <w:t>A Expenditure 1 Jan</w:t>
      </w:r>
      <w:r w:rsidR="00496F25" w:rsidRPr="00522545">
        <w:t>uary</w:t>
      </w:r>
      <w:r w:rsidRPr="00522545">
        <w:t xml:space="preserve"> 2012</w:t>
      </w:r>
      <w:r w:rsidR="00496F25" w:rsidRPr="00522545">
        <w:t xml:space="preserve"> to</w:t>
      </w:r>
      <w:r w:rsidRPr="00522545">
        <w:t xml:space="preserve"> 30 Jun</w:t>
      </w:r>
      <w:r w:rsidR="00496F25" w:rsidRPr="00522545">
        <w:t>e</w:t>
      </w:r>
      <w:r w:rsidRPr="00522545">
        <w:t xml:space="preserve"> 2012</w:t>
      </w:r>
    </w:p>
    <w:tbl>
      <w:tblPr>
        <w:tblStyle w:val="APPR"/>
        <w:tblW w:w="4999" w:type="pct"/>
        <w:tblBorders>
          <w:top w:val="single" w:sz="12" w:space="0" w:color="auto"/>
          <w:bottom w:val="single" w:sz="12" w:space="0" w:color="auto"/>
        </w:tblBorders>
        <w:tblLayout w:type="fixed"/>
        <w:tblLook w:val="0000" w:firstRow="0" w:lastRow="0" w:firstColumn="0" w:lastColumn="0" w:noHBand="0" w:noVBand="0"/>
      </w:tblPr>
      <w:tblGrid>
        <w:gridCol w:w="5527"/>
        <w:gridCol w:w="1644"/>
        <w:gridCol w:w="1433"/>
      </w:tblGrid>
      <w:tr w:rsidR="00655D73" w:rsidRPr="00E07D82" w14:paraId="3DDD5AF9" w14:textId="77777777" w:rsidTr="00522545">
        <w:trPr>
          <w:cnfStyle w:val="000000010000" w:firstRow="0" w:lastRow="0" w:firstColumn="0" w:lastColumn="0" w:oddVBand="0" w:evenVBand="0" w:oddHBand="0" w:evenHBand="1" w:firstRowFirstColumn="0" w:firstRowLastColumn="0" w:lastRowFirstColumn="0" w:lastRowLastColumn="0"/>
        </w:trPr>
        <w:tc>
          <w:tcPr>
            <w:tcW w:w="54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D5AF6" w14:textId="77777777" w:rsidR="00655D73" w:rsidRPr="00522545" w:rsidRDefault="00655D73" w:rsidP="00522545">
            <w:pPr>
              <w:pStyle w:val="TableTextColumnHeading"/>
            </w:pPr>
            <w:r w:rsidRPr="00522545">
              <w:t>Objective</w:t>
            </w:r>
          </w:p>
        </w:tc>
        <w:tc>
          <w:tcPr>
            <w:tcW w:w="16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D5AF7" w14:textId="77777777" w:rsidR="00655D73" w:rsidRPr="00522545" w:rsidRDefault="00655D73" w:rsidP="00522545">
            <w:pPr>
              <w:pStyle w:val="TableTextColumnHeading"/>
            </w:pPr>
            <w:r w:rsidRPr="00522545">
              <w:t>A$ million</w:t>
            </w:r>
          </w:p>
        </w:tc>
        <w:tc>
          <w:tcPr>
            <w:tcW w:w="13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D5AF8" w14:textId="77777777" w:rsidR="00655D73" w:rsidRPr="00522545" w:rsidRDefault="00496F25" w:rsidP="00522545">
            <w:pPr>
              <w:pStyle w:val="TableTextColumnHeading"/>
            </w:pPr>
            <w:r w:rsidRPr="00522545">
              <w:t>%</w:t>
            </w:r>
            <w:r w:rsidR="00655D73" w:rsidRPr="00522545">
              <w:t xml:space="preserve"> of bilateral program</w:t>
            </w:r>
          </w:p>
        </w:tc>
      </w:tr>
      <w:tr w:rsidR="00655D73" w:rsidRPr="00E07D82" w14:paraId="3DDD5AFD" w14:textId="77777777" w:rsidTr="00522545">
        <w:trPr>
          <w:cnfStyle w:val="000000010000" w:firstRow="0" w:lastRow="0" w:firstColumn="0" w:lastColumn="0" w:oddVBand="0" w:evenVBand="0" w:oddHBand="0" w:evenHBand="1" w:firstRowFirstColumn="0" w:firstRowLastColumn="0" w:lastRowFirstColumn="0" w:lastRowLastColumn="0"/>
        </w:trPr>
        <w:tc>
          <w:tcPr>
            <w:tcW w:w="54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D5AFA" w14:textId="77777777" w:rsidR="00655D73" w:rsidRPr="00522545" w:rsidRDefault="00655D73" w:rsidP="00522545">
            <w:pPr>
              <w:pStyle w:val="TableTextEntries"/>
            </w:pPr>
            <w:r w:rsidRPr="00522545">
              <w:t xml:space="preserve">Objective 1 Improving </w:t>
            </w:r>
            <w:r w:rsidR="00496F25" w:rsidRPr="00522545">
              <w:t>a</w:t>
            </w:r>
            <w:r w:rsidRPr="00522545">
              <w:t xml:space="preserve">ccess to quality education   </w:t>
            </w:r>
          </w:p>
        </w:tc>
        <w:tc>
          <w:tcPr>
            <w:tcW w:w="16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D5AFB" w14:textId="77777777" w:rsidR="00655D73" w:rsidRPr="00522545" w:rsidRDefault="00655D73" w:rsidP="00522545">
            <w:pPr>
              <w:pStyle w:val="TableTextEntries"/>
            </w:pPr>
            <w:r w:rsidRPr="00522545">
              <w:t>$3.1</w:t>
            </w:r>
          </w:p>
        </w:tc>
        <w:tc>
          <w:tcPr>
            <w:tcW w:w="13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D5AFC" w14:textId="77777777" w:rsidR="00655D73" w:rsidRPr="00522545" w:rsidRDefault="00655D73" w:rsidP="00522545">
            <w:pPr>
              <w:pStyle w:val="TableTextEntries"/>
            </w:pPr>
            <w:r w:rsidRPr="00522545">
              <w:t>22</w:t>
            </w:r>
          </w:p>
        </w:tc>
      </w:tr>
      <w:tr w:rsidR="00655D73" w:rsidRPr="00E07D82" w14:paraId="3DDD5B01" w14:textId="77777777" w:rsidTr="00522545">
        <w:trPr>
          <w:cnfStyle w:val="000000010000" w:firstRow="0" w:lastRow="0" w:firstColumn="0" w:lastColumn="0" w:oddVBand="0" w:evenVBand="0" w:oddHBand="0" w:evenHBand="1" w:firstRowFirstColumn="0" w:firstRowLastColumn="0" w:lastRowFirstColumn="0" w:lastRowLastColumn="0"/>
        </w:trPr>
        <w:tc>
          <w:tcPr>
            <w:tcW w:w="54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D5AFE" w14:textId="77777777" w:rsidR="00655D73" w:rsidRPr="00522545" w:rsidRDefault="00655D73" w:rsidP="00522545">
            <w:pPr>
              <w:pStyle w:val="TableTextEntries"/>
            </w:pPr>
            <w:r w:rsidRPr="00522545">
              <w:t>Objective 2 Strengthening primary health services</w:t>
            </w:r>
          </w:p>
        </w:tc>
        <w:tc>
          <w:tcPr>
            <w:tcW w:w="16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D5AFF" w14:textId="77777777" w:rsidR="00655D73" w:rsidRPr="00522545" w:rsidRDefault="00655D73" w:rsidP="00522545">
            <w:pPr>
              <w:pStyle w:val="TableTextEntries"/>
            </w:pPr>
            <w:r w:rsidRPr="00522545">
              <w:t>$3</w:t>
            </w:r>
          </w:p>
        </w:tc>
        <w:tc>
          <w:tcPr>
            <w:tcW w:w="13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D5B00" w14:textId="77777777" w:rsidR="00655D73" w:rsidRPr="00522545" w:rsidRDefault="00655D73" w:rsidP="00522545">
            <w:pPr>
              <w:pStyle w:val="TableTextEntries"/>
            </w:pPr>
            <w:r w:rsidRPr="00522545">
              <w:t>22</w:t>
            </w:r>
          </w:p>
        </w:tc>
      </w:tr>
      <w:tr w:rsidR="00655D73" w:rsidRPr="00E07D82" w14:paraId="3DDD5B05" w14:textId="77777777" w:rsidTr="00522545">
        <w:trPr>
          <w:cnfStyle w:val="000000010000" w:firstRow="0" w:lastRow="0" w:firstColumn="0" w:lastColumn="0" w:oddVBand="0" w:evenVBand="0" w:oddHBand="0" w:evenHBand="1" w:firstRowFirstColumn="0" w:firstRowLastColumn="0" w:lastRowFirstColumn="0" w:lastRowLastColumn="0"/>
        </w:trPr>
        <w:tc>
          <w:tcPr>
            <w:tcW w:w="54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D5B02" w14:textId="77777777" w:rsidR="00655D73" w:rsidRPr="00522545" w:rsidRDefault="00655D73" w:rsidP="00522545">
            <w:pPr>
              <w:pStyle w:val="TableTextEntries"/>
            </w:pPr>
            <w:r w:rsidRPr="00522545">
              <w:t>Objective 3 Building resilience and economic opportunities</w:t>
            </w:r>
            <w:r w:rsidR="00657B4A" w:rsidRPr="00522545">
              <w:t xml:space="preserve"> in disadvantage communities,</w:t>
            </w:r>
            <w:r w:rsidR="00BB5B24" w:rsidRPr="00522545">
              <w:t xml:space="preserve"> including support to civil society organisations</w:t>
            </w:r>
          </w:p>
        </w:tc>
        <w:tc>
          <w:tcPr>
            <w:tcW w:w="16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D5B03" w14:textId="77777777" w:rsidR="00655D73" w:rsidRPr="00522545" w:rsidRDefault="00655D73" w:rsidP="00522545">
            <w:pPr>
              <w:pStyle w:val="TableTextEntries"/>
            </w:pPr>
            <w:r w:rsidRPr="00522545">
              <w:t>$3</w:t>
            </w:r>
          </w:p>
        </w:tc>
        <w:tc>
          <w:tcPr>
            <w:tcW w:w="13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D5B04" w14:textId="77777777" w:rsidR="00655D73" w:rsidRPr="00522545" w:rsidRDefault="00655D73" w:rsidP="00522545">
            <w:pPr>
              <w:pStyle w:val="TableTextEntries"/>
            </w:pPr>
            <w:r w:rsidRPr="00522545">
              <w:t>22</w:t>
            </w:r>
          </w:p>
        </w:tc>
      </w:tr>
      <w:tr w:rsidR="00655D73" w:rsidRPr="00E07D82" w14:paraId="3DDD5B0C" w14:textId="77777777" w:rsidTr="00522545">
        <w:trPr>
          <w:cnfStyle w:val="000000010000" w:firstRow="0" w:lastRow="0" w:firstColumn="0" w:lastColumn="0" w:oddVBand="0" w:evenVBand="0" w:oddHBand="0" w:evenHBand="1" w:firstRowFirstColumn="0" w:firstRowLastColumn="0" w:lastRowFirstColumn="0" w:lastRowLastColumn="0"/>
        </w:trPr>
        <w:tc>
          <w:tcPr>
            <w:tcW w:w="54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D5B06" w14:textId="77777777" w:rsidR="00A033D0" w:rsidRPr="00522545" w:rsidRDefault="00655D73" w:rsidP="00522545">
            <w:pPr>
              <w:pStyle w:val="TableTextEntries"/>
            </w:pPr>
            <w:r w:rsidRPr="00522545">
              <w:t>Crosscutting</w:t>
            </w:r>
            <w:r w:rsidR="00A033D0" w:rsidRPr="00522545">
              <w:t xml:space="preserve"> themes:</w:t>
            </w:r>
          </w:p>
          <w:p w14:paraId="3DDD5B07" w14:textId="77777777" w:rsidR="00655D73" w:rsidRPr="00522545" w:rsidRDefault="00655D73" w:rsidP="00522545">
            <w:pPr>
              <w:pStyle w:val="TableTextEntries"/>
            </w:pPr>
            <w:r w:rsidRPr="00522545">
              <w:t>Scholarships</w:t>
            </w:r>
          </w:p>
        </w:tc>
        <w:tc>
          <w:tcPr>
            <w:tcW w:w="16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D5B08" w14:textId="77777777" w:rsidR="00A033D0" w:rsidRPr="00522545" w:rsidRDefault="00A033D0" w:rsidP="00522545">
            <w:pPr>
              <w:pStyle w:val="TableTextEntries"/>
            </w:pPr>
          </w:p>
          <w:p w14:paraId="3DDD5B09" w14:textId="77777777" w:rsidR="00655D73" w:rsidRPr="00522545" w:rsidRDefault="00655D73" w:rsidP="00522545">
            <w:pPr>
              <w:pStyle w:val="TableTextEntries"/>
            </w:pPr>
            <w:r w:rsidRPr="00522545">
              <w:t>$3</w:t>
            </w:r>
          </w:p>
        </w:tc>
        <w:tc>
          <w:tcPr>
            <w:tcW w:w="13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D5B0A" w14:textId="77777777" w:rsidR="00A033D0" w:rsidRPr="00522545" w:rsidRDefault="00A033D0" w:rsidP="00522545">
            <w:pPr>
              <w:pStyle w:val="TableTextEntries"/>
            </w:pPr>
          </w:p>
          <w:p w14:paraId="3DDD5B0B" w14:textId="77777777" w:rsidR="00655D73" w:rsidRPr="00522545" w:rsidRDefault="00655D73" w:rsidP="00522545">
            <w:pPr>
              <w:pStyle w:val="TableTextEntries"/>
            </w:pPr>
            <w:r w:rsidRPr="00522545">
              <w:t>22</w:t>
            </w:r>
          </w:p>
        </w:tc>
      </w:tr>
      <w:tr w:rsidR="00655D73" w:rsidRPr="00E07D82" w14:paraId="3DDD5B10" w14:textId="77777777" w:rsidTr="00522545">
        <w:trPr>
          <w:cnfStyle w:val="000000010000" w:firstRow="0" w:lastRow="0" w:firstColumn="0" w:lastColumn="0" w:oddVBand="0" w:evenVBand="0" w:oddHBand="0" w:evenHBand="1" w:firstRowFirstColumn="0" w:firstRowLastColumn="0" w:lastRowFirstColumn="0" w:lastRowLastColumn="0"/>
        </w:trPr>
        <w:tc>
          <w:tcPr>
            <w:tcW w:w="546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D5B0D" w14:textId="77777777" w:rsidR="00655D73" w:rsidRPr="00522545" w:rsidRDefault="00655D73" w:rsidP="00522545">
            <w:pPr>
              <w:pStyle w:val="TableTextEntries"/>
            </w:pPr>
            <w:r w:rsidRPr="00522545">
              <w:t xml:space="preserve">Floods, disaster preparedness </w:t>
            </w:r>
            <w:r w:rsidR="005D4DE7" w:rsidRPr="00522545">
              <w:t>and response</w:t>
            </w:r>
            <w:r w:rsidRPr="00522545">
              <w:t xml:space="preserve">                                       </w:t>
            </w:r>
          </w:p>
        </w:tc>
        <w:tc>
          <w:tcPr>
            <w:tcW w:w="160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D5B0E" w14:textId="77777777" w:rsidR="00655D73" w:rsidRPr="00522545" w:rsidRDefault="00655D73" w:rsidP="00522545">
            <w:pPr>
              <w:pStyle w:val="TableTextEntries"/>
            </w:pPr>
            <w:r w:rsidRPr="00522545">
              <w:t>$1.7</w:t>
            </w:r>
          </w:p>
        </w:tc>
        <w:tc>
          <w:tcPr>
            <w:tcW w:w="13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DD5B0F" w14:textId="77777777" w:rsidR="00655D73" w:rsidRPr="00522545" w:rsidRDefault="00655D73" w:rsidP="00522545">
            <w:pPr>
              <w:pStyle w:val="TableTextEntries"/>
            </w:pPr>
            <w:r w:rsidRPr="00522545">
              <w:t>12</w:t>
            </w:r>
          </w:p>
        </w:tc>
      </w:tr>
    </w:tbl>
    <w:p w14:paraId="3DDD5B11" w14:textId="4BDF889C" w:rsidR="00655D73" w:rsidRDefault="00655D73" w:rsidP="00522545">
      <w:pPr>
        <w:pStyle w:val="Note"/>
      </w:pPr>
      <w:r w:rsidRPr="00E07D82">
        <w:t xml:space="preserve">Source: </w:t>
      </w:r>
      <w:r w:rsidR="008E7D7C">
        <w:t>DFAT</w:t>
      </w:r>
      <w:r w:rsidRPr="00E07D82">
        <w:t xml:space="preserve"> </w:t>
      </w:r>
    </w:p>
    <w:p w14:paraId="3DDD5B12" w14:textId="77777777" w:rsidR="00145F37" w:rsidRPr="00E07D82" w:rsidRDefault="00145F37" w:rsidP="00522545">
      <w:pPr>
        <w:pStyle w:val="Note"/>
      </w:pPr>
      <w:r>
        <w:t xml:space="preserve">Note: Transition to democracy, another crosscutting theme, is not included in this table because work on this initiative did not start until mid-2012. </w:t>
      </w:r>
    </w:p>
    <w:p w14:paraId="3DDD5B13" w14:textId="77777777" w:rsidR="00655D73" w:rsidRPr="00E07D82" w:rsidRDefault="00655D73" w:rsidP="00655D73">
      <w:pPr>
        <w:rPr>
          <w:sz w:val="18"/>
          <w:szCs w:val="18"/>
        </w:rPr>
      </w:pPr>
    </w:p>
    <w:p w14:paraId="17CF8EDE" w14:textId="77777777" w:rsidR="0001361A" w:rsidRDefault="0001361A">
      <w:pPr>
        <w:spacing w:after="200" w:line="276" w:lineRule="auto"/>
        <w:rPr>
          <w:rFonts w:ascii="Arial" w:eastAsia="Times New Roman" w:hAnsi="Arial" w:cs="Arial"/>
          <w:color w:val="7E6D5F"/>
          <w:sz w:val="24"/>
        </w:rPr>
      </w:pPr>
      <w:r>
        <w:br w:type="page"/>
      </w:r>
    </w:p>
    <w:p w14:paraId="3DDD5B14" w14:textId="14017AC5" w:rsidR="00655D73" w:rsidRPr="005D4DE7" w:rsidRDefault="00655D73" w:rsidP="00522545">
      <w:pPr>
        <w:pStyle w:val="Caption"/>
      </w:pPr>
      <w:r w:rsidRPr="005D4DE7">
        <w:lastRenderedPageBreak/>
        <w:t>Table 1B Estimated expenditure in 2012</w:t>
      </w:r>
      <w:r w:rsidR="00A033D0" w:rsidRPr="005D4DE7">
        <w:t>–</w:t>
      </w:r>
      <w:r w:rsidRPr="005D4DE7">
        <w:t>13</w:t>
      </w:r>
    </w:p>
    <w:tbl>
      <w:tblPr>
        <w:tblStyle w:val="APPR"/>
        <w:tblW w:w="5000" w:type="pct"/>
        <w:tblLayout w:type="fixed"/>
        <w:tblLook w:val="0000" w:firstRow="0" w:lastRow="0" w:firstColumn="0" w:lastColumn="0" w:noHBand="0" w:noVBand="0"/>
      </w:tblPr>
      <w:tblGrid>
        <w:gridCol w:w="6131"/>
        <w:gridCol w:w="998"/>
        <w:gridCol w:w="1477"/>
      </w:tblGrid>
      <w:tr w:rsidR="00655D73" w:rsidRPr="00E07D82" w14:paraId="3DDD5B18" w14:textId="77777777" w:rsidTr="00522545">
        <w:trPr>
          <w:cnfStyle w:val="000000010000" w:firstRow="0" w:lastRow="0" w:firstColumn="0" w:lastColumn="0" w:oddVBand="0" w:evenVBand="0" w:oddHBand="0" w:evenHBand="1" w:firstRowFirstColumn="0" w:firstRowLastColumn="0" w:lastRowFirstColumn="0" w:lastRowLastColumn="0"/>
        </w:trPr>
        <w:tc>
          <w:tcPr>
            <w:tcW w:w="6048" w:type="dxa"/>
          </w:tcPr>
          <w:p w14:paraId="3DDD5B15" w14:textId="77777777" w:rsidR="00655D73" w:rsidRPr="00522545" w:rsidRDefault="00655D73" w:rsidP="00522545">
            <w:pPr>
              <w:pStyle w:val="TableTextColumnHeading"/>
            </w:pPr>
            <w:r w:rsidRPr="00522545">
              <w:t>Objective</w:t>
            </w:r>
          </w:p>
        </w:tc>
        <w:tc>
          <w:tcPr>
            <w:tcW w:w="964" w:type="dxa"/>
          </w:tcPr>
          <w:p w14:paraId="3DDD5B16" w14:textId="77777777" w:rsidR="00655D73" w:rsidRPr="00522545" w:rsidRDefault="00655D73" w:rsidP="00522545">
            <w:pPr>
              <w:pStyle w:val="TableTextColumnHeading"/>
            </w:pPr>
            <w:r w:rsidRPr="00522545">
              <w:t>A$ million</w:t>
            </w:r>
          </w:p>
        </w:tc>
        <w:tc>
          <w:tcPr>
            <w:tcW w:w="1426" w:type="dxa"/>
          </w:tcPr>
          <w:p w14:paraId="3DDD5B17" w14:textId="77777777" w:rsidR="00655D73" w:rsidRPr="00522545" w:rsidRDefault="00657B4A" w:rsidP="00522545">
            <w:pPr>
              <w:pStyle w:val="TableTextColumnHeading"/>
            </w:pPr>
            <w:r w:rsidRPr="00522545">
              <w:t>%</w:t>
            </w:r>
            <w:r w:rsidR="00655D73" w:rsidRPr="00522545">
              <w:t xml:space="preserve"> of bilateral program</w:t>
            </w:r>
          </w:p>
        </w:tc>
      </w:tr>
      <w:tr w:rsidR="00655D73" w:rsidRPr="00E07D82" w14:paraId="3DDD5B1C" w14:textId="77777777" w:rsidTr="00522545">
        <w:trPr>
          <w:cnfStyle w:val="000000010000" w:firstRow="0" w:lastRow="0" w:firstColumn="0" w:lastColumn="0" w:oddVBand="0" w:evenVBand="0" w:oddHBand="0" w:evenHBand="1" w:firstRowFirstColumn="0" w:firstRowLastColumn="0" w:lastRowFirstColumn="0" w:lastRowLastColumn="0"/>
        </w:trPr>
        <w:tc>
          <w:tcPr>
            <w:tcW w:w="6048" w:type="dxa"/>
          </w:tcPr>
          <w:p w14:paraId="3DDD5B19" w14:textId="77777777" w:rsidR="00655D73" w:rsidRPr="00E07D82" w:rsidRDefault="00655D73" w:rsidP="00522545">
            <w:pPr>
              <w:pStyle w:val="TableTextEntries"/>
            </w:pPr>
            <w:r w:rsidRPr="00E07D82">
              <w:t>Objective 1 Access</w:t>
            </w:r>
            <w:r w:rsidR="00657B4A">
              <w:t>ing</w:t>
            </w:r>
            <w:r w:rsidRPr="00E07D82">
              <w:t xml:space="preserve"> </w:t>
            </w:r>
            <w:r w:rsidR="00657B4A">
              <w:t>q</w:t>
            </w:r>
            <w:r w:rsidRPr="00E07D82">
              <w:t xml:space="preserve">uality </w:t>
            </w:r>
            <w:r w:rsidR="00657B4A">
              <w:t>e</w:t>
            </w:r>
            <w:r w:rsidRPr="00E07D82">
              <w:t>ducation</w:t>
            </w:r>
          </w:p>
        </w:tc>
        <w:tc>
          <w:tcPr>
            <w:tcW w:w="964" w:type="dxa"/>
          </w:tcPr>
          <w:p w14:paraId="3DDD5B1A" w14:textId="77777777" w:rsidR="00655D73" w:rsidRPr="00E07D82" w:rsidRDefault="00655D73" w:rsidP="00522545">
            <w:pPr>
              <w:pStyle w:val="TableTextEntries"/>
            </w:pPr>
            <w:r w:rsidRPr="00E07D82">
              <w:t>6.9</w:t>
            </w:r>
          </w:p>
        </w:tc>
        <w:tc>
          <w:tcPr>
            <w:tcW w:w="1426" w:type="dxa"/>
          </w:tcPr>
          <w:p w14:paraId="3DDD5B1B" w14:textId="77777777" w:rsidR="00655D73" w:rsidRPr="00E07D82" w:rsidRDefault="00655D73" w:rsidP="00522545">
            <w:pPr>
              <w:pStyle w:val="TableTextEntries"/>
            </w:pPr>
            <w:r w:rsidRPr="00E07D82">
              <w:t>22</w:t>
            </w:r>
          </w:p>
        </w:tc>
      </w:tr>
      <w:tr w:rsidR="00655D73" w:rsidRPr="00E07D82" w14:paraId="3DDD5B20" w14:textId="77777777" w:rsidTr="00522545">
        <w:trPr>
          <w:cnfStyle w:val="000000010000" w:firstRow="0" w:lastRow="0" w:firstColumn="0" w:lastColumn="0" w:oddVBand="0" w:evenVBand="0" w:oddHBand="0" w:evenHBand="1" w:firstRowFirstColumn="0" w:firstRowLastColumn="0" w:lastRowFirstColumn="0" w:lastRowLastColumn="0"/>
        </w:trPr>
        <w:tc>
          <w:tcPr>
            <w:tcW w:w="6048" w:type="dxa"/>
          </w:tcPr>
          <w:p w14:paraId="3DDD5B1D" w14:textId="77777777" w:rsidR="00655D73" w:rsidRPr="00E07D82" w:rsidRDefault="00655D73" w:rsidP="00522545">
            <w:pPr>
              <w:pStyle w:val="TableTextEntries"/>
            </w:pPr>
            <w:r w:rsidRPr="00E07D82">
              <w:t>Objective 2 Strengthening primary health services</w:t>
            </w:r>
          </w:p>
        </w:tc>
        <w:tc>
          <w:tcPr>
            <w:tcW w:w="964" w:type="dxa"/>
          </w:tcPr>
          <w:p w14:paraId="3DDD5B1E" w14:textId="77777777" w:rsidR="00655D73" w:rsidRPr="00E07D82" w:rsidRDefault="00655D73" w:rsidP="00522545">
            <w:pPr>
              <w:pStyle w:val="TableTextEntries"/>
            </w:pPr>
            <w:r w:rsidRPr="00E07D82">
              <w:t>8.2</w:t>
            </w:r>
          </w:p>
        </w:tc>
        <w:tc>
          <w:tcPr>
            <w:tcW w:w="1426" w:type="dxa"/>
          </w:tcPr>
          <w:p w14:paraId="3DDD5B1F" w14:textId="77777777" w:rsidR="00655D73" w:rsidRPr="00E07D82" w:rsidRDefault="00655D73" w:rsidP="00522545">
            <w:pPr>
              <w:pStyle w:val="TableTextEntries"/>
            </w:pPr>
            <w:r w:rsidRPr="00E07D82">
              <w:t>26</w:t>
            </w:r>
          </w:p>
        </w:tc>
      </w:tr>
      <w:tr w:rsidR="00655D73" w:rsidRPr="00E07D82" w14:paraId="3DDD5B35" w14:textId="77777777" w:rsidTr="00522545">
        <w:trPr>
          <w:cnfStyle w:val="000000010000" w:firstRow="0" w:lastRow="0" w:firstColumn="0" w:lastColumn="0" w:oddVBand="0" w:evenVBand="0" w:oddHBand="0" w:evenHBand="1" w:firstRowFirstColumn="0" w:firstRowLastColumn="0" w:lastRowFirstColumn="0" w:lastRowLastColumn="0"/>
        </w:trPr>
        <w:tc>
          <w:tcPr>
            <w:tcW w:w="6048" w:type="dxa"/>
          </w:tcPr>
          <w:p w14:paraId="3DDD5B21" w14:textId="77777777" w:rsidR="00655D73" w:rsidRPr="00E07D82" w:rsidRDefault="00655D73" w:rsidP="00522545">
            <w:pPr>
              <w:pStyle w:val="TableTextEntries"/>
            </w:pPr>
            <w:r w:rsidRPr="00E07D82">
              <w:t xml:space="preserve">Objective 3 Building resilience and economic  opportunities in disadvantaged communities, including support to </w:t>
            </w:r>
            <w:r w:rsidR="00657B4A">
              <w:t>civil service organisations</w:t>
            </w:r>
            <w:r w:rsidR="00657B4A" w:rsidRPr="00E07D82">
              <w:t xml:space="preserve"> </w:t>
            </w:r>
          </w:p>
          <w:p w14:paraId="3DDD5B22" w14:textId="77777777" w:rsidR="00655D73" w:rsidRPr="00E07D82" w:rsidRDefault="00655D73" w:rsidP="00522545">
            <w:pPr>
              <w:pStyle w:val="TableTextEntries"/>
            </w:pPr>
          </w:p>
          <w:p w14:paraId="3DDD5B23" w14:textId="77777777" w:rsidR="00A033D0" w:rsidRDefault="00655D73" w:rsidP="00522545">
            <w:pPr>
              <w:pStyle w:val="TableTextEntries"/>
            </w:pPr>
            <w:r w:rsidRPr="00E07D82">
              <w:t>Cross</w:t>
            </w:r>
            <w:r w:rsidR="00657B4A">
              <w:t>c</w:t>
            </w:r>
            <w:r w:rsidRPr="00E07D82">
              <w:t>utting</w:t>
            </w:r>
            <w:r w:rsidR="00A033D0">
              <w:t xml:space="preserve"> themes</w:t>
            </w:r>
            <w:r w:rsidRPr="00E07D82">
              <w:t xml:space="preserve">: </w:t>
            </w:r>
          </w:p>
          <w:p w14:paraId="3DDD5B24" w14:textId="77777777" w:rsidR="00655D73" w:rsidRPr="00E07D82" w:rsidRDefault="00655D73" w:rsidP="00522545">
            <w:pPr>
              <w:pStyle w:val="TableTextEntries"/>
            </w:pPr>
            <w:r w:rsidRPr="00E07D82">
              <w:t xml:space="preserve">Transition to </w:t>
            </w:r>
            <w:r w:rsidR="00657B4A">
              <w:t>d</w:t>
            </w:r>
            <w:r w:rsidRPr="00E07D82">
              <w:t>emocracy</w:t>
            </w:r>
          </w:p>
          <w:p w14:paraId="3DDD5B25" w14:textId="77777777" w:rsidR="00655D73" w:rsidRPr="00E07D82" w:rsidRDefault="00655D73" w:rsidP="00522545">
            <w:pPr>
              <w:pStyle w:val="TableTextEntries"/>
            </w:pPr>
            <w:r w:rsidRPr="00E07D82">
              <w:t>Scholarships</w:t>
            </w:r>
          </w:p>
          <w:p w14:paraId="3DDD5B26" w14:textId="77777777" w:rsidR="00655D73" w:rsidRPr="00E07D82" w:rsidRDefault="00655D73" w:rsidP="00522545">
            <w:pPr>
              <w:pStyle w:val="TableTextEntries"/>
            </w:pPr>
            <w:r w:rsidRPr="00E07D82">
              <w:t xml:space="preserve">Disaster </w:t>
            </w:r>
            <w:r w:rsidR="00145F37">
              <w:t>p</w:t>
            </w:r>
            <w:r w:rsidRPr="00E07D82">
              <w:t xml:space="preserve">reparedness and </w:t>
            </w:r>
            <w:r w:rsidR="00657B4A">
              <w:t>r</w:t>
            </w:r>
            <w:r w:rsidR="00522545">
              <w:t>esponse</w:t>
            </w:r>
          </w:p>
        </w:tc>
        <w:tc>
          <w:tcPr>
            <w:tcW w:w="964" w:type="dxa"/>
          </w:tcPr>
          <w:p w14:paraId="3DDD5B27" w14:textId="77777777" w:rsidR="00655D73" w:rsidRPr="00E07D82" w:rsidRDefault="00655D73" w:rsidP="00522545">
            <w:pPr>
              <w:pStyle w:val="TableTextEntries"/>
            </w:pPr>
            <w:r w:rsidRPr="00E07D82">
              <w:t>7.1</w:t>
            </w:r>
          </w:p>
          <w:p w14:paraId="3DDD5B28" w14:textId="77777777" w:rsidR="00655D73" w:rsidRPr="00E07D82" w:rsidRDefault="00655D73" w:rsidP="00522545">
            <w:pPr>
              <w:pStyle w:val="TableTextEntries"/>
            </w:pPr>
          </w:p>
          <w:p w14:paraId="3DDD5B29" w14:textId="77777777" w:rsidR="00655D73" w:rsidRPr="00E07D82" w:rsidRDefault="00655D73" w:rsidP="00522545">
            <w:pPr>
              <w:pStyle w:val="TableTextEntries"/>
            </w:pPr>
          </w:p>
          <w:p w14:paraId="3DDD5B2A" w14:textId="77777777" w:rsidR="00A033D0" w:rsidRDefault="00A033D0" w:rsidP="00522545">
            <w:pPr>
              <w:pStyle w:val="TableTextEntries"/>
            </w:pPr>
          </w:p>
          <w:p w14:paraId="3DDD5B2B" w14:textId="77777777" w:rsidR="00655D73" w:rsidRPr="00E07D82" w:rsidRDefault="00655D73" w:rsidP="00522545">
            <w:pPr>
              <w:pStyle w:val="TableTextEntries"/>
            </w:pPr>
            <w:r w:rsidRPr="00E07D82">
              <w:t>2.5</w:t>
            </w:r>
          </w:p>
          <w:p w14:paraId="3DDD5B2C" w14:textId="77777777" w:rsidR="00655D73" w:rsidRPr="00E07D82" w:rsidRDefault="00655D73" w:rsidP="00522545">
            <w:pPr>
              <w:pStyle w:val="TableTextEntries"/>
            </w:pPr>
            <w:r w:rsidRPr="00E07D82">
              <w:t>5.1</w:t>
            </w:r>
          </w:p>
          <w:p w14:paraId="3DDD5B2D" w14:textId="77777777" w:rsidR="00655D73" w:rsidRPr="00E07D82" w:rsidRDefault="00655D73" w:rsidP="00522545">
            <w:pPr>
              <w:pStyle w:val="TableTextEntries"/>
            </w:pPr>
            <w:r w:rsidRPr="00E07D82">
              <w:t xml:space="preserve">1.5                </w:t>
            </w:r>
          </w:p>
        </w:tc>
        <w:tc>
          <w:tcPr>
            <w:tcW w:w="1426" w:type="dxa"/>
          </w:tcPr>
          <w:p w14:paraId="3DDD5B2E" w14:textId="77777777" w:rsidR="00655D73" w:rsidRPr="00E07D82" w:rsidRDefault="00655D73" w:rsidP="00522545">
            <w:pPr>
              <w:pStyle w:val="TableTextEntries"/>
            </w:pPr>
            <w:r w:rsidRPr="00E07D82">
              <w:t>23</w:t>
            </w:r>
          </w:p>
          <w:p w14:paraId="3DDD5B2F" w14:textId="77777777" w:rsidR="00655D73" w:rsidRPr="00E07D82" w:rsidRDefault="00655D73" w:rsidP="00522545">
            <w:pPr>
              <w:pStyle w:val="TableTextEntries"/>
            </w:pPr>
          </w:p>
          <w:p w14:paraId="3DDD5B30" w14:textId="77777777" w:rsidR="00655D73" w:rsidRPr="00E07D82" w:rsidRDefault="00655D73" w:rsidP="00522545">
            <w:pPr>
              <w:pStyle w:val="TableTextEntries"/>
            </w:pPr>
          </w:p>
          <w:p w14:paraId="3DDD5B31" w14:textId="77777777" w:rsidR="00A033D0" w:rsidRDefault="00A033D0" w:rsidP="00522545">
            <w:pPr>
              <w:pStyle w:val="TableTextEntries"/>
            </w:pPr>
          </w:p>
          <w:p w14:paraId="3DDD5B32" w14:textId="77777777" w:rsidR="00655D73" w:rsidRPr="00E07D82" w:rsidRDefault="00655D73" w:rsidP="00522545">
            <w:pPr>
              <w:pStyle w:val="TableTextEntries"/>
            </w:pPr>
            <w:r w:rsidRPr="00E07D82">
              <w:t>8</w:t>
            </w:r>
          </w:p>
          <w:p w14:paraId="3DDD5B33" w14:textId="77777777" w:rsidR="00655D73" w:rsidRPr="00E07D82" w:rsidRDefault="00655D73" w:rsidP="00522545">
            <w:pPr>
              <w:pStyle w:val="TableTextEntries"/>
            </w:pPr>
            <w:r w:rsidRPr="00E07D82">
              <w:t>16</w:t>
            </w:r>
          </w:p>
          <w:p w14:paraId="3DDD5B34" w14:textId="77777777" w:rsidR="00655D73" w:rsidRPr="00E07D82" w:rsidRDefault="00655D73" w:rsidP="00522545">
            <w:pPr>
              <w:pStyle w:val="TableTextEntries"/>
            </w:pPr>
            <w:r w:rsidRPr="00E07D82">
              <w:t>5</w:t>
            </w:r>
          </w:p>
        </w:tc>
      </w:tr>
    </w:tbl>
    <w:p w14:paraId="3DDD5B36" w14:textId="5988A6EE" w:rsidR="00655D73" w:rsidRPr="00E07D82" w:rsidRDefault="00655D73" w:rsidP="00C56CC1">
      <w:pPr>
        <w:pStyle w:val="Note"/>
      </w:pPr>
      <w:r w:rsidRPr="00E07D82">
        <w:t xml:space="preserve">Source: </w:t>
      </w:r>
      <w:r w:rsidR="008E7D7C">
        <w:t>DFAT</w:t>
      </w:r>
    </w:p>
    <w:p w14:paraId="3DDD5B37" w14:textId="77777777" w:rsidR="00655D73" w:rsidRPr="005D0E9B" w:rsidRDefault="00655D73" w:rsidP="00522545">
      <w:pPr>
        <w:pStyle w:val="Heading1"/>
      </w:pPr>
      <w:r w:rsidRPr="005D0E9B">
        <w:t>Progress towards objectives</w:t>
      </w:r>
    </w:p>
    <w:p w14:paraId="3DDD5B38" w14:textId="77777777" w:rsidR="00655D73" w:rsidRDefault="00655D73" w:rsidP="00522545">
      <w:pPr>
        <w:pStyle w:val="BodyText"/>
      </w:pPr>
      <w:r w:rsidRPr="00AD00A8">
        <w:t xml:space="preserve">From January 2012 </w:t>
      </w:r>
      <w:r w:rsidR="00065B9B" w:rsidRPr="00AD00A8">
        <w:t xml:space="preserve">to </w:t>
      </w:r>
      <w:r w:rsidRPr="00AD00A8">
        <w:t xml:space="preserve">May 2013, the Fiji </w:t>
      </w:r>
      <w:r w:rsidR="00786A00" w:rsidRPr="00AD00A8">
        <w:t>p</w:t>
      </w:r>
      <w:r w:rsidRPr="00AD00A8">
        <w:t>rogram’s education and health programs were</w:t>
      </w:r>
      <w:r w:rsidRPr="005743C8">
        <w:t xml:space="preserve"> </w:t>
      </w:r>
      <w:r w:rsidRPr="00644802">
        <w:t>independently assessed</w:t>
      </w:r>
      <w:r w:rsidRPr="00105972">
        <w:t xml:space="preserve"> as functioning well</w:t>
      </w:r>
      <w:r>
        <w:rPr>
          <w:rStyle w:val="FootnoteReference"/>
        </w:rPr>
        <w:footnoteReference w:id="28"/>
      </w:r>
      <w:r w:rsidRPr="00105972">
        <w:t>, transition to democracy activities directly contributed to successful</w:t>
      </w:r>
      <w:r w:rsidR="00946B1E">
        <w:t xml:space="preserve"> outcomes</w:t>
      </w:r>
      <w:r>
        <w:t>, and the new</w:t>
      </w:r>
      <w:r w:rsidRPr="00105972">
        <w:t xml:space="preserve"> </w:t>
      </w:r>
      <w:r w:rsidR="005412DD">
        <w:t>Fiji Community Dev</w:t>
      </w:r>
      <w:r w:rsidR="00513B92">
        <w:t>e</w:t>
      </w:r>
      <w:r w:rsidR="005412DD">
        <w:t>lopment Program</w:t>
      </w:r>
      <w:r w:rsidR="006C65DA">
        <w:t xml:space="preserve"> (FCDP)</w:t>
      </w:r>
      <w:r w:rsidR="005412DD">
        <w:t xml:space="preserve"> </w:t>
      </w:r>
      <w:r w:rsidR="00C71A3F">
        <w:t>was</w:t>
      </w:r>
      <w:r w:rsidR="005412DD">
        <w:t xml:space="preserve"> </w:t>
      </w:r>
      <w:r>
        <w:t>mobilised. The</w:t>
      </w:r>
      <w:r w:rsidR="00911E84">
        <w:t xml:space="preserve"> Fiji bilateral</w:t>
      </w:r>
      <w:r>
        <w:t xml:space="preserve"> </w:t>
      </w:r>
      <w:r w:rsidR="00065B9B">
        <w:t>p</w:t>
      </w:r>
      <w:r>
        <w:t xml:space="preserve">rogram responded well to three </w:t>
      </w:r>
      <w:r w:rsidRPr="00105972">
        <w:t>natural disasters</w:t>
      </w:r>
      <w:r>
        <w:t>. It also scaled up its activities in response to the Government’s decision to double bilateral aid to Fiji to $37 million by 2013</w:t>
      </w:r>
      <w:r w:rsidR="00065B9B">
        <w:t>–</w:t>
      </w:r>
      <w:r>
        <w:t>14. The increased tempo and scale of work ha</w:t>
      </w:r>
      <w:r w:rsidR="00513B92">
        <w:t>ve</w:t>
      </w:r>
      <w:r>
        <w:t xml:space="preserve"> stretched current human resources.</w:t>
      </w:r>
    </w:p>
    <w:p w14:paraId="3DDD5B39" w14:textId="77777777" w:rsidR="00655D73" w:rsidRDefault="00655D73" w:rsidP="00522545">
      <w:pPr>
        <w:pStyle w:val="BodyText"/>
      </w:pPr>
      <w:r w:rsidRPr="00105972">
        <w:t xml:space="preserve">In 2012, a gender stocktake was </w:t>
      </w:r>
      <w:r>
        <w:t xml:space="preserve">undertaken on the Fiji </w:t>
      </w:r>
      <w:r w:rsidR="00786A00">
        <w:t>p</w:t>
      </w:r>
      <w:r w:rsidRPr="00105972">
        <w:t>rogram</w:t>
      </w:r>
      <w:r w:rsidR="00BB5B24">
        <w:t>, assessing</w:t>
      </w:r>
      <w:r w:rsidRPr="00105972">
        <w:t xml:space="preserve"> how gender equality and women’s empower</w:t>
      </w:r>
      <w:r>
        <w:t>ment are incorporated</w:t>
      </w:r>
      <w:r w:rsidRPr="00105972">
        <w:t>.</w:t>
      </w:r>
      <w:r>
        <w:t xml:space="preserve"> The </w:t>
      </w:r>
      <w:r w:rsidR="00786A00">
        <w:t>p</w:t>
      </w:r>
      <w:r>
        <w:t xml:space="preserve">rogram is responding to </w:t>
      </w:r>
      <w:r w:rsidR="00BB5B24">
        <w:t xml:space="preserve">stocktake </w:t>
      </w:r>
      <w:r>
        <w:t>recommendations.</w:t>
      </w:r>
    </w:p>
    <w:p w14:paraId="3DDD5B3A" w14:textId="77777777" w:rsidR="00655D73" w:rsidRPr="00105972" w:rsidRDefault="00655D73" w:rsidP="00522545">
      <w:pPr>
        <w:pStyle w:val="Caption"/>
      </w:pPr>
      <w:r w:rsidRPr="00105972">
        <w:t xml:space="preserve">Table </w:t>
      </w:r>
      <w:r w:rsidR="00852C85">
        <w:fldChar w:fldCharType="begin"/>
      </w:r>
      <w:r w:rsidR="00852C85">
        <w:instrText xml:space="preserve"> SEQ Table \* ARABIC </w:instrText>
      </w:r>
      <w:r w:rsidR="00852C85">
        <w:fldChar w:fldCharType="separate"/>
      </w:r>
      <w:r w:rsidR="00641DDF">
        <w:rPr>
          <w:noProof/>
        </w:rPr>
        <w:t>2</w:t>
      </w:r>
      <w:r w:rsidR="00852C85">
        <w:rPr>
          <w:noProof/>
        </w:rPr>
        <w:fldChar w:fldCharType="end"/>
      </w:r>
      <w:r w:rsidRPr="00105972">
        <w:t xml:space="preserve"> Rating of the program's progress towards the objectives </w:t>
      </w:r>
    </w:p>
    <w:tbl>
      <w:tblPr>
        <w:tblStyle w:val="APPR"/>
        <w:tblW w:w="5000" w:type="pct"/>
        <w:tblLook w:val="0000" w:firstRow="0" w:lastRow="0" w:firstColumn="0" w:lastColumn="0" w:noHBand="0" w:noVBand="0"/>
      </w:tblPr>
      <w:tblGrid>
        <w:gridCol w:w="6426"/>
        <w:gridCol w:w="1057"/>
        <w:gridCol w:w="1123"/>
      </w:tblGrid>
      <w:tr w:rsidR="00522545" w:rsidRPr="00105972" w14:paraId="3DDD5B3E" w14:textId="77777777" w:rsidTr="00522545">
        <w:trPr>
          <w:cnfStyle w:val="000000010000" w:firstRow="0" w:lastRow="0" w:firstColumn="0" w:lastColumn="0" w:oddVBand="0" w:evenVBand="0" w:oddHBand="0" w:evenHBand="1" w:firstRowFirstColumn="0" w:firstRowLastColumn="0" w:lastRowFirstColumn="0" w:lastRowLastColumn="0"/>
        </w:trPr>
        <w:tc>
          <w:tcPr>
            <w:tcW w:w="6029" w:type="dxa"/>
          </w:tcPr>
          <w:p w14:paraId="3DDD5B3B" w14:textId="77777777" w:rsidR="00522545" w:rsidRPr="00522545" w:rsidRDefault="00522545" w:rsidP="00522545">
            <w:pPr>
              <w:pStyle w:val="TableTextColumnHeading"/>
            </w:pPr>
            <w:r w:rsidRPr="00522545">
              <w:rPr>
                <w:noProof/>
                <w:lang w:eastAsia="en-AU"/>
              </w:rPr>
              <w:drawing>
                <wp:anchor distT="0" distB="0" distL="114300" distR="114300" simplePos="0" relativeHeight="251661312" behindDoc="0" locked="0" layoutInCell="1" allowOverlap="1" wp14:anchorId="3DDD5D70" wp14:editId="3DDD5D71">
                  <wp:simplePos x="0" y="0"/>
                  <wp:positionH relativeFrom="column">
                    <wp:posOffset>0</wp:posOffset>
                  </wp:positionH>
                  <wp:positionV relativeFrom="paragraph">
                    <wp:posOffset>0</wp:posOffset>
                  </wp:positionV>
                  <wp:extent cx="1857375" cy="228600"/>
                  <wp:effectExtent l="0" t="0" r="9525" b="0"/>
                  <wp:wrapNone/>
                  <wp:docPr id="11" name="Picture 1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anchor>
              </w:drawing>
            </w:r>
            <w:r w:rsidRPr="00522545">
              <w:t>Objective</w:t>
            </w:r>
          </w:p>
        </w:tc>
        <w:tc>
          <w:tcPr>
            <w:tcW w:w="972" w:type="dxa"/>
          </w:tcPr>
          <w:p w14:paraId="3DDD5B3C" w14:textId="77777777" w:rsidR="00522545" w:rsidRPr="00522545" w:rsidRDefault="00522545" w:rsidP="00522545">
            <w:pPr>
              <w:pStyle w:val="TableTextColumnHeading"/>
            </w:pPr>
            <w:r w:rsidRPr="00522545">
              <w:t>Current rating</w:t>
            </w:r>
          </w:p>
        </w:tc>
        <w:tc>
          <w:tcPr>
            <w:tcW w:w="1021" w:type="dxa"/>
          </w:tcPr>
          <w:p w14:paraId="3DDD5B3D" w14:textId="77777777" w:rsidR="00522545" w:rsidRPr="00522545" w:rsidRDefault="00522545" w:rsidP="00522545">
            <w:pPr>
              <w:pStyle w:val="TableTextColumnHeading"/>
            </w:pPr>
            <w:r w:rsidRPr="00522545">
              <w:t>Previous rating</w:t>
            </w:r>
          </w:p>
        </w:tc>
      </w:tr>
      <w:tr w:rsidR="00522545" w:rsidRPr="00E07D82" w14:paraId="3DDD5B42" w14:textId="77777777" w:rsidTr="00522545">
        <w:trPr>
          <w:cnfStyle w:val="000000010000" w:firstRow="0" w:lastRow="0" w:firstColumn="0" w:lastColumn="0" w:oddVBand="0" w:evenVBand="0" w:oddHBand="0" w:evenHBand="1" w:firstRowFirstColumn="0" w:firstRowLastColumn="0" w:lastRowFirstColumn="0" w:lastRowLastColumn="0"/>
        </w:trPr>
        <w:tc>
          <w:tcPr>
            <w:tcW w:w="6029" w:type="dxa"/>
          </w:tcPr>
          <w:p w14:paraId="3DDD5B3F" w14:textId="77777777" w:rsidR="00522545" w:rsidRPr="00522545" w:rsidRDefault="00522545" w:rsidP="00522545">
            <w:pPr>
              <w:pStyle w:val="TableTextEntries"/>
            </w:pPr>
            <w:r w:rsidRPr="00522545">
              <w:t>Objective 1 Improving access to quality education</w:t>
            </w:r>
          </w:p>
        </w:tc>
        <w:tc>
          <w:tcPr>
            <w:tcW w:w="972" w:type="dxa"/>
            <w:shd w:val="clear" w:color="auto" w:fill="92D050"/>
            <w:noWrap/>
          </w:tcPr>
          <w:p w14:paraId="3DDD5B40" w14:textId="77777777" w:rsidR="00522545" w:rsidRPr="00522545" w:rsidRDefault="00522545" w:rsidP="00522545">
            <w:pPr>
              <w:pStyle w:val="TableTextEntries"/>
            </w:pPr>
            <w:r w:rsidRPr="00522545">
              <w:t>Green</w:t>
            </w:r>
          </w:p>
        </w:tc>
        <w:tc>
          <w:tcPr>
            <w:tcW w:w="1021" w:type="dxa"/>
            <w:shd w:val="clear" w:color="auto" w:fill="92D050"/>
            <w:noWrap/>
          </w:tcPr>
          <w:p w14:paraId="3DDD5B41" w14:textId="77777777" w:rsidR="00522545" w:rsidRPr="00522545" w:rsidRDefault="00522545" w:rsidP="00522545">
            <w:pPr>
              <w:pStyle w:val="TableTextEntries"/>
            </w:pPr>
            <w:r w:rsidRPr="00522545">
              <w:t>Green</w:t>
            </w:r>
          </w:p>
        </w:tc>
      </w:tr>
      <w:tr w:rsidR="00522545" w:rsidRPr="00E07D82" w14:paraId="3DDD5B46" w14:textId="77777777" w:rsidTr="00522545">
        <w:trPr>
          <w:cnfStyle w:val="000000010000" w:firstRow="0" w:lastRow="0" w:firstColumn="0" w:lastColumn="0" w:oddVBand="0" w:evenVBand="0" w:oddHBand="0" w:evenHBand="1" w:firstRowFirstColumn="0" w:firstRowLastColumn="0" w:lastRowFirstColumn="0" w:lastRowLastColumn="0"/>
        </w:trPr>
        <w:tc>
          <w:tcPr>
            <w:tcW w:w="6029" w:type="dxa"/>
          </w:tcPr>
          <w:p w14:paraId="3DDD5B43" w14:textId="77777777" w:rsidR="00522545" w:rsidRPr="00522545" w:rsidRDefault="00522545" w:rsidP="00522545">
            <w:pPr>
              <w:pStyle w:val="TableTextEntries"/>
            </w:pPr>
            <w:r w:rsidRPr="00522545">
              <w:t>Objective 2 Strengthening primary health services</w:t>
            </w:r>
          </w:p>
        </w:tc>
        <w:tc>
          <w:tcPr>
            <w:tcW w:w="972" w:type="dxa"/>
            <w:shd w:val="clear" w:color="auto" w:fill="92D050"/>
            <w:noWrap/>
          </w:tcPr>
          <w:p w14:paraId="3DDD5B44" w14:textId="77777777" w:rsidR="00522545" w:rsidRPr="00522545" w:rsidRDefault="00522545" w:rsidP="00522545">
            <w:pPr>
              <w:pStyle w:val="TableTextEntries"/>
            </w:pPr>
            <w:r w:rsidRPr="00522545">
              <w:t>Green</w:t>
            </w:r>
          </w:p>
        </w:tc>
        <w:tc>
          <w:tcPr>
            <w:tcW w:w="1021" w:type="dxa"/>
            <w:shd w:val="clear" w:color="auto" w:fill="92D050"/>
            <w:noWrap/>
          </w:tcPr>
          <w:p w14:paraId="3DDD5B45" w14:textId="77777777" w:rsidR="00522545" w:rsidRPr="00522545" w:rsidRDefault="00522545" w:rsidP="00522545">
            <w:pPr>
              <w:pStyle w:val="TableTextEntries"/>
            </w:pPr>
            <w:r w:rsidRPr="00522545">
              <w:t>Green</w:t>
            </w:r>
          </w:p>
        </w:tc>
      </w:tr>
      <w:tr w:rsidR="00522545" w:rsidRPr="00E07D82" w14:paraId="3DDD5B4A" w14:textId="77777777" w:rsidTr="00522545">
        <w:trPr>
          <w:cnfStyle w:val="000000010000" w:firstRow="0" w:lastRow="0" w:firstColumn="0" w:lastColumn="0" w:oddVBand="0" w:evenVBand="0" w:oddHBand="0" w:evenHBand="1" w:firstRowFirstColumn="0" w:firstRowLastColumn="0" w:lastRowFirstColumn="0" w:lastRowLastColumn="0"/>
        </w:trPr>
        <w:tc>
          <w:tcPr>
            <w:tcW w:w="6029" w:type="dxa"/>
          </w:tcPr>
          <w:p w14:paraId="3DDD5B47" w14:textId="77777777" w:rsidR="00522545" w:rsidRPr="00522545" w:rsidRDefault="00522545" w:rsidP="00522545">
            <w:pPr>
              <w:pStyle w:val="TableTextEntries"/>
            </w:pPr>
            <w:r w:rsidRPr="00522545">
              <w:t>Objective 3 Building resilience and economic opportunities in disadvantaged communities, including support to civil society organisations</w:t>
            </w:r>
          </w:p>
        </w:tc>
        <w:tc>
          <w:tcPr>
            <w:tcW w:w="972" w:type="dxa"/>
            <w:shd w:val="clear" w:color="auto" w:fill="92D050"/>
            <w:noWrap/>
          </w:tcPr>
          <w:p w14:paraId="3DDD5B48" w14:textId="77777777" w:rsidR="00522545" w:rsidRPr="00522545" w:rsidRDefault="00522545" w:rsidP="00522545">
            <w:pPr>
              <w:pStyle w:val="TableTextEntries"/>
            </w:pPr>
            <w:r w:rsidRPr="00522545">
              <w:t>Green</w:t>
            </w:r>
          </w:p>
        </w:tc>
        <w:tc>
          <w:tcPr>
            <w:tcW w:w="1021" w:type="dxa"/>
            <w:shd w:val="clear" w:color="auto" w:fill="FABF8F" w:themeFill="accent6" w:themeFillTint="99"/>
            <w:noWrap/>
          </w:tcPr>
          <w:p w14:paraId="3DDD5B49" w14:textId="77777777" w:rsidR="00522545" w:rsidRPr="00522545" w:rsidRDefault="00522545" w:rsidP="00522545">
            <w:pPr>
              <w:pStyle w:val="TableTextEntries"/>
            </w:pPr>
            <w:r w:rsidRPr="00522545">
              <w:t>Amber</w:t>
            </w:r>
          </w:p>
        </w:tc>
      </w:tr>
    </w:tbl>
    <w:p w14:paraId="3DDD5B4B" w14:textId="77777777" w:rsidR="00655D73" w:rsidRPr="00E07D82" w:rsidRDefault="00655D73" w:rsidP="00522545">
      <w:pPr>
        <w:pStyle w:val="Note"/>
      </w:pPr>
      <w:r w:rsidRPr="00E07D82">
        <w:t xml:space="preserve">Note: </w:t>
      </w:r>
    </w:p>
    <w:p w14:paraId="3DDD5B4C" w14:textId="77777777" w:rsidR="00655D73" w:rsidRPr="00E07D82" w:rsidRDefault="00655D73" w:rsidP="00522545">
      <w:pPr>
        <w:pStyle w:val="Note"/>
      </w:pPr>
      <w:r w:rsidRPr="00E07D82">
        <w:rPr>
          <w:color w:val="92D050"/>
          <w14:textFill>
            <w14:solidFill>
              <w14:srgbClr w14:val="92D050">
                <w14:lumMod w14:val="60000"/>
                <w14:lumOff w14:val="40000"/>
              </w14:srgbClr>
            </w14:solidFill>
          </w14:textFill>
        </w:rPr>
        <w:sym w:font="Webdings" w:char="F067"/>
      </w:r>
      <w:r w:rsidRPr="00E07D82">
        <w:t> </w:t>
      </w:r>
      <w:r w:rsidRPr="00E07D82">
        <w:t xml:space="preserve"> Green. Progress is as expected for this point in time and it is likely that the objective will be achieved. Standard program management practices are sufficient.</w:t>
      </w:r>
    </w:p>
    <w:p w14:paraId="3DDD5B4D" w14:textId="77777777" w:rsidR="00655D73" w:rsidRPr="00E07D82" w:rsidRDefault="00655D73" w:rsidP="00522545">
      <w:pPr>
        <w:pStyle w:val="Note"/>
      </w:pPr>
      <w:r w:rsidRPr="004C7296">
        <w:rPr>
          <w:color w:val="FABF8F" w:themeColor="accent6" w:themeTint="99"/>
        </w:rPr>
        <w:sym w:font="Webdings" w:char="F067"/>
      </w:r>
      <w:r w:rsidRPr="00E07D82">
        <w:t> </w:t>
      </w:r>
      <w:r w:rsidRPr="00E07D82">
        <w:t xml:space="preserve"> Amber. Progress is somewhat less than expected for this point in time and restorative action will be necessary if the objective is to be achieved. Close performance monitoring is recommended.</w:t>
      </w:r>
    </w:p>
    <w:p w14:paraId="3DDD5B4E" w14:textId="77777777" w:rsidR="00655D73" w:rsidRPr="00E07D82" w:rsidRDefault="00655D73" w:rsidP="00522545">
      <w:pPr>
        <w:pStyle w:val="Note"/>
      </w:pPr>
      <w:r w:rsidRPr="004C7296">
        <w:rPr>
          <w:color w:val="FF0000"/>
        </w:rPr>
        <w:sym w:font="Webdings" w:char="F067"/>
      </w:r>
      <w:r w:rsidRPr="004C7296">
        <w:rPr>
          <w:color w:val="FF0000"/>
        </w:rPr>
        <w:t> </w:t>
      </w:r>
      <w:r w:rsidRPr="004C7296">
        <w:rPr>
          <w:color w:val="FF0000"/>
        </w:rPr>
        <w:t xml:space="preserve"> </w:t>
      </w:r>
      <w:r w:rsidRPr="00E07D82">
        <w:t xml:space="preserve">Red. Progress is significantly less than expected for this point in time and the objective is not likely to be met given available resources and priorities. Recasting the objective may be required. </w:t>
      </w:r>
    </w:p>
    <w:p w14:paraId="3DDD5B4F" w14:textId="77777777" w:rsidR="00655D73" w:rsidRPr="00E07D82" w:rsidRDefault="00655D73" w:rsidP="00283861">
      <w:pPr>
        <w:pStyle w:val="Heading2"/>
      </w:pPr>
      <w:r w:rsidRPr="00283861">
        <w:rPr>
          <w:rStyle w:val="Heading2Char"/>
        </w:rPr>
        <w:t>Objective</w:t>
      </w:r>
      <w:r w:rsidRPr="00E07D82">
        <w:t xml:space="preserve"> </w:t>
      </w:r>
      <w:r w:rsidR="00BB5B24">
        <w:t>1</w:t>
      </w:r>
      <w:r w:rsidRPr="00E07D82">
        <w:t xml:space="preserve">: </w:t>
      </w:r>
      <w:r w:rsidR="00BB5B24" w:rsidRPr="00522545">
        <w:t>Improving</w:t>
      </w:r>
      <w:r w:rsidR="00BB5B24">
        <w:t xml:space="preserve"> q</w:t>
      </w:r>
      <w:r w:rsidRPr="00E07D82">
        <w:t xml:space="preserve">uality </w:t>
      </w:r>
      <w:r w:rsidR="00BB5B24">
        <w:t>e</w:t>
      </w:r>
      <w:r w:rsidRPr="00E07D82">
        <w:t>ducation</w:t>
      </w:r>
    </w:p>
    <w:p w14:paraId="3DDD5B50" w14:textId="55D4395E" w:rsidR="00BD3620" w:rsidRDefault="00BD3620" w:rsidP="00522545">
      <w:pPr>
        <w:pStyle w:val="BodyText"/>
      </w:pPr>
      <w:r w:rsidRPr="00105972">
        <w:t xml:space="preserve">Australia is the only </w:t>
      </w:r>
      <w:r>
        <w:t xml:space="preserve">significant </w:t>
      </w:r>
      <w:r w:rsidRPr="00105972">
        <w:t xml:space="preserve">donor in the education sector </w:t>
      </w:r>
      <w:r w:rsidR="00BB5B24">
        <w:t xml:space="preserve">in Fiji, </w:t>
      </w:r>
      <w:r w:rsidRPr="00105972">
        <w:t>and public funding for education in</w:t>
      </w:r>
      <w:r w:rsidR="00BB5B24">
        <w:t>-country</w:t>
      </w:r>
      <w:r w:rsidRPr="00105972">
        <w:t xml:space="preserve"> is under pressure</w:t>
      </w:r>
      <w:r w:rsidR="00AD2C60">
        <w:t xml:space="preserve">. </w:t>
      </w:r>
      <w:r w:rsidR="00BB5B24">
        <w:t>T</w:t>
      </w:r>
      <w:r w:rsidRPr="00105972">
        <w:t>he 2013 national Fiji budget</w:t>
      </w:r>
      <w:r w:rsidR="00BB5B24">
        <w:t xml:space="preserve"> increased the</w:t>
      </w:r>
      <w:r w:rsidRPr="00105972">
        <w:t xml:space="preserve"> education budget by around 4</w:t>
      </w:r>
      <w:r>
        <w:t>.2</w:t>
      </w:r>
      <w:r w:rsidRPr="00105972">
        <w:t xml:space="preserve"> per cent</w:t>
      </w:r>
      <w:r w:rsidRPr="00C12904">
        <w:rPr>
          <w:rStyle w:val="FootnoteReference"/>
        </w:rPr>
        <w:footnoteReference w:id="29"/>
      </w:r>
      <w:r>
        <w:t xml:space="preserve"> </w:t>
      </w:r>
      <w:r w:rsidR="00BB5B24">
        <w:t>over</w:t>
      </w:r>
      <w:r>
        <w:t xml:space="preserve"> 2012</w:t>
      </w:r>
      <w:r w:rsidR="00AD2C60">
        <w:t xml:space="preserve">. </w:t>
      </w:r>
      <w:r>
        <w:t>Even so</w:t>
      </w:r>
      <w:r w:rsidRPr="00105972">
        <w:t>, education spending continu</w:t>
      </w:r>
      <w:r w:rsidR="00BB5B24">
        <w:t>ed</w:t>
      </w:r>
      <w:r w:rsidRPr="00105972">
        <w:t xml:space="preserve"> </w:t>
      </w:r>
      <w:r w:rsidR="00946B1E">
        <w:t>to trend downwards</w:t>
      </w:r>
      <w:r w:rsidRPr="00105972">
        <w:t xml:space="preserve"> to </w:t>
      </w:r>
      <w:r>
        <w:t>an estimated</w:t>
      </w:r>
      <w:r w:rsidRPr="00105972">
        <w:t xml:space="preserve"> 3.5 per cent of GDP</w:t>
      </w:r>
      <w:r>
        <w:t xml:space="preserve"> in 2013</w:t>
      </w:r>
      <w:r w:rsidRPr="00105972">
        <w:t xml:space="preserve">. This is considered low by international standards </w:t>
      </w:r>
      <w:r w:rsidR="00FD454E">
        <w:t xml:space="preserve">—the </w:t>
      </w:r>
      <w:r w:rsidR="00BB5B24" w:rsidRPr="00283861">
        <w:t xml:space="preserve">United Nations Educational, Scientific and Cultural </w:t>
      </w:r>
      <w:r w:rsidR="00BB5B24" w:rsidRPr="00283861">
        <w:lastRenderedPageBreak/>
        <w:t>Organization</w:t>
      </w:r>
      <w:r>
        <w:t xml:space="preserve"> recommends</w:t>
      </w:r>
      <w:r w:rsidRPr="00105972">
        <w:t xml:space="preserve"> 6</w:t>
      </w:r>
      <w:r>
        <w:t> </w:t>
      </w:r>
      <w:r w:rsidRPr="00105972">
        <w:t>per cent share of GDP</w:t>
      </w:r>
      <w:r>
        <w:t>—</w:t>
      </w:r>
      <w:r w:rsidRPr="00A42A50">
        <w:rPr>
          <w:szCs w:val="22"/>
          <w:vertAlign w:val="superscript"/>
        </w:rPr>
        <w:footnoteReference w:id="30"/>
      </w:r>
      <w:r w:rsidR="00960A60">
        <w:t xml:space="preserve"> </w:t>
      </w:r>
      <w:r w:rsidRPr="00B848E7">
        <w:t>and well down from 7.7 per cent in 2001.</w:t>
      </w:r>
    </w:p>
    <w:p w14:paraId="3DDD5B51" w14:textId="77777777" w:rsidR="00C21C20" w:rsidRDefault="00C21C20" w:rsidP="00522545">
      <w:pPr>
        <w:pStyle w:val="BodyText"/>
      </w:pPr>
      <w:r w:rsidRPr="00B303B0">
        <w:t>Fiji is the only Melanesian country on t</w:t>
      </w:r>
      <w:r w:rsidR="00B56ABC">
        <w:t xml:space="preserve">rack to fully achieve MDG </w:t>
      </w:r>
      <w:r w:rsidRPr="00B303B0">
        <w:t>2</w:t>
      </w:r>
      <w:r w:rsidR="00FD454E">
        <w:t>—u</w:t>
      </w:r>
      <w:r w:rsidRPr="00B303B0">
        <w:t xml:space="preserve">niversal </w:t>
      </w:r>
      <w:r w:rsidR="00FD454E">
        <w:t>p</w:t>
      </w:r>
      <w:r w:rsidRPr="00B303B0">
        <w:t xml:space="preserve">rimary </w:t>
      </w:r>
      <w:r w:rsidR="00FD454E">
        <w:t>e</w:t>
      </w:r>
      <w:r w:rsidRPr="00B303B0">
        <w:t>ducation by 2015</w:t>
      </w:r>
      <w:r w:rsidR="00AD00A8">
        <w:t>.</w:t>
      </w:r>
      <w:r w:rsidR="00D13D44">
        <w:rPr>
          <w:rStyle w:val="FootnoteReference"/>
        </w:rPr>
        <w:footnoteReference w:id="31"/>
      </w:r>
      <w:r w:rsidR="00D9700A">
        <w:rPr>
          <w:vertAlign w:val="superscript"/>
        </w:rPr>
        <w:t xml:space="preserve"> </w:t>
      </w:r>
      <w:r w:rsidR="00AD00A8">
        <w:t>F</w:t>
      </w:r>
      <w:r w:rsidRPr="00B303B0">
        <w:t>or several years</w:t>
      </w:r>
      <w:r w:rsidR="00AD00A8">
        <w:t xml:space="preserve"> the country</w:t>
      </w:r>
      <w:r w:rsidRPr="00B303B0">
        <w:t xml:space="preserve"> has repor</w:t>
      </w:r>
      <w:r w:rsidR="00B56ABC">
        <w:t>t</w:t>
      </w:r>
      <w:r w:rsidR="00FD454E">
        <w:t>ed</w:t>
      </w:r>
      <w:r w:rsidR="00B56ABC">
        <w:t xml:space="preserve"> literacy rates among</w:t>
      </w:r>
      <w:r w:rsidRPr="00B303B0">
        <w:t xml:space="preserve"> 15 to 24 year olds approaching 100 per cent. However, an estimated 6000</w:t>
      </w:r>
      <w:r w:rsidR="00D13D44">
        <w:rPr>
          <w:rStyle w:val="FootnoteReference"/>
        </w:rPr>
        <w:footnoteReference w:id="32"/>
      </w:r>
      <w:r w:rsidR="00B56ABC">
        <w:t xml:space="preserve"> </w:t>
      </w:r>
      <w:r w:rsidRPr="00B303B0">
        <w:t>children</w:t>
      </w:r>
      <w:r w:rsidR="00B56ABC">
        <w:t xml:space="preserve"> in Fiji</w:t>
      </w:r>
      <w:r w:rsidRPr="00B303B0">
        <w:t xml:space="preserve"> aged 6 </w:t>
      </w:r>
      <w:r w:rsidR="00FD454E">
        <w:t>to</w:t>
      </w:r>
      <w:r w:rsidRPr="00B303B0">
        <w:t xml:space="preserve"> 14 years do not attend school each year (around 4 per cent of the relevant population group) and anecdotal reports</w:t>
      </w:r>
      <w:r w:rsidR="00FD454E">
        <w:t xml:space="preserve"> indicate</w:t>
      </w:r>
      <w:r w:rsidRPr="00B303B0">
        <w:t xml:space="preserve"> drop-</w:t>
      </w:r>
      <w:r w:rsidR="00B56ABC">
        <w:t>out rates</w:t>
      </w:r>
      <w:r w:rsidR="00FD454E">
        <w:t xml:space="preserve"> are increasing</w:t>
      </w:r>
      <w:r w:rsidR="00B56ABC">
        <w:t>. This suggests</w:t>
      </w:r>
      <w:r w:rsidRPr="00B303B0">
        <w:t xml:space="preserve"> an issue with student engagement.</w:t>
      </w:r>
    </w:p>
    <w:p w14:paraId="3DDD5B52" w14:textId="77777777" w:rsidR="00880D6A" w:rsidRPr="00522545" w:rsidRDefault="00880D6A" w:rsidP="00522545">
      <w:pPr>
        <w:pStyle w:val="Heading3"/>
      </w:pPr>
      <w:r w:rsidRPr="00522545">
        <w:t>Access to Quality Education Program</w:t>
      </w:r>
    </w:p>
    <w:p w14:paraId="3DDD5B53" w14:textId="77777777" w:rsidR="00FD454E" w:rsidRDefault="00655D73" w:rsidP="00522545">
      <w:pPr>
        <w:pStyle w:val="BodyText"/>
      </w:pPr>
      <w:r>
        <w:t xml:space="preserve">Due to its </w:t>
      </w:r>
      <w:r w:rsidRPr="00412FE9">
        <w:t xml:space="preserve">capacity </w:t>
      </w:r>
      <w:r>
        <w:t>to influence the</w:t>
      </w:r>
      <w:r w:rsidR="00FD454E">
        <w:t xml:space="preserve"> country’s</w:t>
      </w:r>
      <w:r>
        <w:t xml:space="preserve"> long-term development potential, </w:t>
      </w:r>
      <w:r w:rsidR="00FD454E">
        <w:t>Australia’s five-year</w:t>
      </w:r>
      <w:r w:rsidR="00FD454E" w:rsidRPr="00105972">
        <w:t xml:space="preserve"> </w:t>
      </w:r>
      <w:r w:rsidRPr="00105972">
        <w:t xml:space="preserve">Access to Quality Education </w:t>
      </w:r>
      <w:r>
        <w:t>Program (AQEP)</w:t>
      </w:r>
      <w:r w:rsidR="00FD454E">
        <w:t>, managed by GRM International,</w:t>
      </w:r>
      <w:r>
        <w:t xml:space="preserve"> </w:t>
      </w:r>
      <w:r w:rsidR="00FD454E">
        <w:t xml:space="preserve">remains </w:t>
      </w:r>
      <w:r>
        <w:t xml:space="preserve">a </w:t>
      </w:r>
      <w:r w:rsidRPr="00105972">
        <w:t>cornerstone of</w:t>
      </w:r>
      <w:r>
        <w:t xml:space="preserve"> the Fiji </w:t>
      </w:r>
      <w:r w:rsidR="00786A00">
        <w:t>p</w:t>
      </w:r>
      <w:r>
        <w:t xml:space="preserve">rogram. Its objective is to assist the poorest and most vulnerable children, including those with disability, </w:t>
      </w:r>
      <w:r w:rsidR="00AD00A8">
        <w:t xml:space="preserve">to </w:t>
      </w:r>
      <w:r>
        <w:t>attend school more regularly and have access to higher quality teaching.</w:t>
      </w:r>
      <w:r w:rsidRPr="00105972">
        <w:t xml:space="preserve"> </w:t>
      </w:r>
    </w:p>
    <w:p w14:paraId="3DDD5B54" w14:textId="77777777" w:rsidR="00655D73" w:rsidRDefault="00655D73" w:rsidP="00522545">
      <w:pPr>
        <w:pStyle w:val="BodyText"/>
      </w:pPr>
      <w:r>
        <w:t>AQEP is</w:t>
      </w:r>
      <w:r w:rsidR="00FD454E">
        <w:t xml:space="preserve"> </w:t>
      </w:r>
      <w:r>
        <w:t xml:space="preserve">implemented in two phases. Phase </w:t>
      </w:r>
      <w:r w:rsidR="00FD454E">
        <w:t xml:space="preserve">1 </w:t>
      </w:r>
      <w:r>
        <w:t>operates for two years (2011</w:t>
      </w:r>
      <w:r w:rsidR="00FD454E">
        <w:t>–</w:t>
      </w:r>
      <w:r>
        <w:t>2013) and is worth an estimated $11.7 million</w:t>
      </w:r>
      <w:r w:rsidRPr="00F91CCA">
        <w:t>.</w:t>
      </w:r>
      <w:r>
        <w:t xml:space="preserve"> Approval has been granted for AQEP Phase </w:t>
      </w:r>
      <w:r w:rsidR="00FD454E">
        <w:t>2 (</w:t>
      </w:r>
      <w:r>
        <w:t>July 2013 to July 2016</w:t>
      </w:r>
      <w:r w:rsidR="00FD454E">
        <w:t>)</w:t>
      </w:r>
      <w:r>
        <w:t xml:space="preserve">. </w:t>
      </w:r>
    </w:p>
    <w:p w14:paraId="3DDD5B55" w14:textId="77777777" w:rsidR="00880D6A" w:rsidRDefault="00880D6A" w:rsidP="00522545">
      <w:pPr>
        <w:pStyle w:val="Heading3"/>
      </w:pPr>
      <w:r>
        <w:t xml:space="preserve">AQEP components </w:t>
      </w:r>
    </w:p>
    <w:p w14:paraId="3DDD5B56" w14:textId="77777777" w:rsidR="00655D73" w:rsidRDefault="00655D73" w:rsidP="00522545">
      <w:pPr>
        <w:pStyle w:val="BodyText"/>
      </w:pPr>
      <w:r>
        <w:t>AQEP comprise</w:t>
      </w:r>
      <w:r w:rsidR="00FD454E">
        <w:t>s</w:t>
      </w:r>
      <w:r>
        <w:t xml:space="preserve"> three components: </w:t>
      </w:r>
    </w:p>
    <w:p w14:paraId="3DDD5B57" w14:textId="77777777" w:rsidR="00655D73" w:rsidRPr="00105972" w:rsidRDefault="00655D73" w:rsidP="00522545">
      <w:pPr>
        <w:pStyle w:val="BodyText"/>
      </w:pPr>
      <w:r w:rsidRPr="0051525E">
        <w:rPr>
          <w:b/>
        </w:rPr>
        <w:t xml:space="preserve">Component </w:t>
      </w:r>
      <w:r w:rsidR="00FD454E">
        <w:rPr>
          <w:b/>
        </w:rPr>
        <w:t>1</w:t>
      </w:r>
      <w:r w:rsidRPr="0051525E">
        <w:t xml:space="preserve">: </w:t>
      </w:r>
      <w:r w:rsidR="00FD454E">
        <w:t>M</w:t>
      </w:r>
      <w:r w:rsidRPr="0051525E">
        <w:t>itigating the effects of political instability and the global economic crisis on the most vulnerable through reducing barriers to accessing primary education</w:t>
      </w:r>
      <w:r w:rsidR="00FD454E">
        <w:t>.</w:t>
      </w:r>
      <w:r>
        <w:t xml:space="preserve">  </w:t>
      </w:r>
    </w:p>
    <w:p w14:paraId="3DDD5B58" w14:textId="77777777" w:rsidR="00655D73" w:rsidRPr="00105972" w:rsidRDefault="00655D73" w:rsidP="00522545">
      <w:pPr>
        <w:pStyle w:val="BodyText"/>
      </w:pPr>
      <w:r w:rsidRPr="004325FA">
        <w:rPr>
          <w:b/>
        </w:rPr>
        <w:t xml:space="preserve">Component </w:t>
      </w:r>
      <w:r w:rsidR="00FD454E">
        <w:rPr>
          <w:b/>
        </w:rPr>
        <w:t>2</w:t>
      </w:r>
      <w:r w:rsidRPr="00105972">
        <w:t xml:space="preserve">: </w:t>
      </w:r>
      <w:r w:rsidR="00FD454E">
        <w:t>I</w:t>
      </w:r>
      <w:r>
        <w:t>nvesting in school infrastructure in the poorest communities to ensure that facilities are adequate and safe, and contribute to improved student learning outcomes</w:t>
      </w:r>
      <w:r w:rsidR="00FD454E">
        <w:t>.</w:t>
      </w:r>
      <w:r>
        <w:t xml:space="preserve"> </w:t>
      </w:r>
    </w:p>
    <w:p w14:paraId="3DDD5B59" w14:textId="77777777" w:rsidR="00655D73" w:rsidRDefault="00655D73" w:rsidP="00522545">
      <w:pPr>
        <w:pStyle w:val="BodyText"/>
      </w:pPr>
      <w:r w:rsidRPr="004325FA">
        <w:rPr>
          <w:b/>
        </w:rPr>
        <w:t xml:space="preserve">Component </w:t>
      </w:r>
      <w:r w:rsidR="00FD454E">
        <w:rPr>
          <w:b/>
        </w:rPr>
        <w:t>3</w:t>
      </w:r>
      <w:r w:rsidRPr="00105972">
        <w:t xml:space="preserve">: </w:t>
      </w:r>
      <w:r w:rsidR="00FD454E">
        <w:t>C</w:t>
      </w:r>
      <w:r>
        <w:t xml:space="preserve">onducting targeted research and analysis on the systemic challenges to achieving improved education outcomes in Fiji. This component involves </w:t>
      </w:r>
      <w:r w:rsidR="00FD454E">
        <w:t>s</w:t>
      </w:r>
      <w:r>
        <w:t>hort-term, demand-driven technical assistance and flexible support to Fiji’s Ministry of Education’s (MoE) priorities</w:t>
      </w:r>
      <w:r w:rsidR="00FD454E">
        <w:t>.</w:t>
      </w:r>
      <w:r>
        <w:t xml:space="preserve">  </w:t>
      </w:r>
    </w:p>
    <w:p w14:paraId="3DDD5B5A" w14:textId="77777777" w:rsidR="00880D6A" w:rsidRDefault="00880D6A" w:rsidP="00522545">
      <w:pPr>
        <w:pStyle w:val="Heading4"/>
      </w:pPr>
      <w:r>
        <w:t>AQEP results and mid-term review</w:t>
      </w:r>
    </w:p>
    <w:p w14:paraId="3DDD5B5B" w14:textId="3984C534" w:rsidR="00655D73" w:rsidRPr="0051525E" w:rsidRDefault="00B56ABC" w:rsidP="00522545">
      <w:pPr>
        <w:pStyle w:val="BodyText"/>
      </w:pPr>
      <w:r>
        <w:t xml:space="preserve">AQEP </w:t>
      </w:r>
      <w:r w:rsidR="00655D73" w:rsidRPr="00105972">
        <w:t>focuse</w:t>
      </w:r>
      <w:r w:rsidR="00FD454E">
        <w:t>s</w:t>
      </w:r>
      <w:r w:rsidR="00655D73" w:rsidRPr="00105972">
        <w:t xml:space="preserve"> on poverty </w:t>
      </w:r>
      <w:r w:rsidR="00655D73">
        <w:t>reduc</w:t>
      </w:r>
      <w:r w:rsidR="00655D73" w:rsidRPr="00105972">
        <w:t>tion. It uses the MoE’s Disadvantaged Schools Index and the  World Bank poverty maps</w:t>
      </w:r>
      <w:r w:rsidR="00982810">
        <w:rPr>
          <w:rStyle w:val="FootnoteReference"/>
        </w:rPr>
        <w:footnoteReference w:id="33"/>
      </w:r>
      <w:r w:rsidR="006125F4">
        <w:rPr>
          <w:rStyle w:val="EndnoteReference"/>
          <w:sz w:val="24"/>
        </w:rPr>
        <w:t xml:space="preserve"> </w:t>
      </w:r>
      <w:r w:rsidR="006125F4">
        <w:t xml:space="preserve"> t</w:t>
      </w:r>
      <w:r w:rsidR="00655D73" w:rsidRPr="00105972">
        <w:t xml:space="preserve">o target school communities most in need. </w:t>
      </w:r>
      <w:r w:rsidR="00FD454E">
        <w:t xml:space="preserve">The program </w:t>
      </w:r>
      <w:r w:rsidR="00655D73" w:rsidRPr="004325FA">
        <w:t>align</w:t>
      </w:r>
      <w:r w:rsidR="00124E3B">
        <w:t>s</w:t>
      </w:r>
      <w:r w:rsidR="00655D73" w:rsidRPr="004325FA">
        <w:t xml:space="preserve"> with the MoE’s Education Sector Strategic </w:t>
      </w:r>
      <w:r w:rsidR="00655D73" w:rsidRPr="0051525E">
        <w:t>Development Plan 2012</w:t>
      </w:r>
      <w:r w:rsidR="00FD454E">
        <w:t>–</w:t>
      </w:r>
      <w:r w:rsidR="00655D73" w:rsidRPr="0051525E">
        <w:t>16. Activity in relation to grants and infrastructure (</w:t>
      </w:r>
      <w:r w:rsidR="00124E3B">
        <w:t>C</w:t>
      </w:r>
      <w:r w:rsidR="00655D73" w:rsidRPr="0051525E">
        <w:t xml:space="preserve">omponent </w:t>
      </w:r>
      <w:r w:rsidR="00124E3B">
        <w:t>1</w:t>
      </w:r>
      <w:r w:rsidR="00124E3B" w:rsidRPr="0051525E">
        <w:t xml:space="preserve"> and</w:t>
      </w:r>
      <w:r w:rsidR="00124E3B">
        <w:t xml:space="preserve"> Component 2</w:t>
      </w:r>
      <w:r w:rsidR="00655D73" w:rsidRPr="0051525E">
        <w:t xml:space="preserve">) slowed from January 2013 in response to the </w:t>
      </w:r>
      <w:r w:rsidR="00124E3B">
        <w:t>aid p</w:t>
      </w:r>
      <w:r w:rsidR="00655D73" w:rsidRPr="0051525E">
        <w:t>rogram’s budget reprioritisation.</w:t>
      </w:r>
    </w:p>
    <w:p w14:paraId="3DDD5B5C" w14:textId="441FAEEE" w:rsidR="00655D73" w:rsidRPr="0051525E" w:rsidRDefault="00655D73" w:rsidP="00522545">
      <w:pPr>
        <w:pStyle w:val="BodyText"/>
      </w:pPr>
      <w:r w:rsidRPr="0051525E">
        <w:t>A mid-term review of AQEP in November 2012, approximately 14.5 months</w:t>
      </w:r>
      <w:r w:rsidR="00124E3B">
        <w:t>'</w:t>
      </w:r>
      <w:r w:rsidRPr="0051525E">
        <w:t xml:space="preserve"> into implementation, found that </w:t>
      </w:r>
      <w:r w:rsidR="00AD00A8">
        <w:t>the program</w:t>
      </w:r>
      <w:r w:rsidR="00AD00A8" w:rsidRPr="0051525E">
        <w:t xml:space="preserve"> </w:t>
      </w:r>
      <w:r w:rsidRPr="0051525E">
        <w:t>is having a positive impact on primary schooling in Fiji</w:t>
      </w:r>
      <w:r w:rsidR="00124E3B">
        <w:t xml:space="preserve"> on balance</w:t>
      </w:r>
      <w:r w:rsidRPr="0051525E">
        <w:t xml:space="preserve">. It noted that more time is needed to establish </w:t>
      </w:r>
      <w:r w:rsidR="00124E3B">
        <w:t>if</w:t>
      </w:r>
      <w:r w:rsidR="00124E3B" w:rsidRPr="0051525E">
        <w:t xml:space="preserve"> </w:t>
      </w:r>
      <w:r w:rsidRPr="0051525E">
        <w:t>the gains are evidence of real change.</w:t>
      </w:r>
      <w:r w:rsidRPr="0051525E">
        <w:rPr>
          <w:rStyle w:val="FootnoteReference"/>
          <w:szCs w:val="16"/>
        </w:rPr>
        <w:footnoteReference w:id="34"/>
      </w:r>
      <w:r w:rsidRPr="0051525E">
        <w:rPr>
          <w:vertAlign w:val="superscript"/>
        </w:rPr>
        <w:t xml:space="preserve"> </w:t>
      </w:r>
      <w:r w:rsidRPr="0051525E">
        <w:t xml:space="preserve">That said, AQEP has made progress </w:t>
      </w:r>
      <w:r w:rsidR="00124E3B">
        <w:t xml:space="preserve">in </w:t>
      </w:r>
      <w:r w:rsidRPr="0051525E">
        <w:t xml:space="preserve">upgrading infrastructure in the poorest schools, responding to three major disasters and promoting inclusive education. </w:t>
      </w:r>
    </w:p>
    <w:p w14:paraId="3DDD5B5D" w14:textId="0A1B4589" w:rsidR="00655D73" w:rsidRPr="00105972" w:rsidRDefault="00655D73" w:rsidP="00522545">
      <w:pPr>
        <w:pStyle w:val="BodyText"/>
      </w:pPr>
      <w:r w:rsidRPr="0051525E">
        <w:lastRenderedPageBreak/>
        <w:t xml:space="preserve">Component </w:t>
      </w:r>
      <w:r w:rsidR="00124E3B">
        <w:t>1</w:t>
      </w:r>
      <w:r w:rsidR="00124E3B" w:rsidRPr="0051525E">
        <w:t xml:space="preserve"> </w:t>
      </w:r>
      <w:r w:rsidRPr="0051525E">
        <w:t xml:space="preserve">of AQEP </w:t>
      </w:r>
      <w:r w:rsidR="00880D6A">
        <w:t>w</w:t>
      </w:r>
      <w:r w:rsidRPr="0051525E">
        <w:t xml:space="preserve">as delayed due to a re-orientation of the school grants element. Based on the advice of </w:t>
      </w:r>
      <w:r w:rsidR="008E7D7C">
        <w:t xml:space="preserve">the </w:t>
      </w:r>
      <w:r w:rsidRPr="0051525E">
        <w:t>Pacific Lead Education Specialist</w:t>
      </w:r>
      <w:r w:rsidR="00660A72">
        <w:t>,</w:t>
      </w:r>
      <w:r w:rsidRPr="0051525E">
        <w:t xml:space="preserve"> grants will be now given to schools rather than to parents.</w:t>
      </w:r>
      <w:r w:rsidR="006125F4">
        <w:rPr>
          <w:rStyle w:val="FootnoteReference"/>
        </w:rPr>
        <w:footnoteReference w:id="35"/>
      </w:r>
    </w:p>
    <w:p w14:paraId="3DDD5B5E" w14:textId="77777777" w:rsidR="00655D73" w:rsidRDefault="00655D73" w:rsidP="00522545">
      <w:pPr>
        <w:pStyle w:val="BodyText"/>
      </w:pPr>
      <w:r>
        <w:t xml:space="preserve">Component </w:t>
      </w:r>
      <w:r w:rsidR="00124E3B">
        <w:t>2</w:t>
      </w:r>
      <w:r>
        <w:t xml:space="preserve"> </w:t>
      </w:r>
      <w:r w:rsidRPr="00105972">
        <w:t xml:space="preserve">has been </w:t>
      </w:r>
      <w:r w:rsidR="00660A72">
        <w:t>AQEP’S</w:t>
      </w:r>
      <w:r w:rsidR="00660A72" w:rsidRPr="00105972">
        <w:t xml:space="preserve"> </w:t>
      </w:r>
      <w:r w:rsidRPr="00105972">
        <w:t>main focus.</w:t>
      </w:r>
      <w:r>
        <w:t xml:space="preserve"> </w:t>
      </w:r>
      <w:r w:rsidRPr="00105972">
        <w:t>Infrastructure and furniture in many primary schools in Fiji is of poor quality, by both Fijian and Australian standards. Schools are largely required to finance their own infrastructure repair activities (less than 5 per cent of the education budget is spent on repairs).</w:t>
      </w:r>
      <w:r>
        <w:t xml:space="preserve"> M</w:t>
      </w:r>
      <w:r w:rsidRPr="00105972">
        <w:t>any schools are in a state of disrepair, particu</w:t>
      </w:r>
      <w:r>
        <w:t>larly those in poor communities</w:t>
      </w:r>
      <w:r w:rsidRPr="00105972">
        <w:t xml:space="preserve">. </w:t>
      </w:r>
    </w:p>
    <w:p w14:paraId="3DDD5B5F" w14:textId="53474D38" w:rsidR="00655D73" w:rsidRDefault="00655D73" w:rsidP="00522545">
      <w:pPr>
        <w:pStyle w:val="BodyText"/>
      </w:pPr>
      <w:r w:rsidRPr="00105972">
        <w:t xml:space="preserve">The schools visited during </w:t>
      </w:r>
      <w:r w:rsidR="00701698">
        <w:t xml:space="preserve">the </w:t>
      </w:r>
      <w:r w:rsidRPr="00105972">
        <w:t>mid-term review reported significant increases in attendance rates and teacher motivation following the upgrade of school facilities</w:t>
      </w:r>
      <w:r w:rsidR="00660A72">
        <w:t>.</w:t>
      </w:r>
      <w:r w:rsidRPr="00B56ABC">
        <w:rPr>
          <w:sz w:val="16"/>
          <w:szCs w:val="16"/>
          <w:vertAlign w:val="superscript"/>
        </w:rPr>
        <w:footnoteReference w:id="36"/>
      </w:r>
      <w:r w:rsidR="00AD2C60">
        <w:t xml:space="preserve"> </w:t>
      </w:r>
      <w:r w:rsidRPr="00105972">
        <w:t>For example</w:t>
      </w:r>
      <w:r w:rsidR="00660A72">
        <w:t>, at</w:t>
      </w:r>
      <w:r w:rsidRPr="00105972">
        <w:t>:</w:t>
      </w:r>
    </w:p>
    <w:p w14:paraId="3DDD5B60" w14:textId="77777777" w:rsidR="00655D73" w:rsidRPr="0012294D" w:rsidRDefault="00655D73" w:rsidP="00522545">
      <w:pPr>
        <w:pStyle w:val="ListBullet"/>
      </w:pPr>
      <w:r w:rsidRPr="0012294D">
        <w:t>Nuk</w:t>
      </w:r>
      <w:r>
        <w:t>u</w:t>
      </w:r>
      <w:r w:rsidRPr="0012294D">
        <w:t xml:space="preserve"> Primary, </w:t>
      </w:r>
      <w:r>
        <w:t xml:space="preserve">absenteeism rates fell from </w:t>
      </w:r>
      <w:r w:rsidRPr="0012294D">
        <w:t xml:space="preserve">around 25 per </w:t>
      </w:r>
      <w:r w:rsidR="00AD00A8">
        <w:t xml:space="preserve">cent </w:t>
      </w:r>
      <w:r>
        <w:t xml:space="preserve">to </w:t>
      </w:r>
      <w:r w:rsidRPr="0012294D">
        <w:t>less than 2 per cent</w:t>
      </w:r>
      <w:r>
        <w:t xml:space="preserve"> following the upgrades</w:t>
      </w:r>
    </w:p>
    <w:p w14:paraId="3DDD5B61" w14:textId="77777777" w:rsidR="00655D73" w:rsidRDefault="00655D73" w:rsidP="00522545">
      <w:pPr>
        <w:pStyle w:val="ListBullet"/>
      </w:pPr>
      <w:r w:rsidRPr="0012294D">
        <w:t>Nausori Primary, kindergarten enrolments increased by 35 per cent after the upgrade of the Early Childhood Centre</w:t>
      </w:r>
      <w:r w:rsidR="00660A72">
        <w:t>.</w:t>
      </w:r>
      <w:r w:rsidRPr="00C12904">
        <w:rPr>
          <w:rStyle w:val="FootnoteReference"/>
          <w:szCs w:val="16"/>
        </w:rPr>
        <w:footnoteReference w:id="37"/>
      </w:r>
    </w:p>
    <w:p w14:paraId="3DDD5B62" w14:textId="1A3F84CC" w:rsidR="00BA703D" w:rsidRDefault="00655D73" w:rsidP="00522545">
      <w:pPr>
        <w:pStyle w:val="BodyText"/>
      </w:pPr>
      <w:r w:rsidRPr="00105972">
        <w:t xml:space="preserve">Over </w:t>
      </w:r>
      <w:r>
        <w:t>five years</w:t>
      </w:r>
      <w:r w:rsidRPr="00105972">
        <w:t xml:space="preserve">, </w:t>
      </w:r>
      <w:r>
        <w:t xml:space="preserve">AQEP </w:t>
      </w:r>
      <w:r w:rsidRPr="00F33C47">
        <w:t xml:space="preserve">will upgrade up to </w:t>
      </w:r>
      <w:r>
        <w:t xml:space="preserve">180 </w:t>
      </w:r>
      <w:r w:rsidRPr="00F33C47">
        <w:t>schools</w:t>
      </w:r>
      <w:r w:rsidR="00660A72">
        <w:t xml:space="preserve"> in Fiji</w:t>
      </w:r>
      <w:r w:rsidRPr="00F33C47">
        <w:t xml:space="preserve"> (targeting </w:t>
      </w:r>
      <w:r>
        <w:t>the</w:t>
      </w:r>
      <w:r w:rsidRPr="00F33C47">
        <w:t xml:space="preserve"> most disadvantaged </w:t>
      </w:r>
      <w:r>
        <w:t xml:space="preserve">25 per cent of primary </w:t>
      </w:r>
      <w:r w:rsidRPr="00F33C47">
        <w:t xml:space="preserve">schools) and support </w:t>
      </w:r>
      <w:r>
        <w:t>rehabilitation of</w:t>
      </w:r>
      <w:r w:rsidRPr="00F33C47">
        <w:t xml:space="preserve"> schools affected by natural disasters.</w:t>
      </w:r>
      <w:r w:rsidRPr="00C12904">
        <w:rPr>
          <w:vertAlign w:val="superscript"/>
        </w:rPr>
        <w:footnoteReference w:id="38"/>
      </w:r>
      <w:r w:rsidR="00660A72">
        <w:t xml:space="preserve"> </w:t>
      </w:r>
      <w:r w:rsidRPr="00105972">
        <w:t>In 2012</w:t>
      </w:r>
      <w:r w:rsidR="00660A72">
        <w:t>–</w:t>
      </w:r>
      <w:r w:rsidRPr="00105972">
        <w:t>13</w:t>
      </w:r>
      <w:r>
        <w:t xml:space="preserve">, </w:t>
      </w:r>
      <w:r w:rsidR="00660A72">
        <w:t xml:space="preserve">the program </w:t>
      </w:r>
      <w:r>
        <w:t xml:space="preserve">assisted 101 schools including: </w:t>
      </w:r>
      <w:r w:rsidRPr="00105972">
        <w:t>infrastructure upgrades at 50 schools, emergency relief to 44 fl</w:t>
      </w:r>
      <w:r>
        <w:t>ood</w:t>
      </w:r>
      <w:r w:rsidR="00660A72">
        <w:t>-</w:t>
      </w:r>
      <w:r>
        <w:t>damaged schools and assist</w:t>
      </w:r>
      <w:r w:rsidR="000836F3">
        <w:t xml:space="preserve">ance to </w:t>
      </w:r>
      <w:r w:rsidRPr="00105972">
        <w:t>17 cyclone</w:t>
      </w:r>
      <w:r w:rsidR="00660A72">
        <w:t>-</w:t>
      </w:r>
      <w:r w:rsidRPr="00105972">
        <w:t xml:space="preserve">damaged schools. </w:t>
      </w:r>
      <w:r w:rsidR="00660A72">
        <w:t>I</w:t>
      </w:r>
      <w:r>
        <w:t xml:space="preserve">nfrastructure upgrades to 50 schools </w:t>
      </w:r>
      <w:r w:rsidRPr="00105972">
        <w:t>benefited 12</w:t>
      </w:r>
      <w:r w:rsidR="00660A72">
        <w:t xml:space="preserve"> </w:t>
      </w:r>
      <w:r w:rsidRPr="00105972">
        <w:t>455 students (5912 girls and 6543 boys</w:t>
      </w:r>
      <w:r w:rsidRPr="00C12904">
        <w:t>)</w:t>
      </w:r>
      <w:r w:rsidR="00660A72">
        <w:t>.</w:t>
      </w:r>
      <w:r w:rsidRPr="00C12904">
        <w:rPr>
          <w:sz w:val="16"/>
          <w:szCs w:val="16"/>
          <w:vertAlign w:val="superscript"/>
        </w:rPr>
        <w:footnoteReference w:id="39"/>
      </w:r>
      <w:r>
        <w:t xml:space="preserve"> Support to flood</w:t>
      </w:r>
      <w:r w:rsidR="00660A72">
        <w:t>-</w:t>
      </w:r>
      <w:r>
        <w:t xml:space="preserve">damaged schools in January and April 2012 </w:t>
      </w:r>
      <w:r w:rsidRPr="00105972">
        <w:t xml:space="preserve">benefited 14 822 students (disaggregated data is not yet </w:t>
      </w:r>
      <w:r w:rsidRPr="00B56ABC">
        <w:t>available).</w:t>
      </w:r>
      <w:r w:rsidRPr="00C12904">
        <w:rPr>
          <w:rStyle w:val="FootnoteReference"/>
          <w:szCs w:val="16"/>
        </w:rPr>
        <w:footnoteReference w:id="40"/>
      </w:r>
      <w:r w:rsidR="00BA703D">
        <w:t xml:space="preserve">Aligned with </w:t>
      </w:r>
      <w:r w:rsidR="00701698">
        <w:t>DFAT</w:t>
      </w:r>
      <w:r w:rsidR="00660A72">
        <w:t>’s</w:t>
      </w:r>
      <w:r w:rsidR="00BA703D">
        <w:t xml:space="preserve"> disaster risk reduction approaches, </w:t>
      </w:r>
      <w:r w:rsidR="00BA703D" w:rsidRPr="00105972">
        <w:t xml:space="preserve">all building work </w:t>
      </w:r>
      <w:r w:rsidR="00BA703D">
        <w:t>complied</w:t>
      </w:r>
      <w:r w:rsidR="00BA703D" w:rsidRPr="00105972">
        <w:t xml:space="preserve"> with Fiji industry standards and rehab</w:t>
      </w:r>
      <w:r w:rsidR="00BA703D">
        <w:t>ilitation of disaster sites complied</w:t>
      </w:r>
      <w:r w:rsidR="00BA703D" w:rsidRPr="00105972">
        <w:t xml:space="preserve"> with MoE </w:t>
      </w:r>
      <w:r w:rsidR="00BA703D">
        <w:t>infrastructure</w:t>
      </w:r>
      <w:r w:rsidR="00BA703D" w:rsidRPr="00105972">
        <w:t xml:space="preserve"> standards. </w:t>
      </w:r>
    </w:p>
    <w:p w14:paraId="3DDD5B63" w14:textId="77777777" w:rsidR="00880D6A" w:rsidRDefault="00880D6A" w:rsidP="00C521A0">
      <w:pPr>
        <w:pStyle w:val="Heading4"/>
      </w:pPr>
      <w:r w:rsidRPr="00C521A0">
        <w:t>Crosscutting</w:t>
      </w:r>
      <w:r>
        <w:t xml:space="preserve"> issues—disability, gender, su</w:t>
      </w:r>
      <w:r w:rsidR="00D9700A">
        <w:t>s</w:t>
      </w:r>
      <w:r>
        <w:t>tainability</w:t>
      </w:r>
    </w:p>
    <w:p w14:paraId="3DDD5B64" w14:textId="77777777" w:rsidR="00655D73" w:rsidRPr="00105972" w:rsidRDefault="00655D73" w:rsidP="00C521A0">
      <w:pPr>
        <w:pStyle w:val="BodyText"/>
      </w:pPr>
      <w:r w:rsidRPr="00105972">
        <w:t>In 2012</w:t>
      </w:r>
      <w:r w:rsidR="00660A72">
        <w:t>–</w:t>
      </w:r>
      <w:r w:rsidRPr="00105972">
        <w:t xml:space="preserve">13, </w:t>
      </w:r>
      <w:r>
        <w:t xml:space="preserve">AQEP </w:t>
      </w:r>
      <w:r w:rsidRPr="00105972">
        <w:t>increased its focus on disability</w:t>
      </w:r>
      <w:r>
        <w:t>. It developed</w:t>
      </w:r>
      <w:r w:rsidRPr="00105972">
        <w:t xml:space="preserve"> a Disabi</w:t>
      </w:r>
      <w:r>
        <w:t xml:space="preserve">lity Inclusion Strategy </w:t>
      </w:r>
      <w:r w:rsidRPr="006700C3">
        <w:t>to increase education options for children with disabilit</w:t>
      </w:r>
      <w:r w:rsidR="00660A72">
        <w:t xml:space="preserve">y </w:t>
      </w:r>
      <w:r w:rsidRPr="006700C3">
        <w:t>at mainstream schools.</w:t>
      </w:r>
      <w:r>
        <w:t xml:space="preserve"> This </w:t>
      </w:r>
      <w:r w:rsidR="00660A72">
        <w:t>aligns</w:t>
      </w:r>
      <w:r>
        <w:t xml:space="preserve"> with AQEP’s </w:t>
      </w:r>
      <w:r w:rsidR="00660A72">
        <w:t>Component 2 by</w:t>
      </w:r>
      <w:r>
        <w:t xml:space="preserve"> assisting the poorest and most vulnerable </w:t>
      </w:r>
      <w:r w:rsidR="00660A72">
        <w:t xml:space="preserve">to </w:t>
      </w:r>
      <w:r>
        <w:t>attend school more regularly.</w:t>
      </w:r>
      <w:r w:rsidR="00513B92">
        <w:t xml:space="preserve"> </w:t>
      </w:r>
      <w:r w:rsidR="00660A72">
        <w:t>The strategy</w:t>
      </w:r>
      <w:r w:rsidR="00660A72" w:rsidRPr="00105972">
        <w:t xml:space="preserve"> </w:t>
      </w:r>
      <w:r w:rsidR="00660A72">
        <w:t>has</w:t>
      </w:r>
      <w:r w:rsidRPr="00105972">
        <w:t xml:space="preserve"> three outcomes:</w:t>
      </w:r>
    </w:p>
    <w:p w14:paraId="3DDD5B65" w14:textId="77777777" w:rsidR="00655D73" w:rsidRPr="0001361A" w:rsidRDefault="00660A72" w:rsidP="0001361A">
      <w:pPr>
        <w:pStyle w:val="ListNumber"/>
      </w:pPr>
      <w:r w:rsidRPr="0001361A">
        <w:t>i</w:t>
      </w:r>
      <w:r w:rsidR="00655D73" w:rsidRPr="0001361A">
        <w:t xml:space="preserve">ncreased </w:t>
      </w:r>
      <w:r w:rsidR="00255B01" w:rsidRPr="0001361A">
        <w:t>enrolment and attendance</w:t>
      </w:r>
    </w:p>
    <w:p w14:paraId="3DDD5B66" w14:textId="77777777" w:rsidR="00655D73" w:rsidRPr="0001361A" w:rsidRDefault="00660A72" w:rsidP="0001361A">
      <w:pPr>
        <w:pStyle w:val="ListNumber"/>
      </w:pPr>
      <w:r w:rsidRPr="0001361A">
        <w:t>i</w:t>
      </w:r>
      <w:r w:rsidR="00655D73" w:rsidRPr="0001361A">
        <w:t>ncreased retention and completion rates</w:t>
      </w:r>
    </w:p>
    <w:p w14:paraId="3DDD5B67" w14:textId="77777777" w:rsidR="00655D73" w:rsidRPr="00E615A4" w:rsidRDefault="00660A72" w:rsidP="0001361A">
      <w:pPr>
        <w:pStyle w:val="ListNumber"/>
        <w:rPr>
          <w:sz w:val="16"/>
          <w:szCs w:val="16"/>
        </w:rPr>
      </w:pPr>
      <w:r w:rsidRPr="0001361A">
        <w:t>i</w:t>
      </w:r>
      <w:r w:rsidR="00655D73" w:rsidRPr="0001361A">
        <w:t>mproved learning outcomes</w:t>
      </w:r>
      <w:r>
        <w:t>.</w:t>
      </w:r>
      <w:r w:rsidR="00655D73" w:rsidRPr="005954C5">
        <w:rPr>
          <w:rStyle w:val="FootnoteReference"/>
          <w:szCs w:val="16"/>
        </w:rPr>
        <w:footnoteReference w:id="41"/>
      </w:r>
    </w:p>
    <w:p w14:paraId="3DDD5B68" w14:textId="77777777" w:rsidR="00655D73" w:rsidRPr="005954C5" w:rsidRDefault="00655D73" w:rsidP="00C521A0">
      <w:pPr>
        <w:pStyle w:val="BodyText"/>
      </w:pPr>
    </w:p>
    <w:p w14:paraId="3DDD5B69" w14:textId="77777777" w:rsidR="00660A72" w:rsidRDefault="00655D73" w:rsidP="00C521A0">
      <w:pPr>
        <w:pStyle w:val="BodyText"/>
        <w:rPr>
          <w:sz w:val="24"/>
        </w:rPr>
      </w:pPr>
      <w:r>
        <w:rPr>
          <w:sz w:val="24"/>
        </w:rPr>
        <w:t xml:space="preserve">In July 2012, AQEP </w:t>
      </w:r>
      <w:r w:rsidR="00660A72">
        <w:rPr>
          <w:sz w:val="24"/>
        </w:rPr>
        <w:t>sta</w:t>
      </w:r>
      <w:r w:rsidR="00D9700A">
        <w:rPr>
          <w:sz w:val="24"/>
        </w:rPr>
        <w:t>r</w:t>
      </w:r>
      <w:r w:rsidR="00660A72">
        <w:rPr>
          <w:sz w:val="24"/>
        </w:rPr>
        <w:t>ted</w:t>
      </w:r>
      <w:r w:rsidR="00660A72" w:rsidRPr="00105972">
        <w:rPr>
          <w:sz w:val="24"/>
        </w:rPr>
        <w:t xml:space="preserve"> </w:t>
      </w:r>
      <w:r w:rsidRPr="00105972">
        <w:rPr>
          <w:sz w:val="24"/>
        </w:rPr>
        <w:t>its disability</w:t>
      </w:r>
      <w:r w:rsidR="00AD00A8">
        <w:rPr>
          <w:sz w:val="24"/>
        </w:rPr>
        <w:t>-</w:t>
      </w:r>
      <w:r w:rsidRPr="00105972">
        <w:rPr>
          <w:sz w:val="24"/>
        </w:rPr>
        <w:t xml:space="preserve">inclusive education pilot in five schools. </w:t>
      </w:r>
      <w:r>
        <w:rPr>
          <w:sz w:val="24"/>
        </w:rPr>
        <w:t xml:space="preserve">This </w:t>
      </w:r>
      <w:r w:rsidRPr="00105972">
        <w:rPr>
          <w:sz w:val="24"/>
        </w:rPr>
        <w:t>is a f</w:t>
      </w:r>
      <w:r>
        <w:rPr>
          <w:sz w:val="24"/>
        </w:rPr>
        <w:t>irst for Fiji</w:t>
      </w:r>
      <w:r w:rsidR="006356D6">
        <w:rPr>
          <w:sz w:val="24"/>
        </w:rPr>
        <w:t xml:space="preserve"> and will run until 2016</w:t>
      </w:r>
      <w:r>
        <w:rPr>
          <w:sz w:val="24"/>
        </w:rPr>
        <w:t>. Twenty</w:t>
      </w:r>
      <w:r w:rsidR="00660A72">
        <w:rPr>
          <w:sz w:val="24"/>
        </w:rPr>
        <w:t>-</w:t>
      </w:r>
      <w:r>
        <w:rPr>
          <w:sz w:val="24"/>
        </w:rPr>
        <w:t>two</w:t>
      </w:r>
      <w:r w:rsidRPr="00105972">
        <w:rPr>
          <w:sz w:val="24"/>
        </w:rPr>
        <w:t xml:space="preserve"> students with disabi</w:t>
      </w:r>
      <w:r>
        <w:rPr>
          <w:sz w:val="24"/>
        </w:rPr>
        <w:t>l</w:t>
      </w:r>
      <w:r w:rsidR="006356D6">
        <w:rPr>
          <w:sz w:val="24"/>
        </w:rPr>
        <w:t>it</w:t>
      </w:r>
      <w:r w:rsidR="00660A72">
        <w:rPr>
          <w:sz w:val="24"/>
        </w:rPr>
        <w:t>y</w:t>
      </w:r>
      <w:r w:rsidR="006356D6">
        <w:rPr>
          <w:sz w:val="24"/>
        </w:rPr>
        <w:t xml:space="preserve"> (16 boys and 6 girls)</w:t>
      </w:r>
      <w:r w:rsidRPr="00105972">
        <w:rPr>
          <w:sz w:val="24"/>
        </w:rPr>
        <w:t xml:space="preserve"> enrolled in the </w:t>
      </w:r>
      <w:r w:rsidR="00660A72">
        <w:rPr>
          <w:sz w:val="24"/>
        </w:rPr>
        <w:t>p</w:t>
      </w:r>
      <w:r w:rsidRPr="00105972">
        <w:rPr>
          <w:sz w:val="24"/>
        </w:rPr>
        <w:t>ilot</w:t>
      </w:r>
      <w:r w:rsidR="00660A72">
        <w:rPr>
          <w:sz w:val="24"/>
        </w:rPr>
        <w:t xml:space="preserve"> and</w:t>
      </w:r>
      <w:r w:rsidR="00854C95">
        <w:rPr>
          <w:sz w:val="24"/>
        </w:rPr>
        <w:t xml:space="preserve"> many </w:t>
      </w:r>
      <w:r w:rsidR="005743C8">
        <w:rPr>
          <w:sz w:val="24"/>
        </w:rPr>
        <w:t xml:space="preserve">had </w:t>
      </w:r>
      <w:r w:rsidR="00854C95">
        <w:rPr>
          <w:sz w:val="24"/>
        </w:rPr>
        <w:t>never accessed school before</w:t>
      </w:r>
      <w:r w:rsidRPr="00105972">
        <w:rPr>
          <w:sz w:val="24"/>
        </w:rPr>
        <w:t xml:space="preserve">. </w:t>
      </w:r>
      <w:r>
        <w:rPr>
          <w:sz w:val="24"/>
        </w:rPr>
        <w:t>It has been well received and progress is on track</w:t>
      </w:r>
      <w:r w:rsidRPr="006700C3">
        <w:rPr>
          <w:sz w:val="24"/>
        </w:rPr>
        <w:t>.</w:t>
      </w:r>
    </w:p>
    <w:p w14:paraId="3DDD5B6A" w14:textId="77777777" w:rsidR="00660A72" w:rsidRDefault="00655D73" w:rsidP="00C521A0">
      <w:pPr>
        <w:pStyle w:val="BodyText"/>
        <w:rPr>
          <w:sz w:val="24"/>
        </w:rPr>
      </w:pPr>
      <w:r w:rsidRPr="006700C3">
        <w:rPr>
          <w:sz w:val="24"/>
        </w:rPr>
        <w:lastRenderedPageBreak/>
        <w:t xml:space="preserve">In 2012, </w:t>
      </w:r>
      <w:r>
        <w:rPr>
          <w:sz w:val="24"/>
        </w:rPr>
        <w:t xml:space="preserve">AQEP </w:t>
      </w:r>
      <w:r w:rsidRPr="006700C3">
        <w:rPr>
          <w:sz w:val="24"/>
        </w:rPr>
        <w:t>conducted community awareness on inclusive education and trained teachers on the inclusion of students with disabilit</w:t>
      </w:r>
      <w:r w:rsidR="00660A72">
        <w:rPr>
          <w:sz w:val="24"/>
        </w:rPr>
        <w:t>y</w:t>
      </w:r>
      <w:r w:rsidRPr="006700C3">
        <w:rPr>
          <w:sz w:val="24"/>
        </w:rPr>
        <w:t>.</w:t>
      </w:r>
      <w:r w:rsidR="00854C95">
        <w:rPr>
          <w:sz w:val="24"/>
        </w:rPr>
        <w:t xml:space="preserve"> Anecdotally </w:t>
      </w:r>
      <w:r w:rsidR="00660A72">
        <w:rPr>
          <w:sz w:val="24"/>
        </w:rPr>
        <w:t xml:space="preserve">this </w:t>
      </w:r>
      <w:r w:rsidR="00854C95">
        <w:rPr>
          <w:sz w:val="24"/>
        </w:rPr>
        <w:t>is having a positive impact</w:t>
      </w:r>
      <w:r w:rsidR="00660A72">
        <w:rPr>
          <w:sz w:val="24"/>
        </w:rPr>
        <w:t xml:space="preserve"> with o</w:t>
      </w:r>
      <w:r w:rsidR="00854C95">
        <w:rPr>
          <w:sz w:val="24"/>
        </w:rPr>
        <w:t>ne teacher from a pilot school not</w:t>
      </w:r>
      <w:r w:rsidR="00660A72">
        <w:rPr>
          <w:sz w:val="24"/>
        </w:rPr>
        <w:t>ing:</w:t>
      </w:r>
    </w:p>
    <w:p w14:paraId="3DDD5B6B" w14:textId="77777777" w:rsidR="00854C95" w:rsidRPr="00C521A0" w:rsidRDefault="00854C95" w:rsidP="00C521A0">
      <w:pPr>
        <w:pStyle w:val="BodyText"/>
        <w:rPr>
          <w:i/>
          <w:sz w:val="24"/>
        </w:rPr>
      </w:pPr>
      <w:r w:rsidRPr="00C521A0">
        <w:rPr>
          <w:i/>
          <w:szCs w:val="22"/>
        </w:rPr>
        <w:t>It is amazing to see children with disability mixing freely with others, playing games with the other kids, and even teaching other kids sign language in the playground</w:t>
      </w:r>
      <w:r w:rsidR="00E615A4" w:rsidRPr="00C521A0">
        <w:rPr>
          <w:i/>
          <w:szCs w:val="22"/>
        </w:rPr>
        <w:t>.</w:t>
      </w:r>
      <w:r w:rsidRPr="00C521A0">
        <w:rPr>
          <w:i/>
          <w:sz w:val="24"/>
        </w:rPr>
        <w:t xml:space="preserve"> </w:t>
      </w:r>
    </w:p>
    <w:p w14:paraId="3DDD5B6C" w14:textId="3049D21F" w:rsidR="006356D6" w:rsidRDefault="00854C95" w:rsidP="00C521A0">
      <w:pPr>
        <w:pStyle w:val="BodyText"/>
        <w:rPr>
          <w:sz w:val="24"/>
        </w:rPr>
      </w:pPr>
      <w:r>
        <w:rPr>
          <w:sz w:val="24"/>
        </w:rPr>
        <w:t>The pilot</w:t>
      </w:r>
      <w:r w:rsidR="006356D6">
        <w:rPr>
          <w:sz w:val="24"/>
        </w:rPr>
        <w:t xml:space="preserve"> aims</w:t>
      </w:r>
      <w:r w:rsidR="00513B92">
        <w:rPr>
          <w:sz w:val="24"/>
        </w:rPr>
        <w:t xml:space="preserve"> </w:t>
      </w:r>
      <w:r>
        <w:rPr>
          <w:sz w:val="24"/>
        </w:rPr>
        <w:t xml:space="preserve">to </w:t>
      </w:r>
      <w:r w:rsidR="00534989">
        <w:rPr>
          <w:sz w:val="24"/>
        </w:rPr>
        <w:t xml:space="preserve">demonstrate to the </w:t>
      </w:r>
      <w:r w:rsidR="000836F3">
        <w:rPr>
          <w:sz w:val="24"/>
        </w:rPr>
        <w:t xml:space="preserve">Fiji </w:t>
      </w:r>
      <w:r w:rsidR="005379E4">
        <w:rPr>
          <w:sz w:val="24"/>
        </w:rPr>
        <w:t>Government</w:t>
      </w:r>
      <w:r w:rsidR="000836F3">
        <w:rPr>
          <w:sz w:val="24"/>
        </w:rPr>
        <w:t xml:space="preserve"> </w:t>
      </w:r>
      <w:r w:rsidR="00534989">
        <w:rPr>
          <w:sz w:val="24"/>
        </w:rPr>
        <w:t>how</w:t>
      </w:r>
      <w:r w:rsidR="00513B92">
        <w:rPr>
          <w:sz w:val="24"/>
        </w:rPr>
        <w:t xml:space="preserve"> to implement</w:t>
      </w:r>
      <w:r w:rsidR="00534989">
        <w:rPr>
          <w:sz w:val="24"/>
        </w:rPr>
        <w:t xml:space="preserve"> </w:t>
      </w:r>
      <w:r w:rsidR="000836F3">
        <w:rPr>
          <w:sz w:val="24"/>
        </w:rPr>
        <w:t>disability</w:t>
      </w:r>
      <w:r w:rsidR="00660A72">
        <w:rPr>
          <w:sz w:val="24"/>
        </w:rPr>
        <w:t>-</w:t>
      </w:r>
      <w:r w:rsidR="000836F3">
        <w:rPr>
          <w:sz w:val="24"/>
        </w:rPr>
        <w:t>inclusive education</w:t>
      </w:r>
      <w:r w:rsidR="00534989">
        <w:rPr>
          <w:sz w:val="24"/>
        </w:rPr>
        <w:t xml:space="preserve"> and provide the </w:t>
      </w:r>
      <w:r w:rsidR="000836F3">
        <w:rPr>
          <w:sz w:val="24"/>
        </w:rPr>
        <w:t xml:space="preserve">opportunity to </w:t>
      </w:r>
      <w:r w:rsidR="001463FD">
        <w:rPr>
          <w:sz w:val="24"/>
        </w:rPr>
        <w:t>adopt</w:t>
      </w:r>
      <w:r w:rsidR="006356D6">
        <w:rPr>
          <w:sz w:val="24"/>
        </w:rPr>
        <w:t xml:space="preserve"> the </w:t>
      </w:r>
      <w:r w:rsidR="00660A72">
        <w:rPr>
          <w:sz w:val="24"/>
        </w:rPr>
        <w:t xml:space="preserve">pilot’s </w:t>
      </w:r>
      <w:r w:rsidR="006356D6">
        <w:rPr>
          <w:sz w:val="24"/>
        </w:rPr>
        <w:t>findings.</w:t>
      </w:r>
    </w:p>
    <w:p w14:paraId="3DDD5B6D" w14:textId="77777777" w:rsidR="00655D73" w:rsidRPr="006700C3" w:rsidRDefault="00655D73" w:rsidP="00C521A0">
      <w:pPr>
        <w:pStyle w:val="BodyText"/>
        <w:rPr>
          <w:sz w:val="24"/>
        </w:rPr>
      </w:pPr>
      <w:r>
        <w:rPr>
          <w:sz w:val="24"/>
        </w:rPr>
        <w:t xml:space="preserve">AQEP </w:t>
      </w:r>
      <w:r w:rsidRPr="00105972">
        <w:rPr>
          <w:sz w:val="24"/>
        </w:rPr>
        <w:t>is well respected by government stakeholders and i</w:t>
      </w:r>
      <w:r>
        <w:rPr>
          <w:sz w:val="24"/>
        </w:rPr>
        <w:t>s represented at</w:t>
      </w:r>
      <w:r w:rsidRPr="00105972">
        <w:rPr>
          <w:sz w:val="24"/>
        </w:rPr>
        <w:t xml:space="preserve"> MoE’s senior staff management meetings. </w:t>
      </w:r>
      <w:r w:rsidR="005F2F79">
        <w:rPr>
          <w:sz w:val="24"/>
        </w:rPr>
        <w:t>AQEP’s</w:t>
      </w:r>
      <w:r w:rsidR="005F2F79" w:rsidRPr="00105972">
        <w:rPr>
          <w:sz w:val="24"/>
        </w:rPr>
        <w:t xml:space="preserve"> </w:t>
      </w:r>
      <w:r w:rsidRPr="00105972">
        <w:rPr>
          <w:sz w:val="24"/>
        </w:rPr>
        <w:t xml:space="preserve">2012 Technical Advisory Group review mission found </w:t>
      </w:r>
      <w:r w:rsidR="005F2F79">
        <w:rPr>
          <w:sz w:val="24"/>
        </w:rPr>
        <w:t xml:space="preserve">the program to be </w:t>
      </w:r>
      <w:r w:rsidRPr="00105972">
        <w:rPr>
          <w:sz w:val="24"/>
        </w:rPr>
        <w:t>highly relevant to educational circumstances in Fiji</w:t>
      </w:r>
      <w:r w:rsidR="005F2F79">
        <w:rPr>
          <w:sz w:val="24"/>
        </w:rPr>
        <w:t>. The review also</w:t>
      </w:r>
      <w:r w:rsidRPr="00105972">
        <w:rPr>
          <w:sz w:val="24"/>
        </w:rPr>
        <w:t xml:space="preserve"> acknowledg</w:t>
      </w:r>
      <w:r w:rsidR="005F2F79">
        <w:rPr>
          <w:sz w:val="24"/>
        </w:rPr>
        <w:t>ed</w:t>
      </w:r>
      <w:r w:rsidRPr="00105972">
        <w:rPr>
          <w:sz w:val="24"/>
        </w:rPr>
        <w:t xml:space="preserve"> the </w:t>
      </w:r>
      <w:r>
        <w:rPr>
          <w:sz w:val="24"/>
        </w:rPr>
        <w:t>con</w:t>
      </w:r>
      <w:r w:rsidRPr="00105972">
        <w:rPr>
          <w:sz w:val="24"/>
        </w:rPr>
        <w:t>straints</w:t>
      </w:r>
      <w:r>
        <w:rPr>
          <w:sz w:val="24"/>
        </w:rPr>
        <w:t xml:space="preserve">, in particular the reorientation of </w:t>
      </w:r>
      <w:r w:rsidR="00124E3B">
        <w:rPr>
          <w:sz w:val="24"/>
        </w:rPr>
        <w:t>C</w:t>
      </w:r>
      <w:r>
        <w:rPr>
          <w:sz w:val="24"/>
        </w:rPr>
        <w:t xml:space="preserve">omponent </w:t>
      </w:r>
      <w:r w:rsidR="00124E3B">
        <w:rPr>
          <w:sz w:val="24"/>
        </w:rPr>
        <w:t xml:space="preserve">1 </w:t>
      </w:r>
      <w:r>
        <w:rPr>
          <w:sz w:val="24"/>
        </w:rPr>
        <w:t xml:space="preserve">and the scaling-up of the Fiji </w:t>
      </w:r>
      <w:r w:rsidR="00786A00">
        <w:rPr>
          <w:sz w:val="24"/>
        </w:rPr>
        <w:t>p</w:t>
      </w:r>
      <w:r>
        <w:rPr>
          <w:sz w:val="24"/>
        </w:rPr>
        <w:t>rogram.</w:t>
      </w:r>
      <w:r w:rsidRPr="006700C3">
        <w:rPr>
          <w:vertAlign w:val="superscript"/>
        </w:rPr>
        <w:footnoteReference w:id="42"/>
      </w:r>
      <w:r>
        <w:rPr>
          <w:sz w:val="24"/>
        </w:rPr>
        <w:t xml:space="preserve"> </w:t>
      </w:r>
    </w:p>
    <w:p w14:paraId="3DDD5B6E" w14:textId="77777777" w:rsidR="00655D73" w:rsidRPr="00105972" w:rsidRDefault="00655D73" w:rsidP="00C521A0">
      <w:pPr>
        <w:pStyle w:val="BodyText"/>
        <w:rPr>
          <w:sz w:val="24"/>
        </w:rPr>
      </w:pPr>
      <w:r>
        <w:rPr>
          <w:sz w:val="24"/>
        </w:rPr>
        <w:t>AQEP also focuse</w:t>
      </w:r>
      <w:r w:rsidR="00880D6A">
        <w:rPr>
          <w:sz w:val="24"/>
        </w:rPr>
        <w:t>s</w:t>
      </w:r>
      <w:r>
        <w:rPr>
          <w:sz w:val="24"/>
        </w:rPr>
        <w:t xml:space="preserve"> on </w:t>
      </w:r>
      <w:r w:rsidRPr="00105972">
        <w:rPr>
          <w:sz w:val="24"/>
        </w:rPr>
        <w:t xml:space="preserve">sustainability. It has </w:t>
      </w:r>
      <w:r>
        <w:rPr>
          <w:sz w:val="24"/>
        </w:rPr>
        <w:t>established maintenance training mirror</w:t>
      </w:r>
      <w:r w:rsidR="00880D6A">
        <w:rPr>
          <w:sz w:val="24"/>
        </w:rPr>
        <w:t>ing</w:t>
      </w:r>
      <w:r w:rsidRPr="00105972">
        <w:rPr>
          <w:sz w:val="24"/>
        </w:rPr>
        <w:t xml:space="preserve"> existing MoE </w:t>
      </w:r>
      <w:r>
        <w:rPr>
          <w:sz w:val="24"/>
        </w:rPr>
        <w:t>processes</w:t>
      </w:r>
      <w:r w:rsidRPr="00105972">
        <w:rPr>
          <w:sz w:val="24"/>
        </w:rPr>
        <w:t xml:space="preserve"> for grants </w:t>
      </w:r>
      <w:r>
        <w:rPr>
          <w:sz w:val="24"/>
        </w:rPr>
        <w:t>disbursement and us</w:t>
      </w:r>
      <w:r w:rsidR="00880D6A">
        <w:rPr>
          <w:sz w:val="24"/>
        </w:rPr>
        <w:t>ing</w:t>
      </w:r>
      <w:r w:rsidRPr="00105972">
        <w:rPr>
          <w:sz w:val="24"/>
        </w:rPr>
        <w:t xml:space="preserve"> high</w:t>
      </w:r>
      <w:r w:rsidR="00880D6A">
        <w:rPr>
          <w:sz w:val="24"/>
        </w:rPr>
        <w:t>-</w:t>
      </w:r>
      <w:r w:rsidRPr="00105972">
        <w:rPr>
          <w:sz w:val="24"/>
        </w:rPr>
        <w:t>quality building materials to extend the life of infrastructure rehabilitation. It</w:t>
      </w:r>
      <w:r w:rsidR="005743C8">
        <w:rPr>
          <w:sz w:val="24"/>
        </w:rPr>
        <w:t xml:space="preserve"> has</w:t>
      </w:r>
      <w:r w:rsidRPr="00105972">
        <w:rPr>
          <w:sz w:val="24"/>
        </w:rPr>
        <w:t xml:space="preserve"> also pursued opportunitie</w:t>
      </w:r>
      <w:r>
        <w:rPr>
          <w:sz w:val="24"/>
        </w:rPr>
        <w:t xml:space="preserve">s for improved coordination. In 2012, </w:t>
      </w:r>
      <w:r w:rsidR="00880D6A">
        <w:rPr>
          <w:sz w:val="24"/>
        </w:rPr>
        <w:t xml:space="preserve">for example, </w:t>
      </w:r>
      <w:r>
        <w:rPr>
          <w:sz w:val="24"/>
        </w:rPr>
        <w:t xml:space="preserve">it </w:t>
      </w:r>
      <w:r w:rsidRPr="00105972">
        <w:rPr>
          <w:sz w:val="24"/>
        </w:rPr>
        <w:t xml:space="preserve">initiated Fiji’s first </w:t>
      </w:r>
      <w:r w:rsidRPr="005979BE">
        <w:rPr>
          <w:sz w:val="24"/>
        </w:rPr>
        <w:t>Education Emergency Cluster</w:t>
      </w:r>
      <w:r w:rsidR="00880D6A">
        <w:rPr>
          <w:sz w:val="24"/>
        </w:rPr>
        <w:t xml:space="preserve"> to</w:t>
      </w:r>
      <w:r>
        <w:rPr>
          <w:sz w:val="24"/>
        </w:rPr>
        <w:t xml:space="preserve"> coordinate the work of government and donors to manage the impact of d</w:t>
      </w:r>
      <w:r w:rsidR="006356D6">
        <w:rPr>
          <w:sz w:val="24"/>
        </w:rPr>
        <w:t xml:space="preserve">isasters. This </w:t>
      </w:r>
      <w:r>
        <w:rPr>
          <w:sz w:val="24"/>
        </w:rPr>
        <w:t xml:space="preserve">supports the Fiji </w:t>
      </w:r>
      <w:r w:rsidR="00880D6A">
        <w:rPr>
          <w:sz w:val="24"/>
        </w:rPr>
        <w:t>c</w:t>
      </w:r>
      <w:r>
        <w:rPr>
          <w:sz w:val="24"/>
        </w:rPr>
        <w:t xml:space="preserve">ountry </w:t>
      </w:r>
      <w:r w:rsidR="00880D6A">
        <w:rPr>
          <w:sz w:val="24"/>
        </w:rPr>
        <w:t>s</w:t>
      </w:r>
      <w:r>
        <w:rPr>
          <w:sz w:val="24"/>
        </w:rPr>
        <w:t>trategy’s aim of improving aid coordination.</w:t>
      </w:r>
    </w:p>
    <w:p w14:paraId="3DDD5B6F" w14:textId="77777777" w:rsidR="00655D73" w:rsidRDefault="00BD3620" w:rsidP="00C521A0">
      <w:pPr>
        <w:pStyle w:val="BodyText"/>
        <w:rPr>
          <w:rFonts w:ascii="Corbel" w:hAnsi="Corbel"/>
          <w:vertAlign w:val="superscript"/>
        </w:rPr>
      </w:pPr>
      <w:r>
        <w:rPr>
          <w:sz w:val="24"/>
        </w:rPr>
        <w:t>AQEP</w:t>
      </w:r>
      <w:r w:rsidR="00880D6A">
        <w:rPr>
          <w:sz w:val="24"/>
        </w:rPr>
        <w:t>’s</w:t>
      </w:r>
      <w:r>
        <w:rPr>
          <w:sz w:val="24"/>
        </w:rPr>
        <w:t xml:space="preserve"> gender</w:t>
      </w:r>
      <w:r w:rsidR="006356D6">
        <w:rPr>
          <w:sz w:val="24"/>
        </w:rPr>
        <w:t xml:space="preserve"> strategy </w:t>
      </w:r>
      <w:r w:rsidR="00880D6A">
        <w:rPr>
          <w:sz w:val="24"/>
        </w:rPr>
        <w:t>focuses</w:t>
      </w:r>
      <w:r w:rsidR="006356D6">
        <w:rPr>
          <w:sz w:val="24"/>
        </w:rPr>
        <w:t xml:space="preserve"> </w:t>
      </w:r>
      <w:r>
        <w:rPr>
          <w:sz w:val="24"/>
        </w:rPr>
        <w:t>the program on improved attendance</w:t>
      </w:r>
      <w:r w:rsidR="00880D6A">
        <w:rPr>
          <w:sz w:val="24"/>
        </w:rPr>
        <w:t xml:space="preserve"> by and education quality</w:t>
      </w:r>
      <w:r>
        <w:rPr>
          <w:sz w:val="24"/>
        </w:rPr>
        <w:t xml:space="preserve"> </w:t>
      </w:r>
      <w:r w:rsidR="00880D6A">
        <w:rPr>
          <w:sz w:val="24"/>
        </w:rPr>
        <w:t xml:space="preserve">for girls and </w:t>
      </w:r>
      <w:r>
        <w:rPr>
          <w:sz w:val="24"/>
        </w:rPr>
        <w:t xml:space="preserve">boys. AQEP </w:t>
      </w:r>
      <w:r w:rsidR="00880D6A">
        <w:rPr>
          <w:sz w:val="24"/>
        </w:rPr>
        <w:t>is helping</w:t>
      </w:r>
      <w:r>
        <w:rPr>
          <w:sz w:val="24"/>
        </w:rPr>
        <w:t xml:space="preserve"> target schools to develop strategies to address gender-specific issues </w:t>
      </w:r>
      <w:r w:rsidR="006F03F3">
        <w:rPr>
          <w:sz w:val="24"/>
        </w:rPr>
        <w:t xml:space="preserve">having an </w:t>
      </w:r>
      <w:r>
        <w:rPr>
          <w:sz w:val="24"/>
        </w:rPr>
        <w:t>impact on girls’ attendance and access to quality education.</w:t>
      </w:r>
      <w:r w:rsidR="00754825">
        <w:rPr>
          <w:rFonts w:asciiTheme="majorHAnsi" w:hAnsiTheme="majorHAnsi"/>
        </w:rPr>
        <w:t xml:space="preserve"> </w:t>
      </w:r>
      <w:r w:rsidR="00255B01">
        <w:rPr>
          <w:sz w:val="24"/>
        </w:rPr>
        <w:t>The e</w:t>
      </w:r>
      <w:r w:rsidR="00655D73" w:rsidRPr="006700C3">
        <w:rPr>
          <w:sz w:val="24"/>
        </w:rPr>
        <w:t xml:space="preserve">xternal </w:t>
      </w:r>
      <w:r w:rsidR="00655D73">
        <w:rPr>
          <w:sz w:val="24"/>
        </w:rPr>
        <w:t xml:space="preserve">assessment </w:t>
      </w:r>
      <w:r w:rsidR="00255B01">
        <w:rPr>
          <w:sz w:val="24"/>
        </w:rPr>
        <w:t>of AQEP has</w:t>
      </w:r>
      <w:r w:rsidR="00655D73">
        <w:rPr>
          <w:sz w:val="24"/>
        </w:rPr>
        <w:t xml:space="preserve"> noted that it</w:t>
      </w:r>
      <w:r w:rsidR="00655D73" w:rsidRPr="006700C3">
        <w:rPr>
          <w:sz w:val="24"/>
        </w:rPr>
        <w:t xml:space="preserve">s </w:t>
      </w:r>
      <w:r w:rsidR="006F03F3">
        <w:rPr>
          <w:sz w:val="24"/>
        </w:rPr>
        <w:t>monitoring and evaluation</w:t>
      </w:r>
      <w:r w:rsidR="00655D73" w:rsidRPr="006700C3">
        <w:rPr>
          <w:sz w:val="24"/>
        </w:rPr>
        <w:t xml:space="preserve"> plan needs improving. </w:t>
      </w:r>
      <w:r w:rsidR="00655D73">
        <w:rPr>
          <w:sz w:val="24"/>
        </w:rPr>
        <w:t xml:space="preserve">AQEP </w:t>
      </w:r>
      <w:r w:rsidR="00655D73" w:rsidRPr="006700C3">
        <w:rPr>
          <w:sz w:val="24"/>
        </w:rPr>
        <w:t xml:space="preserve">has prepared a comprehensive </w:t>
      </w:r>
      <w:r w:rsidR="006F03F3">
        <w:rPr>
          <w:sz w:val="24"/>
        </w:rPr>
        <w:t xml:space="preserve">monitoring and evaluation </w:t>
      </w:r>
      <w:r w:rsidR="00655D73" w:rsidRPr="006700C3">
        <w:rPr>
          <w:sz w:val="24"/>
        </w:rPr>
        <w:t>strategy</w:t>
      </w:r>
      <w:r w:rsidR="006356D6">
        <w:rPr>
          <w:sz w:val="24"/>
        </w:rPr>
        <w:t xml:space="preserve"> but </w:t>
      </w:r>
      <w:r w:rsidR="00655D73" w:rsidRPr="006700C3">
        <w:rPr>
          <w:sz w:val="24"/>
        </w:rPr>
        <w:t xml:space="preserve">more work </w:t>
      </w:r>
      <w:r w:rsidR="00655D73">
        <w:rPr>
          <w:sz w:val="24"/>
        </w:rPr>
        <w:t xml:space="preserve">is required </w:t>
      </w:r>
      <w:r w:rsidR="00655D73" w:rsidRPr="006700C3">
        <w:rPr>
          <w:sz w:val="24"/>
        </w:rPr>
        <w:t>to improve activity identification</w:t>
      </w:r>
      <w:r w:rsidR="00655D73">
        <w:rPr>
          <w:sz w:val="24"/>
        </w:rPr>
        <w:t xml:space="preserve"> </w:t>
      </w:r>
      <w:r w:rsidR="00655D73" w:rsidRPr="006700C3">
        <w:rPr>
          <w:sz w:val="24"/>
        </w:rPr>
        <w:t>and expected outputs</w:t>
      </w:r>
      <w:r w:rsidR="00655D73" w:rsidRPr="00C12904">
        <w:rPr>
          <w:sz w:val="24"/>
          <w:vertAlign w:val="superscript"/>
        </w:rPr>
        <w:t>.</w:t>
      </w:r>
      <w:r w:rsidR="00655D73" w:rsidRPr="00C12904">
        <w:rPr>
          <w:rStyle w:val="FootnoteReference"/>
          <w:szCs w:val="16"/>
        </w:rPr>
        <w:footnoteReference w:id="43"/>
      </w:r>
      <w:r w:rsidR="00655D73" w:rsidRPr="00C12904">
        <w:rPr>
          <w:rFonts w:ascii="Corbel" w:hAnsi="Corbel"/>
          <w:vertAlign w:val="superscript"/>
        </w:rPr>
        <w:t xml:space="preserve"> </w:t>
      </w:r>
    </w:p>
    <w:p w14:paraId="3DDD5B70" w14:textId="77777777" w:rsidR="00057F8F" w:rsidRPr="00B303B0" w:rsidRDefault="006356D6" w:rsidP="00C521A0">
      <w:pPr>
        <w:pStyle w:val="BodyText"/>
        <w:rPr>
          <w:sz w:val="24"/>
        </w:rPr>
      </w:pPr>
      <w:r>
        <w:rPr>
          <w:sz w:val="24"/>
        </w:rPr>
        <w:t>In 2012</w:t>
      </w:r>
      <w:r w:rsidR="006F03F3">
        <w:rPr>
          <w:sz w:val="24"/>
        </w:rPr>
        <w:t>–</w:t>
      </w:r>
      <w:r>
        <w:rPr>
          <w:sz w:val="24"/>
        </w:rPr>
        <w:t>13, t</w:t>
      </w:r>
      <w:r w:rsidR="00057F8F" w:rsidRPr="00B303B0">
        <w:rPr>
          <w:sz w:val="24"/>
        </w:rPr>
        <w:t xml:space="preserve">he Fiji </w:t>
      </w:r>
      <w:r w:rsidR="00786A00">
        <w:rPr>
          <w:sz w:val="24"/>
        </w:rPr>
        <w:t>p</w:t>
      </w:r>
      <w:r w:rsidR="00057F8F" w:rsidRPr="00B303B0">
        <w:rPr>
          <w:sz w:val="24"/>
        </w:rPr>
        <w:t>rogram also</w:t>
      </w:r>
      <w:r w:rsidR="00181C38" w:rsidRPr="00B303B0">
        <w:rPr>
          <w:sz w:val="24"/>
        </w:rPr>
        <w:t xml:space="preserve"> completed a number of discrete interim education activities</w:t>
      </w:r>
      <w:r w:rsidR="00534989" w:rsidRPr="00B303B0">
        <w:rPr>
          <w:sz w:val="24"/>
        </w:rPr>
        <w:t xml:space="preserve">, including </w:t>
      </w:r>
      <w:r w:rsidR="006F03F3">
        <w:rPr>
          <w:sz w:val="24"/>
        </w:rPr>
        <w:t xml:space="preserve">providing </w:t>
      </w:r>
      <w:r w:rsidR="00534989" w:rsidRPr="00B303B0">
        <w:rPr>
          <w:sz w:val="24"/>
        </w:rPr>
        <w:t>water and sanitation in schools and implement</w:t>
      </w:r>
      <w:r w:rsidR="006F03F3">
        <w:rPr>
          <w:sz w:val="24"/>
        </w:rPr>
        <w:t>ing</w:t>
      </w:r>
      <w:r w:rsidR="00534989" w:rsidRPr="00B303B0">
        <w:rPr>
          <w:sz w:val="24"/>
        </w:rPr>
        <w:t xml:space="preserve"> Fiji’s National Assessment Framework</w:t>
      </w:r>
      <w:r w:rsidR="00181C38" w:rsidRPr="00B303B0">
        <w:rPr>
          <w:sz w:val="24"/>
        </w:rPr>
        <w:t xml:space="preserve">. These began during </w:t>
      </w:r>
      <w:r w:rsidR="006F03F3">
        <w:rPr>
          <w:sz w:val="24"/>
        </w:rPr>
        <w:t>AQEP’s</w:t>
      </w:r>
      <w:r w:rsidR="006F03F3" w:rsidRPr="00401D11">
        <w:rPr>
          <w:sz w:val="24"/>
        </w:rPr>
        <w:t xml:space="preserve"> </w:t>
      </w:r>
      <w:r w:rsidR="00513B92" w:rsidRPr="00401D11">
        <w:rPr>
          <w:sz w:val="24"/>
        </w:rPr>
        <w:t>design</w:t>
      </w:r>
      <w:r w:rsidR="006F03F3">
        <w:rPr>
          <w:sz w:val="24"/>
        </w:rPr>
        <w:t xml:space="preserve"> and</w:t>
      </w:r>
      <w:r w:rsidR="00986500">
        <w:rPr>
          <w:sz w:val="24"/>
        </w:rPr>
        <w:t xml:space="preserve"> </w:t>
      </w:r>
      <w:r w:rsidR="00513B92" w:rsidRPr="00401D11">
        <w:rPr>
          <w:sz w:val="24"/>
        </w:rPr>
        <w:t>tender phase</w:t>
      </w:r>
      <w:r w:rsidR="006F03F3">
        <w:rPr>
          <w:sz w:val="24"/>
        </w:rPr>
        <w:t xml:space="preserve"> </w:t>
      </w:r>
      <w:r w:rsidR="00513B92">
        <w:rPr>
          <w:sz w:val="24"/>
        </w:rPr>
        <w:t xml:space="preserve">and </w:t>
      </w:r>
      <w:r w:rsidR="00534989" w:rsidRPr="00B303B0">
        <w:rPr>
          <w:sz w:val="24"/>
        </w:rPr>
        <w:t>will</w:t>
      </w:r>
      <w:r w:rsidR="000E539D" w:rsidRPr="00B303B0">
        <w:rPr>
          <w:sz w:val="24"/>
        </w:rPr>
        <w:t xml:space="preserve"> be</w:t>
      </w:r>
      <w:r w:rsidR="00513B92" w:rsidRPr="00401D11">
        <w:rPr>
          <w:sz w:val="24"/>
        </w:rPr>
        <w:t xml:space="preserve"> completed by June 2013</w:t>
      </w:r>
      <w:r w:rsidR="00534989" w:rsidRPr="00B303B0">
        <w:rPr>
          <w:sz w:val="24"/>
        </w:rPr>
        <w:t>.</w:t>
      </w:r>
    </w:p>
    <w:p w14:paraId="3DDD5B71" w14:textId="77777777" w:rsidR="00655D73" w:rsidRPr="00105972" w:rsidRDefault="00655D73" w:rsidP="00C521A0">
      <w:pPr>
        <w:pStyle w:val="Heading2"/>
      </w:pPr>
      <w:r w:rsidRPr="00105972">
        <w:t xml:space="preserve">Objective </w:t>
      </w:r>
      <w:r w:rsidR="00BB5B24">
        <w:t>2</w:t>
      </w:r>
      <w:r w:rsidRPr="00105972">
        <w:t xml:space="preserve">: Strengthening </w:t>
      </w:r>
      <w:r w:rsidR="00BB5B24">
        <w:t>p</w:t>
      </w:r>
      <w:r w:rsidRPr="00105972">
        <w:t xml:space="preserve">rimary </w:t>
      </w:r>
      <w:r w:rsidR="00BB5B24">
        <w:t>h</w:t>
      </w:r>
      <w:r w:rsidRPr="00105972">
        <w:t xml:space="preserve">ealth </w:t>
      </w:r>
      <w:r w:rsidR="00BB5B24">
        <w:t>s</w:t>
      </w:r>
      <w:r w:rsidRPr="00105972">
        <w:t>ervices</w:t>
      </w:r>
    </w:p>
    <w:p w14:paraId="3DDD5B72" w14:textId="77777777" w:rsidR="00BD3620" w:rsidRDefault="00BD3620" w:rsidP="00C17D14">
      <w:pPr>
        <w:pStyle w:val="BodyText"/>
        <w:rPr>
          <w:sz w:val="16"/>
          <w:szCs w:val="16"/>
          <w:vertAlign w:val="superscript"/>
        </w:rPr>
      </w:pPr>
      <w:r w:rsidRPr="00105972">
        <w:t xml:space="preserve">In the 2013 Fiji national </w:t>
      </w:r>
      <w:r>
        <w:t>budget, health funding increased</w:t>
      </w:r>
      <w:r w:rsidRPr="00105972">
        <w:t xml:space="preserve"> by 9.8 per cent</w:t>
      </w:r>
      <w:r>
        <w:t xml:space="preserve"> </w:t>
      </w:r>
      <w:r w:rsidR="00A66B4B">
        <w:t>over</w:t>
      </w:r>
      <w:r>
        <w:t xml:space="preserve"> 2012</w:t>
      </w:r>
      <w:r w:rsidR="00A66B4B">
        <w:t>, corresponding</w:t>
      </w:r>
      <w:r>
        <w:t xml:space="preserve"> to an estimated 2.0</w:t>
      </w:r>
      <w:r w:rsidRPr="00105972">
        <w:t xml:space="preserve"> per cent of GDP</w:t>
      </w:r>
      <w:r w:rsidR="0049183C">
        <w:t>.</w:t>
      </w:r>
      <w:r w:rsidRPr="00D47DFC">
        <w:rPr>
          <w:sz w:val="16"/>
          <w:szCs w:val="16"/>
          <w:vertAlign w:val="superscript"/>
        </w:rPr>
        <w:footnoteReference w:id="44"/>
      </w:r>
      <w:r w:rsidR="0049183C">
        <w:rPr>
          <w:sz w:val="16"/>
          <w:szCs w:val="16"/>
        </w:rPr>
        <w:t xml:space="preserve"> </w:t>
      </w:r>
      <w:r w:rsidR="0049183C" w:rsidRPr="0049183C">
        <w:t>However, t</w:t>
      </w:r>
      <w:r w:rsidRPr="0049183C">
        <w:t>his</w:t>
      </w:r>
      <w:r w:rsidRPr="00105972">
        <w:t xml:space="preserve"> is significantly </w:t>
      </w:r>
      <w:r>
        <w:t>below the often</w:t>
      </w:r>
      <w:r w:rsidR="00A66B4B">
        <w:t>-</w:t>
      </w:r>
      <w:r>
        <w:t xml:space="preserve">cited </w:t>
      </w:r>
      <w:r w:rsidR="00E615A4">
        <w:t>World Health Organization</w:t>
      </w:r>
      <w:r w:rsidR="00A66B4B">
        <w:t xml:space="preserve"> (WHO)</w:t>
      </w:r>
      <w:r>
        <w:t xml:space="preserve"> target</w:t>
      </w:r>
      <w:r w:rsidRPr="00105972">
        <w:t xml:space="preserve"> of a minimum 5 per cent of GDP and below the average of 8.3 per cent across the</w:t>
      </w:r>
      <w:r>
        <w:t xml:space="preserve"> rest of the</w:t>
      </w:r>
      <w:r w:rsidRPr="00105972">
        <w:t xml:space="preserve"> Pacific</w:t>
      </w:r>
      <w:r w:rsidR="006356D6">
        <w:t>.</w:t>
      </w:r>
      <w:r w:rsidRPr="006356D6">
        <w:rPr>
          <w:sz w:val="16"/>
          <w:szCs w:val="16"/>
          <w:vertAlign w:val="superscript"/>
        </w:rPr>
        <w:footnoteReference w:id="45"/>
      </w:r>
      <w:r w:rsidRPr="006356D6">
        <w:rPr>
          <w:sz w:val="16"/>
          <w:szCs w:val="16"/>
          <w:vertAlign w:val="superscript"/>
        </w:rPr>
        <w:t xml:space="preserve"> </w:t>
      </w:r>
    </w:p>
    <w:p w14:paraId="3DDD5B73" w14:textId="77777777" w:rsidR="00BD3620" w:rsidRDefault="00BD3620" w:rsidP="00C17D14">
      <w:pPr>
        <w:pStyle w:val="BodyText"/>
      </w:pPr>
      <w:r>
        <w:t>Fiji is assessed as being on track to meet MDGs on maternal and child healt</w:t>
      </w:r>
      <w:r w:rsidR="006356D6">
        <w:t xml:space="preserve">h, but progress </w:t>
      </w:r>
      <w:r w:rsidR="00A66B4B">
        <w:t xml:space="preserve">is </w:t>
      </w:r>
      <w:r w:rsidR="006356D6">
        <w:t>need</w:t>
      </w:r>
      <w:r w:rsidR="00A66B4B">
        <w:t>ed</w:t>
      </w:r>
      <w:r w:rsidR="006356D6">
        <w:t xml:space="preserve"> to do so. Despite 99.4 per cent</w:t>
      </w:r>
      <w:r>
        <w:t xml:space="preserve"> of all births occurring in hospitals, the maternal mortality rate has stagnated in recent years and was 39.2 in 2011</w:t>
      </w:r>
      <w:r w:rsidR="00A66B4B">
        <w:t>,</w:t>
      </w:r>
      <w:r>
        <w:t xml:space="preserve"> well in excess of Fiji’</w:t>
      </w:r>
      <w:r w:rsidR="00B33B4E">
        <w:t>s MDG 5 target of 10.3 by 2015. Similarly in child health, t</w:t>
      </w:r>
      <w:r w:rsidR="006356D6">
        <w:t xml:space="preserve">he infant mortality rate has </w:t>
      </w:r>
      <w:r w:rsidR="00B33B4E">
        <w:t>improve</w:t>
      </w:r>
      <w:r w:rsidR="00A66B4B">
        <w:t>d little</w:t>
      </w:r>
      <w:r w:rsidR="00B33B4E">
        <w:t xml:space="preserve"> since 2007 and was 15.96 per 1000 live births in 2011, well short of the MDG </w:t>
      </w:r>
      <w:r w:rsidR="00B33B4E">
        <w:lastRenderedPageBreak/>
        <w:t>4 target of 12 by 2015. The under-5 mortality rate has also stagnated in the last decade</w:t>
      </w:r>
      <w:r w:rsidR="00A66B4B">
        <w:t>, sitting at</w:t>
      </w:r>
      <w:r w:rsidR="00B33B4E">
        <w:t xml:space="preserve"> 2</w:t>
      </w:r>
      <w:r w:rsidR="00A15214">
        <w:t>0.95 per 1000 live births in 2011.</w:t>
      </w:r>
      <w:r w:rsidR="00244990">
        <w:rPr>
          <w:rStyle w:val="FootnoteReference"/>
        </w:rPr>
        <w:footnoteReference w:id="46"/>
      </w:r>
      <w:r w:rsidR="00A15214">
        <w:t xml:space="preserve"> </w:t>
      </w:r>
    </w:p>
    <w:p w14:paraId="3DDD5B74" w14:textId="77777777" w:rsidR="001B5DE3" w:rsidRDefault="001B5DE3" w:rsidP="00255B01">
      <w:pPr>
        <w:pStyle w:val="Heading3"/>
      </w:pPr>
      <w:r w:rsidRPr="00105972">
        <w:t>Fiji Health Sector Support Program</w:t>
      </w:r>
      <w:r w:rsidDel="00A66B4B">
        <w:t xml:space="preserve"> </w:t>
      </w:r>
    </w:p>
    <w:p w14:paraId="3DDD5B75" w14:textId="77777777" w:rsidR="00655D73" w:rsidRDefault="00A66B4B" w:rsidP="00C17D14">
      <w:pPr>
        <w:pStyle w:val="BodyText"/>
      </w:pPr>
      <w:r>
        <w:t xml:space="preserve">Through its aid program, </w:t>
      </w:r>
      <w:r w:rsidR="00655D73">
        <w:t>Australia</w:t>
      </w:r>
      <w:r>
        <w:t xml:space="preserve"> </w:t>
      </w:r>
      <w:r w:rsidR="00655D73">
        <w:t xml:space="preserve">has had a long and positive relationship with Fiji’s Ministry of Health (MoH). </w:t>
      </w:r>
      <w:r w:rsidR="00655D73" w:rsidRPr="00105972">
        <w:t>In July</w:t>
      </w:r>
      <w:r w:rsidR="00655D73">
        <w:t xml:space="preserve"> 2011, Australia’s new</w:t>
      </w:r>
      <w:r w:rsidR="00655D73" w:rsidRPr="00105972">
        <w:t xml:space="preserve"> $26 million bilateral health program, the Fiji Health Sector Support Program</w:t>
      </w:r>
      <w:r w:rsidR="00655D73">
        <w:t xml:space="preserve"> (FHSSP)</w:t>
      </w:r>
      <w:r w:rsidR="005743C8">
        <w:t>,</w:t>
      </w:r>
      <w:r>
        <w:t xml:space="preserve"> began</w:t>
      </w:r>
      <w:r w:rsidR="00655D73" w:rsidRPr="00105972">
        <w:t xml:space="preserve">. </w:t>
      </w:r>
      <w:r>
        <w:t>The program</w:t>
      </w:r>
      <w:r w:rsidRPr="00105972">
        <w:t xml:space="preserve"> </w:t>
      </w:r>
      <w:r w:rsidR="00655D73" w:rsidRPr="00105972">
        <w:t xml:space="preserve">is divided </w:t>
      </w:r>
      <w:r w:rsidR="00655D73">
        <w:t>into two stages</w:t>
      </w:r>
      <w:r>
        <w:t>—</w:t>
      </w:r>
      <w:r w:rsidR="00655D73">
        <w:t xml:space="preserve">2011 to </w:t>
      </w:r>
      <w:r w:rsidR="00655D73" w:rsidRPr="00105972">
        <w:t>2013 a</w:t>
      </w:r>
      <w:r w:rsidR="00655D73">
        <w:t>nd 2013 to 20</w:t>
      </w:r>
      <w:r w:rsidR="00655D73" w:rsidRPr="00105972">
        <w:t xml:space="preserve">15. </w:t>
      </w:r>
    </w:p>
    <w:p w14:paraId="3DDD5B76" w14:textId="05CC3454" w:rsidR="00655D73" w:rsidRPr="00105972" w:rsidRDefault="00655D73" w:rsidP="00C17D14">
      <w:pPr>
        <w:pStyle w:val="BodyText"/>
      </w:pPr>
      <w:r>
        <w:t>FHSSP is yielding positive results and is highly regarded by</w:t>
      </w:r>
      <w:r w:rsidR="00330206">
        <w:t xml:space="preserve"> </w:t>
      </w:r>
      <w:r w:rsidR="005743C8">
        <w:t>MoH</w:t>
      </w:r>
      <w:r>
        <w:t xml:space="preserve"> counterparts.</w:t>
      </w:r>
      <w:r w:rsidR="00BE2F0A">
        <w:t xml:space="preserve"> </w:t>
      </w:r>
      <w:r w:rsidRPr="00105972">
        <w:t>The</w:t>
      </w:r>
      <w:r w:rsidR="00A66B4B">
        <w:t xml:space="preserve"> program’s</w:t>
      </w:r>
      <w:r w:rsidRPr="00105972">
        <w:t xml:space="preserve"> 2013 </w:t>
      </w:r>
      <w:r w:rsidR="00A66B4B">
        <w:t>m</w:t>
      </w:r>
      <w:r w:rsidRPr="00105972">
        <w:t>id-</w:t>
      </w:r>
      <w:r w:rsidR="00A66B4B">
        <w:t>t</w:t>
      </w:r>
      <w:r w:rsidRPr="00105972">
        <w:t xml:space="preserve">erm </w:t>
      </w:r>
      <w:r w:rsidR="00A66B4B">
        <w:t>r</w:t>
      </w:r>
      <w:r w:rsidRPr="00105972">
        <w:t xml:space="preserve">eview </w:t>
      </w:r>
      <w:r w:rsidRPr="006700C3">
        <w:t>noted that, with the exception of the primary he</w:t>
      </w:r>
      <w:r w:rsidR="00790CFA">
        <w:t>alth care component (</w:t>
      </w:r>
      <w:r w:rsidR="00BD252A">
        <w:t>O</w:t>
      </w:r>
      <w:r>
        <w:t xml:space="preserve">bjective </w:t>
      </w:r>
      <w:r w:rsidR="00BD252A">
        <w:t>4</w:t>
      </w:r>
      <w:r w:rsidRPr="006700C3">
        <w:t>)</w:t>
      </w:r>
      <w:r>
        <w:t>,</w:t>
      </w:r>
      <w:r w:rsidRPr="006700C3">
        <w:t xml:space="preserve"> FHSSP has performed exceptionally well, given </w:t>
      </w:r>
      <w:r w:rsidR="00BD252A">
        <w:t>its</w:t>
      </w:r>
      <w:r w:rsidR="00BD252A" w:rsidRPr="006700C3">
        <w:t xml:space="preserve"> </w:t>
      </w:r>
      <w:r w:rsidRPr="006700C3">
        <w:t>constraints</w:t>
      </w:r>
      <w:r>
        <w:t>.</w:t>
      </w:r>
      <w:r w:rsidRPr="006700C3">
        <w:rPr>
          <w:rStyle w:val="FootnoteReference"/>
          <w:szCs w:val="16"/>
        </w:rPr>
        <w:footnoteReference w:id="47"/>
      </w:r>
      <w:r w:rsidR="00A66B4B">
        <w:t xml:space="preserve"> </w:t>
      </w:r>
      <w:r w:rsidRPr="00713030">
        <w:t>FHSSP is</w:t>
      </w:r>
      <w:r w:rsidRPr="00713030">
        <w:rPr>
          <w:sz w:val="16"/>
          <w:szCs w:val="16"/>
        </w:rPr>
        <w:t xml:space="preserve"> </w:t>
      </w:r>
      <w:r w:rsidRPr="00713030">
        <w:t>implem</w:t>
      </w:r>
      <w:r w:rsidR="00244990">
        <w:t>ented by</w:t>
      </w:r>
      <w:r w:rsidR="005743C8">
        <w:t xml:space="preserve"> managing contractor</w:t>
      </w:r>
      <w:r w:rsidRPr="00713030">
        <w:t xml:space="preserve"> Ab-JTAI.</w:t>
      </w:r>
      <w:r w:rsidRPr="00105972">
        <w:t xml:space="preserve"> </w:t>
      </w:r>
    </w:p>
    <w:p w14:paraId="3DDD5B77" w14:textId="77777777" w:rsidR="00655D73" w:rsidRPr="00105972" w:rsidRDefault="00655D73" w:rsidP="00C17D14">
      <w:pPr>
        <w:pStyle w:val="BodyText"/>
      </w:pPr>
      <w:r>
        <w:t>FHSSP’</w:t>
      </w:r>
      <w:r w:rsidRPr="00105972">
        <w:t>s objectives are</w:t>
      </w:r>
      <w:r w:rsidR="00BD252A">
        <w:t xml:space="preserve"> to</w:t>
      </w:r>
    </w:p>
    <w:p w14:paraId="3DDD5B78" w14:textId="77777777" w:rsidR="00655D73" w:rsidRPr="00C17D14" w:rsidRDefault="00655D73" w:rsidP="00C17D14">
      <w:pPr>
        <w:pStyle w:val="ListNumber"/>
        <w:numPr>
          <w:ilvl w:val="0"/>
          <w:numId w:val="37"/>
        </w:numPr>
      </w:pPr>
      <w:r w:rsidRPr="00C17D14">
        <w:t>institutionalise a safe motherhood program at decentralised levels throughout Fiji</w:t>
      </w:r>
    </w:p>
    <w:p w14:paraId="3DDD5B79" w14:textId="77777777" w:rsidR="00655D73" w:rsidRPr="00C17D14" w:rsidRDefault="00655D73" w:rsidP="00C17D14">
      <w:pPr>
        <w:pStyle w:val="ListNumber"/>
      </w:pPr>
      <w:r w:rsidRPr="00C17D14">
        <w:t>strengthen infant immuni</w:t>
      </w:r>
      <w:r w:rsidR="001B5DE3" w:rsidRPr="00C17D14">
        <w:t>s</w:t>
      </w:r>
      <w:r w:rsidRPr="00C17D14">
        <w:t xml:space="preserve">ation and </w:t>
      </w:r>
      <w:r w:rsidR="005743C8" w:rsidRPr="00C17D14">
        <w:t xml:space="preserve">the </w:t>
      </w:r>
      <w:r w:rsidRPr="00C17D14">
        <w:t>care</w:t>
      </w:r>
      <w:r w:rsidR="005743C8" w:rsidRPr="00C17D14">
        <w:t xml:space="preserve"> for</w:t>
      </w:r>
      <w:r w:rsidRPr="00C17D14">
        <w:t xml:space="preserve"> and management of childhood illnesses</w:t>
      </w:r>
      <w:r w:rsidR="005743C8" w:rsidRPr="00C17D14">
        <w:t>, to</w:t>
      </w:r>
      <w:r w:rsidRPr="00C17D14">
        <w:t xml:space="preserve"> institutionalise a healthy child program throughout Fiji</w:t>
      </w:r>
    </w:p>
    <w:p w14:paraId="3DDD5B7A" w14:textId="77777777" w:rsidR="00655D73" w:rsidRPr="00C17D14" w:rsidRDefault="00655D73" w:rsidP="00C17D14">
      <w:pPr>
        <w:pStyle w:val="ListNumber"/>
      </w:pPr>
      <w:r w:rsidRPr="00C17D14">
        <w:t>improve prevention and management of diabetes and hypertension at decentralised levels</w:t>
      </w:r>
    </w:p>
    <w:p w14:paraId="3DDD5B7B" w14:textId="77777777" w:rsidR="00655D73" w:rsidRPr="00C17D14" w:rsidRDefault="00655D73" w:rsidP="00C17D14">
      <w:pPr>
        <w:pStyle w:val="ListNumber"/>
      </w:pPr>
      <w:r w:rsidRPr="00C17D14">
        <w:t>revitalise an effective network of village</w:t>
      </w:r>
      <w:r w:rsidR="001B5DE3" w:rsidRPr="00C17D14">
        <w:t xml:space="preserve"> and </w:t>
      </w:r>
      <w:r w:rsidRPr="00C17D14">
        <w:t>community health workers as the first point of contact with the health system for people at community level</w:t>
      </w:r>
    </w:p>
    <w:p w14:paraId="3DDD5B7C" w14:textId="77777777" w:rsidR="00655D73" w:rsidRPr="00C17D14" w:rsidRDefault="00655D73" w:rsidP="00C17D14">
      <w:pPr>
        <w:pStyle w:val="ListNumber"/>
      </w:pPr>
      <w:r w:rsidRPr="00C17D14">
        <w:t>strengthen key components of the health system to support decentralised service delivery.</w:t>
      </w:r>
    </w:p>
    <w:p w14:paraId="3DDD5B7D" w14:textId="44BE92BE" w:rsidR="00655D73" w:rsidRPr="00D47DFC" w:rsidRDefault="00655D73" w:rsidP="00C17D14">
      <w:pPr>
        <w:pStyle w:val="BodyText"/>
      </w:pPr>
      <w:r w:rsidRPr="00D47DFC">
        <w:t>FHSSP</w:t>
      </w:r>
      <w:r w:rsidR="001B5DE3">
        <w:t>’s</w:t>
      </w:r>
      <w:r>
        <w:t xml:space="preserve"> objectives are closely aligned with the </w:t>
      </w:r>
      <w:r w:rsidR="001B5DE3">
        <w:t>MoH’s</w:t>
      </w:r>
      <w:r>
        <w:t xml:space="preserve"> </w:t>
      </w:r>
      <w:r w:rsidRPr="00D47DFC">
        <w:t>stra</w:t>
      </w:r>
      <w:r>
        <w:t>tegic priorities.</w:t>
      </w:r>
      <w:r w:rsidRPr="00D47DFC">
        <w:t xml:space="preserve"> The 2013 </w:t>
      </w:r>
      <w:r w:rsidR="001B5DE3">
        <w:t>m</w:t>
      </w:r>
      <w:r w:rsidRPr="00D47DFC">
        <w:t>id-</w:t>
      </w:r>
      <w:r w:rsidR="001B5DE3">
        <w:t>t</w:t>
      </w:r>
      <w:r w:rsidRPr="00D47DFC">
        <w:t xml:space="preserve">erm </w:t>
      </w:r>
      <w:r w:rsidR="001B5DE3">
        <w:t>r</w:t>
      </w:r>
      <w:r w:rsidRPr="00D47DFC">
        <w:t xml:space="preserve">eview found </w:t>
      </w:r>
      <w:r w:rsidR="00A42A50" w:rsidRPr="00D47DFC">
        <w:t>FHSSP</w:t>
      </w:r>
      <w:r>
        <w:t xml:space="preserve"> </w:t>
      </w:r>
      <w:r w:rsidRPr="00D47DFC">
        <w:t xml:space="preserve">is beginning to foster a culture of evidence-based decision making within the </w:t>
      </w:r>
      <w:r w:rsidR="001B5DE3">
        <w:t>MoH,</w:t>
      </w:r>
      <w:r w:rsidRPr="00D47DFC">
        <w:t xml:space="preserve"> resulting in the establishment of key health systems and processes.</w:t>
      </w:r>
      <w:r w:rsidRPr="00C12904">
        <w:rPr>
          <w:rStyle w:val="FootnoteReference"/>
          <w:szCs w:val="16"/>
        </w:rPr>
        <w:footnoteReference w:id="48"/>
      </w:r>
      <w:r w:rsidRPr="00C12904">
        <w:rPr>
          <w:sz w:val="16"/>
          <w:szCs w:val="16"/>
          <w:vertAlign w:val="superscript"/>
        </w:rPr>
        <w:t xml:space="preserve"> </w:t>
      </w:r>
    </w:p>
    <w:p w14:paraId="3DDD5B7E" w14:textId="77777777" w:rsidR="00655D73" w:rsidRDefault="00655D73" w:rsidP="00C17D14">
      <w:pPr>
        <w:pStyle w:val="BodyText"/>
      </w:pPr>
      <w:r>
        <w:t xml:space="preserve">FHSSP </w:t>
      </w:r>
      <w:r w:rsidRPr="00105972">
        <w:t xml:space="preserve">works with other donors and partners in the health sector </w:t>
      </w:r>
      <w:r>
        <w:t>and supports</w:t>
      </w:r>
      <w:r w:rsidRPr="00105972">
        <w:t xml:space="preserve"> </w:t>
      </w:r>
      <w:r>
        <w:t xml:space="preserve">the MoH’s </w:t>
      </w:r>
      <w:r w:rsidRPr="00105972">
        <w:t xml:space="preserve">efforts to coordinate these organisations. </w:t>
      </w:r>
      <w:r>
        <w:t>Aligned with this, the FHSSP’s 2012 annual</w:t>
      </w:r>
      <w:r w:rsidRPr="00105972">
        <w:t xml:space="preserve"> planning meeting involved </w:t>
      </w:r>
      <w:r>
        <w:t>the WHO</w:t>
      </w:r>
      <w:r w:rsidRPr="00105972">
        <w:t xml:space="preserve">, Japanese International Cooperation Agency, and </w:t>
      </w:r>
      <w:r w:rsidR="005743C8">
        <w:t>the United Nations Children’s Fund (</w:t>
      </w:r>
      <w:r w:rsidRPr="00105972">
        <w:t>UNICEF</w:t>
      </w:r>
      <w:r w:rsidR="005743C8">
        <w:t>)</w:t>
      </w:r>
      <w:r w:rsidRPr="00105972">
        <w:t>.</w:t>
      </w:r>
      <w:r w:rsidRPr="00C17D14">
        <w:rPr>
          <w:vertAlign w:val="superscript"/>
        </w:rPr>
        <w:footnoteReference w:id="49"/>
      </w:r>
      <w:r w:rsidRPr="00C17D14">
        <w:rPr>
          <w:vertAlign w:val="superscript"/>
        </w:rPr>
        <w:t xml:space="preserve"> </w:t>
      </w:r>
    </w:p>
    <w:p w14:paraId="3DDD5B7F" w14:textId="77777777" w:rsidR="00F21726" w:rsidRPr="00C17D14" w:rsidRDefault="00F21726" w:rsidP="00C17D14">
      <w:pPr>
        <w:pStyle w:val="Heading3"/>
      </w:pPr>
      <w:r w:rsidRPr="00C17D14">
        <w:t>Achievements under individual objectives</w:t>
      </w:r>
    </w:p>
    <w:p w14:paraId="3DDD5B80" w14:textId="77777777" w:rsidR="00F21726" w:rsidRDefault="00F21726" w:rsidP="00C17D14">
      <w:pPr>
        <w:pStyle w:val="BodyText"/>
      </w:pPr>
      <w:r>
        <w:t>Achievements under the individual objectives of the FHSSP are summarised here:</w:t>
      </w:r>
    </w:p>
    <w:p w14:paraId="3DDD5B81" w14:textId="77777777" w:rsidR="00655D73" w:rsidRDefault="00655D73" w:rsidP="00C17D14">
      <w:pPr>
        <w:pStyle w:val="BodyText"/>
      </w:pPr>
      <w:r w:rsidRPr="00E100FF">
        <w:rPr>
          <w:b/>
        </w:rPr>
        <w:t xml:space="preserve">Objective </w:t>
      </w:r>
      <w:r w:rsidR="00AB2C32" w:rsidRPr="00E100FF">
        <w:rPr>
          <w:b/>
        </w:rPr>
        <w:t>1</w:t>
      </w:r>
      <w:r w:rsidR="00AB2C32">
        <w:t>—</w:t>
      </w:r>
      <w:r w:rsidRPr="00105972">
        <w:t>institutionalise a safe motherhood program at decentralised levels</w:t>
      </w:r>
      <w:r w:rsidR="00193F44">
        <w:t xml:space="preserve">, which </w:t>
      </w:r>
      <w:r w:rsidR="00AB2C32">
        <w:t xml:space="preserve">requires a </w:t>
      </w:r>
      <w:r w:rsidR="00A15214">
        <w:t>skilled workforce</w:t>
      </w:r>
      <w:r>
        <w:t xml:space="preserve">. </w:t>
      </w:r>
      <w:r w:rsidR="00AB2C32">
        <w:t>To support this,</w:t>
      </w:r>
      <w:r>
        <w:t xml:space="preserve"> FHSSP</w:t>
      </w:r>
      <w:r w:rsidRPr="00996838">
        <w:t xml:space="preserve"> funded 35 nurses to obtain a Post Graduate Diploma in Midwifery</w:t>
      </w:r>
      <w:r w:rsidR="00AB2C32">
        <w:t xml:space="preserve"> in 2012</w:t>
      </w:r>
      <w:r>
        <w:t xml:space="preserve">. </w:t>
      </w:r>
      <w:r w:rsidR="001B5DE3">
        <w:t>The program</w:t>
      </w:r>
      <w:r>
        <w:t xml:space="preserve"> exceeded its annual target for midwifery training by 75 per cent, and the MoH is on track to upskill its maternal health workforce</w:t>
      </w:r>
      <w:r w:rsidRPr="00461FD6">
        <w:t xml:space="preserve">. </w:t>
      </w:r>
    </w:p>
    <w:p w14:paraId="3DDD5B82" w14:textId="77777777" w:rsidR="00655D73" w:rsidRDefault="00655D73" w:rsidP="00C17D14">
      <w:pPr>
        <w:pStyle w:val="BodyText"/>
      </w:pPr>
      <w:r w:rsidRPr="00E100FF">
        <w:rPr>
          <w:b/>
        </w:rPr>
        <w:t xml:space="preserve">Objective </w:t>
      </w:r>
      <w:r w:rsidR="00BB5B24" w:rsidRPr="00E100FF">
        <w:rPr>
          <w:b/>
        </w:rPr>
        <w:t>2</w:t>
      </w:r>
      <w:r w:rsidR="00AB2C32">
        <w:t>—</w:t>
      </w:r>
      <w:r w:rsidRPr="00105972">
        <w:t>strength</w:t>
      </w:r>
      <w:r>
        <w:t>en infant immuni</w:t>
      </w:r>
      <w:r w:rsidR="00AB2C32">
        <w:t>s</w:t>
      </w:r>
      <w:r>
        <w:t xml:space="preserve">ation and </w:t>
      </w:r>
      <w:r w:rsidR="00193F44">
        <w:t xml:space="preserve">the </w:t>
      </w:r>
      <w:r>
        <w:t>care</w:t>
      </w:r>
      <w:r w:rsidR="00193F44">
        <w:t xml:space="preserve"> for</w:t>
      </w:r>
      <w:r>
        <w:t xml:space="preserve"> </w:t>
      </w:r>
      <w:r w:rsidRPr="00105972">
        <w:t>and management of childhood illnesses</w:t>
      </w:r>
      <w:r w:rsidR="00193F44">
        <w:t>, to</w:t>
      </w:r>
      <w:r w:rsidRPr="00105972">
        <w:t xml:space="preserve"> institutionalise a healthy child program</w:t>
      </w:r>
      <w:r w:rsidR="00193F44">
        <w:t xml:space="preserve">, which </w:t>
      </w:r>
      <w:r w:rsidR="00AB2C32">
        <w:t>is l</w:t>
      </w:r>
      <w:r>
        <w:t>inked to</w:t>
      </w:r>
      <w:r w:rsidR="00D9700A">
        <w:t xml:space="preserve"> </w:t>
      </w:r>
      <w:r>
        <w:t>FHSSP</w:t>
      </w:r>
      <w:r w:rsidR="00AB2C32">
        <w:t>’s work in introducing</w:t>
      </w:r>
      <w:r w:rsidRPr="00105972">
        <w:t xml:space="preserve"> three new vaccines</w:t>
      </w:r>
      <w:r w:rsidR="00AB2C32">
        <w:t xml:space="preserve"> in 2012. It was a world first for the</w:t>
      </w:r>
      <w:r w:rsidRPr="00105972">
        <w:t xml:space="preserve"> </w:t>
      </w:r>
      <w:r w:rsidR="00AB2C32">
        <w:t>P</w:t>
      </w:r>
      <w:r w:rsidRPr="00105972">
        <w:t xml:space="preserve">neumococcal, </w:t>
      </w:r>
      <w:r w:rsidR="00AB2C32">
        <w:t>R</w:t>
      </w:r>
      <w:r w:rsidRPr="00105972">
        <w:t xml:space="preserve">otavirus and </w:t>
      </w:r>
      <w:r>
        <w:t>Human Papilloma Virus</w:t>
      </w:r>
      <w:r w:rsidR="00AB2C32">
        <w:t xml:space="preserve"> vaccines</w:t>
      </w:r>
      <w:r>
        <w:t xml:space="preserve"> to be introduced together. In Fiji, the vaccines </w:t>
      </w:r>
      <w:r w:rsidR="00AB2C32">
        <w:t>will have a</w:t>
      </w:r>
      <w:r w:rsidRPr="00105972">
        <w:t xml:space="preserve"> positive impact </w:t>
      </w:r>
      <w:r w:rsidR="00AB2C32">
        <w:t xml:space="preserve">on </w:t>
      </w:r>
      <w:r w:rsidRPr="00105972">
        <w:t>under-5 mortality and decrease cervical cancer</w:t>
      </w:r>
      <w:r w:rsidRPr="00FE64E7">
        <w:t>.</w:t>
      </w:r>
    </w:p>
    <w:p w14:paraId="3DDD5B83" w14:textId="77926E64" w:rsidR="00655D73" w:rsidRDefault="00655D73" w:rsidP="00C17D14">
      <w:pPr>
        <w:pStyle w:val="BodyText"/>
      </w:pPr>
      <w:r w:rsidRPr="00105972">
        <w:lastRenderedPageBreak/>
        <w:t xml:space="preserve">Pneumococcal </w:t>
      </w:r>
      <w:r w:rsidR="00AB2C32">
        <w:t xml:space="preserve">and Rotavirus </w:t>
      </w:r>
      <w:r w:rsidRPr="00105972">
        <w:t>were</w:t>
      </w:r>
      <w:r>
        <w:t xml:space="preserve"> introduced</w:t>
      </w:r>
      <w:r w:rsidRPr="00105972">
        <w:t xml:space="preserve"> </w:t>
      </w:r>
      <w:r>
        <w:t>first</w:t>
      </w:r>
      <w:r w:rsidR="00C36E4A">
        <w:t xml:space="preserve"> in 2012</w:t>
      </w:r>
      <w:r w:rsidRPr="00105972">
        <w:t xml:space="preserve">. </w:t>
      </w:r>
      <w:r w:rsidRPr="00E66BAA">
        <w:t>Approximately 11</w:t>
      </w:r>
      <w:r w:rsidR="00960A60">
        <w:t>,</w:t>
      </w:r>
      <w:r w:rsidRPr="00E66BAA">
        <w:t>000 babies were immunised with these vaccines</w:t>
      </w:r>
      <w:r>
        <w:t xml:space="preserve"> by </w:t>
      </w:r>
      <w:r w:rsidRPr="00E66BAA">
        <w:t>March 2013</w:t>
      </w:r>
      <w:r w:rsidR="00AB2C32">
        <w:t>.</w:t>
      </w:r>
      <w:r w:rsidRPr="00951C86">
        <w:rPr>
          <w:rStyle w:val="FootnoteReference"/>
          <w:szCs w:val="16"/>
        </w:rPr>
        <w:footnoteReference w:id="50"/>
      </w:r>
      <w:r w:rsidRPr="00951C86">
        <w:rPr>
          <w:vertAlign w:val="superscript"/>
        </w:rPr>
        <w:t xml:space="preserve"> </w:t>
      </w:r>
      <w:r>
        <w:t>FHSSP</w:t>
      </w:r>
      <w:r w:rsidRPr="00E66BAA">
        <w:t xml:space="preserve"> is on track to reach its target of 21</w:t>
      </w:r>
      <w:r w:rsidR="00960A60">
        <w:t>,</w:t>
      </w:r>
      <w:r w:rsidRPr="00E66BAA">
        <w:t xml:space="preserve">600 babies being vaccinated </w:t>
      </w:r>
      <w:r w:rsidR="00F21726">
        <w:t>with these two vaccines</w:t>
      </w:r>
      <w:r w:rsidRPr="00E66BAA">
        <w:t xml:space="preserve"> per </w:t>
      </w:r>
      <w:r w:rsidR="00F21726">
        <w:t>year.</w:t>
      </w:r>
      <w:r w:rsidRPr="00C12904">
        <w:rPr>
          <w:rStyle w:val="FootnoteReference"/>
          <w:szCs w:val="16"/>
        </w:rPr>
        <w:footnoteReference w:id="51"/>
      </w:r>
      <w:r w:rsidRPr="00E66BAA">
        <w:t xml:space="preserve">The </w:t>
      </w:r>
      <w:r w:rsidR="00193F44">
        <w:t>Human Papilloma Virus</w:t>
      </w:r>
      <w:r w:rsidR="00193F44" w:rsidRPr="00E66BAA">
        <w:t xml:space="preserve"> </w:t>
      </w:r>
      <w:r w:rsidRPr="00E66BAA">
        <w:t xml:space="preserve">immunisation program </w:t>
      </w:r>
      <w:r w:rsidR="00AB2C32">
        <w:t>started</w:t>
      </w:r>
      <w:r w:rsidR="00AB2C32" w:rsidRPr="00E66BAA">
        <w:t xml:space="preserve"> </w:t>
      </w:r>
      <w:r w:rsidRPr="00E66BAA">
        <w:t xml:space="preserve">in </w:t>
      </w:r>
      <w:r w:rsidR="00790CFA">
        <w:t>2013 (numbers are</w:t>
      </w:r>
      <w:r w:rsidR="00F21726">
        <w:t xml:space="preserve"> not yet</w:t>
      </w:r>
      <w:r w:rsidR="00790CFA">
        <w:t xml:space="preserve"> available)</w:t>
      </w:r>
      <w:r w:rsidR="00AD2C60">
        <w:t xml:space="preserve">. </w:t>
      </w:r>
      <w:r w:rsidR="00701698">
        <w:t>DFAT</w:t>
      </w:r>
      <w:r w:rsidR="00790CFA">
        <w:t xml:space="preserve"> will fund</w:t>
      </w:r>
      <w:r w:rsidRPr="00FE64E7">
        <w:t xml:space="preserve"> the initial procurement and roll-out of the</w:t>
      </w:r>
      <w:r>
        <w:t xml:space="preserve"> </w:t>
      </w:r>
      <w:r w:rsidRPr="00FE64E7">
        <w:t xml:space="preserve">vaccines, but </w:t>
      </w:r>
      <w:r w:rsidR="00193F44">
        <w:t>with</w:t>
      </w:r>
      <w:r>
        <w:t xml:space="preserve"> </w:t>
      </w:r>
      <w:r w:rsidR="00790CFA">
        <w:t xml:space="preserve">a cost-sharing </w:t>
      </w:r>
      <w:r w:rsidRPr="00FE64E7">
        <w:t>m</w:t>
      </w:r>
      <w:r>
        <w:t>odel that will see the MoH</w:t>
      </w:r>
      <w:r w:rsidRPr="00FE64E7">
        <w:t xml:space="preserve"> assume 100 per cent of costs by year five of</w:t>
      </w:r>
      <w:r w:rsidR="00951C86">
        <w:t xml:space="preserve"> the program</w:t>
      </w:r>
      <w:r w:rsidRPr="00FE64E7">
        <w:t>.</w:t>
      </w:r>
      <w:r>
        <w:t xml:space="preserve"> This is a significant achievement.</w:t>
      </w:r>
    </w:p>
    <w:p w14:paraId="3DDD5B84" w14:textId="0E06A793" w:rsidR="00655D73" w:rsidRDefault="00655D73" w:rsidP="00C17D14">
      <w:pPr>
        <w:pStyle w:val="BodyText"/>
      </w:pPr>
      <w:r>
        <w:t xml:space="preserve">Also under </w:t>
      </w:r>
      <w:r w:rsidR="00BB5B24">
        <w:t>O</w:t>
      </w:r>
      <w:r>
        <w:t xml:space="preserve">bjective </w:t>
      </w:r>
      <w:r w:rsidR="00BB5B24">
        <w:t>2</w:t>
      </w:r>
      <w:r>
        <w:t xml:space="preserve">, FHSSP </w:t>
      </w:r>
      <w:r w:rsidRPr="00105972">
        <w:t xml:space="preserve">funded a significant revision of </w:t>
      </w:r>
      <w:r w:rsidR="00E60B57">
        <w:t>Fiji’s</w:t>
      </w:r>
      <w:r w:rsidR="00E60B57" w:rsidRPr="00105972">
        <w:t xml:space="preserve"> </w:t>
      </w:r>
      <w:r w:rsidRPr="00105972">
        <w:t>Child Health Record. Since 17 September 2012, 100 per cent of all new born babies and their mothers (approximately 9</w:t>
      </w:r>
      <w:r w:rsidR="00960A60">
        <w:t>,</w:t>
      </w:r>
      <w:r w:rsidRPr="00105972">
        <w:t xml:space="preserve">000) received the </w:t>
      </w:r>
      <w:r>
        <w:t>improved</w:t>
      </w:r>
      <w:r w:rsidRPr="00105972">
        <w:t xml:space="preserve"> record</w:t>
      </w:r>
      <w:r w:rsidR="00E60B57">
        <w:t>.</w:t>
      </w:r>
      <w:r w:rsidRPr="00E66BAA">
        <w:rPr>
          <w:sz w:val="16"/>
          <w:szCs w:val="16"/>
          <w:vertAlign w:val="superscript"/>
        </w:rPr>
        <w:footnoteReference w:id="52"/>
      </w:r>
      <w:r w:rsidR="00C17D14">
        <w:t xml:space="preserve"> </w:t>
      </w:r>
      <w:r w:rsidRPr="00105972">
        <w:t>The new design lists milestones</w:t>
      </w:r>
      <w:r w:rsidR="003F6FA0">
        <w:t xml:space="preserve"> and</w:t>
      </w:r>
      <w:r w:rsidRPr="00105972">
        <w:t xml:space="preserve"> tracks infant developments and early warning signs. The information in the record</w:t>
      </w:r>
      <w:r w:rsidR="003F6FA0">
        <w:t>s</w:t>
      </w:r>
      <w:r w:rsidRPr="00105972">
        <w:t xml:space="preserve"> will be</w:t>
      </w:r>
      <w:r>
        <w:t xml:space="preserve"> entered directly into Fiji’s new </w:t>
      </w:r>
      <w:r w:rsidR="001911C6">
        <w:t>P</w:t>
      </w:r>
      <w:r>
        <w:t xml:space="preserve">ublic </w:t>
      </w:r>
      <w:r w:rsidR="001911C6">
        <w:t>H</w:t>
      </w:r>
      <w:r>
        <w:t xml:space="preserve">ealth </w:t>
      </w:r>
      <w:r w:rsidR="001911C6">
        <w:t>I</w:t>
      </w:r>
      <w:r>
        <w:t xml:space="preserve">nformation </w:t>
      </w:r>
      <w:r w:rsidR="001911C6">
        <w:t>S</w:t>
      </w:r>
      <w:r>
        <w:t>ystem</w:t>
      </w:r>
      <w:r w:rsidR="003F6FA0">
        <w:t>, giving</w:t>
      </w:r>
      <w:r w:rsidRPr="00993B64">
        <w:t xml:space="preserve"> health professional</w:t>
      </w:r>
      <w:r>
        <w:t xml:space="preserve">s access to timely data </w:t>
      </w:r>
      <w:r w:rsidR="003F6FA0">
        <w:t xml:space="preserve">and </w:t>
      </w:r>
      <w:r>
        <w:t xml:space="preserve">allowing them to </w:t>
      </w:r>
      <w:r w:rsidRPr="00993B64">
        <w:t xml:space="preserve">respond to </w:t>
      </w:r>
      <w:r>
        <w:t xml:space="preserve">emerging </w:t>
      </w:r>
      <w:r w:rsidRPr="00993B64">
        <w:t>maternal and child health</w:t>
      </w:r>
      <w:r w:rsidR="00A15214">
        <w:t xml:space="preserve"> issues</w:t>
      </w:r>
      <w:r w:rsidRPr="00993B64">
        <w:t>.</w:t>
      </w:r>
    </w:p>
    <w:p w14:paraId="3DDD5B85" w14:textId="77777777" w:rsidR="00513B92" w:rsidRDefault="00132918" w:rsidP="00C17D14">
      <w:pPr>
        <w:pStyle w:val="BodyText"/>
      </w:pPr>
      <w:r w:rsidRPr="00E100FF">
        <w:rPr>
          <w:b/>
        </w:rPr>
        <w:t xml:space="preserve">Objective </w:t>
      </w:r>
      <w:r w:rsidR="00BB5B24" w:rsidRPr="00E100FF">
        <w:rPr>
          <w:b/>
        </w:rPr>
        <w:t>3</w:t>
      </w:r>
      <w:r w:rsidR="003F6FA0">
        <w:t>—</w:t>
      </w:r>
      <w:r w:rsidRPr="00B303B0">
        <w:t>improve prevention and management of diabetes and hypertension at decentralised levels</w:t>
      </w:r>
      <w:r w:rsidR="00193F44">
        <w:t xml:space="preserve">, which </w:t>
      </w:r>
      <w:r w:rsidR="003F6FA0">
        <w:t>addresses the reality that n</w:t>
      </w:r>
      <w:r w:rsidR="0049183C">
        <w:t>on-c</w:t>
      </w:r>
      <w:r w:rsidR="009A0529">
        <w:t>ommunicable diseases are at epidemic levels in Fiji. Diabetes affects more than 18 per cent of the population, one of the highest prevalence rates in the world.</w:t>
      </w:r>
      <w:r w:rsidR="009A0529">
        <w:rPr>
          <w:rStyle w:val="FootnoteReference"/>
        </w:rPr>
        <w:footnoteReference w:id="53"/>
      </w:r>
      <w:r w:rsidR="00C97459" w:rsidRPr="00C97459">
        <w:t xml:space="preserve"> </w:t>
      </w:r>
      <w:r w:rsidR="00C97459" w:rsidRPr="002A0D57">
        <w:t xml:space="preserve">In response, FHSSP has developed </w:t>
      </w:r>
      <w:r w:rsidR="00193F44">
        <w:t xml:space="preserve">tool </w:t>
      </w:r>
      <w:r w:rsidR="00C97459" w:rsidRPr="00B303B0">
        <w:t>kits to screen people over 30</w:t>
      </w:r>
      <w:r w:rsidR="002A0D57" w:rsidRPr="00B303B0">
        <w:t xml:space="preserve"> years</w:t>
      </w:r>
      <w:r w:rsidR="003F6FA0">
        <w:t xml:space="preserve"> of age</w:t>
      </w:r>
      <w:r w:rsidR="00C97459" w:rsidRPr="00B303B0">
        <w:t xml:space="preserve"> for </w:t>
      </w:r>
      <w:r w:rsidR="003F6FA0">
        <w:t>non-communicable disease risks</w:t>
      </w:r>
      <w:r w:rsidR="00C97459" w:rsidRPr="00B303B0">
        <w:t>. In 2012</w:t>
      </w:r>
      <w:r w:rsidR="003F6FA0">
        <w:t>–</w:t>
      </w:r>
      <w:r w:rsidR="00C97459" w:rsidRPr="00B303B0">
        <w:t>13,</w:t>
      </w:r>
      <w:r w:rsidR="00C97459" w:rsidRPr="002A0D57">
        <w:t xml:space="preserve"> </w:t>
      </w:r>
      <w:r w:rsidR="00C97459" w:rsidRPr="00B303B0">
        <w:t>170 kits were distributed and 170 zone and district nurses trained to use the</w:t>
      </w:r>
      <w:r w:rsidR="003F6FA0">
        <w:t>m</w:t>
      </w:r>
      <w:r w:rsidR="00C97459" w:rsidRPr="00B303B0">
        <w:t>. Training for all divisions will be finalised in 2013. The target is to screen all people over 30</w:t>
      </w:r>
      <w:r w:rsidR="003F6FA0">
        <w:t xml:space="preserve"> years of age</w:t>
      </w:r>
      <w:r w:rsidR="00C97459" w:rsidRPr="00B303B0">
        <w:t xml:space="preserve"> by the</w:t>
      </w:r>
      <w:r w:rsidR="003F6FA0">
        <w:t xml:space="preserve"> time</w:t>
      </w:r>
      <w:r w:rsidR="00C97459" w:rsidRPr="00B303B0">
        <w:t xml:space="preserve"> FHSSP</w:t>
      </w:r>
      <w:r w:rsidR="003F6FA0">
        <w:t xml:space="preserve"> ends</w:t>
      </w:r>
      <w:r w:rsidR="00C97459" w:rsidRPr="00B303B0">
        <w:t xml:space="preserve"> in 2015.</w:t>
      </w:r>
      <w:r w:rsidR="00513B92">
        <w:t xml:space="preserve"> </w:t>
      </w:r>
      <w:r w:rsidR="00655D73">
        <w:t>FHSSP</w:t>
      </w:r>
      <w:r w:rsidR="00655D73" w:rsidRPr="00105972">
        <w:t xml:space="preserve"> has</w:t>
      </w:r>
      <w:r w:rsidR="009A0529">
        <w:t xml:space="preserve"> also</w:t>
      </w:r>
      <w:r w:rsidR="00655D73" w:rsidRPr="00105972">
        <w:t xml:space="preserve"> </w:t>
      </w:r>
      <w:r w:rsidR="00655D73">
        <w:t xml:space="preserve">developed </w:t>
      </w:r>
      <w:r w:rsidR="00655D73" w:rsidRPr="00105972">
        <w:t>a proactive approach to disabilit</w:t>
      </w:r>
      <w:r w:rsidR="003F6FA0">
        <w:t>y</w:t>
      </w:r>
      <w:r w:rsidR="00655D73" w:rsidRPr="00105972">
        <w:t xml:space="preserve"> caused by diabetic amputations. About 300 diabetic amputations are recorded at Fiji national hospitals every year.</w:t>
      </w:r>
      <w:r w:rsidR="00655D73" w:rsidRPr="00C17D14">
        <w:rPr>
          <w:rStyle w:val="FootnoteReference"/>
        </w:rPr>
        <w:footnoteReference w:id="54"/>
      </w:r>
      <w:r w:rsidR="00655D73" w:rsidRPr="00C17D14">
        <w:rPr>
          <w:rStyle w:val="FootnoteReference"/>
        </w:rPr>
        <w:t xml:space="preserve"> </w:t>
      </w:r>
      <w:r w:rsidR="003F6FA0">
        <w:t>FHSSP also</w:t>
      </w:r>
      <w:r w:rsidR="00655D73" w:rsidRPr="00105972">
        <w:t xml:space="preserve"> supports foot care clinics across the</w:t>
      </w:r>
      <w:r w:rsidR="003F6FA0">
        <w:t xml:space="preserve"> country’s</w:t>
      </w:r>
      <w:r w:rsidR="00655D73" w:rsidRPr="00105972">
        <w:t xml:space="preserve"> three divisional hospitals and in some communities. </w:t>
      </w:r>
    </w:p>
    <w:p w14:paraId="3DDD5B86" w14:textId="3D6F1136" w:rsidR="00655D73" w:rsidRPr="00105972" w:rsidRDefault="00655D73" w:rsidP="00C17D14">
      <w:pPr>
        <w:pStyle w:val="BodyText"/>
      </w:pPr>
      <w:r w:rsidRPr="00E100FF">
        <w:rPr>
          <w:b/>
        </w:rPr>
        <w:t xml:space="preserve">Objective </w:t>
      </w:r>
      <w:r w:rsidR="003F6FA0" w:rsidRPr="00E100FF">
        <w:rPr>
          <w:b/>
        </w:rPr>
        <w:t>4</w:t>
      </w:r>
      <w:r w:rsidR="001911C6">
        <w:t>—</w:t>
      </w:r>
      <w:r w:rsidRPr="00105972">
        <w:t>revitalise an effective network of village</w:t>
      </w:r>
      <w:r w:rsidR="001911C6">
        <w:t xml:space="preserve"> and </w:t>
      </w:r>
      <w:r w:rsidRPr="00105972">
        <w:t>community health workers as the first point of contact with the health system for people at community level</w:t>
      </w:r>
      <w:r w:rsidR="00193F44">
        <w:t xml:space="preserve">, which </w:t>
      </w:r>
      <w:r w:rsidR="001911C6">
        <w:t>has</w:t>
      </w:r>
      <w:r w:rsidRPr="00105972">
        <w:t xml:space="preserve"> largely been delayed. </w:t>
      </w:r>
      <w:r w:rsidR="001911C6">
        <w:t>FHSSP’s</w:t>
      </w:r>
      <w:r w:rsidR="001911C6" w:rsidRPr="00105972">
        <w:t xml:space="preserve"> </w:t>
      </w:r>
      <w:r w:rsidRPr="00105972">
        <w:t>201</w:t>
      </w:r>
      <w:r>
        <w:t xml:space="preserve">3 </w:t>
      </w:r>
      <w:r w:rsidR="0036770A">
        <w:t>m</w:t>
      </w:r>
      <w:r>
        <w:t xml:space="preserve">id-term </w:t>
      </w:r>
      <w:r w:rsidR="0036770A">
        <w:t>r</w:t>
      </w:r>
      <w:r>
        <w:t>eview noted</w:t>
      </w:r>
      <w:r w:rsidRPr="00105972">
        <w:t xml:space="preserve"> that in its current form this objective is unlikely to be achieved in the funding term. It recommends a 12</w:t>
      </w:r>
      <w:r w:rsidR="00960A60">
        <w:t xml:space="preserve"> </w:t>
      </w:r>
      <w:r w:rsidRPr="00105972">
        <w:t>month pilot demonstration in the Northern Division.</w:t>
      </w:r>
    </w:p>
    <w:p w14:paraId="3DDD5B87" w14:textId="77777777" w:rsidR="00655D73" w:rsidRPr="00D6620A" w:rsidRDefault="00401D11" w:rsidP="00C17D14">
      <w:pPr>
        <w:pStyle w:val="BodyText"/>
        <w:rPr>
          <w:rFonts w:eastAsiaTheme="minorHAnsi" w:cs="Calibri"/>
          <w:color w:val="222222"/>
          <w:szCs w:val="30"/>
          <w:lang w:val="en-US"/>
        </w:rPr>
      </w:pPr>
      <w:r w:rsidRPr="00E100FF">
        <w:rPr>
          <w:rFonts w:eastAsiaTheme="minorHAnsi" w:cs="Calibri"/>
          <w:b/>
          <w:color w:val="222222"/>
          <w:szCs w:val="30"/>
          <w:lang w:val="en-US"/>
        </w:rPr>
        <w:t>Objective</w:t>
      </w:r>
      <w:r w:rsidR="00655D73" w:rsidRPr="00E100FF">
        <w:rPr>
          <w:rFonts w:eastAsiaTheme="minorHAnsi" w:cs="Calibri"/>
          <w:b/>
          <w:color w:val="222222"/>
          <w:szCs w:val="30"/>
          <w:lang w:val="en-US"/>
        </w:rPr>
        <w:t xml:space="preserve"> </w:t>
      </w:r>
      <w:r w:rsidR="003F6FA0" w:rsidRPr="00E100FF">
        <w:rPr>
          <w:rFonts w:eastAsiaTheme="minorHAnsi" w:cs="Calibri"/>
          <w:b/>
          <w:color w:val="222222"/>
          <w:szCs w:val="30"/>
          <w:lang w:val="en-US"/>
        </w:rPr>
        <w:t>5</w:t>
      </w:r>
      <w:r w:rsidR="001911C6">
        <w:rPr>
          <w:rFonts w:eastAsiaTheme="minorHAnsi"/>
          <w:color w:val="222222"/>
          <w:szCs w:val="30"/>
          <w:lang w:val="en-US"/>
        </w:rPr>
        <w:t>—</w:t>
      </w:r>
      <w:r w:rsidR="00655D73" w:rsidRPr="0016014F">
        <w:rPr>
          <w:rFonts w:eastAsiaTheme="minorHAnsi" w:cs="Calibri"/>
          <w:color w:val="222222"/>
          <w:szCs w:val="30"/>
          <w:lang w:val="en-US"/>
        </w:rPr>
        <w:t>strengthen key components of the health system to support decentralised service delivery</w:t>
      </w:r>
      <w:r w:rsidR="00193F44">
        <w:rPr>
          <w:rFonts w:eastAsiaTheme="minorHAnsi" w:cs="Calibri"/>
          <w:color w:val="222222"/>
          <w:szCs w:val="30"/>
          <w:lang w:val="en-US"/>
        </w:rPr>
        <w:t>, which</w:t>
      </w:r>
      <w:r w:rsidR="00193F44">
        <w:rPr>
          <w:rFonts w:eastAsiaTheme="minorHAnsi"/>
          <w:color w:val="222222"/>
          <w:szCs w:val="30"/>
          <w:lang w:val="en-US"/>
        </w:rPr>
        <w:t xml:space="preserve"> </w:t>
      </w:r>
      <w:r w:rsidR="001911C6">
        <w:rPr>
          <w:rFonts w:eastAsiaTheme="minorHAnsi" w:cs="Calibri"/>
          <w:color w:val="222222"/>
          <w:szCs w:val="30"/>
          <w:lang w:val="en-US"/>
        </w:rPr>
        <w:t>saw the major</w:t>
      </w:r>
      <w:r w:rsidR="00655D73">
        <w:rPr>
          <w:rFonts w:eastAsiaTheme="minorHAnsi" w:cs="Calibri"/>
          <w:color w:val="222222"/>
          <w:szCs w:val="30"/>
          <w:lang w:val="en-US"/>
        </w:rPr>
        <w:t xml:space="preserve"> revamp of </w:t>
      </w:r>
      <w:r w:rsidR="001911C6">
        <w:rPr>
          <w:rFonts w:eastAsiaTheme="minorHAnsi" w:cs="Calibri"/>
          <w:color w:val="222222"/>
          <w:szCs w:val="30"/>
          <w:lang w:val="en-US"/>
        </w:rPr>
        <w:t xml:space="preserve">Fiji’s </w:t>
      </w:r>
      <w:r w:rsidR="00655D73" w:rsidRPr="0016014F">
        <w:rPr>
          <w:rFonts w:eastAsiaTheme="minorHAnsi" w:cs="Calibri"/>
          <w:color w:val="222222"/>
          <w:szCs w:val="30"/>
          <w:lang w:val="en-US"/>
        </w:rPr>
        <w:t>Public Health Information System</w:t>
      </w:r>
      <w:r w:rsidR="00655D73">
        <w:rPr>
          <w:rFonts w:eastAsiaTheme="minorHAnsi" w:cs="Calibri"/>
          <w:color w:val="222222"/>
          <w:szCs w:val="30"/>
          <w:lang w:val="en-US"/>
        </w:rPr>
        <w:t xml:space="preserve">. The MoH had identified this as a priority. </w:t>
      </w:r>
      <w:r w:rsidR="00655D73" w:rsidRPr="00D6620A">
        <w:rPr>
          <w:rFonts w:eastAsiaTheme="minorHAnsi" w:cs="Calibri"/>
          <w:color w:val="222222"/>
          <w:szCs w:val="30"/>
          <w:lang w:val="en-US"/>
        </w:rPr>
        <w:t>In April 2013,</w:t>
      </w:r>
      <w:r w:rsidR="00655D73">
        <w:rPr>
          <w:rFonts w:eastAsiaTheme="minorHAnsi" w:cs="Calibri"/>
          <w:color w:val="222222"/>
          <w:szCs w:val="30"/>
          <w:lang w:val="en-US"/>
        </w:rPr>
        <w:t xml:space="preserve"> </w:t>
      </w:r>
      <w:r w:rsidR="00655D73" w:rsidRPr="0016014F">
        <w:rPr>
          <w:rFonts w:eastAsiaTheme="minorHAnsi" w:cs="Calibri"/>
          <w:color w:val="222222"/>
          <w:szCs w:val="30"/>
          <w:lang w:val="en-US"/>
        </w:rPr>
        <w:t>the revamped</w:t>
      </w:r>
      <w:r w:rsidR="001911C6">
        <w:rPr>
          <w:rFonts w:eastAsiaTheme="minorHAnsi" w:cs="Calibri"/>
          <w:color w:val="222222"/>
          <w:szCs w:val="30"/>
          <w:lang w:val="en-US"/>
        </w:rPr>
        <w:t xml:space="preserve"> system</w:t>
      </w:r>
      <w:r w:rsidR="00655D73" w:rsidRPr="0016014F">
        <w:rPr>
          <w:rFonts w:eastAsiaTheme="minorHAnsi" w:cs="Calibri"/>
          <w:color w:val="222222"/>
          <w:szCs w:val="30"/>
          <w:lang w:val="en-US"/>
        </w:rPr>
        <w:t xml:space="preserve"> was launched</w:t>
      </w:r>
      <w:r w:rsidR="00655D73">
        <w:rPr>
          <w:rFonts w:eastAsiaTheme="minorHAnsi" w:cs="Calibri"/>
          <w:color w:val="222222"/>
          <w:szCs w:val="30"/>
          <w:lang w:val="en-US"/>
        </w:rPr>
        <w:t xml:space="preserve">. For the first time in </w:t>
      </w:r>
      <w:r w:rsidR="00655D73" w:rsidRPr="0016014F">
        <w:rPr>
          <w:rFonts w:eastAsiaTheme="minorHAnsi" w:cs="Calibri"/>
          <w:color w:val="222222"/>
          <w:szCs w:val="30"/>
          <w:lang w:val="en-US"/>
        </w:rPr>
        <w:t>Fiji</w:t>
      </w:r>
      <w:r w:rsidR="00655D73">
        <w:rPr>
          <w:rFonts w:eastAsiaTheme="minorHAnsi" w:cs="Calibri"/>
          <w:color w:val="222222"/>
          <w:szCs w:val="30"/>
          <w:lang w:val="en-US"/>
        </w:rPr>
        <w:t>’s history</w:t>
      </w:r>
      <w:r w:rsidR="00655D73" w:rsidRPr="0016014F">
        <w:rPr>
          <w:rFonts w:eastAsiaTheme="minorHAnsi" w:cs="Calibri"/>
          <w:color w:val="222222"/>
          <w:szCs w:val="30"/>
          <w:lang w:val="en-US"/>
        </w:rPr>
        <w:t xml:space="preserve">, community health facilities up to </w:t>
      </w:r>
      <w:r w:rsidR="001911C6">
        <w:rPr>
          <w:rFonts w:eastAsiaTheme="minorHAnsi" w:cs="Calibri"/>
          <w:color w:val="222222"/>
          <w:szCs w:val="30"/>
          <w:lang w:val="en-US"/>
        </w:rPr>
        <w:t>d</w:t>
      </w:r>
      <w:r w:rsidR="00655D73" w:rsidRPr="0016014F">
        <w:rPr>
          <w:rFonts w:eastAsiaTheme="minorHAnsi" w:cs="Calibri"/>
          <w:color w:val="222222"/>
          <w:szCs w:val="30"/>
          <w:lang w:val="en-US"/>
        </w:rPr>
        <w:t xml:space="preserve">ivisional </w:t>
      </w:r>
      <w:r w:rsidR="001911C6">
        <w:rPr>
          <w:rFonts w:eastAsiaTheme="minorHAnsi" w:cs="Calibri"/>
          <w:color w:val="222222"/>
          <w:szCs w:val="30"/>
          <w:lang w:val="en-US"/>
        </w:rPr>
        <w:t>h</w:t>
      </w:r>
      <w:r w:rsidR="00655D73" w:rsidRPr="0016014F">
        <w:rPr>
          <w:rFonts w:eastAsiaTheme="minorHAnsi" w:cs="Calibri"/>
          <w:color w:val="222222"/>
          <w:szCs w:val="30"/>
          <w:lang w:val="en-US"/>
        </w:rPr>
        <w:t>ospita</w:t>
      </w:r>
      <w:r w:rsidR="00655D73">
        <w:rPr>
          <w:rFonts w:eastAsiaTheme="minorHAnsi" w:cs="Calibri"/>
          <w:color w:val="222222"/>
          <w:szCs w:val="30"/>
          <w:lang w:val="en-US"/>
        </w:rPr>
        <w:t xml:space="preserve">ls can now directly enter </w:t>
      </w:r>
      <w:r w:rsidR="00655D73" w:rsidRPr="0016014F">
        <w:rPr>
          <w:rFonts w:eastAsiaTheme="minorHAnsi" w:cs="Calibri"/>
          <w:color w:val="222222"/>
          <w:szCs w:val="30"/>
          <w:lang w:val="en-US"/>
        </w:rPr>
        <w:t xml:space="preserve">data into </w:t>
      </w:r>
      <w:r w:rsidR="00193F44">
        <w:rPr>
          <w:rFonts w:eastAsiaTheme="minorHAnsi" w:cs="Calibri"/>
          <w:color w:val="222222"/>
          <w:szCs w:val="30"/>
          <w:lang w:val="en-US"/>
        </w:rPr>
        <w:t>the system</w:t>
      </w:r>
      <w:r w:rsidR="00655D73" w:rsidRPr="0016014F">
        <w:rPr>
          <w:rFonts w:eastAsiaTheme="minorHAnsi" w:cs="Calibri"/>
          <w:color w:val="222222"/>
          <w:szCs w:val="30"/>
          <w:lang w:val="en-US"/>
        </w:rPr>
        <w:t>.</w:t>
      </w:r>
      <w:r w:rsidR="00655D73">
        <w:rPr>
          <w:rFonts w:eastAsiaTheme="minorHAnsi" w:cs="Calibri"/>
          <w:color w:val="222222"/>
          <w:szCs w:val="30"/>
          <w:lang w:val="en-US"/>
        </w:rPr>
        <w:t xml:space="preserve"> </w:t>
      </w:r>
      <w:r w:rsidR="00655D73" w:rsidRPr="0016014F">
        <w:rPr>
          <w:rFonts w:eastAsiaTheme="minorHAnsi" w:cs="Calibri"/>
          <w:color w:val="222222"/>
          <w:szCs w:val="30"/>
          <w:lang w:val="en-US"/>
        </w:rPr>
        <w:t>The system collects information on pub</w:t>
      </w:r>
      <w:r w:rsidR="00655D73">
        <w:rPr>
          <w:rFonts w:eastAsiaTheme="minorHAnsi" w:cs="Calibri"/>
          <w:color w:val="222222"/>
          <w:szCs w:val="30"/>
          <w:lang w:val="en-US"/>
        </w:rPr>
        <w:t>lic health activities</w:t>
      </w:r>
      <w:r w:rsidR="00655D73" w:rsidRPr="0016014F">
        <w:rPr>
          <w:rFonts w:eastAsiaTheme="minorHAnsi" w:cs="Calibri"/>
          <w:color w:val="222222"/>
          <w:szCs w:val="30"/>
          <w:lang w:val="en-US"/>
        </w:rPr>
        <w:t xml:space="preserve">. </w:t>
      </w:r>
      <w:r w:rsidR="00655D73">
        <w:rPr>
          <w:rFonts w:eastAsiaTheme="minorHAnsi" w:cs="Calibri"/>
          <w:color w:val="222222"/>
          <w:szCs w:val="30"/>
          <w:lang w:val="en-US"/>
        </w:rPr>
        <w:t>A</w:t>
      </w:r>
      <w:r w:rsidR="00655D73">
        <w:rPr>
          <w:iCs/>
        </w:rPr>
        <w:t xml:space="preserve">ll </w:t>
      </w:r>
      <w:r w:rsidR="00655D73" w:rsidRPr="0037192F">
        <w:rPr>
          <w:iCs/>
        </w:rPr>
        <w:t>sub-divisi</w:t>
      </w:r>
      <w:r w:rsidR="00655D73">
        <w:rPr>
          <w:iCs/>
        </w:rPr>
        <w:t>onal nurses have been trained</w:t>
      </w:r>
      <w:r w:rsidR="00655D73" w:rsidRPr="0037192F">
        <w:rPr>
          <w:iCs/>
        </w:rPr>
        <w:t xml:space="preserve"> to transfer data from the paper-based syst</w:t>
      </w:r>
      <w:r w:rsidR="00655D73">
        <w:rPr>
          <w:iCs/>
        </w:rPr>
        <w:t xml:space="preserve">em to the upgraded </w:t>
      </w:r>
      <w:r w:rsidR="00193F44">
        <w:rPr>
          <w:iCs/>
        </w:rPr>
        <w:t>Public Health Information System</w:t>
      </w:r>
      <w:r w:rsidR="00655D73">
        <w:rPr>
          <w:iCs/>
        </w:rPr>
        <w:t xml:space="preserve">. </w:t>
      </w:r>
      <w:r w:rsidR="00655D73" w:rsidRPr="0016014F">
        <w:rPr>
          <w:rFonts w:eastAsiaTheme="minorHAnsi" w:cs="Calibri"/>
          <w:color w:val="222222"/>
          <w:szCs w:val="30"/>
          <w:lang w:val="en-US"/>
        </w:rPr>
        <w:t>The Global Fund contributed techn</w:t>
      </w:r>
      <w:r w:rsidR="00655D73">
        <w:rPr>
          <w:rFonts w:eastAsiaTheme="minorHAnsi" w:cs="Calibri"/>
          <w:color w:val="222222"/>
          <w:szCs w:val="30"/>
          <w:lang w:val="en-US"/>
        </w:rPr>
        <w:t xml:space="preserve">ical support for the revamped </w:t>
      </w:r>
      <w:r w:rsidR="00193F44">
        <w:rPr>
          <w:rFonts w:eastAsiaTheme="minorHAnsi" w:cs="Calibri"/>
          <w:color w:val="222222"/>
          <w:szCs w:val="30"/>
          <w:lang w:val="en-US"/>
        </w:rPr>
        <w:t>system</w:t>
      </w:r>
      <w:r w:rsidR="00655D73" w:rsidRPr="0016014F">
        <w:rPr>
          <w:rFonts w:eastAsiaTheme="minorHAnsi" w:cs="Calibri"/>
          <w:color w:val="222222"/>
          <w:szCs w:val="30"/>
          <w:lang w:val="en-US"/>
        </w:rPr>
        <w:t>.</w:t>
      </w:r>
    </w:p>
    <w:p w14:paraId="3DDD5B88" w14:textId="77777777" w:rsidR="00CA5A8C" w:rsidRDefault="00655D73" w:rsidP="00C17D14">
      <w:pPr>
        <w:pStyle w:val="BodyText"/>
      </w:pPr>
      <w:r>
        <w:t xml:space="preserve">FHSSP </w:t>
      </w:r>
      <w:r w:rsidRPr="00105972">
        <w:t xml:space="preserve">has also </w:t>
      </w:r>
      <w:r>
        <w:t>supported the MoH</w:t>
      </w:r>
      <w:r w:rsidRPr="00105972">
        <w:t xml:space="preserve"> to build capacity around gender</w:t>
      </w:r>
      <w:r>
        <w:t xml:space="preserve"> and disability mainstreaming. </w:t>
      </w:r>
      <w:r w:rsidRPr="00105972">
        <w:t>In response to the 2012 T</w:t>
      </w:r>
      <w:r w:rsidR="00CA5A8C">
        <w:t>echnical Advisory Group</w:t>
      </w:r>
      <w:r>
        <w:t>, FHSSP</w:t>
      </w:r>
      <w:r w:rsidRPr="00105972">
        <w:t xml:space="preserve"> recruited a gender adviser to work</w:t>
      </w:r>
      <w:r>
        <w:t xml:space="preserve"> with the MoH to produce </w:t>
      </w:r>
      <w:r w:rsidRPr="00105972">
        <w:t>a Gender Equality and Social In</w:t>
      </w:r>
      <w:r>
        <w:t xml:space="preserve">clusion Strategy in late 2012. </w:t>
      </w:r>
    </w:p>
    <w:p w14:paraId="3DDD5B89" w14:textId="77777777" w:rsidR="00655D73" w:rsidRDefault="00655D73" w:rsidP="00C17D14">
      <w:pPr>
        <w:pStyle w:val="BodyText"/>
      </w:pPr>
      <w:r w:rsidRPr="00105972">
        <w:t xml:space="preserve">The 2013 </w:t>
      </w:r>
      <w:r w:rsidR="0036770A">
        <w:t>m</w:t>
      </w:r>
      <w:r>
        <w:t>id-</w:t>
      </w:r>
      <w:r w:rsidR="0036770A">
        <w:t>t</w:t>
      </w:r>
      <w:r>
        <w:t xml:space="preserve">erm </w:t>
      </w:r>
      <w:r w:rsidR="0036770A">
        <w:t>r</w:t>
      </w:r>
      <w:r>
        <w:t>eview</w:t>
      </w:r>
      <w:r w:rsidRPr="00105972">
        <w:t xml:space="preserve"> noted that </w:t>
      </w:r>
      <w:r>
        <w:t xml:space="preserve">FHSSP </w:t>
      </w:r>
      <w:r w:rsidRPr="00105972">
        <w:t>has made signif</w:t>
      </w:r>
      <w:r>
        <w:t xml:space="preserve">icant efforts to improve </w:t>
      </w:r>
      <w:r w:rsidR="00CA5A8C">
        <w:t>monitoring and evaluation</w:t>
      </w:r>
      <w:r w:rsidR="00D13D44">
        <w:t>.</w:t>
      </w:r>
      <w:r w:rsidRPr="0019402E">
        <w:rPr>
          <w:rStyle w:val="FootnoteReference"/>
          <w:szCs w:val="16"/>
        </w:rPr>
        <w:footnoteReference w:id="55"/>
      </w:r>
      <w:r w:rsidRPr="0019402E">
        <w:rPr>
          <w:rFonts w:cs="Calibri"/>
          <w:sz w:val="16"/>
          <w:szCs w:val="16"/>
        </w:rPr>
        <w:t xml:space="preserve"> </w:t>
      </w:r>
      <w:r w:rsidRPr="00105972">
        <w:t>That said, it identified a lack of results</w:t>
      </w:r>
      <w:r w:rsidR="00CA5A8C">
        <w:t>-</w:t>
      </w:r>
      <w:r w:rsidRPr="00105972">
        <w:t xml:space="preserve">based reporting and </w:t>
      </w:r>
      <w:r w:rsidRPr="00105972">
        <w:lastRenderedPageBreak/>
        <w:t>annual milestones</w:t>
      </w:r>
      <w:r w:rsidR="00CA5A8C">
        <w:t>,</w:t>
      </w:r>
      <w:r w:rsidRPr="00105972">
        <w:t xml:space="preserve"> making it difficult to objectively assess program effectiveness. </w:t>
      </w:r>
      <w:r>
        <w:t xml:space="preserve">FHSSP could also </w:t>
      </w:r>
      <w:r w:rsidR="002A0D57">
        <w:t xml:space="preserve">consider </w:t>
      </w:r>
      <w:r>
        <w:t>options to better target its activities towards Fiji’s poorest and most vulnerable communities.</w:t>
      </w:r>
    </w:p>
    <w:p w14:paraId="3DDD5B8A" w14:textId="77777777" w:rsidR="00655D73" w:rsidRDefault="00655D73" w:rsidP="00C17D14">
      <w:pPr>
        <w:pStyle w:val="Heading2"/>
      </w:pPr>
      <w:r w:rsidRPr="00105972">
        <w:t xml:space="preserve">Objective </w:t>
      </w:r>
      <w:r w:rsidR="00BB5B24">
        <w:t>3</w:t>
      </w:r>
      <w:r w:rsidRPr="00105972">
        <w:t>: Building resilience and improving economic opportunities in disadvantaged communities</w:t>
      </w:r>
    </w:p>
    <w:p w14:paraId="3DDD5B8B" w14:textId="27B781A0" w:rsidR="00B20285" w:rsidRDefault="00701698" w:rsidP="00C17D14">
      <w:pPr>
        <w:pStyle w:val="BodyText"/>
      </w:pPr>
      <w:r>
        <w:t>The</w:t>
      </w:r>
      <w:r w:rsidR="00655D73">
        <w:t xml:space="preserve"> Community Resilience and Economic Opportunities (CREO) Delivery Strategy</w:t>
      </w:r>
      <w:r w:rsidR="00401D11">
        <w:t xml:space="preserve"> </w:t>
      </w:r>
      <w:r w:rsidR="00CA5A8C">
        <w:t xml:space="preserve">started </w:t>
      </w:r>
      <w:r w:rsidR="00655D73">
        <w:t>in 2012. CREO</w:t>
      </w:r>
      <w:r w:rsidR="00C809EC">
        <w:t xml:space="preserve"> combines</w:t>
      </w:r>
      <w:r w:rsidR="00655D73">
        <w:t xml:space="preserve"> investments in private sector development, rural development, financial inclusion, social protection, disaster management, climate change adaptation and community development</w:t>
      </w:r>
      <w:r w:rsidR="00AD2C60">
        <w:t xml:space="preserve">. </w:t>
      </w:r>
      <w:r w:rsidR="00655D73">
        <w:t xml:space="preserve">It also </w:t>
      </w:r>
      <w:r w:rsidR="00B20285">
        <w:t xml:space="preserve">acts as a </w:t>
      </w:r>
      <w:r w:rsidR="00655D73">
        <w:t>framework for the integration of regional and multi-country programs in Fiji</w:t>
      </w:r>
      <w:r w:rsidR="00B20285">
        <w:t>.</w:t>
      </w:r>
      <w:r w:rsidR="00B52CDB">
        <w:t xml:space="preserve"> </w:t>
      </w:r>
    </w:p>
    <w:p w14:paraId="3DDD5B8C" w14:textId="77777777" w:rsidR="00655D73" w:rsidRDefault="00655D73" w:rsidP="00C17D14">
      <w:pPr>
        <w:pStyle w:val="BodyText"/>
      </w:pPr>
      <w:r>
        <w:t xml:space="preserve">The CREO </w:t>
      </w:r>
      <w:r w:rsidR="00951C86">
        <w:t xml:space="preserve">delivery </w:t>
      </w:r>
      <w:r w:rsidR="00CA5A8C">
        <w:t>s</w:t>
      </w:r>
      <w:r>
        <w:t>trategy target</w:t>
      </w:r>
      <w:r w:rsidR="00790CFA">
        <w:t xml:space="preserve">s </w:t>
      </w:r>
      <w:r>
        <w:t>poor and disadvantag</w:t>
      </w:r>
      <w:r w:rsidR="00790CFA">
        <w:t xml:space="preserve">ed communities. It has three </w:t>
      </w:r>
      <w:r>
        <w:t>objectives:</w:t>
      </w:r>
    </w:p>
    <w:p w14:paraId="3DDD5B8D" w14:textId="77777777" w:rsidR="00655D73" w:rsidRPr="00C17D14" w:rsidRDefault="00CA5A8C" w:rsidP="00C17D14">
      <w:pPr>
        <w:pStyle w:val="ListNumber"/>
        <w:numPr>
          <w:ilvl w:val="0"/>
          <w:numId w:val="38"/>
        </w:numPr>
      </w:pPr>
      <w:r w:rsidRPr="00C17D14">
        <w:t>i</w:t>
      </w:r>
      <w:r w:rsidR="00655D73" w:rsidRPr="00C17D14">
        <w:t xml:space="preserve">ncreased </w:t>
      </w:r>
      <w:r w:rsidRPr="00C17D14">
        <w:t>i</w:t>
      </w:r>
      <w:r w:rsidR="00655D73" w:rsidRPr="00C17D14">
        <w:t xml:space="preserve">ncomes for the </w:t>
      </w:r>
      <w:r w:rsidRPr="00C17D14">
        <w:t>p</w:t>
      </w:r>
      <w:r w:rsidR="00655D73" w:rsidRPr="00C17D14">
        <w:t xml:space="preserve">oor </w:t>
      </w:r>
    </w:p>
    <w:p w14:paraId="3DDD5B8E" w14:textId="77777777" w:rsidR="00655D73" w:rsidRDefault="00CA5A8C" w:rsidP="00C17D14">
      <w:pPr>
        <w:pStyle w:val="ListNumber"/>
      </w:pPr>
      <w:r w:rsidRPr="00C17D14">
        <w:t>i</w:t>
      </w:r>
      <w:r w:rsidR="00655D73" w:rsidRPr="00C17D14">
        <w:t>ncre</w:t>
      </w:r>
      <w:r w:rsidR="00655D73">
        <w:t xml:space="preserve">ased </w:t>
      </w:r>
      <w:r>
        <w:t>use</w:t>
      </w:r>
      <w:r w:rsidR="00655D73">
        <w:t xml:space="preserve"> of </w:t>
      </w:r>
      <w:r>
        <w:t>f</w:t>
      </w:r>
      <w:r w:rsidR="00655D73">
        <w:t xml:space="preserve">inancial </w:t>
      </w:r>
      <w:r>
        <w:t>s</w:t>
      </w:r>
      <w:r w:rsidR="00655D73">
        <w:t xml:space="preserve">ervices by the </w:t>
      </w:r>
      <w:r>
        <w:t>p</w:t>
      </w:r>
      <w:r w:rsidR="00655D73">
        <w:t>oor</w:t>
      </w:r>
    </w:p>
    <w:p w14:paraId="3DDD5B8F" w14:textId="77777777" w:rsidR="00655D73" w:rsidRDefault="00CA5A8C" w:rsidP="00C17D14">
      <w:pPr>
        <w:pStyle w:val="ListNumber"/>
      </w:pPr>
      <w:r>
        <w:t>i</w:t>
      </w:r>
      <w:r w:rsidR="00655D73">
        <w:t xml:space="preserve">mproved </w:t>
      </w:r>
      <w:r>
        <w:t>c</w:t>
      </w:r>
      <w:r w:rsidR="00655D73">
        <w:t xml:space="preserve">ommunity </w:t>
      </w:r>
      <w:r>
        <w:t>r</w:t>
      </w:r>
      <w:r w:rsidR="00655D73">
        <w:t xml:space="preserve">esilience to </w:t>
      </w:r>
      <w:r>
        <w:t>s</w:t>
      </w:r>
      <w:r w:rsidR="00655D73">
        <w:t xml:space="preserve">hocks and </w:t>
      </w:r>
      <w:r>
        <w:t>s</w:t>
      </w:r>
      <w:r w:rsidR="00655D73">
        <w:t>tresses</w:t>
      </w:r>
      <w:r>
        <w:t>.</w:t>
      </w:r>
    </w:p>
    <w:p w14:paraId="3DDD5B90" w14:textId="4411ECDA" w:rsidR="00B20285" w:rsidRDefault="00323E6A" w:rsidP="00C17D14">
      <w:pPr>
        <w:pStyle w:val="BodyText"/>
      </w:pPr>
      <w:r>
        <w:t xml:space="preserve">The delivery strategy supports Australia’s objective of delivering aid efficiently and effectively by reducing the number of activities managed by the aid program. All program elements are operational and achieving results. </w:t>
      </w:r>
      <w:r w:rsidR="00CA5A8C">
        <w:t>In</w:t>
      </w:r>
      <w:r w:rsidR="00655D73">
        <w:t xml:space="preserve"> 2012</w:t>
      </w:r>
      <w:r w:rsidR="00CA5A8C">
        <w:t>, efforts</w:t>
      </w:r>
      <w:r w:rsidR="00655D73">
        <w:t xml:space="preserve"> focused on</w:t>
      </w:r>
      <w:r w:rsidR="00B52CDB">
        <w:t xml:space="preserve"> establishing the program and</w:t>
      </w:r>
      <w:r w:rsidR="00655D73">
        <w:t xml:space="preserve"> reducing </w:t>
      </w:r>
      <w:r w:rsidR="00B52CDB">
        <w:t xml:space="preserve">the </w:t>
      </w:r>
      <w:r w:rsidR="00655D73">
        <w:t>proliferation</w:t>
      </w:r>
      <w:r w:rsidR="00B52CDB">
        <w:t xml:space="preserve"> of</w:t>
      </w:r>
      <w:r w:rsidR="00655D73">
        <w:t xml:space="preserve"> older initiatives and agreements</w:t>
      </w:r>
      <w:r>
        <w:t>, resulting</w:t>
      </w:r>
      <w:r w:rsidR="00655D73">
        <w:t xml:space="preserve"> in the significant reduction of managed agreements from 78 in 2010 to 17 in 2013</w:t>
      </w:r>
      <w:r w:rsidR="00AD2C60">
        <w:t xml:space="preserve">. </w:t>
      </w:r>
      <w:r w:rsidR="00C809EC">
        <w:t xml:space="preserve">This is reflected in the objective’s green rating in this </w:t>
      </w:r>
      <w:r w:rsidR="002F5AE2">
        <w:t>APPR</w:t>
      </w:r>
      <w:r w:rsidR="00C809EC">
        <w:t xml:space="preserve"> compared to amber in the 2011 APPR</w:t>
      </w:r>
      <w:r w:rsidR="00852C85">
        <w:rPr>
          <w:rStyle w:val="FootnoteReference"/>
        </w:rPr>
        <w:footnoteReference w:id="56"/>
      </w:r>
      <w:r w:rsidR="001463FD">
        <w:t xml:space="preserve">, when the CREO </w:t>
      </w:r>
      <w:r w:rsidR="00CA5A8C">
        <w:t xml:space="preserve">strategy </w:t>
      </w:r>
      <w:r w:rsidR="00C809EC">
        <w:t>was still in transition.</w:t>
      </w:r>
      <w:r w:rsidR="004C7296">
        <w:rPr>
          <w:rStyle w:val="FootnoteReference"/>
        </w:rPr>
        <w:footnoteReference w:id="57"/>
      </w:r>
    </w:p>
    <w:p w14:paraId="3DDD5B91" w14:textId="77777777" w:rsidR="00655D73" w:rsidRDefault="00655D73" w:rsidP="00C17D14">
      <w:pPr>
        <w:pStyle w:val="BodyText"/>
      </w:pPr>
      <w:r>
        <w:t xml:space="preserve">Principles of gender equality and inclusion have been incorporated across CREO’s activities. </w:t>
      </w:r>
      <w:r w:rsidR="00CA5A8C">
        <w:t xml:space="preserve">The strategy </w:t>
      </w:r>
      <w:r>
        <w:t>aims to assist 30</w:t>
      </w:r>
      <w:r w:rsidR="00CA5A8C">
        <w:t xml:space="preserve"> </w:t>
      </w:r>
      <w:r>
        <w:t>000 women and benefit 5000 people with disabilit</w:t>
      </w:r>
      <w:r w:rsidR="00CA5A8C">
        <w:t>y</w:t>
      </w:r>
      <w:r>
        <w:t xml:space="preserve"> through </w:t>
      </w:r>
      <w:r w:rsidR="00CA5A8C">
        <w:t xml:space="preserve">strategy </w:t>
      </w:r>
      <w:r>
        <w:t>delivery by 2014.</w:t>
      </w:r>
    </w:p>
    <w:p w14:paraId="3DDD5B92" w14:textId="77777777" w:rsidR="003054CF" w:rsidRPr="00105972" w:rsidRDefault="003054CF" w:rsidP="00B92DD0">
      <w:pPr>
        <w:pStyle w:val="Heading3"/>
      </w:pPr>
      <w:r>
        <w:t>Achievements under individual objectives</w:t>
      </w:r>
    </w:p>
    <w:p w14:paraId="3DDD5B93" w14:textId="77777777" w:rsidR="00655D73" w:rsidRPr="00B303B0" w:rsidRDefault="00655D73" w:rsidP="00B92DD0">
      <w:pPr>
        <w:pStyle w:val="BodyText"/>
        <w:rPr>
          <w:vertAlign w:val="superscript"/>
        </w:rPr>
      </w:pPr>
      <w:r w:rsidRPr="00E100FF">
        <w:rPr>
          <w:b/>
        </w:rPr>
        <w:t xml:space="preserve">Objective </w:t>
      </w:r>
      <w:r w:rsidR="00BB5B24" w:rsidRPr="00E100FF">
        <w:rPr>
          <w:b/>
        </w:rPr>
        <w:t>1</w:t>
      </w:r>
      <w:r w:rsidR="00CA5A8C">
        <w:t>—i</w:t>
      </w:r>
      <w:r>
        <w:t xml:space="preserve">ncreased </w:t>
      </w:r>
      <w:r w:rsidR="00CA5A8C">
        <w:t>i</w:t>
      </w:r>
      <w:r>
        <w:t xml:space="preserve">ncomes for the </w:t>
      </w:r>
      <w:r w:rsidR="00CA5A8C">
        <w:t>p</w:t>
      </w:r>
      <w:r>
        <w:t>oor</w:t>
      </w:r>
      <w:r w:rsidR="00323E6A">
        <w:t xml:space="preserve">, which </w:t>
      </w:r>
      <w:r w:rsidR="00CA5A8C">
        <w:t>is based on t</w:t>
      </w:r>
      <w:r>
        <w:t>he most effective and sustainable method to tackle poverty over the long term</w:t>
      </w:r>
      <w:r w:rsidR="00323E6A">
        <w:t>. This objective aims</w:t>
      </w:r>
      <w:r>
        <w:t xml:space="preserve"> to improve </w:t>
      </w:r>
      <w:r w:rsidR="00323E6A">
        <w:t xml:space="preserve">the </w:t>
      </w:r>
      <w:r>
        <w:t>income</w:t>
      </w:r>
      <w:r w:rsidR="00CA5A8C">
        <w:t>-</w:t>
      </w:r>
      <w:r>
        <w:t>earning capacit</w:t>
      </w:r>
      <w:r w:rsidR="00CA5A8C">
        <w:t>y</w:t>
      </w:r>
      <w:r>
        <w:t xml:space="preserve"> of the population groups vulnerable to povert</w:t>
      </w:r>
      <w:r w:rsidR="00BB5B24">
        <w:t>y.</w:t>
      </w:r>
      <w:r w:rsidRPr="00B303B0">
        <w:rPr>
          <w:sz w:val="16"/>
          <w:szCs w:val="16"/>
          <w:vertAlign w:val="superscript"/>
        </w:rPr>
        <w:footnoteReference w:id="58"/>
      </w:r>
    </w:p>
    <w:p w14:paraId="3DDD5B94" w14:textId="541F48F7" w:rsidR="00A15214" w:rsidRDefault="00655D73" w:rsidP="00B92DD0">
      <w:pPr>
        <w:pStyle w:val="BodyText"/>
      </w:pPr>
      <w:r>
        <w:t xml:space="preserve">Within Fiji, the Market Development Facility (MDF) is </w:t>
      </w:r>
      <w:r w:rsidR="00701698">
        <w:t>Australia</w:t>
      </w:r>
      <w:r>
        <w:t xml:space="preserve">’s largest </w:t>
      </w:r>
      <w:r w:rsidR="000D35BE">
        <w:t>private sector</w:t>
      </w:r>
      <w:r>
        <w:t xml:space="preserve"> development </w:t>
      </w:r>
      <w:r w:rsidRPr="002A0D57">
        <w:t>pr</w:t>
      </w:r>
      <w:r w:rsidR="00C809EC" w:rsidRPr="00B303B0">
        <w:t>ogram</w:t>
      </w:r>
      <w:r w:rsidR="00BB5B24">
        <w:t>.</w:t>
      </w:r>
      <w:r>
        <w:rPr>
          <w:rStyle w:val="FootnoteReference"/>
          <w:szCs w:val="16"/>
        </w:rPr>
        <w:footnoteReference w:id="59"/>
      </w:r>
      <w:r>
        <w:rPr>
          <w:sz w:val="16"/>
          <w:szCs w:val="16"/>
        </w:rPr>
        <w:t xml:space="preserve"> </w:t>
      </w:r>
      <w:r>
        <w:t>Launched in 2011 it focus</w:t>
      </w:r>
      <w:r w:rsidR="00CA5A8C">
        <w:t>es</w:t>
      </w:r>
      <w:r>
        <w:t xml:space="preserve"> on catalysing pro-poor market development. In 2012</w:t>
      </w:r>
      <w:r w:rsidR="00BB5B24">
        <w:t>–</w:t>
      </w:r>
      <w:r>
        <w:t xml:space="preserve">13, the MDF established seven market interventions in the horticulture and tourism sectors (its target is </w:t>
      </w:r>
      <w:r w:rsidR="00CA5A8C">
        <w:t>10</w:t>
      </w:r>
      <w:r>
        <w:t>). This has resulted in localised production of agricultural lime, establishment of Fiji’s first commercial mud crab farm and the factory upgrade and increased production of local gourmet chocolate. Th</w:t>
      </w:r>
      <w:r w:rsidR="00323E6A">
        <w:t>e interventions have to date</w:t>
      </w:r>
      <w:r>
        <w:t xml:space="preserve"> yielded an estimated investment of $552,338 by the private sector and </w:t>
      </w:r>
      <w:r w:rsidR="00323E6A">
        <w:t xml:space="preserve">are </w:t>
      </w:r>
      <w:r>
        <w:t xml:space="preserve">projected </w:t>
      </w:r>
      <w:r w:rsidR="00323E6A">
        <w:t xml:space="preserve">to </w:t>
      </w:r>
      <w:r>
        <w:t>creat</w:t>
      </w:r>
      <w:r w:rsidR="003054CF">
        <w:t>e</w:t>
      </w:r>
      <w:r>
        <w:t xml:space="preserve"> 98 full</w:t>
      </w:r>
      <w:r w:rsidR="003054CF">
        <w:t>-</w:t>
      </w:r>
      <w:r>
        <w:t>time jobs by 2017.</w:t>
      </w:r>
      <w:r>
        <w:rPr>
          <w:rStyle w:val="FootnoteReference"/>
        </w:rPr>
        <w:footnoteReference w:id="60"/>
      </w:r>
      <w:r w:rsidR="003054CF">
        <w:t xml:space="preserve"> </w:t>
      </w:r>
      <w:r w:rsidR="00790CFA">
        <w:t>MDF is</w:t>
      </w:r>
      <w:r w:rsidR="00323E6A">
        <w:t xml:space="preserve"> also</w:t>
      </w:r>
      <w:r w:rsidR="00790CFA">
        <w:t xml:space="preserve"> finalising </w:t>
      </w:r>
      <w:r w:rsidR="00A15214">
        <w:t>povert</w:t>
      </w:r>
      <w:r w:rsidR="00D13D44">
        <w:t xml:space="preserve">y and gender analysis so </w:t>
      </w:r>
      <w:r w:rsidR="00A15214">
        <w:t>it</w:t>
      </w:r>
      <w:r w:rsidR="00790CFA">
        <w:t>s</w:t>
      </w:r>
      <w:r w:rsidR="00A15214">
        <w:t xml:space="preserve"> </w:t>
      </w:r>
      <w:r w:rsidR="00790CFA">
        <w:t xml:space="preserve">interventions </w:t>
      </w:r>
      <w:r w:rsidR="00A15214">
        <w:t xml:space="preserve">will have the </w:t>
      </w:r>
      <w:r w:rsidR="00790CFA">
        <w:t>greatest impact on women and Fiji’s poorest communities</w:t>
      </w:r>
      <w:r w:rsidR="00A15214">
        <w:t>.</w:t>
      </w:r>
    </w:p>
    <w:p w14:paraId="3DDD5B95" w14:textId="77777777" w:rsidR="00401D11" w:rsidRDefault="00655D73" w:rsidP="00B92DD0">
      <w:pPr>
        <w:pStyle w:val="BodyText"/>
      </w:pPr>
      <w:r>
        <w:rPr>
          <w:rFonts w:cstheme="minorHAnsi"/>
        </w:rPr>
        <w:lastRenderedPageBreak/>
        <w:t xml:space="preserve">The </w:t>
      </w:r>
      <w:r>
        <w:rPr>
          <w:rFonts w:cs="Arial"/>
          <w:lang w:val="en"/>
        </w:rPr>
        <w:t>Pacific Horticultural and Agricultural Market Access</w:t>
      </w:r>
      <w:r>
        <w:rPr>
          <w:rFonts w:cstheme="minorHAnsi"/>
          <w:lang w:val="en"/>
        </w:rPr>
        <w:t xml:space="preserve"> </w:t>
      </w:r>
      <w:r>
        <w:rPr>
          <w:rFonts w:cstheme="minorHAnsi"/>
        </w:rPr>
        <w:t>(PHAMA) program is a key component of CREO’s objective to increase incomes for the p</w:t>
      </w:r>
      <w:r w:rsidR="000D71D3">
        <w:rPr>
          <w:rFonts w:cstheme="minorHAnsi"/>
        </w:rPr>
        <w:t>oor. It aims to assist Pacific island c</w:t>
      </w:r>
      <w:r>
        <w:rPr>
          <w:rFonts w:cstheme="minorHAnsi"/>
        </w:rPr>
        <w:t>ountries increase exports of high</w:t>
      </w:r>
      <w:r w:rsidR="003054CF">
        <w:rPr>
          <w:rFonts w:cstheme="minorHAnsi"/>
        </w:rPr>
        <w:t>-</w:t>
      </w:r>
      <w:r>
        <w:rPr>
          <w:rFonts w:cstheme="minorHAnsi"/>
        </w:rPr>
        <w:t>value primary products, contributing to increased economic growth and improved rural livelihoods.</w:t>
      </w:r>
      <w:r w:rsidR="004C7296">
        <w:rPr>
          <w:rStyle w:val="FootnoteReference"/>
          <w:rFonts w:cstheme="minorHAnsi"/>
        </w:rPr>
        <w:footnoteReference w:id="61"/>
      </w:r>
      <w:r>
        <w:rPr>
          <w:rFonts w:cstheme="minorHAnsi"/>
        </w:rPr>
        <w:t xml:space="preserve"> </w:t>
      </w:r>
      <w:r>
        <w:t xml:space="preserve">In 2012, Fiji was granted approval </w:t>
      </w:r>
      <w:r>
        <w:rPr>
          <w:color w:val="000000"/>
        </w:rPr>
        <w:t>to export fresh ginger rhizomes to Australia. PHAMA made a central contribution to this outcome. Fiji is the first country in the world to export fresh ginger to Australia. It is exp</w:t>
      </w:r>
      <w:r w:rsidR="000D71D3">
        <w:rPr>
          <w:color w:val="000000"/>
        </w:rPr>
        <w:t>ected that around 20 tonnes of g</w:t>
      </w:r>
      <w:r w:rsidR="00330206">
        <w:rPr>
          <w:color w:val="000000"/>
        </w:rPr>
        <w:t>inger will be exported by</w:t>
      </w:r>
      <w:r>
        <w:rPr>
          <w:color w:val="000000"/>
        </w:rPr>
        <w:t xml:space="preserve"> early October 2013</w:t>
      </w:r>
      <w:r w:rsidR="003054CF">
        <w:rPr>
          <w:color w:val="000000"/>
        </w:rPr>
        <w:t xml:space="preserve"> alone</w:t>
      </w:r>
      <w:r>
        <w:rPr>
          <w:color w:val="000000"/>
        </w:rPr>
        <w:t>. This</w:t>
      </w:r>
      <w:r>
        <w:t xml:space="preserve"> will provide new opportunity for local farmers to diversi</w:t>
      </w:r>
      <w:r w:rsidR="00A15214">
        <w:t>f</w:t>
      </w:r>
      <w:r>
        <w:t>y into a high-value crop.</w:t>
      </w:r>
      <w:r w:rsidRPr="003E582C">
        <w:t xml:space="preserve"> </w:t>
      </w:r>
      <w:r w:rsidRPr="001B256D">
        <w:t>Fiji’s ginger export market is</w:t>
      </w:r>
      <w:r w:rsidR="00C809EC">
        <w:t xml:space="preserve"> </w:t>
      </w:r>
      <w:r w:rsidRPr="00F32494">
        <w:t>worth an estimated $</w:t>
      </w:r>
      <w:r w:rsidR="00C809EC">
        <w:t>6</w:t>
      </w:r>
      <w:r w:rsidRPr="00F32494">
        <w:t xml:space="preserve"> million</w:t>
      </w:r>
      <w:r w:rsidR="00C809EC">
        <w:t xml:space="preserve"> annually</w:t>
      </w:r>
      <w:r w:rsidR="00401D11">
        <w:t>.</w:t>
      </w:r>
    </w:p>
    <w:p w14:paraId="3DDD5B96" w14:textId="3A912ABC" w:rsidR="00EB5716" w:rsidRDefault="00655D73" w:rsidP="00B92DD0">
      <w:pPr>
        <w:pStyle w:val="BodyText"/>
      </w:pPr>
      <w:r w:rsidRPr="001B256D">
        <w:t>PHAMA and MDF are complemented by the Pacific Agribusiness Research for Development Initiative. This is run by the Australian Centre for International Agricultural Research (ACIAR) and aims to improve food security and rural livelihoods in the Pacific. In Fiji in 2012</w:t>
      </w:r>
      <w:r w:rsidR="003054CF">
        <w:t>–</w:t>
      </w:r>
      <w:r w:rsidRPr="001B256D">
        <w:t>13</w:t>
      </w:r>
      <w:r w:rsidR="0022703C">
        <w:t>,</w:t>
      </w:r>
      <w:r w:rsidRPr="001B256D">
        <w:t xml:space="preserve"> ACIAR received $1.8 million through a direct appropriation. ACIAR, MDF and an Australian volunteer in Fiji are collaborati</w:t>
      </w:r>
      <w:r w:rsidR="003054CF">
        <w:t>ng</w:t>
      </w:r>
      <w:r w:rsidRPr="001B256D">
        <w:t xml:space="preserve"> on a soil health project </w:t>
      </w:r>
      <w:r w:rsidR="00C809EC">
        <w:t>promoting sustainable farm</w:t>
      </w:r>
      <w:r w:rsidR="00A15214">
        <w:t>ing</w:t>
      </w:r>
      <w:r w:rsidR="00C809EC">
        <w:t xml:space="preserve"> practices</w:t>
      </w:r>
      <w:r w:rsidRPr="001B256D">
        <w:t xml:space="preserve"> and</w:t>
      </w:r>
      <w:r w:rsidR="00C809EC">
        <w:t xml:space="preserve"> improving the export </w:t>
      </w:r>
      <w:r w:rsidR="0022703C">
        <w:t>prospects for</w:t>
      </w:r>
      <w:r w:rsidR="00C809EC">
        <w:t xml:space="preserve"> 3</w:t>
      </w:r>
      <w:r w:rsidR="00F604DD">
        <w:t>,</w:t>
      </w:r>
      <w:r w:rsidR="00C809EC">
        <w:t>600 taro farmers on Taveuni Island</w:t>
      </w:r>
      <w:r w:rsidRPr="001B256D">
        <w:t xml:space="preserve">. </w:t>
      </w:r>
      <w:r w:rsidR="0036770A">
        <w:t>T</w:t>
      </w:r>
      <w:r w:rsidR="0036770A" w:rsidRPr="001B256D">
        <w:t>he Pacific Agribusiness Research for Development Initiative</w:t>
      </w:r>
      <w:r w:rsidRPr="001B256D">
        <w:t xml:space="preserve"> has also supported commercial breadfruit production systems and the development of a cultured pearl industry in Fiji. A closer relationship between ACIAR, MDF and PHAMA could lead to better coordinated agricultural programs. </w:t>
      </w:r>
    </w:p>
    <w:p w14:paraId="3DDD5B97" w14:textId="77777777" w:rsidR="00655D73" w:rsidRDefault="00EB5716" w:rsidP="00B92DD0">
      <w:pPr>
        <w:pStyle w:val="BodyText"/>
        <w:rPr>
          <w:rFonts w:eastAsiaTheme="minorHAnsi"/>
        </w:rPr>
      </w:pPr>
      <w:r w:rsidRPr="00E100FF">
        <w:rPr>
          <w:b/>
        </w:rPr>
        <w:t>O</w:t>
      </w:r>
      <w:r w:rsidR="00655D73" w:rsidRPr="00E100FF">
        <w:rPr>
          <w:b/>
        </w:rPr>
        <w:t>bjective</w:t>
      </w:r>
      <w:r w:rsidR="003054CF" w:rsidRPr="00E100FF">
        <w:rPr>
          <w:b/>
        </w:rPr>
        <w:t xml:space="preserve"> 2</w:t>
      </w:r>
      <w:r w:rsidR="003054CF">
        <w:t>—i</w:t>
      </w:r>
      <w:r w:rsidR="00655D73">
        <w:t xml:space="preserve">ncreased </w:t>
      </w:r>
      <w:r w:rsidR="003054CF">
        <w:t>use</w:t>
      </w:r>
      <w:r w:rsidR="00655D73">
        <w:t xml:space="preserve"> of </w:t>
      </w:r>
      <w:r w:rsidR="003054CF">
        <w:t>f</w:t>
      </w:r>
      <w:r w:rsidR="00655D73">
        <w:t xml:space="preserve">inancial </w:t>
      </w:r>
      <w:r w:rsidR="003054CF">
        <w:t>s</w:t>
      </w:r>
      <w:r w:rsidR="00655D73">
        <w:t xml:space="preserve">ervices by the </w:t>
      </w:r>
      <w:r w:rsidR="003054CF">
        <w:t>p</w:t>
      </w:r>
      <w:r w:rsidR="00655D73">
        <w:t>oor</w:t>
      </w:r>
      <w:r w:rsidR="00323E6A">
        <w:t xml:space="preserve">, which </w:t>
      </w:r>
      <w:r w:rsidR="00655D73">
        <w:t xml:space="preserve">mainly </w:t>
      </w:r>
      <w:r w:rsidR="003054CF">
        <w:t xml:space="preserve">involves </w:t>
      </w:r>
      <w:r w:rsidR="00655D73">
        <w:t>to</w:t>
      </w:r>
      <w:r w:rsidR="00655D73" w:rsidRPr="00252082">
        <w:t xml:space="preserve"> </w:t>
      </w:r>
      <w:r w:rsidR="00655D73">
        <w:t xml:space="preserve">the Pacific Financial Inclusion Program (PFIP). </w:t>
      </w:r>
      <w:r w:rsidR="003054CF">
        <w:t>This</w:t>
      </w:r>
      <w:r w:rsidR="00655D73">
        <w:t xml:space="preserve"> Pacific</w:t>
      </w:r>
      <w:r w:rsidR="003054CF">
        <w:t>-</w:t>
      </w:r>
      <w:r w:rsidR="00655D73">
        <w:t xml:space="preserve">wide program </w:t>
      </w:r>
      <w:r w:rsidR="003054CF">
        <w:t xml:space="preserve">is </w:t>
      </w:r>
      <w:r w:rsidR="00655D73">
        <w:t xml:space="preserve">run by the United Nations Capital Development Fund </w:t>
      </w:r>
      <w:r w:rsidR="00655D73">
        <w:rPr>
          <w:rFonts w:eastAsiaTheme="minorHAnsi"/>
        </w:rPr>
        <w:t>to provide sustainable financial services to low</w:t>
      </w:r>
      <w:r w:rsidR="003054CF">
        <w:rPr>
          <w:rFonts w:eastAsiaTheme="minorHAnsi"/>
        </w:rPr>
        <w:t>-</w:t>
      </w:r>
      <w:r w:rsidR="00655D73">
        <w:rPr>
          <w:rFonts w:eastAsiaTheme="minorHAnsi"/>
        </w:rPr>
        <w:t xml:space="preserve">income households. </w:t>
      </w:r>
      <w:r w:rsidR="00787933">
        <w:rPr>
          <w:rFonts w:eastAsiaTheme="minorHAnsi"/>
        </w:rPr>
        <w:t>Some examples of PFIP’s achievements are described here.</w:t>
      </w:r>
    </w:p>
    <w:p w14:paraId="3DDD5B98" w14:textId="0BE14E68" w:rsidR="00655D73" w:rsidRDefault="00655D73" w:rsidP="00B92DD0">
      <w:pPr>
        <w:pStyle w:val="BodyText"/>
        <w:rPr>
          <w:bCs/>
          <w:color w:val="000000"/>
          <w:sz w:val="16"/>
          <w:szCs w:val="16"/>
          <w:lang w:val="en-US" w:eastAsia="zh-HK"/>
        </w:rPr>
      </w:pPr>
      <w:r>
        <w:t>PFIP</w:t>
      </w:r>
      <w:r w:rsidR="00EB5716">
        <w:t xml:space="preserve">, with </w:t>
      </w:r>
      <w:r w:rsidR="00701698">
        <w:t>Australian</w:t>
      </w:r>
      <w:r w:rsidR="00EB5716">
        <w:t xml:space="preserve"> funding,</w:t>
      </w:r>
      <w:r>
        <w:t xml:space="preserve"> piloted a financial education program in Fiji’s schools</w:t>
      </w:r>
      <w:r w:rsidR="00787933">
        <w:t xml:space="preserve"> in 2012, expanding it i</w:t>
      </w:r>
      <w:r>
        <w:t>n 2013</w:t>
      </w:r>
      <w:r w:rsidR="00787933">
        <w:t xml:space="preserve"> </w:t>
      </w:r>
      <w:r>
        <w:t>to all schools, reaching approximately 197</w:t>
      </w:r>
      <w:r w:rsidR="00F604DD">
        <w:t>,</w:t>
      </w:r>
      <w:r>
        <w:t>000 children</w:t>
      </w:r>
      <w:r w:rsidR="00330206">
        <w:t>,</w:t>
      </w:r>
      <w:r>
        <w:t xml:space="preserve"> a first for the region. In 2013, CREO has </w:t>
      </w:r>
      <w:r w:rsidR="003054CF">
        <w:t xml:space="preserve">so far </w:t>
      </w:r>
      <w:r>
        <w:t xml:space="preserve">largely met its annual target </w:t>
      </w:r>
      <w:r>
        <w:rPr>
          <w:rFonts w:eastAsiaTheme="minorHAnsi"/>
        </w:rPr>
        <w:t>of providing 200</w:t>
      </w:r>
      <w:r w:rsidR="00F604DD">
        <w:rPr>
          <w:rFonts w:eastAsiaTheme="minorHAnsi"/>
        </w:rPr>
        <w:t>,</w:t>
      </w:r>
      <w:r>
        <w:rPr>
          <w:rFonts w:eastAsiaTheme="minorHAnsi"/>
        </w:rPr>
        <w:t>000 school students with access to financial education</w:t>
      </w:r>
      <w:r w:rsidR="003054CF">
        <w:rPr>
          <w:rFonts w:eastAsiaTheme="minorHAnsi"/>
        </w:rPr>
        <w:t>, provided</w:t>
      </w:r>
      <w:r w:rsidR="003054CF">
        <w:rPr>
          <w:bCs/>
          <w:color w:val="000000"/>
          <w:lang w:val="en-US" w:eastAsia="zh-HK"/>
        </w:rPr>
        <w:t xml:space="preserve"> through </w:t>
      </w:r>
      <w:r w:rsidR="00D9700A">
        <w:rPr>
          <w:bCs/>
          <w:color w:val="000000"/>
          <w:lang w:val="en-US" w:eastAsia="zh-HK"/>
        </w:rPr>
        <w:t>the</w:t>
      </w:r>
      <w:r>
        <w:rPr>
          <w:bCs/>
          <w:color w:val="000000"/>
          <w:lang w:val="en-US" w:eastAsia="zh-HK"/>
        </w:rPr>
        <w:t xml:space="preserve"> collaboration</w:t>
      </w:r>
      <w:r w:rsidR="00C809EC">
        <w:rPr>
          <w:bCs/>
          <w:color w:val="000000"/>
          <w:lang w:val="en-US" w:eastAsia="zh-HK"/>
        </w:rPr>
        <w:t xml:space="preserve"> </w:t>
      </w:r>
      <w:r w:rsidR="002A0D57">
        <w:rPr>
          <w:bCs/>
          <w:color w:val="000000"/>
          <w:lang w:val="en-US" w:eastAsia="zh-HK"/>
        </w:rPr>
        <w:t xml:space="preserve">between </w:t>
      </w:r>
      <w:r w:rsidR="00701698">
        <w:rPr>
          <w:bCs/>
          <w:color w:val="000000"/>
          <w:lang w:val="en-US" w:eastAsia="zh-HK"/>
        </w:rPr>
        <w:t>DFAT</w:t>
      </w:r>
      <w:r w:rsidR="00401D11">
        <w:rPr>
          <w:bCs/>
          <w:color w:val="000000"/>
          <w:lang w:val="en-US" w:eastAsia="zh-HK"/>
        </w:rPr>
        <w:t xml:space="preserve">, the </w:t>
      </w:r>
      <w:r>
        <w:rPr>
          <w:bCs/>
          <w:color w:val="000000"/>
          <w:lang w:val="en-US" w:eastAsia="zh-HK"/>
        </w:rPr>
        <w:t>Reserve Bank of Fiji and the M</w:t>
      </w:r>
      <w:r w:rsidR="005412DD">
        <w:rPr>
          <w:bCs/>
          <w:color w:val="000000"/>
          <w:lang w:val="en-US" w:eastAsia="zh-HK"/>
        </w:rPr>
        <w:t>o</w:t>
      </w:r>
      <w:r>
        <w:rPr>
          <w:bCs/>
          <w:color w:val="000000"/>
          <w:lang w:val="en-US" w:eastAsia="zh-HK"/>
        </w:rPr>
        <w:t>E.</w:t>
      </w:r>
    </w:p>
    <w:p w14:paraId="3DDD5B99" w14:textId="5D8995E4" w:rsidR="00655D73" w:rsidRDefault="00655D73" w:rsidP="00B92DD0">
      <w:pPr>
        <w:pStyle w:val="BodyText"/>
      </w:pPr>
      <w:r>
        <w:t xml:space="preserve">Under PFIP, </w:t>
      </w:r>
      <w:r w:rsidR="00701698">
        <w:t>Australia</w:t>
      </w:r>
      <w:r>
        <w:t xml:space="preserve"> has also supported a micro-insurance program</w:t>
      </w:r>
      <w:r w:rsidR="00D9700A">
        <w:t>—</w:t>
      </w:r>
      <w:r w:rsidR="003054CF">
        <w:t xml:space="preserve">another </w:t>
      </w:r>
      <w:r>
        <w:t>first for Fiji</w:t>
      </w:r>
      <w:r w:rsidR="00323E6A">
        <w:t>—</w:t>
      </w:r>
      <w:r>
        <w:t xml:space="preserve">designed to assist the poor </w:t>
      </w:r>
      <w:r w:rsidR="00323E6A">
        <w:t xml:space="preserve">to </w:t>
      </w:r>
      <w:r>
        <w:t>manage funeral expense</w:t>
      </w:r>
      <w:r w:rsidR="00787933">
        <w:t>s, which can often send families into poverty</w:t>
      </w:r>
      <w:r>
        <w:t>. Subscriber numbers increased from 812 in 2011 to 2</w:t>
      </w:r>
      <w:r w:rsidR="00F604DD">
        <w:t>,</w:t>
      </w:r>
      <w:r>
        <w:t>609 in 2012</w:t>
      </w:r>
      <w:r w:rsidR="003054CF">
        <w:t>.</w:t>
      </w:r>
      <w:r>
        <w:rPr>
          <w:rStyle w:val="FootnoteReference"/>
          <w:szCs w:val="16"/>
        </w:rPr>
        <w:footnoteReference w:id="62"/>
      </w:r>
      <w:r w:rsidR="003054CF">
        <w:t xml:space="preserve"> </w:t>
      </w:r>
      <w:r w:rsidR="00787933">
        <w:t xml:space="preserve">Most </w:t>
      </w:r>
      <w:r>
        <w:t xml:space="preserve">subscribers are rural women. Funeral costs can often send families into poverty. The program is a partnership </w:t>
      </w:r>
      <w:r w:rsidR="00644802">
        <w:t xml:space="preserve">with </w:t>
      </w:r>
      <w:r>
        <w:t>donors, the private sector and community organisations.</w:t>
      </w:r>
    </w:p>
    <w:p w14:paraId="3DDD5B9A" w14:textId="78EAD88B" w:rsidR="00655D73" w:rsidRDefault="009154F9" w:rsidP="00B92DD0">
      <w:pPr>
        <w:pStyle w:val="BodyText"/>
        <w:rPr>
          <w:rFonts w:eastAsiaTheme="minorHAnsi"/>
        </w:rPr>
      </w:pPr>
      <w:r>
        <w:rPr>
          <w:rFonts w:eastAsiaTheme="minorHAnsi"/>
        </w:rPr>
        <w:t>PFIP also supported the roll-out of mobile money by</w:t>
      </w:r>
      <w:r w:rsidR="00787933">
        <w:rPr>
          <w:rFonts w:eastAsiaTheme="minorHAnsi"/>
        </w:rPr>
        <w:t xml:space="preserve"> telecommunication providers</w:t>
      </w:r>
      <w:r>
        <w:rPr>
          <w:rFonts w:eastAsiaTheme="minorHAnsi"/>
        </w:rPr>
        <w:t xml:space="preserve"> Vodafone and Digicel</w:t>
      </w:r>
      <w:r w:rsidR="00787933">
        <w:rPr>
          <w:rFonts w:eastAsiaTheme="minorHAnsi"/>
        </w:rPr>
        <w:t>, allowing</w:t>
      </w:r>
      <w:r>
        <w:rPr>
          <w:rFonts w:eastAsiaTheme="minorHAnsi"/>
        </w:rPr>
        <w:t xml:space="preserve"> users to send and receive money on their mobile phones</w:t>
      </w:r>
      <w:r w:rsidR="00AD2C60">
        <w:rPr>
          <w:rFonts w:eastAsiaTheme="minorHAnsi"/>
        </w:rPr>
        <w:t xml:space="preserve">. </w:t>
      </w:r>
      <w:r>
        <w:rPr>
          <w:rFonts w:eastAsiaTheme="minorHAnsi"/>
        </w:rPr>
        <w:t xml:space="preserve">PFIP </w:t>
      </w:r>
      <w:r w:rsidR="0022703C">
        <w:rPr>
          <w:rFonts w:eastAsiaTheme="minorHAnsi"/>
        </w:rPr>
        <w:t xml:space="preserve">also </w:t>
      </w:r>
      <w:r>
        <w:rPr>
          <w:rFonts w:eastAsiaTheme="minorHAnsi"/>
        </w:rPr>
        <w:t xml:space="preserve">continues to work with Fiji’s Department of Social Welfare to transition an additional 1700 clients </w:t>
      </w:r>
      <w:r>
        <w:t>to electronic welfare payments</w:t>
      </w:r>
      <w:r>
        <w:rPr>
          <w:rFonts w:eastAsiaTheme="minorHAnsi"/>
        </w:rPr>
        <w:t xml:space="preserve">. </w:t>
      </w:r>
      <w:r w:rsidR="00787933">
        <w:rPr>
          <w:rFonts w:eastAsiaTheme="minorHAnsi"/>
        </w:rPr>
        <w:t xml:space="preserve">More than </w:t>
      </w:r>
      <w:r>
        <w:rPr>
          <w:rFonts w:eastAsiaTheme="minorHAnsi"/>
        </w:rPr>
        <w:t>23</w:t>
      </w:r>
      <w:r w:rsidR="00F604DD">
        <w:rPr>
          <w:rFonts w:eastAsiaTheme="minorHAnsi"/>
        </w:rPr>
        <w:t>,</w:t>
      </w:r>
      <w:r>
        <w:rPr>
          <w:rFonts w:eastAsiaTheme="minorHAnsi"/>
        </w:rPr>
        <w:t>000 clients (approximately 95</w:t>
      </w:r>
      <w:r w:rsidR="00787933">
        <w:rPr>
          <w:rFonts w:eastAsiaTheme="minorHAnsi"/>
        </w:rPr>
        <w:t xml:space="preserve"> per cent</w:t>
      </w:r>
      <w:r>
        <w:rPr>
          <w:rFonts w:eastAsiaTheme="minorHAnsi"/>
        </w:rPr>
        <w:t>) now receive their payments through the formal banking system. This ha</w:t>
      </w:r>
      <w:r w:rsidR="00A15214">
        <w:rPr>
          <w:rFonts w:eastAsiaTheme="minorHAnsi"/>
        </w:rPr>
        <w:t>s</w:t>
      </w:r>
      <w:r>
        <w:rPr>
          <w:rFonts w:eastAsiaTheme="minorHAnsi"/>
        </w:rPr>
        <w:t xml:space="preserve"> provided increased security, convenience and reduced the cost of banking</w:t>
      </w:r>
      <w:r w:rsidR="00401D11">
        <w:rPr>
          <w:rFonts w:eastAsiaTheme="minorHAnsi"/>
        </w:rPr>
        <w:t xml:space="preserve">. </w:t>
      </w:r>
      <w:r w:rsidR="00655D73">
        <w:rPr>
          <w:rFonts w:eastAsiaTheme="minorHAnsi"/>
        </w:rPr>
        <w:t>CREO is on track to reach its 2016 target of 100</w:t>
      </w:r>
      <w:r w:rsidR="00F604DD">
        <w:rPr>
          <w:rFonts w:eastAsiaTheme="minorHAnsi"/>
        </w:rPr>
        <w:t>,</w:t>
      </w:r>
      <w:r w:rsidR="00655D73">
        <w:rPr>
          <w:rFonts w:eastAsiaTheme="minorHAnsi"/>
        </w:rPr>
        <w:t>000 unbanked people (minimum 40 per cent women) with increased access to financial services</w:t>
      </w:r>
      <w:r w:rsidR="00787933">
        <w:rPr>
          <w:rFonts w:eastAsiaTheme="minorHAnsi"/>
        </w:rPr>
        <w:t>,</w:t>
      </w:r>
      <w:r w:rsidR="00655D73">
        <w:rPr>
          <w:rFonts w:eastAsiaTheme="minorHAnsi"/>
        </w:rPr>
        <w:t xml:space="preserve"> including savings, loans, remittances and micro-insurance.</w:t>
      </w:r>
    </w:p>
    <w:p w14:paraId="3DDD5B9B" w14:textId="77777777" w:rsidR="009154F9" w:rsidRDefault="00644802" w:rsidP="00B92DD0">
      <w:pPr>
        <w:pStyle w:val="BodyText"/>
      </w:pPr>
      <w:r>
        <w:rPr>
          <w:rFonts w:eastAsiaTheme="minorHAnsi"/>
        </w:rPr>
        <w:t>The uptake of</w:t>
      </w:r>
      <w:r w:rsidR="009154F9">
        <w:rPr>
          <w:rFonts w:eastAsiaTheme="minorHAnsi"/>
        </w:rPr>
        <w:t xml:space="preserve"> mobile money </w:t>
      </w:r>
      <w:r w:rsidR="001463FD">
        <w:rPr>
          <w:rFonts w:eastAsiaTheme="minorHAnsi"/>
        </w:rPr>
        <w:t>remittance services</w:t>
      </w:r>
      <w:r>
        <w:rPr>
          <w:rFonts w:eastAsiaTheme="minorHAnsi"/>
        </w:rPr>
        <w:t xml:space="preserve"> </w:t>
      </w:r>
      <w:r w:rsidR="009154F9">
        <w:rPr>
          <w:rFonts w:eastAsiaTheme="minorHAnsi"/>
        </w:rPr>
        <w:t xml:space="preserve">has been slow. </w:t>
      </w:r>
      <w:r w:rsidR="00C37CD9">
        <w:rPr>
          <w:rFonts w:eastAsiaTheme="minorHAnsi"/>
        </w:rPr>
        <w:t>T</w:t>
      </w:r>
      <w:r w:rsidR="009154F9">
        <w:rPr>
          <w:rFonts w:eastAsiaTheme="minorHAnsi"/>
        </w:rPr>
        <w:t>he CREO</w:t>
      </w:r>
      <w:r w:rsidR="001463FD">
        <w:rPr>
          <w:rFonts w:eastAsiaTheme="minorHAnsi"/>
        </w:rPr>
        <w:t xml:space="preserve"> program</w:t>
      </w:r>
      <w:r w:rsidR="009154F9">
        <w:rPr>
          <w:rFonts w:eastAsiaTheme="minorHAnsi"/>
        </w:rPr>
        <w:t xml:space="preserve"> will investigate options to boost awareness </w:t>
      </w:r>
      <w:r w:rsidR="00C37CD9">
        <w:rPr>
          <w:rFonts w:eastAsiaTheme="minorHAnsi"/>
        </w:rPr>
        <w:t>and us</w:t>
      </w:r>
      <w:r w:rsidR="009154F9">
        <w:rPr>
          <w:rFonts w:eastAsiaTheme="minorHAnsi"/>
        </w:rPr>
        <w:t xml:space="preserve">age of </w:t>
      </w:r>
      <w:r w:rsidR="00787933">
        <w:rPr>
          <w:rFonts w:eastAsiaTheme="minorHAnsi"/>
        </w:rPr>
        <w:t>this</w:t>
      </w:r>
      <w:r w:rsidR="009154F9">
        <w:rPr>
          <w:rFonts w:eastAsiaTheme="minorHAnsi"/>
        </w:rPr>
        <w:t xml:space="preserve"> service. </w:t>
      </w:r>
    </w:p>
    <w:p w14:paraId="3DDD5B9C" w14:textId="716A3CE0" w:rsidR="00655D73" w:rsidRPr="00BD4636" w:rsidRDefault="00655D73" w:rsidP="00B92DD0">
      <w:pPr>
        <w:pStyle w:val="BodyText"/>
      </w:pPr>
      <w:r w:rsidRPr="00E100FF">
        <w:rPr>
          <w:b/>
        </w:rPr>
        <w:t xml:space="preserve">Objective </w:t>
      </w:r>
      <w:r w:rsidR="00BB5B24" w:rsidRPr="00E100FF">
        <w:rPr>
          <w:b/>
        </w:rPr>
        <w:t>3</w:t>
      </w:r>
      <w:r w:rsidR="00787933">
        <w:t>—</w:t>
      </w:r>
      <w:r w:rsidR="005A3D7E">
        <w:t>improved community resilience to shocks and stresses</w:t>
      </w:r>
      <w:r w:rsidR="00644802">
        <w:t xml:space="preserve">, which </w:t>
      </w:r>
      <w:r w:rsidR="00787933">
        <w:t>is supported mainly through the</w:t>
      </w:r>
      <w:r>
        <w:rPr>
          <w:rFonts w:eastAsiaTheme="minorHAnsi"/>
        </w:rPr>
        <w:t xml:space="preserve"> </w:t>
      </w:r>
      <w:r>
        <w:rPr>
          <w:rFonts w:cstheme="minorHAnsi"/>
        </w:rPr>
        <w:t>FCDP.</w:t>
      </w:r>
      <w:r>
        <w:rPr>
          <w:rFonts w:eastAsiaTheme="minorHAnsi"/>
        </w:rPr>
        <w:t xml:space="preserve"> </w:t>
      </w:r>
      <w:r w:rsidR="00787933">
        <w:rPr>
          <w:rFonts w:cstheme="minorHAnsi"/>
        </w:rPr>
        <w:t xml:space="preserve">The program’s </w:t>
      </w:r>
      <w:r w:rsidR="005412DD">
        <w:rPr>
          <w:rFonts w:cstheme="minorHAnsi"/>
        </w:rPr>
        <w:t>first stage will run from</w:t>
      </w:r>
      <w:r>
        <w:rPr>
          <w:rFonts w:cstheme="minorHAnsi"/>
        </w:rPr>
        <w:t xml:space="preserve"> 201</w:t>
      </w:r>
      <w:r w:rsidR="00C37CD9">
        <w:rPr>
          <w:rFonts w:cstheme="minorHAnsi"/>
        </w:rPr>
        <w:t xml:space="preserve">2 to </w:t>
      </w:r>
      <w:r w:rsidR="005412DD">
        <w:rPr>
          <w:rFonts w:cstheme="minorHAnsi"/>
        </w:rPr>
        <w:t>20</w:t>
      </w:r>
      <w:r>
        <w:rPr>
          <w:rFonts w:cstheme="minorHAnsi"/>
        </w:rPr>
        <w:t>15</w:t>
      </w:r>
      <w:r w:rsidR="0049183C">
        <w:rPr>
          <w:rFonts w:cstheme="minorHAnsi"/>
        </w:rPr>
        <w:t xml:space="preserve"> </w:t>
      </w:r>
      <w:r w:rsidR="00C37CD9">
        <w:rPr>
          <w:rFonts w:cstheme="minorHAnsi"/>
        </w:rPr>
        <w:t>and i</w:t>
      </w:r>
      <w:r w:rsidR="005412DD">
        <w:rPr>
          <w:rFonts w:cstheme="minorHAnsi"/>
        </w:rPr>
        <w:t xml:space="preserve">s </w:t>
      </w:r>
      <w:r w:rsidR="00C37CD9">
        <w:rPr>
          <w:rFonts w:cstheme="minorHAnsi"/>
        </w:rPr>
        <w:t xml:space="preserve">worth </w:t>
      </w:r>
      <w:r w:rsidR="00C37CD9">
        <w:rPr>
          <w:rFonts w:cstheme="minorHAnsi"/>
        </w:rPr>
        <w:lastRenderedPageBreak/>
        <w:t>$13 million</w:t>
      </w:r>
      <w:r>
        <w:rPr>
          <w:rFonts w:cstheme="minorHAnsi"/>
        </w:rPr>
        <w:t xml:space="preserve">. It is implemented by </w:t>
      </w:r>
      <w:r w:rsidR="00787933">
        <w:rPr>
          <w:rFonts w:cstheme="minorHAnsi"/>
        </w:rPr>
        <w:t xml:space="preserve">managing contractor </w:t>
      </w:r>
      <w:r>
        <w:rPr>
          <w:rFonts w:cstheme="minorHAnsi"/>
        </w:rPr>
        <w:t xml:space="preserve">Coffey International. </w:t>
      </w:r>
      <w:r w:rsidR="00787933">
        <w:rPr>
          <w:rFonts w:cstheme="minorHAnsi"/>
        </w:rPr>
        <w:t>FCDP</w:t>
      </w:r>
      <w:r w:rsidR="00787933">
        <w:t>’s</w:t>
      </w:r>
      <w:r>
        <w:t xml:space="preserve"> goal is </w:t>
      </w:r>
      <w:r>
        <w:rPr>
          <w:bCs/>
        </w:rPr>
        <w:t xml:space="preserve">to deliver social and economic benefits to the people of Fiji through strengthened </w:t>
      </w:r>
      <w:r w:rsidR="00644802">
        <w:rPr>
          <w:bCs/>
        </w:rPr>
        <w:t>CSOs</w:t>
      </w:r>
      <w:r>
        <w:t xml:space="preserve">. Australia remains one of very few donors to provide substantial funds to </w:t>
      </w:r>
      <w:r w:rsidR="00787933">
        <w:t>these organisation</w:t>
      </w:r>
      <w:r w:rsidR="00D9700A">
        <w:t>s</w:t>
      </w:r>
      <w:r w:rsidR="00787933">
        <w:t xml:space="preserve"> </w:t>
      </w:r>
      <w:r>
        <w:t xml:space="preserve">in Fiji. </w:t>
      </w:r>
      <w:r w:rsidR="005412DD">
        <w:t xml:space="preserve">Working with non-government organisations is integral </w:t>
      </w:r>
      <w:r w:rsidR="00787933">
        <w:t xml:space="preserve">to </w:t>
      </w:r>
      <w:r w:rsidR="005412DD">
        <w:t>Australia’s approach to achieving the</w:t>
      </w:r>
      <w:r w:rsidR="00787933">
        <w:t xml:space="preserve"> aid program’s</w:t>
      </w:r>
      <w:r w:rsidR="005412DD">
        <w:t xml:space="preserve"> goals</w:t>
      </w:r>
      <w:r w:rsidR="0049183C">
        <w:rPr>
          <w:color w:val="D99594" w:themeColor="accent2" w:themeTint="99"/>
        </w:rPr>
        <w:t xml:space="preserve">. </w:t>
      </w:r>
      <w:r w:rsidR="00496700">
        <w:t>The E</w:t>
      </w:r>
      <w:r w:rsidR="00787933">
        <w:t xml:space="preserve">uropean Union </w:t>
      </w:r>
      <w:r w:rsidR="00496700">
        <w:t>is the only other major donor</w:t>
      </w:r>
      <w:r w:rsidR="002E69F7">
        <w:t xml:space="preserve"> in Fiji</w:t>
      </w:r>
      <w:r w:rsidR="00787933">
        <w:t xml:space="preserve"> in this area</w:t>
      </w:r>
      <w:r w:rsidR="00496700">
        <w:t>.</w:t>
      </w:r>
    </w:p>
    <w:p w14:paraId="3DDD5B9D" w14:textId="73C2B7D8" w:rsidR="00655D73" w:rsidRDefault="00655D73" w:rsidP="00B92DD0">
      <w:pPr>
        <w:pStyle w:val="BodyText"/>
      </w:pPr>
      <w:r>
        <w:t>Over its life, FCDP will support up to 70 CSOs and reach up to 70</w:t>
      </w:r>
      <w:r w:rsidR="00F604DD">
        <w:t>,</w:t>
      </w:r>
      <w:r>
        <w:t xml:space="preserve">000 people. It is on track to achieve this target. From May 2012 until May 2013, </w:t>
      </w:r>
      <w:r w:rsidR="00787933">
        <w:t xml:space="preserve">FCDP </w:t>
      </w:r>
      <w:r>
        <w:t xml:space="preserve">funded 30 </w:t>
      </w:r>
      <w:r w:rsidR="00787933">
        <w:t>such organisations</w:t>
      </w:r>
      <w:r>
        <w:t xml:space="preserve"> reaching approximately 29</w:t>
      </w:r>
      <w:r w:rsidR="00F604DD">
        <w:t>,</w:t>
      </w:r>
      <w:r>
        <w:t xml:space="preserve">000 beneficiaries. This included nine transitioning from </w:t>
      </w:r>
      <w:r w:rsidR="00644802">
        <w:t>the</w:t>
      </w:r>
      <w:r>
        <w:t xml:space="preserve"> previous</w:t>
      </w:r>
      <w:r w:rsidR="00787933">
        <w:t xml:space="preserve"> </w:t>
      </w:r>
      <w:r>
        <w:t>Australian Civil Society Support Program</w:t>
      </w:r>
      <w:r w:rsidR="00644802">
        <w:t xml:space="preserve"> operating in Fiji</w:t>
      </w:r>
      <w:r>
        <w:t xml:space="preserve">. </w:t>
      </w:r>
    </w:p>
    <w:p w14:paraId="3DDD5B9E" w14:textId="1013E1FE" w:rsidR="00655D73" w:rsidRDefault="00655D73" w:rsidP="00B92DD0">
      <w:pPr>
        <w:pStyle w:val="BodyText"/>
      </w:pPr>
      <w:r>
        <w:rPr>
          <w:noProof/>
        </w:rPr>
        <w:t xml:space="preserve">FCDP </w:t>
      </w:r>
      <w:r w:rsidR="00787933">
        <w:rPr>
          <w:noProof/>
        </w:rPr>
        <w:t>was</w:t>
      </w:r>
      <w:r>
        <w:rPr>
          <w:noProof/>
        </w:rPr>
        <w:t xml:space="preserve"> designed to be flexible. It was</w:t>
      </w:r>
      <w:r w:rsidR="00787933">
        <w:rPr>
          <w:noProof/>
        </w:rPr>
        <w:t>, for example,</w:t>
      </w:r>
      <w:r>
        <w:rPr>
          <w:noProof/>
        </w:rPr>
        <w:t xml:space="preserve"> successfully used by the Fiji </w:t>
      </w:r>
      <w:r w:rsidR="00786A00">
        <w:rPr>
          <w:noProof/>
        </w:rPr>
        <w:t>p</w:t>
      </w:r>
      <w:r>
        <w:rPr>
          <w:noProof/>
        </w:rPr>
        <w:t>rogram to channel funding to eight CSOs following Tropical Cyclone Evan in December 2012, assisting 13</w:t>
      </w:r>
      <w:r w:rsidR="00F604DD">
        <w:rPr>
          <w:noProof/>
        </w:rPr>
        <w:t>,</w:t>
      </w:r>
      <w:r>
        <w:rPr>
          <w:noProof/>
        </w:rPr>
        <w:t xml:space="preserve">500 people. </w:t>
      </w:r>
      <w:r>
        <w:t>This assistance included</w:t>
      </w:r>
      <w:r w:rsidR="00787933">
        <w:t xml:space="preserve"> providing</w:t>
      </w:r>
      <w:r>
        <w:t xml:space="preserve"> emergency food packs, water tanks and school packs.</w:t>
      </w:r>
    </w:p>
    <w:p w14:paraId="3DDD5B9F" w14:textId="77777777" w:rsidR="004D4186" w:rsidRDefault="00655D73" w:rsidP="00B92DD0">
      <w:pPr>
        <w:pStyle w:val="BodyText"/>
      </w:pPr>
      <w:r>
        <w:t>Given the newness of FCDP, disaggregated gender data is not yet available for all grant awardees and intended recipients. FCDP has incorporated gender across all of its activities and has an equity and inclusion strategy.</w:t>
      </w:r>
      <w:r w:rsidR="005412DD" w:rsidRPr="005412DD">
        <w:t xml:space="preserve"> </w:t>
      </w:r>
      <w:r w:rsidR="00C37CD9">
        <w:rPr>
          <w:rFonts w:cstheme="minorHAnsi"/>
        </w:rPr>
        <w:t>I</w:t>
      </w:r>
      <w:r w:rsidR="00C37CD9">
        <w:t xml:space="preserve">t has developed a Monitoring </w:t>
      </w:r>
      <w:r w:rsidR="006734C8">
        <w:t>and</w:t>
      </w:r>
      <w:r w:rsidR="00C37CD9">
        <w:t xml:space="preserve"> Evaluation and Learning Framework to monitor progress. </w:t>
      </w:r>
      <w:r w:rsidR="005412DD">
        <w:t xml:space="preserve">The </w:t>
      </w:r>
      <w:r w:rsidR="005A3D7E">
        <w:t xml:space="preserve">framework </w:t>
      </w:r>
      <w:r w:rsidR="005412DD">
        <w:t xml:space="preserve">will include </w:t>
      </w:r>
      <w:r w:rsidR="0098023F">
        <w:t>gender</w:t>
      </w:r>
      <w:r w:rsidR="005412DD">
        <w:t xml:space="preserve"> disaggregated data</w:t>
      </w:r>
      <w:r w:rsidR="00AD2C60">
        <w:t xml:space="preserve">. </w:t>
      </w:r>
    </w:p>
    <w:p w14:paraId="3DDD5BA0" w14:textId="77777777" w:rsidR="005A3D7E" w:rsidRDefault="004D4186" w:rsidP="00B92DD0">
      <w:pPr>
        <w:pStyle w:val="BodyText"/>
      </w:pPr>
      <w:r>
        <w:t>Disabled</w:t>
      </w:r>
      <w:r w:rsidR="00655D73">
        <w:t xml:space="preserve"> People’s Organisations have been involved with the FCDP since its inception. </w:t>
      </w:r>
    </w:p>
    <w:p w14:paraId="3DDD5BA1" w14:textId="77777777" w:rsidR="00655D73" w:rsidRPr="00C37CD9" w:rsidRDefault="006D4BF9" w:rsidP="00B92DD0">
      <w:pPr>
        <w:pStyle w:val="BodyText"/>
        <w:rPr>
          <w:rFonts w:cstheme="minorHAnsi"/>
        </w:rPr>
      </w:pPr>
      <w:r>
        <w:t xml:space="preserve">Volunteers play an important role across the CREO program and contribute to FCDP’s goal to deliver social and economic benefits through strengthened </w:t>
      </w:r>
      <w:r w:rsidR="00644802">
        <w:t>CSOs</w:t>
      </w:r>
      <w:r>
        <w:t xml:space="preserve">. </w:t>
      </w:r>
      <w:r w:rsidR="00644802">
        <w:t>Forty-two</w:t>
      </w:r>
      <w:r w:rsidR="00655D73">
        <w:t xml:space="preserve"> Australian volunteers</w:t>
      </w:r>
      <w:r w:rsidR="00644802">
        <w:t xml:space="preserve"> were</w:t>
      </w:r>
      <w:r w:rsidR="00655D73">
        <w:t xml:space="preserve"> working with CSOs from January 2012 to June 2013. CREO will </w:t>
      </w:r>
      <w:r w:rsidR="00EB6655">
        <w:t xml:space="preserve">soon </w:t>
      </w:r>
      <w:r w:rsidR="00655D73">
        <w:t xml:space="preserve">surpass its target of 50 volunteers by 2016. </w:t>
      </w:r>
    </w:p>
    <w:p w14:paraId="3DDD5BA2" w14:textId="13AE4DEC" w:rsidR="00655D73" w:rsidRDefault="00655D73" w:rsidP="00B92DD0">
      <w:pPr>
        <w:pStyle w:val="BodyText"/>
      </w:pPr>
      <w:r>
        <w:t xml:space="preserve">Objective </w:t>
      </w:r>
      <w:r w:rsidR="00BB5B24">
        <w:t>3</w:t>
      </w:r>
      <w:r>
        <w:t xml:space="preserve"> also includes activities funded through the Human Rights Grant Scheme, Eliminating Violence Against Women </w:t>
      </w:r>
      <w:r w:rsidR="00EB5716">
        <w:t xml:space="preserve">Initiative </w:t>
      </w:r>
      <w:r>
        <w:t xml:space="preserve">and the International Climate Change Initiative. </w:t>
      </w:r>
    </w:p>
    <w:p w14:paraId="3DDD5BA3" w14:textId="6110569B" w:rsidR="00655D73" w:rsidRDefault="00655D73" w:rsidP="00B92DD0">
      <w:pPr>
        <w:pStyle w:val="BodyText"/>
      </w:pPr>
      <w:r>
        <w:t xml:space="preserve">In 2012, the </w:t>
      </w:r>
      <w:r w:rsidR="005A3D7E">
        <w:t xml:space="preserve">Human Rights Grant Scheme </w:t>
      </w:r>
      <w:r>
        <w:t>to the Citizens’ Constitution Forum focused on civic education, human rights and democratisation process. In 2012, 1</w:t>
      </w:r>
      <w:r w:rsidR="00F604DD">
        <w:t>,</w:t>
      </w:r>
      <w:r>
        <w:t>200 submissions of the 7</w:t>
      </w:r>
      <w:r w:rsidR="00F604DD">
        <w:t>,</w:t>
      </w:r>
      <w:r>
        <w:t xml:space="preserve">000 (17 per cent) made to the Constitution Commission (tasked with drafting </w:t>
      </w:r>
      <w:r w:rsidR="005A3D7E">
        <w:t xml:space="preserve">Fiji’s </w:t>
      </w:r>
      <w:r>
        <w:t xml:space="preserve">original draft Constitution) came from </w:t>
      </w:r>
      <w:r w:rsidR="005A3D7E">
        <w:t xml:space="preserve">forum </w:t>
      </w:r>
      <w:r>
        <w:t>workshops.</w:t>
      </w:r>
      <w:r>
        <w:rPr>
          <w:rStyle w:val="FootnoteReference"/>
          <w:szCs w:val="16"/>
        </w:rPr>
        <w:footnoteReference w:id="63"/>
      </w:r>
    </w:p>
    <w:p w14:paraId="3DDD5BA4" w14:textId="65D17EF3" w:rsidR="00655D73" w:rsidRDefault="00655D73" w:rsidP="00B92DD0">
      <w:pPr>
        <w:pStyle w:val="BodyText"/>
      </w:pPr>
      <w:r>
        <w:t xml:space="preserve">On </w:t>
      </w:r>
      <w:r w:rsidR="005A3D7E">
        <w:t>Eliminating Violence Against Women,</w:t>
      </w:r>
      <w:r>
        <w:t xml:space="preserve"> </w:t>
      </w:r>
      <w:r w:rsidR="00701698">
        <w:t>Australia</w:t>
      </w:r>
      <w:r>
        <w:t xml:space="preserve"> funded three Salvation Army family care centres in three divisions</w:t>
      </w:r>
      <w:r w:rsidR="005A3D7E">
        <w:t xml:space="preserve"> in 2012</w:t>
      </w:r>
      <w:r w:rsidR="000448E9">
        <w:t>, providing</w:t>
      </w:r>
      <w:r>
        <w:t xml:space="preserve"> shelter to 131 women who would otherwise have had little or no chance of finding crisis support</w:t>
      </w:r>
      <w:r w:rsidR="00AD2C60">
        <w:t xml:space="preserve">. </w:t>
      </w:r>
      <w:r w:rsidR="00701698">
        <w:t>Australia</w:t>
      </w:r>
      <w:r w:rsidR="000448E9">
        <w:t xml:space="preserve"> </w:t>
      </w:r>
      <w:r>
        <w:t>also contributed core funding (90 per cent) to Empower Pacific to provide health, HIV and crisis counselling to 16</w:t>
      </w:r>
      <w:r w:rsidR="00F604DD">
        <w:t>,</w:t>
      </w:r>
      <w:r>
        <w:t xml:space="preserve">864 women in </w:t>
      </w:r>
      <w:r w:rsidR="005A3D7E">
        <w:t>four</w:t>
      </w:r>
      <w:r>
        <w:t xml:space="preserve"> antenatal clinics around Fiji</w:t>
      </w:r>
      <w:r w:rsidR="00D13D44">
        <w:t>.</w:t>
      </w:r>
      <w:r>
        <w:rPr>
          <w:rStyle w:val="FootnoteReference"/>
        </w:rPr>
        <w:footnoteReference w:id="64"/>
      </w:r>
    </w:p>
    <w:p w14:paraId="3DDD5BA6" w14:textId="77777777" w:rsidR="00655D73" w:rsidRDefault="00655D73" w:rsidP="00B92DD0">
      <w:pPr>
        <w:pStyle w:val="Heading4"/>
      </w:pPr>
      <w:r w:rsidRPr="00105972">
        <w:t>Cross</w:t>
      </w:r>
      <w:r w:rsidR="00657B4A">
        <w:t>c</w:t>
      </w:r>
      <w:r w:rsidRPr="00105972">
        <w:t>utting</w:t>
      </w:r>
      <w:r w:rsidR="00657B4A">
        <w:t xml:space="preserve"> issues</w:t>
      </w:r>
    </w:p>
    <w:p w14:paraId="3DDD5BA7" w14:textId="77777777" w:rsidR="00C51FC1" w:rsidRPr="00105972" w:rsidRDefault="00C51FC1" w:rsidP="00B92DD0">
      <w:pPr>
        <w:pStyle w:val="BodyText"/>
      </w:pPr>
      <w:r>
        <w:t xml:space="preserve">Many crosscutting priorities were identified in the Fiji Country Strategy 2012–14 and are reported on here. Covered are transition to democracy, scholarships, the </w:t>
      </w:r>
      <w:r w:rsidRPr="00105972">
        <w:t>Australian Pacific Technical College</w:t>
      </w:r>
      <w:r>
        <w:t>, visibility of the Australian aid program, h</w:t>
      </w:r>
      <w:r w:rsidRPr="00105972">
        <w:t xml:space="preserve">umanitarian </w:t>
      </w:r>
      <w:r>
        <w:t>e</w:t>
      </w:r>
      <w:r w:rsidRPr="00105972">
        <w:t xml:space="preserve">mergencies and </w:t>
      </w:r>
      <w:r>
        <w:t>disasters,</w:t>
      </w:r>
      <w:r w:rsidR="00D9700A">
        <w:t xml:space="preserve"> </w:t>
      </w:r>
      <w:r>
        <w:t>climate change, disability, gender, child protection and volunteers.</w:t>
      </w:r>
    </w:p>
    <w:p w14:paraId="3DDD5BA8" w14:textId="77777777" w:rsidR="00655D73" w:rsidRPr="00105972" w:rsidRDefault="00655D73" w:rsidP="00B92DD0">
      <w:pPr>
        <w:pStyle w:val="Heading4"/>
      </w:pPr>
      <w:r w:rsidRPr="00105972">
        <w:t xml:space="preserve">Transition to </w:t>
      </w:r>
      <w:r w:rsidR="00657B4A">
        <w:t>d</w:t>
      </w:r>
      <w:r w:rsidRPr="00105972">
        <w:t>emocracy</w:t>
      </w:r>
    </w:p>
    <w:p w14:paraId="3DDD5BA9" w14:textId="77777777" w:rsidR="00655D73" w:rsidRPr="00105972" w:rsidRDefault="00C51FC1" w:rsidP="00B92DD0">
      <w:pPr>
        <w:pStyle w:val="BodyText"/>
      </w:pPr>
      <w:r>
        <w:t>T</w:t>
      </w:r>
      <w:r w:rsidR="00655D73">
        <w:t>ransition to d</w:t>
      </w:r>
      <w:r w:rsidR="00655D73" w:rsidRPr="00105972">
        <w:t>emocracy activities increased in 2012</w:t>
      </w:r>
      <w:r>
        <w:t>–</w:t>
      </w:r>
      <w:r w:rsidR="00655D73" w:rsidRPr="00105972">
        <w:t xml:space="preserve">13. This complements Australia’s ongoing commitment to support Fiji’s return to democracy and the rule of law. </w:t>
      </w:r>
    </w:p>
    <w:p w14:paraId="3DDD5BAA" w14:textId="77777777" w:rsidR="00655D73" w:rsidRPr="00105972" w:rsidRDefault="00655D73" w:rsidP="00B92DD0">
      <w:pPr>
        <w:pStyle w:val="BodyText"/>
        <w:rPr>
          <w:bCs/>
        </w:rPr>
      </w:pPr>
      <w:r w:rsidRPr="00105972">
        <w:lastRenderedPageBreak/>
        <w:t xml:space="preserve">Australia provided support to the </w:t>
      </w:r>
      <w:r w:rsidRPr="00105972">
        <w:rPr>
          <w:bCs/>
        </w:rPr>
        <w:t xml:space="preserve">Fiji Elections Office ($1.3 million) to conduct electronic voter registration; the Constitution Commission ($630,000) to conduct community consultations around Fiji’s draft constitution; and </w:t>
      </w:r>
      <w:r w:rsidR="00C51FC1">
        <w:rPr>
          <w:bCs/>
        </w:rPr>
        <w:t>the</w:t>
      </w:r>
      <w:r w:rsidR="0036770A">
        <w:rPr>
          <w:bCs/>
        </w:rPr>
        <w:t xml:space="preserve"> </w:t>
      </w:r>
      <w:r w:rsidR="00C51FC1">
        <w:rPr>
          <w:bCs/>
        </w:rPr>
        <w:t xml:space="preserve">UNDP </w:t>
      </w:r>
      <w:r w:rsidRPr="00330206">
        <w:rPr>
          <w:bCs/>
        </w:rPr>
        <w:t>Strengthening Capacities for Peace and Development</w:t>
      </w:r>
      <w:r w:rsidRPr="00105972">
        <w:rPr>
          <w:bCs/>
        </w:rPr>
        <w:t xml:space="preserve"> </w:t>
      </w:r>
      <w:r w:rsidR="00C51FC1">
        <w:rPr>
          <w:bCs/>
        </w:rPr>
        <w:t xml:space="preserve">program </w:t>
      </w:r>
      <w:r w:rsidRPr="00105972">
        <w:rPr>
          <w:bCs/>
        </w:rPr>
        <w:t xml:space="preserve">($620,000) </w:t>
      </w:r>
      <w:r w:rsidRPr="00105972">
        <w:t>for community-based organisations to conduct workshops on the constitutional development process</w:t>
      </w:r>
      <w:r w:rsidRPr="00105972">
        <w:rPr>
          <w:bCs/>
        </w:rPr>
        <w:t>.</w:t>
      </w:r>
    </w:p>
    <w:p w14:paraId="3DDD5BAB" w14:textId="1B0EBF10" w:rsidR="00401D11" w:rsidRPr="0051525E" w:rsidRDefault="00655D73" w:rsidP="00B92DD0">
      <w:pPr>
        <w:pStyle w:val="BodyText"/>
      </w:pPr>
      <w:r w:rsidRPr="00105972">
        <w:rPr>
          <w:bCs/>
        </w:rPr>
        <w:t xml:space="preserve">Support to the </w:t>
      </w:r>
      <w:r w:rsidR="00C51FC1">
        <w:rPr>
          <w:bCs/>
        </w:rPr>
        <w:t>Fiji Elections Office</w:t>
      </w:r>
      <w:r w:rsidRPr="00105972">
        <w:rPr>
          <w:bCs/>
        </w:rPr>
        <w:t xml:space="preserve"> also included </w:t>
      </w:r>
      <w:r w:rsidR="009953E4">
        <w:rPr>
          <w:bCs/>
        </w:rPr>
        <w:t>dispatching</w:t>
      </w:r>
      <w:r w:rsidR="00C51FC1">
        <w:rPr>
          <w:bCs/>
        </w:rPr>
        <w:t xml:space="preserve"> </w:t>
      </w:r>
      <w:r w:rsidRPr="00105972">
        <w:rPr>
          <w:bCs/>
        </w:rPr>
        <w:t>three Australian Civilian Corps personnel to assist with planning, human resources and payroll. Australia</w:t>
      </w:r>
      <w:r>
        <w:rPr>
          <w:bCs/>
        </w:rPr>
        <w:t>n</w:t>
      </w:r>
      <w:r w:rsidRPr="00105972">
        <w:rPr>
          <w:bCs/>
        </w:rPr>
        <w:t xml:space="preserve"> assistance was deployed effectivel</w:t>
      </w:r>
      <w:r w:rsidR="00C37CD9">
        <w:rPr>
          <w:bCs/>
        </w:rPr>
        <w:t>y and efficiently</w:t>
      </w:r>
      <w:r w:rsidR="00C51FC1">
        <w:rPr>
          <w:bCs/>
        </w:rPr>
        <w:t>,</w:t>
      </w:r>
      <w:r w:rsidR="00C37CD9">
        <w:rPr>
          <w:bCs/>
        </w:rPr>
        <w:t xml:space="preserve"> ensuring tight</w:t>
      </w:r>
      <w:r w:rsidRPr="00105972">
        <w:rPr>
          <w:bCs/>
        </w:rPr>
        <w:t xml:space="preserve"> timelines were met. T</w:t>
      </w:r>
      <w:r w:rsidR="00C51FC1">
        <w:rPr>
          <w:bCs/>
        </w:rPr>
        <w:t xml:space="preserve">he aid program </w:t>
      </w:r>
      <w:r w:rsidR="00C51FC1" w:rsidRPr="00184665">
        <w:t>facilitated the recruitment of 1</w:t>
      </w:r>
      <w:r w:rsidR="00F604DD">
        <w:t>,</w:t>
      </w:r>
      <w:r w:rsidR="00C51FC1" w:rsidRPr="00184665">
        <w:t>000 elec</w:t>
      </w:r>
      <w:r w:rsidR="00C51FC1">
        <w:t xml:space="preserve">toral clerks to administer the electronic voter registration process, most of whom were women </w:t>
      </w:r>
      <w:r w:rsidR="00D9700A">
        <w:t>(f</w:t>
      </w:r>
      <w:r w:rsidR="00C51FC1">
        <w:t>or many</w:t>
      </w:r>
      <w:r w:rsidR="00D9700A">
        <w:t>,</w:t>
      </w:r>
      <w:r w:rsidR="00C51FC1">
        <w:t xml:space="preserve"> this was their first paid job</w:t>
      </w:r>
      <w:r w:rsidR="00D9700A">
        <w:t>)</w:t>
      </w:r>
      <w:r w:rsidR="00C51FC1">
        <w:t>. T</w:t>
      </w:r>
      <w:r w:rsidRPr="00105972">
        <w:rPr>
          <w:bCs/>
        </w:rPr>
        <w:t xml:space="preserve">he response to voter registration was </w:t>
      </w:r>
      <w:r w:rsidR="00C51FC1">
        <w:rPr>
          <w:bCs/>
        </w:rPr>
        <w:t>positive</w:t>
      </w:r>
      <w:r w:rsidR="00C51FC1" w:rsidRPr="00105972">
        <w:rPr>
          <w:bCs/>
        </w:rPr>
        <w:t xml:space="preserve"> </w:t>
      </w:r>
      <w:r w:rsidRPr="00105972">
        <w:rPr>
          <w:bCs/>
        </w:rPr>
        <w:t xml:space="preserve">with </w:t>
      </w:r>
      <w:r w:rsidR="00C51FC1">
        <w:rPr>
          <w:bCs/>
        </w:rPr>
        <w:t xml:space="preserve">more than </w:t>
      </w:r>
      <w:r w:rsidRPr="00105972">
        <w:rPr>
          <w:bCs/>
        </w:rPr>
        <w:t>500</w:t>
      </w:r>
      <w:r w:rsidR="00F604DD">
        <w:rPr>
          <w:bCs/>
        </w:rPr>
        <w:t>,</w:t>
      </w:r>
      <w:r w:rsidRPr="00105972">
        <w:rPr>
          <w:bCs/>
        </w:rPr>
        <w:t>000 out of 600</w:t>
      </w:r>
      <w:r w:rsidR="00F604DD">
        <w:rPr>
          <w:bCs/>
        </w:rPr>
        <w:t>,</w:t>
      </w:r>
      <w:r w:rsidRPr="00105972">
        <w:rPr>
          <w:bCs/>
        </w:rPr>
        <w:t xml:space="preserve">000 potential voters registering. </w:t>
      </w:r>
      <w:r>
        <w:rPr>
          <w:bCs/>
        </w:rPr>
        <w:t>T</w:t>
      </w:r>
      <w:r w:rsidRPr="00105972">
        <w:rPr>
          <w:bCs/>
        </w:rPr>
        <w:t xml:space="preserve">his result would </w:t>
      </w:r>
      <w:r>
        <w:rPr>
          <w:bCs/>
        </w:rPr>
        <w:t>not have been achieved without Australian support</w:t>
      </w:r>
      <w:r w:rsidR="00C51FC1">
        <w:rPr>
          <w:bCs/>
        </w:rPr>
        <w:t>.</w:t>
      </w:r>
      <w:r>
        <w:rPr>
          <w:bCs/>
        </w:rPr>
        <w:t xml:space="preserve"> </w:t>
      </w:r>
      <w:r>
        <w:t>Support to</w:t>
      </w:r>
      <w:r w:rsidRPr="00105972">
        <w:t xml:space="preserve"> the Constitution Commission was for some </w:t>
      </w:r>
      <w:r w:rsidRPr="00105972">
        <w:rPr>
          <w:bCs/>
        </w:rPr>
        <w:t xml:space="preserve">salaries, travel, office equipment and </w:t>
      </w:r>
      <w:r w:rsidR="00C51FC1">
        <w:rPr>
          <w:bCs/>
        </w:rPr>
        <w:t xml:space="preserve">the development of </w:t>
      </w:r>
      <w:r w:rsidRPr="00105972">
        <w:rPr>
          <w:bCs/>
        </w:rPr>
        <w:t>a communications strategy. The Commission travelled widely through Fiji between August</w:t>
      </w:r>
      <w:r w:rsidR="00C51FC1">
        <w:rPr>
          <w:bCs/>
        </w:rPr>
        <w:t xml:space="preserve"> and </w:t>
      </w:r>
      <w:r w:rsidRPr="00105972">
        <w:rPr>
          <w:bCs/>
        </w:rPr>
        <w:t>October</w:t>
      </w:r>
      <w:r>
        <w:rPr>
          <w:bCs/>
        </w:rPr>
        <w:t xml:space="preserve"> 2012 and </w:t>
      </w:r>
      <w:r w:rsidRPr="00105972">
        <w:rPr>
          <w:bCs/>
        </w:rPr>
        <w:t>received 7</w:t>
      </w:r>
      <w:r w:rsidR="00F604DD">
        <w:rPr>
          <w:bCs/>
        </w:rPr>
        <w:t>,</w:t>
      </w:r>
      <w:r w:rsidRPr="00105972">
        <w:rPr>
          <w:bCs/>
        </w:rPr>
        <w:t>000 submissions. This</w:t>
      </w:r>
      <w:r w:rsidR="00C51FC1">
        <w:rPr>
          <w:bCs/>
        </w:rPr>
        <w:t xml:space="preserve"> is a huge increase over</w:t>
      </w:r>
      <w:r w:rsidRPr="00105972">
        <w:rPr>
          <w:bCs/>
        </w:rPr>
        <w:t xml:space="preserve"> the 200 submissions received by the previous Constitution Review Commission in 1997</w:t>
      </w:r>
      <w:r w:rsidRPr="0051525E">
        <w:rPr>
          <w:bCs/>
        </w:rPr>
        <w:t xml:space="preserve">. </w:t>
      </w:r>
      <w:r w:rsidR="0051525E">
        <w:t>Despite</w:t>
      </w:r>
      <w:r w:rsidRPr="0051525E">
        <w:t xml:space="preserve"> the Fiji </w:t>
      </w:r>
      <w:r w:rsidR="00330206">
        <w:t>G</w:t>
      </w:r>
      <w:r w:rsidRPr="0051525E">
        <w:t xml:space="preserve">overnment </w:t>
      </w:r>
      <w:r w:rsidR="0049183C" w:rsidRPr="0051525E">
        <w:t>reject</w:t>
      </w:r>
      <w:r w:rsidR="0051525E">
        <w:t>ing</w:t>
      </w:r>
      <w:r w:rsidRPr="0051525E">
        <w:t xml:space="preserve"> the Commission’s draft constitution</w:t>
      </w:r>
      <w:r w:rsidR="0049183C" w:rsidRPr="0051525E">
        <w:t xml:space="preserve"> in December 2012</w:t>
      </w:r>
      <w:r w:rsidR="0051525E">
        <w:t xml:space="preserve">, </w:t>
      </w:r>
      <w:r w:rsidR="00595482" w:rsidRPr="0051525E">
        <w:t>the</w:t>
      </w:r>
      <w:r w:rsidR="00595482" w:rsidRPr="0051525E">
        <w:rPr>
          <w:bCs/>
        </w:rPr>
        <w:t xml:space="preserve"> </w:t>
      </w:r>
      <w:r w:rsidR="00595482" w:rsidRPr="0051525E">
        <w:t xml:space="preserve">consultation process </w:t>
      </w:r>
      <w:r w:rsidR="00C51FC1">
        <w:t>gave</w:t>
      </w:r>
      <w:r w:rsidR="00595482" w:rsidRPr="0051525E">
        <w:t xml:space="preserve"> </w:t>
      </w:r>
      <w:r w:rsidR="000448E9">
        <w:t xml:space="preserve">the </w:t>
      </w:r>
      <w:r w:rsidR="00595482" w:rsidRPr="0051525E">
        <w:t xml:space="preserve">people the opportunity to voice their opinions and raised awareness of </w:t>
      </w:r>
      <w:r w:rsidR="0022703C" w:rsidRPr="0051525E">
        <w:t>the Constitution</w:t>
      </w:r>
      <w:r w:rsidR="00EB6655" w:rsidRPr="0051525E">
        <w:t xml:space="preserve"> and </w:t>
      </w:r>
      <w:r w:rsidR="0051525E">
        <w:t>transitional process.</w:t>
      </w:r>
      <w:r w:rsidR="00595482" w:rsidRPr="0051525E">
        <w:t xml:space="preserve"> </w:t>
      </w:r>
    </w:p>
    <w:p w14:paraId="3DDD5BAC" w14:textId="4B638DB1" w:rsidR="00655D73" w:rsidRDefault="00655D73" w:rsidP="00B92DD0">
      <w:pPr>
        <w:pStyle w:val="BodyText"/>
        <w:rPr>
          <w:bCs/>
        </w:rPr>
      </w:pPr>
      <w:r w:rsidRPr="0051525E">
        <w:t xml:space="preserve">Civic education is key </w:t>
      </w:r>
      <w:r w:rsidR="00C51FC1">
        <w:t>to</w:t>
      </w:r>
      <w:r w:rsidRPr="00105972">
        <w:t xml:space="preserve"> constitution making</w:t>
      </w:r>
      <w:r w:rsidR="00D13D44">
        <w:t>.</w:t>
      </w:r>
      <w:r w:rsidRPr="008A3E96">
        <w:rPr>
          <w:rStyle w:val="FootnoteReference"/>
          <w:szCs w:val="16"/>
        </w:rPr>
        <w:footnoteReference w:id="65"/>
      </w:r>
      <w:r w:rsidR="00D13D44">
        <w:rPr>
          <w:sz w:val="16"/>
          <w:szCs w:val="16"/>
        </w:rPr>
        <w:t xml:space="preserve"> </w:t>
      </w:r>
      <w:r w:rsidRPr="00105972">
        <w:t>As a result</w:t>
      </w:r>
      <w:r w:rsidR="000448E9">
        <w:t>,</w:t>
      </w:r>
      <w:r w:rsidRPr="00105972">
        <w:t xml:space="preserve"> the Fiji</w:t>
      </w:r>
      <w:r w:rsidR="00786A00">
        <w:t xml:space="preserve"> p</w:t>
      </w:r>
      <w:r w:rsidRPr="00105972">
        <w:t xml:space="preserve">rogram co-funded </w:t>
      </w:r>
      <w:r w:rsidRPr="00330206">
        <w:rPr>
          <w:bCs/>
        </w:rPr>
        <w:t>Strengthening Capacities for Peace and Development</w:t>
      </w:r>
      <w:r>
        <w:rPr>
          <w:bCs/>
        </w:rPr>
        <w:t xml:space="preserve">. </w:t>
      </w:r>
      <w:r w:rsidR="00C51FC1">
        <w:rPr>
          <w:bCs/>
        </w:rPr>
        <w:t>The program</w:t>
      </w:r>
      <w:r w:rsidR="000448E9">
        <w:rPr>
          <w:bCs/>
        </w:rPr>
        <w:t>, in turn,</w:t>
      </w:r>
      <w:r w:rsidR="00C51FC1" w:rsidRPr="00105972">
        <w:rPr>
          <w:bCs/>
        </w:rPr>
        <w:t xml:space="preserve"> </w:t>
      </w:r>
      <w:r w:rsidRPr="00105972">
        <w:rPr>
          <w:bCs/>
        </w:rPr>
        <w:t>co-fund</w:t>
      </w:r>
      <w:r w:rsidR="00C51FC1">
        <w:rPr>
          <w:bCs/>
        </w:rPr>
        <w:t>ed</w:t>
      </w:r>
      <w:r w:rsidRPr="00105972">
        <w:rPr>
          <w:bCs/>
        </w:rPr>
        <w:t xml:space="preserve"> 119</w:t>
      </w:r>
      <w:r w:rsidRPr="00105972">
        <w:t xml:space="preserve"> community-based organisations to conduct workshops on the constitutional development process</w:t>
      </w:r>
      <w:r w:rsidRPr="00105972">
        <w:rPr>
          <w:bCs/>
        </w:rPr>
        <w:t xml:space="preserve">. This </w:t>
      </w:r>
      <w:r w:rsidR="00595482">
        <w:rPr>
          <w:bCs/>
        </w:rPr>
        <w:t xml:space="preserve">facilitated </w:t>
      </w:r>
      <w:r w:rsidRPr="00105972">
        <w:rPr>
          <w:bCs/>
        </w:rPr>
        <w:t>the preparation of some 4</w:t>
      </w:r>
      <w:r w:rsidR="00F604DD">
        <w:rPr>
          <w:bCs/>
        </w:rPr>
        <w:t>,</w:t>
      </w:r>
      <w:r w:rsidRPr="00105972">
        <w:rPr>
          <w:bCs/>
        </w:rPr>
        <w:t xml:space="preserve">000 </w:t>
      </w:r>
      <w:r w:rsidR="00A01855">
        <w:rPr>
          <w:bCs/>
        </w:rPr>
        <w:t xml:space="preserve">public </w:t>
      </w:r>
      <w:r w:rsidRPr="00105972">
        <w:rPr>
          <w:bCs/>
        </w:rPr>
        <w:t>submissions</w:t>
      </w:r>
      <w:r w:rsidR="00A01855">
        <w:rPr>
          <w:bCs/>
        </w:rPr>
        <w:t>—</w:t>
      </w:r>
      <w:r w:rsidRPr="00105972">
        <w:rPr>
          <w:bCs/>
        </w:rPr>
        <w:t>57 per cent of the total number. Th</w:t>
      </w:r>
      <w:r w:rsidR="00A01855">
        <w:rPr>
          <w:bCs/>
        </w:rPr>
        <w:t>is</w:t>
      </w:r>
      <w:r w:rsidRPr="00105972">
        <w:rPr>
          <w:bCs/>
        </w:rPr>
        <w:t xml:space="preserve"> high number is directly lin</w:t>
      </w:r>
      <w:r w:rsidR="0049183C">
        <w:rPr>
          <w:bCs/>
        </w:rPr>
        <w:t>ked to Australia’s support for civic e</w:t>
      </w:r>
      <w:r w:rsidRPr="00105972">
        <w:rPr>
          <w:bCs/>
        </w:rPr>
        <w:t>ducation activities.</w:t>
      </w:r>
    </w:p>
    <w:p w14:paraId="3DDD5BAD" w14:textId="77777777" w:rsidR="00655D73" w:rsidRPr="00B303B0" w:rsidRDefault="00655D73" w:rsidP="00B92DD0">
      <w:pPr>
        <w:pStyle w:val="BodyText"/>
        <w:rPr>
          <w:bCs/>
        </w:rPr>
      </w:pPr>
      <w:r w:rsidRPr="00105972">
        <w:rPr>
          <w:bCs/>
        </w:rPr>
        <w:t xml:space="preserve">Principles of gender equality were employed across the transition </w:t>
      </w:r>
      <w:r>
        <w:rPr>
          <w:bCs/>
        </w:rPr>
        <w:t>to democracy activities</w:t>
      </w:r>
      <w:r w:rsidR="00AD2C60">
        <w:rPr>
          <w:bCs/>
        </w:rPr>
        <w:t xml:space="preserve">. </w:t>
      </w:r>
      <w:r w:rsidRPr="00105972">
        <w:rPr>
          <w:bCs/>
        </w:rPr>
        <w:t>Reportedly 16.2 per cent of submissions</w:t>
      </w:r>
      <w:r>
        <w:rPr>
          <w:bCs/>
        </w:rPr>
        <w:t xml:space="preserve"> to the Constitution Commission</w:t>
      </w:r>
      <w:r w:rsidRPr="00105972">
        <w:rPr>
          <w:bCs/>
        </w:rPr>
        <w:t xml:space="preserve"> highlighted women’s rights</w:t>
      </w:r>
      <w:r w:rsidRPr="008A3E96">
        <w:rPr>
          <w:bCs/>
          <w:sz w:val="16"/>
          <w:szCs w:val="16"/>
        </w:rPr>
        <w:t>.</w:t>
      </w:r>
      <w:r w:rsidRPr="008A3E96">
        <w:rPr>
          <w:rStyle w:val="FootnoteReference"/>
          <w:bCs/>
          <w:szCs w:val="16"/>
        </w:rPr>
        <w:footnoteReference w:id="66"/>
      </w:r>
      <w:r w:rsidR="005D3A22">
        <w:rPr>
          <w:bCs/>
          <w:sz w:val="16"/>
          <w:szCs w:val="16"/>
        </w:rPr>
        <w:t xml:space="preserve"> </w:t>
      </w:r>
      <w:r w:rsidR="007F5A91">
        <w:rPr>
          <w:bCs/>
        </w:rPr>
        <w:t xml:space="preserve">As </w:t>
      </w:r>
      <w:r w:rsidR="00EF02D4" w:rsidRPr="00B303B0">
        <w:rPr>
          <w:bCs/>
        </w:rPr>
        <w:t xml:space="preserve">women represent 49 per cent of the voting population, the </w:t>
      </w:r>
      <w:r w:rsidR="005D3A22">
        <w:rPr>
          <w:bCs/>
        </w:rPr>
        <w:t>p</w:t>
      </w:r>
      <w:r w:rsidR="00EF02D4" w:rsidRPr="00B303B0">
        <w:rPr>
          <w:bCs/>
        </w:rPr>
        <w:t>rogram will continue to</w:t>
      </w:r>
      <w:r w:rsidR="00EF02D4">
        <w:rPr>
          <w:bCs/>
        </w:rPr>
        <w:t xml:space="preserve"> </w:t>
      </w:r>
      <w:r w:rsidR="00EF02D4" w:rsidRPr="00B303B0">
        <w:rPr>
          <w:bCs/>
        </w:rPr>
        <w:t>promote gender</w:t>
      </w:r>
      <w:r w:rsidR="00F4132A">
        <w:rPr>
          <w:bCs/>
        </w:rPr>
        <w:t>-</w:t>
      </w:r>
      <w:r w:rsidR="00EF02D4" w:rsidRPr="00B303B0">
        <w:rPr>
          <w:bCs/>
        </w:rPr>
        <w:t xml:space="preserve">inclusive practices </w:t>
      </w:r>
      <w:r w:rsidR="007F5A91">
        <w:rPr>
          <w:bCs/>
        </w:rPr>
        <w:t xml:space="preserve">across </w:t>
      </w:r>
      <w:r w:rsidR="00EF02D4" w:rsidRPr="00B303B0">
        <w:rPr>
          <w:bCs/>
        </w:rPr>
        <w:t>its transition to democracy activities</w:t>
      </w:r>
      <w:r w:rsidR="007F5A91">
        <w:rPr>
          <w:bCs/>
        </w:rPr>
        <w:t>. T</w:t>
      </w:r>
      <w:r w:rsidR="009F3D1B">
        <w:rPr>
          <w:bCs/>
        </w:rPr>
        <w:t xml:space="preserve">he </w:t>
      </w:r>
      <w:r w:rsidR="005D3A22">
        <w:rPr>
          <w:bCs/>
        </w:rPr>
        <w:t>p</w:t>
      </w:r>
      <w:r w:rsidR="009F3D1B">
        <w:rPr>
          <w:bCs/>
        </w:rPr>
        <w:t xml:space="preserve">rogram will </w:t>
      </w:r>
      <w:r w:rsidR="007F5A91">
        <w:rPr>
          <w:bCs/>
        </w:rPr>
        <w:t xml:space="preserve">also </w:t>
      </w:r>
      <w:r w:rsidR="009F3D1B">
        <w:rPr>
          <w:bCs/>
        </w:rPr>
        <w:t>n</w:t>
      </w:r>
      <w:r w:rsidR="007F5A91">
        <w:rPr>
          <w:bCs/>
        </w:rPr>
        <w:t>eed to consider how to better incorporate disability</w:t>
      </w:r>
      <w:r w:rsidR="00AD00A8">
        <w:rPr>
          <w:bCs/>
        </w:rPr>
        <w:t>-</w:t>
      </w:r>
      <w:r w:rsidR="007F5A91">
        <w:rPr>
          <w:bCs/>
        </w:rPr>
        <w:t xml:space="preserve">inclusive practices ahead of the planned </w:t>
      </w:r>
      <w:r w:rsidR="009F3D1B">
        <w:rPr>
          <w:bCs/>
        </w:rPr>
        <w:t>2014 elections.</w:t>
      </w:r>
    </w:p>
    <w:p w14:paraId="3DDD5BAE" w14:textId="77777777" w:rsidR="00655D73" w:rsidRPr="00105972" w:rsidRDefault="00655D73" w:rsidP="00B92DD0">
      <w:pPr>
        <w:pStyle w:val="Heading4"/>
      </w:pPr>
      <w:r w:rsidRPr="00105972">
        <w:t>Scholarships</w:t>
      </w:r>
    </w:p>
    <w:p w14:paraId="3DDD5BAF" w14:textId="77777777" w:rsidR="00655D73" w:rsidRPr="00105972" w:rsidRDefault="004C60A1" w:rsidP="00B92DD0">
      <w:pPr>
        <w:pStyle w:val="BodyText"/>
      </w:pPr>
      <w:r>
        <w:t xml:space="preserve">The </w:t>
      </w:r>
      <w:r w:rsidR="0022703C">
        <w:t>Scholarships</w:t>
      </w:r>
      <w:r>
        <w:t xml:space="preserve"> Program</w:t>
      </w:r>
      <w:r w:rsidR="00655D73" w:rsidRPr="00105972">
        <w:t xml:space="preserve"> for Fiji </w:t>
      </w:r>
      <w:r w:rsidR="00655D73">
        <w:t>citizens</w:t>
      </w:r>
      <w:r w:rsidR="00655D73" w:rsidRPr="00105972">
        <w:t xml:space="preserve"> to study in Australia ha</w:t>
      </w:r>
      <w:r w:rsidR="000448E9">
        <w:t>s</w:t>
      </w:r>
      <w:r w:rsidR="00655D73" w:rsidRPr="00105972">
        <w:t xml:space="preserve"> grown significantly over the last</w:t>
      </w:r>
      <w:r w:rsidR="00655D73">
        <w:t xml:space="preserve"> three years. This is aligned with the scale–up of the </w:t>
      </w:r>
      <w:r w:rsidR="00655D73" w:rsidRPr="00105972">
        <w:t>aid budget to Fiji to $3</w:t>
      </w:r>
      <w:r w:rsidR="00655D73">
        <w:t>7</w:t>
      </w:r>
      <w:r w:rsidR="00655D73" w:rsidRPr="00105972">
        <w:t xml:space="preserve"> million </w:t>
      </w:r>
      <w:r w:rsidR="00655D73">
        <w:t>in</w:t>
      </w:r>
      <w:r w:rsidR="00655D73" w:rsidRPr="00105972">
        <w:t xml:space="preserve"> 2013</w:t>
      </w:r>
      <w:r w:rsidR="005D3A22">
        <w:t>–</w:t>
      </w:r>
      <w:r w:rsidR="00655D73" w:rsidRPr="00105972">
        <w:t>14.</w:t>
      </w:r>
    </w:p>
    <w:p w14:paraId="3DDD5BB0" w14:textId="77777777" w:rsidR="00655D73" w:rsidRPr="00105972" w:rsidRDefault="00655D73" w:rsidP="00B92DD0">
      <w:pPr>
        <w:pStyle w:val="BodyText"/>
      </w:pPr>
      <w:r w:rsidRPr="00105972">
        <w:t>In 2012, 40 applicants were awarded Australian Development Scholarships and 50 in 2013. In 2012, the program met its target of providing 20</w:t>
      </w:r>
      <w:r w:rsidR="00D13D44">
        <w:t xml:space="preserve"> </w:t>
      </w:r>
      <w:r w:rsidRPr="00105972">
        <w:t>Australian Awards Pacific Scholarships (previously Australian Regional Development Scholarships) for Fij</w:t>
      </w:r>
      <w:r>
        <w:t>i</w:t>
      </w:r>
      <w:r w:rsidR="004C60A1">
        <w:t>.</w:t>
      </w:r>
      <w:r w:rsidR="00D13D44" w:rsidRPr="000D582C">
        <w:rPr>
          <w:rStyle w:val="FootnoteReference"/>
          <w:szCs w:val="16"/>
        </w:rPr>
        <w:footnoteReference w:id="67"/>
      </w:r>
      <w:r w:rsidRPr="00105972">
        <w:t xml:space="preserve"> Gender parity was achieved across these scholarships. Due to the budget reprioritisation, 30 of the 2013 scholarships were deferred to start in </w:t>
      </w:r>
      <w:r w:rsidR="004C60A1">
        <w:t>S</w:t>
      </w:r>
      <w:r w:rsidRPr="00105972">
        <w:t xml:space="preserve">emester 2. </w:t>
      </w:r>
    </w:p>
    <w:p w14:paraId="3DDD5BB1" w14:textId="77777777" w:rsidR="00655D73" w:rsidRPr="00105972" w:rsidRDefault="00655D73" w:rsidP="00B92DD0">
      <w:pPr>
        <w:pStyle w:val="BodyText"/>
      </w:pPr>
      <w:r w:rsidRPr="00105972">
        <w:t xml:space="preserve">In 2012, three Australian </w:t>
      </w:r>
      <w:r w:rsidR="004C60A1">
        <w:t>D</w:t>
      </w:r>
      <w:r w:rsidRPr="00105972">
        <w:t xml:space="preserve">evelopment </w:t>
      </w:r>
      <w:r w:rsidR="004C60A1">
        <w:t>S</w:t>
      </w:r>
      <w:r w:rsidRPr="00105972">
        <w:t xml:space="preserve">cholarships were awarded to </w:t>
      </w:r>
      <w:r>
        <w:t>applicants with a disability</w:t>
      </w:r>
      <w:r w:rsidRPr="00105972">
        <w:t xml:space="preserve"> (two males</w:t>
      </w:r>
      <w:r w:rsidR="004C60A1">
        <w:t xml:space="preserve"> and</w:t>
      </w:r>
      <w:r w:rsidRPr="00105972">
        <w:t xml:space="preserve"> one female). It is the first time since the 1990s that applicants </w:t>
      </w:r>
      <w:r>
        <w:t xml:space="preserve">with a disability from Fiji </w:t>
      </w:r>
      <w:r w:rsidRPr="00105972">
        <w:t xml:space="preserve">have been awarded </w:t>
      </w:r>
      <w:r w:rsidR="004C60A1">
        <w:t>s</w:t>
      </w:r>
      <w:r w:rsidRPr="00105972">
        <w:t>cholarships</w:t>
      </w:r>
      <w:r>
        <w:t>.</w:t>
      </w:r>
    </w:p>
    <w:p w14:paraId="3DDD5BB2" w14:textId="77777777" w:rsidR="00655D73" w:rsidRPr="00105972" w:rsidRDefault="00655D73" w:rsidP="00B92DD0">
      <w:pPr>
        <w:pStyle w:val="BodyText"/>
      </w:pPr>
      <w:r w:rsidRPr="00105972">
        <w:t xml:space="preserve">In 2012, the </w:t>
      </w:r>
      <w:r w:rsidR="004C60A1">
        <w:t>pr</w:t>
      </w:r>
      <w:r w:rsidRPr="00105972">
        <w:t>ogram</w:t>
      </w:r>
      <w:r>
        <w:t xml:space="preserve"> was better aligned</w:t>
      </w:r>
      <w:r w:rsidRPr="00105972">
        <w:t xml:space="preserve"> with Fiji </w:t>
      </w:r>
      <w:r w:rsidR="00786A00">
        <w:t>p</w:t>
      </w:r>
      <w:r w:rsidRPr="00105972">
        <w:t>rogram</w:t>
      </w:r>
      <w:r w:rsidR="000448E9">
        <w:t xml:space="preserve"> objectives</w:t>
      </w:r>
      <w:r w:rsidRPr="00105972">
        <w:t xml:space="preserve">. </w:t>
      </w:r>
      <w:r>
        <w:t xml:space="preserve">Areas of study that will benefit </w:t>
      </w:r>
      <w:r w:rsidR="00C21C20">
        <w:t>health, education and community resilience</w:t>
      </w:r>
      <w:r>
        <w:t xml:space="preserve"> were included in the </w:t>
      </w:r>
      <w:r w:rsidRPr="00105972">
        <w:t xml:space="preserve">priority list for </w:t>
      </w:r>
      <w:r w:rsidRPr="00105972">
        <w:lastRenderedPageBreak/>
        <w:t>upcoming rounds or had scholarships allocated to their needs. In 201</w:t>
      </w:r>
      <w:r>
        <w:t>3</w:t>
      </w:r>
      <w:r w:rsidRPr="00105972">
        <w:t xml:space="preserve">, the </w:t>
      </w:r>
      <w:r>
        <w:t>S</w:t>
      </w:r>
      <w:r w:rsidRPr="00105972">
        <w:t>cholarship</w:t>
      </w:r>
      <w:r>
        <w:t>s P</w:t>
      </w:r>
      <w:r w:rsidRPr="00105972">
        <w:t>rogram also increased its focus on po</w:t>
      </w:r>
      <w:r>
        <w:t xml:space="preserve">or communities by increasing </w:t>
      </w:r>
      <w:r w:rsidRPr="00105972">
        <w:t xml:space="preserve">public diplomacy activities in poorer areas. </w:t>
      </w:r>
    </w:p>
    <w:p w14:paraId="3DDD5BB3" w14:textId="77777777" w:rsidR="00655D73" w:rsidRPr="00105972" w:rsidRDefault="00655D73" w:rsidP="00B92DD0">
      <w:pPr>
        <w:pStyle w:val="BodyText"/>
      </w:pPr>
      <w:r w:rsidRPr="00105972">
        <w:t xml:space="preserve">Given the </w:t>
      </w:r>
      <w:r>
        <w:t xml:space="preserve">recent and rapid </w:t>
      </w:r>
      <w:r w:rsidRPr="00105972">
        <w:t>increase in scholarships awarded to Fiji,</w:t>
      </w:r>
      <w:r>
        <w:t xml:space="preserve"> the Scholarships P</w:t>
      </w:r>
      <w:r w:rsidRPr="00105972">
        <w:t>rogram has struggled</w:t>
      </w:r>
      <w:r>
        <w:t xml:space="preserve"> within current resources</w:t>
      </w:r>
      <w:r w:rsidRPr="00105972">
        <w:t xml:space="preserve"> to maintain an active </w:t>
      </w:r>
      <w:r>
        <w:t>A</w:t>
      </w:r>
      <w:r w:rsidRPr="00105972">
        <w:t xml:space="preserve">lumni </w:t>
      </w:r>
      <w:r>
        <w:t>A</w:t>
      </w:r>
      <w:r w:rsidRPr="00105972">
        <w:t>ssociation</w:t>
      </w:r>
      <w:r>
        <w:t>.</w:t>
      </w:r>
      <w:r w:rsidRPr="00105972">
        <w:t xml:space="preserve"> </w:t>
      </w:r>
      <w:r>
        <w:t xml:space="preserve">The </w:t>
      </w:r>
      <w:r w:rsidR="004C60A1">
        <w:t>p</w:t>
      </w:r>
      <w:r>
        <w:t xml:space="preserve">rogram </w:t>
      </w:r>
      <w:r w:rsidRPr="00105972">
        <w:t xml:space="preserve">is investigating options to more efficiently manage the </w:t>
      </w:r>
      <w:r>
        <w:t>Association</w:t>
      </w:r>
      <w:r w:rsidR="00AD2C60">
        <w:t xml:space="preserve">. </w:t>
      </w:r>
    </w:p>
    <w:p w14:paraId="3DDD5BB4" w14:textId="77777777" w:rsidR="00655D73" w:rsidRPr="00105972" w:rsidRDefault="009953E4" w:rsidP="00B92DD0">
      <w:pPr>
        <w:pStyle w:val="Heading4"/>
      </w:pPr>
      <w:r>
        <w:t>Australia</w:t>
      </w:r>
      <w:r w:rsidR="004C60A1">
        <w:t>-</w:t>
      </w:r>
      <w:r w:rsidR="00655D73" w:rsidRPr="00105972">
        <w:t>Pacific Technical College</w:t>
      </w:r>
    </w:p>
    <w:p w14:paraId="3DDD5BB5" w14:textId="77777777" w:rsidR="00CD75DC" w:rsidRDefault="00655D73" w:rsidP="00B92DD0">
      <w:pPr>
        <w:pStyle w:val="BodyText"/>
      </w:pPr>
      <w:r w:rsidRPr="00105972">
        <w:t>The Australia-Pacific Technical College delivers internationally recognised Australian qualifications in targeted industry sectors in the Pacific region. It delivers Australian Certificate III, IV and Diploma</w:t>
      </w:r>
      <w:r w:rsidR="004C60A1">
        <w:t>-</w:t>
      </w:r>
      <w:r w:rsidRPr="00105972">
        <w:t xml:space="preserve">level training. </w:t>
      </w:r>
      <w:r w:rsidR="004C60A1">
        <w:t>C</w:t>
      </w:r>
      <w:r w:rsidR="007F5A91">
        <w:t>ourses are well regarded in Fiji by employers and students</w:t>
      </w:r>
      <w:r w:rsidR="00CD75DC">
        <w:t xml:space="preserve"> and since</w:t>
      </w:r>
      <w:r w:rsidR="0038247D">
        <w:t xml:space="preserve"> 2007</w:t>
      </w:r>
      <w:r w:rsidRPr="00105972">
        <w:t>, 1536 Fiji stu</w:t>
      </w:r>
      <w:r w:rsidR="007F5A91">
        <w:t xml:space="preserve">dents </w:t>
      </w:r>
      <w:r w:rsidRPr="00105972">
        <w:t>graduated from the</w:t>
      </w:r>
      <w:r w:rsidR="004C60A1">
        <w:t xml:space="preserve"> technical</w:t>
      </w:r>
      <w:r w:rsidRPr="00105972">
        <w:t xml:space="preserve"> </w:t>
      </w:r>
      <w:r w:rsidR="004C60A1">
        <w:t>college</w:t>
      </w:r>
      <w:r w:rsidRPr="00105972">
        <w:t>.</w:t>
      </w:r>
    </w:p>
    <w:p w14:paraId="3DDD5BB6" w14:textId="77777777" w:rsidR="00655D73" w:rsidRDefault="00CD75DC" w:rsidP="00B92DD0">
      <w:pPr>
        <w:pStyle w:val="BodyText"/>
      </w:pPr>
      <w:r>
        <w:t>The</w:t>
      </w:r>
      <w:r w:rsidR="00655D73" w:rsidRPr="00105972">
        <w:t xml:space="preserve"> </w:t>
      </w:r>
      <w:r w:rsidRPr="00105972">
        <w:t xml:space="preserve">Australia-Pacific Technical College </w:t>
      </w:r>
      <w:r w:rsidR="00655D73" w:rsidRPr="00105972">
        <w:t>is highly responsi</w:t>
      </w:r>
      <w:r w:rsidR="00655D73">
        <w:t>ve to industry needs and in 2012 introduced a Certificate III course in Home/Community and Aged Care</w:t>
      </w:r>
      <w:r>
        <w:t>,</w:t>
      </w:r>
      <w:r w:rsidR="004C60A1">
        <w:t xml:space="preserve"> giving</w:t>
      </w:r>
      <w:r w:rsidR="00655D73" w:rsidRPr="00105972">
        <w:t xml:space="preserve"> Fiji students with these qualifications</w:t>
      </w:r>
      <w:r w:rsidR="004C60A1">
        <w:t xml:space="preserve"> the potential</w:t>
      </w:r>
      <w:r w:rsidR="00655D73" w:rsidRPr="00105972">
        <w:t xml:space="preserve"> to work overseas and earn impor</w:t>
      </w:r>
      <w:r w:rsidR="00655D73">
        <w:t>tant remittances</w:t>
      </w:r>
      <w:r w:rsidR="00655D73" w:rsidRPr="00105972">
        <w:t>.</w:t>
      </w:r>
      <w:r w:rsidR="00655D73">
        <w:t xml:space="preserve"> </w:t>
      </w:r>
    </w:p>
    <w:p w14:paraId="3DDD5BB7" w14:textId="77777777" w:rsidR="00655D73" w:rsidRPr="0051525E" w:rsidRDefault="00655D73" w:rsidP="00B92DD0">
      <w:pPr>
        <w:pStyle w:val="Heading4"/>
      </w:pPr>
      <w:r w:rsidRPr="0051525E">
        <w:t>Visibility</w:t>
      </w:r>
      <w:r w:rsidR="004C60A1">
        <w:t xml:space="preserve"> of Australia’s aid program</w:t>
      </w:r>
    </w:p>
    <w:p w14:paraId="3DDD5BB8" w14:textId="77777777" w:rsidR="00655D73" w:rsidRPr="00105972" w:rsidRDefault="004C60A1" w:rsidP="00B92DD0">
      <w:pPr>
        <w:pStyle w:val="BodyText"/>
      </w:pPr>
      <w:r>
        <w:t xml:space="preserve">Activities to increase the </w:t>
      </w:r>
      <w:r w:rsidR="00EB6655" w:rsidRPr="0051525E">
        <w:t xml:space="preserve">visibility </w:t>
      </w:r>
      <w:r>
        <w:t>of Australia’s aid program in Fiji</w:t>
      </w:r>
      <w:r w:rsidRPr="0051525E">
        <w:t xml:space="preserve"> </w:t>
      </w:r>
      <w:r w:rsidR="00595482" w:rsidRPr="0051525E">
        <w:t xml:space="preserve">were a focus </w:t>
      </w:r>
      <w:r w:rsidR="00655D73" w:rsidRPr="0051525E">
        <w:t>in 2012</w:t>
      </w:r>
      <w:r>
        <w:t>–</w:t>
      </w:r>
      <w:r w:rsidR="003045AC" w:rsidRPr="0051525E">
        <w:t>13</w:t>
      </w:r>
      <w:r w:rsidR="00655D73" w:rsidRPr="0051525E">
        <w:t xml:space="preserve">. From January 2012 to May 2013, the </w:t>
      </w:r>
      <w:r w:rsidR="00786A00">
        <w:t>p</w:t>
      </w:r>
      <w:r w:rsidR="00655D73" w:rsidRPr="0051525E">
        <w:t>rogram received 5</w:t>
      </w:r>
      <w:r w:rsidR="000D71D3" w:rsidRPr="0051525E">
        <w:t xml:space="preserve">11 media mentions across </w:t>
      </w:r>
      <w:r>
        <w:t>the country’s television</w:t>
      </w:r>
      <w:r w:rsidR="00655D73" w:rsidRPr="0051525E">
        <w:t>, radio, print and online media</w:t>
      </w:r>
      <w:r>
        <w:t>, compared</w:t>
      </w:r>
      <w:r w:rsidR="00655D73" w:rsidRPr="0051525E">
        <w:t xml:space="preserve"> to 120 in 2011. This increase reflects more comprehensive monitoring.</w:t>
      </w:r>
      <w:r w:rsidR="00655D73" w:rsidRPr="00105972">
        <w:t xml:space="preserve"> </w:t>
      </w:r>
    </w:p>
    <w:p w14:paraId="3DDD5BBA" w14:textId="4DD68BB8" w:rsidR="00655D73" w:rsidRPr="00105972" w:rsidRDefault="00655D73" w:rsidP="00B92DD0">
      <w:pPr>
        <w:pStyle w:val="BodyText"/>
      </w:pPr>
      <w:r w:rsidRPr="00105972">
        <w:t xml:space="preserve">In line with the </w:t>
      </w:r>
      <w:r w:rsidR="0007474C">
        <w:t>p</w:t>
      </w:r>
      <w:r w:rsidRPr="00105972">
        <w:t>rogram’s 2012 communications strategy, all staff and managing contractors attended media and communications training in 2012. Th</w:t>
      </w:r>
      <w:r w:rsidR="0007474C">
        <w:t>is</w:t>
      </w:r>
      <w:r w:rsidRPr="00105972">
        <w:t xml:space="preserve"> identified opportunities to elevate the profile of </w:t>
      </w:r>
      <w:r w:rsidR="00701698">
        <w:t>Australia’s</w:t>
      </w:r>
      <w:r w:rsidRPr="00105972">
        <w:t xml:space="preserve"> work in Fiji</w:t>
      </w:r>
      <w:r>
        <w:t>. T</w:t>
      </w:r>
      <w:r w:rsidRPr="00105972">
        <w:t xml:space="preserve">he Fiji </w:t>
      </w:r>
      <w:r w:rsidR="00786A00">
        <w:t>p</w:t>
      </w:r>
      <w:r w:rsidRPr="00105972">
        <w:t>rogram also produced a brochu</w:t>
      </w:r>
      <w:r>
        <w:t xml:space="preserve">re on its aims, </w:t>
      </w:r>
      <w:r w:rsidRPr="00105972">
        <w:t>objectives and achievements</w:t>
      </w:r>
      <w:r>
        <w:t>, the first for many years</w:t>
      </w:r>
      <w:r w:rsidRPr="00105972">
        <w:t xml:space="preserve">. </w:t>
      </w:r>
      <w:r>
        <w:t xml:space="preserve">It also </w:t>
      </w:r>
      <w:r w:rsidRPr="00105972">
        <w:t>focused on meeting its branding obligations.</w:t>
      </w:r>
      <w:r w:rsidR="003045AC">
        <w:t xml:space="preserve"> The Fiji </w:t>
      </w:r>
      <w:r w:rsidR="00786A00">
        <w:t>p</w:t>
      </w:r>
      <w:r w:rsidR="003045AC">
        <w:t>rogram proactively sought to improve visibility</w:t>
      </w:r>
      <w:r w:rsidR="00172D8E">
        <w:t xml:space="preserve"> of</w:t>
      </w:r>
      <w:r w:rsidR="003045AC">
        <w:t xml:space="preserve"> activities and engaged </w:t>
      </w:r>
      <w:r w:rsidR="0007474C">
        <w:t>m</w:t>
      </w:r>
      <w:r w:rsidR="003045AC">
        <w:t xml:space="preserve">anaging </w:t>
      </w:r>
      <w:r w:rsidR="0007474C">
        <w:t>c</w:t>
      </w:r>
      <w:r w:rsidR="003045AC">
        <w:t>ontractors in</w:t>
      </w:r>
      <w:r w:rsidR="0007474C">
        <w:t xml:space="preserve"> doing so</w:t>
      </w:r>
      <w:r w:rsidR="003045AC">
        <w:t>.</w:t>
      </w:r>
    </w:p>
    <w:p w14:paraId="3DDD5BBB" w14:textId="77777777" w:rsidR="00655D73" w:rsidRPr="00105972" w:rsidRDefault="00655D73" w:rsidP="00B92DD0">
      <w:pPr>
        <w:pStyle w:val="Heading4"/>
      </w:pPr>
      <w:r w:rsidRPr="00105972">
        <w:t xml:space="preserve">Humanitarian </w:t>
      </w:r>
      <w:r w:rsidR="0007474C">
        <w:t>e</w:t>
      </w:r>
      <w:r w:rsidRPr="00105972">
        <w:t xml:space="preserve">mergencies and </w:t>
      </w:r>
      <w:r w:rsidR="0007474C">
        <w:t>d</w:t>
      </w:r>
      <w:r w:rsidR="0007474C" w:rsidRPr="00105972">
        <w:t xml:space="preserve">isasters </w:t>
      </w:r>
    </w:p>
    <w:p w14:paraId="3DDD5BBC" w14:textId="20F0039E" w:rsidR="00655D73" w:rsidRPr="00105972" w:rsidRDefault="0038247D" w:rsidP="00B92DD0">
      <w:pPr>
        <w:pStyle w:val="BodyText"/>
      </w:pPr>
      <w:r>
        <w:t>Given Fiji’s vulnerability to natural disasters,</w:t>
      </w:r>
      <w:r w:rsidR="00BA703D">
        <w:t xml:space="preserve"> h</w:t>
      </w:r>
      <w:r w:rsidR="00BA703D" w:rsidRPr="00105972">
        <w:t xml:space="preserve">umanitarian and disaster preparedness and response is integrated </w:t>
      </w:r>
      <w:r w:rsidR="0007474C">
        <w:t>as a priority across</w:t>
      </w:r>
      <w:r w:rsidR="0007474C" w:rsidRPr="00105972">
        <w:t xml:space="preserve"> </w:t>
      </w:r>
      <w:r w:rsidR="00BA703D" w:rsidRPr="00105972">
        <w:t xml:space="preserve">the </w:t>
      </w:r>
      <w:r w:rsidR="00786A00">
        <w:t>p</w:t>
      </w:r>
      <w:r w:rsidR="00BA703D" w:rsidRPr="00105972">
        <w:t>rogram’</w:t>
      </w:r>
      <w:r w:rsidR="00BA703D">
        <w:t xml:space="preserve">s three objectives. </w:t>
      </w:r>
      <w:r w:rsidR="00655D73" w:rsidRPr="00105972">
        <w:t>In 2012</w:t>
      </w:r>
      <w:r w:rsidR="0007474C">
        <w:t>–</w:t>
      </w:r>
      <w:r w:rsidR="00655D73" w:rsidRPr="00105972">
        <w:t>13, Australia provided an estimated $7 million</w:t>
      </w:r>
      <w:r w:rsidR="004C7296">
        <w:rPr>
          <w:rStyle w:val="FootnoteReference"/>
        </w:rPr>
        <w:footnoteReference w:id="68"/>
      </w:r>
      <w:r w:rsidR="00655D73" w:rsidRPr="00105972">
        <w:t xml:space="preserve"> in response to </w:t>
      </w:r>
      <w:r w:rsidR="0007474C">
        <w:t>Fiji’s</w:t>
      </w:r>
      <w:r w:rsidR="0007474C" w:rsidRPr="00105972">
        <w:t xml:space="preserve"> </w:t>
      </w:r>
      <w:r w:rsidR="00655D73" w:rsidRPr="00105972">
        <w:t xml:space="preserve">three natural disasters. </w:t>
      </w:r>
      <w:r w:rsidR="0007474C">
        <w:t>In response to each disaster,</w:t>
      </w:r>
      <w:r w:rsidR="00655D73" w:rsidRPr="00F32494">
        <w:t xml:space="preserve"> Australia’s humanitarian assistance was launched within 48 hours of receiving the request. This meets Australia’s strategic goal of </w:t>
      </w:r>
      <w:r w:rsidR="0007474C">
        <w:t>h</w:t>
      </w:r>
      <w:r w:rsidR="00655D73" w:rsidRPr="00F32494">
        <w:t>umanitarian disaster preparedness and response</w:t>
      </w:r>
      <w:r w:rsidR="00655D73">
        <w:t xml:space="preserve">. </w:t>
      </w:r>
      <w:r w:rsidR="00BA703D">
        <w:t>All three objecti</w:t>
      </w:r>
      <w:r w:rsidR="00EB6655">
        <w:t xml:space="preserve">ves of the Fiji </w:t>
      </w:r>
      <w:r w:rsidR="00786A00">
        <w:t>p</w:t>
      </w:r>
      <w:r w:rsidR="00EB6655">
        <w:t>rogram provided important</w:t>
      </w:r>
      <w:r w:rsidR="00BA703D">
        <w:t xml:space="preserve"> form</w:t>
      </w:r>
      <w:r w:rsidR="00EB6655">
        <w:t>s</w:t>
      </w:r>
      <w:r w:rsidR="00BA703D">
        <w:t xml:space="preserve"> of assistance. </w:t>
      </w:r>
      <w:r w:rsidR="007B7867">
        <w:t>DFAT</w:t>
      </w:r>
      <w:r w:rsidR="00655D73" w:rsidRPr="00105972">
        <w:t xml:space="preserve"> worked effectively with international U</w:t>
      </w:r>
      <w:r w:rsidR="0007474C">
        <w:t xml:space="preserve">nited </w:t>
      </w:r>
      <w:r w:rsidR="00655D73" w:rsidRPr="00105972">
        <w:t>N</w:t>
      </w:r>
      <w:r w:rsidR="0007474C">
        <w:t xml:space="preserve">ations </w:t>
      </w:r>
      <w:r w:rsidR="00655D73" w:rsidRPr="00105972">
        <w:t>partners, Fiji’s National Disaster Management Office and CSOs (Save the Children</w:t>
      </w:r>
      <w:r w:rsidR="0007474C">
        <w:t xml:space="preserve"> and</w:t>
      </w:r>
      <w:r w:rsidR="00655D73" w:rsidRPr="00105972">
        <w:t xml:space="preserve"> Red Cross Fiji) to deliver assistance. </w:t>
      </w:r>
      <w:r w:rsidR="005D0E9B" w:rsidRPr="00105972">
        <w:t>A review is being conducted of</w:t>
      </w:r>
      <w:r w:rsidR="005D0E9B">
        <w:t xml:space="preserve"> </w:t>
      </w:r>
      <w:r w:rsidR="007B7867">
        <w:t xml:space="preserve">the Australian Government’s </w:t>
      </w:r>
      <w:r w:rsidR="005D0E9B">
        <w:t>response to the</w:t>
      </w:r>
      <w:r w:rsidR="0007474C">
        <w:t>se</w:t>
      </w:r>
      <w:r w:rsidR="00D9700A">
        <w:t xml:space="preserve"> </w:t>
      </w:r>
      <w:r w:rsidR="005D0E9B" w:rsidRPr="00105972">
        <w:t>disasters.</w:t>
      </w:r>
    </w:p>
    <w:p w14:paraId="3DDD5BBD" w14:textId="77777777" w:rsidR="00655D73" w:rsidRPr="00105972" w:rsidRDefault="00655D73" w:rsidP="00B92DD0">
      <w:pPr>
        <w:pStyle w:val="Heading4"/>
      </w:pPr>
      <w:r w:rsidRPr="00105972">
        <w:t xml:space="preserve">Climate </w:t>
      </w:r>
      <w:r w:rsidR="0007474C">
        <w:t>c</w:t>
      </w:r>
      <w:r w:rsidRPr="00105972">
        <w:t>hange</w:t>
      </w:r>
    </w:p>
    <w:p w14:paraId="3DDD5BBE" w14:textId="00FE8ACB" w:rsidR="00B564AE" w:rsidRPr="00B564AE" w:rsidRDefault="00B564AE" w:rsidP="00B92DD0">
      <w:pPr>
        <w:pStyle w:val="BodyText"/>
      </w:pPr>
      <w:r w:rsidRPr="00B564AE">
        <w:t>Fiji benefits from a number of regional initiatives</w:t>
      </w:r>
      <w:r w:rsidR="00CD75DC">
        <w:t>,</w:t>
      </w:r>
      <w:r w:rsidRPr="00B564AE">
        <w:t xml:space="preserve"> including the Climate and Oceans Support Program </w:t>
      </w:r>
      <w:r w:rsidR="002B0E82">
        <w:t xml:space="preserve">in the Pacific </w:t>
      </w:r>
      <w:r w:rsidRPr="00B564AE">
        <w:t>and</w:t>
      </w:r>
      <w:r w:rsidR="002B0E82">
        <w:t xml:space="preserve"> the</w:t>
      </w:r>
      <w:r w:rsidRPr="00B564AE">
        <w:t xml:space="preserve"> Pacific</w:t>
      </w:r>
      <w:r w:rsidR="002B0E82">
        <w:t>-</w:t>
      </w:r>
      <w:r w:rsidRPr="00B564AE">
        <w:t xml:space="preserve">Australia Climate Change Science and Adaptation Planning Program. Both programs are working with the Fiji </w:t>
      </w:r>
      <w:r w:rsidR="002B0E82">
        <w:t>M</w:t>
      </w:r>
      <w:r w:rsidRPr="00B564AE">
        <w:t xml:space="preserve">eteorological </w:t>
      </w:r>
      <w:r w:rsidR="002B0E82">
        <w:t>S</w:t>
      </w:r>
      <w:r w:rsidRPr="00B564AE">
        <w:t xml:space="preserve">ervice to improve climate forecasting, predict climate trends and identify major climate drivers. </w:t>
      </w:r>
      <w:r>
        <w:t>T</w:t>
      </w:r>
      <w:r w:rsidRPr="00B564AE">
        <w:t xml:space="preserve">hrough the </w:t>
      </w:r>
      <w:r w:rsidR="007B7867">
        <w:t>Australian</w:t>
      </w:r>
      <w:r w:rsidR="00007835">
        <w:t>-</w:t>
      </w:r>
      <w:r w:rsidRPr="00B564AE">
        <w:t>funded Future Climate Leaders Program, at the Universi</w:t>
      </w:r>
      <w:r>
        <w:t>ty of the South Pacific, o</w:t>
      </w:r>
      <w:r w:rsidRPr="00B564AE">
        <w:t>ne Masters</w:t>
      </w:r>
      <w:r w:rsidR="00007835">
        <w:t>-</w:t>
      </w:r>
      <w:r w:rsidRPr="00B564AE">
        <w:t xml:space="preserve">level scholarship was provided in 2012. </w:t>
      </w:r>
    </w:p>
    <w:p w14:paraId="3DDD5BBF" w14:textId="77777777" w:rsidR="00B564AE" w:rsidRPr="00B564AE" w:rsidRDefault="00B564AE" w:rsidP="00B92DD0">
      <w:pPr>
        <w:pStyle w:val="BodyText"/>
      </w:pPr>
      <w:r w:rsidRPr="00B564AE">
        <w:t xml:space="preserve">The two bilateral climate change </w:t>
      </w:r>
      <w:r w:rsidR="00007835">
        <w:t>initiatives</w:t>
      </w:r>
      <w:r w:rsidR="00007835" w:rsidRPr="00B564AE">
        <w:t xml:space="preserve"> </w:t>
      </w:r>
      <w:r w:rsidRPr="00B564AE">
        <w:t xml:space="preserve">operating in Fiji are: Enhancing Climate Change Adaptation in Rural Communities of Fiji program (managed by </w:t>
      </w:r>
      <w:r w:rsidR="00007835">
        <w:t xml:space="preserve">the </w:t>
      </w:r>
      <w:r w:rsidRPr="00B564AE">
        <w:t>U</w:t>
      </w:r>
      <w:r w:rsidR="00CD75DC">
        <w:t xml:space="preserve">niversity of the South </w:t>
      </w:r>
      <w:r w:rsidR="00CD75DC">
        <w:lastRenderedPageBreak/>
        <w:t>Pacific</w:t>
      </w:r>
      <w:r w:rsidRPr="00B564AE">
        <w:t>) and the Building Resilience Project with the W</w:t>
      </w:r>
      <w:r w:rsidR="00CD75DC">
        <w:t>orld Wildlife Fund,</w:t>
      </w:r>
      <w:r w:rsidR="00007835">
        <w:t xml:space="preserve"> both of which build or strengthen government and community linkages</w:t>
      </w:r>
      <w:r w:rsidRPr="00B564AE">
        <w:t>. The U</w:t>
      </w:r>
      <w:r w:rsidR="00CD75DC">
        <w:t>niversity of the South Pacific</w:t>
      </w:r>
      <w:r w:rsidRPr="00B564AE">
        <w:t xml:space="preserve"> project is supporting the implementation of climate change adaptation measures at six sites in rural Fiji</w:t>
      </w:r>
      <w:r w:rsidR="00007835">
        <w:t>, including</w:t>
      </w:r>
      <w:r w:rsidRPr="00B564AE">
        <w:t xml:space="preserve"> establishing fresh water supplies, improving food security outcomes and implementing coastal erosion control measures. In 2012, W</w:t>
      </w:r>
      <w:r w:rsidR="00007835">
        <w:t>orld Wildlife Fund</w:t>
      </w:r>
      <w:r w:rsidRPr="00B564AE">
        <w:t xml:space="preserve"> activities included climate change awareness and adaptation, national resource management </w:t>
      </w:r>
      <w:r>
        <w:t xml:space="preserve">activities </w:t>
      </w:r>
      <w:r w:rsidRPr="00B564AE">
        <w:t xml:space="preserve">and </w:t>
      </w:r>
      <w:r w:rsidR="00007835">
        <w:t xml:space="preserve">a </w:t>
      </w:r>
      <w:r w:rsidRPr="00B564AE">
        <w:t xml:space="preserve">riverbank rehabilitation project. To date, </w:t>
      </w:r>
      <w:r w:rsidR="00007835">
        <w:t>these initiatives</w:t>
      </w:r>
      <w:r w:rsidRPr="00B564AE">
        <w:t xml:space="preserve"> have operated somewhat independently from the Fiji </w:t>
      </w:r>
      <w:r w:rsidR="00786A00">
        <w:t>p</w:t>
      </w:r>
      <w:r w:rsidRPr="00B564AE">
        <w:t xml:space="preserve">rogram. </w:t>
      </w:r>
      <w:r w:rsidR="00007835">
        <w:t>T</w:t>
      </w:r>
      <w:r w:rsidRPr="00B564AE">
        <w:t xml:space="preserve">o enhance their value the Fiji </w:t>
      </w:r>
      <w:r w:rsidR="00786A00">
        <w:t>p</w:t>
      </w:r>
      <w:r w:rsidR="00786A00" w:rsidRPr="00B564AE">
        <w:t xml:space="preserve">rogram </w:t>
      </w:r>
      <w:r w:rsidRPr="00B564AE">
        <w:t>is looking at incorporating them into the FCDP</w:t>
      </w:r>
      <w:r>
        <w:t>.</w:t>
      </w:r>
    </w:p>
    <w:p w14:paraId="3DDD5BC0" w14:textId="77777777" w:rsidR="00655D73" w:rsidRPr="00B564AE" w:rsidRDefault="00655D73" w:rsidP="00B92DD0">
      <w:pPr>
        <w:pStyle w:val="Heading4"/>
      </w:pPr>
      <w:r w:rsidRPr="00B564AE">
        <w:t>Disability</w:t>
      </w:r>
    </w:p>
    <w:p w14:paraId="3DDD5BC1" w14:textId="77777777" w:rsidR="00655D73" w:rsidRDefault="00655D73" w:rsidP="00B92DD0">
      <w:pPr>
        <w:pStyle w:val="BodyText"/>
      </w:pPr>
      <w:r w:rsidRPr="00105972">
        <w:t>Fiji has a relatively long history of engagement with the disability sector</w:t>
      </w:r>
      <w:r>
        <w:t xml:space="preserve">. The Fiji </w:t>
      </w:r>
      <w:r w:rsidRPr="00105972">
        <w:t xml:space="preserve">National Council for Disabled Persons is the </w:t>
      </w:r>
      <w:r w:rsidR="006D5277">
        <w:t xml:space="preserve">national body </w:t>
      </w:r>
      <w:r w:rsidRPr="00105972">
        <w:t xml:space="preserve">for an active number of Disabled People’s Organisations. </w:t>
      </w:r>
      <w:r>
        <w:t xml:space="preserve">Its primary function is </w:t>
      </w:r>
      <w:r w:rsidRPr="006341DD">
        <w:t xml:space="preserve">to serve as a coordinating </w:t>
      </w:r>
      <w:r>
        <w:t>mechanism on disability matters.</w:t>
      </w:r>
      <w:r w:rsidRPr="006341DD">
        <w:t xml:space="preserve"> </w:t>
      </w:r>
    </w:p>
    <w:p w14:paraId="3DDD5BC2" w14:textId="77777777" w:rsidR="00655D73" w:rsidRPr="00B00A2E" w:rsidRDefault="00655D73" w:rsidP="00B92DD0">
      <w:pPr>
        <w:pStyle w:val="BodyText"/>
        <w:rPr>
          <w:vertAlign w:val="superscript"/>
        </w:rPr>
      </w:pPr>
      <w:r w:rsidRPr="00105972">
        <w:t xml:space="preserve">In 2010, Fiji signed the Convention on the Rights of Persons with Disabilities and </w:t>
      </w:r>
      <w:r w:rsidR="00007835">
        <w:t>its</w:t>
      </w:r>
      <w:r w:rsidR="00007835" w:rsidRPr="00105972">
        <w:t xml:space="preserve"> </w:t>
      </w:r>
      <w:r w:rsidRPr="00105972">
        <w:t>Optional Protocol.</w:t>
      </w:r>
      <w:r w:rsidRPr="00B00A2E">
        <w:rPr>
          <w:rStyle w:val="FootnoteReference"/>
        </w:rPr>
        <w:footnoteReference w:id="69"/>
      </w:r>
      <w:r w:rsidRPr="00105972">
        <w:t xml:space="preserve"> It has also ratified the Convention on the Elimination of </w:t>
      </w:r>
      <w:r w:rsidR="00007835">
        <w:t>A</w:t>
      </w:r>
      <w:r w:rsidRPr="00105972">
        <w:t xml:space="preserve">ll </w:t>
      </w:r>
      <w:r w:rsidR="00007835">
        <w:t>F</w:t>
      </w:r>
      <w:r w:rsidRPr="00105972">
        <w:t xml:space="preserve">orms of Discrimination against Women </w:t>
      </w:r>
      <w:r w:rsidR="00110380">
        <w:t xml:space="preserve">(CEDAW) </w:t>
      </w:r>
      <w:r w:rsidRPr="00105972">
        <w:t>in 1995</w:t>
      </w:r>
      <w:r>
        <w:t>,</w:t>
      </w:r>
      <w:r w:rsidRPr="00B00A2E">
        <w:rPr>
          <w:rStyle w:val="FootnoteReference"/>
        </w:rPr>
        <w:footnoteReference w:id="70"/>
      </w:r>
      <w:r w:rsidRPr="00105972">
        <w:t xml:space="preserve"> </w:t>
      </w:r>
      <w:r w:rsidR="00985B1D">
        <w:t xml:space="preserve">the </w:t>
      </w:r>
      <w:r w:rsidRPr="00105972">
        <w:t>Convention on the Rights of the Child in 1993</w:t>
      </w:r>
      <w:r w:rsidRPr="00B00A2E">
        <w:rPr>
          <w:rStyle w:val="FootnoteReference"/>
        </w:rPr>
        <w:footnoteReference w:id="71"/>
      </w:r>
      <w:r w:rsidRPr="00105972">
        <w:t xml:space="preserve"> and the International Labour Organization Convention 159 in 2004, which promotes decent work for </w:t>
      </w:r>
      <w:r w:rsidR="00B564AE">
        <w:t>people with disability</w:t>
      </w:r>
      <w:r w:rsidRPr="00105972">
        <w:t>.</w:t>
      </w:r>
      <w:r w:rsidRPr="00B00A2E">
        <w:rPr>
          <w:rStyle w:val="FootnoteReference"/>
        </w:rPr>
        <w:footnoteReference w:id="72"/>
      </w:r>
      <w:r w:rsidR="00007835">
        <w:t xml:space="preserve"> Fiji </w:t>
      </w:r>
      <w:r>
        <w:t>also</w:t>
      </w:r>
      <w:r w:rsidRPr="00105972">
        <w:t xml:space="preserve"> passed the FNCDP Act in 1994 which was complemented by the introduction of </w:t>
      </w:r>
      <w:r w:rsidR="00007835">
        <w:t>its</w:t>
      </w:r>
      <w:r w:rsidR="00007835" w:rsidRPr="00105972">
        <w:t xml:space="preserve"> </w:t>
      </w:r>
      <w:r w:rsidRPr="00105972">
        <w:t xml:space="preserve">national disability policy in </w:t>
      </w:r>
      <w:r w:rsidR="00007835" w:rsidRPr="00105972">
        <w:t>200</w:t>
      </w:r>
      <w:r w:rsidR="00007835">
        <w:t>8.</w:t>
      </w:r>
      <w:r w:rsidRPr="00B00A2E">
        <w:rPr>
          <w:rStyle w:val="FootnoteReference"/>
        </w:rPr>
        <w:footnoteReference w:id="73"/>
      </w:r>
    </w:p>
    <w:p w14:paraId="3DDD5BC3" w14:textId="64A1385C" w:rsidR="00082651" w:rsidRPr="00B303B0" w:rsidRDefault="003D4A43" w:rsidP="00B92DD0">
      <w:pPr>
        <w:pStyle w:val="BodyText"/>
      </w:pPr>
      <w:r>
        <w:t xml:space="preserve">The </w:t>
      </w:r>
      <w:r w:rsidR="00B564AE">
        <w:t xml:space="preserve">Fiji </w:t>
      </w:r>
      <w:r>
        <w:t>program has effectively mainstreamed disability</w:t>
      </w:r>
      <w:r w:rsidR="00AD00A8">
        <w:t>-</w:t>
      </w:r>
      <w:r>
        <w:t>inclusive practices into most of its three objectives.</w:t>
      </w:r>
      <w:r w:rsidR="00655D73">
        <w:t xml:space="preserve"> </w:t>
      </w:r>
      <w:r w:rsidR="00082651" w:rsidRPr="00B303B0">
        <w:t>Disability</w:t>
      </w:r>
      <w:r w:rsidR="00AD00A8">
        <w:t>-</w:t>
      </w:r>
      <w:r w:rsidR="00082651" w:rsidRPr="00B303B0">
        <w:t xml:space="preserve">inclusive activities have also been included in Fiji’s humanitarian relief efforts. </w:t>
      </w:r>
      <w:r w:rsidR="00007835">
        <w:t xml:space="preserve">For example, </w:t>
      </w:r>
      <w:r w:rsidR="00082651" w:rsidRPr="00B303B0">
        <w:t>AusAID facilitat</w:t>
      </w:r>
      <w:r w:rsidR="00B564AE">
        <w:t xml:space="preserve">ed an agreement between the </w:t>
      </w:r>
      <w:r w:rsidR="00082651" w:rsidRPr="00B303B0">
        <w:t xml:space="preserve">Pacific Disability Forum and the Fiji Disabled </w:t>
      </w:r>
      <w:r w:rsidR="004D4186">
        <w:t>People’s</w:t>
      </w:r>
      <w:r w:rsidR="008944CE">
        <w:t xml:space="preserve"> </w:t>
      </w:r>
      <w:r w:rsidR="00082651" w:rsidRPr="00B303B0">
        <w:t>Federation to include people with disability in the National</w:t>
      </w:r>
      <w:r w:rsidR="009F3D1B" w:rsidRPr="00B303B0">
        <w:t xml:space="preserve"> Disaster Framework. AusAID </w:t>
      </w:r>
      <w:r w:rsidR="00082651" w:rsidRPr="00B303B0">
        <w:t xml:space="preserve">also supported Fiji Red Cross to pre-position emergency stocks for people with disability. </w:t>
      </w:r>
    </w:p>
    <w:p w14:paraId="3DDD5BC4" w14:textId="17FC157D" w:rsidR="00655D73" w:rsidRPr="00105972" w:rsidRDefault="006D5277" w:rsidP="00B92DD0">
      <w:pPr>
        <w:pStyle w:val="BodyText"/>
      </w:pPr>
      <w:r>
        <w:t xml:space="preserve">The </w:t>
      </w:r>
      <w:r w:rsidR="00655D73">
        <w:t>Pacific Disability Forum</w:t>
      </w:r>
      <w:r>
        <w:t xml:space="preserve">, funded by </w:t>
      </w:r>
      <w:r w:rsidR="007B7867">
        <w:t>Australia</w:t>
      </w:r>
      <w:r>
        <w:t>, has also provided significant assistance to</w:t>
      </w:r>
      <w:r w:rsidR="00655D73">
        <w:t xml:space="preserve"> Fiji’s Disabled People’s</w:t>
      </w:r>
      <w:r>
        <w:t xml:space="preserve"> Federation</w:t>
      </w:r>
      <w:r w:rsidR="00655D73">
        <w:t>.</w:t>
      </w:r>
      <w:r w:rsidR="003D4A43">
        <w:t xml:space="preserve"> The </w:t>
      </w:r>
      <w:r w:rsidR="00007835" w:rsidRPr="00B303B0">
        <w:t xml:space="preserve">Federation </w:t>
      </w:r>
      <w:r w:rsidR="003D4A43" w:rsidRPr="006341DD">
        <w:rPr>
          <w:lang w:val="en-GB"/>
        </w:rPr>
        <w:t>is a national cross-disability</w:t>
      </w:r>
      <w:r w:rsidR="00007835">
        <w:rPr>
          <w:lang w:val="en-GB"/>
        </w:rPr>
        <w:t>,</w:t>
      </w:r>
      <w:r w:rsidR="003D4A43" w:rsidRPr="006341DD">
        <w:rPr>
          <w:lang w:val="en-GB"/>
        </w:rPr>
        <w:t xml:space="preserve"> self-help organisation for people with disabilit</w:t>
      </w:r>
      <w:r w:rsidR="00007835">
        <w:rPr>
          <w:lang w:val="en-GB"/>
        </w:rPr>
        <w:t>y</w:t>
      </w:r>
      <w:r w:rsidR="003D4A43" w:rsidRPr="006341DD">
        <w:rPr>
          <w:lang w:val="en-GB"/>
        </w:rPr>
        <w:t xml:space="preserve">. </w:t>
      </w:r>
    </w:p>
    <w:p w14:paraId="3DDD5BC5" w14:textId="77777777" w:rsidR="00D9700A" w:rsidRDefault="00655D73" w:rsidP="00B92DD0">
      <w:pPr>
        <w:pStyle w:val="Heading4"/>
      </w:pPr>
      <w:r w:rsidRPr="00B564AE">
        <w:t xml:space="preserve">Gender </w:t>
      </w:r>
    </w:p>
    <w:p w14:paraId="3DDD5BC6" w14:textId="77777777" w:rsidR="00655D73" w:rsidRDefault="00655D73" w:rsidP="00B92DD0">
      <w:pPr>
        <w:pStyle w:val="BodyText"/>
        <w:rPr>
          <w:rFonts w:eastAsia="Cambria"/>
          <w:lang w:val="en-US"/>
        </w:rPr>
      </w:pPr>
      <w:r w:rsidRPr="00105972">
        <w:rPr>
          <w:rFonts w:eastAsia="Cambria"/>
          <w:lang w:val="en-US"/>
        </w:rPr>
        <w:t>Fiji has demonstrated a commitment to gender equality through national plans and international commitments</w:t>
      </w:r>
      <w:r w:rsidR="00110380">
        <w:rPr>
          <w:rFonts w:eastAsia="Cambria"/>
          <w:lang w:val="en-US"/>
        </w:rPr>
        <w:t>,</w:t>
      </w:r>
      <w:r w:rsidRPr="00105972">
        <w:rPr>
          <w:rFonts w:eastAsia="Cambria"/>
          <w:lang w:val="en-US"/>
        </w:rPr>
        <w:t xml:space="preserve"> including the CEDAW, Pacific Platform of Action, Convention on the Rights of the Child, Commonwealth Plan of Action for Gender Equality 2005</w:t>
      </w:r>
      <w:r w:rsidR="00110380">
        <w:rPr>
          <w:rFonts w:eastAsia="Cambria"/>
          <w:lang w:val="en-US"/>
        </w:rPr>
        <w:t>–</w:t>
      </w:r>
      <w:r w:rsidRPr="00105972">
        <w:rPr>
          <w:rFonts w:eastAsia="Cambria"/>
          <w:lang w:val="en-US"/>
        </w:rPr>
        <w:t>2015</w:t>
      </w:r>
      <w:r w:rsidR="000967B4">
        <w:rPr>
          <w:rFonts w:eastAsia="Cambria"/>
          <w:lang w:val="en-US"/>
        </w:rPr>
        <w:t>,</w:t>
      </w:r>
      <w:r w:rsidRPr="00105972">
        <w:rPr>
          <w:rFonts w:eastAsia="Cambria"/>
          <w:lang w:val="en-US"/>
        </w:rPr>
        <w:t xml:space="preserve"> and the Revised Pacific Platform of Action. </w:t>
      </w:r>
    </w:p>
    <w:p w14:paraId="3DDD5BC7" w14:textId="77777777" w:rsidR="00655D73" w:rsidRPr="00F33C47" w:rsidRDefault="00655D73" w:rsidP="00B92DD0">
      <w:pPr>
        <w:pStyle w:val="BodyText"/>
      </w:pPr>
      <w:r>
        <w:t>In Fiji, g</w:t>
      </w:r>
      <w:r w:rsidRPr="00105972">
        <w:t>irls tend to be better educated than boys, with 28 per cent of females attaining senior secondary compared to only 18 per cent of males.</w:t>
      </w:r>
      <w:r w:rsidRPr="00B00A2E">
        <w:rPr>
          <w:rStyle w:val="FootnoteReference"/>
          <w:szCs w:val="16"/>
        </w:rPr>
        <w:footnoteReference w:id="74"/>
      </w:r>
      <w:r w:rsidRPr="00B00A2E">
        <w:rPr>
          <w:sz w:val="16"/>
          <w:szCs w:val="16"/>
          <w:vertAlign w:val="superscript"/>
        </w:rPr>
        <w:t xml:space="preserve"> </w:t>
      </w:r>
      <w:r w:rsidR="00110380">
        <w:rPr>
          <w:sz w:val="16"/>
          <w:szCs w:val="16"/>
          <w:vertAlign w:val="superscript"/>
        </w:rPr>
        <w:t xml:space="preserve"> </w:t>
      </w:r>
      <w:r w:rsidRPr="00F33C47">
        <w:t>Similarly, 17 per cent of males have had no schooling, compared to only 8 per cent of females.</w:t>
      </w:r>
      <w:r w:rsidRPr="00B00A2E">
        <w:rPr>
          <w:rStyle w:val="FootnoteReference"/>
          <w:szCs w:val="16"/>
        </w:rPr>
        <w:footnoteReference w:id="75"/>
      </w:r>
      <w:r w:rsidRPr="00B00A2E">
        <w:rPr>
          <w:sz w:val="16"/>
          <w:szCs w:val="16"/>
          <w:vertAlign w:val="superscript"/>
        </w:rPr>
        <w:t xml:space="preserve"> </w:t>
      </w:r>
      <w:r w:rsidR="00110380">
        <w:rPr>
          <w:sz w:val="16"/>
          <w:szCs w:val="16"/>
          <w:vertAlign w:val="superscript"/>
        </w:rPr>
        <w:t xml:space="preserve"> </w:t>
      </w:r>
      <w:r w:rsidRPr="00F33C47">
        <w:t xml:space="preserve">That said, </w:t>
      </w:r>
      <w:r>
        <w:t>further research into the gender</w:t>
      </w:r>
      <w:r w:rsidR="00F4132A">
        <w:t xml:space="preserve"> </w:t>
      </w:r>
      <w:r>
        <w:t xml:space="preserve">dimensions of schooling are needed, especially considering </w:t>
      </w:r>
      <w:r w:rsidRPr="00F33C47">
        <w:t xml:space="preserve">women’s </w:t>
      </w:r>
      <w:r w:rsidR="002239EA">
        <w:t xml:space="preserve">low </w:t>
      </w:r>
      <w:r w:rsidRPr="00F33C47">
        <w:t>participation in the workforce</w:t>
      </w:r>
      <w:r w:rsidR="00110380">
        <w:t>.</w:t>
      </w:r>
      <w:r w:rsidRPr="00F33C47">
        <w:t xml:space="preserve"> </w:t>
      </w:r>
    </w:p>
    <w:p w14:paraId="3DDD5BC8" w14:textId="1FC48D73" w:rsidR="002239EA" w:rsidRPr="00F33C47" w:rsidRDefault="00E100FF" w:rsidP="00B92DD0">
      <w:pPr>
        <w:pStyle w:val="BodyText"/>
      </w:pPr>
      <w:r>
        <w:lastRenderedPageBreak/>
        <w:t>F</w:t>
      </w:r>
      <w:r w:rsidR="00655D73" w:rsidRPr="006B17A8">
        <w:t xml:space="preserve">iji and Australia have prioritised working on gender equality. </w:t>
      </w:r>
      <w:r w:rsidR="00655D73">
        <w:t>W</w:t>
      </w:r>
      <w:r w:rsidR="00655D73" w:rsidRPr="006B17A8">
        <w:t>omen’s health and economic empowerment have emerged as key areas</w:t>
      </w:r>
      <w:r w:rsidR="00655D73">
        <w:t xml:space="preserve"> of cooperation</w:t>
      </w:r>
      <w:r w:rsidR="00655D73" w:rsidRPr="006B17A8">
        <w:t>. Australia also has a long history of suppo</w:t>
      </w:r>
      <w:r w:rsidR="000D71D3">
        <w:t>rting Fiji’s efforts to reduce v</w:t>
      </w:r>
      <w:r w:rsidR="00655D73" w:rsidRPr="006B17A8">
        <w:t>iolence</w:t>
      </w:r>
      <w:r w:rsidR="000D71D3">
        <w:t xml:space="preserve"> against w</w:t>
      </w:r>
      <w:r w:rsidR="00655D73">
        <w:t xml:space="preserve">omen through its </w:t>
      </w:r>
      <w:r w:rsidR="00655D73" w:rsidRPr="006B17A8">
        <w:t>association with the Fiji Women’s</w:t>
      </w:r>
      <w:r w:rsidR="00110380">
        <w:t xml:space="preserve"> </w:t>
      </w:r>
      <w:r w:rsidR="00655D73" w:rsidRPr="006B17A8">
        <w:t>Crisis Centre</w:t>
      </w:r>
      <w:r w:rsidR="00AD2C60">
        <w:t xml:space="preserve">. </w:t>
      </w:r>
      <w:r w:rsidR="00C21C20">
        <w:t>The</w:t>
      </w:r>
      <w:r w:rsidR="002239EA" w:rsidRPr="00F33C47">
        <w:t xml:space="preserve"> Fiji Government enacted the Domestic Violence Decree on 14 August 2009</w:t>
      </w:r>
      <w:r w:rsidR="002239EA">
        <w:t xml:space="preserve"> and reinstated the inter-agency taskforce on violence against women and children</w:t>
      </w:r>
      <w:r w:rsidR="002239EA" w:rsidRPr="00F33C47">
        <w:t>.</w:t>
      </w:r>
    </w:p>
    <w:p w14:paraId="3DDD5BC9" w14:textId="401F475E" w:rsidR="002239EA" w:rsidRPr="006B17A8" w:rsidRDefault="002239EA" w:rsidP="00B92DD0">
      <w:pPr>
        <w:pStyle w:val="BodyText"/>
      </w:pPr>
      <w:r>
        <w:t xml:space="preserve">Fiji, </w:t>
      </w:r>
      <w:r w:rsidR="00C21C20">
        <w:t>with</w:t>
      </w:r>
      <w:r>
        <w:t xml:space="preserve"> </w:t>
      </w:r>
      <w:r w:rsidR="007B7867">
        <w:t>Australian</w:t>
      </w:r>
      <w:r>
        <w:t xml:space="preserve"> support, has produced a number of successful women’s CSOs. </w:t>
      </w:r>
      <w:r w:rsidR="00AE7AA4">
        <w:t xml:space="preserve">Many </w:t>
      </w:r>
      <w:r w:rsidR="00985B1D">
        <w:t>are</w:t>
      </w:r>
      <w:r>
        <w:t xml:space="preserve"> leaders in the Pacific and advis</w:t>
      </w:r>
      <w:r w:rsidR="00F4132A">
        <w:t>e</w:t>
      </w:r>
      <w:r>
        <w:t xml:space="preserve"> other Pacific </w:t>
      </w:r>
      <w:r w:rsidR="00110380">
        <w:t>i</w:t>
      </w:r>
      <w:r>
        <w:t>slands</w:t>
      </w:r>
      <w:r w:rsidR="00110380">
        <w:t>’</w:t>
      </w:r>
      <w:r>
        <w:t xml:space="preserve"> CSOs on gender. The Fiji </w:t>
      </w:r>
      <w:r w:rsidR="00786A00">
        <w:t>p</w:t>
      </w:r>
      <w:r>
        <w:t>rogram has proactively incorporate</w:t>
      </w:r>
      <w:r w:rsidR="00110380">
        <w:t>d</w:t>
      </w:r>
      <w:r>
        <w:t xml:space="preserve"> gender strategies int</w:t>
      </w:r>
      <w:r w:rsidR="00AE7AA4">
        <w:t xml:space="preserve">o its activities. It requested </w:t>
      </w:r>
      <w:r w:rsidR="00110380">
        <w:t>the</w:t>
      </w:r>
      <w:r>
        <w:t xml:space="preserve"> gender</w:t>
      </w:r>
      <w:r w:rsidR="00AE7AA4">
        <w:t xml:space="preserve"> stock</w:t>
      </w:r>
      <w:r>
        <w:t>take</w:t>
      </w:r>
      <w:r w:rsidR="00F4132A">
        <w:t xml:space="preserve"> that was</w:t>
      </w:r>
      <w:r w:rsidR="00AE7AA4">
        <w:t xml:space="preserve"> </w:t>
      </w:r>
      <w:r w:rsidR="00110380">
        <w:t xml:space="preserve">conducted </w:t>
      </w:r>
      <w:r w:rsidR="002E69F7">
        <w:t xml:space="preserve">in 2012 </w:t>
      </w:r>
      <w:r w:rsidR="00B564AE">
        <w:t>and is</w:t>
      </w:r>
      <w:r w:rsidR="00AE7AA4">
        <w:t xml:space="preserve"> ale</w:t>
      </w:r>
      <w:r w:rsidR="002E69F7">
        <w:t>rt to the importance</w:t>
      </w:r>
      <w:r w:rsidR="00AE7AA4">
        <w:t xml:space="preserve"> of gender</w:t>
      </w:r>
      <w:r w:rsidR="00F4132A">
        <w:t>-</w:t>
      </w:r>
      <w:r w:rsidR="00AE7AA4">
        <w:t>inclusive practices.</w:t>
      </w:r>
    </w:p>
    <w:p w14:paraId="3DDD5BCA" w14:textId="77777777" w:rsidR="00655D73" w:rsidRPr="001E058B" w:rsidRDefault="00655D73" w:rsidP="00B92DD0">
      <w:pPr>
        <w:pStyle w:val="Heading4"/>
      </w:pPr>
      <w:r w:rsidRPr="001E058B">
        <w:t>Gender: Pacific Women Shaping Pacific Development (PWSPD) initiative</w:t>
      </w:r>
    </w:p>
    <w:p w14:paraId="3DDD5BCB" w14:textId="77777777" w:rsidR="00B67755" w:rsidRDefault="00655D73" w:rsidP="00B92DD0">
      <w:pPr>
        <w:pStyle w:val="BodyText"/>
      </w:pPr>
      <w:r w:rsidRPr="00105972">
        <w:t xml:space="preserve">This $320 million, </w:t>
      </w:r>
      <w:r w:rsidR="00110380">
        <w:t>10-</w:t>
      </w:r>
      <w:r w:rsidRPr="00105972">
        <w:t xml:space="preserve">year initiative was announced by </w:t>
      </w:r>
      <w:r w:rsidR="00110380">
        <w:t xml:space="preserve">Australia’s </w:t>
      </w:r>
      <w:r w:rsidRPr="00105972">
        <w:t>Prime Minister during the 2012 Pacific Islands Forum. It aims to improve opportunities for political, economic and social advancement of Pacific Women</w:t>
      </w:r>
      <w:r w:rsidR="00AD2C60">
        <w:t xml:space="preserve">. </w:t>
      </w:r>
    </w:p>
    <w:p w14:paraId="3DDD5BCC" w14:textId="77777777" w:rsidR="00655D73" w:rsidRPr="00105972" w:rsidRDefault="00655D73" w:rsidP="00B92DD0">
      <w:pPr>
        <w:pStyle w:val="BodyText"/>
      </w:pPr>
      <w:r w:rsidRPr="00105972">
        <w:t>A draft Fiji country plan will be finalised</w:t>
      </w:r>
      <w:r w:rsidR="00110380">
        <w:t xml:space="preserve"> for the PWSPD</w:t>
      </w:r>
      <w:r w:rsidRPr="00105972">
        <w:t xml:space="preserve"> </w:t>
      </w:r>
      <w:r w:rsidR="009953E4">
        <w:t>in mid</w:t>
      </w:r>
      <w:r w:rsidR="009953E4" w:rsidRPr="00105972">
        <w:t>-2013</w:t>
      </w:r>
      <w:r w:rsidR="00110380">
        <w:t>, identifying</w:t>
      </w:r>
      <w:r w:rsidRPr="00105972">
        <w:t xml:space="preserve"> opportunities to strengthen existing gender activities and better integrate gender equality and wom</w:t>
      </w:r>
      <w:r>
        <w:t xml:space="preserve">en’s empowerment into the Fiji </w:t>
      </w:r>
      <w:r w:rsidR="00786A00">
        <w:t>p</w:t>
      </w:r>
      <w:r w:rsidRPr="00105972">
        <w:t>rogram. This will include some new activities and strengthening existing ones</w:t>
      </w:r>
      <w:r>
        <w:t>, as well as mainstreaming gender equality and inclusion across all programs</w:t>
      </w:r>
      <w:r w:rsidRPr="00105972">
        <w:t>.</w:t>
      </w:r>
    </w:p>
    <w:p w14:paraId="3DDD5BCD" w14:textId="77777777" w:rsidR="00655D73" w:rsidRPr="00105972" w:rsidRDefault="00110380" w:rsidP="00B92DD0">
      <w:pPr>
        <w:pStyle w:val="BodyText"/>
      </w:pPr>
      <w:r>
        <w:t xml:space="preserve">With </w:t>
      </w:r>
      <w:r w:rsidR="00655D73" w:rsidRPr="00105972">
        <w:t xml:space="preserve">new activities, the Fiji </w:t>
      </w:r>
      <w:r w:rsidR="00786A00">
        <w:t>p</w:t>
      </w:r>
      <w:r w:rsidR="00655D73" w:rsidRPr="00105972">
        <w:t xml:space="preserve">rogram is considering commissioning phase three of the </w:t>
      </w:r>
      <w:r w:rsidR="00D25FE0">
        <w:t>f</w:t>
      </w:r>
      <w:r w:rsidR="00655D73" w:rsidRPr="00105972">
        <w:t>e</w:t>
      </w:r>
      <w:r w:rsidR="00D25FE0">
        <w:t>male p</w:t>
      </w:r>
      <w:r w:rsidR="00655D73" w:rsidRPr="00105972">
        <w:t xml:space="preserve">overty survey in Fiji. Its findings will help the Fiji </w:t>
      </w:r>
      <w:r w:rsidR="00786A00">
        <w:t>p</w:t>
      </w:r>
      <w:r w:rsidR="00655D73" w:rsidRPr="00105972">
        <w:t xml:space="preserve">rogram better </w:t>
      </w:r>
      <w:r w:rsidR="00655D73">
        <w:t xml:space="preserve">direct </w:t>
      </w:r>
      <w:r w:rsidR="00655D73" w:rsidRPr="00105972">
        <w:t xml:space="preserve">activities to the most marginalised women. The survey will </w:t>
      </w:r>
      <w:r w:rsidR="00655D73">
        <w:t xml:space="preserve">complement </w:t>
      </w:r>
      <w:r w:rsidR="00655D73" w:rsidRPr="00105972">
        <w:t>the World Bank’s 2011 poverty maps.</w:t>
      </w:r>
    </w:p>
    <w:p w14:paraId="3DDD5BCE" w14:textId="77777777" w:rsidR="00655D73" w:rsidRPr="00105972" w:rsidRDefault="00655D73" w:rsidP="00B92DD0">
      <w:pPr>
        <w:pStyle w:val="BodyText"/>
        <w:rPr>
          <w:bCs/>
        </w:rPr>
      </w:pPr>
      <w:r w:rsidRPr="00105972">
        <w:t>Under the PWSPD initiative, Fiji is one of four Pacific countries earmarked to im</w:t>
      </w:r>
      <w:r w:rsidR="00D25FE0">
        <w:t>plement U</w:t>
      </w:r>
      <w:r w:rsidR="00CD75DC">
        <w:t>nited Nations</w:t>
      </w:r>
      <w:r w:rsidR="00D25FE0">
        <w:t xml:space="preserve"> Women’s Partners</w:t>
      </w:r>
      <w:r w:rsidRPr="00105972">
        <w:t xml:space="preserve"> Improving Markets </w:t>
      </w:r>
      <w:r w:rsidR="00110380">
        <w:t>p</w:t>
      </w:r>
      <w:r w:rsidRPr="00105972">
        <w:t>roject</w:t>
      </w:r>
      <w:r w:rsidR="00110380">
        <w:t>, P</w:t>
      </w:r>
      <w:r w:rsidRPr="00105972">
        <w:t xml:space="preserve">hase </w:t>
      </w:r>
      <w:r w:rsidR="00330EF3">
        <w:t>2</w:t>
      </w:r>
      <w:r w:rsidRPr="00105972">
        <w:t>. The project aims to improve markets for women by using a rights</w:t>
      </w:r>
      <w:r w:rsidR="00330EF3">
        <w:t>-</w:t>
      </w:r>
      <w:r w:rsidRPr="00105972">
        <w:t xml:space="preserve">based gender approach that builds strong partnerships for change. </w:t>
      </w:r>
    </w:p>
    <w:p w14:paraId="3DDD5BCF" w14:textId="77777777" w:rsidR="00655D73" w:rsidRPr="00B564AE" w:rsidRDefault="00655D73" w:rsidP="00B92DD0">
      <w:pPr>
        <w:pStyle w:val="Heading4"/>
      </w:pPr>
      <w:r w:rsidRPr="00B564AE">
        <w:t xml:space="preserve">Child </w:t>
      </w:r>
      <w:r w:rsidR="00330EF3">
        <w:t>p</w:t>
      </w:r>
      <w:r w:rsidRPr="00B564AE">
        <w:t xml:space="preserve">rotection </w:t>
      </w:r>
    </w:p>
    <w:p w14:paraId="3DDD5BD0" w14:textId="32C796AC" w:rsidR="00655D73" w:rsidRPr="00FE64E7" w:rsidRDefault="005D7D5D" w:rsidP="00B92DD0">
      <w:pPr>
        <w:pStyle w:val="BodyText"/>
      </w:pPr>
      <w:r>
        <w:t xml:space="preserve">A </w:t>
      </w:r>
      <w:r w:rsidR="00655D73" w:rsidRPr="00FE64E7">
        <w:t xml:space="preserve">Child Protection Policy applies to all contractors and CSOs funded by </w:t>
      </w:r>
      <w:r>
        <w:t>DFAT</w:t>
      </w:r>
      <w:r w:rsidR="00330EF3">
        <w:t>, including in Fiji</w:t>
      </w:r>
      <w:r w:rsidR="00655D73" w:rsidRPr="00FE64E7">
        <w:t>. In compliance, FCDP made it mandatory, in its call for proposals, that any CSO working directly with children must have a child protection policy. In 2012</w:t>
      </w:r>
      <w:r w:rsidR="00330EF3">
        <w:t>–</w:t>
      </w:r>
      <w:r w:rsidR="00655D73" w:rsidRPr="00FE64E7">
        <w:t xml:space="preserve">13, three Australian volunteers in Fiji worked on child protection issues. </w:t>
      </w:r>
      <w:r w:rsidR="00330EF3">
        <w:t>A</w:t>
      </w:r>
      <w:r w:rsidR="00655D73" w:rsidRPr="00FE64E7">
        <w:t>fter Tropical Cyclone Evan in December 2012, through FCDP, Save the Children</w:t>
      </w:r>
      <w:r w:rsidR="00B67755">
        <w:t xml:space="preserve"> Fiji activated </w:t>
      </w:r>
      <w:r w:rsidR="00330EF3">
        <w:t xml:space="preserve">10 </w:t>
      </w:r>
      <w:r w:rsidR="00B67755">
        <w:t>child friendly s</w:t>
      </w:r>
      <w:r w:rsidR="00655D73" w:rsidRPr="00FE64E7">
        <w:t xml:space="preserve">paces in evacuation centres. </w:t>
      </w:r>
    </w:p>
    <w:p w14:paraId="3DDD5BD1" w14:textId="5E104C74" w:rsidR="00655D73" w:rsidRPr="00FE64E7" w:rsidRDefault="007B7867" w:rsidP="00B92DD0">
      <w:pPr>
        <w:pStyle w:val="BodyText"/>
      </w:pPr>
      <w:r>
        <w:t xml:space="preserve">The </w:t>
      </w:r>
      <w:r w:rsidR="00A75DFB">
        <w:t>department</w:t>
      </w:r>
      <w:r>
        <w:t xml:space="preserve"> </w:t>
      </w:r>
      <w:r w:rsidR="00655D73" w:rsidRPr="00FE64E7">
        <w:t>is continuing to strengthen systems for managin</w:t>
      </w:r>
      <w:r w:rsidR="00655D73">
        <w:t xml:space="preserve">g risks to children across the </w:t>
      </w:r>
      <w:r w:rsidR="00D9700A">
        <w:t>a</w:t>
      </w:r>
      <w:r w:rsidR="00655D73">
        <w:t xml:space="preserve">id </w:t>
      </w:r>
      <w:r w:rsidR="00330EF3">
        <w:t>p</w:t>
      </w:r>
      <w:r w:rsidR="00655D73" w:rsidRPr="00FE64E7">
        <w:t xml:space="preserve">rogram. </w:t>
      </w:r>
      <w:r w:rsidR="00330EF3">
        <w:t xml:space="preserve">The </w:t>
      </w:r>
      <w:r w:rsidR="00296F88">
        <w:t>d</w:t>
      </w:r>
      <w:r w:rsidR="005D7D5D">
        <w:t>epartment</w:t>
      </w:r>
      <w:r w:rsidR="00330EF3">
        <w:t xml:space="preserve"> </w:t>
      </w:r>
      <w:r w:rsidR="00655D73">
        <w:t>will carry out activities</w:t>
      </w:r>
      <w:r w:rsidR="00655D73" w:rsidRPr="00FE64E7">
        <w:t xml:space="preserve"> over the next </w:t>
      </w:r>
      <w:r w:rsidR="00330EF3">
        <w:t xml:space="preserve">six to </w:t>
      </w:r>
      <w:r w:rsidR="00655D73" w:rsidRPr="00FE64E7">
        <w:t xml:space="preserve">12 months to strengthen systems for managing risks to children. As a first step, </w:t>
      </w:r>
      <w:r w:rsidR="003D1849">
        <w:t xml:space="preserve">the Fiji </w:t>
      </w:r>
      <w:r w:rsidR="00786A00">
        <w:t>p</w:t>
      </w:r>
      <w:r w:rsidR="003D1849">
        <w:t>rogram</w:t>
      </w:r>
      <w:r w:rsidR="00401D11">
        <w:t xml:space="preserve"> </w:t>
      </w:r>
      <w:r w:rsidR="00655D73" w:rsidRPr="00FE64E7">
        <w:t>undertook a child pr</w:t>
      </w:r>
      <w:r w:rsidR="00655D73">
        <w:t>otection stocktake to</w:t>
      </w:r>
      <w:r w:rsidR="00F4132A">
        <w:t xml:space="preserve"> assess current controls and</w:t>
      </w:r>
      <w:r w:rsidR="00655D73">
        <w:t xml:space="preserve"> identify</w:t>
      </w:r>
      <w:r w:rsidR="00655D73" w:rsidRPr="00FE64E7">
        <w:t xml:space="preserve"> activities and agreements that posed ‘high’ and ‘very</w:t>
      </w:r>
      <w:r w:rsidR="00655D73">
        <w:t xml:space="preserve"> high’ risks to children</w:t>
      </w:r>
      <w:r w:rsidR="00655D73" w:rsidRPr="00FE64E7">
        <w:t xml:space="preserve">. </w:t>
      </w:r>
    </w:p>
    <w:p w14:paraId="3DDD5BD2" w14:textId="77777777" w:rsidR="00655D73" w:rsidRPr="00105972" w:rsidRDefault="00655D73" w:rsidP="00B92DD0">
      <w:pPr>
        <w:pStyle w:val="Heading4"/>
      </w:pPr>
      <w:r w:rsidRPr="00105972">
        <w:t>Volunteers</w:t>
      </w:r>
    </w:p>
    <w:p w14:paraId="3DDD5BD3" w14:textId="77777777" w:rsidR="00655D73" w:rsidRPr="001E058B" w:rsidRDefault="0049183C" w:rsidP="00B92DD0">
      <w:pPr>
        <w:pStyle w:val="BodyText"/>
        <w:rPr>
          <w:sz w:val="16"/>
          <w:szCs w:val="16"/>
        </w:rPr>
      </w:pPr>
      <w:r>
        <w:t>From January 2012</w:t>
      </w:r>
      <w:r w:rsidR="00330EF3">
        <w:t xml:space="preserve"> to </w:t>
      </w:r>
      <w:r w:rsidR="00655D73" w:rsidRPr="00105972">
        <w:t>June 2013</w:t>
      </w:r>
      <w:r w:rsidR="00D13D04">
        <w:t>,</w:t>
      </w:r>
      <w:r w:rsidR="00655D73" w:rsidRPr="00105972">
        <w:t xml:space="preserve"> 80 Australian volunteers</w:t>
      </w:r>
      <w:r w:rsidR="00D13D04">
        <w:t xml:space="preserve"> were operating</w:t>
      </w:r>
      <w:r w:rsidR="00655D73" w:rsidRPr="00105972">
        <w:t xml:space="preserve"> in Fiji</w:t>
      </w:r>
      <w:r w:rsidR="00D13D04">
        <w:t>, including</w:t>
      </w:r>
      <w:r w:rsidR="00655D73" w:rsidRPr="00105972">
        <w:t xml:space="preserve"> 68 new assign</w:t>
      </w:r>
      <w:r w:rsidR="00CF3036">
        <w:t>ees</w:t>
      </w:r>
      <w:r w:rsidR="00655D73" w:rsidRPr="00105972">
        <w:t>. This align</w:t>
      </w:r>
      <w:r w:rsidR="00F4132A">
        <w:t>s</w:t>
      </w:r>
      <w:r w:rsidR="00655D73" w:rsidRPr="00105972">
        <w:t xml:space="preserve"> with the target to support around 70 new volunteer placements each year</w:t>
      </w:r>
      <w:r w:rsidR="00655D73" w:rsidRPr="00112653">
        <w:rPr>
          <w:sz w:val="16"/>
          <w:szCs w:val="16"/>
        </w:rPr>
        <w:t>.</w:t>
      </w:r>
      <w:r w:rsidR="00655D73" w:rsidRPr="001E058B">
        <w:rPr>
          <w:rStyle w:val="FootnoteReference"/>
          <w:szCs w:val="16"/>
        </w:rPr>
        <w:footnoteReference w:id="76"/>
      </w:r>
      <w:r w:rsidR="00655D73" w:rsidRPr="00105972">
        <w:t>Australian volunteers in Fiji have contributed to children with hearing impairments learning to speak for the first time, the establishment o</w:t>
      </w:r>
      <w:r w:rsidR="00655D73">
        <w:t>f the Fiji Water Safety Council</w:t>
      </w:r>
      <w:r w:rsidR="00655D73" w:rsidRPr="00105972">
        <w:t xml:space="preserve"> and the development of a stress management centre for people experiencing </w:t>
      </w:r>
      <w:r w:rsidR="00655D73">
        <w:t>mental illness</w:t>
      </w:r>
      <w:r w:rsidR="00655D73" w:rsidRPr="00105972">
        <w:t xml:space="preserve">. </w:t>
      </w:r>
    </w:p>
    <w:p w14:paraId="3DDD5BD4" w14:textId="77777777" w:rsidR="00655D73" w:rsidRPr="00105972" w:rsidRDefault="00655D73" w:rsidP="00B92DD0">
      <w:pPr>
        <w:pStyle w:val="Heading4"/>
      </w:pPr>
      <w:r w:rsidRPr="00105972">
        <w:lastRenderedPageBreak/>
        <w:t>Multilateral Performance Assessment</w:t>
      </w:r>
    </w:p>
    <w:p w14:paraId="3DDD5BD5" w14:textId="77777777" w:rsidR="00655D73" w:rsidRPr="00105972" w:rsidRDefault="00655D73" w:rsidP="00B92DD0">
      <w:pPr>
        <w:pStyle w:val="BodyText"/>
        <w:rPr>
          <w:bCs/>
        </w:rPr>
      </w:pPr>
      <w:r w:rsidRPr="00105972">
        <w:t>In 2012</w:t>
      </w:r>
      <w:r w:rsidR="00CF3036">
        <w:t>–</w:t>
      </w:r>
      <w:r w:rsidRPr="00105972">
        <w:t>13</w:t>
      </w:r>
      <w:r w:rsidR="00F4132A">
        <w:t>,</w:t>
      </w:r>
      <w:r w:rsidRPr="00105972">
        <w:t xml:space="preserve"> the Fiji </w:t>
      </w:r>
      <w:r w:rsidR="00786A00">
        <w:t>p</w:t>
      </w:r>
      <w:r w:rsidRPr="00105972">
        <w:t>rogram worked with a nu</w:t>
      </w:r>
      <w:r>
        <w:t>mber of multilateral partner</w:t>
      </w:r>
      <w:r w:rsidRPr="00105972">
        <w:t>s including UNDP, WHO and UNICEF. T</w:t>
      </w:r>
      <w:r>
        <w:t xml:space="preserve">he </w:t>
      </w:r>
      <w:r w:rsidR="00CF3036">
        <w:t>p</w:t>
      </w:r>
      <w:r w:rsidRPr="00105972">
        <w:t>rogram</w:t>
      </w:r>
      <w:r w:rsidR="00CF3036">
        <w:t xml:space="preserve"> established a</w:t>
      </w:r>
      <w:r>
        <w:t xml:space="preserve"> new</w:t>
      </w:r>
      <w:r w:rsidRPr="00105972">
        <w:t xml:space="preserve"> </w:t>
      </w:r>
      <w:r>
        <w:t xml:space="preserve">relationship with UNDP’s </w:t>
      </w:r>
      <w:r w:rsidR="00CF3036" w:rsidRPr="00520180">
        <w:rPr>
          <w:bCs/>
        </w:rPr>
        <w:t>Strengthening Capacities for Peace and Development</w:t>
      </w:r>
      <w:r w:rsidR="00CF3036">
        <w:rPr>
          <w:bCs/>
        </w:rPr>
        <w:t>, which</w:t>
      </w:r>
      <w:r w:rsidR="00FC2FDB">
        <w:rPr>
          <w:bCs/>
        </w:rPr>
        <w:t xml:space="preserve"> </w:t>
      </w:r>
      <w:r>
        <w:rPr>
          <w:bCs/>
        </w:rPr>
        <w:t>will assess opportunities for collaboration as Fiji’s 2014 elections draw closer</w:t>
      </w:r>
      <w:r w:rsidR="00CF3036">
        <w:rPr>
          <w:bCs/>
        </w:rPr>
        <w:t>.</w:t>
      </w:r>
    </w:p>
    <w:p w14:paraId="3DDD5BD6" w14:textId="0547BAAE" w:rsidR="00655D73" w:rsidRPr="00105972" w:rsidRDefault="00655D73" w:rsidP="00B92DD0">
      <w:pPr>
        <w:pStyle w:val="BodyText"/>
      </w:pPr>
      <w:r w:rsidRPr="00105972">
        <w:t xml:space="preserve">Australian assistance to UNICEF for the Temporary Assistance to Fiji Education </w:t>
      </w:r>
      <w:r w:rsidR="0030497C">
        <w:t>P</w:t>
      </w:r>
      <w:r w:rsidR="00CF3036">
        <w:t xml:space="preserve">rogram </w:t>
      </w:r>
      <w:r w:rsidRPr="00105972">
        <w:t xml:space="preserve">will conclude in June 2013. Assistance was for interim support during the design and tender phase of the current </w:t>
      </w:r>
      <w:r w:rsidR="00CF3036">
        <w:t>ed</w:t>
      </w:r>
      <w:r w:rsidR="00CF3036" w:rsidRPr="00105972">
        <w:t xml:space="preserve">ucation </w:t>
      </w:r>
      <w:r w:rsidR="00CF3036">
        <w:t>p</w:t>
      </w:r>
      <w:r w:rsidRPr="00105972">
        <w:t>rogram</w:t>
      </w:r>
      <w:r w:rsidR="00401D11">
        <w:t xml:space="preserve">. </w:t>
      </w:r>
      <w:r w:rsidR="003D1849">
        <w:t>UNICEF made slow progress with significant delays during the initial assessment and infrastructure phase</w:t>
      </w:r>
      <w:r w:rsidR="00AD2C60">
        <w:t xml:space="preserve">. </w:t>
      </w:r>
      <w:r w:rsidR="003D1849">
        <w:t xml:space="preserve">The budget was also underestimated. </w:t>
      </w:r>
      <w:r w:rsidR="007B7867">
        <w:t>DFAT</w:t>
      </w:r>
      <w:r>
        <w:t xml:space="preserve"> will need to increase monitoring of this activity to ensure it is completed</w:t>
      </w:r>
      <w:r w:rsidR="003D1849">
        <w:t xml:space="preserve"> by June 2013.</w:t>
      </w:r>
    </w:p>
    <w:p w14:paraId="3DDD5BD7" w14:textId="77777777" w:rsidR="00655D73" w:rsidRPr="00105972" w:rsidRDefault="00655D73" w:rsidP="00B92DD0">
      <w:pPr>
        <w:pStyle w:val="BodyText"/>
      </w:pPr>
      <w:r>
        <w:t>Under FHSSP</w:t>
      </w:r>
      <w:r w:rsidRPr="00105972">
        <w:t>, Australia has provided support to</w:t>
      </w:r>
      <w:r w:rsidR="00D9700A">
        <w:t xml:space="preserve"> </w:t>
      </w:r>
      <w:r w:rsidRPr="00105972">
        <w:t>WHO to run health p</w:t>
      </w:r>
      <w:r>
        <w:t>romotion in schools. FHSSP</w:t>
      </w:r>
      <w:r w:rsidRPr="00105972">
        <w:t xml:space="preserve"> will work closely with WHO officials to ensure maximum gain </w:t>
      </w:r>
      <w:r w:rsidR="00CF3036">
        <w:t>from</w:t>
      </w:r>
      <w:r w:rsidR="00CF3036" w:rsidRPr="00105972">
        <w:t xml:space="preserve"> </w:t>
      </w:r>
      <w:r w:rsidRPr="00105972">
        <w:t>Australia’s investment.</w:t>
      </w:r>
    </w:p>
    <w:p w14:paraId="3DDD5BD8" w14:textId="77777777" w:rsidR="00655D73" w:rsidRPr="00105972" w:rsidRDefault="00655D73" w:rsidP="00B92DD0">
      <w:pPr>
        <w:pStyle w:val="BodyText"/>
      </w:pPr>
      <w:r w:rsidRPr="00105972">
        <w:t xml:space="preserve">The </w:t>
      </w:r>
      <w:r>
        <w:t xml:space="preserve">CREO </w:t>
      </w:r>
      <w:r w:rsidR="00CF3036">
        <w:t>p</w:t>
      </w:r>
      <w:r w:rsidRPr="00105972">
        <w:t xml:space="preserve">rogram works closely with </w:t>
      </w:r>
      <w:r w:rsidR="001E058B">
        <w:t>PFIP</w:t>
      </w:r>
      <w:r w:rsidR="00CF3036">
        <w:t xml:space="preserve">, which </w:t>
      </w:r>
      <w:r>
        <w:t>has been responsive and efficient in delivering financial literacy</w:t>
      </w:r>
      <w:r w:rsidR="001E058B">
        <w:t xml:space="preserve"> programs</w:t>
      </w:r>
      <w:r>
        <w:t>, developing new avenues for micro-savings and pil</w:t>
      </w:r>
      <w:r w:rsidR="00B67755">
        <w:t xml:space="preserve">oting micro-insurance in Fiji. </w:t>
      </w:r>
      <w:r>
        <w:t>These and other initiatives will need to be developed and complemented by additional efforts to improve remittance transfer efficiency in</w:t>
      </w:r>
      <w:r w:rsidR="001E058B">
        <w:t xml:space="preserve"> </w:t>
      </w:r>
      <w:r w:rsidR="003D1849">
        <w:t>2013</w:t>
      </w:r>
      <w:r w:rsidR="00F97EA7">
        <w:t>–</w:t>
      </w:r>
      <w:r w:rsidR="003D1849">
        <w:t>14.</w:t>
      </w:r>
    </w:p>
    <w:p w14:paraId="3DDD5BD9" w14:textId="77777777" w:rsidR="00655D73" w:rsidRDefault="00655D73" w:rsidP="00B92DD0">
      <w:pPr>
        <w:pStyle w:val="Heading1"/>
      </w:pPr>
      <w:r w:rsidRPr="00105972">
        <w:t xml:space="preserve">Quality </w:t>
      </w:r>
      <w:r w:rsidRPr="00B92DD0">
        <w:t>at</w:t>
      </w:r>
      <w:r w:rsidRPr="00105972">
        <w:t xml:space="preserve"> Implementation </w:t>
      </w:r>
      <w:r w:rsidR="00F97EA7">
        <w:t>r</w:t>
      </w:r>
      <w:r w:rsidRPr="00105972">
        <w:t xml:space="preserve">atings </w:t>
      </w:r>
    </w:p>
    <w:p w14:paraId="3DDD5BDA" w14:textId="77777777" w:rsidR="00655D73" w:rsidRPr="00105972" w:rsidRDefault="00655D73" w:rsidP="00B92DD0">
      <w:pPr>
        <w:pStyle w:val="BodyText"/>
      </w:pPr>
      <w:r>
        <w:t>Ten</w:t>
      </w:r>
      <w:r w:rsidRPr="00105972">
        <w:t xml:space="preserve"> Quality at Implementation (QAI) reports were produced by the Fiji </w:t>
      </w:r>
      <w:r w:rsidR="00786A00">
        <w:t>p</w:t>
      </w:r>
      <w:r w:rsidRPr="00105972">
        <w:t>rogram in 2013.</w:t>
      </w:r>
      <w:r w:rsidR="00270CB6">
        <w:rPr>
          <w:rStyle w:val="FootnoteReference"/>
        </w:rPr>
        <w:footnoteReference w:id="77"/>
      </w:r>
      <w:r>
        <w:t xml:space="preserve"> S</w:t>
      </w:r>
      <w:r w:rsidRPr="00105972">
        <w:t xml:space="preserve">ix </w:t>
      </w:r>
      <w:r>
        <w:t>covered both 2011 and 2012 (Annex B).</w:t>
      </w:r>
    </w:p>
    <w:p w14:paraId="3DDD5BDB" w14:textId="77777777" w:rsidR="00655D73" w:rsidRPr="00105972" w:rsidRDefault="00655D73" w:rsidP="00B92DD0">
      <w:pPr>
        <w:pStyle w:val="BodyText"/>
      </w:pPr>
      <w:r>
        <w:t>T</w:t>
      </w:r>
      <w:r w:rsidRPr="00105972">
        <w:t xml:space="preserve">he </w:t>
      </w:r>
      <w:r w:rsidR="00786A00">
        <w:t>p</w:t>
      </w:r>
      <w:r w:rsidRPr="00105972">
        <w:t>rogram performed well in 2012</w:t>
      </w:r>
      <w:r w:rsidR="00F97EA7">
        <w:t>–</w:t>
      </w:r>
      <w:r w:rsidR="007007E0">
        <w:t>13. The QAI process found</w:t>
      </w:r>
      <w:r w:rsidRPr="00105972">
        <w:t xml:space="preserve"> i</w:t>
      </w:r>
      <w:r>
        <w:t xml:space="preserve">nitiatives </w:t>
      </w:r>
      <w:r w:rsidR="0030497C">
        <w:t>to be</w:t>
      </w:r>
      <w:r>
        <w:t xml:space="preserve"> highly relevant and m</w:t>
      </w:r>
      <w:r w:rsidRPr="00105972">
        <w:t xml:space="preserve">ost programs rated well on effectiveness and </w:t>
      </w:r>
      <w:r>
        <w:t>efficiency. M</w:t>
      </w:r>
      <w:r w:rsidRPr="00105972">
        <w:t>onitoring and evaluation and s</w:t>
      </w:r>
      <w:r>
        <w:t>ustainability require further work</w:t>
      </w:r>
      <w:r w:rsidRPr="00105972">
        <w:t>. The Temporary Assistance to Fiji Education Program</w:t>
      </w:r>
      <w:r>
        <w:t xml:space="preserve"> requires close management</w:t>
      </w:r>
      <w:r w:rsidRPr="00105972">
        <w:t xml:space="preserve">. </w:t>
      </w:r>
    </w:p>
    <w:p w14:paraId="3DDD5BDC" w14:textId="77777777" w:rsidR="00655D73" w:rsidRPr="00105972" w:rsidRDefault="00655D73" w:rsidP="00B92DD0">
      <w:pPr>
        <w:pStyle w:val="BodyText"/>
      </w:pPr>
      <w:r w:rsidRPr="00105972">
        <w:t xml:space="preserve">Program ratings for most indicators remained steady across 2011 and 2012. </w:t>
      </w:r>
      <w:r>
        <w:t>M</w:t>
      </w:r>
      <w:r w:rsidRPr="00105972">
        <w:t>onitoring and evaluati</w:t>
      </w:r>
      <w:r>
        <w:t xml:space="preserve">on improved for two initiatives, </w:t>
      </w:r>
      <w:r w:rsidRPr="00105972">
        <w:t>decreased for one and re</w:t>
      </w:r>
      <w:r>
        <w:t>mained the same for three</w:t>
      </w:r>
      <w:r w:rsidRPr="00105972">
        <w:t xml:space="preserve"> (rating of four). A rating of four</w:t>
      </w:r>
      <w:r w:rsidR="0030497C">
        <w:t xml:space="preserve">, which </w:t>
      </w:r>
      <w:r w:rsidRPr="00105972">
        <w:t xml:space="preserve">equates to adequate quality, </w:t>
      </w:r>
      <w:r w:rsidR="0030497C">
        <w:t>requires</w:t>
      </w:r>
      <w:r w:rsidRPr="00105972">
        <w:t xml:space="preserve"> work. Sustainability ratings decreased for four initiatives. </w:t>
      </w:r>
    </w:p>
    <w:p w14:paraId="3DDD5BDD" w14:textId="77777777" w:rsidR="00655D73" w:rsidRPr="00105972" w:rsidRDefault="00655D73" w:rsidP="00B92DD0">
      <w:pPr>
        <w:pStyle w:val="BodyText"/>
      </w:pPr>
      <w:r w:rsidRPr="00105972">
        <w:t xml:space="preserve">The </w:t>
      </w:r>
      <w:r w:rsidR="0030497C">
        <w:t>p</w:t>
      </w:r>
      <w:r w:rsidRPr="00105972">
        <w:t xml:space="preserve">rogram managed risks well. Apart from the Temporary Assistance to Fiji Education </w:t>
      </w:r>
      <w:r w:rsidR="0030497C">
        <w:t xml:space="preserve">Program, </w:t>
      </w:r>
      <w:r w:rsidRPr="00105972">
        <w:t>other programs received a green or amber rating. Programs take a proact</w:t>
      </w:r>
      <w:r>
        <w:t xml:space="preserve">ive approach to risk and operate well within the constrained </w:t>
      </w:r>
      <w:r w:rsidRPr="00105972">
        <w:t>environment</w:t>
      </w:r>
      <w:r>
        <w:t>.</w:t>
      </w:r>
    </w:p>
    <w:p w14:paraId="3DDD5BDE" w14:textId="77777777" w:rsidR="00655D73" w:rsidRDefault="00655D73" w:rsidP="00B92DD0">
      <w:pPr>
        <w:pStyle w:val="BodyText"/>
        <w:rPr>
          <w:bCs/>
        </w:rPr>
      </w:pPr>
      <w:r w:rsidRPr="00105972">
        <w:rPr>
          <w:bCs/>
        </w:rPr>
        <w:t>The QAI moderation</w:t>
      </w:r>
      <w:r w:rsidR="001E058B">
        <w:rPr>
          <w:bCs/>
        </w:rPr>
        <w:t xml:space="preserve"> process found that the Fiji </w:t>
      </w:r>
      <w:r w:rsidR="00786A00">
        <w:rPr>
          <w:bCs/>
        </w:rPr>
        <w:t>p</w:t>
      </w:r>
      <w:r w:rsidR="001E058B">
        <w:rPr>
          <w:bCs/>
        </w:rPr>
        <w:t>rogram’s</w:t>
      </w:r>
      <w:r w:rsidRPr="00105972">
        <w:rPr>
          <w:bCs/>
        </w:rPr>
        <w:t xml:space="preserve"> objectives were not always measureable. It suggested creating stronger links between the initiative and </w:t>
      </w:r>
      <w:r w:rsidR="0030497C">
        <w:rPr>
          <w:bCs/>
        </w:rPr>
        <w:t xml:space="preserve">the </w:t>
      </w:r>
      <w:r w:rsidRPr="00105972">
        <w:rPr>
          <w:bCs/>
        </w:rPr>
        <w:t xml:space="preserve">Fiji Country Strategy </w:t>
      </w:r>
      <w:r w:rsidR="0030497C">
        <w:rPr>
          <w:bCs/>
        </w:rPr>
        <w:t xml:space="preserve">2012–14 </w:t>
      </w:r>
      <w:r w:rsidRPr="00105972">
        <w:rPr>
          <w:bCs/>
        </w:rPr>
        <w:t xml:space="preserve">and </w:t>
      </w:r>
      <w:r w:rsidR="0030497C">
        <w:rPr>
          <w:bCs/>
        </w:rPr>
        <w:t>its p</w:t>
      </w:r>
      <w:r w:rsidRPr="00105972">
        <w:rPr>
          <w:bCs/>
        </w:rPr>
        <w:t xml:space="preserve">erformance </w:t>
      </w:r>
      <w:r w:rsidR="0030497C">
        <w:rPr>
          <w:bCs/>
        </w:rPr>
        <w:t>a</w:t>
      </w:r>
      <w:r w:rsidRPr="00105972">
        <w:rPr>
          <w:bCs/>
        </w:rPr>
        <w:t xml:space="preserve">ssessment </w:t>
      </w:r>
      <w:r w:rsidR="0030497C">
        <w:rPr>
          <w:bCs/>
        </w:rPr>
        <w:t>f</w:t>
      </w:r>
      <w:r w:rsidRPr="00105972">
        <w:rPr>
          <w:bCs/>
        </w:rPr>
        <w:t xml:space="preserve">ramework. </w:t>
      </w:r>
    </w:p>
    <w:p w14:paraId="3DDD5BDF" w14:textId="77777777" w:rsidR="00655D73" w:rsidRPr="00B92DD0" w:rsidRDefault="00655D73" w:rsidP="00B92DD0">
      <w:pPr>
        <w:pStyle w:val="Heading1"/>
      </w:pPr>
      <w:r w:rsidRPr="00B92DD0">
        <w:t xml:space="preserve">Management </w:t>
      </w:r>
      <w:r w:rsidR="00350736" w:rsidRPr="00B92DD0">
        <w:t>c</w:t>
      </w:r>
      <w:r w:rsidRPr="00B92DD0">
        <w:t xml:space="preserve">onsequences </w:t>
      </w:r>
    </w:p>
    <w:p w14:paraId="3DDD5BE0" w14:textId="77777777" w:rsidR="0049183C" w:rsidRDefault="0049183C" w:rsidP="00B92DD0">
      <w:pPr>
        <w:pStyle w:val="BodyText"/>
      </w:pPr>
      <w:r>
        <w:t xml:space="preserve">The </w:t>
      </w:r>
      <w:r w:rsidR="0030497C">
        <w:t>p</w:t>
      </w:r>
      <w:r>
        <w:t>rogram will</w:t>
      </w:r>
      <w:r w:rsidR="0030497C">
        <w:t>:</w:t>
      </w:r>
    </w:p>
    <w:p w14:paraId="3DDD5BE1" w14:textId="24700FED" w:rsidR="00655D73" w:rsidRPr="005748DE" w:rsidRDefault="002B27C7" w:rsidP="00B92DD0">
      <w:pPr>
        <w:pStyle w:val="ListBullet"/>
      </w:pPr>
      <w:r>
        <w:t>R</w:t>
      </w:r>
      <w:r w:rsidR="0049183C">
        <w:t xml:space="preserve">evise and </w:t>
      </w:r>
      <w:r w:rsidR="00655D73">
        <w:t xml:space="preserve">strengthen the </w:t>
      </w:r>
      <w:r w:rsidR="006F03F3">
        <w:t>monitoring and evaluation</w:t>
      </w:r>
      <w:r w:rsidR="00655D73">
        <w:t xml:space="preserve"> frameworks of its major programs, ensuring they</w:t>
      </w:r>
      <w:r w:rsidR="001E058B">
        <w:t xml:space="preserve"> are linked to the </w:t>
      </w:r>
      <w:r w:rsidR="00F4132A">
        <w:t>p</w:t>
      </w:r>
      <w:r w:rsidR="00655D73">
        <w:t>erform</w:t>
      </w:r>
      <w:r w:rsidR="001E058B">
        <w:t xml:space="preserve">ance </w:t>
      </w:r>
      <w:r w:rsidR="00F4132A">
        <w:t>a</w:t>
      </w:r>
      <w:r w:rsidR="001E058B">
        <w:t xml:space="preserve">ssessment </w:t>
      </w:r>
      <w:r w:rsidR="00F4132A">
        <w:t>f</w:t>
      </w:r>
      <w:r w:rsidR="001E058B">
        <w:t xml:space="preserve">ramework. The </w:t>
      </w:r>
      <w:r w:rsidR="006F03F3">
        <w:t>p</w:t>
      </w:r>
      <w:r w:rsidR="00655D73">
        <w:t>rogram will develop annual</w:t>
      </w:r>
      <w:r w:rsidR="00655D73" w:rsidRPr="00105972">
        <w:t xml:space="preserve"> targets for each objective</w:t>
      </w:r>
      <w:r w:rsidR="00655D73">
        <w:t xml:space="preserve"> of the Fiji </w:t>
      </w:r>
      <w:r>
        <w:t>c</w:t>
      </w:r>
      <w:r w:rsidR="00655D73">
        <w:t xml:space="preserve">ountry </w:t>
      </w:r>
      <w:r>
        <w:t>s</w:t>
      </w:r>
      <w:r w:rsidR="00655D73">
        <w:t>trategy</w:t>
      </w:r>
      <w:r w:rsidR="00655D73" w:rsidRPr="00105972">
        <w:t xml:space="preserve"> </w:t>
      </w:r>
      <w:r w:rsidR="001E058B">
        <w:t xml:space="preserve">and monitor </w:t>
      </w:r>
      <w:r w:rsidR="00655D73">
        <w:t xml:space="preserve">these through QAIs and </w:t>
      </w:r>
      <w:r w:rsidR="002F5AE2">
        <w:t>APPR</w:t>
      </w:r>
      <w:r>
        <w:t>s</w:t>
      </w:r>
      <w:r w:rsidR="00655D73">
        <w:t xml:space="preserve">. Staff capacity on </w:t>
      </w:r>
      <w:r w:rsidR="006F03F3">
        <w:t>monitoring and evaluation</w:t>
      </w:r>
      <w:r w:rsidR="00655D73">
        <w:t xml:space="preserve"> will be strengthened.</w:t>
      </w:r>
    </w:p>
    <w:p w14:paraId="3DDD5BE2" w14:textId="77777777" w:rsidR="00655D73" w:rsidRDefault="002B27C7" w:rsidP="00B92DD0">
      <w:pPr>
        <w:pStyle w:val="ListBullet"/>
      </w:pPr>
      <w:r>
        <w:lastRenderedPageBreak/>
        <w:t>C</w:t>
      </w:r>
      <w:r w:rsidR="00655D73" w:rsidRPr="00105972">
        <w:t>ontinue th</w:t>
      </w:r>
      <w:r w:rsidR="001E058B">
        <w:t>e focus on poverty</w:t>
      </w:r>
      <w:r w:rsidR="0049183C">
        <w:t>, including</w:t>
      </w:r>
      <w:r w:rsidR="001E058B">
        <w:t xml:space="preserve"> how </w:t>
      </w:r>
      <w:r w:rsidR="00655D73" w:rsidRPr="00105972">
        <w:t xml:space="preserve">best </w:t>
      </w:r>
      <w:r>
        <w:t xml:space="preserve">to </w:t>
      </w:r>
      <w:r w:rsidR="00655D73" w:rsidRPr="00105972">
        <w:t xml:space="preserve">address the drivers of poverty. </w:t>
      </w:r>
      <w:r w:rsidR="00655D73">
        <w:t xml:space="preserve">This will include new </w:t>
      </w:r>
      <w:r w:rsidR="001E058B">
        <w:t xml:space="preserve">analysis of poverty and gender, </w:t>
      </w:r>
      <w:r w:rsidR="00655D73">
        <w:t>unemployment and informal squatter</w:t>
      </w:r>
      <w:r w:rsidR="001E058B">
        <w:t xml:space="preserve"> settlements</w:t>
      </w:r>
      <w:r>
        <w:t xml:space="preserve"> in Fiji</w:t>
      </w:r>
      <w:r w:rsidR="00AD2C60">
        <w:t xml:space="preserve">. </w:t>
      </w:r>
      <w:r w:rsidR="001E058B">
        <w:t>This will</w:t>
      </w:r>
      <w:r w:rsidR="00655D73">
        <w:t xml:space="preserve"> be complemented by program-based poverty analyses in relation to markets, school communities (AQEP) and community-based social protection (FCDP)</w:t>
      </w:r>
      <w:r w:rsidR="00AD2C60">
        <w:t xml:space="preserve">. </w:t>
      </w:r>
      <w:r w:rsidR="00655D73">
        <w:t xml:space="preserve">Once results are available, a workshop will be held for the Fiji </w:t>
      </w:r>
      <w:r w:rsidR="00786A00">
        <w:t>p</w:t>
      </w:r>
      <w:r w:rsidR="00655D73">
        <w:t>rogram to d</w:t>
      </w:r>
      <w:r w:rsidR="00655D73" w:rsidRPr="00105972">
        <w:t xml:space="preserve">evelop a </w:t>
      </w:r>
      <w:r w:rsidR="00655D73">
        <w:t>common understanding</w:t>
      </w:r>
      <w:r w:rsidR="00655D73" w:rsidRPr="00105972">
        <w:t xml:space="preserve"> of poverty </w:t>
      </w:r>
      <w:r w:rsidR="00655D73">
        <w:t>and an approach to tackling poverty in each sectoral program</w:t>
      </w:r>
      <w:r w:rsidR="00655D73" w:rsidRPr="00105972">
        <w:t>.</w:t>
      </w:r>
      <w:r w:rsidR="00FC27DE">
        <w:t xml:space="preserve"> </w:t>
      </w:r>
    </w:p>
    <w:p w14:paraId="3DDD5BE3" w14:textId="54E42CA7" w:rsidR="00655D73" w:rsidRPr="00105972" w:rsidRDefault="0025629A" w:rsidP="00B92DD0">
      <w:pPr>
        <w:pStyle w:val="ListBullet"/>
      </w:pPr>
      <w:r>
        <w:t>C</w:t>
      </w:r>
      <w:r w:rsidR="00655D73">
        <w:t>ontinue</w:t>
      </w:r>
      <w:r w:rsidR="00442A65">
        <w:t xml:space="preserve"> to support Fiji to take credible steps towards a return to democracy</w:t>
      </w:r>
      <w:r w:rsidR="00655D73">
        <w:t xml:space="preserve"> </w:t>
      </w:r>
      <w:r w:rsidR="00442A65">
        <w:t xml:space="preserve">by </w:t>
      </w:r>
      <w:r w:rsidR="00655D73">
        <w:t>work</w:t>
      </w:r>
      <w:r w:rsidR="00442A65">
        <w:t>ing</w:t>
      </w:r>
      <w:r w:rsidR="00655D73">
        <w:t xml:space="preserve"> closely with </w:t>
      </w:r>
      <w:r w:rsidR="00350736">
        <w:t>D</w:t>
      </w:r>
      <w:r w:rsidR="00621C1A">
        <w:t>FAT colleagues</w:t>
      </w:r>
      <w:r w:rsidR="00595482">
        <w:t xml:space="preserve"> and</w:t>
      </w:r>
      <w:r w:rsidR="00442A65">
        <w:t xml:space="preserve"> other Australian </w:t>
      </w:r>
      <w:r w:rsidR="0049183C">
        <w:t>G</w:t>
      </w:r>
      <w:r w:rsidR="00350736">
        <w:t>o</w:t>
      </w:r>
      <w:r w:rsidR="00442A65">
        <w:t>vernment agencies</w:t>
      </w:r>
      <w:r w:rsidR="00595482">
        <w:t xml:space="preserve"> </w:t>
      </w:r>
      <w:r w:rsidR="00655D73">
        <w:t>and jointly collaborat</w:t>
      </w:r>
      <w:r w:rsidR="00442A65">
        <w:t>ing</w:t>
      </w:r>
      <w:r w:rsidR="00655D73">
        <w:t xml:space="preserve"> with donors as </w:t>
      </w:r>
      <w:r>
        <w:t xml:space="preserve">Australia </w:t>
      </w:r>
      <w:r w:rsidR="00655D73">
        <w:t>consider</w:t>
      </w:r>
      <w:r>
        <w:t>s</w:t>
      </w:r>
      <w:r w:rsidR="00655D73">
        <w:t xml:space="preserve"> options for post-election engagement.</w:t>
      </w:r>
    </w:p>
    <w:p w14:paraId="3DDD5BE4" w14:textId="77777777" w:rsidR="00655D73" w:rsidRPr="00105972" w:rsidRDefault="0025629A" w:rsidP="00B92DD0">
      <w:pPr>
        <w:pStyle w:val="ListBullet"/>
      </w:pPr>
      <w:r>
        <w:t>F</w:t>
      </w:r>
      <w:r w:rsidR="00655D73">
        <w:t xml:space="preserve">inalise the Fiji </w:t>
      </w:r>
      <w:r>
        <w:t>c</w:t>
      </w:r>
      <w:r w:rsidR="00655D73">
        <w:t xml:space="preserve">ountry </w:t>
      </w:r>
      <w:r>
        <w:t>p</w:t>
      </w:r>
      <w:r w:rsidR="00655D73">
        <w:t>lan for the P</w:t>
      </w:r>
      <w:r>
        <w:t xml:space="preserve">WSPD </w:t>
      </w:r>
      <w:r w:rsidR="00655D73">
        <w:t>initiative</w:t>
      </w:r>
      <w:r w:rsidR="00AD2C60">
        <w:t xml:space="preserve">. </w:t>
      </w:r>
      <w:r w:rsidR="00655D73">
        <w:t>This will include gender analysis to understand the gendered dimensions of school access and shape interventions for PWSPD through AQEP.</w:t>
      </w:r>
    </w:p>
    <w:p w14:paraId="3DDD5BE5" w14:textId="77777777" w:rsidR="00655D73" w:rsidRDefault="0025629A" w:rsidP="00B92DD0">
      <w:pPr>
        <w:pStyle w:val="ListBullet"/>
      </w:pPr>
      <w:r>
        <w:t>D</w:t>
      </w:r>
      <w:r w:rsidR="00655D73">
        <w:t>evelop financial inclusion interventions in areas requir</w:t>
      </w:r>
      <w:r>
        <w:t>ing</w:t>
      </w:r>
      <w:r w:rsidR="00655D73">
        <w:t xml:space="preserve"> further investigation, in particular remittances and micro-savings.</w:t>
      </w:r>
    </w:p>
    <w:p w14:paraId="3DDD5BE6" w14:textId="77777777" w:rsidR="00655D73" w:rsidRDefault="0025629A" w:rsidP="00B92DD0">
      <w:pPr>
        <w:pStyle w:val="ListBullet"/>
      </w:pPr>
      <w:r>
        <w:t>D</w:t>
      </w:r>
      <w:r w:rsidR="00655D73" w:rsidRPr="00105972">
        <w:t xml:space="preserve">evelop and strengthen the Australia Awards Alumni Association in Fiji. </w:t>
      </w:r>
    </w:p>
    <w:p w14:paraId="350982B5" w14:textId="77777777" w:rsidR="0001361A" w:rsidRPr="00105972" w:rsidRDefault="0001361A" w:rsidP="0001361A">
      <w:pPr>
        <w:pStyle w:val="BodyText"/>
      </w:pPr>
    </w:p>
    <w:p w14:paraId="3DDD5BE7" w14:textId="77777777" w:rsidR="00655D73" w:rsidRPr="00105972" w:rsidRDefault="00655D73" w:rsidP="00B92DD0">
      <w:pPr>
        <w:pStyle w:val="Caption"/>
      </w:pPr>
      <w:r w:rsidRPr="00105972">
        <w:t xml:space="preserve">Table </w:t>
      </w:r>
      <w:r w:rsidR="00852C85">
        <w:fldChar w:fldCharType="begin"/>
      </w:r>
      <w:r w:rsidR="00852C85">
        <w:instrText xml:space="preserve"> SEQ Table \* ARABIC </w:instrText>
      </w:r>
      <w:r w:rsidR="00852C85">
        <w:fldChar w:fldCharType="separate"/>
      </w:r>
      <w:r w:rsidR="00641DDF">
        <w:rPr>
          <w:noProof/>
        </w:rPr>
        <w:t>3</w:t>
      </w:r>
      <w:r w:rsidR="00852C85">
        <w:rPr>
          <w:noProof/>
        </w:rPr>
        <w:fldChar w:fldCharType="end"/>
      </w:r>
      <w:r w:rsidRPr="00105972">
        <w:t xml:space="preserve"> Risks associated with the program and management actions</w:t>
      </w:r>
    </w:p>
    <w:tbl>
      <w:tblPr>
        <w:tblStyle w:val="APPR"/>
        <w:tblW w:w="5000" w:type="pct"/>
        <w:tblBorders>
          <w:bottom w:val="single" w:sz="4" w:space="0" w:color="auto"/>
        </w:tblBorders>
        <w:tblLook w:val="0600" w:firstRow="0" w:lastRow="0" w:firstColumn="0" w:lastColumn="0" w:noHBand="1" w:noVBand="1"/>
      </w:tblPr>
      <w:tblGrid>
        <w:gridCol w:w="4434"/>
        <w:gridCol w:w="4172"/>
      </w:tblGrid>
      <w:tr w:rsidR="00655D73" w:rsidRPr="0051525E" w14:paraId="3DDD5BEA" w14:textId="77777777" w:rsidTr="00FC2FDB">
        <w:tc>
          <w:tcPr>
            <w:tcW w:w="4363" w:type="dxa"/>
          </w:tcPr>
          <w:p w14:paraId="3DDD5BE8" w14:textId="77777777" w:rsidR="00655D73" w:rsidRPr="00B92DD0" w:rsidRDefault="00655D73" w:rsidP="00B92DD0">
            <w:pPr>
              <w:pStyle w:val="TableTextColumnHeading"/>
            </w:pPr>
            <w:r w:rsidRPr="00B92DD0">
              <w:t>Most significant risks</w:t>
            </w:r>
          </w:p>
        </w:tc>
        <w:tc>
          <w:tcPr>
            <w:tcW w:w="4103" w:type="dxa"/>
          </w:tcPr>
          <w:p w14:paraId="3DDD5BE9" w14:textId="77777777" w:rsidR="00655D73" w:rsidRPr="00B92DD0" w:rsidRDefault="00655D73" w:rsidP="00B92DD0">
            <w:pPr>
              <w:pStyle w:val="TableTextColumnHeading"/>
            </w:pPr>
            <w:r w:rsidRPr="00B92DD0">
              <w:t xml:space="preserve">Management </w:t>
            </w:r>
            <w:r w:rsidR="0025629A" w:rsidRPr="00B92DD0">
              <w:t>r</w:t>
            </w:r>
            <w:r w:rsidRPr="00B92DD0">
              <w:t>esponse</w:t>
            </w:r>
            <w:r w:rsidR="0025629A" w:rsidRPr="00B92DD0">
              <w:t>—</w:t>
            </w:r>
            <w:r w:rsidRPr="00B92DD0">
              <w:t xml:space="preserve">What? Who? How? When? </w:t>
            </w:r>
          </w:p>
        </w:tc>
      </w:tr>
      <w:tr w:rsidR="00655D73" w:rsidRPr="0051525E" w14:paraId="3DDD5BED" w14:textId="77777777" w:rsidTr="00FC2FDB">
        <w:tc>
          <w:tcPr>
            <w:tcW w:w="4363" w:type="dxa"/>
          </w:tcPr>
          <w:p w14:paraId="3DDD5BEB" w14:textId="525F377A" w:rsidR="00655D73" w:rsidRPr="00A10B41" w:rsidRDefault="00655D73" w:rsidP="00172D8E">
            <w:pPr>
              <w:pStyle w:val="TableTextEntries"/>
            </w:pPr>
            <w:r w:rsidRPr="00A10B41">
              <w:t xml:space="preserve">Australia is committed to assisting Fiji’s transition to democracy. </w:t>
            </w:r>
            <w:r w:rsidR="0025629A" w:rsidRPr="00A10B41">
              <w:t>Australia has</w:t>
            </w:r>
            <w:r w:rsidRPr="00A10B41">
              <w:t xml:space="preserve"> limited engagement with the Fiji </w:t>
            </w:r>
            <w:r w:rsidR="00172D8E">
              <w:t>Government</w:t>
            </w:r>
            <w:r w:rsidRPr="00A10B41">
              <w:t xml:space="preserve"> and the operating environment is often uncertain. This consumes considerable management time and diverts resources away from other program objectives.</w:t>
            </w:r>
          </w:p>
        </w:tc>
        <w:tc>
          <w:tcPr>
            <w:tcW w:w="4103" w:type="dxa"/>
          </w:tcPr>
          <w:p w14:paraId="3DDD5BEC" w14:textId="29E0349D" w:rsidR="00655D73" w:rsidRPr="00A10B41" w:rsidRDefault="007B7867" w:rsidP="00172D8E">
            <w:pPr>
              <w:pStyle w:val="TableTextEntries"/>
            </w:pPr>
            <w:r>
              <w:t>The</w:t>
            </w:r>
            <w:r w:rsidR="0023651C" w:rsidRPr="00A10B41">
              <w:t xml:space="preserve"> </w:t>
            </w:r>
            <w:r w:rsidR="001E058B" w:rsidRPr="00A10B41">
              <w:t xml:space="preserve">Minister Counsellor and </w:t>
            </w:r>
            <w:r w:rsidR="00655D73" w:rsidRPr="00A10B41">
              <w:t>Counsellor</w:t>
            </w:r>
            <w:r w:rsidR="0025629A" w:rsidRPr="00A10B41">
              <w:t>,</w:t>
            </w:r>
            <w:r w:rsidR="00655D73" w:rsidRPr="00A10B41">
              <w:t xml:space="preserve"> together with </w:t>
            </w:r>
            <w:r w:rsidR="00621C1A">
              <w:t>DFAT colleagues</w:t>
            </w:r>
            <w:r w:rsidR="0025629A" w:rsidRPr="00A10B41">
              <w:t>,</w:t>
            </w:r>
            <w:r w:rsidR="00655D73" w:rsidRPr="00A10B41">
              <w:t xml:space="preserve"> will continue to build a relationship with the </w:t>
            </w:r>
            <w:r w:rsidR="0025629A" w:rsidRPr="00A10B41">
              <w:t xml:space="preserve">Fiji </w:t>
            </w:r>
            <w:r w:rsidR="00655D73" w:rsidRPr="00A10B41">
              <w:t>i</w:t>
            </w:r>
            <w:r w:rsidR="007007E0" w:rsidRPr="00A10B41">
              <w:t>G</w:t>
            </w:r>
            <w:r w:rsidR="00655D73" w:rsidRPr="00A10B41">
              <w:t xml:space="preserve">overnment to identify opportunities to support a transition to democracy. The </w:t>
            </w:r>
            <w:r w:rsidR="006F03F3" w:rsidRPr="00A10B41">
              <w:t>p</w:t>
            </w:r>
            <w:r w:rsidR="00655D73" w:rsidRPr="00A10B41">
              <w:t xml:space="preserve">rogram continues to work closely with </w:t>
            </w:r>
            <w:r w:rsidR="00621C1A">
              <w:t>DFAT</w:t>
            </w:r>
            <w:r w:rsidR="00655D73" w:rsidRPr="00A10B41">
              <w:t xml:space="preserve"> </w:t>
            </w:r>
            <w:r w:rsidR="0025629A" w:rsidRPr="00A10B41">
              <w:t xml:space="preserve">in </w:t>
            </w:r>
            <w:r w:rsidR="00655D73" w:rsidRPr="00A10B41">
              <w:t>Canberra and donors.</w:t>
            </w:r>
          </w:p>
        </w:tc>
      </w:tr>
      <w:tr w:rsidR="004E41AD" w:rsidRPr="00105972" w14:paraId="3DDD5BF0" w14:textId="77777777" w:rsidTr="00FC2FDB">
        <w:tc>
          <w:tcPr>
            <w:tcW w:w="4363" w:type="dxa"/>
          </w:tcPr>
          <w:p w14:paraId="3DDD5BEE" w14:textId="194F3717" w:rsidR="004E41AD" w:rsidRPr="00A10B41" w:rsidRDefault="004E41AD" w:rsidP="00172D8E">
            <w:pPr>
              <w:pStyle w:val="TableTextEntries"/>
            </w:pPr>
            <w:r w:rsidRPr="00A10B41">
              <w:t>The uncertainty that</w:t>
            </w:r>
            <w:r w:rsidR="0049183C" w:rsidRPr="00A10B41">
              <w:t xml:space="preserve"> </w:t>
            </w:r>
            <w:r w:rsidR="0025629A" w:rsidRPr="00A10B41">
              <w:t xml:space="preserve">Fiji’s </w:t>
            </w:r>
            <w:r w:rsidR="00172D8E">
              <w:t>Government</w:t>
            </w:r>
            <w:r w:rsidR="0049183C" w:rsidRPr="00A10B41">
              <w:t xml:space="preserve"> will ap</w:t>
            </w:r>
            <w:r w:rsidR="00A10B41">
              <w:t xml:space="preserve">prove future </w:t>
            </w:r>
            <w:r w:rsidR="007B7867">
              <w:t>Australian</w:t>
            </w:r>
            <w:r w:rsidR="00A10B41">
              <w:t xml:space="preserve"> initiatives.</w:t>
            </w:r>
          </w:p>
        </w:tc>
        <w:tc>
          <w:tcPr>
            <w:tcW w:w="4103" w:type="dxa"/>
          </w:tcPr>
          <w:p w14:paraId="3DDD5BEF" w14:textId="0F012ED9" w:rsidR="004E41AD" w:rsidRPr="00A10B41" w:rsidRDefault="00621C1A" w:rsidP="00621C1A">
            <w:pPr>
              <w:pStyle w:val="TableTextEntries"/>
            </w:pPr>
            <w:r>
              <w:t xml:space="preserve">The </w:t>
            </w:r>
            <w:r w:rsidR="004E41AD" w:rsidRPr="00A10B41">
              <w:t xml:space="preserve">Minister Counsellor and Counsellor, together with </w:t>
            </w:r>
            <w:r>
              <w:t>DFAT colleagues</w:t>
            </w:r>
            <w:r w:rsidR="004E41AD" w:rsidRPr="00A10B41">
              <w:t>,</w:t>
            </w:r>
            <w:r w:rsidR="0025629A" w:rsidRPr="00A10B41">
              <w:t xml:space="preserve"> will</w:t>
            </w:r>
            <w:r w:rsidR="004E41AD" w:rsidRPr="00A10B41">
              <w:t xml:space="preserve"> continue to engage members of</w:t>
            </w:r>
            <w:r w:rsidR="007007E0" w:rsidRPr="00A10B41">
              <w:t xml:space="preserve"> Fiji’s</w:t>
            </w:r>
            <w:r w:rsidR="004E41AD" w:rsidRPr="00A10B41">
              <w:t xml:space="preserve"> bureaucracy on the </w:t>
            </w:r>
            <w:r w:rsidR="0025629A" w:rsidRPr="00A10B41">
              <w:t>a</w:t>
            </w:r>
            <w:r w:rsidR="004E41AD" w:rsidRPr="00A10B41">
              <w:t xml:space="preserve">id </w:t>
            </w:r>
            <w:r w:rsidR="0025629A" w:rsidRPr="00A10B41">
              <w:t>p</w:t>
            </w:r>
            <w:r w:rsidR="004E41AD" w:rsidRPr="00A10B41">
              <w:t>rogram to build a better u</w:t>
            </w:r>
            <w:r w:rsidR="00A10B41">
              <w:t>nderstanding of its objectives.</w:t>
            </w:r>
          </w:p>
        </w:tc>
      </w:tr>
      <w:tr w:rsidR="00A10B41" w:rsidRPr="00105972" w14:paraId="3DDD5BF3" w14:textId="77777777" w:rsidTr="00FC2FDB">
        <w:tc>
          <w:tcPr>
            <w:tcW w:w="4363" w:type="dxa"/>
          </w:tcPr>
          <w:p w14:paraId="3DDD5BF1" w14:textId="77777777" w:rsidR="00A10B41" w:rsidRPr="00A10B41" w:rsidRDefault="00A10B41" w:rsidP="00A10B41">
            <w:pPr>
              <w:pStyle w:val="TableTextEntries"/>
            </w:pPr>
            <w:r w:rsidRPr="00A10B41">
              <w:t>Given the budget reprioritisation in December 2012, all programs delayed a range of activities. This has placed additional pressure on programs to deliver activities in a shorter period.</w:t>
            </w:r>
          </w:p>
        </w:tc>
        <w:tc>
          <w:tcPr>
            <w:tcW w:w="4103" w:type="dxa"/>
          </w:tcPr>
          <w:p w14:paraId="3DDD5BF2" w14:textId="77777777" w:rsidR="00A10B41" w:rsidRPr="00A10B41" w:rsidRDefault="00A10B41" w:rsidP="00A10B41">
            <w:pPr>
              <w:pStyle w:val="TableTextEntries"/>
            </w:pPr>
            <w:r w:rsidRPr="00A10B41">
              <w:t>Counsellor will need to ensure work plans are achievable and consider early on in 2013–14 whether extensions are required to achieve targets and maintain program quality.</w:t>
            </w:r>
          </w:p>
        </w:tc>
      </w:tr>
    </w:tbl>
    <w:p w14:paraId="3DDD5BF4" w14:textId="77777777" w:rsidR="00655D73" w:rsidRPr="00105972" w:rsidRDefault="00655D73" w:rsidP="00655D73">
      <w:pPr>
        <w:pStyle w:val="BodyText"/>
        <w:rPr>
          <w:sz w:val="24"/>
        </w:rPr>
        <w:sectPr w:rsidR="00655D73" w:rsidRPr="00105972" w:rsidSect="00690AF8">
          <w:headerReference w:type="default" r:id="rId21"/>
          <w:footerReference w:type="default" r:id="rId22"/>
          <w:headerReference w:type="first" r:id="rId23"/>
          <w:footerReference w:type="first" r:id="rId24"/>
          <w:pgSz w:w="11906" w:h="16838" w:code="9"/>
          <w:pgMar w:top="2268" w:right="1701" w:bottom="907" w:left="1871" w:header="709" w:footer="454" w:gutter="0"/>
          <w:cols w:space="708"/>
          <w:titlePg/>
          <w:docGrid w:linePitch="360"/>
        </w:sectPr>
      </w:pPr>
    </w:p>
    <w:p w14:paraId="3DDD5BF5" w14:textId="77777777" w:rsidR="00655D73" w:rsidRPr="00F95D5B" w:rsidRDefault="00655D73" w:rsidP="00F95D5B">
      <w:pPr>
        <w:pStyle w:val="Heading1"/>
      </w:pPr>
      <w:r w:rsidRPr="00F95D5B">
        <w:lastRenderedPageBreak/>
        <w:t xml:space="preserve">Annex A </w:t>
      </w:r>
    </w:p>
    <w:p w14:paraId="3DDD5BF6" w14:textId="77777777" w:rsidR="00655D73" w:rsidRPr="00F95D5B" w:rsidRDefault="00655D73" w:rsidP="00F95D5B">
      <w:pPr>
        <w:pStyle w:val="Heading2"/>
      </w:pPr>
      <w:r w:rsidRPr="00F95D5B">
        <w:t>Progress in addressing 2011 management consequences</w:t>
      </w:r>
    </w:p>
    <w:tbl>
      <w:tblPr>
        <w:tblStyle w:val="APPR"/>
        <w:tblW w:w="5005" w:type="pct"/>
        <w:tblInd w:w="-14" w:type="dxa"/>
        <w:tblLayout w:type="fixed"/>
        <w:tblLook w:val="0000" w:firstRow="0" w:lastRow="0" w:firstColumn="0" w:lastColumn="0" w:noHBand="0" w:noVBand="0"/>
      </w:tblPr>
      <w:tblGrid>
        <w:gridCol w:w="6277"/>
        <w:gridCol w:w="829"/>
        <w:gridCol w:w="6843"/>
      </w:tblGrid>
      <w:tr w:rsidR="00655D73" w:rsidRPr="00105972" w14:paraId="3DDD5BFA" w14:textId="77777777" w:rsidTr="00F95D5B">
        <w:trPr>
          <w:cnfStyle w:val="000000010000" w:firstRow="0" w:lastRow="0" w:firstColumn="0" w:lastColumn="0" w:oddVBand="0" w:evenVBand="0" w:oddHBand="0" w:evenHBand="1" w:firstRowFirstColumn="0" w:firstRowLastColumn="0" w:lastRowFirstColumn="0" w:lastRowLastColumn="0"/>
          <w:cantSplit/>
        </w:trPr>
        <w:tc>
          <w:tcPr>
            <w:tcW w:w="6468" w:type="dxa"/>
          </w:tcPr>
          <w:p w14:paraId="3DDD5BF7" w14:textId="77777777" w:rsidR="00655D73" w:rsidRPr="00F95D5B" w:rsidRDefault="00655D73" w:rsidP="00F95D5B">
            <w:pPr>
              <w:pStyle w:val="TableTextColumnHeading"/>
            </w:pPr>
            <w:r w:rsidRPr="00F95D5B">
              <w:t>Management consequences identified in 2011 APPR</w:t>
            </w:r>
            <w:r w:rsidRPr="00F95D5B">
              <w:tab/>
            </w:r>
          </w:p>
        </w:tc>
        <w:tc>
          <w:tcPr>
            <w:tcW w:w="823" w:type="dxa"/>
          </w:tcPr>
          <w:p w14:paraId="3DDD5BF8" w14:textId="77777777" w:rsidR="00655D73" w:rsidRPr="00F95D5B" w:rsidRDefault="00655D73" w:rsidP="00F95D5B">
            <w:pPr>
              <w:pStyle w:val="TableTextColumnHeading"/>
            </w:pPr>
            <w:r w:rsidRPr="00F95D5B">
              <w:t>Rating</w:t>
            </w:r>
          </w:p>
        </w:tc>
        <w:tc>
          <w:tcPr>
            <w:tcW w:w="7056" w:type="dxa"/>
          </w:tcPr>
          <w:p w14:paraId="3DDD5BF9" w14:textId="77777777" w:rsidR="00655D73" w:rsidRPr="00F95D5B" w:rsidRDefault="00655D73" w:rsidP="00F95D5B">
            <w:pPr>
              <w:pStyle w:val="TableTextColumnHeading"/>
            </w:pPr>
            <w:r w:rsidRPr="00F95D5B">
              <w:t>Progress made in 2012</w:t>
            </w:r>
            <w:r w:rsidR="002B27C7" w:rsidRPr="00F95D5B">
              <w:t>–</w:t>
            </w:r>
            <w:r w:rsidRPr="00F95D5B">
              <w:t>13</w:t>
            </w:r>
          </w:p>
        </w:tc>
      </w:tr>
      <w:tr w:rsidR="00655D73" w:rsidRPr="00105972" w14:paraId="3DDD5BFE" w14:textId="77777777" w:rsidTr="00F95D5B">
        <w:trPr>
          <w:cnfStyle w:val="000000010000" w:firstRow="0" w:lastRow="0" w:firstColumn="0" w:lastColumn="0" w:oddVBand="0" w:evenVBand="0" w:oddHBand="0" w:evenHBand="1" w:firstRowFirstColumn="0" w:firstRowLastColumn="0" w:lastRowFirstColumn="0" w:lastRowLastColumn="0"/>
          <w:cantSplit/>
        </w:trPr>
        <w:tc>
          <w:tcPr>
            <w:tcW w:w="6468" w:type="dxa"/>
          </w:tcPr>
          <w:p w14:paraId="3DDD5BFB" w14:textId="2D440B0A" w:rsidR="00655D73" w:rsidRPr="00105972" w:rsidRDefault="00655D73" w:rsidP="00F95D5B">
            <w:pPr>
              <w:pStyle w:val="TableListNumber"/>
            </w:pPr>
            <w:r w:rsidRPr="00105972">
              <w:t xml:space="preserve">Implement the Australian Government’s commitment to double the bilateral aid program by 2013–14 (the 2012 </w:t>
            </w:r>
            <w:r w:rsidR="002F5AE2">
              <w:t>APPR</w:t>
            </w:r>
            <w:r w:rsidRPr="00105972">
              <w:t xml:space="preserve"> will also review the</w:t>
            </w:r>
            <w:r w:rsidR="00D35893">
              <w:t xml:space="preserve"> activities related to</w:t>
            </w:r>
            <w:r w:rsidRPr="00105972">
              <w:t xml:space="preserve"> </w:t>
            </w:r>
            <w:r w:rsidR="00430D13">
              <w:t>the t</w:t>
            </w:r>
            <w:r w:rsidRPr="00D35893">
              <w:t>ransition to democracy</w:t>
            </w:r>
            <w:r w:rsidRPr="00105972">
              <w:t xml:space="preserve"> Ministerial announcement of 1 June 2012</w:t>
            </w:r>
            <w:r w:rsidR="000D71D3">
              <w:t>)</w:t>
            </w:r>
            <w:r w:rsidR="00430D13">
              <w:t>.</w:t>
            </w:r>
          </w:p>
        </w:tc>
        <w:tc>
          <w:tcPr>
            <w:tcW w:w="823" w:type="dxa"/>
            <w:shd w:val="clear" w:color="auto" w:fill="92D050"/>
          </w:tcPr>
          <w:p w14:paraId="3DDD5BFC" w14:textId="77777777" w:rsidR="00655D73" w:rsidRPr="00F95D5B" w:rsidRDefault="00655D73" w:rsidP="00F95D5B">
            <w:pPr>
              <w:pStyle w:val="TableTextEntries"/>
            </w:pPr>
            <w:r w:rsidRPr="00F95D5B">
              <w:t>Green</w:t>
            </w:r>
          </w:p>
        </w:tc>
        <w:tc>
          <w:tcPr>
            <w:tcW w:w="7056" w:type="dxa"/>
          </w:tcPr>
          <w:p w14:paraId="3DDD5BFD" w14:textId="77777777" w:rsidR="00655D73" w:rsidRPr="00F95D5B" w:rsidRDefault="00655D73" w:rsidP="00F95D5B">
            <w:pPr>
              <w:pStyle w:val="TableTextEntries"/>
            </w:pPr>
            <w:r w:rsidRPr="00F95D5B">
              <w:t xml:space="preserve">The </w:t>
            </w:r>
            <w:r w:rsidR="006F03F3" w:rsidRPr="00F95D5B">
              <w:t>p</w:t>
            </w:r>
            <w:r w:rsidRPr="00F95D5B">
              <w:t>rogram worked to implement the increase to the aid program across all objectives. It is on track to implement the final stage of the increase in 2013</w:t>
            </w:r>
            <w:r w:rsidR="0025629A" w:rsidRPr="00F95D5B">
              <w:t>–</w:t>
            </w:r>
            <w:r w:rsidR="00D9700A" w:rsidRPr="00F95D5B">
              <w:t>1</w:t>
            </w:r>
            <w:r w:rsidRPr="00F95D5B">
              <w:t xml:space="preserve">4. It also sought innovative solutions to the December 2012 budget reprioritisation. The </w:t>
            </w:r>
            <w:r w:rsidR="0025629A" w:rsidRPr="00F95D5B">
              <w:t>p</w:t>
            </w:r>
            <w:r w:rsidRPr="00F95D5B">
              <w:t>rogram significantly increased transition</w:t>
            </w:r>
            <w:r w:rsidR="00430D13" w:rsidRPr="00F95D5B">
              <w:t>-</w:t>
            </w:r>
            <w:r w:rsidRPr="00F95D5B">
              <w:t>to</w:t>
            </w:r>
            <w:r w:rsidR="00430D13" w:rsidRPr="00F95D5B">
              <w:t>-</w:t>
            </w:r>
            <w:r w:rsidRPr="00F95D5B">
              <w:t>democracy activities in 2012</w:t>
            </w:r>
            <w:r w:rsidR="00430D13" w:rsidRPr="00F95D5B">
              <w:t xml:space="preserve"> and</w:t>
            </w:r>
            <w:r w:rsidRPr="00F95D5B">
              <w:t xml:space="preserve"> worked with a range of partners to deliver positive results.</w:t>
            </w:r>
          </w:p>
        </w:tc>
      </w:tr>
      <w:tr w:rsidR="00655D73" w:rsidRPr="00105972" w14:paraId="3DDD5C02" w14:textId="77777777" w:rsidTr="00F95D5B">
        <w:trPr>
          <w:cnfStyle w:val="000000010000" w:firstRow="0" w:lastRow="0" w:firstColumn="0" w:lastColumn="0" w:oddVBand="0" w:evenVBand="0" w:oddHBand="0" w:evenHBand="1" w:firstRowFirstColumn="0" w:firstRowLastColumn="0" w:lastRowFirstColumn="0" w:lastRowLastColumn="0"/>
          <w:cantSplit/>
        </w:trPr>
        <w:tc>
          <w:tcPr>
            <w:tcW w:w="6468" w:type="dxa"/>
          </w:tcPr>
          <w:p w14:paraId="3DDD5BFF" w14:textId="77777777" w:rsidR="00655D73" w:rsidRPr="00105972" w:rsidRDefault="00655D73" w:rsidP="00F95D5B">
            <w:pPr>
              <w:pStyle w:val="TableListNumber"/>
            </w:pPr>
            <w:r w:rsidRPr="00105972">
              <w:t>Improve communications, public diplomacy and branding of Australia’s aid activities.</w:t>
            </w:r>
          </w:p>
        </w:tc>
        <w:tc>
          <w:tcPr>
            <w:tcW w:w="823" w:type="dxa"/>
            <w:shd w:val="clear" w:color="auto" w:fill="92D050"/>
          </w:tcPr>
          <w:p w14:paraId="3DDD5C00" w14:textId="77777777" w:rsidR="00655D73" w:rsidRPr="00F95D5B" w:rsidRDefault="00655D73" w:rsidP="00F95D5B">
            <w:pPr>
              <w:pStyle w:val="TableTextEntries"/>
            </w:pPr>
            <w:r w:rsidRPr="00F95D5B">
              <w:t>Green</w:t>
            </w:r>
          </w:p>
        </w:tc>
        <w:tc>
          <w:tcPr>
            <w:tcW w:w="7056" w:type="dxa"/>
          </w:tcPr>
          <w:p w14:paraId="3DDD5C01" w14:textId="77777777" w:rsidR="00655D73" w:rsidRPr="00F95D5B" w:rsidRDefault="00FC2FDB" w:rsidP="00F95D5B">
            <w:pPr>
              <w:pStyle w:val="TableTextEntries"/>
            </w:pPr>
            <w:r w:rsidRPr="00F95D5B">
              <w:t xml:space="preserve">The </w:t>
            </w:r>
            <w:r w:rsidR="006F03F3" w:rsidRPr="00F95D5B">
              <w:t>p</w:t>
            </w:r>
            <w:r w:rsidR="00655D73" w:rsidRPr="00F95D5B">
              <w:t>rogram improved communications, public diplomacy and branding in 2012</w:t>
            </w:r>
            <w:r w:rsidR="0025629A" w:rsidRPr="00F95D5B">
              <w:t>–</w:t>
            </w:r>
            <w:r w:rsidR="00D9700A" w:rsidRPr="00F95D5B">
              <w:t>1</w:t>
            </w:r>
            <w:r w:rsidR="00655D73" w:rsidRPr="00F95D5B">
              <w:t xml:space="preserve">3. This was facilitated through </w:t>
            </w:r>
            <w:r w:rsidR="00430D13" w:rsidRPr="00F95D5B">
              <w:t xml:space="preserve">the development and implementation of </w:t>
            </w:r>
            <w:r w:rsidR="00655D73" w:rsidRPr="00F95D5B">
              <w:t>a new communications strategy</w:t>
            </w:r>
            <w:r w:rsidR="00430D13" w:rsidRPr="00F95D5B">
              <w:t xml:space="preserve"> and</w:t>
            </w:r>
            <w:r w:rsidR="00655D73" w:rsidRPr="00F95D5B">
              <w:t xml:space="preserve"> communications and media training (including branding), implementation of an in</w:t>
            </w:r>
            <w:r w:rsidR="0025629A" w:rsidRPr="00F95D5B">
              <w:t>-</w:t>
            </w:r>
            <w:r w:rsidR="00655D73" w:rsidRPr="00F95D5B">
              <w:t xml:space="preserve">house media monitoring solution, </w:t>
            </w:r>
            <w:r w:rsidR="00430D13" w:rsidRPr="00F95D5B">
              <w:t xml:space="preserve">closer </w:t>
            </w:r>
            <w:r w:rsidR="00655D73" w:rsidRPr="00F95D5B">
              <w:t xml:space="preserve">work with </w:t>
            </w:r>
            <w:r w:rsidR="00951575" w:rsidRPr="00F95D5B">
              <w:t>m</w:t>
            </w:r>
            <w:r w:rsidR="00655D73" w:rsidRPr="00F95D5B">
              <w:t xml:space="preserve">anaging </w:t>
            </w:r>
            <w:r w:rsidR="00951575" w:rsidRPr="00F95D5B">
              <w:t>c</w:t>
            </w:r>
            <w:r w:rsidR="00655D73" w:rsidRPr="00F95D5B">
              <w:t xml:space="preserve">ontractors on public diplomacy opportunities and </w:t>
            </w:r>
            <w:r w:rsidR="00430D13" w:rsidRPr="00F95D5B">
              <w:t>the production of</w:t>
            </w:r>
            <w:r w:rsidR="00655D73" w:rsidRPr="00F95D5B">
              <w:t xml:space="preserve"> a brochure on the Fiji </w:t>
            </w:r>
            <w:r w:rsidR="00786A00" w:rsidRPr="00F95D5B">
              <w:t>p</w:t>
            </w:r>
            <w:r w:rsidR="00655D73" w:rsidRPr="00F95D5B">
              <w:t xml:space="preserve">rogram for stakeholders. </w:t>
            </w:r>
          </w:p>
        </w:tc>
      </w:tr>
      <w:tr w:rsidR="00655D73" w:rsidRPr="00105972" w14:paraId="3DDD5C06" w14:textId="77777777" w:rsidTr="00F95D5B">
        <w:trPr>
          <w:cnfStyle w:val="000000010000" w:firstRow="0" w:lastRow="0" w:firstColumn="0" w:lastColumn="0" w:oddVBand="0" w:evenVBand="0" w:oddHBand="0" w:evenHBand="1" w:firstRowFirstColumn="0" w:firstRowLastColumn="0" w:lastRowFirstColumn="0" w:lastRowLastColumn="0"/>
          <w:cantSplit/>
        </w:trPr>
        <w:tc>
          <w:tcPr>
            <w:tcW w:w="6468" w:type="dxa"/>
          </w:tcPr>
          <w:p w14:paraId="3DDD5C03" w14:textId="42DE5650" w:rsidR="00655D73" w:rsidRPr="00105972" w:rsidRDefault="00430D13" w:rsidP="00601325">
            <w:pPr>
              <w:pStyle w:val="TableListNumber"/>
              <w:rPr>
                <w:lang w:val="en-GB"/>
              </w:rPr>
            </w:pPr>
            <w:r>
              <w:rPr>
                <w:lang w:val="en-GB"/>
              </w:rPr>
              <w:t>Conduct in 2012</w:t>
            </w:r>
            <w:r w:rsidR="00655D73" w:rsidRPr="00105972">
              <w:rPr>
                <w:lang w:val="en-GB"/>
              </w:rPr>
              <w:t xml:space="preserve"> a stocktake of all gender</w:t>
            </w:r>
            <w:r w:rsidR="0025629A">
              <w:rPr>
                <w:lang w:val="en-GB"/>
              </w:rPr>
              <w:t>-</w:t>
            </w:r>
            <w:r w:rsidR="00655D73" w:rsidRPr="00105972">
              <w:rPr>
                <w:lang w:val="en-GB"/>
              </w:rPr>
              <w:t xml:space="preserve">related initiatives in the Fiji aid program. </w:t>
            </w:r>
          </w:p>
        </w:tc>
        <w:tc>
          <w:tcPr>
            <w:tcW w:w="823" w:type="dxa"/>
            <w:shd w:val="clear" w:color="auto" w:fill="92D050"/>
          </w:tcPr>
          <w:p w14:paraId="3DDD5C04" w14:textId="77777777" w:rsidR="00655D73" w:rsidRPr="00F95D5B" w:rsidRDefault="00655D73" w:rsidP="00F95D5B">
            <w:pPr>
              <w:pStyle w:val="TableTextEntries"/>
            </w:pPr>
            <w:r w:rsidRPr="00F95D5B">
              <w:t>Green</w:t>
            </w:r>
          </w:p>
        </w:tc>
        <w:tc>
          <w:tcPr>
            <w:tcW w:w="7056" w:type="dxa"/>
          </w:tcPr>
          <w:p w14:paraId="3DDD5C05" w14:textId="77777777" w:rsidR="00655D73" w:rsidRPr="00F95D5B" w:rsidRDefault="0025629A" w:rsidP="00F95D5B">
            <w:pPr>
              <w:pStyle w:val="TableTextEntries"/>
            </w:pPr>
            <w:r w:rsidRPr="00F95D5B">
              <w:t>The recommendations of the</w:t>
            </w:r>
            <w:r w:rsidR="00430D13" w:rsidRPr="00F95D5B">
              <w:t xml:space="preserve"> 2012</w:t>
            </w:r>
            <w:r w:rsidRPr="00F95D5B">
              <w:t xml:space="preserve"> g</w:t>
            </w:r>
            <w:r w:rsidR="00655D73" w:rsidRPr="00F95D5B">
              <w:t xml:space="preserve">ender </w:t>
            </w:r>
            <w:r w:rsidRPr="00F95D5B">
              <w:t>s</w:t>
            </w:r>
            <w:r w:rsidR="00655D73" w:rsidRPr="00F95D5B">
              <w:t>tocktake are being implemented.</w:t>
            </w:r>
          </w:p>
        </w:tc>
      </w:tr>
      <w:tr w:rsidR="00655D73" w:rsidRPr="00105972" w14:paraId="3DDD5C0A" w14:textId="77777777" w:rsidTr="00F95D5B">
        <w:trPr>
          <w:cnfStyle w:val="000000010000" w:firstRow="0" w:lastRow="0" w:firstColumn="0" w:lastColumn="0" w:oddVBand="0" w:evenVBand="0" w:oddHBand="0" w:evenHBand="1" w:firstRowFirstColumn="0" w:firstRowLastColumn="0" w:lastRowFirstColumn="0" w:lastRowLastColumn="0"/>
          <w:cantSplit/>
        </w:trPr>
        <w:tc>
          <w:tcPr>
            <w:tcW w:w="6468" w:type="dxa"/>
          </w:tcPr>
          <w:p w14:paraId="3DDD5C07" w14:textId="77777777" w:rsidR="00655D73" w:rsidRPr="00105972" w:rsidRDefault="00430D13" w:rsidP="00F95D5B">
            <w:pPr>
              <w:pStyle w:val="TableListNumber"/>
            </w:pPr>
            <w:r>
              <w:t>Conduct f</w:t>
            </w:r>
            <w:r w:rsidR="007007E0">
              <w:t xml:space="preserve">uture program planning </w:t>
            </w:r>
            <w:r w:rsidR="00655D73" w:rsidRPr="00105972">
              <w:t>will be conducted throughout 2012 to inform programs beyond 2014. This will include support to Fiji as it prepares for elections in 2014.</w:t>
            </w:r>
          </w:p>
        </w:tc>
        <w:tc>
          <w:tcPr>
            <w:tcW w:w="823" w:type="dxa"/>
            <w:shd w:val="clear" w:color="auto" w:fill="92D050"/>
          </w:tcPr>
          <w:p w14:paraId="3DDD5C08" w14:textId="77777777" w:rsidR="00655D73" w:rsidRPr="00F95D5B" w:rsidRDefault="00655D73" w:rsidP="00F95D5B">
            <w:pPr>
              <w:pStyle w:val="TableTextEntries"/>
            </w:pPr>
            <w:r w:rsidRPr="00F95D5B">
              <w:t>Green</w:t>
            </w:r>
          </w:p>
        </w:tc>
        <w:tc>
          <w:tcPr>
            <w:tcW w:w="7056" w:type="dxa"/>
          </w:tcPr>
          <w:p w14:paraId="3DDD5C09" w14:textId="77777777" w:rsidR="00655D73" w:rsidRPr="00F95D5B" w:rsidRDefault="007007E0" w:rsidP="00F95D5B">
            <w:pPr>
              <w:pStyle w:val="TableTextEntries"/>
            </w:pPr>
            <w:r w:rsidRPr="00F95D5B">
              <w:t xml:space="preserve">Future programs will be outlined in detail. </w:t>
            </w:r>
          </w:p>
        </w:tc>
      </w:tr>
      <w:tr w:rsidR="00655D73" w:rsidRPr="00105972" w14:paraId="3DDD5C0F" w14:textId="77777777" w:rsidTr="00F95D5B">
        <w:trPr>
          <w:cnfStyle w:val="000000010000" w:firstRow="0" w:lastRow="0" w:firstColumn="0" w:lastColumn="0" w:oddVBand="0" w:evenVBand="0" w:oddHBand="0" w:evenHBand="1" w:firstRowFirstColumn="0" w:firstRowLastColumn="0" w:lastRowFirstColumn="0" w:lastRowLastColumn="0"/>
          <w:cantSplit/>
        </w:trPr>
        <w:tc>
          <w:tcPr>
            <w:tcW w:w="6468" w:type="dxa"/>
          </w:tcPr>
          <w:p w14:paraId="3DDD5C0B" w14:textId="77777777" w:rsidR="00655D73" w:rsidRPr="00105972" w:rsidRDefault="00655D73" w:rsidP="00F95D5B">
            <w:pPr>
              <w:pStyle w:val="TableListNumber"/>
            </w:pPr>
            <w:r w:rsidRPr="00105972">
              <w:t>Implement monitoring and evaluation frameworks, focusing on the results agenda.</w:t>
            </w:r>
          </w:p>
        </w:tc>
        <w:tc>
          <w:tcPr>
            <w:tcW w:w="823" w:type="dxa"/>
            <w:shd w:val="clear" w:color="auto" w:fill="92D050"/>
          </w:tcPr>
          <w:p w14:paraId="3DDD5C0C" w14:textId="77777777" w:rsidR="00655D73" w:rsidRPr="00F95D5B" w:rsidRDefault="00655D73" w:rsidP="00F95D5B">
            <w:pPr>
              <w:pStyle w:val="TableTextEntries"/>
            </w:pPr>
            <w:r w:rsidRPr="00F95D5B">
              <w:t>Green</w:t>
            </w:r>
          </w:p>
        </w:tc>
        <w:tc>
          <w:tcPr>
            <w:tcW w:w="7056" w:type="dxa"/>
          </w:tcPr>
          <w:p w14:paraId="3DDD5C0D" w14:textId="77777777" w:rsidR="00655D73" w:rsidRPr="00F95D5B" w:rsidRDefault="00655D73" w:rsidP="00F95D5B">
            <w:pPr>
              <w:pStyle w:val="TableTextEntries"/>
            </w:pPr>
            <w:r w:rsidRPr="00F95D5B">
              <w:t xml:space="preserve">The </w:t>
            </w:r>
            <w:r w:rsidR="006F03F3" w:rsidRPr="00F95D5B">
              <w:t>p</w:t>
            </w:r>
            <w:r w:rsidRPr="00F95D5B">
              <w:t>rogram’s monitoring framework was updated in 2012. The progr</w:t>
            </w:r>
            <w:r w:rsidR="00FC2FDB" w:rsidRPr="00F95D5B">
              <w:t xml:space="preserve">am will work to better </w:t>
            </w:r>
            <w:r w:rsidR="006734C8" w:rsidRPr="00F95D5B">
              <w:t>integrate</w:t>
            </w:r>
            <w:r w:rsidRPr="00F95D5B">
              <w:t xml:space="preserve"> the framework into all objectives and crosscutting areas. </w:t>
            </w:r>
          </w:p>
          <w:p w14:paraId="3DDD5C0E" w14:textId="77777777" w:rsidR="00655D73" w:rsidRPr="00F95D5B" w:rsidRDefault="00655D73" w:rsidP="00F95D5B">
            <w:pPr>
              <w:pStyle w:val="TableTextEntries"/>
            </w:pPr>
          </w:p>
        </w:tc>
      </w:tr>
      <w:tr w:rsidR="00655D73" w:rsidRPr="00105972" w14:paraId="3DDD5C13" w14:textId="77777777" w:rsidTr="00F95D5B">
        <w:trPr>
          <w:cnfStyle w:val="000000010000" w:firstRow="0" w:lastRow="0" w:firstColumn="0" w:lastColumn="0" w:oddVBand="0" w:evenVBand="0" w:oddHBand="0" w:evenHBand="1" w:firstRowFirstColumn="0" w:firstRowLastColumn="0" w:lastRowFirstColumn="0" w:lastRowLastColumn="0"/>
          <w:cantSplit/>
        </w:trPr>
        <w:tc>
          <w:tcPr>
            <w:tcW w:w="6468" w:type="dxa"/>
          </w:tcPr>
          <w:p w14:paraId="3DDD5C10" w14:textId="77777777" w:rsidR="00655D73" w:rsidRPr="00105972" w:rsidRDefault="00655D73" w:rsidP="00F95D5B">
            <w:pPr>
              <w:pStyle w:val="TableListNumber"/>
            </w:pPr>
            <w:r w:rsidRPr="00105972">
              <w:t xml:space="preserve">Support staff to manage the increased bilateral funding. </w:t>
            </w:r>
            <w:r w:rsidRPr="00105972">
              <w:rPr>
                <w:lang w:val="en-GB"/>
              </w:rPr>
              <w:t xml:space="preserve">Align the analytical and policy work of Canberra staff with the program delivery work of Post (and vice versa). </w:t>
            </w:r>
            <w:r w:rsidR="00430D13">
              <w:rPr>
                <w:lang w:val="en-GB"/>
              </w:rPr>
              <w:t>Ensure g</w:t>
            </w:r>
            <w:r w:rsidRPr="00105972">
              <w:rPr>
                <w:lang w:val="en-GB"/>
              </w:rPr>
              <w:t xml:space="preserve">reater emphasis to workforce planning to ensure </w:t>
            </w:r>
            <w:r w:rsidR="006734C8" w:rsidRPr="00105972">
              <w:rPr>
                <w:lang w:val="en-GB"/>
              </w:rPr>
              <w:t>staff</w:t>
            </w:r>
            <w:r w:rsidR="006734C8">
              <w:rPr>
                <w:lang w:val="en-GB"/>
              </w:rPr>
              <w:t xml:space="preserve"> </w:t>
            </w:r>
            <w:r w:rsidR="006734C8" w:rsidRPr="00105972">
              <w:rPr>
                <w:lang w:val="en-GB"/>
              </w:rPr>
              <w:t>have</w:t>
            </w:r>
            <w:r w:rsidRPr="00105972">
              <w:rPr>
                <w:lang w:val="en-GB"/>
              </w:rPr>
              <w:t xml:space="preserve"> the right s</w:t>
            </w:r>
            <w:r w:rsidR="00FC2FDB">
              <w:rPr>
                <w:lang w:val="en-GB"/>
              </w:rPr>
              <w:t xml:space="preserve">kills to deliver results. </w:t>
            </w:r>
            <w:r w:rsidR="00430D13">
              <w:rPr>
                <w:lang w:val="en-GB"/>
              </w:rPr>
              <w:t>Support s</w:t>
            </w:r>
            <w:r w:rsidR="00FC2FDB">
              <w:rPr>
                <w:lang w:val="en-GB"/>
              </w:rPr>
              <w:t>taff who want to spe</w:t>
            </w:r>
            <w:r w:rsidRPr="00105972">
              <w:rPr>
                <w:lang w:val="en-GB"/>
              </w:rPr>
              <w:t>cialise in a particular sector, such as health or education.</w:t>
            </w:r>
          </w:p>
        </w:tc>
        <w:tc>
          <w:tcPr>
            <w:tcW w:w="823" w:type="dxa"/>
            <w:shd w:val="clear" w:color="auto" w:fill="92D050"/>
          </w:tcPr>
          <w:p w14:paraId="3DDD5C11" w14:textId="77777777" w:rsidR="00655D73" w:rsidRPr="00F95D5B" w:rsidRDefault="00655D73" w:rsidP="00F95D5B">
            <w:pPr>
              <w:pStyle w:val="TableTextEntries"/>
            </w:pPr>
            <w:r w:rsidRPr="00F95D5B">
              <w:t>Green</w:t>
            </w:r>
          </w:p>
        </w:tc>
        <w:tc>
          <w:tcPr>
            <w:tcW w:w="7056" w:type="dxa"/>
          </w:tcPr>
          <w:p w14:paraId="3DDD5C12" w14:textId="61837F44" w:rsidR="00655D73" w:rsidRPr="00F95D5B" w:rsidRDefault="00655D73" w:rsidP="00621C1A">
            <w:pPr>
              <w:pStyle w:val="TableTextEntries"/>
            </w:pPr>
            <w:r w:rsidRPr="00F95D5B">
              <w:t>The</w:t>
            </w:r>
            <w:r w:rsidR="00430D13" w:rsidRPr="00F95D5B">
              <w:t xml:space="preserve"> program better aligned the</w:t>
            </w:r>
            <w:r w:rsidRPr="00F95D5B">
              <w:t xml:space="preserve"> work of</w:t>
            </w:r>
            <w:r w:rsidR="007007E0" w:rsidRPr="00F95D5B">
              <w:t xml:space="preserve"> colleagues in Suva a</w:t>
            </w:r>
            <w:r w:rsidRPr="00F95D5B">
              <w:t>nd Canberra in 2012</w:t>
            </w:r>
            <w:r w:rsidR="00951575" w:rsidRPr="00F95D5B">
              <w:t>–</w:t>
            </w:r>
            <w:r w:rsidRPr="00F95D5B">
              <w:t xml:space="preserve">13. A joint </w:t>
            </w:r>
            <w:r w:rsidR="007007E0" w:rsidRPr="00F95D5B">
              <w:t>workforce plan was produced and</w:t>
            </w:r>
            <w:r w:rsidRPr="00F95D5B">
              <w:t xml:space="preserve"> responsibilities to better manage increased workload</w:t>
            </w:r>
            <w:r w:rsidR="00951575" w:rsidRPr="00F95D5B">
              <w:t xml:space="preserve"> re-distributed.</w:t>
            </w:r>
          </w:p>
        </w:tc>
      </w:tr>
    </w:tbl>
    <w:p w14:paraId="3DDD5C14" w14:textId="77777777" w:rsidR="00655D73" w:rsidRPr="00105972" w:rsidRDefault="00655D73" w:rsidP="00C56CC1">
      <w:pPr>
        <w:pStyle w:val="Note"/>
      </w:pPr>
      <w:r w:rsidRPr="00105972">
        <w:t xml:space="preserve">Note: </w:t>
      </w:r>
    </w:p>
    <w:p w14:paraId="3DDD5C15" w14:textId="77777777" w:rsidR="00655D73" w:rsidRPr="00105972" w:rsidRDefault="00655D73" w:rsidP="00C56CC1">
      <w:pPr>
        <w:pStyle w:val="Note"/>
      </w:pPr>
      <w:r w:rsidRPr="00105972">
        <w:rPr>
          <w:color w:val="92D050"/>
          <w14:textFill>
            <w14:solidFill>
              <w14:srgbClr w14:val="92D050">
                <w14:lumMod w14:val="60000"/>
                <w14:lumOff w14:val="40000"/>
              </w14:srgbClr>
            </w14:solidFill>
          </w14:textFill>
        </w:rPr>
        <w:sym w:font="Webdings" w:char="F067"/>
      </w:r>
      <w:r w:rsidRPr="00105972">
        <w:t> </w:t>
      </w:r>
      <w:r w:rsidRPr="00105972">
        <w:t xml:space="preserve"> Green. Progress is as expected for this point in time and it is likely that the objective will be achieved. Standard program management practices are sufficient.</w:t>
      </w:r>
    </w:p>
    <w:p w14:paraId="3DDD5C16" w14:textId="77777777" w:rsidR="00655D73" w:rsidRPr="00105972" w:rsidRDefault="00655D73" w:rsidP="00C56CC1">
      <w:pPr>
        <w:pStyle w:val="Note"/>
      </w:pPr>
      <w:r w:rsidRPr="00105972">
        <w:rPr>
          <w:color w:val="FABF8F" w:themeColor="accent6" w:themeTint="99"/>
        </w:rPr>
        <w:sym w:font="Webdings" w:char="F067"/>
      </w:r>
      <w:r w:rsidRPr="00105972">
        <w:t> </w:t>
      </w:r>
      <w:r w:rsidRPr="00105972">
        <w:t xml:space="preserve"> Amber. Progress is somewhat less than expected for this point in time and restorative action will be necessary if the objective is to be achieved. Close performance monitoring is recommended.</w:t>
      </w:r>
    </w:p>
    <w:p w14:paraId="3DDD5C17" w14:textId="77777777" w:rsidR="00655D73" w:rsidRPr="00F95D5B" w:rsidRDefault="00655D73" w:rsidP="00F95D5B">
      <w:pPr>
        <w:pStyle w:val="Note"/>
        <w:sectPr w:rsidR="00655D73" w:rsidRPr="00F95D5B" w:rsidSect="0001361A">
          <w:headerReference w:type="default" r:id="rId25"/>
          <w:footerReference w:type="default" r:id="rId26"/>
          <w:headerReference w:type="first" r:id="rId27"/>
          <w:pgSz w:w="16838" w:h="11906" w:orient="landscape" w:code="9"/>
          <w:pgMar w:top="1871" w:right="2268" w:bottom="1134" w:left="907" w:header="709" w:footer="425" w:gutter="0"/>
          <w:cols w:space="708"/>
          <w:docGrid w:linePitch="360"/>
        </w:sectPr>
      </w:pPr>
      <w:r w:rsidRPr="00105972">
        <w:rPr>
          <w:color w:val="FF0000"/>
          <w14:textFill>
            <w14:solidFill>
              <w14:srgbClr w14:val="FF0000">
                <w14:lumMod w14:val="60000"/>
                <w14:lumOff w14:val="40000"/>
              </w14:srgbClr>
            </w14:solidFill>
          </w14:textFill>
        </w:rPr>
        <w:sym w:font="Webdings" w:char="F067"/>
      </w:r>
      <w:r w:rsidRPr="00105972">
        <w:t> </w:t>
      </w:r>
      <w:r w:rsidRPr="00105972">
        <w:t xml:space="preserve"> Red. Progress is significantly less than expected for this point in time and the objective is not likely to be met given available resources and priorities. Recasting</w:t>
      </w:r>
      <w:r w:rsidR="00F95D5B">
        <w:t xml:space="preserve"> the objective may be required.</w:t>
      </w:r>
    </w:p>
    <w:p w14:paraId="3DDD5C18" w14:textId="77777777" w:rsidR="00655D73" w:rsidRPr="00F95D5B" w:rsidRDefault="00655D73" w:rsidP="00F95D5B">
      <w:pPr>
        <w:pStyle w:val="Heading1"/>
      </w:pPr>
      <w:r w:rsidRPr="00F95D5B">
        <w:lastRenderedPageBreak/>
        <w:t xml:space="preserve">Annex B </w:t>
      </w:r>
    </w:p>
    <w:p w14:paraId="3DDD5C19" w14:textId="77777777" w:rsidR="00655D73" w:rsidRPr="00F95D5B" w:rsidRDefault="00655D73" w:rsidP="0001361A">
      <w:pPr>
        <w:pStyle w:val="Heading2"/>
        <w:ind w:right="-371"/>
      </w:pPr>
      <w:r w:rsidRPr="00F95D5B">
        <w:t xml:space="preserve">Quality at Implementation ratings </w:t>
      </w:r>
    </w:p>
    <w:tbl>
      <w:tblPr>
        <w:tblStyle w:val="APPR"/>
        <w:tblW w:w="5000" w:type="pct"/>
        <w:tblLayout w:type="fixed"/>
        <w:tblLook w:val="04A0" w:firstRow="1" w:lastRow="0" w:firstColumn="1" w:lastColumn="0" w:noHBand="0" w:noVBand="1"/>
      </w:tblPr>
      <w:tblGrid>
        <w:gridCol w:w="3448"/>
        <w:gridCol w:w="3434"/>
        <w:gridCol w:w="1163"/>
        <w:gridCol w:w="1163"/>
        <w:gridCol w:w="785"/>
        <w:gridCol w:w="785"/>
        <w:gridCol w:w="785"/>
        <w:gridCol w:w="786"/>
        <w:gridCol w:w="786"/>
        <w:gridCol w:w="800"/>
      </w:tblGrid>
      <w:tr w:rsidR="00926679" w:rsidRPr="00105972" w14:paraId="3DDD5C24" w14:textId="77777777" w:rsidTr="0001361A">
        <w:trPr>
          <w:cnfStyle w:val="100000000000" w:firstRow="1" w:lastRow="0" w:firstColumn="0" w:lastColumn="0" w:oddVBand="0" w:evenVBand="0" w:oddHBand="0" w:evenHBand="0" w:firstRowFirstColumn="0" w:firstRowLastColumn="0" w:lastRowFirstColumn="0" w:lastRowLastColumn="0"/>
          <w:trHeight w:val="1701"/>
        </w:trPr>
        <w:tc>
          <w:tcPr>
            <w:tcW w:w="900" w:type="pct"/>
          </w:tcPr>
          <w:p w14:paraId="3DDD5C1A" w14:textId="77777777" w:rsidR="00655D73" w:rsidRPr="00105972" w:rsidRDefault="00655D73" w:rsidP="00F95D5B">
            <w:pPr>
              <w:pStyle w:val="TableTextColumnHeading"/>
              <w:rPr>
                <w:b/>
              </w:rPr>
            </w:pPr>
            <w:r w:rsidRPr="00105972">
              <w:rPr>
                <w:b/>
              </w:rPr>
              <w:t xml:space="preserve">Initiative </w:t>
            </w:r>
            <w:r w:rsidR="002B27C7">
              <w:rPr>
                <w:b/>
              </w:rPr>
              <w:t>n</w:t>
            </w:r>
            <w:r w:rsidRPr="00105972">
              <w:rPr>
                <w:b/>
              </w:rPr>
              <w:t>ame</w:t>
            </w:r>
          </w:p>
        </w:tc>
        <w:tc>
          <w:tcPr>
            <w:tcW w:w="900" w:type="pct"/>
            <w:noWrap/>
          </w:tcPr>
          <w:p w14:paraId="3DDD5C1B" w14:textId="77777777" w:rsidR="00655D73" w:rsidRPr="00105972" w:rsidRDefault="00655D73" w:rsidP="00F95D5B">
            <w:pPr>
              <w:pStyle w:val="TableTextColumnHeading"/>
              <w:rPr>
                <w:b/>
              </w:rPr>
            </w:pPr>
            <w:r w:rsidRPr="00105972">
              <w:rPr>
                <w:b/>
              </w:rPr>
              <w:t xml:space="preserve">Approved budget </w:t>
            </w:r>
          </w:p>
        </w:tc>
        <w:tc>
          <w:tcPr>
            <w:tcW w:w="300" w:type="pct"/>
            <w:noWrap/>
          </w:tcPr>
          <w:p w14:paraId="3DDD5C1C" w14:textId="77777777" w:rsidR="00655D73" w:rsidRPr="00105972" w:rsidRDefault="00655D73" w:rsidP="00F95D5B">
            <w:pPr>
              <w:pStyle w:val="TableTextColumnHeading"/>
              <w:rPr>
                <w:b/>
              </w:rPr>
            </w:pPr>
            <w:r w:rsidRPr="00105972">
              <w:rPr>
                <w:b/>
              </w:rPr>
              <w:t>Duration</w:t>
            </w:r>
          </w:p>
        </w:tc>
        <w:tc>
          <w:tcPr>
            <w:tcW w:w="300" w:type="pct"/>
            <w:noWrap/>
          </w:tcPr>
          <w:p w14:paraId="3DDD5C1D" w14:textId="77777777" w:rsidR="00655D73" w:rsidRPr="00105972" w:rsidRDefault="00655D73" w:rsidP="00F95D5B">
            <w:pPr>
              <w:pStyle w:val="TableTextColumnHeading"/>
              <w:rPr>
                <w:b/>
              </w:rPr>
            </w:pPr>
            <w:r w:rsidRPr="00105972">
              <w:rPr>
                <w:b/>
              </w:rPr>
              <w:t xml:space="preserve">QAI </w:t>
            </w:r>
            <w:r w:rsidR="002B27C7">
              <w:rPr>
                <w:b/>
              </w:rPr>
              <w:t>y</w:t>
            </w:r>
            <w:r w:rsidRPr="00105972">
              <w:rPr>
                <w:b/>
              </w:rPr>
              <w:t>ear</w:t>
            </w:r>
          </w:p>
        </w:tc>
        <w:tc>
          <w:tcPr>
            <w:tcW w:w="200" w:type="pct"/>
            <w:noWrap/>
            <w:textDirection w:val="btLr"/>
          </w:tcPr>
          <w:p w14:paraId="3DDD5C1E" w14:textId="77777777" w:rsidR="00655D73" w:rsidRPr="00105972" w:rsidRDefault="00655D73" w:rsidP="00F95D5B">
            <w:pPr>
              <w:pStyle w:val="TableTextColumnHeading"/>
              <w:rPr>
                <w:b/>
              </w:rPr>
            </w:pPr>
            <w:r w:rsidRPr="00105972">
              <w:rPr>
                <w:b/>
              </w:rPr>
              <w:t>Relevance</w:t>
            </w:r>
          </w:p>
        </w:tc>
        <w:tc>
          <w:tcPr>
            <w:tcW w:w="200" w:type="pct"/>
            <w:noWrap/>
            <w:textDirection w:val="btLr"/>
          </w:tcPr>
          <w:p w14:paraId="3DDD5C1F" w14:textId="77777777" w:rsidR="00655D73" w:rsidRPr="00105972" w:rsidRDefault="00655D73" w:rsidP="00F95D5B">
            <w:pPr>
              <w:pStyle w:val="TableTextColumnHeading"/>
              <w:rPr>
                <w:b/>
              </w:rPr>
            </w:pPr>
            <w:r w:rsidRPr="00105972">
              <w:rPr>
                <w:b/>
              </w:rPr>
              <w:t>Effectiveness</w:t>
            </w:r>
          </w:p>
        </w:tc>
        <w:tc>
          <w:tcPr>
            <w:tcW w:w="200" w:type="pct"/>
            <w:noWrap/>
            <w:textDirection w:val="btLr"/>
          </w:tcPr>
          <w:p w14:paraId="3DDD5C20" w14:textId="77777777" w:rsidR="00655D73" w:rsidRPr="00105972" w:rsidRDefault="00655D73" w:rsidP="00F95D5B">
            <w:pPr>
              <w:pStyle w:val="TableTextColumnHeading"/>
              <w:rPr>
                <w:b/>
              </w:rPr>
            </w:pPr>
            <w:r w:rsidRPr="00105972">
              <w:rPr>
                <w:b/>
              </w:rPr>
              <w:t xml:space="preserve">Efficiency </w:t>
            </w:r>
          </w:p>
        </w:tc>
        <w:tc>
          <w:tcPr>
            <w:tcW w:w="200" w:type="pct"/>
            <w:noWrap/>
            <w:textDirection w:val="btLr"/>
          </w:tcPr>
          <w:p w14:paraId="3DDD5C21" w14:textId="77777777" w:rsidR="00655D73" w:rsidRPr="00105972" w:rsidRDefault="00655D73" w:rsidP="00F95D5B">
            <w:pPr>
              <w:pStyle w:val="TableTextColumnHeading"/>
              <w:rPr>
                <w:b/>
              </w:rPr>
            </w:pPr>
            <w:r w:rsidRPr="00105972">
              <w:rPr>
                <w:b/>
              </w:rPr>
              <w:t xml:space="preserve">Monitoring and </w:t>
            </w:r>
            <w:r w:rsidR="002B27C7">
              <w:rPr>
                <w:b/>
              </w:rPr>
              <w:t>e</w:t>
            </w:r>
            <w:r w:rsidRPr="00105972">
              <w:rPr>
                <w:b/>
              </w:rPr>
              <w:t>valuation</w:t>
            </w:r>
          </w:p>
        </w:tc>
        <w:tc>
          <w:tcPr>
            <w:tcW w:w="200" w:type="pct"/>
            <w:noWrap/>
            <w:textDirection w:val="btLr"/>
          </w:tcPr>
          <w:p w14:paraId="3DDD5C22" w14:textId="77777777" w:rsidR="00655D73" w:rsidRPr="00105972" w:rsidRDefault="00655D73" w:rsidP="00F95D5B">
            <w:pPr>
              <w:pStyle w:val="TableTextColumnHeading"/>
              <w:rPr>
                <w:b/>
              </w:rPr>
            </w:pPr>
            <w:r w:rsidRPr="00105972">
              <w:rPr>
                <w:b/>
              </w:rPr>
              <w:t>Sustainability</w:t>
            </w:r>
          </w:p>
        </w:tc>
        <w:tc>
          <w:tcPr>
            <w:tcW w:w="200" w:type="pct"/>
            <w:noWrap/>
            <w:textDirection w:val="btLr"/>
          </w:tcPr>
          <w:p w14:paraId="3DDD5C23" w14:textId="77777777" w:rsidR="00655D73" w:rsidRPr="00105972" w:rsidRDefault="00655D73" w:rsidP="00F95D5B">
            <w:pPr>
              <w:pStyle w:val="TableTextColumnHeading"/>
              <w:rPr>
                <w:b/>
              </w:rPr>
            </w:pPr>
            <w:r w:rsidRPr="00105972">
              <w:rPr>
                <w:b/>
              </w:rPr>
              <w:t xml:space="preserve">Gender </w:t>
            </w:r>
            <w:r w:rsidR="002B27C7">
              <w:rPr>
                <w:b/>
              </w:rPr>
              <w:t>e</w:t>
            </w:r>
            <w:r w:rsidRPr="00105972">
              <w:rPr>
                <w:b/>
              </w:rPr>
              <w:t>quity</w:t>
            </w:r>
          </w:p>
        </w:tc>
      </w:tr>
      <w:tr w:rsidR="00926679" w:rsidRPr="00105972" w14:paraId="3DDD5C2F" w14:textId="77777777" w:rsidTr="00F51A1E">
        <w:trPr>
          <w:tblHeader w:val="0"/>
        </w:trPr>
        <w:tc>
          <w:tcPr>
            <w:tcW w:w="900" w:type="pct"/>
            <w:vMerge w:val="restart"/>
          </w:tcPr>
          <w:p w14:paraId="3DDD5C25" w14:textId="77777777" w:rsidR="00655D73" w:rsidRPr="00F95D5B" w:rsidRDefault="00655D73" w:rsidP="00F95D5B">
            <w:pPr>
              <w:pStyle w:val="TableTextEntries"/>
            </w:pPr>
            <w:r w:rsidRPr="00F95D5B">
              <w:t>Civil Society Program</w:t>
            </w:r>
          </w:p>
        </w:tc>
        <w:tc>
          <w:tcPr>
            <w:tcW w:w="900" w:type="pct"/>
            <w:vMerge w:val="restart"/>
            <w:noWrap/>
          </w:tcPr>
          <w:p w14:paraId="3DDD5C26" w14:textId="77777777" w:rsidR="00655D73" w:rsidRPr="00F95D5B" w:rsidRDefault="00655D73" w:rsidP="00F95D5B">
            <w:pPr>
              <w:pStyle w:val="TableTextEntries"/>
            </w:pPr>
            <w:r w:rsidRPr="00F95D5B">
              <w:t>$7,805,780.86</w:t>
            </w:r>
          </w:p>
        </w:tc>
        <w:tc>
          <w:tcPr>
            <w:tcW w:w="300" w:type="pct"/>
            <w:vMerge w:val="restart"/>
            <w:noWrap/>
          </w:tcPr>
          <w:p w14:paraId="3DDD5C27" w14:textId="77777777" w:rsidR="00655D73" w:rsidRPr="00F95D5B" w:rsidRDefault="00655D73" w:rsidP="00F95D5B">
            <w:pPr>
              <w:pStyle w:val="TableTextEntries"/>
            </w:pPr>
            <w:r w:rsidRPr="00F95D5B">
              <w:t>2000</w:t>
            </w:r>
            <w:r w:rsidR="002B27C7" w:rsidRPr="00F95D5B">
              <w:t>–</w:t>
            </w:r>
            <w:r w:rsidRPr="00F95D5B">
              <w:t>11</w:t>
            </w:r>
          </w:p>
        </w:tc>
        <w:tc>
          <w:tcPr>
            <w:tcW w:w="300" w:type="pct"/>
            <w:noWrap/>
          </w:tcPr>
          <w:p w14:paraId="3DDD5C28" w14:textId="77777777" w:rsidR="00655D73" w:rsidRPr="00F95D5B" w:rsidRDefault="00655D73" w:rsidP="00F95D5B">
            <w:pPr>
              <w:pStyle w:val="TableTextEntries"/>
            </w:pPr>
            <w:r w:rsidRPr="00F95D5B">
              <w:t>2011</w:t>
            </w:r>
          </w:p>
        </w:tc>
        <w:tc>
          <w:tcPr>
            <w:tcW w:w="200" w:type="pct"/>
            <w:tcBorders>
              <w:top w:val="nil"/>
              <w:bottom w:val="nil"/>
            </w:tcBorders>
            <w:shd w:val="clear" w:color="auto" w:fill="92D050"/>
            <w:noWrap/>
          </w:tcPr>
          <w:p w14:paraId="3DDD5C29" w14:textId="77777777" w:rsidR="00655D73" w:rsidRPr="00F95D5B" w:rsidRDefault="00655D73" w:rsidP="00AD1FE8">
            <w:pPr>
              <w:pStyle w:val="TableTextEntries"/>
              <w:jc w:val="center"/>
              <w:rPr>
                <w:rFonts w:cs="Arial"/>
              </w:rPr>
            </w:pPr>
            <w:r w:rsidRPr="00F95D5B">
              <w:rPr>
                <w:rFonts w:cs="Arial"/>
              </w:rPr>
              <w:t>5</w:t>
            </w:r>
          </w:p>
        </w:tc>
        <w:tc>
          <w:tcPr>
            <w:tcW w:w="200" w:type="pct"/>
            <w:tcBorders>
              <w:top w:val="nil"/>
              <w:bottom w:val="nil"/>
            </w:tcBorders>
            <w:shd w:val="clear" w:color="auto" w:fill="92D050"/>
            <w:noWrap/>
          </w:tcPr>
          <w:p w14:paraId="3DDD5C2A" w14:textId="77777777" w:rsidR="00655D73" w:rsidRPr="00F95D5B" w:rsidRDefault="00655D73" w:rsidP="00AD1FE8">
            <w:pPr>
              <w:pStyle w:val="TableTextEntries"/>
              <w:jc w:val="center"/>
              <w:rPr>
                <w:rFonts w:cs="Arial"/>
              </w:rPr>
            </w:pPr>
            <w:r w:rsidRPr="00F95D5B">
              <w:rPr>
                <w:rFonts w:cs="Arial"/>
              </w:rPr>
              <w:t>5</w:t>
            </w:r>
          </w:p>
        </w:tc>
        <w:tc>
          <w:tcPr>
            <w:tcW w:w="200" w:type="pct"/>
            <w:tcBorders>
              <w:top w:val="nil"/>
              <w:bottom w:val="nil"/>
            </w:tcBorders>
            <w:shd w:val="clear" w:color="auto" w:fill="F79646" w:themeFill="accent6"/>
            <w:noWrap/>
          </w:tcPr>
          <w:p w14:paraId="3DDD5C2B" w14:textId="77777777" w:rsidR="00655D73" w:rsidRPr="00F95D5B" w:rsidRDefault="00655D73" w:rsidP="00AD1FE8">
            <w:pPr>
              <w:pStyle w:val="TableTextEntries"/>
              <w:jc w:val="center"/>
              <w:rPr>
                <w:rFonts w:cs="Arial"/>
              </w:rPr>
            </w:pPr>
            <w:r w:rsidRPr="00F95D5B">
              <w:rPr>
                <w:rFonts w:cs="Arial"/>
              </w:rPr>
              <w:t>3</w:t>
            </w:r>
          </w:p>
        </w:tc>
        <w:tc>
          <w:tcPr>
            <w:tcW w:w="200" w:type="pct"/>
            <w:tcBorders>
              <w:top w:val="nil"/>
              <w:bottom w:val="nil"/>
            </w:tcBorders>
            <w:shd w:val="clear" w:color="auto" w:fill="F79646" w:themeFill="accent6"/>
            <w:noWrap/>
          </w:tcPr>
          <w:p w14:paraId="3DDD5C2C" w14:textId="77777777" w:rsidR="00655D73" w:rsidRPr="00F95D5B" w:rsidRDefault="00655D73" w:rsidP="00AD1FE8">
            <w:pPr>
              <w:pStyle w:val="TableTextEntries"/>
              <w:jc w:val="center"/>
              <w:rPr>
                <w:rFonts w:cs="Arial"/>
              </w:rPr>
            </w:pPr>
            <w:r w:rsidRPr="00F95D5B">
              <w:rPr>
                <w:rFonts w:cs="Arial"/>
              </w:rPr>
              <w:t>3</w:t>
            </w:r>
          </w:p>
        </w:tc>
        <w:tc>
          <w:tcPr>
            <w:tcW w:w="200" w:type="pct"/>
            <w:tcBorders>
              <w:top w:val="nil"/>
              <w:bottom w:val="nil"/>
            </w:tcBorders>
            <w:shd w:val="clear" w:color="auto" w:fill="FFFF00"/>
            <w:noWrap/>
          </w:tcPr>
          <w:p w14:paraId="3DDD5C2D" w14:textId="77777777" w:rsidR="00655D73" w:rsidRPr="00F95D5B" w:rsidRDefault="00655D73" w:rsidP="00AD1FE8">
            <w:pPr>
              <w:pStyle w:val="TableTextEntries"/>
              <w:jc w:val="center"/>
              <w:rPr>
                <w:rFonts w:cs="Arial"/>
              </w:rPr>
            </w:pPr>
            <w:r w:rsidRPr="00F95D5B">
              <w:rPr>
                <w:rFonts w:cs="Arial"/>
              </w:rPr>
              <w:t>4</w:t>
            </w:r>
          </w:p>
        </w:tc>
        <w:tc>
          <w:tcPr>
            <w:tcW w:w="200" w:type="pct"/>
            <w:tcBorders>
              <w:top w:val="nil"/>
              <w:bottom w:val="nil"/>
            </w:tcBorders>
            <w:shd w:val="clear" w:color="auto" w:fill="92D050"/>
            <w:noWrap/>
          </w:tcPr>
          <w:p w14:paraId="3DDD5C2E" w14:textId="77777777" w:rsidR="00655D73" w:rsidRPr="00F95D5B" w:rsidRDefault="00655D73" w:rsidP="00AD1FE8">
            <w:pPr>
              <w:pStyle w:val="TableTextEntries"/>
              <w:jc w:val="center"/>
              <w:rPr>
                <w:rFonts w:cs="Arial"/>
              </w:rPr>
            </w:pPr>
            <w:r w:rsidRPr="00F95D5B">
              <w:rPr>
                <w:rFonts w:cs="Arial"/>
              </w:rPr>
              <w:t>5</w:t>
            </w:r>
          </w:p>
        </w:tc>
      </w:tr>
      <w:tr w:rsidR="00926679" w:rsidRPr="00105972" w14:paraId="3DDD5C3A" w14:textId="77777777" w:rsidTr="00F51A1E">
        <w:trPr>
          <w:cnfStyle w:val="000000010000" w:firstRow="0" w:lastRow="0" w:firstColumn="0" w:lastColumn="0" w:oddVBand="0" w:evenVBand="0" w:oddHBand="0" w:evenHBand="1" w:firstRowFirstColumn="0" w:firstRowLastColumn="0" w:lastRowFirstColumn="0" w:lastRowLastColumn="0"/>
          <w:tblHeader w:val="0"/>
        </w:trPr>
        <w:tc>
          <w:tcPr>
            <w:tcW w:w="900" w:type="pct"/>
            <w:vMerge/>
          </w:tcPr>
          <w:p w14:paraId="3DDD5C30" w14:textId="77777777" w:rsidR="00655D73" w:rsidRPr="00F95D5B" w:rsidRDefault="00655D73" w:rsidP="00F95D5B">
            <w:pPr>
              <w:pStyle w:val="TableTextEntries"/>
            </w:pPr>
          </w:p>
        </w:tc>
        <w:tc>
          <w:tcPr>
            <w:tcW w:w="900" w:type="pct"/>
            <w:vMerge/>
          </w:tcPr>
          <w:p w14:paraId="3DDD5C31" w14:textId="77777777" w:rsidR="00655D73" w:rsidRPr="00F95D5B" w:rsidRDefault="00655D73" w:rsidP="00F95D5B">
            <w:pPr>
              <w:pStyle w:val="TableTextEntries"/>
            </w:pPr>
          </w:p>
        </w:tc>
        <w:tc>
          <w:tcPr>
            <w:tcW w:w="300" w:type="pct"/>
            <w:vMerge/>
          </w:tcPr>
          <w:p w14:paraId="3DDD5C32" w14:textId="77777777" w:rsidR="00655D73" w:rsidRPr="00F95D5B" w:rsidRDefault="00655D73" w:rsidP="00F95D5B">
            <w:pPr>
              <w:pStyle w:val="TableTextEntries"/>
            </w:pPr>
          </w:p>
        </w:tc>
        <w:tc>
          <w:tcPr>
            <w:tcW w:w="300" w:type="pct"/>
            <w:noWrap/>
          </w:tcPr>
          <w:p w14:paraId="3DDD5C33" w14:textId="77777777" w:rsidR="00655D73" w:rsidRPr="00F95D5B" w:rsidRDefault="00655D73" w:rsidP="00F95D5B">
            <w:pPr>
              <w:pStyle w:val="TableTextEntries"/>
            </w:pPr>
            <w:r w:rsidRPr="00F95D5B">
              <w:t>2012</w:t>
            </w:r>
          </w:p>
        </w:tc>
        <w:tc>
          <w:tcPr>
            <w:tcW w:w="200" w:type="pct"/>
            <w:noWrap/>
          </w:tcPr>
          <w:p w14:paraId="3DDD5C34"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35"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36"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37"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38"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39" w14:textId="77777777" w:rsidR="00655D73" w:rsidRPr="00F95D5B" w:rsidRDefault="00655D73" w:rsidP="00AD1FE8">
            <w:pPr>
              <w:pStyle w:val="TableTextEntries"/>
              <w:jc w:val="center"/>
              <w:rPr>
                <w:rFonts w:cs="Arial"/>
              </w:rPr>
            </w:pPr>
            <w:r w:rsidRPr="00F95D5B">
              <w:rPr>
                <w:rFonts w:cs="Arial"/>
              </w:rPr>
              <w:t>N/A</w:t>
            </w:r>
          </w:p>
        </w:tc>
      </w:tr>
      <w:tr w:rsidR="00926679" w:rsidRPr="00105972" w14:paraId="3DDD5C45" w14:textId="77777777" w:rsidTr="00F51A1E">
        <w:trPr>
          <w:tblHeader w:val="0"/>
        </w:trPr>
        <w:tc>
          <w:tcPr>
            <w:tcW w:w="900" w:type="pct"/>
            <w:vMerge w:val="restart"/>
          </w:tcPr>
          <w:p w14:paraId="3DDD5C3B" w14:textId="77777777" w:rsidR="00655D73" w:rsidRPr="00F95D5B" w:rsidRDefault="00655D73" w:rsidP="00F95D5B">
            <w:pPr>
              <w:pStyle w:val="TableTextEntries"/>
            </w:pPr>
            <w:r w:rsidRPr="00F95D5B">
              <w:t>Temporary Assistance to Fiji Education</w:t>
            </w:r>
          </w:p>
        </w:tc>
        <w:tc>
          <w:tcPr>
            <w:tcW w:w="900" w:type="pct"/>
            <w:vMerge w:val="restart"/>
            <w:noWrap/>
          </w:tcPr>
          <w:p w14:paraId="3DDD5C3C" w14:textId="77777777" w:rsidR="00655D73" w:rsidRPr="00F95D5B" w:rsidRDefault="00655D73" w:rsidP="00F95D5B">
            <w:pPr>
              <w:pStyle w:val="TableTextEntries"/>
            </w:pPr>
            <w:r w:rsidRPr="00F95D5B">
              <w:t>$3,671,731.34</w:t>
            </w:r>
          </w:p>
        </w:tc>
        <w:tc>
          <w:tcPr>
            <w:tcW w:w="300" w:type="pct"/>
            <w:vMerge w:val="restart"/>
            <w:noWrap/>
          </w:tcPr>
          <w:p w14:paraId="3DDD5C3D" w14:textId="77777777" w:rsidR="00655D73" w:rsidRPr="00F95D5B" w:rsidRDefault="00655D73" w:rsidP="00F95D5B">
            <w:pPr>
              <w:pStyle w:val="TableTextEntries"/>
            </w:pPr>
            <w:r w:rsidRPr="00F95D5B">
              <w:t>2010</w:t>
            </w:r>
            <w:r w:rsidR="002B27C7" w:rsidRPr="00F95D5B">
              <w:t>–</w:t>
            </w:r>
            <w:r w:rsidRPr="00F95D5B">
              <w:t>12</w:t>
            </w:r>
          </w:p>
        </w:tc>
        <w:tc>
          <w:tcPr>
            <w:tcW w:w="300" w:type="pct"/>
            <w:noWrap/>
          </w:tcPr>
          <w:p w14:paraId="3DDD5C3E" w14:textId="77777777" w:rsidR="00655D73" w:rsidRPr="00F95D5B" w:rsidRDefault="00655D73" w:rsidP="00F95D5B">
            <w:pPr>
              <w:pStyle w:val="TableTextEntries"/>
            </w:pPr>
            <w:r w:rsidRPr="00F95D5B">
              <w:t>2011</w:t>
            </w:r>
          </w:p>
        </w:tc>
        <w:tc>
          <w:tcPr>
            <w:tcW w:w="200" w:type="pct"/>
            <w:tcBorders>
              <w:top w:val="nil"/>
              <w:bottom w:val="nil"/>
            </w:tcBorders>
            <w:shd w:val="clear" w:color="auto" w:fill="92D050"/>
            <w:noWrap/>
          </w:tcPr>
          <w:p w14:paraId="3DDD5C3F" w14:textId="77777777" w:rsidR="00655D73" w:rsidRPr="00F95D5B" w:rsidRDefault="00655D73" w:rsidP="00AD1FE8">
            <w:pPr>
              <w:pStyle w:val="TableTextEntries"/>
              <w:jc w:val="center"/>
              <w:rPr>
                <w:rFonts w:cs="Arial"/>
              </w:rPr>
            </w:pPr>
            <w:r w:rsidRPr="00F95D5B">
              <w:rPr>
                <w:rFonts w:cs="Arial"/>
              </w:rPr>
              <w:t>5</w:t>
            </w:r>
          </w:p>
        </w:tc>
        <w:tc>
          <w:tcPr>
            <w:tcW w:w="200" w:type="pct"/>
            <w:tcBorders>
              <w:top w:val="nil"/>
              <w:bottom w:val="nil"/>
            </w:tcBorders>
            <w:shd w:val="clear" w:color="auto" w:fill="92D050"/>
            <w:noWrap/>
          </w:tcPr>
          <w:p w14:paraId="3DDD5C40" w14:textId="77777777" w:rsidR="00655D73" w:rsidRPr="00F95D5B" w:rsidRDefault="00655D73" w:rsidP="00AD1FE8">
            <w:pPr>
              <w:pStyle w:val="TableTextEntries"/>
              <w:jc w:val="center"/>
              <w:rPr>
                <w:rFonts w:cs="Arial"/>
              </w:rPr>
            </w:pPr>
            <w:r w:rsidRPr="00F95D5B">
              <w:rPr>
                <w:rFonts w:cs="Arial"/>
              </w:rPr>
              <w:t>5</w:t>
            </w:r>
          </w:p>
        </w:tc>
        <w:tc>
          <w:tcPr>
            <w:tcW w:w="200" w:type="pct"/>
            <w:tcBorders>
              <w:top w:val="nil"/>
              <w:bottom w:val="nil"/>
            </w:tcBorders>
            <w:shd w:val="clear" w:color="auto" w:fill="92D050"/>
            <w:noWrap/>
          </w:tcPr>
          <w:p w14:paraId="3DDD5C41" w14:textId="77777777" w:rsidR="00655D73" w:rsidRPr="00F95D5B" w:rsidRDefault="00655D73" w:rsidP="00AD1FE8">
            <w:pPr>
              <w:pStyle w:val="TableTextEntries"/>
              <w:jc w:val="center"/>
              <w:rPr>
                <w:rFonts w:cs="Arial"/>
              </w:rPr>
            </w:pPr>
            <w:r w:rsidRPr="00F95D5B">
              <w:rPr>
                <w:rFonts w:cs="Arial"/>
              </w:rPr>
              <w:t>5</w:t>
            </w:r>
          </w:p>
        </w:tc>
        <w:tc>
          <w:tcPr>
            <w:tcW w:w="200" w:type="pct"/>
            <w:tcBorders>
              <w:top w:val="nil"/>
              <w:bottom w:val="nil"/>
            </w:tcBorders>
            <w:shd w:val="clear" w:color="auto" w:fill="FFFF00"/>
            <w:noWrap/>
          </w:tcPr>
          <w:p w14:paraId="3DDD5C42" w14:textId="77777777" w:rsidR="00655D73" w:rsidRPr="00F95D5B" w:rsidRDefault="00655D73" w:rsidP="00AD1FE8">
            <w:pPr>
              <w:pStyle w:val="TableTextEntries"/>
              <w:jc w:val="center"/>
              <w:rPr>
                <w:rFonts w:cs="Arial"/>
              </w:rPr>
            </w:pPr>
            <w:r w:rsidRPr="00F95D5B">
              <w:rPr>
                <w:rFonts w:cs="Arial"/>
              </w:rPr>
              <w:t>4</w:t>
            </w:r>
          </w:p>
        </w:tc>
        <w:tc>
          <w:tcPr>
            <w:tcW w:w="200" w:type="pct"/>
            <w:tcBorders>
              <w:top w:val="nil"/>
              <w:bottom w:val="nil"/>
            </w:tcBorders>
            <w:shd w:val="clear" w:color="auto" w:fill="FFFF00"/>
            <w:noWrap/>
          </w:tcPr>
          <w:p w14:paraId="3DDD5C43" w14:textId="77777777" w:rsidR="00655D73" w:rsidRPr="00F95D5B" w:rsidRDefault="00655D73" w:rsidP="00AD1FE8">
            <w:pPr>
              <w:pStyle w:val="TableTextEntries"/>
              <w:jc w:val="center"/>
              <w:rPr>
                <w:rFonts w:cs="Arial"/>
              </w:rPr>
            </w:pPr>
            <w:r w:rsidRPr="00F95D5B">
              <w:rPr>
                <w:rFonts w:cs="Arial"/>
              </w:rPr>
              <w:t>4</w:t>
            </w:r>
          </w:p>
        </w:tc>
        <w:tc>
          <w:tcPr>
            <w:tcW w:w="200" w:type="pct"/>
            <w:tcBorders>
              <w:top w:val="nil"/>
              <w:bottom w:val="nil"/>
            </w:tcBorders>
            <w:shd w:val="clear" w:color="auto" w:fill="FFFF00"/>
            <w:noWrap/>
          </w:tcPr>
          <w:p w14:paraId="3DDD5C44" w14:textId="77777777" w:rsidR="00655D73" w:rsidRPr="00F95D5B" w:rsidRDefault="00655D73" w:rsidP="00AD1FE8">
            <w:pPr>
              <w:pStyle w:val="TableTextEntries"/>
              <w:jc w:val="center"/>
              <w:rPr>
                <w:rFonts w:cs="Arial"/>
              </w:rPr>
            </w:pPr>
            <w:r w:rsidRPr="00F95D5B">
              <w:rPr>
                <w:rFonts w:cs="Arial"/>
              </w:rPr>
              <w:t>4</w:t>
            </w:r>
          </w:p>
        </w:tc>
      </w:tr>
      <w:tr w:rsidR="00926679" w:rsidRPr="00105972" w14:paraId="3DDD5C50" w14:textId="77777777" w:rsidTr="00F51A1E">
        <w:trPr>
          <w:cnfStyle w:val="000000010000" w:firstRow="0" w:lastRow="0" w:firstColumn="0" w:lastColumn="0" w:oddVBand="0" w:evenVBand="0" w:oddHBand="0" w:evenHBand="1" w:firstRowFirstColumn="0" w:firstRowLastColumn="0" w:lastRowFirstColumn="0" w:lastRowLastColumn="0"/>
          <w:tblHeader w:val="0"/>
        </w:trPr>
        <w:tc>
          <w:tcPr>
            <w:tcW w:w="900" w:type="pct"/>
            <w:vMerge/>
          </w:tcPr>
          <w:p w14:paraId="3DDD5C46" w14:textId="77777777" w:rsidR="00655D73" w:rsidRPr="00F95D5B" w:rsidRDefault="00655D73" w:rsidP="00F95D5B">
            <w:pPr>
              <w:pStyle w:val="TableTextEntries"/>
            </w:pPr>
          </w:p>
        </w:tc>
        <w:tc>
          <w:tcPr>
            <w:tcW w:w="900" w:type="pct"/>
            <w:vMerge/>
          </w:tcPr>
          <w:p w14:paraId="3DDD5C47" w14:textId="77777777" w:rsidR="00655D73" w:rsidRPr="00F95D5B" w:rsidRDefault="00655D73" w:rsidP="00F95D5B">
            <w:pPr>
              <w:pStyle w:val="TableTextEntries"/>
            </w:pPr>
          </w:p>
        </w:tc>
        <w:tc>
          <w:tcPr>
            <w:tcW w:w="300" w:type="pct"/>
            <w:vMerge/>
          </w:tcPr>
          <w:p w14:paraId="3DDD5C48" w14:textId="77777777" w:rsidR="00655D73" w:rsidRPr="00F95D5B" w:rsidRDefault="00655D73" w:rsidP="00F95D5B">
            <w:pPr>
              <w:pStyle w:val="TableTextEntries"/>
            </w:pPr>
          </w:p>
        </w:tc>
        <w:tc>
          <w:tcPr>
            <w:tcW w:w="300" w:type="pct"/>
            <w:noWrap/>
          </w:tcPr>
          <w:p w14:paraId="3DDD5C49" w14:textId="77777777" w:rsidR="00655D73" w:rsidRPr="00F95D5B" w:rsidRDefault="00655D73" w:rsidP="00F95D5B">
            <w:pPr>
              <w:pStyle w:val="TableTextEntries"/>
            </w:pPr>
            <w:r w:rsidRPr="00F95D5B">
              <w:t>2012</w:t>
            </w:r>
          </w:p>
        </w:tc>
        <w:tc>
          <w:tcPr>
            <w:tcW w:w="200" w:type="pct"/>
            <w:shd w:val="clear" w:color="auto" w:fill="92D050"/>
            <w:noWrap/>
          </w:tcPr>
          <w:p w14:paraId="3DDD5C4A"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F79646" w:themeFill="accent6"/>
            <w:noWrap/>
          </w:tcPr>
          <w:p w14:paraId="3DDD5C4B" w14:textId="77777777" w:rsidR="00655D73" w:rsidRPr="00F95D5B" w:rsidRDefault="00655D73" w:rsidP="00AD1FE8">
            <w:pPr>
              <w:pStyle w:val="TableTextEntries"/>
              <w:jc w:val="center"/>
              <w:rPr>
                <w:rFonts w:cs="Arial"/>
              </w:rPr>
            </w:pPr>
            <w:r w:rsidRPr="00F95D5B">
              <w:rPr>
                <w:rFonts w:cs="Arial"/>
              </w:rPr>
              <w:t>3</w:t>
            </w:r>
          </w:p>
        </w:tc>
        <w:tc>
          <w:tcPr>
            <w:tcW w:w="200" w:type="pct"/>
            <w:shd w:val="clear" w:color="auto" w:fill="FF0000"/>
            <w:noWrap/>
          </w:tcPr>
          <w:p w14:paraId="3DDD5C4C" w14:textId="77777777" w:rsidR="00655D73" w:rsidRPr="00F95D5B" w:rsidRDefault="00655D73" w:rsidP="00AD1FE8">
            <w:pPr>
              <w:pStyle w:val="TableTextEntries"/>
              <w:jc w:val="center"/>
              <w:rPr>
                <w:rFonts w:cs="Arial"/>
              </w:rPr>
            </w:pPr>
            <w:r w:rsidRPr="00F95D5B">
              <w:rPr>
                <w:rFonts w:cs="Arial"/>
              </w:rPr>
              <w:t>2</w:t>
            </w:r>
          </w:p>
        </w:tc>
        <w:tc>
          <w:tcPr>
            <w:tcW w:w="200" w:type="pct"/>
            <w:shd w:val="clear" w:color="auto" w:fill="F79646" w:themeFill="accent6"/>
            <w:noWrap/>
          </w:tcPr>
          <w:p w14:paraId="3DDD5C4D" w14:textId="77777777" w:rsidR="00655D73" w:rsidRPr="00F95D5B" w:rsidRDefault="00655D73" w:rsidP="00AD1FE8">
            <w:pPr>
              <w:pStyle w:val="TableTextEntries"/>
              <w:jc w:val="center"/>
              <w:rPr>
                <w:rFonts w:cs="Arial"/>
              </w:rPr>
            </w:pPr>
            <w:r w:rsidRPr="00F95D5B">
              <w:rPr>
                <w:rFonts w:cs="Arial"/>
              </w:rPr>
              <w:t>3</w:t>
            </w:r>
          </w:p>
        </w:tc>
        <w:tc>
          <w:tcPr>
            <w:tcW w:w="200" w:type="pct"/>
            <w:shd w:val="clear" w:color="auto" w:fill="F79646" w:themeFill="accent6"/>
            <w:noWrap/>
          </w:tcPr>
          <w:p w14:paraId="3DDD5C4E" w14:textId="77777777" w:rsidR="00655D73" w:rsidRPr="00F95D5B" w:rsidRDefault="00655D73" w:rsidP="00AD1FE8">
            <w:pPr>
              <w:pStyle w:val="TableTextEntries"/>
              <w:jc w:val="center"/>
              <w:rPr>
                <w:rFonts w:cs="Arial"/>
              </w:rPr>
            </w:pPr>
            <w:r w:rsidRPr="00F95D5B">
              <w:rPr>
                <w:rFonts w:cs="Arial"/>
              </w:rPr>
              <w:t>3</w:t>
            </w:r>
          </w:p>
        </w:tc>
        <w:tc>
          <w:tcPr>
            <w:tcW w:w="200" w:type="pct"/>
            <w:shd w:val="clear" w:color="auto" w:fill="FFFF00"/>
            <w:noWrap/>
          </w:tcPr>
          <w:p w14:paraId="3DDD5C4F" w14:textId="77777777" w:rsidR="00655D73" w:rsidRPr="00F95D5B" w:rsidRDefault="00655D73" w:rsidP="00AD1FE8">
            <w:pPr>
              <w:pStyle w:val="TableTextEntries"/>
              <w:jc w:val="center"/>
              <w:rPr>
                <w:rFonts w:cs="Arial"/>
              </w:rPr>
            </w:pPr>
            <w:r w:rsidRPr="00F95D5B">
              <w:rPr>
                <w:rFonts w:cs="Arial"/>
              </w:rPr>
              <w:t>4</w:t>
            </w:r>
          </w:p>
        </w:tc>
      </w:tr>
      <w:tr w:rsidR="00926679" w:rsidRPr="00105972" w14:paraId="3DDD5C5B" w14:textId="77777777" w:rsidTr="00F51A1E">
        <w:trPr>
          <w:tblHeader w:val="0"/>
        </w:trPr>
        <w:tc>
          <w:tcPr>
            <w:tcW w:w="900" w:type="pct"/>
            <w:vMerge w:val="restart"/>
          </w:tcPr>
          <w:p w14:paraId="3DDD5C51" w14:textId="77777777" w:rsidR="00655D73" w:rsidRPr="00F95D5B" w:rsidRDefault="00655D73" w:rsidP="00F95D5B">
            <w:pPr>
              <w:pStyle w:val="TableTextEntries"/>
            </w:pPr>
            <w:r w:rsidRPr="00F95D5B">
              <w:t>Access to Quality Education Program, Fiji</w:t>
            </w:r>
          </w:p>
        </w:tc>
        <w:tc>
          <w:tcPr>
            <w:tcW w:w="900" w:type="pct"/>
            <w:vMerge w:val="restart"/>
            <w:noWrap/>
          </w:tcPr>
          <w:p w14:paraId="3DDD5C52" w14:textId="77777777" w:rsidR="00655D73" w:rsidRPr="00F95D5B" w:rsidRDefault="00655D73" w:rsidP="00F95D5B">
            <w:pPr>
              <w:pStyle w:val="TableTextEntries"/>
            </w:pPr>
            <w:r w:rsidRPr="00F95D5B">
              <w:t>$10,000,000.00</w:t>
            </w:r>
          </w:p>
        </w:tc>
        <w:tc>
          <w:tcPr>
            <w:tcW w:w="300" w:type="pct"/>
            <w:vMerge w:val="restart"/>
            <w:noWrap/>
          </w:tcPr>
          <w:p w14:paraId="3DDD5C53" w14:textId="77777777" w:rsidR="00655D73" w:rsidRPr="00F95D5B" w:rsidRDefault="00655D73" w:rsidP="00F95D5B">
            <w:pPr>
              <w:pStyle w:val="TableTextEntries"/>
            </w:pPr>
            <w:r w:rsidRPr="00F95D5B">
              <w:t>2010</w:t>
            </w:r>
            <w:r w:rsidR="002B27C7" w:rsidRPr="00F95D5B">
              <w:t>–</w:t>
            </w:r>
            <w:r w:rsidRPr="00F95D5B">
              <w:t>13</w:t>
            </w:r>
          </w:p>
        </w:tc>
        <w:tc>
          <w:tcPr>
            <w:tcW w:w="300" w:type="pct"/>
            <w:noWrap/>
          </w:tcPr>
          <w:p w14:paraId="3DDD5C54" w14:textId="77777777" w:rsidR="00655D73" w:rsidRPr="00F95D5B" w:rsidRDefault="00655D73" w:rsidP="00F95D5B">
            <w:pPr>
              <w:pStyle w:val="TableTextEntries"/>
            </w:pPr>
            <w:r w:rsidRPr="00F95D5B">
              <w:t>2011</w:t>
            </w:r>
          </w:p>
        </w:tc>
        <w:tc>
          <w:tcPr>
            <w:tcW w:w="200" w:type="pct"/>
            <w:tcBorders>
              <w:top w:val="nil"/>
              <w:bottom w:val="nil"/>
            </w:tcBorders>
            <w:shd w:val="clear" w:color="auto" w:fill="92D050"/>
            <w:noWrap/>
          </w:tcPr>
          <w:p w14:paraId="3DDD5C55" w14:textId="77777777" w:rsidR="00655D73" w:rsidRPr="00F95D5B" w:rsidRDefault="00655D73" w:rsidP="00AD1FE8">
            <w:pPr>
              <w:pStyle w:val="TableTextEntries"/>
              <w:jc w:val="center"/>
              <w:rPr>
                <w:rFonts w:cs="Arial"/>
              </w:rPr>
            </w:pPr>
            <w:r w:rsidRPr="00F95D5B">
              <w:rPr>
                <w:rFonts w:cs="Arial"/>
              </w:rPr>
              <w:t>5</w:t>
            </w:r>
          </w:p>
        </w:tc>
        <w:tc>
          <w:tcPr>
            <w:tcW w:w="200" w:type="pct"/>
            <w:tcBorders>
              <w:top w:val="nil"/>
              <w:bottom w:val="nil"/>
            </w:tcBorders>
            <w:shd w:val="clear" w:color="auto" w:fill="FFFF00"/>
            <w:noWrap/>
          </w:tcPr>
          <w:p w14:paraId="3DDD5C56" w14:textId="77777777" w:rsidR="00655D73" w:rsidRPr="00F95D5B" w:rsidRDefault="00655D73" w:rsidP="00AD1FE8">
            <w:pPr>
              <w:pStyle w:val="TableTextEntries"/>
              <w:jc w:val="center"/>
              <w:rPr>
                <w:rFonts w:cs="Arial"/>
              </w:rPr>
            </w:pPr>
            <w:r w:rsidRPr="00F95D5B">
              <w:rPr>
                <w:rFonts w:cs="Arial"/>
              </w:rPr>
              <w:t>4</w:t>
            </w:r>
          </w:p>
        </w:tc>
        <w:tc>
          <w:tcPr>
            <w:tcW w:w="200" w:type="pct"/>
            <w:tcBorders>
              <w:top w:val="nil"/>
              <w:bottom w:val="nil"/>
            </w:tcBorders>
            <w:shd w:val="clear" w:color="auto" w:fill="FFFF00"/>
            <w:noWrap/>
          </w:tcPr>
          <w:p w14:paraId="3DDD5C57" w14:textId="77777777" w:rsidR="00655D73" w:rsidRPr="00F95D5B" w:rsidRDefault="00655D73" w:rsidP="00AD1FE8">
            <w:pPr>
              <w:pStyle w:val="TableTextEntries"/>
              <w:jc w:val="center"/>
              <w:rPr>
                <w:rFonts w:cs="Arial"/>
              </w:rPr>
            </w:pPr>
            <w:r w:rsidRPr="00F95D5B">
              <w:rPr>
                <w:rFonts w:cs="Arial"/>
              </w:rPr>
              <w:t>4</w:t>
            </w:r>
          </w:p>
        </w:tc>
        <w:tc>
          <w:tcPr>
            <w:tcW w:w="200" w:type="pct"/>
            <w:tcBorders>
              <w:top w:val="nil"/>
              <w:bottom w:val="nil"/>
            </w:tcBorders>
            <w:shd w:val="clear" w:color="auto" w:fill="FFFF00"/>
            <w:noWrap/>
          </w:tcPr>
          <w:p w14:paraId="3DDD5C58" w14:textId="77777777" w:rsidR="00655D73" w:rsidRPr="00F95D5B" w:rsidRDefault="00655D73" w:rsidP="00AD1FE8">
            <w:pPr>
              <w:pStyle w:val="TableTextEntries"/>
              <w:jc w:val="center"/>
              <w:rPr>
                <w:rFonts w:cs="Arial"/>
              </w:rPr>
            </w:pPr>
            <w:r w:rsidRPr="00F95D5B">
              <w:rPr>
                <w:rFonts w:cs="Arial"/>
              </w:rPr>
              <w:t>4</w:t>
            </w:r>
          </w:p>
        </w:tc>
        <w:tc>
          <w:tcPr>
            <w:tcW w:w="200" w:type="pct"/>
            <w:tcBorders>
              <w:top w:val="nil"/>
              <w:bottom w:val="nil"/>
            </w:tcBorders>
            <w:shd w:val="clear" w:color="auto" w:fill="FFFF00"/>
            <w:noWrap/>
          </w:tcPr>
          <w:p w14:paraId="3DDD5C59" w14:textId="77777777" w:rsidR="00655D73" w:rsidRPr="00F95D5B" w:rsidRDefault="00655D73" w:rsidP="00AD1FE8">
            <w:pPr>
              <w:pStyle w:val="TableTextEntries"/>
              <w:jc w:val="center"/>
              <w:rPr>
                <w:rFonts w:cs="Arial"/>
              </w:rPr>
            </w:pPr>
            <w:r w:rsidRPr="00F95D5B">
              <w:rPr>
                <w:rFonts w:cs="Arial"/>
              </w:rPr>
              <w:t>4</w:t>
            </w:r>
          </w:p>
        </w:tc>
        <w:tc>
          <w:tcPr>
            <w:tcW w:w="200" w:type="pct"/>
            <w:tcBorders>
              <w:top w:val="nil"/>
              <w:bottom w:val="nil"/>
            </w:tcBorders>
            <w:shd w:val="clear" w:color="auto" w:fill="FFFF00"/>
            <w:noWrap/>
          </w:tcPr>
          <w:p w14:paraId="3DDD5C5A" w14:textId="77777777" w:rsidR="00655D73" w:rsidRPr="00F95D5B" w:rsidRDefault="00655D73" w:rsidP="00AD1FE8">
            <w:pPr>
              <w:pStyle w:val="TableTextEntries"/>
              <w:jc w:val="center"/>
              <w:rPr>
                <w:rFonts w:cs="Arial"/>
              </w:rPr>
            </w:pPr>
            <w:r w:rsidRPr="00F95D5B">
              <w:rPr>
                <w:rFonts w:cs="Arial"/>
              </w:rPr>
              <w:t>4</w:t>
            </w:r>
          </w:p>
        </w:tc>
      </w:tr>
      <w:tr w:rsidR="00926679" w:rsidRPr="00105972" w14:paraId="3DDD5C66" w14:textId="77777777" w:rsidTr="00F51A1E">
        <w:trPr>
          <w:cnfStyle w:val="000000010000" w:firstRow="0" w:lastRow="0" w:firstColumn="0" w:lastColumn="0" w:oddVBand="0" w:evenVBand="0" w:oddHBand="0" w:evenHBand="1" w:firstRowFirstColumn="0" w:firstRowLastColumn="0" w:lastRowFirstColumn="0" w:lastRowLastColumn="0"/>
          <w:tblHeader w:val="0"/>
        </w:trPr>
        <w:tc>
          <w:tcPr>
            <w:tcW w:w="900" w:type="pct"/>
            <w:vMerge/>
          </w:tcPr>
          <w:p w14:paraId="3DDD5C5C" w14:textId="77777777" w:rsidR="00655D73" w:rsidRPr="00F95D5B" w:rsidRDefault="00655D73" w:rsidP="00F95D5B">
            <w:pPr>
              <w:pStyle w:val="TableTextEntries"/>
            </w:pPr>
          </w:p>
        </w:tc>
        <w:tc>
          <w:tcPr>
            <w:tcW w:w="900" w:type="pct"/>
            <w:vMerge/>
          </w:tcPr>
          <w:p w14:paraId="3DDD5C5D" w14:textId="77777777" w:rsidR="00655D73" w:rsidRPr="00F95D5B" w:rsidRDefault="00655D73" w:rsidP="00F95D5B">
            <w:pPr>
              <w:pStyle w:val="TableTextEntries"/>
            </w:pPr>
          </w:p>
        </w:tc>
        <w:tc>
          <w:tcPr>
            <w:tcW w:w="300" w:type="pct"/>
            <w:vMerge/>
          </w:tcPr>
          <w:p w14:paraId="3DDD5C5E" w14:textId="77777777" w:rsidR="00655D73" w:rsidRPr="00F95D5B" w:rsidRDefault="00655D73" w:rsidP="00F95D5B">
            <w:pPr>
              <w:pStyle w:val="TableTextEntries"/>
            </w:pPr>
          </w:p>
        </w:tc>
        <w:tc>
          <w:tcPr>
            <w:tcW w:w="300" w:type="pct"/>
            <w:noWrap/>
          </w:tcPr>
          <w:p w14:paraId="3DDD5C5F" w14:textId="77777777" w:rsidR="00655D73" w:rsidRPr="00F95D5B" w:rsidRDefault="00655D73" w:rsidP="00F95D5B">
            <w:pPr>
              <w:pStyle w:val="TableTextEntries"/>
            </w:pPr>
            <w:r w:rsidRPr="00F95D5B">
              <w:t>2012</w:t>
            </w:r>
          </w:p>
        </w:tc>
        <w:tc>
          <w:tcPr>
            <w:tcW w:w="200" w:type="pct"/>
            <w:shd w:val="clear" w:color="auto" w:fill="92D050"/>
            <w:noWrap/>
          </w:tcPr>
          <w:p w14:paraId="3DDD5C60" w14:textId="77777777" w:rsidR="00655D73" w:rsidRPr="00F95D5B" w:rsidRDefault="00655D73" w:rsidP="00AD1FE8">
            <w:pPr>
              <w:pStyle w:val="TableTextEntries"/>
              <w:jc w:val="center"/>
              <w:rPr>
                <w:rFonts w:cs="Arial"/>
              </w:rPr>
            </w:pPr>
            <w:r w:rsidRPr="00F95D5B">
              <w:rPr>
                <w:rFonts w:cs="Arial"/>
              </w:rPr>
              <w:t>6</w:t>
            </w:r>
          </w:p>
        </w:tc>
        <w:tc>
          <w:tcPr>
            <w:tcW w:w="200" w:type="pct"/>
            <w:shd w:val="clear" w:color="auto" w:fill="92D050"/>
            <w:noWrap/>
          </w:tcPr>
          <w:p w14:paraId="3DDD5C61"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92D050"/>
            <w:noWrap/>
          </w:tcPr>
          <w:p w14:paraId="3DDD5C62"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FFFF00"/>
            <w:noWrap/>
          </w:tcPr>
          <w:p w14:paraId="3DDD5C63" w14:textId="77777777" w:rsidR="00655D73" w:rsidRPr="00F95D5B" w:rsidRDefault="00655D73" w:rsidP="00AD1FE8">
            <w:pPr>
              <w:pStyle w:val="TableTextEntries"/>
              <w:jc w:val="center"/>
              <w:rPr>
                <w:rFonts w:cs="Arial"/>
              </w:rPr>
            </w:pPr>
            <w:r w:rsidRPr="00F95D5B">
              <w:rPr>
                <w:rFonts w:cs="Arial"/>
              </w:rPr>
              <w:t>4</w:t>
            </w:r>
          </w:p>
        </w:tc>
        <w:tc>
          <w:tcPr>
            <w:tcW w:w="200" w:type="pct"/>
            <w:shd w:val="clear" w:color="auto" w:fill="FFFF00"/>
            <w:noWrap/>
          </w:tcPr>
          <w:p w14:paraId="3DDD5C64" w14:textId="77777777" w:rsidR="00655D73" w:rsidRPr="00F95D5B" w:rsidRDefault="00655D73" w:rsidP="00AD1FE8">
            <w:pPr>
              <w:pStyle w:val="TableTextEntries"/>
              <w:jc w:val="center"/>
              <w:rPr>
                <w:rFonts w:cs="Arial"/>
              </w:rPr>
            </w:pPr>
            <w:r w:rsidRPr="00F95D5B">
              <w:rPr>
                <w:rFonts w:cs="Arial"/>
              </w:rPr>
              <w:t>4</w:t>
            </w:r>
          </w:p>
        </w:tc>
        <w:tc>
          <w:tcPr>
            <w:tcW w:w="200" w:type="pct"/>
            <w:shd w:val="clear" w:color="auto" w:fill="FFFF00"/>
            <w:noWrap/>
          </w:tcPr>
          <w:p w14:paraId="3DDD5C65" w14:textId="77777777" w:rsidR="00655D73" w:rsidRPr="00F95D5B" w:rsidRDefault="00655D73" w:rsidP="00AD1FE8">
            <w:pPr>
              <w:pStyle w:val="TableTextEntries"/>
              <w:jc w:val="center"/>
              <w:rPr>
                <w:rFonts w:cs="Arial"/>
              </w:rPr>
            </w:pPr>
            <w:r w:rsidRPr="00F95D5B">
              <w:rPr>
                <w:rFonts w:cs="Arial"/>
              </w:rPr>
              <w:t>4</w:t>
            </w:r>
          </w:p>
        </w:tc>
      </w:tr>
      <w:tr w:rsidR="00926679" w:rsidRPr="00105972" w14:paraId="3DDD5C71" w14:textId="77777777" w:rsidTr="00F51A1E">
        <w:trPr>
          <w:tblHeader w:val="0"/>
        </w:trPr>
        <w:tc>
          <w:tcPr>
            <w:tcW w:w="900" w:type="pct"/>
            <w:vMerge w:val="restart"/>
          </w:tcPr>
          <w:p w14:paraId="3DDD5C67" w14:textId="77777777" w:rsidR="00655D73" w:rsidRPr="00F95D5B" w:rsidRDefault="00655D73" w:rsidP="00F95D5B">
            <w:pPr>
              <w:pStyle w:val="TableTextEntries"/>
            </w:pPr>
            <w:r w:rsidRPr="00F95D5B">
              <w:t>Fiji Scholarships 2011 Intake</w:t>
            </w:r>
          </w:p>
        </w:tc>
        <w:tc>
          <w:tcPr>
            <w:tcW w:w="900" w:type="pct"/>
            <w:vMerge w:val="restart"/>
            <w:noWrap/>
          </w:tcPr>
          <w:p w14:paraId="3DDD5C68" w14:textId="77777777" w:rsidR="00655D73" w:rsidRPr="00F95D5B" w:rsidRDefault="00655D73" w:rsidP="00F95D5B">
            <w:pPr>
              <w:pStyle w:val="TableTextEntries"/>
            </w:pPr>
            <w:r w:rsidRPr="00F95D5B">
              <w:t>$5,733,209.00</w:t>
            </w:r>
          </w:p>
        </w:tc>
        <w:tc>
          <w:tcPr>
            <w:tcW w:w="300" w:type="pct"/>
            <w:vMerge w:val="restart"/>
            <w:noWrap/>
          </w:tcPr>
          <w:p w14:paraId="3DDD5C69" w14:textId="77777777" w:rsidR="00655D73" w:rsidRPr="00F95D5B" w:rsidRDefault="00655D73" w:rsidP="00F95D5B">
            <w:pPr>
              <w:pStyle w:val="TableTextEntries"/>
            </w:pPr>
            <w:r w:rsidRPr="00F95D5B">
              <w:t>2010</w:t>
            </w:r>
            <w:r w:rsidR="002B27C7" w:rsidRPr="00F95D5B">
              <w:t>–</w:t>
            </w:r>
            <w:r w:rsidRPr="00F95D5B">
              <w:t>17</w:t>
            </w:r>
          </w:p>
        </w:tc>
        <w:tc>
          <w:tcPr>
            <w:tcW w:w="300" w:type="pct"/>
            <w:noWrap/>
          </w:tcPr>
          <w:p w14:paraId="3DDD5C6A" w14:textId="77777777" w:rsidR="00655D73" w:rsidRPr="00F95D5B" w:rsidRDefault="00655D73" w:rsidP="00F95D5B">
            <w:pPr>
              <w:pStyle w:val="TableTextEntries"/>
            </w:pPr>
            <w:r w:rsidRPr="00F95D5B">
              <w:t>2011</w:t>
            </w:r>
          </w:p>
        </w:tc>
        <w:tc>
          <w:tcPr>
            <w:tcW w:w="200" w:type="pct"/>
            <w:tcBorders>
              <w:top w:val="nil"/>
              <w:bottom w:val="nil"/>
            </w:tcBorders>
            <w:shd w:val="clear" w:color="auto" w:fill="92D050"/>
            <w:noWrap/>
          </w:tcPr>
          <w:p w14:paraId="3DDD5C6B" w14:textId="77777777" w:rsidR="00655D73" w:rsidRPr="00F95D5B" w:rsidRDefault="00655D73" w:rsidP="00AD1FE8">
            <w:pPr>
              <w:pStyle w:val="TableTextEntries"/>
              <w:jc w:val="center"/>
              <w:rPr>
                <w:rFonts w:cs="Arial"/>
              </w:rPr>
            </w:pPr>
            <w:r w:rsidRPr="00F95D5B">
              <w:rPr>
                <w:rFonts w:cs="Arial"/>
              </w:rPr>
              <w:t>5</w:t>
            </w:r>
          </w:p>
        </w:tc>
        <w:tc>
          <w:tcPr>
            <w:tcW w:w="200" w:type="pct"/>
            <w:tcBorders>
              <w:top w:val="nil"/>
              <w:bottom w:val="nil"/>
            </w:tcBorders>
            <w:shd w:val="clear" w:color="auto" w:fill="92D050"/>
            <w:noWrap/>
          </w:tcPr>
          <w:p w14:paraId="3DDD5C6C" w14:textId="77777777" w:rsidR="00655D73" w:rsidRPr="00F95D5B" w:rsidRDefault="00655D73" w:rsidP="00AD1FE8">
            <w:pPr>
              <w:pStyle w:val="TableTextEntries"/>
              <w:jc w:val="center"/>
              <w:rPr>
                <w:rFonts w:cs="Arial"/>
              </w:rPr>
            </w:pPr>
            <w:r w:rsidRPr="00F95D5B">
              <w:rPr>
                <w:rFonts w:cs="Arial"/>
              </w:rPr>
              <w:t>5</w:t>
            </w:r>
          </w:p>
        </w:tc>
        <w:tc>
          <w:tcPr>
            <w:tcW w:w="200" w:type="pct"/>
            <w:tcBorders>
              <w:top w:val="nil"/>
              <w:bottom w:val="nil"/>
            </w:tcBorders>
            <w:shd w:val="clear" w:color="auto" w:fill="92D050"/>
            <w:noWrap/>
          </w:tcPr>
          <w:p w14:paraId="3DDD5C6D" w14:textId="77777777" w:rsidR="00655D73" w:rsidRPr="00F95D5B" w:rsidRDefault="00655D73" w:rsidP="00AD1FE8">
            <w:pPr>
              <w:pStyle w:val="TableTextEntries"/>
              <w:jc w:val="center"/>
              <w:rPr>
                <w:rFonts w:cs="Arial"/>
              </w:rPr>
            </w:pPr>
            <w:r w:rsidRPr="00F95D5B">
              <w:rPr>
                <w:rFonts w:cs="Arial"/>
              </w:rPr>
              <w:t>5</w:t>
            </w:r>
          </w:p>
        </w:tc>
        <w:tc>
          <w:tcPr>
            <w:tcW w:w="200" w:type="pct"/>
            <w:tcBorders>
              <w:top w:val="nil"/>
              <w:bottom w:val="nil"/>
            </w:tcBorders>
            <w:shd w:val="clear" w:color="auto" w:fill="FFFF00"/>
            <w:noWrap/>
          </w:tcPr>
          <w:p w14:paraId="3DDD5C6E" w14:textId="77777777" w:rsidR="00655D73" w:rsidRPr="00F95D5B" w:rsidRDefault="00655D73" w:rsidP="00AD1FE8">
            <w:pPr>
              <w:pStyle w:val="TableTextEntries"/>
              <w:jc w:val="center"/>
              <w:rPr>
                <w:rFonts w:cs="Arial"/>
              </w:rPr>
            </w:pPr>
            <w:r w:rsidRPr="00F95D5B">
              <w:rPr>
                <w:rFonts w:cs="Arial"/>
              </w:rPr>
              <w:t>4</w:t>
            </w:r>
          </w:p>
        </w:tc>
        <w:tc>
          <w:tcPr>
            <w:tcW w:w="200" w:type="pct"/>
            <w:tcBorders>
              <w:top w:val="nil"/>
              <w:bottom w:val="nil"/>
            </w:tcBorders>
            <w:shd w:val="clear" w:color="auto" w:fill="92D050"/>
            <w:noWrap/>
          </w:tcPr>
          <w:p w14:paraId="3DDD5C6F" w14:textId="77777777" w:rsidR="00655D73" w:rsidRPr="00F95D5B" w:rsidRDefault="00655D73" w:rsidP="00AD1FE8">
            <w:pPr>
              <w:pStyle w:val="TableTextEntries"/>
              <w:jc w:val="center"/>
              <w:rPr>
                <w:rFonts w:cs="Arial"/>
              </w:rPr>
            </w:pPr>
            <w:r w:rsidRPr="00F95D5B">
              <w:rPr>
                <w:rFonts w:cs="Arial"/>
              </w:rPr>
              <w:t>5</w:t>
            </w:r>
          </w:p>
        </w:tc>
        <w:tc>
          <w:tcPr>
            <w:tcW w:w="200" w:type="pct"/>
            <w:tcBorders>
              <w:top w:val="nil"/>
              <w:bottom w:val="nil"/>
            </w:tcBorders>
            <w:shd w:val="clear" w:color="auto" w:fill="92D050"/>
            <w:noWrap/>
          </w:tcPr>
          <w:p w14:paraId="3DDD5C70" w14:textId="77777777" w:rsidR="00655D73" w:rsidRPr="00F95D5B" w:rsidRDefault="00655D73" w:rsidP="00AD1FE8">
            <w:pPr>
              <w:pStyle w:val="TableTextEntries"/>
              <w:jc w:val="center"/>
              <w:rPr>
                <w:rFonts w:cs="Arial"/>
              </w:rPr>
            </w:pPr>
            <w:r w:rsidRPr="00F95D5B">
              <w:rPr>
                <w:rFonts w:cs="Arial"/>
              </w:rPr>
              <w:t>6</w:t>
            </w:r>
          </w:p>
        </w:tc>
      </w:tr>
      <w:tr w:rsidR="00926679" w:rsidRPr="00105972" w14:paraId="3DDD5C7C" w14:textId="77777777" w:rsidTr="00F51A1E">
        <w:trPr>
          <w:cnfStyle w:val="000000010000" w:firstRow="0" w:lastRow="0" w:firstColumn="0" w:lastColumn="0" w:oddVBand="0" w:evenVBand="0" w:oddHBand="0" w:evenHBand="1" w:firstRowFirstColumn="0" w:firstRowLastColumn="0" w:lastRowFirstColumn="0" w:lastRowLastColumn="0"/>
          <w:tblHeader w:val="0"/>
        </w:trPr>
        <w:tc>
          <w:tcPr>
            <w:tcW w:w="900" w:type="pct"/>
            <w:vMerge/>
          </w:tcPr>
          <w:p w14:paraId="3DDD5C72" w14:textId="77777777" w:rsidR="00655D73" w:rsidRPr="00F95D5B" w:rsidRDefault="00655D73" w:rsidP="00F95D5B">
            <w:pPr>
              <w:pStyle w:val="TableTextEntries"/>
            </w:pPr>
          </w:p>
        </w:tc>
        <w:tc>
          <w:tcPr>
            <w:tcW w:w="900" w:type="pct"/>
            <w:vMerge/>
          </w:tcPr>
          <w:p w14:paraId="3DDD5C73" w14:textId="77777777" w:rsidR="00655D73" w:rsidRPr="00F95D5B" w:rsidRDefault="00655D73" w:rsidP="00F95D5B">
            <w:pPr>
              <w:pStyle w:val="TableTextEntries"/>
            </w:pPr>
          </w:p>
        </w:tc>
        <w:tc>
          <w:tcPr>
            <w:tcW w:w="300" w:type="pct"/>
            <w:vMerge/>
          </w:tcPr>
          <w:p w14:paraId="3DDD5C74" w14:textId="77777777" w:rsidR="00655D73" w:rsidRPr="00F95D5B" w:rsidRDefault="00655D73" w:rsidP="00F95D5B">
            <w:pPr>
              <w:pStyle w:val="TableTextEntries"/>
            </w:pPr>
          </w:p>
        </w:tc>
        <w:tc>
          <w:tcPr>
            <w:tcW w:w="300" w:type="pct"/>
            <w:noWrap/>
          </w:tcPr>
          <w:p w14:paraId="3DDD5C75" w14:textId="77777777" w:rsidR="00655D73" w:rsidRPr="00F95D5B" w:rsidRDefault="00655D73" w:rsidP="00F95D5B">
            <w:pPr>
              <w:pStyle w:val="TableTextEntries"/>
            </w:pPr>
            <w:r w:rsidRPr="00F95D5B">
              <w:t>2012</w:t>
            </w:r>
          </w:p>
        </w:tc>
        <w:tc>
          <w:tcPr>
            <w:tcW w:w="200" w:type="pct"/>
            <w:shd w:val="clear" w:color="auto" w:fill="92D050"/>
            <w:noWrap/>
          </w:tcPr>
          <w:p w14:paraId="3DDD5C76"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FFFF00"/>
            <w:noWrap/>
          </w:tcPr>
          <w:p w14:paraId="3DDD5C77" w14:textId="77777777" w:rsidR="00655D73" w:rsidRPr="00F95D5B" w:rsidRDefault="00655D73" w:rsidP="00AD1FE8">
            <w:pPr>
              <w:pStyle w:val="TableTextEntries"/>
              <w:jc w:val="center"/>
              <w:rPr>
                <w:rFonts w:cs="Arial"/>
              </w:rPr>
            </w:pPr>
            <w:r w:rsidRPr="00F95D5B">
              <w:rPr>
                <w:rFonts w:cs="Arial"/>
              </w:rPr>
              <w:t>4</w:t>
            </w:r>
          </w:p>
        </w:tc>
        <w:tc>
          <w:tcPr>
            <w:tcW w:w="200" w:type="pct"/>
            <w:shd w:val="clear" w:color="auto" w:fill="92D050"/>
            <w:noWrap/>
          </w:tcPr>
          <w:p w14:paraId="3DDD5C78"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92D050"/>
            <w:noWrap/>
          </w:tcPr>
          <w:p w14:paraId="3DDD5C79"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92D050"/>
            <w:noWrap/>
          </w:tcPr>
          <w:p w14:paraId="3DDD5C7A"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92D050"/>
            <w:noWrap/>
          </w:tcPr>
          <w:p w14:paraId="3DDD5C7B" w14:textId="77777777" w:rsidR="00655D73" w:rsidRPr="00F95D5B" w:rsidRDefault="00655D73" w:rsidP="00AD1FE8">
            <w:pPr>
              <w:pStyle w:val="TableTextEntries"/>
              <w:jc w:val="center"/>
              <w:rPr>
                <w:rFonts w:cs="Arial"/>
              </w:rPr>
            </w:pPr>
            <w:r w:rsidRPr="00F95D5B">
              <w:rPr>
                <w:rFonts w:cs="Arial"/>
              </w:rPr>
              <w:t>5</w:t>
            </w:r>
          </w:p>
        </w:tc>
      </w:tr>
      <w:tr w:rsidR="00926679" w:rsidRPr="00105972" w14:paraId="3DDD5C87" w14:textId="77777777" w:rsidTr="00F51A1E">
        <w:trPr>
          <w:tblHeader w:val="0"/>
        </w:trPr>
        <w:tc>
          <w:tcPr>
            <w:tcW w:w="900" w:type="pct"/>
            <w:vMerge w:val="restart"/>
          </w:tcPr>
          <w:p w14:paraId="3DDD5C7D" w14:textId="77777777" w:rsidR="00655D73" w:rsidRPr="00F95D5B" w:rsidRDefault="00655D73" w:rsidP="00F95D5B">
            <w:pPr>
              <w:pStyle w:val="TableTextEntries"/>
            </w:pPr>
            <w:r w:rsidRPr="00F95D5B">
              <w:t>Fiji Health Sector Support Program 2011</w:t>
            </w:r>
            <w:r w:rsidR="002B27C7" w:rsidRPr="00F95D5B">
              <w:t>–</w:t>
            </w:r>
            <w:r w:rsidRPr="00F95D5B">
              <w:t>2013</w:t>
            </w:r>
          </w:p>
        </w:tc>
        <w:tc>
          <w:tcPr>
            <w:tcW w:w="900" w:type="pct"/>
            <w:vMerge w:val="restart"/>
            <w:noWrap/>
          </w:tcPr>
          <w:p w14:paraId="3DDD5C7E" w14:textId="77777777" w:rsidR="00655D73" w:rsidRPr="00F95D5B" w:rsidRDefault="00655D73" w:rsidP="00F95D5B">
            <w:pPr>
              <w:pStyle w:val="TableTextEntries"/>
            </w:pPr>
            <w:r w:rsidRPr="00F95D5B">
              <w:t>$15,000,000.00</w:t>
            </w:r>
          </w:p>
        </w:tc>
        <w:tc>
          <w:tcPr>
            <w:tcW w:w="300" w:type="pct"/>
            <w:vMerge w:val="restart"/>
            <w:noWrap/>
          </w:tcPr>
          <w:p w14:paraId="3DDD5C7F" w14:textId="77777777" w:rsidR="00655D73" w:rsidRPr="00F95D5B" w:rsidRDefault="00655D73" w:rsidP="00F95D5B">
            <w:pPr>
              <w:pStyle w:val="TableTextEntries"/>
            </w:pPr>
            <w:r w:rsidRPr="00F95D5B">
              <w:t>2011</w:t>
            </w:r>
            <w:r w:rsidR="002B27C7" w:rsidRPr="00F95D5B">
              <w:t>–</w:t>
            </w:r>
            <w:r w:rsidRPr="00F95D5B">
              <w:t>14</w:t>
            </w:r>
          </w:p>
        </w:tc>
        <w:tc>
          <w:tcPr>
            <w:tcW w:w="300" w:type="pct"/>
            <w:noWrap/>
          </w:tcPr>
          <w:p w14:paraId="3DDD5C80" w14:textId="77777777" w:rsidR="00655D73" w:rsidRPr="00F95D5B" w:rsidRDefault="00655D73" w:rsidP="00F95D5B">
            <w:pPr>
              <w:pStyle w:val="TableTextEntries"/>
            </w:pPr>
            <w:r w:rsidRPr="00F95D5B">
              <w:t>2011</w:t>
            </w:r>
          </w:p>
        </w:tc>
        <w:tc>
          <w:tcPr>
            <w:tcW w:w="200" w:type="pct"/>
            <w:tcBorders>
              <w:top w:val="nil"/>
              <w:bottom w:val="nil"/>
            </w:tcBorders>
            <w:shd w:val="clear" w:color="auto" w:fill="92D050"/>
            <w:noWrap/>
          </w:tcPr>
          <w:p w14:paraId="3DDD5C81" w14:textId="77777777" w:rsidR="00655D73" w:rsidRPr="00F95D5B" w:rsidRDefault="00655D73" w:rsidP="00AD1FE8">
            <w:pPr>
              <w:pStyle w:val="TableTextEntries"/>
              <w:jc w:val="center"/>
              <w:rPr>
                <w:rFonts w:cs="Arial"/>
              </w:rPr>
            </w:pPr>
            <w:r w:rsidRPr="00F95D5B">
              <w:rPr>
                <w:rFonts w:cs="Arial"/>
              </w:rPr>
              <w:t>5</w:t>
            </w:r>
          </w:p>
        </w:tc>
        <w:tc>
          <w:tcPr>
            <w:tcW w:w="200" w:type="pct"/>
            <w:tcBorders>
              <w:top w:val="nil"/>
              <w:bottom w:val="nil"/>
            </w:tcBorders>
            <w:shd w:val="clear" w:color="auto" w:fill="FFFF00"/>
            <w:noWrap/>
          </w:tcPr>
          <w:p w14:paraId="3DDD5C82" w14:textId="77777777" w:rsidR="00655D73" w:rsidRPr="00F95D5B" w:rsidRDefault="00655D73" w:rsidP="00AD1FE8">
            <w:pPr>
              <w:pStyle w:val="TableTextEntries"/>
              <w:jc w:val="center"/>
              <w:rPr>
                <w:rFonts w:cs="Arial"/>
              </w:rPr>
            </w:pPr>
            <w:r w:rsidRPr="00F95D5B">
              <w:rPr>
                <w:rFonts w:cs="Arial"/>
              </w:rPr>
              <w:t>4</w:t>
            </w:r>
          </w:p>
        </w:tc>
        <w:tc>
          <w:tcPr>
            <w:tcW w:w="200" w:type="pct"/>
            <w:tcBorders>
              <w:top w:val="nil"/>
              <w:bottom w:val="nil"/>
            </w:tcBorders>
            <w:shd w:val="clear" w:color="auto" w:fill="FFFF00"/>
            <w:noWrap/>
          </w:tcPr>
          <w:p w14:paraId="3DDD5C83" w14:textId="77777777" w:rsidR="00655D73" w:rsidRPr="00F95D5B" w:rsidRDefault="00655D73" w:rsidP="00AD1FE8">
            <w:pPr>
              <w:pStyle w:val="TableTextEntries"/>
              <w:jc w:val="center"/>
              <w:rPr>
                <w:rFonts w:cs="Arial"/>
              </w:rPr>
            </w:pPr>
            <w:r w:rsidRPr="00F95D5B">
              <w:rPr>
                <w:rFonts w:cs="Arial"/>
              </w:rPr>
              <w:t>4</w:t>
            </w:r>
          </w:p>
        </w:tc>
        <w:tc>
          <w:tcPr>
            <w:tcW w:w="200" w:type="pct"/>
            <w:tcBorders>
              <w:top w:val="nil"/>
              <w:bottom w:val="nil"/>
            </w:tcBorders>
            <w:shd w:val="clear" w:color="auto" w:fill="FFFF00"/>
            <w:noWrap/>
          </w:tcPr>
          <w:p w14:paraId="3DDD5C84" w14:textId="77777777" w:rsidR="00655D73" w:rsidRPr="00F95D5B" w:rsidRDefault="00655D73" w:rsidP="00AD1FE8">
            <w:pPr>
              <w:pStyle w:val="TableTextEntries"/>
              <w:jc w:val="center"/>
              <w:rPr>
                <w:rFonts w:cs="Arial"/>
              </w:rPr>
            </w:pPr>
            <w:r w:rsidRPr="00F95D5B">
              <w:rPr>
                <w:rFonts w:cs="Arial"/>
              </w:rPr>
              <w:t>4</w:t>
            </w:r>
          </w:p>
        </w:tc>
        <w:tc>
          <w:tcPr>
            <w:tcW w:w="200" w:type="pct"/>
            <w:tcBorders>
              <w:top w:val="nil"/>
              <w:bottom w:val="nil"/>
            </w:tcBorders>
            <w:shd w:val="clear" w:color="auto" w:fill="92D050"/>
            <w:noWrap/>
          </w:tcPr>
          <w:p w14:paraId="3DDD5C85" w14:textId="77777777" w:rsidR="00655D73" w:rsidRPr="00F95D5B" w:rsidRDefault="00655D73" w:rsidP="00AD1FE8">
            <w:pPr>
              <w:pStyle w:val="TableTextEntries"/>
              <w:jc w:val="center"/>
              <w:rPr>
                <w:rFonts w:cs="Arial"/>
              </w:rPr>
            </w:pPr>
            <w:r w:rsidRPr="00F95D5B">
              <w:rPr>
                <w:rFonts w:cs="Arial"/>
              </w:rPr>
              <w:t>5</w:t>
            </w:r>
          </w:p>
        </w:tc>
        <w:tc>
          <w:tcPr>
            <w:tcW w:w="200" w:type="pct"/>
            <w:tcBorders>
              <w:top w:val="nil"/>
              <w:bottom w:val="nil"/>
            </w:tcBorders>
            <w:shd w:val="clear" w:color="auto" w:fill="FFFF00"/>
            <w:noWrap/>
          </w:tcPr>
          <w:p w14:paraId="3DDD5C86" w14:textId="77777777" w:rsidR="00655D73" w:rsidRPr="00F95D5B" w:rsidRDefault="00655D73" w:rsidP="00AD1FE8">
            <w:pPr>
              <w:pStyle w:val="TableTextEntries"/>
              <w:jc w:val="center"/>
              <w:rPr>
                <w:rFonts w:cs="Arial"/>
              </w:rPr>
            </w:pPr>
            <w:r w:rsidRPr="00F95D5B">
              <w:rPr>
                <w:rFonts w:cs="Arial"/>
              </w:rPr>
              <w:t>4</w:t>
            </w:r>
          </w:p>
        </w:tc>
      </w:tr>
      <w:tr w:rsidR="00926679" w:rsidRPr="00105972" w14:paraId="3DDD5C92" w14:textId="77777777" w:rsidTr="00F51A1E">
        <w:trPr>
          <w:cnfStyle w:val="000000010000" w:firstRow="0" w:lastRow="0" w:firstColumn="0" w:lastColumn="0" w:oddVBand="0" w:evenVBand="0" w:oddHBand="0" w:evenHBand="1" w:firstRowFirstColumn="0" w:firstRowLastColumn="0" w:lastRowFirstColumn="0" w:lastRowLastColumn="0"/>
          <w:tblHeader w:val="0"/>
        </w:trPr>
        <w:tc>
          <w:tcPr>
            <w:tcW w:w="900" w:type="pct"/>
            <w:vMerge/>
          </w:tcPr>
          <w:p w14:paraId="3DDD5C88" w14:textId="77777777" w:rsidR="00655D73" w:rsidRPr="00F95D5B" w:rsidRDefault="00655D73" w:rsidP="00F95D5B">
            <w:pPr>
              <w:pStyle w:val="TableTextEntries"/>
            </w:pPr>
          </w:p>
        </w:tc>
        <w:tc>
          <w:tcPr>
            <w:tcW w:w="900" w:type="pct"/>
            <w:vMerge/>
          </w:tcPr>
          <w:p w14:paraId="3DDD5C89" w14:textId="77777777" w:rsidR="00655D73" w:rsidRPr="00F95D5B" w:rsidRDefault="00655D73" w:rsidP="00F95D5B">
            <w:pPr>
              <w:pStyle w:val="TableTextEntries"/>
            </w:pPr>
          </w:p>
        </w:tc>
        <w:tc>
          <w:tcPr>
            <w:tcW w:w="300" w:type="pct"/>
            <w:vMerge/>
          </w:tcPr>
          <w:p w14:paraId="3DDD5C8A" w14:textId="77777777" w:rsidR="00655D73" w:rsidRPr="00F95D5B" w:rsidRDefault="00655D73" w:rsidP="00F95D5B">
            <w:pPr>
              <w:pStyle w:val="TableTextEntries"/>
            </w:pPr>
          </w:p>
        </w:tc>
        <w:tc>
          <w:tcPr>
            <w:tcW w:w="300" w:type="pct"/>
            <w:noWrap/>
          </w:tcPr>
          <w:p w14:paraId="3DDD5C8B" w14:textId="77777777" w:rsidR="00655D73" w:rsidRPr="00F95D5B" w:rsidRDefault="00655D73" w:rsidP="00F95D5B">
            <w:pPr>
              <w:pStyle w:val="TableTextEntries"/>
            </w:pPr>
            <w:r w:rsidRPr="00F95D5B">
              <w:t>2012</w:t>
            </w:r>
          </w:p>
        </w:tc>
        <w:tc>
          <w:tcPr>
            <w:tcW w:w="200" w:type="pct"/>
            <w:shd w:val="clear" w:color="auto" w:fill="92D050"/>
            <w:noWrap/>
          </w:tcPr>
          <w:p w14:paraId="3DDD5C8C"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92D050"/>
            <w:noWrap/>
          </w:tcPr>
          <w:p w14:paraId="3DDD5C8D"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92D050"/>
            <w:noWrap/>
          </w:tcPr>
          <w:p w14:paraId="3DDD5C8E"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FFFF00"/>
            <w:noWrap/>
          </w:tcPr>
          <w:p w14:paraId="3DDD5C8F" w14:textId="77777777" w:rsidR="00655D73" w:rsidRPr="00F95D5B" w:rsidRDefault="00655D73" w:rsidP="00AD1FE8">
            <w:pPr>
              <w:pStyle w:val="TableTextEntries"/>
              <w:jc w:val="center"/>
              <w:rPr>
                <w:rFonts w:cs="Arial"/>
              </w:rPr>
            </w:pPr>
            <w:r w:rsidRPr="00F95D5B">
              <w:rPr>
                <w:rFonts w:cs="Arial"/>
              </w:rPr>
              <w:t>4</w:t>
            </w:r>
          </w:p>
        </w:tc>
        <w:tc>
          <w:tcPr>
            <w:tcW w:w="200" w:type="pct"/>
            <w:shd w:val="clear" w:color="auto" w:fill="FFFF00"/>
            <w:noWrap/>
          </w:tcPr>
          <w:p w14:paraId="3DDD5C90" w14:textId="77777777" w:rsidR="00655D73" w:rsidRPr="00F95D5B" w:rsidRDefault="00655D73" w:rsidP="00AD1FE8">
            <w:pPr>
              <w:pStyle w:val="TableTextEntries"/>
              <w:jc w:val="center"/>
              <w:rPr>
                <w:rFonts w:cs="Arial"/>
              </w:rPr>
            </w:pPr>
            <w:r w:rsidRPr="00F95D5B">
              <w:rPr>
                <w:rFonts w:cs="Arial"/>
              </w:rPr>
              <w:t>4</w:t>
            </w:r>
          </w:p>
        </w:tc>
        <w:tc>
          <w:tcPr>
            <w:tcW w:w="200" w:type="pct"/>
            <w:shd w:val="clear" w:color="auto" w:fill="92D050"/>
            <w:noWrap/>
          </w:tcPr>
          <w:p w14:paraId="3DDD5C91" w14:textId="77777777" w:rsidR="00655D73" w:rsidRPr="00F95D5B" w:rsidRDefault="00655D73" w:rsidP="00AD1FE8">
            <w:pPr>
              <w:pStyle w:val="TableTextEntries"/>
              <w:jc w:val="center"/>
              <w:rPr>
                <w:rFonts w:cs="Arial"/>
              </w:rPr>
            </w:pPr>
            <w:r w:rsidRPr="00F95D5B">
              <w:rPr>
                <w:rFonts w:cs="Arial"/>
              </w:rPr>
              <w:t>5</w:t>
            </w:r>
          </w:p>
        </w:tc>
      </w:tr>
      <w:tr w:rsidR="00926679" w:rsidRPr="00105972" w14:paraId="3DDD5C9D" w14:textId="77777777" w:rsidTr="00F51A1E">
        <w:trPr>
          <w:tblHeader w:val="0"/>
        </w:trPr>
        <w:tc>
          <w:tcPr>
            <w:tcW w:w="900" w:type="pct"/>
            <w:vMerge w:val="restart"/>
          </w:tcPr>
          <w:p w14:paraId="3DDD5C93" w14:textId="77777777" w:rsidR="00655D73" w:rsidRPr="00F95D5B" w:rsidRDefault="00655D73" w:rsidP="00F95D5B">
            <w:pPr>
              <w:pStyle w:val="TableTextEntries"/>
            </w:pPr>
            <w:r w:rsidRPr="00F95D5B">
              <w:t xml:space="preserve">Fiji Health Sector Interim Assistance </w:t>
            </w:r>
          </w:p>
        </w:tc>
        <w:tc>
          <w:tcPr>
            <w:tcW w:w="900" w:type="pct"/>
            <w:vMerge w:val="restart"/>
            <w:noWrap/>
          </w:tcPr>
          <w:p w14:paraId="3DDD5C94" w14:textId="77777777" w:rsidR="00655D73" w:rsidRPr="00F95D5B" w:rsidRDefault="00655D73" w:rsidP="00F95D5B">
            <w:pPr>
              <w:pStyle w:val="TableTextEntries"/>
            </w:pPr>
            <w:r w:rsidRPr="00F95D5B">
              <w:t>$3,358,556.36</w:t>
            </w:r>
          </w:p>
        </w:tc>
        <w:tc>
          <w:tcPr>
            <w:tcW w:w="300" w:type="pct"/>
            <w:vMerge w:val="restart"/>
            <w:noWrap/>
          </w:tcPr>
          <w:p w14:paraId="3DDD5C95" w14:textId="77777777" w:rsidR="00655D73" w:rsidRPr="00F95D5B" w:rsidRDefault="00655D73" w:rsidP="00F95D5B">
            <w:pPr>
              <w:pStyle w:val="TableTextEntries"/>
            </w:pPr>
            <w:r w:rsidRPr="00F95D5B">
              <w:t>2010</w:t>
            </w:r>
            <w:r w:rsidR="002B27C7" w:rsidRPr="00F95D5B">
              <w:t>–</w:t>
            </w:r>
            <w:r w:rsidRPr="00F95D5B">
              <w:t>12</w:t>
            </w:r>
          </w:p>
        </w:tc>
        <w:tc>
          <w:tcPr>
            <w:tcW w:w="300" w:type="pct"/>
            <w:noWrap/>
          </w:tcPr>
          <w:p w14:paraId="3DDD5C96" w14:textId="77777777" w:rsidR="00655D73" w:rsidRPr="00F95D5B" w:rsidRDefault="00655D73" w:rsidP="00F95D5B">
            <w:pPr>
              <w:pStyle w:val="TableTextEntries"/>
            </w:pPr>
            <w:r w:rsidRPr="00F95D5B">
              <w:t>2011</w:t>
            </w:r>
          </w:p>
        </w:tc>
        <w:tc>
          <w:tcPr>
            <w:tcW w:w="200" w:type="pct"/>
            <w:tcBorders>
              <w:top w:val="nil"/>
              <w:bottom w:val="nil"/>
            </w:tcBorders>
            <w:shd w:val="clear" w:color="auto" w:fill="92D050"/>
            <w:noWrap/>
          </w:tcPr>
          <w:p w14:paraId="3DDD5C97" w14:textId="77777777" w:rsidR="00655D73" w:rsidRPr="00F95D5B" w:rsidRDefault="00655D73" w:rsidP="00AD1FE8">
            <w:pPr>
              <w:pStyle w:val="TableTextEntries"/>
              <w:jc w:val="center"/>
              <w:rPr>
                <w:rFonts w:cs="Arial"/>
              </w:rPr>
            </w:pPr>
            <w:r w:rsidRPr="00F95D5B">
              <w:rPr>
                <w:rFonts w:cs="Arial"/>
              </w:rPr>
              <w:t>5</w:t>
            </w:r>
          </w:p>
        </w:tc>
        <w:tc>
          <w:tcPr>
            <w:tcW w:w="200" w:type="pct"/>
            <w:tcBorders>
              <w:top w:val="nil"/>
              <w:bottom w:val="nil"/>
            </w:tcBorders>
            <w:shd w:val="clear" w:color="auto" w:fill="FFFF00"/>
            <w:noWrap/>
          </w:tcPr>
          <w:p w14:paraId="3DDD5C98" w14:textId="77777777" w:rsidR="00655D73" w:rsidRPr="00F95D5B" w:rsidRDefault="00655D73" w:rsidP="00AD1FE8">
            <w:pPr>
              <w:pStyle w:val="TableTextEntries"/>
              <w:jc w:val="center"/>
              <w:rPr>
                <w:rFonts w:cs="Arial"/>
              </w:rPr>
            </w:pPr>
            <w:r w:rsidRPr="00F95D5B">
              <w:rPr>
                <w:rFonts w:cs="Arial"/>
              </w:rPr>
              <w:t>4</w:t>
            </w:r>
          </w:p>
        </w:tc>
        <w:tc>
          <w:tcPr>
            <w:tcW w:w="200" w:type="pct"/>
            <w:tcBorders>
              <w:top w:val="nil"/>
              <w:bottom w:val="nil"/>
            </w:tcBorders>
            <w:shd w:val="clear" w:color="auto" w:fill="FFFF00"/>
            <w:noWrap/>
          </w:tcPr>
          <w:p w14:paraId="3DDD5C99" w14:textId="77777777" w:rsidR="00655D73" w:rsidRPr="00F95D5B" w:rsidRDefault="00655D73" w:rsidP="00AD1FE8">
            <w:pPr>
              <w:pStyle w:val="TableTextEntries"/>
              <w:jc w:val="center"/>
              <w:rPr>
                <w:rFonts w:cs="Arial"/>
              </w:rPr>
            </w:pPr>
            <w:r w:rsidRPr="00F95D5B">
              <w:rPr>
                <w:rFonts w:cs="Arial"/>
              </w:rPr>
              <w:t>4</w:t>
            </w:r>
          </w:p>
        </w:tc>
        <w:tc>
          <w:tcPr>
            <w:tcW w:w="200" w:type="pct"/>
            <w:tcBorders>
              <w:top w:val="nil"/>
              <w:bottom w:val="nil"/>
            </w:tcBorders>
            <w:shd w:val="clear" w:color="auto" w:fill="FFFF00"/>
            <w:noWrap/>
          </w:tcPr>
          <w:p w14:paraId="3DDD5C9A" w14:textId="77777777" w:rsidR="00655D73" w:rsidRPr="00F95D5B" w:rsidRDefault="00655D73" w:rsidP="00AD1FE8">
            <w:pPr>
              <w:pStyle w:val="TableTextEntries"/>
              <w:jc w:val="center"/>
              <w:rPr>
                <w:rFonts w:cs="Arial"/>
              </w:rPr>
            </w:pPr>
            <w:r w:rsidRPr="00F95D5B">
              <w:rPr>
                <w:rFonts w:cs="Arial"/>
              </w:rPr>
              <w:t>4</w:t>
            </w:r>
          </w:p>
        </w:tc>
        <w:tc>
          <w:tcPr>
            <w:tcW w:w="200" w:type="pct"/>
            <w:tcBorders>
              <w:top w:val="nil"/>
              <w:bottom w:val="nil"/>
            </w:tcBorders>
            <w:shd w:val="clear" w:color="auto" w:fill="92D050"/>
            <w:noWrap/>
          </w:tcPr>
          <w:p w14:paraId="3DDD5C9B" w14:textId="77777777" w:rsidR="00655D73" w:rsidRPr="00F95D5B" w:rsidRDefault="00655D73" w:rsidP="00AD1FE8">
            <w:pPr>
              <w:pStyle w:val="TableTextEntries"/>
              <w:jc w:val="center"/>
              <w:rPr>
                <w:rFonts w:cs="Arial"/>
              </w:rPr>
            </w:pPr>
            <w:r w:rsidRPr="00F95D5B">
              <w:rPr>
                <w:rFonts w:cs="Arial"/>
              </w:rPr>
              <w:t>5</w:t>
            </w:r>
          </w:p>
        </w:tc>
        <w:tc>
          <w:tcPr>
            <w:tcW w:w="200" w:type="pct"/>
            <w:tcBorders>
              <w:top w:val="nil"/>
              <w:bottom w:val="nil"/>
            </w:tcBorders>
            <w:shd w:val="clear" w:color="auto" w:fill="FFFF00"/>
            <w:noWrap/>
          </w:tcPr>
          <w:p w14:paraId="3DDD5C9C" w14:textId="77777777" w:rsidR="00655D73" w:rsidRPr="00F95D5B" w:rsidRDefault="00655D73" w:rsidP="00AD1FE8">
            <w:pPr>
              <w:pStyle w:val="TableTextEntries"/>
              <w:jc w:val="center"/>
              <w:rPr>
                <w:rFonts w:cs="Arial"/>
              </w:rPr>
            </w:pPr>
            <w:r w:rsidRPr="00F95D5B">
              <w:rPr>
                <w:rFonts w:cs="Arial"/>
              </w:rPr>
              <w:t>4</w:t>
            </w:r>
          </w:p>
        </w:tc>
      </w:tr>
      <w:tr w:rsidR="00926679" w:rsidRPr="00105972" w14:paraId="3DDD5CA8" w14:textId="77777777" w:rsidTr="00F51A1E">
        <w:trPr>
          <w:cnfStyle w:val="000000010000" w:firstRow="0" w:lastRow="0" w:firstColumn="0" w:lastColumn="0" w:oddVBand="0" w:evenVBand="0" w:oddHBand="0" w:evenHBand="1" w:firstRowFirstColumn="0" w:firstRowLastColumn="0" w:lastRowFirstColumn="0" w:lastRowLastColumn="0"/>
          <w:tblHeader w:val="0"/>
        </w:trPr>
        <w:tc>
          <w:tcPr>
            <w:tcW w:w="900" w:type="pct"/>
            <w:vMerge/>
          </w:tcPr>
          <w:p w14:paraId="3DDD5C9E" w14:textId="77777777" w:rsidR="00655D73" w:rsidRPr="00F95D5B" w:rsidRDefault="00655D73" w:rsidP="00F95D5B">
            <w:pPr>
              <w:pStyle w:val="TableTextEntries"/>
            </w:pPr>
          </w:p>
        </w:tc>
        <w:tc>
          <w:tcPr>
            <w:tcW w:w="900" w:type="pct"/>
            <w:vMerge/>
          </w:tcPr>
          <w:p w14:paraId="3DDD5C9F" w14:textId="77777777" w:rsidR="00655D73" w:rsidRPr="00F95D5B" w:rsidRDefault="00655D73" w:rsidP="00F95D5B">
            <w:pPr>
              <w:pStyle w:val="TableTextEntries"/>
            </w:pPr>
          </w:p>
        </w:tc>
        <w:tc>
          <w:tcPr>
            <w:tcW w:w="300" w:type="pct"/>
            <w:vMerge/>
          </w:tcPr>
          <w:p w14:paraId="3DDD5CA0" w14:textId="77777777" w:rsidR="00655D73" w:rsidRPr="00F95D5B" w:rsidRDefault="00655D73" w:rsidP="00F95D5B">
            <w:pPr>
              <w:pStyle w:val="TableTextEntries"/>
            </w:pPr>
          </w:p>
        </w:tc>
        <w:tc>
          <w:tcPr>
            <w:tcW w:w="300" w:type="pct"/>
            <w:noWrap/>
          </w:tcPr>
          <w:p w14:paraId="3DDD5CA1" w14:textId="77777777" w:rsidR="00655D73" w:rsidRPr="00F95D5B" w:rsidRDefault="00655D73" w:rsidP="00F95D5B">
            <w:pPr>
              <w:pStyle w:val="TableTextEntries"/>
            </w:pPr>
            <w:r w:rsidRPr="00F95D5B">
              <w:t>2012</w:t>
            </w:r>
          </w:p>
        </w:tc>
        <w:tc>
          <w:tcPr>
            <w:tcW w:w="200" w:type="pct"/>
            <w:shd w:val="clear" w:color="auto" w:fill="92D050"/>
            <w:noWrap/>
          </w:tcPr>
          <w:p w14:paraId="3DDD5CA2"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92D050"/>
            <w:noWrap/>
          </w:tcPr>
          <w:p w14:paraId="3DDD5CA3"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92D050"/>
            <w:noWrap/>
          </w:tcPr>
          <w:p w14:paraId="3DDD5CA4"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FFFF00"/>
            <w:noWrap/>
          </w:tcPr>
          <w:p w14:paraId="3DDD5CA5" w14:textId="77777777" w:rsidR="00655D73" w:rsidRPr="00F95D5B" w:rsidRDefault="00655D73" w:rsidP="00AD1FE8">
            <w:pPr>
              <w:pStyle w:val="TableTextEntries"/>
              <w:jc w:val="center"/>
              <w:rPr>
                <w:rFonts w:cs="Arial"/>
              </w:rPr>
            </w:pPr>
            <w:r w:rsidRPr="00F95D5B">
              <w:rPr>
                <w:rFonts w:cs="Arial"/>
              </w:rPr>
              <w:t>4</w:t>
            </w:r>
          </w:p>
        </w:tc>
        <w:tc>
          <w:tcPr>
            <w:tcW w:w="200" w:type="pct"/>
            <w:shd w:val="clear" w:color="auto" w:fill="FFFF00"/>
            <w:noWrap/>
          </w:tcPr>
          <w:p w14:paraId="3DDD5CA6" w14:textId="77777777" w:rsidR="00655D73" w:rsidRPr="00F95D5B" w:rsidRDefault="00655D73" w:rsidP="00AD1FE8">
            <w:pPr>
              <w:pStyle w:val="TableTextEntries"/>
              <w:jc w:val="center"/>
              <w:rPr>
                <w:rFonts w:cs="Arial"/>
              </w:rPr>
            </w:pPr>
            <w:r w:rsidRPr="00F95D5B">
              <w:rPr>
                <w:rFonts w:cs="Arial"/>
              </w:rPr>
              <w:t>4</w:t>
            </w:r>
          </w:p>
        </w:tc>
        <w:tc>
          <w:tcPr>
            <w:tcW w:w="200" w:type="pct"/>
            <w:shd w:val="clear" w:color="auto" w:fill="92D050"/>
            <w:noWrap/>
          </w:tcPr>
          <w:p w14:paraId="3DDD5CA7" w14:textId="77777777" w:rsidR="00655D73" w:rsidRPr="00F95D5B" w:rsidRDefault="00655D73" w:rsidP="00AD1FE8">
            <w:pPr>
              <w:pStyle w:val="TableTextEntries"/>
              <w:jc w:val="center"/>
              <w:rPr>
                <w:rFonts w:cs="Arial"/>
              </w:rPr>
            </w:pPr>
            <w:r w:rsidRPr="00F95D5B">
              <w:rPr>
                <w:rFonts w:cs="Arial"/>
              </w:rPr>
              <w:t>5</w:t>
            </w:r>
          </w:p>
        </w:tc>
      </w:tr>
      <w:tr w:rsidR="00926679" w:rsidRPr="00105972" w14:paraId="3DDD5CB3" w14:textId="77777777" w:rsidTr="00F51A1E">
        <w:trPr>
          <w:tblHeader w:val="0"/>
        </w:trPr>
        <w:tc>
          <w:tcPr>
            <w:tcW w:w="900" w:type="pct"/>
            <w:vMerge w:val="restart"/>
          </w:tcPr>
          <w:p w14:paraId="3DDD5CA9" w14:textId="77777777" w:rsidR="00655D73" w:rsidRPr="00F95D5B" w:rsidRDefault="00655D73" w:rsidP="00F95D5B">
            <w:pPr>
              <w:pStyle w:val="TableTextEntries"/>
            </w:pPr>
            <w:r w:rsidRPr="00F95D5B">
              <w:t>Fiji Community Development Program</w:t>
            </w:r>
          </w:p>
        </w:tc>
        <w:tc>
          <w:tcPr>
            <w:tcW w:w="900" w:type="pct"/>
            <w:vMerge w:val="restart"/>
            <w:noWrap/>
          </w:tcPr>
          <w:p w14:paraId="3DDD5CAA" w14:textId="77777777" w:rsidR="00655D73" w:rsidRPr="00F95D5B" w:rsidRDefault="00655D73" w:rsidP="00F95D5B">
            <w:pPr>
              <w:pStyle w:val="TableTextEntries"/>
            </w:pPr>
            <w:r w:rsidRPr="00F95D5B">
              <w:t>$9,360,000.00</w:t>
            </w:r>
          </w:p>
        </w:tc>
        <w:tc>
          <w:tcPr>
            <w:tcW w:w="300" w:type="pct"/>
            <w:vMerge w:val="restart"/>
            <w:noWrap/>
          </w:tcPr>
          <w:p w14:paraId="3DDD5CAB" w14:textId="77777777" w:rsidR="00655D73" w:rsidRPr="00F95D5B" w:rsidRDefault="00655D73" w:rsidP="00F95D5B">
            <w:pPr>
              <w:pStyle w:val="TableTextEntries"/>
            </w:pPr>
            <w:r w:rsidRPr="00F95D5B">
              <w:t>2011</w:t>
            </w:r>
            <w:r w:rsidR="002B27C7" w:rsidRPr="00F95D5B">
              <w:t>–</w:t>
            </w:r>
            <w:r w:rsidRPr="00F95D5B">
              <w:t>15</w:t>
            </w:r>
          </w:p>
        </w:tc>
        <w:tc>
          <w:tcPr>
            <w:tcW w:w="300" w:type="pct"/>
            <w:noWrap/>
          </w:tcPr>
          <w:p w14:paraId="3DDD5CAC" w14:textId="77777777" w:rsidR="00655D73" w:rsidRPr="00F95D5B" w:rsidRDefault="00655D73" w:rsidP="00F95D5B">
            <w:pPr>
              <w:pStyle w:val="TableTextEntries"/>
            </w:pPr>
            <w:r w:rsidRPr="00F95D5B">
              <w:t>2011</w:t>
            </w:r>
          </w:p>
        </w:tc>
        <w:tc>
          <w:tcPr>
            <w:tcW w:w="200" w:type="pct"/>
            <w:tcBorders>
              <w:top w:val="nil"/>
              <w:bottom w:val="nil"/>
            </w:tcBorders>
            <w:shd w:val="clear" w:color="auto" w:fill="92D050"/>
            <w:noWrap/>
          </w:tcPr>
          <w:p w14:paraId="3DDD5CAD" w14:textId="77777777" w:rsidR="00655D73" w:rsidRPr="00F95D5B" w:rsidRDefault="00655D73" w:rsidP="00AD1FE8">
            <w:pPr>
              <w:pStyle w:val="TableTextEntries"/>
              <w:jc w:val="center"/>
              <w:rPr>
                <w:rFonts w:cs="Arial"/>
              </w:rPr>
            </w:pPr>
            <w:r w:rsidRPr="00F95D5B">
              <w:rPr>
                <w:rFonts w:cs="Arial"/>
              </w:rPr>
              <w:t>6</w:t>
            </w:r>
          </w:p>
        </w:tc>
        <w:tc>
          <w:tcPr>
            <w:tcW w:w="200" w:type="pct"/>
            <w:tcBorders>
              <w:top w:val="nil"/>
              <w:bottom w:val="nil"/>
            </w:tcBorders>
            <w:shd w:val="clear" w:color="auto" w:fill="92D050"/>
            <w:noWrap/>
          </w:tcPr>
          <w:p w14:paraId="3DDD5CAE" w14:textId="77777777" w:rsidR="00655D73" w:rsidRPr="00F95D5B" w:rsidRDefault="00655D73" w:rsidP="00AD1FE8">
            <w:pPr>
              <w:pStyle w:val="TableTextEntries"/>
              <w:jc w:val="center"/>
              <w:rPr>
                <w:rFonts w:cs="Arial"/>
              </w:rPr>
            </w:pPr>
            <w:r w:rsidRPr="00F95D5B">
              <w:rPr>
                <w:rFonts w:cs="Arial"/>
              </w:rPr>
              <w:t>5</w:t>
            </w:r>
          </w:p>
        </w:tc>
        <w:tc>
          <w:tcPr>
            <w:tcW w:w="200" w:type="pct"/>
            <w:tcBorders>
              <w:top w:val="nil"/>
              <w:bottom w:val="nil"/>
            </w:tcBorders>
            <w:shd w:val="clear" w:color="auto" w:fill="92D050"/>
            <w:noWrap/>
          </w:tcPr>
          <w:p w14:paraId="3DDD5CAF" w14:textId="77777777" w:rsidR="00655D73" w:rsidRPr="00F95D5B" w:rsidRDefault="00655D73" w:rsidP="00AD1FE8">
            <w:pPr>
              <w:pStyle w:val="TableTextEntries"/>
              <w:jc w:val="center"/>
              <w:rPr>
                <w:rFonts w:cs="Arial"/>
              </w:rPr>
            </w:pPr>
            <w:r w:rsidRPr="00F95D5B">
              <w:rPr>
                <w:rFonts w:cs="Arial"/>
              </w:rPr>
              <w:t>5</w:t>
            </w:r>
          </w:p>
        </w:tc>
        <w:tc>
          <w:tcPr>
            <w:tcW w:w="200" w:type="pct"/>
            <w:tcBorders>
              <w:top w:val="nil"/>
              <w:bottom w:val="nil"/>
            </w:tcBorders>
            <w:shd w:val="clear" w:color="auto" w:fill="FFFF00"/>
            <w:noWrap/>
          </w:tcPr>
          <w:p w14:paraId="3DDD5CB0" w14:textId="77777777" w:rsidR="00655D73" w:rsidRPr="00F95D5B" w:rsidRDefault="00655D73" w:rsidP="00AD1FE8">
            <w:pPr>
              <w:pStyle w:val="TableTextEntries"/>
              <w:jc w:val="center"/>
              <w:rPr>
                <w:rFonts w:cs="Arial"/>
              </w:rPr>
            </w:pPr>
            <w:r w:rsidRPr="00F95D5B">
              <w:rPr>
                <w:rFonts w:cs="Arial"/>
              </w:rPr>
              <w:t>4</w:t>
            </w:r>
          </w:p>
        </w:tc>
        <w:tc>
          <w:tcPr>
            <w:tcW w:w="200" w:type="pct"/>
            <w:tcBorders>
              <w:top w:val="nil"/>
              <w:bottom w:val="nil"/>
            </w:tcBorders>
            <w:shd w:val="clear" w:color="auto" w:fill="92D050"/>
            <w:noWrap/>
          </w:tcPr>
          <w:p w14:paraId="3DDD5CB1" w14:textId="77777777" w:rsidR="00655D73" w:rsidRPr="00F95D5B" w:rsidRDefault="00655D73" w:rsidP="00AD1FE8">
            <w:pPr>
              <w:pStyle w:val="TableTextEntries"/>
              <w:jc w:val="center"/>
              <w:rPr>
                <w:rFonts w:cs="Arial"/>
              </w:rPr>
            </w:pPr>
            <w:r w:rsidRPr="00F95D5B">
              <w:rPr>
                <w:rFonts w:cs="Arial"/>
              </w:rPr>
              <w:t>5</w:t>
            </w:r>
          </w:p>
        </w:tc>
        <w:tc>
          <w:tcPr>
            <w:tcW w:w="200" w:type="pct"/>
            <w:tcBorders>
              <w:top w:val="nil"/>
              <w:bottom w:val="nil"/>
            </w:tcBorders>
            <w:shd w:val="clear" w:color="auto" w:fill="92D050"/>
            <w:noWrap/>
          </w:tcPr>
          <w:p w14:paraId="3DDD5CB2" w14:textId="77777777" w:rsidR="00655D73" w:rsidRPr="00F95D5B" w:rsidRDefault="00655D73" w:rsidP="00AD1FE8">
            <w:pPr>
              <w:pStyle w:val="TableTextEntries"/>
              <w:jc w:val="center"/>
              <w:rPr>
                <w:rFonts w:cs="Arial"/>
              </w:rPr>
            </w:pPr>
            <w:r w:rsidRPr="00F95D5B">
              <w:rPr>
                <w:rFonts w:cs="Arial"/>
              </w:rPr>
              <w:t>5</w:t>
            </w:r>
          </w:p>
        </w:tc>
      </w:tr>
      <w:tr w:rsidR="00926679" w:rsidRPr="00105972" w14:paraId="3DDD5CBE" w14:textId="77777777" w:rsidTr="00F51A1E">
        <w:trPr>
          <w:cnfStyle w:val="000000010000" w:firstRow="0" w:lastRow="0" w:firstColumn="0" w:lastColumn="0" w:oddVBand="0" w:evenVBand="0" w:oddHBand="0" w:evenHBand="1" w:firstRowFirstColumn="0" w:firstRowLastColumn="0" w:lastRowFirstColumn="0" w:lastRowLastColumn="0"/>
          <w:tblHeader w:val="0"/>
        </w:trPr>
        <w:tc>
          <w:tcPr>
            <w:tcW w:w="900" w:type="pct"/>
            <w:vMerge/>
          </w:tcPr>
          <w:p w14:paraId="3DDD5CB4" w14:textId="77777777" w:rsidR="00655D73" w:rsidRPr="00F95D5B" w:rsidRDefault="00655D73" w:rsidP="00F95D5B">
            <w:pPr>
              <w:pStyle w:val="TableTextEntries"/>
            </w:pPr>
          </w:p>
        </w:tc>
        <w:tc>
          <w:tcPr>
            <w:tcW w:w="900" w:type="pct"/>
            <w:vMerge/>
          </w:tcPr>
          <w:p w14:paraId="3DDD5CB5" w14:textId="77777777" w:rsidR="00655D73" w:rsidRPr="00F95D5B" w:rsidRDefault="00655D73" w:rsidP="00F95D5B">
            <w:pPr>
              <w:pStyle w:val="TableTextEntries"/>
            </w:pPr>
          </w:p>
        </w:tc>
        <w:tc>
          <w:tcPr>
            <w:tcW w:w="300" w:type="pct"/>
            <w:vMerge/>
          </w:tcPr>
          <w:p w14:paraId="3DDD5CB6" w14:textId="77777777" w:rsidR="00655D73" w:rsidRPr="00F95D5B" w:rsidRDefault="00655D73" w:rsidP="00F95D5B">
            <w:pPr>
              <w:pStyle w:val="TableTextEntries"/>
            </w:pPr>
          </w:p>
        </w:tc>
        <w:tc>
          <w:tcPr>
            <w:tcW w:w="300" w:type="pct"/>
            <w:noWrap/>
          </w:tcPr>
          <w:p w14:paraId="3DDD5CB7" w14:textId="77777777" w:rsidR="00655D73" w:rsidRPr="00F95D5B" w:rsidRDefault="00655D73" w:rsidP="00F95D5B">
            <w:pPr>
              <w:pStyle w:val="TableTextEntries"/>
            </w:pPr>
            <w:r w:rsidRPr="00F95D5B">
              <w:t>2012</w:t>
            </w:r>
          </w:p>
        </w:tc>
        <w:tc>
          <w:tcPr>
            <w:tcW w:w="200" w:type="pct"/>
            <w:shd w:val="clear" w:color="auto" w:fill="92D050"/>
            <w:noWrap/>
          </w:tcPr>
          <w:p w14:paraId="3DDD5CB8"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92D050"/>
            <w:noWrap/>
          </w:tcPr>
          <w:p w14:paraId="3DDD5CB9"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92D050"/>
            <w:noWrap/>
          </w:tcPr>
          <w:p w14:paraId="3DDD5CBA"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92D050"/>
            <w:noWrap/>
          </w:tcPr>
          <w:p w14:paraId="3DDD5CBB"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FFFF00"/>
            <w:noWrap/>
          </w:tcPr>
          <w:p w14:paraId="3DDD5CBC" w14:textId="77777777" w:rsidR="00655D73" w:rsidRPr="00F95D5B" w:rsidRDefault="00655D73" w:rsidP="00AD1FE8">
            <w:pPr>
              <w:pStyle w:val="TableTextEntries"/>
              <w:jc w:val="center"/>
              <w:rPr>
                <w:rFonts w:cs="Arial"/>
              </w:rPr>
            </w:pPr>
            <w:r w:rsidRPr="00F95D5B">
              <w:rPr>
                <w:rFonts w:cs="Arial"/>
              </w:rPr>
              <w:t>4</w:t>
            </w:r>
          </w:p>
        </w:tc>
        <w:tc>
          <w:tcPr>
            <w:tcW w:w="200" w:type="pct"/>
            <w:shd w:val="clear" w:color="auto" w:fill="92D050"/>
            <w:noWrap/>
          </w:tcPr>
          <w:p w14:paraId="3DDD5CBD" w14:textId="77777777" w:rsidR="00655D73" w:rsidRPr="00F95D5B" w:rsidRDefault="00655D73" w:rsidP="00AD1FE8">
            <w:pPr>
              <w:pStyle w:val="TableTextEntries"/>
              <w:jc w:val="center"/>
              <w:rPr>
                <w:rFonts w:cs="Arial"/>
              </w:rPr>
            </w:pPr>
            <w:r w:rsidRPr="00F95D5B">
              <w:rPr>
                <w:rFonts w:cs="Arial"/>
              </w:rPr>
              <w:t>5</w:t>
            </w:r>
          </w:p>
        </w:tc>
      </w:tr>
      <w:tr w:rsidR="00926679" w:rsidRPr="00105972" w14:paraId="3DDD5CC9" w14:textId="77777777" w:rsidTr="00F51A1E">
        <w:trPr>
          <w:tblHeader w:val="0"/>
        </w:trPr>
        <w:tc>
          <w:tcPr>
            <w:tcW w:w="900" w:type="pct"/>
            <w:vMerge w:val="restart"/>
          </w:tcPr>
          <w:p w14:paraId="3DDD5CBF" w14:textId="77777777" w:rsidR="00655D73" w:rsidRPr="00F95D5B" w:rsidRDefault="00655D73" w:rsidP="00F95D5B">
            <w:pPr>
              <w:pStyle w:val="TableTextEntries"/>
            </w:pPr>
            <w:r w:rsidRPr="00F95D5B">
              <w:t xml:space="preserve">FIJI </w:t>
            </w:r>
            <w:r w:rsidR="00430D13" w:rsidRPr="00F95D5B">
              <w:t>s</w:t>
            </w:r>
            <w:r w:rsidRPr="00F95D5B">
              <w:t xml:space="preserve">cholarships </w:t>
            </w:r>
            <w:r w:rsidR="00430D13" w:rsidRPr="00F95D5B">
              <w:t>(</w:t>
            </w:r>
            <w:r w:rsidRPr="00F95D5B">
              <w:t>A</w:t>
            </w:r>
            <w:r w:rsidR="00430D13" w:rsidRPr="00F95D5B">
              <w:t xml:space="preserve">ustralia </w:t>
            </w:r>
            <w:r w:rsidRPr="00F95D5B">
              <w:t>D</w:t>
            </w:r>
            <w:r w:rsidR="00430D13" w:rsidRPr="00F95D5B">
              <w:t>evelopment Scholarships)</w:t>
            </w:r>
            <w:r w:rsidR="002B27C7" w:rsidRPr="00F95D5B">
              <w:t>—</w:t>
            </w:r>
            <w:r w:rsidR="00430D13" w:rsidRPr="00F95D5B">
              <w:t>i</w:t>
            </w:r>
            <w:r w:rsidRPr="00F95D5B">
              <w:t>nitial</w:t>
            </w:r>
          </w:p>
        </w:tc>
        <w:tc>
          <w:tcPr>
            <w:tcW w:w="900" w:type="pct"/>
            <w:vMerge w:val="restart"/>
            <w:noWrap/>
          </w:tcPr>
          <w:p w14:paraId="3DDD5CC0" w14:textId="77777777" w:rsidR="00655D73" w:rsidRPr="00F95D5B" w:rsidRDefault="00655D73" w:rsidP="00F95D5B">
            <w:pPr>
              <w:pStyle w:val="TableTextEntries"/>
            </w:pPr>
            <w:r w:rsidRPr="00F95D5B">
              <w:t>$2,720,596.51</w:t>
            </w:r>
          </w:p>
        </w:tc>
        <w:tc>
          <w:tcPr>
            <w:tcW w:w="300" w:type="pct"/>
            <w:vMerge w:val="restart"/>
            <w:noWrap/>
          </w:tcPr>
          <w:p w14:paraId="3DDD5CC1" w14:textId="77777777" w:rsidR="00655D73" w:rsidRPr="00F95D5B" w:rsidRDefault="00655D73" w:rsidP="00F95D5B">
            <w:pPr>
              <w:pStyle w:val="TableTextEntries"/>
            </w:pPr>
            <w:r w:rsidRPr="00F95D5B">
              <w:t>2010</w:t>
            </w:r>
            <w:r w:rsidR="002B27C7" w:rsidRPr="00F95D5B">
              <w:t>–</w:t>
            </w:r>
            <w:r w:rsidRPr="00F95D5B">
              <w:t>15</w:t>
            </w:r>
          </w:p>
        </w:tc>
        <w:tc>
          <w:tcPr>
            <w:tcW w:w="300" w:type="pct"/>
            <w:noWrap/>
          </w:tcPr>
          <w:p w14:paraId="3DDD5CC2" w14:textId="77777777" w:rsidR="00655D73" w:rsidRPr="00F95D5B" w:rsidRDefault="00655D73" w:rsidP="00F95D5B">
            <w:pPr>
              <w:pStyle w:val="TableTextEntries"/>
            </w:pPr>
            <w:r w:rsidRPr="00F95D5B">
              <w:t>2011</w:t>
            </w:r>
          </w:p>
        </w:tc>
        <w:tc>
          <w:tcPr>
            <w:tcW w:w="200" w:type="pct"/>
            <w:noWrap/>
          </w:tcPr>
          <w:p w14:paraId="3DDD5CC3"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C4"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C5"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C6"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C7"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C8" w14:textId="77777777" w:rsidR="00655D73" w:rsidRPr="00F95D5B" w:rsidRDefault="00655D73" w:rsidP="00AD1FE8">
            <w:pPr>
              <w:pStyle w:val="TableTextEntries"/>
              <w:jc w:val="center"/>
              <w:rPr>
                <w:rFonts w:cs="Arial"/>
              </w:rPr>
            </w:pPr>
            <w:r w:rsidRPr="00F95D5B">
              <w:rPr>
                <w:rFonts w:cs="Arial"/>
              </w:rPr>
              <w:t>N/A</w:t>
            </w:r>
          </w:p>
        </w:tc>
      </w:tr>
      <w:tr w:rsidR="00926679" w:rsidRPr="00105972" w14:paraId="3DDD5CD4" w14:textId="77777777" w:rsidTr="00F51A1E">
        <w:trPr>
          <w:cnfStyle w:val="000000010000" w:firstRow="0" w:lastRow="0" w:firstColumn="0" w:lastColumn="0" w:oddVBand="0" w:evenVBand="0" w:oddHBand="0" w:evenHBand="1" w:firstRowFirstColumn="0" w:firstRowLastColumn="0" w:lastRowFirstColumn="0" w:lastRowLastColumn="0"/>
          <w:tblHeader w:val="0"/>
        </w:trPr>
        <w:tc>
          <w:tcPr>
            <w:tcW w:w="900" w:type="pct"/>
            <w:vMerge/>
          </w:tcPr>
          <w:p w14:paraId="3DDD5CCA" w14:textId="77777777" w:rsidR="00655D73" w:rsidRPr="00F95D5B" w:rsidRDefault="00655D73" w:rsidP="00F95D5B">
            <w:pPr>
              <w:pStyle w:val="TableTextEntries"/>
            </w:pPr>
          </w:p>
        </w:tc>
        <w:tc>
          <w:tcPr>
            <w:tcW w:w="900" w:type="pct"/>
            <w:vMerge/>
          </w:tcPr>
          <w:p w14:paraId="3DDD5CCB" w14:textId="77777777" w:rsidR="00655D73" w:rsidRPr="00F95D5B" w:rsidRDefault="00655D73" w:rsidP="00F95D5B">
            <w:pPr>
              <w:pStyle w:val="TableTextEntries"/>
            </w:pPr>
          </w:p>
        </w:tc>
        <w:tc>
          <w:tcPr>
            <w:tcW w:w="300" w:type="pct"/>
            <w:vMerge/>
          </w:tcPr>
          <w:p w14:paraId="3DDD5CCC" w14:textId="77777777" w:rsidR="00655D73" w:rsidRPr="00F95D5B" w:rsidRDefault="00655D73" w:rsidP="00F95D5B">
            <w:pPr>
              <w:pStyle w:val="TableTextEntries"/>
            </w:pPr>
          </w:p>
        </w:tc>
        <w:tc>
          <w:tcPr>
            <w:tcW w:w="300" w:type="pct"/>
            <w:noWrap/>
          </w:tcPr>
          <w:p w14:paraId="3DDD5CCD" w14:textId="77777777" w:rsidR="00655D73" w:rsidRPr="00F95D5B" w:rsidRDefault="00655D73" w:rsidP="00F95D5B">
            <w:pPr>
              <w:pStyle w:val="TableTextEntries"/>
            </w:pPr>
            <w:r w:rsidRPr="00F95D5B">
              <w:t>2012</w:t>
            </w:r>
          </w:p>
        </w:tc>
        <w:tc>
          <w:tcPr>
            <w:tcW w:w="200" w:type="pct"/>
            <w:shd w:val="clear" w:color="auto" w:fill="92D050"/>
            <w:noWrap/>
          </w:tcPr>
          <w:p w14:paraId="3DDD5CCE"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FFFF00"/>
            <w:noWrap/>
          </w:tcPr>
          <w:p w14:paraId="3DDD5CCF" w14:textId="77777777" w:rsidR="00655D73" w:rsidRPr="00F95D5B" w:rsidRDefault="00655D73" w:rsidP="00AD1FE8">
            <w:pPr>
              <w:pStyle w:val="TableTextEntries"/>
              <w:jc w:val="center"/>
              <w:rPr>
                <w:rFonts w:cs="Arial"/>
              </w:rPr>
            </w:pPr>
            <w:r w:rsidRPr="00F95D5B">
              <w:rPr>
                <w:rFonts w:cs="Arial"/>
              </w:rPr>
              <w:t>4</w:t>
            </w:r>
          </w:p>
        </w:tc>
        <w:tc>
          <w:tcPr>
            <w:tcW w:w="200" w:type="pct"/>
            <w:shd w:val="clear" w:color="auto" w:fill="92D050"/>
            <w:noWrap/>
          </w:tcPr>
          <w:p w14:paraId="3DDD5CD0"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92D050"/>
            <w:noWrap/>
          </w:tcPr>
          <w:p w14:paraId="3DDD5CD1"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92D050"/>
            <w:noWrap/>
          </w:tcPr>
          <w:p w14:paraId="3DDD5CD2"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92D050"/>
            <w:noWrap/>
          </w:tcPr>
          <w:p w14:paraId="3DDD5CD3" w14:textId="77777777" w:rsidR="00655D73" w:rsidRPr="00F95D5B" w:rsidRDefault="00655D73" w:rsidP="00AD1FE8">
            <w:pPr>
              <w:pStyle w:val="TableTextEntries"/>
              <w:jc w:val="center"/>
              <w:rPr>
                <w:rFonts w:cs="Arial"/>
              </w:rPr>
            </w:pPr>
            <w:r w:rsidRPr="00F95D5B">
              <w:rPr>
                <w:rFonts w:cs="Arial"/>
              </w:rPr>
              <w:t>5</w:t>
            </w:r>
          </w:p>
        </w:tc>
      </w:tr>
      <w:tr w:rsidR="00926679" w:rsidRPr="00105972" w14:paraId="3DDD5CDF" w14:textId="77777777" w:rsidTr="00F51A1E">
        <w:trPr>
          <w:tblHeader w:val="0"/>
        </w:trPr>
        <w:tc>
          <w:tcPr>
            <w:tcW w:w="900" w:type="pct"/>
            <w:vMerge w:val="restart"/>
          </w:tcPr>
          <w:p w14:paraId="3DDD5CD5" w14:textId="77777777" w:rsidR="00655D73" w:rsidRPr="00F95D5B" w:rsidRDefault="00655D73" w:rsidP="00F95D5B">
            <w:pPr>
              <w:pStyle w:val="TableTextEntries"/>
            </w:pPr>
            <w:r w:rsidRPr="00F95D5B">
              <w:t>Transitional Support</w:t>
            </w:r>
            <w:r w:rsidR="002B27C7" w:rsidRPr="00F95D5B">
              <w:t>—</w:t>
            </w:r>
            <w:r w:rsidRPr="00F95D5B">
              <w:t>Fiji Community Development</w:t>
            </w:r>
          </w:p>
        </w:tc>
        <w:tc>
          <w:tcPr>
            <w:tcW w:w="900" w:type="pct"/>
            <w:vMerge w:val="restart"/>
            <w:noWrap/>
          </w:tcPr>
          <w:p w14:paraId="3DDD5CD6" w14:textId="77777777" w:rsidR="00655D73" w:rsidRPr="00F95D5B" w:rsidRDefault="00655D73" w:rsidP="00F95D5B">
            <w:pPr>
              <w:pStyle w:val="TableTextEntries"/>
            </w:pPr>
            <w:r w:rsidRPr="00F95D5B">
              <w:t>$2,972,000.00</w:t>
            </w:r>
          </w:p>
        </w:tc>
        <w:tc>
          <w:tcPr>
            <w:tcW w:w="300" w:type="pct"/>
            <w:vMerge w:val="restart"/>
            <w:noWrap/>
          </w:tcPr>
          <w:p w14:paraId="3DDD5CD7" w14:textId="77777777" w:rsidR="00655D73" w:rsidRPr="00F95D5B" w:rsidRDefault="00655D73" w:rsidP="00F95D5B">
            <w:pPr>
              <w:pStyle w:val="TableTextEntries"/>
            </w:pPr>
            <w:r w:rsidRPr="00F95D5B">
              <w:t>2011</w:t>
            </w:r>
            <w:r w:rsidR="002B27C7" w:rsidRPr="00F95D5B">
              <w:t>–</w:t>
            </w:r>
            <w:r w:rsidRPr="00F95D5B">
              <w:t>13</w:t>
            </w:r>
          </w:p>
        </w:tc>
        <w:tc>
          <w:tcPr>
            <w:tcW w:w="300" w:type="pct"/>
            <w:noWrap/>
          </w:tcPr>
          <w:p w14:paraId="3DDD5CD8" w14:textId="77777777" w:rsidR="00655D73" w:rsidRPr="00F95D5B" w:rsidRDefault="00655D73" w:rsidP="00F95D5B">
            <w:pPr>
              <w:pStyle w:val="TableTextEntries"/>
            </w:pPr>
            <w:r w:rsidRPr="00F95D5B">
              <w:t>2011</w:t>
            </w:r>
          </w:p>
        </w:tc>
        <w:tc>
          <w:tcPr>
            <w:tcW w:w="200" w:type="pct"/>
            <w:noWrap/>
          </w:tcPr>
          <w:p w14:paraId="3DDD5CD9"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DA"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DB"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DC"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DD"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DE" w14:textId="77777777" w:rsidR="00655D73" w:rsidRPr="00F95D5B" w:rsidRDefault="00655D73" w:rsidP="00AD1FE8">
            <w:pPr>
              <w:pStyle w:val="TableTextEntries"/>
              <w:jc w:val="center"/>
              <w:rPr>
                <w:rFonts w:cs="Arial"/>
              </w:rPr>
            </w:pPr>
            <w:r w:rsidRPr="00F95D5B">
              <w:rPr>
                <w:rFonts w:cs="Arial"/>
              </w:rPr>
              <w:t>N/A</w:t>
            </w:r>
          </w:p>
        </w:tc>
      </w:tr>
      <w:tr w:rsidR="00926679" w:rsidRPr="00105972" w14:paraId="3DDD5CEA" w14:textId="77777777" w:rsidTr="00F51A1E">
        <w:trPr>
          <w:cnfStyle w:val="000000010000" w:firstRow="0" w:lastRow="0" w:firstColumn="0" w:lastColumn="0" w:oddVBand="0" w:evenVBand="0" w:oddHBand="0" w:evenHBand="1" w:firstRowFirstColumn="0" w:firstRowLastColumn="0" w:lastRowFirstColumn="0" w:lastRowLastColumn="0"/>
          <w:tblHeader w:val="0"/>
        </w:trPr>
        <w:tc>
          <w:tcPr>
            <w:tcW w:w="900" w:type="pct"/>
            <w:vMerge/>
          </w:tcPr>
          <w:p w14:paraId="3DDD5CE0" w14:textId="77777777" w:rsidR="00655D73" w:rsidRPr="00F95D5B" w:rsidRDefault="00655D73" w:rsidP="00F95D5B">
            <w:pPr>
              <w:pStyle w:val="TableTextEntries"/>
            </w:pPr>
          </w:p>
        </w:tc>
        <w:tc>
          <w:tcPr>
            <w:tcW w:w="900" w:type="pct"/>
            <w:vMerge/>
          </w:tcPr>
          <w:p w14:paraId="3DDD5CE1" w14:textId="77777777" w:rsidR="00655D73" w:rsidRPr="00F95D5B" w:rsidRDefault="00655D73" w:rsidP="00F95D5B">
            <w:pPr>
              <w:pStyle w:val="TableTextEntries"/>
            </w:pPr>
          </w:p>
        </w:tc>
        <w:tc>
          <w:tcPr>
            <w:tcW w:w="300" w:type="pct"/>
            <w:vMerge/>
          </w:tcPr>
          <w:p w14:paraId="3DDD5CE2" w14:textId="77777777" w:rsidR="00655D73" w:rsidRPr="00F95D5B" w:rsidRDefault="00655D73" w:rsidP="00F95D5B">
            <w:pPr>
              <w:pStyle w:val="TableTextEntries"/>
            </w:pPr>
          </w:p>
        </w:tc>
        <w:tc>
          <w:tcPr>
            <w:tcW w:w="300" w:type="pct"/>
            <w:noWrap/>
          </w:tcPr>
          <w:p w14:paraId="3DDD5CE3" w14:textId="77777777" w:rsidR="00655D73" w:rsidRPr="00F95D5B" w:rsidRDefault="00655D73" w:rsidP="00F95D5B">
            <w:pPr>
              <w:pStyle w:val="TableTextEntries"/>
            </w:pPr>
            <w:r w:rsidRPr="00F95D5B">
              <w:t>2012</w:t>
            </w:r>
          </w:p>
        </w:tc>
        <w:tc>
          <w:tcPr>
            <w:tcW w:w="200" w:type="pct"/>
            <w:noWrap/>
          </w:tcPr>
          <w:p w14:paraId="3DDD5CE4" w14:textId="77777777" w:rsidR="00655D73" w:rsidRPr="00F95D5B" w:rsidRDefault="00655D73" w:rsidP="00AD1FE8">
            <w:pPr>
              <w:pStyle w:val="TableTextEntries"/>
              <w:jc w:val="center"/>
              <w:rPr>
                <w:rFonts w:cs="Arial"/>
              </w:rPr>
            </w:pPr>
            <w:r w:rsidRPr="00F95D5B">
              <w:rPr>
                <w:rFonts w:cs="Arial"/>
              </w:rPr>
              <w:t>Exempt</w:t>
            </w:r>
          </w:p>
        </w:tc>
        <w:tc>
          <w:tcPr>
            <w:tcW w:w="200" w:type="pct"/>
            <w:noWrap/>
          </w:tcPr>
          <w:p w14:paraId="3DDD5CE5" w14:textId="77777777" w:rsidR="00655D73" w:rsidRPr="00F95D5B" w:rsidRDefault="00655D73" w:rsidP="00AD1FE8">
            <w:pPr>
              <w:pStyle w:val="TableTextEntries"/>
              <w:jc w:val="center"/>
              <w:rPr>
                <w:rFonts w:cs="Arial"/>
              </w:rPr>
            </w:pPr>
            <w:r w:rsidRPr="00F95D5B">
              <w:rPr>
                <w:rFonts w:cs="Arial"/>
              </w:rPr>
              <w:t>Exempt</w:t>
            </w:r>
          </w:p>
        </w:tc>
        <w:tc>
          <w:tcPr>
            <w:tcW w:w="200" w:type="pct"/>
            <w:noWrap/>
          </w:tcPr>
          <w:p w14:paraId="3DDD5CE6" w14:textId="77777777" w:rsidR="00655D73" w:rsidRPr="00F95D5B" w:rsidRDefault="00655D73" w:rsidP="00AD1FE8">
            <w:pPr>
              <w:pStyle w:val="TableTextEntries"/>
              <w:jc w:val="center"/>
              <w:rPr>
                <w:rFonts w:cs="Arial"/>
              </w:rPr>
            </w:pPr>
            <w:r w:rsidRPr="00F95D5B">
              <w:rPr>
                <w:rFonts w:cs="Arial"/>
              </w:rPr>
              <w:t>Exempt</w:t>
            </w:r>
          </w:p>
        </w:tc>
        <w:tc>
          <w:tcPr>
            <w:tcW w:w="200" w:type="pct"/>
            <w:noWrap/>
          </w:tcPr>
          <w:p w14:paraId="3DDD5CE7" w14:textId="77777777" w:rsidR="00655D73" w:rsidRPr="00F95D5B" w:rsidRDefault="00655D73" w:rsidP="00AD1FE8">
            <w:pPr>
              <w:pStyle w:val="TableTextEntries"/>
              <w:jc w:val="center"/>
              <w:rPr>
                <w:rFonts w:cs="Arial"/>
              </w:rPr>
            </w:pPr>
            <w:r w:rsidRPr="00F95D5B">
              <w:rPr>
                <w:rFonts w:cs="Arial"/>
              </w:rPr>
              <w:t>Exempt</w:t>
            </w:r>
          </w:p>
        </w:tc>
        <w:tc>
          <w:tcPr>
            <w:tcW w:w="200" w:type="pct"/>
            <w:noWrap/>
          </w:tcPr>
          <w:p w14:paraId="3DDD5CE8" w14:textId="77777777" w:rsidR="00655D73" w:rsidRPr="00F95D5B" w:rsidRDefault="00655D73" w:rsidP="00AD1FE8">
            <w:pPr>
              <w:pStyle w:val="TableTextEntries"/>
              <w:jc w:val="center"/>
              <w:rPr>
                <w:rFonts w:cs="Arial"/>
              </w:rPr>
            </w:pPr>
            <w:r w:rsidRPr="00F95D5B">
              <w:rPr>
                <w:rFonts w:cs="Arial"/>
              </w:rPr>
              <w:t>Exempt</w:t>
            </w:r>
          </w:p>
        </w:tc>
        <w:tc>
          <w:tcPr>
            <w:tcW w:w="200" w:type="pct"/>
            <w:noWrap/>
          </w:tcPr>
          <w:p w14:paraId="3DDD5CE9" w14:textId="77777777" w:rsidR="00655D73" w:rsidRPr="00F95D5B" w:rsidRDefault="00655D73" w:rsidP="00AD1FE8">
            <w:pPr>
              <w:pStyle w:val="TableTextEntries"/>
              <w:jc w:val="center"/>
              <w:rPr>
                <w:rFonts w:cs="Arial"/>
              </w:rPr>
            </w:pPr>
            <w:r w:rsidRPr="00F95D5B">
              <w:rPr>
                <w:rFonts w:cs="Arial"/>
              </w:rPr>
              <w:t>Exempt</w:t>
            </w:r>
          </w:p>
        </w:tc>
      </w:tr>
      <w:tr w:rsidR="00926679" w:rsidRPr="00105972" w14:paraId="3DDD5CF5" w14:textId="77777777" w:rsidTr="00F51A1E">
        <w:trPr>
          <w:tblHeader w:val="0"/>
        </w:trPr>
        <w:tc>
          <w:tcPr>
            <w:tcW w:w="900" w:type="pct"/>
          </w:tcPr>
          <w:p w14:paraId="3DDD5CEB" w14:textId="77777777" w:rsidR="00655D73" w:rsidRPr="00F95D5B" w:rsidRDefault="00655D73" w:rsidP="00F95D5B">
            <w:pPr>
              <w:pStyle w:val="TableTextEntries"/>
            </w:pPr>
            <w:r w:rsidRPr="00F95D5B">
              <w:lastRenderedPageBreak/>
              <w:t>Transition to Democracy</w:t>
            </w:r>
          </w:p>
        </w:tc>
        <w:tc>
          <w:tcPr>
            <w:tcW w:w="900" w:type="pct"/>
          </w:tcPr>
          <w:p w14:paraId="3DDD5CEC" w14:textId="77777777" w:rsidR="00655D73" w:rsidRPr="00F95D5B" w:rsidRDefault="00655D73" w:rsidP="00F95D5B">
            <w:pPr>
              <w:pStyle w:val="TableTextEntries"/>
            </w:pPr>
            <w:r w:rsidRPr="00F95D5B">
              <w:t>$2, 650, 000.00</w:t>
            </w:r>
          </w:p>
        </w:tc>
        <w:tc>
          <w:tcPr>
            <w:tcW w:w="300" w:type="pct"/>
          </w:tcPr>
          <w:p w14:paraId="3DDD5CED" w14:textId="77777777" w:rsidR="00655D73" w:rsidRPr="00F95D5B" w:rsidRDefault="00655D73" w:rsidP="00F95D5B">
            <w:pPr>
              <w:pStyle w:val="TableTextEntries"/>
            </w:pPr>
            <w:r w:rsidRPr="00F95D5B">
              <w:t>2012</w:t>
            </w:r>
            <w:r w:rsidR="002B27C7" w:rsidRPr="00F95D5B">
              <w:t>–</w:t>
            </w:r>
            <w:r w:rsidRPr="00F95D5B">
              <w:t>13</w:t>
            </w:r>
          </w:p>
        </w:tc>
        <w:tc>
          <w:tcPr>
            <w:tcW w:w="300" w:type="pct"/>
            <w:noWrap/>
          </w:tcPr>
          <w:p w14:paraId="3DDD5CEE" w14:textId="77777777" w:rsidR="00655D73" w:rsidRPr="00F95D5B" w:rsidRDefault="00655D73" w:rsidP="00F95D5B">
            <w:pPr>
              <w:pStyle w:val="TableTextEntries"/>
            </w:pPr>
            <w:r w:rsidRPr="00F95D5B">
              <w:t>2011</w:t>
            </w:r>
          </w:p>
        </w:tc>
        <w:tc>
          <w:tcPr>
            <w:tcW w:w="200" w:type="pct"/>
            <w:noWrap/>
          </w:tcPr>
          <w:p w14:paraId="3DDD5CEF"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F0"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F1"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F2"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F3" w14:textId="77777777" w:rsidR="00655D73" w:rsidRPr="00F95D5B" w:rsidRDefault="00655D73" w:rsidP="00AD1FE8">
            <w:pPr>
              <w:pStyle w:val="TableTextEntries"/>
              <w:jc w:val="center"/>
              <w:rPr>
                <w:rFonts w:cs="Arial"/>
              </w:rPr>
            </w:pPr>
            <w:r w:rsidRPr="00F95D5B">
              <w:rPr>
                <w:rFonts w:cs="Arial"/>
              </w:rPr>
              <w:t>N/A</w:t>
            </w:r>
          </w:p>
        </w:tc>
        <w:tc>
          <w:tcPr>
            <w:tcW w:w="200" w:type="pct"/>
            <w:noWrap/>
          </w:tcPr>
          <w:p w14:paraId="3DDD5CF4" w14:textId="77777777" w:rsidR="00655D73" w:rsidRPr="00F95D5B" w:rsidRDefault="00655D73" w:rsidP="00AD1FE8">
            <w:pPr>
              <w:pStyle w:val="TableTextEntries"/>
              <w:jc w:val="center"/>
              <w:rPr>
                <w:rFonts w:cs="Arial"/>
              </w:rPr>
            </w:pPr>
            <w:r w:rsidRPr="00F95D5B">
              <w:rPr>
                <w:rFonts w:cs="Arial"/>
              </w:rPr>
              <w:t>N/A</w:t>
            </w:r>
          </w:p>
        </w:tc>
      </w:tr>
      <w:tr w:rsidR="00926679" w:rsidRPr="00105972" w14:paraId="3DDD5D00" w14:textId="77777777" w:rsidTr="00F51A1E">
        <w:trPr>
          <w:cnfStyle w:val="000000010000" w:firstRow="0" w:lastRow="0" w:firstColumn="0" w:lastColumn="0" w:oddVBand="0" w:evenVBand="0" w:oddHBand="0" w:evenHBand="1" w:firstRowFirstColumn="0" w:firstRowLastColumn="0" w:lastRowFirstColumn="0" w:lastRowLastColumn="0"/>
          <w:tblHeader w:val="0"/>
        </w:trPr>
        <w:tc>
          <w:tcPr>
            <w:tcW w:w="900" w:type="pct"/>
          </w:tcPr>
          <w:p w14:paraId="3DDD5CF6" w14:textId="77777777" w:rsidR="00655D73" w:rsidRPr="00F95D5B" w:rsidRDefault="00655D73" w:rsidP="00F95D5B">
            <w:pPr>
              <w:pStyle w:val="TableTextEntries"/>
            </w:pPr>
          </w:p>
        </w:tc>
        <w:tc>
          <w:tcPr>
            <w:tcW w:w="900" w:type="pct"/>
          </w:tcPr>
          <w:p w14:paraId="3DDD5CF7" w14:textId="77777777" w:rsidR="00655D73" w:rsidRPr="00F95D5B" w:rsidRDefault="00655D73" w:rsidP="00F95D5B">
            <w:pPr>
              <w:pStyle w:val="TableTextEntries"/>
            </w:pPr>
          </w:p>
        </w:tc>
        <w:tc>
          <w:tcPr>
            <w:tcW w:w="300" w:type="pct"/>
          </w:tcPr>
          <w:p w14:paraId="3DDD5CF8" w14:textId="77777777" w:rsidR="00655D73" w:rsidRPr="00F95D5B" w:rsidRDefault="00655D73" w:rsidP="00F95D5B">
            <w:pPr>
              <w:pStyle w:val="TableTextEntries"/>
            </w:pPr>
          </w:p>
        </w:tc>
        <w:tc>
          <w:tcPr>
            <w:tcW w:w="300" w:type="pct"/>
            <w:noWrap/>
          </w:tcPr>
          <w:p w14:paraId="3DDD5CF9" w14:textId="77777777" w:rsidR="00655D73" w:rsidRPr="00F95D5B" w:rsidRDefault="00655D73" w:rsidP="00F95D5B">
            <w:pPr>
              <w:pStyle w:val="TableTextEntries"/>
            </w:pPr>
            <w:r w:rsidRPr="00F95D5B">
              <w:t>2012</w:t>
            </w:r>
          </w:p>
        </w:tc>
        <w:tc>
          <w:tcPr>
            <w:tcW w:w="200" w:type="pct"/>
            <w:shd w:val="clear" w:color="auto" w:fill="92D050"/>
            <w:noWrap/>
          </w:tcPr>
          <w:p w14:paraId="3DDD5CFA" w14:textId="77777777" w:rsidR="00655D73" w:rsidRPr="00F95D5B" w:rsidRDefault="00655D73" w:rsidP="00AD1FE8">
            <w:pPr>
              <w:pStyle w:val="TableTextEntries"/>
              <w:jc w:val="center"/>
              <w:rPr>
                <w:rFonts w:cs="Arial"/>
              </w:rPr>
            </w:pPr>
            <w:r w:rsidRPr="00F95D5B">
              <w:rPr>
                <w:rFonts w:cs="Arial"/>
              </w:rPr>
              <w:t>6</w:t>
            </w:r>
          </w:p>
        </w:tc>
        <w:tc>
          <w:tcPr>
            <w:tcW w:w="200" w:type="pct"/>
            <w:shd w:val="clear" w:color="auto" w:fill="92D050"/>
            <w:noWrap/>
          </w:tcPr>
          <w:p w14:paraId="3DDD5CFB"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FFFF00"/>
            <w:noWrap/>
          </w:tcPr>
          <w:p w14:paraId="3DDD5CFC" w14:textId="77777777" w:rsidR="00655D73" w:rsidRPr="00F95D5B" w:rsidRDefault="00655D73" w:rsidP="00AD1FE8">
            <w:pPr>
              <w:pStyle w:val="TableTextEntries"/>
              <w:jc w:val="center"/>
              <w:rPr>
                <w:rFonts w:cs="Arial"/>
              </w:rPr>
            </w:pPr>
            <w:r w:rsidRPr="00F95D5B">
              <w:rPr>
                <w:rFonts w:cs="Arial"/>
              </w:rPr>
              <w:t>4</w:t>
            </w:r>
          </w:p>
        </w:tc>
        <w:tc>
          <w:tcPr>
            <w:tcW w:w="200" w:type="pct"/>
            <w:shd w:val="clear" w:color="auto" w:fill="FFFF00"/>
            <w:noWrap/>
          </w:tcPr>
          <w:p w14:paraId="3DDD5CFD" w14:textId="77777777" w:rsidR="00655D73" w:rsidRPr="00F95D5B" w:rsidRDefault="00655D73" w:rsidP="00AD1FE8">
            <w:pPr>
              <w:pStyle w:val="TableTextEntries"/>
              <w:jc w:val="center"/>
              <w:rPr>
                <w:rFonts w:cs="Arial"/>
              </w:rPr>
            </w:pPr>
            <w:r w:rsidRPr="00F95D5B">
              <w:rPr>
                <w:rFonts w:cs="Arial"/>
              </w:rPr>
              <w:t>4</w:t>
            </w:r>
          </w:p>
        </w:tc>
        <w:tc>
          <w:tcPr>
            <w:tcW w:w="200" w:type="pct"/>
            <w:shd w:val="clear" w:color="auto" w:fill="92D050"/>
            <w:noWrap/>
          </w:tcPr>
          <w:p w14:paraId="3DDD5CFE" w14:textId="77777777" w:rsidR="00655D73" w:rsidRPr="00F95D5B" w:rsidRDefault="00655D73" w:rsidP="00AD1FE8">
            <w:pPr>
              <w:pStyle w:val="TableTextEntries"/>
              <w:jc w:val="center"/>
              <w:rPr>
                <w:rFonts w:cs="Arial"/>
              </w:rPr>
            </w:pPr>
            <w:r w:rsidRPr="00F95D5B">
              <w:rPr>
                <w:rFonts w:cs="Arial"/>
              </w:rPr>
              <w:t>5</w:t>
            </w:r>
          </w:p>
        </w:tc>
        <w:tc>
          <w:tcPr>
            <w:tcW w:w="200" w:type="pct"/>
            <w:shd w:val="clear" w:color="auto" w:fill="92D050"/>
            <w:noWrap/>
          </w:tcPr>
          <w:p w14:paraId="3DDD5CFF" w14:textId="77777777" w:rsidR="00655D73" w:rsidRPr="00F95D5B" w:rsidRDefault="00655D73" w:rsidP="00AD1FE8">
            <w:pPr>
              <w:pStyle w:val="TableTextEntries"/>
              <w:jc w:val="center"/>
              <w:rPr>
                <w:rFonts w:cs="Arial"/>
              </w:rPr>
            </w:pPr>
            <w:r w:rsidRPr="00F95D5B">
              <w:rPr>
                <w:rFonts w:cs="Arial"/>
              </w:rPr>
              <w:t>5</w:t>
            </w:r>
          </w:p>
        </w:tc>
      </w:tr>
    </w:tbl>
    <w:p w14:paraId="3DDD5D01" w14:textId="77777777" w:rsidR="00F44261" w:rsidRDefault="00F44261" w:rsidP="00F44261">
      <w:pPr>
        <w:pStyle w:val="Note"/>
      </w:pPr>
      <w:r>
        <w:t>Definitions of rating scale:</w:t>
      </w:r>
      <w:r>
        <w:tab/>
      </w:r>
    </w:p>
    <w:p w14:paraId="3DDD5D02" w14:textId="77777777" w:rsidR="00F44261" w:rsidRDefault="00F44261" w:rsidP="00F44261">
      <w:pPr>
        <w:pStyle w:val="Note"/>
      </w:pPr>
      <w:r>
        <w:t>Satisfactory (4, 5 and 6)</w:t>
      </w:r>
    </w:p>
    <w:p w14:paraId="3DDD5D03" w14:textId="77777777" w:rsidR="00F44261" w:rsidRDefault="00F44261" w:rsidP="00F44261">
      <w:pPr>
        <w:pStyle w:val="Note"/>
      </w:pPr>
      <w:r w:rsidRPr="00FE4491">
        <w:rPr>
          <w:color w:val="92D050"/>
        </w:rPr>
        <w:sym w:font="Webdings" w:char="F067"/>
      </w:r>
      <w:r>
        <w:t xml:space="preserve"> = 6 = Very high quality</w:t>
      </w:r>
    </w:p>
    <w:p w14:paraId="3DDD5D04" w14:textId="77777777" w:rsidR="00F44261" w:rsidRDefault="00F44261" w:rsidP="00F44261">
      <w:pPr>
        <w:pStyle w:val="Note"/>
      </w:pPr>
      <w:r w:rsidRPr="00FE4491">
        <w:rPr>
          <w:color w:val="92D050"/>
        </w:rPr>
        <w:sym w:font="Webdings" w:char="F067"/>
      </w:r>
      <w:r>
        <w:t xml:space="preserve"> = 5 = Good quality</w:t>
      </w:r>
    </w:p>
    <w:p w14:paraId="3DDD5D05" w14:textId="77777777" w:rsidR="00F44261" w:rsidRDefault="00F44261" w:rsidP="00F44261">
      <w:pPr>
        <w:pStyle w:val="Note"/>
      </w:pPr>
      <w:r w:rsidRPr="000774FD">
        <w:rPr>
          <w:color w:val="FFFF00"/>
        </w:rPr>
        <w:sym w:font="Webdings" w:char="F067"/>
      </w:r>
      <w:r>
        <w:t xml:space="preserve"> = 4 = Adequate quality, needs some work</w:t>
      </w:r>
    </w:p>
    <w:p w14:paraId="3DDD5D06" w14:textId="77777777" w:rsidR="00F44261" w:rsidRDefault="00F44261" w:rsidP="00F44261">
      <w:pPr>
        <w:pStyle w:val="Note"/>
      </w:pPr>
      <w:r>
        <w:t>Less than satisfactory (1, 2 and 3)</w:t>
      </w:r>
    </w:p>
    <w:p w14:paraId="3DDD5D07" w14:textId="77777777" w:rsidR="00F44261" w:rsidRDefault="00F44261" w:rsidP="00F44261">
      <w:pPr>
        <w:pStyle w:val="Note"/>
      </w:pPr>
      <w:r w:rsidRPr="00FD710F">
        <w:rPr>
          <w:color w:val="F79646"/>
        </w:rPr>
        <w:sym w:font="Webdings" w:char="F067"/>
      </w:r>
      <w:r>
        <w:t xml:space="preserve"> = 3 = Less than adequate quality; needs significant work</w:t>
      </w:r>
    </w:p>
    <w:p w14:paraId="3DDD5D08" w14:textId="77777777" w:rsidR="00F44261" w:rsidRDefault="00F44261" w:rsidP="00F44261">
      <w:pPr>
        <w:pStyle w:val="Note"/>
      </w:pPr>
      <w:r w:rsidRPr="000774FD">
        <w:rPr>
          <w:color w:val="FF0000"/>
        </w:rPr>
        <w:sym w:font="Webdings" w:char="F067"/>
      </w:r>
      <w:r>
        <w:t xml:space="preserve"> = 2 = Poor quality; needs major work to improve</w:t>
      </w:r>
    </w:p>
    <w:p w14:paraId="3DDD5D09" w14:textId="77777777" w:rsidR="00F44261" w:rsidRDefault="00F44261" w:rsidP="00F44261">
      <w:pPr>
        <w:pStyle w:val="Note"/>
      </w:pPr>
      <w:r w:rsidRPr="000774FD">
        <w:rPr>
          <w:color w:val="FF0000"/>
        </w:rPr>
        <w:sym w:font="Webdings" w:char="F067"/>
      </w:r>
      <w:r>
        <w:t xml:space="preserve"> = 1 = Very poor quality; needs major overhaul</w:t>
      </w:r>
    </w:p>
    <w:p w14:paraId="3DDD5D0A" w14:textId="77777777" w:rsidR="00F44261" w:rsidRDefault="00F44261" w:rsidP="00F44261">
      <w:pPr>
        <w:pStyle w:val="Note"/>
      </w:pPr>
      <w:r>
        <w:t>Risk Management scale:</w:t>
      </w:r>
    </w:p>
    <w:p w14:paraId="3DDD5D0B" w14:textId="77777777" w:rsidR="00F44261" w:rsidRDefault="00F44261" w:rsidP="00F44261">
      <w:pPr>
        <w:pStyle w:val="Note"/>
      </w:pPr>
      <w:r w:rsidRPr="00FE4491">
        <w:rPr>
          <w:color w:val="92D050"/>
        </w:rPr>
        <w:sym w:font="Webdings" w:char="F067"/>
      </w:r>
      <w:r>
        <w:t xml:space="preserve"> Mature (M). Indicates the initiative manager conducts risk discussions on at least a monthly basis with all stakeholders and updates the risk registry quarterly.</w:t>
      </w:r>
    </w:p>
    <w:p w14:paraId="3DDD5D0C" w14:textId="77777777" w:rsidR="00F44261" w:rsidRDefault="00F44261" w:rsidP="00F44261">
      <w:pPr>
        <w:pStyle w:val="Note"/>
      </w:pPr>
      <w:r w:rsidRPr="00FD710F">
        <w:rPr>
          <w:color w:val="F79646"/>
        </w:rPr>
        <w:sym w:font="Webdings" w:char="F067"/>
      </w:r>
      <w:r>
        <w:t xml:space="preserve"> Intermediate (I). Indicates the initiative manager conducts ad-hoc risk discussion and updates the risk register occasionally.</w:t>
      </w:r>
    </w:p>
    <w:p w14:paraId="3DDD5D0D" w14:textId="77777777" w:rsidR="00655D73" w:rsidRPr="00F44261" w:rsidRDefault="00F44261" w:rsidP="00F44261">
      <w:pPr>
        <w:pStyle w:val="Note"/>
      </w:pPr>
      <w:r w:rsidRPr="000774FD">
        <w:rPr>
          <w:color w:val="FF0000"/>
        </w:rPr>
        <w:sym w:font="Webdings" w:char="F067"/>
      </w:r>
      <w:r>
        <w:t>Basic (B). Indicates there are limited or few risk discussions and the risk register has not been updated in the past 12 months.</w:t>
      </w:r>
    </w:p>
    <w:p w14:paraId="3DDD5D0E" w14:textId="77777777" w:rsidR="00655D73" w:rsidRPr="00105972" w:rsidRDefault="00655D73" w:rsidP="00655D73">
      <w:pPr>
        <w:rPr>
          <w:sz w:val="24"/>
        </w:rPr>
        <w:sectPr w:rsidR="00655D73" w:rsidRPr="00105972" w:rsidSect="0001361A">
          <w:footerReference w:type="default" r:id="rId28"/>
          <w:headerReference w:type="first" r:id="rId29"/>
          <w:footerReference w:type="first" r:id="rId30"/>
          <w:pgSz w:w="16838" w:h="11906" w:orient="landscape" w:code="9"/>
          <w:pgMar w:top="1871" w:right="2268" w:bottom="1134" w:left="907" w:header="709" w:footer="425" w:gutter="0"/>
          <w:cols w:space="708"/>
          <w:titlePg/>
          <w:docGrid w:linePitch="360"/>
        </w:sectPr>
      </w:pPr>
    </w:p>
    <w:p w14:paraId="3DDD5D0F" w14:textId="77777777" w:rsidR="00655D73" w:rsidRPr="0001361A" w:rsidRDefault="00655D73" w:rsidP="0001361A">
      <w:pPr>
        <w:pStyle w:val="Heading1"/>
      </w:pPr>
      <w:r w:rsidRPr="0001361A">
        <w:lastRenderedPageBreak/>
        <w:t>Annex C</w:t>
      </w:r>
    </w:p>
    <w:p w14:paraId="3DDD5D10" w14:textId="77777777" w:rsidR="00655D73" w:rsidRPr="0001361A" w:rsidRDefault="00655D73" w:rsidP="0001361A">
      <w:pPr>
        <w:pStyle w:val="Heading2"/>
      </w:pPr>
      <w:r w:rsidRPr="0001361A">
        <w:t xml:space="preserve">Evaluation and </w:t>
      </w:r>
      <w:r w:rsidR="002B27C7" w:rsidRPr="0001361A">
        <w:t>review p</w:t>
      </w:r>
      <w:r w:rsidRPr="0001361A">
        <w:t xml:space="preserve">ipeline </w:t>
      </w:r>
      <w:r w:rsidR="002B27C7" w:rsidRPr="0001361A">
        <w:t>p</w:t>
      </w:r>
      <w:r w:rsidRPr="0001361A">
        <w:t>lanning</w:t>
      </w:r>
    </w:p>
    <w:p w14:paraId="3DDD5D11" w14:textId="77777777" w:rsidR="00655D73" w:rsidRPr="00105972" w:rsidRDefault="00655D73" w:rsidP="00655D73">
      <w:pPr>
        <w:pStyle w:val="Caption"/>
      </w:pPr>
      <w:r w:rsidRPr="00105972">
        <w:t xml:space="preserve">List of </w:t>
      </w:r>
      <w:r w:rsidR="00430D13">
        <w:t>e</w:t>
      </w:r>
      <w:r w:rsidRPr="00105972">
        <w:t>valuations completed</w:t>
      </w:r>
      <w:r w:rsidRPr="00105972">
        <w:rPr>
          <w:vertAlign w:val="superscript"/>
        </w:rPr>
        <w:footnoteReference w:id="78"/>
      </w:r>
      <w:r w:rsidRPr="00105972">
        <w:t xml:space="preserve"> in the reporting period </w:t>
      </w:r>
    </w:p>
    <w:tbl>
      <w:tblPr>
        <w:tblStyle w:val="APPR"/>
        <w:tblW w:w="4568" w:type="pct"/>
        <w:tblLook w:val="04A0" w:firstRow="1" w:lastRow="0" w:firstColumn="1" w:lastColumn="0" w:noHBand="0" w:noVBand="1"/>
      </w:tblPr>
      <w:tblGrid>
        <w:gridCol w:w="1884"/>
        <w:gridCol w:w="1877"/>
        <w:gridCol w:w="1988"/>
        <w:gridCol w:w="1887"/>
        <w:gridCol w:w="1871"/>
        <w:gridCol w:w="1726"/>
        <w:gridCol w:w="1498"/>
      </w:tblGrid>
      <w:tr w:rsidR="00655D73" w:rsidRPr="00105972" w14:paraId="3DDD5D19" w14:textId="77777777" w:rsidTr="00AD1FE8">
        <w:trPr>
          <w:cnfStyle w:val="100000000000" w:firstRow="1" w:lastRow="0" w:firstColumn="0" w:lastColumn="0" w:oddVBand="0" w:evenVBand="0" w:oddHBand="0" w:evenHBand="0" w:firstRowFirstColumn="0" w:firstRowLastColumn="0" w:lastRowFirstColumn="0" w:lastRowLastColumn="0"/>
        </w:trPr>
        <w:tc>
          <w:tcPr>
            <w:tcW w:w="1902" w:type="dxa"/>
          </w:tcPr>
          <w:p w14:paraId="3DDD5D12" w14:textId="77777777" w:rsidR="00655D73" w:rsidRPr="00AD1FE8" w:rsidRDefault="00655D73" w:rsidP="00AD1FE8">
            <w:pPr>
              <w:pStyle w:val="TableTextColumnHeading"/>
              <w:rPr>
                <w:b/>
              </w:rPr>
            </w:pPr>
            <w:r w:rsidRPr="00AD1FE8">
              <w:rPr>
                <w:b/>
              </w:rPr>
              <w:t xml:space="preserve">Name of </w:t>
            </w:r>
            <w:r w:rsidR="002B27C7" w:rsidRPr="00AD1FE8">
              <w:rPr>
                <w:b/>
              </w:rPr>
              <w:t>i</w:t>
            </w:r>
            <w:r w:rsidRPr="00AD1FE8">
              <w:rPr>
                <w:b/>
              </w:rPr>
              <w:t>nitiative</w:t>
            </w:r>
          </w:p>
        </w:tc>
        <w:tc>
          <w:tcPr>
            <w:tcW w:w="1933" w:type="dxa"/>
          </w:tcPr>
          <w:p w14:paraId="3DDD5D13" w14:textId="77777777" w:rsidR="00655D73" w:rsidRPr="00AD1FE8" w:rsidRDefault="00655D73" w:rsidP="00AD1FE8">
            <w:pPr>
              <w:pStyle w:val="TableTextColumnHeading"/>
              <w:rPr>
                <w:b/>
              </w:rPr>
            </w:pPr>
            <w:r w:rsidRPr="00AD1FE8">
              <w:rPr>
                <w:b/>
              </w:rPr>
              <w:t>Aid</w:t>
            </w:r>
            <w:r w:rsidR="00430D13" w:rsidRPr="00AD1FE8">
              <w:rPr>
                <w:b/>
              </w:rPr>
              <w:t>W</w:t>
            </w:r>
            <w:r w:rsidRPr="00AD1FE8">
              <w:rPr>
                <w:b/>
              </w:rPr>
              <w:t>orks number</w:t>
            </w:r>
          </w:p>
        </w:tc>
        <w:tc>
          <w:tcPr>
            <w:tcW w:w="2031" w:type="dxa"/>
          </w:tcPr>
          <w:p w14:paraId="3DDD5D14" w14:textId="77777777" w:rsidR="00655D73" w:rsidRPr="00AD1FE8" w:rsidRDefault="00655D73" w:rsidP="00AD1FE8">
            <w:pPr>
              <w:pStyle w:val="TableTextColumnHeading"/>
              <w:rPr>
                <w:b/>
              </w:rPr>
            </w:pPr>
            <w:r w:rsidRPr="00AD1FE8">
              <w:rPr>
                <w:b/>
              </w:rPr>
              <w:t>Type of evaluation</w:t>
            </w:r>
            <w:r w:rsidRPr="00AD1FE8">
              <w:rPr>
                <w:b/>
              </w:rPr>
              <w:footnoteReference w:id="79"/>
            </w:r>
          </w:p>
        </w:tc>
        <w:tc>
          <w:tcPr>
            <w:tcW w:w="1939" w:type="dxa"/>
          </w:tcPr>
          <w:p w14:paraId="3DDD5D15" w14:textId="77777777" w:rsidR="00655D73" w:rsidRPr="00AD1FE8" w:rsidRDefault="00655D73" w:rsidP="00AD1FE8">
            <w:pPr>
              <w:pStyle w:val="TableTextColumnHeading"/>
              <w:rPr>
                <w:b/>
              </w:rPr>
            </w:pPr>
            <w:r w:rsidRPr="00AD1FE8">
              <w:rPr>
                <w:b/>
              </w:rPr>
              <w:t xml:space="preserve">Date </w:t>
            </w:r>
            <w:r w:rsidR="002B27C7" w:rsidRPr="00AD1FE8">
              <w:rPr>
                <w:b/>
              </w:rPr>
              <w:t>e</w:t>
            </w:r>
            <w:r w:rsidRPr="00AD1FE8">
              <w:rPr>
                <w:b/>
              </w:rPr>
              <w:t>valuation report received</w:t>
            </w:r>
          </w:p>
        </w:tc>
        <w:tc>
          <w:tcPr>
            <w:tcW w:w="1921" w:type="dxa"/>
          </w:tcPr>
          <w:p w14:paraId="3DDD5D16" w14:textId="77777777" w:rsidR="00655D73" w:rsidRPr="00AD1FE8" w:rsidRDefault="00655D73" w:rsidP="00AD1FE8">
            <w:pPr>
              <w:pStyle w:val="TableTextColumnHeading"/>
              <w:rPr>
                <w:b/>
              </w:rPr>
            </w:pPr>
            <w:r w:rsidRPr="00AD1FE8">
              <w:rPr>
                <w:b/>
              </w:rPr>
              <w:t xml:space="preserve">Date </w:t>
            </w:r>
            <w:r w:rsidR="002B27C7" w:rsidRPr="00AD1FE8">
              <w:rPr>
                <w:b/>
              </w:rPr>
              <w:t>ev</w:t>
            </w:r>
            <w:r w:rsidRPr="00AD1FE8">
              <w:rPr>
                <w:b/>
              </w:rPr>
              <w:t>aluation report Uploaded into Aid</w:t>
            </w:r>
            <w:r w:rsidR="00430D13" w:rsidRPr="00AD1FE8">
              <w:rPr>
                <w:b/>
              </w:rPr>
              <w:t>W</w:t>
            </w:r>
            <w:r w:rsidRPr="00AD1FE8">
              <w:rPr>
                <w:b/>
              </w:rPr>
              <w:t>orks</w:t>
            </w:r>
          </w:p>
        </w:tc>
        <w:tc>
          <w:tcPr>
            <w:tcW w:w="1743" w:type="dxa"/>
          </w:tcPr>
          <w:p w14:paraId="3DDD5D17" w14:textId="77777777" w:rsidR="00655D73" w:rsidRPr="00AD1FE8" w:rsidRDefault="00655D73" w:rsidP="00AD1FE8">
            <w:pPr>
              <w:pStyle w:val="TableTextColumnHeading"/>
              <w:rPr>
                <w:b/>
              </w:rPr>
            </w:pPr>
            <w:r w:rsidRPr="00AD1FE8">
              <w:rPr>
                <w:b/>
              </w:rPr>
              <w:t xml:space="preserve">Date </w:t>
            </w:r>
            <w:r w:rsidR="002B27C7" w:rsidRPr="00AD1FE8">
              <w:rPr>
                <w:b/>
              </w:rPr>
              <w:t>m</w:t>
            </w:r>
            <w:r w:rsidRPr="00AD1FE8">
              <w:rPr>
                <w:b/>
              </w:rPr>
              <w:t>anagement response uploaded into Aidworks</w:t>
            </w:r>
          </w:p>
        </w:tc>
        <w:tc>
          <w:tcPr>
            <w:tcW w:w="1503" w:type="dxa"/>
          </w:tcPr>
          <w:p w14:paraId="3DDD5D18" w14:textId="77777777" w:rsidR="00655D73" w:rsidRPr="00AD1FE8" w:rsidRDefault="00655D73" w:rsidP="00AD1FE8">
            <w:pPr>
              <w:pStyle w:val="TableTextColumnHeading"/>
              <w:rPr>
                <w:b/>
              </w:rPr>
            </w:pPr>
            <w:r w:rsidRPr="00AD1FE8">
              <w:rPr>
                <w:b/>
              </w:rPr>
              <w:t>Published on website</w:t>
            </w:r>
          </w:p>
        </w:tc>
      </w:tr>
      <w:tr w:rsidR="00655D73" w:rsidRPr="00105972" w14:paraId="3DDD5D24" w14:textId="77777777" w:rsidTr="00AD1FE8">
        <w:trPr>
          <w:cnfStyle w:val="100000000000" w:firstRow="1" w:lastRow="0" w:firstColumn="0" w:lastColumn="0" w:oddVBand="0" w:evenVBand="0" w:oddHBand="0" w:evenHBand="0" w:firstRowFirstColumn="0" w:firstRowLastColumn="0" w:lastRowFirstColumn="0" w:lastRowLastColumn="0"/>
        </w:trPr>
        <w:tc>
          <w:tcPr>
            <w:tcW w:w="1902" w:type="dxa"/>
          </w:tcPr>
          <w:p w14:paraId="3DDD5D1A" w14:textId="77777777" w:rsidR="00655D73" w:rsidRPr="00AD1FE8" w:rsidRDefault="00655D73" w:rsidP="00AD1FE8">
            <w:pPr>
              <w:pStyle w:val="TableTextEntries"/>
              <w:rPr>
                <w:b w:val="0"/>
              </w:rPr>
            </w:pPr>
            <w:r w:rsidRPr="00AD1FE8">
              <w:rPr>
                <w:b w:val="0"/>
              </w:rPr>
              <w:t>Civil society program</w:t>
            </w:r>
            <w:r w:rsidR="000B73F2" w:rsidRPr="00AD1FE8">
              <w:rPr>
                <w:b w:val="0"/>
              </w:rPr>
              <w:t xml:space="preserve"> </w:t>
            </w:r>
          </w:p>
          <w:p w14:paraId="3DDD5D1B" w14:textId="77777777" w:rsidR="00655D73" w:rsidRPr="00AD1FE8" w:rsidRDefault="00655D73" w:rsidP="00AD1FE8">
            <w:pPr>
              <w:pStyle w:val="TableTextEntries"/>
              <w:rPr>
                <w:b w:val="0"/>
              </w:rPr>
            </w:pPr>
            <w:r w:rsidRPr="00AD1FE8">
              <w:rPr>
                <w:b w:val="0"/>
              </w:rPr>
              <w:t>Transitional support</w:t>
            </w:r>
            <w:r w:rsidR="002B27C7" w:rsidRPr="00AD1FE8">
              <w:rPr>
                <w:b w:val="0"/>
              </w:rPr>
              <w:t>—</w:t>
            </w:r>
            <w:r w:rsidRPr="00AD1FE8">
              <w:rPr>
                <w:b w:val="0"/>
              </w:rPr>
              <w:t xml:space="preserve">Fiji Community Development </w:t>
            </w:r>
          </w:p>
        </w:tc>
        <w:tc>
          <w:tcPr>
            <w:tcW w:w="1933" w:type="dxa"/>
          </w:tcPr>
          <w:p w14:paraId="3DDD5D1C" w14:textId="77777777" w:rsidR="00655D73" w:rsidRPr="00AD1FE8" w:rsidRDefault="00655D73" w:rsidP="00AD1FE8">
            <w:pPr>
              <w:pStyle w:val="TableTextEntries"/>
              <w:rPr>
                <w:rFonts w:cs="Calibri"/>
                <w:b w:val="0"/>
              </w:rPr>
            </w:pPr>
            <w:r w:rsidRPr="00AD1FE8">
              <w:rPr>
                <w:rFonts w:cs="Calibri"/>
                <w:b w:val="0"/>
              </w:rPr>
              <w:t>INE887</w:t>
            </w:r>
          </w:p>
          <w:p w14:paraId="3DDD5D1D" w14:textId="77777777" w:rsidR="00430D13" w:rsidRPr="00AD1FE8" w:rsidRDefault="00430D13" w:rsidP="00AD1FE8">
            <w:pPr>
              <w:pStyle w:val="TableTextEntries"/>
              <w:rPr>
                <w:rFonts w:cs="Calibri"/>
                <w:b w:val="0"/>
              </w:rPr>
            </w:pPr>
          </w:p>
          <w:p w14:paraId="3DDD5D1E" w14:textId="77777777" w:rsidR="00655D73" w:rsidRPr="00AD1FE8" w:rsidRDefault="00655D73" w:rsidP="00AD1FE8">
            <w:pPr>
              <w:pStyle w:val="TableTextEntries"/>
              <w:rPr>
                <w:b w:val="0"/>
              </w:rPr>
            </w:pPr>
            <w:r w:rsidRPr="00AD1FE8">
              <w:rPr>
                <w:rFonts w:cs="Calibri"/>
                <w:b w:val="0"/>
              </w:rPr>
              <w:t>INJ788</w:t>
            </w:r>
          </w:p>
        </w:tc>
        <w:tc>
          <w:tcPr>
            <w:tcW w:w="2031" w:type="dxa"/>
          </w:tcPr>
          <w:p w14:paraId="3DDD5D1F" w14:textId="77777777" w:rsidR="00655D73" w:rsidRPr="00AD1FE8" w:rsidRDefault="00655D73" w:rsidP="00AD1FE8">
            <w:pPr>
              <w:pStyle w:val="TableTextEntries"/>
              <w:rPr>
                <w:b w:val="0"/>
              </w:rPr>
            </w:pPr>
            <w:r w:rsidRPr="00AD1FE8">
              <w:rPr>
                <w:b w:val="0"/>
              </w:rPr>
              <w:t>Independent completion report</w:t>
            </w:r>
          </w:p>
        </w:tc>
        <w:tc>
          <w:tcPr>
            <w:tcW w:w="1939" w:type="dxa"/>
          </w:tcPr>
          <w:p w14:paraId="3DDD5D20" w14:textId="77777777" w:rsidR="00655D73" w:rsidRPr="00AD1FE8" w:rsidRDefault="00655D73" w:rsidP="00AD1FE8">
            <w:pPr>
              <w:pStyle w:val="TableTextEntries"/>
              <w:rPr>
                <w:b w:val="0"/>
              </w:rPr>
            </w:pPr>
            <w:r w:rsidRPr="00AD1FE8">
              <w:rPr>
                <w:b w:val="0"/>
              </w:rPr>
              <w:t>May 2012</w:t>
            </w:r>
          </w:p>
        </w:tc>
        <w:tc>
          <w:tcPr>
            <w:tcW w:w="1921" w:type="dxa"/>
          </w:tcPr>
          <w:p w14:paraId="3DDD5D21" w14:textId="77777777" w:rsidR="00655D73" w:rsidRPr="00AD1FE8" w:rsidRDefault="00655D73" w:rsidP="00AD1FE8">
            <w:pPr>
              <w:pStyle w:val="TableTextEntries"/>
              <w:rPr>
                <w:b w:val="0"/>
              </w:rPr>
            </w:pPr>
            <w:r w:rsidRPr="00AD1FE8">
              <w:rPr>
                <w:b w:val="0"/>
              </w:rPr>
              <w:t>Not uploaded</w:t>
            </w:r>
          </w:p>
        </w:tc>
        <w:tc>
          <w:tcPr>
            <w:tcW w:w="1743" w:type="dxa"/>
          </w:tcPr>
          <w:p w14:paraId="3DDD5D22" w14:textId="77777777" w:rsidR="00655D73" w:rsidRPr="00AD1FE8" w:rsidRDefault="00655D73" w:rsidP="00AD1FE8">
            <w:pPr>
              <w:pStyle w:val="TableTextEntries"/>
              <w:rPr>
                <w:b w:val="0"/>
              </w:rPr>
            </w:pPr>
            <w:r w:rsidRPr="00AD1FE8">
              <w:rPr>
                <w:b w:val="0"/>
              </w:rPr>
              <w:t>Not uploaded</w:t>
            </w:r>
          </w:p>
        </w:tc>
        <w:tc>
          <w:tcPr>
            <w:tcW w:w="1503" w:type="dxa"/>
          </w:tcPr>
          <w:p w14:paraId="3DDD5D23" w14:textId="77777777" w:rsidR="00655D73" w:rsidRPr="00AD1FE8" w:rsidRDefault="00655D73" w:rsidP="00AD1FE8">
            <w:pPr>
              <w:pStyle w:val="TableTextEntries"/>
              <w:rPr>
                <w:b w:val="0"/>
              </w:rPr>
            </w:pPr>
            <w:r w:rsidRPr="00AD1FE8">
              <w:rPr>
                <w:b w:val="0"/>
              </w:rPr>
              <w:t>No</w:t>
            </w:r>
          </w:p>
        </w:tc>
      </w:tr>
      <w:tr w:rsidR="00655D73" w:rsidRPr="00105972" w14:paraId="3DDD5D2C" w14:textId="77777777" w:rsidTr="00AD1FE8">
        <w:trPr>
          <w:cnfStyle w:val="100000000000" w:firstRow="1" w:lastRow="0" w:firstColumn="0" w:lastColumn="0" w:oddVBand="0" w:evenVBand="0" w:oddHBand="0" w:evenHBand="0" w:firstRowFirstColumn="0" w:firstRowLastColumn="0" w:lastRowFirstColumn="0" w:lastRowLastColumn="0"/>
        </w:trPr>
        <w:tc>
          <w:tcPr>
            <w:tcW w:w="1902" w:type="dxa"/>
          </w:tcPr>
          <w:p w14:paraId="3DDD5D25" w14:textId="77777777" w:rsidR="00655D73" w:rsidRPr="00AD1FE8" w:rsidRDefault="00655D73" w:rsidP="00AD1FE8">
            <w:pPr>
              <w:pStyle w:val="TableTextEntries"/>
              <w:rPr>
                <w:b w:val="0"/>
              </w:rPr>
            </w:pPr>
            <w:r w:rsidRPr="00AD1FE8">
              <w:rPr>
                <w:b w:val="0"/>
              </w:rPr>
              <w:t>Access to Quality Education Program</w:t>
            </w:r>
          </w:p>
        </w:tc>
        <w:tc>
          <w:tcPr>
            <w:tcW w:w="1933" w:type="dxa"/>
          </w:tcPr>
          <w:p w14:paraId="3DDD5D26" w14:textId="77777777" w:rsidR="00655D73" w:rsidRPr="00AD1FE8" w:rsidRDefault="00655D73" w:rsidP="00AD1FE8">
            <w:pPr>
              <w:pStyle w:val="TableTextEntries"/>
              <w:rPr>
                <w:b w:val="0"/>
              </w:rPr>
            </w:pPr>
            <w:r w:rsidRPr="00AD1FE8">
              <w:rPr>
                <w:rFonts w:cs="Calibri"/>
                <w:b w:val="0"/>
              </w:rPr>
              <w:t>INJ515</w:t>
            </w:r>
          </w:p>
        </w:tc>
        <w:tc>
          <w:tcPr>
            <w:tcW w:w="2031" w:type="dxa"/>
          </w:tcPr>
          <w:p w14:paraId="3DDD5D27" w14:textId="77777777" w:rsidR="00655D73" w:rsidRPr="00AD1FE8" w:rsidRDefault="00655D73" w:rsidP="00AD1FE8">
            <w:pPr>
              <w:pStyle w:val="TableTextEntries"/>
              <w:rPr>
                <w:b w:val="0"/>
              </w:rPr>
            </w:pPr>
            <w:r w:rsidRPr="00AD1FE8">
              <w:rPr>
                <w:b w:val="0"/>
              </w:rPr>
              <w:t>Mid-term review</w:t>
            </w:r>
          </w:p>
        </w:tc>
        <w:tc>
          <w:tcPr>
            <w:tcW w:w="1939" w:type="dxa"/>
          </w:tcPr>
          <w:p w14:paraId="3DDD5D28" w14:textId="77777777" w:rsidR="00655D73" w:rsidRPr="00AD1FE8" w:rsidRDefault="00655D73" w:rsidP="00AD1FE8">
            <w:pPr>
              <w:pStyle w:val="TableTextEntries"/>
              <w:rPr>
                <w:b w:val="0"/>
              </w:rPr>
            </w:pPr>
            <w:r w:rsidRPr="00AD1FE8">
              <w:rPr>
                <w:b w:val="0"/>
              </w:rPr>
              <w:t>November 2012</w:t>
            </w:r>
          </w:p>
        </w:tc>
        <w:tc>
          <w:tcPr>
            <w:tcW w:w="1921" w:type="dxa"/>
          </w:tcPr>
          <w:p w14:paraId="3DDD5D29" w14:textId="77777777" w:rsidR="00655D73" w:rsidRPr="00AD1FE8" w:rsidRDefault="00655D73" w:rsidP="00AD1FE8">
            <w:pPr>
              <w:pStyle w:val="TableTextEntries"/>
              <w:rPr>
                <w:b w:val="0"/>
              </w:rPr>
            </w:pPr>
            <w:r w:rsidRPr="00AD1FE8">
              <w:rPr>
                <w:b w:val="0"/>
              </w:rPr>
              <w:t>Not uploaded</w:t>
            </w:r>
          </w:p>
        </w:tc>
        <w:tc>
          <w:tcPr>
            <w:tcW w:w="1743" w:type="dxa"/>
          </w:tcPr>
          <w:p w14:paraId="3DDD5D2A" w14:textId="77777777" w:rsidR="00655D73" w:rsidRPr="00AD1FE8" w:rsidRDefault="00655D73" w:rsidP="00AD1FE8">
            <w:pPr>
              <w:pStyle w:val="TableTextEntries"/>
              <w:rPr>
                <w:b w:val="0"/>
              </w:rPr>
            </w:pPr>
            <w:r w:rsidRPr="00AD1FE8">
              <w:rPr>
                <w:b w:val="0"/>
              </w:rPr>
              <w:t>Not uploaded</w:t>
            </w:r>
          </w:p>
        </w:tc>
        <w:tc>
          <w:tcPr>
            <w:tcW w:w="1503" w:type="dxa"/>
          </w:tcPr>
          <w:p w14:paraId="3DDD5D2B" w14:textId="77777777" w:rsidR="00655D73" w:rsidRPr="00AD1FE8" w:rsidRDefault="00655D73" w:rsidP="00AD1FE8">
            <w:pPr>
              <w:pStyle w:val="TableTextEntries"/>
              <w:rPr>
                <w:b w:val="0"/>
              </w:rPr>
            </w:pPr>
            <w:r w:rsidRPr="00AD1FE8">
              <w:rPr>
                <w:b w:val="0"/>
              </w:rPr>
              <w:t>Yes</w:t>
            </w:r>
          </w:p>
        </w:tc>
      </w:tr>
    </w:tbl>
    <w:p w14:paraId="3DDD5D2D" w14:textId="77777777" w:rsidR="005E33E7" w:rsidRDefault="005E33E7" w:rsidP="005E33E7">
      <w:pPr>
        <w:pStyle w:val="BodyText"/>
      </w:pPr>
    </w:p>
    <w:p w14:paraId="3DDD5D2E" w14:textId="77777777" w:rsidR="00655D73" w:rsidRPr="00105972" w:rsidRDefault="00655D73" w:rsidP="00655D73">
      <w:pPr>
        <w:pStyle w:val="Caption"/>
      </w:pPr>
      <w:r w:rsidRPr="00105972">
        <w:t xml:space="preserve">List of evaluations planned in the next 12 months </w:t>
      </w:r>
    </w:p>
    <w:tbl>
      <w:tblPr>
        <w:tblStyle w:val="APPR"/>
        <w:tblW w:w="4548" w:type="pct"/>
        <w:tblLook w:val="0600" w:firstRow="0" w:lastRow="0" w:firstColumn="0" w:lastColumn="0" w:noHBand="1" w:noVBand="1"/>
      </w:tblPr>
      <w:tblGrid>
        <w:gridCol w:w="2971"/>
        <w:gridCol w:w="2045"/>
        <w:gridCol w:w="2549"/>
        <w:gridCol w:w="2548"/>
        <w:gridCol w:w="2562"/>
      </w:tblGrid>
      <w:tr w:rsidR="00655D73" w:rsidRPr="00105972" w14:paraId="3DDD5D34" w14:textId="77777777" w:rsidTr="0001361A">
        <w:tc>
          <w:tcPr>
            <w:tcW w:w="2929" w:type="dxa"/>
          </w:tcPr>
          <w:p w14:paraId="3DDD5D2F" w14:textId="77777777" w:rsidR="00655D73" w:rsidRPr="00AD1FE8" w:rsidRDefault="00655D73" w:rsidP="00AD1FE8">
            <w:pPr>
              <w:pStyle w:val="TableTextColumnHeading"/>
            </w:pPr>
            <w:r w:rsidRPr="00AD1FE8">
              <w:t>Name of Initiative</w:t>
            </w:r>
          </w:p>
        </w:tc>
        <w:tc>
          <w:tcPr>
            <w:tcW w:w="2017" w:type="dxa"/>
          </w:tcPr>
          <w:p w14:paraId="3DDD5D30" w14:textId="77777777" w:rsidR="00655D73" w:rsidRPr="00AD1FE8" w:rsidRDefault="00430D13" w:rsidP="00AD1FE8">
            <w:pPr>
              <w:pStyle w:val="TableTextColumnHeading"/>
            </w:pPr>
            <w:r w:rsidRPr="00AD1FE8">
              <w:t xml:space="preserve">AidWorks </w:t>
            </w:r>
            <w:r w:rsidR="00655D73" w:rsidRPr="00AD1FE8">
              <w:t>number</w:t>
            </w:r>
          </w:p>
        </w:tc>
        <w:tc>
          <w:tcPr>
            <w:tcW w:w="2521" w:type="dxa"/>
          </w:tcPr>
          <w:p w14:paraId="3DDD5D31" w14:textId="77777777" w:rsidR="00655D73" w:rsidRPr="00AD1FE8" w:rsidRDefault="00655D73" w:rsidP="00AD1FE8">
            <w:pPr>
              <w:pStyle w:val="TableTextColumnHeading"/>
            </w:pPr>
            <w:r w:rsidRPr="00AD1FE8">
              <w:t>Type of evaluation</w:t>
            </w:r>
          </w:p>
        </w:tc>
        <w:tc>
          <w:tcPr>
            <w:tcW w:w="2520" w:type="dxa"/>
          </w:tcPr>
          <w:p w14:paraId="3DDD5D32" w14:textId="77777777" w:rsidR="00655D73" w:rsidRPr="00AD1FE8" w:rsidRDefault="00655D73" w:rsidP="00AD1FE8">
            <w:pPr>
              <w:pStyle w:val="TableTextColumnHeading"/>
            </w:pPr>
            <w:r w:rsidRPr="00AD1FE8">
              <w:t>Purpose of evaluation</w:t>
            </w:r>
            <w:r w:rsidRPr="00AD1FE8">
              <w:rPr>
                <w:vertAlign w:val="superscript"/>
              </w:rPr>
              <w:footnoteReference w:id="80"/>
            </w:r>
          </w:p>
        </w:tc>
        <w:tc>
          <w:tcPr>
            <w:tcW w:w="2520" w:type="dxa"/>
          </w:tcPr>
          <w:p w14:paraId="3DDD5D33" w14:textId="77777777" w:rsidR="00655D73" w:rsidRPr="00AD1FE8" w:rsidRDefault="00655D73" w:rsidP="00AD1FE8">
            <w:pPr>
              <w:pStyle w:val="TableTextColumnHeading"/>
            </w:pPr>
            <w:r w:rsidRPr="00AD1FE8">
              <w:t>Expected completion date</w:t>
            </w:r>
          </w:p>
        </w:tc>
      </w:tr>
      <w:tr w:rsidR="00655D73" w:rsidRPr="00105972" w14:paraId="3DDD5D3A" w14:textId="77777777" w:rsidTr="0001361A">
        <w:trPr>
          <w:tblHeader w:val="0"/>
        </w:trPr>
        <w:tc>
          <w:tcPr>
            <w:tcW w:w="2929" w:type="dxa"/>
          </w:tcPr>
          <w:p w14:paraId="3DDD5D35" w14:textId="77777777" w:rsidR="00655D73" w:rsidRPr="00AD1FE8" w:rsidRDefault="00655D73" w:rsidP="00AD1FE8">
            <w:pPr>
              <w:pStyle w:val="TableTextEntries"/>
            </w:pPr>
            <w:r w:rsidRPr="00AD1FE8">
              <w:t xml:space="preserve">Fiji Health Sector Support </w:t>
            </w:r>
            <w:r w:rsidR="002B27C7" w:rsidRPr="00AD1FE8">
              <w:t>20</w:t>
            </w:r>
            <w:r w:rsidRPr="00AD1FE8">
              <w:t>11</w:t>
            </w:r>
            <w:r w:rsidR="002B27C7" w:rsidRPr="00AD1FE8">
              <w:t>–</w:t>
            </w:r>
            <w:r w:rsidRPr="00AD1FE8">
              <w:t>13</w:t>
            </w:r>
          </w:p>
        </w:tc>
        <w:tc>
          <w:tcPr>
            <w:tcW w:w="2017" w:type="dxa"/>
          </w:tcPr>
          <w:p w14:paraId="3DDD5D36" w14:textId="77777777" w:rsidR="00655D73" w:rsidRPr="00AD1FE8" w:rsidRDefault="00655D73" w:rsidP="00AD1FE8">
            <w:pPr>
              <w:pStyle w:val="TableTextEntries"/>
            </w:pPr>
            <w:r w:rsidRPr="00AD1FE8">
              <w:t>INJ640</w:t>
            </w:r>
          </w:p>
        </w:tc>
        <w:tc>
          <w:tcPr>
            <w:tcW w:w="2521" w:type="dxa"/>
          </w:tcPr>
          <w:p w14:paraId="3DDD5D37" w14:textId="77777777" w:rsidR="00655D73" w:rsidRPr="00AD1FE8" w:rsidRDefault="00655D73" w:rsidP="00AD1FE8">
            <w:pPr>
              <w:pStyle w:val="TableTextEntries"/>
            </w:pPr>
            <w:r w:rsidRPr="00AD1FE8">
              <w:t>Mid-term review</w:t>
            </w:r>
          </w:p>
        </w:tc>
        <w:tc>
          <w:tcPr>
            <w:tcW w:w="2520" w:type="dxa"/>
          </w:tcPr>
          <w:p w14:paraId="3DDD5D38" w14:textId="77777777" w:rsidR="00655D73" w:rsidRPr="00AD1FE8" w:rsidRDefault="00655D73" w:rsidP="00AD1FE8">
            <w:pPr>
              <w:pStyle w:val="TableTextEntries"/>
            </w:pPr>
            <w:r w:rsidRPr="00AD1FE8">
              <w:t>To Inform a future phase of program</w:t>
            </w:r>
          </w:p>
        </w:tc>
        <w:tc>
          <w:tcPr>
            <w:tcW w:w="2520" w:type="dxa"/>
          </w:tcPr>
          <w:p w14:paraId="3DDD5D39" w14:textId="77777777" w:rsidR="00655D73" w:rsidRPr="00AD1FE8" w:rsidRDefault="00655D73" w:rsidP="00AD1FE8">
            <w:pPr>
              <w:pStyle w:val="TableTextEntries"/>
            </w:pPr>
            <w:r w:rsidRPr="00AD1FE8">
              <w:t>July 2013</w:t>
            </w:r>
          </w:p>
        </w:tc>
      </w:tr>
      <w:tr w:rsidR="00655D73" w:rsidRPr="00105972" w14:paraId="3DDD5D40" w14:textId="77777777" w:rsidTr="0001361A">
        <w:trPr>
          <w:tblHeader w:val="0"/>
        </w:trPr>
        <w:tc>
          <w:tcPr>
            <w:tcW w:w="2929" w:type="dxa"/>
          </w:tcPr>
          <w:p w14:paraId="3DDD5D3B" w14:textId="77777777" w:rsidR="00655D73" w:rsidRPr="00AD1FE8" w:rsidRDefault="00655D73" w:rsidP="00AD1FE8">
            <w:pPr>
              <w:pStyle w:val="TableTextEntries"/>
            </w:pPr>
            <w:r w:rsidRPr="00AD1FE8">
              <w:t>Disaster Preparedness and Response Fund</w:t>
            </w:r>
          </w:p>
        </w:tc>
        <w:tc>
          <w:tcPr>
            <w:tcW w:w="2017" w:type="dxa"/>
          </w:tcPr>
          <w:p w14:paraId="3DDD5D3C" w14:textId="77777777" w:rsidR="00655D73" w:rsidRPr="00AD1FE8" w:rsidRDefault="00655D73" w:rsidP="00AD1FE8">
            <w:pPr>
              <w:pStyle w:val="TableTextEntries"/>
            </w:pPr>
            <w:r w:rsidRPr="00AD1FE8">
              <w:t>INJ651</w:t>
            </w:r>
          </w:p>
        </w:tc>
        <w:tc>
          <w:tcPr>
            <w:tcW w:w="2521" w:type="dxa"/>
          </w:tcPr>
          <w:p w14:paraId="3DDD5D3D" w14:textId="77777777" w:rsidR="00655D73" w:rsidRPr="00AD1FE8" w:rsidRDefault="00655D73" w:rsidP="00AD1FE8">
            <w:pPr>
              <w:pStyle w:val="TableTextEntries"/>
            </w:pPr>
            <w:r w:rsidRPr="00AD1FE8">
              <w:t>Independent progress report</w:t>
            </w:r>
          </w:p>
        </w:tc>
        <w:tc>
          <w:tcPr>
            <w:tcW w:w="2520" w:type="dxa"/>
          </w:tcPr>
          <w:p w14:paraId="3DDD5D3E" w14:textId="77777777" w:rsidR="00655D73" w:rsidRPr="00AD1FE8" w:rsidRDefault="00655D73" w:rsidP="00AD1FE8">
            <w:pPr>
              <w:pStyle w:val="TableTextEntries"/>
            </w:pPr>
          </w:p>
        </w:tc>
        <w:tc>
          <w:tcPr>
            <w:tcW w:w="2520" w:type="dxa"/>
          </w:tcPr>
          <w:p w14:paraId="3DDD5D3F" w14:textId="77777777" w:rsidR="00655D73" w:rsidRPr="00AD1FE8" w:rsidRDefault="00655D73" w:rsidP="00AD1FE8">
            <w:pPr>
              <w:pStyle w:val="TableTextEntries"/>
            </w:pPr>
            <w:r w:rsidRPr="00AD1FE8">
              <w:t>August 2013</w:t>
            </w:r>
          </w:p>
        </w:tc>
      </w:tr>
      <w:tr w:rsidR="00655D73" w:rsidRPr="00105972" w14:paraId="3DDD5D46" w14:textId="77777777" w:rsidTr="0001361A">
        <w:trPr>
          <w:tblHeader w:val="0"/>
        </w:trPr>
        <w:tc>
          <w:tcPr>
            <w:tcW w:w="2929" w:type="dxa"/>
          </w:tcPr>
          <w:p w14:paraId="3DDD5D41" w14:textId="77777777" w:rsidR="00655D73" w:rsidRPr="00AD1FE8" w:rsidRDefault="00655D73" w:rsidP="00AD1FE8">
            <w:pPr>
              <w:pStyle w:val="TableTextEntries"/>
            </w:pPr>
            <w:r w:rsidRPr="00AD1FE8">
              <w:t>Fiji</w:t>
            </w:r>
            <w:r w:rsidR="000B73F2" w:rsidRPr="00AD1FE8">
              <w:t xml:space="preserve"> </w:t>
            </w:r>
            <w:r w:rsidRPr="00AD1FE8">
              <w:t>Health Sector Interim Assistance</w:t>
            </w:r>
          </w:p>
        </w:tc>
        <w:tc>
          <w:tcPr>
            <w:tcW w:w="2017" w:type="dxa"/>
          </w:tcPr>
          <w:p w14:paraId="3DDD5D42" w14:textId="77777777" w:rsidR="00655D73" w:rsidRPr="00AD1FE8" w:rsidRDefault="00655D73" w:rsidP="00AD1FE8">
            <w:pPr>
              <w:pStyle w:val="TableTextEntries"/>
            </w:pPr>
            <w:r w:rsidRPr="00AD1FE8">
              <w:t>INJ677</w:t>
            </w:r>
          </w:p>
        </w:tc>
        <w:tc>
          <w:tcPr>
            <w:tcW w:w="2521" w:type="dxa"/>
          </w:tcPr>
          <w:p w14:paraId="3DDD5D43" w14:textId="77777777" w:rsidR="00655D73" w:rsidRPr="00AD1FE8" w:rsidRDefault="00655D73" w:rsidP="00AD1FE8">
            <w:pPr>
              <w:pStyle w:val="TableTextEntries"/>
            </w:pPr>
            <w:r w:rsidRPr="00AD1FE8">
              <w:t>Independent completion report</w:t>
            </w:r>
          </w:p>
        </w:tc>
        <w:tc>
          <w:tcPr>
            <w:tcW w:w="2520" w:type="dxa"/>
          </w:tcPr>
          <w:p w14:paraId="3DDD5D44" w14:textId="77777777" w:rsidR="00655D73" w:rsidRPr="00AD1FE8" w:rsidRDefault="00655D73" w:rsidP="00AD1FE8">
            <w:pPr>
              <w:pStyle w:val="TableTextEntries"/>
            </w:pPr>
            <w:r w:rsidRPr="00AD1FE8">
              <w:t>Seeking an ICR exemption for this activity.</w:t>
            </w:r>
          </w:p>
        </w:tc>
        <w:tc>
          <w:tcPr>
            <w:tcW w:w="2520" w:type="dxa"/>
          </w:tcPr>
          <w:p w14:paraId="3DDD5D45" w14:textId="77777777" w:rsidR="00655D73" w:rsidRPr="00AD1FE8" w:rsidRDefault="00655D73" w:rsidP="00AD1FE8">
            <w:pPr>
              <w:pStyle w:val="TableTextEntries"/>
            </w:pPr>
          </w:p>
        </w:tc>
      </w:tr>
      <w:tr w:rsidR="00655D73" w:rsidRPr="00105972" w14:paraId="3DDD5D4C" w14:textId="77777777" w:rsidTr="0001361A">
        <w:trPr>
          <w:tblHeader w:val="0"/>
        </w:trPr>
        <w:tc>
          <w:tcPr>
            <w:tcW w:w="2929" w:type="dxa"/>
          </w:tcPr>
          <w:p w14:paraId="3DDD5D47" w14:textId="77777777" w:rsidR="00655D73" w:rsidRPr="00AD1FE8" w:rsidRDefault="00655D73" w:rsidP="00AD1FE8">
            <w:pPr>
              <w:pStyle w:val="TableTextEntries"/>
            </w:pPr>
            <w:r w:rsidRPr="00AD1FE8">
              <w:t>Temporary Assistance to Fiji Educ</w:t>
            </w:r>
            <w:r w:rsidR="002B27C7" w:rsidRPr="00AD1FE8">
              <w:t>ation</w:t>
            </w:r>
          </w:p>
        </w:tc>
        <w:tc>
          <w:tcPr>
            <w:tcW w:w="2017" w:type="dxa"/>
          </w:tcPr>
          <w:p w14:paraId="3DDD5D48" w14:textId="77777777" w:rsidR="00655D73" w:rsidRPr="00AD1FE8" w:rsidRDefault="00655D73" w:rsidP="00AD1FE8">
            <w:pPr>
              <w:pStyle w:val="TableTextEntries"/>
            </w:pPr>
            <w:r w:rsidRPr="00AD1FE8">
              <w:t>INJ193</w:t>
            </w:r>
          </w:p>
        </w:tc>
        <w:tc>
          <w:tcPr>
            <w:tcW w:w="2521" w:type="dxa"/>
          </w:tcPr>
          <w:p w14:paraId="3DDD5D49" w14:textId="77777777" w:rsidR="00655D73" w:rsidRPr="00AD1FE8" w:rsidRDefault="00655D73" w:rsidP="00AD1FE8">
            <w:pPr>
              <w:pStyle w:val="TableTextEntries"/>
            </w:pPr>
            <w:r w:rsidRPr="00AD1FE8">
              <w:t>Independent completion report</w:t>
            </w:r>
          </w:p>
        </w:tc>
        <w:tc>
          <w:tcPr>
            <w:tcW w:w="2520" w:type="dxa"/>
          </w:tcPr>
          <w:p w14:paraId="3DDD5D4A" w14:textId="77777777" w:rsidR="00655D73" w:rsidRPr="00AD1FE8" w:rsidRDefault="00655D73" w:rsidP="00AD1FE8">
            <w:pPr>
              <w:pStyle w:val="TableTextEntries"/>
            </w:pPr>
            <w:r w:rsidRPr="00AD1FE8">
              <w:t>Seeking an ICR exemption for this activity.</w:t>
            </w:r>
          </w:p>
        </w:tc>
        <w:tc>
          <w:tcPr>
            <w:tcW w:w="2520" w:type="dxa"/>
          </w:tcPr>
          <w:p w14:paraId="3DDD5D4B" w14:textId="77777777" w:rsidR="00655D73" w:rsidRPr="00AD1FE8" w:rsidRDefault="00655D73" w:rsidP="00AD1FE8">
            <w:pPr>
              <w:pStyle w:val="TableTextEntries"/>
            </w:pPr>
          </w:p>
        </w:tc>
      </w:tr>
      <w:tr w:rsidR="00655D73" w:rsidRPr="00105972" w14:paraId="3DDD5D52" w14:textId="77777777" w:rsidTr="0001361A">
        <w:trPr>
          <w:tblHeader w:val="0"/>
        </w:trPr>
        <w:tc>
          <w:tcPr>
            <w:tcW w:w="2929" w:type="dxa"/>
          </w:tcPr>
          <w:p w14:paraId="3DDD5D4D" w14:textId="77777777" w:rsidR="00655D73" w:rsidRPr="00AD1FE8" w:rsidRDefault="00655D73" w:rsidP="00AD1FE8">
            <w:pPr>
              <w:pStyle w:val="TableTextEntries"/>
            </w:pPr>
            <w:r w:rsidRPr="00AD1FE8">
              <w:t>Access to Quality Education Program</w:t>
            </w:r>
          </w:p>
        </w:tc>
        <w:tc>
          <w:tcPr>
            <w:tcW w:w="2017" w:type="dxa"/>
            <w:vAlign w:val="bottom"/>
          </w:tcPr>
          <w:p w14:paraId="3DDD5D4E" w14:textId="77777777" w:rsidR="00655D73" w:rsidRPr="00AD1FE8" w:rsidRDefault="00655D73" w:rsidP="00AD1FE8">
            <w:pPr>
              <w:pStyle w:val="TableTextEntries"/>
            </w:pPr>
            <w:r w:rsidRPr="00AD1FE8">
              <w:t>INJ515</w:t>
            </w:r>
          </w:p>
        </w:tc>
        <w:tc>
          <w:tcPr>
            <w:tcW w:w="2521" w:type="dxa"/>
          </w:tcPr>
          <w:p w14:paraId="3DDD5D4F" w14:textId="77777777" w:rsidR="00655D73" w:rsidRPr="00AD1FE8" w:rsidRDefault="00655D73" w:rsidP="00AD1FE8">
            <w:pPr>
              <w:pStyle w:val="TableTextEntries"/>
            </w:pPr>
            <w:r w:rsidRPr="00AD1FE8">
              <w:t>Impact evaluation</w:t>
            </w:r>
          </w:p>
        </w:tc>
        <w:tc>
          <w:tcPr>
            <w:tcW w:w="2520" w:type="dxa"/>
          </w:tcPr>
          <w:p w14:paraId="3DDD5D50" w14:textId="77777777" w:rsidR="00655D73" w:rsidRPr="00AD1FE8" w:rsidRDefault="00655D73" w:rsidP="00AD1FE8">
            <w:pPr>
              <w:pStyle w:val="TableTextEntries"/>
            </w:pPr>
            <w:r w:rsidRPr="00AD1FE8">
              <w:t>To support causal inference.</w:t>
            </w:r>
          </w:p>
        </w:tc>
        <w:tc>
          <w:tcPr>
            <w:tcW w:w="2520" w:type="dxa"/>
          </w:tcPr>
          <w:p w14:paraId="3DDD5D51" w14:textId="77777777" w:rsidR="00655D73" w:rsidRPr="00AD1FE8" w:rsidRDefault="00655D73" w:rsidP="00AD1FE8">
            <w:pPr>
              <w:pStyle w:val="TableTextEntries"/>
            </w:pPr>
            <w:r w:rsidRPr="00AD1FE8">
              <w:t>2017</w:t>
            </w:r>
          </w:p>
        </w:tc>
      </w:tr>
    </w:tbl>
    <w:p w14:paraId="3DDD5D53" w14:textId="77777777" w:rsidR="00655D73" w:rsidRPr="00105972" w:rsidRDefault="00655D73" w:rsidP="0001361A">
      <w:pPr>
        <w:rPr>
          <w:b/>
          <w:sz w:val="24"/>
        </w:rPr>
      </w:pPr>
    </w:p>
    <w:sectPr w:rsidR="00655D73" w:rsidRPr="00105972" w:rsidSect="0001361A">
      <w:headerReference w:type="default" r:id="rId31"/>
      <w:footerReference w:type="default" r:id="rId32"/>
      <w:headerReference w:type="first" r:id="rId33"/>
      <w:footerReference w:type="first" r:id="rId34"/>
      <w:pgSz w:w="16838" w:h="11906" w:orient="landscape" w:code="9"/>
      <w:pgMar w:top="1871" w:right="2268" w:bottom="1021" w:left="907"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D5D74" w14:textId="77777777" w:rsidR="00EE35E3" w:rsidRDefault="00EE35E3" w:rsidP="00655D73">
      <w:r>
        <w:separator/>
      </w:r>
    </w:p>
  </w:endnote>
  <w:endnote w:type="continuationSeparator" w:id="0">
    <w:p w14:paraId="3DDD5D75" w14:textId="77777777" w:rsidR="00EE35E3" w:rsidRDefault="00EE35E3" w:rsidP="0065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umnst777 BT">
    <w:altName w:val="Arial"/>
    <w:charset w:val="00"/>
    <w:family w:val="swiss"/>
    <w:pitch w:val="variable"/>
    <w:sig w:usb0="00000001" w:usb1="00000000" w:usb2="00000000" w:usb3="00000000" w:csb0="0000001B"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D5D78" w14:textId="5B6229D1" w:rsidR="00EE35E3" w:rsidRPr="0001361A" w:rsidRDefault="00EE35E3" w:rsidP="0001361A">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852C85">
      <w:rPr>
        <w:rFonts w:ascii="Franklin Gothic Medium" w:eastAsia="Times New Roman" w:hAnsi="Franklin Gothic Medium"/>
        <w:noProof/>
        <w:sz w:val="14"/>
        <w:szCs w:val="14"/>
      </w:rPr>
      <w:t>Aid Program Performance Report 2012−13 Fiji</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852C85">
      <w:rPr>
        <w:rFonts w:ascii="Franklin Gothic Medium" w:eastAsia="Times New Roman" w:hAnsi="Franklin Gothic Medium"/>
        <w:noProof/>
        <w:sz w:val="14"/>
        <w:szCs w:val="14"/>
      </w:rPr>
      <w:t>13</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38112" behindDoc="1" locked="0" layoutInCell="1" allowOverlap="1" wp14:anchorId="7EBF621C" wp14:editId="0F23C2F0">
              <wp:simplePos x="0" y="0"/>
              <wp:positionH relativeFrom="column">
                <wp:posOffset>0</wp:posOffset>
              </wp:positionH>
              <wp:positionV relativeFrom="paragraph">
                <wp:posOffset>8498840</wp:posOffset>
              </wp:positionV>
              <wp:extent cx="7379970" cy="2181860"/>
              <wp:effectExtent l="0" t="2540" r="1905" b="0"/>
              <wp:wrapNone/>
              <wp:docPr id="2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wnjJk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ILCe&#10;MmQDAAAc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37088" behindDoc="1" locked="0" layoutInCell="1" allowOverlap="1" wp14:anchorId="69FA20EA" wp14:editId="3BCDA5E6">
              <wp:simplePos x="0" y="0"/>
              <wp:positionH relativeFrom="column">
                <wp:posOffset>0</wp:posOffset>
              </wp:positionH>
              <wp:positionV relativeFrom="paragraph">
                <wp:posOffset>8498840</wp:posOffset>
              </wp:positionV>
              <wp:extent cx="7379970" cy="2181860"/>
              <wp:effectExtent l="0" t="2540" r="1905" b="0"/>
              <wp:wrapNone/>
              <wp:docPr id="24"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xktdkAwAAHQ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XbGS&#10;1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D5D7A" w14:textId="226BBC86" w:rsidR="00EE35E3" w:rsidRPr="00690AF8" w:rsidRDefault="00EE35E3" w:rsidP="00690AF8">
    <w:pPr>
      <w:pStyle w:val="Footer"/>
      <w:tabs>
        <w:tab w:val="clear" w:pos="4513"/>
        <w:tab w:val="clear" w:pos="9026"/>
        <w:tab w:val="right" w:pos="827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852C85">
      <w:rPr>
        <w:rFonts w:ascii="Franklin Gothic Medium" w:eastAsia="Times New Roman" w:hAnsi="Franklin Gothic Medium"/>
        <w:noProof/>
        <w:sz w:val="14"/>
        <w:szCs w:val="14"/>
      </w:rPr>
      <w:t>Aid Program Performance Report 2012−13 Fiji</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852C85">
      <w:rPr>
        <w:rFonts w:ascii="Franklin Gothic Medium" w:eastAsia="Times New Roman" w:hAnsi="Franklin Gothic Medium"/>
        <w:noProof/>
        <w:sz w:val="14"/>
        <w:szCs w:val="14"/>
      </w:rPr>
      <w:t>1</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32992" behindDoc="1" locked="0" layoutInCell="1" allowOverlap="1" wp14:anchorId="7FA83493" wp14:editId="72F5F711">
              <wp:simplePos x="0" y="0"/>
              <wp:positionH relativeFrom="column">
                <wp:posOffset>0</wp:posOffset>
              </wp:positionH>
              <wp:positionV relativeFrom="paragraph">
                <wp:posOffset>8498840</wp:posOffset>
              </wp:positionV>
              <wp:extent cx="7379970" cy="2181860"/>
              <wp:effectExtent l="0" t="2540" r="1905" b="0"/>
              <wp:wrapNone/>
              <wp:docPr id="18"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gX5xj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Dx4F+c&#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31968" behindDoc="1" locked="0" layoutInCell="1" allowOverlap="1" wp14:anchorId="61143731" wp14:editId="5F9641EB">
              <wp:simplePos x="0" y="0"/>
              <wp:positionH relativeFrom="column">
                <wp:posOffset>0</wp:posOffset>
              </wp:positionH>
              <wp:positionV relativeFrom="paragraph">
                <wp:posOffset>8498840</wp:posOffset>
              </wp:positionV>
              <wp:extent cx="7379970" cy="2181860"/>
              <wp:effectExtent l="0" t="2540" r="1905" b="0"/>
              <wp:wrapNone/>
              <wp:docPr id="17"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RBRe&#10;U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D5D7D" w14:textId="71D96C2B" w:rsidR="00EE35E3" w:rsidRPr="00690AF8" w:rsidRDefault="00EE35E3" w:rsidP="00690AF8">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852C85">
      <w:rPr>
        <w:rFonts w:ascii="Franklin Gothic Medium" w:eastAsia="Times New Roman" w:hAnsi="Franklin Gothic Medium"/>
        <w:noProof/>
        <w:sz w:val="14"/>
        <w:szCs w:val="14"/>
      </w:rPr>
      <w:t>Aid Program Performance Report 2012−13 Fiji</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852C85">
      <w:rPr>
        <w:rFonts w:ascii="Franklin Gothic Medium" w:eastAsia="Times New Roman" w:hAnsi="Franklin Gothic Medium"/>
        <w:noProof/>
        <w:sz w:val="14"/>
        <w:szCs w:val="14"/>
      </w:rPr>
      <w:t>22</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27872" behindDoc="1" locked="0" layoutInCell="1" allowOverlap="1" wp14:anchorId="13370A26" wp14:editId="418D0BC7">
              <wp:simplePos x="0" y="0"/>
              <wp:positionH relativeFrom="column">
                <wp:posOffset>0</wp:posOffset>
              </wp:positionH>
              <wp:positionV relativeFrom="paragraph">
                <wp:posOffset>8498840</wp:posOffset>
              </wp:positionV>
              <wp:extent cx="7379970" cy="2181860"/>
              <wp:effectExtent l="0" t="2540" r="1905" b="0"/>
              <wp:wrapNone/>
              <wp:docPr id="1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ik/d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LYpP3&#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26848" behindDoc="1" locked="0" layoutInCell="1" allowOverlap="1" wp14:anchorId="5B099F11" wp14:editId="1B283DD9">
              <wp:simplePos x="0" y="0"/>
              <wp:positionH relativeFrom="column">
                <wp:posOffset>0</wp:posOffset>
              </wp:positionH>
              <wp:positionV relativeFrom="paragraph">
                <wp:posOffset>8498840</wp:posOffset>
              </wp:positionV>
              <wp:extent cx="7379970" cy="2181860"/>
              <wp:effectExtent l="0" t="2540" r="1905" b="0"/>
              <wp:wrapNone/>
              <wp:docPr id="15"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3V9V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m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dndX&#10;1W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22E6C" w14:textId="548D7E29" w:rsidR="00EE35E3" w:rsidRPr="00690AF8" w:rsidRDefault="00EE35E3" w:rsidP="00690AF8">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852C85">
      <w:rPr>
        <w:rFonts w:ascii="Franklin Gothic Medium" w:eastAsia="Times New Roman" w:hAnsi="Franklin Gothic Medium"/>
        <w:noProof/>
        <w:sz w:val="14"/>
        <w:szCs w:val="14"/>
      </w:rPr>
      <w:t>Aid Program Performance Report 2012−13 Fiji</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852C85">
      <w:rPr>
        <w:rFonts w:ascii="Franklin Gothic Medium" w:eastAsia="Times New Roman" w:hAnsi="Franklin Gothic Medium"/>
        <w:noProof/>
        <w:sz w:val="14"/>
        <w:szCs w:val="14"/>
      </w:rPr>
      <w:t>24</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21728" behindDoc="1" locked="0" layoutInCell="1" allowOverlap="1" wp14:anchorId="51CD0CAD" wp14:editId="426C3651">
              <wp:simplePos x="0" y="0"/>
              <wp:positionH relativeFrom="column">
                <wp:posOffset>0</wp:posOffset>
              </wp:positionH>
              <wp:positionV relativeFrom="paragraph">
                <wp:posOffset>8498840</wp:posOffset>
              </wp:positionV>
              <wp:extent cx="7379970" cy="2181860"/>
              <wp:effectExtent l="0" t="2540" r="1905" b="0"/>
              <wp:wrapNone/>
              <wp:docPr id="8"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JxQAUUmR6ijI9RRcBaKTI9RRkeoouAtFJke&#10;ooyKLgL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340&#10;/wCQVF/11H8jXSVzfjT/AJBUX/XUfyNcuN/3efodWC/3iHqcLRRRXyR9YFb+itoot/8ASwv2rJwZ&#10;c7PbpWBW/ov9i/Zv9L2/asn/AFudntXThP4nT5nLjP4XX5GjPJrHkt/ZwszAB/y64J/WuQYkuxb7&#10;2efrXYTrrJhb+zmshBjpa4HH41x7Z3Hd1zzW2O3W/wA9vkY4DZ7fLf5iVs+FnK6/AB/EGB/I1jVr&#10;+GP+Rhtv+Bf+gmufC/x4eqOnFfwJ+jPR6KKK+wPk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5vxp/yCov+uo/ka6Sub8af8gqL/rqP5GuXG/7vP0O&#10;rBf7xD1OFooor5I+sCtjTfD9xqFt9p81I4Mkbjknj2rHre0bTNRltvtUF59ngyeck9PYV0YWCnUs&#10;43OfFTcKd1Kw9F0XTWObq6nlHURgoM1gOQzsRnBPGa6241fT4oWhvWOoS4xuMATFcixBYkDAzwK1&#10;xnKrRi16L+mZYNyd5STv3f6aIStfwx/yMNt/wL/0E1kVr+GP+Rhtv+Bf+gmscL/Hh6o2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q3ZXN9C4FnJMD/&#10;AHY8n9KqVv6NrjWdt9kFmZASfni4fmt8Ok56ysYYhtQ0jc0bVtZuY8XtjbvHjlp1Cn/P4VyMgxIw&#10;wBgngV10+jHUoWn+13sHGdl2cj+dcgwwxGc4PWujGqSUU/vfU5sC4tyat6LoJWv4Y/5GG2/4F/6C&#10;ayK1/DH/ACMNt/wL/wBBNc+F/jw9UdOK/gT9Gej0UUV9gfI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zfjT/kFRf9dR/I10lc340/5BUX/XUfyNcu&#10;N/3efodWC/3iHqcLRRRXyR9YFb+ka4dOsTC9ozREnM0Zw3PvisCtyzk1S90N7C2tBJADy+OeucV0&#10;4WUozbi9bdrnNi4xlBKS0v3sTTDStTy39qXEUh/hnBYfnXPMMMQDnB61L9lnMrxeS/mICWXHIx1z&#10;UNRWqOerjZlUaahdRldBWv4Y/wCRhtv+Bf8AoJrIrX8Mf8jDbf8AAv8A0E08L/Hh6oMV/An6M9Ho&#10;oor7A+Q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m/Gn/IKi/66j+RrpK5vxp/yCov+uo/ka5cb/u8/Q6sF/vEPU4Wiiivkj6wK6ezh1K68P2o05nj&#10;MUj78Hbvycgg98VzFbmn6bfXWnrIb8W1sGIQPIQCe+K6sI3zNJN3XTT8TkxiXKm2lZ9dfwNsafeL&#10;rVvfSKqxmAC5YsACcc/0ri5tvnybPu7jj6ZroG0OZlIOtW7AjkGQ81zrLtdlyDg4yK0xjdkuW3Xe&#10;5ng0ru0r7Lawla/hj/kYbb/gX/oJrIrX8Mf8jDbf8C/9BNYYX+PD1R0Yr+BP0Z6PRRRX2B8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N+NP+QVF/&#10;11H8jXSVzfjT/kFRf9dR/I1y43/d5+h1YL/eIepwtFFFfJH1gV0draw6j4ft4p7yG3aGRvL3N1BP&#10;ORXOVozWkMOiWtwQTPO7Y54CjiujDy5eZ2uranNiY83Kr2d9C4fD9sAf+JxaH/P1rDZdrFc5wcZF&#10;dKuhaaiwWk9xIL+dNy4Hyg+lc3JGYpXjbqrFT+FXiafIl7tvncnC1edtc1/lYbWv4Y/5GG2/4F/6&#10;CayK1/DH/Iw23/Av/QTWeF/jw9UaYr+BP0Z6PRRRX2B8g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XN+NP+QVF/wBdR/I10lc340/5BUX/AF1H8jXL&#10;jf8Ad5+h1YL/AHiHqcLRRRXyR9YFb2kXgezFvcaZJeRQsWQxqSVJ6isGunsptQXw/bf2Up3LI/n7&#10;VySc8fhXXg787fl2vc5MZ8CXn3tYzpdXll137ebfLR/dj5+UAVlyOZJGdurEsfxrsUsro69Dcm2K&#10;xzQD7RxgAkc1x8yqs8ir90MQPpmnioTirye7ZOFqQk7RWyX/AAwytfwx/wAjDbf8C/8AQTWRWv4Y&#10;/wCRhtv+Bf8AoJrLC/x4eqNsV/An6M9Hooor7A+Q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ub8af8gqL/rqP5Gukrm/Gn/IKi/66j+Rrlxv+7z9DqwX+8Q9&#10;ThaKKK+SPrAro7S3tr/w9Dbz30Nu8cjMgZux9RXOVpLbacdEM5uT9tDcRfj/AIV0YZ2ctE1broc+&#10;JV1HVp36K5sabptjYXi3B1e2YoDtAbHOO/NZ19pVrDBLcLqlvK/XYnU/rWNRVSxEHDl5PxZMcPNT&#10;5+f8EFa/hj/kYbb/AIF/6CayK1/DH/Iw23/Av/QTUYX+ND1ReK/gT9Gej0UUV9gfI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c340/5BUX/XUfyNdJXN+NP+QVF/11H8jXLjf93n6HVgv94h6nC0UUV8kf&#10;WBXQ2tx/Y+hwXkFvHJPcOwaR1zsAPArnq09M1i5sFMCxpPC5z5TjIz7V0YaahJ3dvPsc+Jg5wVlf&#10;y7mpYaxPrN0tle28MsUgILKmCnHWublUJM6A5CsQDXXo+rXlu4t7CCwiYfNIeDiuPddrspOSDjNb&#10;Yu/LHmbfm1YwwduaXKkl2TuNrX8Mf8jDbf8AAv8A0E1kVr+GP+Rhtv8AgX/oJrDC/wAeHqjo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rodD1mysrU&#10;wSxGKYk/6QqhjXPVrRXaSaG9lHp5km3ZMyrnHOf/AK1dGGm4Tck9bepzYqCnBRa0v3sX7zTrrU1M&#10;ttqi3q9dhbaR+Fc2QVJB6jinIzxvlCysPTgimE55qa1SNR3tZ+pVGnKmuVu66aBWv4Y/5GG2/wCB&#10;f+gmsitfwx/yMNt/wL/0E08L/Hh6oMV/An6M9Hooor7A+Q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m/Gn/IKi/66j+RrpK5vxp/yCov+uo/ka5cb&#10;/u8/Q6sF/vEPU4Wiiivkj6wK6ayur230C2bS4wz+Ywnwm45zx+lczW/pX9vTWIj0/wCWBGPzfKMn&#10;6nrXXhJNTaV9um5yYyKcE3bR9djRjtJW8QQz/ZCsVzBmcbeFJHNclMoSeRV+6rED6Zrp5LXxTJEy&#10;PKSpHOHWuWZSrFW6g4NXjHovda1b1M8GtW+ZPRLQStfwx/yMNt/wL/0E1kVr+GP+Rhtv+Bf+gmsM&#10;L/Hh6o6MV/An6M9Hooor7A+Q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rm/Gn/ACCov+uo/ka6Sub8af8AIKi/66j+Rrlxv+7z9DqwX+8Q9ThaKKK+&#10;SPrArprWzvNS8N2yWrmMwyNkFtokBPX8K5mniaQIEEjhQcgBjit6FVU2+ZaNGFelKolyuzTubh8P&#10;6yBnzV/7/wBYLAqzBuoODTvNk/56P/31TKVWcJW5U16u46UJxvztP0VgrY8LjPiC29t3/oJrHrqP&#10;Btkz3ct4wOyNdqn1JrTBQc68Uu5GNmoUJN9jtqKKK+tPkg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n/wAgqL/rqP5GukpkkUcqgSIrgdmGaxr0&#10;/a03C+5rQqeyqKdtjySjFer/AGK1/wCfeL/vgUfYrX/n3i/74FeR/Y8v5/wPX/thfyfieUYoxXq/&#10;2K1/594v++BR9itf+feL/vgUf2PL+f8AAP7YX8n4nlGKVVZjhVJJ7AV6t9itf+feL/vgU5LeGI/J&#10;Ei/RQKFk76z/AAB5wv5PxOB0zwze3zq0qGCHuzDk/QV3lpaQ2VslvAm2NRxU9FelhsHTw693fueb&#10;icXUxD97bsFFFFdZyh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20704" behindDoc="1" locked="0" layoutInCell="1" allowOverlap="1" wp14:anchorId="4C6CA9BA" wp14:editId="7FB81869">
              <wp:simplePos x="0" y="0"/>
              <wp:positionH relativeFrom="column">
                <wp:posOffset>0</wp:posOffset>
              </wp:positionH>
              <wp:positionV relativeFrom="paragraph">
                <wp:posOffset>8498840</wp:posOffset>
              </wp:positionV>
              <wp:extent cx="7379970" cy="2181860"/>
              <wp:effectExtent l="0" t="2540" r="1905" b="0"/>
              <wp:wrapNone/>
              <wp:docPr id="9"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vtSh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cFuOevBXst7K8Foiio&#10;arAHIHG69iDB/aOx4tDBS3l0W+kldJtWxD4QOtFoFdgfBGjB0ZNTrws9/lqOp97/1B6+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ab7Uo&#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D5D80" w14:textId="46F7ACA2" w:rsidR="00EE35E3" w:rsidRPr="00690AF8" w:rsidRDefault="00EE35E3" w:rsidP="00690AF8">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852C85">
      <w:rPr>
        <w:rFonts w:ascii="Franklin Gothic Medium" w:eastAsia="Times New Roman" w:hAnsi="Franklin Gothic Medium"/>
        <w:noProof/>
        <w:sz w:val="14"/>
        <w:szCs w:val="14"/>
      </w:rPr>
      <w:t>Aid Program Performance Report 2012−13 Fiji</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852C85">
      <w:rPr>
        <w:rFonts w:ascii="Franklin Gothic Medium" w:eastAsia="Times New Roman" w:hAnsi="Franklin Gothic Medium"/>
        <w:noProof/>
        <w:sz w:val="14"/>
        <w:szCs w:val="14"/>
      </w:rPr>
      <w:t>23</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24800" behindDoc="1" locked="0" layoutInCell="1" allowOverlap="1" wp14:anchorId="413E13E7" wp14:editId="058E4FB3">
              <wp:simplePos x="0" y="0"/>
              <wp:positionH relativeFrom="column">
                <wp:posOffset>0</wp:posOffset>
              </wp:positionH>
              <wp:positionV relativeFrom="paragraph">
                <wp:posOffset>8498840</wp:posOffset>
              </wp:positionV>
              <wp:extent cx="7379970" cy="2181860"/>
              <wp:effectExtent l="0" t="2540" r="1905" b="0"/>
              <wp:wrapNone/>
              <wp:docPr id="10"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3ekBjAwAAHA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Azd3pA&#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23776" behindDoc="1" locked="0" layoutInCell="1" allowOverlap="1" wp14:anchorId="3F944425" wp14:editId="3607092C">
              <wp:simplePos x="0" y="0"/>
              <wp:positionH relativeFrom="column">
                <wp:posOffset>0</wp:posOffset>
              </wp:positionH>
              <wp:positionV relativeFrom="paragraph">
                <wp:posOffset>8498840</wp:posOffset>
              </wp:positionV>
              <wp:extent cx="7379970" cy="2181860"/>
              <wp:effectExtent l="0" t="2540" r="1905" b="0"/>
              <wp:wrapNone/>
              <wp:docPr id="12"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CcUAFFJkeooyPUUXAWikyPUUZHqKLg&#10;LRSZHqKMii4C0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N+NP8AkFRf9dR/I10lc340/wCQVF/11H8jXLjf93n6HVgv94h6nC0UUV8kfWBW/oraKLf/AEsL&#10;9qycGXOz26VgVv6L/Yv2b/S9v2rJ/wBbnZ7V04T+J0+Zy4z+F1+Rozyax5Lf2cLMwAf8uuCf1rkG&#10;JLsW+9nn612E66yYW/s5rIQY6WuBx+Nce2dx3dc81tjt1v8APb5GOA2e3y3+YlbPhZyuvwAfxBgf&#10;yNY1a/hj/kYbb/gX/oJrnwv8eHqjpxX8Cfoz0eiiivsD5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ub8af8gqL/rqP5Gukrm/Gn/IKi/66j+Rrlxv&#10;+7z9DqwX+8Q9ThaKKK+SPrArY03w/cahbfafNSODJG45J49qx63tG0zUZbb7VBefZ4MnnJPT2FdG&#10;Fgp1LONznxU3CndSsPRdF01jm6up5R1EYKDNYDkM7EZwTxmutuNX0+KFob1jqEuMbjAExXIsQWJA&#10;wM8CtcZyq0Ytei/pmWDcneUk793+miErX8Mf8jDbf8C/9BNZFa/hj/kYbb/gX/oJrHC/x4eqNsV/&#10;An6M9Hooor7A+Q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rm/Gn/IKi/66j+RrpK5vxp/yCov+uo/ka5cb/u8/Q6sF/vEPU4Wiiivkj6wKt2VzfQuB&#10;ZyTA/wB2PJ/Sqlb+ja41nbfZBZmQEn54uH5rfDpOesrGGIbUNI3NG1bWbmPF7Y27x45adQp/z+Fc&#10;jIMSMMAYJ4FddPox1KFp/td7BxnZdnI/nXIMMMRnOD1roxqklFP731ObAuLcmrei6CVr+GP+Rhtv&#10;+Bf+gmsitfwx/wAjDbf8C/8AQTXPhf48PVHTiv4E/Rno9FFFfYHy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340/5BUX/XUfyNdJXN+NP+QVF/11&#10;H8jXLjf93n6HVgv94h6nC0UUV8kfWBW/pGuHTrEwvaM0RJzNGcNz74rArcs5NUvdDewtrQSQA8vj&#10;nrnFdOFlKM24vW3a5zYuMZQSktL97E0w0rU8t/alxFIf4ZwWH51zzDDEA5wetS/ZZzK8Xkv5iAll&#10;xyMdc1DUVqjnq42ZVGmoXUZXQVr+GP8AkYbb/gX/AKCayK1/DH/Iw23/AAL/ANBNPC/x4eqDFfwJ&#10;+jPR6KKK+wPk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zfjT&#10;/kFRf9dR/I10lc340/5BUX/XUfyNcuN/3efodWC/3iHqcLRRRXyR9YFdHa2sOo+H7eKe8ht2hkby&#10;9zdQTzkVzlaM1pDDolrcEEzzu2OeAo4row8uXmdrq2pzYmPNyq9nfQuHw/bAH/icWh/z9aw2XaxX&#10;OcHGRXSroWmosFpPcSC/nTcuB8oPpXNyRmKV426qxU/hV4mnyJe7b53JwtXnbXNf5WG1r+GP+Rht&#10;v+Bf+gmsitfwx/yMNt/wL/0E1nhf48PVGmK/gT9Gej0UUV9gfI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zfjT/kFRf8AXUfyNdJXN+NP+QVF/wBd&#10;R/I1y43/AHefodWC/wB4h6nC0UUV8kfWBW9pF4Hsxb3GmSXkULFkMaklSeorBrp7KbUF8P239lKd&#10;yyP5+1cknPH4V14O/O35dr3OTGfAl597WM6XV5Zdd+3m3y0f3Y+flAFZcjmSRnbqxLH8a7FLK6Ov&#10;Q3Jtisc0A+0cYAJHNcfMqrPIq/dDED6Zp4qE4q8nu2ThakJO0Vsl/wAMMrX8Mf8AIw23/Av/AEE1&#10;kVr+GP8AkYbb/gX/AKCaywv8eHqjbFfwJ+jPR6KKK+wPk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5vxp/wAgqL/rqP5Gukrm/Gn/ACCov+uo/ka5&#10;cb/u8/Q6sF/vEPU4Wiiivkj6wK6DTLbXLjTY/sU4S3DHaN4U5zzXP1s6ZpZntDdXN79ltQ20Enlj&#10;7V04W7nZX+Tt+JzYqyhd2+av+Bfk0vxJJEyPdbkI5Hm9axf7Kuf7Ne++TykfYRnnNaj6PDcROdO1&#10;bz5VGfKJwSPasAySBDGXbbnJXPGa1xCjG3Mn99zHDOUk+Vr7rDK1/DH/ACMNt/wL/wBBNZFa/hj/&#10;AJGG2/4F/wCgmsML/Hh6o6MV/An6M9Hooor7A+Q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rm/Gn/IKi/66j+RrpK5vxp/yCov+uo/ka5cb/u8/Q6s&#10;F/vEPU4Wiiivkj6wK6O0t7a/8PQ2899DbvHIzIGbsfUVzlaS22nHRDObk/bQ3EX4/wCFdGGdnLRN&#10;W66HPiVdR1ad+iubGm6bY2F4twdXtmKA7QGxzjvzWdfaVawwS3C6pbyv12J1P61jUVUsRBw5eT8W&#10;THDzU+fn/BBWv4Y/5GG2/wCBf+gmsitfwx/yMNt/wL/0E1GF/jQ9UXiv4E/Rno9FFFfYHy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m/Gn/IKi/66j+RrpK5vxp/yCov+uo/ka5cb/u8/Q6sF/vEPU4Wiiivkj6wK6HQ9&#10;ZsrK1MEsRimJP+kKoY1z1a0V2kmhvZR6eZJt2TMq5xzn/wCtXRhpuE3JPW3qc2KgpwUWtL97F+80&#10;661NTLbaot6vXYW2kfhXNkFSQeo4pyM8b5QsrD04IphOeamtUjUd7WfqVRpyprlbuumgVr+GP+Rh&#10;tv8AgX/oJrIrX8Mf8jDbf8C/9BNPC/x4eqDFfwJ+jPR6KKK+wPk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5vxp/yCov+uo/ka6Sub8af8gqL/rqP&#10;5GuXG/7vP0OrBf7xD1OFooor5I+sCumsrq9t9Atm0uMM/mMJ8JuOc8fpXM1v6V/b01iI9P8AlgRj&#10;83yjJ+p6114STU2lfbpucmMinBN20fXY0Y7SVvEEM/2QrFcwZnG3hSRzXJTKEnkVfuqxA+ma6eS1&#10;8UyRMjykqRzh1rlmUqxVuoODV4x6L3WtW9TPBrVvmT0S0ErX8Mf8jDbf8C/9BNZFa/hj/kYbb/gX&#10;/oJrDC/x4eqOjFfwJ+jPR6KKK+wPk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5vxp/wAgqL/rqP5Gukrm/Gn/ACCov+uo/ka5cb/u8/Q6sF/vEPU4&#10;Wiiivkj6wK6a1s7zUvDdslq5jMMjZBbaJAT1/CuZp4mkCBBI4UHIAY4rehVVNvmWjRhXpSqJcrs0&#10;7m4fD+sgZ81f+/8AWCwKswbqDg07zZP+ej/99UylVnCVuVNeruOlCcb87T9FYK2PC4z4gtvbd/6C&#10;ax66jwbZM93LeMDsjXap9Sa0wUHOvFLuRjZqFCTfY7aiiivrT5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ub8Z/8AIKi/66j+RrpKZJFHKoEiK4HZ&#10;hmsa9P2tNwvua0KnsqinbY8koxXq/wBitf8An3i/74FH2K1/594v++BXkf2PL+f8D1/7YX8n4nlG&#10;KMV6v9itf+feL/vgUfYrX/n3i/74FH9jy/n/AAD+2F/J+J5RilVWY4VSSewFerfYrX/n3i/74FOS&#10;3hiPyRIv0UChZO+s/wAAecL+T8TgdM8M3t86tKhgh7sw5P0Fd5aWkNlbJbwJtjUcVPRXpYbB08Ov&#10;d37nm4nF1MQ/e27BRRRXWco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" stroked="f" strokecolor="#4a7ebb" strokeweight="1.5pt">
              <v:fill r:id="rId2" o:title=" AusAID web address graphic" recolor="t" type="frame"/>
              <v:shadow opacity="22938f" offset="0"/>
              <v:textbox inset=",7.2pt,,7.2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D5D83" w14:textId="4D7B3BA0" w:rsidR="00EE35E3" w:rsidRPr="00690AF8" w:rsidRDefault="00EE35E3" w:rsidP="00690AF8">
    <w:pPr>
      <w:pStyle w:val="Footer"/>
      <w:tabs>
        <w:tab w:val="clear" w:pos="4513"/>
        <w:tab w:val="clear" w:pos="9026"/>
        <w:tab w:val="right" w:pos="13608"/>
      </w:tabs>
    </w:pP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STYLEREF  Title </w:instrText>
    </w:r>
    <w:r w:rsidRPr="005C0FD5">
      <w:rPr>
        <w:rFonts w:ascii="Franklin Gothic Medium" w:eastAsia="Times New Roman" w:hAnsi="Franklin Gothic Medium"/>
        <w:sz w:val="14"/>
        <w:szCs w:val="14"/>
      </w:rPr>
      <w:fldChar w:fldCharType="separate"/>
    </w:r>
    <w:r w:rsidR="00852C85">
      <w:rPr>
        <w:rFonts w:ascii="Franklin Gothic Medium" w:eastAsia="Times New Roman" w:hAnsi="Franklin Gothic Medium"/>
        <w:noProof/>
        <w:sz w:val="14"/>
        <w:szCs w:val="14"/>
      </w:rPr>
      <w:t>Aid Program Performance Report 2012−13 Fiji</w:t>
    </w:r>
    <w:r w:rsidRPr="005C0FD5">
      <w:rPr>
        <w:rFonts w:ascii="Franklin Gothic Medium" w:eastAsia="Times New Roman" w:hAnsi="Franklin Gothic Medium"/>
        <w:sz w:val="14"/>
        <w:szCs w:val="14"/>
      </w:rPr>
      <w:fldChar w:fldCharType="end"/>
    </w:r>
    <w:r w:rsidRPr="005C0FD5">
      <w:rPr>
        <w:rFonts w:ascii="Franklin Gothic Medium" w:eastAsia="Times New Roman" w:hAnsi="Franklin Gothic Medium"/>
        <w:sz w:val="14"/>
        <w:szCs w:val="14"/>
      </w:rPr>
      <w:tab/>
    </w:r>
    <w:r w:rsidRPr="005C0FD5">
      <w:rPr>
        <w:rFonts w:ascii="Franklin Gothic Medium" w:eastAsia="Times New Roman" w:hAnsi="Franklin Gothic Medium"/>
        <w:sz w:val="14"/>
        <w:szCs w:val="14"/>
      </w:rPr>
      <w:fldChar w:fldCharType="begin"/>
    </w:r>
    <w:r w:rsidRPr="005C0FD5">
      <w:rPr>
        <w:rFonts w:ascii="Franklin Gothic Medium" w:eastAsia="Times New Roman" w:hAnsi="Franklin Gothic Medium"/>
        <w:sz w:val="14"/>
        <w:szCs w:val="14"/>
      </w:rPr>
      <w:instrText xml:space="preserve"> PAGE </w:instrText>
    </w:r>
    <w:r w:rsidRPr="005C0FD5">
      <w:rPr>
        <w:rFonts w:ascii="Franklin Gothic Medium" w:eastAsia="Times New Roman" w:hAnsi="Franklin Gothic Medium"/>
        <w:sz w:val="14"/>
        <w:szCs w:val="14"/>
      </w:rPr>
      <w:fldChar w:fldCharType="separate"/>
    </w:r>
    <w:r w:rsidR="00852C85">
      <w:rPr>
        <w:rFonts w:ascii="Franklin Gothic Medium" w:eastAsia="Times New Roman" w:hAnsi="Franklin Gothic Medium"/>
        <w:noProof/>
        <w:sz w:val="14"/>
        <w:szCs w:val="14"/>
      </w:rPr>
      <w:t>25</w:t>
    </w:r>
    <w:r w:rsidRPr="005C0FD5">
      <w:rPr>
        <w:rFonts w:ascii="Franklin Gothic Medium" w:eastAsia="Times New Roman" w:hAnsi="Franklin Gothic Medium"/>
        <w:sz w:val="14"/>
        <w:szCs w:val="14"/>
      </w:rPr>
      <w:fldChar w:fldCharType="end"/>
    </w:r>
    <w:r w:rsidRPr="005C0FD5">
      <w:rPr>
        <w:noProof/>
      </w:rPr>
      <mc:AlternateContent>
        <mc:Choice Requires="wps">
          <w:drawing>
            <wp:anchor distT="0" distB="0" distL="114300" distR="114300" simplePos="0" relativeHeight="251718656" behindDoc="1" locked="0" layoutInCell="1" allowOverlap="1" wp14:anchorId="46CB2AF3" wp14:editId="7B3B8C8F">
              <wp:simplePos x="0" y="0"/>
              <wp:positionH relativeFrom="column">
                <wp:posOffset>0</wp:posOffset>
              </wp:positionH>
              <wp:positionV relativeFrom="paragraph">
                <wp:posOffset>8498840</wp:posOffset>
              </wp:positionV>
              <wp:extent cx="7379970" cy="2181860"/>
              <wp:effectExtent l="0" t="2540" r="1905" b="0"/>
              <wp:wrapNone/>
              <wp:docPr id="3" name="Rectangle 9"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alt="Description: 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oRcVjAwAAGw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yKEXF&#10;YwMAABs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r w:rsidRPr="005C0FD5">
      <w:rPr>
        <w:noProof/>
      </w:rPr>
      <mc:AlternateContent>
        <mc:Choice Requires="wps">
          <w:drawing>
            <wp:anchor distT="0" distB="0" distL="114300" distR="114300" simplePos="0" relativeHeight="251717632" behindDoc="1" locked="0" layoutInCell="1" allowOverlap="1" wp14:anchorId="368C3373" wp14:editId="3B9E9307">
              <wp:simplePos x="0" y="0"/>
              <wp:positionH relativeFrom="column">
                <wp:posOffset>0</wp:posOffset>
              </wp:positionH>
              <wp:positionV relativeFrom="paragraph">
                <wp:posOffset>8498840</wp:posOffset>
              </wp:positionV>
              <wp:extent cx="7379970" cy="2181860"/>
              <wp:effectExtent l="0" t="2540" r="1905" b="0"/>
              <wp:wrapNone/>
              <wp:docPr id="4" name="Rectangle 10" descr="Description: 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Description: AusAID web address graphic" style="position:absolute;margin-left:0;margin-top:669.2pt;width:581.1pt;height:171.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JxQAUUmR6ijI9RRcBaKTI9RRkeoouAt&#10;FJkeooyKLgL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340/wCQVF/11H8jXSVzfjT/AJBUX/XUfyNcuN/3efodWC/3iHqcLRRRXyR9YFb+itoot/8ASwv2&#10;rJwZc7PbpWBW/ov9i/Zv9L2/asn/AFudntXThP4nT5nLjP4XX5GjPJrHkt/ZwszAB/y64J/WuQYk&#10;uxb72efrXYTrrJhb+zmshBjpa4HH41x7Z3Hd1zzW2O3W/wA9vkY4DZ7fLf5iVs+FnK6/AB/EGB/I&#10;1jVr+GP+Rhtv+Bf+gmufC/x4eqOnFfwJ+jPR6KKK+wPk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5vxp/yCov+uo/ka6Sub8af8gqL/rqP5GuXG/7&#10;vP0OrBf7xD1OFooor5I+sCtjTfD9xqFt9p81I4Mkbjknj2rHre0bTNRltvtUF59ngyeck9PYV0YW&#10;CnUs43OfFTcKd1Kw9F0XTWObq6nlHURgoM1gOQzsRnBPGa6241fT4oWhvWOoS4xuMATFcixBYkDA&#10;zwK1xnKrRi16L+mZYNyd5STv3f6aIStfwx/yMNt/wL/0E1kVr+GP+Rhtv+Bf+gmscL/Hh6o2xX8C&#10;foz0eiiivsD5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ub8af8gqL/rqP5Gukrm/Gn/IKi/66j+Rrlxv+7z9DqwX+8Q9ThaKKK+SPrAq3ZXN9C4Fn&#10;JMD/AHY8n9KqVv6NrjWdt9kFmZASfni4fmt8Ok56ysYYhtQ0jc0bVtZuY8XtjbvHjlp1Cn/P4VyM&#10;gxIwwBgngV10+jHUoWn+13sHGdl2cj+dcgwwxGc4PWujGqSUU/vfU5sC4tyat6LoJWv4Y/5GG2/4&#10;F/6CayK1/DH/ACMNt/wL/wBBNc+F/jw9UdOK/gT9Gej0UUV9gfI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zfjT/kFRf9dR/I10lc340/5BUX/XUf&#10;yNcuN/3efodWC/3iHqcLRRRXyR9YFb+ka4dOsTC9ozREnM0Zw3PvisCtyzk1S90N7C2tBJADy+Oe&#10;ucV04WUozbi9bdrnNi4xlBKS0v3sTTDStTy39qXEUh/hnBYfnXPMMMQDnB61L9lnMrxeS/mICWXH&#10;Ix1zUNRWqOerjZlUaahdRldBWv4Y/wCRhtv+Bf8AoJrIrX8Mf8jDbf8AAv8A0E08L/Hh6oMV/An6&#10;M9Hooor7A+Q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m/Gn/IKi/66j+RrpK5vxp/yCov+uo/ka5cb/u8/Q6sF/vEPU4Wiiivkj6wK6ezh1K68P2o&#10;05njMUj78Hbvycgg98VzFbmn6bfXWnrIb8W1sGIQPIQCe+K6sI3zNJN3XTT8TkxiXKm2lZ9dfwNs&#10;afeLrVvfSKqxmAC5YsACcc/0ri5tvnybPu7jj6ZroG0OZlIOtW7AjkGQ81zrLtdlyDg4yK0xjdku&#10;W3Xe5ng0ru0r7Lawla/hj/kYbb/gX/oJrIrX8Mf8jDbf8C/9BNYYX+PD1R0Yr+BP0Z6PRRRX2B8g&#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N+NP+&#10;QVF/11H8jXSVzfjT/kFRf9dR/I1y43/d5+h1YL/eIepwtFFFfJH1gV0draw6j4ft4p7yG3aGRvL3&#10;N1BPORXOVozWkMOiWtwQTPO7Y54CjiujDy5eZ2uranNiY83Kr2d9C4fD9sAf+JxaH/P1rDZdrFc5&#10;wcZFdKuhaaiwWk9xIL+dNy4Hyg+lc3JGYpXjbqrFT+FXiafIl7tvncnC1edtc1/lYbWv4Y/5GG2/&#10;4F/6CayK1/DH/Iw23/Av/QTWeF/jw9UaYr+BP0Z6PRRRX2B8g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N+NP+QVF/wBdR/I10lc340/5BUX/AF1H&#10;8jXLjf8Ad5+h1YL/AHiHqcLRRRXyR9YFb2kXgezFvcaZJeRQsWQxqSVJ6isGunsptQXw/bf2Up3L&#10;I/n7VySc8fhXXg787fl2vc5MZ8CXn3tYzpdXll137ebfLR/dj5+UAVlyOZJGdurEsfxrsUsro69D&#10;cm2KxzQD7RxgAkc1x8yqs8ir90MQPpmnioTirye7ZOFqQk7RWyX/AAwytfwx/wAjDbf8C/8AQTWR&#10;Wv4Y/wCRhtv+Bf8AoJrLC/x4eqNsV/An6M9Hooor7A+Q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m/Gn/ACCov+uo/ka6Sub8af8AIKi/66j+Rrlx&#10;v+7z9DqwX+8Q9ThaKKK+SPrAroNMttcuNNj+xThLcMdo3hTnPNc/Wzpmlme0N1c3v2W1DbQSeWPt&#10;XThbudlf5O34nNirKF3b5q/4F+TS/EkkTI91uQjkeb1rF/sq5/s1775PKR9hGec1qPo8NxE507Vv&#10;PlUZ8onBI9qwDJIEMZdtuclc8ZrXEKMbcyf33McM5ST5WvusMrX8Mf8AIw23/Av/AEE1kVr+GP8A&#10;kYbb/gX/AKCawwv8eHqjo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o7S3tr/w9Dbz30Nu8cjMgZux9RXOVpLbacdEM5uT9tDcRfj/AIV0YZ2ctE1b&#10;roc+JV1HVp36K5sabptjYXi3B1e2YoDtAbHOO/NZ19pVrDBLcLqlvK/XYnU/rWNRVSxEHDl5PxZM&#10;cPNT5+f8EFa/hj/kYbb/AIF/6CayK1/DH/Iw23/Av/QTUYX+ND1Re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aOi2kN3qAFwCYY0aRwO4HatG1tdL1J&#10;bm5eJrWPckUaqchWOeTWVpV8NPvlmZN6EFXX1Bq/fajY/YRZ6XBKoaQSOX65HTFd1CVNU7ytpfTq&#10;+xwYiNV1LRvrbXou5dFjorXZ0kQy/aQNv2jcfvY9M1zEiGOR0PVSRXU2uvWzXMcl1YpDcsMNcEY7&#10;da5aQ7pGOc5JOfWli/ZuKcbddlbTzHhPaKTU79N3fXyG1r+GP+Rhtv8AgX/oJrIrX8Mf8jDbf8C/&#10;9BNY4X+PD1Rviv4E/Rno9FFFfYHy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ub8af8gqL/rqP5Gukrm/Gn/IKi/66j+Rrlxv+7z9DqwX+8Q9ThaKKK+SPrArodD1m&#10;ysrUwSxGKYk/6QqhjXPVrRXaSaG9lHp5km3ZMyrnHOf/AK1dGGm4Tck9bepzYqCnBRa0v3sX7zTr&#10;rU1Mttqi3q9dhbaR+Fc2QVJB6jinIzxvlCysPTgimE55qa1SNR3tZ+pVGnKmuVu66aBWv4Y/5GG2&#10;/wCBf+gmsitfwx/yMNt/wL/0E08L/Hh6oMV/An6M9Hooor7A+Q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m/Gn/IKi/66j+RrpK5vxp/yCov+uo/k&#10;a5cb/u8/Q6sF/vEPU4Wiiivkj6wK6ayur230C2bS4wz+Ywnwm45zx+lczW/pX9vTWIj0/wCWBGPz&#10;fKMn6nrXXhJNTaV9um5yYyKcE3bR9djRjtJW8QQz/ZCsVzBmcbeFJHNclMoSeRV+6rED6Zrp5LXx&#10;TJEyPKSpHOHWuWZSrFW6g4NXjHovda1b1M8GtW+ZPRLQStfwx/yMNt/wL/0E1kVr+GP+Rhtv+Bf+&#10;gmsML/Hh6o6MV/An6M9Hooor7A+Q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rm/Gn/ACCov+uo/ka6Sub8af8AIKi/66j+Rrlxv+7z9DqwX+8Q9Tha&#10;KKK+SPrArprWzvNS8N2yWrmMwyNkFtokBPX8K5mniaQIEEjhQcgBjit6FVU2+ZaNGFelKolyuzTu&#10;bh8P6yBnzV/7/wBYLAqzBuoODTvNk/56P/31TKVWcJW5U16u46UJxvztP0VgrY8LjPiC29t3/oJr&#10;HrqPBtkz3ct4wOyNdqn1JrTBQc68Uu5GNmoUJN9jtqKKK+tPk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n/wAgqL/rqP5GukpkkUcqgSIrgdmG&#10;axr0/a03C+5rQqeyqKdtjySjFer/AGK1/wCfeL/vgUfYrX/n3i/74FeR/Y8v5/wPX/thfyfieUYo&#10;xXq/2K1/594v++BR9itf+feL/vgUf2PL+f8AAP7YX8n4nlGKVVZjhVJJ7AV6t9itf+feL/vgU5Le&#10;GI/JEi/RQKFk76z/AAB5wv5PxOB0zwze3zq0qGCHuzDk/QV3lpaQ2VslvAm2NRxU9FelhsHTw693&#10;fuebicXUxD97bsFFFFdZy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" stroked="f" strokecolor="#4a7ebb" strokeweight="1.5pt">
              <v:fill r:id="rId2" o:title=" AusAID web address graphic" recolor="t" type="frame"/>
              <v:shadow opacity="22938f" offset="0"/>
              <v:textbox inset=",7.2pt,,7.2pt"/>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D5D85" w14:textId="77777777" w:rsidR="00EE35E3" w:rsidRPr="004C4A3E" w:rsidRDefault="00EE35E3" w:rsidP="00593776">
    <w:pPr>
      <w:tabs>
        <w:tab w:val="left" w:pos="0"/>
        <w:tab w:val="left" w:pos="13325"/>
      </w:tabs>
      <w:spacing w:line="180" w:lineRule="exact"/>
      <w:ind w:right="-1136"/>
      <w:rPr>
        <w:rFonts w:ascii="Franklin Gothic Medium" w:eastAsia="Times New Roman" w:hAnsi="Franklin Gothic Medium"/>
        <w:color w:val="5A9A98"/>
        <w:sz w:val="14"/>
        <w:szCs w:val="14"/>
      </w:rPr>
    </w:pPr>
    <w:r>
      <w:rPr>
        <w:noProof/>
      </w:rPr>
      <mc:AlternateContent>
        <mc:Choice Requires="wps">
          <w:drawing>
            <wp:anchor distT="0" distB="0" distL="114300" distR="114300" simplePos="0" relativeHeight="251676672" behindDoc="1" locked="1" layoutInCell="1" allowOverlap="1" wp14:anchorId="3DDD5DAC" wp14:editId="3DDD5DAD">
              <wp:simplePos x="0" y="0"/>
              <wp:positionH relativeFrom="page">
                <wp:posOffset>0</wp:posOffset>
              </wp:positionH>
              <wp:positionV relativeFrom="page">
                <wp:posOffset>8533130</wp:posOffset>
              </wp:positionV>
              <wp:extent cx="7379970" cy="2181860"/>
              <wp:effectExtent l="0" t="0" r="1905" b="635"/>
              <wp:wrapNone/>
              <wp:docPr id="27" name="Rectangle 16"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alt="Description: AusAID web address graphic" style="position:absolute;margin-left:0;margin-top:671.9pt;width:581.1pt;height:171.8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6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CcUAFFJkeooyPUUXAWikyPUUZHqKLgLRSZHqKM&#10;ii4C0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zvjCR49LiKMynzRyDjsa6Kub8af8gqL/rqP5GuXGu2HlbsdODV8RC/c4v7Vcf8APeX/&#10;AL7NH2q4/wCe8v8A32ahor5Tnl3Pq+SPYm+1XH/PeX/vs0farj/nvL/32ahoo55dw5Idib7Vcf8A&#10;PeX/AL7NOjvruJtyXMyn2c1FHDJM22ONnPoozTCMHBp881rdi5Kb0sjpNL8W3MDrHenzojxu/iH+&#10;NdtDMk8SyxsGRhkEd68lrsPBl+zCWxc5CjfH/UV6+XY2bn7Ko732PIzHBQUPa01a2511FFFe6eG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XN+NP8A&#10;kFRf9dR/I10lc340/wCQVF/11H8jXLjf93n6HVgv94h6nC0UUV8kfWBW/oraKLf/AEsL9qycGXOz&#10;26VgVv6L/Yv2b/S9v2rJ/wBbnZ7V04T+J0+Zy4z+F1+Rozyax5Lf2cLMwAf8uuCf1rkGJLsW+9nn&#10;612E66yYW/s5rIQY6WuBx+Nce2dx3dc81tjt1v8APb5GOA2e3y3+YlbPhZyuvwAfxBgfyNY1a/hj&#10;/kYbb/gX/oJrnwv8eHqjpxX8Cfoz0eiiivsD5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rm/Gn/IKi/66j+RrpK5vxp/yCov+uo/ka5cb/u8/Q6sF/vEPU4Wiiivkj6wKt2VzfQuBZyTA/wB2&#10;PJ/Sqlb+ja41nbfZBZmQEn54uH5rfDpOesrGGIbUNI3NG1bWbmPF7Y27x45adQp/z+FcjIMSMMAY&#10;J4FddPox1KFp/td7BxnZdnI/nXIMMMRnOD1roxqklFP731ObAuLcmrei6CVr+GP+Rhtv+Bf+gmsi&#10;tfwx/wAjDbf8C/8AQTXPhf48PVHTiv4E/Rno9FFFfYHy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c340/5BUX/XUfyNdJXN+NP+QVF/11H8jXLjf9&#10;3n6HVgv94h6nC0UUV8kfWBW/pGuHTrEwvaM0RJzNGcNz74rArcs5NUvdDewtrQSQA8vjnrnFdOFl&#10;KM24vW3a5zYuMZQSktL97E0w0rU8t/alxFIf4ZwWH51zzDDEA5wetS/ZZzK8Xkv5iAllxyMdc1DU&#10;Vqjnq42ZVGmoXUZXQVr+GP8AkYbb/gX/AKCayK1/DH/Iw23/AAL/ANBNPC/x4eqDFfwJ+jPR6KKK&#10;+wPk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5&#10;vxp/yCov+uo/ka6Sub8af8gqL/rqP5GuXG/7vP0OrBf7xD1OFooor5I+sCuns4dSuvD9qNOZ4zFI&#10;+/B278nIIPfFcxW5p+m311p6yG/FtbBiEDyEAnviurCN8zSTd100/E5MYlyptpWfXX8DbGn3i61b&#10;30iqsZgAuWLAAnHP9K4ubb58mz7u44+ma6BtDmZSDrVuwI5BkPNc6y7XZcg4OMitMY3ZLlt13uZ4&#10;NK7tK+y2sJWv4Y/5GG2/4F/6CayK1/DH/Iw23/Av/QTWGF/jw9UdGK/gT9Gej0UUV9gfI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zfjT/kFRf9dR&#10;/I10lc340/5BUX/XUfyNcuN/3efodWC/3iHqcLRRRXyR9YFdHa2sOo+H7eKe8ht2hkby9zdQTzkV&#10;zlaM1pDDolrcEEzzu2OeAo4row8uXmdrq2pzYmPNyq9nfQuHw/bAH/icWh/z9aw2XaxXOcHGRXSr&#10;oWmosFpPcSC/nTcuB8oPpXNyRmKV426qxU/hV4mnyJe7b53JwtXnbXNf5WG1r+GP+Rhtv+Bf+gms&#10;itfwx/yMNt/wL/0E1nhf48PVGmK/gT9Gej0UUV9gfI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fjT/kFRf8AXUfyNdJXN+NP+QVF/wBdR/I1y43/&#10;AHefodWC/wB4h6nC0UUV8kfWBW9pF4Hsxb3GmSXkULFkMaklSeorBrp7KbUF8P239lKdyyP5+1ck&#10;nPH4V14O/O35dr3OTGfAl597WM6XV5Zdd+3m3y0f3Y+flAFZcjmSRnbqxLH8a7FLK6OvQ3Jtisc0&#10;A+0cYAJHNcfMqrPIq/dDED6Zp4qE4q8nu2ThakJO0Vsl/wAMMrX8Mf8AIw23/Av/AEE1kVr+GP8A&#10;kYbb/gX/AKCaywv8eHqjbFfwJ+jPR6KKK+wPk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m/Gn/IKi/66j+RrpK5vxp/yCov+uo/ka5cb/u8/Q6sF/vEPU4W&#10;iiivkj6wK6O0t7a/8PQ2899DbvHIzIGbsfUVzlaS22nHRDObk/bQ3EX4/wCFdGGdnLRNW66HPiVd&#10;R1ad+iubGm6bY2F4twdXtmKA7QGxzjvzWdfaVawwS3C6pbyv12J1P61jUVUsRBw5eT8WTHDzU+fn&#10;/BBWv4Y/5GG2/wCBf+gmsitfwx/yMNt/wL/0E1GF/jQ9UXiv4E/Rno9FFFfYHy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m/Gn/IKi/66j+RrpK5vxp/yCov+uo/ka5cb/u8/Q6sF/vEPU4Wiiivkj6wK6HQ9ZsrK1MEs&#10;RimJP+kKoY1z1a0V2kmhvZR6eZJt2TMq5xzn/wCtXRhpuE3JPW3qc2KgpwUWtL97F+80661NTLba&#10;ot6vXYW2kfhXNkFSQeo4pyM8b5QsrD04IphOeamtUjUd7WfqVRpyprlbuumgVr+GP+Rhtv8AgX/o&#10;JrIrX8Mf8jDbf8C/9BNPC/x4eqDFfwJ+jPR6KKK+wPk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5vxp/yCov+uo/ka6Sub8af8gqL/rqP5GuXG/7v&#10;P0OrBf7xD1OFooor5I+sCumsrq9t9Atm0uMM/mMJ8JuOc8fpXM1v6V/b01iI9P8AlgRj83yjJ+p6&#10;114STU2lfbpucmMinBN20fXY0Y7SVvEEM/2QrFcwZnG3hSRzXJTKEnkVfuqxA+ma6eS18UyRMjyk&#10;qRzh1rlmUqxVuoODV4x6L3WtW9TPBrVvmT0S0ErX8Mf8jDbf8C/9BNZFa/hj/kYbb/gX/oJrDC/x&#10;4eqOjFfwJ+jPR6KKK+wPk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5vxp/wAgqL/rqP5Gukrm/Gn/ACCov+uo/ka5cb/u8/Q6sF/vEPU4Wiiivkj6&#10;wK6a1s7zUvDdslq5jMMjZBbaJAT1/CuZp4mkCBBI4UHIAY4rehVVNvmWjRhXpSqJcrs07m4fD+sg&#10;Z81f+/8AWCwKswbqDg07zZP+ej/99UylVnCVuVNeruOlCcb87T9FYK2PC4z4gtvbd/6Cax66jwbZ&#10;M93LeMDsjXap9Sa0wUHOvFLuRjZqFCTfY7aiiivrT5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ub8Z/8AIKi/66j+RrpKZJFHKoEiK4HZhmsa9P2t&#10;Nwvua0KnsqinbY8koxXq/wBitf8An3i/74FH2K1/594v++BXkf2PL+f8D1/7YX8n4nlGKMV6v9it&#10;f+feL/vgUfYrX/n3i/74FH9jy/n/AAD+2F/J+J5RilVWY4VSSewFerfYrX/n3i/74FOS3hiPyRIv&#10;0UChZO+s/wAAecL+T8TgdM8M3t86tKhgh7sw5P0Fd5aWkNlbJbwJtjUcVPRXpYbB08Ovd37nm4nF&#10;1MQ/e27BRRRXWco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eastAsia="Times New Roman" w:hAnsi="Franklin Gothic Medium"/>
        <w:color w:val="5A9A98"/>
        <w:sz w:val="14"/>
        <w:szCs w:val="14"/>
      </w:rPr>
      <w:fldChar w:fldCharType="begin"/>
    </w:r>
    <w:r>
      <w:rPr>
        <w:rFonts w:ascii="Franklin Gothic Medium" w:eastAsia="Times New Roman" w:hAnsi="Franklin Gothic Medium"/>
        <w:color w:val="5A9A98"/>
        <w:sz w:val="14"/>
        <w:szCs w:val="14"/>
      </w:rPr>
      <w:instrText xml:space="preserve"> STYLEREF  Title </w:instrText>
    </w:r>
    <w:r>
      <w:rPr>
        <w:rFonts w:ascii="Franklin Gothic Medium" w:eastAsia="Times New Roman" w:hAnsi="Franklin Gothic Medium"/>
        <w:color w:val="5A9A98"/>
        <w:sz w:val="14"/>
        <w:szCs w:val="14"/>
      </w:rPr>
      <w:fldChar w:fldCharType="separate"/>
    </w:r>
    <w:r>
      <w:rPr>
        <w:rFonts w:ascii="Franklin Gothic Medium" w:eastAsia="Times New Roman" w:hAnsi="Franklin Gothic Medium"/>
        <w:noProof/>
        <w:color w:val="5A9A98"/>
        <w:sz w:val="14"/>
        <w:szCs w:val="14"/>
      </w:rPr>
      <w:t>Fiji Annual Program Performance Report 2012–13</w:t>
    </w:r>
    <w:r>
      <w:rPr>
        <w:rFonts w:ascii="Franklin Gothic Medium" w:eastAsia="Times New Roman" w:hAnsi="Franklin Gothic Medium"/>
        <w:color w:val="5A9A98"/>
        <w:sz w:val="14"/>
        <w:szCs w:val="14"/>
      </w:rPr>
      <w:fldChar w:fldCharType="end"/>
    </w:r>
    <w:r>
      <w:rPr>
        <w:rFonts w:ascii="Franklin Gothic Medium" w:eastAsia="Times New Roman" w:hAnsi="Franklin Gothic Medium"/>
        <w:color w:val="5A9A98"/>
        <w:sz w:val="14"/>
        <w:szCs w:val="14"/>
      </w:rPr>
      <w:tab/>
    </w:r>
    <w:r w:rsidRPr="0050529F">
      <w:rPr>
        <w:rFonts w:ascii="Franklin Gothic Medium" w:eastAsia="Times New Roman" w:hAnsi="Franklin Gothic Medium"/>
        <w:color w:val="54534A"/>
        <w:sz w:val="14"/>
        <w:szCs w:val="14"/>
      </w:rPr>
      <w:fldChar w:fldCharType="begin"/>
    </w:r>
    <w:r w:rsidRPr="0050529F">
      <w:rPr>
        <w:rFonts w:ascii="Franklin Gothic Medium" w:eastAsia="Times New Roman" w:hAnsi="Franklin Gothic Medium"/>
        <w:color w:val="54534A"/>
        <w:sz w:val="14"/>
        <w:szCs w:val="14"/>
      </w:rPr>
      <w:instrText xml:space="preserve"> PAGE </w:instrText>
    </w:r>
    <w:r w:rsidRPr="0050529F">
      <w:rPr>
        <w:rFonts w:ascii="Franklin Gothic Medium" w:eastAsia="Times New Roman" w:hAnsi="Franklin Gothic Medium"/>
        <w:color w:val="54534A"/>
        <w:sz w:val="14"/>
        <w:szCs w:val="14"/>
      </w:rPr>
      <w:fldChar w:fldCharType="separate"/>
    </w:r>
    <w:r>
      <w:rPr>
        <w:rFonts w:ascii="Franklin Gothic Medium" w:eastAsia="Times New Roman" w:hAnsi="Franklin Gothic Medium"/>
        <w:noProof/>
        <w:color w:val="54534A"/>
        <w:sz w:val="14"/>
        <w:szCs w:val="14"/>
      </w:rPr>
      <w:t>25</w:t>
    </w:r>
    <w:r w:rsidRPr="0050529F">
      <w:rPr>
        <w:rFonts w:ascii="Franklin Gothic Medium" w:eastAsia="Times New Roman" w:hAnsi="Franklin Gothic Medium"/>
        <w:color w:val="54534A"/>
        <w:sz w:val="14"/>
        <w:szCs w:val="14"/>
      </w:rPr>
      <w:fldChar w:fldCharType="end"/>
    </w:r>
    <w:r>
      <w:rPr>
        <w:noProof/>
      </w:rPr>
      <mc:AlternateContent>
        <mc:Choice Requires="wps">
          <w:drawing>
            <wp:anchor distT="0" distB="0" distL="114300" distR="114300" simplePos="0" relativeHeight="251675648" behindDoc="1" locked="0" layoutInCell="1" allowOverlap="1" wp14:anchorId="3DDD5DAE" wp14:editId="3DDD5DAF">
              <wp:simplePos x="0" y="0"/>
              <wp:positionH relativeFrom="column">
                <wp:posOffset>0</wp:posOffset>
              </wp:positionH>
              <wp:positionV relativeFrom="paragraph">
                <wp:posOffset>8498840</wp:posOffset>
              </wp:positionV>
              <wp:extent cx="7379970" cy="2181860"/>
              <wp:effectExtent l="0" t="2540" r="1905" b="0"/>
              <wp:wrapNone/>
              <wp:docPr id="28" name="Rectangle 17"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alt="Description: AusAID web address graphic" style="position:absolute;margin-left:0;margin-top:669.2pt;width:581.1pt;height:17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BOGg8lXQMAABAH&#10;AAAOAAAAAAAAAAAAAAAAADwCAABkcnMvZTJvRG9jLnhtbFBLAQItABQABgAIAAAAIQBYYLMbugAA&#10;ACIBAAAZAAAAAAAAAAAAAAAAAMUFAABkcnMvX3JlbHMvZTJvRG9jLnhtbC5yZWxzUEsBAi0AFAAG&#10;AAgAAAAhAJmegOT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674624" behindDoc="1" locked="0" layoutInCell="1" allowOverlap="1" wp14:anchorId="3DDD5DB0" wp14:editId="3DDD5DB1">
              <wp:simplePos x="0" y="0"/>
              <wp:positionH relativeFrom="column">
                <wp:posOffset>0</wp:posOffset>
              </wp:positionH>
              <wp:positionV relativeFrom="paragraph">
                <wp:posOffset>8498840</wp:posOffset>
              </wp:positionV>
              <wp:extent cx="7379970" cy="2181860"/>
              <wp:effectExtent l="0" t="2540" r="1905" b="0"/>
              <wp:wrapNone/>
              <wp:docPr id="29" name="Rectangle 18"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alt="Description: AusAID web address graphic" style="position:absolute;margin-left:0;margin-top:669.2pt;width:581.1pt;height:17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JxQAUUmR6ijI9RRcBaKTI9RRkeoouAtFJkeooyK&#10;LgL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O+MJHj0uIozKfNHIOOxroq5vxp/yCov+uo/ka5ca7YeVux04NXxEL9zi/tVx/wA95f8A&#10;vs0farj/AJ7y/wDfZqGivlOeXc+r5I9ib7Vcf895f++zR9quP+e8v/fZqGijnl3Dkh2JvtVx/wA9&#10;5f8Avs06O+u4m3JczKfZzUUcMkzbY42c+ijNMIwcGnzzWt2LkpvSyOk0vxbcwOsd6fOiPG7+If41&#10;20MyTxLLGwZGGQR3ryWuw8GX7MJbFzkKN8f9RXr5djZufsqjvfY8jMcFBQ9rTVrbnXUUUV7p4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c340/wCQ&#10;VF/11H8jXSVzfjT/AJBUX/XUfyNcuN/3efodWC/3iHqcLRRRXyR9YFb+itoot/8ASwv2rJwZc7Pb&#10;pWBW/ov9i/Zv9L2/asn/AFudntXThP4nT5nLjP4XX5GjPJrHkt/ZwszAB/y64J/WuQYkuxb72efr&#10;XYTrrJhb+zmshBjpa4HH41x7Z3Hd1zzW2O3W/wA9vkY4DZ7fLf5iVs+FnK6/AB/EGB/I1jVr+GP+&#10;Rhtv+Bf+gmufC/x4eqOnFfwJ+jPR6KKK+wPk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u&#10;b8af8gqL/rqP5Gukrm/Gn/IKi/66j+Rrlxv+7z9DqwX+8Q9ThaKKK+SPrAq3ZXN9C4FnJMD/AHY8&#10;n9KqVv6NrjWdt9kFmZASfni4fmt8Ok56ysYYhtQ0jc0bVtZuY8XtjbvHjlp1Cn/P4VyMgxIwwBgn&#10;gV10+jHUoWn+13sHGdl2cj+dcgwwxGc4PWujGqSUU/vfU5sC4tyat6LoJWv4Y/5GG2/4F/6CayK1&#10;/DH/ACMNt/wL/wBBNc+F/jw9UdOK/gT9Gej0UUV9gfI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zfjT/kFRf9dR/I10lc340/5BUX/XUfyNcuN/3e&#10;fodWC/3iHqcLRRRXyR9YFb+ka4dOsTC9ozREnM0Zw3PvisCtyzk1S90N7C2tBJADy+OeucV04WUo&#10;zbi9bdrnNi4xlBKS0v3sTTDStTy39qXEUh/hnBYfnXPMMMQDnB61L9lnMrxeS/mICWXHIx1zUNRW&#10;qOerjZlUaahdRldBWv4Y/wCRhtv+Bf8AoJrIrX8Mf8jDbf8AAv8A0E08L/Hh6oMV/An6M9Hooor7&#10;A+Q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m/&#10;Gn/IKi/66j+RrpK5vxp/yCov+uo/ka5cb/u8/Q6sF/vEPU4Wiiivkj6wK6ezh1K68P2o05njMUj7&#10;8Hbvycgg98VzFbmn6bfXWnrIb8W1sGIQPIQCe+K6sI3zNJN3XTT8TkxiXKm2lZ9dfwNsafeLrVvf&#10;SKqxmAC5YsACcc/0ri5tvnybPu7jj6ZroG0OZlIOtW7AjkGQ81zrLtdlyDg4yK0xjdkuW3Xe5ng0&#10;ru0r7Lawla/hj/kYbb/gX/oJrIrX8Mf8jDbf8C/9BNYYX+PD1R0Yr+BP0Z6PRRRX2B8g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XN+NP+QVF/11H8&#10;jXSVzfjT/kFRf9dR/I1y43/d5+h1YL/eIepwtFFFfJH1gV0draw6j4ft4p7yG3aGRvL3N1BPORXO&#10;VozWkMOiWtwQTPO7Y54CjiujDy5eZ2uranNiY83Kr2d9C4fD9sAf+JxaH/P1rDZdrFc5wcZFdKuh&#10;aaiwWk9xIL+dNy4Hyg+lc3JGYpXjbqrFT+FXiafIl7tvncnC1edtc1/lYbWv4Y/5GG2/4F/6CayK&#10;1/DH/Iw23/Av/QTWeF/jw9UaYr+BP0Z6PRRRX2B8g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b8af8gqL/rqP5Gukrm/Gn/IKi/66j+Rrlxv+7z9DqwX+8Q9ThaK&#10;KK+SPrAro7S3tr/w9Dbz30Nu8cjMgZux9RXOVpLbacdEM5uT9tDcRfj/AIV0YZ2ctE1broc+JV1H&#10;Vp36K5sabptjYXi3B1e2YoDtAbHOO/NZ19pVrDBLcLqlvK/XYnU/rWNRVSxEHDl5PxZMcPNT5+f8&#10;EFa/hj/kYbb/AIF/6CayK1/DH/Iw23/Av/QTUYX+ND1ReK/gT9Gej0UUV9gfI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ub8af8gqL/rqP5Gukrm/Gn/IKi/66j+Rrlxv+7z9DqwX+8Q9ThaKKK+SPrArodD1mysrUwSxG&#10;KYk/6QqhjXPVrRXaSaG9lHp5km3ZMyrnHOf/AK1dGGm4Tck9bepzYqCnBRa0v3sX7zTrrU1Mttqi&#10;3q9dhbaR+Fc2QVJB6jinIzxvlCysPTgimE55qa1SNR3tZ+pVGnKmuVu66aBWv4Y/5GG2/wCBf+gm&#10;sitfwx/yMNt/wL/0E08L/Hh6oMV/An6M9Hooor7A+Q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m/Gn/IKi/66j+RrpK5vxp/yCov+uo/ka5cb/u8/&#10;Q6sF/vEPU4Wiiivkj6wK6ayur230C2bS4wz+Ywnwm45zx+lczW/pX9vTWIj0/wCWBGPzfKMn6nrX&#10;XhJNTaV9um5yYyKcE3bR9djRjtJW8QQz/ZCsVzBmcbeFJHNclMoSeRV+6rED6Zrp5LXxTJEyPKSp&#10;HOHWuWZSrFW6g4NXjHovda1b1M8GtW+ZPRLQStfwx/yMNt/wL/0E1kVr+GP+Rhtv+Bf+gmsML/Hh&#10;6o6MV/An6M9Hooor7A+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m/Gn/ACCov+uo/ka6Sub8af8AIKi/66j+Rrlxv+7z9DqwX+8Q9ThaKKK+SPrA&#10;rprWzvNS8N2yWrmMwyNkFtokBPX8K5mniaQIEEjhQcgBjit6FVU2+ZaNGFelKolyuzTubh8P6yBn&#10;zV/7/wBYLAqzBuoODTvNk/56P/31TKVWcJW5U16u46UJxvztP0VgrY8LjPiC29t3/oJrHrqPBtkz&#10;3ct4wOyNdqn1JrTBQc68Uu5GNmoUJN9jtqKKK+tPk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n/wAgqL/rqP5GukpkkUcqgSIrgdmGaxr0/a03&#10;C+5rQqeyqKdtjySjFer/AGK1/wCfeL/vgUfYrX/n3i/74FeR/Y8v5/wPX/thfyfieUYoxXq/2K1/&#10;594v++BR9itf+feL/vgUf2PL+f8AAP7YX8n4nlGKVVZjhVJJ7AV6t9itf+feL/vgU5LeGI/JEi/R&#10;QKFk76z/AAB5wv5PxOB0zwze3zq0qGCHuzDk/QV3lpaQ2VslvAm2NRxU9FelhsHTw693fuebicXU&#10;xD97bsFFFFdZyh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D5D72" w14:textId="77777777" w:rsidR="00EE35E3" w:rsidRDefault="00EE35E3" w:rsidP="00655D73">
      <w:r>
        <w:separator/>
      </w:r>
    </w:p>
  </w:footnote>
  <w:footnote w:type="continuationSeparator" w:id="0">
    <w:p w14:paraId="3DDD5D73" w14:textId="77777777" w:rsidR="00EE35E3" w:rsidRDefault="00EE35E3" w:rsidP="00655D73">
      <w:r>
        <w:continuationSeparator/>
      </w:r>
    </w:p>
  </w:footnote>
  <w:footnote w:id="1">
    <w:p w14:paraId="3DDD5DB2" w14:textId="77777777" w:rsidR="00EE35E3" w:rsidRDefault="00EE35E3">
      <w:pPr>
        <w:pStyle w:val="FootnoteText"/>
      </w:pPr>
      <w:r>
        <w:rPr>
          <w:rStyle w:val="FootnoteReference"/>
        </w:rPr>
        <w:footnoteRef/>
      </w:r>
      <w:r>
        <w:t xml:space="preserve"> </w:t>
      </w:r>
      <w:r w:rsidRPr="00E615A4">
        <w:rPr>
          <w:rFonts w:eastAsiaTheme="minorHAnsi"/>
          <w:lang w:eastAsia="en-US"/>
        </w:rPr>
        <w:t xml:space="preserve">The last </w:t>
      </w:r>
      <w:r w:rsidRPr="00E615A4">
        <w:t>Household Income and Expenditure Survey</w:t>
      </w:r>
      <w:r>
        <w:rPr>
          <w:rFonts w:eastAsiaTheme="minorHAnsi"/>
          <w:lang w:eastAsia="en-US"/>
        </w:rPr>
        <w:t xml:space="preserve"> was </w:t>
      </w:r>
      <w:r w:rsidRPr="00E615A4">
        <w:rPr>
          <w:rFonts w:eastAsiaTheme="minorHAnsi"/>
          <w:lang w:eastAsia="en-US"/>
        </w:rPr>
        <w:t>conducted in 2007</w:t>
      </w:r>
      <w:r>
        <w:rPr>
          <w:rFonts w:eastAsiaTheme="minorHAnsi"/>
          <w:lang w:eastAsia="en-US"/>
        </w:rPr>
        <w:t>–</w:t>
      </w:r>
      <w:r w:rsidRPr="00E615A4">
        <w:rPr>
          <w:rFonts w:eastAsiaTheme="minorHAnsi"/>
          <w:lang w:eastAsia="en-US"/>
        </w:rPr>
        <w:t>08</w:t>
      </w:r>
      <w:r>
        <w:rPr>
          <w:rFonts w:eastAsiaTheme="minorHAnsi"/>
          <w:lang w:eastAsia="en-US"/>
        </w:rPr>
        <w:t>,</w:t>
      </w:r>
      <w:r w:rsidRPr="00E615A4">
        <w:rPr>
          <w:rFonts w:eastAsiaTheme="minorHAnsi"/>
          <w:lang w:eastAsia="en-US"/>
        </w:rPr>
        <w:t xml:space="preserve"> before the impact of the global financial crises. The next </w:t>
      </w:r>
      <w:r>
        <w:rPr>
          <w:rFonts w:eastAsiaTheme="minorHAnsi"/>
          <w:lang w:eastAsia="en-US"/>
        </w:rPr>
        <w:t>one</w:t>
      </w:r>
      <w:r w:rsidRPr="00E615A4">
        <w:rPr>
          <w:rFonts w:eastAsiaTheme="minorHAnsi"/>
          <w:lang w:eastAsia="en-US"/>
        </w:rPr>
        <w:t xml:space="preserve"> will be conducted in 2013.</w:t>
      </w:r>
    </w:p>
  </w:footnote>
  <w:footnote w:id="2">
    <w:p w14:paraId="3DDD5DB3" w14:textId="77777777" w:rsidR="00EE35E3" w:rsidRDefault="00EE35E3">
      <w:pPr>
        <w:pStyle w:val="FootnoteText"/>
      </w:pPr>
      <w:r>
        <w:rPr>
          <w:rStyle w:val="FootnoteReference"/>
        </w:rPr>
        <w:footnoteRef/>
      </w:r>
      <w:r>
        <w:t xml:space="preserve"> </w:t>
      </w:r>
      <w:r w:rsidRPr="00D948D3">
        <w:rPr>
          <w:i/>
        </w:rPr>
        <w:t>Republic of Fiji: Poverty Trends, Profiles and Small Area Estimation (poverty maps) in Republic of Fiji (2003–2009).</w:t>
      </w:r>
    </w:p>
  </w:footnote>
  <w:footnote w:id="3">
    <w:p w14:paraId="3DDD5DB4" w14:textId="77777777" w:rsidR="00EE35E3" w:rsidRDefault="00EE35E3" w:rsidP="00982810">
      <w:pPr>
        <w:pStyle w:val="FootnoteText"/>
        <w:tabs>
          <w:tab w:val="right" w:pos="8278"/>
        </w:tabs>
      </w:pPr>
      <w:r>
        <w:rPr>
          <w:rStyle w:val="FootnoteReference"/>
        </w:rPr>
        <w:footnoteRef/>
      </w:r>
      <w:r w:rsidRPr="00A75AF5">
        <w:t xml:space="preserve"> </w:t>
      </w:r>
      <w:hyperlink r:id="rId1" w:history="1">
        <w:r w:rsidRPr="005E33E7">
          <w:rPr>
            <w:color w:val="1F497D" w:themeColor="text2"/>
          </w:rPr>
          <w:t>http://hdr.undp.org/en/media/HDR_2010_EN_Tables_reprint.pdf</w:t>
        </w:r>
      </w:hyperlink>
      <w:r w:rsidRPr="005E33E7">
        <w:rPr>
          <w:color w:val="1F497D" w:themeColor="text2"/>
        </w:rPr>
        <w:t>, http://hdrstats.undp.org/en/countries/profiles/FJI.html</w:t>
      </w:r>
      <w:r>
        <w:tab/>
      </w:r>
    </w:p>
  </w:footnote>
  <w:footnote w:id="4">
    <w:p w14:paraId="3DDD5DB5" w14:textId="77777777" w:rsidR="00EE35E3" w:rsidRDefault="00EE35E3" w:rsidP="00593776">
      <w:pPr>
        <w:pStyle w:val="FootnoteText"/>
      </w:pPr>
      <w:r>
        <w:rPr>
          <w:rStyle w:val="FootnoteReference"/>
        </w:rPr>
        <w:footnoteRef/>
      </w:r>
      <w:r>
        <w:t xml:space="preserve"> Asian Development Bank (ADB), Pacific Economic Monitor, Growth Outlook, 2013.</w:t>
      </w:r>
    </w:p>
  </w:footnote>
  <w:footnote w:id="5">
    <w:p w14:paraId="3DDD5DB6" w14:textId="77777777" w:rsidR="00EE35E3" w:rsidRDefault="00EE35E3" w:rsidP="00C4231A">
      <w:pPr>
        <w:pStyle w:val="FootnoteText"/>
      </w:pPr>
      <w:r>
        <w:rPr>
          <w:rStyle w:val="FootnoteReference"/>
        </w:rPr>
        <w:footnoteRef/>
      </w:r>
      <w:r>
        <w:t xml:space="preserve"> International Monetary Fund (IMF), Article IV, Mission to Fiji, January 2012.</w:t>
      </w:r>
    </w:p>
  </w:footnote>
  <w:footnote w:id="6">
    <w:p w14:paraId="3DDD5DB7" w14:textId="77777777" w:rsidR="00EE35E3" w:rsidRPr="00C40A5B" w:rsidRDefault="00EE35E3" w:rsidP="00C4231A">
      <w:pPr>
        <w:pStyle w:val="FootnoteText"/>
      </w:pPr>
      <w:r>
        <w:rPr>
          <w:rStyle w:val="FootnoteReference"/>
        </w:rPr>
        <w:footnoteRef/>
      </w:r>
      <w:r>
        <w:t xml:space="preserve"> PIFS, </w:t>
      </w:r>
      <w:r w:rsidRPr="00D948D3">
        <w:rPr>
          <w:i/>
        </w:rPr>
        <w:t>2012</w:t>
      </w:r>
      <w:r>
        <w:t xml:space="preserve"> </w:t>
      </w:r>
      <w:r w:rsidRPr="00D948D3">
        <w:rPr>
          <w:i/>
        </w:rPr>
        <w:t>Pacific Regional MDG Tracking Report</w:t>
      </w:r>
      <w:r>
        <w:t xml:space="preserve">.  </w:t>
      </w:r>
    </w:p>
  </w:footnote>
  <w:footnote w:id="7">
    <w:p w14:paraId="3DDD5DB8" w14:textId="77777777" w:rsidR="00EE35E3" w:rsidRDefault="00EE35E3" w:rsidP="00C4231A">
      <w:pPr>
        <w:pStyle w:val="FootnoteText"/>
      </w:pPr>
      <w:r>
        <w:rPr>
          <w:rStyle w:val="FootnoteReference"/>
        </w:rPr>
        <w:footnoteRef/>
      </w:r>
      <w:r>
        <w:t xml:space="preserve"> ADB, </w:t>
      </w:r>
      <w:r w:rsidRPr="00D948D3">
        <w:rPr>
          <w:i/>
        </w:rPr>
        <w:t>Pacific Economic Monitor</w:t>
      </w:r>
      <w:r>
        <w:t>, Growth Outlook, 2013.</w:t>
      </w:r>
    </w:p>
  </w:footnote>
  <w:footnote w:id="8">
    <w:p w14:paraId="3DDD5DB9" w14:textId="77777777" w:rsidR="00EE35E3" w:rsidRDefault="00EE35E3">
      <w:pPr>
        <w:pStyle w:val="FootnoteText"/>
      </w:pPr>
      <w:r>
        <w:rPr>
          <w:rStyle w:val="FootnoteReference"/>
        </w:rPr>
        <w:footnoteRef/>
      </w:r>
      <w:r>
        <w:t xml:space="preserve"> All figures are quoted in Australian dollars unless noted.</w:t>
      </w:r>
    </w:p>
  </w:footnote>
  <w:footnote w:id="9">
    <w:p w14:paraId="3DDD5DBA" w14:textId="77777777" w:rsidR="00EE35E3" w:rsidRDefault="00EE35E3" w:rsidP="00C4231A">
      <w:pPr>
        <w:pStyle w:val="FootnoteText"/>
      </w:pPr>
      <w:r>
        <w:rPr>
          <w:rStyle w:val="FootnoteReference"/>
        </w:rPr>
        <w:footnoteRef/>
      </w:r>
      <w:r>
        <w:t xml:space="preserve"> ADB, </w:t>
      </w:r>
      <w:r w:rsidRPr="00D948D3">
        <w:rPr>
          <w:i/>
        </w:rPr>
        <w:t>Pacific Economic Monitor</w:t>
      </w:r>
      <w:r>
        <w:t>, March 2013.</w:t>
      </w:r>
    </w:p>
  </w:footnote>
  <w:footnote w:id="10">
    <w:p w14:paraId="3DDD5DBB" w14:textId="77777777" w:rsidR="00EE35E3" w:rsidRDefault="00EE35E3" w:rsidP="00C4231A">
      <w:pPr>
        <w:pStyle w:val="FootnoteText"/>
      </w:pPr>
      <w:r>
        <w:rPr>
          <w:rStyle w:val="FootnoteReference"/>
        </w:rPr>
        <w:footnoteRef/>
      </w:r>
      <w:r>
        <w:t xml:space="preserve"> </w:t>
      </w:r>
      <w:r w:rsidRPr="00D948D3">
        <w:rPr>
          <w:i/>
        </w:rPr>
        <w:t>Republic of Fiji, Economic and Fiscal Update</w:t>
      </w:r>
      <w:r>
        <w:t>, supplement to the 2013 budget address, delivered November 2012.</w:t>
      </w:r>
    </w:p>
  </w:footnote>
  <w:footnote w:id="11">
    <w:p w14:paraId="3DDD5DBC" w14:textId="77777777" w:rsidR="00EE35E3" w:rsidRDefault="00EE35E3" w:rsidP="00C4231A">
      <w:pPr>
        <w:pStyle w:val="FootnoteText"/>
      </w:pPr>
      <w:r>
        <w:rPr>
          <w:rStyle w:val="FootnoteReference"/>
        </w:rPr>
        <w:footnoteRef/>
      </w:r>
      <w:r>
        <w:t xml:space="preserve"> ADB: </w:t>
      </w:r>
      <w:r w:rsidRPr="00D948D3">
        <w:rPr>
          <w:i/>
        </w:rPr>
        <w:t>Fiji Country Update</w:t>
      </w:r>
      <w:r>
        <w:t>, April 2013.</w:t>
      </w:r>
    </w:p>
  </w:footnote>
  <w:footnote w:id="12">
    <w:p w14:paraId="3DDD5DBD" w14:textId="77777777" w:rsidR="00EE35E3" w:rsidRDefault="00EE35E3" w:rsidP="00C4231A">
      <w:pPr>
        <w:pStyle w:val="FootnoteText"/>
      </w:pPr>
      <w:r>
        <w:rPr>
          <w:rStyle w:val="FootnoteReference"/>
        </w:rPr>
        <w:footnoteRef/>
      </w:r>
      <w:r>
        <w:t xml:space="preserve"> Ibid.</w:t>
      </w:r>
    </w:p>
  </w:footnote>
  <w:footnote w:id="13">
    <w:p w14:paraId="3DDD5DBE" w14:textId="77777777" w:rsidR="00EE35E3" w:rsidRDefault="00EE35E3" w:rsidP="00C4231A">
      <w:pPr>
        <w:pStyle w:val="FootnoteText"/>
      </w:pPr>
      <w:r>
        <w:rPr>
          <w:rStyle w:val="FootnoteReference"/>
        </w:rPr>
        <w:footnoteRef/>
      </w:r>
      <w:r>
        <w:t xml:space="preserve"> Ibid.</w:t>
      </w:r>
    </w:p>
  </w:footnote>
  <w:footnote w:id="14">
    <w:p w14:paraId="3DDD5DBF" w14:textId="77777777" w:rsidR="00EE35E3" w:rsidRDefault="00EE35E3" w:rsidP="00C4231A">
      <w:pPr>
        <w:pStyle w:val="FootnoteText"/>
      </w:pPr>
      <w:r>
        <w:rPr>
          <w:rStyle w:val="FootnoteReference"/>
        </w:rPr>
        <w:footnoteRef/>
      </w:r>
      <w:r>
        <w:t xml:space="preserve"> </w:t>
      </w:r>
      <w:r w:rsidRPr="005E33E7">
        <w:rPr>
          <w:color w:val="1F497D" w:themeColor="text2"/>
        </w:rPr>
        <w:t>http://www.statsfiji.gov.fj/index.php/latest-news/240-fiji-s-earnings-from-tourism-december-quarter-and-annual-2012</w:t>
      </w:r>
    </w:p>
  </w:footnote>
  <w:footnote w:id="15">
    <w:p w14:paraId="3DDD5DC0" w14:textId="77777777" w:rsidR="00EE35E3" w:rsidRDefault="00EE35E3" w:rsidP="00C4231A">
      <w:pPr>
        <w:pStyle w:val="FootnoteText"/>
      </w:pPr>
      <w:r>
        <w:rPr>
          <w:rStyle w:val="FootnoteReference"/>
        </w:rPr>
        <w:footnoteRef/>
      </w:r>
      <w:r>
        <w:t xml:space="preserve"> IMF, Article IV, April 2011, Box 3, p. 7.</w:t>
      </w:r>
    </w:p>
  </w:footnote>
  <w:footnote w:id="16">
    <w:p w14:paraId="3DDD5DC1" w14:textId="77777777" w:rsidR="00EE35E3" w:rsidRDefault="00EE35E3" w:rsidP="00C4231A">
      <w:pPr>
        <w:pStyle w:val="FootnoteText"/>
      </w:pPr>
      <w:r>
        <w:rPr>
          <w:rStyle w:val="FootnoteReference"/>
        </w:rPr>
        <w:footnoteRef/>
      </w:r>
      <w:r>
        <w:t xml:space="preserve"> ADB, </w:t>
      </w:r>
      <w:r w:rsidRPr="00D948D3">
        <w:rPr>
          <w:i/>
        </w:rPr>
        <w:t>Pacific Economic Monitor</w:t>
      </w:r>
      <w:r>
        <w:t>, Growth Outlook, 2013.</w:t>
      </w:r>
    </w:p>
  </w:footnote>
  <w:footnote w:id="17">
    <w:p w14:paraId="3DDD5DC2" w14:textId="77777777" w:rsidR="00EE35E3" w:rsidRPr="00D357F8" w:rsidRDefault="00EE35E3" w:rsidP="00D357F8">
      <w:pPr>
        <w:pStyle w:val="FootnoteText"/>
        <w:rPr>
          <w:szCs w:val="14"/>
        </w:rPr>
      </w:pPr>
      <w:r w:rsidRPr="005E33E7">
        <w:rPr>
          <w:rStyle w:val="FootnoteReference"/>
        </w:rPr>
        <w:footnoteRef/>
      </w:r>
      <w:r w:rsidRPr="005E33E7">
        <w:rPr>
          <w:rStyle w:val="FootnoteReference"/>
        </w:rPr>
        <w:t xml:space="preserve"> </w:t>
      </w:r>
      <w:r w:rsidRPr="00D357F8">
        <w:rPr>
          <w:szCs w:val="14"/>
        </w:rPr>
        <w:t xml:space="preserve">Pacific Islands Forum Secretariat, </w:t>
      </w:r>
      <w:r w:rsidRPr="00D357F8">
        <w:rPr>
          <w:i/>
          <w:szCs w:val="14"/>
        </w:rPr>
        <w:t>2012 Pacific Regional MDGs Tracking Report.</w:t>
      </w:r>
    </w:p>
  </w:footnote>
  <w:footnote w:id="18">
    <w:p w14:paraId="3DDD5DC3" w14:textId="77777777" w:rsidR="00EE35E3" w:rsidRDefault="00EE35E3">
      <w:pPr>
        <w:pStyle w:val="FootnoteText"/>
      </w:pPr>
      <w:r w:rsidRPr="005E33E7">
        <w:rPr>
          <w:rStyle w:val="FootnoteReference"/>
        </w:rPr>
        <w:footnoteRef/>
      </w:r>
      <w:r w:rsidRPr="005E33E7">
        <w:rPr>
          <w:rStyle w:val="FootnoteReference"/>
        </w:rPr>
        <w:t xml:space="preserve"> </w:t>
      </w:r>
      <w:r w:rsidRPr="00C15FCA">
        <w:t>The MDG tracking report compared the 2002–03 Household Income and Expenditure Survey with the 2008–09 one</w:t>
      </w:r>
      <w:r>
        <w:t>.</w:t>
      </w:r>
    </w:p>
  </w:footnote>
  <w:footnote w:id="19">
    <w:p w14:paraId="3DDD5DC4" w14:textId="77777777" w:rsidR="00EE35E3" w:rsidRPr="00D357F8" w:rsidRDefault="00EE35E3" w:rsidP="00D357F8">
      <w:pPr>
        <w:pStyle w:val="FootnoteText"/>
        <w:rPr>
          <w:szCs w:val="14"/>
        </w:rPr>
      </w:pPr>
      <w:r w:rsidRPr="005E33E7">
        <w:rPr>
          <w:rStyle w:val="FootnoteReference"/>
        </w:rPr>
        <w:footnoteRef/>
      </w:r>
      <w:r w:rsidRPr="005E33E7">
        <w:rPr>
          <w:rStyle w:val="FootnoteReference"/>
        </w:rPr>
        <w:t xml:space="preserve"> </w:t>
      </w:r>
      <w:r w:rsidRPr="00D357F8">
        <w:rPr>
          <w:szCs w:val="14"/>
        </w:rPr>
        <w:t>Ibid.</w:t>
      </w:r>
    </w:p>
  </w:footnote>
  <w:footnote w:id="20">
    <w:p w14:paraId="3DDD5DC5" w14:textId="77777777" w:rsidR="00EE35E3" w:rsidRPr="00D357F8" w:rsidRDefault="00EE35E3" w:rsidP="00D357F8">
      <w:pPr>
        <w:pStyle w:val="CommentText"/>
        <w:spacing w:after="0" w:line="240" w:lineRule="auto"/>
        <w:rPr>
          <w:rFonts w:ascii="Times New Roman" w:hAnsi="Times New Roman"/>
          <w:sz w:val="14"/>
          <w:szCs w:val="14"/>
        </w:rPr>
      </w:pPr>
      <w:r w:rsidRPr="005E33E7">
        <w:rPr>
          <w:rStyle w:val="FootnoteReference"/>
        </w:rPr>
        <w:footnoteRef/>
      </w:r>
      <w:r w:rsidRPr="005E33E7">
        <w:rPr>
          <w:rStyle w:val="FootnoteReference"/>
        </w:rPr>
        <w:t xml:space="preserve"> </w:t>
      </w:r>
      <w:r w:rsidRPr="00522545">
        <w:rPr>
          <w:rStyle w:val="FootnoteTextChar"/>
        </w:rPr>
        <w:t xml:space="preserve">Fiji Women’s Crises Centre, </w:t>
      </w:r>
      <w:r w:rsidRPr="00522545">
        <w:rPr>
          <w:rStyle w:val="FootnoteTextChar"/>
          <w:i/>
        </w:rPr>
        <w:t>National Research on Women's Health and Life Experiences in Fiji (2010–2011)</w:t>
      </w:r>
      <w:r w:rsidRPr="00522545">
        <w:rPr>
          <w:rStyle w:val="FootnoteTextChar"/>
        </w:rPr>
        <w:t>, 2013.</w:t>
      </w:r>
    </w:p>
  </w:footnote>
  <w:footnote w:id="21">
    <w:p w14:paraId="3DDD5DC6" w14:textId="77777777" w:rsidR="00EE35E3" w:rsidRPr="00D357F8" w:rsidRDefault="00EE35E3" w:rsidP="00D357F8">
      <w:pPr>
        <w:pStyle w:val="FootnoteText"/>
        <w:rPr>
          <w:szCs w:val="14"/>
        </w:rPr>
      </w:pPr>
      <w:r w:rsidRPr="005E33E7">
        <w:rPr>
          <w:rStyle w:val="FootnoteReference"/>
        </w:rPr>
        <w:footnoteRef/>
      </w:r>
      <w:r w:rsidRPr="005E33E7">
        <w:rPr>
          <w:rStyle w:val="FootnoteReference"/>
        </w:rPr>
        <w:t xml:space="preserve"> </w:t>
      </w:r>
      <w:r w:rsidRPr="005E33E7">
        <w:rPr>
          <w:color w:val="1F497D" w:themeColor="text2"/>
          <w:szCs w:val="14"/>
        </w:rPr>
        <w:t>http://mdgs.un.org/unsd/mdg/Resources/Static/Products/Progress2012/Snapshots/FJI.pdf</w:t>
      </w:r>
    </w:p>
  </w:footnote>
  <w:footnote w:id="22">
    <w:p w14:paraId="3DDD5DC8" w14:textId="77777777" w:rsidR="00EE35E3" w:rsidRDefault="00EE35E3" w:rsidP="00D357F8">
      <w:pPr>
        <w:pStyle w:val="FootnoteText"/>
      </w:pPr>
      <w:r w:rsidRPr="005E33E7">
        <w:rPr>
          <w:rStyle w:val="FootnoteReference"/>
        </w:rPr>
        <w:footnoteRef/>
      </w:r>
      <w:r w:rsidRPr="005E33E7">
        <w:rPr>
          <w:rStyle w:val="FootnoteReference"/>
        </w:rPr>
        <w:t xml:space="preserve"> </w:t>
      </w:r>
      <w:r w:rsidRPr="00D357F8">
        <w:rPr>
          <w:szCs w:val="14"/>
        </w:rPr>
        <w:t>Ibid.</w:t>
      </w:r>
    </w:p>
  </w:footnote>
  <w:footnote w:id="23">
    <w:p w14:paraId="3DDD5DC9" w14:textId="77777777" w:rsidR="00EE35E3" w:rsidRDefault="00EE35E3" w:rsidP="00C4231A">
      <w:pPr>
        <w:pStyle w:val="FootnoteText"/>
      </w:pPr>
      <w:r w:rsidRPr="005E33E7">
        <w:rPr>
          <w:rStyle w:val="FootnoteReference"/>
        </w:rPr>
        <w:footnoteRef/>
      </w:r>
      <w:r w:rsidRPr="005E33E7">
        <w:rPr>
          <w:rStyle w:val="FootnoteReference"/>
        </w:rPr>
        <w:t xml:space="preserve"> </w:t>
      </w:r>
      <w:r w:rsidRPr="005E33E7">
        <w:rPr>
          <w:color w:val="1F497D" w:themeColor="text2"/>
        </w:rPr>
        <w:t>http://www.oecd.org/dac/stats/FJI.gif</w:t>
      </w:r>
    </w:p>
  </w:footnote>
  <w:footnote w:id="24">
    <w:p w14:paraId="3DDD5DCA" w14:textId="77777777" w:rsidR="00EE35E3" w:rsidRDefault="00EE35E3" w:rsidP="00C4231A">
      <w:pPr>
        <w:pStyle w:val="FootnoteText"/>
      </w:pPr>
      <w:r>
        <w:rPr>
          <w:rStyle w:val="FootnoteReference"/>
        </w:rPr>
        <w:footnoteRef/>
      </w:r>
      <w:r>
        <w:t xml:space="preserve"> In November 2011, the Foreign Minister made a commitment to increase bilateral aid to Fiji to $36 million by 2013–14.</w:t>
      </w:r>
    </w:p>
  </w:footnote>
  <w:footnote w:id="25">
    <w:p w14:paraId="3DDD5DCB" w14:textId="6C190B25" w:rsidR="00EE35E3" w:rsidRDefault="00EE35E3" w:rsidP="00C4231A">
      <w:pPr>
        <w:pStyle w:val="FootnoteText"/>
      </w:pPr>
      <w:r>
        <w:rPr>
          <w:rStyle w:val="FootnoteReference"/>
        </w:rPr>
        <w:footnoteRef/>
      </w:r>
      <w:r>
        <w:t xml:space="preserve"> </w:t>
      </w:r>
      <w:r w:rsidRPr="00451CAB">
        <w:t>http://aid.dfat.gov.au/countries/pacific/fiji</w:t>
      </w:r>
      <w:r>
        <w:t xml:space="preserve"> </w:t>
      </w:r>
    </w:p>
  </w:footnote>
  <w:footnote w:id="26">
    <w:p w14:paraId="3DDD5DCC" w14:textId="284EEEAB" w:rsidR="00EE35E3" w:rsidRDefault="00EE35E3" w:rsidP="00C4231A">
      <w:pPr>
        <w:pStyle w:val="FootnoteText"/>
      </w:pPr>
      <w:r>
        <w:rPr>
          <w:rStyle w:val="FootnoteReference"/>
        </w:rPr>
        <w:footnoteRef/>
      </w:r>
      <w:r>
        <w:t xml:space="preserve"> Fiji </w:t>
      </w:r>
      <w:r w:rsidR="00274972">
        <w:t>G</w:t>
      </w:r>
      <w:r>
        <w:t xml:space="preserve">overnment, </w:t>
      </w:r>
      <w:r w:rsidRPr="00D948D3">
        <w:rPr>
          <w:i/>
        </w:rPr>
        <w:t>Economic and Fiscal Update</w:t>
      </w:r>
      <w:r>
        <w:t>, supplement to the 2013 budget address.</w:t>
      </w:r>
    </w:p>
  </w:footnote>
  <w:footnote w:id="27">
    <w:p w14:paraId="3DDD5DCD" w14:textId="0A34015C" w:rsidR="00EE35E3" w:rsidRDefault="00EE35E3" w:rsidP="001D1D01">
      <w:pPr>
        <w:pStyle w:val="FootnoteText"/>
      </w:pPr>
      <w:r>
        <w:rPr>
          <w:rStyle w:val="FootnoteReference"/>
        </w:rPr>
        <w:footnoteRef/>
      </w:r>
      <w:r>
        <w:t xml:space="preserve"> People in poverty are represented by those living below Fiji’s basic needs poverty line, equivalent to less than FJ$6.20 a day. For this </w:t>
      </w:r>
      <w:r w:rsidR="002F5AE2">
        <w:t>APPR</w:t>
      </w:r>
      <w:r>
        <w:t>, vulnerability relates to people whose livelihoods can be catastrophically affected by economic or external shocks, disability or discrimination.</w:t>
      </w:r>
    </w:p>
  </w:footnote>
  <w:footnote w:id="28">
    <w:p w14:paraId="3DDD5DCE" w14:textId="1971DD57" w:rsidR="00EE35E3" w:rsidRPr="00D948D3" w:rsidRDefault="00EE35E3" w:rsidP="00655D73">
      <w:pPr>
        <w:pStyle w:val="FootnoteText"/>
      </w:pPr>
      <w:r>
        <w:rPr>
          <w:rStyle w:val="FootnoteReference"/>
        </w:rPr>
        <w:footnoteRef/>
      </w:r>
      <w:r>
        <w:t xml:space="preserve"> </w:t>
      </w:r>
      <w:r w:rsidRPr="00D948D3">
        <w:rPr>
          <w:rStyle w:val="st1"/>
          <w:i/>
          <w:color w:val="444444"/>
        </w:rPr>
        <w:t>Access to Quality Education Program—</w:t>
      </w:r>
      <w:r w:rsidRPr="00D948D3">
        <w:rPr>
          <w:rStyle w:val="Emphasis"/>
          <w:b w:val="0"/>
          <w:i/>
          <w:color w:val="444444"/>
        </w:rPr>
        <w:t>Mid</w:t>
      </w:r>
      <w:r w:rsidRPr="00D948D3">
        <w:rPr>
          <w:rStyle w:val="st1"/>
          <w:b/>
          <w:i/>
          <w:color w:val="444444"/>
        </w:rPr>
        <w:t>-</w:t>
      </w:r>
      <w:r w:rsidRPr="00D948D3">
        <w:rPr>
          <w:rStyle w:val="Emphasis"/>
          <w:b w:val="0"/>
          <w:i/>
          <w:color w:val="444444"/>
        </w:rPr>
        <w:t>term review</w:t>
      </w:r>
      <w:r w:rsidRPr="00D948D3">
        <w:rPr>
          <w:rStyle w:val="Emphasis"/>
          <w:i/>
          <w:color w:val="444444"/>
        </w:rPr>
        <w:t xml:space="preserve"> </w:t>
      </w:r>
      <w:r w:rsidRPr="00D948D3">
        <w:rPr>
          <w:rStyle w:val="st1"/>
          <w:i/>
          <w:color w:val="444444"/>
        </w:rPr>
        <w:t>(2012)</w:t>
      </w:r>
      <w:r w:rsidRPr="00D948D3">
        <w:rPr>
          <w:rStyle w:val="st1"/>
          <w:color w:val="444444"/>
        </w:rPr>
        <w:t>;</w:t>
      </w:r>
      <w:r w:rsidRPr="00D948D3">
        <w:t xml:space="preserve"> </w:t>
      </w:r>
      <w:r w:rsidRPr="00AD00A8">
        <w:rPr>
          <w:rStyle w:val="st1"/>
          <w:color w:val="444444"/>
        </w:rPr>
        <w:t xml:space="preserve">Fiji Health Sector Support </w:t>
      </w:r>
      <w:r>
        <w:rPr>
          <w:rStyle w:val="st1"/>
          <w:color w:val="444444"/>
        </w:rPr>
        <w:t>,d</w:t>
      </w:r>
      <w:r w:rsidRPr="00AD00A8">
        <w:t xml:space="preserve">raft </w:t>
      </w:r>
      <w:r>
        <w:t>m</w:t>
      </w:r>
      <w:r w:rsidRPr="00AD00A8">
        <w:t>id-</w:t>
      </w:r>
      <w:r>
        <w:t>t</w:t>
      </w:r>
      <w:r w:rsidRPr="00AD00A8">
        <w:t xml:space="preserve">erm </w:t>
      </w:r>
      <w:r>
        <w:t>r</w:t>
      </w:r>
      <w:r w:rsidRPr="00AD00A8">
        <w:t>eview</w:t>
      </w:r>
      <w:r>
        <w:t>, 2013</w:t>
      </w:r>
      <w:r w:rsidRPr="004E241A">
        <w:t xml:space="preserve">. </w:t>
      </w:r>
    </w:p>
  </w:footnote>
  <w:footnote w:id="29">
    <w:p w14:paraId="3DDD5DCF" w14:textId="77777777" w:rsidR="00EE35E3" w:rsidRDefault="00EE35E3" w:rsidP="00BD3620">
      <w:pPr>
        <w:pStyle w:val="FootnoteText"/>
      </w:pPr>
      <w:r>
        <w:rPr>
          <w:rStyle w:val="FootnoteReference"/>
        </w:rPr>
        <w:footnoteRef/>
      </w:r>
      <w:r>
        <w:t xml:space="preserve"> Government of Fiji, 2012 Budget and 2013 Budget, MoE, National Heritage, Culture and Arts. Calculation based on abstract of expenditure by functional classification tables at Ministry appropriation level.</w:t>
      </w:r>
    </w:p>
  </w:footnote>
  <w:footnote w:id="30">
    <w:p w14:paraId="3DDD5DD0" w14:textId="6A78E5A1" w:rsidR="00EE35E3" w:rsidRDefault="00EE35E3" w:rsidP="00BD3620">
      <w:pPr>
        <w:pStyle w:val="FootnoteText"/>
      </w:pPr>
      <w:r>
        <w:rPr>
          <w:rStyle w:val="FootnoteReference"/>
        </w:rPr>
        <w:footnoteRef/>
      </w:r>
      <w:r>
        <w:t xml:space="preserve"> AusAID </w:t>
      </w:r>
      <w:r w:rsidRPr="00D948D3">
        <w:rPr>
          <w:i/>
        </w:rPr>
        <w:t>Economic Analysis of Fiji’ National 2013 Budget</w:t>
      </w:r>
      <w:r>
        <w:t>, November 2012.</w:t>
      </w:r>
    </w:p>
  </w:footnote>
  <w:footnote w:id="31">
    <w:p w14:paraId="3DDD5DD1" w14:textId="3B0E4447" w:rsidR="00EE35E3" w:rsidRDefault="00EE35E3">
      <w:pPr>
        <w:pStyle w:val="FootnoteText"/>
      </w:pPr>
      <w:r>
        <w:rPr>
          <w:rStyle w:val="FootnoteReference"/>
        </w:rPr>
        <w:footnoteRef/>
      </w:r>
      <w:r>
        <w:t xml:space="preserve"> AusAID, </w:t>
      </w:r>
      <w:r w:rsidRPr="00D948D3">
        <w:rPr>
          <w:i/>
          <w:szCs w:val="16"/>
        </w:rPr>
        <w:t>2011 Pacific Regional MDGs Tracking Report</w:t>
      </w:r>
      <w:r>
        <w:rPr>
          <w:i/>
          <w:szCs w:val="16"/>
        </w:rPr>
        <w:t xml:space="preserve">. </w:t>
      </w:r>
    </w:p>
  </w:footnote>
  <w:footnote w:id="32">
    <w:p w14:paraId="3DDD5DD2" w14:textId="77777777" w:rsidR="00EE35E3" w:rsidRDefault="00EE35E3">
      <w:pPr>
        <w:pStyle w:val="FootnoteText"/>
      </w:pPr>
      <w:r>
        <w:rPr>
          <w:rStyle w:val="FootnoteReference"/>
        </w:rPr>
        <w:footnoteRef/>
      </w:r>
      <w:r>
        <w:t xml:space="preserve"> Ibid.</w:t>
      </w:r>
    </w:p>
  </w:footnote>
  <w:footnote w:id="33">
    <w:p w14:paraId="3DDD5DD3" w14:textId="7C362468" w:rsidR="00EE35E3" w:rsidRDefault="00EE35E3">
      <w:pPr>
        <w:pStyle w:val="FootnoteText"/>
      </w:pPr>
      <w:r>
        <w:rPr>
          <w:rStyle w:val="FootnoteReference"/>
        </w:rPr>
        <w:footnoteRef/>
      </w:r>
      <w:r>
        <w:t xml:space="preserve"> </w:t>
      </w:r>
      <w:r w:rsidRPr="00982810">
        <w:t>In 2011, the World Bank, Fiji Bureau of Statistics and AusAID undertook a comprehensive poverty mapping exercise, the first of its kind in Fiji. It linked the Household Income and Expenditure Survey with census data to produce the first-ever local area maps showing the distribution of poverty across Fiji.</w:t>
      </w:r>
    </w:p>
  </w:footnote>
  <w:footnote w:id="34">
    <w:p w14:paraId="3DDD5DD4" w14:textId="77777777" w:rsidR="00EE35E3" w:rsidRDefault="00EE35E3" w:rsidP="00655D73">
      <w:pPr>
        <w:pStyle w:val="FootnoteText"/>
      </w:pPr>
      <w:r>
        <w:rPr>
          <w:rStyle w:val="FootnoteReference"/>
        </w:rPr>
        <w:footnoteRef/>
      </w:r>
      <w:r>
        <w:t>AQEP, mid-term Review, 2012.</w:t>
      </w:r>
    </w:p>
  </w:footnote>
  <w:footnote w:id="35">
    <w:p w14:paraId="3DDD5DD5" w14:textId="77777777" w:rsidR="00EE35E3" w:rsidRDefault="00EE35E3">
      <w:pPr>
        <w:pStyle w:val="FootnoteText"/>
      </w:pPr>
      <w:r w:rsidRPr="00C521A0">
        <w:rPr>
          <w:rStyle w:val="FootnoteReference"/>
        </w:rPr>
        <w:footnoteRef/>
      </w:r>
      <w:r w:rsidRPr="00C521A0">
        <w:rPr>
          <w:rStyle w:val="FootnoteReference"/>
        </w:rPr>
        <w:t xml:space="preserve"> </w:t>
      </w:r>
      <w:r w:rsidRPr="006125F4">
        <w:t>The grants will be used to address the financial barriers impeding student access, as well as their engagement and learning, through a combination of individualised strategies and school-wide improvements. Considerable effort has gone into redesigning this component, in particular into developing the procedures that will guide the effective and efficient use of these funds by schools. While the reorientation of the grants following the launch of the program was inefficient it should produce more sustainable results.</w:t>
      </w:r>
    </w:p>
  </w:footnote>
  <w:footnote w:id="36">
    <w:p w14:paraId="3DDD5DD6" w14:textId="77777777" w:rsidR="00EE35E3" w:rsidRPr="00D948D3" w:rsidRDefault="00EE35E3" w:rsidP="00655D73">
      <w:pPr>
        <w:pStyle w:val="FootnoteText"/>
        <w:contextualSpacing w:val="0"/>
        <w:rPr>
          <w:szCs w:val="14"/>
        </w:rPr>
      </w:pPr>
      <w:r w:rsidRPr="00C521A0">
        <w:rPr>
          <w:rStyle w:val="FootnoteReference"/>
        </w:rPr>
        <w:footnoteRef/>
      </w:r>
      <w:r w:rsidRPr="00C521A0">
        <w:rPr>
          <w:rStyle w:val="FootnoteReference"/>
        </w:rPr>
        <w:t xml:space="preserve"> </w:t>
      </w:r>
      <w:r w:rsidRPr="00D948D3">
        <w:rPr>
          <w:szCs w:val="14"/>
        </w:rPr>
        <w:t>A</w:t>
      </w:r>
      <w:r>
        <w:rPr>
          <w:szCs w:val="14"/>
        </w:rPr>
        <w:t>QEP</w:t>
      </w:r>
      <w:r w:rsidRPr="00D948D3">
        <w:rPr>
          <w:szCs w:val="14"/>
        </w:rPr>
        <w:t xml:space="preserve">, </w:t>
      </w:r>
      <w:r>
        <w:rPr>
          <w:szCs w:val="14"/>
        </w:rPr>
        <w:t xml:space="preserve">mid-term review, </w:t>
      </w:r>
      <w:r w:rsidRPr="00D948D3">
        <w:rPr>
          <w:szCs w:val="14"/>
        </w:rPr>
        <w:t>2012</w:t>
      </w:r>
      <w:r>
        <w:rPr>
          <w:szCs w:val="14"/>
        </w:rPr>
        <w:t>.</w:t>
      </w:r>
    </w:p>
  </w:footnote>
  <w:footnote w:id="37">
    <w:p w14:paraId="3DDD5DD7" w14:textId="77777777" w:rsidR="00EE35E3" w:rsidRPr="00D948D3" w:rsidRDefault="00EE35E3" w:rsidP="00655D73">
      <w:pPr>
        <w:pStyle w:val="FootnoteText"/>
        <w:contextualSpacing w:val="0"/>
        <w:rPr>
          <w:szCs w:val="14"/>
        </w:rPr>
      </w:pPr>
      <w:r w:rsidRPr="00C521A0">
        <w:rPr>
          <w:rStyle w:val="FootnoteReference"/>
        </w:rPr>
        <w:footnoteRef/>
      </w:r>
      <w:r w:rsidRPr="00C521A0">
        <w:rPr>
          <w:rStyle w:val="FootnoteReference"/>
        </w:rPr>
        <w:t xml:space="preserve"> </w:t>
      </w:r>
      <w:r w:rsidRPr="00D948D3">
        <w:rPr>
          <w:szCs w:val="14"/>
        </w:rPr>
        <w:t>Ibid.</w:t>
      </w:r>
    </w:p>
  </w:footnote>
  <w:footnote w:id="38">
    <w:p w14:paraId="3DDD5DD8" w14:textId="77777777" w:rsidR="00EE35E3" w:rsidRPr="00D948D3" w:rsidRDefault="00EE35E3" w:rsidP="00655D73">
      <w:pPr>
        <w:pStyle w:val="FootnoteText"/>
        <w:contextualSpacing w:val="0"/>
        <w:rPr>
          <w:szCs w:val="14"/>
        </w:rPr>
      </w:pPr>
      <w:r w:rsidRPr="00C521A0">
        <w:rPr>
          <w:rStyle w:val="FootnoteReference"/>
        </w:rPr>
        <w:footnoteRef/>
      </w:r>
      <w:r w:rsidRPr="00C521A0">
        <w:rPr>
          <w:rStyle w:val="FootnoteReference"/>
        </w:rPr>
        <w:t xml:space="preserve"> </w:t>
      </w:r>
      <w:r w:rsidRPr="00D948D3">
        <w:rPr>
          <w:szCs w:val="14"/>
        </w:rPr>
        <w:t>AQE</w:t>
      </w:r>
      <w:r>
        <w:rPr>
          <w:szCs w:val="14"/>
        </w:rPr>
        <w:t>P, Framework for Delivery, 2010.</w:t>
      </w:r>
    </w:p>
  </w:footnote>
  <w:footnote w:id="39">
    <w:p w14:paraId="3DDD5DD9" w14:textId="77777777" w:rsidR="00EE35E3" w:rsidRPr="00D948D3" w:rsidRDefault="00EE35E3" w:rsidP="00655D73">
      <w:pPr>
        <w:pStyle w:val="FootnoteText"/>
        <w:contextualSpacing w:val="0"/>
        <w:rPr>
          <w:szCs w:val="14"/>
        </w:rPr>
      </w:pPr>
      <w:r w:rsidRPr="00C521A0">
        <w:rPr>
          <w:rStyle w:val="FootnoteReference"/>
        </w:rPr>
        <w:footnoteRef/>
      </w:r>
      <w:r w:rsidRPr="00C521A0">
        <w:rPr>
          <w:rStyle w:val="FootnoteReference"/>
        </w:rPr>
        <w:t xml:space="preserve"> </w:t>
      </w:r>
      <w:r w:rsidRPr="00D948D3">
        <w:rPr>
          <w:szCs w:val="14"/>
        </w:rPr>
        <w:t xml:space="preserve">AQEP, </w:t>
      </w:r>
      <w:r w:rsidRPr="00D948D3">
        <w:rPr>
          <w:i/>
          <w:szCs w:val="14"/>
        </w:rPr>
        <w:t>Six Monthly Progress Report No. 3</w:t>
      </w:r>
      <w:r>
        <w:rPr>
          <w:szCs w:val="14"/>
        </w:rPr>
        <w:t>, 2012.</w:t>
      </w:r>
    </w:p>
  </w:footnote>
  <w:footnote w:id="40">
    <w:p w14:paraId="3DDD5DDA" w14:textId="77777777" w:rsidR="00EE35E3" w:rsidRPr="00D948D3" w:rsidRDefault="00EE35E3" w:rsidP="00655D73">
      <w:pPr>
        <w:pStyle w:val="FootnoteText"/>
        <w:contextualSpacing w:val="0"/>
        <w:rPr>
          <w:szCs w:val="14"/>
        </w:rPr>
      </w:pPr>
      <w:r w:rsidRPr="00C521A0">
        <w:rPr>
          <w:rStyle w:val="FootnoteReference"/>
        </w:rPr>
        <w:footnoteRef/>
      </w:r>
      <w:r w:rsidRPr="00C521A0">
        <w:rPr>
          <w:rStyle w:val="FootnoteReference"/>
        </w:rPr>
        <w:t xml:space="preserve"> </w:t>
      </w:r>
      <w:r w:rsidRPr="00D948D3">
        <w:rPr>
          <w:szCs w:val="14"/>
        </w:rPr>
        <w:t>Ibid.</w:t>
      </w:r>
    </w:p>
  </w:footnote>
  <w:footnote w:id="41">
    <w:p w14:paraId="3DDD5DDB" w14:textId="77777777" w:rsidR="00EE35E3" w:rsidRPr="005F2F79" w:rsidRDefault="00EE35E3" w:rsidP="00655D73">
      <w:pPr>
        <w:pStyle w:val="FootnoteText"/>
        <w:contextualSpacing w:val="0"/>
      </w:pPr>
      <w:r w:rsidRPr="00C521A0">
        <w:rPr>
          <w:rStyle w:val="FootnoteReference"/>
        </w:rPr>
        <w:footnoteRef/>
      </w:r>
      <w:r w:rsidRPr="00C521A0">
        <w:rPr>
          <w:rStyle w:val="FootnoteReference"/>
        </w:rPr>
        <w:t xml:space="preserve"> </w:t>
      </w:r>
      <w:r w:rsidRPr="00E100FF">
        <w:rPr>
          <w:szCs w:val="14"/>
        </w:rPr>
        <w:t>A</w:t>
      </w:r>
      <w:r w:rsidRPr="005743C8">
        <w:rPr>
          <w:szCs w:val="14"/>
        </w:rPr>
        <w:t>QEP</w:t>
      </w:r>
      <w:r>
        <w:rPr>
          <w:szCs w:val="14"/>
        </w:rPr>
        <w:t>,</w:t>
      </w:r>
      <w:r w:rsidRPr="005743C8">
        <w:rPr>
          <w:szCs w:val="14"/>
        </w:rPr>
        <w:t xml:space="preserve"> Disability Inclusion Strategy</w:t>
      </w:r>
      <w:r>
        <w:rPr>
          <w:szCs w:val="14"/>
        </w:rPr>
        <w:t>.</w:t>
      </w:r>
    </w:p>
  </w:footnote>
  <w:footnote w:id="42">
    <w:p w14:paraId="3DDD5DDC" w14:textId="77777777" w:rsidR="00EE35E3" w:rsidRDefault="00EE35E3" w:rsidP="00655D73">
      <w:pPr>
        <w:pStyle w:val="FootnoteText"/>
      </w:pPr>
      <w:r>
        <w:rPr>
          <w:rStyle w:val="FootnoteReference"/>
        </w:rPr>
        <w:footnoteRef/>
      </w:r>
      <w:r>
        <w:t xml:space="preserve"> AQEP, Technical Advisory Group 2012.</w:t>
      </w:r>
    </w:p>
  </w:footnote>
  <w:footnote w:id="43">
    <w:p w14:paraId="3DDD5DDD" w14:textId="77777777" w:rsidR="00EE35E3" w:rsidRDefault="00EE35E3" w:rsidP="00655D73">
      <w:pPr>
        <w:pStyle w:val="FootnoteText"/>
      </w:pPr>
      <w:r>
        <w:rPr>
          <w:rStyle w:val="FootnoteReference"/>
        </w:rPr>
        <w:footnoteRef/>
      </w:r>
      <w:r>
        <w:rPr>
          <w:i/>
        </w:rPr>
        <w:t xml:space="preserve"> </w:t>
      </w:r>
      <w:r w:rsidRPr="00EC3F62">
        <w:rPr>
          <w:i/>
        </w:rPr>
        <w:t>Contractor Performance Management Report</w:t>
      </w:r>
      <w:r>
        <w:t xml:space="preserve">, October 2012, AusAID. </w:t>
      </w:r>
    </w:p>
  </w:footnote>
  <w:footnote w:id="44">
    <w:p w14:paraId="3DDD5DDE" w14:textId="77777777" w:rsidR="00EE35E3" w:rsidRDefault="00EE35E3" w:rsidP="00BD3620">
      <w:pPr>
        <w:pStyle w:val="FootnoteText"/>
      </w:pPr>
      <w:r w:rsidRPr="00C17D14">
        <w:rPr>
          <w:rStyle w:val="FootnoteReference"/>
        </w:rPr>
        <w:footnoteRef/>
      </w:r>
      <w:r w:rsidRPr="00C17D14">
        <w:rPr>
          <w:rStyle w:val="FootnoteReference"/>
        </w:rPr>
        <w:t xml:space="preserve"> </w:t>
      </w:r>
      <w:r w:rsidRPr="00C17D14">
        <w:t>AusAID, analysis of Fiji’s 2013 national budget.</w:t>
      </w:r>
    </w:p>
  </w:footnote>
  <w:footnote w:id="45">
    <w:p w14:paraId="3DDD5DDF" w14:textId="77777777" w:rsidR="00EE35E3" w:rsidRDefault="00EE35E3" w:rsidP="00BD3620">
      <w:pPr>
        <w:pStyle w:val="FootnoteText"/>
      </w:pPr>
      <w:r w:rsidRPr="00C17D14">
        <w:rPr>
          <w:rStyle w:val="FootnoteReference"/>
        </w:rPr>
        <w:footnoteRef/>
      </w:r>
      <w:r w:rsidRPr="00C17D14">
        <w:rPr>
          <w:rStyle w:val="FootnoteReference"/>
        </w:rPr>
        <w:t xml:space="preserve"> </w:t>
      </w:r>
      <w:r>
        <w:t>AusAID, analysis of annual Government of Fiji budgets, 2005–11.</w:t>
      </w:r>
    </w:p>
  </w:footnote>
  <w:footnote w:id="46">
    <w:p w14:paraId="3DDD5DE0" w14:textId="2D175663" w:rsidR="00EE35E3" w:rsidRDefault="00EE35E3">
      <w:pPr>
        <w:pStyle w:val="FootnoteText"/>
      </w:pPr>
      <w:r w:rsidRPr="00C17D14">
        <w:rPr>
          <w:rStyle w:val="FootnoteReference"/>
        </w:rPr>
        <w:footnoteRef/>
      </w:r>
      <w:r w:rsidRPr="00C17D14">
        <w:rPr>
          <w:rStyle w:val="FootnoteReference"/>
        </w:rPr>
        <w:t xml:space="preserve"> </w:t>
      </w:r>
      <w:r>
        <w:t xml:space="preserve">DFAT, </w:t>
      </w:r>
      <w:r w:rsidRPr="00EC3F62">
        <w:rPr>
          <w:i/>
        </w:rPr>
        <w:t>2011 Pacific Regional MDGs Tracking Report</w:t>
      </w:r>
      <w:r>
        <w:rPr>
          <w:i/>
        </w:rPr>
        <w:t>.</w:t>
      </w:r>
    </w:p>
  </w:footnote>
  <w:footnote w:id="47">
    <w:p w14:paraId="3DDD5DE1" w14:textId="77777777" w:rsidR="00EE35E3" w:rsidRDefault="00EE35E3" w:rsidP="00655D73">
      <w:pPr>
        <w:pStyle w:val="FootnoteText"/>
      </w:pPr>
      <w:r w:rsidRPr="00C17D14">
        <w:rPr>
          <w:rStyle w:val="FootnoteReference"/>
        </w:rPr>
        <w:footnoteRef/>
      </w:r>
      <w:r w:rsidRPr="00C17D14">
        <w:rPr>
          <w:rStyle w:val="FootnoteReference"/>
        </w:rPr>
        <w:t xml:space="preserve"> </w:t>
      </w:r>
      <w:r w:rsidRPr="00244990">
        <w:rPr>
          <w:color w:val="000000" w:themeColor="text1"/>
          <w:szCs w:val="14"/>
        </w:rPr>
        <w:t xml:space="preserve">FHSSP, </w:t>
      </w:r>
      <w:r>
        <w:rPr>
          <w:color w:val="000000" w:themeColor="text1"/>
          <w:szCs w:val="14"/>
        </w:rPr>
        <w:t>d</w:t>
      </w:r>
      <w:r w:rsidRPr="00244990">
        <w:rPr>
          <w:color w:val="000000" w:themeColor="text1"/>
          <w:szCs w:val="14"/>
        </w:rPr>
        <w:t xml:space="preserve">raft </w:t>
      </w:r>
      <w:r>
        <w:rPr>
          <w:color w:val="000000" w:themeColor="text1"/>
          <w:szCs w:val="14"/>
        </w:rPr>
        <w:t>m</w:t>
      </w:r>
      <w:r w:rsidRPr="00244990">
        <w:rPr>
          <w:color w:val="000000" w:themeColor="text1"/>
          <w:szCs w:val="14"/>
        </w:rPr>
        <w:t>id-</w:t>
      </w:r>
      <w:r>
        <w:rPr>
          <w:color w:val="000000" w:themeColor="text1"/>
          <w:szCs w:val="14"/>
        </w:rPr>
        <w:t>t</w:t>
      </w:r>
      <w:r w:rsidRPr="00244990">
        <w:rPr>
          <w:color w:val="000000" w:themeColor="text1"/>
          <w:szCs w:val="14"/>
        </w:rPr>
        <w:t xml:space="preserve">erm </w:t>
      </w:r>
      <w:r>
        <w:rPr>
          <w:color w:val="000000" w:themeColor="text1"/>
          <w:szCs w:val="14"/>
        </w:rPr>
        <w:t>r</w:t>
      </w:r>
      <w:r w:rsidRPr="00244990">
        <w:rPr>
          <w:color w:val="000000" w:themeColor="text1"/>
          <w:szCs w:val="14"/>
        </w:rPr>
        <w:t>eview, March 2013</w:t>
      </w:r>
      <w:r>
        <w:rPr>
          <w:color w:val="000000" w:themeColor="text1"/>
          <w:szCs w:val="14"/>
        </w:rPr>
        <w:t>.</w:t>
      </w:r>
    </w:p>
  </w:footnote>
  <w:footnote w:id="48">
    <w:p w14:paraId="3DDD5DE2" w14:textId="77777777" w:rsidR="00EE35E3" w:rsidRPr="00603701" w:rsidRDefault="00EE35E3" w:rsidP="00655D73">
      <w:pPr>
        <w:pStyle w:val="FootnoteText"/>
        <w:rPr>
          <w:szCs w:val="14"/>
        </w:rPr>
      </w:pPr>
      <w:r w:rsidRPr="00C17D14">
        <w:rPr>
          <w:rStyle w:val="FootnoteReference"/>
        </w:rPr>
        <w:footnoteRef/>
      </w:r>
      <w:r w:rsidRPr="00C17D14">
        <w:rPr>
          <w:rStyle w:val="FootnoteReference"/>
        </w:rPr>
        <w:t xml:space="preserve"> </w:t>
      </w:r>
      <w:r w:rsidRPr="00603701">
        <w:rPr>
          <w:szCs w:val="14"/>
        </w:rPr>
        <w:t>Ibid.</w:t>
      </w:r>
    </w:p>
  </w:footnote>
  <w:footnote w:id="49">
    <w:p w14:paraId="3DDD5DE3" w14:textId="77777777" w:rsidR="00EE35E3" w:rsidRDefault="00EE35E3" w:rsidP="00655D73">
      <w:pPr>
        <w:pStyle w:val="FootnoteText"/>
      </w:pPr>
      <w:r w:rsidRPr="00C17D14">
        <w:rPr>
          <w:rStyle w:val="FootnoteReference"/>
        </w:rPr>
        <w:footnoteRef/>
      </w:r>
      <w:r w:rsidRPr="00C17D14">
        <w:rPr>
          <w:rStyle w:val="FootnoteReference"/>
        </w:rPr>
        <w:t xml:space="preserve"> </w:t>
      </w:r>
      <w:r w:rsidRPr="00603701">
        <w:rPr>
          <w:color w:val="000000" w:themeColor="text1"/>
          <w:szCs w:val="14"/>
        </w:rPr>
        <w:t>Ibid.</w:t>
      </w:r>
    </w:p>
  </w:footnote>
  <w:footnote w:id="50">
    <w:p w14:paraId="3DDD5DE4" w14:textId="77777777" w:rsidR="00EE35E3" w:rsidRDefault="00EE35E3" w:rsidP="00655D73">
      <w:pPr>
        <w:pStyle w:val="FootnoteText"/>
      </w:pPr>
      <w:r>
        <w:rPr>
          <w:rStyle w:val="FootnoteReference"/>
        </w:rPr>
        <w:footnoteRef/>
      </w:r>
      <w:r>
        <w:t xml:space="preserve"> FHSSP, </w:t>
      </w:r>
      <w:r w:rsidRPr="00951C86">
        <w:rPr>
          <w:i/>
        </w:rPr>
        <w:t>FHSSP Annual Report 2012</w:t>
      </w:r>
      <w:r>
        <w:rPr>
          <w:i/>
        </w:rPr>
        <w:t>.</w:t>
      </w:r>
    </w:p>
  </w:footnote>
  <w:footnote w:id="51">
    <w:p w14:paraId="3DDD5DE5" w14:textId="77777777" w:rsidR="00EE35E3" w:rsidRDefault="00EE35E3" w:rsidP="00655D73">
      <w:pPr>
        <w:pStyle w:val="FootnoteText"/>
      </w:pPr>
      <w:r>
        <w:rPr>
          <w:rStyle w:val="FootnoteReference"/>
        </w:rPr>
        <w:footnoteRef/>
      </w:r>
      <w:r>
        <w:t xml:space="preserve"> Ibid.</w:t>
      </w:r>
    </w:p>
  </w:footnote>
  <w:footnote w:id="52">
    <w:p w14:paraId="3DDD5DE6" w14:textId="77777777" w:rsidR="00EE35E3" w:rsidRDefault="00EE35E3" w:rsidP="00655D73">
      <w:pPr>
        <w:pStyle w:val="FootnoteText"/>
      </w:pPr>
      <w:r>
        <w:rPr>
          <w:rStyle w:val="FootnoteReference"/>
        </w:rPr>
        <w:footnoteRef/>
      </w:r>
      <w:r>
        <w:t xml:space="preserve"> Ibid., Annex 2, Q4 Key Achievements Against Program Objectives—Objective 2.</w:t>
      </w:r>
    </w:p>
  </w:footnote>
  <w:footnote w:id="53">
    <w:p w14:paraId="3DDD5DE7" w14:textId="47A1DD67" w:rsidR="00EE35E3" w:rsidRPr="003C3EF9" w:rsidRDefault="00EE35E3">
      <w:pPr>
        <w:pStyle w:val="FootnoteText"/>
      </w:pPr>
      <w:r>
        <w:rPr>
          <w:rStyle w:val="FootnoteReference"/>
        </w:rPr>
        <w:footnoteRef/>
      </w:r>
      <w:r>
        <w:t xml:space="preserve">  </w:t>
      </w:r>
      <w:r w:rsidRPr="003C3EF9">
        <w:t>Fiji Country Strategy 2012–14.</w:t>
      </w:r>
    </w:p>
  </w:footnote>
  <w:footnote w:id="54">
    <w:p w14:paraId="3DDD5DE8" w14:textId="77777777" w:rsidR="00EE35E3" w:rsidRDefault="00EE35E3" w:rsidP="00655D73">
      <w:pPr>
        <w:pStyle w:val="FootnoteText"/>
      </w:pPr>
      <w:r>
        <w:rPr>
          <w:rStyle w:val="FootnoteReference"/>
        </w:rPr>
        <w:footnoteRef/>
      </w:r>
      <w:r>
        <w:t xml:space="preserve"> </w:t>
      </w:r>
      <w:hyperlink r:id="rId2" w:history="1">
        <w:r w:rsidRPr="00194C0B">
          <w:rPr>
            <w:rStyle w:val="Hyperlink"/>
            <w:sz w:val="16"/>
            <w:szCs w:val="16"/>
          </w:rPr>
          <w:t>http://www.fijitimes.com/story.aspx?id=217178</w:t>
        </w:r>
      </w:hyperlink>
      <w:r>
        <w:rPr>
          <w:szCs w:val="16"/>
        </w:rPr>
        <w:t xml:space="preserve"> </w:t>
      </w:r>
    </w:p>
  </w:footnote>
  <w:footnote w:id="55">
    <w:p w14:paraId="3DDD5DE9" w14:textId="77777777" w:rsidR="00EE35E3" w:rsidRPr="00C17D14" w:rsidRDefault="00EE35E3" w:rsidP="00655D73">
      <w:pPr>
        <w:pStyle w:val="FootnoteText"/>
      </w:pPr>
      <w:r w:rsidRPr="00C17D14">
        <w:rPr>
          <w:rStyle w:val="FootnoteReference"/>
        </w:rPr>
        <w:footnoteRef/>
      </w:r>
      <w:r>
        <w:t xml:space="preserve"> </w:t>
      </w:r>
      <w:r w:rsidRPr="00C17D14">
        <w:t>FHSSP, draft mid-term review, March 2013.</w:t>
      </w:r>
    </w:p>
  </w:footnote>
  <w:footnote w:id="56">
    <w:p w14:paraId="7EB83232" w14:textId="142852DC" w:rsidR="00852C85" w:rsidRDefault="00852C85">
      <w:pPr>
        <w:pStyle w:val="FootnoteText"/>
      </w:pPr>
      <w:r>
        <w:rPr>
          <w:rStyle w:val="FootnoteReference"/>
        </w:rPr>
        <w:footnoteRef/>
      </w:r>
      <w:r>
        <w:t xml:space="preserve"> </w:t>
      </w:r>
      <w:r>
        <w:t>Prior to 2012-13 Aid Program Performance Reports were called Annual Program Performance Reports</w:t>
      </w:r>
      <w:r>
        <w:t>.</w:t>
      </w:r>
      <w:bookmarkStart w:id="0" w:name="_GoBack"/>
      <w:bookmarkEnd w:id="0"/>
    </w:p>
  </w:footnote>
  <w:footnote w:id="57">
    <w:p w14:paraId="3DDD5DEB" w14:textId="77777777" w:rsidR="00EE35E3" w:rsidRPr="00B92DD0" w:rsidRDefault="00EE35E3">
      <w:pPr>
        <w:pStyle w:val="FootnoteText"/>
      </w:pPr>
      <w:r w:rsidRPr="00C17D14">
        <w:rPr>
          <w:rStyle w:val="FootnoteReference"/>
        </w:rPr>
        <w:footnoteRef/>
      </w:r>
      <w:r w:rsidRPr="00C17D14">
        <w:rPr>
          <w:rStyle w:val="FootnoteReference"/>
        </w:rPr>
        <w:t xml:space="preserve"> </w:t>
      </w:r>
      <w:r w:rsidRPr="00B92DD0">
        <w:t>An amber rating indicates that progress is somewhat less than expected at this time and restorative action will be necessary if the objective is to be achieved. A green rating indicates that progress is as expected at this time and it is therefore likely the objective will be achieved.</w:t>
      </w:r>
    </w:p>
  </w:footnote>
  <w:footnote w:id="58">
    <w:p w14:paraId="3DDD5DEC" w14:textId="77777777" w:rsidR="00EE35E3" w:rsidRPr="00270CB6" w:rsidRDefault="00EE35E3" w:rsidP="00655D73">
      <w:pPr>
        <w:pStyle w:val="FootnoteText"/>
        <w:rPr>
          <w:szCs w:val="14"/>
        </w:rPr>
      </w:pPr>
      <w:r w:rsidRPr="00B92DD0">
        <w:rPr>
          <w:rStyle w:val="FootnoteReference"/>
        </w:rPr>
        <w:footnoteRef/>
      </w:r>
      <w:r w:rsidRPr="00B92DD0">
        <w:rPr>
          <w:rStyle w:val="FootnoteReference"/>
        </w:rPr>
        <w:t xml:space="preserve"> </w:t>
      </w:r>
      <w:r w:rsidRPr="00270CB6">
        <w:rPr>
          <w:rFonts w:eastAsiaTheme="minorHAnsi"/>
          <w:bCs/>
          <w:color w:val="000000"/>
          <w:szCs w:val="14"/>
          <w:lang w:eastAsia="en-US"/>
        </w:rPr>
        <w:t>W Lal Narsey</w:t>
      </w:r>
      <w:r w:rsidRPr="00270CB6">
        <w:rPr>
          <w:rFonts w:ascii="SegoeUI" w:eastAsiaTheme="minorHAnsi" w:hAnsi="SegoeUI" w:cs="SegoeUI"/>
          <w:szCs w:val="14"/>
          <w:lang w:eastAsia="en-US"/>
        </w:rPr>
        <w:t xml:space="preserve">, </w:t>
      </w:r>
      <w:r w:rsidRPr="00270CB6">
        <w:rPr>
          <w:rFonts w:eastAsiaTheme="minorHAnsi"/>
          <w:bCs/>
          <w:i/>
          <w:color w:val="000000"/>
          <w:szCs w:val="14"/>
          <w:lang w:eastAsia="en-US"/>
        </w:rPr>
        <w:t>Poverty in Fiji:</w:t>
      </w:r>
      <w:r w:rsidRPr="00270CB6">
        <w:rPr>
          <w:rFonts w:eastAsiaTheme="minorHAnsi"/>
          <w:i/>
          <w:color w:val="000000"/>
          <w:szCs w:val="14"/>
          <w:lang w:eastAsia="en-US"/>
        </w:rPr>
        <w:t xml:space="preserve"> </w:t>
      </w:r>
      <w:r w:rsidRPr="00270CB6">
        <w:rPr>
          <w:rFonts w:eastAsiaTheme="minorHAnsi"/>
          <w:bCs/>
          <w:i/>
          <w:color w:val="000000"/>
          <w:szCs w:val="14"/>
          <w:lang w:eastAsia="en-US"/>
        </w:rPr>
        <w:t>Changes 2002–03 to 2008–09 and policy implications</w:t>
      </w:r>
      <w:r w:rsidRPr="00270CB6">
        <w:rPr>
          <w:rFonts w:eastAsiaTheme="minorHAnsi"/>
          <w:bCs/>
          <w:color w:val="000000"/>
          <w:szCs w:val="14"/>
          <w:lang w:eastAsia="en-US"/>
        </w:rPr>
        <w:t>, 2012</w:t>
      </w:r>
    </w:p>
  </w:footnote>
  <w:footnote w:id="59">
    <w:p w14:paraId="3DDD5DED" w14:textId="77777777" w:rsidR="00EE35E3" w:rsidRPr="00270CB6" w:rsidRDefault="00EE35E3" w:rsidP="00655D73">
      <w:pPr>
        <w:pStyle w:val="FootnoteText"/>
        <w:rPr>
          <w:szCs w:val="14"/>
        </w:rPr>
      </w:pPr>
      <w:r w:rsidRPr="00B92DD0">
        <w:rPr>
          <w:rStyle w:val="FootnoteReference"/>
        </w:rPr>
        <w:footnoteRef/>
      </w:r>
      <w:r w:rsidRPr="00B92DD0">
        <w:rPr>
          <w:rStyle w:val="FootnoteReference"/>
        </w:rPr>
        <w:t xml:space="preserve"> </w:t>
      </w:r>
      <w:r w:rsidRPr="00270CB6">
        <w:rPr>
          <w:szCs w:val="14"/>
        </w:rPr>
        <w:t>Independent Advisory Group, Market Development Facility Inception Assessment, July 2012.</w:t>
      </w:r>
    </w:p>
  </w:footnote>
  <w:footnote w:id="60">
    <w:p w14:paraId="3DDD5DEE" w14:textId="77777777" w:rsidR="00EE35E3" w:rsidRDefault="00EE35E3" w:rsidP="00655D73">
      <w:pPr>
        <w:pStyle w:val="FootnoteText"/>
      </w:pPr>
      <w:r w:rsidRPr="00B92DD0">
        <w:rPr>
          <w:rStyle w:val="FootnoteReference"/>
        </w:rPr>
        <w:footnoteRef/>
      </w:r>
      <w:r w:rsidRPr="00B92DD0">
        <w:rPr>
          <w:rStyle w:val="FootnoteReference"/>
        </w:rPr>
        <w:t xml:space="preserve"> </w:t>
      </w:r>
      <w:r w:rsidRPr="00270CB6">
        <w:rPr>
          <w:szCs w:val="14"/>
        </w:rPr>
        <w:t>Results provided by MDF’s managing contractor, Cardno, 24 May 2013.</w:t>
      </w:r>
    </w:p>
  </w:footnote>
  <w:footnote w:id="61">
    <w:p w14:paraId="3DDD5DEF" w14:textId="77777777" w:rsidR="00EE35E3" w:rsidRDefault="00EE35E3">
      <w:pPr>
        <w:pStyle w:val="FootnoteText"/>
      </w:pPr>
      <w:r w:rsidRPr="00B92DD0">
        <w:rPr>
          <w:rStyle w:val="FootnoteReference"/>
        </w:rPr>
        <w:footnoteRef/>
      </w:r>
      <w:r w:rsidRPr="00B92DD0">
        <w:rPr>
          <w:rStyle w:val="FootnoteReference"/>
        </w:rPr>
        <w:t xml:space="preserve"> </w:t>
      </w:r>
      <w:r w:rsidRPr="00B92DD0">
        <w:t>PHAMA provides a structured, evidence-based approach for addressing market access issues, specifically regulatory and quarantine requirements for mainly horticulture and agriculture, but also marine and fish as well as forestry and timber. This has consistently been identified as a major impediment to developing agricultural export markets and agricultural livelihoods for the Pacific.</w:t>
      </w:r>
    </w:p>
  </w:footnote>
  <w:footnote w:id="62">
    <w:p w14:paraId="3DDD5DF0" w14:textId="77777777" w:rsidR="00EE35E3" w:rsidRDefault="00EE35E3" w:rsidP="00655D73">
      <w:pPr>
        <w:pStyle w:val="FootnoteText"/>
      </w:pPr>
      <w:r w:rsidRPr="00B92DD0">
        <w:rPr>
          <w:rStyle w:val="FootnoteReference"/>
        </w:rPr>
        <w:footnoteRef/>
      </w:r>
      <w:r w:rsidRPr="00B92DD0">
        <w:rPr>
          <w:rStyle w:val="FootnoteReference"/>
        </w:rPr>
        <w:t xml:space="preserve"> </w:t>
      </w:r>
      <w:r w:rsidRPr="00EB5716">
        <w:t xml:space="preserve">PFIP results sheet: 2011–12. </w:t>
      </w:r>
    </w:p>
  </w:footnote>
  <w:footnote w:id="63">
    <w:p w14:paraId="3DDD5DF2" w14:textId="77777777" w:rsidR="00EE35E3" w:rsidRDefault="00EE35E3" w:rsidP="00655D73">
      <w:pPr>
        <w:pStyle w:val="FootnoteText"/>
      </w:pPr>
      <w:r w:rsidRPr="00B92DD0">
        <w:rPr>
          <w:rStyle w:val="FootnoteReference"/>
        </w:rPr>
        <w:footnoteRef/>
      </w:r>
      <w:r w:rsidRPr="00B92DD0">
        <w:rPr>
          <w:rStyle w:val="FootnoteReference"/>
        </w:rPr>
        <w:t xml:space="preserve"> </w:t>
      </w:r>
      <w:r>
        <w:t>Citizens’ Constitution Forum, Civic Education Project Extension, Final Report, February 2013.</w:t>
      </w:r>
    </w:p>
  </w:footnote>
  <w:footnote w:id="64">
    <w:p w14:paraId="3DDD5DF3" w14:textId="77777777" w:rsidR="00EE35E3" w:rsidRDefault="00EE35E3" w:rsidP="00655D73">
      <w:pPr>
        <w:pStyle w:val="FootnoteText"/>
      </w:pPr>
      <w:r w:rsidRPr="00B92DD0">
        <w:rPr>
          <w:rStyle w:val="FootnoteReference"/>
        </w:rPr>
        <w:footnoteRef/>
      </w:r>
      <w:r w:rsidRPr="00B92DD0">
        <w:rPr>
          <w:rStyle w:val="FootnoteReference"/>
        </w:rPr>
        <w:t xml:space="preserve"> </w:t>
      </w:r>
      <w:r>
        <w:t>FCDP,</w:t>
      </w:r>
      <w:r w:rsidRPr="00D9700A">
        <w:t xml:space="preserve"> Six Monthly</w:t>
      </w:r>
      <w:r>
        <w:t xml:space="preserve"> Progress Report, January 2013.</w:t>
      </w:r>
    </w:p>
  </w:footnote>
  <w:footnote w:id="65">
    <w:p w14:paraId="3DDD5DF4" w14:textId="77777777" w:rsidR="00EE35E3" w:rsidRPr="00E91C6E" w:rsidRDefault="00EE35E3" w:rsidP="00B92DD0">
      <w:pPr>
        <w:jc w:val="both"/>
        <w:rPr>
          <w:sz w:val="14"/>
          <w:szCs w:val="14"/>
        </w:rPr>
      </w:pPr>
      <w:r w:rsidRPr="00B92DD0">
        <w:rPr>
          <w:rStyle w:val="FootnoteReference"/>
        </w:rPr>
        <w:footnoteRef/>
      </w:r>
      <w:r w:rsidRPr="00B92DD0">
        <w:rPr>
          <w:rStyle w:val="FootnoteReference"/>
        </w:rPr>
        <w:t xml:space="preserve"> </w:t>
      </w:r>
      <w:r w:rsidRPr="00B92DD0">
        <w:rPr>
          <w:rStyle w:val="FootnoteTextChar"/>
          <w:rFonts w:eastAsia="SimSun"/>
        </w:rPr>
        <w:t xml:space="preserve">M Brandt, J Cottrell, Y Ghai and A Regan 2011, </w:t>
      </w:r>
      <w:r w:rsidRPr="00B92DD0">
        <w:rPr>
          <w:rStyle w:val="FootnoteTextChar"/>
          <w:rFonts w:eastAsia="SimSun"/>
          <w:i/>
        </w:rPr>
        <w:t>Constitution-making and Reform: Options for the Process</w:t>
      </w:r>
      <w:r w:rsidRPr="00B92DD0">
        <w:rPr>
          <w:rStyle w:val="FootnoteTextChar"/>
          <w:rFonts w:eastAsia="SimSun"/>
        </w:rPr>
        <w:t>, Interpeace.</w:t>
      </w:r>
    </w:p>
  </w:footnote>
  <w:footnote w:id="66">
    <w:p w14:paraId="3DDD5DF5" w14:textId="77777777" w:rsidR="00EE35E3" w:rsidRDefault="00EE35E3" w:rsidP="00655D73">
      <w:pPr>
        <w:pStyle w:val="FootnoteText"/>
      </w:pPr>
      <w:r w:rsidRPr="00B92DD0">
        <w:rPr>
          <w:rStyle w:val="FootnoteReference"/>
        </w:rPr>
        <w:footnoteRef/>
      </w:r>
      <w:r w:rsidRPr="00B92DD0">
        <w:rPr>
          <w:rStyle w:val="FootnoteReference"/>
        </w:rPr>
        <w:t xml:space="preserve"> </w:t>
      </w:r>
      <w:r>
        <w:t>Fiji Women’s Forum, 2013.</w:t>
      </w:r>
    </w:p>
  </w:footnote>
  <w:footnote w:id="67">
    <w:p w14:paraId="3DDD5DF6" w14:textId="17CD6BDA" w:rsidR="00EE35E3" w:rsidRDefault="00EE35E3" w:rsidP="00D13D44">
      <w:pPr>
        <w:pStyle w:val="FootnoteText"/>
      </w:pPr>
      <w:r w:rsidRPr="00B92DD0">
        <w:rPr>
          <w:rStyle w:val="FootnoteReference"/>
        </w:rPr>
        <w:footnoteRef/>
      </w:r>
      <w:r w:rsidRPr="00B92DD0">
        <w:rPr>
          <w:rStyle w:val="FootnoteReference"/>
        </w:rPr>
        <w:t xml:space="preserve"> </w:t>
      </w:r>
      <w:r>
        <w:t xml:space="preserve"> Fiji Country Strategy 2012–14.</w:t>
      </w:r>
    </w:p>
  </w:footnote>
  <w:footnote w:id="68">
    <w:p w14:paraId="3DDD5DF7" w14:textId="77777777" w:rsidR="00EE35E3" w:rsidRDefault="00EE35E3">
      <w:pPr>
        <w:pStyle w:val="FootnoteText"/>
      </w:pPr>
      <w:r w:rsidRPr="00B92DD0">
        <w:rPr>
          <w:rStyle w:val="FootnoteReference"/>
        </w:rPr>
        <w:footnoteRef/>
      </w:r>
      <w:r w:rsidRPr="00B92DD0">
        <w:rPr>
          <w:rStyle w:val="FootnoteReference"/>
        </w:rPr>
        <w:t xml:space="preserve"> </w:t>
      </w:r>
      <w:r w:rsidRPr="004C7296">
        <w:t>This funding comprises various funding sources.</w:t>
      </w:r>
    </w:p>
  </w:footnote>
  <w:footnote w:id="69">
    <w:p w14:paraId="3DDD5DF8" w14:textId="77777777" w:rsidR="00EE35E3" w:rsidRPr="00B92DD0" w:rsidRDefault="00EE35E3" w:rsidP="00603701">
      <w:pPr>
        <w:pStyle w:val="EndnoteText"/>
        <w:jc w:val="both"/>
        <w:rPr>
          <w:color w:val="1F497D" w:themeColor="text2"/>
          <w:sz w:val="16"/>
          <w:szCs w:val="16"/>
        </w:rPr>
      </w:pPr>
      <w:r w:rsidRPr="00B92DD0">
        <w:rPr>
          <w:rStyle w:val="FootnoteReference"/>
        </w:rPr>
        <w:footnoteRef/>
      </w:r>
      <w:r w:rsidRPr="00B92DD0">
        <w:rPr>
          <w:rStyle w:val="FootnoteReference"/>
        </w:rPr>
        <w:t xml:space="preserve"> </w:t>
      </w:r>
      <w:hyperlink r:id="rId3" w:anchor="F" w:history="1">
        <w:r w:rsidRPr="00B92DD0">
          <w:rPr>
            <w:rStyle w:val="Hyperlink"/>
            <w:color w:val="1F497D" w:themeColor="text2"/>
            <w:sz w:val="16"/>
            <w:szCs w:val="16"/>
          </w:rPr>
          <w:t>http://www.un.org/disabilities/countries.asp?navid=12&amp;pid=166#F</w:t>
        </w:r>
      </w:hyperlink>
    </w:p>
  </w:footnote>
  <w:footnote w:id="70">
    <w:p w14:paraId="3DDD5DF9" w14:textId="77777777" w:rsidR="00EE35E3" w:rsidRPr="00603701" w:rsidRDefault="00EE35E3" w:rsidP="00603701">
      <w:pPr>
        <w:pStyle w:val="EndnoteText"/>
        <w:jc w:val="both"/>
        <w:rPr>
          <w:sz w:val="16"/>
          <w:szCs w:val="16"/>
        </w:rPr>
      </w:pPr>
      <w:r w:rsidRPr="00B92DD0">
        <w:rPr>
          <w:rStyle w:val="FootnoteReference"/>
        </w:rPr>
        <w:footnoteRef/>
      </w:r>
      <w:r>
        <w:t xml:space="preserve"> </w:t>
      </w:r>
      <w:hyperlink r:id="rId4" w:anchor="21" w:history="1">
        <w:r w:rsidRPr="00B92DD0">
          <w:rPr>
            <w:rStyle w:val="Hyperlink"/>
            <w:color w:val="1F497D" w:themeColor="text2"/>
            <w:sz w:val="16"/>
            <w:szCs w:val="16"/>
          </w:rPr>
          <w:t>http://treaties.un.org/Pages/ViewDetails.aspx?src=TREATY&amp;mtdsg_no=IV-8&amp;chapter=4&amp;lang=en#21</w:t>
        </w:r>
      </w:hyperlink>
    </w:p>
  </w:footnote>
  <w:footnote w:id="71">
    <w:p w14:paraId="3DDD5DFA" w14:textId="77777777" w:rsidR="00EE35E3" w:rsidRPr="00603701" w:rsidRDefault="00EE35E3" w:rsidP="00655D73">
      <w:pPr>
        <w:pStyle w:val="FootnoteText"/>
        <w:rPr>
          <w:szCs w:val="16"/>
        </w:rPr>
      </w:pPr>
      <w:r w:rsidRPr="00B92DD0">
        <w:rPr>
          <w:rStyle w:val="FootnoteReference"/>
        </w:rPr>
        <w:footnoteRef/>
      </w:r>
      <w:r w:rsidRPr="00B92DD0">
        <w:rPr>
          <w:rStyle w:val="FootnoteReference"/>
        </w:rPr>
        <w:t xml:space="preserve"> </w:t>
      </w:r>
      <w:hyperlink r:id="rId5" w:history="1">
        <w:r w:rsidRPr="00B92DD0">
          <w:rPr>
            <w:rStyle w:val="Hyperlink"/>
            <w:color w:val="1F497D" w:themeColor="text2"/>
            <w:sz w:val="16"/>
            <w:szCs w:val="16"/>
          </w:rPr>
          <w:t>http://treaties.un.org/Pages/ViewDetails.aspx?src=TREATY&amp;mtdsg_no=IV-11&amp;chapter=4&amp;lang=en</w:t>
        </w:r>
      </w:hyperlink>
    </w:p>
  </w:footnote>
  <w:footnote w:id="72">
    <w:p w14:paraId="3DDD5DFB" w14:textId="77777777" w:rsidR="00EE35E3" w:rsidRPr="00603701" w:rsidRDefault="00EE35E3" w:rsidP="00655D73">
      <w:pPr>
        <w:pStyle w:val="FootnoteText"/>
        <w:rPr>
          <w:szCs w:val="16"/>
        </w:rPr>
      </w:pPr>
      <w:r w:rsidRPr="00B92DD0">
        <w:rPr>
          <w:rStyle w:val="FootnoteReference"/>
        </w:rPr>
        <w:footnoteRef/>
      </w:r>
      <w:r w:rsidRPr="00B92DD0">
        <w:rPr>
          <w:rStyle w:val="FootnoteReference"/>
        </w:rPr>
        <w:t xml:space="preserve"> </w:t>
      </w:r>
      <w:hyperlink r:id="rId6" w:history="1">
        <w:r w:rsidRPr="00B92DD0">
          <w:rPr>
            <w:rStyle w:val="Hyperlink"/>
            <w:color w:val="1F497D" w:themeColor="text2"/>
            <w:sz w:val="16"/>
            <w:szCs w:val="16"/>
          </w:rPr>
          <w:t>http://www.unescap.org/stat/disability/census-ws/APDDP2-INF2.pdf</w:t>
        </w:r>
      </w:hyperlink>
    </w:p>
  </w:footnote>
  <w:footnote w:id="73">
    <w:p w14:paraId="3DDD5DFC" w14:textId="77777777" w:rsidR="00EE35E3" w:rsidRPr="00603701" w:rsidRDefault="00EE35E3" w:rsidP="00655D73">
      <w:pPr>
        <w:pStyle w:val="FootnoteText"/>
        <w:rPr>
          <w:szCs w:val="16"/>
        </w:rPr>
      </w:pPr>
      <w:r w:rsidRPr="00B92DD0">
        <w:rPr>
          <w:rStyle w:val="FootnoteReference"/>
        </w:rPr>
        <w:footnoteRef/>
      </w:r>
      <w:r w:rsidRPr="00B92DD0">
        <w:rPr>
          <w:rStyle w:val="FootnoteReference"/>
        </w:rPr>
        <w:t xml:space="preserve"> </w:t>
      </w:r>
      <w:r w:rsidRPr="00603701">
        <w:rPr>
          <w:szCs w:val="16"/>
        </w:rPr>
        <w:t xml:space="preserve">Fiji National Council for Disabled Persons with the MoH, </w:t>
      </w:r>
      <w:r w:rsidRPr="00E100FF">
        <w:rPr>
          <w:i/>
          <w:szCs w:val="16"/>
        </w:rPr>
        <w:t>Women and Social Welfare</w:t>
      </w:r>
      <w:r w:rsidRPr="00603701">
        <w:rPr>
          <w:szCs w:val="16"/>
        </w:rPr>
        <w:t xml:space="preserve">, </w:t>
      </w:r>
      <w:hyperlink r:id="rId7" w:history="1">
        <w:r w:rsidRPr="00B92DD0">
          <w:rPr>
            <w:rStyle w:val="Hyperlink"/>
            <w:color w:val="1F497D" w:themeColor="text2"/>
            <w:sz w:val="16"/>
            <w:szCs w:val="16"/>
          </w:rPr>
          <w:t>http://www.fncdp.org/docs/2008-18_NationalDisabilityPolicy.pdf</w:t>
        </w:r>
      </w:hyperlink>
    </w:p>
  </w:footnote>
  <w:footnote w:id="74">
    <w:p w14:paraId="3DDD5DFD" w14:textId="77777777" w:rsidR="00EE35E3" w:rsidRDefault="00EE35E3" w:rsidP="00655D73">
      <w:pPr>
        <w:pStyle w:val="FootnoteText"/>
      </w:pPr>
      <w:r w:rsidRPr="00B92DD0">
        <w:rPr>
          <w:rStyle w:val="FootnoteReference"/>
        </w:rPr>
        <w:footnoteRef/>
      </w:r>
      <w:r w:rsidRPr="00B92DD0">
        <w:rPr>
          <w:rStyle w:val="FootnoteReference"/>
        </w:rPr>
        <w:t xml:space="preserve"> </w:t>
      </w:r>
      <w:r w:rsidRPr="00A06424">
        <w:rPr>
          <w:szCs w:val="14"/>
        </w:rPr>
        <w:t xml:space="preserve">Fiji National Council for Disabled Persons with the MoH, </w:t>
      </w:r>
      <w:r w:rsidRPr="00E100FF">
        <w:rPr>
          <w:i/>
          <w:szCs w:val="14"/>
        </w:rPr>
        <w:t>Women and Social Welfare</w:t>
      </w:r>
      <w:r w:rsidRPr="00A06424">
        <w:rPr>
          <w:szCs w:val="14"/>
        </w:rPr>
        <w:t xml:space="preserve">, </w:t>
      </w:r>
      <w:hyperlink r:id="rId8" w:history="1">
        <w:r w:rsidRPr="00B92DD0">
          <w:rPr>
            <w:rStyle w:val="Hyperlink"/>
            <w:color w:val="1F497D" w:themeColor="text2"/>
            <w:sz w:val="14"/>
            <w:szCs w:val="14"/>
          </w:rPr>
          <w:t>http://www.fncdp.org/docs/2008-18NationalDisabilityPolicy.pdf</w:t>
        </w:r>
      </w:hyperlink>
    </w:p>
  </w:footnote>
  <w:footnote w:id="75">
    <w:p w14:paraId="3DDD5DFE" w14:textId="77777777" w:rsidR="00EE35E3" w:rsidRDefault="00EE35E3" w:rsidP="00655D73">
      <w:pPr>
        <w:pStyle w:val="FootnoteText"/>
      </w:pPr>
      <w:r w:rsidRPr="00B92DD0">
        <w:rPr>
          <w:rStyle w:val="FootnoteReference"/>
        </w:rPr>
        <w:footnoteRef/>
      </w:r>
      <w:r w:rsidRPr="00B92DD0">
        <w:rPr>
          <w:rStyle w:val="FootnoteReference"/>
        </w:rPr>
        <w:t xml:space="preserve"> </w:t>
      </w:r>
      <w:r>
        <w:t>Ibid.</w:t>
      </w:r>
    </w:p>
  </w:footnote>
  <w:footnote w:id="76">
    <w:p w14:paraId="3DDD5DFF" w14:textId="2BD1523F" w:rsidR="00EE35E3" w:rsidRDefault="00EE35E3" w:rsidP="00655D73">
      <w:pPr>
        <w:pStyle w:val="FootnoteText"/>
      </w:pPr>
      <w:r w:rsidRPr="00B92DD0">
        <w:rPr>
          <w:rStyle w:val="FootnoteReference"/>
        </w:rPr>
        <w:footnoteRef/>
      </w:r>
      <w:r w:rsidRPr="00B92DD0">
        <w:rPr>
          <w:rStyle w:val="FootnoteReference"/>
        </w:rPr>
        <w:t xml:space="preserve"> </w:t>
      </w:r>
      <w:r>
        <w:t>Fiji Country Strategy 2012–14.</w:t>
      </w:r>
    </w:p>
  </w:footnote>
  <w:footnote w:id="77">
    <w:p w14:paraId="3DDD5E00" w14:textId="77777777" w:rsidR="00EE35E3" w:rsidRDefault="00EE35E3">
      <w:pPr>
        <w:pStyle w:val="FootnoteText"/>
      </w:pPr>
      <w:r w:rsidRPr="00B92DD0">
        <w:rPr>
          <w:rStyle w:val="FootnoteReference"/>
        </w:rPr>
        <w:footnoteRef/>
      </w:r>
      <w:r w:rsidRPr="00B92DD0">
        <w:rPr>
          <w:rStyle w:val="FootnoteReference"/>
        </w:rPr>
        <w:t xml:space="preserve"> </w:t>
      </w:r>
      <w:r w:rsidRPr="00B92DD0">
        <w:t>These were for the Australian Civil Society Support Program, temporary assistance to Fiji Education, AQEP Fiji, Fiji Scholarships 2011 Intake, FHSSP 2011–13, Fiji Health Sector Interim Assistance, Fiji Community Development Program, FIJI Scholarships —initial, and Transition to Democracy.</w:t>
      </w:r>
    </w:p>
  </w:footnote>
  <w:footnote w:id="78">
    <w:p w14:paraId="3DDD5E01" w14:textId="77777777" w:rsidR="00EE35E3" w:rsidRPr="00071B95" w:rsidRDefault="00EE35E3" w:rsidP="00655D73">
      <w:pPr>
        <w:pStyle w:val="FootnoteText"/>
      </w:pPr>
      <w:r w:rsidRPr="00AD1FE8">
        <w:rPr>
          <w:rStyle w:val="FootnoteReference"/>
        </w:rPr>
        <w:footnoteRef/>
      </w:r>
      <w:r w:rsidRPr="00AD1FE8">
        <w:rPr>
          <w:rStyle w:val="FootnoteReference"/>
        </w:rPr>
        <w:t xml:space="preserve"> </w:t>
      </w:r>
      <w:r w:rsidRPr="00071B95">
        <w:t>‘</w:t>
      </w:r>
      <w:r>
        <w:t>C</w:t>
      </w:r>
      <w:r w:rsidRPr="00071B95">
        <w:t>ompleted’ means the final version of the report has been received</w:t>
      </w:r>
      <w:r>
        <w:t>.</w:t>
      </w:r>
    </w:p>
  </w:footnote>
  <w:footnote w:id="79">
    <w:p w14:paraId="3DDD5E02" w14:textId="77777777" w:rsidR="00EE35E3" w:rsidRPr="00071B95" w:rsidRDefault="00EE35E3" w:rsidP="00655D73">
      <w:pPr>
        <w:pStyle w:val="FootnoteText"/>
      </w:pPr>
      <w:r w:rsidRPr="00F77E6A">
        <w:rPr>
          <w:rStyle w:val="FootnoteReference"/>
        </w:rPr>
        <w:footnoteRef/>
      </w:r>
      <w:r w:rsidRPr="00071B95">
        <w:t xml:space="preserve"> Mid-term review, </w:t>
      </w:r>
      <w:r>
        <w:t>c</w:t>
      </w:r>
      <w:r w:rsidRPr="00071B95">
        <w:t>ompletion report, partner-led evaluation, joint evaluation</w:t>
      </w:r>
      <w:r>
        <w:t>.</w:t>
      </w:r>
    </w:p>
  </w:footnote>
  <w:footnote w:id="80">
    <w:p w14:paraId="3DDD5E03" w14:textId="77777777" w:rsidR="00EE35E3" w:rsidRPr="00551C11" w:rsidRDefault="00EE35E3" w:rsidP="00655D73">
      <w:pPr>
        <w:pStyle w:val="FootnoteText"/>
      </w:pPr>
      <w:r w:rsidRPr="00AD1FE8">
        <w:rPr>
          <w:rStyle w:val="FootnoteReference"/>
        </w:rPr>
        <w:footnoteRef/>
      </w:r>
      <w:r w:rsidRPr="00AD1FE8">
        <w:rPr>
          <w:rStyle w:val="FootnoteReference"/>
        </w:rPr>
        <w:t xml:space="preserve"> </w:t>
      </w:r>
      <w:r w:rsidRPr="00071B95">
        <w:t>To inform a future phase of program, to improve existing program; to verify program outcomes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D5D76" w14:textId="06046499" w:rsidR="00EE35E3" w:rsidRDefault="00EE35E3" w:rsidP="00AD1FE8">
    <w:pPr>
      <w:pStyle w:val="Header"/>
      <w:tabs>
        <w:tab w:val="clear" w:pos="4513"/>
        <w:tab w:val="clear" w:pos="9026"/>
        <w:tab w:val="left" w:pos="12180"/>
      </w:tabs>
    </w:pPr>
    <w:r>
      <w:tab/>
    </w:r>
  </w:p>
  <w:p w14:paraId="3DDD5D77" w14:textId="10FAC9D9" w:rsidR="00EE35E3" w:rsidRDefault="00EE35E3">
    <w:r>
      <w:rPr>
        <w:noProof/>
      </w:rPr>
      <w:drawing>
        <wp:anchor distT="0" distB="0" distL="114300" distR="114300" simplePos="0" relativeHeight="251735040" behindDoc="0" locked="0" layoutInCell="1" allowOverlap="1" wp14:anchorId="001E3AFD" wp14:editId="2F40304B">
          <wp:simplePos x="0" y="0"/>
          <wp:positionH relativeFrom="page">
            <wp:align>left</wp:align>
          </wp:positionH>
          <wp:positionV relativeFrom="page">
            <wp:align>top</wp:align>
          </wp:positionV>
          <wp:extent cx="7560000" cy="1440000"/>
          <wp:effectExtent l="0" t="0" r="3175" b="825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logo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75C630" w14:textId="7433BD78" w:rsidR="00EE35E3" w:rsidRDefault="00EE35E3">
    <w:pPr>
      <w:pStyle w:val="Header"/>
    </w:pPr>
    <w:r>
      <w:rPr>
        <w:noProof/>
      </w:rPr>
      <w:drawing>
        <wp:anchor distT="0" distB="0" distL="114300" distR="114300" simplePos="0" relativeHeight="251729920" behindDoc="0" locked="0" layoutInCell="1" allowOverlap="1" wp14:anchorId="7FF8A0D2" wp14:editId="7D58A0E9">
          <wp:simplePos x="0" y="0"/>
          <wp:positionH relativeFrom="page">
            <wp:align>left</wp:align>
          </wp:positionH>
          <wp:positionV relativeFrom="page">
            <wp:align>top</wp:align>
          </wp:positionV>
          <wp:extent cx="7560000" cy="1890000"/>
          <wp:effectExtent l="0" t="0" r="3175"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89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D5D7B" w14:textId="77777777" w:rsidR="00EE35E3" w:rsidRDefault="00EE35E3" w:rsidP="00AD1FE8">
    <w:pPr>
      <w:pStyle w:val="Header"/>
      <w:tabs>
        <w:tab w:val="clear" w:pos="4513"/>
        <w:tab w:val="clear" w:pos="9026"/>
        <w:tab w:val="left" w:pos="12180"/>
      </w:tabs>
    </w:pPr>
    <w:r>
      <w:tab/>
    </w:r>
  </w:p>
  <w:p w14:paraId="3DDD5D7C" w14:textId="77777777" w:rsidR="00EE35E3" w:rsidRDefault="00EE35E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D5D7E" w14:textId="77777777" w:rsidR="00EE35E3" w:rsidRDefault="00EE35E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D5D7F" w14:textId="77777777" w:rsidR="00EE35E3" w:rsidRDefault="00EE35E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D5D81" w14:textId="77777777" w:rsidR="00EE35E3" w:rsidRDefault="00EE35E3" w:rsidP="00AD1FE8">
    <w:pPr>
      <w:pStyle w:val="Header"/>
      <w:tabs>
        <w:tab w:val="clear" w:pos="4513"/>
        <w:tab w:val="clear" w:pos="9026"/>
        <w:tab w:val="left" w:pos="12180"/>
      </w:tabs>
    </w:pPr>
    <w:r>
      <w:tab/>
    </w:r>
  </w:p>
  <w:p w14:paraId="3DDD5D82" w14:textId="77777777" w:rsidR="00EE35E3" w:rsidRDefault="00EE35E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D5D84" w14:textId="77777777" w:rsidR="00EE35E3" w:rsidRDefault="00EE35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0DC20B0"/>
    <w:lvl w:ilvl="0">
      <w:start w:val="1"/>
      <w:numFmt w:val="decimal"/>
      <w:pStyle w:val="ListNumber3"/>
      <w:lvlText w:val="%1."/>
      <w:lvlJc w:val="left"/>
      <w:pPr>
        <w:tabs>
          <w:tab w:val="num" w:pos="926"/>
        </w:tabs>
        <w:ind w:left="926" w:hanging="360"/>
      </w:pPr>
    </w:lvl>
  </w:abstractNum>
  <w:abstractNum w:abstractNumId="1">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004455"/>
    <w:multiLevelType w:val="hybridMultilevel"/>
    <w:tmpl w:val="ED86E8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797B8A"/>
    <w:multiLevelType w:val="hybridMultilevel"/>
    <w:tmpl w:val="7BA60C76"/>
    <w:lvl w:ilvl="0" w:tplc="994A207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0FD34393"/>
    <w:multiLevelType w:val="hybridMultilevel"/>
    <w:tmpl w:val="2ECA46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D657289"/>
    <w:multiLevelType w:val="hybridMultilevel"/>
    <w:tmpl w:val="5300B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tentative="1">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9">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10">
    <w:nsid w:val="20FE60D8"/>
    <w:multiLevelType w:val="hybridMultilevel"/>
    <w:tmpl w:val="053C354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298B6F06"/>
    <w:multiLevelType w:val="hybridMultilevel"/>
    <w:tmpl w:val="EA0C4F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CC95434"/>
    <w:multiLevelType w:val="hybridMultilevel"/>
    <w:tmpl w:val="7E481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CD4D3C"/>
    <w:multiLevelType w:val="hybridMultilevel"/>
    <w:tmpl w:val="76D64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F473CBB"/>
    <w:multiLevelType w:val="hybridMultilevel"/>
    <w:tmpl w:val="0B96B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6CD579B"/>
    <w:multiLevelType w:val="hybridMultilevel"/>
    <w:tmpl w:val="36F2514A"/>
    <w:lvl w:ilvl="0" w:tplc="FFFFFFFF">
      <w:start w:val="1"/>
      <w:numFmt w:val="bullet"/>
      <w:pStyle w:val="BoxListBullet"/>
      <w:lvlText w:val="&gt;"/>
      <w:lvlJc w:val="left"/>
      <w:pPr>
        <w:tabs>
          <w:tab w:val="num" w:pos="284"/>
        </w:tabs>
        <w:ind w:left="284" w:hanging="284"/>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FE36F65"/>
    <w:multiLevelType w:val="hybridMultilevel"/>
    <w:tmpl w:val="7BA60C76"/>
    <w:lvl w:ilvl="0" w:tplc="994A207E">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51B21B4"/>
    <w:multiLevelType w:val="hybridMultilevel"/>
    <w:tmpl w:val="E63E683A"/>
    <w:lvl w:ilvl="0" w:tplc="E16EB566">
      <w:start w:val="1"/>
      <w:numFmt w:val="decimal"/>
      <w:lvlText w:val="%1."/>
      <w:lvlJc w:val="left"/>
      <w:pPr>
        <w:ind w:left="1287" w:hanging="360"/>
      </w:pPr>
      <w:rPr>
        <w:rFonts w:hint="default"/>
        <w:sz w:val="24"/>
        <w:szCs w:val="24"/>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nsid w:val="55B67254"/>
    <w:multiLevelType w:val="hybridMultilevel"/>
    <w:tmpl w:val="C0B2F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25">
    <w:nsid w:val="66162083"/>
    <w:multiLevelType w:val="hybridMultilevel"/>
    <w:tmpl w:val="F81E30BE"/>
    <w:lvl w:ilvl="0" w:tplc="0CD0D536">
      <w:start w:val="1"/>
      <w:numFmt w:val="lowerRoman"/>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A35376D"/>
    <w:multiLevelType w:val="multilevel"/>
    <w:tmpl w:val="202C85C2"/>
    <w:lvl w:ilvl="0">
      <w:start w:val="1"/>
      <w:numFmt w:val="bullet"/>
      <w:lvlText w:val=""/>
      <w:lvlJc w:val="left"/>
      <w:pPr>
        <w:tabs>
          <w:tab w:val="num" w:pos="340"/>
        </w:tabs>
        <w:ind w:left="360" w:hanging="360"/>
      </w:pPr>
      <w:rPr>
        <w:rFonts w:ascii="Symbol" w:hAnsi="Symbol" w:hint="default"/>
      </w:rPr>
    </w:lvl>
    <w:lvl w:ilvl="1">
      <w:start w:val="1"/>
      <w:numFmt w:val="bullet"/>
      <w:lvlText w:val="–"/>
      <w:lvlJc w:val="left"/>
      <w:pPr>
        <w:tabs>
          <w:tab w:val="num" w:pos="907"/>
        </w:tabs>
        <w:ind w:left="720" w:hanging="380"/>
      </w:pPr>
      <w:rPr>
        <w:rFonts w:ascii="Times New Roman" w:hAnsi="Times New Roman" w:cs="Times New Roman" w:hint="default"/>
        <w:b w:val="0"/>
        <w:i w:val="0"/>
        <w:color w:val="auto"/>
        <w:sz w:val="22"/>
      </w:rPr>
    </w:lvl>
    <w:lvl w:ilvl="2">
      <w:start w:val="1"/>
      <w:numFmt w:val="bullet"/>
      <w:lvlText w:val=""/>
      <w:lvlJc w:val="left"/>
      <w:pPr>
        <w:tabs>
          <w:tab w:val="num" w:pos="1080"/>
        </w:tabs>
        <w:ind w:left="1080" w:hanging="360"/>
      </w:pPr>
      <w:rPr>
        <w:rFonts w:ascii="Wingdings" w:hAnsi="Wingdings" w:hint="default"/>
      </w:rPr>
    </w:lvl>
    <w:lvl w:ilvl="3">
      <w:start w:val="1"/>
      <w:numFmt w:val="bullet"/>
      <w:pStyle w:val="doubledotpoin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29">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5686FC8"/>
    <w:multiLevelType w:val="hybridMultilevel"/>
    <w:tmpl w:val="4F4C9A2A"/>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68226B3"/>
    <w:multiLevelType w:val="hybridMultilevel"/>
    <w:tmpl w:val="B4688D98"/>
    <w:lvl w:ilvl="0" w:tplc="A25C55B2">
      <w:start w:val="1"/>
      <w:numFmt w:val="decimal"/>
      <w:pStyle w:val="ListNumber"/>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9E1124E"/>
    <w:multiLevelType w:val="hybridMultilevel"/>
    <w:tmpl w:val="FE8E49AC"/>
    <w:lvl w:ilvl="0" w:tplc="AB101BBA">
      <w:start w:val="1"/>
      <w:numFmt w:val="lowerLetter"/>
      <w:pStyle w:val="ListNumber2"/>
      <w:lvlText w:val="%1."/>
      <w:lvlJc w:val="left"/>
      <w:pPr>
        <w:ind w:left="6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F7A528B"/>
    <w:multiLevelType w:val="hybridMultilevel"/>
    <w:tmpl w:val="4ADC517C"/>
    <w:lvl w:ilvl="0" w:tplc="FFFFFFFF">
      <w:start w:val="1"/>
      <w:numFmt w:val="bullet"/>
      <w:pStyle w:val="ListBullet"/>
      <w:lvlText w:val="&gt;"/>
      <w:lvlJc w:val="left"/>
      <w:pPr>
        <w:tabs>
          <w:tab w:val="num" w:pos="284"/>
        </w:tabs>
        <w:ind w:left="284" w:hanging="284"/>
      </w:pPr>
      <w:rPr>
        <w:rFonts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8"/>
  </w:num>
  <w:num w:numId="3">
    <w:abstractNumId w:val="8"/>
  </w:num>
  <w:num w:numId="4">
    <w:abstractNumId w:val="23"/>
  </w:num>
  <w:num w:numId="5">
    <w:abstractNumId w:val="6"/>
  </w:num>
  <w:num w:numId="6">
    <w:abstractNumId w:val="20"/>
  </w:num>
  <w:num w:numId="7">
    <w:abstractNumId w:val="17"/>
  </w:num>
  <w:num w:numId="8">
    <w:abstractNumId w:val="14"/>
  </w:num>
  <w:num w:numId="9">
    <w:abstractNumId w:val="26"/>
  </w:num>
  <w:num w:numId="10">
    <w:abstractNumId w:val="5"/>
  </w:num>
  <w:num w:numId="11">
    <w:abstractNumId w:val="19"/>
  </w:num>
  <w:num w:numId="12">
    <w:abstractNumId w:val="29"/>
  </w:num>
  <w:num w:numId="13">
    <w:abstractNumId w:val="9"/>
  </w:num>
  <w:num w:numId="14">
    <w:abstractNumId w:val="32"/>
  </w:num>
  <w:num w:numId="15">
    <w:abstractNumId w:val="33"/>
  </w:num>
  <w:num w:numId="16">
    <w:abstractNumId w:val="13"/>
  </w:num>
  <w:num w:numId="17">
    <w:abstractNumId w:val="0"/>
  </w:num>
  <w:num w:numId="18">
    <w:abstractNumId w:val="1"/>
  </w:num>
  <w:num w:numId="19">
    <w:abstractNumId w:val="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7"/>
  </w:num>
  <w:num w:numId="23">
    <w:abstractNumId w:val="12"/>
  </w:num>
  <w:num w:numId="24">
    <w:abstractNumId w:val="15"/>
  </w:num>
  <w:num w:numId="25">
    <w:abstractNumId w:val="16"/>
  </w:num>
  <w:num w:numId="26">
    <w:abstractNumId w:val="25"/>
  </w:num>
  <w:num w:numId="27">
    <w:abstractNumId w:val="30"/>
  </w:num>
  <w:num w:numId="28">
    <w:abstractNumId w:val="2"/>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8"/>
  </w:num>
  <w:num w:numId="32">
    <w:abstractNumId w:val="3"/>
  </w:num>
  <w:num w:numId="33">
    <w:abstractNumId w:val="10"/>
  </w:num>
  <w:num w:numId="34">
    <w:abstractNumId w:val="21"/>
  </w:num>
  <w:num w:numId="35">
    <w:abstractNumId w:val="31"/>
  </w:num>
  <w:num w:numId="36">
    <w:abstractNumId w:val="31"/>
    <w:lvlOverride w:ilvl="0">
      <w:startOverride w:val="1"/>
    </w:lvlOverride>
  </w:num>
  <w:num w:numId="37">
    <w:abstractNumId w:val="31"/>
    <w:lvlOverride w:ilvl="0">
      <w:startOverride w:val="1"/>
    </w:lvlOverride>
  </w:num>
  <w:num w:numId="38">
    <w:abstractNumId w:val="3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D73"/>
    <w:rsid w:val="00007835"/>
    <w:rsid w:val="0001361A"/>
    <w:rsid w:val="0003122C"/>
    <w:rsid w:val="000448E9"/>
    <w:rsid w:val="00057F8F"/>
    <w:rsid w:val="00065B9B"/>
    <w:rsid w:val="0007474C"/>
    <w:rsid w:val="00082651"/>
    <w:rsid w:val="000836F3"/>
    <w:rsid w:val="000967B4"/>
    <w:rsid w:val="000A2EC1"/>
    <w:rsid w:val="000A37B7"/>
    <w:rsid w:val="000A385B"/>
    <w:rsid w:val="000A4DDE"/>
    <w:rsid w:val="000A6E4C"/>
    <w:rsid w:val="000B4B3F"/>
    <w:rsid w:val="000B73F2"/>
    <w:rsid w:val="000D068C"/>
    <w:rsid w:val="000D35BE"/>
    <w:rsid w:val="000D71D3"/>
    <w:rsid w:val="000E539D"/>
    <w:rsid w:val="000E5FD7"/>
    <w:rsid w:val="000F7AD8"/>
    <w:rsid w:val="00110380"/>
    <w:rsid w:val="00124E3B"/>
    <w:rsid w:val="00126796"/>
    <w:rsid w:val="00132918"/>
    <w:rsid w:val="00134C93"/>
    <w:rsid w:val="00145F37"/>
    <w:rsid w:val="001463FD"/>
    <w:rsid w:val="00155F89"/>
    <w:rsid w:val="00157C27"/>
    <w:rsid w:val="00172D8E"/>
    <w:rsid w:val="00173675"/>
    <w:rsid w:val="00181C38"/>
    <w:rsid w:val="001911C6"/>
    <w:rsid w:val="00193F44"/>
    <w:rsid w:val="0019453B"/>
    <w:rsid w:val="001B5DE3"/>
    <w:rsid w:val="001C0094"/>
    <w:rsid w:val="001C27DD"/>
    <w:rsid w:val="001C6F50"/>
    <w:rsid w:val="001D1D01"/>
    <w:rsid w:val="001D77BE"/>
    <w:rsid w:val="001E058B"/>
    <w:rsid w:val="001E5087"/>
    <w:rsid w:val="0020602B"/>
    <w:rsid w:val="002239EA"/>
    <w:rsid w:val="0022703C"/>
    <w:rsid w:val="00235454"/>
    <w:rsid w:val="0023651C"/>
    <w:rsid w:val="0024231D"/>
    <w:rsid w:val="00243E5F"/>
    <w:rsid w:val="00244990"/>
    <w:rsid w:val="00255B01"/>
    <w:rsid w:val="0025629A"/>
    <w:rsid w:val="00270CB6"/>
    <w:rsid w:val="00274972"/>
    <w:rsid w:val="00283861"/>
    <w:rsid w:val="00296F88"/>
    <w:rsid w:val="002A0D57"/>
    <w:rsid w:val="002A3F37"/>
    <w:rsid w:val="002B0E82"/>
    <w:rsid w:val="002B27C7"/>
    <w:rsid w:val="002D4AC3"/>
    <w:rsid w:val="002E69F7"/>
    <w:rsid w:val="002F5AE2"/>
    <w:rsid w:val="003045AC"/>
    <w:rsid w:val="0030497C"/>
    <w:rsid w:val="003054CF"/>
    <w:rsid w:val="003066C4"/>
    <w:rsid w:val="00310CF8"/>
    <w:rsid w:val="0031337C"/>
    <w:rsid w:val="00323E6A"/>
    <w:rsid w:val="00327C7B"/>
    <w:rsid w:val="00330206"/>
    <w:rsid w:val="00330EF3"/>
    <w:rsid w:val="00346430"/>
    <w:rsid w:val="00350736"/>
    <w:rsid w:val="003617DA"/>
    <w:rsid w:val="0036770A"/>
    <w:rsid w:val="0038247D"/>
    <w:rsid w:val="003850FC"/>
    <w:rsid w:val="00387F9A"/>
    <w:rsid w:val="003A4097"/>
    <w:rsid w:val="003B21AE"/>
    <w:rsid w:val="003C3EF9"/>
    <w:rsid w:val="003D1849"/>
    <w:rsid w:val="003D4A43"/>
    <w:rsid w:val="003E7954"/>
    <w:rsid w:val="003F16D0"/>
    <w:rsid w:val="003F31C0"/>
    <w:rsid w:val="003F6FA0"/>
    <w:rsid w:val="00401D11"/>
    <w:rsid w:val="00407DC4"/>
    <w:rsid w:val="00420A06"/>
    <w:rsid w:val="00430D13"/>
    <w:rsid w:val="00442A65"/>
    <w:rsid w:val="00451CAB"/>
    <w:rsid w:val="0049183C"/>
    <w:rsid w:val="00496700"/>
    <w:rsid w:val="00496F25"/>
    <w:rsid w:val="004C5B54"/>
    <w:rsid w:val="004C60A1"/>
    <w:rsid w:val="004C7296"/>
    <w:rsid w:val="004D4186"/>
    <w:rsid w:val="004E03E8"/>
    <w:rsid w:val="004E241A"/>
    <w:rsid w:val="004E41AD"/>
    <w:rsid w:val="00513B92"/>
    <w:rsid w:val="0051525E"/>
    <w:rsid w:val="00522545"/>
    <w:rsid w:val="00534989"/>
    <w:rsid w:val="005379E4"/>
    <w:rsid w:val="005412DD"/>
    <w:rsid w:val="0056490B"/>
    <w:rsid w:val="005743C8"/>
    <w:rsid w:val="00576B9F"/>
    <w:rsid w:val="00581935"/>
    <w:rsid w:val="00593776"/>
    <w:rsid w:val="00595482"/>
    <w:rsid w:val="005A3D7E"/>
    <w:rsid w:val="005B4EC1"/>
    <w:rsid w:val="005D0E9B"/>
    <w:rsid w:val="005D3A22"/>
    <w:rsid w:val="005D4DE7"/>
    <w:rsid w:val="005D7D5D"/>
    <w:rsid w:val="005E33E7"/>
    <w:rsid w:val="005F2F79"/>
    <w:rsid w:val="00601325"/>
    <w:rsid w:val="00603701"/>
    <w:rsid w:val="006125F4"/>
    <w:rsid w:val="006131DC"/>
    <w:rsid w:val="00621C1A"/>
    <w:rsid w:val="006356D6"/>
    <w:rsid w:val="00641DDF"/>
    <w:rsid w:val="00644802"/>
    <w:rsid w:val="006534A9"/>
    <w:rsid w:val="00655D73"/>
    <w:rsid w:val="00657B4A"/>
    <w:rsid w:val="00660A72"/>
    <w:rsid w:val="006734C8"/>
    <w:rsid w:val="0067788C"/>
    <w:rsid w:val="00690AF8"/>
    <w:rsid w:val="006A2126"/>
    <w:rsid w:val="006A48CA"/>
    <w:rsid w:val="006B7950"/>
    <w:rsid w:val="006C496E"/>
    <w:rsid w:val="006C65DA"/>
    <w:rsid w:val="006D2049"/>
    <w:rsid w:val="006D4BF9"/>
    <w:rsid w:val="006D5277"/>
    <w:rsid w:val="006F03F3"/>
    <w:rsid w:val="007007E0"/>
    <w:rsid w:val="00701698"/>
    <w:rsid w:val="00712A45"/>
    <w:rsid w:val="00740567"/>
    <w:rsid w:val="00754825"/>
    <w:rsid w:val="00780ADA"/>
    <w:rsid w:val="00786A00"/>
    <w:rsid w:val="00787933"/>
    <w:rsid w:val="00790CFA"/>
    <w:rsid w:val="007A6B5B"/>
    <w:rsid w:val="007B7867"/>
    <w:rsid w:val="007F5A91"/>
    <w:rsid w:val="00841832"/>
    <w:rsid w:val="00852C85"/>
    <w:rsid w:val="00854C95"/>
    <w:rsid w:val="0085719D"/>
    <w:rsid w:val="00875B3D"/>
    <w:rsid w:val="00880D6A"/>
    <w:rsid w:val="008944CE"/>
    <w:rsid w:val="008A1356"/>
    <w:rsid w:val="008E7D7C"/>
    <w:rsid w:val="008F56D9"/>
    <w:rsid w:val="00911E84"/>
    <w:rsid w:val="00913190"/>
    <w:rsid w:val="00914896"/>
    <w:rsid w:val="009154F9"/>
    <w:rsid w:val="00926679"/>
    <w:rsid w:val="00946B1E"/>
    <w:rsid w:val="00951575"/>
    <w:rsid w:val="00951938"/>
    <w:rsid w:val="00951C86"/>
    <w:rsid w:val="00952712"/>
    <w:rsid w:val="00960A60"/>
    <w:rsid w:val="0098023F"/>
    <w:rsid w:val="00982810"/>
    <w:rsid w:val="00985B1D"/>
    <w:rsid w:val="00986500"/>
    <w:rsid w:val="009953E4"/>
    <w:rsid w:val="0099766C"/>
    <w:rsid w:val="009A0529"/>
    <w:rsid w:val="009B0C0B"/>
    <w:rsid w:val="009D4244"/>
    <w:rsid w:val="009F3D1B"/>
    <w:rsid w:val="00A01855"/>
    <w:rsid w:val="00A033D0"/>
    <w:rsid w:val="00A10B41"/>
    <w:rsid w:val="00A15214"/>
    <w:rsid w:val="00A231FA"/>
    <w:rsid w:val="00A41081"/>
    <w:rsid w:val="00A41157"/>
    <w:rsid w:val="00A42A50"/>
    <w:rsid w:val="00A56262"/>
    <w:rsid w:val="00A66B4B"/>
    <w:rsid w:val="00A75AF5"/>
    <w:rsid w:val="00A75DFB"/>
    <w:rsid w:val="00A861CC"/>
    <w:rsid w:val="00A928B4"/>
    <w:rsid w:val="00A9620A"/>
    <w:rsid w:val="00AA1968"/>
    <w:rsid w:val="00AB2C32"/>
    <w:rsid w:val="00AB72BF"/>
    <w:rsid w:val="00AD00A8"/>
    <w:rsid w:val="00AD1FE8"/>
    <w:rsid w:val="00AD24D9"/>
    <w:rsid w:val="00AD2C60"/>
    <w:rsid w:val="00AE7AA4"/>
    <w:rsid w:val="00B019FB"/>
    <w:rsid w:val="00B11D73"/>
    <w:rsid w:val="00B14474"/>
    <w:rsid w:val="00B16128"/>
    <w:rsid w:val="00B20285"/>
    <w:rsid w:val="00B303B0"/>
    <w:rsid w:val="00B3328B"/>
    <w:rsid w:val="00B33B4E"/>
    <w:rsid w:val="00B37F46"/>
    <w:rsid w:val="00B433A4"/>
    <w:rsid w:val="00B52CDB"/>
    <w:rsid w:val="00B564AE"/>
    <w:rsid w:val="00B56ABC"/>
    <w:rsid w:val="00B67755"/>
    <w:rsid w:val="00B92DD0"/>
    <w:rsid w:val="00BA703D"/>
    <w:rsid w:val="00BB5B24"/>
    <w:rsid w:val="00BD252A"/>
    <w:rsid w:val="00BD3620"/>
    <w:rsid w:val="00BE2F0A"/>
    <w:rsid w:val="00C15FCA"/>
    <w:rsid w:val="00C17D14"/>
    <w:rsid w:val="00C21C20"/>
    <w:rsid w:val="00C3581B"/>
    <w:rsid w:val="00C36E4A"/>
    <w:rsid w:val="00C37CD9"/>
    <w:rsid w:val="00C40A5B"/>
    <w:rsid w:val="00C4231A"/>
    <w:rsid w:val="00C51FC1"/>
    <w:rsid w:val="00C521A0"/>
    <w:rsid w:val="00C56CC1"/>
    <w:rsid w:val="00C71A3F"/>
    <w:rsid w:val="00C809EC"/>
    <w:rsid w:val="00C84FDD"/>
    <w:rsid w:val="00C87912"/>
    <w:rsid w:val="00C97459"/>
    <w:rsid w:val="00CA5A8C"/>
    <w:rsid w:val="00CD2E0E"/>
    <w:rsid w:val="00CD75DC"/>
    <w:rsid w:val="00CF3036"/>
    <w:rsid w:val="00CF63E7"/>
    <w:rsid w:val="00D13D04"/>
    <w:rsid w:val="00D13D44"/>
    <w:rsid w:val="00D14C46"/>
    <w:rsid w:val="00D17E8F"/>
    <w:rsid w:val="00D25FE0"/>
    <w:rsid w:val="00D30430"/>
    <w:rsid w:val="00D357F8"/>
    <w:rsid w:val="00D35893"/>
    <w:rsid w:val="00D46FC4"/>
    <w:rsid w:val="00D543EA"/>
    <w:rsid w:val="00D64B36"/>
    <w:rsid w:val="00D7203F"/>
    <w:rsid w:val="00D75A55"/>
    <w:rsid w:val="00D82123"/>
    <w:rsid w:val="00D948D3"/>
    <w:rsid w:val="00D9700A"/>
    <w:rsid w:val="00DB7EC1"/>
    <w:rsid w:val="00DD27B3"/>
    <w:rsid w:val="00E0380E"/>
    <w:rsid w:val="00E100FF"/>
    <w:rsid w:val="00E22F81"/>
    <w:rsid w:val="00E340F1"/>
    <w:rsid w:val="00E60B57"/>
    <w:rsid w:val="00E615A4"/>
    <w:rsid w:val="00E65EDD"/>
    <w:rsid w:val="00E762EB"/>
    <w:rsid w:val="00E91C6E"/>
    <w:rsid w:val="00E927F1"/>
    <w:rsid w:val="00EB5716"/>
    <w:rsid w:val="00EB6655"/>
    <w:rsid w:val="00EB7062"/>
    <w:rsid w:val="00EC3F62"/>
    <w:rsid w:val="00EC5137"/>
    <w:rsid w:val="00ED40DA"/>
    <w:rsid w:val="00EE35E3"/>
    <w:rsid w:val="00EE4D60"/>
    <w:rsid w:val="00EF02D4"/>
    <w:rsid w:val="00EF3255"/>
    <w:rsid w:val="00F04D5B"/>
    <w:rsid w:val="00F11A20"/>
    <w:rsid w:val="00F21726"/>
    <w:rsid w:val="00F21EAB"/>
    <w:rsid w:val="00F32325"/>
    <w:rsid w:val="00F37289"/>
    <w:rsid w:val="00F3733E"/>
    <w:rsid w:val="00F4132A"/>
    <w:rsid w:val="00F44261"/>
    <w:rsid w:val="00F51A1E"/>
    <w:rsid w:val="00F604DD"/>
    <w:rsid w:val="00F7055F"/>
    <w:rsid w:val="00F95D5B"/>
    <w:rsid w:val="00F97EA7"/>
    <w:rsid w:val="00FB67F0"/>
    <w:rsid w:val="00FC27DE"/>
    <w:rsid w:val="00FC2FDB"/>
    <w:rsid w:val="00FD3649"/>
    <w:rsid w:val="00FD454E"/>
    <w:rsid w:val="00FE41D5"/>
    <w:rsid w:val="00FE5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DDD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qFormat="1"/>
    <w:lsdException w:name="table of figures"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D73"/>
    <w:pPr>
      <w:spacing w:after="0" w:line="240" w:lineRule="auto"/>
    </w:pPr>
    <w:rPr>
      <w:rFonts w:ascii="Times New Roman" w:eastAsia="SimSun" w:hAnsi="Times New Roman" w:cs="Times New Roman"/>
      <w:sz w:val="20"/>
      <w:szCs w:val="24"/>
      <w:lang w:eastAsia="en-AU"/>
    </w:rPr>
  </w:style>
  <w:style w:type="paragraph" w:styleId="Heading1">
    <w:name w:val="heading 1"/>
    <w:basedOn w:val="Normal"/>
    <w:next w:val="Normal"/>
    <w:link w:val="Heading1Char"/>
    <w:uiPriority w:val="99"/>
    <w:qFormat/>
    <w:rsid w:val="00655D73"/>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655D73"/>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C17D1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655D73"/>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655D73"/>
    <w:pPr>
      <w:keepNext/>
      <w:numPr>
        <w:ilvl w:val="4"/>
        <w:numId w:val="1"/>
      </w:numPr>
      <w:spacing w:before="320" w:after="0"/>
      <w:outlineLvl w:val="4"/>
    </w:pPr>
    <w:rPr>
      <w:b/>
      <w:color w:val="54534A"/>
    </w:rPr>
  </w:style>
  <w:style w:type="paragraph" w:styleId="Heading6">
    <w:name w:val="heading 6"/>
    <w:basedOn w:val="Heading1"/>
    <w:next w:val="BodyText"/>
    <w:link w:val="Heading6Char"/>
    <w:rsid w:val="00655D73"/>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655D73"/>
    <w:pPr>
      <w:numPr>
        <w:ilvl w:val="6"/>
      </w:numPr>
      <w:outlineLvl w:val="6"/>
    </w:pPr>
    <w:rPr>
      <w:sz w:val="28"/>
    </w:rPr>
  </w:style>
  <w:style w:type="paragraph" w:styleId="Heading8">
    <w:name w:val="heading 8"/>
    <w:basedOn w:val="Heading3"/>
    <w:next w:val="BodyText"/>
    <w:link w:val="Heading8Char"/>
    <w:rsid w:val="00655D73"/>
    <w:pPr>
      <w:numPr>
        <w:ilvl w:val="7"/>
      </w:numPr>
      <w:outlineLvl w:val="7"/>
    </w:pPr>
  </w:style>
  <w:style w:type="paragraph" w:styleId="Heading9">
    <w:name w:val="heading 9"/>
    <w:basedOn w:val="Heading4"/>
    <w:next w:val="BodyText"/>
    <w:link w:val="Heading9Char"/>
    <w:rsid w:val="00655D7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D73"/>
    <w:rPr>
      <w:rFonts w:ascii="Franklin Gothic Demi" w:eastAsia="Times New Roman" w:hAnsi="Franklin Gothic Demi" w:cs="Arial"/>
      <w:color w:val="AD495D"/>
      <w:kern w:val="28"/>
      <w:sz w:val="28"/>
      <w:szCs w:val="28"/>
      <w:lang w:eastAsia="en-AU"/>
    </w:rPr>
  </w:style>
  <w:style w:type="character" w:customStyle="1" w:styleId="Heading2Char">
    <w:name w:val="Heading 2 Char"/>
    <w:basedOn w:val="DefaultParagraphFont"/>
    <w:link w:val="Heading2"/>
    <w:rsid w:val="00655D73"/>
    <w:rPr>
      <w:rFonts w:ascii="Franklin Gothic Demi" w:eastAsia="Times New Roman" w:hAnsi="Franklin Gothic Demi" w:cs="Arial"/>
      <w:color w:val="AD495D"/>
      <w:kern w:val="28"/>
      <w:sz w:val="24"/>
      <w:szCs w:val="28"/>
      <w:lang w:eastAsia="en-AU"/>
    </w:rPr>
  </w:style>
  <w:style w:type="character" w:customStyle="1" w:styleId="Heading3Char">
    <w:name w:val="Heading 3 Char"/>
    <w:basedOn w:val="DefaultParagraphFont"/>
    <w:link w:val="Heading3"/>
    <w:rsid w:val="00C17D14"/>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655D73"/>
    <w:rPr>
      <w:rFonts w:ascii="Times New Roman" w:eastAsia="Times New Roman" w:hAnsi="Times New Roman" w:cs="Times New Roman"/>
      <w:b/>
      <w:color w:val="54534A"/>
      <w:lang w:eastAsia="en-AU"/>
    </w:rPr>
  </w:style>
  <w:style w:type="character" w:customStyle="1" w:styleId="Heading5Char">
    <w:name w:val="Heading 5 Char"/>
    <w:basedOn w:val="DefaultParagraphFont"/>
    <w:link w:val="Heading5"/>
    <w:rsid w:val="00655D73"/>
    <w:rPr>
      <w:rFonts w:ascii="Times New Roman" w:eastAsia="Times New Roman" w:hAnsi="Times New Roman" w:cs="Times New Roman"/>
      <w:b/>
      <w:color w:val="54534A"/>
      <w:szCs w:val="24"/>
      <w:lang w:eastAsia="en-AU"/>
    </w:rPr>
  </w:style>
  <w:style w:type="character" w:customStyle="1" w:styleId="Heading6Char">
    <w:name w:val="Heading 6 Char"/>
    <w:basedOn w:val="DefaultParagraphFont"/>
    <w:link w:val="Heading6"/>
    <w:rsid w:val="00655D73"/>
    <w:rPr>
      <w:rFonts w:ascii="Times New Roman" w:eastAsia="Times New Roman" w:hAnsi="Times New Roman" w:cs="Times New Roman"/>
      <w:b/>
      <w:kern w:val="28"/>
      <w:sz w:val="24"/>
      <w:szCs w:val="19"/>
      <w:lang w:eastAsia="en-AU"/>
    </w:rPr>
  </w:style>
  <w:style w:type="character" w:customStyle="1" w:styleId="Heading7Char">
    <w:name w:val="Heading 7 Char"/>
    <w:basedOn w:val="DefaultParagraphFont"/>
    <w:link w:val="Heading7"/>
    <w:rsid w:val="00655D73"/>
    <w:rPr>
      <w:rFonts w:ascii="Franklin Gothic Demi" w:eastAsia="Times New Roman" w:hAnsi="Franklin Gothic Demi" w:cs="Arial"/>
      <w:color w:val="AD495D"/>
      <w:kern w:val="28"/>
      <w:sz w:val="28"/>
      <w:szCs w:val="28"/>
      <w:lang w:eastAsia="en-AU"/>
    </w:rPr>
  </w:style>
  <w:style w:type="character" w:customStyle="1" w:styleId="Heading8Char">
    <w:name w:val="Heading 8 Char"/>
    <w:basedOn w:val="DefaultParagraphFont"/>
    <w:link w:val="Heading8"/>
    <w:rsid w:val="00655D73"/>
    <w:rPr>
      <w:rFonts w:ascii="Franklin Gothic Demi" w:eastAsia="Times New Roman" w:hAnsi="Franklin Gothic Demi" w:cs="Arial"/>
      <w:color w:val="54534A"/>
      <w:kern w:val="28"/>
      <w:lang w:eastAsia="zh-CN"/>
    </w:rPr>
  </w:style>
  <w:style w:type="character" w:customStyle="1" w:styleId="Heading9Char">
    <w:name w:val="Heading 9 Char"/>
    <w:basedOn w:val="DefaultParagraphFont"/>
    <w:link w:val="Heading9"/>
    <w:rsid w:val="00655D73"/>
    <w:rPr>
      <w:rFonts w:ascii="Times New Roman" w:eastAsia="Times New Roman" w:hAnsi="Times New Roman" w:cs="Times New Roman"/>
      <w:b/>
      <w:color w:val="54534A"/>
      <w:lang w:eastAsia="en-AU"/>
    </w:rPr>
  </w:style>
  <w:style w:type="paragraph" w:styleId="BodyText">
    <w:name w:val="Body Text"/>
    <w:basedOn w:val="Normal"/>
    <w:link w:val="BodyTextChar"/>
    <w:uiPriority w:val="99"/>
    <w:qFormat/>
    <w:rsid w:val="00655D73"/>
    <w:pPr>
      <w:spacing w:after="120"/>
    </w:pPr>
    <w:rPr>
      <w:rFonts w:eastAsia="Times New Roman"/>
      <w:sz w:val="22"/>
    </w:rPr>
  </w:style>
  <w:style w:type="character" w:customStyle="1" w:styleId="BodyTextChar">
    <w:name w:val="Body Text Char"/>
    <w:basedOn w:val="DefaultParagraphFont"/>
    <w:link w:val="BodyText"/>
    <w:uiPriority w:val="99"/>
    <w:rsid w:val="00655D73"/>
    <w:rPr>
      <w:rFonts w:ascii="Times New Roman" w:eastAsia="Times New Roman" w:hAnsi="Times New Roman" w:cs="Times New Roman"/>
      <w:szCs w:val="24"/>
      <w:lang w:eastAsia="en-AU"/>
    </w:rPr>
  </w:style>
  <w:style w:type="paragraph" w:styleId="Date">
    <w:name w:val="Date"/>
    <w:basedOn w:val="Normal"/>
    <w:next w:val="BodyText"/>
    <w:link w:val="DateChar"/>
    <w:semiHidden/>
    <w:qFormat/>
    <w:rsid w:val="00655D73"/>
    <w:pPr>
      <w:spacing w:before="120" w:after="1000" w:line="380" w:lineRule="atLeast"/>
    </w:pPr>
    <w:rPr>
      <w:rFonts w:ascii="Franklin Gothic Book" w:eastAsia="Times New Roman" w:hAnsi="Franklin Gothic Book"/>
      <w:color w:val="FFFFFF"/>
      <w:spacing w:val="-10"/>
      <w:kern w:val="28"/>
      <w:sz w:val="24"/>
    </w:rPr>
  </w:style>
  <w:style w:type="character" w:customStyle="1" w:styleId="DateChar">
    <w:name w:val="Date Char"/>
    <w:basedOn w:val="DefaultParagraphFont"/>
    <w:link w:val="Date"/>
    <w:semiHidden/>
    <w:rsid w:val="00655D73"/>
    <w:rPr>
      <w:rFonts w:ascii="Franklin Gothic Book" w:eastAsia="Times New Roman" w:hAnsi="Franklin Gothic Book" w:cs="Times New Roman"/>
      <w:color w:val="FFFFFF"/>
      <w:spacing w:val="-10"/>
      <w:kern w:val="28"/>
      <w:sz w:val="24"/>
      <w:szCs w:val="24"/>
      <w:lang w:eastAsia="en-AU"/>
    </w:rPr>
  </w:style>
  <w:style w:type="paragraph" w:customStyle="1" w:styleId="PublicationDate">
    <w:name w:val="Publication Date"/>
    <w:basedOn w:val="Date"/>
    <w:qFormat/>
    <w:rsid w:val="00690AF8"/>
    <w:pPr>
      <w:spacing w:after="480"/>
    </w:pPr>
    <w:rPr>
      <w:rFonts w:ascii="Arial" w:hAnsi="Arial"/>
      <w:color w:val="auto"/>
    </w:rPr>
  </w:style>
  <w:style w:type="paragraph" w:customStyle="1" w:styleId="DocStatus">
    <w:name w:val="DocStatus"/>
    <w:basedOn w:val="Normal"/>
    <w:rsid w:val="00655D73"/>
    <w:pPr>
      <w:spacing w:before="120" w:after="60"/>
      <w:jc w:val="center"/>
    </w:pPr>
    <w:rPr>
      <w:rFonts w:ascii="Arial" w:eastAsia="Times New Roman" w:hAnsi="Arial"/>
      <w:b/>
      <w:sz w:val="22"/>
      <w:lang w:eastAsia="en-US"/>
    </w:rPr>
  </w:style>
  <w:style w:type="paragraph" w:styleId="Title">
    <w:name w:val="Title"/>
    <w:basedOn w:val="Normal"/>
    <w:next w:val="Normal"/>
    <w:link w:val="TitleChar"/>
    <w:qFormat/>
    <w:rsid w:val="000D068C"/>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0D068C"/>
    <w:rPr>
      <w:rFonts w:ascii="Arial" w:eastAsia="Times New Roman" w:hAnsi="Arial" w:cs="Times New Roman"/>
      <w:color w:val="AD495D"/>
      <w:spacing w:val="-10"/>
      <w:kern w:val="28"/>
      <w:sz w:val="40"/>
      <w:szCs w:val="20"/>
      <w:lang w:eastAsia="en-AU"/>
    </w:rPr>
  </w:style>
  <w:style w:type="paragraph" w:styleId="Header">
    <w:name w:val="header"/>
    <w:basedOn w:val="Normal"/>
    <w:link w:val="HeaderChar"/>
    <w:uiPriority w:val="99"/>
    <w:unhideWhenUsed/>
    <w:rsid w:val="00655D73"/>
    <w:pPr>
      <w:tabs>
        <w:tab w:val="center" w:pos="4513"/>
        <w:tab w:val="right" w:pos="9026"/>
      </w:tabs>
    </w:pPr>
  </w:style>
  <w:style w:type="character" w:customStyle="1" w:styleId="HeaderChar">
    <w:name w:val="Header Char"/>
    <w:basedOn w:val="DefaultParagraphFont"/>
    <w:link w:val="Header"/>
    <w:uiPriority w:val="99"/>
    <w:rsid w:val="00655D73"/>
    <w:rPr>
      <w:rFonts w:ascii="Times New Roman" w:eastAsia="SimSun" w:hAnsi="Times New Roman" w:cs="Times New Roman"/>
      <w:sz w:val="20"/>
      <w:szCs w:val="24"/>
      <w:lang w:eastAsia="en-AU"/>
    </w:rPr>
  </w:style>
  <w:style w:type="paragraph" w:styleId="Footer">
    <w:name w:val="footer"/>
    <w:basedOn w:val="Normal"/>
    <w:link w:val="FooterChar"/>
    <w:unhideWhenUsed/>
    <w:rsid w:val="00655D73"/>
    <w:pPr>
      <w:tabs>
        <w:tab w:val="center" w:pos="4513"/>
        <w:tab w:val="right" w:pos="9026"/>
      </w:tabs>
    </w:pPr>
  </w:style>
  <w:style w:type="character" w:customStyle="1" w:styleId="FooterChar">
    <w:name w:val="Footer Char"/>
    <w:basedOn w:val="DefaultParagraphFont"/>
    <w:link w:val="Footer"/>
    <w:rsid w:val="00655D73"/>
    <w:rPr>
      <w:rFonts w:ascii="Times New Roman" w:eastAsia="SimSun" w:hAnsi="Times New Roman" w:cs="Times New Roman"/>
      <w:sz w:val="20"/>
      <w:szCs w:val="24"/>
      <w:lang w:eastAsia="en-AU"/>
    </w:rPr>
  </w:style>
  <w:style w:type="paragraph" w:styleId="Caption">
    <w:name w:val="caption"/>
    <w:basedOn w:val="Normal"/>
    <w:next w:val="BodyText"/>
    <w:link w:val="CaptionChar"/>
    <w:autoRedefine/>
    <w:uiPriority w:val="99"/>
    <w:qFormat/>
    <w:rsid w:val="00B92DD0"/>
    <w:pPr>
      <w:keepNext/>
      <w:spacing w:before="80" w:after="80" w:line="280" w:lineRule="atLeast"/>
    </w:pPr>
    <w:rPr>
      <w:rFonts w:ascii="Arial" w:eastAsia="Times New Roman" w:hAnsi="Arial" w:cs="Arial"/>
      <w:color w:val="7E6D5F"/>
      <w:sz w:val="24"/>
    </w:rPr>
  </w:style>
  <w:style w:type="paragraph" w:customStyle="1" w:styleId="Note">
    <w:name w:val="Note"/>
    <w:basedOn w:val="Normal"/>
    <w:next w:val="Normal"/>
    <w:link w:val="NoteCharChar"/>
    <w:autoRedefine/>
    <w:rsid w:val="00C56CC1"/>
    <w:pPr>
      <w:keepNext/>
      <w:keepLines/>
      <w:spacing w:before="20" w:after="20" w:line="180" w:lineRule="atLeast"/>
    </w:pPr>
    <w:rPr>
      <w:rFonts w:ascii="Franklin Gothic Book" w:eastAsia="Times New Roman" w:hAnsi="Franklin Gothic Book"/>
      <w:iCs/>
      <w:sz w:val="14"/>
      <w:szCs w:val="14"/>
      <w:lang w:eastAsia="en-US"/>
    </w:rPr>
  </w:style>
  <w:style w:type="paragraph" w:customStyle="1" w:styleId="TableTextEntries">
    <w:name w:val="Table Text Entries"/>
    <w:basedOn w:val="Normal"/>
    <w:rsid w:val="00655D73"/>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C56CC1"/>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655D73"/>
    <w:pPr>
      <w:jc w:val="right"/>
    </w:pPr>
  </w:style>
  <w:style w:type="paragraph" w:customStyle="1" w:styleId="TableDataColumnHeading">
    <w:name w:val="Table Data Column Heading"/>
    <w:basedOn w:val="TableDataEntries"/>
    <w:rsid w:val="00655D73"/>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655D73"/>
    <w:pPr>
      <w:jc w:val="left"/>
    </w:pPr>
    <w:rPr>
      <w:b/>
    </w:rPr>
  </w:style>
  <w:style w:type="paragraph" w:customStyle="1" w:styleId="NoteNumber">
    <w:name w:val="Note Number"/>
    <w:basedOn w:val="TableTextEntries"/>
    <w:link w:val="NoteNumberCharChar"/>
    <w:rsid w:val="00655D73"/>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655D73"/>
    <w:rPr>
      <w:rFonts w:ascii="Times New Roman" w:eastAsia="Times New Roman" w:hAnsi="Times New Roman" w:cs="Times New Roman"/>
      <w:sz w:val="14"/>
      <w:szCs w:val="14"/>
    </w:rPr>
  </w:style>
  <w:style w:type="paragraph" w:customStyle="1" w:styleId="Ratingbullet">
    <w:name w:val="Rating bullet"/>
    <w:basedOn w:val="TableTextEntries"/>
    <w:semiHidden/>
    <w:rsid w:val="00655D73"/>
    <w:pPr>
      <w:jc w:val="center"/>
    </w:pPr>
    <w:rPr>
      <w:sz w:val="22"/>
      <w:szCs w:val="22"/>
    </w:rPr>
  </w:style>
  <w:style w:type="paragraph" w:styleId="ListParagraph">
    <w:name w:val="List Paragraph"/>
    <w:aliases w:val="List Paragraph1,List Paragraph11,List Paragraph2"/>
    <w:basedOn w:val="BodyText"/>
    <w:link w:val="ListParagraphChar"/>
    <w:uiPriority w:val="99"/>
    <w:qFormat/>
    <w:rsid w:val="00655D73"/>
    <w:pPr>
      <w:numPr>
        <w:numId w:val="3"/>
      </w:numPr>
    </w:pPr>
  </w:style>
  <w:style w:type="character" w:customStyle="1" w:styleId="DraftingNote">
    <w:name w:val="Drafting Note"/>
    <w:semiHidden/>
    <w:rsid w:val="00655D73"/>
    <w:rPr>
      <w:rFonts w:ascii="Georgia" w:hAnsi="Georgia"/>
      <w:b/>
      <w:color w:val="FF0000"/>
      <w:sz w:val="19"/>
      <w:szCs w:val="19"/>
      <w:u w:val="dotted"/>
    </w:rPr>
  </w:style>
  <w:style w:type="paragraph" w:customStyle="1" w:styleId="Abbreviation">
    <w:name w:val="Abbreviation"/>
    <w:basedOn w:val="BodyText"/>
    <w:rsid w:val="00655D73"/>
    <w:pPr>
      <w:ind w:left="1418" w:hanging="1418"/>
    </w:pPr>
  </w:style>
  <w:style w:type="paragraph" w:customStyle="1" w:styleId="Ratingamber">
    <w:name w:val="Rating amber"/>
    <w:basedOn w:val="Normal"/>
    <w:semiHidden/>
    <w:rsid w:val="00655D73"/>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655D73"/>
    <w:pPr>
      <w:numPr>
        <w:numId w:val="15"/>
      </w:numPr>
    </w:pPr>
  </w:style>
  <w:style w:type="paragraph" w:styleId="ListBullet2">
    <w:name w:val="List Bullet 2"/>
    <w:basedOn w:val="ListBullet"/>
    <w:rsid w:val="00655D73"/>
    <w:pPr>
      <w:numPr>
        <w:numId w:val="13"/>
      </w:numPr>
      <w:ind w:left="568" w:hanging="284"/>
    </w:pPr>
  </w:style>
  <w:style w:type="paragraph" w:styleId="ListNumber">
    <w:name w:val="List Number"/>
    <w:basedOn w:val="ListBullet"/>
    <w:rsid w:val="00C17D14"/>
    <w:pPr>
      <w:numPr>
        <w:numId w:val="35"/>
      </w:numPr>
    </w:pPr>
  </w:style>
  <w:style w:type="paragraph" w:styleId="ListNumber2">
    <w:name w:val="List Number 2"/>
    <w:basedOn w:val="ListNumber"/>
    <w:rsid w:val="00C17D14"/>
    <w:pPr>
      <w:numPr>
        <w:numId w:val="14"/>
      </w:numPr>
      <w:ind w:left="714" w:hanging="357"/>
    </w:pPr>
  </w:style>
  <w:style w:type="paragraph" w:customStyle="1" w:styleId="Ratinggreen">
    <w:name w:val="Rating green"/>
    <w:basedOn w:val="Ratingamber"/>
    <w:semiHidden/>
    <w:rsid w:val="00655D73"/>
    <w:pPr>
      <w:numPr>
        <w:numId w:val="12"/>
      </w:numPr>
    </w:pPr>
  </w:style>
  <w:style w:type="paragraph" w:customStyle="1" w:styleId="Reference">
    <w:name w:val="Reference"/>
    <w:basedOn w:val="BodyText"/>
    <w:semiHidden/>
    <w:rsid w:val="00655D73"/>
    <w:pPr>
      <w:keepLines/>
      <w:spacing w:before="60" w:after="60" w:line="260" w:lineRule="atLeast"/>
      <w:ind w:left="284" w:hanging="284"/>
    </w:pPr>
    <w:rPr>
      <w:sz w:val="17"/>
      <w:szCs w:val="17"/>
    </w:rPr>
  </w:style>
  <w:style w:type="paragraph" w:customStyle="1" w:styleId="Contents">
    <w:name w:val="Contents"/>
    <w:basedOn w:val="Normal"/>
    <w:next w:val="BodyText"/>
    <w:semiHidden/>
    <w:rsid w:val="00655D73"/>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655D73"/>
    <w:rPr>
      <w:rFonts w:ascii="Franklin Gothic Medium" w:hAnsi="Franklin Gothic Medium"/>
      <w:color w:val="54534A"/>
      <w:sz w:val="14"/>
      <w:szCs w:val="14"/>
    </w:rPr>
  </w:style>
  <w:style w:type="paragraph" w:styleId="TOC1">
    <w:name w:val="toc 1"/>
    <w:basedOn w:val="BodyText"/>
    <w:next w:val="BodyText"/>
    <w:semiHidden/>
    <w:rsid w:val="00655D73"/>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655D73"/>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655D73"/>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655D73"/>
    <w:rPr>
      <w:rFonts w:ascii="Franklin Gothic Book" w:hAnsi="Franklin Gothic Book"/>
      <w:color w:val="auto"/>
      <w:sz w:val="17"/>
      <w:szCs w:val="17"/>
    </w:rPr>
  </w:style>
  <w:style w:type="paragraph" w:customStyle="1" w:styleId="Invisiblepara">
    <w:name w:val="Invisible para"/>
    <w:basedOn w:val="Normal"/>
    <w:semiHidden/>
    <w:rsid w:val="00655D73"/>
    <w:pPr>
      <w:keepNext/>
      <w:spacing w:before="320" w:line="80" w:lineRule="exact"/>
    </w:pPr>
    <w:rPr>
      <w:rFonts w:eastAsia="Times New Roman"/>
      <w:sz w:val="21"/>
      <w:szCs w:val="20"/>
    </w:rPr>
  </w:style>
  <w:style w:type="paragraph" w:customStyle="1" w:styleId="BoxListBullet">
    <w:name w:val="Box List Bullet"/>
    <w:basedOn w:val="BoxText"/>
    <w:rsid w:val="00655D73"/>
    <w:pPr>
      <w:keepLines/>
      <w:numPr>
        <w:numId w:val="7"/>
      </w:numPr>
      <w:tabs>
        <w:tab w:val="clear" w:pos="284"/>
        <w:tab w:val="num" w:pos="360"/>
        <w:tab w:val="num" w:pos="454"/>
      </w:tabs>
      <w:spacing w:before="0"/>
      <w:ind w:left="454" w:hanging="227"/>
    </w:pPr>
    <w:rPr>
      <w:szCs w:val="20"/>
    </w:rPr>
  </w:style>
  <w:style w:type="paragraph" w:customStyle="1" w:styleId="BoxText">
    <w:name w:val="Box Text"/>
    <w:basedOn w:val="Normal"/>
    <w:link w:val="BoxTextChar"/>
    <w:autoRedefine/>
    <w:qFormat/>
    <w:rsid w:val="00387F9A"/>
    <w:pPr>
      <w:spacing w:before="80" w:after="80" w:line="280" w:lineRule="atLeast"/>
    </w:pPr>
    <w:rPr>
      <w:rFonts w:eastAsia="Times New Roman"/>
      <w:iCs/>
      <w:sz w:val="24"/>
    </w:rPr>
  </w:style>
  <w:style w:type="character" w:customStyle="1" w:styleId="BoxTextChar">
    <w:name w:val="Box Text Char"/>
    <w:link w:val="BoxText"/>
    <w:rsid w:val="00387F9A"/>
    <w:rPr>
      <w:rFonts w:ascii="Times New Roman" w:eastAsia="Times New Roman" w:hAnsi="Times New Roman" w:cs="Times New Roman"/>
      <w:iCs/>
      <w:sz w:val="24"/>
      <w:szCs w:val="24"/>
      <w:lang w:eastAsia="en-AU"/>
    </w:rPr>
  </w:style>
  <w:style w:type="character" w:customStyle="1" w:styleId="NoteLabel">
    <w:name w:val="Note Label"/>
    <w:rsid w:val="00655D73"/>
    <w:rPr>
      <w:rFonts w:ascii="Times New Roman" w:hAnsi="Times New Roman"/>
      <w:color w:val="auto"/>
      <w:position w:val="4"/>
      <w:sz w:val="14"/>
      <w:szCs w:val="14"/>
    </w:rPr>
  </w:style>
  <w:style w:type="paragraph" w:customStyle="1" w:styleId="Source">
    <w:name w:val="Source"/>
    <w:basedOn w:val="Note"/>
    <w:next w:val="BodyText"/>
    <w:rsid w:val="00655D73"/>
    <w:pPr>
      <w:spacing w:after="240"/>
    </w:pPr>
  </w:style>
  <w:style w:type="paragraph" w:customStyle="1" w:styleId="BoxHeading1">
    <w:name w:val="Box Heading 1"/>
    <w:basedOn w:val="BoxText"/>
    <w:next w:val="BoxText"/>
    <w:rsid w:val="00655D73"/>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655D73"/>
    <w:pPr>
      <w:spacing w:before="140"/>
    </w:pPr>
    <w:rPr>
      <w:rFonts w:ascii="Franklin Gothic Book" w:hAnsi="Franklin Gothic Book"/>
      <w:i/>
      <w:color w:val="auto"/>
    </w:rPr>
  </w:style>
  <w:style w:type="paragraph" w:customStyle="1" w:styleId="TableListBullet">
    <w:name w:val="Table List Bullet"/>
    <w:basedOn w:val="TableTextEntries"/>
    <w:rsid w:val="00655D73"/>
    <w:pPr>
      <w:numPr>
        <w:numId w:val="9"/>
      </w:numPr>
    </w:pPr>
  </w:style>
  <w:style w:type="paragraph" w:styleId="TableofFigures">
    <w:name w:val="table of figures"/>
    <w:basedOn w:val="BodyText"/>
    <w:next w:val="BodyText"/>
    <w:semiHidden/>
    <w:rsid w:val="00655D73"/>
    <w:pPr>
      <w:tabs>
        <w:tab w:val="left" w:pos="1077"/>
        <w:tab w:val="right" w:pos="8505"/>
      </w:tabs>
      <w:spacing w:before="60" w:line="260" w:lineRule="atLeast"/>
      <w:ind w:left="1077" w:right="567" w:hanging="1077"/>
    </w:pPr>
  </w:style>
  <w:style w:type="paragraph" w:styleId="TOC3">
    <w:name w:val="toc 3"/>
    <w:basedOn w:val="TOC2"/>
    <w:next w:val="BodyText"/>
    <w:semiHidden/>
    <w:rsid w:val="00655D73"/>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655D73"/>
    <w:pPr>
      <w:jc w:val="right"/>
    </w:pPr>
  </w:style>
  <w:style w:type="paragraph" w:customStyle="1" w:styleId="Recommendation">
    <w:name w:val="Recommendation"/>
    <w:basedOn w:val="BodyText"/>
    <w:next w:val="BodyText"/>
    <w:semiHidden/>
    <w:rsid w:val="00655D73"/>
    <w:pPr>
      <w:tabs>
        <w:tab w:val="left" w:pos="284"/>
      </w:tabs>
      <w:ind w:left="284" w:hanging="284"/>
    </w:pPr>
    <w:rPr>
      <w:rFonts w:eastAsia="MS Mincho" w:cs="MS Mincho"/>
      <w:b/>
    </w:rPr>
  </w:style>
  <w:style w:type="paragraph" w:styleId="TOC6">
    <w:name w:val="toc 6"/>
    <w:basedOn w:val="BodyText"/>
    <w:next w:val="BodyText"/>
    <w:semiHidden/>
    <w:rsid w:val="00655D73"/>
    <w:pPr>
      <w:tabs>
        <w:tab w:val="left" w:pos="284"/>
        <w:tab w:val="right" w:pos="8222"/>
      </w:tabs>
      <w:ind w:left="284" w:right="567" w:hanging="284"/>
    </w:pPr>
  </w:style>
  <w:style w:type="character" w:styleId="CommentReference">
    <w:name w:val="annotation reference"/>
    <w:uiPriority w:val="99"/>
    <w:semiHidden/>
    <w:rsid w:val="00655D73"/>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655D73"/>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655D73"/>
    <w:rPr>
      <w:rFonts w:ascii="Calibri" w:eastAsia="Times New Roman" w:hAnsi="Calibri" w:cs="Times New Roman"/>
      <w:sz w:val="18"/>
      <w:szCs w:val="18"/>
      <w:lang w:eastAsia="en-AU"/>
    </w:rPr>
  </w:style>
  <w:style w:type="character" w:styleId="Hyperlink">
    <w:name w:val="Hyperlink"/>
    <w:rsid w:val="00655D73"/>
    <w:rPr>
      <w:color w:val="00467F"/>
      <w:sz w:val="20"/>
      <w:szCs w:val="20"/>
      <w:u w:val="none"/>
    </w:rPr>
  </w:style>
  <w:style w:type="paragraph" w:customStyle="1" w:styleId="ChartText">
    <w:name w:val="Chart Text"/>
    <w:basedOn w:val="BodyText"/>
    <w:semiHidden/>
    <w:rsid w:val="00655D73"/>
    <w:pPr>
      <w:spacing w:before="100" w:line="190" w:lineRule="exact"/>
    </w:pPr>
    <w:rPr>
      <w:rFonts w:ascii="Arial" w:hAnsi="Arial"/>
      <w:sz w:val="17"/>
    </w:rPr>
  </w:style>
  <w:style w:type="paragraph" w:customStyle="1" w:styleId="ChartBoldText">
    <w:name w:val="Chart Bold Text"/>
    <w:basedOn w:val="ChartText"/>
    <w:next w:val="ChartText"/>
    <w:semiHidden/>
    <w:rsid w:val="00655D73"/>
    <w:pPr>
      <w:spacing w:before="0"/>
      <w:jc w:val="center"/>
    </w:pPr>
    <w:rPr>
      <w:rFonts w:ascii="Arial Bold" w:hAnsi="Arial Bold"/>
      <w:b/>
      <w:color w:val="073771"/>
      <w:szCs w:val="17"/>
    </w:rPr>
  </w:style>
  <w:style w:type="paragraph" w:customStyle="1" w:styleId="ChartHighlight">
    <w:name w:val="Chart Highlight"/>
    <w:basedOn w:val="ChartBoldText"/>
    <w:semiHidden/>
    <w:rsid w:val="00655D73"/>
    <w:pPr>
      <w:spacing w:line="210" w:lineRule="exact"/>
    </w:pPr>
    <w:rPr>
      <w:caps/>
      <w:sz w:val="19"/>
    </w:rPr>
  </w:style>
  <w:style w:type="paragraph" w:customStyle="1" w:styleId="ChartListBullet">
    <w:name w:val="Chart List Bullet"/>
    <w:basedOn w:val="TableListBullet"/>
    <w:semiHidden/>
    <w:rsid w:val="00655D73"/>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655D73"/>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655D73"/>
    <w:pPr>
      <w:tabs>
        <w:tab w:val="num" w:pos="227"/>
      </w:tabs>
      <w:spacing w:before="60"/>
      <w:ind w:left="227" w:hanging="227"/>
    </w:pPr>
  </w:style>
  <w:style w:type="paragraph" w:styleId="TOC7">
    <w:name w:val="toc 7"/>
    <w:basedOn w:val="TOC1"/>
    <w:next w:val="TOC1"/>
    <w:semiHidden/>
    <w:rsid w:val="00655D73"/>
    <w:pPr>
      <w:tabs>
        <w:tab w:val="left" w:pos="1418"/>
      </w:tabs>
      <w:ind w:left="1418" w:hanging="1418"/>
    </w:pPr>
  </w:style>
  <w:style w:type="paragraph" w:customStyle="1" w:styleId="Author">
    <w:name w:val="Author"/>
    <w:basedOn w:val="Date"/>
    <w:next w:val="Position"/>
    <w:link w:val="AuthorCharChar"/>
    <w:semiHidden/>
    <w:rsid w:val="00655D73"/>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655D73"/>
    <w:pPr>
      <w:spacing w:before="0"/>
    </w:pPr>
    <w:rPr>
      <w:rFonts w:ascii="Franklin Gothic Book" w:hAnsi="Franklin Gothic Book"/>
    </w:rPr>
  </w:style>
  <w:style w:type="character" w:customStyle="1" w:styleId="PositionCharChar">
    <w:name w:val="Position Char Char"/>
    <w:link w:val="Position"/>
    <w:semiHidden/>
    <w:rsid w:val="00655D73"/>
    <w:rPr>
      <w:rFonts w:ascii="Franklin Gothic Book" w:eastAsia="Times New Roman" w:hAnsi="Franklin Gothic Book" w:cs="Times New Roman"/>
      <w:spacing w:val="-2"/>
      <w:kern w:val="28"/>
      <w:sz w:val="20"/>
      <w:szCs w:val="20"/>
      <w:lang w:eastAsia="en-AU"/>
    </w:rPr>
  </w:style>
  <w:style w:type="character" w:customStyle="1" w:styleId="AuthorCharChar">
    <w:name w:val="Author Char Char"/>
    <w:link w:val="Author"/>
    <w:semiHidden/>
    <w:rsid w:val="00655D73"/>
    <w:rPr>
      <w:rFonts w:ascii="Franklin Gothic Medium" w:eastAsia="Times New Roman" w:hAnsi="Franklin Gothic Medium" w:cs="Times New Roman"/>
      <w:spacing w:val="-2"/>
      <w:kern w:val="28"/>
      <w:sz w:val="20"/>
      <w:szCs w:val="20"/>
      <w:lang w:eastAsia="en-AU"/>
    </w:rPr>
  </w:style>
  <w:style w:type="paragraph" w:customStyle="1" w:styleId="Client">
    <w:name w:val="Client"/>
    <w:basedOn w:val="Author"/>
    <w:semiHidden/>
    <w:rsid w:val="00655D73"/>
  </w:style>
  <w:style w:type="paragraph" w:customStyle="1" w:styleId="TableHeading1">
    <w:name w:val="Table Heading 1"/>
    <w:basedOn w:val="TableTextEntries"/>
    <w:next w:val="TableTextEntries"/>
    <w:rsid w:val="00655D73"/>
    <w:pPr>
      <w:spacing w:before="80" w:after="80"/>
    </w:pPr>
    <w:rPr>
      <w:rFonts w:ascii="Franklin Gothic Medium" w:hAnsi="Franklin Gothic Medium"/>
    </w:rPr>
  </w:style>
  <w:style w:type="paragraph" w:customStyle="1" w:styleId="TableHeading2">
    <w:name w:val="Table Heading 2"/>
    <w:basedOn w:val="TableHeading1"/>
    <w:next w:val="TableTextEntries"/>
    <w:rsid w:val="00655D7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655D73"/>
    <w:pPr>
      <w:numPr>
        <w:numId w:val="10"/>
      </w:numPr>
    </w:pPr>
  </w:style>
  <w:style w:type="character" w:customStyle="1" w:styleId="TableListBullet2CharChar">
    <w:name w:val="Table List Bullet 2 Char Char"/>
    <w:link w:val="TableListBullet2"/>
    <w:rsid w:val="00655D73"/>
    <w:rPr>
      <w:rFonts w:ascii="Franklin Gothic Book" w:eastAsia="Times New Roman" w:hAnsi="Franklin Gothic Book" w:cs="Times New Roman"/>
      <w:sz w:val="17"/>
      <w:szCs w:val="17"/>
    </w:rPr>
  </w:style>
  <w:style w:type="paragraph" w:customStyle="1" w:styleId="TableListNumber">
    <w:name w:val="Table List Number"/>
    <w:basedOn w:val="TableTextEntries"/>
    <w:rsid w:val="00655D73"/>
    <w:pPr>
      <w:numPr>
        <w:numId w:val="4"/>
      </w:numPr>
    </w:pPr>
  </w:style>
  <w:style w:type="paragraph" w:customStyle="1" w:styleId="TableListNumber2">
    <w:name w:val="Table List Number 2"/>
    <w:basedOn w:val="TableListNumber"/>
    <w:rsid w:val="00655D73"/>
    <w:pPr>
      <w:numPr>
        <w:numId w:val="5"/>
      </w:numPr>
    </w:pPr>
  </w:style>
  <w:style w:type="paragraph" w:customStyle="1" w:styleId="TableUnit">
    <w:name w:val="Table Unit"/>
    <w:basedOn w:val="TableDataColumnHeading"/>
    <w:next w:val="TableDataEntries"/>
    <w:semiHidden/>
    <w:rsid w:val="00655D73"/>
    <w:pPr>
      <w:keepNext/>
    </w:pPr>
    <w:rPr>
      <w:rFonts w:ascii="Franklin Gothic Book" w:hAnsi="Franklin Gothic Book"/>
    </w:rPr>
  </w:style>
  <w:style w:type="character" w:styleId="FollowedHyperlink">
    <w:name w:val="FollowedHyperlink"/>
    <w:semiHidden/>
    <w:rsid w:val="00655D73"/>
    <w:rPr>
      <w:color w:val="333399"/>
      <w:u w:val="none"/>
    </w:rPr>
  </w:style>
  <w:style w:type="paragraph" w:customStyle="1" w:styleId="Blurb">
    <w:name w:val="Blurb"/>
    <w:basedOn w:val="Caption"/>
    <w:semiHidden/>
    <w:rsid w:val="00655D73"/>
    <w:pPr>
      <w:spacing w:before="180" w:after="0"/>
    </w:pPr>
    <w:rPr>
      <w:color w:val="FFFFFF"/>
    </w:rPr>
  </w:style>
  <w:style w:type="paragraph" w:customStyle="1" w:styleId="Figure">
    <w:name w:val="Figure"/>
    <w:basedOn w:val="BodyText"/>
    <w:next w:val="BodyText"/>
    <w:semiHidden/>
    <w:rsid w:val="00655D73"/>
    <w:pPr>
      <w:spacing w:line="200" w:lineRule="atLeast"/>
    </w:pPr>
    <w:rPr>
      <w:sz w:val="18"/>
      <w:szCs w:val="18"/>
    </w:rPr>
  </w:style>
  <w:style w:type="paragraph" w:customStyle="1" w:styleId="BoxListBullet2">
    <w:name w:val="Box List Bullet 2"/>
    <w:basedOn w:val="BoxListBullet"/>
    <w:rsid w:val="00655D73"/>
    <w:pPr>
      <w:numPr>
        <w:numId w:val="6"/>
      </w:numPr>
      <w:tabs>
        <w:tab w:val="clear" w:pos="567"/>
        <w:tab w:val="num" w:pos="227"/>
      </w:tabs>
      <w:ind w:left="227" w:hanging="227"/>
    </w:pPr>
    <w:rPr>
      <w:szCs w:val="18"/>
    </w:rPr>
  </w:style>
  <w:style w:type="paragraph" w:customStyle="1" w:styleId="BoxListNumber">
    <w:name w:val="Box List Number"/>
    <w:basedOn w:val="BoxText"/>
    <w:rsid w:val="00655D73"/>
    <w:pPr>
      <w:numPr>
        <w:numId w:val="8"/>
      </w:numPr>
      <w:tabs>
        <w:tab w:val="clear" w:pos="284"/>
        <w:tab w:val="num" w:pos="567"/>
      </w:tabs>
      <w:spacing w:before="0"/>
      <w:ind w:left="567" w:hanging="283"/>
    </w:pPr>
  </w:style>
  <w:style w:type="paragraph" w:customStyle="1" w:styleId="BoxListNumber2">
    <w:name w:val="Box List Number 2"/>
    <w:basedOn w:val="BoxListNumber"/>
    <w:rsid w:val="00655D73"/>
    <w:pPr>
      <w:tabs>
        <w:tab w:val="clear" w:pos="567"/>
      </w:tabs>
      <w:ind w:left="68" w:hanging="360"/>
    </w:pPr>
  </w:style>
  <w:style w:type="paragraph" w:customStyle="1" w:styleId="BoxNoteSource">
    <w:name w:val="Box Note/Source"/>
    <w:basedOn w:val="BoxText"/>
    <w:rsid w:val="00655D73"/>
    <w:pPr>
      <w:spacing w:before="100" w:after="100" w:line="180" w:lineRule="atLeast"/>
    </w:pPr>
    <w:rPr>
      <w:sz w:val="14"/>
      <w:szCs w:val="14"/>
    </w:rPr>
  </w:style>
  <w:style w:type="paragraph" w:customStyle="1" w:styleId="BoxQuote">
    <w:name w:val="Box Quote"/>
    <w:basedOn w:val="BoxText"/>
    <w:next w:val="BoxText"/>
    <w:rsid w:val="00655D73"/>
    <w:pPr>
      <w:spacing w:before="0" w:line="240" w:lineRule="atLeast"/>
      <w:ind w:left="284"/>
    </w:pPr>
    <w:rPr>
      <w:sz w:val="16"/>
      <w:szCs w:val="16"/>
    </w:rPr>
  </w:style>
  <w:style w:type="paragraph" w:customStyle="1" w:styleId="Appendix">
    <w:name w:val="Appendix"/>
    <w:basedOn w:val="Normal"/>
    <w:semiHidden/>
    <w:rsid w:val="00655D73"/>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655D73"/>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655D73"/>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655D73"/>
  </w:style>
  <w:style w:type="paragraph" w:styleId="CommentSubject">
    <w:name w:val="annotation subject"/>
    <w:basedOn w:val="CommentText"/>
    <w:next w:val="CommentText"/>
    <w:link w:val="CommentSubjectChar"/>
    <w:semiHidden/>
    <w:rsid w:val="00655D73"/>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semiHidden/>
    <w:rsid w:val="00655D73"/>
    <w:rPr>
      <w:rFonts w:ascii="Times New Roman" w:eastAsia="Times New Roman" w:hAnsi="Times New Roman" w:cs="Times New Roman"/>
      <w:b/>
      <w:bCs/>
      <w:sz w:val="20"/>
      <w:szCs w:val="20"/>
      <w:lang w:eastAsia="en-AU"/>
    </w:rPr>
  </w:style>
  <w:style w:type="paragraph" w:styleId="BalloonText">
    <w:name w:val="Balloon Text"/>
    <w:basedOn w:val="Normal"/>
    <w:link w:val="BalloonTextChar"/>
    <w:semiHidden/>
    <w:rsid w:val="00655D73"/>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55D73"/>
    <w:rPr>
      <w:rFonts w:ascii="Tahoma" w:eastAsia="Times New Roman" w:hAnsi="Tahoma" w:cs="Tahoma"/>
      <w:sz w:val="16"/>
      <w:szCs w:val="16"/>
      <w:lang w:eastAsia="en-AU"/>
    </w:rPr>
  </w:style>
  <w:style w:type="paragraph" w:customStyle="1" w:styleId="Rating">
    <w:name w:val="Rating"/>
    <w:basedOn w:val="BodyText"/>
    <w:next w:val="BodyText"/>
    <w:semiHidden/>
    <w:rsid w:val="00655D73"/>
    <w:pPr>
      <w:tabs>
        <w:tab w:val="left" w:pos="567"/>
      </w:tabs>
    </w:pPr>
  </w:style>
  <w:style w:type="paragraph" w:customStyle="1" w:styleId="GuidanceText">
    <w:name w:val="Guidance Text"/>
    <w:basedOn w:val="BodyText"/>
    <w:rsid w:val="00655D73"/>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655D73"/>
    <w:pPr>
      <w:spacing w:before="120"/>
    </w:pPr>
    <w:rPr>
      <w:rFonts w:ascii="Arial" w:eastAsia="Times New Roman" w:hAnsi="Arial" w:cs="Arial"/>
      <w:lang w:eastAsia="en-US"/>
    </w:rPr>
  </w:style>
  <w:style w:type="character" w:customStyle="1" w:styleId="List-bullet-1Char">
    <w:name w:val="List-bullet-1 Char"/>
    <w:link w:val="List-bullet-1"/>
    <w:rsid w:val="00655D73"/>
    <w:rPr>
      <w:rFonts w:ascii="Arial" w:eastAsia="Times New Roman" w:hAnsi="Arial" w:cs="Arial"/>
      <w:sz w:val="20"/>
      <w:szCs w:val="24"/>
    </w:rPr>
  </w:style>
  <w:style w:type="table" w:styleId="MediumGrid2-Accent2">
    <w:name w:val="Medium Grid 2 Accent 2"/>
    <w:basedOn w:val="TableNormal"/>
    <w:uiPriority w:val="68"/>
    <w:rsid w:val="00655D73"/>
    <w:pPr>
      <w:spacing w:after="0" w:line="240" w:lineRule="auto"/>
    </w:pPr>
    <w:rPr>
      <w:rFonts w:asciiTheme="majorHAnsi" w:eastAsiaTheme="majorEastAsia" w:hAnsiTheme="majorHAnsi" w:cstheme="majorBidi"/>
      <w:color w:val="000000" w:themeColor="text1"/>
      <w:lang w:eastAsia="en-A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655D73"/>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655D73"/>
    <w:pPr>
      <w:spacing w:after="0" w:line="240" w:lineRule="auto"/>
    </w:pPr>
    <w:rPr>
      <w:color w:val="000000" w:themeColor="text1" w:themeShade="BF"/>
      <w:lang w:eastAsia="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655D73"/>
    <w:pPr>
      <w:spacing w:after="0" w:line="240" w:lineRule="auto"/>
    </w:pPr>
    <w:rPr>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655D73"/>
    <w:pPr>
      <w:spacing w:after="0" w:line="240" w:lineRule="auto"/>
    </w:pPr>
    <w:rPr>
      <w:color w:val="365F91" w:themeColor="accent1" w:themeShade="BF"/>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655D73"/>
    <w:pPr>
      <w:spacing w:after="0" w:line="240" w:lineRule="auto"/>
    </w:pPr>
    <w:rPr>
      <w:rFonts w:ascii="Times New Roman" w:eastAsia="Times New Roman" w:hAnsi="Times New Roman" w:cs="Times New Roman"/>
      <w:sz w:val="20"/>
      <w:szCs w:val="24"/>
      <w:lang w:eastAsia="en-AU"/>
    </w:rPr>
  </w:style>
  <w:style w:type="paragraph" w:styleId="Quote">
    <w:name w:val="Quote"/>
    <w:basedOn w:val="BodyText"/>
    <w:next w:val="BodyText"/>
    <w:link w:val="QuoteChar"/>
    <w:qFormat/>
    <w:rsid w:val="00655D73"/>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655D73"/>
    <w:rPr>
      <w:rFonts w:ascii="Georgia" w:eastAsia="Times New Roman" w:hAnsi="Georgia" w:cs="Times New Roman"/>
      <w:sz w:val="17"/>
      <w:szCs w:val="17"/>
      <w:lang w:eastAsia="en-AU"/>
    </w:rPr>
  </w:style>
  <w:style w:type="paragraph" w:customStyle="1" w:styleId="List-number-2">
    <w:name w:val="List-number-2"/>
    <w:basedOn w:val="Normal"/>
    <w:rsid w:val="00655D73"/>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655D73"/>
    <w:pPr>
      <w:numPr>
        <w:numId w:val="16"/>
      </w:numPr>
      <w:spacing w:before="120"/>
    </w:pPr>
    <w:rPr>
      <w:rFonts w:ascii="Arial" w:eastAsia="Times New Roman" w:hAnsi="Arial"/>
      <w:lang w:eastAsia="en-US"/>
    </w:rPr>
  </w:style>
  <w:style w:type="character" w:customStyle="1" w:styleId="List-number-1Char">
    <w:name w:val="List-number-1 Char"/>
    <w:link w:val="List-number-1"/>
    <w:rsid w:val="00655D73"/>
    <w:rPr>
      <w:rFonts w:ascii="Arial" w:eastAsia="Times New Roman" w:hAnsi="Arial" w:cs="Times New Roman"/>
      <w:sz w:val="20"/>
      <w:szCs w:val="24"/>
    </w:rPr>
  </w:style>
  <w:style w:type="paragraph" w:styleId="ListNumber3">
    <w:name w:val="List Number 3"/>
    <w:basedOn w:val="Normal"/>
    <w:rsid w:val="00655D73"/>
    <w:pPr>
      <w:numPr>
        <w:numId w:val="17"/>
      </w:numPr>
      <w:spacing w:after="120" w:line="220" w:lineRule="exact"/>
    </w:pPr>
    <w:rPr>
      <w:rFonts w:ascii="Arial" w:eastAsia="Times New Roman" w:hAnsi="Arial"/>
      <w:sz w:val="18"/>
    </w:rPr>
  </w:style>
  <w:style w:type="paragraph" w:customStyle="1" w:styleId="Issue">
    <w:name w:val="Issue"/>
    <w:basedOn w:val="Normal"/>
    <w:rsid w:val="00655D73"/>
    <w:pPr>
      <w:spacing w:before="120" w:after="100" w:afterAutospacing="1"/>
    </w:pPr>
    <w:rPr>
      <w:rFonts w:eastAsia="Times New Roman"/>
      <w:i/>
      <w:sz w:val="24"/>
      <w:lang w:val="en-GB" w:eastAsia="zh-CN"/>
    </w:rPr>
  </w:style>
  <w:style w:type="paragraph" w:styleId="EndnoteText">
    <w:name w:val="endnote text"/>
    <w:basedOn w:val="Normal"/>
    <w:link w:val="EndnoteTextChar"/>
    <w:rsid w:val="00655D73"/>
    <w:rPr>
      <w:rFonts w:eastAsia="Times New Roman"/>
      <w:szCs w:val="20"/>
    </w:rPr>
  </w:style>
  <w:style w:type="character" w:customStyle="1" w:styleId="EndnoteTextChar">
    <w:name w:val="Endnote Text Char"/>
    <w:basedOn w:val="DefaultParagraphFont"/>
    <w:link w:val="EndnoteText"/>
    <w:rsid w:val="00655D73"/>
    <w:rPr>
      <w:rFonts w:ascii="Times New Roman" w:eastAsia="Times New Roman" w:hAnsi="Times New Roman" w:cs="Times New Roman"/>
      <w:sz w:val="20"/>
      <w:szCs w:val="20"/>
      <w:lang w:eastAsia="en-AU"/>
    </w:rPr>
  </w:style>
  <w:style w:type="character" w:styleId="EndnoteReference">
    <w:name w:val="endnote reference"/>
    <w:rsid w:val="00655D73"/>
    <w:rPr>
      <w:vertAlign w:val="superscript"/>
    </w:rPr>
  </w:style>
  <w:style w:type="numbering" w:customStyle="1" w:styleId="StyleBulletedSymbolsymbol95ptLeft063cmHanging">
    <w:name w:val="Style Bulleted Symbol (symbol) 9.5 pt Left:  0.63 cm Hanging:  ..."/>
    <w:basedOn w:val="NoList"/>
    <w:rsid w:val="00655D73"/>
    <w:pPr>
      <w:numPr>
        <w:numId w:val="18"/>
      </w:numPr>
    </w:pPr>
  </w:style>
  <w:style w:type="character" w:customStyle="1" w:styleId="CaptionChar">
    <w:name w:val="Caption Char"/>
    <w:link w:val="Caption"/>
    <w:uiPriority w:val="99"/>
    <w:locked/>
    <w:rsid w:val="00B92DD0"/>
    <w:rPr>
      <w:rFonts w:ascii="Arial" w:eastAsia="Times New Roman" w:hAnsi="Arial" w:cs="Arial"/>
      <w:color w:val="7E6D5F"/>
      <w:sz w:val="24"/>
      <w:szCs w:val="24"/>
      <w:lang w:eastAsia="en-AU"/>
    </w:rPr>
  </w:style>
  <w:style w:type="paragraph" w:customStyle="1" w:styleId="list-number-10">
    <w:name w:val="list-number-1"/>
    <w:basedOn w:val="Normal"/>
    <w:rsid w:val="00655D73"/>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C56CC1"/>
    <w:pPr>
      <w:spacing w:after="0"/>
      <w:contextualSpacing/>
    </w:pPr>
    <w:rPr>
      <w:sz w:val="16"/>
      <w:szCs w:val="20"/>
    </w:rPr>
  </w:style>
  <w:style w:type="character" w:customStyle="1" w:styleId="FootnoteTextChar">
    <w:name w:val="Footnote Text Char"/>
    <w:basedOn w:val="DefaultParagraphFont"/>
    <w:link w:val="FootnoteText"/>
    <w:uiPriority w:val="99"/>
    <w:rsid w:val="00C56CC1"/>
    <w:rPr>
      <w:rFonts w:ascii="Times New Roman" w:eastAsia="Times New Roman" w:hAnsi="Times New Roman" w:cs="Times New Roman"/>
      <w:sz w:val="16"/>
      <w:szCs w:val="20"/>
      <w:lang w:eastAsia="en-AU"/>
    </w:rPr>
  </w:style>
  <w:style w:type="character" w:styleId="FootnoteReference">
    <w:name w:val="footnote reference"/>
    <w:uiPriority w:val="99"/>
    <w:rsid w:val="00522545"/>
    <w:rPr>
      <w:rFonts w:ascii="Times New Roman" w:hAnsi="Times New Roman"/>
      <w:b w:val="0"/>
      <w:i w:val="0"/>
      <w:caps w:val="0"/>
      <w:smallCaps w:val="0"/>
      <w:strike w:val="0"/>
      <w:dstrike w:val="0"/>
      <w:vanish w:val="0"/>
      <w:w w:val="100"/>
      <w:position w:val="0"/>
      <w:sz w:val="22"/>
      <w:szCs w:val="12"/>
      <w:vertAlign w:val="superscript"/>
    </w:rPr>
  </w:style>
  <w:style w:type="character" w:customStyle="1" w:styleId="ListParagraphChar">
    <w:name w:val="List Paragraph Char"/>
    <w:aliases w:val="List Paragraph1 Char,List Paragraph11 Char,List Paragraph2 Char"/>
    <w:basedOn w:val="DefaultParagraphFont"/>
    <w:link w:val="ListParagraph"/>
    <w:uiPriority w:val="99"/>
    <w:locked/>
    <w:rsid w:val="00655D73"/>
    <w:rPr>
      <w:rFonts w:ascii="Times New Roman" w:eastAsia="Times New Roman" w:hAnsi="Times New Roman" w:cs="Times New Roman"/>
      <w:szCs w:val="24"/>
      <w:lang w:eastAsia="en-AU"/>
    </w:rPr>
  </w:style>
  <w:style w:type="paragraph" w:customStyle="1" w:styleId="Default">
    <w:name w:val="Default"/>
    <w:rsid w:val="00655D73"/>
    <w:pPr>
      <w:autoSpaceDE w:val="0"/>
      <w:autoSpaceDN w:val="0"/>
      <w:adjustRightInd w:val="0"/>
      <w:spacing w:after="0" w:line="240" w:lineRule="auto"/>
    </w:pPr>
    <w:rPr>
      <w:rFonts w:ascii="Humnst777 BT" w:hAnsi="Humnst777 BT" w:cs="Humnst777 BT"/>
      <w:color w:val="000000"/>
      <w:sz w:val="24"/>
      <w:szCs w:val="24"/>
    </w:rPr>
  </w:style>
  <w:style w:type="character" w:customStyle="1" w:styleId="runat">
    <w:name w:val="runat="/>
    <w:basedOn w:val="DefaultParagraphFont"/>
    <w:rsid w:val="00655D73"/>
  </w:style>
  <w:style w:type="paragraph" w:styleId="NormalWeb">
    <w:name w:val="Normal (Web)"/>
    <w:basedOn w:val="Normal"/>
    <w:uiPriority w:val="99"/>
    <w:semiHidden/>
    <w:unhideWhenUsed/>
    <w:rsid w:val="00655D73"/>
    <w:pPr>
      <w:spacing w:before="100" w:beforeAutospacing="1" w:after="100" w:afterAutospacing="1"/>
    </w:pPr>
    <w:rPr>
      <w:rFonts w:eastAsia="Times New Roman"/>
      <w:sz w:val="24"/>
    </w:rPr>
  </w:style>
  <w:style w:type="paragraph" w:customStyle="1" w:styleId="TitleAuthors">
    <w:name w:val="Title Authors"/>
    <w:basedOn w:val="Normal"/>
    <w:rsid w:val="00655D73"/>
    <w:pPr>
      <w:spacing w:after="120"/>
      <w:ind w:left="720"/>
      <w:jc w:val="both"/>
    </w:pPr>
    <w:rPr>
      <w:rFonts w:ascii="Arial" w:eastAsia="Times New Roman" w:hAnsi="Arial" w:cs="Mangal"/>
      <w:color w:val="C0C0C0"/>
      <w:sz w:val="28"/>
      <w:szCs w:val="28"/>
      <w:lang w:val="en-GB" w:eastAsia="en-GB" w:bidi="hi-IN"/>
    </w:rPr>
  </w:style>
  <w:style w:type="paragraph" w:customStyle="1" w:styleId="TitleHeading">
    <w:name w:val="Title Heading"/>
    <w:basedOn w:val="Normal"/>
    <w:rsid w:val="00655D73"/>
    <w:pPr>
      <w:spacing w:after="120"/>
      <w:ind w:left="720"/>
      <w:jc w:val="both"/>
    </w:pPr>
    <w:rPr>
      <w:rFonts w:ascii="Arial Black" w:eastAsia="Times New Roman" w:hAnsi="Arial Black"/>
      <w:color w:val="005199"/>
      <w:sz w:val="48"/>
      <w:szCs w:val="20"/>
      <w:lang w:val="en-GB" w:eastAsia="en-GB" w:bidi="hi-IN"/>
    </w:rPr>
  </w:style>
  <w:style w:type="character" w:customStyle="1" w:styleId="scayt-misspell">
    <w:name w:val="scayt-misspell"/>
    <w:basedOn w:val="DefaultParagraphFont"/>
    <w:rsid w:val="00655D73"/>
  </w:style>
  <w:style w:type="paragraph" w:customStyle="1" w:styleId="doubledotpoint">
    <w:name w:val="double dot point"/>
    <w:basedOn w:val="Normal"/>
    <w:autoRedefine/>
    <w:rsid w:val="00655D73"/>
    <w:pPr>
      <w:numPr>
        <w:ilvl w:val="3"/>
        <w:numId w:val="21"/>
      </w:numPr>
      <w:spacing w:before="60" w:after="60"/>
    </w:pPr>
    <w:rPr>
      <w:color w:val="000000"/>
      <w:sz w:val="24"/>
      <w:lang w:eastAsia="zh-CN"/>
    </w:rPr>
  </w:style>
  <w:style w:type="paragraph" w:customStyle="1" w:styleId="BriefBackground">
    <w:name w:val="Brief Background"/>
    <w:basedOn w:val="Normal"/>
    <w:rsid w:val="00655D73"/>
    <w:pPr>
      <w:spacing w:after="120"/>
    </w:pPr>
    <w:rPr>
      <w:rFonts w:ascii="Calibri" w:eastAsiaTheme="minorHAnsi" w:hAnsi="Calibri" w:cs="Calibri"/>
      <w:color w:val="000000"/>
      <w:sz w:val="24"/>
      <w:lang w:eastAsia="en-US"/>
    </w:rPr>
  </w:style>
  <w:style w:type="paragraph" w:customStyle="1" w:styleId="FCDPbody">
    <w:name w:val="FCDP body"/>
    <w:basedOn w:val="Normal"/>
    <w:rsid w:val="00655D73"/>
    <w:pPr>
      <w:autoSpaceDE w:val="0"/>
      <w:autoSpaceDN w:val="0"/>
      <w:spacing w:after="120" w:line="360" w:lineRule="auto"/>
    </w:pPr>
    <w:rPr>
      <w:rFonts w:ascii="Arial" w:eastAsiaTheme="minorHAnsi" w:hAnsi="Arial" w:cs="Arial"/>
      <w:szCs w:val="20"/>
    </w:rPr>
  </w:style>
  <w:style w:type="character" w:customStyle="1" w:styleId="amount">
    <w:name w:val="amount"/>
    <w:basedOn w:val="DefaultParagraphFont"/>
    <w:rsid w:val="00655D73"/>
  </w:style>
  <w:style w:type="paragraph" w:styleId="PlainText">
    <w:name w:val="Plain Text"/>
    <w:basedOn w:val="Normal"/>
    <w:link w:val="PlainTextChar"/>
    <w:uiPriority w:val="99"/>
    <w:semiHidden/>
    <w:unhideWhenUsed/>
    <w:rsid w:val="00B564A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B564AE"/>
    <w:rPr>
      <w:rFonts w:ascii="Calibri" w:hAnsi="Calibri" w:cs="Calibri"/>
    </w:rPr>
  </w:style>
  <w:style w:type="character" w:styleId="Emphasis">
    <w:name w:val="Emphasis"/>
    <w:basedOn w:val="DefaultParagraphFont"/>
    <w:uiPriority w:val="20"/>
    <w:qFormat/>
    <w:rsid w:val="00BB5B24"/>
    <w:rPr>
      <w:b/>
      <w:bCs/>
      <w:i w:val="0"/>
      <w:iCs w:val="0"/>
    </w:rPr>
  </w:style>
  <w:style w:type="character" w:customStyle="1" w:styleId="st1">
    <w:name w:val="st1"/>
    <w:basedOn w:val="DefaultParagraphFont"/>
    <w:rsid w:val="00BB5B24"/>
  </w:style>
  <w:style w:type="character" w:styleId="Strong">
    <w:name w:val="Strong"/>
    <w:basedOn w:val="DefaultParagraphFont"/>
    <w:uiPriority w:val="22"/>
    <w:qFormat/>
    <w:rsid w:val="00BB5B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qFormat="1"/>
    <w:lsdException w:name="table of figures"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3"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D73"/>
    <w:pPr>
      <w:spacing w:after="0" w:line="240" w:lineRule="auto"/>
    </w:pPr>
    <w:rPr>
      <w:rFonts w:ascii="Times New Roman" w:eastAsia="SimSun" w:hAnsi="Times New Roman" w:cs="Times New Roman"/>
      <w:sz w:val="20"/>
      <w:szCs w:val="24"/>
      <w:lang w:eastAsia="en-AU"/>
    </w:rPr>
  </w:style>
  <w:style w:type="paragraph" w:styleId="Heading1">
    <w:name w:val="heading 1"/>
    <w:basedOn w:val="Normal"/>
    <w:next w:val="Normal"/>
    <w:link w:val="Heading1Char"/>
    <w:uiPriority w:val="99"/>
    <w:qFormat/>
    <w:rsid w:val="00655D73"/>
    <w:pPr>
      <w:keepNext/>
      <w:spacing w:before="360" w:after="120"/>
      <w:ind w:right="-567"/>
      <w:outlineLvl w:val="0"/>
    </w:pPr>
    <w:rPr>
      <w:rFonts w:ascii="Franklin Gothic Demi" w:eastAsia="Times New Roman" w:hAnsi="Franklin Gothic Demi" w:cs="Arial"/>
      <w:color w:val="AD495D"/>
      <w:kern w:val="28"/>
      <w:sz w:val="28"/>
      <w:szCs w:val="28"/>
    </w:rPr>
  </w:style>
  <w:style w:type="paragraph" w:styleId="Heading2">
    <w:name w:val="heading 2"/>
    <w:basedOn w:val="Normal"/>
    <w:next w:val="BodyText"/>
    <w:link w:val="Heading2Char"/>
    <w:qFormat/>
    <w:rsid w:val="00655D73"/>
    <w:pPr>
      <w:keepNext/>
      <w:spacing w:before="360" w:after="120"/>
      <w:ind w:right="-567"/>
      <w:outlineLvl w:val="1"/>
    </w:pPr>
    <w:rPr>
      <w:rFonts w:ascii="Franklin Gothic Demi" w:eastAsia="Times New Roman" w:hAnsi="Franklin Gothic Demi" w:cs="Arial"/>
      <w:color w:val="AD495D"/>
      <w:kern w:val="28"/>
      <w:sz w:val="24"/>
      <w:szCs w:val="28"/>
    </w:rPr>
  </w:style>
  <w:style w:type="paragraph" w:styleId="Heading3">
    <w:name w:val="heading 3"/>
    <w:basedOn w:val="Heading2"/>
    <w:link w:val="Heading3Char"/>
    <w:autoRedefine/>
    <w:qFormat/>
    <w:rsid w:val="00C17D14"/>
    <w:pPr>
      <w:numPr>
        <w:ilvl w:val="2"/>
      </w:numPr>
      <w:spacing w:before="300" w:line="260" w:lineRule="atLeast"/>
      <w:outlineLvl w:val="2"/>
    </w:pPr>
    <w:rPr>
      <w:color w:val="54534A"/>
      <w:sz w:val="22"/>
      <w:szCs w:val="22"/>
      <w:lang w:eastAsia="zh-CN"/>
    </w:rPr>
  </w:style>
  <w:style w:type="paragraph" w:styleId="Heading4">
    <w:name w:val="heading 4"/>
    <w:basedOn w:val="BodyText"/>
    <w:next w:val="BodyText"/>
    <w:link w:val="Heading4Char"/>
    <w:qFormat/>
    <w:rsid w:val="00655D73"/>
    <w:pPr>
      <w:numPr>
        <w:ilvl w:val="3"/>
        <w:numId w:val="1"/>
      </w:numPr>
      <w:spacing w:before="320" w:after="0"/>
      <w:outlineLvl w:val="3"/>
    </w:pPr>
    <w:rPr>
      <w:b/>
      <w:color w:val="54534A"/>
      <w:szCs w:val="22"/>
    </w:rPr>
  </w:style>
  <w:style w:type="paragraph" w:styleId="Heading5">
    <w:name w:val="heading 5"/>
    <w:basedOn w:val="BodyText"/>
    <w:next w:val="BodyText"/>
    <w:link w:val="Heading5Char"/>
    <w:rsid w:val="00655D73"/>
    <w:pPr>
      <w:keepNext/>
      <w:numPr>
        <w:ilvl w:val="4"/>
        <w:numId w:val="1"/>
      </w:numPr>
      <w:spacing w:before="320" w:after="0"/>
      <w:outlineLvl w:val="4"/>
    </w:pPr>
    <w:rPr>
      <w:b/>
      <w:color w:val="54534A"/>
    </w:rPr>
  </w:style>
  <w:style w:type="paragraph" w:styleId="Heading6">
    <w:name w:val="heading 6"/>
    <w:basedOn w:val="Heading1"/>
    <w:next w:val="BodyText"/>
    <w:link w:val="Heading6Char"/>
    <w:rsid w:val="00655D73"/>
    <w:pPr>
      <w:keepNext w:val="0"/>
      <w:numPr>
        <w:ilvl w:val="5"/>
        <w:numId w:val="1"/>
      </w:numPr>
      <w:spacing w:before="0" w:after="240" w:line="280" w:lineRule="atLeast"/>
      <w:outlineLvl w:val="5"/>
    </w:pPr>
    <w:rPr>
      <w:rFonts w:ascii="Times New Roman" w:hAnsi="Times New Roman" w:cs="Times New Roman"/>
      <w:b/>
      <w:color w:val="auto"/>
      <w:sz w:val="24"/>
      <w:szCs w:val="19"/>
    </w:rPr>
  </w:style>
  <w:style w:type="paragraph" w:styleId="Heading7">
    <w:name w:val="heading 7"/>
    <w:basedOn w:val="Heading2"/>
    <w:next w:val="BodyText"/>
    <w:link w:val="Heading7Char"/>
    <w:qFormat/>
    <w:rsid w:val="00655D73"/>
    <w:pPr>
      <w:numPr>
        <w:ilvl w:val="6"/>
      </w:numPr>
      <w:outlineLvl w:val="6"/>
    </w:pPr>
    <w:rPr>
      <w:sz w:val="28"/>
    </w:rPr>
  </w:style>
  <w:style w:type="paragraph" w:styleId="Heading8">
    <w:name w:val="heading 8"/>
    <w:basedOn w:val="Heading3"/>
    <w:next w:val="BodyText"/>
    <w:link w:val="Heading8Char"/>
    <w:rsid w:val="00655D73"/>
    <w:pPr>
      <w:numPr>
        <w:ilvl w:val="7"/>
      </w:numPr>
      <w:outlineLvl w:val="7"/>
    </w:pPr>
  </w:style>
  <w:style w:type="paragraph" w:styleId="Heading9">
    <w:name w:val="heading 9"/>
    <w:basedOn w:val="Heading4"/>
    <w:next w:val="BodyText"/>
    <w:link w:val="Heading9Char"/>
    <w:rsid w:val="00655D7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5D73"/>
    <w:rPr>
      <w:rFonts w:ascii="Franklin Gothic Demi" w:eastAsia="Times New Roman" w:hAnsi="Franklin Gothic Demi" w:cs="Arial"/>
      <w:color w:val="AD495D"/>
      <w:kern w:val="28"/>
      <w:sz w:val="28"/>
      <w:szCs w:val="28"/>
      <w:lang w:eastAsia="en-AU"/>
    </w:rPr>
  </w:style>
  <w:style w:type="character" w:customStyle="1" w:styleId="Heading2Char">
    <w:name w:val="Heading 2 Char"/>
    <w:basedOn w:val="DefaultParagraphFont"/>
    <w:link w:val="Heading2"/>
    <w:rsid w:val="00655D73"/>
    <w:rPr>
      <w:rFonts w:ascii="Franklin Gothic Demi" w:eastAsia="Times New Roman" w:hAnsi="Franklin Gothic Demi" w:cs="Arial"/>
      <w:color w:val="AD495D"/>
      <w:kern w:val="28"/>
      <w:sz w:val="24"/>
      <w:szCs w:val="28"/>
      <w:lang w:eastAsia="en-AU"/>
    </w:rPr>
  </w:style>
  <w:style w:type="character" w:customStyle="1" w:styleId="Heading3Char">
    <w:name w:val="Heading 3 Char"/>
    <w:basedOn w:val="DefaultParagraphFont"/>
    <w:link w:val="Heading3"/>
    <w:rsid w:val="00C17D14"/>
    <w:rPr>
      <w:rFonts w:ascii="Franklin Gothic Demi" w:eastAsia="Times New Roman" w:hAnsi="Franklin Gothic Demi" w:cs="Arial"/>
      <w:color w:val="54534A"/>
      <w:kern w:val="28"/>
      <w:lang w:eastAsia="zh-CN"/>
    </w:rPr>
  </w:style>
  <w:style w:type="character" w:customStyle="1" w:styleId="Heading4Char">
    <w:name w:val="Heading 4 Char"/>
    <w:basedOn w:val="DefaultParagraphFont"/>
    <w:link w:val="Heading4"/>
    <w:rsid w:val="00655D73"/>
    <w:rPr>
      <w:rFonts w:ascii="Times New Roman" w:eastAsia="Times New Roman" w:hAnsi="Times New Roman" w:cs="Times New Roman"/>
      <w:b/>
      <w:color w:val="54534A"/>
      <w:lang w:eastAsia="en-AU"/>
    </w:rPr>
  </w:style>
  <w:style w:type="character" w:customStyle="1" w:styleId="Heading5Char">
    <w:name w:val="Heading 5 Char"/>
    <w:basedOn w:val="DefaultParagraphFont"/>
    <w:link w:val="Heading5"/>
    <w:rsid w:val="00655D73"/>
    <w:rPr>
      <w:rFonts w:ascii="Times New Roman" w:eastAsia="Times New Roman" w:hAnsi="Times New Roman" w:cs="Times New Roman"/>
      <w:b/>
      <w:color w:val="54534A"/>
      <w:szCs w:val="24"/>
      <w:lang w:eastAsia="en-AU"/>
    </w:rPr>
  </w:style>
  <w:style w:type="character" w:customStyle="1" w:styleId="Heading6Char">
    <w:name w:val="Heading 6 Char"/>
    <w:basedOn w:val="DefaultParagraphFont"/>
    <w:link w:val="Heading6"/>
    <w:rsid w:val="00655D73"/>
    <w:rPr>
      <w:rFonts w:ascii="Times New Roman" w:eastAsia="Times New Roman" w:hAnsi="Times New Roman" w:cs="Times New Roman"/>
      <w:b/>
      <w:kern w:val="28"/>
      <w:sz w:val="24"/>
      <w:szCs w:val="19"/>
      <w:lang w:eastAsia="en-AU"/>
    </w:rPr>
  </w:style>
  <w:style w:type="character" w:customStyle="1" w:styleId="Heading7Char">
    <w:name w:val="Heading 7 Char"/>
    <w:basedOn w:val="DefaultParagraphFont"/>
    <w:link w:val="Heading7"/>
    <w:rsid w:val="00655D73"/>
    <w:rPr>
      <w:rFonts w:ascii="Franklin Gothic Demi" w:eastAsia="Times New Roman" w:hAnsi="Franklin Gothic Demi" w:cs="Arial"/>
      <w:color w:val="AD495D"/>
      <w:kern w:val="28"/>
      <w:sz w:val="28"/>
      <w:szCs w:val="28"/>
      <w:lang w:eastAsia="en-AU"/>
    </w:rPr>
  </w:style>
  <w:style w:type="character" w:customStyle="1" w:styleId="Heading8Char">
    <w:name w:val="Heading 8 Char"/>
    <w:basedOn w:val="DefaultParagraphFont"/>
    <w:link w:val="Heading8"/>
    <w:rsid w:val="00655D73"/>
    <w:rPr>
      <w:rFonts w:ascii="Franklin Gothic Demi" w:eastAsia="Times New Roman" w:hAnsi="Franklin Gothic Demi" w:cs="Arial"/>
      <w:color w:val="54534A"/>
      <w:kern w:val="28"/>
      <w:lang w:eastAsia="zh-CN"/>
    </w:rPr>
  </w:style>
  <w:style w:type="character" w:customStyle="1" w:styleId="Heading9Char">
    <w:name w:val="Heading 9 Char"/>
    <w:basedOn w:val="DefaultParagraphFont"/>
    <w:link w:val="Heading9"/>
    <w:rsid w:val="00655D73"/>
    <w:rPr>
      <w:rFonts w:ascii="Times New Roman" w:eastAsia="Times New Roman" w:hAnsi="Times New Roman" w:cs="Times New Roman"/>
      <w:b/>
      <w:color w:val="54534A"/>
      <w:lang w:eastAsia="en-AU"/>
    </w:rPr>
  </w:style>
  <w:style w:type="paragraph" w:styleId="BodyText">
    <w:name w:val="Body Text"/>
    <w:basedOn w:val="Normal"/>
    <w:link w:val="BodyTextChar"/>
    <w:uiPriority w:val="99"/>
    <w:qFormat/>
    <w:rsid w:val="00655D73"/>
    <w:pPr>
      <w:spacing w:after="120"/>
    </w:pPr>
    <w:rPr>
      <w:rFonts w:eastAsia="Times New Roman"/>
      <w:sz w:val="22"/>
    </w:rPr>
  </w:style>
  <w:style w:type="character" w:customStyle="1" w:styleId="BodyTextChar">
    <w:name w:val="Body Text Char"/>
    <w:basedOn w:val="DefaultParagraphFont"/>
    <w:link w:val="BodyText"/>
    <w:uiPriority w:val="99"/>
    <w:rsid w:val="00655D73"/>
    <w:rPr>
      <w:rFonts w:ascii="Times New Roman" w:eastAsia="Times New Roman" w:hAnsi="Times New Roman" w:cs="Times New Roman"/>
      <w:szCs w:val="24"/>
      <w:lang w:eastAsia="en-AU"/>
    </w:rPr>
  </w:style>
  <w:style w:type="paragraph" w:styleId="Date">
    <w:name w:val="Date"/>
    <w:basedOn w:val="Normal"/>
    <w:next w:val="BodyText"/>
    <w:link w:val="DateChar"/>
    <w:semiHidden/>
    <w:qFormat/>
    <w:rsid w:val="00655D73"/>
    <w:pPr>
      <w:spacing w:before="120" w:after="1000" w:line="380" w:lineRule="atLeast"/>
    </w:pPr>
    <w:rPr>
      <w:rFonts w:ascii="Franklin Gothic Book" w:eastAsia="Times New Roman" w:hAnsi="Franklin Gothic Book"/>
      <w:color w:val="FFFFFF"/>
      <w:spacing w:val="-10"/>
      <w:kern w:val="28"/>
      <w:sz w:val="24"/>
    </w:rPr>
  </w:style>
  <w:style w:type="character" w:customStyle="1" w:styleId="DateChar">
    <w:name w:val="Date Char"/>
    <w:basedOn w:val="DefaultParagraphFont"/>
    <w:link w:val="Date"/>
    <w:semiHidden/>
    <w:rsid w:val="00655D73"/>
    <w:rPr>
      <w:rFonts w:ascii="Franklin Gothic Book" w:eastAsia="Times New Roman" w:hAnsi="Franklin Gothic Book" w:cs="Times New Roman"/>
      <w:color w:val="FFFFFF"/>
      <w:spacing w:val="-10"/>
      <w:kern w:val="28"/>
      <w:sz w:val="24"/>
      <w:szCs w:val="24"/>
      <w:lang w:eastAsia="en-AU"/>
    </w:rPr>
  </w:style>
  <w:style w:type="paragraph" w:customStyle="1" w:styleId="PublicationDate">
    <w:name w:val="Publication Date"/>
    <w:basedOn w:val="Date"/>
    <w:qFormat/>
    <w:rsid w:val="00690AF8"/>
    <w:pPr>
      <w:spacing w:after="480"/>
    </w:pPr>
    <w:rPr>
      <w:rFonts w:ascii="Arial" w:hAnsi="Arial"/>
      <w:color w:val="auto"/>
    </w:rPr>
  </w:style>
  <w:style w:type="paragraph" w:customStyle="1" w:styleId="DocStatus">
    <w:name w:val="DocStatus"/>
    <w:basedOn w:val="Normal"/>
    <w:rsid w:val="00655D73"/>
    <w:pPr>
      <w:spacing w:before="120" w:after="60"/>
      <w:jc w:val="center"/>
    </w:pPr>
    <w:rPr>
      <w:rFonts w:ascii="Arial" w:eastAsia="Times New Roman" w:hAnsi="Arial"/>
      <w:b/>
      <w:sz w:val="22"/>
      <w:lang w:eastAsia="en-US"/>
    </w:rPr>
  </w:style>
  <w:style w:type="paragraph" w:styleId="Title">
    <w:name w:val="Title"/>
    <w:basedOn w:val="Normal"/>
    <w:next w:val="Normal"/>
    <w:link w:val="TitleChar"/>
    <w:qFormat/>
    <w:rsid w:val="000D068C"/>
    <w:pPr>
      <w:pageBreakBefore/>
      <w:spacing w:before="80" w:after="640" w:line="280" w:lineRule="atLeast"/>
      <w:ind w:right="-227"/>
    </w:pPr>
    <w:rPr>
      <w:rFonts w:ascii="Arial" w:eastAsia="Times New Roman" w:hAnsi="Arial"/>
      <w:color w:val="AD495D"/>
      <w:spacing w:val="-10"/>
      <w:kern w:val="28"/>
      <w:sz w:val="40"/>
      <w:szCs w:val="20"/>
    </w:rPr>
  </w:style>
  <w:style w:type="character" w:customStyle="1" w:styleId="TitleChar">
    <w:name w:val="Title Char"/>
    <w:basedOn w:val="DefaultParagraphFont"/>
    <w:link w:val="Title"/>
    <w:rsid w:val="000D068C"/>
    <w:rPr>
      <w:rFonts w:ascii="Arial" w:eastAsia="Times New Roman" w:hAnsi="Arial" w:cs="Times New Roman"/>
      <w:color w:val="AD495D"/>
      <w:spacing w:val="-10"/>
      <w:kern w:val="28"/>
      <w:sz w:val="40"/>
      <w:szCs w:val="20"/>
      <w:lang w:eastAsia="en-AU"/>
    </w:rPr>
  </w:style>
  <w:style w:type="paragraph" w:styleId="Header">
    <w:name w:val="header"/>
    <w:basedOn w:val="Normal"/>
    <w:link w:val="HeaderChar"/>
    <w:uiPriority w:val="99"/>
    <w:unhideWhenUsed/>
    <w:rsid w:val="00655D73"/>
    <w:pPr>
      <w:tabs>
        <w:tab w:val="center" w:pos="4513"/>
        <w:tab w:val="right" w:pos="9026"/>
      </w:tabs>
    </w:pPr>
  </w:style>
  <w:style w:type="character" w:customStyle="1" w:styleId="HeaderChar">
    <w:name w:val="Header Char"/>
    <w:basedOn w:val="DefaultParagraphFont"/>
    <w:link w:val="Header"/>
    <w:uiPriority w:val="99"/>
    <w:rsid w:val="00655D73"/>
    <w:rPr>
      <w:rFonts w:ascii="Times New Roman" w:eastAsia="SimSun" w:hAnsi="Times New Roman" w:cs="Times New Roman"/>
      <w:sz w:val="20"/>
      <w:szCs w:val="24"/>
      <w:lang w:eastAsia="en-AU"/>
    </w:rPr>
  </w:style>
  <w:style w:type="paragraph" w:styleId="Footer">
    <w:name w:val="footer"/>
    <w:basedOn w:val="Normal"/>
    <w:link w:val="FooterChar"/>
    <w:unhideWhenUsed/>
    <w:rsid w:val="00655D73"/>
    <w:pPr>
      <w:tabs>
        <w:tab w:val="center" w:pos="4513"/>
        <w:tab w:val="right" w:pos="9026"/>
      </w:tabs>
    </w:pPr>
  </w:style>
  <w:style w:type="character" w:customStyle="1" w:styleId="FooterChar">
    <w:name w:val="Footer Char"/>
    <w:basedOn w:val="DefaultParagraphFont"/>
    <w:link w:val="Footer"/>
    <w:rsid w:val="00655D73"/>
    <w:rPr>
      <w:rFonts w:ascii="Times New Roman" w:eastAsia="SimSun" w:hAnsi="Times New Roman" w:cs="Times New Roman"/>
      <w:sz w:val="20"/>
      <w:szCs w:val="24"/>
      <w:lang w:eastAsia="en-AU"/>
    </w:rPr>
  </w:style>
  <w:style w:type="paragraph" w:styleId="Caption">
    <w:name w:val="caption"/>
    <w:basedOn w:val="Normal"/>
    <w:next w:val="BodyText"/>
    <w:link w:val="CaptionChar"/>
    <w:autoRedefine/>
    <w:uiPriority w:val="99"/>
    <w:qFormat/>
    <w:rsid w:val="00B92DD0"/>
    <w:pPr>
      <w:keepNext/>
      <w:spacing w:before="80" w:after="80" w:line="280" w:lineRule="atLeast"/>
    </w:pPr>
    <w:rPr>
      <w:rFonts w:ascii="Arial" w:eastAsia="Times New Roman" w:hAnsi="Arial" w:cs="Arial"/>
      <w:color w:val="7E6D5F"/>
      <w:sz w:val="24"/>
    </w:rPr>
  </w:style>
  <w:style w:type="paragraph" w:customStyle="1" w:styleId="Note">
    <w:name w:val="Note"/>
    <w:basedOn w:val="Normal"/>
    <w:next w:val="Normal"/>
    <w:link w:val="NoteCharChar"/>
    <w:autoRedefine/>
    <w:rsid w:val="00C56CC1"/>
    <w:pPr>
      <w:keepNext/>
      <w:keepLines/>
      <w:spacing w:before="20" w:after="20" w:line="180" w:lineRule="atLeast"/>
    </w:pPr>
    <w:rPr>
      <w:rFonts w:ascii="Franklin Gothic Book" w:eastAsia="Times New Roman" w:hAnsi="Franklin Gothic Book"/>
      <w:iCs/>
      <w:sz w:val="14"/>
      <w:szCs w:val="14"/>
      <w:lang w:eastAsia="en-US"/>
    </w:rPr>
  </w:style>
  <w:style w:type="paragraph" w:customStyle="1" w:styleId="TableTextEntries">
    <w:name w:val="Table Text Entries"/>
    <w:basedOn w:val="Normal"/>
    <w:rsid w:val="00655D73"/>
    <w:pPr>
      <w:keepLines/>
      <w:spacing w:before="40" w:after="40" w:line="200" w:lineRule="atLeast"/>
    </w:pPr>
    <w:rPr>
      <w:rFonts w:ascii="Franklin Gothic Book" w:eastAsia="Times New Roman" w:hAnsi="Franklin Gothic Book"/>
      <w:sz w:val="17"/>
      <w:szCs w:val="17"/>
      <w:lang w:eastAsia="en-US"/>
    </w:rPr>
  </w:style>
  <w:style w:type="character" w:customStyle="1" w:styleId="NoteCharChar">
    <w:name w:val="Note Char Char"/>
    <w:link w:val="Note"/>
    <w:rsid w:val="00C56CC1"/>
    <w:rPr>
      <w:rFonts w:ascii="Franklin Gothic Book" w:eastAsia="Times New Roman" w:hAnsi="Franklin Gothic Book" w:cs="Times New Roman"/>
      <w:iCs/>
      <w:sz w:val="14"/>
      <w:szCs w:val="14"/>
    </w:rPr>
  </w:style>
  <w:style w:type="paragraph" w:customStyle="1" w:styleId="TableDataEntries">
    <w:name w:val="Table Data Entries"/>
    <w:basedOn w:val="TableTextEntries"/>
    <w:rsid w:val="00655D73"/>
    <w:pPr>
      <w:jc w:val="right"/>
    </w:pPr>
  </w:style>
  <w:style w:type="paragraph" w:customStyle="1" w:styleId="TableDataColumnHeading">
    <w:name w:val="Table Data Column Heading"/>
    <w:basedOn w:val="TableDataEntries"/>
    <w:rsid w:val="00655D73"/>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655D73"/>
    <w:pPr>
      <w:jc w:val="left"/>
    </w:pPr>
    <w:rPr>
      <w:b/>
    </w:rPr>
  </w:style>
  <w:style w:type="paragraph" w:customStyle="1" w:styleId="NoteNumber">
    <w:name w:val="Note Number"/>
    <w:basedOn w:val="TableTextEntries"/>
    <w:link w:val="NoteNumberCharChar"/>
    <w:rsid w:val="00655D73"/>
    <w:pPr>
      <w:numPr>
        <w:numId w:val="2"/>
      </w:numPr>
      <w:spacing w:after="0" w:line="180" w:lineRule="atLeast"/>
    </w:pPr>
    <w:rPr>
      <w:rFonts w:ascii="Times New Roman" w:hAnsi="Times New Roman"/>
      <w:sz w:val="14"/>
      <w:szCs w:val="14"/>
    </w:rPr>
  </w:style>
  <w:style w:type="character" w:customStyle="1" w:styleId="NoteNumberCharChar">
    <w:name w:val="Note Number Char Char"/>
    <w:link w:val="NoteNumber"/>
    <w:rsid w:val="00655D73"/>
    <w:rPr>
      <w:rFonts w:ascii="Times New Roman" w:eastAsia="Times New Roman" w:hAnsi="Times New Roman" w:cs="Times New Roman"/>
      <w:sz w:val="14"/>
      <w:szCs w:val="14"/>
    </w:rPr>
  </w:style>
  <w:style w:type="paragraph" w:customStyle="1" w:styleId="Ratingbullet">
    <w:name w:val="Rating bullet"/>
    <w:basedOn w:val="TableTextEntries"/>
    <w:semiHidden/>
    <w:rsid w:val="00655D73"/>
    <w:pPr>
      <w:jc w:val="center"/>
    </w:pPr>
    <w:rPr>
      <w:sz w:val="22"/>
      <w:szCs w:val="22"/>
    </w:rPr>
  </w:style>
  <w:style w:type="paragraph" w:styleId="ListParagraph">
    <w:name w:val="List Paragraph"/>
    <w:aliases w:val="List Paragraph1,List Paragraph11,List Paragraph2"/>
    <w:basedOn w:val="BodyText"/>
    <w:link w:val="ListParagraphChar"/>
    <w:uiPriority w:val="99"/>
    <w:qFormat/>
    <w:rsid w:val="00655D73"/>
    <w:pPr>
      <w:numPr>
        <w:numId w:val="3"/>
      </w:numPr>
    </w:pPr>
  </w:style>
  <w:style w:type="character" w:customStyle="1" w:styleId="DraftingNote">
    <w:name w:val="Drafting Note"/>
    <w:semiHidden/>
    <w:rsid w:val="00655D73"/>
    <w:rPr>
      <w:rFonts w:ascii="Georgia" w:hAnsi="Georgia"/>
      <w:b/>
      <w:color w:val="FF0000"/>
      <w:sz w:val="19"/>
      <w:szCs w:val="19"/>
      <w:u w:val="dotted"/>
    </w:rPr>
  </w:style>
  <w:style w:type="paragraph" w:customStyle="1" w:styleId="Abbreviation">
    <w:name w:val="Abbreviation"/>
    <w:basedOn w:val="BodyText"/>
    <w:rsid w:val="00655D73"/>
    <w:pPr>
      <w:ind w:left="1418" w:hanging="1418"/>
    </w:pPr>
  </w:style>
  <w:style w:type="paragraph" w:customStyle="1" w:styleId="Ratingamber">
    <w:name w:val="Rating amber"/>
    <w:basedOn w:val="Normal"/>
    <w:semiHidden/>
    <w:rsid w:val="00655D73"/>
    <w:pPr>
      <w:numPr>
        <w:numId w:val="11"/>
      </w:numPr>
      <w:spacing w:before="80" w:after="80" w:line="280" w:lineRule="atLeast"/>
    </w:pPr>
    <w:rPr>
      <w:rFonts w:ascii="Georgia" w:eastAsia="Times New Roman" w:hAnsi="Georgia"/>
      <w:sz w:val="19"/>
      <w:szCs w:val="19"/>
    </w:rPr>
  </w:style>
  <w:style w:type="paragraph" w:styleId="ListBullet">
    <w:name w:val="List Bullet"/>
    <w:basedOn w:val="BodyText"/>
    <w:rsid w:val="00655D73"/>
    <w:pPr>
      <w:numPr>
        <w:numId w:val="15"/>
      </w:numPr>
    </w:pPr>
  </w:style>
  <w:style w:type="paragraph" w:styleId="ListBullet2">
    <w:name w:val="List Bullet 2"/>
    <w:basedOn w:val="ListBullet"/>
    <w:rsid w:val="00655D73"/>
    <w:pPr>
      <w:numPr>
        <w:numId w:val="13"/>
      </w:numPr>
      <w:ind w:left="568" w:hanging="284"/>
    </w:pPr>
  </w:style>
  <w:style w:type="paragraph" w:styleId="ListNumber">
    <w:name w:val="List Number"/>
    <w:basedOn w:val="ListBullet"/>
    <w:rsid w:val="00C17D14"/>
    <w:pPr>
      <w:numPr>
        <w:numId w:val="35"/>
      </w:numPr>
    </w:pPr>
  </w:style>
  <w:style w:type="paragraph" w:styleId="ListNumber2">
    <w:name w:val="List Number 2"/>
    <w:basedOn w:val="ListNumber"/>
    <w:rsid w:val="00C17D14"/>
    <w:pPr>
      <w:numPr>
        <w:numId w:val="14"/>
      </w:numPr>
      <w:ind w:left="714" w:hanging="357"/>
    </w:pPr>
  </w:style>
  <w:style w:type="paragraph" w:customStyle="1" w:styleId="Ratinggreen">
    <w:name w:val="Rating green"/>
    <w:basedOn w:val="Ratingamber"/>
    <w:semiHidden/>
    <w:rsid w:val="00655D73"/>
    <w:pPr>
      <w:numPr>
        <w:numId w:val="12"/>
      </w:numPr>
    </w:pPr>
  </w:style>
  <w:style w:type="paragraph" w:customStyle="1" w:styleId="Reference">
    <w:name w:val="Reference"/>
    <w:basedOn w:val="BodyText"/>
    <w:semiHidden/>
    <w:rsid w:val="00655D73"/>
    <w:pPr>
      <w:keepLines/>
      <w:spacing w:before="60" w:after="60" w:line="260" w:lineRule="atLeast"/>
      <w:ind w:left="284" w:hanging="284"/>
    </w:pPr>
    <w:rPr>
      <w:sz w:val="17"/>
      <w:szCs w:val="17"/>
    </w:rPr>
  </w:style>
  <w:style w:type="paragraph" w:customStyle="1" w:styleId="Contents">
    <w:name w:val="Contents"/>
    <w:basedOn w:val="Normal"/>
    <w:next w:val="BodyText"/>
    <w:semiHidden/>
    <w:rsid w:val="00655D73"/>
    <w:pPr>
      <w:spacing w:before="460" w:after="100" w:line="320" w:lineRule="atLeast"/>
    </w:pPr>
    <w:rPr>
      <w:rFonts w:ascii="Franklin Gothic Demi" w:eastAsia="Times New Roman" w:hAnsi="Franklin Gothic Demi"/>
      <w:color w:val="AD495D"/>
      <w:kern w:val="28"/>
      <w:sz w:val="28"/>
      <w:szCs w:val="28"/>
    </w:rPr>
  </w:style>
  <w:style w:type="character" w:styleId="PageNumber">
    <w:name w:val="page number"/>
    <w:semiHidden/>
    <w:rsid w:val="00655D73"/>
    <w:rPr>
      <w:rFonts w:ascii="Franklin Gothic Medium" w:hAnsi="Franklin Gothic Medium"/>
      <w:color w:val="54534A"/>
      <w:sz w:val="14"/>
      <w:szCs w:val="14"/>
    </w:rPr>
  </w:style>
  <w:style w:type="paragraph" w:styleId="TOC1">
    <w:name w:val="toc 1"/>
    <w:basedOn w:val="BodyText"/>
    <w:next w:val="BodyText"/>
    <w:semiHidden/>
    <w:rsid w:val="00655D73"/>
    <w:pPr>
      <w:tabs>
        <w:tab w:val="left" w:pos="397"/>
        <w:tab w:val="right" w:pos="7938"/>
      </w:tabs>
      <w:spacing w:before="180" w:after="0"/>
      <w:ind w:left="397" w:right="567" w:hanging="397"/>
    </w:pPr>
    <w:rPr>
      <w:rFonts w:ascii="Franklin Gothic Medium" w:hAnsi="Franklin Gothic Medium"/>
      <w:color w:val="54534A"/>
    </w:rPr>
  </w:style>
  <w:style w:type="paragraph" w:styleId="TOC2">
    <w:name w:val="toc 2"/>
    <w:basedOn w:val="TOC1"/>
    <w:next w:val="TOC1"/>
    <w:semiHidden/>
    <w:rsid w:val="00655D73"/>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655D73"/>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655D73"/>
    <w:rPr>
      <w:rFonts w:ascii="Franklin Gothic Book" w:hAnsi="Franklin Gothic Book"/>
      <w:color w:val="auto"/>
      <w:sz w:val="17"/>
      <w:szCs w:val="17"/>
    </w:rPr>
  </w:style>
  <w:style w:type="paragraph" w:customStyle="1" w:styleId="Invisiblepara">
    <w:name w:val="Invisible para"/>
    <w:basedOn w:val="Normal"/>
    <w:semiHidden/>
    <w:rsid w:val="00655D73"/>
    <w:pPr>
      <w:keepNext/>
      <w:spacing w:before="320" w:line="80" w:lineRule="exact"/>
    </w:pPr>
    <w:rPr>
      <w:rFonts w:eastAsia="Times New Roman"/>
      <w:sz w:val="21"/>
      <w:szCs w:val="20"/>
    </w:rPr>
  </w:style>
  <w:style w:type="paragraph" w:customStyle="1" w:styleId="BoxListBullet">
    <w:name w:val="Box List Bullet"/>
    <w:basedOn w:val="BoxText"/>
    <w:rsid w:val="00655D73"/>
    <w:pPr>
      <w:keepLines/>
      <w:numPr>
        <w:numId w:val="7"/>
      </w:numPr>
      <w:tabs>
        <w:tab w:val="clear" w:pos="284"/>
        <w:tab w:val="num" w:pos="360"/>
        <w:tab w:val="num" w:pos="454"/>
      </w:tabs>
      <w:spacing w:before="0"/>
      <w:ind w:left="454" w:hanging="227"/>
    </w:pPr>
    <w:rPr>
      <w:szCs w:val="20"/>
    </w:rPr>
  </w:style>
  <w:style w:type="paragraph" w:customStyle="1" w:styleId="BoxText">
    <w:name w:val="Box Text"/>
    <w:basedOn w:val="Normal"/>
    <w:link w:val="BoxTextChar"/>
    <w:autoRedefine/>
    <w:qFormat/>
    <w:rsid w:val="00387F9A"/>
    <w:pPr>
      <w:spacing w:before="80" w:after="80" w:line="280" w:lineRule="atLeast"/>
    </w:pPr>
    <w:rPr>
      <w:rFonts w:eastAsia="Times New Roman"/>
      <w:iCs/>
      <w:sz w:val="24"/>
    </w:rPr>
  </w:style>
  <w:style w:type="character" w:customStyle="1" w:styleId="BoxTextChar">
    <w:name w:val="Box Text Char"/>
    <w:link w:val="BoxText"/>
    <w:rsid w:val="00387F9A"/>
    <w:rPr>
      <w:rFonts w:ascii="Times New Roman" w:eastAsia="Times New Roman" w:hAnsi="Times New Roman" w:cs="Times New Roman"/>
      <w:iCs/>
      <w:sz w:val="24"/>
      <w:szCs w:val="24"/>
      <w:lang w:eastAsia="en-AU"/>
    </w:rPr>
  </w:style>
  <w:style w:type="character" w:customStyle="1" w:styleId="NoteLabel">
    <w:name w:val="Note Label"/>
    <w:rsid w:val="00655D73"/>
    <w:rPr>
      <w:rFonts w:ascii="Times New Roman" w:hAnsi="Times New Roman"/>
      <w:color w:val="auto"/>
      <w:position w:val="4"/>
      <w:sz w:val="14"/>
      <w:szCs w:val="14"/>
    </w:rPr>
  </w:style>
  <w:style w:type="paragraph" w:customStyle="1" w:styleId="Source">
    <w:name w:val="Source"/>
    <w:basedOn w:val="Note"/>
    <w:next w:val="BodyText"/>
    <w:rsid w:val="00655D73"/>
    <w:pPr>
      <w:spacing w:after="240"/>
    </w:pPr>
  </w:style>
  <w:style w:type="paragraph" w:customStyle="1" w:styleId="BoxHeading1">
    <w:name w:val="Box Heading 1"/>
    <w:basedOn w:val="BoxText"/>
    <w:next w:val="BoxText"/>
    <w:rsid w:val="00655D73"/>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655D73"/>
    <w:pPr>
      <w:spacing w:before="140"/>
    </w:pPr>
    <w:rPr>
      <w:rFonts w:ascii="Franklin Gothic Book" w:hAnsi="Franklin Gothic Book"/>
      <w:i/>
      <w:color w:val="auto"/>
    </w:rPr>
  </w:style>
  <w:style w:type="paragraph" w:customStyle="1" w:styleId="TableListBullet">
    <w:name w:val="Table List Bullet"/>
    <w:basedOn w:val="TableTextEntries"/>
    <w:rsid w:val="00655D73"/>
    <w:pPr>
      <w:numPr>
        <w:numId w:val="9"/>
      </w:numPr>
    </w:pPr>
  </w:style>
  <w:style w:type="paragraph" w:styleId="TableofFigures">
    <w:name w:val="table of figures"/>
    <w:basedOn w:val="BodyText"/>
    <w:next w:val="BodyText"/>
    <w:semiHidden/>
    <w:rsid w:val="00655D73"/>
    <w:pPr>
      <w:tabs>
        <w:tab w:val="left" w:pos="1077"/>
        <w:tab w:val="right" w:pos="8505"/>
      </w:tabs>
      <w:spacing w:before="60" w:line="260" w:lineRule="atLeast"/>
      <w:ind w:left="1077" w:right="567" w:hanging="1077"/>
    </w:pPr>
  </w:style>
  <w:style w:type="paragraph" w:styleId="TOC3">
    <w:name w:val="toc 3"/>
    <w:basedOn w:val="TOC2"/>
    <w:next w:val="BodyText"/>
    <w:semiHidden/>
    <w:rsid w:val="00655D73"/>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655D73"/>
    <w:pPr>
      <w:jc w:val="right"/>
    </w:pPr>
  </w:style>
  <w:style w:type="paragraph" w:customStyle="1" w:styleId="Recommendation">
    <w:name w:val="Recommendation"/>
    <w:basedOn w:val="BodyText"/>
    <w:next w:val="BodyText"/>
    <w:semiHidden/>
    <w:rsid w:val="00655D73"/>
    <w:pPr>
      <w:tabs>
        <w:tab w:val="left" w:pos="284"/>
      </w:tabs>
      <w:ind w:left="284" w:hanging="284"/>
    </w:pPr>
    <w:rPr>
      <w:rFonts w:eastAsia="MS Mincho" w:cs="MS Mincho"/>
      <w:b/>
    </w:rPr>
  </w:style>
  <w:style w:type="paragraph" w:styleId="TOC6">
    <w:name w:val="toc 6"/>
    <w:basedOn w:val="BodyText"/>
    <w:next w:val="BodyText"/>
    <w:semiHidden/>
    <w:rsid w:val="00655D73"/>
    <w:pPr>
      <w:tabs>
        <w:tab w:val="left" w:pos="284"/>
        <w:tab w:val="right" w:pos="8222"/>
      </w:tabs>
      <w:ind w:left="284" w:right="567" w:hanging="284"/>
    </w:pPr>
  </w:style>
  <w:style w:type="character" w:styleId="CommentReference">
    <w:name w:val="annotation reference"/>
    <w:uiPriority w:val="99"/>
    <w:semiHidden/>
    <w:rsid w:val="00655D73"/>
    <w:rPr>
      <w:rFonts w:ascii="Franklin Gothic Medium" w:hAnsi="Franklin Gothic Medium"/>
      <w:vanish/>
      <w:color w:val="FF00FF"/>
      <w:sz w:val="16"/>
      <w:szCs w:val="16"/>
    </w:rPr>
  </w:style>
  <w:style w:type="paragraph" w:styleId="CommentText">
    <w:name w:val="annotation text"/>
    <w:basedOn w:val="BodyText"/>
    <w:link w:val="CommentTextChar"/>
    <w:uiPriority w:val="99"/>
    <w:semiHidden/>
    <w:rsid w:val="00655D73"/>
    <w:pPr>
      <w:spacing w:line="240" w:lineRule="atLeast"/>
    </w:pPr>
    <w:rPr>
      <w:rFonts w:ascii="Calibri" w:hAnsi="Calibri"/>
      <w:sz w:val="18"/>
      <w:szCs w:val="18"/>
    </w:rPr>
  </w:style>
  <w:style w:type="character" w:customStyle="1" w:styleId="CommentTextChar">
    <w:name w:val="Comment Text Char"/>
    <w:basedOn w:val="DefaultParagraphFont"/>
    <w:link w:val="CommentText"/>
    <w:uiPriority w:val="99"/>
    <w:semiHidden/>
    <w:rsid w:val="00655D73"/>
    <w:rPr>
      <w:rFonts w:ascii="Calibri" w:eastAsia="Times New Roman" w:hAnsi="Calibri" w:cs="Times New Roman"/>
      <w:sz w:val="18"/>
      <w:szCs w:val="18"/>
      <w:lang w:eastAsia="en-AU"/>
    </w:rPr>
  </w:style>
  <w:style w:type="character" w:styleId="Hyperlink">
    <w:name w:val="Hyperlink"/>
    <w:rsid w:val="00655D73"/>
    <w:rPr>
      <w:color w:val="00467F"/>
      <w:sz w:val="20"/>
      <w:szCs w:val="20"/>
      <w:u w:val="none"/>
    </w:rPr>
  </w:style>
  <w:style w:type="paragraph" w:customStyle="1" w:styleId="ChartText">
    <w:name w:val="Chart Text"/>
    <w:basedOn w:val="BodyText"/>
    <w:semiHidden/>
    <w:rsid w:val="00655D73"/>
    <w:pPr>
      <w:spacing w:before="100" w:line="190" w:lineRule="exact"/>
    </w:pPr>
    <w:rPr>
      <w:rFonts w:ascii="Arial" w:hAnsi="Arial"/>
      <w:sz w:val="17"/>
    </w:rPr>
  </w:style>
  <w:style w:type="paragraph" w:customStyle="1" w:styleId="ChartBoldText">
    <w:name w:val="Chart Bold Text"/>
    <w:basedOn w:val="ChartText"/>
    <w:next w:val="ChartText"/>
    <w:semiHidden/>
    <w:rsid w:val="00655D73"/>
    <w:pPr>
      <w:spacing w:before="0"/>
      <w:jc w:val="center"/>
    </w:pPr>
    <w:rPr>
      <w:rFonts w:ascii="Arial Bold" w:hAnsi="Arial Bold"/>
      <w:b/>
      <w:color w:val="073771"/>
      <w:szCs w:val="17"/>
    </w:rPr>
  </w:style>
  <w:style w:type="paragraph" w:customStyle="1" w:styleId="ChartHighlight">
    <w:name w:val="Chart Highlight"/>
    <w:basedOn w:val="ChartBoldText"/>
    <w:semiHidden/>
    <w:rsid w:val="00655D73"/>
    <w:pPr>
      <w:spacing w:line="210" w:lineRule="exact"/>
    </w:pPr>
    <w:rPr>
      <w:caps/>
      <w:sz w:val="19"/>
    </w:rPr>
  </w:style>
  <w:style w:type="paragraph" w:customStyle="1" w:styleId="ChartListBullet">
    <w:name w:val="Chart List Bullet"/>
    <w:basedOn w:val="TableListBullet"/>
    <w:semiHidden/>
    <w:rsid w:val="00655D73"/>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655D73"/>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655D73"/>
    <w:pPr>
      <w:tabs>
        <w:tab w:val="num" w:pos="227"/>
      </w:tabs>
      <w:spacing w:before="60"/>
      <w:ind w:left="227" w:hanging="227"/>
    </w:pPr>
  </w:style>
  <w:style w:type="paragraph" w:styleId="TOC7">
    <w:name w:val="toc 7"/>
    <w:basedOn w:val="TOC1"/>
    <w:next w:val="TOC1"/>
    <w:semiHidden/>
    <w:rsid w:val="00655D73"/>
    <w:pPr>
      <w:tabs>
        <w:tab w:val="left" w:pos="1418"/>
      </w:tabs>
      <w:ind w:left="1418" w:hanging="1418"/>
    </w:pPr>
  </w:style>
  <w:style w:type="paragraph" w:customStyle="1" w:styleId="Author">
    <w:name w:val="Author"/>
    <w:basedOn w:val="Date"/>
    <w:next w:val="Position"/>
    <w:link w:val="AuthorCharChar"/>
    <w:semiHidden/>
    <w:rsid w:val="00655D73"/>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655D73"/>
    <w:pPr>
      <w:spacing w:before="0"/>
    </w:pPr>
    <w:rPr>
      <w:rFonts w:ascii="Franklin Gothic Book" w:hAnsi="Franklin Gothic Book"/>
    </w:rPr>
  </w:style>
  <w:style w:type="character" w:customStyle="1" w:styleId="PositionCharChar">
    <w:name w:val="Position Char Char"/>
    <w:link w:val="Position"/>
    <w:semiHidden/>
    <w:rsid w:val="00655D73"/>
    <w:rPr>
      <w:rFonts w:ascii="Franklin Gothic Book" w:eastAsia="Times New Roman" w:hAnsi="Franklin Gothic Book" w:cs="Times New Roman"/>
      <w:spacing w:val="-2"/>
      <w:kern w:val="28"/>
      <w:sz w:val="20"/>
      <w:szCs w:val="20"/>
      <w:lang w:eastAsia="en-AU"/>
    </w:rPr>
  </w:style>
  <w:style w:type="character" w:customStyle="1" w:styleId="AuthorCharChar">
    <w:name w:val="Author Char Char"/>
    <w:link w:val="Author"/>
    <w:semiHidden/>
    <w:rsid w:val="00655D73"/>
    <w:rPr>
      <w:rFonts w:ascii="Franklin Gothic Medium" w:eastAsia="Times New Roman" w:hAnsi="Franklin Gothic Medium" w:cs="Times New Roman"/>
      <w:spacing w:val="-2"/>
      <w:kern w:val="28"/>
      <w:sz w:val="20"/>
      <w:szCs w:val="20"/>
      <w:lang w:eastAsia="en-AU"/>
    </w:rPr>
  </w:style>
  <w:style w:type="paragraph" w:customStyle="1" w:styleId="Client">
    <w:name w:val="Client"/>
    <w:basedOn w:val="Author"/>
    <w:semiHidden/>
    <w:rsid w:val="00655D73"/>
  </w:style>
  <w:style w:type="paragraph" w:customStyle="1" w:styleId="TableHeading1">
    <w:name w:val="Table Heading 1"/>
    <w:basedOn w:val="TableTextEntries"/>
    <w:next w:val="TableTextEntries"/>
    <w:rsid w:val="00655D73"/>
    <w:pPr>
      <w:spacing w:before="80" w:after="80"/>
    </w:pPr>
    <w:rPr>
      <w:rFonts w:ascii="Franklin Gothic Medium" w:hAnsi="Franklin Gothic Medium"/>
    </w:rPr>
  </w:style>
  <w:style w:type="paragraph" w:customStyle="1" w:styleId="TableHeading2">
    <w:name w:val="Table Heading 2"/>
    <w:basedOn w:val="TableHeading1"/>
    <w:next w:val="TableTextEntries"/>
    <w:rsid w:val="00655D7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655D73"/>
    <w:pPr>
      <w:numPr>
        <w:numId w:val="10"/>
      </w:numPr>
    </w:pPr>
  </w:style>
  <w:style w:type="character" w:customStyle="1" w:styleId="TableListBullet2CharChar">
    <w:name w:val="Table List Bullet 2 Char Char"/>
    <w:link w:val="TableListBullet2"/>
    <w:rsid w:val="00655D73"/>
    <w:rPr>
      <w:rFonts w:ascii="Franklin Gothic Book" w:eastAsia="Times New Roman" w:hAnsi="Franklin Gothic Book" w:cs="Times New Roman"/>
      <w:sz w:val="17"/>
      <w:szCs w:val="17"/>
    </w:rPr>
  </w:style>
  <w:style w:type="paragraph" w:customStyle="1" w:styleId="TableListNumber">
    <w:name w:val="Table List Number"/>
    <w:basedOn w:val="TableTextEntries"/>
    <w:rsid w:val="00655D73"/>
    <w:pPr>
      <w:numPr>
        <w:numId w:val="4"/>
      </w:numPr>
    </w:pPr>
  </w:style>
  <w:style w:type="paragraph" w:customStyle="1" w:styleId="TableListNumber2">
    <w:name w:val="Table List Number 2"/>
    <w:basedOn w:val="TableListNumber"/>
    <w:rsid w:val="00655D73"/>
    <w:pPr>
      <w:numPr>
        <w:numId w:val="5"/>
      </w:numPr>
    </w:pPr>
  </w:style>
  <w:style w:type="paragraph" w:customStyle="1" w:styleId="TableUnit">
    <w:name w:val="Table Unit"/>
    <w:basedOn w:val="TableDataColumnHeading"/>
    <w:next w:val="TableDataEntries"/>
    <w:semiHidden/>
    <w:rsid w:val="00655D73"/>
    <w:pPr>
      <w:keepNext/>
    </w:pPr>
    <w:rPr>
      <w:rFonts w:ascii="Franklin Gothic Book" w:hAnsi="Franklin Gothic Book"/>
    </w:rPr>
  </w:style>
  <w:style w:type="character" w:styleId="FollowedHyperlink">
    <w:name w:val="FollowedHyperlink"/>
    <w:semiHidden/>
    <w:rsid w:val="00655D73"/>
    <w:rPr>
      <w:color w:val="333399"/>
      <w:u w:val="none"/>
    </w:rPr>
  </w:style>
  <w:style w:type="paragraph" w:customStyle="1" w:styleId="Blurb">
    <w:name w:val="Blurb"/>
    <w:basedOn w:val="Caption"/>
    <w:semiHidden/>
    <w:rsid w:val="00655D73"/>
    <w:pPr>
      <w:spacing w:before="180" w:after="0"/>
    </w:pPr>
    <w:rPr>
      <w:color w:val="FFFFFF"/>
    </w:rPr>
  </w:style>
  <w:style w:type="paragraph" w:customStyle="1" w:styleId="Figure">
    <w:name w:val="Figure"/>
    <w:basedOn w:val="BodyText"/>
    <w:next w:val="BodyText"/>
    <w:semiHidden/>
    <w:rsid w:val="00655D73"/>
    <w:pPr>
      <w:spacing w:line="200" w:lineRule="atLeast"/>
    </w:pPr>
    <w:rPr>
      <w:sz w:val="18"/>
      <w:szCs w:val="18"/>
    </w:rPr>
  </w:style>
  <w:style w:type="paragraph" w:customStyle="1" w:styleId="BoxListBullet2">
    <w:name w:val="Box List Bullet 2"/>
    <w:basedOn w:val="BoxListBullet"/>
    <w:rsid w:val="00655D73"/>
    <w:pPr>
      <w:numPr>
        <w:numId w:val="6"/>
      </w:numPr>
      <w:tabs>
        <w:tab w:val="clear" w:pos="567"/>
        <w:tab w:val="num" w:pos="227"/>
      </w:tabs>
      <w:ind w:left="227" w:hanging="227"/>
    </w:pPr>
    <w:rPr>
      <w:szCs w:val="18"/>
    </w:rPr>
  </w:style>
  <w:style w:type="paragraph" w:customStyle="1" w:styleId="BoxListNumber">
    <w:name w:val="Box List Number"/>
    <w:basedOn w:val="BoxText"/>
    <w:rsid w:val="00655D73"/>
    <w:pPr>
      <w:numPr>
        <w:numId w:val="8"/>
      </w:numPr>
      <w:tabs>
        <w:tab w:val="clear" w:pos="284"/>
        <w:tab w:val="num" w:pos="567"/>
      </w:tabs>
      <w:spacing w:before="0"/>
      <w:ind w:left="567" w:hanging="283"/>
    </w:pPr>
  </w:style>
  <w:style w:type="paragraph" w:customStyle="1" w:styleId="BoxListNumber2">
    <w:name w:val="Box List Number 2"/>
    <w:basedOn w:val="BoxListNumber"/>
    <w:rsid w:val="00655D73"/>
    <w:pPr>
      <w:tabs>
        <w:tab w:val="clear" w:pos="567"/>
      </w:tabs>
      <w:ind w:left="68" w:hanging="360"/>
    </w:pPr>
  </w:style>
  <w:style w:type="paragraph" w:customStyle="1" w:styleId="BoxNoteSource">
    <w:name w:val="Box Note/Source"/>
    <w:basedOn w:val="BoxText"/>
    <w:rsid w:val="00655D73"/>
    <w:pPr>
      <w:spacing w:before="100" w:after="100" w:line="180" w:lineRule="atLeast"/>
    </w:pPr>
    <w:rPr>
      <w:sz w:val="14"/>
      <w:szCs w:val="14"/>
    </w:rPr>
  </w:style>
  <w:style w:type="paragraph" w:customStyle="1" w:styleId="BoxQuote">
    <w:name w:val="Box Quote"/>
    <w:basedOn w:val="BoxText"/>
    <w:next w:val="BoxText"/>
    <w:rsid w:val="00655D73"/>
    <w:pPr>
      <w:spacing w:before="0" w:line="240" w:lineRule="atLeast"/>
      <w:ind w:left="284"/>
    </w:pPr>
    <w:rPr>
      <w:sz w:val="16"/>
      <w:szCs w:val="16"/>
    </w:rPr>
  </w:style>
  <w:style w:type="paragraph" w:customStyle="1" w:styleId="Appendix">
    <w:name w:val="Appendix"/>
    <w:basedOn w:val="Normal"/>
    <w:semiHidden/>
    <w:rsid w:val="00655D73"/>
    <w:pPr>
      <w:framePr w:wrap="around" w:vAnchor="text" w:hAnchor="text" w:y="1"/>
    </w:pPr>
    <w:rPr>
      <w:rFonts w:ascii="Franklin Gothic Medium" w:eastAsia="Times New Roman" w:hAnsi="Franklin Gothic Medium"/>
      <w:color w:val="7E6D5F"/>
      <w:sz w:val="32"/>
      <w:szCs w:val="32"/>
    </w:rPr>
  </w:style>
  <w:style w:type="paragraph" w:customStyle="1" w:styleId="Photocaption">
    <w:name w:val="Photo caption"/>
    <w:basedOn w:val="Normal"/>
    <w:next w:val="BodyText"/>
    <w:semiHidden/>
    <w:rsid w:val="00655D73"/>
    <w:pPr>
      <w:spacing w:before="140" w:after="240" w:line="180" w:lineRule="exact"/>
    </w:pPr>
    <w:rPr>
      <w:rFonts w:ascii="Franklin Gothic Medium" w:eastAsia="Times New Roman" w:hAnsi="Franklin Gothic Medium"/>
      <w:color w:val="54534A"/>
      <w:sz w:val="14"/>
      <w:szCs w:val="14"/>
    </w:rPr>
  </w:style>
  <w:style w:type="table" w:styleId="TableGrid">
    <w:name w:val="Table Grid"/>
    <w:basedOn w:val="TableNormal"/>
    <w:uiPriority w:val="59"/>
    <w:rsid w:val="00655D73"/>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655D73"/>
  </w:style>
  <w:style w:type="paragraph" w:styleId="CommentSubject">
    <w:name w:val="annotation subject"/>
    <w:basedOn w:val="CommentText"/>
    <w:next w:val="CommentText"/>
    <w:link w:val="CommentSubjectChar"/>
    <w:semiHidden/>
    <w:rsid w:val="00655D73"/>
    <w:pPr>
      <w:spacing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semiHidden/>
    <w:rsid w:val="00655D73"/>
    <w:rPr>
      <w:rFonts w:ascii="Times New Roman" w:eastAsia="Times New Roman" w:hAnsi="Times New Roman" w:cs="Times New Roman"/>
      <w:b/>
      <w:bCs/>
      <w:sz w:val="20"/>
      <w:szCs w:val="20"/>
      <w:lang w:eastAsia="en-AU"/>
    </w:rPr>
  </w:style>
  <w:style w:type="paragraph" w:styleId="BalloonText">
    <w:name w:val="Balloon Text"/>
    <w:basedOn w:val="Normal"/>
    <w:link w:val="BalloonTextChar"/>
    <w:semiHidden/>
    <w:rsid w:val="00655D73"/>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55D73"/>
    <w:rPr>
      <w:rFonts w:ascii="Tahoma" w:eastAsia="Times New Roman" w:hAnsi="Tahoma" w:cs="Tahoma"/>
      <w:sz w:val="16"/>
      <w:szCs w:val="16"/>
      <w:lang w:eastAsia="en-AU"/>
    </w:rPr>
  </w:style>
  <w:style w:type="paragraph" w:customStyle="1" w:styleId="Rating">
    <w:name w:val="Rating"/>
    <w:basedOn w:val="BodyText"/>
    <w:next w:val="BodyText"/>
    <w:semiHidden/>
    <w:rsid w:val="00655D73"/>
    <w:pPr>
      <w:tabs>
        <w:tab w:val="left" w:pos="567"/>
      </w:tabs>
    </w:pPr>
  </w:style>
  <w:style w:type="paragraph" w:customStyle="1" w:styleId="GuidanceText">
    <w:name w:val="Guidance Text"/>
    <w:basedOn w:val="BodyText"/>
    <w:rsid w:val="00655D73"/>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655D73"/>
    <w:pPr>
      <w:spacing w:before="120"/>
    </w:pPr>
    <w:rPr>
      <w:rFonts w:ascii="Arial" w:eastAsia="Times New Roman" w:hAnsi="Arial" w:cs="Arial"/>
      <w:lang w:eastAsia="en-US"/>
    </w:rPr>
  </w:style>
  <w:style w:type="character" w:customStyle="1" w:styleId="List-bullet-1Char">
    <w:name w:val="List-bullet-1 Char"/>
    <w:link w:val="List-bullet-1"/>
    <w:rsid w:val="00655D73"/>
    <w:rPr>
      <w:rFonts w:ascii="Arial" w:eastAsia="Times New Roman" w:hAnsi="Arial" w:cs="Arial"/>
      <w:sz w:val="20"/>
      <w:szCs w:val="24"/>
    </w:rPr>
  </w:style>
  <w:style w:type="table" w:styleId="MediumGrid2-Accent2">
    <w:name w:val="Medium Grid 2 Accent 2"/>
    <w:basedOn w:val="TableNormal"/>
    <w:uiPriority w:val="68"/>
    <w:rsid w:val="00655D73"/>
    <w:pPr>
      <w:spacing w:after="0" w:line="240" w:lineRule="auto"/>
    </w:pPr>
    <w:rPr>
      <w:rFonts w:asciiTheme="majorHAnsi" w:eastAsiaTheme="majorEastAsia" w:hAnsiTheme="majorHAnsi" w:cstheme="majorBidi"/>
      <w:color w:val="000000" w:themeColor="text1"/>
      <w:lang w:eastAsia="en-AU"/>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APPR">
    <w:name w:val="APPR"/>
    <w:basedOn w:val="TableNormal"/>
    <w:uiPriority w:val="99"/>
    <w:rsid w:val="00655D73"/>
    <w:pPr>
      <w:spacing w:after="0" w:line="240" w:lineRule="auto"/>
    </w:pPr>
    <w:rPr>
      <w:rFonts w:ascii="Franklin Gothic Book" w:hAnsi="Franklin Gothic Book"/>
      <w:sz w:val="17"/>
      <w:lang w:eastAsia="en-AU"/>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655D73"/>
    <w:pPr>
      <w:spacing w:after="0" w:line="240" w:lineRule="auto"/>
    </w:pPr>
    <w:rPr>
      <w:color w:val="000000" w:themeColor="text1" w:themeShade="BF"/>
      <w:lang w:eastAsia="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655D73"/>
    <w:pPr>
      <w:spacing w:after="0" w:line="240" w:lineRule="auto"/>
    </w:pPr>
    <w:rPr>
      <w:lang w:eastAsia="en-A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655D73"/>
    <w:pPr>
      <w:spacing w:after="0" w:line="240" w:lineRule="auto"/>
    </w:pPr>
    <w:rPr>
      <w:color w:val="365F91" w:themeColor="accent1" w:themeShade="BF"/>
      <w:lang w:eastAsia="en-A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655D73"/>
    <w:pPr>
      <w:spacing w:after="0" w:line="240" w:lineRule="auto"/>
    </w:pPr>
    <w:rPr>
      <w:rFonts w:ascii="Times New Roman" w:eastAsia="Times New Roman" w:hAnsi="Times New Roman" w:cs="Times New Roman"/>
      <w:sz w:val="20"/>
      <w:szCs w:val="24"/>
      <w:lang w:eastAsia="en-AU"/>
    </w:rPr>
  </w:style>
  <w:style w:type="paragraph" w:styleId="Quote">
    <w:name w:val="Quote"/>
    <w:basedOn w:val="BodyText"/>
    <w:next w:val="BodyText"/>
    <w:link w:val="QuoteChar"/>
    <w:qFormat/>
    <w:rsid w:val="00655D73"/>
    <w:pPr>
      <w:spacing w:after="80" w:line="260" w:lineRule="atLeast"/>
      <w:ind w:left="284"/>
    </w:pPr>
    <w:rPr>
      <w:rFonts w:ascii="Georgia" w:hAnsi="Georgia"/>
      <w:sz w:val="17"/>
      <w:szCs w:val="17"/>
    </w:rPr>
  </w:style>
  <w:style w:type="character" w:customStyle="1" w:styleId="QuoteChar">
    <w:name w:val="Quote Char"/>
    <w:basedOn w:val="DefaultParagraphFont"/>
    <w:link w:val="Quote"/>
    <w:rsid w:val="00655D73"/>
    <w:rPr>
      <w:rFonts w:ascii="Georgia" w:eastAsia="Times New Roman" w:hAnsi="Georgia" w:cs="Times New Roman"/>
      <w:sz w:val="17"/>
      <w:szCs w:val="17"/>
      <w:lang w:eastAsia="en-AU"/>
    </w:rPr>
  </w:style>
  <w:style w:type="paragraph" w:customStyle="1" w:styleId="List-number-2">
    <w:name w:val="List-number-2"/>
    <w:basedOn w:val="Normal"/>
    <w:rsid w:val="00655D73"/>
    <w:pPr>
      <w:numPr>
        <w:ilvl w:val="1"/>
        <w:numId w:val="16"/>
      </w:numPr>
      <w:spacing w:before="120"/>
    </w:pPr>
    <w:rPr>
      <w:rFonts w:ascii="Arial" w:eastAsia="Times New Roman" w:hAnsi="Arial"/>
      <w:lang w:eastAsia="en-US"/>
    </w:rPr>
  </w:style>
  <w:style w:type="paragraph" w:customStyle="1" w:styleId="List-number-1">
    <w:name w:val="List-number-1"/>
    <w:basedOn w:val="Normal"/>
    <w:link w:val="List-number-1Char"/>
    <w:rsid w:val="00655D73"/>
    <w:pPr>
      <w:numPr>
        <w:numId w:val="16"/>
      </w:numPr>
      <w:spacing w:before="120"/>
    </w:pPr>
    <w:rPr>
      <w:rFonts w:ascii="Arial" w:eastAsia="Times New Roman" w:hAnsi="Arial"/>
      <w:lang w:eastAsia="en-US"/>
    </w:rPr>
  </w:style>
  <w:style w:type="character" w:customStyle="1" w:styleId="List-number-1Char">
    <w:name w:val="List-number-1 Char"/>
    <w:link w:val="List-number-1"/>
    <w:rsid w:val="00655D73"/>
    <w:rPr>
      <w:rFonts w:ascii="Arial" w:eastAsia="Times New Roman" w:hAnsi="Arial" w:cs="Times New Roman"/>
      <w:sz w:val="20"/>
      <w:szCs w:val="24"/>
    </w:rPr>
  </w:style>
  <w:style w:type="paragraph" w:styleId="ListNumber3">
    <w:name w:val="List Number 3"/>
    <w:basedOn w:val="Normal"/>
    <w:rsid w:val="00655D73"/>
    <w:pPr>
      <w:numPr>
        <w:numId w:val="17"/>
      </w:numPr>
      <w:spacing w:after="120" w:line="220" w:lineRule="exact"/>
    </w:pPr>
    <w:rPr>
      <w:rFonts w:ascii="Arial" w:eastAsia="Times New Roman" w:hAnsi="Arial"/>
      <w:sz w:val="18"/>
    </w:rPr>
  </w:style>
  <w:style w:type="paragraph" w:customStyle="1" w:styleId="Issue">
    <w:name w:val="Issue"/>
    <w:basedOn w:val="Normal"/>
    <w:rsid w:val="00655D73"/>
    <w:pPr>
      <w:spacing w:before="120" w:after="100" w:afterAutospacing="1"/>
    </w:pPr>
    <w:rPr>
      <w:rFonts w:eastAsia="Times New Roman"/>
      <w:i/>
      <w:sz w:val="24"/>
      <w:lang w:val="en-GB" w:eastAsia="zh-CN"/>
    </w:rPr>
  </w:style>
  <w:style w:type="paragraph" w:styleId="EndnoteText">
    <w:name w:val="endnote text"/>
    <w:basedOn w:val="Normal"/>
    <w:link w:val="EndnoteTextChar"/>
    <w:rsid w:val="00655D73"/>
    <w:rPr>
      <w:rFonts w:eastAsia="Times New Roman"/>
      <w:szCs w:val="20"/>
    </w:rPr>
  </w:style>
  <w:style w:type="character" w:customStyle="1" w:styleId="EndnoteTextChar">
    <w:name w:val="Endnote Text Char"/>
    <w:basedOn w:val="DefaultParagraphFont"/>
    <w:link w:val="EndnoteText"/>
    <w:rsid w:val="00655D73"/>
    <w:rPr>
      <w:rFonts w:ascii="Times New Roman" w:eastAsia="Times New Roman" w:hAnsi="Times New Roman" w:cs="Times New Roman"/>
      <w:sz w:val="20"/>
      <w:szCs w:val="20"/>
      <w:lang w:eastAsia="en-AU"/>
    </w:rPr>
  </w:style>
  <w:style w:type="character" w:styleId="EndnoteReference">
    <w:name w:val="endnote reference"/>
    <w:rsid w:val="00655D73"/>
    <w:rPr>
      <w:vertAlign w:val="superscript"/>
    </w:rPr>
  </w:style>
  <w:style w:type="numbering" w:customStyle="1" w:styleId="StyleBulletedSymbolsymbol95ptLeft063cmHanging">
    <w:name w:val="Style Bulleted Symbol (symbol) 9.5 pt Left:  0.63 cm Hanging:  ..."/>
    <w:basedOn w:val="NoList"/>
    <w:rsid w:val="00655D73"/>
    <w:pPr>
      <w:numPr>
        <w:numId w:val="18"/>
      </w:numPr>
    </w:pPr>
  </w:style>
  <w:style w:type="character" w:customStyle="1" w:styleId="CaptionChar">
    <w:name w:val="Caption Char"/>
    <w:link w:val="Caption"/>
    <w:uiPriority w:val="99"/>
    <w:locked/>
    <w:rsid w:val="00B92DD0"/>
    <w:rPr>
      <w:rFonts w:ascii="Arial" w:eastAsia="Times New Roman" w:hAnsi="Arial" w:cs="Arial"/>
      <w:color w:val="7E6D5F"/>
      <w:sz w:val="24"/>
      <w:szCs w:val="24"/>
      <w:lang w:eastAsia="en-AU"/>
    </w:rPr>
  </w:style>
  <w:style w:type="paragraph" w:customStyle="1" w:styleId="list-number-10">
    <w:name w:val="list-number-1"/>
    <w:basedOn w:val="Normal"/>
    <w:rsid w:val="00655D73"/>
    <w:pPr>
      <w:tabs>
        <w:tab w:val="num" w:pos="360"/>
      </w:tabs>
      <w:spacing w:before="160"/>
      <w:ind w:left="360" w:hanging="360"/>
    </w:pPr>
    <w:rPr>
      <w:rFonts w:ascii="Arial" w:eastAsia="Times New Roman" w:hAnsi="Arial" w:cs="Arial"/>
      <w:sz w:val="18"/>
      <w:szCs w:val="18"/>
    </w:rPr>
  </w:style>
  <w:style w:type="paragraph" w:styleId="FootnoteText">
    <w:name w:val="footnote text"/>
    <w:basedOn w:val="BodyText"/>
    <w:link w:val="FootnoteTextChar"/>
    <w:uiPriority w:val="99"/>
    <w:unhideWhenUsed/>
    <w:qFormat/>
    <w:rsid w:val="00C56CC1"/>
    <w:pPr>
      <w:spacing w:after="0"/>
      <w:contextualSpacing/>
    </w:pPr>
    <w:rPr>
      <w:sz w:val="16"/>
      <w:szCs w:val="20"/>
    </w:rPr>
  </w:style>
  <w:style w:type="character" w:customStyle="1" w:styleId="FootnoteTextChar">
    <w:name w:val="Footnote Text Char"/>
    <w:basedOn w:val="DefaultParagraphFont"/>
    <w:link w:val="FootnoteText"/>
    <w:uiPriority w:val="99"/>
    <w:rsid w:val="00C56CC1"/>
    <w:rPr>
      <w:rFonts w:ascii="Times New Roman" w:eastAsia="Times New Roman" w:hAnsi="Times New Roman" w:cs="Times New Roman"/>
      <w:sz w:val="16"/>
      <w:szCs w:val="20"/>
      <w:lang w:eastAsia="en-AU"/>
    </w:rPr>
  </w:style>
  <w:style w:type="character" w:styleId="FootnoteReference">
    <w:name w:val="footnote reference"/>
    <w:uiPriority w:val="99"/>
    <w:rsid w:val="00522545"/>
    <w:rPr>
      <w:rFonts w:ascii="Times New Roman" w:hAnsi="Times New Roman"/>
      <w:b w:val="0"/>
      <w:i w:val="0"/>
      <w:caps w:val="0"/>
      <w:smallCaps w:val="0"/>
      <w:strike w:val="0"/>
      <w:dstrike w:val="0"/>
      <w:vanish w:val="0"/>
      <w:w w:val="100"/>
      <w:position w:val="0"/>
      <w:sz w:val="22"/>
      <w:szCs w:val="12"/>
      <w:vertAlign w:val="superscript"/>
    </w:rPr>
  </w:style>
  <w:style w:type="character" w:customStyle="1" w:styleId="ListParagraphChar">
    <w:name w:val="List Paragraph Char"/>
    <w:aliases w:val="List Paragraph1 Char,List Paragraph11 Char,List Paragraph2 Char"/>
    <w:basedOn w:val="DefaultParagraphFont"/>
    <w:link w:val="ListParagraph"/>
    <w:uiPriority w:val="99"/>
    <w:locked/>
    <w:rsid w:val="00655D73"/>
    <w:rPr>
      <w:rFonts w:ascii="Times New Roman" w:eastAsia="Times New Roman" w:hAnsi="Times New Roman" w:cs="Times New Roman"/>
      <w:szCs w:val="24"/>
      <w:lang w:eastAsia="en-AU"/>
    </w:rPr>
  </w:style>
  <w:style w:type="paragraph" w:customStyle="1" w:styleId="Default">
    <w:name w:val="Default"/>
    <w:rsid w:val="00655D73"/>
    <w:pPr>
      <w:autoSpaceDE w:val="0"/>
      <w:autoSpaceDN w:val="0"/>
      <w:adjustRightInd w:val="0"/>
      <w:spacing w:after="0" w:line="240" w:lineRule="auto"/>
    </w:pPr>
    <w:rPr>
      <w:rFonts w:ascii="Humnst777 BT" w:hAnsi="Humnst777 BT" w:cs="Humnst777 BT"/>
      <w:color w:val="000000"/>
      <w:sz w:val="24"/>
      <w:szCs w:val="24"/>
    </w:rPr>
  </w:style>
  <w:style w:type="character" w:customStyle="1" w:styleId="runat">
    <w:name w:val="runat="/>
    <w:basedOn w:val="DefaultParagraphFont"/>
    <w:rsid w:val="00655D73"/>
  </w:style>
  <w:style w:type="paragraph" w:styleId="NormalWeb">
    <w:name w:val="Normal (Web)"/>
    <w:basedOn w:val="Normal"/>
    <w:uiPriority w:val="99"/>
    <w:semiHidden/>
    <w:unhideWhenUsed/>
    <w:rsid w:val="00655D73"/>
    <w:pPr>
      <w:spacing w:before="100" w:beforeAutospacing="1" w:after="100" w:afterAutospacing="1"/>
    </w:pPr>
    <w:rPr>
      <w:rFonts w:eastAsia="Times New Roman"/>
      <w:sz w:val="24"/>
    </w:rPr>
  </w:style>
  <w:style w:type="paragraph" w:customStyle="1" w:styleId="TitleAuthors">
    <w:name w:val="Title Authors"/>
    <w:basedOn w:val="Normal"/>
    <w:rsid w:val="00655D73"/>
    <w:pPr>
      <w:spacing w:after="120"/>
      <w:ind w:left="720"/>
      <w:jc w:val="both"/>
    </w:pPr>
    <w:rPr>
      <w:rFonts w:ascii="Arial" w:eastAsia="Times New Roman" w:hAnsi="Arial" w:cs="Mangal"/>
      <w:color w:val="C0C0C0"/>
      <w:sz w:val="28"/>
      <w:szCs w:val="28"/>
      <w:lang w:val="en-GB" w:eastAsia="en-GB" w:bidi="hi-IN"/>
    </w:rPr>
  </w:style>
  <w:style w:type="paragraph" w:customStyle="1" w:styleId="TitleHeading">
    <w:name w:val="Title Heading"/>
    <w:basedOn w:val="Normal"/>
    <w:rsid w:val="00655D73"/>
    <w:pPr>
      <w:spacing w:after="120"/>
      <w:ind w:left="720"/>
      <w:jc w:val="both"/>
    </w:pPr>
    <w:rPr>
      <w:rFonts w:ascii="Arial Black" w:eastAsia="Times New Roman" w:hAnsi="Arial Black"/>
      <w:color w:val="005199"/>
      <w:sz w:val="48"/>
      <w:szCs w:val="20"/>
      <w:lang w:val="en-GB" w:eastAsia="en-GB" w:bidi="hi-IN"/>
    </w:rPr>
  </w:style>
  <w:style w:type="character" w:customStyle="1" w:styleId="scayt-misspell">
    <w:name w:val="scayt-misspell"/>
    <w:basedOn w:val="DefaultParagraphFont"/>
    <w:rsid w:val="00655D73"/>
  </w:style>
  <w:style w:type="paragraph" w:customStyle="1" w:styleId="doubledotpoint">
    <w:name w:val="double dot point"/>
    <w:basedOn w:val="Normal"/>
    <w:autoRedefine/>
    <w:rsid w:val="00655D73"/>
    <w:pPr>
      <w:numPr>
        <w:ilvl w:val="3"/>
        <w:numId w:val="21"/>
      </w:numPr>
      <w:spacing w:before="60" w:after="60"/>
    </w:pPr>
    <w:rPr>
      <w:color w:val="000000"/>
      <w:sz w:val="24"/>
      <w:lang w:eastAsia="zh-CN"/>
    </w:rPr>
  </w:style>
  <w:style w:type="paragraph" w:customStyle="1" w:styleId="BriefBackground">
    <w:name w:val="Brief Background"/>
    <w:basedOn w:val="Normal"/>
    <w:rsid w:val="00655D73"/>
    <w:pPr>
      <w:spacing w:after="120"/>
    </w:pPr>
    <w:rPr>
      <w:rFonts w:ascii="Calibri" w:eastAsiaTheme="minorHAnsi" w:hAnsi="Calibri" w:cs="Calibri"/>
      <w:color w:val="000000"/>
      <w:sz w:val="24"/>
      <w:lang w:eastAsia="en-US"/>
    </w:rPr>
  </w:style>
  <w:style w:type="paragraph" w:customStyle="1" w:styleId="FCDPbody">
    <w:name w:val="FCDP body"/>
    <w:basedOn w:val="Normal"/>
    <w:rsid w:val="00655D73"/>
    <w:pPr>
      <w:autoSpaceDE w:val="0"/>
      <w:autoSpaceDN w:val="0"/>
      <w:spacing w:after="120" w:line="360" w:lineRule="auto"/>
    </w:pPr>
    <w:rPr>
      <w:rFonts w:ascii="Arial" w:eastAsiaTheme="minorHAnsi" w:hAnsi="Arial" w:cs="Arial"/>
      <w:szCs w:val="20"/>
    </w:rPr>
  </w:style>
  <w:style w:type="character" w:customStyle="1" w:styleId="amount">
    <w:name w:val="amount"/>
    <w:basedOn w:val="DefaultParagraphFont"/>
    <w:rsid w:val="00655D73"/>
  </w:style>
  <w:style w:type="paragraph" w:styleId="PlainText">
    <w:name w:val="Plain Text"/>
    <w:basedOn w:val="Normal"/>
    <w:link w:val="PlainTextChar"/>
    <w:uiPriority w:val="99"/>
    <w:semiHidden/>
    <w:unhideWhenUsed/>
    <w:rsid w:val="00B564A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B564AE"/>
    <w:rPr>
      <w:rFonts w:ascii="Calibri" w:hAnsi="Calibri" w:cs="Calibri"/>
    </w:rPr>
  </w:style>
  <w:style w:type="character" w:styleId="Emphasis">
    <w:name w:val="Emphasis"/>
    <w:basedOn w:val="DefaultParagraphFont"/>
    <w:uiPriority w:val="20"/>
    <w:qFormat/>
    <w:rsid w:val="00BB5B24"/>
    <w:rPr>
      <w:b/>
      <w:bCs/>
      <w:i w:val="0"/>
      <w:iCs w:val="0"/>
    </w:rPr>
  </w:style>
  <w:style w:type="character" w:customStyle="1" w:styleId="st1">
    <w:name w:val="st1"/>
    <w:basedOn w:val="DefaultParagraphFont"/>
    <w:rsid w:val="00BB5B24"/>
  </w:style>
  <w:style w:type="character" w:styleId="Strong">
    <w:name w:val="Strong"/>
    <w:basedOn w:val="DefaultParagraphFont"/>
    <w:uiPriority w:val="22"/>
    <w:qFormat/>
    <w:rsid w:val="00BB5B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2405">
      <w:bodyDiv w:val="1"/>
      <w:marLeft w:val="0"/>
      <w:marRight w:val="0"/>
      <w:marTop w:val="0"/>
      <w:marBottom w:val="0"/>
      <w:divBdr>
        <w:top w:val="none" w:sz="0" w:space="0" w:color="auto"/>
        <w:left w:val="none" w:sz="0" w:space="0" w:color="auto"/>
        <w:bottom w:val="none" w:sz="0" w:space="0" w:color="auto"/>
        <w:right w:val="none" w:sz="0" w:space="0" w:color="auto"/>
      </w:divBdr>
    </w:div>
    <w:div w:id="365251169">
      <w:bodyDiv w:val="1"/>
      <w:marLeft w:val="0"/>
      <w:marRight w:val="0"/>
      <w:marTop w:val="0"/>
      <w:marBottom w:val="0"/>
      <w:divBdr>
        <w:top w:val="none" w:sz="0" w:space="0" w:color="auto"/>
        <w:left w:val="none" w:sz="0" w:space="0" w:color="auto"/>
        <w:bottom w:val="none" w:sz="0" w:space="0" w:color="auto"/>
        <w:right w:val="none" w:sz="0" w:space="0" w:color="auto"/>
      </w:divBdr>
    </w:div>
    <w:div w:id="935677870">
      <w:bodyDiv w:val="1"/>
      <w:marLeft w:val="0"/>
      <w:marRight w:val="0"/>
      <w:marTop w:val="0"/>
      <w:marBottom w:val="0"/>
      <w:divBdr>
        <w:top w:val="none" w:sz="0" w:space="0" w:color="auto"/>
        <w:left w:val="none" w:sz="0" w:space="0" w:color="auto"/>
        <w:bottom w:val="none" w:sz="0" w:space="0" w:color="auto"/>
        <w:right w:val="none" w:sz="0" w:space="0" w:color="auto"/>
      </w:divBdr>
    </w:div>
    <w:div w:id="1082218411">
      <w:bodyDiv w:val="1"/>
      <w:marLeft w:val="0"/>
      <w:marRight w:val="0"/>
      <w:marTop w:val="0"/>
      <w:marBottom w:val="0"/>
      <w:divBdr>
        <w:top w:val="none" w:sz="0" w:space="0" w:color="auto"/>
        <w:left w:val="none" w:sz="0" w:space="0" w:color="auto"/>
        <w:bottom w:val="none" w:sz="0" w:space="0" w:color="auto"/>
        <w:right w:val="none" w:sz="0" w:space="0" w:color="auto"/>
      </w:divBdr>
    </w:div>
    <w:div w:id="1548831620">
      <w:bodyDiv w:val="1"/>
      <w:marLeft w:val="0"/>
      <w:marRight w:val="0"/>
      <w:marTop w:val="0"/>
      <w:marBottom w:val="0"/>
      <w:divBdr>
        <w:top w:val="none" w:sz="0" w:space="0" w:color="auto"/>
        <w:left w:val="none" w:sz="0" w:space="0" w:color="auto"/>
        <w:bottom w:val="none" w:sz="0" w:space="0" w:color="auto"/>
        <w:right w:val="none" w:sz="0" w:space="0" w:color="auto"/>
      </w:divBdr>
    </w:div>
    <w:div w:id="180134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gif"/><Relationship Id="rId26" Type="http://schemas.openxmlformats.org/officeDocument/2006/relationships/footer" Target="footer3.xml"/><Relationship Id="rId39" Type="http://schemas.openxmlformats.org/officeDocument/2006/relationships/customXml" Target="../customXml/item4.xml"/><Relationship Id="rId21" Type="http://schemas.openxmlformats.org/officeDocument/2006/relationships/header" Target="header1.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33" Type="http://schemas.openxmlformats.org/officeDocument/2006/relationships/header" Target="header7.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w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hyperlink" Target="http://web.worldbank.org/external/projects/main?pagePK=64256111&amp;piPK=64256112&amp;theSitePK=40941&amp;menuPK=115635&amp;entityID=000356161_20111102005822&amp;siteName=PROJECTS" TargetMode="External"/><Relationship Id="rId19" Type="http://schemas.openxmlformats.org/officeDocument/2006/relationships/image" Target="media/image9.png"/><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s://openknowledge.worldbank.org/bitstream/handle/10986/2791/638420ESW0P1150isclosed0100310110FJ.pdf?sequence=1" TargetMode="External"/><Relationship Id="rId14" Type="http://schemas.openxmlformats.org/officeDocument/2006/relationships/image" Target="media/image4.png"/><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foot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footer3.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footer4.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footer5.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footer6.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_rels/footer7.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2.jpeg"/></Relationships>
</file>

<file path=word/_rels/footnotes.xml.rels><?xml version="1.0" encoding="UTF-8" standalone="yes"?>
<Relationships xmlns="http://schemas.openxmlformats.org/package/2006/relationships"><Relationship Id="rId8" Type="http://schemas.openxmlformats.org/officeDocument/2006/relationships/hyperlink" Target="http://www.fncdp.org/docs/2008-18NationalDisabilityPolicy.pdf" TargetMode="External"/><Relationship Id="rId3" Type="http://schemas.openxmlformats.org/officeDocument/2006/relationships/hyperlink" Target="http://www.un.org/disabilities/countries.asp?navid=12&amp;pid=166" TargetMode="External"/><Relationship Id="rId7" Type="http://schemas.openxmlformats.org/officeDocument/2006/relationships/hyperlink" Target="http://www.fncdp.org/docs/2008-18_NationalDisabilityPolicy.pdf" TargetMode="External"/><Relationship Id="rId2" Type="http://schemas.openxmlformats.org/officeDocument/2006/relationships/hyperlink" Target="http://www.fijitimes.com/story.aspx?id=217178" TargetMode="External"/><Relationship Id="rId1" Type="http://schemas.openxmlformats.org/officeDocument/2006/relationships/hyperlink" Target="http://hdr.undp.org/en/media/HDR_2010_EN_Tables_reprint.pdf" TargetMode="External"/><Relationship Id="rId6" Type="http://schemas.openxmlformats.org/officeDocument/2006/relationships/hyperlink" Target="http://www.unescap.org/stat/disability/census-ws/APDDP2-INF2.pdf" TargetMode="External"/><Relationship Id="rId5" Type="http://schemas.openxmlformats.org/officeDocument/2006/relationships/hyperlink" Target="http://treaties.un.org/Pages/ViewDetails.aspx?src=TREATY&amp;mtdsg_no=IV-11&amp;chapter=4&amp;lang=en" TargetMode="External"/><Relationship Id="rId4" Type="http://schemas.openxmlformats.org/officeDocument/2006/relationships/hyperlink" Target="http://treaties.un.org/Pages/ViewDetails.aspx?src=TREATY&amp;mtdsg_no=IV-8&amp;chapter=4&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F967B4-22AB-488F-A36F-6EC1011923A9}"/>
</file>

<file path=customXml/itemProps2.xml><?xml version="1.0" encoding="utf-8"?>
<ds:datastoreItem xmlns:ds="http://schemas.openxmlformats.org/officeDocument/2006/customXml" ds:itemID="{5AF0396F-CA3D-4321-A4A5-9B7E0FA418F9}"/>
</file>

<file path=customXml/itemProps3.xml><?xml version="1.0" encoding="utf-8"?>
<ds:datastoreItem xmlns:ds="http://schemas.openxmlformats.org/officeDocument/2006/customXml" ds:itemID="{4919341A-612C-400F-BE0C-53FD76F41625}"/>
</file>

<file path=customXml/itemProps4.xml><?xml version="1.0" encoding="utf-8"?>
<ds:datastoreItem xmlns:ds="http://schemas.openxmlformats.org/officeDocument/2006/customXml" ds:itemID="{3BAA3E03-0884-4C58-BF89-A30EED3640F2}"/>
</file>

<file path=docProps/app.xml><?xml version="1.0" encoding="utf-8"?>
<Properties xmlns="http://schemas.openxmlformats.org/officeDocument/2006/extended-properties" xmlns:vt="http://schemas.openxmlformats.org/officeDocument/2006/docPropsVTypes">
  <Template>Normal.dotm</Template>
  <TotalTime>0</TotalTime>
  <Pages>25</Pages>
  <Words>10412</Words>
  <Characters>59350</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2014-01-29T05:23:00Z</dcterms:created>
  <dcterms:modified xsi:type="dcterms:W3CDTF">2014-01-29T05:40:00Z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312500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