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imes New Roman" w:eastAsia="Times New Roman" w:hAnsi="Times New Roman" w:cs="Times New Roman"/>
          <w:color w:val="4472C4" w:themeColor="accent1"/>
          <w:sz w:val="24"/>
          <w:szCs w:val="24"/>
          <w:lang w:val="en-GB" w:eastAsia="en-US"/>
        </w:rPr>
        <w:id w:val="1916512131"/>
        <w:docPartObj>
          <w:docPartGallery w:val="Cover Pages"/>
          <w:docPartUnique/>
        </w:docPartObj>
      </w:sdtPr>
      <w:sdtEndPr>
        <w:rPr>
          <w:rFonts w:ascii="Calibri Light" w:eastAsiaTheme="minorEastAsia" w:hAnsi="Calibri Light" w:cstheme="minorBidi"/>
          <w:color w:val="000000" w:themeColor="text1"/>
          <w:sz w:val="22"/>
          <w:szCs w:val="22"/>
        </w:rPr>
      </w:sdtEndPr>
      <w:sdtContent>
        <w:p w14:paraId="6A7C52FE" w14:textId="0A164A37" w:rsidR="00C73CEA" w:rsidRPr="00581C11" w:rsidRDefault="000C15A8" w:rsidP="00C317B9">
          <w:pPr>
            <w:pStyle w:val="NoSpacing"/>
            <w:spacing w:before="1540" w:after="240"/>
            <w:jc w:val="right"/>
            <w:rPr>
              <w:rFonts w:cstheme="minorHAnsi"/>
              <w:lang w:val="en-GB"/>
            </w:rPr>
          </w:pPr>
          <w:r w:rsidRPr="00581C11">
            <w:rPr>
              <w:b/>
              <w:noProof/>
              <w:color w:val="0E1428"/>
              <w:spacing w:val="120"/>
              <w:sz w:val="52"/>
              <w:szCs w:val="52"/>
            </w:rPr>
            <mc:AlternateContent>
              <mc:Choice Requires="wps">
                <w:drawing>
                  <wp:anchor distT="0" distB="0" distL="114300" distR="114300" simplePos="0" relativeHeight="251658241" behindDoc="0" locked="0" layoutInCell="1" allowOverlap="1" wp14:anchorId="3E3FD714" wp14:editId="57086470">
                    <wp:simplePos x="0" y="0"/>
                    <wp:positionH relativeFrom="column">
                      <wp:posOffset>-367858</wp:posOffset>
                    </wp:positionH>
                    <wp:positionV relativeFrom="paragraph">
                      <wp:posOffset>808355</wp:posOffset>
                    </wp:positionV>
                    <wp:extent cx="6972300" cy="109728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6972300" cy="1097280"/>
                            </a:xfrm>
                            <a:prstGeom prst="rect">
                              <a:avLst/>
                            </a:prstGeom>
                            <a:noFill/>
                            <a:ln w="6350">
                              <a:noFill/>
                            </a:ln>
                          </wps:spPr>
                          <wps:txbx>
                            <w:txbxContent>
                              <w:p w14:paraId="56A0E0C5" w14:textId="1864BDDC" w:rsidR="00E4204E" w:rsidRPr="006A6023" w:rsidRDefault="006E101D" w:rsidP="00A4771E">
                                <w:pPr>
                                  <w:rPr>
                                    <w:rStyle w:val="MajorHeading"/>
                                    <w:rFonts w:cs="Open Sans"/>
                                    <w:bCs w:val="0"/>
                                    <w:color w:val="FFFFFF" w:themeColor="background1"/>
                                    <w:spacing w:val="40"/>
                                    <w:sz w:val="44"/>
                                    <w:szCs w:val="44"/>
                                  </w:rPr>
                                </w:pPr>
                                <w:r w:rsidRPr="006A6023">
                                  <w:rPr>
                                    <w:rStyle w:val="MajorHeading"/>
                                    <w:rFonts w:cs="Open Sans"/>
                                    <w:bCs w:val="0"/>
                                    <w:color w:val="FFFFFF" w:themeColor="background1"/>
                                    <w:spacing w:val="40"/>
                                    <w:sz w:val="44"/>
                                    <w:szCs w:val="44"/>
                                  </w:rPr>
                                  <w:t>Evaluation of Fisheries Development Assistance in the Pacific (INJ201)</w:t>
                                </w:r>
                              </w:p>
                              <w:p w14:paraId="771EE8AE" w14:textId="77777777" w:rsidR="00900FEA" w:rsidRPr="006A6023" w:rsidRDefault="00900FEA" w:rsidP="00A4771E">
                                <w:pPr>
                                  <w:rPr>
                                    <w:rStyle w:val="MajorHeading"/>
                                    <w:sz w:val="44"/>
                                    <w:szCs w:val="44"/>
                                  </w:rPr>
                                </w:pPr>
                              </w:p>
                              <w:p w14:paraId="6E046688" w14:textId="44E314C7" w:rsidR="00C73CEA" w:rsidRPr="006A6023" w:rsidRDefault="00C73CEA" w:rsidP="00A4771E">
                                <w:pPr>
                                  <w:rPr>
                                    <w:rStyle w:val="MajorHeading"/>
                                    <w:sz w:val="44"/>
                                    <w:szCs w:val="4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3FD714" id="_x0000_t202" coordsize="21600,21600" o:spt="202" path="m,l,21600r21600,l21600,xe">
                    <v:stroke joinstyle="miter"/>
                    <v:path gradientshapeok="t" o:connecttype="rect"/>
                  </v:shapetype>
                  <v:shape id="Text Box 38" o:spid="_x0000_s1026" type="#_x0000_t202" style="position:absolute;left:0;text-align:left;margin-left:-28.95pt;margin-top:63.65pt;width:549pt;height:86.4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" filled="f" stroked="f" strokeweight=".5pt">
                    <v:textbox>
                      <w:txbxContent>
                        <w:p w14:paraId="56A0E0C5" w14:textId="1864BDDC" w:rsidR="00E4204E" w:rsidRPr="006A6023" w:rsidRDefault="006E101D" w:rsidP="00A4771E">
                          <w:pPr>
                            <w:rPr>
                              <w:rStyle w:val="MajorHeading"/>
                              <w:rFonts w:cs="Open Sans"/>
                              <w:bCs w:val="0"/>
                              <w:color w:val="FFFFFF" w:themeColor="background1"/>
                              <w:spacing w:val="40"/>
                              <w:sz w:val="44"/>
                              <w:szCs w:val="44"/>
                            </w:rPr>
                          </w:pPr>
                          <w:r w:rsidRPr="006A6023">
                            <w:rPr>
                              <w:rStyle w:val="MajorHeading"/>
                              <w:rFonts w:cs="Open Sans"/>
                              <w:bCs w:val="0"/>
                              <w:color w:val="FFFFFF" w:themeColor="background1"/>
                              <w:spacing w:val="40"/>
                              <w:sz w:val="44"/>
                              <w:szCs w:val="44"/>
                            </w:rPr>
                            <w:t>Evaluation of Fisheries Development Assistance in the Pacific (INJ201)</w:t>
                          </w:r>
                        </w:p>
                        <w:p w14:paraId="771EE8AE" w14:textId="77777777" w:rsidR="00900FEA" w:rsidRPr="006A6023" w:rsidRDefault="00900FEA" w:rsidP="00A4771E">
                          <w:pPr>
                            <w:rPr>
                              <w:rStyle w:val="MajorHeading"/>
                              <w:sz w:val="44"/>
                              <w:szCs w:val="44"/>
                            </w:rPr>
                          </w:pPr>
                        </w:p>
                        <w:p w14:paraId="6E046688" w14:textId="44E314C7" w:rsidR="00C73CEA" w:rsidRPr="006A6023" w:rsidRDefault="00C73CEA" w:rsidP="00A4771E">
                          <w:pPr>
                            <w:rPr>
                              <w:rStyle w:val="MajorHeading"/>
                              <w:sz w:val="44"/>
                              <w:szCs w:val="44"/>
                            </w:rPr>
                          </w:pPr>
                        </w:p>
                      </w:txbxContent>
                    </v:textbox>
                  </v:shape>
                </w:pict>
              </mc:Fallback>
            </mc:AlternateContent>
          </w:r>
          <w:r>
            <w:rPr>
              <w:noProof/>
            </w:rPr>
            <w:drawing>
              <wp:anchor distT="0" distB="0" distL="114300" distR="114300" simplePos="0" relativeHeight="251658280" behindDoc="1" locked="0" layoutInCell="1" allowOverlap="1" wp14:anchorId="59B2E988" wp14:editId="24A97699">
                <wp:simplePos x="0" y="0"/>
                <wp:positionH relativeFrom="column">
                  <wp:posOffset>-758723</wp:posOffset>
                </wp:positionH>
                <wp:positionV relativeFrom="page">
                  <wp:posOffset>-1905</wp:posOffset>
                </wp:positionV>
                <wp:extent cx="7620000" cy="10778490"/>
                <wp:effectExtent l="0" t="0" r="0" b="3810"/>
                <wp:wrapNone/>
                <wp:docPr id="1217283254" name="Picture 45" descr="A person and children on a boa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283254" name="Picture 45" descr="A person and children on a boat&#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620000" cy="10778490"/>
                        </a:xfrm>
                        <a:prstGeom prst="rect">
                          <a:avLst/>
                        </a:prstGeom>
                      </pic:spPr>
                    </pic:pic>
                  </a:graphicData>
                </a:graphic>
                <wp14:sizeRelH relativeFrom="page">
                  <wp14:pctWidth>0</wp14:pctWidth>
                </wp14:sizeRelH>
                <wp14:sizeRelV relativeFrom="page">
                  <wp14:pctHeight>0</wp14:pctHeight>
                </wp14:sizeRelV>
              </wp:anchor>
            </w:drawing>
          </w:r>
        </w:p>
        <w:p w14:paraId="3E88CE6A" w14:textId="7AE94EC9" w:rsidR="00C73CEA" w:rsidRPr="00581C11" w:rsidRDefault="00C73CEA" w:rsidP="00D41C65"/>
        <w:p w14:paraId="216380D1" w14:textId="7E851817" w:rsidR="00C73CEA" w:rsidRPr="00581C11" w:rsidRDefault="00C73CEA" w:rsidP="00D41C65"/>
        <w:p w14:paraId="01519045" w14:textId="677E2D06" w:rsidR="00C73CEA" w:rsidRPr="00581C11" w:rsidRDefault="00C73CEA" w:rsidP="00D41C65"/>
        <w:p w14:paraId="31185F57" w14:textId="10A0BFE6" w:rsidR="00C73CEA" w:rsidRPr="00581C11" w:rsidRDefault="00C73CEA" w:rsidP="00D41C65"/>
        <w:p w14:paraId="331BC784" w14:textId="372794AA" w:rsidR="00C73CEA" w:rsidRPr="00581C11" w:rsidRDefault="00C73CEA" w:rsidP="00D41C65">
          <w:r w:rsidRPr="00581C11">
            <w:tab/>
          </w:r>
        </w:p>
        <w:p w14:paraId="4BC1E171" w14:textId="0C4DF0D8" w:rsidR="00C73CEA" w:rsidRPr="00581C11" w:rsidRDefault="00C73CEA" w:rsidP="00D41C65"/>
        <w:p w14:paraId="67F27D02" w14:textId="17954486" w:rsidR="00C73CEA" w:rsidRPr="00581C11" w:rsidRDefault="00C73CEA" w:rsidP="00D41C65"/>
        <w:p w14:paraId="5CB2ACDC" w14:textId="391C8E00" w:rsidR="00C73CEA" w:rsidRPr="00581C11" w:rsidRDefault="00C73CEA" w:rsidP="00D41C65"/>
        <w:p w14:paraId="4D9E6CC8" w14:textId="3F2FE8FA" w:rsidR="00C73CEA" w:rsidRPr="00581C11" w:rsidRDefault="00C73CEA" w:rsidP="00D41C65"/>
        <w:p w14:paraId="51C00DF8" w14:textId="2CA6EBC4" w:rsidR="00C73CEA" w:rsidRPr="00581C11" w:rsidRDefault="00C73CEA" w:rsidP="00D41C65"/>
        <w:p w14:paraId="4FE4D0B7" w14:textId="6EF87DE9" w:rsidR="00C73CEA" w:rsidRPr="00581C11" w:rsidRDefault="00C73CEA" w:rsidP="00D41C65"/>
        <w:p w14:paraId="1827CC5B" w14:textId="400EADEE" w:rsidR="00C73CEA" w:rsidRPr="00581C11" w:rsidRDefault="00C73CEA" w:rsidP="00D41C65">
          <w:r w:rsidRPr="00581C11">
            <w:tab/>
          </w:r>
        </w:p>
      </w:sdtContent>
    </w:sdt>
    <w:p w14:paraId="49D78AA9" w14:textId="77777777" w:rsidR="00C73CEA" w:rsidRPr="00581C11" w:rsidRDefault="00C73CEA" w:rsidP="00D41C65"/>
    <w:p w14:paraId="6CEF59CC" w14:textId="3F0206E8" w:rsidR="00C73CEA" w:rsidRPr="00581C11" w:rsidRDefault="00C73CEA" w:rsidP="00D41C65"/>
    <w:p w14:paraId="3554D03C" w14:textId="32EE31B3" w:rsidR="00C73CEA" w:rsidRPr="00581C11" w:rsidRDefault="00C73CEA" w:rsidP="00D41C65"/>
    <w:p w14:paraId="11C561A5" w14:textId="52988308" w:rsidR="00C73CEA" w:rsidRPr="00581C11" w:rsidRDefault="00C73CEA" w:rsidP="00D41C65"/>
    <w:p w14:paraId="5C3FB43B" w14:textId="2874A585" w:rsidR="00C73CEA" w:rsidRPr="00581C11" w:rsidRDefault="000C15A8" w:rsidP="00D41C65">
      <w:r w:rsidRPr="00581C11">
        <w:rPr>
          <w:noProof/>
        </w:rPr>
        <mc:AlternateContent>
          <mc:Choice Requires="wps">
            <w:drawing>
              <wp:anchor distT="0" distB="0" distL="114300" distR="114300" simplePos="0" relativeHeight="251658242" behindDoc="0" locked="0" layoutInCell="1" allowOverlap="1" wp14:anchorId="35989955" wp14:editId="7801FD6B">
                <wp:simplePos x="0" y="0"/>
                <wp:positionH relativeFrom="column">
                  <wp:posOffset>-372110</wp:posOffset>
                </wp:positionH>
                <wp:positionV relativeFrom="paragraph">
                  <wp:posOffset>4822825</wp:posOffset>
                </wp:positionV>
                <wp:extent cx="4876800" cy="55372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4876800" cy="553720"/>
                        </a:xfrm>
                        <a:prstGeom prst="rect">
                          <a:avLst/>
                        </a:prstGeom>
                        <a:noFill/>
                        <a:ln w="6350">
                          <a:noFill/>
                        </a:ln>
                      </wps:spPr>
                      <wps:txbx>
                        <w:txbxContent>
                          <w:p w14:paraId="25D400C4" w14:textId="6D3A939F" w:rsidR="00C73CEA" w:rsidRPr="006A6023" w:rsidRDefault="00775C48" w:rsidP="00D41C65">
                            <w:pPr>
                              <w:rPr>
                                <w:rStyle w:val="Heading"/>
                                <w:rFonts w:ascii="Verdana" w:hAnsi="Verdana" w:cs="Open Sans"/>
                                <w:b/>
                                <w:bCs/>
                                <w:color w:val="FFFFFF" w:themeColor="background1"/>
                                <w:sz w:val="44"/>
                                <w:szCs w:val="44"/>
                              </w:rPr>
                            </w:pPr>
                            <w:r w:rsidRPr="006A6023">
                              <w:rPr>
                                <w:rStyle w:val="Heading"/>
                                <w:rFonts w:ascii="Verdana" w:hAnsi="Verdana" w:cs="Open Sans"/>
                                <w:b/>
                                <w:bCs/>
                                <w:color w:val="FFFFFF" w:themeColor="background1"/>
                                <w:sz w:val="44"/>
                                <w:szCs w:val="44"/>
                              </w:rPr>
                              <w:t>Final</w:t>
                            </w:r>
                            <w:r w:rsidR="005B2872" w:rsidRPr="006A6023">
                              <w:rPr>
                                <w:rStyle w:val="Heading"/>
                                <w:rFonts w:ascii="Verdana" w:hAnsi="Verdana" w:cs="Open Sans"/>
                                <w:b/>
                                <w:bCs/>
                                <w:color w:val="FFFFFF" w:themeColor="background1"/>
                                <w:sz w:val="44"/>
                                <w:szCs w:val="44"/>
                              </w:rPr>
                              <w:t xml:space="preserve"> Report</w:t>
                            </w:r>
                            <w:r w:rsidR="00325B7F" w:rsidRPr="006A6023">
                              <w:rPr>
                                <w:rStyle w:val="Heading"/>
                                <w:rFonts w:ascii="Verdana" w:hAnsi="Verdana" w:cs="Open Sans"/>
                                <w:b/>
                                <w:bCs/>
                                <w:color w:val="FFFFFF" w:themeColor="background1"/>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89955" id="Text Box 39" o:spid="_x0000_s1027" type="#_x0000_t202" style="position:absolute;margin-left:-29.3pt;margin-top:379.75pt;width:384pt;height:43.6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" filled="f" stroked="f" strokeweight=".5pt">
                <v:textbox>
                  <w:txbxContent>
                    <w:p w14:paraId="25D400C4" w14:textId="6D3A939F" w:rsidR="00C73CEA" w:rsidRPr="006A6023" w:rsidRDefault="00775C48" w:rsidP="00D41C65">
                      <w:pPr>
                        <w:rPr>
                          <w:rStyle w:val="Heading"/>
                          <w:rFonts w:ascii="Verdana" w:hAnsi="Verdana" w:cs="Open Sans"/>
                          <w:b/>
                          <w:bCs/>
                          <w:color w:val="FFFFFF" w:themeColor="background1"/>
                          <w:sz w:val="44"/>
                          <w:szCs w:val="44"/>
                        </w:rPr>
                      </w:pPr>
                      <w:r w:rsidRPr="006A6023">
                        <w:rPr>
                          <w:rStyle w:val="Heading"/>
                          <w:rFonts w:ascii="Verdana" w:hAnsi="Verdana" w:cs="Open Sans"/>
                          <w:b/>
                          <w:bCs/>
                          <w:color w:val="FFFFFF" w:themeColor="background1"/>
                          <w:sz w:val="44"/>
                          <w:szCs w:val="44"/>
                        </w:rPr>
                        <w:t>Final</w:t>
                      </w:r>
                      <w:r w:rsidR="005B2872" w:rsidRPr="006A6023">
                        <w:rPr>
                          <w:rStyle w:val="Heading"/>
                          <w:rFonts w:ascii="Verdana" w:hAnsi="Verdana" w:cs="Open Sans"/>
                          <w:b/>
                          <w:bCs/>
                          <w:color w:val="FFFFFF" w:themeColor="background1"/>
                          <w:sz w:val="44"/>
                          <w:szCs w:val="44"/>
                        </w:rPr>
                        <w:t xml:space="preserve"> Report</w:t>
                      </w:r>
                      <w:r w:rsidR="00325B7F" w:rsidRPr="006A6023">
                        <w:rPr>
                          <w:rStyle w:val="Heading"/>
                          <w:rFonts w:ascii="Verdana" w:hAnsi="Verdana" w:cs="Open Sans"/>
                          <w:b/>
                          <w:bCs/>
                          <w:color w:val="FFFFFF" w:themeColor="background1"/>
                          <w:sz w:val="44"/>
                          <w:szCs w:val="44"/>
                        </w:rPr>
                        <w:t xml:space="preserve"> </w:t>
                      </w:r>
                    </w:p>
                  </w:txbxContent>
                </v:textbox>
              </v:shape>
            </w:pict>
          </mc:Fallback>
        </mc:AlternateContent>
      </w:r>
      <w:r w:rsidRPr="00581C11">
        <w:rPr>
          <w:noProof/>
        </w:rPr>
        <mc:AlternateContent>
          <mc:Choice Requires="wps">
            <w:drawing>
              <wp:anchor distT="0" distB="0" distL="114300" distR="114300" simplePos="0" relativeHeight="251658243" behindDoc="0" locked="0" layoutInCell="1" allowOverlap="1" wp14:anchorId="25C1D4E7" wp14:editId="7D8D82FD">
                <wp:simplePos x="0" y="0"/>
                <wp:positionH relativeFrom="column">
                  <wp:posOffset>-375478</wp:posOffset>
                </wp:positionH>
                <wp:positionV relativeFrom="paragraph">
                  <wp:posOffset>4491990</wp:posOffset>
                </wp:positionV>
                <wp:extent cx="4876800" cy="45720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4876800" cy="457200"/>
                        </a:xfrm>
                        <a:prstGeom prst="rect">
                          <a:avLst/>
                        </a:prstGeom>
                        <a:noFill/>
                        <a:ln w="6350">
                          <a:noFill/>
                        </a:ln>
                      </wps:spPr>
                      <wps:txbx>
                        <w:txbxContent>
                          <w:p w14:paraId="714CFAD6" w14:textId="2B69DCCF" w:rsidR="00C73CEA" w:rsidRPr="00437116" w:rsidRDefault="00775C48" w:rsidP="002D0BEC">
                            <w:pPr>
                              <w:rPr>
                                <w:rFonts w:ascii="Verdana" w:hAnsi="Verdana"/>
                                <w:color w:val="FFFFFF" w:themeColor="background1"/>
                                <w:sz w:val="36"/>
                                <w:szCs w:val="36"/>
                              </w:rPr>
                            </w:pPr>
                            <w:r w:rsidRPr="00437116">
                              <w:rPr>
                                <w:rFonts w:ascii="Verdana" w:hAnsi="Verdana"/>
                                <w:color w:val="FFFFFF" w:themeColor="background1"/>
                                <w:sz w:val="36"/>
                                <w:szCs w:val="36"/>
                              </w:rPr>
                              <w:t>29</w:t>
                            </w:r>
                            <w:r w:rsidR="00D121EF" w:rsidRPr="00437116">
                              <w:rPr>
                                <w:rFonts w:ascii="Verdana" w:hAnsi="Verdana"/>
                                <w:color w:val="FFFFFF" w:themeColor="background1"/>
                                <w:sz w:val="36"/>
                                <w:szCs w:val="36"/>
                              </w:rPr>
                              <w:t xml:space="preserve"> August</w:t>
                            </w:r>
                            <w:r w:rsidR="00F32D53" w:rsidRPr="00437116">
                              <w:rPr>
                                <w:rFonts w:ascii="Verdana" w:hAnsi="Verdana"/>
                                <w:color w:val="FFFFFF" w:themeColor="background1"/>
                                <w:sz w:val="36"/>
                                <w:szCs w:val="36"/>
                              </w:rPr>
                              <w:t xml:space="preserve"> </w:t>
                            </w:r>
                            <w:r w:rsidR="00C73CEA" w:rsidRPr="00437116">
                              <w:rPr>
                                <w:rFonts w:ascii="Verdana" w:hAnsi="Verdana"/>
                                <w:color w:val="FFFFFF" w:themeColor="background1"/>
                                <w:sz w:val="36"/>
                                <w:szCs w:val="36"/>
                              </w:rPr>
                              <w:t>202</w:t>
                            </w:r>
                            <w:r w:rsidR="0083669B" w:rsidRPr="00437116">
                              <w:rPr>
                                <w:rFonts w:ascii="Verdana" w:hAnsi="Verdana"/>
                                <w:color w:val="FFFFFF" w:themeColor="background1"/>
                                <w:sz w:val="36"/>
                                <w:szCs w:val="3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1D4E7" id="Text Box 40" o:spid="_x0000_s1028" type="#_x0000_t202" style="position:absolute;margin-left:-29.55pt;margin-top:353.7pt;width:384pt;height:36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" filled="f" stroked="f" strokeweight=".5pt">
                <v:textbox>
                  <w:txbxContent>
                    <w:p w14:paraId="714CFAD6" w14:textId="2B69DCCF" w:rsidR="00C73CEA" w:rsidRPr="00437116" w:rsidRDefault="00775C48" w:rsidP="002D0BEC">
                      <w:pPr>
                        <w:rPr>
                          <w:rFonts w:ascii="Verdana" w:hAnsi="Verdana"/>
                          <w:color w:val="FFFFFF" w:themeColor="background1"/>
                          <w:sz w:val="36"/>
                          <w:szCs w:val="36"/>
                        </w:rPr>
                      </w:pPr>
                      <w:r w:rsidRPr="00437116">
                        <w:rPr>
                          <w:rFonts w:ascii="Verdana" w:hAnsi="Verdana"/>
                          <w:color w:val="FFFFFF" w:themeColor="background1"/>
                          <w:sz w:val="36"/>
                          <w:szCs w:val="36"/>
                        </w:rPr>
                        <w:t>29</w:t>
                      </w:r>
                      <w:r w:rsidR="00D121EF" w:rsidRPr="00437116">
                        <w:rPr>
                          <w:rFonts w:ascii="Verdana" w:hAnsi="Verdana"/>
                          <w:color w:val="FFFFFF" w:themeColor="background1"/>
                          <w:sz w:val="36"/>
                          <w:szCs w:val="36"/>
                        </w:rPr>
                        <w:t xml:space="preserve"> August</w:t>
                      </w:r>
                      <w:r w:rsidR="00F32D53" w:rsidRPr="00437116">
                        <w:rPr>
                          <w:rFonts w:ascii="Verdana" w:hAnsi="Verdana"/>
                          <w:color w:val="FFFFFF" w:themeColor="background1"/>
                          <w:sz w:val="36"/>
                          <w:szCs w:val="36"/>
                        </w:rPr>
                        <w:t xml:space="preserve"> </w:t>
                      </w:r>
                      <w:r w:rsidR="00C73CEA" w:rsidRPr="00437116">
                        <w:rPr>
                          <w:rFonts w:ascii="Verdana" w:hAnsi="Verdana"/>
                          <w:color w:val="FFFFFF" w:themeColor="background1"/>
                          <w:sz w:val="36"/>
                          <w:szCs w:val="36"/>
                        </w:rPr>
                        <w:t>202</w:t>
                      </w:r>
                      <w:r w:rsidR="0083669B" w:rsidRPr="00437116">
                        <w:rPr>
                          <w:rFonts w:ascii="Verdana" w:hAnsi="Verdana"/>
                          <w:color w:val="FFFFFF" w:themeColor="background1"/>
                          <w:sz w:val="36"/>
                          <w:szCs w:val="36"/>
                        </w:rPr>
                        <w:t>5</w:t>
                      </w:r>
                    </w:p>
                  </w:txbxContent>
                </v:textbox>
              </v:shape>
            </w:pict>
          </mc:Fallback>
        </mc:AlternateContent>
      </w:r>
    </w:p>
    <w:p w14:paraId="6F7F898F" w14:textId="77777777" w:rsidR="00C73CEA" w:rsidRPr="00581C11" w:rsidRDefault="00C73CEA" w:rsidP="00D41C65">
      <w:pPr>
        <w:sectPr w:rsidR="00C73CEA" w:rsidRPr="00581C11" w:rsidSect="000C15A8">
          <w:headerReference w:type="even" r:id="rId9"/>
          <w:headerReference w:type="default" r:id="rId10"/>
          <w:footerReference w:type="even" r:id="rId11"/>
          <w:footerReference w:type="default" r:id="rId12"/>
          <w:pgSz w:w="11900" w:h="16840"/>
          <w:pgMar w:top="1440" w:right="1080" w:bottom="1440" w:left="1080" w:header="709" w:footer="709" w:gutter="0"/>
          <w:pgNumType w:start="0"/>
          <w:cols w:space="708"/>
          <w:titlePg/>
          <w:docGrid w:linePitch="360"/>
        </w:sectPr>
      </w:pPr>
    </w:p>
    <w:p w14:paraId="64FCB05D" w14:textId="77777777" w:rsidR="00D665C4" w:rsidRDefault="00D665C4" w:rsidP="004C0875">
      <w:pPr>
        <w:rPr>
          <w:rStyle w:val="MajorHeading"/>
        </w:rPr>
      </w:pPr>
      <w:bookmarkStart w:id="0" w:name="_Toc109562330"/>
      <w:bookmarkStart w:id="1" w:name="_Toc109562353"/>
      <w:bookmarkStart w:id="2" w:name="_Toc109652434"/>
      <w:bookmarkStart w:id="3" w:name="_Toc109720463"/>
    </w:p>
    <w:p w14:paraId="168A7B1C" w14:textId="77777777" w:rsidR="00D665C4" w:rsidRDefault="00D665C4" w:rsidP="004C0875">
      <w:pPr>
        <w:rPr>
          <w:rStyle w:val="MajorHeading"/>
        </w:rPr>
      </w:pPr>
    </w:p>
    <w:p w14:paraId="2851A4A6" w14:textId="77777777" w:rsidR="00D665C4" w:rsidRDefault="00D665C4" w:rsidP="004C0875">
      <w:pPr>
        <w:rPr>
          <w:rStyle w:val="MajorHeading"/>
        </w:rPr>
      </w:pPr>
    </w:p>
    <w:p w14:paraId="593ACE03" w14:textId="77777777" w:rsidR="00D665C4" w:rsidRDefault="00D665C4" w:rsidP="004C0875">
      <w:pPr>
        <w:rPr>
          <w:rStyle w:val="MajorHeading"/>
        </w:rPr>
      </w:pPr>
    </w:p>
    <w:p w14:paraId="40EBC58B" w14:textId="77777777" w:rsidR="00D665C4" w:rsidRDefault="00D665C4" w:rsidP="004C0875">
      <w:pPr>
        <w:rPr>
          <w:rStyle w:val="MajorHeading"/>
        </w:rPr>
      </w:pPr>
    </w:p>
    <w:p w14:paraId="41A70100" w14:textId="77777777" w:rsidR="00436A62" w:rsidRDefault="00436A62" w:rsidP="00436A62"/>
    <w:p w14:paraId="6CF372E6" w14:textId="77777777" w:rsidR="00436A62" w:rsidRDefault="00436A62" w:rsidP="00436A62"/>
    <w:p w14:paraId="56EE546F" w14:textId="77777777" w:rsidR="00436A62" w:rsidRDefault="00436A62" w:rsidP="00436A62"/>
    <w:p w14:paraId="3A688DFC" w14:textId="77777777" w:rsidR="00436A62" w:rsidRDefault="00436A62" w:rsidP="00436A62"/>
    <w:p w14:paraId="3EF3C606" w14:textId="77777777" w:rsidR="00436A62" w:rsidRPr="00436A62" w:rsidRDefault="00436A62" w:rsidP="00436A62"/>
    <w:p w14:paraId="7A70BB25" w14:textId="77777777" w:rsidR="00D665C4" w:rsidRDefault="00D665C4" w:rsidP="004C0875">
      <w:pPr>
        <w:rPr>
          <w:rStyle w:val="MajorHeading"/>
        </w:rPr>
      </w:pPr>
    </w:p>
    <w:p w14:paraId="45D58479" w14:textId="77777777" w:rsidR="004C0875" w:rsidRDefault="004C0875" w:rsidP="004C0875">
      <w:pPr>
        <w:rPr>
          <w:rStyle w:val="MajorHeading"/>
        </w:rPr>
      </w:pPr>
    </w:p>
    <w:p w14:paraId="7F3D9401" w14:textId="77777777" w:rsidR="004C0875" w:rsidRDefault="004C0875" w:rsidP="004C0875">
      <w:pPr>
        <w:rPr>
          <w:rStyle w:val="MajorHeading"/>
        </w:rPr>
      </w:pPr>
    </w:p>
    <w:p w14:paraId="2DB17CD6" w14:textId="77777777" w:rsidR="004C0875" w:rsidRDefault="004C0875" w:rsidP="004C0875">
      <w:pPr>
        <w:rPr>
          <w:rStyle w:val="MajorHeading"/>
        </w:rPr>
      </w:pPr>
    </w:p>
    <w:p w14:paraId="1E9F5A57" w14:textId="58F495AF" w:rsidR="00A8278F" w:rsidRPr="00184958" w:rsidRDefault="00A8278F" w:rsidP="00873636">
      <w:pPr>
        <w:pStyle w:val="Heading1"/>
        <w:rPr>
          <w:rStyle w:val="MajorHeading"/>
        </w:rPr>
      </w:pPr>
      <w:r w:rsidRPr="00184958">
        <w:rPr>
          <w:rStyle w:val="MajorHeading"/>
        </w:rPr>
        <w:t>Acknowledgements</w:t>
      </w:r>
    </w:p>
    <w:p w14:paraId="625979A5" w14:textId="40D0A205" w:rsidR="00A8278F" w:rsidRPr="00D41C65" w:rsidRDefault="000E3B58" w:rsidP="00394D85">
      <w:r w:rsidRPr="00D41C65">
        <w:rPr>
          <w:rStyle w:val="Heading"/>
          <w:rFonts w:ascii="Calibri Light" w:hAnsi="Calibri Light" w:cstheme="minorHAnsi"/>
          <w:color w:val="000000" w:themeColor="text1"/>
          <w:sz w:val="22"/>
          <w:szCs w:val="22"/>
        </w:rPr>
        <w:t xml:space="preserve">The review team are grateful to the </w:t>
      </w:r>
      <w:r w:rsidRPr="00D41C65">
        <w:t>Pacific Fisheries and Maritime Section, DFAT</w:t>
      </w:r>
      <w:r w:rsidRPr="00D41C65">
        <w:rPr>
          <w:rStyle w:val="Heading"/>
          <w:rFonts w:ascii="Calibri Light" w:hAnsi="Calibri Light" w:cstheme="minorHAnsi"/>
          <w:color w:val="000000" w:themeColor="text1"/>
          <w:sz w:val="22"/>
          <w:szCs w:val="22"/>
        </w:rPr>
        <w:t xml:space="preserve"> for support and guidance throughout this assignment, and for their patient assistance during numerous interactions with the evaluation team. We also thank all those informants who kindly made time to talk with us and provide information and insights, including the Fisheries Forum Agency for hosting us in Honiara</w:t>
      </w:r>
      <w:r w:rsidR="00A8278F" w:rsidRPr="00D41C65">
        <w:t>.</w:t>
      </w:r>
    </w:p>
    <w:p w14:paraId="1D9C9811" w14:textId="77777777" w:rsidR="00A8278F" w:rsidRPr="00581C11" w:rsidRDefault="00A8278F" w:rsidP="00D41C65"/>
    <w:p w14:paraId="7C0BFB99" w14:textId="3E54A054" w:rsidR="00A8278F" w:rsidRPr="00184958" w:rsidRDefault="00A8278F" w:rsidP="00873636">
      <w:pPr>
        <w:pStyle w:val="Heading1"/>
        <w:rPr>
          <w:rStyle w:val="MajorHeading"/>
        </w:rPr>
      </w:pPr>
      <w:r w:rsidRPr="00184958">
        <w:rPr>
          <w:rStyle w:val="MajorHeading"/>
        </w:rPr>
        <w:t>Disclaimer</w:t>
      </w:r>
    </w:p>
    <w:p w14:paraId="72C010DE" w14:textId="15683548" w:rsidR="00A8278F" w:rsidRPr="002E00B2" w:rsidRDefault="000E3B58" w:rsidP="00394D85">
      <w:pPr>
        <w:rPr>
          <w:rStyle w:val="Heading"/>
          <w:rFonts w:ascii="Calibri Light" w:hAnsi="Calibri Light" w:cstheme="minorHAnsi"/>
          <w:color w:val="000000" w:themeColor="text1"/>
          <w:sz w:val="22"/>
          <w:szCs w:val="22"/>
        </w:rPr>
      </w:pPr>
      <w:r w:rsidRPr="002E00B2">
        <w:rPr>
          <w:rStyle w:val="Heading"/>
          <w:rFonts w:ascii="Calibri Light" w:hAnsi="Calibri Light" w:cstheme="minorHAnsi"/>
          <w:color w:val="000000" w:themeColor="text1"/>
          <w:sz w:val="22"/>
          <w:szCs w:val="22"/>
        </w:rPr>
        <w:t>The opinions expressed are those of the evaluation team, and do not necessarily reflect those of DFAT. Responsibility for the opinions expressed in this report rests solely with the authors</w:t>
      </w:r>
      <w:r w:rsidR="00A8278F" w:rsidRPr="002E00B2">
        <w:rPr>
          <w:rStyle w:val="Heading"/>
          <w:rFonts w:ascii="Calibri Light" w:hAnsi="Calibri Light" w:cstheme="minorHAnsi"/>
          <w:color w:val="000000" w:themeColor="text1"/>
          <w:sz w:val="22"/>
          <w:szCs w:val="22"/>
        </w:rPr>
        <w:t>.</w:t>
      </w:r>
    </w:p>
    <w:p w14:paraId="0ABA4AB4" w14:textId="77777777" w:rsidR="00116C46" w:rsidRDefault="00116C46">
      <w:pPr>
        <w:tabs>
          <w:tab w:val="clear" w:pos="7780"/>
        </w:tabs>
        <w:rPr>
          <w:rStyle w:val="MajorHeading"/>
          <w:rFonts w:asciiTheme="majorHAnsi" w:hAnsiTheme="majorHAnsi" w:cstheme="majorBidi"/>
          <w:b w:val="0"/>
          <w:color w:val="2F5496" w:themeColor="accent1" w:themeShade="BF"/>
          <w:sz w:val="28"/>
          <w:szCs w:val="28"/>
          <w:highlight w:val="yellow"/>
        </w:rPr>
        <w:sectPr w:rsidR="00116C46" w:rsidSect="000C15A8">
          <w:headerReference w:type="even" r:id="rId13"/>
          <w:headerReference w:type="default" r:id="rId14"/>
          <w:headerReference w:type="first" r:id="rId15"/>
          <w:footerReference w:type="first" r:id="rId16"/>
          <w:pgSz w:w="11900" w:h="16840"/>
          <w:pgMar w:top="1440" w:right="1080" w:bottom="1440" w:left="1080" w:header="709" w:footer="709" w:gutter="0"/>
          <w:pgNumType w:fmt="lowerRoman" w:start="1"/>
          <w:cols w:space="720"/>
          <w:titlePg/>
          <w:docGrid w:linePitch="360"/>
        </w:sectPr>
      </w:pPr>
    </w:p>
    <w:p w14:paraId="2753D335" w14:textId="77777777" w:rsidR="00BF5D9A" w:rsidRPr="00C04EFD" w:rsidRDefault="00D60571" w:rsidP="00873636">
      <w:pPr>
        <w:pStyle w:val="Heading1"/>
        <w:rPr>
          <w:noProof/>
        </w:rPr>
      </w:pPr>
      <w:r w:rsidRPr="00184958">
        <w:rPr>
          <w:rStyle w:val="MajorHeading"/>
        </w:rPr>
        <w:lastRenderedPageBreak/>
        <w:t>Table of Contents</w:t>
      </w:r>
      <w:bookmarkStart w:id="4" w:name="_Toc109562245"/>
      <w:bookmarkStart w:id="5" w:name="_Toc109562331"/>
      <w:bookmarkStart w:id="6" w:name="_Toc109562354"/>
      <w:bookmarkEnd w:id="0"/>
      <w:bookmarkEnd w:id="1"/>
      <w:bookmarkEnd w:id="2"/>
      <w:bookmarkEnd w:id="3"/>
      <w:r w:rsidR="003219A6" w:rsidRPr="00C04EFD">
        <w:rPr>
          <w:rStyle w:val="MajorHeading"/>
          <w:sz w:val="20"/>
          <w:szCs w:val="20"/>
        </w:rPr>
        <w:fldChar w:fldCharType="begin"/>
      </w:r>
      <w:r w:rsidR="003219A6" w:rsidRPr="00C04EFD">
        <w:rPr>
          <w:rStyle w:val="MajorHeading"/>
          <w:sz w:val="20"/>
          <w:szCs w:val="20"/>
        </w:rPr>
        <w:instrText xml:space="preserve"> TOC \o "1-2" \h \z \u </w:instrText>
      </w:r>
      <w:r w:rsidR="003219A6" w:rsidRPr="00C04EFD">
        <w:rPr>
          <w:rStyle w:val="MajorHeading"/>
          <w:sz w:val="20"/>
          <w:szCs w:val="20"/>
        </w:rPr>
        <w:fldChar w:fldCharType="separate"/>
      </w:r>
    </w:p>
    <w:p w14:paraId="6B5552E5" w14:textId="09435A0A" w:rsidR="00BF5D9A" w:rsidRPr="00C04EFD" w:rsidRDefault="00BF5D9A" w:rsidP="00A62E0E">
      <w:pPr>
        <w:pStyle w:val="TOC1"/>
        <w:spacing w:before="0" w:line="360" w:lineRule="auto"/>
        <w:rPr>
          <w:rFonts w:asciiTheme="minorHAnsi" w:eastAsiaTheme="minorEastAsia" w:hAnsiTheme="minorHAnsi" w:cstheme="minorBidi"/>
          <w:color w:val="auto"/>
          <w:kern w:val="2"/>
          <w:sz w:val="20"/>
          <w:szCs w:val="20"/>
          <w:lang w:val="en-AU" w:eastAsia="zh-CN"/>
          <w14:ligatures w14:val="standardContextual"/>
        </w:rPr>
      </w:pPr>
      <w:hyperlink w:anchor="_Toc207206804" w:history="1">
        <w:r w:rsidRPr="00C04EFD">
          <w:rPr>
            <w:rStyle w:val="Hyperlink"/>
            <w:sz w:val="20"/>
            <w:szCs w:val="20"/>
          </w:rPr>
          <w:t>Executive Summary</w:t>
        </w:r>
        <w:r w:rsidRPr="00C04EFD">
          <w:rPr>
            <w:webHidden/>
            <w:sz w:val="20"/>
            <w:szCs w:val="20"/>
          </w:rPr>
          <w:tab/>
        </w:r>
        <w:r w:rsidRPr="00C04EFD">
          <w:rPr>
            <w:webHidden/>
            <w:sz w:val="20"/>
            <w:szCs w:val="20"/>
          </w:rPr>
          <w:fldChar w:fldCharType="begin"/>
        </w:r>
        <w:r w:rsidRPr="00C04EFD">
          <w:rPr>
            <w:webHidden/>
            <w:sz w:val="20"/>
            <w:szCs w:val="20"/>
          </w:rPr>
          <w:instrText xml:space="preserve"> PAGEREF _Toc207206804 \h </w:instrText>
        </w:r>
        <w:r w:rsidRPr="00C04EFD">
          <w:rPr>
            <w:webHidden/>
            <w:sz w:val="20"/>
            <w:szCs w:val="20"/>
          </w:rPr>
        </w:r>
        <w:r w:rsidRPr="00C04EFD">
          <w:rPr>
            <w:webHidden/>
            <w:sz w:val="20"/>
            <w:szCs w:val="20"/>
          </w:rPr>
          <w:fldChar w:fldCharType="separate"/>
        </w:r>
        <w:r w:rsidR="00FC67EE">
          <w:rPr>
            <w:webHidden/>
            <w:sz w:val="20"/>
            <w:szCs w:val="20"/>
          </w:rPr>
          <w:t>iii</w:t>
        </w:r>
        <w:r w:rsidRPr="00C04EFD">
          <w:rPr>
            <w:webHidden/>
            <w:sz w:val="20"/>
            <w:szCs w:val="20"/>
          </w:rPr>
          <w:fldChar w:fldCharType="end"/>
        </w:r>
      </w:hyperlink>
    </w:p>
    <w:p w14:paraId="435A0597" w14:textId="1B3EABBD" w:rsidR="00BF5D9A" w:rsidRPr="00C04EFD" w:rsidRDefault="00BF5D9A" w:rsidP="00A62E0E">
      <w:pPr>
        <w:pStyle w:val="TOC1"/>
        <w:spacing w:before="0" w:line="360" w:lineRule="auto"/>
        <w:rPr>
          <w:rFonts w:asciiTheme="minorHAnsi" w:eastAsiaTheme="minorEastAsia" w:hAnsiTheme="minorHAnsi" w:cstheme="minorBidi"/>
          <w:color w:val="auto"/>
          <w:kern w:val="2"/>
          <w:sz w:val="20"/>
          <w:szCs w:val="20"/>
          <w:lang w:val="en-AU" w:eastAsia="zh-CN"/>
          <w14:ligatures w14:val="standardContextual"/>
        </w:rPr>
      </w:pPr>
      <w:hyperlink w:anchor="_Toc207206805" w:history="1">
        <w:r w:rsidRPr="00C04EFD">
          <w:rPr>
            <w:rStyle w:val="Hyperlink"/>
            <w:sz w:val="20"/>
            <w:szCs w:val="20"/>
          </w:rPr>
          <w:t>Background</w:t>
        </w:r>
        <w:r w:rsidRPr="00C04EFD">
          <w:rPr>
            <w:webHidden/>
            <w:sz w:val="20"/>
            <w:szCs w:val="20"/>
          </w:rPr>
          <w:tab/>
        </w:r>
        <w:r w:rsidRPr="00C04EFD">
          <w:rPr>
            <w:webHidden/>
            <w:sz w:val="20"/>
            <w:szCs w:val="20"/>
          </w:rPr>
          <w:fldChar w:fldCharType="begin"/>
        </w:r>
        <w:r w:rsidRPr="00C04EFD">
          <w:rPr>
            <w:webHidden/>
            <w:sz w:val="20"/>
            <w:szCs w:val="20"/>
          </w:rPr>
          <w:instrText xml:space="preserve"> PAGEREF _Toc207206805 \h </w:instrText>
        </w:r>
        <w:r w:rsidRPr="00C04EFD">
          <w:rPr>
            <w:webHidden/>
            <w:sz w:val="20"/>
            <w:szCs w:val="20"/>
          </w:rPr>
        </w:r>
        <w:r w:rsidRPr="00C04EFD">
          <w:rPr>
            <w:webHidden/>
            <w:sz w:val="20"/>
            <w:szCs w:val="20"/>
          </w:rPr>
          <w:fldChar w:fldCharType="separate"/>
        </w:r>
        <w:r w:rsidR="00FC67EE">
          <w:rPr>
            <w:webHidden/>
            <w:sz w:val="20"/>
            <w:szCs w:val="20"/>
          </w:rPr>
          <w:t>1</w:t>
        </w:r>
        <w:r w:rsidRPr="00C04EFD">
          <w:rPr>
            <w:webHidden/>
            <w:sz w:val="20"/>
            <w:szCs w:val="20"/>
          </w:rPr>
          <w:fldChar w:fldCharType="end"/>
        </w:r>
      </w:hyperlink>
    </w:p>
    <w:p w14:paraId="6F9548FF" w14:textId="51A32F98"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06" w:history="1">
        <w:r w:rsidRPr="00C04EFD">
          <w:rPr>
            <w:rStyle w:val="Hyperlink"/>
            <w:szCs w:val="20"/>
          </w:rPr>
          <w:t>Introduction</w:t>
        </w:r>
        <w:r w:rsidRPr="00C04EFD">
          <w:rPr>
            <w:webHidden/>
            <w:szCs w:val="20"/>
          </w:rPr>
          <w:tab/>
        </w:r>
        <w:r w:rsidRPr="00C04EFD">
          <w:rPr>
            <w:webHidden/>
            <w:szCs w:val="20"/>
          </w:rPr>
          <w:fldChar w:fldCharType="begin"/>
        </w:r>
        <w:r w:rsidRPr="00C04EFD">
          <w:rPr>
            <w:webHidden/>
            <w:szCs w:val="20"/>
          </w:rPr>
          <w:instrText xml:space="preserve"> PAGEREF _Toc207206806 \h </w:instrText>
        </w:r>
        <w:r w:rsidRPr="00C04EFD">
          <w:rPr>
            <w:webHidden/>
            <w:szCs w:val="20"/>
          </w:rPr>
        </w:r>
        <w:r w:rsidRPr="00C04EFD">
          <w:rPr>
            <w:webHidden/>
            <w:szCs w:val="20"/>
          </w:rPr>
          <w:fldChar w:fldCharType="separate"/>
        </w:r>
        <w:r w:rsidR="00FC67EE">
          <w:rPr>
            <w:webHidden/>
            <w:szCs w:val="20"/>
          </w:rPr>
          <w:t>1</w:t>
        </w:r>
        <w:r w:rsidRPr="00C04EFD">
          <w:rPr>
            <w:webHidden/>
            <w:szCs w:val="20"/>
          </w:rPr>
          <w:fldChar w:fldCharType="end"/>
        </w:r>
      </w:hyperlink>
    </w:p>
    <w:p w14:paraId="4D1E41FE" w14:textId="6859EB59"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07" w:history="1">
        <w:r w:rsidRPr="00C04EFD">
          <w:rPr>
            <w:rStyle w:val="Hyperlink"/>
            <w:szCs w:val="20"/>
          </w:rPr>
          <w:t>The Purpose of the Evaluation</w:t>
        </w:r>
        <w:r w:rsidRPr="00C04EFD">
          <w:rPr>
            <w:webHidden/>
            <w:szCs w:val="20"/>
          </w:rPr>
          <w:tab/>
        </w:r>
        <w:r w:rsidRPr="00C04EFD">
          <w:rPr>
            <w:webHidden/>
            <w:szCs w:val="20"/>
          </w:rPr>
          <w:fldChar w:fldCharType="begin"/>
        </w:r>
        <w:r w:rsidRPr="00C04EFD">
          <w:rPr>
            <w:webHidden/>
            <w:szCs w:val="20"/>
          </w:rPr>
          <w:instrText xml:space="preserve"> PAGEREF _Toc207206807 \h </w:instrText>
        </w:r>
        <w:r w:rsidRPr="00C04EFD">
          <w:rPr>
            <w:webHidden/>
            <w:szCs w:val="20"/>
          </w:rPr>
        </w:r>
        <w:r w:rsidRPr="00C04EFD">
          <w:rPr>
            <w:webHidden/>
            <w:szCs w:val="20"/>
          </w:rPr>
          <w:fldChar w:fldCharType="separate"/>
        </w:r>
        <w:r w:rsidR="00FC67EE">
          <w:rPr>
            <w:webHidden/>
            <w:szCs w:val="20"/>
          </w:rPr>
          <w:t>2</w:t>
        </w:r>
        <w:r w:rsidRPr="00C04EFD">
          <w:rPr>
            <w:webHidden/>
            <w:szCs w:val="20"/>
          </w:rPr>
          <w:fldChar w:fldCharType="end"/>
        </w:r>
      </w:hyperlink>
    </w:p>
    <w:p w14:paraId="1CD68192" w14:textId="7E7E8941"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08" w:history="1">
        <w:r w:rsidRPr="00C04EFD">
          <w:rPr>
            <w:rStyle w:val="Hyperlink"/>
            <w:szCs w:val="20"/>
          </w:rPr>
          <w:t>Scope and Key Evaluation Questions</w:t>
        </w:r>
        <w:r w:rsidRPr="00C04EFD">
          <w:rPr>
            <w:webHidden/>
            <w:szCs w:val="20"/>
          </w:rPr>
          <w:tab/>
        </w:r>
        <w:r w:rsidRPr="00C04EFD">
          <w:rPr>
            <w:webHidden/>
            <w:szCs w:val="20"/>
          </w:rPr>
          <w:fldChar w:fldCharType="begin"/>
        </w:r>
        <w:r w:rsidRPr="00C04EFD">
          <w:rPr>
            <w:webHidden/>
            <w:szCs w:val="20"/>
          </w:rPr>
          <w:instrText xml:space="preserve"> PAGEREF _Toc207206808 \h </w:instrText>
        </w:r>
        <w:r w:rsidRPr="00C04EFD">
          <w:rPr>
            <w:webHidden/>
            <w:szCs w:val="20"/>
          </w:rPr>
        </w:r>
        <w:r w:rsidRPr="00C04EFD">
          <w:rPr>
            <w:webHidden/>
            <w:szCs w:val="20"/>
          </w:rPr>
          <w:fldChar w:fldCharType="separate"/>
        </w:r>
        <w:r w:rsidR="00FC67EE">
          <w:rPr>
            <w:webHidden/>
            <w:szCs w:val="20"/>
          </w:rPr>
          <w:t>2</w:t>
        </w:r>
        <w:r w:rsidRPr="00C04EFD">
          <w:rPr>
            <w:webHidden/>
            <w:szCs w:val="20"/>
          </w:rPr>
          <w:fldChar w:fldCharType="end"/>
        </w:r>
      </w:hyperlink>
    </w:p>
    <w:p w14:paraId="6C357EC6" w14:textId="454365F3"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09" w:history="1">
        <w:r w:rsidRPr="00C04EFD">
          <w:rPr>
            <w:rStyle w:val="Hyperlink"/>
            <w:szCs w:val="20"/>
          </w:rPr>
          <w:t>Primary Users of the Evaluation</w:t>
        </w:r>
        <w:r w:rsidRPr="00C04EFD">
          <w:rPr>
            <w:webHidden/>
            <w:szCs w:val="20"/>
          </w:rPr>
          <w:tab/>
        </w:r>
        <w:r w:rsidRPr="00C04EFD">
          <w:rPr>
            <w:webHidden/>
            <w:szCs w:val="20"/>
          </w:rPr>
          <w:fldChar w:fldCharType="begin"/>
        </w:r>
        <w:r w:rsidRPr="00C04EFD">
          <w:rPr>
            <w:webHidden/>
            <w:szCs w:val="20"/>
          </w:rPr>
          <w:instrText xml:space="preserve"> PAGEREF _Toc207206809 \h </w:instrText>
        </w:r>
        <w:r w:rsidRPr="00C04EFD">
          <w:rPr>
            <w:webHidden/>
            <w:szCs w:val="20"/>
          </w:rPr>
        </w:r>
        <w:r w:rsidRPr="00C04EFD">
          <w:rPr>
            <w:webHidden/>
            <w:szCs w:val="20"/>
          </w:rPr>
          <w:fldChar w:fldCharType="separate"/>
        </w:r>
        <w:r w:rsidR="00FC67EE">
          <w:rPr>
            <w:webHidden/>
            <w:szCs w:val="20"/>
          </w:rPr>
          <w:t>3</w:t>
        </w:r>
        <w:r w:rsidRPr="00C04EFD">
          <w:rPr>
            <w:webHidden/>
            <w:szCs w:val="20"/>
          </w:rPr>
          <w:fldChar w:fldCharType="end"/>
        </w:r>
      </w:hyperlink>
    </w:p>
    <w:p w14:paraId="5B4D6FBC" w14:textId="4ACC6E98"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10" w:history="1">
        <w:r w:rsidRPr="00C04EFD">
          <w:rPr>
            <w:rStyle w:val="Hyperlink"/>
            <w:szCs w:val="20"/>
          </w:rPr>
          <w:t>Approach</w:t>
        </w:r>
        <w:r w:rsidRPr="00C04EFD">
          <w:rPr>
            <w:webHidden/>
            <w:szCs w:val="20"/>
          </w:rPr>
          <w:tab/>
        </w:r>
        <w:r w:rsidRPr="00C04EFD">
          <w:rPr>
            <w:webHidden/>
            <w:szCs w:val="20"/>
          </w:rPr>
          <w:fldChar w:fldCharType="begin"/>
        </w:r>
        <w:r w:rsidRPr="00C04EFD">
          <w:rPr>
            <w:webHidden/>
            <w:szCs w:val="20"/>
          </w:rPr>
          <w:instrText xml:space="preserve"> PAGEREF _Toc207206810 \h </w:instrText>
        </w:r>
        <w:r w:rsidRPr="00C04EFD">
          <w:rPr>
            <w:webHidden/>
            <w:szCs w:val="20"/>
          </w:rPr>
        </w:r>
        <w:r w:rsidRPr="00C04EFD">
          <w:rPr>
            <w:webHidden/>
            <w:szCs w:val="20"/>
          </w:rPr>
          <w:fldChar w:fldCharType="separate"/>
        </w:r>
        <w:r w:rsidR="00FC67EE">
          <w:rPr>
            <w:webHidden/>
            <w:szCs w:val="20"/>
          </w:rPr>
          <w:t>3</w:t>
        </w:r>
        <w:r w:rsidRPr="00C04EFD">
          <w:rPr>
            <w:webHidden/>
            <w:szCs w:val="20"/>
          </w:rPr>
          <w:fldChar w:fldCharType="end"/>
        </w:r>
      </w:hyperlink>
    </w:p>
    <w:p w14:paraId="44C4583D" w14:textId="7D98A9D9"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11" w:history="1">
        <w:r w:rsidRPr="00C04EFD">
          <w:rPr>
            <w:rStyle w:val="Hyperlink"/>
            <w:szCs w:val="20"/>
          </w:rPr>
          <w:t>Limitations</w:t>
        </w:r>
        <w:r w:rsidRPr="00C04EFD">
          <w:rPr>
            <w:webHidden/>
            <w:szCs w:val="20"/>
          </w:rPr>
          <w:tab/>
        </w:r>
        <w:r w:rsidRPr="00C04EFD">
          <w:rPr>
            <w:webHidden/>
            <w:szCs w:val="20"/>
          </w:rPr>
          <w:fldChar w:fldCharType="begin"/>
        </w:r>
        <w:r w:rsidRPr="00C04EFD">
          <w:rPr>
            <w:webHidden/>
            <w:szCs w:val="20"/>
          </w:rPr>
          <w:instrText xml:space="preserve"> PAGEREF _Toc207206811 \h </w:instrText>
        </w:r>
        <w:r w:rsidRPr="00C04EFD">
          <w:rPr>
            <w:webHidden/>
            <w:szCs w:val="20"/>
          </w:rPr>
        </w:r>
        <w:r w:rsidRPr="00C04EFD">
          <w:rPr>
            <w:webHidden/>
            <w:szCs w:val="20"/>
          </w:rPr>
          <w:fldChar w:fldCharType="separate"/>
        </w:r>
        <w:r w:rsidR="00FC67EE">
          <w:rPr>
            <w:webHidden/>
            <w:szCs w:val="20"/>
          </w:rPr>
          <w:t>4</w:t>
        </w:r>
        <w:r w:rsidRPr="00C04EFD">
          <w:rPr>
            <w:webHidden/>
            <w:szCs w:val="20"/>
          </w:rPr>
          <w:fldChar w:fldCharType="end"/>
        </w:r>
      </w:hyperlink>
    </w:p>
    <w:p w14:paraId="3B79E6F0" w14:textId="2236ECC7" w:rsidR="00BF5D9A" w:rsidRPr="00C04EFD" w:rsidRDefault="00BF5D9A" w:rsidP="00A62E0E">
      <w:pPr>
        <w:pStyle w:val="TOC1"/>
        <w:spacing w:before="0" w:line="360" w:lineRule="auto"/>
        <w:rPr>
          <w:rFonts w:asciiTheme="minorHAnsi" w:eastAsiaTheme="minorEastAsia" w:hAnsiTheme="minorHAnsi" w:cstheme="minorBidi"/>
          <w:color w:val="auto"/>
          <w:kern w:val="2"/>
          <w:sz w:val="20"/>
          <w:szCs w:val="20"/>
          <w:lang w:val="en-AU" w:eastAsia="zh-CN"/>
          <w14:ligatures w14:val="standardContextual"/>
        </w:rPr>
      </w:pPr>
      <w:hyperlink w:anchor="_Toc207206812" w:history="1">
        <w:r w:rsidRPr="00C04EFD">
          <w:rPr>
            <w:rStyle w:val="Hyperlink"/>
            <w:sz w:val="20"/>
            <w:szCs w:val="20"/>
          </w:rPr>
          <w:t>Key Findings</w:t>
        </w:r>
        <w:r w:rsidRPr="00C04EFD">
          <w:rPr>
            <w:webHidden/>
            <w:sz w:val="20"/>
            <w:szCs w:val="20"/>
          </w:rPr>
          <w:tab/>
        </w:r>
        <w:r w:rsidRPr="00C04EFD">
          <w:rPr>
            <w:webHidden/>
            <w:sz w:val="20"/>
            <w:szCs w:val="20"/>
          </w:rPr>
          <w:fldChar w:fldCharType="begin"/>
        </w:r>
        <w:r w:rsidRPr="00C04EFD">
          <w:rPr>
            <w:webHidden/>
            <w:sz w:val="20"/>
            <w:szCs w:val="20"/>
          </w:rPr>
          <w:instrText xml:space="preserve"> PAGEREF _Toc207206812 \h </w:instrText>
        </w:r>
        <w:r w:rsidRPr="00C04EFD">
          <w:rPr>
            <w:webHidden/>
            <w:sz w:val="20"/>
            <w:szCs w:val="20"/>
          </w:rPr>
        </w:r>
        <w:r w:rsidRPr="00C04EFD">
          <w:rPr>
            <w:webHidden/>
            <w:sz w:val="20"/>
            <w:szCs w:val="20"/>
          </w:rPr>
          <w:fldChar w:fldCharType="separate"/>
        </w:r>
        <w:r w:rsidR="00FC67EE">
          <w:rPr>
            <w:webHidden/>
            <w:sz w:val="20"/>
            <w:szCs w:val="20"/>
          </w:rPr>
          <w:t>5</w:t>
        </w:r>
        <w:r w:rsidRPr="00C04EFD">
          <w:rPr>
            <w:webHidden/>
            <w:sz w:val="20"/>
            <w:szCs w:val="20"/>
          </w:rPr>
          <w:fldChar w:fldCharType="end"/>
        </w:r>
      </w:hyperlink>
    </w:p>
    <w:p w14:paraId="4E9D69AA" w14:textId="4A8FE7E1"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13" w:history="1">
        <w:r w:rsidRPr="00C04EFD">
          <w:rPr>
            <w:rStyle w:val="Hyperlink"/>
            <w:szCs w:val="20"/>
          </w:rPr>
          <w:t>KEQ 1: To what extent was the investment effective in achieving its intended outcomes?</w:t>
        </w:r>
        <w:r w:rsidRPr="00C04EFD">
          <w:rPr>
            <w:webHidden/>
            <w:szCs w:val="20"/>
          </w:rPr>
          <w:tab/>
        </w:r>
        <w:r w:rsidRPr="00C04EFD">
          <w:rPr>
            <w:webHidden/>
            <w:szCs w:val="20"/>
          </w:rPr>
          <w:fldChar w:fldCharType="begin"/>
        </w:r>
        <w:r w:rsidRPr="00C04EFD">
          <w:rPr>
            <w:webHidden/>
            <w:szCs w:val="20"/>
          </w:rPr>
          <w:instrText xml:space="preserve"> PAGEREF _Toc207206813 \h </w:instrText>
        </w:r>
        <w:r w:rsidRPr="00C04EFD">
          <w:rPr>
            <w:webHidden/>
            <w:szCs w:val="20"/>
          </w:rPr>
        </w:r>
        <w:r w:rsidRPr="00C04EFD">
          <w:rPr>
            <w:webHidden/>
            <w:szCs w:val="20"/>
          </w:rPr>
          <w:fldChar w:fldCharType="separate"/>
        </w:r>
        <w:r w:rsidR="00FC67EE">
          <w:rPr>
            <w:webHidden/>
            <w:szCs w:val="20"/>
          </w:rPr>
          <w:t>5</w:t>
        </w:r>
        <w:r w:rsidRPr="00C04EFD">
          <w:rPr>
            <w:webHidden/>
            <w:szCs w:val="20"/>
          </w:rPr>
          <w:fldChar w:fldCharType="end"/>
        </w:r>
      </w:hyperlink>
    </w:p>
    <w:p w14:paraId="07EB8EDB" w14:textId="06ECE200"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14" w:history="1">
        <w:r w:rsidRPr="00C04EFD">
          <w:rPr>
            <w:rStyle w:val="Hyperlink"/>
            <w:szCs w:val="20"/>
          </w:rPr>
          <w:t>KEQ 2: To what extent was the Investment (including partner selection and modalities) efficient in achieving its intended outcomes?</w:t>
        </w:r>
        <w:r w:rsidRPr="00C04EFD">
          <w:rPr>
            <w:webHidden/>
            <w:szCs w:val="20"/>
          </w:rPr>
          <w:tab/>
        </w:r>
        <w:r w:rsidRPr="00C04EFD">
          <w:rPr>
            <w:webHidden/>
            <w:szCs w:val="20"/>
          </w:rPr>
          <w:fldChar w:fldCharType="begin"/>
        </w:r>
        <w:r w:rsidRPr="00C04EFD">
          <w:rPr>
            <w:webHidden/>
            <w:szCs w:val="20"/>
          </w:rPr>
          <w:instrText xml:space="preserve"> PAGEREF _Toc207206814 \h </w:instrText>
        </w:r>
        <w:r w:rsidRPr="00C04EFD">
          <w:rPr>
            <w:webHidden/>
            <w:szCs w:val="20"/>
          </w:rPr>
        </w:r>
        <w:r w:rsidRPr="00C04EFD">
          <w:rPr>
            <w:webHidden/>
            <w:szCs w:val="20"/>
          </w:rPr>
          <w:fldChar w:fldCharType="separate"/>
        </w:r>
        <w:r w:rsidR="00FC67EE">
          <w:rPr>
            <w:webHidden/>
            <w:szCs w:val="20"/>
          </w:rPr>
          <w:t>16</w:t>
        </w:r>
        <w:r w:rsidRPr="00C04EFD">
          <w:rPr>
            <w:webHidden/>
            <w:szCs w:val="20"/>
          </w:rPr>
          <w:fldChar w:fldCharType="end"/>
        </w:r>
      </w:hyperlink>
    </w:p>
    <w:p w14:paraId="72D410D7" w14:textId="42FD294B"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15" w:history="1">
        <w:r w:rsidRPr="00C04EFD">
          <w:rPr>
            <w:rStyle w:val="Hyperlink"/>
            <w:szCs w:val="20"/>
          </w:rPr>
          <w:t>KEQ 3: What other outcomes (intended, unintended, positive and negative) has the investment contributed to in the Pacific region?</w:t>
        </w:r>
        <w:r w:rsidRPr="00C04EFD">
          <w:rPr>
            <w:webHidden/>
            <w:szCs w:val="20"/>
          </w:rPr>
          <w:tab/>
        </w:r>
        <w:r w:rsidRPr="00C04EFD">
          <w:rPr>
            <w:webHidden/>
            <w:szCs w:val="20"/>
          </w:rPr>
          <w:fldChar w:fldCharType="begin"/>
        </w:r>
        <w:r w:rsidRPr="00C04EFD">
          <w:rPr>
            <w:webHidden/>
            <w:szCs w:val="20"/>
          </w:rPr>
          <w:instrText xml:space="preserve"> PAGEREF _Toc207206815 \h </w:instrText>
        </w:r>
        <w:r w:rsidRPr="00C04EFD">
          <w:rPr>
            <w:webHidden/>
            <w:szCs w:val="20"/>
          </w:rPr>
        </w:r>
        <w:r w:rsidRPr="00C04EFD">
          <w:rPr>
            <w:webHidden/>
            <w:szCs w:val="20"/>
          </w:rPr>
          <w:fldChar w:fldCharType="separate"/>
        </w:r>
        <w:r w:rsidR="00FC67EE">
          <w:rPr>
            <w:webHidden/>
            <w:szCs w:val="20"/>
          </w:rPr>
          <w:t>22</w:t>
        </w:r>
        <w:r w:rsidRPr="00C04EFD">
          <w:rPr>
            <w:webHidden/>
            <w:szCs w:val="20"/>
          </w:rPr>
          <w:fldChar w:fldCharType="end"/>
        </w:r>
      </w:hyperlink>
    </w:p>
    <w:p w14:paraId="4C970B87" w14:textId="1CE00E31" w:rsidR="00BF5D9A" w:rsidRPr="00C04EFD" w:rsidRDefault="00BF5D9A" w:rsidP="00A62E0E">
      <w:pPr>
        <w:pStyle w:val="TOC1"/>
        <w:spacing w:before="0" w:line="360" w:lineRule="auto"/>
        <w:rPr>
          <w:rFonts w:asciiTheme="minorHAnsi" w:eastAsiaTheme="minorEastAsia" w:hAnsiTheme="minorHAnsi" w:cstheme="minorBidi"/>
          <w:color w:val="auto"/>
          <w:kern w:val="2"/>
          <w:sz w:val="20"/>
          <w:szCs w:val="20"/>
          <w:lang w:val="en-AU" w:eastAsia="zh-CN"/>
          <w14:ligatures w14:val="standardContextual"/>
        </w:rPr>
      </w:pPr>
      <w:hyperlink w:anchor="_Toc207206816" w:history="1">
        <w:r w:rsidRPr="00C04EFD">
          <w:rPr>
            <w:rStyle w:val="Hyperlink"/>
            <w:sz w:val="20"/>
            <w:szCs w:val="20"/>
          </w:rPr>
          <w:t>Conclusion, Lessons Learned and Recommendations</w:t>
        </w:r>
        <w:r w:rsidRPr="00C04EFD">
          <w:rPr>
            <w:webHidden/>
            <w:sz w:val="20"/>
            <w:szCs w:val="20"/>
          </w:rPr>
          <w:tab/>
        </w:r>
        <w:r w:rsidRPr="00C04EFD">
          <w:rPr>
            <w:webHidden/>
            <w:sz w:val="20"/>
            <w:szCs w:val="20"/>
          </w:rPr>
          <w:fldChar w:fldCharType="begin"/>
        </w:r>
        <w:r w:rsidRPr="00C04EFD">
          <w:rPr>
            <w:webHidden/>
            <w:sz w:val="20"/>
            <w:szCs w:val="20"/>
          </w:rPr>
          <w:instrText xml:space="preserve"> PAGEREF _Toc207206816 \h </w:instrText>
        </w:r>
        <w:r w:rsidRPr="00C04EFD">
          <w:rPr>
            <w:webHidden/>
            <w:sz w:val="20"/>
            <w:szCs w:val="20"/>
          </w:rPr>
        </w:r>
        <w:r w:rsidRPr="00C04EFD">
          <w:rPr>
            <w:webHidden/>
            <w:sz w:val="20"/>
            <w:szCs w:val="20"/>
          </w:rPr>
          <w:fldChar w:fldCharType="separate"/>
        </w:r>
        <w:r w:rsidR="00FC67EE">
          <w:rPr>
            <w:webHidden/>
            <w:sz w:val="20"/>
            <w:szCs w:val="20"/>
          </w:rPr>
          <w:t>29</w:t>
        </w:r>
        <w:r w:rsidRPr="00C04EFD">
          <w:rPr>
            <w:webHidden/>
            <w:sz w:val="20"/>
            <w:szCs w:val="20"/>
          </w:rPr>
          <w:fldChar w:fldCharType="end"/>
        </w:r>
      </w:hyperlink>
    </w:p>
    <w:p w14:paraId="3D512F33" w14:textId="778F60EE" w:rsidR="00BF5D9A" w:rsidRPr="00C04EFD" w:rsidRDefault="00BF5D9A" w:rsidP="00A62E0E">
      <w:pPr>
        <w:pStyle w:val="TOC1"/>
        <w:spacing w:before="0" w:line="360" w:lineRule="auto"/>
        <w:rPr>
          <w:rFonts w:asciiTheme="minorHAnsi" w:eastAsiaTheme="minorEastAsia" w:hAnsiTheme="minorHAnsi" w:cstheme="minorBidi"/>
          <w:color w:val="auto"/>
          <w:kern w:val="2"/>
          <w:sz w:val="20"/>
          <w:szCs w:val="20"/>
          <w:lang w:val="en-AU" w:eastAsia="zh-CN"/>
          <w14:ligatures w14:val="standardContextual"/>
        </w:rPr>
      </w:pPr>
      <w:hyperlink w:anchor="_Toc207206818" w:history="1">
        <w:r w:rsidRPr="00C04EFD">
          <w:rPr>
            <w:rStyle w:val="Hyperlink"/>
            <w:sz w:val="20"/>
            <w:szCs w:val="20"/>
          </w:rPr>
          <w:t>Annexes</w:t>
        </w:r>
        <w:r w:rsidRPr="00C04EFD">
          <w:rPr>
            <w:webHidden/>
            <w:sz w:val="20"/>
            <w:szCs w:val="20"/>
          </w:rPr>
          <w:tab/>
        </w:r>
        <w:r w:rsidRPr="00C04EFD">
          <w:rPr>
            <w:webHidden/>
            <w:sz w:val="20"/>
            <w:szCs w:val="20"/>
          </w:rPr>
          <w:fldChar w:fldCharType="begin"/>
        </w:r>
        <w:r w:rsidRPr="00C04EFD">
          <w:rPr>
            <w:webHidden/>
            <w:sz w:val="20"/>
            <w:szCs w:val="20"/>
          </w:rPr>
          <w:instrText xml:space="preserve"> PAGEREF _Toc207206818 \h </w:instrText>
        </w:r>
        <w:r w:rsidRPr="00C04EFD">
          <w:rPr>
            <w:webHidden/>
            <w:sz w:val="20"/>
            <w:szCs w:val="20"/>
          </w:rPr>
        </w:r>
        <w:r w:rsidRPr="00C04EFD">
          <w:rPr>
            <w:webHidden/>
            <w:sz w:val="20"/>
            <w:szCs w:val="20"/>
          </w:rPr>
          <w:fldChar w:fldCharType="separate"/>
        </w:r>
        <w:r w:rsidR="00FC67EE">
          <w:rPr>
            <w:webHidden/>
            <w:sz w:val="20"/>
            <w:szCs w:val="20"/>
          </w:rPr>
          <w:t>1</w:t>
        </w:r>
        <w:r w:rsidRPr="00C04EFD">
          <w:rPr>
            <w:webHidden/>
            <w:sz w:val="20"/>
            <w:szCs w:val="20"/>
          </w:rPr>
          <w:fldChar w:fldCharType="end"/>
        </w:r>
      </w:hyperlink>
    </w:p>
    <w:p w14:paraId="6E8C95DC" w14:textId="0D9F57A6"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19" w:history="1">
        <w:r w:rsidRPr="00C04EFD">
          <w:rPr>
            <w:rStyle w:val="Hyperlink"/>
            <w:szCs w:val="20"/>
          </w:rPr>
          <w:t>Annexe 1: Project documents reviewed</w:t>
        </w:r>
        <w:r w:rsidRPr="00C04EFD">
          <w:rPr>
            <w:webHidden/>
            <w:szCs w:val="20"/>
          </w:rPr>
          <w:tab/>
        </w:r>
        <w:r w:rsidRPr="00C04EFD">
          <w:rPr>
            <w:webHidden/>
            <w:szCs w:val="20"/>
          </w:rPr>
          <w:fldChar w:fldCharType="begin"/>
        </w:r>
        <w:r w:rsidRPr="00C04EFD">
          <w:rPr>
            <w:webHidden/>
            <w:szCs w:val="20"/>
          </w:rPr>
          <w:instrText xml:space="preserve"> PAGEREF _Toc207206819 \h </w:instrText>
        </w:r>
        <w:r w:rsidRPr="00C04EFD">
          <w:rPr>
            <w:webHidden/>
            <w:szCs w:val="20"/>
          </w:rPr>
        </w:r>
        <w:r w:rsidRPr="00C04EFD">
          <w:rPr>
            <w:webHidden/>
            <w:szCs w:val="20"/>
          </w:rPr>
          <w:fldChar w:fldCharType="separate"/>
        </w:r>
        <w:r w:rsidR="00FC67EE">
          <w:rPr>
            <w:webHidden/>
            <w:szCs w:val="20"/>
          </w:rPr>
          <w:t>2</w:t>
        </w:r>
        <w:r w:rsidRPr="00C04EFD">
          <w:rPr>
            <w:webHidden/>
            <w:szCs w:val="20"/>
          </w:rPr>
          <w:fldChar w:fldCharType="end"/>
        </w:r>
      </w:hyperlink>
    </w:p>
    <w:p w14:paraId="225E0D10" w14:textId="4CB400E7"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20" w:history="1">
        <w:r w:rsidRPr="00C04EFD">
          <w:rPr>
            <w:rStyle w:val="Hyperlink"/>
            <w:szCs w:val="20"/>
          </w:rPr>
          <w:t>Annexe 2: List of key informants</w:t>
        </w:r>
        <w:r w:rsidRPr="00C04EFD">
          <w:rPr>
            <w:webHidden/>
            <w:szCs w:val="20"/>
          </w:rPr>
          <w:tab/>
        </w:r>
        <w:r w:rsidRPr="00C04EFD">
          <w:rPr>
            <w:webHidden/>
            <w:szCs w:val="20"/>
          </w:rPr>
          <w:fldChar w:fldCharType="begin"/>
        </w:r>
        <w:r w:rsidRPr="00C04EFD">
          <w:rPr>
            <w:webHidden/>
            <w:szCs w:val="20"/>
          </w:rPr>
          <w:instrText xml:space="preserve"> PAGEREF _Toc207206820 \h </w:instrText>
        </w:r>
        <w:r w:rsidRPr="00C04EFD">
          <w:rPr>
            <w:webHidden/>
            <w:szCs w:val="20"/>
          </w:rPr>
        </w:r>
        <w:r w:rsidRPr="00C04EFD">
          <w:rPr>
            <w:webHidden/>
            <w:szCs w:val="20"/>
          </w:rPr>
          <w:fldChar w:fldCharType="separate"/>
        </w:r>
        <w:r w:rsidR="00FC67EE">
          <w:rPr>
            <w:webHidden/>
            <w:szCs w:val="20"/>
          </w:rPr>
          <w:t>4</w:t>
        </w:r>
        <w:r w:rsidRPr="00C04EFD">
          <w:rPr>
            <w:webHidden/>
            <w:szCs w:val="20"/>
          </w:rPr>
          <w:fldChar w:fldCharType="end"/>
        </w:r>
      </w:hyperlink>
    </w:p>
    <w:p w14:paraId="0D27E71F" w14:textId="23BC86C8"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21" w:history="1">
        <w:r w:rsidRPr="00C04EFD">
          <w:rPr>
            <w:rStyle w:val="Hyperlink"/>
            <w:szCs w:val="20"/>
          </w:rPr>
          <w:t>Annexe 3: Interview Questions for Key Stakeholders</w:t>
        </w:r>
        <w:r w:rsidRPr="00C04EFD">
          <w:rPr>
            <w:webHidden/>
            <w:szCs w:val="20"/>
          </w:rPr>
          <w:tab/>
        </w:r>
        <w:r w:rsidRPr="00C04EFD">
          <w:rPr>
            <w:webHidden/>
            <w:szCs w:val="20"/>
          </w:rPr>
          <w:fldChar w:fldCharType="begin"/>
        </w:r>
        <w:r w:rsidRPr="00C04EFD">
          <w:rPr>
            <w:webHidden/>
            <w:szCs w:val="20"/>
          </w:rPr>
          <w:instrText xml:space="preserve"> PAGEREF _Toc207206821 \h </w:instrText>
        </w:r>
        <w:r w:rsidRPr="00C04EFD">
          <w:rPr>
            <w:webHidden/>
            <w:szCs w:val="20"/>
          </w:rPr>
        </w:r>
        <w:r w:rsidRPr="00C04EFD">
          <w:rPr>
            <w:webHidden/>
            <w:szCs w:val="20"/>
          </w:rPr>
          <w:fldChar w:fldCharType="separate"/>
        </w:r>
        <w:r w:rsidR="00FC67EE">
          <w:rPr>
            <w:webHidden/>
            <w:szCs w:val="20"/>
          </w:rPr>
          <w:t>6</w:t>
        </w:r>
        <w:r w:rsidRPr="00C04EFD">
          <w:rPr>
            <w:webHidden/>
            <w:szCs w:val="20"/>
          </w:rPr>
          <w:fldChar w:fldCharType="end"/>
        </w:r>
      </w:hyperlink>
    </w:p>
    <w:p w14:paraId="4EDA4E9A" w14:textId="08EDA66E"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22" w:history="1">
        <w:r w:rsidRPr="00C04EFD">
          <w:rPr>
            <w:rStyle w:val="Hyperlink"/>
            <w:szCs w:val="20"/>
          </w:rPr>
          <w:t>Annexe 4: Survey Instrument</w:t>
        </w:r>
        <w:r w:rsidRPr="00C04EFD">
          <w:rPr>
            <w:webHidden/>
            <w:szCs w:val="20"/>
          </w:rPr>
          <w:tab/>
        </w:r>
        <w:r w:rsidRPr="00C04EFD">
          <w:rPr>
            <w:webHidden/>
            <w:szCs w:val="20"/>
          </w:rPr>
          <w:fldChar w:fldCharType="begin"/>
        </w:r>
        <w:r w:rsidRPr="00C04EFD">
          <w:rPr>
            <w:webHidden/>
            <w:szCs w:val="20"/>
          </w:rPr>
          <w:instrText xml:space="preserve"> PAGEREF _Toc207206822 \h </w:instrText>
        </w:r>
        <w:r w:rsidRPr="00C04EFD">
          <w:rPr>
            <w:webHidden/>
            <w:szCs w:val="20"/>
          </w:rPr>
        </w:r>
        <w:r w:rsidRPr="00C04EFD">
          <w:rPr>
            <w:webHidden/>
            <w:szCs w:val="20"/>
          </w:rPr>
          <w:fldChar w:fldCharType="separate"/>
        </w:r>
        <w:r w:rsidR="00FC67EE">
          <w:rPr>
            <w:webHidden/>
            <w:szCs w:val="20"/>
          </w:rPr>
          <w:t>10</w:t>
        </w:r>
        <w:r w:rsidRPr="00C04EFD">
          <w:rPr>
            <w:webHidden/>
            <w:szCs w:val="20"/>
          </w:rPr>
          <w:fldChar w:fldCharType="end"/>
        </w:r>
      </w:hyperlink>
    </w:p>
    <w:p w14:paraId="28064895" w14:textId="1A1EE021"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23" w:history="1">
        <w:r w:rsidRPr="00C04EFD">
          <w:rPr>
            <w:rStyle w:val="Hyperlink"/>
            <w:szCs w:val="20"/>
          </w:rPr>
          <w:t>Annexe 5: Evaluation Rubric</w:t>
        </w:r>
        <w:r w:rsidRPr="00C04EFD">
          <w:rPr>
            <w:webHidden/>
            <w:szCs w:val="20"/>
          </w:rPr>
          <w:tab/>
        </w:r>
        <w:r w:rsidRPr="00C04EFD">
          <w:rPr>
            <w:webHidden/>
            <w:szCs w:val="20"/>
          </w:rPr>
          <w:fldChar w:fldCharType="begin"/>
        </w:r>
        <w:r w:rsidRPr="00C04EFD">
          <w:rPr>
            <w:webHidden/>
            <w:szCs w:val="20"/>
          </w:rPr>
          <w:instrText xml:space="preserve"> PAGEREF _Toc207206823 \h </w:instrText>
        </w:r>
        <w:r w:rsidRPr="00C04EFD">
          <w:rPr>
            <w:webHidden/>
            <w:szCs w:val="20"/>
          </w:rPr>
        </w:r>
        <w:r w:rsidRPr="00C04EFD">
          <w:rPr>
            <w:webHidden/>
            <w:szCs w:val="20"/>
          </w:rPr>
          <w:fldChar w:fldCharType="separate"/>
        </w:r>
        <w:r w:rsidR="00FC67EE">
          <w:rPr>
            <w:webHidden/>
            <w:szCs w:val="20"/>
          </w:rPr>
          <w:t>13</w:t>
        </w:r>
        <w:r w:rsidRPr="00C04EFD">
          <w:rPr>
            <w:webHidden/>
            <w:szCs w:val="20"/>
          </w:rPr>
          <w:fldChar w:fldCharType="end"/>
        </w:r>
      </w:hyperlink>
    </w:p>
    <w:p w14:paraId="141B3F6B" w14:textId="7E6103DA"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24" w:history="1">
        <w:r w:rsidRPr="00C04EFD">
          <w:rPr>
            <w:rStyle w:val="Hyperlink"/>
            <w:szCs w:val="20"/>
          </w:rPr>
          <w:t>Annexe 6: Funding by Theme</w:t>
        </w:r>
        <w:r w:rsidRPr="00C04EFD">
          <w:rPr>
            <w:webHidden/>
            <w:szCs w:val="20"/>
          </w:rPr>
          <w:tab/>
        </w:r>
        <w:r w:rsidRPr="00C04EFD">
          <w:rPr>
            <w:webHidden/>
            <w:szCs w:val="20"/>
          </w:rPr>
          <w:fldChar w:fldCharType="begin"/>
        </w:r>
        <w:r w:rsidRPr="00C04EFD">
          <w:rPr>
            <w:webHidden/>
            <w:szCs w:val="20"/>
          </w:rPr>
          <w:instrText xml:space="preserve"> PAGEREF _Toc207206824 \h </w:instrText>
        </w:r>
        <w:r w:rsidRPr="00C04EFD">
          <w:rPr>
            <w:webHidden/>
            <w:szCs w:val="20"/>
          </w:rPr>
        </w:r>
        <w:r w:rsidRPr="00C04EFD">
          <w:rPr>
            <w:webHidden/>
            <w:szCs w:val="20"/>
          </w:rPr>
          <w:fldChar w:fldCharType="separate"/>
        </w:r>
        <w:r w:rsidR="00FC67EE">
          <w:rPr>
            <w:webHidden/>
            <w:szCs w:val="20"/>
          </w:rPr>
          <w:t>20</w:t>
        </w:r>
        <w:r w:rsidRPr="00C04EFD">
          <w:rPr>
            <w:webHidden/>
            <w:szCs w:val="20"/>
          </w:rPr>
          <w:fldChar w:fldCharType="end"/>
        </w:r>
      </w:hyperlink>
    </w:p>
    <w:p w14:paraId="745CA3B1" w14:textId="5A68DE5A"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25" w:history="1">
        <w:r w:rsidRPr="00C04EFD">
          <w:rPr>
            <w:rStyle w:val="Hyperlink"/>
            <w:szCs w:val="20"/>
          </w:rPr>
          <w:t>Annexe 7: Impact of Improvements in Fisheries Management since 2010</w:t>
        </w:r>
        <w:r w:rsidRPr="00C04EFD">
          <w:rPr>
            <w:webHidden/>
            <w:szCs w:val="20"/>
          </w:rPr>
          <w:tab/>
        </w:r>
        <w:r w:rsidRPr="00C04EFD">
          <w:rPr>
            <w:webHidden/>
            <w:szCs w:val="20"/>
          </w:rPr>
          <w:fldChar w:fldCharType="begin"/>
        </w:r>
        <w:r w:rsidRPr="00C04EFD">
          <w:rPr>
            <w:webHidden/>
            <w:szCs w:val="20"/>
          </w:rPr>
          <w:instrText xml:space="preserve"> PAGEREF _Toc207206825 \h </w:instrText>
        </w:r>
        <w:r w:rsidRPr="00C04EFD">
          <w:rPr>
            <w:webHidden/>
            <w:szCs w:val="20"/>
          </w:rPr>
        </w:r>
        <w:r w:rsidRPr="00C04EFD">
          <w:rPr>
            <w:webHidden/>
            <w:szCs w:val="20"/>
          </w:rPr>
          <w:fldChar w:fldCharType="separate"/>
        </w:r>
        <w:r w:rsidR="00FC67EE">
          <w:rPr>
            <w:webHidden/>
            <w:szCs w:val="20"/>
          </w:rPr>
          <w:t>22</w:t>
        </w:r>
        <w:r w:rsidRPr="00C04EFD">
          <w:rPr>
            <w:webHidden/>
            <w:szCs w:val="20"/>
          </w:rPr>
          <w:fldChar w:fldCharType="end"/>
        </w:r>
      </w:hyperlink>
    </w:p>
    <w:p w14:paraId="2100A381" w14:textId="6908CA8A"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26" w:history="1">
        <w:r w:rsidRPr="00C04EFD">
          <w:rPr>
            <w:rStyle w:val="Hyperlink"/>
            <w:szCs w:val="20"/>
          </w:rPr>
          <w:t>Annexe 8: Program Logic</w:t>
        </w:r>
        <w:r w:rsidRPr="00C04EFD">
          <w:rPr>
            <w:webHidden/>
            <w:szCs w:val="20"/>
          </w:rPr>
          <w:tab/>
        </w:r>
        <w:r w:rsidRPr="00C04EFD">
          <w:rPr>
            <w:webHidden/>
            <w:szCs w:val="20"/>
          </w:rPr>
          <w:fldChar w:fldCharType="begin"/>
        </w:r>
        <w:r w:rsidRPr="00C04EFD">
          <w:rPr>
            <w:webHidden/>
            <w:szCs w:val="20"/>
          </w:rPr>
          <w:instrText xml:space="preserve"> PAGEREF _Toc207206826 \h </w:instrText>
        </w:r>
        <w:r w:rsidRPr="00C04EFD">
          <w:rPr>
            <w:webHidden/>
            <w:szCs w:val="20"/>
          </w:rPr>
        </w:r>
        <w:r w:rsidRPr="00C04EFD">
          <w:rPr>
            <w:webHidden/>
            <w:szCs w:val="20"/>
          </w:rPr>
          <w:fldChar w:fldCharType="separate"/>
        </w:r>
        <w:r w:rsidR="00FC67EE">
          <w:rPr>
            <w:webHidden/>
            <w:szCs w:val="20"/>
          </w:rPr>
          <w:t>27</w:t>
        </w:r>
        <w:r w:rsidRPr="00C04EFD">
          <w:rPr>
            <w:webHidden/>
            <w:szCs w:val="20"/>
          </w:rPr>
          <w:fldChar w:fldCharType="end"/>
        </w:r>
      </w:hyperlink>
    </w:p>
    <w:p w14:paraId="308D5C6A" w14:textId="1F275C74"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27" w:history="1">
        <w:r w:rsidRPr="00C04EFD">
          <w:rPr>
            <w:rStyle w:val="Hyperlink"/>
            <w:szCs w:val="20"/>
          </w:rPr>
          <w:t>Annexe 9: Combatting IUU Fishing</w:t>
        </w:r>
        <w:r w:rsidRPr="00C04EFD">
          <w:rPr>
            <w:webHidden/>
            <w:szCs w:val="20"/>
          </w:rPr>
          <w:tab/>
        </w:r>
        <w:r w:rsidRPr="00C04EFD">
          <w:rPr>
            <w:webHidden/>
            <w:szCs w:val="20"/>
          </w:rPr>
          <w:fldChar w:fldCharType="begin"/>
        </w:r>
        <w:r w:rsidRPr="00C04EFD">
          <w:rPr>
            <w:webHidden/>
            <w:szCs w:val="20"/>
          </w:rPr>
          <w:instrText xml:space="preserve"> PAGEREF _Toc207206827 \h </w:instrText>
        </w:r>
        <w:r w:rsidRPr="00C04EFD">
          <w:rPr>
            <w:webHidden/>
            <w:szCs w:val="20"/>
          </w:rPr>
        </w:r>
        <w:r w:rsidRPr="00C04EFD">
          <w:rPr>
            <w:webHidden/>
            <w:szCs w:val="20"/>
          </w:rPr>
          <w:fldChar w:fldCharType="separate"/>
        </w:r>
        <w:r w:rsidR="00FC67EE">
          <w:rPr>
            <w:webHidden/>
            <w:szCs w:val="20"/>
          </w:rPr>
          <w:t>28</w:t>
        </w:r>
        <w:r w:rsidRPr="00C04EFD">
          <w:rPr>
            <w:webHidden/>
            <w:szCs w:val="20"/>
          </w:rPr>
          <w:fldChar w:fldCharType="end"/>
        </w:r>
      </w:hyperlink>
    </w:p>
    <w:p w14:paraId="3A1F0C19" w14:textId="181CB861"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28" w:history="1">
        <w:r w:rsidRPr="00C04EFD">
          <w:rPr>
            <w:rStyle w:val="Hyperlink"/>
            <w:szCs w:val="20"/>
          </w:rPr>
          <w:t>Annexe 10: Maritime Boundary Activities</w:t>
        </w:r>
        <w:r w:rsidRPr="00C04EFD">
          <w:rPr>
            <w:webHidden/>
            <w:szCs w:val="20"/>
          </w:rPr>
          <w:tab/>
        </w:r>
        <w:r w:rsidRPr="00C04EFD">
          <w:rPr>
            <w:webHidden/>
            <w:szCs w:val="20"/>
          </w:rPr>
          <w:fldChar w:fldCharType="begin"/>
        </w:r>
        <w:r w:rsidRPr="00C04EFD">
          <w:rPr>
            <w:webHidden/>
            <w:szCs w:val="20"/>
          </w:rPr>
          <w:instrText xml:space="preserve"> PAGEREF _Toc207206828 \h </w:instrText>
        </w:r>
        <w:r w:rsidRPr="00C04EFD">
          <w:rPr>
            <w:webHidden/>
            <w:szCs w:val="20"/>
          </w:rPr>
        </w:r>
        <w:r w:rsidRPr="00C04EFD">
          <w:rPr>
            <w:webHidden/>
            <w:szCs w:val="20"/>
          </w:rPr>
          <w:fldChar w:fldCharType="separate"/>
        </w:r>
        <w:r w:rsidR="00FC67EE">
          <w:rPr>
            <w:webHidden/>
            <w:szCs w:val="20"/>
          </w:rPr>
          <w:t>31</w:t>
        </w:r>
        <w:r w:rsidRPr="00C04EFD">
          <w:rPr>
            <w:webHidden/>
            <w:szCs w:val="20"/>
          </w:rPr>
          <w:fldChar w:fldCharType="end"/>
        </w:r>
      </w:hyperlink>
    </w:p>
    <w:p w14:paraId="542000C2" w14:textId="6B4DABA6"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29" w:history="1">
        <w:r w:rsidRPr="00C04EFD">
          <w:rPr>
            <w:rStyle w:val="Hyperlink"/>
            <w:szCs w:val="20"/>
          </w:rPr>
          <w:t>Annexe 11: Gender Equality Outcomes</w:t>
        </w:r>
        <w:r w:rsidRPr="00C04EFD">
          <w:rPr>
            <w:webHidden/>
            <w:szCs w:val="20"/>
          </w:rPr>
          <w:tab/>
        </w:r>
        <w:r w:rsidRPr="00C04EFD">
          <w:rPr>
            <w:webHidden/>
            <w:szCs w:val="20"/>
          </w:rPr>
          <w:fldChar w:fldCharType="begin"/>
        </w:r>
        <w:r w:rsidRPr="00C04EFD">
          <w:rPr>
            <w:webHidden/>
            <w:szCs w:val="20"/>
          </w:rPr>
          <w:instrText xml:space="preserve"> PAGEREF _Toc207206829 \h </w:instrText>
        </w:r>
        <w:r w:rsidRPr="00C04EFD">
          <w:rPr>
            <w:webHidden/>
            <w:szCs w:val="20"/>
          </w:rPr>
        </w:r>
        <w:r w:rsidRPr="00C04EFD">
          <w:rPr>
            <w:webHidden/>
            <w:szCs w:val="20"/>
          </w:rPr>
          <w:fldChar w:fldCharType="separate"/>
        </w:r>
        <w:r w:rsidR="00FC67EE">
          <w:rPr>
            <w:webHidden/>
            <w:szCs w:val="20"/>
          </w:rPr>
          <w:t>33</w:t>
        </w:r>
        <w:r w:rsidRPr="00C04EFD">
          <w:rPr>
            <w:webHidden/>
            <w:szCs w:val="20"/>
          </w:rPr>
          <w:fldChar w:fldCharType="end"/>
        </w:r>
      </w:hyperlink>
    </w:p>
    <w:p w14:paraId="6AC9FEF8" w14:textId="3F521E88"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30" w:history="1">
        <w:r w:rsidRPr="00C04EFD">
          <w:rPr>
            <w:rStyle w:val="Hyperlink"/>
            <w:szCs w:val="20"/>
          </w:rPr>
          <w:t>Annexe 12: Examples of activities to address climate change</w:t>
        </w:r>
        <w:r w:rsidRPr="00C04EFD">
          <w:rPr>
            <w:webHidden/>
            <w:szCs w:val="20"/>
          </w:rPr>
          <w:tab/>
        </w:r>
        <w:r w:rsidRPr="00C04EFD">
          <w:rPr>
            <w:webHidden/>
            <w:szCs w:val="20"/>
          </w:rPr>
          <w:fldChar w:fldCharType="begin"/>
        </w:r>
        <w:r w:rsidRPr="00C04EFD">
          <w:rPr>
            <w:webHidden/>
            <w:szCs w:val="20"/>
          </w:rPr>
          <w:instrText xml:space="preserve"> PAGEREF _Toc207206830 \h </w:instrText>
        </w:r>
        <w:r w:rsidRPr="00C04EFD">
          <w:rPr>
            <w:webHidden/>
            <w:szCs w:val="20"/>
          </w:rPr>
        </w:r>
        <w:r w:rsidRPr="00C04EFD">
          <w:rPr>
            <w:webHidden/>
            <w:szCs w:val="20"/>
          </w:rPr>
          <w:fldChar w:fldCharType="separate"/>
        </w:r>
        <w:r w:rsidR="00FC67EE">
          <w:rPr>
            <w:webHidden/>
            <w:szCs w:val="20"/>
          </w:rPr>
          <w:t>36</w:t>
        </w:r>
        <w:r w:rsidRPr="00C04EFD">
          <w:rPr>
            <w:webHidden/>
            <w:szCs w:val="20"/>
          </w:rPr>
          <w:fldChar w:fldCharType="end"/>
        </w:r>
      </w:hyperlink>
    </w:p>
    <w:p w14:paraId="624770E5" w14:textId="1DA16A09"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31" w:history="1">
        <w:r w:rsidRPr="00C04EFD">
          <w:rPr>
            <w:rStyle w:val="Hyperlink"/>
            <w:szCs w:val="20"/>
          </w:rPr>
          <w:t>Annexe 13: Terms of Reference</w:t>
        </w:r>
        <w:r w:rsidRPr="00C04EFD">
          <w:rPr>
            <w:webHidden/>
            <w:szCs w:val="20"/>
          </w:rPr>
          <w:tab/>
        </w:r>
        <w:r w:rsidRPr="00C04EFD">
          <w:rPr>
            <w:webHidden/>
            <w:szCs w:val="20"/>
          </w:rPr>
          <w:fldChar w:fldCharType="begin"/>
        </w:r>
        <w:r w:rsidRPr="00C04EFD">
          <w:rPr>
            <w:webHidden/>
            <w:szCs w:val="20"/>
          </w:rPr>
          <w:instrText xml:space="preserve"> PAGEREF _Toc207206831 \h </w:instrText>
        </w:r>
        <w:r w:rsidRPr="00C04EFD">
          <w:rPr>
            <w:webHidden/>
            <w:szCs w:val="20"/>
          </w:rPr>
        </w:r>
        <w:r w:rsidRPr="00C04EFD">
          <w:rPr>
            <w:webHidden/>
            <w:szCs w:val="20"/>
          </w:rPr>
          <w:fldChar w:fldCharType="separate"/>
        </w:r>
        <w:r w:rsidR="00FC67EE">
          <w:rPr>
            <w:webHidden/>
            <w:szCs w:val="20"/>
          </w:rPr>
          <w:t>38</w:t>
        </w:r>
        <w:r w:rsidRPr="00C04EFD">
          <w:rPr>
            <w:webHidden/>
            <w:szCs w:val="20"/>
          </w:rPr>
          <w:fldChar w:fldCharType="end"/>
        </w:r>
      </w:hyperlink>
    </w:p>
    <w:p w14:paraId="69C2E452" w14:textId="0E00B969" w:rsidR="00BF5D9A" w:rsidRPr="00C04EFD" w:rsidRDefault="00BF5D9A" w:rsidP="00A62E0E">
      <w:pPr>
        <w:pStyle w:val="TOC2"/>
        <w:spacing w:before="0" w:line="360" w:lineRule="auto"/>
        <w:rPr>
          <w:rFonts w:eastAsiaTheme="minorEastAsia" w:cstheme="minorBidi"/>
          <w:color w:val="auto"/>
          <w:kern w:val="2"/>
          <w:szCs w:val="20"/>
          <w:lang w:val="en-AU" w:eastAsia="zh-CN"/>
          <w14:ligatures w14:val="standardContextual"/>
        </w:rPr>
      </w:pPr>
      <w:hyperlink w:anchor="_Toc207206832" w:history="1">
        <w:r w:rsidRPr="00C04EFD">
          <w:rPr>
            <w:rStyle w:val="Hyperlink"/>
            <w:szCs w:val="20"/>
          </w:rPr>
          <w:t>Annexe 14: Evaluation Plan</w:t>
        </w:r>
        <w:r w:rsidRPr="00C04EFD">
          <w:rPr>
            <w:webHidden/>
            <w:szCs w:val="20"/>
          </w:rPr>
          <w:tab/>
        </w:r>
        <w:r w:rsidRPr="00C04EFD">
          <w:rPr>
            <w:webHidden/>
            <w:szCs w:val="20"/>
          </w:rPr>
          <w:fldChar w:fldCharType="begin"/>
        </w:r>
        <w:r w:rsidRPr="00C04EFD">
          <w:rPr>
            <w:webHidden/>
            <w:szCs w:val="20"/>
          </w:rPr>
          <w:instrText xml:space="preserve"> PAGEREF _Toc207206832 \h </w:instrText>
        </w:r>
        <w:r w:rsidRPr="00C04EFD">
          <w:rPr>
            <w:webHidden/>
            <w:szCs w:val="20"/>
          </w:rPr>
        </w:r>
        <w:r w:rsidRPr="00C04EFD">
          <w:rPr>
            <w:webHidden/>
            <w:szCs w:val="20"/>
          </w:rPr>
          <w:fldChar w:fldCharType="separate"/>
        </w:r>
        <w:r w:rsidR="00FC67EE">
          <w:rPr>
            <w:webHidden/>
            <w:szCs w:val="20"/>
          </w:rPr>
          <w:t>44</w:t>
        </w:r>
        <w:r w:rsidRPr="00C04EFD">
          <w:rPr>
            <w:webHidden/>
            <w:szCs w:val="20"/>
          </w:rPr>
          <w:fldChar w:fldCharType="end"/>
        </w:r>
      </w:hyperlink>
    </w:p>
    <w:p w14:paraId="4EE32EEC" w14:textId="37AB4008" w:rsidR="0023699D" w:rsidRPr="004D03A9" w:rsidRDefault="003219A6" w:rsidP="004D03A9">
      <w:pPr>
        <w:pStyle w:val="Heading3"/>
        <w:rPr>
          <w:rStyle w:val="MajorHeading"/>
          <w:rFonts w:asciiTheme="majorHAnsi" w:hAnsiTheme="majorHAnsi"/>
          <w:sz w:val="20"/>
          <w:szCs w:val="20"/>
        </w:rPr>
      </w:pPr>
      <w:r w:rsidRPr="00C04EFD">
        <w:rPr>
          <w:rStyle w:val="MajorHeading"/>
          <w:sz w:val="20"/>
          <w:szCs w:val="20"/>
        </w:rPr>
        <w:fldChar w:fldCharType="end"/>
      </w:r>
      <w:r w:rsidR="009B600F" w:rsidRPr="00C04EFD">
        <w:rPr>
          <w:rStyle w:val="Heading"/>
          <w:rFonts w:asciiTheme="majorHAnsi" w:hAnsiTheme="majorHAnsi" w:cstheme="majorBidi"/>
          <w:color w:val="2F5496" w:themeColor="accent1" w:themeShade="BF"/>
          <w:sz w:val="20"/>
          <w:szCs w:val="20"/>
        </w:rPr>
        <w:br w:type="page"/>
      </w:r>
      <w:r w:rsidR="0023699D" w:rsidRPr="004D03A9">
        <w:rPr>
          <w:rStyle w:val="MajorHeading"/>
        </w:rPr>
        <w:lastRenderedPageBreak/>
        <w:t>Acronyms</w:t>
      </w:r>
    </w:p>
    <w:p w14:paraId="226C5896" w14:textId="77777777" w:rsidR="009339A6" w:rsidRPr="009339A6" w:rsidRDefault="009339A6" w:rsidP="009339A6"/>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316"/>
      </w:tblGrid>
      <w:tr w:rsidR="00FA6823" w:rsidRPr="00C52048" w14:paraId="5A9C9258" w14:textId="77777777" w:rsidTr="003B0CC8">
        <w:tc>
          <w:tcPr>
            <w:tcW w:w="2694" w:type="dxa"/>
          </w:tcPr>
          <w:p w14:paraId="1D36A011" w14:textId="484CC684" w:rsidR="00FA6823" w:rsidRPr="00C52048" w:rsidRDefault="001B6674"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ACIAR</w:t>
            </w:r>
          </w:p>
        </w:tc>
        <w:tc>
          <w:tcPr>
            <w:tcW w:w="6316" w:type="dxa"/>
          </w:tcPr>
          <w:p w14:paraId="53A77767" w14:textId="6CF74083" w:rsidR="00FA6823" w:rsidRPr="00C52048" w:rsidRDefault="0087054C" w:rsidP="00D41C65">
            <w:pPr>
              <w:rPr>
                <w:rStyle w:val="Heading"/>
                <w:rFonts w:ascii="Calibri Light" w:hAnsi="Calibri Light" w:cs="Calibri Light"/>
                <w:sz w:val="22"/>
                <w:szCs w:val="22"/>
              </w:rPr>
            </w:pPr>
            <w:r w:rsidRPr="00D41C65">
              <w:rPr>
                <w:rFonts w:cs="Calibri Light"/>
              </w:rPr>
              <w:t>Australian Centre for International Agricultural Research</w:t>
            </w:r>
          </w:p>
        </w:tc>
      </w:tr>
      <w:tr w:rsidR="00D96DF6" w:rsidRPr="00C52048" w14:paraId="4CEE39EE" w14:textId="77777777" w:rsidTr="003B0CC8">
        <w:tc>
          <w:tcPr>
            <w:tcW w:w="2694" w:type="dxa"/>
          </w:tcPr>
          <w:p w14:paraId="4A16BD42" w14:textId="2E89010B" w:rsidR="00D96DF6" w:rsidRPr="00C52048" w:rsidRDefault="00D96DF6"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AFMA</w:t>
            </w:r>
          </w:p>
        </w:tc>
        <w:tc>
          <w:tcPr>
            <w:tcW w:w="6316" w:type="dxa"/>
          </w:tcPr>
          <w:p w14:paraId="65677487" w14:textId="58F9C515" w:rsidR="00D96DF6" w:rsidRPr="00C52048" w:rsidRDefault="00D96DF6" w:rsidP="00D41C65">
            <w:pPr>
              <w:rPr>
                <w:rFonts w:cs="Calibri Light"/>
              </w:rPr>
            </w:pPr>
            <w:r w:rsidRPr="00C52048">
              <w:rPr>
                <w:rFonts w:cs="Calibri Light"/>
              </w:rPr>
              <w:t>Australian Fisheries Management Authority</w:t>
            </w:r>
          </w:p>
        </w:tc>
      </w:tr>
      <w:tr w:rsidR="00D96DF6" w:rsidRPr="00C52048" w14:paraId="1BB74ADB" w14:textId="77777777" w:rsidTr="003B0CC8">
        <w:tc>
          <w:tcPr>
            <w:tcW w:w="2694" w:type="dxa"/>
          </w:tcPr>
          <w:p w14:paraId="6A3145F6" w14:textId="615A418D" w:rsidR="00D96DF6" w:rsidRPr="00C52048" w:rsidRDefault="00D96DF6"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AG</w:t>
            </w:r>
            <w:r w:rsidR="00190816" w:rsidRPr="00C52048">
              <w:rPr>
                <w:rStyle w:val="Heading"/>
                <w:rFonts w:ascii="Calibri Light" w:hAnsi="Calibri Light" w:cs="Calibri Light"/>
                <w:sz w:val="22"/>
                <w:szCs w:val="22"/>
              </w:rPr>
              <w:t>D</w:t>
            </w:r>
          </w:p>
        </w:tc>
        <w:tc>
          <w:tcPr>
            <w:tcW w:w="6316" w:type="dxa"/>
          </w:tcPr>
          <w:p w14:paraId="7F55DAC9" w14:textId="333F209C" w:rsidR="00D96DF6" w:rsidRPr="00C52048" w:rsidRDefault="00190816" w:rsidP="00D41C65">
            <w:pPr>
              <w:rPr>
                <w:rFonts w:eastAsia="Calibri" w:cs="Calibri Light"/>
              </w:rPr>
            </w:pPr>
            <w:r w:rsidRPr="00D41C65">
              <w:rPr>
                <w:rFonts w:cs="Calibri Light"/>
              </w:rPr>
              <w:t>Attorney-General's Department, Australia</w:t>
            </w:r>
          </w:p>
        </w:tc>
      </w:tr>
      <w:tr w:rsidR="00D96DF6" w:rsidRPr="00C52048" w14:paraId="69004702" w14:textId="77777777" w:rsidTr="003B0CC8">
        <w:tc>
          <w:tcPr>
            <w:tcW w:w="2694" w:type="dxa"/>
          </w:tcPr>
          <w:p w14:paraId="43A71156" w14:textId="033A61CE" w:rsidR="00D96DF6" w:rsidRPr="00C52048" w:rsidRDefault="00D96DF6"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ANCORS</w:t>
            </w:r>
          </w:p>
        </w:tc>
        <w:tc>
          <w:tcPr>
            <w:tcW w:w="6316" w:type="dxa"/>
          </w:tcPr>
          <w:p w14:paraId="7B50E223" w14:textId="41DA4DB8" w:rsidR="00D96DF6" w:rsidRPr="00C52048" w:rsidRDefault="00D96DF6" w:rsidP="00D41C65">
            <w:pPr>
              <w:rPr>
                <w:rStyle w:val="Heading"/>
                <w:rFonts w:ascii="Calibri Light" w:hAnsi="Calibri Light" w:cs="Calibri Light"/>
                <w:sz w:val="22"/>
                <w:szCs w:val="22"/>
              </w:rPr>
            </w:pPr>
            <w:r w:rsidRPr="00D41C65">
              <w:rPr>
                <w:rStyle w:val="Emphasis"/>
                <w:rFonts w:eastAsiaTheme="minorEastAsia" w:cs="Calibri Light"/>
                <w:i w:val="0"/>
                <w:iCs w:val="0"/>
              </w:rPr>
              <w:t>Australian National Centre for Ocean Resources and Security</w:t>
            </w:r>
          </w:p>
        </w:tc>
      </w:tr>
      <w:tr w:rsidR="00D96DF6" w:rsidRPr="00C52048" w14:paraId="26B41E00" w14:textId="77777777" w:rsidTr="003B0CC8">
        <w:tc>
          <w:tcPr>
            <w:tcW w:w="2694" w:type="dxa"/>
          </w:tcPr>
          <w:p w14:paraId="266034D9" w14:textId="32814790" w:rsidR="00D96DF6" w:rsidRPr="00C52048" w:rsidRDefault="00D96DF6"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CBFM</w:t>
            </w:r>
          </w:p>
        </w:tc>
        <w:tc>
          <w:tcPr>
            <w:tcW w:w="6316" w:type="dxa"/>
          </w:tcPr>
          <w:p w14:paraId="53D82945" w14:textId="595D994C" w:rsidR="00D96DF6" w:rsidRPr="00C52048" w:rsidRDefault="00D96DF6" w:rsidP="00D41C65">
            <w:pPr>
              <w:rPr>
                <w:rStyle w:val="Heading"/>
                <w:rFonts w:ascii="Calibri Light" w:hAnsi="Calibri Light" w:cs="Calibri Light"/>
                <w:sz w:val="22"/>
                <w:szCs w:val="22"/>
              </w:rPr>
            </w:pPr>
            <w:r w:rsidRPr="00D41C65">
              <w:rPr>
                <w:rFonts w:cs="Calibri Light"/>
              </w:rPr>
              <w:t>Community-Based Fisheries Management</w:t>
            </w:r>
          </w:p>
        </w:tc>
      </w:tr>
      <w:tr w:rsidR="00BD00A3" w:rsidRPr="00C52048" w14:paraId="2EC3B8F1" w14:textId="77777777" w:rsidTr="003B0CC8">
        <w:tc>
          <w:tcPr>
            <w:tcW w:w="2694" w:type="dxa"/>
          </w:tcPr>
          <w:p w14:paraId="627333DC" w14:textId="44C9FA93" w:rsidR="00BD00A3" w:rsidRPr="00C52048" w:rsidRDefault="00797A89" w:rsidP="00D41C65">
            <w:pPr>
              <w:rPr>
                <w:rStyle w:val="Heading"/>
                <w:rFonts w:ascii="Calibri Light" w:hAnsi="Calibri Light" w:cs="Calibri Light"/>
                <w:sz w:val="22"/>
                <w:szCs w:val="22"/>
              </w:rPr>
            </w:pPr>
            <w:r w:rsidRPr="00C52048">
              <w:rPr>
                <w:rFonts w:cs="Calibri Light"/>
              </w:rPr>
              <w:t>CMMs</w:t>
            </w:r>
          </w:p>
        </w:tc>
        <w:tc>
          <w:tcPr>
            <w:tcW w:w="6316" w:type="dxa"/>
          </w:tcPr>
          <w:p w14:paraId="78995E4D" w14:textId="139EBB90" w:rsidR="00BD00A3" w:rsidRPr="00C52048" w:rsidRDefault="00BD00A3" w:rsidP="00D41C65">
            <w:pPr>
              <w:rPr>
                <w:rStyle w:val="Heading"/>
                <w:rFonts w:ascii="Calibri Light" w:hAnsi="Calibri Light" w:cs="Calibri Light"/>
                <w:sz w:val="22"/>
                <w:szCs w:val="22"/>
              </w:rPr>
            </w:pPr>
            <w:r w:rsidRPr="00D41C65">
              <w:rPr>
                <w:rFonts w:cs="Calibri Light"/>
              </w:rPr>
              <w:t xml:space="preserve">Conservation and Management Measures </w:t>
            </w:r>
          </w:p>
        </w:tc>
      </w:tr>
      <w:tr w:rsidR="00FF64FA" w:rsidRPr="00C52048" w14:paraId="2724E4A3" w14:textId="77777777" w:rsidTr="003B0CC8">
        <w:tc>
          <w:tcPr>
            <w:tcW w:w="2694" w:type="dxa"/>
          </w:tcPr>
          <w:p w14:paraId="1C216921" w14:textId="5E92CCA1" w:rsidR="00FF64FA" w:rsidRPr="00C52048" w:rsidRDefault="00FF64FA"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CPA</w:t>
            </w:r>
          </w:p>
        </w:tc>
        <w:tc>
          <w:tcPr>
            <w:tcW w:w="6316" w:type="dxa"/>
          </w:tcPr>
          <w:p w14:paraId="48CACCF0" w14:textId="5BD3574D" w:rsidR="00FF64FA" w:rsidRPr="00D41C65" w:rsidRDefault="00FF64FA" w:rsidP="00D41C65">
            <w:pPr>
              <w:rPr>
                <w:rStyle w:val="wtbs9"/>
                <w:rFonts w:eastAsiaTheme="minorEastAsia" w:cs="Calibri Light"/>
              </w:rPr>
            </w:pPr>
            <w:r w:rsidRPr="00D41C65">
              <w:rPr>
                <w:rStyle w:val="wtbs9"/>
                <w:rFonts w:eastAsiaTheme="minorEastAsia" w:cs="Calibri Light"/>
              </w:rPr>
              <w:t>Country Partnership Agreements</w:t>
            </w:r>
          </w:p>
        </w:tc>
      </w:tr>
      <w:tr w:rsidR="00797A89" w:rsidRPr="00C52048" w14:paraId="0AA3DBAD" w14:textId="77777777" w:rsidTr="003B0CC8">
        <w:tc>
          <w:tcPr>
            <w:tcW w:w="2694" w:type="dxa"/>
          </w:tcPr>
          <w:p w14:paraId="6CC92FE7" w14:textId="2698A576" w:rsidR="00797A89" w:rsidRPr="00C52048" w:rsidRDefault="00797A8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CSIRO</w:t>
            </w:r>
          </w:p>
        </w:tc>
        <w:tc>
          <w:tcPr>
            <w:tcW w:w="6316" w:type="dxa"/>
          </w:tcPr>
          <w:p w14:paraId="7D3F90D3" w14:textId="491076A2" w:rsidR="00797A89" w:rsidRPr="00C52048" w:rsidRDefault="00797A89" w:rsidP="00D41C65">
            <w:pPr>
              <w:rPr>
                <w:rStyle w:val="Heading"/>
                <w:rFonts w:ascii="Calibri Light" w:hAnsi="Calibri Light" w:cs="Calibri Light"/>
                <w:sz w:val="22"/>
                <w:szCs w:val="22"/>
              </w:rPr>
            </w:pPr>
            <w:r w:rsidRPr="00D41C65">
              <w:rPr>
                <w:rStyle w:val="wtbs9"/>
                <w:rFonts w:eastAsiaTheme="minorEastAsia" w:cs="Calibri Light"/>
              </w:rPr>
              <w:t>Commonwealth Scientific and Industrial Research Organisation</w:t>
            </w:r>
          </w:p>
        </w:tc>
      </w:tr>
      <w:tr w:rsidR="00797A89" w:rsidRPr="00C52048" w14:paraId="1D5B1C17" w14:textId="77777777" w:rsidTr="003B0CC8">
        <w:tc>
          <w:tcPr>
            <w:tcW w:w="2694" w:type="dxa"/>
          </w:tcPr>
          <w:p w14:paraId="4AE16658" w14:textId="0A9D8C91" w:rsidR="00797A89" w:rsidRPr="00C52048" w:rsidRDefault="00797A8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CSOs</w:t>
            </w:r>
          </w:p>
        </w:tc>
        <w:tc>
          <w:tcPr>
            <w:tcW w:w="6316" w:type="dxa"/>
          </w:tcPr>
          <w:p w14:paraId="442011E3" w14:textId="12247BED" w:rsidR="00797A89" w:rsidRPr="00C52048" w:rsidRDefault="00797A8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Civil Society Organisations</w:t>
            </w:r>
          </w:p>
        </w:tc>
      </w:tr>
      <w:tr w:rsidR="00797A89" w:rsidRPr="00C52048" w14:paraId="65D9918B" w14:textId="77777777" w:rsidTr="003B0CC8">
        <w:tc>
          <w:tcPr>
            <w:tcW w:w="2694" w:type="dxa"/>
          </w:tcPr>
          <w:p w14:paraId="4B51640A" w14:textId="2331A78C" w:rsidR="00797A89" w:rsidRPr="00C52048" w:rsidRDefault="00797A8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D</w:t>
            </w:r>
            <w:r w:rsidRPr="00C52048">
              <w:rPr>
                <w:rStyle w:val="Heading"/>
                <w:rFonts w:ascii="Calibri Light" w:hAnsi="Calibri Light" w:cs="Calibri Light"/>
                <w:sz w:val="22"/>
                <w:szCs w:val="22"/>
              </w:rPr>
              <w:t>AFF</w:t>
            </w:r>
          </w:p>
        </w:tc>
        <w:tc>
          <w:tcPr>
            <w:tcW w:w="6316" w:type="dxa"/>
          </w:tcPr>
          <w:p w14:paraId="0C77AAA1" w14:textId="652F6DE8" w:rsidR="00797A89" w:rsidRPr="00C52048" w:rsidRDefault="00797A8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 xml:space="preserve">Department of Agriculture, Fisheries and Forestry </w:t>
            </w:r>
          </w:p>
        </w:tc>
      </w:tr>
      <w:tr w:rsidR="00797A89" w:rsidRPr="00C52048" w14:paraId="3C94A576" w14:textId="77777777" w:rsidTr="003B0CC8">
        <w:tc>
          <w:tcPr>
            <w:tcW w:w="2694" w:type="dxa"/>
          </w:tcPr>
          <w:p w14:paraId="66B15E08" w14:textId="02EFEE01" w:rsidR="00797A89" w:rsidRPr="00C52048" w:rsidRDefault="00797A8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DFAT</w:t>
            </w:r>
          </w:p>
        </w:tc>
        <w:tc>
          <w:tcPr>
            <w:tcW w:w="6316" w:type="dxa"/>
          </w:tcPr>
          <w:p w14:paraId="3D713F42" w14:textId="46F32D40" w:rsidR="00797A89" w:rsidRPr="00C52048" w:rsidRDefault="00797A8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Department of Foreign Affairs and Trade</w:t>
            </w:r>
          </w:p>
        </w:tc>
      </w:tr>
      <w:tr w:rsidR="00F41ECA" w:rsidRPr="00C52048" w14:paraId="1946610F" w14:textId="77777777" w:rsidTr="003B0CC8">
        <w:tc>
          <w:tcPr>
            <w:tcW w:w="2694" w:type="dxa"/>
          </w:tcPr>
          <w:p w14:paraId="022157E2" w14:textId="31183725" w:rsidR="00F41ECA" w:rsidRPr="00C52048" w:rsidRDefault="00F41ECA"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EEZ</w:t>
            </w:r>
          </w:p>
        </w:tc>
        <w:tc>
          <w:tcPr>
            <w:tcW w:w="6316" w:type="dxa"/>
          </w:tcPr>
          <w:p w14:paraId="54353BDD" w14:textId="0B39E9B3" w:rsidR="00F41ECA" w:rsidRPr="00C52048" w:rsidRDefault="004E0E1A"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Exclusive Economic Zone</w:t>
            </w:r>
          </w:p>
        </w:tc>
      </w:tr>
      <w:tr w:rsidR="00797A89" w:rsidRPr="00C52048" w14:paraId="08403485" w14:textId="77777777" w:rsidTr="003B0CC8">
        <w:tc>
          <w:tcPr>
            <w:tcW w:w="2694" w:type="dxa"/>
          </w:tcPr>
          <w:p w14:paraId="3B95138E" w14:textId="10B51BBF" w:rsidR="00797A89" w:rsidRPr="00C52048" w:rsidRDefault="005075E9" w:rsidP="00D41C65">
            <w:pPr>
              <w:rPr>
                <w:rStyle w:val="Heading"/>
                <w:rFonts w:ascii="Calibri Light" w:hAnsi="Calibri Light" w:cs="Calibri Light"/>
                <w:sz w:val="22"/>
                <w:szCs w:val="22"/>
                <w:lang w:val="en-GB"/>
              </w:rPr>
            </w:pPr>
            <w:proofErr w:type="spellStart"/>
            <w:r w:rsidRPr="00C52048">
              <w:rPr>
                <w:rStyle w:val="Heading"/>
                <w:rFonts w:ascii="Calibri Light" w:hAnsi="Calibri Light" w:cs="Calibri Light"/>
                <w:sz w:val="22"/>
                <w:szCs w:val="22"/>
                <w:lang w:val="en-GB"/>
              </w:rPr>
              <w:t>ENBi</w:t>
            </w:r>
            <w:proofErr w:type="spellEnd"/>
          </w:p>
        </w:tc>
        <w:tc>
          <w:tcPr>
            <w:tcW w:w="6316" w:type="dxa"/>
          </w:tcPr>
          <w:p w14:paraId="611BF2D8" w14:textId="24097B55" w:rsidR="00797A89" w:rsidRPr="00C52048" w:rsidRDefault="005075E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East New Britain initiative</w:t>
            </w:r>
          </w:p>
        </w:tc>
      </w:tr>
      <w:tr w:rsidR="00797A89" w:rsidRPr="00C52048" w14:paraId="4A7149A0" w14:textId="77777777" w:rsidTr="003B0CC8">
        <w:tc>
          <w:tcPr>
            <w:tcW w:w="2694" w:type="dxa"/>
          </w:tcPr>
          <w:p w14:paraId="594E2C4F" w14:textId="35577AD4" w:rsidR="00797A89" w:rsidRPr="00C52048" w:rsidRDefault="00797A89" w:rsidP="00D41C65">
            <w:pPr>
              <w:rPr>
                <w:rStyle w:val="Heading"/>
                <w:rFonts w:ascii="Calibri Light" w:hAnsi="Calibri Light" w:cs="Calibri Light"/>
                <w:sz w:val="22"/>
                <w:szCs w:val="22"/>
              </w:rPr>
            </w:pPr>
            <w:proofErr w:type="spellStart"/>
            <w:r w:rsidRPr="00C52048">
              <w:rPr>
                <w:rStyle w:val="Heading"/>
                <w:rFonts w:ascii="Calibri Light" w:hAnsi="Calibri Light" w:cs="Calibri Light"/>
                <w:sz w:val="22"/>
                <w:szCs w:val="22"/>
              </w:rPr>
              <w:t>EoPOs</w:t>
            </w:r>
            <w:proofErr w:type="spellEnd"/>
          </w:p>
        </w:tc>
        <w:tc>
          <w:tcPr>
            <w:tcW w:w="6316" w:type="dxa"/>
          </w:tcPr>
          <w:p w14:paraId="2706C99D" w14:textId="6F4DC38B" w:rsidR="00797A89" w:rsidRPr="00C52048" w:rsidRDefault="00797A8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End of Program Outcomes</w:t>
            </w:r>
          </w:p>
        </w:tc>
      </w:tr>
      <w:tr w:rsidR="00797A89" w:rsidRPr="00C52048" w14:paraId="36C8C06B" w14:textId="77777777" w:rsidTr="003B0CC8">
        <w:tc>
          <w:tcPr>
            <w:tcW w:w="2694" w:type="dxa"/>
          </w:tcPr>
          <w:p w14:paraId="222B82F2" w14:textId="5B0A481B" w:rsidR="00797A89" w:rsidRPr="00C52048" w:rsidRDefault="00797A8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EQs</w:t>
            </w:r>
          </w:p>
        </w:tc>
        <w:tc>
          <w:tcPr>
            <w:tcW w:w="6316" w:type="dxa"/>
          </w:tcPr>
          <w:p w14:paraId="7A4B5354" w14:textId="549D9CFB" w:rsidR="00797A89" w:rsidRPr="00C52048" w:rsidRDefault="00797A8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Evaluation questions</w:t>
            </w:r>
          </w:p>
        </w:tc>
      </w:tr>
      <w:tr w:rsidR="00797A89" w:rsidRPr="00C52048" w14:paraId="16136C13" w14:textId="77777777" w:rsidTr="003B0CC8">
        <w:tc>
          <w:tcPr>
            <w:tcW w:w="2694" w:type="dxa"/>
          </w:tcPr>
          <w:p w14:paraId="6A29804E" w14:textId="35DCE2D4" w:rsidR="00797A89" w:rsidRPr="00C52048" w:rsidRDefault="00797A8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F</w:t>
            </w:r>
            <w:r w:rsidRPr="00C52048">
              <w:rPr>
                <w:rStyle w:val="Heading"/>
                <w:rFonts w:ascii="Calibri Light" w:hAnsi="Calibri Light" w:cs="Calibri Light"/>
                <w:sz w:val="22"/>
                <w:szCs w:val="22"/>
              </w:rPr>
              <w:t>FA</w:t>
            </w:r>
          </w:p>
        </w:tc>
        <w:tc>
          <w:tcPr>
            <w:tcW w:w="6316" w:type="dxa"/>
          </w:tcPr>
          <w:p w14:paraId="552C0D9F" w14:textId="4C49C7BF" w:rsidR="00797A89" w:rsidRPr="00C52048" w:rsidRDefault="00797A8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F</w:t>
            </w:r>
            <w:proofErr w:type="spellStart"/>
            <w:r w:rsidRPr="00C52048">
              <w:rPr>
                <w:rStyle w:val="Heading"/>
                <w:rFonts w:ascii="Calibri Light" w:hAnsi="Calibri Light" w:cs="Calibri Light"/>
                <w:sz w:val="22"/>
                <w:szCs w:val="22"/>
              </w:rPr>
              <w:t>orum</w:t>
            </w:r>
            <w:proofErr w:type="spellEnd"/>
            <w:r w:rsidRPr="00C52048">
              <w:rPr>
                <w:rStyle w:val="Heading"/>
                <w:rFonts w:ascii="Calibri Light" w:hAnsi="Calibri Light" w:cs="Calibri Light"/>
                <w:sz w:val="22"/>
                <w:szCs w:val="22"/>
              </w:rPr>
              <w:t xml:space="preserve"> Fisheries Agency</w:t>
            </w:r>
          </w:p>
        </w:tc>
      </w:tr>
      <w:tr w:rsidR="00797A89" w:rsidRPr="00C52048" w14:paraId="29ED6A99" w14:textId="77777777" w:rsidTr="003B0CC8">
        <w:tc>
          <w:tcPr>
            <w:tcW w:w="2694" w:type="dxa"/>
          </w:tcPr>
          <w:p w14:paraId="0BE33720" w14:textId="3159AF41" w:rsidR="00797A89" w:rsidRPr="00C52048" w:rsidRDefault="00797A8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FFC</w:t>
            </w:r>
          </w:p>
        </w:tc>
        <w:tc>
          <w:tcPr>
            <w:tcW w:w="6316" w:type="dxa"/>
          </w:tcPr>
          <w:p w14:paraId="26C68BC9" w14:textId="107F15C3" w:rsidR="00797A89" w:rsidRPr="00C52048" w:rsidRDefault="00797A89" w:rsidP="00D41C65">
            <w:pPr>
              <w:rPr>
                <w:rStyle w:val="Heading"/>
                <w:rFonts w:ascii="Calibri Light" w:hAnsi="Calibri Light" w:cs="Calibri Light"/>
                <w:sz w:val="22"/>
                <w:szCs w:val="22"/>
              </w:rPr>
            </w:pPr>
            <w:r w:rsidRPr="00D41C65">
              <w:rPr>
                <w:rFonts w:cs="Calibri Light"/>
              </w:rPr>
              <w:t>Forum Fisheries Committee, FFA</w:t>
            </w:r>
          </w:p>
        </w:tc>
      </w:tr>
      <w:tr w:rsidR="00797A89" w:rsidRPr="00C52048" w14:paraId="26676B6A" w14:textId="77777777" w:rsidTr="003B0CC8">
        <w:tc>
          <w:tcPr>
            <w:tcW w:w="2694" w:type="dxa"/>
          </w:tcPr>
          <w:p w14:paraId="0225CA2E" w14:textId="57577B94" w:rsidR="00797A89" w:rsidRPr="00C52048" w:rsidRDefault="00797A8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F</w:t>
            </w:r>
            <w:r w:rsidRPr="00C52048">
              <w:rPr>
                <w:rStyle w:val="Heading"/>
                <w:rFonts w:ascii="Calibri Light" w:hAnsi="Calibri Light" w:cs="Calibri Light"/>
                <w:sz w:val="22"/>
                <w:szCs w:val="22"/>
              </w:rPr>
              <w:t>IMR</w:t>
            </w:r>
          </w:p>
        </w:tc>
        <w:tc>
          <w:tcPr>
            <w:tcW w:w="6316" w:type="dxa"/>
          </w:tcPr>
          <w:p w14:paraId="7EC9FFCE" w14:textId="7E001B0A" w:rsidR="00797A89" w:rsidRPr="00C52048" w:rsidRDefault="00797A8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F</w:t>
            </w:r>
            <w:proofErr w:type="spellStart"/>
            <w:r w:rsidRPr="00C52048">
              <w:rPr>
                <w:rStyle w:val="Heading"/>
                <w:rFonts w:ascii="Calibri Light" w:hAnsi="Calibri Light" w:cs="Calibri Light"/>
                <w:sz w:val="22"/>
                <w:szCs w:val="22"/>
              </w:rPr>
              <w:t>inal</w:t>
            </w:r>
            <w:proofErr w:type="spellEnd"/>
            <w:r w:rsidRPr="00C52048">
              <w:rPr>
                <w:rStyle w:val="Heading"/>
                <w:rFonts w:ascii="Calibri Light" w:hAnsi="Calibri Light" w:cs="Calibri Light"/>
                <w:sz w:val="22"/>
                <w:szCs w:val="22"/>
              </w:rPr>
              <w:t xml:space="preserve"> Investment Monitoring Report</w:t>
            </w:r>
          </w:p>
        </w:tc>
      </w:tr>
      <w:tr w:rsidR="00797A89" w:rsidRPr="00C52048" w14:paraId="174EE23E" w14:textId="77777777" w:rsidTr="003B0CC8">
        <w:tc>
          <w:tcPr>
            <w:tcW w:w="2694" w:type="dxa"/>
          </w:tcPr>
          <w:p w14:paraId="56F52C49" w14:textId="6C0D3599" w:rsidR="00797A89" w:rsidRPr="00C52048" w:rsidRDefault="00797A8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FOC</w:t>
            </w:r>
          </w:p>
        </w:tc>
        <w:tc>
          <w:tcPr>
            <w:tcW w:w="6316" w:type="dxa"/>
          </w:tcPr>
          <w:p w14:paraId="16B0CA55" w14:textId="5E6964E3" w:rsidR="00797A89" w:rsidRPr="00D41C65" w:rsidRDefault="00797A89" w:rsidP="00D41C65">
            <w:pPr>
              <w:rPr>
                <w:rFonts w:eastAsia="Calibri" w:cs="Calibri Light"/>
                <w:color w:val="000000"/>
              </w:rPr>
            </w:pPr>
            <w:r w:rsidRPr="00C52048">
              <w:rPr>
                <w:rFonts w:cs="Calibri Light"/>
                <w:lang w:val="en-GB"/>
              </w:rPr>
              <w:t>Forum Officials Committee, PIFS</w:t>
            </w:r>
          </w:p>
        </w:tc>
      </w:tr>
      <w:tr w:rsidR="00797A89" w:rsidRPr="00C52048" w14:paraId="41FDAD45" w14:textId="77777777" w:rsidTr="003B0CC8">
        <w:tc>
          <w:tcPr>
            <w:tcW w:w="2694" w:type="dxa"/>
          </w:tcPr>
          <w:p w14:paraId="52D5A4D5" w14:textId="5F399624" w:rsidR="00797A89" w:rsidRPr="00C52048" w:rsidRDefault="00797A8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GA</w:t>
            </w:r>
          </w:p>
        </w:tc>
        <w:tc>
          <w:tcPr>
            <w:tcW w:w="6316" w:type="dxa"/>
          </w:tcPr>
          <w:p w14:paraId="69216A73" w14:textId="0E31E7E2" w:rsidR="00797A89" w:rsidRPr="00C52048" w:rsidRDefault="00797A89" w:rsidP="00D41C65">
            <w:pPr>
              <w:rPr>
                <w:rFonts w:cs="Calibri Light"/>
              </w:rPr>
            </w:pPr>
            <w:r w:rsidRPr="00C52048">
              <w:rPr>
                <w:rFonts w:cs="Calibri Light"/>
              </w:rPr>
              <w:t>Geoscience Australia</w:t>
            </w:r>
          </w:p>
        </w:tc>
      </w:tr>
      <w:tr w:rsidR="00797A89" w:rsidRPr="00C52048" w14:paraId="4076298D" w14:textId="77777777" w:rsidTr="003B0CC8">
        <w:tc>
          <w:tcPr>
            <w:tcW w:w="2694" w:type="dxa"/>
          </w:tcPr>
          <w:p w14:paraId="3CF21B61" w14:textId="5D721A7C" w:rsidR="00797A89" w:rsidRPr="00C52048" w:rsidRDefault="00797A8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HR</w:t>
            </w:r>
          </w:p>
        </w:tc>
        <w:tc>
          <w:tcPr>
            <w:tcW w:w="6316" w:type="dxa"/>
          </w:tcPr>
          <w:p w14:paraId="2F11299D" w14:textId="2B59EB90" w:rsidR="00797A89" w:rsidRPr="00C52048" w:rsidRDefault="00797A89" w:rsidP="00D41C65">
            <w:pPr>
              <w:rPr>
                <w:rFonts w:cs="Calibri Light"/>
              </w:rPr>
            </w:pPr>
            <w:r w:rsidRPr="00C52048">
              <w:rPr>
                <w:rFonts w:cs="Calibri Light"/>
              </w:rPr>
              <w:t>Human Resources</w:t>
            </w:r>
          </w:p>
        </w:tc>
      </w:tr>
      <w:tr w:rsidR="00797A89" w:rsidRPr="00C52048" w14:paraId="0FD60697" w14:textId="77777777" w:rsidTr="003B0CC8">
        <w:tc>
          <w:tcPr>
            <w:tcW w:w="2694" w:type="dxa"/>
          </w:tcPr>
          <w:p w14:paraId="55E1B1A0" w14:textId="128FA8E2" w:rsidR="00797A89" w:rsidRPr="00C52048" w:rsidRDefault="00797A8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IUU</w:t>
            </w:r>
          </w:p>
        </w:tc>
        <w:tc>
          <w:tcPr>
            <w:tcW w:w="6316" w:type="dxa"/>
          </w:tcPr>
          <w:p w14:paraId="4E683C16" w14:textId="7BFFBCE7" w:rsidR="00797A89" w:rsidRPr="00D41C65" w:rsidRDefault="00797A89" w:rsidP="00D41C65">
            <w:pPr>
              <w:rPr>
                <w:rFonts w:cs="Calibri Light"/>
              </w:rPr>
            </w:pPr>
            <w:r w:rsidRPr="00C52048">
              <w:rPr>
                <w:rFonts w:cs="Calibri Light"/>
                <w:lang w:val="en-GB"/>
              </w:rPr>
              <w:t xml:space="preserve">Illegal, Unreported, and Unregulated </w:t>
            </w:r>
          </w:p>
        </w:tc>
      </w:tr>
      <w:tr w:rsidR="00797A89" w:rsidRPr="00C52048" w14:paraId="307D9121" w14:textId="77777777" w:rsidTr="003B0CC8">
        <w:tc>
          <w:tcPr>
            <w:tcW w:w="2694" w:type="dxa"/>
          </w:tcPr>
          <w:p w14:paraId="45133075" w14:textId="07FF29F7" w:rsidR="00797A89" w:rsidRPr="00C52048" w:rsidRDefault="00797A8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MCS</w:t>
            </w:r>
          </w:p>
        </w:tc>
        <w:tc>
          <w:tcPr>
            <w:tcW w:w="6316" w:type="dxa"/>
          </w:tcPr>
          <w:p w14:paraId="0C36E1B5" w14:textId="3D7C3175" w:rsidR="00797A89" w:rsidRPr="00C52048" w:rsidRDefault="00797A8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Monitoring, Control and Surveillance</w:t>
            </w:r>
          </w:p>
        </w:tc>
      </w:tr>
      <w:tr w:rsidR="00B6589C" w:rsidRPr="00C52048" w14:paraId="2DF7DDE8" w14:textId="77777777" w:rsidTr="003B0CC8">
        <w:tc>
          <w:tcPr>
            <w:tcW w:w="2694" w:type="dxa"/>
          </w:tcPr>
          <w:p w14:paraId="5F0AC401" w14:textId="3B868813" w:rsidR="00B6589C" w:rsidRPr="00C52048" w:rsidRDefault="00B6589C" w:rsidP="00D41C65">
            <w:pPr>
              <w:rPr>
                <w:rStyle w:val="Heading"/>
                <w:rFonts w:ascii="Calibri Light" w:hAnsi="Calibri Light" w:cs="Calibri Light"/>
                <w:sz w:val="22"/>
                <w:szCs w:val="22"/>
              </w:rPr>
            </w:pPr>
            <w:r>
              <w:rPr>
                <w:rStyle w:val="Heading"/>
                <w:rFonts w:ascii="Calibri Light" w:hAnsi="Calibri Light" w:cs="Calibri Light"/>
                <w:sz w:val="22"/>
                <w:szCs w:val="22"/>
              </w:rPr>
              <w:t>MEL</w:t>
            </w:r>
          </w:p>
        </w:tc>
        <w:tc>
          <w:tcPr>
            <w:tcW w:w="6316" w:type="dxa"/>
          </w:tcPr>
          <w:p w14:paraId="3B0E4849" w14:textId="7E3E9B45" w:rsidR="00B6589C" w:rsidRPr="00C52048" w:rsidRDefault="00B6589C" w:rsidP="00D41C65">
            <w:pPr>
              <w:rPr>
                <w:rStyle w:val="Heading"/>
                <w:rFonts w:ascii="Calibri Light" w:hAnsi="Calibri Light" w:cs="Calibri Light"/>
                <w:sz w:val="22"/>
                <w:szCs w:val="22"/>
              </w:rPr>
            </w:pPr>
            <w:r>
              <w:rPr>
                <w:rStyle w:val="Heading"/>
                <w:rFonts w:ascii="Calibri Light" w:hAnsi="Calibri Light" w:cs="Calibri Light"/>
                <w:sz w:val="22"/>
                <w:szCs w:val="22"/>
              </w:rPr>
              <w:t>Monitoring, Evaluation, and Learning</w:t>
            </w:r>
          </w:p>
        </w:tc>
      </w:tr>
      <w:tr w:rsidR="00797A89" w:rsidRPr="00C52048" w14:paraId="2CF068EE" w14:textId="77777777" w:rsidTr="003B0CC8">
        <w:tc>
          <w:tcPr>
            <w:tcW w:w="2694" w:type="dxa"/>
          </w:tcPr>
          <w:p w14:paraId="792D9BAC" w14:textId="37689AED" w:rsidR="00797A89" w:rsidRPr="00C52048" w:rsidRDefault="00797A8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NGO</w:t>
            </w:r>
          </w:p>
        </w:tc>
        <w:tc>
          <w:tcPr>
            <w:tcW w:w="6316" w:type="dxa"/>
          </w:tcPr>
          <w:p w14:paraId="65BA08CC" w14:textId="601E63DD" w:rsidR="00797A89" w:rsidRPr="00C52048" w:rsidRDefault="00797A8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Non-Governmental Organisations</w:t>
            </w:r>
          </w:p>
        </w:tc>
      </w:tr>
      <w:tr w:rsidR="00797A89" w:rsidRPr="00C52048" w14:paraId="57C4A2A6" w14:textId="77777777" w:rsidTr="003B0CC8">
        <w:tc>
          <w:tcPr>
            <w:tcW w:w="2694" w:type="dxa"/>
          </w:tcPr>
          <w:p w14:paraId="01FE9E8A" w14:textId="3A33DF76" w:rsidR="00797A89" w:rsidRPr="00C52048" w:rsidRDefault="00797A8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NTSA</w:t>
            </w:r>
          </w:p>
        </w:tc>
        <w:tc>
          <w:tcPr>
            <w:tcW w:w="6316" w:type="dxa"/>
          </w:tcPr>
          <w:p w14:paraId="2014C48A" w14:textId="4451098D" w:rsidR="00797A89" w:rsidRPr="00C52048" w:rsidRDefault="00797A89" w:rsidP="00D41C65">
            <w:pPr>
              <w:rPr>
                <w:rStyle w:val="Heading"/>
                <w:rFonts w:ascii="Calibri Light" w:hAnsi="Calibri Light" w:cs="Calibri Light"/>
                <w:sz w:val="22"/>
                <w:szCs w:val="22"/>
              </w:rPr>
            </w:pPr>
            <w:r w:rsidRPr="00D41C65">
              <w:rPr>
                <w:rFonts w:cs="Calibri Light"/>
              </w:rPr>
              <w:t>Niue Treaty Subsidiary Agreement</w:t>
            </w:r>
          </w:p>
        </w:tc>
      </w:tr>
      <w:tr w:rsidR="001A7929" w:rsidRPr="00C52048" w14:paraId="6D934A3D" w14:textId="77777777" w:rsidTr="003B0CC8">
        <w:tc>
          <w:tcPr>
            <w:tcW w:w="2694" w:type="dxa"/>
          </w:tcPr>
          <w:p w14:paraId="5D46296D" w14:textId="0DAAF198" w:rsidR="001A7929" w:rsidRPr="00C52048" w:rsidRDefault="001A7929" w:rsidP="00D41C65">
            <w:pPr>
              <w:rPr>
                <w:rFonts w:cs="Calibri Light"/>
              </w:rPr>
            </w:pPr>
            <w:r w:rsidRPr="00C52048">
              <w:rPr>
                <w:rStyle w:val="Heading"/>
                <w:rFonts w:ascii="Calibri Light" w:hAnsi="Calibri Light" w:cs="Calibri Light"/>
                <w:sz w:val="22"/>
                <w:szCs w:val="22"/>
              </w:rPr>
              <w:t>NZ</w:t>
            </w:r>
          </w:p>
        </w:tc>
        <w:tc>
          <w:tcPr>
            <w:tcW w:w="6316" w:type="dxa"/>
          </w:tcPr>
          <w:p w14:paraId="67B032A1" w14:textId="7202FDCD" w:rsidR="001A7929" w:rsidRPr="00D41C65" w:rsidRDefault="001A7929" w:rsidP="00D41C65">
            <w:pPr>
              <w:rPr>
                <w:rFonts w:cs="Calibri Light"/>
              </w:rPr>
            </w:pPr>
            <w:r w:rsidRPr="00C52048">
              <w:rPr>
                <w:rStyle w:val="Heading"/>
                <w:rFonts w:ascii="Calibri Light" w:hAnsi="Calibri Light" w:cs="Calibri Light"/>
                <w:sz w:val="22"/>
                <w:szCs w:val="22"/>
              </w:rPr>
              <w:t>New Zealand</w:t>
            </w:r>
          </w:p>
        </w:tc>
      </w:tr>
      <w:tr w:rsidR="001A7929" w:rsidRPr="00C52048" w14:paraId="38D71764" w14:textId="77777777" w:rsidTr="003B0CC8">
        <w:tc>
          <w:tcPr>
            <w:tcW w:w="2694" w:type="dxa"/>
          </w:tcPr>
          <w:p w14:paraId="3ECD3CEC" w14:textId="0D91A430" w:rsidR="001A7929" w:rsidRPr="00C52048" w:rsidRDefault="001A7929" w:rsidP="00D41C65">
            <w:pPr>
              <w:rPr>
                <w:rStyle w:val="Heading"/>
                <w:rFonts w:ascii="Calibri Light" w:hAnsi="Calibri Light" w:cs="Calibri Light"/>
                <w:sz w:val="22"/>
                <w:szCs w:val="22"/>
              </w:rPr>
            </w:pPr>
            <w:r w:rsidRPr="00C52048">
              <w:rPr>
                <w:rFonts w:cs="Calibri Light"/>
                <w:lang w:val="en-GB"/>
              </w:rPr>
              <w:t>OECD-DAC</w:t>
            </w:r>
          </w:p>
        </w:tc>
        <w:tc>
          <w:tcPr>
            <w:tcW w:w="6316" w:type="dxa"/>
          </w:tcPr>
          <w:p w14:paraId="62A6ECCB" w14:textId="081181B4" w:rsidR="001A7929" w:rsidRPr="00C52048" w:rsidRDefault="001A7929" w:rsidP="00D41C65">
            <w:pPr>
              <w:rPr>
                <w:rStyle w:val="Heading"/>
                <w:rFonts w:ascii="Calibri Light" w:hAnsi="Calibri Light" w:cs="Calibri Light"/>
                <w:sz w:val="22"/>
                <w:szCs w:val="22"/>
              </w:rPr>
            </w:pPr>
            <w:r w:rsidRPr="00D41C65">
              <w:rPr>
                <w:rFonts w:cs="Calibri Light"/>
                <w:lang w:val="en-GB"/>
              </w:rPr>
              <w:t xml:space="preserve">Organisation for Economic Co-operation and Development - Development Assistance Committee </w:t>
            </w:r>
          </w:p>
        </w:tc>
      </w:tr>
      <w:tr w:rsidR="001A7929" w:rsidRPr="00C52048" w14:paraId="749915E3" w14:textId="77777777" w:rsidTr="003B0CC8">
        <w:tc>
          <w:tcPr>
            <w:tcW w:w="2694" w:type="dxa"/>
          </w:tcPr>
          <w:p w14:paraId="7165AEA4" w14:textId="69D8B4D1" w:rsidR="001A7929" w:rsidRPr="00C52048" w:rsidRDefault="001A7929" w:rsidP="00D41C65">
            <w:pPr>
              <w:rPr>
                <w:rStyle w:val="Heading"/>
                <w:rFonts w:ascii="Calibri Light" w:hAnsi="Calibri Light" w:cs="Calibri Light"/>
                <w:sz w:val="22"/>
                <w:szCs w:val="22"/>
              </w:rPr>
            </w:pPr>
            <w:r w:rsidRPr="00C52048">
              <w:rPr>
                <w:rStyle w:val="Emphasis"/>
                <w:rFonts w:eastAsiaTheme="minorEastAsia" w:cs="Calibri Light"/>
                <w:i w:val="0"/>
                <w:iCs w:val="0"/>
              </w:rPr>
              <w:t>OPOC</w:t>
            </w:r>
          </w:p>
        </w:tc>
        <w:tc>
          <w:tcPr>
            <w:tcW w:w="6316" w:type="dxa"/>
          </w:tcPr>
          <w:p w14:paraId="64E9B386" w14:textId="5AE421F9" w:rsidR="001A7929" w:rsidRPr="00D41C65" w:rsidRDefault="001A7929" w:rsidP="00D41C65">
            <w:pPr>
              <w:rPr>
                <w:rFonts w:eastAsia="Calibri" w:cs="Calibri Light"/>
                <w:color w:val="000000"/>
              </w:rPr>
            </w:pPr>
            <w:r w:rsidRPr="00D41C65">
              <w:rPr>
                <w:rFonts w:cs="Calibri Light"/>
              </w:rPr>
              <w:t xml:space="preserve">Office of the </w:t>
            </w:r>
            <w:r w:rsidRPr="00D41C65">
              <w:rPr>
                <w:rStyle w:val="Emphasis"/>
                <w:rFonts w:eastAsiaTheme="minorEastAsia" w:cs="Calibri Light"/>
                <w:i w:val="0"/>
                <w:iCs w:val="0"/>
              </w:rPr>
              <w:t>Pacific</w:t>
            </w:r>
            <w:r w:rsidRPr="00D41C65">
              <w:rPr>
                <w:rFonts w:cs="Calibri Light"/>
              </w:rPr>
              <w:t xml:space="preserve"> Ocean Commissioner</w:t>
            </w:r>
          </w:p>
        </w:tc>
      </w:tr>
      <w:tr w:rsidR="001A7929" w:rsidRPr="00C52048" w14:paraId="41DB446A" w14:textId="77777777" w:rsidTr="003B0CC8">
        <w:tc>
          <w:tcPr>
            <w:tcW w:w="2694" w:type="dxa"/>
          </w:tcPr>
          <w:p w14:paraId="3F0DBEC9" w14:textId="5CC94C6E" w:rsidR="001A7929" w:rsidRPr="00C52048" w:rsidRDefault="001A792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P</w:t>
            </w:r>
            <w:r w:rsidRPr="00C52048">
              <w:rPr>
                <w:rStyle w:val="Heading"/>
                <w:rFonts w:ascii="Calibri Light" w:hAnsi="Calibri Light" w:cs="Calibri Light"/>
                <w:sz w:val="22"/>
                <w:szCs w:val="22"/>
              </w:rPr>
              <w:t>ICs</w:t>
            </w:r>
          </w:p>
        </w:tc>
        <w:tc>
          <w:tcPr>
            <w:tcW w:w="6316" w:type="dxa"/>
          </w:tcPr>
          <w:p w14:paraId="0D5CF2CC" w14:textId="43981E26" w:rsidR="001A7929" w:rsidRPr="00C52048" w:rsidRDefault="001A7929" w:rsidP="00D41C65">
            <w:pPr>
              <w:rPr>
                <w:rStyle w:val="Heading"/>
                <w:rFonts w:ascii="Calibri Light" w:hAnsi="Calibri Light" w:cs="Calibri Light"/>
                <w:sz w:val="22"/>
                <w:szCs w:val="22"/>
                <w:lang w:val="en-GB"/>
              </w:rPr>
            </w:pPr>
            <w:r w:rsidRPr="00C52048">
              <w:rPr>
                <w:rFonts w:cs="Calibri Light"/>
                <w:lang w:val="en-GB"/>
              </w:rPr>
              <w:t>Pacific Island Countries</w:t>
            </w:r>
          </w:p>
        </w:tc>
      </w:tr>
      <w:tr w:rsidR="001A7929" w:rsidRPr="00C52048" w14:paraId="61BA2B46" w14:textId="77777777" w:rsidTr="003B0CC8">
        <w:tc>
          <w:tcPr>
            <w:tcW w:w="2694" w:type="dxa"/>
          </w:tcPr>
          <w:p w14:paraId="124C61F2" w14:textId="6E2472B7" w:rsidR="001A7929" w:rsidRPr="00C52048" w:rsidRDefault="001A792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P</w:t>
            </w:r>
            <w:r w:rsidRPr="00C52048">
              <w:rPr>
                <w:rStyle w:val="Heading"/>
                <w:rFonts w:ascii="Calibri Light" w:hAnsi="Calibri Light" w:cs="Calibri Light"/>
                <w:sz w:val="22"/>
                <w:szCs w:val="22"/>
              </w:rPr>
              <w:t>IFS</w:t>
            </w:r>
          </w:p>
        </w:tc>
        <w:tc>
          <w:tcPr>
            <w:tcW w:w="6316" w:type="dxa"/>
          </w:tcPr>
          <w:p w14:paraId="1756384A" w14:textId="415CF376" w:rsidR="001A7929" w:rsidRPr="00C52048" w:rsidRDefault="001A7929" w:rsidP="00D41C65">
            <w:pPr>
              <w:rPr>
                <w:rStyle w:val="Heading"/>
                <w:rFonts w:ascii="Calibri Light" w:hAnsi="Calibri Light" w:cs="Calibri Light"/>
                <w:sz w:val="22"/>
                <w:szCs w:val="22"/>
                <w:lang w:val="en-GB"/>
              </w:rPr>
            </w:pPr>
            <w:r w:rsidRPr="00D41C65">
              <w:rPr>
                <w:rStyle w:val="Emphasis"/>
                <w:rFonts w:eastAsiaTheme="minorEastAsia" w:cs="Calibri Light"/>
                <w:i w:val="0"/>
                <w:iCs w:val="0"/>
              </w:rPr>
              <w:t>Pacific</w:t>
            </w:r>
            <w:r w:rsidRPr="00D41C65">
              <w:rPr>
                <w:rFonts w:cs="Calibri Light"/>
              </w:rPr>
              <w:t xml:space="preserve"> Islands Forum Secretariat</w:t>
            </w:r>
          </w:p>
        </w:tc>
      </w:tr>
      <w:tr w:rsidR="001A7929" w:rsidRPr="00C52048" w14:paraId="2782EA69" w14:textId="77777777" w:rsidTr="003B0CC8">
        <w:tc>
          <w:tcPr>
            <w:tcW w:w="2694" w:type="dxa"/>
          </w:tcPr>
          <w:p w14:paraId="2BD66322" w14:textId="08542847" w:rsidR="001A7929" w:rsidRPr="00C52048" w:rsidRDefault="001A792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lang w:val="en-GB"/>
              </w:rPr>
              <w:t>PFO</w:t>
            </w:r>
          </w:p>
        </w:tc>
        <w:tc>
          <w:tcPr>
            <w:tcW w:w="6316" w:type="dxa"/>
          </w:tcPr>
          <w:p w14:paraId="5AA5D901" w14:textId="1F99DDEC" w:rsidR="001A7929" w:rsidRPr="00C52048" w:rsidRDefault="001A7929" w:rsidP="00D41C65">
            <w:pPr>
              <w:rPr>
                <w:rFonts w:cs="Calibri Light"/>
              </w:rPr>
            </w:pPr>
            <w:bookmarkStart w:id="7" w:name="OLE_LINK3"/>
            <w:r w:rsidRPr="00C52048">
              <w:rPr>
                <w:rFonts w:cs="Calibri Light"/>
              </w:rPr>
              <w:t>Pacific Fisheries and Maritime Section, DFAT</w:t>
            </w:r>
            <w:bookmarkEnd w:id="7"/>
          </w:p>
        </w:tc>
      </w:tr>
      <w:tr w:rsidR="001A7929" w:rsidRPr="00C52048" w14:paraId="2E4B7E5D" w14:textId="77777777" w:rsidTr="003B0CC8">
        <w:tc>
          <w:tcPr>
            <w:tcW w:w="2694" w:type="dxa"/>
          </w:tcPr>
          <w:p w14:paraId="28DE957B" w14:textId="76CB843F" w:rsidR="001A7929" w:rsidRPr="00C52048" w:rsidRDefault="001A792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PNA</w:t>
            </w:r>
          </w:p>
        </w:tc>
        <w:tc>
          <w:tcPr>
            <w:tcW w:w="6316" w:type="dxa"/>
          </w:tcPr>
          <w:p w14:paraId="7E195E81" w14:textId="07A88659" w:rsidR="001A7929" w:rsidRPr="00C52048" w:rsidRDefault="001A7929" w:rsidP="00D41C65">
            <w:pPr>
              <w:rPr>
                <w:rFonts w:eastAsia="Calibri" w:cs="Calibri Light"/>
              </w:rPr>
            </w:pPr>
            <w:r w:rsidRPr="00D41C65">
              <w:rPr>
                <w:rFonts w:cs="Calibri Light"/>
              </w:rPr>
              <w:t>Parties to the Nauru Agreement</w:t>
            </w:r>
          </w:p>
        </w:tc>
      </w:tr>
      <w:tr w:rsidR="009E33DB" w:rsidRPr="00C52048" w14:paraId="3EE91AD5" w14:textId="77777777" w:rsidTr="003B0CC8">
        <w:tc>
          <w:tcPr>
            <w:tcW w:w="2694" w:type="dxa"/>
          </w:tcPr>
          <w:p w14:paraId="57A158C0" w14:textId="19E6CCE1" w:rsidR="009E33DB" w:rsidRPr="00C52048" w:rsidRDefault="009E33DB" w:rsidP="00D41C65">
            <w:pPr>
              <w:rPr>
                <w:rStyle w:val="Heading"/>
                <w:rFonts w:ascii="Calibri Light" w:hAnsi="Calibri Light" w:cs="Calibri Light"/>
                <w:sz w:val="22"/>
                <w:szCs w:val="22"/>
              </w:rPr>
            </w:pPr>
            <w:r>
              <w:rPr>
                <w:rStyle w:val="Heading"/>
                <w:rFonts w:ascii="Calibri Light" w:hAnsi="Calibri Light" w:cs="Calibri Light"/>
                <w:sz w:val="22"/>
                <w:szCs w:val="22"/>
              </w:rPr>
              <w:t>P-QUAD</w:t>
            </w:r>
          </w:p>
        </w:tc>
        <w:tc>
          <w:tcPr>
            <w:tcW w:w="6316" w:type="dxa"/>
          </w:tcPr>
          <w:p w14:paraId="63D6B4F6" w14:textId="7C3A7A3A" w:rsidR="009E33DB" w:rsidRPr="00D41C65" w:rsidRDefault="009E33DB" w:rsidP="00D41C65">
            <w:pPr>
              <w:rPr>
                <w:rFonts w:cs="Calibri Light"/>
              </w:rPr>
            </w:pPr>
            <w:r>
              <w:rPr>
                <w:rFonts w:cs="Calibri Light"/>
              </w:rPr>
              <w:t>Pacific Quadrilateral Defence Coordinating Group</w:t>
            </w:r>
          </w:p>
        </w:tc>
      </w:tr>
      <w:tr w:rsidR="001A7929" w:rsidRPr="00C52048" w14:paraId="070EF014" w14:textId="77777777" w:rsidTr="003B0CC8">
        <w:tc>
          <w:tcPr>
            <w:tcW w:w="2694" w:type="dxa"/>
          </w:tcPr>
          <w:p w14:paraId="7A3A5FA6" w14:textId="03EC16F9" w:rsidR="001A7929" w:rsidRPr="00C52048" w:rsidRDefault="001A7929" w:rsidP="00D41C65">
            <w:pPr>
              <w:rPr>
                <w:rStyle w:val="Heading"/>
                <w:rFonts w:ascii="Calibri Light" w:hAnsi="Calibri Light" w:cs="Calibri Light"/>
                <w:sz w:val="22"/>
                <w:szCs w:val="22"/>
              </w:rPr>
            </w:pPr>
            <w:r w:rsidRPr="00C52048">
              <w:rPr>
                <w:rFonts w:cs="Calibri Light"/>
              </w:rPr>
              <w:t>RBBP</w:t>
            </w:r>
          </w:p>
        </w:tc>
        <w:tc>
          <w:tcPr>
            <w:tcW w:w="6316" w:type="dxa"/>
          </w:tcPr>
          <w:p w14:paraId="2C745C8A" w14:textId="558B5BE2" w:rsidR="001A7929" w:rsidRPr="00C52048" w:rsidRDefault="001A7929" w:rsidP="00D41C65">
            <w:pPr>
              <w:rPr>
                <w:rFonts w:eastAsia="Calibri" w:cs="Calibri Light"/>
              </w:rPr>
            </w:pPr>
            <w:r w:rsidRPr="00C52048">
              <w:rPr>
                <w:rFonts w:cs="Calibri Light"/>
              </w:rPr>
              <w:t xml:space="preserve">Resilient Boundaries for the Blue Pacific </w:t>
            </w:r>
          </w:p>
        </w:tc>
      </w:tr>
      <w:tr w:rsidR="00E515EB" w:rsidRPr="00C52048" w14:paraId="2BA0FBC1" w14:textId="77777777" w:rsidTr="003B0CC8">
        <w:tc>
          <w:tcPr>
            <w:tcW w:w="2694" w:type="dxa"/>
          </w:tcPr>
          <w:p w14:paraId="31C0D0A6" w14:textId="3C893D4C" w:rsidR="00E515EB" w:rsidRPr="00C52048" w:rsidRDefault="00E515EB" w:rsidP="00D41C65">
            <w:pPr>
              <w:rPr>
                <w:rFonts w:cs="Calibri Light"/>
              </w:rPr>
            </w:pPr>
            <w:r>
              <w:t>RMCSS</w:t>
            </w:r>
          </w:p>
        </w:tc>
        <w:tc>
          <w:tcPr>
            <w:tcW w:w="6316" w:type="dxa"/>
          </w:tcPr>
          <w:p w14:paraId="4D114C17" w14:textId="4FFF75AB" w:rsidR="00E515EB" w:rsidRPr="00C52048" w:rsidRDefault="00E515EB" w:rsidP="00D41C65">
            <w:pPr>
              <w:rPr>
                <w:rFonts w:cs="Calibri Light"/>
              </w:rPr>
            </w:pPr>
            <w:r>
              <w:t>Regional Monitoring, Control and Surveillance Strategy</w:t>
            </w:r>
          </w:p>
        </w:tc>
      </w:tr>
      <w:tr w:rsidR="001A7929" w:rsidRPr="00C52048" w14:paraId="322371E6" w14:textId="77777777" w:rsidTr="003B0CC8">
        <w:tc>
          <w:tcPr>
            <w:tcW w:w="2694" w:type="dxa"/>
          </w:tcPr>
          <w:p w14:paraId="13DC7B37" w14:textId="06441401" w:rsidR="001A7929" w:rsidRPr="00C52048" w:rsidRDefault="00203E8E" w:rsidP="00D41C65">
            <w:pPr>
              <w:rPr>
                <w:rFonts w:cs="Calibri Light"/>
              </w:rPr>
            </w:pPr>
            <w:r w:rsidRPr="00C52048">
              <w:rPr>
                <w:rFonts w:cs="Calibri Light"/>
              </w:rPr>
              <w:t>RFSC</w:t>
            </w:r>
          </w:p>
        </w:tc>
        <w:tc>
          <w:tcPr>
            <w:tcW w:w="6316" w:type="dxa"/>
          </w:tcPr>
          <w:p w14:paraId="0C6FA541" w14:textId="2A3BBDF0" w:rsidR="001A7929" w:rsidRPr="00C52048" w:rsidRDefault="00203E8E" w:rsidP="00D41C65">
            <w:pPr>
              <w:rPr>
                <w:rFonts w:cs="Calibri Light"/>
              </w:rPr>
            </w:pPr>
            <w:r w:rsidRPr="00C52048">
              <w:rPr>
                <w:rFonts w:cs="Calibri Light"/>
              </w:rPr>
              <w:t>Regional Fisheries Surveillance Centre, FFA</w:t>
            </w:r>
          </w:p>
        </w:tc>
      </w:tr>
      <w:tr w:rsidR="001A7929" w:rsidRPr="00C52048" w14:paraId="5A508E42" w14:textId="77777777" w:rsidTr="003B0CC8">
        <w:tc>
          <w:tcPr>
            <w:tcW w:w="2694" w:type="dxa"/>
          </w:tcPr>
          <w:p w14:paraId="4AE41C98" w14:textId="7182FC34" w:rsidR="001A7929" w:rsidRPr="00C52048" w:rsidRDefault="001A792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SLR</w:t>
            </w:r>
          </w:p>
        </w:tc>
        <w:tc>
          <w:tcPr>
            <w:tcW w:w="6316" w:type="dxa"/>
          </w:tcPr>
          <w:p w14:paraId="2C29CAA9" w14:textId="28DF092F" w:rsidR="001A7929" w:rsidRPr="00D41C65" w:rsidRDefault="001A7929" w:rsidP="00D41C65">
            <w:pPr>
              <w:rPr>
                <w:rFonts w:cs="Calibri Light"/>
              </w:rPr>
            </w:pPr>
            <w:r w:rsidRPr="00D41C65">
              <w:rPr>
                <w:rFonts w:cs="Calibri Light"/>
              </w:rPr>
              <w:t>Sea Level Rise</w:t>
            </w:r>
          </w:p>
        </w:tc>
      </w:tr>
      <w:tr w:rsidR="001A7929" w:rsidRPr="00C52048" w14:paraId="3D3AD523" w14:textId="77777777" w:rsidTr="003B0CC8">
        <w:tc>
          <w:tcPr>
            <w:tcW w:w="2694" w:type="dxa"/>
          </w:tcPr>
          <w:p w14:paraId="5F6E6426" w14:textId="577F47A4" w:rsidR="001A7929" w:rsidRPr="00C52048" w:rsidRDefault="001A792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SPG</w:t>
            </w:r>
          </w:p>
        </w:tc>
        <w:tc>
          <w:tcPr>
            <w:tcW w:w="6316" w:type="dxa"/>
          </w:tcPr>
          <w:p w14:paraId="2904EE68" w14:textId="48EC496D" w:rsidR="001A7929" w:rsidRPr="00D41C65" w:rsidRDefault="001A7929" w:rsidP="00D41C65">
            <w:pPr>
              <w:rPr>
                <w:rFonts w:cs="Calibri Light"/>
              </w:rPr>
            </w:pPr>
            <w:r w:rsidRPr="00D41C65">
              <w:rPr>
                <w:rFonts w:cs="Calibri Light"/>
              </w:rPr>
              <w:t xml:space="preserve">South </w:t>
            </w:r>
            <w:r w:rsidRPr="00D41C65">
              <w:rPr>
                <w:rStyle w:val="Emphasis"/>
                <w:rFonts w:eastAsiaTheme="minorEastAsia" w:cs="Calibri Light"/>
              </w:rPr>
              <w:t>Pacific</w:t>
            </w:r>
            <w:r w:rsidRPr="00D41C65">
              <w:rPr>
                <w:rFonts w:cs="Calibri Light"/>
              </w:rPr>
              <w:t xml:space="preserve"> Group </w:t>
            </w:r>
          </w:p>
        </w:tc>
      </w:tr>
      <w:tr w:rsidR="001A7929" w:rsidRPr="00C52048" w14:paraId="6C300318" w14:textId="77777777" w:rsidTr="003B0CC8">
        <w:tc>
          <w:tcPr>
            <w:tcW w:w="2694" w:type="dxa"/>
          </w:tcPr>
          <w:p w14:paraId="150F72E3" w14:textId="2DDD3192" w:rsidR="001A7929" w:rsidRPr="00C52048" w:rsidRDefault="001A792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lang w:val="en-GB"/>
              </w:rPr>
              <w:t xml:space="preserve">SPC </w:t>
            </w:r>
            <w:r w:rsidR="006B5558">
              <w:rPr>
                <w:rStyle w:val="Heading"/>
                <w:rFonts w:ascii="Calibri Light" w:hAnsi="Calibri Light" w:cs="Calibri Light"/>
                <w:sz w:val="22"/>
                <w:szCs w:val="22"/>
                <w:lang w:val="en-GB"/>
              </w:rPr>
              <w:t>FAME</w:t>
            </w:r>
          </w:p>
        </w:tc>
        <w:tc>
          <w:tcPr>
            <w:tcW w:w="6316" w:type="dxa"/>
          </w:tcPr>
          <w:p w14:paraId="0CB739C5" w14:textId="29FD4B87" w:rsidR="001A7929" w:rsidRPr="00D41C65" w:rsidRDefault="001A7929" w:rsidP="00D41C65">
            <w:pPr>
              <w:rPr>
                <w:rFonts w:cs="Calibri Light"/>
              </w:rPr>
            </w:pPr>
            <w:r w:rsidRPr="00D41C65">
              <w:rPr>
                <w:rFonts w:cs="Calibri Light"/>
              </w:rPr>
              <w:t>Pacific Community’s Fisheries, Aquaculture and Marine Ecosystems Division</w:t>
            </w:r>
          </w:p>
        </w:tc>
      </w:tr>
      <w:tr w:rsidR="001A7929" w:rsidRPr="00C52048" w14:paraId="3AED62AA" w14:textId="77777777" w:rsidTr="003B0CC8">
        <w:tc>
          <w:tcPr>
            <w:tcW w:w="2694" w:type="dxa"/>
          </w:tcPr>
          <w:p w14:paraId="08F3A955" w14:textId="7317B695" w:rsidR="001A7929" w:rsidRPr="00C52048" w:rsidRDefault="00BC424C"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SPC GEM</w:t>
            </w:r>
          </w:p>
        </w:tc>
        <w:tc>
          <w:tcPr>
            <w:tcW w:w="6316" w:type="dxa"/>
          </w:tcPr>
          <w:p w14:paraId="06B3CDDE" w14:textId="6D7C3B2B" w:rsidR="001A7929" w:rsidRPr="00D41C65" w:rsidRDefault="00BC424C" w:rsidP="00D41C65">
            <w:pPr>
              <w:rPr>
                <w:rFonts w:cs="Calibri Light"/>
              </w:rPr>
            </w:pPr>
            <w:r w:rsidRPr="00D41C65">
              <w:rPr>
                <w:rFonts w:cs="Calibri Light"/>
              </w:rPr>
              <w:t xml:space="preserve">Pacific Community’s </w:t>
            </w:r>
            <w:r w:rsidRPr="00D41C65">
              <w:rPr>
                <w:rStyle w:val="Emphasis"/>
                <w:rFonts w:eastAsiaTheme="minorEastAsia" w:cs="Calibri Light"/>
              </w:rPr>
              <w:t>Geoscience, Energy and Maritime</w:t>
            </w:r>
            <w:r w:rsidRPr="00D41C65">
              <w:rPr>
                <w:rFonts w:cs="Calibri Light"/>
              </w:rPr>
              <w:t xml:space="preserve"> </w:t>
            </w:r>
            <w:r w:rsidR="007F12E2" w:rsidRPr="00D41C65">
              <w:rPr>
                <w:rFonts w:cs="Calibri Light"/>
              </w:rPr>
              <w:t>Division</w:t>
            </w:r>
          </w:p>
        </w:tc>
      </w:tr>
      <w:tr w:rsidR="001A7929" w:rsidRPr="00C52048" w14:paraId="3E08FA17" w14:textId="77777777" w:rsidTr="003B0CC8">
        <w:tc>
          <w:tcPr>
            <w:tcW w:w="2694" w:type="dxa"/>
          </w:tcPr>
          <w:p w14:paraId="3FEEE342" w14:textId="4A66FA6B" w:rsidR="001A7929" w:rsidRPr="00C52048" w:rsidRDefault="001A792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USA</w:t>
            </w:r>
          </w:p>
        </w:tc>
        <w:tc>
          <w:tcPr>
            <w:tcW w:w="6316" w:type="dxa"/>
          </w:tcPr>
          <w:p w14:paraId="4A912A1A" w14:textId="39FC270D" w:rsidR="001A7929" w:rsidRPr="00D41C65" w:rsidRDefault="001A7929" w:rsidP="00D41C65">
            <w:pPr>
              <w:rPr>
                <w:rFonts w:cs="Calibri Light"/>
              </w:rPr>
            </w:pPr>
            <w:r w:rsidRPr="00D41C65">
              <w:rPr>
                <w:rFonts w:cs="Calibri Light"/>
              </w:rPr>
              <w:t>United States of America</w:t>
            </w:r>
          </w:p>
        </w:tc>
      </w:tr>
      <w:tr w:rsidR="001A7929" w:rsidRPr="00C52048" w14:paraId="7B947A21" w14:textId="77777777" w:rsidTr="003B0CC8">
        <w:tc>
          <w:tcPr>
            <w:tcW w:w="2694" w:type="dxa"/>
          </w:tcPr>
          <w:p w14:paraId="2286F31B" w14:textId="785F75C4" w:rsidR="001A7929" w:rsidRPr="00C52048" w:rsidRDefault="007F12E2"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U</w:t>
            </w:r>
            <w:r w:rsidRPr="00C52048">
              <w:rPr>
                <w:rStyle w:val="Heading"/>
                <w:rFonts w:ascii="Calibri Light" w:hAnsi="Calibri Light" w:cs="Calibri Light"/>
                <w:sz w:val="22"/>
                <w:szCs w:val="22"/>
              </w:rPr>
              <w:t>K</w:t>
            </w:r>
          </w:p>
        </w:tc>
        <w:tc>
          <w:tcPr>
            <w:tcW w:w="6316" w:type="dxa"/>
          </w:tcPr>
          <w:p w14:paraId="2E29259B" w14:textId="1D6FF26D" w:rsidR="001A7929" w:rsidRPr="00D41C65" w:rsidRDefault="007F12E2" w:rsidP="00D41C65">
            <w:pPr>
              <w:rPr>
                <w:rFonts w:cs="Calibri Light"/>
                <w:lang w:val="en-GB"/>
              </w:rPr>
            </w:pPr>
            <w:r w:rsidRPr="00D41C65">
              <w:rPr>
                <w:rFonts w:cs="Calibri Light"/>
                <w:lang w:val="en-GB"/>
              </w:rPr>
              <w:t>United Kingdom</w:t>
            </w:r>
          </w:p>
        </w:tc>
      </w:tr>
      <w:tr w:rsidR="001A7929" w:rsidRPr="00C52048" w14:paraId="2EEB9AB9" w14:textId="77777777" w:rsidTr="003B0CC8">
        <w:tc>
          <w:tcPr>
            <w:tcW w:w="2694" w:type="dxa"/>
          </w:tcPr>
          <w:p w14:paraId="40C2A18E" w14:textId="35A139CE" w:rsidR="001A7929" w:rsidRPr="00C52048" w:rsidRDefault="001A7929" w:rsidP="00D41C65">
            <w:pPr>
              <w:rPr>
                <w:rStyle w:val="Heading"/>
                <w:rFonts w:ascii="Calibri Light" w:hAnsi="Calibri Light" w:cs="Calibri Light"/>
                <w:sz w:val="22"/>
                <w:szCs w:val="22"/>
                <w:lang w:val="en-GB"/>
              </w:rPr>
            </w:pPr>
            <w:r w:rsidRPr="00C52048">
              <w:rPr>
                <w:rStyle w:val="Heading"/>
                <w:rFonts w:ascii="Calibri Light" w:hAnsi="Calibri Light" w:cs="Calibri Light"/>
                <w:sz w:val="22"/>
                <w:szCs w:val="22"/>
                <w:lang w:val="en-GB"/>
              </w:rPr>
              <w:t>VDS</w:t>
            </w:r>
          </w:p>
        </w:tc>
        <w:tc>
          <w:tcPr>
            <w:tcW w:w="6316" w:type="dxa"/>
          </w:tcPr>
          <w:p w14:paraId="05BC96A3" w14:textId="20767DDC" w:rsidR="001A7929" w:rsidRPr="00C52048" w:rsidRDefault="001A7929" w:rsidP="00D41C65">
            <w:pPr>
              <w:rPr>
                <w:rStyle w:val="Heading"/>
                <w:rFonts w:ascii="Calibri Light" w:hAnsi="Calibri Light" w:cs="Calibri Light"/>
                <w:sz w:val="22"/>
                <w:szCs w:val="22"/>
                <w:lang w:val="en-GB"/>
              </w:rPr>
            </w:pPr>
            <w:r w:rsidRPr="00D41C65">
              <w:rPr>
                <w:rFonts w:cs="Calibri Light"/>
              </w:rPr>
              <w:t>Vessel Day Scheme VDS</w:t>
            </w:r>
          </w:p>
        </w:tc>
      </w:tr>
      <w:tr w:rsidR="001A7929" w:rsidRPr="00C52048" w14:paraId="51FD7704" w14:textId="77777777" w:rsidTr="003B0CC8">
        <w:tc>
          <w:tcPr>
            <w:tcW w:w="2694" w:type="dxa"/>
          </w:tcPr>
          <w:p w14:paraId="1FBB01D5" w14:textId="1027F7B3" w:rsidR="001A7929" w:rsidRPr="00C52048" w:rsidRDefault="001A7929" w:rsidP="00D41C65">
            <w:pPr>
              <w:rPr>
                <w:rStyle w:val="Heading"/>
                <w:rFonts w:ascii="Calibri Light" w:hAnsi="Calibri Light" w:cs="Calibri Light"/>
                <w:sz w:val="22"/>
                <w:szCs w:val="22"/>
              </w:rPr>
            </w:pPr>
            <w:r w:rsidRPr="00C52048">
              <w:rPr>
                <w:rStyle w:val="Heading"/>
                <w:rFonts w:ascii="Calibri Light" w:hAnsi="Calibri Light" w:cs="Calibri Light"/>
                <w:sz w:val="22"/>
                <w:szCs w:val="22"/>
              </w:rPr>
              <w:t>WCPFC</w:t>
            </w:r>
          </w:p>
        </w:tc>
        <w:tc>
          <w:tcPr>
            <w:tcW w:w="6316" w:type="dxa"/>
          </w:tcPr>
          <w:p w14:paraId="6441F915" w14:textId="32529A87" w:rsidR="001A7929" w:rsidRPr="00D41C65" w:rsidRDefault="001A7929" w:rsidP="00D41C65">
            <w:pPr>
              <w:rPr>
                <w:rFonts w:cs="Calibri Light"/>
              </w:rPr>
            </w:pPr>
            <w:bookmarkStart w:id="8" w:name="OLE_LINK1"/>
            <w:r w:rsidRPr="00D41C65">
              <w:rPr>
                <w:rFonts w:cs="Calibri Light"/>
              </w:rPr>
              <w:t>Western and Central Pacific Fisheries Commission</w:t>
            </w:r>
            <w:bookmarkEnd w:id="8"/>
          </w:p>
        </w:tc>
      </w:tr>
    </w:tbl>
    <w:p w14:paraId="1F53F002" w14:textId="77777777" w:rsidR="0023699D" w:rsidRPr="00581C11" w:rsidRDefault="0023699D" w:rsidP="00D41C65">
      <w:pPr>
        <w:rPr>
          <w:rStyle w:val="Heading"/>
        </w:rPr>
      </w:pPr>
    </w:p>
    <w:p w14:paraId="6B3038A7" w14:textId="3E97BDC9" w:rsidR="001568F7" w:rsidRPr="00167D9A" w:rsidRDefault="00167D9A" w:rsidP="00873636">
      <w:pPr>
        <w:pStyle w:val="Heading2"/>
        <w:rPr>
          <w:rStyle w:val="Heading"/>
          <w:rFonts w:ascii="Verdana" w:hAnsi="Verdana" w:cstheme="majorBidi"/>
          <w:color w:val="FFFFFF" w:themeColor="background1"/>
          <w:sz w:val="40"/>
          <w:szCs w:val="40"/>
        </w:rPr>
      </w:pPr>
      <w:bookmarkStart w:id="9" w:name="_Toc207206804"/>
      <w:r w:rsidRPr="00167D9A">
        <w:rPr>
          <w:noProof/>
        </w:rPr>
        <w:lastRenderedPageBreak/>
        <w:drawing>
          <wp:anchor distT="0" distB="0" distL="114300" distR="114300" simplePos="0" relativeHeight="251658281" behindDoc="1" locked="0" layoutInCell="1" allowOverlap="1" wp14:anchorId="2ED141CF" wp14:editId="08211A8F">
            <wp:simplePos x="0" y="0"/>
            <wp:positionH relativeFrom="column">
              <wp:posOffset>-960120</wp:posOffset>
            </wp:positionH>
            <wp:positionV relativeFrom="page">
              <wp:posOffset>8932</wp:posOffset>
            </wp:positionV>
            <wp:extent cx="7955915" cy="1439545"/>
            <wp:effectExtent l="0" t="0" r="0" b="0"/>
            <wp:wrapNone/>
            <wp:docPr id="1995579116" name="Picture 47" descr="A blue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5579116" name="Picture 47" descr="A blue and white backgroun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955915" cy="1439545"/>
                    </a:xfrm>
                    <a:prstGeom prst="rect">
                      <a:avLst/>
                    </a:prstGeom>
                  </pic:spPr>
                </pic:pic>
              </a:graphicData>
            </a:graphic>
            <wp14:sizeRelH relativeFrom="page">
              <wp14:pctWidth>0</wp14:pctWidth>
            </wp14:sizeRelH>
            <wp14:sizeRelV relativeFrom="page">
              <wp14:pctHeight>0</wp14:pctHeight>
            </wp14:sizeRelV>
          </wp:anchor>
        </w:drawing>
      </w:r>
      <w:r w:rsidR="001568F7" w:rsidRPr="00167D9A">
        <w:rPr>
          <w:rStyle w:val="Heading"/>
          <w:rFonts w:ascii="Verdana" w:hAnsi="Verdana" w:cstheme="majorBidi"/>
          <w:color w:val="FFFFFF" w:themeColor="background1"/>
          <w:sz w:val="40"/>
          <w:szCs w:val="40"/>
        </w:rPr>
        <w:t>Executive Summary</w:t>
      </w:r>
      <w:bookmarkEnd w:id="9"/>
    </w:p>
    <w:p w14:paraId="27FB97FC" w14:textId="7837146D" w:rsidR="001568F7" w:rsidRPr="00581C11" w:rsidRDefault="001568F7" w:rsidP="00D41C65"/>
    <w:p w14:paraId="0B772C1E" w14:textId="57219681" w:rsidR="0028083E" w:rsidRDefault="0028083E" w:rsidP="005B742D">
      <w:pPr>
        <w:rPr>
          <w:rStyle w:val="Heading"/>
          <w:rFonts w:ascii="Verdana" w:hAnsi="Verdana" w:cstheme="majorBidi"/>
          <w:b/>
          <w:bCs/>
          <w:color w:val="2F5496" w:themeColor="accent1" w:themeShade="BF"/>
          <w:sz w:val="28"/>
          <w:szCs w:val="28"/>
        </w:rPr>
      </w:pPr>
    </w:p>
    <w:p w14:paraId="06B0B24F" w14:textId="5D511A9F" w:rsidR="000E3B58" w:rsidRPr="00873636" w:rsidRDefault="004E0903" w:rsidP="00873636">
      <w:pPr>
        <w:pStyle w:val="Heading3"/>
        <w:rPr>
          <w:rStyle w:val="Heading"/>
          <w:rFonts w:asciiTheme="majorHAnsi" w:hAnsiTheme="majorHAnsi" w:cstheme="majorBidi"/>
          <w:b/>
          <w:bCs/>
          <w:color w:val="2F5496" w:themeColor="accent1" w:themeShade="BF"/>
          <w:sz w:val="28"/>
          <w:szCs w:val="28"/>
        </w:rPr>
      </w:pPr>
      <w:r w:rsidRPr="00873636">
        <w:rPr>
          <w:rStyle w:val="Heading"/>
          <w:rFonts w:asciiTheme="majorHAnsi" w:hAnsiTheme="majorHAnsi" w:cstheme="majorBidi"/>
          <w:b/>
          <w:bCs/>
          <w:color w:val="2F5496" w:themeColor="accent1" w:themeShade="BF"/>
          <w:sz w:val="28"/>
          <w:szCs w:val="28"/>
        </w:rPr>
        <w:t>Overview</w:t>
      </w:r>
    </w:p>
    <w:p w14:paraId="54A96427" w14:textId="6FDCF496" w:rsidR="004E0903" w:rsidRPr="00E875A1" w:rsidRDefault="00E875A1" w:rsidP="00E875A1">
      <w:pPr>
        <w:spacing w:after="120"/>
        <w:rPr>
          <w:rStyle w:val="Heading"/>
          <w:rFonts w:asciiTheme="majorHAnsi" w:hAnsiTheme="majorHAnsi" w:cstheme="majorHAnsi"/>
          <w:color w:val="000000" w:themeColor="text1"/>
          <w:sz w:val="22"/>
          <w:szCs w:val="22"/>
          <w:lang w:eastAsia="en-GB"/>
        </w:rPr>
      </w:pPr>
      <w:r w:rsidRPr="00E875A1">
        <w:rPr>
          <w:rFonts w:asciiTheme="majorHAnsi" w:hAnsiTheme="majorHAnsi" w:cstheme="majorHAnsi"/>
          <w:lang w:eastAsia="en-GB"/>
        </w:rPr>
        <w:t xml:space="preserve">This report is of the </w:t>
      </w:r>
      <w:r w:rsidR="000E3B58" w:rsidRPr="00E875A1">
        <w:rPr>
          <w:rFonts w:asciiTheme="majorHAnsi" w:hAnsiTheme="majorHAnsi" w:cstheme="majorHAnsi"/>
          <w:lang w:eastAsia="en-GB"/>
        </w:rPr>
        <w:t xml:space="preserve">evaluation </w:t>
      </w:r>
      <w:r w:rsidRPr="00E875A1">
        <w:rPr>
          <w:rFonts w:asciiTheme="majorHAnsi" w:hAnsiTheme="majorHAnsi" w:cstheme="majorHAnsi"/>
          <w:lang w:eastAsia="en-GB"/>
        </w:rPr>
        <w:t>of</w:t>
      </w:r>
      <w:r w:rsidR="000E3B58" w:rsidRPr="00E875A1">
        <w:rPr>
          <w:rFonts w:asciiTheme="majorHAnsi" w:hAnsiTheme="majorHAnsi" w:cstheme="majorHAnsi"/>
          <w:lang w:eastAsia="en-GB"/>
        </w:rPr>
        <w:t xml:space="preserve"> Australia’s Fisheries Development Assistance in the Pacific investment (INJ201</w:t>
      </w:r>
      <w:r w:rsidR="00D201A3" w:rsidRPr="00E875A1">
        <w:rPr>
          <w:rFonts w:asciiTheme="majorHAnsi" w:hAnsiTheme="majorHAnsi" w:cstheme="majorHAnsi"/>
          <w:lang w:eastAsia="en-GB"/>
        </w:rPr>
        <w:t xml:space="preserve"> – hereafter referred to as the </w:t>
      </w:r>
      <w:r w:rsidR="00B41DE6">
        <w:rPr>
          <w:rFonts w:asciiTheme="majorHAnsi" w:hAnsiTheme="majorHAnsi" w:cstheme="majorHAnsi"/>
          <w:lang w:eastAsia="en-GB"/>
        </w:rPr>
        <w:t>Investment</w:t>
      </w:r>
      <w:r w:rsidR="000E3B58" w:rsidRPr="00E875A1">
        <w:rPr>
          <w:rFonts w:asciiTheme="majorHAnsi" w:hAnsiTheme="majorHAnsi" w:cstheme="majorHAnsi"/>
          <w:lang w:eastAsia="en-GB"/>
        </w:rPr>
        <w:t xml:space="preserve">), the investment period running from 1 June 2010 to </w:t>
      </w:r>
      <w:r w:rsidR="00676EDE" w:rsidRPr="00E875A1">
        <w:rPr>
          <w:rFonts w:asciiTheme="majorHAnsi" w:hAnsiTheme="majorHAnsi" w:cstheme="majorHAnsi"/>
          <w:lang w:eastAsia="en-GB"/>
        </w:rPr>
        <w:t>3</w:t>
      </w:r>
      <w:r w:rsidR="000E3B58" w:rsidRPr="00E875A1">
        <w:rPr>
          <w:rFonts w:asciiTheme="majorHAnsi" w:hAnsiTheme="majorHAnsi" w:cstheme="majorHAnsi"/>
          <w:lang w:eastAsia="en-GB"/>
        </w:rPr>
        <w:t xml:space="preserve">0 June 2026, with a total committed value exceeding $135 million. Australia has a long history of supporting sustainable fisheries management and economic development in the Pacific, collaborating with organisations such as the Pacific Community (SPC) and the Forum Fisheries Agency (FFA) to tackle illegal, unreported, and unregulated (IUU) fishing, enhance regional coordination, and assist Pacific Island Countries (PICs) and territories in sustainably managing their resources and establishing maritime boundaries. The </w:t>
      </w:r>
      <w:r w:rsidR="00B41DE6">
        <w:rPr>
          <w:rFonts w:asciiTheme="majorHAnsi" w:hAnsiTheme="majorHAnsi" w:cstheme="majorHAnsi"/>
          <w:lang w:eastAsia="en-GB"/>
        </w:rPr>
        <w:t>I</w:t>
      </w:r>
      <w:r w:rsidR="000E3B58" w:rsidRPr="00E875A1">
        <w:rPr>
          <w:rFonts w:asciiTheme="majorHAnsi" w:hAnsiTheme="majorHAnsi" w:cstheme="majorHAnsi"/>
          <w:lang w:eastAsia="en-GB"/>
        </w:rPr>
        <w:t>nvestment aimed to increase the contribution of fisheries to poverty reduction and sustainable development, establish jurisdictional rights, and reclaim ocean stewardship</w:t>
      </w:r>
      <w:r w:rsidR="005C3AC9" w:rsidRPr="00E875A1">
        <w:rPr>
          <w:rFonts w:asciiTheme="majorHAnsi" w:hAnsiTheme="majorHAnsi" w:cstheme="majorHAnsi"/>
          <w:lang w:eastAsia="en-GB"/>
        </w:rPr>
        <w:t>.</w:t>
      </w:r>
    </w:p>
    <w:p w14:paraId="3D02B996" w14:textId="77777777" w:rsidR="004E0903" w:rsidRPr="00873636" w:rsidRDefault="004E0903" w:rsidP="00873636">
      <w:pPr>
        <w:pStyle w:val="Heading3"/>
        <w:rPr>
          <w:rStyle w:val="Heading"/>
          <w:rFonts w:asciiTheme="majorHAnsi" w:hAnsiTheme="majorHAnsi" w:cstheme="majorBidi"/>
          <w:b/>
          <w:bCs/>
          <w:color w:val="2F5496" w:themeColor="accent1" w:themeShade="BF"/>
          <w:sz w:val="28"/>
          <w:szCs w:val="28"/>
        </w:rPr>
      </w:pPr>
      <w:r w:rsidRPr="00873636">
        <w:rPr>
          <w:rStyle w:val="Heading"/>
          <w:rFonts w:asciiTheme="majorHAnsi" w:hAnsiTheme="majorHAnsi" w:cstheme="majorBidi"/>
          <w:b/>
          <w:bCs/>
          <w:color w:val="2F5496" w:themeColor="accent1" w:themeShade="BF"/>
          <w:sz w:val="28"/>
          <w:szCs w:val="28"/>
        </w:rPr>
        <w:t>Purpose</w:t>
      </w:r>
    </w:p>
    <w:p w14:paraId="794E8BDD" w14:textId="75BAB363" w:rsidR="00F24FBF" w:rsidRPr="00E875A1" w:rsidRDefault="000E3B58" w:rsidP="00E875A1">
      <w:pPr>
        <w:spacing w:after="120"/>
        <w:rPr>
          <w:rFonts w:asciiTheme="majorHAnsi" w:hAnsiTheme="majorHAnsi" w:cstheme="majorHAnsi"/>
          <w:lang w:eastAsia="en-GB"/>
        </w:rPr>
      </w:pPr>
      <w:r w:rsidRPr="00E875A1">
        <w:rPr>
          <w:rFonts w:asciiTheme="majorHAnsi" w:hAnsiTheme="majorHAnsi" w:cstheme="majorHAnsi"/>
          <w:lang w:eastAsia="en-GB"/>
        </w:rPr>
        <w:t xml:space="preserve">The evaluation serves a two-fold purpose. Firstly, it is intended to inform the final </w:t>
      </w:r>
      <w:r w:rsidR="00B41DE6">
        <w:rPr>
          <w:rFonts w:asciiTheme="majorHAnsi" w:hAnsiTheme="majorHAnsi" w:cstheme="majorHAnsi"/>
          <w:lang w:eastAsia="en-GB"/>
        </w:rPr>
        <w:t>Investment</w:t>
      </w:r>
      <w:r w:rsidRPr="00E875A1">
        <w:rPr>
          <w:rFonts w:asciiTheme="majorHAnsi" w:hAnsiTheme="majorHAnsi" w:cstheme="majorHAnsi"/>
          <w:lang w:eastAsia="en-GB"/>
        </w:rPr>
        <w:t xml:space="preserve"> monitoring report (FIMR). Secondly, it aims to identify lessons that will shape DFAT's current and future Pacific fisheries programs. </w:t>
      </w:r>
      <w:r w:rsidR="00F24FBF" w:rsidRPr="00E875A1">
        <w:rPr>
          <w:rFonts w:asciiTheme="majorHAnsi" w:hAnsiTheme="majorHAnsi" w:cstheme="majorHAnsi"/>
          <w:lang w:eastAsia="en-GB"/>
        </w:rPr>
        <w:t xml:space="preserve">The evaluation assessed the </w:t>
      </w:r>
      <w:r w:rsidR="00B41DE6">
        <w:rPr>
          <w:rFonts w:asciiTheme="majorHAnsi" w:hAnsiTheme="majorHAnsi" w:cstheme="majorHAnsi"/>
          <w:lang w:eastAsia="en-GB"/>
        </w:rPr>
        <w:t>I</w:t>
      </w:r>
      <w:r w:rsidR="00F24FBF" w:rsidRPr="00E875A1">
        <w:rPr>
          <w:rFonts w:asciiTheme="majorHAnsi" w:hAnsiTheme="majorHAnsi" w:cstheme="majorHAnsi"/>
          <w:lang w:eastAsia="en-GB"/>
        </w:rPr>
        <w:t>nvestment's effectiveness, efficiency, and contributions to outcomes in the Pacific region. While primarily focusing on support for the FFA, the evaluation also relied significantly on existing independent evaluations commissioned by DFAT.</w:t>
      </w:r>
    </w:p>
    <w:p w14:paraId="016CBCC7" w14:textId="77777777" w:rsidR="004E0903" w:rsidRPr="00873636" w:rsidRDefault="004E0903" w:rsidP="00873636">
      <w:pPr>
        <w:pStyle w:val="Heading3"/>
        <w:rPr>
          <w:rStyle w:val="Heading"/>
          <w:rFonts w:asciiTheme="majorHAnsi" w:hAnsiTheme="majorHAnsi" w:cstheme="majorBidi"/>
          <w:b/>
          <w:bCs/>
          <w:color w:val="2F5496" w:themeColor="accent1" w:themeShade="BF"/>
          <w:sz w:val="28"/>
          <w:szCs w:val="28"/>
        </w:rPr>
      </w:pPr>
      <w:r w:rsidRPr="00873636">
        <w:rPr>
          <w:rStyle w:val="Heading"/>
          <w:rFonts w:asciiTheme="majorHAnsi" w:hAnsiTheme="majorHAnsi" w:cstheme="majorBidi"/>
          <w:b/>
          <w:bCs/>
          <w:color w:val="2F5496" w:themeColor="accent1" w:themeShade="BF"/>
          <w:sz w:val="28"/>
          <w:szCs w:val="28"/>
        </w:rPr>
        <w:t>Approach</w:t>
      </w:r>
    </w:p>
    <w:p w14:paraId="2A6C7D84" w14:textId="696C63E2" w:rsidR="00F24FBF" w:rsidRPr="00E875A1" w:rsidRDefault="00F24FBF" w:rsidP="00E875A1">
      <w:pPr>
        <w:spacing w:after="120"/>
        <w:rPr>
          <w:rStyle w:val="Heading"/>
          <w:rFonts w:asciiTheme="majorHAnsi" w:hAnsiTheme="majorHAnsi" w:cstheme="majorHAnsi"/>
          <w:color w:val="000000" w:themeColor="text1"/>
          <w:sz w:val="22"/>
          <w:szCs w:val="22"/>
          <w:lang w:eastAsia="en-GB"/>
        </w:rPr>
      </w:pPr>
      <w:r w:rsidRPr="00E875A1">
        <w:rPr>
          <w:rFonts w:asciiTheme="majorHAnsi" w:hAnsiTheme="majorHAnsi" w:cstheme="majorHAnsi"/>
          <w:lang w:eastAsia="en-GB"/>
        </w:rPr>
        <w:t xml:space="preserve">The evaluation utilised a mixed-methods approach, incorporating both primary and secondary data. This included a review of extensive literature and project documents, interviews with 39 key informants in Canberra and Honiara, a brief e-survey distributed to Fisheries Agencies in the Pacific, and </w:t>
      </w:r>
      <w:r w:rsidR="00E875A1">
        <w:rPr>
          <w:rFonts w:asciiTheme="majorHAnsi" w:hAnsiTheme="majorHAnsi" w:cstheme="majorHAnsi"/>
          <w:lang w:eastAsia="en-GB"/>
        </w:rPr>
        <w:t>four</w:t>
      </w:r>
      <w:r w:rsidRPr="00E875A1">
        <w:rPr>
          <w:rFonts w:asciiTheme="majorHAnsi" w:hAnsiTheme="majorHAnsi" w:cstheme="majorHAnsi"/>
          <w:lang w:eastAsia="en-GB"/>
        </w:rPr>
        <w:t xml:space="preserve"> online interviews. A rubric was developed to guide data collection and analysis, ensuring a consistent framework for assessing the </w:t>
      </w:r>
      <w:r w:rsidR="00B41DE6">
        <w:rPr>
          <w:rFonts w:asciiTheme="majorHAnsi" w:hAnsiTheme="majorHAnsi" w:cstheme="majorHAnsi"/>
          <w:lang w:eastAsia="en-GB"/>
        </w:rPr>
        <w:t>Investment</w:t>
      </w:r>
      <w:r w:rsidRPr="00E875A1">
        <w:rPr>
          <w:rFonts w:asciiTheme="majorHAnsi" w:hAnsiTheme="majorHAnsi" w:cstheme="majorHAnsi"/>
          <w:lang w:eastAsia="en-GB"/>
        </w:rPr>
        <w:t xml:space="preserve"> against contextually defined criteria and standards. Despite initial concerns regarding the absence of a formal program logic at inception, the logic model adopted in 2022 was found to be sufficiently robust to shape the evaluation. Potential limitations such as stakeholder availability and the effectiveness of remote interviews were successfully mitigated.</w:t>
      </w:r>
    </w:p>
    <w:p w14:paraId="7CBC090C" w14:textId="196CB5D9" w:rsidR="00803306" w:rsidRPr="00873636" w:rsidRDefault="004E0903" w:rsidP="00873636">
      <w:pPr>
        <w:pStyle w:val="Heading3"/>
        <w:rPr>
          <w:rStyle w:val="Heading"/>
          <w:rFonts w:asciiTheme="majorHAnsi" w:hAnsiTheme="majorHAnsi" w:cstheme="majorBidi"/>
          <w:b/>
          <w:bCs/>
          <w:color w:val="2F5496" w:themeColor="accent1" w:themeShade="BF"/>
          <w:sz w:val="28"/>
          <w:szCs w:val="28"/>
        </w:rPr>
      </w:pPr>
      <w:r w:rsidRPr="00873636">
        <w:rPr>
          <w:rStyle w:val="Heading"/>
          <w:rFonts w:asciiTheme="majorHAnsi" w:hAnsiTheme="majorHAnsi" w:cstheme="majorBidi"/>
          <w:b/>
          <w:bCs/>
          <w:color w:val="2F5496" w:themeColor="accent1" w:themeShade="BF"/>
          <w:sz w:val="28"/>
          <w:szCs w:val="28"/>
        </w:rPr>
        <w:t>Key Findings</w:t>
      </w:r>
    </w:p>
    <w:p w14:paraId="1286C1E4" w14:textId="26A09839" w:rsidR="00B41859" w:rsidRPr="00873636" w:rsidRDefault="00E875A1" w:rsidP="00873636">
      <w:pPr>
        <w:pStyle w:val="Heading4"/>
        <w:rPr>
          <w:sz w:val="24"/>
          <w:szCs w:val="24"/>
        </w:rPr>
      </w:pPr>
      <w:bookmarkStart w:id="10" w:name="_Toc199684915"/>
      <w:r w:rsidRPr="00873636">
        <w:rPr>
          <w:sz w:val="24"/>
          <w:szCs w:val="24"/>
        </w:rPr>
        <w:t>KEQ1: To what extent was the investment effective in achieving its intended outcomes?</w:t>
      </w:r>
      <w:bookmarkEnd w:id="10"/>
    </w:p>
    <w:p w14:paraId="6DE21ADB" w14:textId="184C829F" w:rsidR="0071087F" w:rsidRDefault="00E875A1" w:rsidP="00803306">
      <w:pPr>
        <w:rPr>
          <w:rFonts w:asciiTheme="majorHAnsi" w:hAnsiTheme="majorHAnsi" w:cstheme="majorHAnsi"/>
        </w:rPr>
      </w:pPr>
      <w:r w:rsidRPr="00C338E9">
        <w:rPr>
          <w:rFonts w:asciiTheme="majorHAnsi" w:hAnsiTheme="majorHAnsi" w:cstheme="majorHAnsi"/>
        </w:rPr>
        <w:t xml:space="preserve">The overarching finding regarding effectiveness </w:t>
      </w:r>
      <w:r w:rsidRPr="004305C3">
        <w:rPr>
          <w:rFonts w:asciiTheme="majorHAnsi" w:hAnsiTheme="majorHAnsi" w:cstheme="majorHAnsi"/>
        </w:rPr>
        <w:t>is that Investment has largely achieved all four expected end-of-program outcomes (</w:t>
      </w:r>
      <w:proofErr w:type="spellStart"/>
      <w:r w:rsidRPr="004305C3">
        <w:rPr>
          <w:rFonts w:asciiTheme="majorHAnsi" w:hAnsiTheme="majorHAnsi" w:cstheme="majorHAnsi"/>
        </w:rPr>
        <w:t>EoPOs</w:t>
      </w:r>
      <w:proofErr w:type="spellEnd"/>
      <w:r w:rsidRPr="004305C3">
        <w:rPr>
          <w:rFonts w:asciiTheme="majorHAnsi" w:hAnsiTheme="majorHAnsi" w:cstheme="majorHAnsi"/>
        </w:rPr>
        <w:t xml:space="preserve">). DFAT </w:t>
      </w:r>
      <w:r>
        <w:rPr>
          <w:rFonts w:asciiTheme="majorHAnsi" w:hAnsiTheme="majorHAnsi" w:cstheme="majorHAnsi"/>
        </w:rPr>
        <w:t>successfully supported</w:t>
      </w:r>
      <w:r w:rsidRPr="004305C3">
        <w:rPr>
          <w:rFonts w:asciiTheme="majorHAnsi" w:hAnsiTheme="majorHAnsi" w:cstheme="majorHAnsi"/>
        </w:rPr>
        <w:t xml:space="preserve"> both the FFA and SPC </w:t>
      </w:r>
      <w:r w:rsidR="006B5558">
        <w:rPr>
          <w:rFonts w:asciiTheme="majorHAnsi" w:hAnsiTheme="majorHAnsi" w:cstheme="majorHAnsi"/>
        </w:rPr>
        <w:t>FAME</w:t>
      </w:r>
      <w:r w:rsidRPr="004305C3">
        <w:rPr>
          <w:rFonts w:asciiTheme="majorHAnsi" w:hAnsiTheme="majorHAnsi" w:cstheme="majorHAnsi"/>
        </w:rPr>
        <w:t xml:space="preserve">. Notable results were accomplished across all four </w:t>
      </w:r>
      <w:proofErr w:type="spellStart"/>
      <w:r w:rsidRPr="004305C3">
        <w:rPr>
          <w:rFonts w:asciiTheme="majorHAnsi" w:hAnsiTheme="majorHAnsi" w:cstheme="majorHAnsi"/>
        </w:rPr>
        <w:t>EoPOs</w:t>
      </w:r>
      <w:proofErr w:type="spellEnd"/>
      <w:r w:rsidRPr="004305C3">
        <w:rPr>
          <w:rFonts w:asciiTheme="majorHAnsi" w:hAnsiTheme="majorHAnsi" w:cstheme="majorHAnsi"/>
        </w:rPr>
        <w:t xml:space="preserve">, including strengthening regional organisations to improve fisheries management, demonstrating the importance of sustainable coastal fisheries management in enhancing Pacific livelihoods, building capacity to combat IUU fishing, and assisting PICs in securing their maritime boundaries to enable more effective enforcement of maritime jurisdiction amid climate change-related sea-level rise. Interviews with key informants indicated that DFAT has been effective in delivering a strategically important and well-managed </w:t>
      </w:r>
      <w:r w:rsidR="00B41DE6">
        <w:rPr>
          <w:rFonts w:asciiTheme="majorHAnsi" w:hAnsiTheme="majorHAnsi" w:cstheme="majorHAnsi"/>
        </w:rPr>
        <w:t>I</w:t>
      </w:r>
      <w:r w:rsidRPr="004305C3">
        <w:rPr>
          <w:rFonts w:asciiTheme="majorHAnsi" w:hAnsiTheme="majorHAnsi" w:cstheme="majorHAnsi"/>
        </w:rPr>
        <w:t xml:space="preserve">nvestment, strengthening regional partnerships, influencing policy, and advancing fisheries governance. </w:t>
      </w:r>
      <w:r>
        <w:rPr>
          <w:rFonts w:asciiTheme="majorHAnsi" w:hAnsiTheme="majorHAnsi" w:cstheme="majorHAnsi"/>
        </w:rPr>
        <w:t>Key</w:t>
      </w:r>
      <w:r w:rsidRPr="004305C3">
        <w:rPr>
          <w:rFonts w:asciiTheme="majorHAnsi" w:hAnsiTheme="majorHAnsi" w:cstheme="majorHAnsi"/>
        </w:rPr>
        <w:t xml:space="preserve"> challenges remain across all four </w:t>
      </w:r>
      <w:proofErr w:type="spellStart"/>
      <w:r w:rsidRPr="004305C3">
        <w:rPr>
          <w:rFonts w:asciiTheme="majorHAnsi" w:hAnsiTheme="majorHAnsi" w:cstheme="majorHAnsi"/>
        </w:rPr>
        <w:t>EoPOs</w:t>
      </w:r>
      <w:proofErr w:type="spellEnd"/>
      <w:r w:rsidRPr="004305C3">
        <w:rPr>
          <w:rFonts w:asciiTheme="majorHAnsi" w:hAnsiTheme="majorHAnsi" w:cstheme="majorHAnsi"/>
        </w:rPr>
        <w:t>, such as issues related to capacity, capability, staff turnover, and political difficulties in formalising sector-specific treaties. It remains crucial for Australia to continue providing adequate support to build upon the successes achieved so far in improving sector effectiveness</w:t>
      </w:r>
      <w:r w:rsidRPr="00C338E9">
        <w:rPr>
          <w:rFonts w:asciiTheme="majorHAnsi" w:hAnsiTheme="majorHAnsi" w:cstheme="majorHAnsi"/>
        </w:rPr>
        <w:t>.</w:t>
      </w:r>
    </w:p>
    <w:p w14:paraId="642AD13F" w14:textId="77777777" w:rsidR="00EA1694" w:rsidRDefault="00EA1694" w:rsidP="00803306"/>
    <w:p w14:paraId="674E63B9" w14:textId="263CA569" w:rsidR="00E875A1" w:rsidRDefault="00E875A1" w:rsidP="00803306">
      <w:pPr>
        <w:rPr>
          <w:b/>
          <w:bCs/>
        </w:rPr>
      </w:pPr>
      <w:r>
        <w:rPr>
          <w:b/>
          <w:bCs/>
        </w:rPr>
        <w:lastRenderedPageBreak/>
        <w:t xml:space="preserve">Notable achievements were made under each of the four </w:t>
      </w:r>
      <w:proofErr w:type="spellStart"/>
      <w:r>
        <w:rPr>
          <w:b/>
          <w:bCs/>
        </w:rPr>
        <w:t>EoPOS</w:t>
      </w:r>
      <w:proofErr w:type="spellEnd"/>
      <w:r>
        <w:rPr>
          <w:b/>
          <w:bCs/>
        </w:rPr>
        <w:t>:</w:t>
      </w:r>
    </w:p>
    <w:p w14:paraId="7F241103" w14:textId="77777777" w:rsidR="00A52313" w:rsidRDefault="00A52313" w:rsidP="00803306">
      <w:pPr>
        <w:rPr>
          <w:b/>
          <w:bCs/>
        </w:rPr>
      </w:pPr>
    </w:p>
    <w:p w14:paraId="22562109" w14:textId="230475DC" w:rsidR="00E875A1" w:rsidRPr="00E875A1" w:rsidRDefault="00E875A1" w:rsidP="00821BD8">
      <w:pPr>
        <w:pStyle w:val="ListParagraph"/>
        <w:numPr>
          <w:ilvl w:val="0"/>
          <w:numId w:val="40"/>
        </w:numPr>
        <w:rPr>
          <w:b/>
          <w:bCs/>
        </w:rPr>
      </w:pPr>
      <w:r>
        <w:rPr>
          <w:b/>
          <w:bCs/>
        </w:rPr>
        <w:t xml:space="preserve">Under EoPO1: </w:t>
      </w:r>
      <w:r w:rsidRPr="00C86A6C">
        <w:rPr>
          <w:rFonts w:cstheme="majorHAnsi"/>
        </w:rPr>
        <w:t xml:space="preserve">Australia's overall support for both FFA and SPC </w:t>
      </w:r>
      <w:r w:rsidR="006B5558">
        <w:rPr>
          <w:rFonts w:cstheme="majorHAnsi"/>
        </w:rPr>
        <w:t>FAME</w:t>
      </w:r>
      <w:r w:rsidRPr="00C86A6C">
        <w:rPr>
          <w:rFonts w:cstheme="majorHAnsi"/>
        </w:rPr>
        <w:t xml:space="preserve"> strengthens regional organisations that offer economies of scale and a platform for collective resource management. This approach's main strengths include enabling both organisations to provide vital technical, scientific, and operational support to PICs, despite facing financial and institutional challenges. Key challenges involve the need for ongoing support from Australia to help the region fully realise the ambitious goals of the Regional Roadmap for Sustainable Pacific Fisheries and for Australia to continue assisting the FFA in addressing issues that affect its effectiveness</w:t>
      </w:r>
      <w:r>
        <w:rPr>
          <w:rFonts w:cstheme="majorHAnsi"/>
        </w:rPr>
        <w:t>.</w:t>
      </w:r>
    </w:p>
    <w:p w14:paraId="4000B456" w14:textId="657E4E22" w:rsidR="00E875A1" w:rsidRPr="00E875A1" w:rsidRDefault="00E875A1" w:rsidP="00821BD8">
      <w:pPr>
        <w:pStyle w:val="ListParagraph"/>
        <w:numPr>
          <w:ilvl w:val="0"/>
          <w:numId w:val="40"/>
        </w:numPr>
        <w:rPr>
          <w:b/>
          <w:bCs/>
        </w:rPr>
      </w:pPr>
      <w:r>
        <w:rPr>
          <w:b/>
          <w:bCs/>
        </w:rPr>
        <w:t xml:space="preserve">Under </w:t>
      </w:r>
      <w:proofErr w:type="spellStart"/>
      <w:r>
        <w:rPr>
          <w:b/>
          <w:bCs/>
        </w:rPr>
        <w:t>EoPO</w:t>
      </w:r>
      <w:proofErr w:type="spellEnd"/>
      <w:r>
        <w:rPr>
          <w:b/>
          <w:bCs/>
        </w:rPr>
        <w:t xml:space="preserve"> 2: </w:t>
      </w:r>
      <w:r w:rsidRPr="00C86A6C">
        <w:rPr>
          <w:rFonts w:cs="Calibri Light"/>
        </w:rPr>
        <w:t xml:space="preserve">The </w:t>
      </w:r>
      <w:r w:rsidR="00B41DE6">
        <w:rPr>
          <w:rFonts w:cs="Calibri Light"/>
        </w:rPr>
        <w:t>Investment</w:t>
      </w:r>
      <w:r w:rsidRPr="00C86A6C">
        <w:rPr>
          <w:rFonts w:cs="Calibri Light"/>
        </w:rPr>
        <w:t xml:space="preserve"> has shown promise in raising awareness, building foundational government policy support for </w:t>
      </w:r>
      <w:r>
        <w:rPr>
          <w:rFonts w:cs="Calibri Light"/>
        </w:rPr>
        <w:t>Community Based Fisheries Management (CBFM)</w:t>
      </w:r>
      <w:r w:rsidRPr="00C86A6C">
        <w:rPr>
          <w:rFonts w:cs="Calibri Light"/>
        </w:rPr>
        <w:t xml:space="preserve">, and trialling livelihood interventions that have yielded positive results for participants. </w:t>
      </w:r>
      <w:r w:rsidR="00394694">
        <w:rPr>
          <w:rFonts w:cs="Calibri Light"/>
        </w:rPr>
        <w:t>Key</w:t>
      </w:r>
      <w:r w:rsidRPr="00C86A6C">
        <w:rPr>
          <w:rFonts w:cs="Calibri Light"/>
        </w:rPr>
        <w:t xml:space="preserve"> challenges persist regarding communities' ability to effectively monitor and enforce, along with a lack of comprehensive data to conclusively link CBFM activities to improved human wellbeing and resource management</w:t>
      </w:r>
      <w:r>
        <w:rPr>
          <w:rFonts w:cs="Calibri Light"/>
        </w:rPr>
        <w:t>.</w:t>
      </w:r>
    </w:p>
    <w:p w14:paraId="3FB3238B" w14:textId="73F3523D" w:rsidR="00E875A1" w:rsidRPr="00E875A1" w:rsidRDefault="00E875A1" w:rsidP="00821BD8">
      <w:pPr>
        <w:pStyle w:val="ListParagraph"/>
        <w:numPr>
          <w:ilvl w:val="0"/>
          <w:numId w:val="40"/>
        </w:numPr>
        <w:rPr>
          <w:b/>
          <w:bCs/>
        </w:rPr>
      </w:pPr>
      <w:r w:rsidRPr="00E875A1">
        <w:rPr>
          <w:rFonts w:cs="Calibri Light"/>
          <w:b/>
          <w:bCs/>
        </w:rPr>
        <w:t xml:space="preserve">Under </w:t>
      </w:r>
      <w:proofErr w:type="spellStart"/>
      <w:r w:rsidRPr="00E875A1">
        <w:rPr>
          <w:rFonts w:cs="Calibri Light"/>
          <w:b/>
          <w:bCs/>
        </w:rPr>
        <w:t>EoPO</w:t>
      </w:r>
      <w:proofErr w:type="spellEnd"/>
      <w:r w:rsidRPr="00E875A1">
        <w:rPr>
          <w:rFonts w:cs="Calibri Light"/>
          <w:b/>
          <w:bCs/>
        </w:rPr>
        <w:t xml:space="preserve"> 3</w:t>
      </w:r>
      <w:r w:rsidRPr="00E875A1">
        <w:rPr>
          <w:rFonts w:cs="Calibri Light"/>
        </w:rPr>
        <w:t xml:space="preserve">: The </w:t>
      </w:r>
      <w:r w:rsidR="00B41DE6">
        <w:rPr>
          <w:rFonts w:cs="Calibri Light"/>
        </w:rPr>
        <w:t>Investment</w:t>
      </w:r>
      <w:r w:rsidRPr="00E875A1">
        <w:rPr>
          <w:rFonts w:cs="Calibri Light"/>
        </w:rPr>
        <w:t xml:space="preserve"> has made a noticeable contribution to reducing IUU fishing in the Pacific through coordinated Monitoring, Control, and Surveillance (MCS) activities. Key informants highlight numerous regional enforcement issues supported by the </w:t>
      </w:r>
      <w:r w:rsidR="00B41DE6">
        <w:rPr>
          <w:rFonts w:cs="Calibri Light"/>
        </w:rPr>
        <w:t>Investment</w:t>
      </w:r>
      <w:r w:rsidRPr="00E875A1">
        <w:rPr>
          <w:rFonts w:cs="Calibri Light"/>
        </w:rPr>
        <w:t>, including improved regional surveillance and enforcement capacity, as well as better information sharing, which have contributed to the observed reduction in IUU fishing activity in the Pacific.</w:t>
      </w:r>
      <w:r w:rsidRPr="00E875A1" w:rsidDel="00EF7C4D">
        <w:rPr>
          <w:rFonts w:cs="Calibri Light"/>
        </w:rPr>
        <w:t xml:space="preserve"> </w:t>
      </w:r>
      <w:r w:rsidR="001E4419">
        <w:rPr>
          <w:rFonts w:cs="Calibri Light"/>
        </w:rPr>
        <w:t xml:space="preserve">Several challenges </w:t>
      </w:r>
      <w:r w:rsidR="000F3351">
        <w:rPr>
          <w:rFonts w:cs="Calibri Light"/>
        </w:rPr>
        <w:t>remain</w:t>
      </w:r>
      <w:r w:rsidR="001E4419">
        <w:rPr>
          <w:rFonts w:cs="Calibri Light"/>
        </w:rPr>
        <w:t>, including limited capacity and staff turnover at the national level, as well as delays in a small number of PICs ratifying the Niue Treaty Subsidiary Agreement (NTSA)</w:t>
      </w:r>
      <w:r w:rsidRPr="00E875A1">
        <w:rPr>
          <w:rFonts w:cs="Calibri Light"/>
        </w:rPr>
        <w:t>.</w:t>
      </w:r>
    </w:p>
    <w:p w14:paraId="3F24AACD" w14:textId="7E7A8E95" w:rsidR="00E875A1" w:rsidRPr="008E5543" w:rsidRDefault="008E5543" w:rsidP="00821BD8">
      <w:pPr>
        <w:pStyle w:val="ListParagraph"/>
        <w:numPr>
          <w:ilvl w:val="0"/>
          <w:numId w:val="40"/>
        </w:numPr>
        <w:rPr>
          <w:rFonts w:cs="Calibri Light"/>
        </w:rPr>
      </w:pPr>
      <w:r w:rsidRPr="008E5543">
        <w:rPr>
          <w:rFonts w:cs="Calibri Light"/>
          <w:b/>
          <w:bCs/>
        </w:rPr>
        <w:t xml:space="preserve">Under </w:t>
      </w:r>
      <w:proofErr w:type="spellStart"/>
      <w:r w:rsidRPr="008E5543">
        <w:rPr>
          <w:rFonts w:cs="Calibri Light"/>
          <w:b/>
          <w:bCs/>
        </w:rPr>
        <w:t>EoPO</w:t>
      </w:r>
      <w:proofErr w:type="spellEnd"/>
      <w:r w:rsidRPr="008E5543">
        <w:rPr>
          <w:rFonts w:cs="Calibri Light"/>
          <w:b/>
          <w:bCs/>
        </w:rPr>
        <w:t xml:space="preserve"> 4</w:t>
      </w:r>
      <w:r w:rsidRPr="008E5543">
        <w:rPr>
          <w:rFonts w:cs="Calibri Light"/>
        </w:rPr>
        <w:t xml:space="preserve">: The </w:t>
      </w:r>
      <w:r w:rsidR="00B41DE6">
        <w:rPr>
          <w:rFonts w:cs="Calibri Light"/>
        </w:rPr>
        <w:t>Investment</w:t>
      </w:r>
      <w:r w:rsidRPr="008E5543">
        <w:rPr>
          <w:rFonts w:cs="Calibri Light"/>
        </w:rPr>
        <w:t xml:space="preserve"> has contributed to substantial progress in helping PICs define their maritime boundaries, with </w:t>
      </w:r>
      <w:proofErr w:type="gramStart"/>
      <w:r w:rsidRPr="008E5543">
        <w:rPr>
          <w:rFonts w:cs="Calibri Light"/>
        </w:rPr>
        <w:t>the majority of</w:t>
      </w:r>
      <w:proofErr w:type="gramEnd"/>
      <w:r w:rsidRPr="008E5543">
        <w:rPr>
          <w:rFonts w:cs="Calibri Light"/>
        </w:rPr>
        <w:t xml:space="preserve"> shared boundaries formally delimited in accordance with international law. This provides the legal basis for establishing and enforcing maritime jurisdiction, and once defined under international law, there is increased recognition that these boundaries exist indefinitely, regardless of the impacts of climate change. Securing and preserving maritime rights and entitlements amid climate change-related sea-level rise is essential, aligning with the position taken by PIF Leaders in 2021. The </w:t>
      </w:r>
      <w:r w:rsidR="00B41DE6">
        <w:rPr>
          <w:rFonts w:cs="Calibri Light"/>
        </w:rPr>
        <w:t>Investment</w:t>
      </w:r>
      <w:r w:rsidRPr="008E5543">
        <w:rPr>
          <w:rFonts w:cs="Calibri Light"/>
        </w:rPr>
        <w:t xml:space="preserve">, through the Resilient Boundaries for the Blue Pacific (RBBP) project, actively supported PICs in understanding </w:t>
      </w:r>
      <w:r w:rsidRPr="008E5543">
        <w:rPr>
          <w:rFonts w:cstheme="majorHAnsi"/>
        </w:rPr>
        <w:t xml:space="preserve">the legal and technical implications of climate change on these boundaries and building their capacity to respond, adapt and advocate internationally. While challenges like completing all boundary delimitations and fully integrating climate resilience into all areas remain, the </w:t>
      </w:r>
      <w:r w:rsidR="00B41DE6">
        <w:rPr>
          <w:rFonts w:cstheme="majorHAnsi"/>
        </w:rPr>
        <w:t>Investment</w:t>
      </w:r>
      <w:r w:rsidRPr="008E5543">
        <w:rPr>
          <w:rFonts w:cstheme="majorHAnsi"/>
        </w:rPr>
        <w:t xml:space="preserve"> is clearly helping to secure jurisdictional rights and strengthen capacity for future climate-related challenges</w:t>
      </w:r>
    </w:p>
    <w:p w14:paraId="4F9A1BE6" w14:textId="77777777" w:rsidR="00B16991" w:rsidRDefault="00B16991" w:rsidP="00803306"/>
    <w:p w14:paraId="6EAD786D" w14:textId="7AB698A0" w:rsidR="00B16991" w:rsidRDefault="00B16991" w:rsidP="00803306">
      <w:r w:rsidRPr="006460C8">
        <w:rPr>
          <w:b/>
          <w:bCs/>
        </w:rPr>
        <w:t>Effectiveness of DFAT's support to FFA</w:t>
      </w:r>
      <w:r w:rsidRPr="00C7173C">
        <w:t xml:space="preserve">: </w:t>
      </w:r>
      <w:r w:rsidR="008E5543" w:rsidRPr="00EF7C4D">
        <w:rPr>
          <w:rFonts w:asciiTheme="majorHAnsi" w:hAnsiTheme="majorHAnsi" w:cstheme="majorHAnsi"/>
        </w:rPr>
        <w:t>Australia has continued to be a major and reliable donor to the FFA, providing about 16% of the FFA’s total annual income in recent years. This support is widely recognised by key informants as essential for the FFA to achieve its strategic objectives and is generally seen as effective and highly successful in enhancing the FFA's influence in the region. Without this external support, the FFA's financial sustainability would be severely affected.</w:t>
      </w:r>
      <w:r w:rsidR="008E5543">
        <w:rPr>
          <w:rFonts w:asciiTheme="majorHAnsi" w:hAnsiTheme="majorHAnsi" w:cstheme="majorHAnsi"/>
        </w:rPr>
        <w:t xml:space="preserve"> </w:t>
      </w:r>
      <w:r w:rsidR="008E5543" w:rsidRPr="00D27F44">
        <w:rPr>
          <w:rFonts w:asciiTheme="majorHAnsi" w:hAnsiTheme="majorHAnsi" w:cstheme="majorHAnsi"/>
        </w:rPr>
        <w:t>Despite the support from DFAT, the FFA faces challenges in meeting its objectives outlined in its Strategic and Business Plans, and recent reviews commissioned highlight ongoing governance and human resource challenges</w:t>
      </w:r>
      <w:r w:rsidRPr="00C7173C">
        <w:t>.</w:t>
      </w:r>
    </w:p>
    <w:p w14:paraId="4E007172" w14:textId="77777777" w:rsidR="00B16991" w:rsidRDefault="00B16991" w:rsidP="00803306"/>
    <w:p w14:paraId="7061EB0E" w14:textId="45F4FB7E" w:rsidR="008A60AD" w:rsidRDefault="008A60AD" w:rsidP="00803306">
      <w:r w:rsidRPr="00C7173C">
        <w:rPr>
          <w:b/>
          <w:bCs/>
        </w:rPr>
        <w:t xml:space="preserve">Effectiveness of DFAT's coordination with other stakeholders: </w:t>
      </w:r>
      <w:r w:rsidR="008E5543" w:rsidRPr="00AC33B7">
        <w:rPr>
          <w:rFonts w:asciiTheme="majorHAnsi" w:hAnsiTheme="majorHAnsi" w:cstheme="majorHAnsi"/>
        </w:rPr>
        <w:t xml:space="preserve">DFAT has demonstrated </w:t>
      </w:r>
      <w:r w:rsidR="008E5543">
        <w:rPr>
          <w:rFonts w:asciiTheme="majorHAnsi" w:hAnsiTheme="majorHAnsi" w:cstheme="majorHAnsi"/>
        </w:rPr>
        <w:t>noticeable</w:t>
      </w:r>
      <w:r w:rsidR="008E5543" w:rsidRPr="00AC33B7">
        <w:rPr>
          <w:rFonts w:asciiTheme="majorHAnsi" w:hAnsiTheme="majorHAnsi" w:cstheme="majorHAnsi"/>
        </w:rPr>
        <w:t xml:space="preserve"> effort and achieved considerable success in coordinating and leveraging support from other donors (especially MFAT), partner governments (through embedded staff and policy alignment), and non-government/academic organisations (through consortium models and co-contributions) in these programs. </w:t>
      </w:r>
      <w:r w:rsidR="008E5543">
        <w:rPr>
          <w:rFonts w:asciiTheme="majorHAnsi" w:hAnsiTheme="majorHAnsi" w:cstheme="majorHAnsi"/>
        </w:rPr>
        <w:t>Key informants see these partnerships</w:t>
      </w:r>
      <w:r w:rsidR="008E5543" w:rsidRPr="00AC33B7">
        <w:rPr>
          <w:rFonts w:asciiTheme="majorHAnsi" w:hAnsiTheme="majorHAnsi" w:cstheme="majorHAnsi"/>
        </w:rPr>
        <w:t xml:space="preserve"> as providing value for money, bringing diverse expertise, and strengthening regional organisations</w:t>
      </w:r>
      <w:r w:rsidR="008E5543">
        <w:rPr>
          <w:rFonts w:asciiTheme="majorHAnsi" w:hAnsiTheme="majorHAnsi" w:cstheme="majorHAnsi"/>
        </w:rPr>
        <w:t>, but there</w:t>
      </w:r>
      <w:r w:rsidR="008E5543" w:rsidRPr="00AC33B7">
        <w:rPr>
          <w:rFonts w:asciiTheme="majorHAnsi" w:hAnsiTheme="majorHAnsi" w:cstheme="majorHAnsi"/>
        </w:rPr>
        <w:t xml:space="preserve"> is scope for DFAT to </w:t>
      </w:r>
      <w:r w:rsidR="008E5543">
        <w:rPr>
          <w:rFonts w:asciiTheme="majorHAnsi" w:hAnsiTheme="majorHAnsi" w:cstheme="majorHAnsi"/>
        </w:rPr>
        <w:t>continue to i</w:t>
      </w:r>
      <w:r w:rsidR="008E5543" w:rsidRPr="00AC33B7">
        <w:rPr>
          <w:rFonts w:asciiTheme="majorHAnsi" w:hAnsiTheme="majorHAnsi" w:cstheme="majorHAnsi"/>
        </w:rPr>
        <w:t>mprove harmonisation with other donors</w:t>
      </w:r>
      <w:r w:rsidRPr="008A60AD">
        <w:t>.</w:t>
      </w:r>
    </w:p>
    <w:p w14:paraId="44E5B85E" w14:textId="77777777" w:rsidR="001D60F2" w:rsidRDefault="001D60F2" w:rsidP="00803306"/>
    <w:p w14:paraId="01C011DE" w14:textId="28A1F9FC" w:rsidR="00A3789F" w:rsidRPr="00873636" w:rsidRDefault="008E5543" w:rsidP="00873636">
      <w:pPr>
        <w:pStyle w:val="Heading4"/>
        <w:rPr>
          <w:sz w:val="24"/>
          <w:szCs w:val="24"/>
        </w:rPr>
      </w:pPr>
      <w:r w:rsidRPr="00873636">
        <w:rPr>
          <w:sz w:val="24"/>
          <w:szCs w:val="24"/>
        </w:rPr>
        <w:t>KEQ2: To what extent was the Investment (including partner selection and modalities) efficient in achieving outcomes?</w:t>
      </w:r>
    </w:p>
    <w:p w14:paraId="248085AE" w14:textId="7079706B" w:rsidR="008A60AD" w:rsidRDefault="008E5543" w:rsidP="00803306">
      <w:r>
        <w:rPr>
          <w:rFonts w:asciiTheme="majorHAnsi" w:hAnsiTheme="majorHAnsi" w:cstheme="majorHAnsi"/>
        </w:rPr>
        <w:lastRenderedPageBreak/>
        <w:t xml:space="preserve">The overarching efficiency finding is that, apart from during the COVID-19 Pandemic or other circumstances beyond the Investment’s control, the Investment has generally delivered its outputs within the expected budget and timeframes. Partner selection, especially through Australian government technical agencies, academic institutions, and regional and partner government organisations via mechanisms like consortia and embedded staff, proved effective in sourcing diverse expertise and enhancing capacity. In a few isolated instances, efficiency was affected by legislative reform and diplomatic issues, challenges in financial management by partners, and the need for clearer outcomes and better-integrated program design for the overall </w:t>
      </w:r>
      <w:r w:rsidR="00B41DE6">
        <w:rPr>
          <w:rFonts w:asciiTheme="majorHAnsi" w:hAnsiTheme="majorHAnsi" w:cstheme="majorHAnsi"/>
        </w:rPr>
        <w:t>I</w:t>
      </w:r>
      <w:r>
        <w:rPr>
          <w:rFonts w:asciiTheme="majorHAnsi" w:hAnsiTheme="majorHAnsi" w:cstheme="majorHAnsi"/>
        </w:rPr>
        <w:t>nvestment</w:t>
      </w:r>
      <w:r w:rsidR="004E515D">
        <w:t>.</w:t>
      </w:r>
    </w:p>
    <w:p w14:paraId="5AFBF7D7" w14:textId="77777777" w:rsidR="004E515D" w:rsidRDefault="004E515D" w:rsidP="00803306"/>
    <w:p w14:paraId="1B407E2D" w14:textId="4A4B879D" w:rsidR="004E515D" w:rsidRPr="00C7173C" w:rsidRDefault="004E515D" w:rsidP="00803306">
      <w:r w:rsidRPr="00C7173C">
        <w:rPr>
          <w:b/>
          <w:bCs/>
        </w:rPr>
        <w:t>Appropriate and efficient use of time and resources</w:t>
      </w:r>
      <w:r w:rsidRPr="00C7173C">
        <w:t xml:space="preserve">: Funding was generally disbursed </w:t>
      </w:r>
      <w:r w:rsidR="00233270">
        <w:t>in</w:t>
      </w:r>
      <w:r w:rsidRPr="00C7173C">
        <w:t xml:space="preserve"> </w:t>
      </w:r>
      <w:r w:rsidR="00233270">
        <w:t>accordance with the</w:t>
      </w:r>
      <w:r w:rsidRPr="00C7173C">
        <w:t xml:space="preserve"> contracts. As of May 2025, 95.91% of committed funds were expended within 93.10% of the </w:t>
      </w:r>
      <w:r w:rsidR="00B41DE6">
        <w:t>Investment</w:t>
      </w:r>
      <w:r w:rsidRPr="00C7173C">
        <w:t xml:space="preserve"> period. The overarching budget had limited deviation. </w:t>
      </w:r>
      <w:r w:rsidR="00394694">
        <w:t>U</w:t>
      </w:r>
      <w:r w:rsidRPr="00C7173C">
        <w:t>nderspending occurred in some projects (e.g., IUU Fishing, PMB, OPOC, CBFM)</w:t>
      </w:r>
      <w:r w:rsidR="00766B67">
        <w:t>,</w:t>
      </w:r>
      <w:r w:rsidRPr="00C7173C">
        <w:t xml:space="preserve"> partly due to external factors like COVID-19. Efficiency was sometimes hindered by external factors such as slow legislative reform and diplomatic issues. The regional approach is an efficient means of coordination. A whole-of-government approach is considered essential and efficient.</w:t>
      </w:r>
    </w:p>
    <w:p w14:paraId="695A50AE" w14:textId="77777777" w:rsidR="004E515D" w:rsidRDefault="004E515D" w:rsidP="00803306"/>
    <w:p w14:paraId="1435362E" w14:textId="3BF56557" w:rsidR="004E515D" w:rsidRPr="00C7173C" w:rsidRDefault="00862CB7" w:rsidP="00803306">
      <w:r>
        <w:rPr>
          <w:b/>
          <w:bCs/>
        </w:rPr>
        <w:t>Partner selection and modalities</w:t>
      </w:r>
      <w:r>
        <w:t>: The regional approach provides economies of scale and effectively tackles transboundary challenges. Core and programme funding to regional organisations reduces administrative burdens and offers flexibility. Partner government technical agencies, academic institutions, and regional or partner government organisations were efficiently engaged through mechanisms such as consortia and deploying embedded staff. These partners were highly valued for their expertise. Partner time was used effectively, especially through embedded staff models.</w:t>
      </w:r>
    </w:p>
    <w:p w14:paraId="5F77ED81" w14:textId="77777777" w:rsidR="004E515D" w:rsidRDefault="004E515D" w:rsidP="00803306"/>
    <w:p w14:paraId="2CD63D64" w14:textId="1C51C7F3" w:rsidR="004E515D" w:rsidRPr="00C7173C" w:rsidRDefault="004E515D" w:rsidP="00803306">
      <w:r w:rsidRPr="00C7173C">
        <w:rPr>
          <w:b/>
          <w:bCs/>
        </w:rPr>
        <w:t xml:space="preserve">DFAT's Risk </w:t>
      </w:r>
      <w:r w:rsidR="00CD3C69">
        <w:rPr>
          <w:b/>
          <w:bCs/>
        </w:rPr>
        <w:t>M</w:t>
      </w:r>
      <w:r w:rsidRPr="00C7173C">
        <w:rPr>
          <w:b/>
          <w:bCs/>
        </w:rPr>
        <w:t>anagement</w:t>
      </w:r>
      <w:r w:rsidRPr="00C7173C">
        <w:t xml:space="preserve">: </w:t>
      </w:r>
      <w:r w:rsidR="008E5543" w:rsidRPr="00AC33B7">
        <w:rPr>
          <w:rStyle w:val="cf11"/>
          <w:rFonts w:asciiTheme="majorHAnsi" w:hAnsiTheme="majorHAnsi" w:cstheme="majorHAnsi"/>
          <w:sz w:val="22"/>
          <w:szCs w:val="22"/>
          <w:lang w:eastAsia="en-AU"/>
        </w:rPr>
        <w:t xml:space="preserve">Risks to achieving the </w:t>
      </w:r>
      <w:r w:rsidR="00B41DE6">
        <w:rPr>
          <w:rStyle w:val="cf11"/>
          <w:rFonts w:asciiTheme="majorHAnsi" w:hAnsiTheme="majorHAnsi" w:cstheme="majorHAnsi"/>
          <w:sz w:val="22"/>
          <w:szCs w:val="22"/>
          <w:lang w:eastAsia="en-AU"/>
        </w:rPr>
        <w:t>Investment</w:t>
      </w:r>
      <w:r w:rsidR="008E5543" w:rsidRPr="00AC33B7">
        <w:rPr>
          <w:rStyle w:val="cf11"/>
          <w:rFonts w:asciiTheme="majorHAnsi" w:hAnsiTheme="majorHAnsi" w:cstheme="majorHAnsi"/>
          <w:sz w:val="22"/>
          <w:szCs w:val="22"/>
          <w:lang w:eastAsia="en-AU"/>
        </w:rPr>
        <w:t xml:space="preserve">’s outcomes were well managed through various strategies implemented by DFAT and its partners throughout the </w:t>
      </w:r>
      <w:r w:rsidR="00B41DE6">
        <w:rPr>
          <w:rStyle w:val="cf11"/>
          <w:rFonts w:asciiTheme="majorHAnsi" w:hAnsiTheme="majorHAnsi" w:cstheme="majorHAnsi"/>
          <w:sz w:val="22"/>
          <w:szCs w:val="22"/>
          <w:lang w:eastAsia="en-AU"/>
        </w:rPr>
        <w:t>Investment</w:t>
      </w:r>
      <w:r w:rsidR="008E5543" w:rsidRPr="00AC33B7">
        <w:rPr>
          <w:rStyle w:val="cf11"/>
          <w:rFonts w:asciiTheme="majorHAnsi" w:hAnsiTheme="majorHAnsi" w:cstheme="majorHAnsi"/>
          <w:sz w:val="22"/>
          <w:szCs w:val="22"/>
          <w:lang w:eastAsia="en-AU"/>
        </w:rPr>
        <w:t xml:space="preserve">'s duration. Risks did not impact </w:t>
      </w:r>
      <w:r w:rsidR="008E5543" w:rsidRPr="00AC33B7">
        <w:rPr>
          <w:rStyle w:val="Strong"/>
          <w:rFonts w:asciiTheme="majorHAnsi" w:hAnsiTheme="majorHAnsi" w:cstheme="majorHAnsi"/>
          <w:b w:val="0"/>
          <w:bCs w:val="0"/>
        </w:rPr>
        <w:t xml:space="preserve">project delivery or achieving </w:t>
      </w:r>
      <w:r w:rsidR="008E5543">
        <w:rPr>
          <w:rStyle w:val="Strong"/>
          <w:rFonts w:asciiTheme="majorHAnsi" w:hAnsiTheme="majorHAnsi" w:cstheme="majorHAnsi"/>
          <w:b w:val="0"/>
          <w:bCs w:val="0"/>
        </w:rPr>
        <w:t xml:space="preserve">the </w:t>
      </w:r>
      <w:r w:rsidR="00B41DE6">
        <w:rPr>
          <w:rStyle w:val="Strong"/>
          <w:rFonts w:asciiTheme="majorHAnsi" w:hAnsiTheme="majorHAnsi" w:cstheme="majorHAnsi"/>
          <w:b w:val="0"/>
          <w:bCs w:val="0"/>
        </w:rPr>
        <w:t>Investment</w:t>
      </w:r>
      <w:r w:rsidR="008E5543">
        <w:rPr>
          <w:rStyle w:val="Strong"/>
          <w:rFonts w:asciiTheme="majorHAnsi" w:hAnsiTheme="majorHAnsi" w:cstheme="majorHAnsi"/>
          <w:b w:val="0"/>
          <w:bCs w:val="0"/>
        </w:rPr>
        <w:t>’s</w:t>
      </w:r>
      <w:r w:rsidR="008E5543" w:rsidRPr="00AC33B7">
        <w:rPr>
          <w:rStyle w:val="Strong"/>
          <w:rFonts w:asciiTheme="majorHAnsi" w:hAnsiTheme="majorHAnsi" w:cstheme="majorHAnsi"/>
          <w:b w:val="0"/>
          <w:bCs w:val="0"/>
        </w:rPr>
        <w:t xml:space="preserve"> outcomes</w:t>
      </w:r>
      <w:r w:rsidR="008E5543" w:rsidRPr="00AC33B7">
        <w:rPr>
          <w:rFonts w:asciiTheme="majorHAnsi" w:hAnsiTheme="majorHAnsi" w:cstheme="majorHAnsi"/>
        </w:rPr>
        <w:t>. DFAT demonstrated high effectiveness in risk management by proactively identifying potential risks, developing comprehensive mitigation strategies, maintaining regular oversight and communication, and adapting to changing contexts</w:t>
      </w:r>
      <w:r w:rsidRPr="00C7173C">
        <w:t>.</w:t>
      </w:r>
    </w:p>
    <w:p w14:paraId="0061451D" w14:textId="77777777" w:rsidR="008A60AD" w:rsidRDefault="008A60AD" w:rsidP="00803306"/>
    <w:p w14:paraId="3062D5CC" w14:textId="3EA8C264" w:rsidR="008E5543" w:rsidRDefault="004E515D" w:rsidP="00803306">
      <w:r w:rsidRPr="00C7173C">
        <w:rPr>
          <w:b/>
          <w:bCs/>
        </w:rPr>
        <w:t xml:space="preserve">Effectiveness of MEL Systems: </w:t>
      </w:r>
      <w:r w:rsidR="008E5543" w:rsidRPr="00542E34">
        <w:t xml:space="preserve">The lack of a MEL framework for the overall </w:t>
      </w:r>
      <w:r w:rsidR="00B41DE6">
        <w:t>Investment</w:t>
      </w:r>
      <w:r w:rsidR="008E5543" w:rsidRPr="00542E34">
        <w:t xml:space="preserve"> represented a missed opportunity to monitor overarching outcomes and process indicators across the portfolio of fisheries </w:t>
      </w:r>
      <w:r w:rsidR="00B41DE6">
        <w:t>Investment</w:t>
      </w:r>
      <w:r w:rsidR="008E5543" w:rsidRPr="00542E34">
        <w:t>s in the Pacific. This limited the Australian Government</w:t>
      </w:r>
      <w:r w:rsidR="00D93813">
        <w:t>'s ability</w:t>
      </w:r>
      <w:r w:rsidR="008E5543" w:rsidRPr="00542E34">
        <w:t xml:space="preserve"> to make evidence-based decisions </w:t>
      </w:r>
      <w:r w:rsidR="00D93813">
        <w:t>on</w:t>
      </w:r>
      <w:r w:rsidR="008E5543" w:rsidRPr="00542E34">
        <w:t xml:space="preserve"> strategy, resource allocation, and partnership engagement across the portfolio, as well as the extent to which lessons could be learned and information shared across the overall </w:t>
      </w:r>
      <w:r w:rsidR="00B41DE6">
        <w:t>Investment</w:t>
      </w:r>
      <w:r w:rsidR="008E5543">
        <w:t xml:space="preserve">. </w:t>
      </w:r>
      <w:r w:rsidR="000F3351">
        <w:t xml:space="preserve">MEL systems have improved over time at the agreement level (such as for AFMA and ANCORS) and within regional organisations like SPC </w:t>
      </w:r>
      <w:r w:rsidR="006B5558">
        <w:t>FAME</w:t>
      </w:r>
      <w:r w:rsidR="000F3351">
        <w:t xml:space="preserve"> to ensure they meet DFAT’s MEL standards, but not all MEL frameworks used across the </w:t>
      </w:r>
      <w:r w:rsidR="00B41DE6">
        <w:t>Investment</w:t>
      </w:r>
      <w:r w:rsidR="000F3351">
        <w:t xml:space="preserve"> align with DFAT’s MEL standards.</w:t>
      </w:r>
    </w:p>
    <w:p w14:paraId="497A318E" w14:textId="77777777" w:rsidR="008E5543" w:rsidRDefault="008E5543" w:rsidP="00CF4526"/>
    <w:p w14:paraId="089B450D" w14:textId="1FB0DC25" w:rsidR="00CF4526" w:rsidRPr="00AC33B7" w:rsidRDefault="008E5543" w:rsidP="005B0617">
      <w:pPr>
        <w:spacing w:after="240"/>
        <w:rPr>
          <w:rFonts w:asciiTheme="majorHAnsi" w:hAnsiTheme="majorHAnsi" w:cstheme="majorHAnsi"/>
        </w:rPr>
      </w:pPr>
      <w:r w:rsidRPr="00CF4526">
        <w:rPr>
          <w:b/>
          <w:bCs/>
        </w:rPr>
        <w:t>MEL lessons learned:</w:t>
      </w:r>
      <w:r>
        <w:t xml:space="preserve">   </w:t>
      </w:r>
      <w:r w:rsidR="00CF4526" w:rsidRPr="00CF4526">
        <w:t xml:space="preserve">There are several lessons and opportunities for MEL in DFAT’s upcoming Pacific fisheries </w:t>
      </w:r>
      <w:r w:rsidR="00B41DE6">
        <w:t>Investment</w:t>
      </w:r>
      <w:r w:rsidR="00CF4526" w:rsidRPr="00CF4526">
        <w:t>s, some specific to the subject matter and operational context, while others align with effective MEL practices that could be further developed. Furthermore, the evaluation found that learning was often anecdotal rather than evidence-based and needs improvement to establish a more systematic approach to lessons learnt to guide future programmes.</w:t>
      </w:r>
      <w:r w:rsidR="00CF4526">
        <w:t xml:space="preserve"> A</w:t>
      </w:r>
      <w:r w:rsidR="00CF4526" w:rsidRPr="008A42D9">
        <w:t>n opportunity now exists to connect fisheries agencies with the recently launched</w:t>
      </w:r>
      <w:r w:rsidR="00CF4526">
        <w:t xml:space="preserve"> </w:t>
      </w:r>
      <w:hyperlink r:id="rId18" w:history="1">
        <w:r w:rsidR="00CF4526" w:rsidRPr="00550850">
          <w:rPr>
            <w:rStyle w:val="Hyperlink"/>
          </w:rPr>
          <w:t>Diploma in Monitoring, Evaluation and Learning</w:t>
        </w:r>
      </w:hyperlink>
      <w:r w:rsidR="00CF4526" w:rsidRPr="008A42D9">
        <w:t xml:space="preserve"> qualification under the auspices of the SPC.</w:t>
      </w:r>
    </w:p>
    <w:p w14:paraId="764AAD93" w14:textId="77777777" w:rsidR="00C62B7D" w:rsidRDefault="00C62B7D">
      <w:pPr>
        <w:tabs>
          <w:tab w:val="clear" w:pos="7780"/>
        </w:tabs>
        <w:rPr>
          <w:rFonts w:cstheme="majorHAnsi"/>
          <w:color w:val="2E74B5" w:themeColor="accent5" w:themeShade="BF"/>
          <w:spacing w:val="30"/>
          <w:sz w:val="24"/>
          <w:szCs w:val="24"/>
        </w:rPr>
      </w:pPr>
      <w:bookmarkStart w:id="11" w:name="_Toc199684917"/>
      <w:r>
        <w:br w:type="page"/>
      </w:r>
    </w:p>
    <w:p w14:paraId="6CC2507C" w14:textId="08444D52" w:rsidR="00803306" w:rsidRPr="001D60F2" w:rsidRDefault="00D93813" w:rsidP="001D60F2">
      <w:pPr>
        <w:pStyle w:val="Heading4"/>
        <w:rPr>
          <w:sz w:val="24"/>
          <w:szCs w:val="24"/>
        </w:rPr>
      </w:pPr>
      <w:r w:rsidRPr="001D60F2">
        <w:rPr>
          <w:sz w:val="24"/>
          <w:szCs w:val="24"/>
        </w:rPr>
        <w:lastRenderedPageBreak/>
        <w:t>KEQ3: What other outcomes (intended, unintended, positive and negative) has the investment contributed to in the Pacific region</w:t>
      </w:r>
      <w:bookmarkEnd w:id="11"/>
      <w:r w:rsidRPr="001D60F2">
        <w:rPr>
          <w:sz w:val="24"/>
          <w:szCs w:val="24"/>
        </w:rPr>
        <w:t>?</w:t>
      </w:r>
    </w:p>
    <w:p w14:paraId="7FF7F82D" w14:textId="07A8E838" w:rsidR="004E515D" w:rsidRDefault="00D93813" w:rsidP="00803306">
      <w:r w:rsidRPr="00896D82">
        <w:t xml:space="preserve">Australia's investment in Pacific fisheries development has yielded a variety of outcomes beyond the primary goals of maximising economic benefits and ensuring food security. These include positive results associated with regional cooperation, institutional strengthening, capacity building, gender and social inclusion, specific project successes, and advantages arising from the </w:t>
      </w:r>
      <w:r w:rsidR="000F3351">
        <w:t>I</w:t>
      </w:r>
      <w:r w:rsidRPr="00896D82">
        <w:t>nvestment's modality, as well as negative outcomes or challenges related to</w:t>
      </w:r>
      <w:r>
        <w:t xml:space="preserve"> issues that are </w:t>
      </w:r>
      <w:r w:rsidR="00862CB7">
        <w:t>primari</w:t>
      </w:r>
      <w:r>
        <w:t>ly outside the control of the Investment including</w:t>
      </w:r>
      <w:r w:rsidRPr="00896D82">
        <w:t xml:space="preserve"> </w:t>
      </w:r>
      <w:r>
        <w:t>external shocks such as COVID-19, and institutional weaknesses that undermine the efficacy of fisheries agencies in the region</w:t>
      </w:r>
      <w:r w:rsidR="004E515D" w:rsidRPr="00C7173C">
        <w:t>.</w:t>
      </w:r>
    </w:p>
    <w:p w14:paraId="6B5535D9" w14:textId="02850415" w:rsidR="008D3EF9" w:rsidRPr="00C7173C" w:rsidRDefault="008D3EF9" w:rsidP="00803306"/>
    <w:p w14:paraId="73DE4A72" w14:textId="174D209A" w:rsidR="004E515D" w:rsidRDefault="004E515D" w:rsidP="00803306">
      <w:r w:rsidRPr="00C7173C">
        <w:rPr>
          <w:b/>
          <w:bCs/>
        </w:rPr>
        <w:t>Gender equality</w:t>
      </w:r>
      <w:r w:rsidRPr="00C7173C">
        <w:t xml:space="preserve">: </w:t>
      </w:r>
      <w:r w:rsidR="00D93813" w:rsidRPr="00C7173C">
        <w:t>Gender equality has gained increasing attention</w:t>
      </w:r>
      <w:r w:rsidR="00D93813">
        <w:t xml:space="preserve"> and commitment over the lifetime of the Investment. </w:t>
      </w:r>
      <w:r w:rsidR="00D93813" w:rsidRPr="00C7173C">
        <w:t xml:space="preserve"> </w:t>
      </w:r>
      <w:r w:rsidR="00D93813" w:rsidRPr="00122F2D">
        <w:t xml:space="preserve">Both the FFA and SPC </w:t>
      </w:r>
      <w:r w:rsidR="006B5558">
        <w:t>FAME</w:t>
      </w:r>
      <w:r w:rsidR="00D93813" w:rsidRPr="00122F2D">
        <w:t xml:space="preserve"> have recruited dedicated gender equality advisors, facilitated regional discussions </w:t>
      </w:r>
      <w:r w:rsidR="00D93813">
        <w:t xml:space="preserve">on gender, </w:t>
      </w:r>
      <w:r w:rsidR="00D93813" w:rsidRPr="00122F2D">
        <w:t>and developed comprehensive gender strategies</w:t>
      </w:r>
      <w:r w:rsidR="00D93813">
        <w:t xml:space="preserve">. </w:t>
      </w:r>
      <w:r w:rsidR="00D93813" w:rsidRPr="006F38BA">
        <w:t xml:space="preserve">The sector has seen significant progress in women’s representation within fisheries governance and decision-making, </w:t>
      </w:r>
      <w:r w:rsidR="00D93813">
        <w:t>as well as at all leadership levels and the community level. Gender-sensitive approaches to coastal fisheries management have supported outcomes that promote</w:t>
      </w:r>
      <w:r w:rsidR="00D93813" w:rsidRPr="00822D23">
        <w:t xml:space="preserve"> women’s economic empowerment</w:t>
      </w:r>
      <w:r w:rsidR="00D93813">
        <w:t>. Challenges</w:t>
      </w:r>
      <w:r w:rsidR="00D93813" w:rsidRPr="00C7173C">
        <w:t xml:space="preserve"> remain in mainstreaming gender</w:t>
      </w:r>
      <w:r w:rsidR="00D93813">
        <w:t xml:space="preserve"> </w:t>
      </w:r>
      <w:r w:rsidR="00D93813" w:rsidRPr="00C7173C">
        <w:t>equality and addressing cultural barriers at senior levels</w:t>
      </w:r>
      <w:r w:rsidR="00D93813">
        <w:t>.</w:t>
      </w:r>
    </w:p>
    <w:p w14:paraId="74EA1E30" w14:textId="65A63D6E" w:rsidR="008D3EF9" w:rsidRPr="00C7173C" w:rsidRDefault="008D3EF9" w:rsidP="00803306"/>
    <w:p w14:paraId="31DAF2BF" w14:textId="42AE589B" w:rsidR="004E515D" w:rsidRDefault="004E515D" w:rsidP="00803306">
      <w:r w:rsidRPr="00C7173C">
        <w:rPr>
          <w:b/>
          <w:bCs/>
        </w:rPr>
        <w:t>Disability equity and youth inclusion</w:t>
      </w:r>
      <w:r w:rsidRPr="00C7173C">
        <w:t xml:space="preserve">: </w:t>
      </w:r>
      <w:r w:rsidR="00D93813">
        <w:rPr>
          <w:rFonts w:asciiTheme="majorHAnsi" w:hAnsiTheme="majorHAnsi" w:cstheme="majorHAnsi"/>
        </w:rPr>
        <w:t xml:space="preserve">The </w:t>
      </w:r>
      <w:r w:rsidR="00B41DE6">
        <w:rPr>
          <w:rFonts w:asciiTheme="majorHAnsi" w:hAnsiTheme="majorHAnsi" w:cstheme="majorHAnsi"/>
        </w:rPr>
        <w:t>I</w:t>
      </w:r>
      <w:r w:rsidR="00D93813">
        <w:rPr>
          <w:rFonts w:asciiTheme="majorHAnsi" w:hAnsiTheme="majorHAnsi" w:cstheme="majorHAnsi"/>
        </w:rPr>
        <w:t>nvestment did not prioritise disability equity or youth inclusion, and there was no significant progress or change for these groups beyond initial efforts. Future initiatives must be much more deliberate and fully integrated regarding disability equity</w:t>
      </w:r>
      <w:r w:rsidRPr="00C7173C">
        <w:t>.</w:t>
      </w:r>
    </w:p>
    <w:p w14:paraId="73A8038E" w14:textId="2E8AB945" w:rsidR="008D3EF9" w:rsidRPr="00C7173C" w:rsidRDefault="008D3EF9" w:rsidP="00803306"/>
    <w:p w14:paraId="379F62A1" w14:textId="0C8AD946" w:rsidR="004E515D" w:rsidRDefault="004E515D" w:rsidP="00803306">
      <w:r w:rsidRPr="00C7173C">
        <w:rPr>
          <w:b/>
          <w:bCs/>
        </w:rPr>
        <w:t>Climate change adaptation</w:t>
      </w:r>
      <w:r w:rsidRPr="00C7173C">
        <w:t xml:space="preserve">: </w:t>
      </w:r>
      <w:r w:rsidR="00D93813">
        <w:t xml:space="preserve">Although climate change is not a primary goal of the Investment, and activities related to climate change are not systematically incorporated into all its components, the Investment has helped improve understanding and address the impacts of climate change on Pacific fisheries and maritime zones. Nevertheless, there is a need for more systematic integration of climate change considerations across all </w:t>
      </w:r>
      <w:r w:rsidR="00B41DE6">
        <w:t>Investment</w:t>
      </w:r>
      <w:r w:rsidR="00D93813">
        <w:t xml:space="preserve"> parts, clearer articulation of adaptation outcomes, and ongoing support for Pacific-led climate action in the fisheries sector</w:t>
      </w:r>
      <w:r w:rsidR="00F3016F">
        <w:t>.</w:t>
      </w:r>
    </w:p>
    <w:p w14:paraId="1F594A73" w14:textId="166020A4" w:rsidR="008D3EF9" w:rsidRPr="00C7173C" w:rsidRDefault="008D3EF9" w:rsidP="00803306"/>
    <w:p w14:paraId="78977AC6" w14:textId="24FE3214" w:rsidR="004E515D" w:rsidRDefault="004E515D" w:rsidP="00803306">
      <w:r w:rsidRPr="00C7173C">
        <w:rPr>
          <w:b/>
          <w:bCs/>
        </w:rPr>
        <w:t>Impact on Australia's standing</w:t>
      </w:r>
      <w:r w:rsidRPr="00C7173C">
        <w:t xml:space="preserve">: </w:t>
      </w:r>
      <w:r w:rsidR="00D93813">
        <w:t xml:space="preserve">The </w:t>
      </w:r>
      <w:r w:rsidR="00B41DE6">
        <w:t>Investment</w:t>
      </w:r>
      <w:r w:rsidR="00D93813">
        <w:t xml:space="preserve"> has had a substantial, largely positive impact on how Australia is seen in the Pacific region, strengthening its position as a key development partner. While it has mostly elevated Australia's reputation as a dependable and trusted partner in Pacific fisheries and maritime security—particularly through steady support for regional organisations and important initiatives like MCS and maritime boundaries—this is sometimes countered by limited visibility of certain contributions and negative perceptions surrounding Australia's broader climate policies and geopolitical stance</w:t>
      </w:r>
      <w:r w:rsidRPr="00C7173C">
        <w:t>.</w:t>
      </w:r>
    </w:p>
    <w:p w14:paraId="2929EE60" w14:textId="203D70CF" w:rsidR="008D3EF9" w:rsidRPr="00C7173C" w:rsidRDefault="008D3EF9" w:rsidP="00803306"/>
    <w:p w14:paraId="0DF40C6B" w14:textId="1B152A0E" w:rsidR="00B16991" w:rsidRDefault="004E515D" w:rsidP="00803306">
      <w:r w:rsidRPr="00C7173C">
        <w:rPr>
          <w:b/>
          <w:bCs/>
        </w:rPr>
        <w:t>Sustainability of benefits</w:t>
      </w:r>
      <w:r w:rsidRPr="00C7173C">
        <w:t xml:space="preserve">: </w:t>
      </w:r>
      <w:r w:rsidR="0000456B">
        <w:t xml:space="preserve">The benefits of the </w:t>
      </w:r>
      <w:r w:rsidR="00B41DE6">
        <w:t>Investment</w:t>
      </w:r>
      <w:r w:rsidR="0000456B">
        <w:t xml:space="preserve"> have secured sustainability in certain areas, particularly by strengthening regional institutions and encouraging local ownership in community-based initiatives. Developing sustainable systems and capabilities, especially in financial mechanisms and through capacity-building initiatives, will also help sustain the benefits of the </w:t>
      </w:r>
      <w:r w:rsidR="00B41DE6">
        <w:t>Investment</w:t>
      </w:r>
      <w:r w:rsidR="0000456B">
        <w:t xml:space="preserve">. Concerns persist about long-term dependency on donor funding and the challenges of maintaining momentum in national-level capacity and policy reform, such as in areas like IUU fishing, which requires ongoing </w:t>
      </w:r>
      <w:r w:rsidR="00B41DE6">
        <w:t>Investment</w:t>
      </w:r>
      <w:r w:rsidR="0000456B">
        <w:t xml:space="preserve"> to promote national reform challenges</w:t>
      </w:r>
      <w:r w:rsidR="00840BB6">
        <w:t>.</w:t>
      </w:r>
    </w:p>
    <w:p w14:paraId="31094D9F" w14:textId="77777777" w:rsidR="00803306" w:rsidRPr="00DE1834" w:rsidRDefault="00803306" w:rsidP="00803306"/>
    <w:p w14:paraId="10CB2ED6" w14:textId="21FF74EB" w:rsidR="0093796B" w:rsidRPr="001D60F2" w:rsidRDefault="004E0903" w:rsidP="001D60F2">
      <w:pPr>
        <w:pStyle w:val="Heading3"/>
        <w:rPr>
          <w:rStyle w:val="Heading"/>
          <w:rFonts w:asciiTheme="majorHAnsi" w:hAnsiTheme="majorHAnsi" w:cstheme="majorBidi"/>
          <w:b/>
          <w:bCs/>
          <w:color w:val="2F5496" w:themeColor="accent1" w:themeShade="BF"/>
          <w:sz w:val="28"/>
          <w:szCs w:val="28"/>
        </w:rPr>
      </w:pPr>
      <w:r w:rsidRPr="001D60F2">
        <w:rPr>
          <w:rStyle w:val="Heading"/>
          <w:rFonts w:asciiTheme="majorHAnsi" w:hAnsiTheme="majorHAnsi" w:cstheme="majorBidi"/>
          <w:b/>
          <w:bCs/>
          <w:color w:val="2F5496" w:themeColor="accent1" w:themeShade="BF"/>
          <w:sz w:val="28"/>
          <w:szCs w:val="28"/>
        </w:rPr>
        <w:t>Conclusion</w:t>
      </w:r>
    </w:p>
    <w:p w14:paraId="6FC0E727" w14:textId="0DC7E212" w:rsidR="004E0903" w:rsidRDefault="002E5164" w:rsidP="0093796B">
      <w:r>
        <w:t xml:space="preserve">Over the past 15 years, Australia's </w:t>
      </w:r>
      <w:r w:rsidR="00B41DE6">
        <w:t>Investment</w:t>
      </w:r>
      <w:r>
        <w:t xml:space="preserve"> has yielded substantial results across all intended outcomes, strengthening regional partnerships and governance, while contributing to economic improvements, maritime security, and a reduction in IUU fishing. Support for regional organisations and community-based initiatives has been vital. </w:t>
      </w:r>
      <w:r w:rsidR="00F50F1C">
        <w:t xml:space="preserve">Although cross-cutting outcomes such as gender equality and climate resilience have received </w:t>
      </w:r>
      <w:r w:rsidR="00F50F1C">
        <w:lastRenderedPageBreak/>
        <w:t xml:space="preserve">more attention and have shown some progress, achieving disability equity requires </w:t>
      </w:r>
      <w:r w:rsidR="000F3351">
        <w:t xml:space="preserve">substantial </w:t>
      </w:r>
      <w:r w:rsidR="00F50F1C">
        <w:t xml:space="preserve">future effort. The sustainability of these achievements is promising due to institutional partnerships and capacity building; </w:t>
      </w:r>
      <w:r w:rsidR="0000456B" w:rsidRPr="00365F4F">
        <w:t>enduring success will necessitate ongoing Australian and multilateral support, and future investments will require further integration of gender, climate change, and particularly disability</w:t>
      </w:r>
      <w:r w:rsidR="00F50F1C">
        <w:t>.</w:t>
      </w:r>
    </w:p>
    <w:p w14:paraId="370F463D" w14:textId="2713900C" w:rsidR="00DE1834" w:rsidRPr="00581C11" w:rsidRDefault="00DE1834" w:rsidP="00D41C65">
      <w:pPr>
        <w:rPr>
          <w:rStyle w:val="Heading"/>
          <w:rFonts w:cstheme="minorHAnsi"/>
          <w:color w:val="auto"/>
          <w:sz w:val="24"/>
          <w:szCs w:val="24"/>
        </w:rPr>
      </w:pPr>
    </w:p>
    <w:p w14:paraId="7F1C264F" w14:textId="1589ACC7" w:rsidR="00DE1834" w:rsidRPr="001D60F2" w:rsidRDefault="004E0903" w:rsidP="001D60F2">
      <w:pPr>
        <w:pStyle w:val="Heading3"/>
        <w:rPr>
          <w:rStyle w:val="Heading"/>
          <w:rFonts w:ascii="Verdana" w:hAnsi="Verdana" w:cstheme="majorBidi"/>
          <w:color w:val="2F5496" w:themeColor="accent1" w:themeShade="BF"/>
          <w:sz w:val="28"/>
          <w:szCs w:val="28"/>
        </w:rPr>
      </w:pPr>
      <w:r w:rsidRPr="001D60F2">
        <w:rPr>
          <w:rStyle w:val="Heading"/>
          <w:rFonts w:ascii="Verdana" w:hAnsi="Verdana" w:cstheme="majorBidi"/>
          <w:color w:val="2F5496" w:themeColor="accent1" w:themeShade="BF"/>
          <w:sz w:val="28"/>
          <w:szCs w:val="28"/>
        </w:rPr>
        <w:t>Recommendations</w:t>
      </w:r>
    </w:p>
    <w:p w14:paraId="728F48FF" w14:textId="575B8B0A" w:rsidR="00DE1834" w:rsidRDefault="00210548" w:rsidP="00AA7CE0">
      <w:pPr>
        <w:rPr>
          <w:rStyle w:val="Heading"/>
          <w:rFonts w:ascii="Calibri Light" w:hAnsi="Calibri Light" w:cs="Calibri Light"/>
          <w:color w:val="auto"/>
          <w:sz w:val="22"/>
          <w:szCs w:val="22"/>
        </w:rPr>
      </w:pPr>
      <w:r>
        <w:rPr>
          <w:rStyle w:val="Heading"/>
          <w:rFonts w:ascii="Calibri Light" w:hAnsi="Calibri Light" w:cs="Calibri Light"/>
          <w:color w:val="auto"/>
          <w:sz w:val="22"/>
          <w:szCs w:val="22"/>
        </w:rPr>
        <w:t>Considering the findings of this evaluation, five recommendations have been made (</w:t>
      </w:r>
      <w:r w:rsidR="0029445A">
        <w:rPr>
          <w:rStyle w:val="Heading"/>
          <w:rFonts w:ascii="Calibri Light" w:hAnsi="Calibri Light" w:cs="Calibri Light"/>
          <w:color w:val="auto"/>
          <w:sz w:val="22"/>
          <w:szCs w:val="22"/>
        </w:rPr>
        <w:t xml:space="preserve">see </w:t>
      </w:r>
      <w:r w:rsidR="0029445A">
        <w:rPr>
          <w:rStyle w:val="Heading"/>
          <w:rFonts w:ascii="Calibri Light" w:hAnsi="Calibri Light" w:cs="Calibri Light"/>
          <w:color w:val="auto"/>
          <w:sz w:val="22"/>
          <w:szCs w:val="22"/>
        </w:rPr>
        <w:fldChar w:fldCharType="begin"/>
      </w:r>
      <w:r w:rsidR="0029445A">
        <w:rPr>
          <w:rStyle w:val="Heading"/>
          <w:rFonts w:ascii="Calibri Light" w:hAnsi="Calibri Light" w:cs="Calibri Light"/>
          <w:color w:val="auto"/>
          <w:sz w:val="22"/>
          <w:szCs w:val="22"/>
        </w:rPr>
        <w:instrText xml:space="preserve"> REF _Ref205145487 \h </w:instrText>
      </w:r>
      <w:r w:rsidR="0029445A">
        <w:rPr>
          <w:rStyle w:val="Heading"/>
          <w:rFonts w:ascii="Calibri Light" w:hAnsi="Calibri Light" w:cs="Calibri Light"/>
          <w:color w:val="auto"/>
          <w:sz w:val="22"/>
          <w:szCs w:val="22"/>
        </w:rPr>
      </w:r>
      <w:r w:rsidR="0029445A">
        <w:rPr>
          <w:rStyle w:val="Heading"/>
          <w:rFonts w:ascii="Calibri Light" w:hAnsi="Calibri Light" w:cs="Calibri Light"/>
          <w:color w:val="auto"/>
          <w:sz w:val="22"/>
          <w:szCs w:val="22"/>
        </w:rPr>
        <w:fldChar w:fldCharType="separate"/>
      </w:r>
      <w:r w:rsidR="00FC67EE">
        <w:t xml:space="preserve">Table </w:t>
      </w:r>
      <w:r w:rsidR="00FC67EE">
        <w:rPr>
          <w:noProof/>
        </w:rPr>
        <w:t>1</w:t>
      </w:r>
      <w:r w:rsidR="0029445A">
        <w:rPr>
          <w:rStyle w:val="Heading"/>
          <w:rFonts w:ascii="Calibri Light" w:hAnsi="Calibri Light" w:cs="Calibri Light"/>
          <w:color w:val="auto"/>
          <w:sz w:val="22"/>
          <w:szCs w:val="22"/>
        </w:rPr>
        <w:fldChar w:fldCharType="end"/>
      </w:r>
      <w:r w:rsidR="0029445A">
        <w:rPr>
          <w:rStyle w:val="Heading"/>
          <w:rFonts w:ascii="Calibri Light" w:hAnsi="Calibri Light" w:cs="Calibri Light"/>
          <w:color w:val="auto"/>
          <w:sz w:val="22"/>
          <w:szCs w:val="22"/>
        </w:rPr>
        <w:t xml:space="preserve"> for more details)</w:t>
      </w:r>
      <w:r>
        <w:rPr>
          <w:rStyle w:val="Heading"/>
          <w:rFonts w:ascii="Calibri Light" w:hAnsi="Calibri Light" w:cs="Calibri Light"/>
          <w:color w:val="auto"/>
          <w:sz w:val="22"/>
          <w:szCs w:val="22"/>
        </w:rPr>
        <w:t>:</w:t>
      </w:r>
    </w:p>
    <w:p w14:paraId="72E9786B" w14:textId="61441E6F" w:rsidR="00210548" w:rsidRDefault="00210548" w:rsidP="00AA7CE0">
      <w:pPr>
        <w:rPr>
          <w:rStyle w:val="Heading"/>
          <w:rFonts w:ascii="Calibri Light" w:hAnsi="Calibri Light" w:cs="Calibri Light"/>
          <w:color w:val="auto"/>
          <w:sz w:val="22"/>
          <w:szCs w:val="22"/>
        </w:rPr>
      </w:pPr>
    </w:p>
    <w:p w14:paraId="614F5971" w14:textId="17CBD9EC" w:rsidR="00210548" w:rsidRPr="00210548" w:rsidRDefault="00210548" w:rsidP="00821BD8">
      <w:pPr>
        <w:pStyle w:val="ListParagraph"/>
        <w:numPr>
          <w:ilvl w:val="0"/>
          <w:numId w:val="41"/>
        </w:numPr>
        <w:rPr>
          <w:rFonts w:ascii="Calibri Light" w:hAnsi="Calibri Light" w:cs="Calibri Light"/>
          <w:color w:val="auto"/>
        </w:rPr>
      </w:pPr>
      <w:r w:rsidRPr="006F114C">
        <w:rPr>
          <w:rFonts w:cstheme="majorHAnsi"/>
          <w:sz w:val="21"/>
          <w:szCs w:val="21"/>
          <w:lang w:val="en-GB"/>
        </w:rPr>
        <w:t xml:space="preserve">DFAT should consider adapting its core funding to the FFA to include both a </w:t>
      </w:r>
      <w:r w:rsidRPr="006F114C">
        <w:rPr>
          <w:rFonts w:cstheme="majorHAnsi"/>
          <w:i/>
          <w:iCs/>
          <w:sz w:val="21"/>
          <w:szCs w:val="21"/>
          <w:lang w:val="en-GB"/>
        </w:rPr>
        <w:t>fixed</w:t>
      </w:r>
      <w:r w:rsidRPr="006F114C">
        <w:rPr>
          <w:rFonts w:cstheme="majorHAnsi"/>
          <w:sz w:val="21"/>
          <w:szCs w:val="21"/>
          <w:lang w:val="en-GB"/>
        </w:rPr>
        <w:t xml:space="preserve"> part and a </w:t>
      </w:r>
      <w:r w:rsidRPr="006F114C">
        <w:rPr>
          <w:rFonts w:cstheme="majorHAnsi"/>
          <w:i/>
          <w:iCs/>
          <w:sz w:val="21"/>
          <w:szCs w:val="21"/>
          <w:lang w:val="en-GB"/>
        </w:rPr>
        <w:t>variable</w:t>
      </w:r>
      <w:r w:rsidRPr="006F114C">
        <w:rPr>
          <w:rFonts w:cstheme="majorHAnsi"/>
          <w:sz w:val="21"/>
          <w:szCs w:val="21"/>
          <w:lang w:val="en-GB"/>
        </w:rPr>
        <w:t xml:space="preserve"> part</w:t>
      </w:r>
      <w:r w:rsidRPr="006F114C">
        <w:rPr>
          <w:rStyle w:val="FootnoteReference"/>
          <w:rFonts w:cstheme="majorHAnsi"/>
          <w:sz w:val="21"/>
          <w:szCs w:val="21"/>
          <w:lang w:val="en-GB"/>
        </w:rPr>
        <w:footnoteReference w:id="2"/>
      </w:r>
      <w:r w:rsidRPr="006F114C">
        <w:rPr>
          <w:rFonts w:cstheme="majorHAnsi"/>
          <w:sz w:val="21"/>
          <w:szCs w:val="21"/>
          <w:lang w:val="en-GB"/>
        </w:rPr>
        <w:t xml:space="preserve">. </w:t>
      </w:r>
      <w:bookmarkStart w:id="12" w:name="OLE_LINK13"/>
      <w:r w:rsidRPr="006F114C">
        <w:rPr>
          <w:rFonts w:cstheme="majorHAnsi"/>
          <w:sz w:val="21"/>
          <w:szCs w:val="21"/>
          <w:lang w:val="en-GB"/>
        </w:rPr>
        <w:t xml:space="preserve">The variable part will be based on funding linked </w:t>
      </w:r>
      <w:r w:rsidR="00862CB7">
        <w:rPr>
          <w:rFonts w:cstheme="majorHAnsi"/>
          <w:sz w:val="21"/>
          <w:szCs w:val="21"/>
          <w:lang w:val="en-GB"/>
        </w:rPr>
        <w:t xml:space="preserve">to </w:t>
      </w:r>
      <w:r w:rsidRPr="006F114C">
        <w:rPr>
          <w:rFonts w:cstheme="majorHAnsi"/>
          <w:sz w:val="21"/>
          <w:szCs w:val="21"/>
          <w:lang w:val="en-GB"/>
        </w:rPr>
        <w:t xml:space="preserve">targets agreed between DFAT and the FFA and </w:t>
      </w:r>
      <w:r w:rsidR="00862CB7">
        <w:rPr>
          <w:rFonts w:cstheme="majorHAnsi"/>
          <w:sz w:val="21"/>
          <w:szCs w:val="21"/>
          <w:lang w:val="en-GB"/>
        </w:rPr>
        <w:t xml:space="preserve">will </w:t>
      </w:r>
      <w:r w:rsidRPr="006F114C">
        <w:rPr>
          <w:rFonts w:cstheme="majorHAnsi"/>
          <w:sz w:val="21"/>
          <w:szCs w:val="21"/>
          <w:lang w:val="en-GB"/>
        </w:rPr>
        <w:t>be linked to measurable results</w:t>
      </w:r>
      <w:bookmarkEnd w:id="12"/>
      <w:r>
        <w:rPr>
          <w:rFonts w:cstheme="majorHAnsi"/>
          <w:sz w:val="21"/>
          <w:szCs w:val="21"/>
          <w:lang w:val="en-GB"/>
        </w:rPr>
        <w:t>.</w:t>
      </w:r>
    </w:p>
    <w:p w14:paraId="3FFD360E" w14:textId="2DD0D821" w:rsidR="00210548" w:rsidRPr="00210548" w:rsidRDefault="00210548" w:rsidP="00821BD8">
      <w:pPr>
        <w:pStyle w:val="ListParagraph"/>
        <w:numPr>
          <w:ilvl w:val="0"/>
          <w:numId w:val="41"/>
        </w:numPr>
        <w:rPr>
          <w:rFonts w:ascii="Calibri Light" w:hAnsi="Calibri Light" w:cs="Calibri Light"/>
          <w:color w:val="auto"/>
        </w:rPr>
      </w:pPr>
      <w:r w:rsidRPr="006F114C">
        <w:rPr>
          <w:rFonts w:cstheme="majorHAnsi"/>
          <w:sz w:val="21"/>
          <w:szCs w:val="21"/>
          <w:lang w:val="en-GB"/>
        </w:rPr>
        <w:t xml:space="preserve">Ensure implementing partners of future discrete investments develop Monitoring, Evaluation and Learning Frameworks that meet </w:t>
      </w:r>
      <w:hyperlink r:id="rId19" w:history="1">
        <w:r w:rsidRPr="006F114C">
          <w:rPr>
            <w:rStyle w:val="Hyperlink"/>
            <w:rFonts w:cstheme="majorHAnsi"/>
            <w:sz w:val="21"/>
            <w:szCs w:val="21"/>
            <w:lang w:val="en-GB"/>
          </w:rPr>
          <w:t>DFAT's Design and Monitoring, Evaluation and Learning Standards</w:t>
        </w:r>
      </w:hyperlink>
      <w:r>
        <w:rPr>
          <w:sz w:val="21"/>
          <w:szCs w:val="21"/>
          <w:lang w:val="en-GB"/>
        </w:rPr>
        <w:t>.</w:t>
      </w:r>
    </w:p>
    <w:p w14:paraId="5A5B7FBA" w14:textId="78F495A9" w:rsidR="00210548" w:rsidRPr="00210548" w:rsidRDefault="00210548" w:rsidP="00821BD8">
      <w:pPr>
        <w:pStyle w:val="ListParagraph"/>
        <w:numPr>
          <w:ilvl w:val="0"/>
          <w:numId w:val="41"/>
        </w:numPr>
        <w:rPr>
          <w:rFonts w:ascii="Calibri Light" w:hAnsi="Calibri Light" w:cs="Calibri Light"/>
          <w:color w:val="auto"/>
        </w:rPr>
      </w:pPr>
      <w:r w:rsidRPr="006F114C">
        <w:rPr>
          <w:rFonts w:cstheme="majorHAnsi"/>
          <w:sz w:val="21"/>
          <w:szCs w:val="21"/>
          <w:lang w:val="en-GB"/>
        </w:rPr>
        <w:t>GEDSI goals must be explicitly integrated into the design and plans of future discrete investments</w:t>
      </w:r>
      <w:r>
        <w:rPr>
          <w:rFonts w:cstheme="majorHAnsi"/>
          <w:sz w:val="21"/>
          <w:szCs w:val="21"/>
          <w:lang w:val="en-GB"/>
        </w:rPr>
        <w:t>,</w:t>
      </w:r>
      <w:r>
        <w:rPr>
          <w:rFonts w:cstheme="majorHAnsi"/>
          <w:sz w:val="21"/>
          <w:szCs w:val="21"/>
        </w:rPr>
        <w:t xml:space="preserve"> underpinned by rigorous analysis.</w:t>
      </w:r>
    </w:p>
    <w:p w14:paraId="17139309" w14:textId="3F31E5D3" w:rsidR="00210548" w:rsidRPr="00210548" w:rsidRDefault="00210548" w:rsidP="00821BD8">
      <w:pPr>
        <w:pStyle w:val="ListParagraph"/>
        <w:numPr>
          <w:ilvl w:val="0"/>
          <w:numId w:val="41"/>
        </w:numPr>
        <w:rPr>
          <w:rFonts w:ascii="Calibri Light" w:hAnsi="Calibri Light" w:cs="Calibri Light"/>
          <w:color w:val="auto"/>
        </w:rPr>
      </w:pPr>
      <w:r w:rsidRPr="006F114C">
        <w:rPr>
          <w:rFonts w:cstheme="majorHAnsi"/>
          <w:sz w:val="21"/>
          <w:szCs w:val="21"/>
          <w:lang w:val="en-GB"/>
        </w:rPr>
        <w:t>Explicitly integrate climate change adaptation and resilience objectives into all relevant future discrete investments</w:t>
      </w:r>
      <w:r>
        <w:rPr>
          <w:rFonts w:cstheme="majorHAnsi"/>
          <w:sz w:val="21"/>
          <w:szCs w:val="21"/>
          <w:lang w:val="en-GB"/>
        </w:rPr>
        <w:t>.</w:t>
      </w:r>
    </w:p>
    <w:p w14:paraId="05C2C24A" w14:textId="0F294DC5" w:rsidR="00210548" w:rsidRPr="00210548" w:rsidRDefault="00210548" w:rsidP="00821BD8">
      <w:pPr>
        <w:pStyle w:val="ListParagraph"/>
        <w:numPr>
          <w:ilvl w:val="0"/>
          <w:numId w:val="41"/>
        </w:numPr>
        <w:rPr>
          <w:rStyle w:val="Heading"/>
          <w:rFonts w:ascii="Calibri Light" w:hAnsi="Calibri Light" w:cs="Calibri Light"/>
          <w:color w:val="auto"/>
          <w:sz w:val="22"/>
          <w:szCs w:val="22"/>
        </w:rPr>
      </w:pPr>
      <w:r w:rsidRPr="006F114C">
        <w:rPr>
          <w:rFonts w:cstheme="majorHAnsi"/>
          <w:sz w:val="21"/>
          <w:szCs w:val="21"/>
          <w:lang w:val="en-GB"/>
        </w:rPr>
        <w:t xml:space="preserve">Develop a plan for strategically communicating Australia’s contributions to enhancing Pacific fisheries management across </w:t>
      </w:r>
      <w:proofErr w:type="gramStart"/>
      <w:r w:rsidRPr="006F114C">
        <w:rPr>
          <w:rFonts w:cstheme="majorHAnsi"/>
          <w:sz w:val="21"/>
          <w:szCs w:val="21"/>
          <w:lang w:val="en-GB"/>
        </w:rPr>
        <w:t>all of</w:t>
      </w:r>
      <w:proofErr w:type="gramEnd"/>
      <w:r w:rsidRPr="006F114C">
        <w:rPr>
          <w:rFonts w:cstheme="majorHAnsi"/>
          <w:sz w:val="21"/>
          <w:szCs w:val="21"/>
          <w:lang w:val="en-GB"/>
        </w:rPr>
        <w:t xml:space="preserve"> its investments</w:t>
      </w:r>
      <w:r>
        <w:rPr>
          <w:rFonts w:cstheme="majorHAnsi"/>
          <w:sz w:val="21"/>
          <w:szCs w:val="21"/>
          <w:lang w:val="en-GB"/>
        </w:rPr>
        <w:t>.</w:t>
      </w:r>
    </w:p>
    <w:p w14:paraId="572ECC94" w14:textId="3E992BF9" w:rsidR="00C33478" w:rsidRPr="00581C11" w:rsidRDefault="00750927" w:rsidP="008E1333">
      <w:pPr>
        <w:pStyle w:val="Subheading"/>
        <w:rPr>
          <w:rStyle w:val="Heading"/>
          <w:color w:val="B7432A"/>
          <w:sz w:val="22"/>
          <w:szCs w:val="22"/>
          <w14:textFill>
            <w14:solidFill>
              <w14:srgbClr w14:val="B7432A">
                <w14:lumMod w14:val="75000"/>
              </w14:srgbClr>
            </w14:solidFill>
          </w14:textFill>
        </w:rPr>
      </w:pPr>
      <w:r>
        <w:rPr>
          <w:rFonts w:asciiTheme="majorHAnsi" w:hAnsiTheme="majorHAnsi"/>
          <w:noProof/>
        </w:rPr>
        <w:drawing>
          <wp:anchor distT="0" distB="0" distL="114300" distR="114300" simplePos="0" relativeHeight="251658285" behindDoc="1" locked="0" layoutInCell="1" allowOverlap="1" wp14:anchorId="76E8FEC6" wp14:editId="55A93EA6">
            <wp:simplePos x="0" y="0"/>
            <wp:positionH relativeFrom="column">
              <wp:posOffset>-732155</wp:posOffset>
            </wp:positionH>
            <wp:positionV relativeFrom="page">
              <wp:posOffset>5817235</wp:posOffset>
            </wp:positionV>
            <wp:extent cx="7595870" cy="4882515"/>
            <wp:effectExtent l="0" t="0" r="0" b="0"/>
            <wp:wrapNone/>
            <wp:docPr id="1648227903" name="Picture 50"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27903" name="Picture 50" descr="A blue and white backgroun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595870" cy="4882515"/>
                    </a:xfrm>
                    <a:prstGeom prst="rect">
                      <a:avLst/>
                    </a:prstGeom>
                  </pic:spPr>
                </pic:pic>
              </a:graphicData>
            </a:graphic>
            <wp14:sizeRelH relativeFrom="page">
              <wp14:pctWidth>0</wp14:pctWidth>
            </wp14:sizeRelH>
            <wp14:sizeRelV relativeFrom="page">
              <wp14:pctHeight>0</wp14:pctHeight>
            </wp14:sizeRelV>
          </wp:anchor>
        </w:drawing>
      </w:r>
      <w:r w:rsidR="00C33478" w:rsidRPr="00581C11">
        <w:rPr>
          <w:rStyle w:val="Heading"/>
          <w:color w:val="B7432A"/>
          <w:sz w:val="22"/>
          <w:szCs w:val="22"/>
          <w14:textFill>
            <w14:solidFill>
              <w14:srgbClr w14:val="B7432A">
                <w14:lumMod w14:val="75000"/>
              </w14:srgbClr>
            </w14:solidFill>
          </w14:textFill>
        </w:rPr>
        <w:br w:type="page"/>
      </w:r>
    </w:p>
    <w:p w14:paraId="7D6B0C66" w14:textId="31EFC74E" w:rsidR="00B47F4B" w:rsidRDefault="00B47F4B" w:rsidP="00357F6C">
      <w:pPr>
        <w:pStyle w:val="Heading1"/>
        <w:rPr>
          <w:rStyle w:val="Heading"/>
          <w:rFonts w:asciiTheme="majorHAnsi" w:hAnsiTheme="majorHAnsi" w:cstheme="majorBidi"/>
          <w:color w:val="002060"/>
          <w:sz w:val="40"/>
          <w:szCs w:val="40"/>
        </w:rPr>
        <w:sectPr w:rsidR="00B47F4B" w:rsidSect="000C15A8">
          <w:headerReference w:type="first" r:id="rId21"/>
          <w:footerReference w:type="first" r:id="rId22"/>
          <w:pgSz w:w="11900" w:h="16840"/>
          <w:pgMar w:top="1440" w:right="1080" w:bottom="1440" w:left="1080" w:header="709" w:footer="709" w:gutter="0"/>
          <w:pgNumType w:fmt="lowerRoman" w:start="1"/>
          <w:cols w:space="720"/>
          <w:titlePg/>
          <w:docGrid w:linePitch="360"/>
        </w:sectPr>
      </w:pPr>
    </w:p>
    <w:p w14:paraId="2D7F6432" w14:textId="562D8DD0" w:rsidR="00D64E14" w:rsidRPr="00F65D73" w:rsidRDefault="000C15A8" w:rsidP="001D60F2">
      <w:pPr>
        <w:pStyle w:val="Heading2"/>
        <w:rPr>
          <w:rStyle w:val="Heading"/>
          <w:rFonts w:ascii="Verdana" w:hAnsi="Verdana" w:cstheme="majorBidi"/>
          <w:color w:val="FFFFFF" w:themeColor="background1"/>
          <w:sz w:val="40"/>
          <w:szCs w:val="40"/>
        </w:rPr>
      </w:pPr>
      <w:bookmarkStart w:id="13" w:name="_Toc207206805"/>
      <w:r w:rsidRPr="00F65D73">
        <w:rPr>
          <w:rStyle w:val="Heading"/>
          <w:rFonts w:ascii="Verdana" w:hAnsi="Verdana" w:cstheme="majorBidi"/>
          <w:noProof/>
          <w:color w:val="FFFFFF" w:themeColor="background1"/>
          <w:sz w:val="40"/>
          <w:szCs w:val="40"/>
        </w:rPr>
        <w:lastRenderedPageBreak/>
        <w:drawing>
          <wp:anchor distT="0" distB="0" distL="114300" distR="114300" simplePos="0" relativeHeight="251658282" behindDoc="1" locked="0" layoutInCell="1" allowOverlap="1" wp14:anchorId="017E1C46" wp14:editId="36E04AFB">
            <wp:simplePos x="0" y="0"/>
            <wp:positionH relativeFrom="column">
              <wp:posOffset>-1083310</wp:posOffset>
            </wp:positionH>
            <wp:positionV relativeFrom="page">
              <wp:posOffset>8890</wp:posOffset>
            </wp:positionV>
            <wp:extent cx="7955915" cy="1439545"/>
            <wp:effectExtent l="0" t="0" r="0" b="0"/>
            <wp:wrapNone/>
            <wp:docPr id="339770861" name="Picture 47" descr="A blue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5579116" name="Picture 47" descr="A blue and white backgroun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955915" cy="1439545"/>
                    </a:xfrm>
                    <a:prstGeom prst="rect">
                      <a:avLst/>
                    </a:prstGeom>
                  </pic:spPr>
                </pic:pic>
              </a:graphicData>
            </a:graphic>
            <wp14:sizeRelH relativeFrom="page">
              <wp14:pctWidth>0</wp14:pctWidth>
            </wp14:sizeRelH>
            <wp14:sizeRelV relativeFrom="page">
              <wp14:pctHeight>0</wp14:pctHeight>
            </wp14:sizeRelV>
          </wp:anchor>
        </w:drawing>
      </w:r>
      <w:r w:rsidR="00D64E14" w:rsidRPr="00F65D73">
        <w:rPr>
          <w:rStyle w:val="Heading"/>
          <w:rFonts w:ascii="Verdana" w:hAnsi="Verdana" w:cstheme="majorBidi"/>
          <w:color w:val="FFFFFF" w:themeColor="background1"/>
          <w:sz w:val="40"/>
          <w:szCs w:val="40"/>
        </w:rPr>
        <w:t>Background</w:t>
      </w:r>
      <w:bookmarkEnd w:id="13"/>
    </w:p>
    <w:p w14:paraId="58B4E979" w14:textId="77777777" w:rsidR="00167D9A" w:rsidRDefault="00167D9A" w:rsidP="00167D9A">
      <w:pPr>
        <w:rPr>
          <w:lang w:val="en-AU"/>
        </w:rPr>
      </w:pPr>
    </w:p>
    <w:p w14:paraId="3F59E815" w14:textId="25CCAF3E" w:rsidR="004F2995" w:rsidRPr="00F65D73" w:rsidRDefault="00D201A3" w:rsidP="001D60F2">
      <w:pPr>
        <w:pStyle w:val="Heading3"/>
        <w:rPr>
          <w:rStyle w:val="Heading"/>
          <w:rFonts w:asciiTheme="majorHAnsi" w:hAnsiTheme="majorHAnsi" w:cstheme="majorBidi"/>
          <w:color w:val="2F5496" w:themeColor="accent1" w:themeShade="BF"/>
          <w:sz w:val="28"/>
          <w:szCs w:val="28"/>
        </w:rPr>
      </w:pPr>
      <w:bookmarkStart w:id="14" w:name="_Toc207206806"/>
      <w:r w:rsidRPr="00F65D73">
        <w:rPr>
          <w:rStyle w:val="Heading"/>
          <w:rFonts w:asciiTheme="majorHAnsi" w:hAnsiTheme="majorHAnsi" w:cstheme="majorBidi"/>
          <w:b/>
          <w:bCs/>
          <w:color w:val="2F5496" w:themeColor="accent1" w:themeShade="BF"/>
          <w:sz w:val="28"/>
          <w:szCs w:val="28"/>
        </w:rPr>
        <w:t>Introduction</w:t>
      </w:r>
      <w:bookmarkEnd w:id="14"/>
    </w:p>
    <w:p w14:paraId="2A760F88" w14:textId="560F4C8E" w:rsidR="00797CBB" w:rsidRPr="00E875A1" w:rsidRDefault="00D201A3" w:rsidP="00195C85">
      <w:pPr>
        <w:spacing w:after="120"/>
        <w:rPr>
          <w:rFonts w:asciiTheme="majorHAnsi" w:hAnsiTheme="majorHAnsi" w:cstheme="majorHAnsi"/>
        </w:rPr>
      </w:pPr>
      <w:bookmarkStart w:id="15" w:name="_Toc188017767"/>
      <w:bookmarkStart w:id="16" w:name="_Toc190158526"/>
      <w:bookmarkStart w:id="17" w:name="_Toc191384072"/>
      <w:bookmarkStart w:id="18" w:name="_Toc199684920"/>
      <w:r w:rsidRPr="00E875A1">
        <w:rPr>
          <w:rFonts w:asciiTheme="majorHAnsi" w:hAnsiTheme="majorHAnsi" w:cstheme="majorHAnsi"/>
          <w:lang w:eastAsia="en-GB"/>
        </w:rPr>
        <w:t>Australia has supported sustainable fisheries management and economic development in the Pacific for several decades.</w:t>
      </w:r>
      <w:r w:rsidRPr="00E875A1">
        <w:rPr>
          <w:rFonts w:asciiTheme="majorHAnsi" w:hAnsiTheme="majorHAnsi" w:cstheme="majorHAnsi"/>
        </w:rPr>
        <w:t xml:space="preserve"> Since June 2010, most of DFAT’s Pacific fisheries development assistance has been directed through </w:t>
      </w:r>
      <w:r w:rsidR="004F6641" w:rsidRPr="00E875A1">
        <w:rPr>
          <w:rFonts w:asciiTheme="majorHAnsi" w:hAnsiTheme="majorHAnsi" w:cstheme="majorHAnsi"/>
          <w:lang w:eastAsia="en-GB"/>
        </w:rPr>
        <w:t>Australia’s Fisheries Development Assistance in the Pacific investment (INJ201</w:t>
      </w:r>
      <w:r w:rsidRPr="00E875A1">
        <w:rPr>
          <w:rFonts w:asciiTheme="majorHAnsi" w:hAnsiTheme="majorHAnsi" w:cstheme="majorHAnsi"/>
          <w:lang w:eastAsia="en-GB"/>
        </w:rPr>
        <w:t xml:space="preserve"> – hereafter referred to as the Investment</w:t>
      </w:r>
      <w:r w:rsidR="007D5BAE" w:rsidRPr="00E875A1">
        <w:rPr>
          <w:rFonts w:asciiTheme="majorHAnsi" w:hAnsiTheme="majorHAnsi" w:cstheme="majorHAnsi"/>
          <w:lang w:eastAsia="en-GB"/>
        </w:rPr>
        <w:t>)</w:t>
      </w:r>
      <w:r w:rsidRPr="00E875A1">
        <w:rPr>
          <w:rFonts w:asciiTheme="majorHAnsi" w:hAnsiTheme="majorHAnsi" w:cstheme="majorHAnsi"/>
          <w:lang w:eastAsia="en-GB"/>
        </w:rPr>
        <w:t>, which</w:t>
      </w:r>
      <w:r w:rsidR="007D5BAE" w:rsidRPr="00E875A1">
        <w:rPr>
          <w:rFonts w:asciiTheme="majorHAnsi" w:hAnsiTheme="majorHAnsi" w:cstheme="majorHAnsi"/>
          <w:lang w:eastAsia="en-GB"/>
        </w:rPr>
        <w:t xml:space="preserve"> </w:t>
      </w:r>
      <w:r w:rsidRPr="00E875A1">
        <w:rPr>
          <w:rFonts w:asciiTheme="majorHAnsi" w:hAnsiTheme="majorHAnsi" w:cstheme="majorHAnsi"/>
          <w:lang w:eastAsia="en-GB"/>
        </w:rPr>
        <w:t xml:space="preserve">operates </w:t>
      </w:r>
      <w:r w:rsidR="007D5BAE" w:rsidRPr="00E875A1">
        <w:rPr>
          <w:rFonts w:asciiTheme="majorHAnsi" w:hAnsiTheme="majorHAnsi" w:cstheme="majorHAnsi"/>
          <w:lang w:eastAsia="en-GB"/>
        </w:rPr>
        <w:t>from</w:t>
      </w:r>
      <w:r w:rsidR="004F6641" w:rsidRPr="00E875A1">
        <w:rPr>
          <w:rFonts w:asciiTheme="majorHAnsi" w:hAnsiTheme="majorHAnsi" w:cstheme="majorHAnsi"/>
          <w:lang w:eastAsia="en-GB"/>
        </w:rPr>
        <w:t xml:space="preserve"> 1 June 2010 to </w:t>
      </w:r>
      <w:r w:rsidR="00A50C75" w:rsidRPr="00E875A1">
        <w:rPr>
          <w:rFonts w:asciiTheme="majorHAnsi" w:hAnsiTheme="majorHAnsi" w:cstheme="majorHAnsi"/>
          <w:lang w:eastAsia="en-GB"/>
        </w:rPr>
        <w:t>3</w:t>
      </w:r>
      <w:r w:rsidR="004F6641" w:rsidRPr="00E875A1">
        <w:rPr>
          <w:rFonts w:asciiTheme="majorHAnsi" w:hAnsiTheme="majorHAnsi" w:cstheme="majorHAnsi"/>
          <w:lang w:eastAsia="en-GB"/>
        </w:rPr>
        <w:t>0 June 2026, with a total committed value of</w:t>
      </w:r>
      <w:r w:rsidR="005D74FC" w:rsidRPr="00E875A1">
        <w:rPr>
          <w:rFonts w:asciiTheme="majorHAnsi" w:hAnsiTheme="majorHAnsi" w:cstheme="majorHAnsi"/>
          <w:lang w:eastAsia="en-GB"/>
        </w:rPr>
        <w:t xml:space="preserve"> over</w:t>
      </w:r>
      <w:r w:rsidR="004F6641" w:rsidRPr="00E875A1">
        <w:rPr>
          <w:rFonts w:asciiTheme="majorHAnsi" w:hAnsiTheme="majorHAnsi" w:cstheme="majorHAnsi"/>
          <w:lang w:eastAsia="en-GB"/>
        </w:rPr>
        <w:t xml:space="preserve"> $135</w:t>
      </w:r>
      <w:r w:rsidR="005D74FC" w:rsidRPr="00E875A1">
        <w:rPr>
          <w:rFonts w:asciiTheme="majorHAnsi" w:hAnsiTheme="majorHAnsi" w:cstheme="majorHAnsi"/>
          <w:lang w:eastAsia="en-GB"/>
        </w:rPr>
        <w:t xml:space="preserve"> million</w:t>
      </w:r>
      <w:r w:rsidR="004F6641" w:rsidRPr="00E875A1">
        <w:rPr>
          <w:rFonts w:asciiTheme="majorHAnsi" w:hAnsiTheme="majorHAnsi" w:cstheme="majorHAnsi"/>
          <w:lang w:eastAsia="en-GB"/>
        </w:rPr>
        <w:t>.</w:t>
      </w:r>
      <w:r w:rsidRPr="00E875A1">
        <w:rPr>
          <w:rFonts w:asciiTheme="majorHAnsi" w:hAnsiTheme="majorHAnsi" w:cstheme="majorHAnsi"/>
        </w:rPr>
        <w:t xml:space="preserve"> </w:t>
      </w:r>
    </w:p>
    <w:p w14:paraId="747E904D" w14:textId="0CFE536E" w:rsidR="00DD513E" w:rsidRPr="00E875A1" w:rsidRDefault="00D201A3" w:rsidP="00195C85">
      <w:pPr>
        <w:spacing w:after="120"/>
        <w:rPr>
          <w:rFonts w:asciiTheme="majorHAnsi" w:hAnsiTheme="majorHAnsi" w:cstheme="majorHAnsi"/>
        </w:rPr>
      </w:pPr>
      <w:r w:rsidRPr="00E875A1">
        <w:rPr>
          <w:rFonts w:asciiTheme="majorHAnsi" w:hAnsiTheme="majorHAnsi" w:cstheme="majorHAnsi"/>
        </w:rPr>
        <w:t xml:space="preserve">The </w:t>
      </w:r>
      <w:r w:rsidR="00797CBB" w:rsidRPr="00E875A1">
        <w:rPr>
          <w:rFonts w:asciiTheme="majorHAnsi" w:hAnsiTheme="majorHAnsi" w:cstheme="majorHAnsi"/>
        </w:rPr>
        <w:t xml:space="preserve">Investment </w:t>
      </w:r>
      <w:r w:rsidRPr="00E875A1">
        <w:rPr>
          <w:rFonts w:asciiTheme="majorHAnsi" w:hAnsiTheme="majorHAnsi" w:cstheme="majorHAnsi"/>
        </w:rPr>
        <w:t xml:space="preserve">has supported 54 fisheries-related agreements in the Pacific since 2010 (see themes below). </w:t>
      </w:r>
      <w:r w:rsidR="00797CBB" w:rsidRPr="00E875A1">
        <w:rPr>
          <w:rFonts w:asciiTheme="majorHAnsi" w:hAnsiTheme="majorHAnsi" w:cstheme="majorHAnsi"/>
        </w:rPr>
        <w:t xml:space="preserve">70% of </w:t>
      </w:r>
      <w:r w:rsidR="00B41DE6">
        <w:rPr>
          <w:rFonts w:asciiTheme="majorHAnsi" w:hAnsiTheme="majorHAnsi" w:cstheme="majorHAnsi"/>
        </w:rPr>
        <w:t>I</w:t>
      </w:r>
      <w:r w:rsidR="00797CBB" w:rsidRPr="00E875A1">
        <w:rPr>
          <w:rFonts w:asciiTheme="majorHAnsi" w:hAnsiTheme="majorHAnsi" w:cstheme="majorHAnsi"/>
        </w:rPr>
        <w:t xml:space="preserve">nvestment expenditure was allocated to core and program funding for the </w:t>
      </w:r>
      <w:r w:rsidR="00797CBB" w:rsidRPr="00E875A1">
        <w:rPr>
          <w:rFonts w:asciiTheme="majorHAnsi" w:hAnsiTheme="majorHAnsi" w:cstheme="majorHAnsi"/>
          <w:lang w:eastAsia="en-GB"/>
        </w:rPr>
        <w:t>Forum Fisheries Agency</w:t>
      </w:r>
      <w:r w:rsidR="00797CBB" w:rsidRPr="00E875A1">
        <w:rPr>
          <w:rFonts w:asciiTheme="majorHAnsi" w:hAnsiTheme="majorHAnsi" w:cstheme="majorHAnsi"/>
        </w:rPr>
        <w:t xml:space="preserve"> (FFA) and the  Pacific Community’s Fisheries, Aquaculture and Marine Ecosystems Division</w:t>
      </w:r>
      <w:r w:rsidR="00797CBB" w:rsidRPr="00E875A1">
        <w:rPr>
          <w:rFonts w:asciiTheme="majorHAnsi" w:hAnsiTheme="majorHAnsi" w:cstheme="majorHAnsi"/>
          <w:lang w:eastAsia="en-GB"/>
        </w:rPr>
        <w:t xml:space="preserve"> (SPC </w:t>
      </w:r>
      <w:r w:rsidR="006B5558">
        <w:rPr>
          <w:rFonts w:asciiTheme="majorHAnsi" w:hAnsiTheme="majorHAnsi" w:cstheme="majorHAnsi"/>
          <w:lang w:eastAsia="en-GB"/>
        </w:rPr>
        <w:t>FAME</w:t>
      </w:r>
      <w:r w:rsidR="00797CBB" w:rsidRPr="00E875A1">
        <w:rPr>
          <w:rFonts w:asciiTheme="majorHAnsi" w:hAnsiTheme="majorHAnsi" w:cstheme="majorHAnsi"/>
          <w:lang w:eastAsia="en-GB"/>
        </w:rPr>
        <w:t>)</w:t>
      </w:r>
      <w:r w:rsidR="00797CBB" w:rsidRPr="00E875A1">
        <w:rPr>
          <w:rFonts w:asciiTheme="majorHAnsi" w:hAnsiTheme="majorHAnsi" w:cstheme="majorHAnsi"/>
        </w:rPr>
        <w:t xml:space="preserve"> (Australia is a founding member and partner of both the SPC and the FFA), aiding their members to sustainably manage their valuable ocean resources, with the remaining 30% of the </w:t>
      </w:r>
      <w:r w:rsidR="00B41DE6">
        <w:rPr>
          <w:rFonts w:asciiTheme="majorHAnsi" w:hAnsiTheme="majorHAnsi" w:cstheme="majorHAnsi"/>
        </w:rPr>
        <w:t>Investment</w:t>
      </w:r>
      <w:r w:rsidR="00797CBB" w:rsidRPr="00E875A1">
        <w:rPr>
          <w:rFonts w:asciiTheme="majorHAnsi" w:hAnsiTheme="majorHAnsi" w:cstheme="majorHAnsi"/>
        </w:rPr>
        <w:t xml:space="preserve"> directed towards project funding for coastal fisheries, maritime boundaries, and IUU fishing. </w:t>
      </w:r>
      <w:bookmarkEnd w:id="15"/>
      <w:bookmarkEnd w:id="16"/>
      <w:bookmarkEnd w:id="17"/>
      <w:bookmarkEnd w:id="18"/>
    </w:p>
    <w:p w14:paraId="385358FE" w14:textId="1B632A11" w:rsidR="00DD513E" w:rsidRDefault="00370D9B" w:rsidP="00195C85">
      <w:pPr>
        <w:spacing w:after="120"/>
        <w:rPr>
          <w:lang w:eastAsia="en-GB"/>
        </w:rPr>
      </w:pPr>
      <w:bookmarkStart w:id="19" w:name="_Toc199684926"/>
      <w:r w:rsidRPr="008C1E6C">
        <w:rPr>
          <w:lang w:eastAsia="en-GB"/>
        </w:rPr>
        <w:t xml:space="preserve">Since 2010, </w:t>
      </w:r>
      <w:r w:rsidR="00513BAC">
        <w:rPr>
          <w:lang w:eastAsia="en-GB"/>
        </w:rPr>
        <w:t xml:space="preserve">the </w:t>
      </w:r>
      <w:r w:rsidR="00B41DE6">
        <w:rPr>
          <w:lang w:eastAsia="en-GB"/>
        </w:rPr>
        <w:t>Investment</w:t>
      </w:r>
      <w:r w:rsidRPr="008C1E6C">
        <w:rPr>
          <w:lang w:eastAsia="en-GB"/>
        </w:rPr>
        <w:t xml:space="preserve"> has grown substantially in response to the needs of the Pacific. Although a formal program logic was not established at inception, a logic model </w:t>
      </w:r>
      <w:r w:rsidR="00C76C45">
        <w:rPr>
          <w:lang w:eastAsia="en-GB"/>
        </w:rPr>
        <w:t>was later</w:t>
      </w:r>
      <w:r w:rsidRPr="008C1E6C">
        <w:rPr>
          <w:lang w:eastAsia="en-GB"/>
        </w:rPr>
        <w:t xml:space="preserve"> developed (see </w:t>
      </w:r>
      <w:r w:rsidR="000F3351">
        <w:rPr>
          <w:b/>
          <w:bCs/>
          <w:lang w:eastAsia="en-GB"/>
        </w:rPr>
        <w:t>Annexe</w:t>
      </w:r>
      <w:r w:rsidRPr="008C1E6C">
        <w:rPr>
          <w:b/>
          <w:bCs/>
          <w:lang w:eastAsia="en-GB"/>
        </w:rPr>
        <w:t xml:space="preserve"> </w:t>
      </w:r>
      <w:r w:rsidR="00F62AE7">
        <w:rPr>
          <w:b/>
          <w:bCs/>
          <w:lang w:eastAsia="en-GB"/>
        </w:rPr>
        <w:t>8</w:t>
      </w:r>
      <w:r w:rsidRPr="008C1E6C">
        <w:rPr>
          <w:lang w:eastAsia="en-GB"/>
        </w:rPr>
        <w:t>) and has been used for</w:t>
      </w:r>
      <w:r w:rsidR="006C62F9">
        <w:rPr>
          <w:lang w:eastAsia="en-GB"/>
        </w:rPr>
        <w:t xml:space="preserve"> </w:t>
      </w:r>
      <w:r w:rsidR="00B41DE6">
        <w:rPr>
          <w:lang w:eastAsia="en-GB"/>
        </w:rPr>
        <w:t>Investment</w:t>
      </w:r>
      <w:r w:rsidRPr="008C1E6C">
        <w:rPr>
          <w:lang w:eastAsia="en-GB"/>
        </w:rPr>
        <w:t xml:space="preserve"> monitoring reporting since 2022</w:t>
      </w:r>
      <w:r w:rsidR="00D201A3">
        <w:rPr>
          <w:lang w:eastAsia="en-GB"/>
        </w:rPr>
        <w:t>. Noting t</w:t>
      </w:r>
      <w:r w:rsidR="006E1583" w:rsidRPr="008C1E6C">
        <w:rPr>
          <w:lang w:eastAsia="en-GB"/>
        </w:rPr>
        <w:t xml:space="preserve">hat at no point did the </w:t>
      </w:r>
      <w:r w:rsidR="00B41DE6">
        <w:rPr>
          <w:lang w:eastAsia="en-GB"/>
        </w:rPr>
        <w:t>I</w:t>
      </w:r>
      <w:r w:rsidR="006E1583" w:rsidRPr="008C1E6C">
        <w:rPr>
          <w:lang w:eastAsia="en-GB"/>
        </w:rPr>
        <w:t xml:space="preserve">nvestment integrate key performance indicators into the logic model; thus, all reporting since 2022 has been against the </w:t>
      </w:r>
      <w:proofErr w:type="spellStart"/>
      <w:r w:rsidR="006E1583" w:rsidRPr="008C1E6C">
        <w:rPr>
          <w:lang w:eastAsia="en-GB"/>
        </w:rPr>
        <w:t>EoPOs</w:t>
      </w:r>
      <w:proofErr w:type="spellEnd"/>
      <w:r w:rsidR="006E1583" w:rsidRPr="008C1E6C">
        <w:rPr>
          <w:lang w:eastAsia="en-GB"/>
        </w:rPr>
        <w:t>, and no indicators have ever been used to track progress</w:t>
      </w:r>
      <w:r w:rsidRPr="008C1E6C">
        <w:rPr>
          <w:lang w:eastAsia="en-GB"/>
        </w:rPr>
        <w:t>. Th</w:t>
      </w:r>
      <w:r w:rsidR="00E80F7A">
        <w:rPr>
          <w:lang w:eastAsia="en-GB"/>
        </w:rPr>
        <w:t>e logic</w:t>
      </w:r>
      <w:r w:rsidRPr="008C1E6C">
        <w:rPr>
          <w:lang w:eastAsia="en-GB"/>
        </w:rPr>
        <w:t xml:space="preserve"> model </w:t>
      </w:r>
      <w:r w:rsidR="00726D6E">
        <w:rPr>
          <w:lang w:eastAsia="en-GB"/>
        </w:rPr>
        <w:t>shows</w:t>
      </w:r>
      <w:r w:rsidR="00726D6E" w:rsidRPr="008C1E6C">
        <w:rPr>
          <w:lang w:eastAsia="en-GB"/>
        </w:rPr>
        <w:t xml:space="preserve"> </w:t>
      </w:r>
      <w:r w:rsidRPr="008C1E6C">
        <w:rPr>
          <w:lang w:eastAsia="en-GB"/>
        </w:rPr>
        <w:t xml:space="preserve">the </w:t>
      </w:r>
      <w:r w:rsidR="00B41DE6">
        <w:rPr>
          <w:lang w:eastAsia="en-GB"/>
        </w:rPr>
        <w:t>Investment’s</w:t>
      </w:r>
      <w:r w:rsidRPr="008C1E6C">
        <w:rPr>
          <w:lang w:eastAsia="en-GB"/>
        </w:rPr>
        <w:t xml:space="preserve"> goal </w:t>
      </w:r>
      <w:r w:rsidR="00726D6E">
        <w:rPr>
          <w:lang w:eastAsia="en-GB"/>
        </w:rPr>
        <w:t xml:space="preserve">was </w:t>
      </w:r>
      <w:r w:rsidRPr="008C1E6C">
        <w:rPr>
          <w:lang w:eastAsia="en-GB"/>
        </w:rPr>
        <w:t>‘the Pacific has secure access to sustainably managed ocean resources’, achieved through four end-of-program outcomes (</w:t>
      </w:r>
      <w:proofErr w:type="spellStart"/>
      <w:r w:rsidRPr="008C1E6C">
        <w:rPr>
          <w:lang w:eastAsia="en-GB"/>
        </w:rPr>
        <w:t>EoPOs</w:t>
      </w:r>
      <w:proofErr w:type="spellEnd"/>
      <w:r w:rsidRPr="008C1E6C">
        <w:rPr>
          <w:lang w:eastAsia="en-GB"/>
        </w:rPr>
        <w:t>):</w:t>
      </w:r>
      <w:bookmarkEnd w:id="19"/>
    </w:p>
    <w:tbl>
      <w:tblPr>
        <w:tblStyle w:val="TableGrid"/>
        <w:tblW w:w="0" w:type="auto"/>
        <w:tblLook w:val="04A0" w:firstRow="1" w:lastRow="0" w:firstColumn="1" w:lastColumn="0" w:noHBand="0" w:noVBand="1"/>
      </w:tblPr>
      <w:tblGrid>
        <w:gridCol w:w="9730"/>
      </w:tblGrid>
      <w:tr w:rsidR="00F024ED" w14:paraId="110737E6" w14:textId="77777777" w:rsidTr="00F024ED">
        <w:tc>
          <w:tcPr>
            <w:tcW w:w="9730" w:type="dxa"/>
            <w:tcBorders>
              <w:top w:val="nil"/>
              <w:left w:val="nil"/>
              <w:bottom w:val="nil"/>
              <w:right w:val="nil"/>
            </w:tcBorders>
            <w:shd w:val="clear" w:color="auto" w:fill="DEEAF6" w:themeFill="accent5" w:themeFillTint="33"/>
          </w:tcPr>
          <w:p w14:paraId="79F506B9" w14:textId="77777777" w:rsidR="00F024ED" w:rsidRDefault="00F024ED" w:rsidP="00F024ED">
            <w:pPr>
              <w:pStyle w:val="ListParagraph"/>
              <w:numPr>
                <w:ilvl w:val="0"/>
                <w:numId w:val="69"/>
              </w:numPr>
              <w:rPr>
                <w:sz w:val="20"/>
                <w:szCs w:val="20"/>
                <w:lang w:eastAsia="en-GB"/>
              </w:rPr>
            </w:pPr>
            <w:r>
              <w:rPr>
                <w:sz w:val="20"/>
                <w:szCs w:val="20"/>
                <w:lang w:eastAsia="en-GB"/>
              </w:rPr>
              <w:t>Pacific regional organisations provide adequate support to PICs to manage and develop their fisheries sustainably and cooperatively.</w:t>
            </w:r>
          </w:p>
          <w:p w14:paraId="4FA77E53" w14:textId="77777777" w:rsidR="00F024ED" w:rsidRDefault="00F024ED" w:rsidP="00F024ED">
            <w:pPr>
              <w:pStyle w:val="ListParagraph"/>
              <w:numPr>
                <w:ilvl w:val="0"/>
                <w:numId w:val="69"/>
              </w:numPr>
              <w:rPr>
                <w:sz w:val="20"/>
                <w:szCs w:val="20"/>
                <w:lang w:eastAsia="en-GB"/>
              </w:rPr>
            </w:pPr>
            <w:r>
              <w:rPr>
                <w:sz w:val="20"/>
                <w:szCs w:val="20"/>
                <w:lang w:eastAsia="en-GB"/>
              </w:rPr>
              <w:t>Pacific livelihoods are improved through access to sustainable coastal fisheries resources.</w:t>
            </w:r>
          </w:p>
          <w:p w14:paraId="5798D788" w14:textId="77777777" w:rsidR="00F024ED" w:rsidRDefault="00F024ED" w:rsidP="00F024ED">
            <w:pPr>
              <w:pStyle w:val="ListParagraph"/>
              <w:numPr>
                <w:ilvl w:val="0"/>
                <w:numId w:val="69"/>
              </w:numPr>
              <w:rPr>
                <w:sz w:val="20"/>
                <w:szCs w:val="20"/>
                <w:lang w:eastAsia="en-GB"/>
              </w:rPr>
            </w:pPr>
            <w:r>
              <w:rPr>
                <w:sz w:val="20"/>
                <w:szCs w:val="20"/>
                <w:lang w:eastAsia="en-GB"/>
              </w:rPr>
              <w:t>IUU fishing is reduced through coordinated fisheries monitoring, control and surveillance activities.</w:t>
            </w:r>
          </w:p>
          <w:p w14:paraId="0784E9BA" w14:textId="52571712" w:rsidR="00F024ED" w:rsidRPr="00F024ED" w:rsidRDefault="00F024ED" w:rsidP="00F024ED">
            <w:pPr>
              <w:pStyle w:val="ListParagraph"/>
              <w:numPr>
                <w:ilvl w:val="0"/>
                <w:numId w:val="69"/>
              </w:numPr>
              <w:rPr>
                <w:sz w:val="20"/>
                <w:szCs w:val="20"/>
                <w:lang w:eastAsia="en-GB"/>
              </w:rPr>
            </w:pPr>
            <w:r>
              <w:rPr>
                <w:sz w:val="20"/>
                <w:szCs w:val="20"/>
                <w:lang w:eastAsia="en-GB"/>
              </w:rPr>
              <w:t>Maritime boundaries are secured and resilient to the effect of climate change.</w:t>
            </w:r>
          </w:p>
        </w:tc>
      </w:tr>
    </w:tbl>
    <w:p w14:paraId="32E4AD2A" w14:textId="77777777" w:rsidR="00F024ED" w:rsidRDefault="00F024ED" w:rsidP="00195C85">
      <w:pPr>
        <w:spacing w:after="120"/>
      </w:pPr>
    </w:p>
    <w:p w14:paraId="3DEE137D" w14:textId="401DE6D7" w:rsidR="0088775E" w:rsidRDefault="00037540" w:rsidP="004B60BF">
      <w:pPr>
        <w:spacing w:after="120"/>
      </w:pPr>
      <w:r w:rsidRPr="00634D46">
        <w:t>Key investment activities by theme</w:t>
      </w:r>
      <w:r w:rsidR="00797CBB" w:rsidRPr="00634D46">
        <w:rPr>
          <w:rStyle w:val="FootnoteReference"/>
        </w:rPr>
        <w:footnoteReference w:id="3"/>
      </w:r>
      <w:r w:rsidRPr="00634D46">
        <w:t>:</w:t>
      </w:r>
    </w:p>
    <w:tbl>
      <w:tblPr>
        <w:tblStyle w:val="table-style-blauw-100-outline"/>
        <w:tblW w:w="9753" w:type="dxa"/>
        <w:tblBorders>
          <w:top w:val="single" w:sz="2" w:space="0" w:color="1F4E79" w:themeColor="accent5" w:themeShade="80"/>
          <w:left w:val="single" w:sz="2" w:space="0" w:color="1F4E79" w:themeColor="accent5" w:themeShade="80"/>
          <w:bottom w:val="single" w:sz="2" w:space="0" w:color="1F4E79" w:themeColor="accent5" w:themeShade="80"/>
          <w:right w:val="single" w:sz="2" w:space="0" w:color="1F4E79" w:themeColor="accent5" w:themeShade="80"/>
          <w:insideH w:val="single" w:sz="2" w:space="0" w:color="1F4E79" w:themeColor="accent5" w:themeShade="80"/>
          <w:insideV w:val="single" w:sz="2" w:space="0" w:color="1F4E79" w:themeColor="accent5" w:themeShade="80"/>
        </w:tblBorders>
        <w:tblLook w:val="04A0" w:firstRow="1" w:lastRow="0" w:firstColumn="1" w:lastColumn="0" w:noHBand="0" w:noVBand="1"/>
      </w:tblPr>
      <w:tblGrid>
        <w:gridCol w:w="2832"/>
        <w:gridCol w:w="5529"/>
        <w:gridCol w:w="1392"/>
      </w:tblGrid>
      <w:tr w:rsidR="00634D46" w:rsidRPr="00EA1694" w14:paraId="6AF193EE" w14:textId="77777777" w:rsidTr="00A35DFC">
        <w:trPr>
          <w:cnfStyle w:val="100000000000" w:firstRow="1" w:lastRow="0" w:firstColumn="0" w:lastColumn="0" w:oddVBand="0" w:evenVBand="0" w:oddHBand="0" w:evenHBand="0" w:firstRowFirstColumn="0" w:firstRowLastColumn="0" w:lastRowFirstColumn="0" w:lastRowLastColumn="0"/>
          <w:trHeight w:val="366"/>
          <w:tblHeader/>
        </w:trPr>
        <w:tc>
          <w:tcPr>
            <w:tcW w:w="2832" w:type="dxa"/>
            <w:tcBorders>
              <w:top w:val="single" w:sz="2" w:space="0" w:color="1F4E79" w:themeColor="accent5" w:themeShade="80"/>
              <w:left w:val="single" w:sz="2" w:space="0" w:color="1F4E79" w:themeColor="accent5" w:themeShade="80"/>
              <w:bottom w:val="single" w:sz="2" w:space="0" w:color="1F4E79" w:themeColor="accent5" w:themeShade="80"/>
              <w:right w:val="single" w:sz="2" w:space="0" w:color="FFFFFF" w:themeColor="background1"/>
            </w:tcBorders>
            <w:shd w:val="clear" w:color="auto" w:fill="1F4E79" w:themeFill="accent5" w:themeFillShade="80"/>
          </w:tcPr>
          <w:p w14:paraId="5F4BA3EB" w14:textId="19B09083" w:rsidR="00634D46" w:rsidRPr="00EA1694" w:rsidRDefault="00634D46" w:rsidP="00195C85">
            <w:pPr>
              <w:spacing w:line="240" w:lineRule="auto"/>
              <w:rPr>
                <w:rFonts w:asciiTheme="majorHAnsi" w:hAnsiTheme="majorHAnsi" w:cstheme="majorHAnsi"/>
                <w:color w:val="FFFFFF" w:themeColor="background1"/>
                <w:sz w:val="20"/>
                <w:szCs w:val="20"/>
                <w:lang w:val="en-GB"/>
              </w:rPr>
            </w:pPr>
            <w:r w:rsidRPr="00EA1694">
              <w:rPr>
                <w:rFonts w:asciiTheme="majorHAnsi" w:hAnsiTheme="majorHAnsi" w:cstheme="majorHAnsi"/>
                <w:color w:val="FFFFFF" w:themeColor="background1"/>
                <w:sz w:val="20"/>
                <w:szCs w:val="20"/>
                <w:lang w:val="en-GB"/>
              </w:rPr>
              <w:t>Theme</w:t>
            </w:r>
          </w:p>
        </w:tc>
        <w:tc>
          <w:tcPr>
            <w:tcW w:w="5529" w:type="dxa"/>
            <w:tcBorders>
              <w:top w:val="single" w:sz="2" w:space="0" w:color="1F4E79" w:themeColor="accent5" w:themeShade="80"/>
              <w:left w:val="single" w:sz="2" w:space="0" w:color="FFFFFF" w:themeColor="background1"/>
              <w:bottom w:val="single" w:sz="2" w:space="0" w:color="1F4E79" w:themeColor="accent5" w:themeShade="80"/>
              <w:right w:val="single" w:sz="2" w:space="0" w:color="FFFFFF" w:themeColor="background1"/>
            </w:tcBorders>
            <w:shd w:val="clear" w:color="auto" w:fill="1F4E79" w:themeFill="accent5" w:themeFillShade="80"/>
          </w:tcPr>
          <w:p w14:paraId="73DC5159" w14:textId="6E3E95DB" w:rsidR="00634D46" w:rsidRPr="00EA1694" w:rsidRDefault="00634D46" w:rsidP="00195C85">
            <w:pPr>
              <w:spacing w:line="240" w:lineRule="auto"/>
              <w:rPr>
                <w:rFonts w:asciiTheme="majorHAnsi" w:hAnsiTheme="majorHAnsi" w:cstheme="majorHAnsi"/>
                <w:color w:val="FFFFFF" w:themeColor="background1"/>
                <w:sz w:val="20"/>
                <w:szCs w:val="20"/>
                <w:lang w:val="en-GB"/>
              </w:rPr>
            </w:pPr>
            <w:r w:rsidRPr="00EA1694">
              <w:rPr>
                <w:rFonts w:asciiTheme="majorHAnsi" w:hAnsiTheme="majorHAnsi" w:cstheme="majorHAnsi"/>
                <w:color w:val="FFFFFF" w:themeColor="background1"/>
                <w:sz w:val="20"/>
                <w:szCs w:val="20"/>
                <w:lang w:val="en-GB"/>
              </w:rPr>
              <w:t>Description</w:t>
            </w:r>
          </w:p>
        </w:tc>
        <w:tc>
          <w:tcPr>
            <w:tcW w:w="1392" w:type="dxa"/>
            <w:tcBorders>
              <w:top w:val="single" w:sz="2" w:space="0" w:color="1F4E79" w:themeColor="accent5" w:themeShade="80"/>
              <w:left w:val="single" w:sz="2" w:space="0" w:color="FFFFFF" w:themeColor="background1"/>
              <w:bottom w:val="single" w:sz="2" w:space="0" w:color="1F4E79" w:themeColor="accent5" w:themeShade="80"/>
              <w:right w:val="single" w:sz="2" w:space="0" w:color="1F4E79" w:themeColor="accent5" w:themeShade="80"/>
            </w:tcBorders>
            <w:shd w:val="clear" w:color="auto" w:fill="1F4E79" w:themeFill="accent5" w:themeFillShade="80"/>
          </w:tcPr>
          <w:p w14:paraId="6629C182" w14:textId="44A86D62" w:rsidR="00634D46" w:rsidRPr="00EA1694" w:rsidRDefault="00634D46" w:rsidP="00195C85">
            <w:pPr>
              <w:spacing w:line="240" w:lineRule="auto"/>
              <w:rPr>
                <w:rFonts w:asciiTheme="majorHAnsi" w:hAnsiTheme="majorHAnsi" w:cstheme="majorHAnsi"/>
                <w:color w:val="FFFFFF" w:themeColor="background1"/>
                <w:sz w:val="20"/>
                <w:szCs w:val="20"/>
                <w:lang w:val="en-GB"/>
              </w:rPr>
            </w:pPr>
            <w:r w:rsidRPr="00EA1694">
              <w:rPr>
                <w:rFonts w:asciiTheme="majorHAnsi" w:hAnsiTheme="majorHAnsi" w:cstheme="majorHAnsi"/>
                <w:color w:val="FFFFFF" w:themeColor="background1"/>
                <w:sz w:val="20"/>
                <w:szCs w:val="20"/>
                <w:lang w:val="en-GB"/>
              </w:rPr>
              <w:t>Investment value</w:t>
            </w:r>
          </w:p>
        </w:tc>
      </w:tr>
      <w:tr w:rsidR="00634D46" w:rsidRPr="00EA1694" w14:paraId="07805C26" w14:textId="77777777" w:rsidTr="0022398B">
        <w:trPr>
          <w:cnfStyle w:val="000000100000" w:firstRow="0" w:lastRow="0" w:firstColumn="0" w:lastColumn="0" w:oddVBand="0" w:evenVBand="0" w:oddHBand="1" w:evenHBand="0" w:firstRowFirstColumn="0" w:firstRowLastColumn="0" w:lastRowFirstColumn="0" w:lastRowLastColumn="0"/>
          <w:trHeight w:val="1004"/>
        </w:trPr>
        <w:tc>
          <w:tcPr>
            <w:tcW w:w="2832" w:type="dxa"/>
            <w:tcBorders>
              <w:top w:val="single" w:sz="2" w:space="0" w:color="1F4E79" w:themeColor="accent5" w:themeShade="80"/>
            </w:tcBorders>
          </w:tcPr>
          <w:p w14:paraId="50C50D64" w14:textId="209C48E5" w:rsidR="00634D46" w:rsidRPr="00EA1694" w:rsidRDefault="00634D46" w:rsidP="006855BD">
            <w:pPr>
              <w:spacing w:line="240" w:lineRule="auto"/>
              <w:rPr>
                <w:rFonts w:asciiTheme="majorHAnsi" w:hAnsiTheme="majorHAnsi" w:cstheme="majorHAnsi"/>
                <w:sz w:val="20"/>
                <w:szCs w:val="20"/>
                <w:lang w:val="en-GB"/>
              </w:rPr>
            </w:pPr>
            <w:r w:rsidRPr="00EA1694">
              <w:rPr>
                <w:rFonts w:asciiTheme="majorHAnsi" w:hAnsiTheme="majorHAnsi" w:cstheme="majorHAnsi"/>
                <w:b/>
                <w:bCs/>
                <w:sz w:val="20"/>
                <w:szCs w:val="20"/>
                <w:lang w:val="en-GB"/>
              </w:rPr>
              <w:t>Pacific Islands Forum Fisheries Agency (FFA)</w:t>
            </w:r>
          </w:p>
        </w:tc>
        <w:tc>
          <w:tcPr>
            <w:tcW w:w="5529" w:type="dxa"/>
            <w:tcBorders>
              <w:top w:val="single" w:sz="2" w:space="0" w:color="1F4E79" w:themeColor="accent5" w:themeShade="80"/>
            </w:tcBorders>
          </w:tcPr>
          <w:p w14:paraId="329F9FF4" w14:textId="3E4C5FB9" w:rsidR="00634D46" w:rsidRPr="00EA1694" w:rsidRDefault="00634D46" w:rsidP="006855BD">
            <w:pPr>
              <w:spacing w:line="240" w:lineRule="auto"/>
              <w:rPr>
                <w:rFonts w:asciiTheme="majorHAnsi" w:hAnsiTheme="majorHAnsi" w:cstheme="majorHAnsi"/>
                <w:sz w:val="20"/>
                <w:szCs w:val="20"/>
                <w:lang w:val="en-GB"/>
              </w:rPr>
            </w:pPr>
            <w:r w:rsidRPr="00EA1694">
              <w:rPr>
                <w:rFonts w:cstheme="majorBidi"/>
                <w:sz w:val="20"/>
                <w:szCs w:val="20"/>
                <w:lang w:val="en-GB"/>
              </w:rPr>
              <w:t xml:space="preserve">Core funding to the FFA as the regional organisation leading on sustainable offshore fisheries management, development and compliance. </w:t>
            </w:r>
            <w:r w:rsidR="000F3351" w:rsidRPr="00EA1694">
              <w:rPr>
                <w:rFonts w:cstheme="majorBidi"/>
                <w:sz w:val="20"/>
                <w:szCs w:val="20"/>
                <w:lang w:val="en-GB"/>
              </w:rPr>
              <w:t>Supports Pacific Island</w:t>
            </w:r>
            <w:r w:rsidRPr="00EA1694">
              <w:rPr>
                <w:rFonts w:cstheme="majorBidi"/>
                <w:sz w:val="20"/>
                <w:szCs w:val="20"/>
                <w:lang w:val="en-GB"/>
              </w:rPr>
              <w:t xml:space="preserve"> countries (PICs) to benefit from the sustainable use of tuna for economic development</w:t>
            </w:r>
          </w:p>
        </w:tc>
        <w:tc>
          <w:tcPr>
            <w:tcW w:w="1392" w:type="dxa"/>
            <w:tcBorders>
              <w:top w:val="single" w:sz="2" w:space="0" w:color="1F4E79" w:themeColor="accent5" w:themeShade="80"/>
            </w:tcBorders>
          </w:tcPr>
          <w:p w14:paraId="30C81953" w14:textId="04CD347C" w:rsidR="00634D46" w:rsidRPr="00EA1694" w:rsidRDefault="00634D46" w:rsidP="006855BD">
            <w:pPr>
              <w:spacing w:line="240" w:lineRule="auto"/>
              <w:rPr>
                <w:rFonts w:asciiTheme="majorHAnsi" w:hAnsiTheme="majorHAnsi" w:cstheme="majorHAnsi"/>
                <w:sz w:val="20"/>
                <w:szCs w:val="20"/>
                <w:lang w:val="en-GB"/>
              </w:rPr>
            </w:pPr>
            <w:r w:rsidRPr="00EA1694">
              <w:rPr>
                <w:sz w:val="20"/>
                <w:szCs w:val="20"/>
                <w:lang w:val="en-GB"/>
              </w:rPr>
              <w:t xml:space="preserve">$66m (50% of </w:t>
            </w:r>
            <w:r w:rsidR="00B41DE6" w:rsidRPr="00EA1694">
              <w:rPr>
                <w:sz w:val="20"/>
                <w:szCs w:val="20"/>
                <w:lang w:val="en-GB"/>
              </w:rPr>
              <w:t>I</w:t>
            </w:r>
            <w:r w:rsidRPr="00EA1694">
              <w:rPr>
                <w:sz w:val="20"/>
                <w:szCs w:val="20"/>
                <w:lang w:val="en-GB"/>
              </w:rPr>
              <w:t>nvestment value)</w:t>
            </w:r>
          </w:p>
        </w:tc>
      </w:tr>
      <w:tr w:rsidR="00634D46" w:rsidRPr="00EA1694" w14:paraId="193A1632" w14:textId="77777777" w:rsidTr="0022398B">
        <w:trPr>
          <w:cnfStyle w:val="000000010000" w:firstRow="0" w:lastRow="0" w:firstColumn="0" w:lastColumn="0" w:oddVBand="0" w:evenVBand="0" w:oddHBand="0" w:evenHBand="1" w:firstRowFirstColumn="0" w:firstRowLastColumn="0" w:lastRowFirstColumn="0" w:lastRowLastColumn="0"/>
          <w:trHeight w:val="1193"/>
        </w:trPr>
        <w:tc>
          <w:tcPr>
            <w:tcW w:w="2832" w:type="dxa"/>
          </w:tcPr>
          <w:p w14:paraId="625BCCDC" w14:textId="18575D24" w:rsidR="00634D46" w:rsidRPr="00EA1694" w:rsidRDefault="00634D46" w:rsidP="006855BD">
            <w:pPr>
              <w:spacing w:line="240" w:lineRule="auto"/>
              <w:rPr>
                <w:rFonts w:asciiTheme="majorHAnsi" w:hAnsiTheme="majorHAnsi" w:cstheme="majorHAnsi"/>
                <w:sz w:val="20"/>
                <w:szCs w:val="20"/>
                <w:lang w:val="en-GB"/>
              </w:rPr>
            </w:pPr>
            <w:r w:rsidRPr="00EA1694">
              <w:rPr>
                <w:b/>
                <w:bCs/>
                <w:sz w:val="20"/>
                <w:szCs w:val="20"/>
                <w:lang w:val="en-GB"/>
              </w:rPr>
              <w:t>The Pacific Community (SPC) Fisheries, Aquaculture and Marine Ecosystems (</w:t>
            </w:r>
            <w:r w:rsidR="006B5558" w:rsidRPr="00EA1694">
              <w:rPr>
                <w:b/>
                <w:bCs/>
                <w:sz w:val="20"/>
                <w:szCs w:val="20"/>
                <w:lang w:val="en-GB"/>
              </w:rPr>
              <w:t>FAME</w:t>
            </w:r>
            <w:r w:rsidRPr="00EA1694">
              <w:rPr>
                <w:b/>
                <w:bCs/>
                <w:sz w:val="20"/>
                <w:szCs w:val="20"/>
                <w:lang w:val="en-GB"/>
              </w:rPr>
              <w:t>) Division</w:t>
            </w:r>
          </w:p>
        </w:tc>
        <w:tc>
          <w:tcPr>
            <w:tcW w:w="5529" w:type="dxa"/>
          </w:tcPr>
          <w:p w14:paraId="76CEF075" w14:textId="1FA574D6" w:rsidR="00634D46" w:rsidRPr="00EA1694" w:rsidRDefault="00634D46" w:rsidP="006855BD">
            <w:pPr>
              <w:spacing w:line="240" w:lineRule="auto"/>
              <w:rPr>
                <w:rFonts w:asciiTheme="majorHAnsi" w:hAnsiTheme="majorHAnsi" w:cstheme="majorHAnsi"/>
                <w:sz w:val="20"/>
                <w:szCs w:val="20"/>
                <w:lang w:val="en-GB"/>
              </w:rPr>
            </w:pPr>
            <w:r w:rsidRPr="00EA1694">
              <w:rPr>
                <w:rFonts w:cstheme="majorHAnsi"/>
                <w:sz w:val="20"/>
                <w:szCs w:val="20"/>
                <w:lang w:val="en-GB"/>
              </w:rPr>
              <w:t xml:space="preserve">Program funding to SPC’s </w:t>
            </w:r>
            <w:r w:rsidR="006B5558" w:rsidRPr="00EA1694">
              <w:rPr>
                <w:rFonts w:cstheme="majorHAnsi"/>
                <w:sz w:val="20"/>
                <w:szCs w:val="20"/>
                <w:lang w:val="en-GB"/>
              </w:rPr>
              <w:t>FAME</w:t>
            </w:r>
            <w:r w:rsidRPr="00EA1694">
              <w:rPr>
                <w:rFonts w:cstheme="majorHAnsi"/>
                <w:sz w:val="20"/>
                <w:szCs w:val="20"/>
                <w:lang w:val="en-GB"/>
              </w:rPr>
              <w:t xml:space="preserve"> Division to support PICTs with scientific and technical advice to sustainably manage and develop their oceanic fisheries, coastal fisheries and aquaculture resources that underpin food security and livelihoods</w:t>
            </w:r>
          </w:p>
        </w:tc>
        <w:tc>
          <w:tcPr>
            <w:tcW w:w="1392" w:type="dxa"/>
          </w:tcPr>
          <w:p w14:paraId="7BEB9EDA" w14:textId="2D1AD4DD" w:rsidR="00634D46" w:rsidRPr="00EA1694" w:rsidRDefault="00634D46" w:rsidP="006855BD">
            <w:pPr>
              <w:spacing w:line="240" w:lineRule="auto"/>
              <w:rPr>
                <w:rFonts w:asciiTheme="majorHAnsi" w:hAnsiTheme="majorHAnsi" w:cstheme="majorHAnsi"/>
                <w:sz w:val="20"/>
                <w:szCs w:val="20"/>
                <w:lang w:val="en-GB"/>
              </w:rPr>
            </w:pPr>
            <w:r w:rsidRPr="00EA1694">
              <w:rPr>
                <w:sz w:val="20"/>
                <w:szCs w:val="20"/>
                <w:lang w:val="en-GB"/>
              </w:rPr>
              <w:t>$26m (20%)</w:t>
            </w:r>
          </w:p>
        </w:tc>
      </w:tr>
      <w:tr w:rsidR="00634D46" w:rsidRPr="00EA1694" w14:paraId="30FEB4CA" w14:textId="77777777" w:rsidTr="0022398B">
        <w:trPr>
          <w:cnfStyle w:val="000000100000" w:firstRow="0" w:lastRow="0" w:firstColumn="0" w:lastColumn="0" w:oddVBand="0" w:evenVBand="0" w:oddHBand="1" w:evenHBand="0" w:firstRowFirstColumn="0" w:firstRowLastColumn="0" w:lastRowFirstColumn="0" w:lastRowLastColumn="0"/>
          <w:trHeight w:val="1412"/>
        </w:trPr>
        <w:tc>
          <w:tcPr>
            <w:tcW w:w="2832" w:type="dxa"/>
          </w:tcPr>
          <w:p w14:paraId="64723F86" w14:textId="00D84D07" w:rsidR="00634D46" w:rsidRPr="00EA1694" w:rsidRDefault="00634D46" w:rsidP="006855BD">
            <w:pPr>
              <w:spacing w:line="240" w:lineRule="auto"/>
              <w:rPr>
                <w:rFonts w:asciiTheme="majorHAnsi" w:hAnsiTheme="majorHAnsi" w:cstheme="majorHAnsi"/>
                <w:sz w:val="20"/>
                <w:szCs w:val="20"/>
                <w:lang w:val="en-GB"/>
              </w:rPr>
            </w:pPr>
            <w:r w:rsidRPr="00EA1694">
              <w:rPr>
                <w:b/>
                <w:bCs/>
                <w:sz w:val="20"/>
                <w:szCs w:val="20"/>
                <w:lang w:val="en-GB"/>
              </w:rPr>
              <w:t>Community-Based Fisheries Management (CBFM)</w:t>
            </w:r>
          </w:p>
        </w:tc>
        <w:tc>
          <w:tcPr>
            <w:tcW w:w="5529" w:type="dxa"/>
          </w:tcPr>
          <w:p w14:paraId="0DFBDCD6" w14:textId="53D38B97" w:rsidR="00634D46" w:rsidRPr="00EA1694" w:rsidRDefault="00634D46" w:rsidP="006855BD">
            <w:pPr>
              <w:spacing w:line="240" w:lineRule="auto"/>
              <w:rPr>
                <w:rFonts w:asciiTheme="majorHAnsi" w:hAnsiTheme="majorHAnsi" w:cstheme="majorHAnsi"/>
                <w:sz w:val="20"/>
                <w:szCs w:val="20"/>
                <w:lang w:val="en-GB"/>
              </w:rPr>
            </w:pPr>
            <w:r w:rsidRPr="00EA1694">
              <w:rPr>
                <w:rFonts w:cstheme="majorHAnsi"/>
                <w:sz w:val="20"/>
                <w:szCs w:val="20"/>
                <w:lang w:val="en-GB"/>
              </w:rPr>
              <w:t>Co-funded with the Australian Centre for International Agricultural Research (ACIAR) and implemented by the Australian National Centre for Ocean Resources and Security (ANCORS) at the University of Wollongong to scale-up CBFM in Kiribati, Solomon Islands and Vanuatu to self-sustaining national programs that support resilient coastal communities (since 2012</w:t>
            </w:r>
          </w:p>
        </w:tc>
        <w:tc>
          <w:tcPr>
            <w:tcW w:w="1392" w:type="dxa"/>
          </w:tcPr>
          <w:p w14:paraId="1253B977" w14:textId="14AD8851" w:rsidR="00634D46" w:rsidRPr="00EA1694" w:rsidRDefault="00634D46" w:rsidP="006855BD">
            <w:pPr>
              <w:spacing w:line="240" w:lineRule="auto"/>
              <w:rPr>
                <w:rFonts w:asciiTheme="majorHAnsi" w:hAnsiTheme="majorHAnsi" w:cstheme="majorHAnsi"/>
                <w:sz w:val="20"/>
                <w:szCs w:val="20"/>
                <w:lang w:val="en-GB"/>
              </w:rPr>
            </w:pPr>
            <w:r w:rsidRPr="00EA1694">
              <w:rPr>
                <w:sz w:val="20"/>
                <w:szCs w:val="20"/>
                <w:lang w:val="en-GB"/>
              </w:rPr>
              <w:t>$22m (16%)</w:t>
            </w:r>
          </w:p>
        </w:tc>
      </w:tr>
      <w:tr w:rsidR="00634D46" w:rsidRPr="00EA1694" w14:paraId="1B5480E0" w14:textId="77777777" w:rsidTr="0022398B">
        <w:trPr>
          <w:cnfStyle w:val="000000010000" w:firstRow="0" w:lastRow="0" w:firstColumn="0" w:lastColumn="0" w:oddVBand="0" w:evenVBand="0" w:oddHBand="0" w:evenHBand="1" w:firstRowFirstColumn="0" w:firstRowLastColumn="0" w:lastRowFirstColumn="0" w:lastRowLastColumn="0"/>
          <w:trHeight w:val="211"/>
        </w:trPr>
        <w:tc>
          <w:tcPr>
            <w:tcW w:w="2832" w:type="dxa"/>
          </w:tcPr>
          <w:p w14:paraId="3465CF49" w14:textId="5389E66A" w:rsidR="00634D46" w:rsidRPr="00EA1694" w:rsidRDefault="00634D46" w:rsidP="006855BD">
            <w:pPr>
              <w:spacing w:line="240" w:lineRule="auto"/>
              <w:rPr>
                <w:rFonts w:asciiTheme="majorHAnsi" w:hAnsiTheme="majorHAnsi" w:cstheme="majorHAnsi"/>
                <w:sz w:val="20"/>
                <w:szCs w:val="20"/>
                <w:lang w:val="en-GB"/>
              </w:rPr>
            </w:pPr>
            <w:r w:rsidRPr="00EA1694">
              <w:rPr>
                <w:b/>
                <w:bCs/>
                <w:sz w:val="20"/>
                <w:szCs w:val="20"/>
                <w:lang w:val="en-GB"/>
              </w:rPr>
              <w:lastRenderedPageBreak/>
              <w:t>Addressing illegal, unreported and unregulated Fishing</w:t>
            </w:r>
          </w:p>
        </w:tc>
        <w:tc>
          <w:tcPr>
            <w:tcW w:w="5529" w:type="dxa"/>
          </w:tcPr>
          <w:p w14:paraId="16EC062E" w14:textId="77777777" w:rsidR="00634D46" w:rsidRPr="00EA1694" w:rsidRDefault="00634D46" w:rsidP="006855BD">
            <w:pPr>
              <w:pStyle w:val="ListParagraph"/>
              <w:numPr>
                <w:ilvl w:val="0"/>
                <w:numId w:val="25"/>
              </w:numPr>
              <w:spacing w:line="240" w:lineRule="auto"/>
              <w:rPr>
                <w:rFonts w:cstheme="majorHAnsi"/>
                <w:sz w:val="20"/>
                <w:szCs w:val="20"/>
                <w:lang w:val="en-GB"/>
              </w:rPr>
            </w:pPr>
            <w:r w:rsidRPr="00EA1694">
              <w:rPr>
                <w:rFonts w:cstheme="majorHAnsi"/>
                <w:sz w:val="20"/>
                <w:szCs w:val="20"/>
                <w:lang w:val="en-GB"/>
              </w:rPr>
              <w:t>Funding for the Australian Fisheries Management Authority (AFMA) to build regional and national capacity for enforcement operations in the Pacific and strengthen information sharing, including through the NTSA (2017-2025).</w:t>
            </w:r>
          </w:p>
          <w:p w14:paraId="77B5CFED" w14:textId="77777777" w:rsidR="00634D46" w:rsidRPr="00EA1694" w:rsidRDefault="00634D46" w:rsidP="006855BD">
            <w:pPr>
              <w:pStyle w:val="ListParagraph"/>
              <w:numPr>
                <w:ilvl w:val="0"/>
                <w:numId w:val="25"/>
              </w:numPr>
              <w:spacing w:line="240" w:lineRule="auto"/>
              <w:rPr>
                <w:rFonts w:cstheme="majorHAnsi"/>
                <w:sz w:val="20"/>
                <w:szCs w:val="20"/>
                <w:lang w:val="en-GB"/>
              </w:rPr>
            </w:pPr>
            <w:r w:rsidRPr="00EA1694">
              <w:rPr>
                <w:rFonts w:cstheme="majorHAnsi"/>
                <w:sz w:val="20"/>
                <w:szCs w:val="20"/>
                <w:lang w:val="en-GB"/>
              </w:rPr>
              <w:t>Funding for regional and national activities to implement the Regional Monitoring, Control and Surveillance Strategy (2021-2024).</w:t>
            </w:r>
          </w:p>
          <w:p w14:paraId="40CDFCD6" w14:textId="02B0C2D3" w:rsidR="00634D46" w:rsidRPr="00EA1694" w:rsidRDefault="00634D46" w:rsidP="006855BD">
            <w:pPr>
              <w:pStyle w:val="ListParagraph"/>
              <w:numPr>
                <w:ilvl w:val="0"/>
                <w:numId w:val="25"/>
              </w:numPr>
              <w:spacing w:line="240" w:lineRule="auto"/>
              <w:rPr>
                <w:rFonts w:cstheme="majorHAnsi"/>
                <w:sz w:val="20"/>
                <w:szCs w:val="20"/>
                <w:lang w:val="en-GB"/>
              </w:rPr>
            </w:pPr>
            <w:r w:rsidRPr="00EA1694">
              <w:rPr>
                <w:rFonts w:cstheme="majorHAnsi"/>
                <w:sz w:val="20"/>
                <w:szCs w:val="20"/>
                <w:lang w:val="en-GB"/>
              </w:rPr>
              <w:t>Support for national ratification and implementation of the Niue Treaty Subsidiary Agreement (NTSA) (2017-2023).</w:t>
            </w:r>
          </w:p>
        </w:tc>
        <w:tc>
          <w:tcPr>
            <w:tcW w:w="1392" w:type="dxa"/>
          </w:tcPr>
          <w:p w14:paraId="39696500" w14:textId="0D9CAC60" w:rsidR="00634D46" w:rsidRPr="00EA1694" w:rsidRDefault="00634D46" w:rsidP="006855BD">
            <w:pPr>
              <w:spacing w:line="240" w:lineRule="auto"/>
              <w:rPr>
                <w:rFonts w:asciiTheme="majorHAnsi" w:hAnsiTheme="majorHAnsi" w:cstheme="majorHAnsi"/>
                <w:sz w:val="20"/>
                <w:szCs w:val="20"/>
                <w:lang w:val="en-GB"/>
              </w:rPr>
            </w:pPr>
            <w:r w:rsidRPr="00EA1694">
              <w:rPr>
                <w:sz w:val="20"/>
                <w:szCs w:val="20"/>
                <w:lang w:val="en-GB"/>
              </w:rPr>
              <w:t>$8m (6%)</w:t>
            </w:r>
          </w:p>
        </w:tc>
      </w:tr>
      <w:tr w:rsidR="00634D46" w:rsidRPr="00EA1694" w14:paraId="12FCE58F" w14:textId="77777777" w:rsidTr="0022398B">
        <w:trPr>
          <w:cnfStyle w:val="000000100000" w:firstRow="0" w:lastRow="0" w:firstColumn="0" w:lastColumn="0" w:oddVBand="0" w:evenVBand="0" w:oddHBand="1" w:evenHBand="0" w:firstRowFirstColumn="0" w:firstRowLastColumn="0" w:lastRowFirstColumn="0" w:lastRowLastColumn="0"/>
          <w:trHeight w:val="2384"/>
        </w:trPr>
        <w:tc>
          <w:tcPr>
            <w:tcW w:w="2832" w:type="dxa"/>
          </w:tcPr>
          <w:p w14:paraId="366A89D1" w14:textId="1B8B79F9" w:rsidR="00634D46" w:rsidRPr="00EA1694" w:rsidRDefault="00634D46" w:rsidP="006855BD">
            <w:pPr>
              <w:spacing w:line="240" w:lineRule="auto"/>
              <w:rPr>
                <w:rFonts w:asciiTheme="majorHAnsi" w:hAnsiTheme="majorHAnsi" w:cstheme="majorHAnsi"/>
                <w:sz w:val="20"/>
                <w:szCs w:val="20"/>
                <w:lang w:val="en-GB"/>
              </w:rPr>
            </w:pPr>
            <w:r w:rsidRPr="00EA1694">
              <w:rPr>
                <w:b/>
                <w:bCs/>
                <w:sz w:val="20"/>
                <w:szCs w:val="20"/>
                <w:lang w:val="en-GB"/>
              </w:rPr>
              <w:t>Pacific Maritime Boundaries</w:t>
            </w:r>
          </w:p>
        </w:tc>
        <w:tc>
          <w:tcPr>
            <w:tcW w:w="5529" w:type="dxa"/>
          </w:tcPr>
          <w:p w14:paraId="1043FF6D" w14:textId="77777777" w:rsidR="00634D46" w:rsidRPr="00EA1694" w:rsidRDefault="00634D46" w:rsidP="006855BD">
            <w:pPr>
              <w:pStyle w:val="ListParagraph"/>
              <w:numPr>
                <w:ilvl w:val="0"/>
                <w:numId w:val="25"/>
              </w:numPr>
              <w:spacing w:line="240" w:lineRule="auto"/>
              <w:rPr>
                <w:rFonts w:cstheme="majorHAnsi"/>
                <w:sz w:val="20"/>
                <w:szCs w:val="20"/>
                <w:lang w:val="en-GB"/>
              </w:rPr>
            </w:pPr>
            <w:r w:rsidRPr="00EA1694">
              <w:rPr>
                <w:rFonts w:cstheme="majorHAnsi"/>
                <w:sz w:val="20"/>
                <w:szCs w:val="20"/>
                <w:lang w:val="en-GB"/>
              </w:rPr>
              <w:t>Over the last two decades, DFAT has supported Pacific Island countries to establish and secure their maritime boundaries and zones with SPC’s Geoscience, Energy and Maritime Division (SPC GEM), Geoscience Australia (technical support) and Attorney-General’s Department (legal support).</w:t>
            </w:r>
          </w:p>
          <w:p w14:paraId="3035E800" w14:textId="27743FAB" w:rsidR="00634D46" w:rsidRPr="00EA1694" w:rsidRDefault="00634D46" w:rsidP="006855BD">
            <w:pPr>
              <w:pStyle w:val="ListParagraph"/>
              <w:numPr>
                <w:ilvl w:val="0"/>
                <w:numId w:val="25"/>
              </w:numPr>
              <w:spacing w:line="240" w:lineRule="auto"/>
              <w:rPr>
                <w:rFonts w:cstheme="majorHAnsi"/>
                <w:sz w:val="20"/>
                <w:szCs w:val="20"/>
                <w:lang w:val="en-GB"/>
              </w:rPr>
            </w:pPr>
            <w:r w:rsidRPr="00EA1694">
              <w:rPr>
                <w:rFonts w:cstheme="majorHAnsi"/>
                <w:sz w:val="20"/>
                <w:szCs w:val="20"/>
                <w:lang w:val="en-GB"/>
              </w:rPr>
              <w:t>This includes the Resilient Boundaries for the Blue Pacific (RBBP) Project with SPC GEM to examine the effects of sea level rise and other climate change impacts on the physical features used to generate maritime zones and develop Pacific-led responses (2019-2024).</w:t>
            </w:r>
          </w:p>
        </w:tc>
        <w:tc>
          <w:tcPr>
            <w:tcW w:w="1392" w:type="dxa"/>
          </w:tcPr>
          <w:p w14:paraId="1F121002" w14:textId="4FA517A5" w:rsidR="00634D46" w:rsidRPr="00EA1694" w:rsidRDefault="00634D46" w:rsidP="006855BD">
            <w:pPr>
              <w:spacing w:line="240" w:lineRule="auto"/>
              <w:rPr>
                <w:rFonts w:asciiTheme="majorHAnsi" w:hAnsiTheme="majorHAnsi" w:cstheme="majorHAnsi"/>
                <w:sz w:val="20"/>
                <w:szCs w:val="20"/>
                <w:lang w:val="en-GB"/>
              </w:rPr>
            </w:pPr>
            <w:r w:rsidRPr="00EA1694">
              <w:rPr>
                <w:sz w:val="20"/>
                <w:szCs w:val="20"/>
                <w:lang w:val="en-GB"/>
              </w:rPr>
              <w:t>$5m (4%)</w:t>
            </w:r>
          </w:p>
        </w:tc>
      </w:tr>
    </w:tbl>
    <w:p w14:paraId="449B6425" w14:textId="77777777" w:rsidR="00634D46" w:rsidRDefault="00634D46" w:rsidP="00D41C65">
      <w:pPr>
        <w:rPr>
          <w:rFonts w:asciiTheme="majorHAnsi" w:hAnsiTheme="majorHAnsi" w:cstheme="majorHAnsi"/>
        </w:rPr>
      </w:pPr>
    </w:p>
    <w:p w14:paraId="6FCAC6B3" w14:textId="2A3BA3DB" w:rsidR="009D09A7" w:rsidRPr="000F3351" w:rsidRDefault="00C813AB" w:rsidP="000F3351">
      <w:pPr>
        <w:spacing w:after="120"/>
        <w:rPr>
          <w:rStyle w:val="Heading"/>
          <w:rFonts w:ascii="Calibri Light" w:hAnsi="Calibri Light" w:cstheme="minorHAnsi"/>
          <w:color w:val="000000" w:themeColor="text1"/>
          <w:sz w:val="22"/>
          <w:szCs w:val="22"/>
        </w:rPr>
      </w:pPr>
      <w:r w:rsidRPr="0088775E">
        <w:t xml:space="preserve">The </w:t>
      </w:r>
      <w:r w:rsidR="00B41DE6">
        <w:t>I</w:t>
      </w:r>
      <w:r w:rsidRPr="0088775E">
        <w:t xml:space="preserve">nvestment has generated </w:t>
      </w:r>
      <w:r w:rsidR="000E7A66">
        <w:t>at least 7</w:t>
      </w:r>
      <w:r w:rsidRPr="0088775E">
        <w:t xml:space="preserve"> independent evaluations (see </w:t>
      </w:r>
      <w:r w:rsidRPr="0088775E">
        <w:fldChar w:fldCharType="begin"/>
      </w:r>
      <w:r w:rsidRPr="0088775E">
        <w:instrText xml:space="preserve"> REF _Ref187844495 \h  \* MERGEFORMAT </w:instrText>
      </w:r>
      <w:r w:rsidRPr="0088775E">
        <w:fldChar w:fldCharType="separate"/>
      </w:r>
      <w:r w:rsidR="00FC67EE">
        <w:t xml:space="preserve">Table </w:t>
      </w:r>
      <w:r w:rsidRPr="0088775E">
        <w:fldChar w:fldCharType="end"/>
      </w:r>
      <w:r w:rsidR="00CF65D0">
        <w:t xml:space="preserve">, </w:t>
      </w:r>
      <w:r w:rsidR="000F3351">
        <w:rPr>
          <w:b/>
          <w:bCs/>
        </w:rPr>
        <w:t>Annexe</w:t>
      </w:r>
      <w:r w:rsidR="00CF65D0" w:rsidRPr="00F62AE7">
        <w:rPr>
          <w:b/>
          <w:bCs/>
        </w:rPr>
        <w:t xml:space="preserve"> 1</w:t>
      </w:r>
      <w:r w:rsidRPr="0088775E">
        <w:t xml:space="preserve">). The extent to which the findings of these evaluations have been used to inform and enhance the quality of DFAT’s Pacific fisheries programs </w:t>
      </w:r>
      <w:r w:rsidR="00A42D1B">
        <w:t>is</w:t>
      </w:r>
      <w:r w:rsidRPr="0088775E">
        <w:t xml:space="preserve"> outlined in the management responses (</w:t>
      </w:r>
      <w:r w:rsidRPr="0088775E">
        <w:rPr>
          <w:rFonts w:cstheme="majorHAnsi"/>
        </w:rPr>
        <w:t xml:space="preserve">available at the links provided in </w:t>
      </w:r>
      <w:r w:rsidRPr="0088775E">
        <w:rPr>
          <w:rFonts w:cstheme="majorHAnsi"/>
        </w:rPr>
        <w:fldChar w:fldCharType="begin"/>
      </w:r>
      <w:r w:rsidRPr="0088775E">
        <w:rPr>
          <w:rFonts w:cstheme="majorHAnsi"/>
        </w:rPr>
        <w:instrText xml:space="preserve"> REF _Ref187844495 \h  \* MERGEFORMAT </w:instrText>
      </w:r>
      <w:r w:rsidRPr="0088775E">
        <w:rPr>
          <w:rFonts w:cstheme="majorHAnsi"/>
        </w:rPr>
      </w:r>
      <w:r w:rsidRPr="0088775E">
        <w:rPr>
          <w:rFonts w:cstheme="majorHAnsi"/>
        </w:rPr>
        <w:fldChar w:fldCharType="separate"/>
      </w:r>
      <w:r w:rsidR="00FC67EE" w:rsidRPr="00FC67EE">
        <w:rPr>
          <w:rFonts w:cstheme="majorHAnsi"/>
        </w:rPr>
        <w:t xml:space="preserve">Table </w:t>
      </w:r>
      <w:r w:rsidRPr="0088775E">
        <w:rPr>
          <w:rFonts w:cstheme="majorHAnsi"/>
        </w:rPr>
        <w:fldChar w:fldCharType="end"/>
      </w:r>
      <w:r w:rsidRPr="0088775E">
        <w:t xml:space="preserve">). While evaluations have been commissioned for DFAT’s support to SPC </w:t>
      </w:r>
      <w:r w:rsidR="006B5558">
        <w:t>FAME</w:t>
      </w:r>
      <w:r w:rsidRPr="0088775E">
        <w:t>, community-based fisheries management, IUU fishing, and maritime boundaries, there has been no DFAT-commissioned review of funding to FFA over this period</w:t>
      </w:r>
      <w:r w:rsidR="000D7E18">
        <w:t xml:space="preserve">. For this reason, </w:t>
      </w:r>
      <w:r w:rsidR="000E253A">
        <w:t xml:space="preserve">this </w:t>
      </w:r>
      <w:r w:rsidRPr="0088775E">
        <w:t xml:space="preserve">evaluation’s primary data collection </w:t>
      </w:r>
      <w:r w:rsidR="00714A76">
        <w:t>focused</w:t>
      </w:r>
      <w:r w:rsidRPr="0088775E">
        <w:t xml:space="preserve"> on FFA activities (which account for 5</w:t>
      </w:r>
      <w:r w:rsidR="008B0A54">
        <w:t>0</w:t>
      </w:r>
      <w:r w:rsidRPr="0088775E">
        <w:t xml:space="preserve">% of the total </w:t>
      </w:r>
      <w:r w:rsidR="00B41DE6">
        <w:t>Investment</w:t>
      </w:r>
      <w:r w:rsidRPr="0088775E">
        <w:t xml:space="preserve"> value).</w:t>
      </w:r>
    </w:p>
    <w:p w14:paraId="039431E9" w14:textId="6BB73DCD" w:rsidR="00EA494A" w:rsidRPr="00F65D73" w:rsidRDefault="0037474F" w:rsidP="00F65D73">
      <w:pPr>
        <w:pStyle w:val="Heading3"/>
        <w:rPr>
          <w:rStyle w:val="Heading"/>
          <w:rFonts w:asciiTheme="majorHAnsi" w:hAnsiTheme="majorHAnsi" w:cstheme="majorBidi"/>
          <w:b/>
          <w:bCs/>
          <w:color w:val="2F5496" w:themeColor="accent1" w:themeShade="BF"/>
          <w:sz w:val="28"/>
          <w:szCs w:val="28"/>
        </w:rPr>
      </w:pPr>
      <w:bookmarkStart w:id="20" w:name="_Toc207206807"/>
      <w:r w:rsidRPr="00F65D73">
        <w:rPr>
          <w:rStyle w:val="Heading"/>
          <w:rFonts w:asciiTheme="majorHAnsi" w:hAnsiTheme="majorHAnsi" w:cstheme="majorBidi"/>
          <w:b/>
          <w:bCs/>
          <w:color w:val="2F5496" w:themeColor="accent1" w:themeShade="BF"/>
          <w:sz w:val="28"/>
          <w:szCs w:val="28"/>
        </w:rPr>
        <w:t>The Purpose</w:t>
      </w:r>
      <w:bookmarkEnd w:id="4"/>
      <w:bookmarkEnd w:id="5"/>
      <w:bookmarkEnd w:id="6"/>
      <w:r w:rsidR="001D6811" w:rsidRPr="00F65D73">
        <w:rPr>
          <w:rStyle w:val="Heading"/>
          <w:rFonts w:asciiTheme="majorHAnsi" w:hAnsiTheme="majorHAnsi" w:cstheme="majorBidi"/>
          <w:b/>
          <w:bCs/>
          <w:color w:val="2F5496" w:themeColor="accent1" w:themeShade="BF"/>
          <w:sz w:val="28"/>
          <w:szCs w:val="28"/>
        </w:rPr>
        <w:t xml:space="preserve"> of the Evaluation</w:t>
      </w:r>
      <w:bookmarkEnd w:id="20"/>
    </w:p>
    <w:p w14:paraId="13FF2375" w14:textId="3D20FAE6" w:rsidR="00261D56" w:rsidRPr="00A64579" w:rsidRDefault="00BE6CF2" w:rsidP="00195C85">
      <w:pPr>
        <w:spacing w:after="120"/>
      </w:pPr>
      <w:bookmarkStart w:id="21" w:name="_Toc109562246"/>
      <w:bookmarkStart w:id="22" w:name="_Toc109562332"/>
      <w:bookmarkStart w:id="23" w:name="_Toc109562355"/>
      <w:r>
        <w:t>This end-of-</w:t>
      </w:r>
      <w:r w:rsidR="00B41DE6">
        <w:t>Investment</w:t>
      </w:r>
      <w:r>
        <w:t xml:space="preserve"> </w:t>
      </w:r>
      <w:r w:rsidR="00A54A87">
        <w:t>evaluation had two purposes</w:t>
      </w:r>
      <w:r w:rsidR="00261D56" w:rsidRPr="00A64579">
        <w:t>: </w:t>
      </w:r>
    </w:p>
    <w:p w14:paraId="3DFFF095" w14:textId="68261975" w:rsidR="00261D56" w:rsidRPr="007A11C3" w:rsidRDefault="00261D56" w:rsidP="00821BD8">
      <w:pPr>
        <w:pStyle w:val="ListParagraph"/>
        <w:numPr>
          <w:ilvl w:val="0"/>
          <w:numId w:val="26"/>
        </w:numPr>
        <w:rPr>
          <w:rFonts w:ascii="Calibri Light" w:hAnsi="Calibri Light" w:cs="Calibri Light"/>
        </w:rPr>
      </w:pPr>
      <w:r w:rsidRPr="007A11C3">
        <w:rPr>
          <w:rFonts w:ascii="Calibri Light" w:hAnsi="Calibri Light" w:cs="Calibri Light"/>
        </w:rPr>
        <w:t xml:space="preserve">To inform the final </w:t>
      </w:r>
      <w:r w:rsidR="00B41DE6">
        <w:rPr>
          <w:rFonts w:ascii="Calibri Light" w:hAnsi="Calibri Light" w:cs="Calibri Light"/>
        </w:rPr>
        <w:t>investment</w:t>
      </w:r>
      <w:r w:rsidRPr="007A11C3">
        <w:rPr>
          <w:rFonts w:ascii="Calibri Light" w:hAnsi="Calibri Light" w:cs="Calibri Light"/>
        </w:rPr>
        <w:t xml:space="preserve"> monitoring report (FIMR) for Australia’s Fisheries Development Assistance in the Pacific investment (INJ201, 2010-2026); and </w:t>
      </w:r>
    </w:p>
    <w:p w14:paraId="12CD6E04" w14:textId="72400C80" w:rsidR="009D09A7" w:rsidRPr="000F3351" w:rsidRDefault="00261D56" w:rsidP="00C43810">
      <w:pPr>
        <w:pStyle w:val="ListParagraph"/>
        <w:numPr>
          <w:ilvl w:val="0"/>
          <w:numId w:val="26"/>
        </w:numPr>
        <w:spacing w:after="240"/>
        <w:rPr>
          <w:rStyle w:val="Heading"/>
          <w:rFonts w:ascii="Calibri Light" w:hAnsi="Calibri Light" w:cs="Calibri Light"/>
          <w:color w:val="000000" w:themeColor="text1"/>
          <w:sz w:val="22"/>
          <w:szCs w:val="22"/>
        </w:rPr>
      </w:pPr>
      <w:r w:rsidRPr="007A11C3">
        <w:rPr>
          <w:rFonts w:ascii="Calibri Light" w:hAnsi="Calibri Light" w:cs="Calibri Light"/>
        </w:rPr>
        <w:t>To identify lessons that will shape DFAT’s current and future Pacific fisheries programs. </w:t>
      </w:r>
    </w:p>
    <w:p w14:paraId="330EC808" w14:textId="6E024CBE" w:rsidR="00754E24" w:rsidRPr="00F65D73" w:rsidRDefault="00754E24" w:rsidP="00F65D73">
      <w:pPr>
        <w:pStyle w:val="Heading3"/>
        <w:rPr>
          <w:rStyle w:val="Heading"/>
          <w:rFonts w:asciiTheme="majorHAnsi" w:hAnsiTheme="majorHAnsi" w:cstheme="majorBidi"/>
          <w:b/>
          <w:bCs/>
          <w:color w:val="2F5496" w:themeColor="accent1" w:themeShade="BF"/>
          <w:sz w:val="28"/>
          <w:szCs w:val="28"/>
        </w:rPr>
      </w:pPr>
      <w:bookmarkStart w:id="24" w:name="_Toc207206808"/>
      <w:r w:rsidRPr="00F65D73">
        <w:rPr>
          <w:rStyle w:val="Heading"/>
          <w:rFonts w:asciiTheme="majorHAnsi" w:hAnsiTheme="majorHAnsi" w:cstheme="majorBidi"/>
          <w:b/>
          <w:bCs/>
          <w:color w:val="2F5496" w:themeColor="accent1" w:themeShade="BF"/>
          <w:sz w:val="28"/>
          <w:szCs w:val="28"/>
        </w:rPr>
        <w:t xml:space="preserve">Scope </w:t>
      </w:r>
      <w:r w:rsidR="0094247E" w:rsidRPr="00F65D73">
        <w:rPr>
          <w:rStyle w:val="Heading"/>
          <w:rFonts w:asciiTheme="majorHAnsi" w:hAnsiTheme="majorHAnsi" w:cstheme="majorBidi"/>
          <w:b/>
          <w:bCs/>
          <w:color w:val="2F5496" w:themeColor="accent1" w:themeShade="BF"/>
          <w:sz w:val="28"/>
          <w:szCs w:val="28"/>
        </w:rPr>
        <w:t>and Key Evaluation Questions</w:t>
      </w:r>
      <w:bookmarkEnd w:id="24"/>
      <w:r w:rsidRPr="00F65D73">
        <w:rPr>
          <w:rStyle w:val="Heading"/>
          <w:rFonts w:asciiTheme="majorHAnsi" w:hAnsiTheme="majorHAnsi" w:cstheme="majorBidi"/>
          <w:b/>
          <w:bCs/>
          <w:color w:val="2F5496" w:themeColor="accent1" w:themeShade="BF"/>
          <w:sz w:val="28"/>
          <w:szCs w:val="28"/>
        </w:rPr>
        <w:t xml:space="preserve"> </w:t>
      </w:r>
    </w:p>
    <w:p w14:paraId="04A0C08C" w14:textId="7F77F8ED" w:rsidR="00EF36C2" w:rsidRDefault="006F21BD" w:rsidP="0044125D">
      <w:r w:rsidRPr="3311A1E9">
        <w:t>The scope of the evaluation</w:t>
      </w:r>
      <w:r w:rsidR="00F62AE7">
        <w:t xml:space="preserve">, as specified in the </w:t>
      </w:r>
      <w:proofErr w:type="spellStart"/>
      <w:r w:rsidR="00F62AE7">
        <w:t>ToRs</w:t>
      </w:r>
      <w:proofErr w:type="spellEnd"/>
      <w:r w:rsidR="00F62AE7">
        <w:t xml:space="preserve"> (</w:t>
      </w:r>
      <w:r w:rsidR="000F3351">
        <w:rPr>
          <w:b/>
          <w:bCs/>
        </w:rPr>
        <w:t>Annexe</w:t>
      </w:r>
      <w:r w:rsidR="00F62AE7" w:rsidRPr="00F62AE7">
        <w:rPr>
          <w:b/>
          <w:bCs/>
        </w:rPr>
        <w:t xml:space="preserve"> 13</w:t>
      </w:r>
      <w:r w:rsidR="00F62AE7">
        <w:t>),</w:t>
      </w:r>
      <w:r w:rsidRPr="3311A1E9">
        <w:t xml:space="preserve"> covers the period since inception in 2010 to </w:t>
      </w:r>
      <w:r w:rsidR="00C64C0E">
        <w:t>2025</w:t>
      </w:r>
      <w:r w:rsidR="000303F9" w:rsidRPr="3311A1E9">
        <w:t xml:space="preserve">. The </w:t>
      </w:r>
      <w:r w:rsidR="0094247E">
        <w:t>Key E</w:t>
      </w:r>
      <w:r w:rsidR="000303F9" w:rsidRPr="3311A1E9">
        <w:t xml:space="preserve">valuation </w:t>
      </w:r>
      <w:r w:rsidR="0094247E">
        <w:t>Q</w:t>
      </w:r>
      <w:r w:rsidR="000303F9" w:rsidRPr="3311A1E9">
        <w:t xml:space="preserve">uestions are listed </w:t>
      </w:r>
      <w:proofErr w:type="gramStart"/>
      <w:r w:rsidR="000303F9" w:rsidRPr="3311A1E9">
        <w:t>below</w:t>
      </w:r>
      <w:r w:rsidR="0094247E">
        <w:t>:</w:t>
      </w:r>
      <w:r w:rsidR="006B2F6E" w:rsidRPr="3311A1E9">
        <w:t>.</w:t>
      </w:r>
      <w:proofErr w:type="gramEnd"/>
    </w:p>
    <w:p w14:paraId="782E3CF3" w14:textId="77777777" w:rsidR="008475DF" w:rsidRDefault="008475DF" w:rsidP="00D41C65"/>
    <w:p w14:paraId="570CB5A9" w14:textId="0613D0E0" w:rsidR="008475DF" w:rsidRPr="007A11C3" w:rsidRDefault="008475DF" w:rsidP="0047276F">
      <w:pPr>
        <w:pStyle w:val="ListParagraph"/>
        <w:numPr>
          <w:ilvl w:val="0"/>
          <w:numId w:val="6"/>
        </w:numPr>
        <w:rPr>
          <w:rFonts w:ascii="Calibri Light" w:hAnsi="Calibri Light" w:cs="Calibri Light"/>
        </w:rPr>
      </w:pPr>
      <w:bookmarkStart w:id="25" w:name="OLE_LINK9"/>
      <w:r w:rsidRPr="007A11C3">
        <w:rPr>
          <w:rFonts w:ascii="Calibri Light" w:hAnsi="Calibri Light" w:cs="Calibri Light"/>
        </w:rPr>
        <w:t xml:space="preserve">To what extent was the </w:t>
      </w:r>
      <w:r w:rsidR="00B41DE6">
        <w:rPr>
          <w:rFonts w:ascii="Calibri Light" w:hAnsi="Calibri Light" w:cs="Calibri Light"/>
        </w:rPr>
        <w:t>Investment</w:t>
      </w:r>
      <w:r w:rsidRPr="007A11C3">
        <w:rPr>
          <w:rFonts w:ascii="Calibri Light" w:hAnsi="Calibri Light" w:cs="Calibri Light"/>
        </w:rPr>
        <w:t xml:space="preserve"> effective in achieving its intended outcomes (see program logic </w:t>
      </w:r>
      <w:r w:rsidR="000F3351">
        <w:rPr>
          <w:rFonts w:ascii="Calibri Light" w:hAnsi="Calibri Light" w:cs="Calibri Light"/>
          <w:b/>
          <w:bCs/>
        </w:rPr>
        <w:t>Annexe</w:t>
      </w:r>
      <w:r w:rsidRPr="007A11C3">
        <w:rPr>
          <w:rFonts w:ascii="Calibri Light" w:hAnsi="Calibri Light" w:cs="Calibri Light"/>
          <w:b/>
          <w:bCs/>
        </w:rPr>
        <w:t xml:space="preserve"> </w:t>
      </w:r>
      <w:r w:rsidR="00F62AE7">
        <w:rPr>
          <w:rFonts w:ascii="Calibri Light" w:hAnsi="Calibri Light" w:cs="Calibri Light"/>
          <w:b/>
          <w:bCs/>
        </w:rPr>
        <w:t>8</w:t>
      </w:r>
      <w:r w:rsidRPr="007A11C3">
        <w:rPr>
          <w:rFonts w:ascii="Calibri Light" w:hAnsi="Calibri Light" w:cs="Calibri Light"/>
        </w:rPr>
        <w:t>)?</w:t>
      </w:r>
    </w:p>
    <w:p w14:paraId="1DA1EA1E" w14:textId="1B7D3D4B" w:rsidR="008475DF" w:rsidRPr="00E875A1" w:rsidRDefault="008475DF" w:rsidP="0047276F">
      <w:pPr>
        <w:pStyle w:val="ListParagraph"/>
        <w:numPr>
          <w:ilvl w:val="1"/>
          <w:numId w:val="6"/>
        </w:numPr>
        <w:rPr>
          <w:rFonts w:ascii="Calibri Light" w:hAnsi="Calibri Light" w:cs="Calibri Light"/>
        </w:rPr>
      </w:pPr>
      <w:r w:rsidRPr="00E875A1">
        <w:rPr>
          <w:rStyle w:val="ui-provider"/>
          <w:rFonts w:ascii="Calibri Light" w:hAnsi="Calibri Light" w:cs="Calibri Light"/>
        </w:rPr>
        <w:t>How effectively does DFAT’s support to the FFA Secretariat enable the FFA to support its members to sustainably manage and develop their fisheries, and achieve outcomes of FFA</w:t>
      </w:r>
      <w:r w:rsidR="0044125D" w:rsidRPr="00E875A1">
        <w:rPr>
          <w:rStyle w:val="ui-provider"/>
          <w:rFonts w:ascii="Calibri Light" w:hAnsi="Calibri Light" w:cs="Calibri Light"/>
        </w:rPr>
        <w:t>’</w:t>
      </w:r>
      <w:r w:rsidRPr="00E875A1">
        <w:rPr>
          <w:rStyle w:val="ui-provider"/>
          <w:rFonts w:ascii="Calibri Light" w:hAnsi="Calibri Light" w:cs="Calibri Light"/>
        </w:rPr>
        <w:t>s Strategic Plan?</w:t>
      </w:r>
    </w:p>
    <w:p w14:paraId="679F380B" w14:textId="77777777" w:rsidR="008475DF" w:rsidRPr="007A11C3" w:rsidRDefault="008475DF" w:rsidP="0047276F">
      <w:pPr>
        <w:pStyle w:val="ListParagraph"/>
        <w:numPr>
          <w:ilvl w:val="1"/>
          <w:numId w:val="6"/>
        </w:numPr>
        <w:rPr>
          <w:rFonts w:ascii="Calibri Light" w:hAnsi="Calibri Light" w:cs="Calibri Light"/>
        </w:rPr>
      </w:pPr>
      <w:r w:rsidRPr="007A11C3">
        <w:rPr>
          <w:rFonts w:ascii="Calibri Light" w:hAnsi="Calibri Light" w:cs="Calibri Light"/>
        </w:rPr>
        <w:t xml:space="preserve">How effectively has DFAT coordinated </w:t>
      </w:r>
      <w:proofErr w:type="gramStart"/>
      <w:r w:rsidRPr="007A11C3">
        <w:rPr>
          <w:rFonts w:ascii="Calibri Light" w:hAnsi="Calibri Light" w:cs="Calibri Light"/>
        </w:rPr>
        <w:t>with</w:t>
      </w:r>
      <w:proofErr w:type="gramEnd"/>
      <w:r w:rsidRPr="007A11C3">
        <w:rPr>
          <w:rFonts w:ascii="Calibri Light" w:hAnsi="Calibri Light" w:cs="Calibri Light"/>
        </w:rPr>
        <w:t xml:space="preserve"> and leveraged support provided by other donors, government and non-government organisations (including private sector)?</w:t>
      </w:r>
    </w:p>
    <w:p w14:paraId="6235F235" w14:textId="706BD2C5" w:rsidR="008475DF" w:rsidRPr="007A11C3" w:rsidRDefault="008475DF" w:rsidP="0047276F">
      <w:pPr>
        <w:pStyle w:val="ListParagraph"/>
        <w:numPr>
          <w:ilvl w:val="0"/>
          <w:numId w:val="6"/>
        </w:numPr>
        <w:rPr>
          <w:rFonts w:ascii="Calibri Light" w:hAnsi="Calibri Light" w:cs="Calibri Light"/>
        </w:rPr>
      </w:pPr>
      <w:r w:rsidRPr="007A11C3">
        <w:rPr>
          <w:rFonts w:ascii="Calibri Light" w:hAnsi="Calibri Light" w:cs="Calibri Light"/>
        </w:rPr>
        <w:t xml:space="preserve">To what extent was the </w:t>
      </w:r>
      <w:r w:rsidR="00B41DE6">
        <w:rPr>
          <w:rFonts w:ascii="Calibri Light" w:hAnsi="Calibri Light" w:cs="Calibri Light"/>
        </w:rPr>
        <w:t>Investment</w:t>
      </w:r>
      <w:r w:rsidRPr="007A11C3">
        <w:rPr>
          <w:rFonts w:ascii="Calibri Light" w:hAnsi="Calibri Light" w:cs="Calibri Light"/>
        </w:rPr>
        <w:t xml:space="preserve"> (including partner selection and modalities) efficient in achieving its intended outcomes (see </w:t>
      </w:r>
      <w:r w:rsidR="000F3351">
        <w:rPr>
          <w:rFonts w:ascii="Calibri Light" w:hAnsi="Calibri Light" w:cs="Calibri Light"/>
          <w:b/>
          <w:bCs/>
        </w:rPr>
        <w:t>Annexe</w:t>
      </w:r>
      <w:r w:rsidRPr="007A11C3">
        <w:rPr>
          <w:rFonts w:ascii="Calibri Light" w:hAnsi="Calibri Light" w:cs="Calibri Light"/>
          <w:b/>
          <w:bCs/>
        </w:rPr>
        <w:t xml:space="preserve"> </w:t>
      </w:r>
      <w:r w:rsidR="00F62AE7">
        <w:rPr>
          <w:rFonts w:ascii="Calibri Light" w:hAnsi="Calibri Light" w:cs="Calibri Light"/>
          <w:b/>
          <w:bCs/>
        </w:rPr>
        <w:t>8</w:t>
      </w:r>
      <w:r w:rsidRPr="007A11C3">
        <w:rPr>
          <w:rFonts w:ascii="Calibri Light" w:hAnsi="Calibri Light" w:cs="Calibri Light"/>
        </w:rPr>
        <w:t>)?</w:t>
      </w:r>
    </w:p>
    <w:p w14:paraId="4A99D0E4" w14:textId="77777777" w:rsidR="008475DF" w:rsidRPr="007A11C3" w:rsidRDefault="008475DF" w:rsidP="0047276F">
      <w:pPr>
        <w:pStyle w:val="ListParagraph"/>
        <w:numPr>
          <w:ilvl w:val="1"/>
          <w:numId w:val="6"/>
        </w:numPr>
        <w:rPr>
          <w:rFonts w:ascii="Calibri Light" w:hAnsi="Calibri Light" w:cs="Calibri Light"/>
        </w:rPr>
      </w:pPr>
      <w:r w:rsidRPr="007A11C3">
        <w:rPr>
          <w:rFonts w:ascii="Calibri Light" w:hAnsi="Calibri Light" w:cs="Calibri Light"/>
        </w:rPr>
        <w:t>How effectively did DFAT identify and manage risk?</w:t>
      </w:r>
    </w:p>
    <w:p w14:paraId="09EF9B6A" w14:textId="77777777" w:rsidR="008475DF" w:rsidRPr="007A11C3" w:rsidRDefault="008475DF" w:rsidP="0047276F">
      <w:pPr>
        <w:pStyle w:val="ListParagraph"/>
        <w:numPr>
          <w:ilvl w:val="1"/>
          <w:numId w:val="6"/>
        </w:numPr>
        <w:rPr>
          <w:rFonts w:ascii="Calibri Light" w:hAnsi="Calibri Light" w:cs="Calibri Light"/>
        </w:rPr>
      </w:pPr>
      <w:r w:rsidRPr="007A11C3">
        <w:rPr>
          <w:rFonts w:ascii="Calibri Light" w:hAnsi="Calibri Light" w:cs="Calibri Light"/>
        </w:rPr>
        <w:lastRenderedPageBreak/>
        <w:t>How effective were DFAT’s and partners’ monitoring, evaluation and learning systems to inform decision-making, learning and accountability?</w:t>
      </w:r>
    </w:p>
    <w:p w14:paraId="4829EA27" w14:textId="77777777" w:rsidR="008475DF" w:rsidRPr="007A11C3" w:rsidRDefault="008475DF" w:rsidP="0047276F">
      <w:pPr>
        <w:pStyle w:val="ListParagraph"/>
        <w:numPr>
          <w:ilvl w:val="1"/>
          <w:numId w:val="6"/>
        </w:numPr>
        <w:rPr>
          <w:rFonts w:ascii="Calibri Light" w:hAnsi="Calibri Light" w:cs="Calibri Light"/>
        </w:rPr>
      </w:pPr>
      <w:r w:rsidRPr="007A11C3">
        <w:rPr>
          <w:rFonts w:ascii="Calibri Light" w:hAnsi="Calibri Light" w:cs="Calibri Light"/>
        </w:rPr>
        <w:t>What lessons and approaches for monitoring, evaluation and learning should be applied to DFAT’s future Pacific fisheries investments?</w:t>
      </w:r>
    </w:p>
    <w:p w14:paraId="0B08C04C" w14:textId="51E7DA1C" w:rsidR="008475DF" w:rsidRPr="007A11C3" w:rsidRDefault="008475DF" w:rsidP="0047276F">
      <w:pPr>
        <w:pStyle w:val="ListParagraph"/>
        <w:numPr>
          <w:ilvl w:val="0"/>
          <w:numId w:val="6"/>
        </w:numPr>
        <w:rPr>
          <w:rFonts w:ascii="Calibri Light" w:hAnsi="Calibri Light" w:cs="Calibri Light"/>
        </w:rPr>
      </w:pPr>
      <w:r w:rsidRPr="007A11C3">
        <w:rPr>
          <w:rFonts w:ascii="Calibri Light" w:hAnsi="Calibri Light" w:cs="Calibri Light"/>
        </w:rPr>
        <w:t xml:space="preserve">What other outcomes (intended, unintended, positive and negative) has the </w:t>
      </w:r>
      <w:r w:rsidR="00B41DE6">
        <w:rPr>
          <w:rFonts w:ascii="Calibri Light" w:hAnsi="Calibri Light" w:cs="Calibri Light"/>
        </w:rPr>
        <w:t>I</w:t>
      </w:r>
      <w:r w:rsidRPr="007A11C3">
        <w:rPr>
          <w:rFonts w:ascii="Calibri Light" w:hAnsi="Calibri Light" w:cs="Calibri Light"/>
        </w:rPr>
        <w:t>nvestment contributed to in the Pacific region?</w:t>
      </w:r>
    </w:p>
    <w:p w14:paraId="69C5ED30" w14:textId="18F74B48" w:rsidR="008475DF" w:rsidRPr="007A11C3" w:rsidRDefault="008475DF" w:rsidP="0047276F">
      <w:pPr>
        <w:pStyle w:val="ListParagraph"/>
        <w:numPr>
          <w:ilvl w:val="1"/>
          <w:numId w:val="6"/>
        </w:numPr>
        <w:rPr>
          <w:rFonts w:ascii="Calibri Light" w:hAnsi="Calibri Light" w:cs="Calibri Light"/>
        </w:rPr>
      </w:pPr>
      <w:r w:rsidRPr="007A11C3">
        <w:rPr>
          <w:rFonts w:ascii="Calibri Light" w:hAnsi="Calibri Light" w:cs="Calibri Light"/>
        </w:rPr>
        <w:t xml:space="preserve">How effectively has the </w:t>
      </w:r>
      <w:r w:rsidR="00B41DE6">
        <w:rPr>
          <w:rFonts w:ascii="Calibri Light" w:hAnsi="Calibri Light" w:cs="Calibri Light"/>
        </w:rPr>
        <w:t>Investment</w:t>
      </w:r>
      <w:r w:rsidRPr="007A11C3">
        <w:rPr>
          <w:rFonts w:ascii="Calibri Light" w:hAnsi="Calibri Light" w:cs="Calibri Light"/>
        </w:rPr>
        <w:t xml:space="preserve"> contributed to fostering inclusion among marginalised groups and gender equality including empowering women, youth and people with disability in the fisheries sector?</w:t>
      </w:r>
    </w:p>
    <w:p w14:paraId="69293283" w14:textId="132B88DA" w:rsidR="008475DF" w:rsidRPr="007A11C3" w:rsidRDefault="008475DF" w:rsidP="0047276F">
      <w:pPr>
        <w:pStyle w:val="ListParagraph"/>
        <w:numPr>
          <w:ilvl w:val="1"/>
          <w:numId w:val="6"/>
        </w:numPr>
        <w:rPr>
          <w:rFonts w:ascii="Calibri Light" w:hAnsi="Calibri Light" w:cs="Calibri Light"/>
        </w:rPr>
      </w:pPr>
      <w:r w:rsidRPr="007A11C3">
        <w:rPr>
          <w:rFonts w:ascii="Calibri Light" w:hAnsi="Calibri Light" w:cs="Calibri Light"/>
        </w:rPr>
        <w:t xml:space="preserve">How has the </w:t>
      </w:r>
      <w:r w:rsidR="00B41DE6">
        <w:rPr>
          <w:rFonts w:ascii="Calibri Light" w:hAnsi="Calibri Light" w:cs="Calibri Light"/>
        </w:rPr>
        <w:t>Investment</w:t>
      </w:r>
      <w:r w:rsidRPr="007A11C3">
        <w:rPr>
          <w:rFonts w:ascii="Calibri Light" w:hAnsi="Calibri Light" w:cs="Calibri Light"/>
        </w:rPr>
        <w:t xml:space="preserve"> been effective in adapting or mitigating the impacts of climate change? </w:t>
      </w:r>
    </w:p>
    <w:p w14:paraId="6C83B0E4" w14:textId="5F2B8628" w:rsidR="008475DF" w:rsidRPr="007A11C3" w:rsidRDefault="008475DF" w:rsidP="0047276F">
      <w:pPr>
        <w:pStyle w:val="ListParagraph"/>
        <w:numPr>
          <w:ilvl w:val="1"/>
          <w:numId w:val="6"/>
        </w:numPr>
        <w:rPr>
          <w:rFonts w:ascii="Calibri Light" w:hAnsi="Calibri Light" w:cs="Calibri Light"/>
        </w:rPr>
      </w:pPr>
      <w:r w:rsidRPr="007A11C3">
        <w:rPr>
          <w:rFonts w:ascii="Calibri Light" w:hAnsi="Calibri Light" w:cs="Calibri Light"/>
        </w:rPr>
        <w:t xml:space="preserve">How has the </w:t>
      </w:r>
      <w:r w:rsidR="00B41DE6">
        <w:rPr>
          <w:rFonts w:ascii="Calibri Light" w:hAnsi="Calibri Light" w:cs="Calibri Light"/>
        </w:rPr>
        <w:t>Investment</w:t>
      </w:r>
      <w:r w:rsidRPr="007A11C3">
        <w:rPr>
          <w:rFonts w:ascii="Calibri Light" w:hAnsi="Calibri Light" w:cs="Calibri Light"/>
        </w:rPr>
        <w:t xml:space="preserve"> impacted how Australia is seen in and by the region?</w:t>
      </w:r>
    </w:p>
    <w:p w14:paraId="13260AD9" w14:textId="120C7CF6" w:rsidR="008475DF" w:rsidRPr="007A11C3" w:rsidRDefault="008475DF" w:rsidP="0047276F">
      <w:pPr>
        <w:pStyle w:val="ListParagraph"/>
        <w:numPr>
          <w:ilvl w:val="1"/>
          <w:numId w:val="6"/>
        </w:numPr>
        <w:rPr>
          <w:rFonts w:ascii="Calibri Light" w:hAnsi="Calibri Light" w:cs="Calibri Light"/>
        </w:rPr>
      </w:pPr>
      <w:r w:rsidRPr="007A11C3">
        <w:rPr>
          <w:rFonts w:ascii="Calibri Light" w:hAnsi="Calibri Light" w:cs="Calibri Light"/>
        </w:rPr>
        <w:t xml:space="preserve">How sustainable are the benefits of the </w:t>
      </w:r>
      <w:r w:rsidR="00B41DE6">
        <w:rPr>
          <w:rFonts w:ascii="Calibri Light" w:hAnsi="Calibri Light" w:cs="Calibri Light"/>
        </w:rPr>
        <w:t>Investment</w:t>
      </w:r>
      <w:r w:rsidRPr="007A11C3">
        <w:rPr>
          <w:rFonts w:ascii="Calibri Light" w:hAnsi="Calibri Light" w:cs="Calibri Light"/>
        </w:rPr>
        <w:t xml:space="preserve"> and what actions/strategies have contributed to this?</w:t>
      </w:r>
    </w:p>
    <w:p w14:paraId="6A97CE3F" w14:textId="49F383CE" w:rsidR="0094247E" w:rsidRPr="00836AB4" w:rsidRDefault="008475DF" w:rsidP="00C43810">
      <w:pPr>
        <w:pStyle w:val="ListParagraph"/>
        <w:numPr>
          <w:ilvl w:val="1"/>
          <w:numId w:val="6"/>
        </w:numPr>
        <w:spacing w:after="240"/>
        <w:rPr>
          <w:rFonts w:ascii="Calibri Light" w:hAnsi="Calibri Light" w:cs="Calibri Light"/>
        </w:rPr>
      </w:pPr>
      <w:r w:rsidRPr="007A11C3">
        <w:rPr>
          <w:rFonts w:ascii="Calibri Light" w:hAnsi="Calibri Light" w:cs="Calibri Light"/>
        </w:rPr>
        <w:t xml:space="preserve">What lessons should be learned to apply to future Pacific fisheries investments, including any gaps and opportunities in response to Pacific partners’ needs? </w:t>
      </w:r>
    </w:p>
    <w:p w14:paraId="3360E999" w14:textId="4AC2D80A" w:rsidR="00FB5A2D" w:rsidRPr="00F65D73" w:rsidRDefault="00FB5A2D" w:rsidP="00F65D73">
      <w:pPr>
        <w:pStyle w:val="Heading3"/>
        <w:rPr>
          <w:rStyle w:val="Heading"/>
          <w:rFonts w:asciiTheme="majorHAnsi" w:hAnsiTheme="majorHAnsi" w:cstheme="majorBidi"/>
          <w:b/>
          <w:bCs/>
          <w:color w:val="2F5496" w:themeColor="accent1" w:themeShade="BF"/>
          <w:sz w:val="28"/>
          <w:szCs w:val="28"/>
        </w:rPr>
      </w:pPr>
      <w:bookmarkStart w:id="26" w:name="_Toc207206809"/>
      <w:bookmarkEnd w:id="25"/>
      <w:r w:rsidRPr="00F65D73">
        <w:rPr>
          <w:rStyle w:val="Heading"/>
          <w:rFonts w:asciiTheme="majorHAnsi" w:hAnsiTheme="majorHAnsi" w:cstheme="majorBidi"/>
          <w:b/>
          <w:bCs/>
          <w:color w:val="2F5496" w:themeColor="accent1" w:themeShade="BF"/>
          <w:sz w:val="28"/>
          <w:szCs w:val="28"/>
        </w:rPr>
        <w:t xml:space="preserve">Primary </w:t>
      </w:r>
      <w:r w:rsidR="003739DA" w:rsidRPr="00F65D73">
        <w:rPr>
          <w:rStyle w:val="Heading"/>
          <w:rFonts w:asciiTheme="majorHAnsi" w:hAnsiTheme="majorHAnsi" w:cstheme="majorBidi"/>
          <w:b/>
          <w:bCs/>
          <w:color w:val="2F5496" w:themeColor="accent1" w:themeShade="BF"/>
          <w:sz w:val="28"/>
          <w:szCs w:val="28"/>
        </w:rPr>
        <w:t>Users</w:t>
      </w:r>
      <w:r w:rsidR="007A0243" w:rsidRPr="00F65D73">
        <w:rPr>
          <w:rStyle w:val="Heading"/>
          <w:rFonts w:asciiTheme="majorHAnsi" w:hAnsiTheme="majorHAnsi" w:cstheme="majorBidi"/>
          <w:b/>
          <w:bCs/>
          <w:color w:val="2F5496" w:themeColor="accent1" w:themeShade="BF"/>
          <w:sz w:val="28"/>
          <w:szCs w:val="28"/>
        </w:rPr>
        <w:t xml:space="preserve"> </w:t>
      </w:r>
      <w:r w:rsidRPr="00F65D73">
        <w:rPr>
          <w:rStyle w:val="Heading"/>
          <w:rFonts w:asciiTheme="majorHAnsi" w:hAnsiTheme="majorHAnsi" w:cstheme="majorBidi"/>
          <w:b/>
          <w:bCs/>
          <w:color w:val="2F5496" w:themeColor="accent1" w:themeShade="BF"/>
          <w:sz w:val="28"/>
          <w:szCs w:val="28"/>
        </w:rPr>
        <w:t>of the Evaluation</w:t>
      </w:r>
      <w:bookmarkEnd w:id="26"/>
    </w:p>
    <w:p w14:paraId="5ADD1F1B" w14:textId="59CCE681" w:rsidR="00882DC4" w:rsidRPr="001C0219" w:rsidRDefault="005A0079" w:rsidP="00F65408">
      <w:pPr>
        <w:spacing w:after="240"/>
        <w:rPr>
          <w:rStyle w:val="MajorHeading"/>
          <w:rFonts w:ascii="Calibri" w:eastAsia="Calibri" w:hAnsi="Calibri" w:cs="Calibri"/>
          <w:b w:val="0"/>
        </w:rPr>
      </w:pPr>
      <w:r w:rsidRPr="0023698D">
        <w:t xml:space="preserve">The primary users of the evaluation are </w:t>
      </w:r>
      <w:r>
        <w:t xml:space="preserve">the </w:t>
      </w:r>
      <w:r w:rsidRPr="0023698D">
        <w:t xml:space="preserve">Pacific Fisheries and Maritime Section (PFO) and </w:t>
      </w:r>
      <w:r>
        <w:t xml:space="preserve">the </w:t>
      </w:r>
      <w:r w:rsidRPr="0023698D">
        <w:t>Assistant</w:t>
      </w:r>
      <w:r>
        <w:t xml:space="preserve"> </w:t>
      </w:r>
      <w:r w:rsidRPr="0023698D">
        <w:t>Secretary, Pacific Security Branch, Office of the Pacific, who will use the evaluation to inform decisions on</w:t>
      </w:r>
      <w:r>
        <w:t xml:space="preserve"> </w:t>
      </w:r>
      <w:r w:rsidRPr="0023698D">
        <w:t>future</w:t>
      </w:r>
      <w:r w:rsidR="00E770CB">
        <w:t xml:space="preserve"> DFAT</w:t>
      </w:r>
      <w:r w:rsidRPr="0023698D">
        <w:t xml:space="preserve"> investments in the region. </w:t>
      </w:r>
      <w:r w:rsidR="00836AB4">
        <w:t xml:space="preserve"> </w:t>
      </w:r>
      <w:r w:rsidRPr="0023698D">
        <w:t>Secondary users include other Australian Government agencies such as</w:t>
      </w:r>
      <w:r>
        <w:t xml:space="preserve"> </w:t>
      </w:r>
      <w:r w:rsidRPr="0023698D">
        <w:t>the Department of Agriculture, Fisheries and Forestry</w:t>
      </w:r>
      <w:r w:rsidR="00D71409">
        <w:t xml:space="preserve"> (DAFF)</w:t>
      </w:r>
      <w:r w:rsidRPr="0023698D">
        <w:t xml:space="preserve"> and </w:t>
      </w:r>
      <w:r w:rsidR="00141328">
        <w:t xml:space="preserve">the </w:t>
      </w:r>
      <w:r w:rsidRPr="0023698D">
        <w:t>Australian Fisheries Management Authority</w:t>
      </w:r>
      <w:r w:rsidR="00141328">
        <w:t xml:space="preserve"> (AFMA)</w:t>
      </w:r>
      <w:r w:rsidRPr="0023698D">
        <w:t>,</w:t>
      </w:r>
      <w:r>
        <w:t xml:space="preserve"> </w:t>
      </w:r>
      <w:r w:rsidRPr="0023698D">
        <w:t xml:space="preserve">FFA, SPC </w:t>
      </w:r>
      <w:r w:rsidR="006B5558">
        <w:t xml:space="preserve">FAME </w:t>
      </w:r>
      <w:r w:rsidRPr="0023698D">
        <w:t>and other donors such as New Zealand.</w:t>
      </w:r>
      <w:r w:rsidR="00836AB4" w:rsidRPr="001C0219">
        <w:rPr>
          <w:rStyle w:val="MajorHeading"/>
          <w:rFonts w:ascii="Calibri" w:eastAsia="Calibri" w:hAnsi="Calibri" w:cs="Calibri"/>
          <w:b w:val="0"/>
        </w:rPr>
        <w:t xml:space="preserve"> </w:t>
      </w:r>
    </w:p>
    <w:p w14:paraId="1CA3059E" w14:textId="33E4E0D2" w:rsidR="00754E24" w:rsidRPr="00F65D73" w:rsidRDefault="002705F1" w:rsidP="00F65D73">
      <w:pPr>
        <w:pStyle w:val="Heading3"/>
        <w:rPr>
          <w:rStyle w:val="Heading"/>
          <w:rFonts w:asciiTheme="majorHAnsi" w:hAnsiTheme="majorHAnsi" w:cstheme="majorBidi"/>
          <w:b/>
          <w:bCs/>
          <w:color w:val="2F5496" w:themeColor="accent1" w:themeShade="BF"/>
          <w:sz w:val="28"/>
          <w:szCs w:val="28"/>
        </w:rPr>
      </w:pPr>
      <w:bookmarkStart w:id="27" w:name="_Toc207206810"/>
      <w:r w:rsidRPr="00F65D73">
        <w:rPr>
          <w:rStyle w:val="Heading"/>
          <w:rFonts w:asciiTheme="majorHAnsi" w:hAnsiTheme="majorHAnsi" w:cstheme="majorBidi"/>
          <w:b/>
          <w:bCs/>
          <w:color w:val="2F5496" w:themeColor="accent1" w:themeShade="BF"/>
          <w:sz w:val="28"/>
          <w:szCs w:val="28"/>
        </w:rPr>
        <w:t>Approach</w:t>
      </w:r>
      <w:bookmarkEnd w:id="27"/>
    </w:p>
    <w:p w14:paraId="51478DB3" w14:textId="52D506C4" w:rsidR="00A93516" w:rsidRDefault="007C064A" w:rsidP="00195C85">
      <w:pPr>
        <w:spacing w:after="120"/>
      </w:pPr>
      <w:r w:rsidRPr="008B3932">
        <w:t>The evaluation used a</w:t>
      </w:r>
      <w:r w:rsidR="009311A5" w:rsidRPr="008B3932">
        <w:t xml:space="preserve"> </w:t>
      </w:r>
      <w:r w:rsidRPr="008B3932">
        <w:t>mixed-methods approach</w:t>
      </w:r>
      <w:r w:rsidR="00AF392A" w:rsidRPr="008B3932">
        <w:t>,</w:t>
      </w:r>
      <w:r w:rsidRPr="008B3932">
        <w:t xml:space="preserve"> incorporating both primary and secondary data</w:t>
      </w:r>
      <w:r w:rsidR="00AF392A" w:rsidRPr="008B3932">
        <w:t>, as outlined</w:t>
      </w:r>
      <w:r w:rsidRPr="008B3932">
        <w:t xml:space="preserve"> </w:t>
      </w:r>
      <w:r w:rsidR="009311A5" w:rsidRPr="008B3932">
        <w:t xml:space="preserve">in the </w:t>
      </w:r>
      <w:r w:rsidR="002435AF" w:rsidRPr="008B3932">
        <w:rPr>
          <w:i/>
          <w:iCs/>
        </w:rPr>
        <w:t>Evaluation Plan</w:t>
      </w:r>
      <w:r w:rsidRPr="008B3932">
        <w:rPr>
          <w:i/>
          <w:iCs/>
        </w:rPr>
        <w:t xml:space="preserve"> (</w:t>
      </w:r>
      <w:r w:rsidRPr="008B3932">
        <w:t>25 February 2025</w:t>
      </w:r>
      <w:r w:rsidR="00466019">
        <w:t xml:space="preserve"> </w:t>
      </w:r>
      <w:r w:rsidR="00466019" w:rsidRPr="00F62AE7">
        <w:t xml:space="preserve">– </w:t>
      </w:r>
      <w:r w:rsidR="00F62AE7" w:rsidRPr="00F62AE7">
        <w:t xml:space="preserve">see </w:t>
      </w:r>
      <w:r w:rsidR="000F3351">
        <w:rPr>
          <w:b/>
          <w:bCs/>
        </w:rPr>
        <w:t>Annexe</w:t>
      </w:r>
      <w:r w:rsidR="00F62AE7" w:rsidRPr="00F62AE7">
        <w:rPr>
          <w:b/>
          <w:bCs/>
        </w:rPr>
        <w:t xml:space="preserve"> 14</w:t>
      </w:r>
      <w:r w:rsidR="00AF392A" w:rsidRPr="00F62AE7">
        <w:t>).</w:t>
      </w:r>
      <w:r w:rsidR="00AF392A" w:rsidRPr="008B3932">
        <w:t xml:space="preserve"> </w:t>
      </w:r>
      <w:r w:rsidR="00507140" w:rsidRPr="00507140">
        <w:t>At the start of the evaluation, the team drafted the evaluation matrix along with an associated approach to data collection and evidence analysis. A rubric</w:t>
      </w:r>
      <w:r w:rsidR="006E4614">
        <w:t xml:space="preserve"> (</w:t>
      </w:r>
      <w:r w:rsidR="006E4614" w:rsidRPr="0008500E">
        <w:rPr>
          <w:b/>
          <w:bCs/>
        </w:rPr>
        <w:t xml:space="preserve">see </w:t>
      </w:r>
      <w:r w:rsidR="000F3351">
        <w:rPr>
          <w:b/>
          <w:bCs/>
        </w:rPr>
        <w:t>Annexe</w:t>
      </w:r>
      <w:r w:rsidR="006E4614" w:rsidRPr="0008500E">
        <w:rPr>
          <w:b/>
          <w:bCs/>
        </w:rPr>
        <w:t xml:space="preserve"> </w:t>
      </w:r>
      <w:r w:rsidR="00A93516" w:rsidRPr="0008500E">
        <w:rPr>
          <w:b/>
          <w:bCs/>
        </w:rPr>
        <w:t>5</w:t>
      </w:r>
      <w:r w:rsidR="006E4614">
        <w:t>)</w:t>
      </w:r>
      <w:r w:rsidR="00507140" w:rsidRPr="00507140">
        <w:t xml:space="preserve"> was developed to guide both the consultation phase and the analysis of evidence reported in both the FIMR and this report. </w:t>
      </w:r>
    </w:p>
    <w:p w14:paraId="5CED3086" w14:textId="428B323D" w:rsidR="00507140" w:rsidRPr="008B3932" w:rsidRDefault="00466019" w:rsidP="00195C85">
      <w:pPr>
        <w:spacing w:after="120"/>
      </w:pPr>
      <w:r w:rsidRPr="00466019">
        <w:t xml:space="preserve">Rubrics (contextually defined criteria and standards) form the backbone of the assessment of the </w:t>
      </w:r>
      <w:r w:rsidR="00B41DE6">
        <w:t>I</w:t>
      </w:r>
      <w:r w:rsidRPr="00466019">
        <w:t xml:space="preserve">nvestment, in addition to shaping the FIMR that the evaluation team prepared for the PFO prior to drafting this report. Co-creating the rubric (as per the </w:t>
      </w:r>
      <w:r w:rsidRPr="00AC33B7">
        <w:rPr>
          <w:i/>
          <w:iCs/>
        </w:rPr>
        <w:t>Evaluation Plan</w:t>
      </w:r>
      <w:r w:rsidRPr="00466019">
        <w:t>) allowed the team, in conjunction with the PFO, to co-define the main components of the evaluation. The rubric associated with DFAT’s FIMR process was used as a starting point in designing the rubric (noting that a key purpose of the evaluation is to inform the FIMR), and then it was tailored to the specific evaluation questions being addressed. The rubric also helped delineate the scope of the evaluation and provide</w:t>
      </w:r>
      <w:r w:rsidR="000F3351">
        <w:t>d</w:t>
      </w:r>
      <w:r w:rsidRPr="00466019">
        <w:t xml:space="preserve"> a framework for collecting (e.g., the interview guideline with key partners followed the content of the rubric) and organising the evidence, as well as ensuring an agreed set of perspectives for collaboratively interpreting the evidence. The rubric uses a four-point rating scale, explicitly outlining the </w:t>
      </w:r>
      <w:r w:rsidR="000F3351">
        <w:t>c</w:t>
      </w:r>
      <w:r w:rsidRPr="00466019">
        <w:t>riteria</w:t>
      </w:r>
      <w:r w:rsidR="00DE74CB">
        <w:t xml:space="preserve"> </w:t>
      </w:r>
      <w:r w:rsidRPr="00466019">
        <w:t>to be assessed for each Key Evaluation Question and its associated sub-questions.</w:t>
      </w:r>
      <w:r w:rsidRPr="00466019" w:rsidDel="00466019">
        <w:t xml:space="preserve"> </w:t>
      </w:r>
    </w:p>
    <w:p w14:paraId="0742A8E4" w14:textId="5F320CB5" w:rsidR="00D047FD" w:rsidRPr="0094247E" w:rsidRDefault="00F337F0" w:rsidP="00195C85">
      <w:pPr>
        <w:spacing w:after="120"/>
        <w:rPr>
          <w:rStyle w:val="MajorHeading"/>
          <w:rFonts w:ascii="Calibri Light" w:hAnsi="Calibri Light"/>
          <w:b w:val="0"/>
        </w:rPr>
      </w:pPr>
      <w:r w:rsidRPr="008B3932">
        <w:t>A purposeful sampling technique was employed to select key informants for interviews</w:t>
      </w:r>
      <w:r w:rsidR="00473E64">
        <w:t xml:space="preserve"> (see </w:t>
      </w:r>
      <w:r w:rsidR="000F3351">
        <w:rPr>
          <w:b/>
          <w:bCs/>
        </w:rPr>
        <w:t>Annexe</w:t>
      </w:r>
      <w:r w:rsidR="00473E64" w:rsidRPr="00473E64">
        <w:rPr>
          <w:b/>
          <w:bCs/>
        </w:rPr>
        <w:t xml:space="preserve"> 3</w:t>
      </w:r>
      <w:r w:rsidR="00473E64">
        <w:t xml:space="preserve"> for interview questions)</w:t>
      </w:r>
      <w:r w:rsidRPr="008B3932">
        <w:t xml:space="preserve">, ensuring representation from various themes funded by the </w:t>
      </w:r>
      <w:r w:rsidR="00B41DE6">
        <w:t>Investment</w:t>
      </w:r>
      <w:r w:rsidRPr="008B3932">
        <w:t>, as well as from different Whole-of-Government Partners and a broad range of FFA staff.</w:t>
      </w:r>
      <w:r w:rsidR="00836AB4">
        <w:t xml:space="preserve"> </w:t>
      </w:r>
      <w:r w:rsidR="00D03599" w:rsidRPr="008B3932">
        <w:t>Key informants were largely consulted in</w:t>
      </w:r>
      <w:r w:rsidR="00532882">
        <w:t xml:space="preserve"> </w:t>
      </w:r>
      <w:r w:rsidR="00DE726E" w:rsidRPr="008B3932">
        <w:t xml:space="preserve">person in </w:t>
      </w:r>
      <w:r w:rsidR="002435AF" w:rsidRPr="008B3932">
        <w:t>Canberra and in Honiara (where the team spen</w:t>
      </w:r>
      <w:r w:rsidR="000F203F">
        <w:t>t</w:t>
      </w:r>
      <w:r w:rsidR="002435AF" w:rsidRPr="008B3932">
        <w:t xml:space="preserve"> a week with the FFA)</w:t>
      </w:r>
      <w:r w:rsidR="00D34A6B" w:rsidRPr="008B3932">
        <w:t xml:space="preserve">, </w:t>
      </w:r>
      <w:r w:rsidR="00DE726E" w:rsidRPr="008B3932">
        <w:t xml:space="preserve">and also through </w:t>
      </w:r>
      <w:r w:rsidR="00D34A6B" w:rsidRPr="008B3932">
        <w:t xml:space="preserve">a short </w:t>
      </w:r>
      <w:r w:rsidR="004A570A">
        <w:t>e</w:t>
      </w:r>
      <w:r w:rsidR="00D34A6B" w:rsidRPr="008B3932">
        <w:t xml:space="preserve">-survey distributed to Fisheries Agencies in the Pacific </w:t>
      </w:r>
      <w:r w:rsidR="00EF6C39" w:rsidRPr="008B3932">
        <w:t>(</w:t>
      </w:r>
      <w:r w:rsidR="00EF6C39" w:rsidRPr="0008500E">
        <w:rPr>
          <w:b/>
          <w:bCs/>
        </w:rPr>
        <w:t xml:space="preserve">see </w:t>
      </w:r>
      <w:r w:rsidR="000F3351">
        <w:rPr>
          <w:b/>
          <w:bCs/>
        </w:rPr>
        <w:t>Annexe</w:t>
      </w:r>
      <w:r w:rsidR="00EF6C39" w:rsidRPr="0008500E">
        <w:rPr>
          <w:b/>
          <w:bCs/>
        </w:rPr>
        <w:t xml:space="preserve"> </w:t>
      </w:r>
      <w:r w:rsidR="0008500E" w:rsidRPr="0008500E">
        <w:rPr>
          <w:b/>
          <w:bCs/>
        </w:rPr>
        <w:t>2</w:t>
      </w:r>
      <w:r w:rsidR="0008500E">
        <w:t xml:space="preserve"> </w:t>
      </w:r>
      <w:r w:rsidR="00EF6C39" w:rsidRPr="0008500E">
        <w:t>for a full list of those interviewed</w:t>
      </w:r>
      <w:r w:rsidR="00EF6C39" w:rsidRPr="008B3932">
        <w:t>)</w:t>
      </w:r>
      <w:r w:rsidR="00CA6500" w:rsidRPr="008B3932">
        <w:t xml:space="preserve">, and a review of the extensive literature generated by the </w:t>
      </w:r>
      <w:r w:rsidR="00B41DE6">
        <w:t>Investment</w:t>
      </w:r>
      <w:r w:rsidR="00CA6500" w:rsidRPr="008B3932">
        <w:t xml:space="preserve"> since 2010 </w:t>
      </w:r>
      <w:r w:rsidR="00CA6500" w:rsidRPr="00473E64">
        <w:rPr>
          <w:b/>
          <w:bCs/>
        </w:rPr>
        <w:t>(</w:t>
      </w:r>
      <w:r w:rsidR="00473E64" w:rsidRPr="00473E64">
        <w:rPr>
          <w:b/>
          <w:bCs/>
        </w:rPr>
        <w:t xml:space="preserve">see </w:t>
      </w:r>
      <w:r w:rsidR="000F3351">
        <w:rPr>
          <w:b/>
          <w:bCs/>
        </w:rPr>
        <w:t>Annexe</w:t>
      </w:r>
      <w:r w:rsidR="00473E64" w:rsidRPr="00473E64">
        <w:rPr>
          <w:b/>
          <w:bCs/>
        </w:rPr>
        <w:t xml:space="preserve"> 1</w:t>
      </w:r>
      <w:r w:rsidR="00473E64" w:rsidRPr="0005295C">
        <w:rPr>
          <w:b/>
          <w:bCs/>
        </w:rPr>
        <w:t>)</w:t>
      </w:r>
      <w:r w:rsidR="0005295C">
        <w:t>.</w:t>
      </w:r>
      <w:r w:rsidRPr="008B3932">
        <w:t xml:space="preserve"> </w:t>
      </w:r>
      <w:r w:rsidR="00466019">
        <w:t>Four</w:t>
      </w:r>
      <w:r w:rsidRPr="008B3932">
        <w:t xml:space="preserve"> online interviews were conducted</w:t>
      </w:r>
      <w:r w:rsidR="00CA6500" w:rsidRPr="008B3932">
        <w:t>.</w:t>
      </w:r>
      <w:r w:rsidR="00242983">
        <w:t xml:space="preserve"> </w:t>
      </w:r>
      <w:r w:rsidR="004966C3" w:rsidRPr="008B3932">
        <w:t>In total</w:t>
      </w:r>
      <w:r w:rsidR="000F3351">
        <w:t>,</w:t>
      </w:r>
      <w:r w:rsidR="00242983">
        <w:t xml:space="preserve"> 39 </w:t>
      </w:r>
      <w:r w:rsidR="004966C3" w:rsidRPr="008B3932">
        <w:t>people were interview</w:t>
      </w:r>
      <w:r w:rsidR="00470138" w:rsidRPr="008B3932">
        <w:t>ed</w:t>
      </w:r>
      <w:r w:rsidR="00242983">
        <w:t xml:space="preserve">, and </w:t>
      </w:r>
      <w:r w:rsidR="00470138" w:rsidRPr="008B3932">
        <w:t>9 Fisheries agencies submitted completed survey forms</w:t>
      </w:r>
      <w:r w:rsidR="00473E64">
        <w:t xml:space="preserve"> (see </w:t>
      </w:r>
      <w:r w:rsidR="000F3351">
        <w:rPr>
          <w:b/>
          <w:bCs/>
        </w:rPr>
        <w:t>Annexe</w:t>
      </w:r>
      <w:r w:rsidR="00473E64" w:rsidRPr="00473E64">
        <w:rPr>
          <w:b/>
          <w:bCs/>
        </w:rPr>
        <w:t xml:space="preserve"> 4</w:t>
      </w:r>
      <w:r w:rsidR="00473E64">
        <w:t xml:space="preserve"> for the survey instrument)</w:t>
      </w:r>
      <w:r w:rsidR="0044125D">
        <w:t>.</w:t>
      </w:r>
      <w:r w:rsidR="002435AF" w:rsidRPr="008B3932">
        <w:t xml:space="preserve"> </w:t>
      </w:r>
    </w:p>
    <w:p w14:paraId="702FA637" w14:textId="6F6F8380" w:rsidR="00754E24" w:rsidRPr="00F65D73" w:rsidRDefault="002705F1" w:rsidP="00F65D73">
      <w:pPr>
        <w:pStyle w:val="Heading3"/>
        <w:rPr>
          <w:rStyle w:val="Heading"/>
          <w:rFonts w:asciiTheme="majorHAnsi" w:hAnsiTheme="majorHAnsi" w:cstheme="majorBidi"/>
          <w:b/>
          <w:bCs/>
          <w:color w:val="2F5496" w:themeColor="accent1" w:themeShade="BF"/>
          <w:sz w:val="28"/>
          <w:szCs w:val="28"/>
        </w:rPr>
      </w:pPr>
      <w:bookmarkStart w:id="28" w:name="_Toc207206811"/>
      <w:r w:rsidRPr="00F65D73">
        <w:rPr>
          <w:rStyle w:val="Heading"/>
          <w:rFonts w:asciiTheme="majorHAnsi" w:hAnsiTheme="majorHAnsi" w:cstheme="majorBidi"/>
          <w:b/>
          <w:bCs/>
          <w:color w:val="2F5496" w:themeColor="accent1" w:themeShade="BF"/>
          <w:sz w:val="28"/>
          <w:szCs w:val="28"/>
        </w:rPr>
        <w:lastRenderedPageBreak/>
        <w:t>Limitations</w:t>
      </w:r>
      <w:bookmarkEnd w:id="28"/>
    </w:p>
    <w:p w14:paraId="63875B03" w14:textId="499B6863" w:rsidR="00360DF2" w:rsidRPr="008B3932" w:rsidRDefault="001948D3" w:rsidP="00195C85">
      <w:pPr>
        <w:spacing w:after="120"/>
      </w:pPr>
      <w:r w:rsidRPr="008B3932">
        <w:t xml:space="preserve">As part of the </w:t>
      </w:r>
      <w:r w:rsidRPr="00401DA1">
        <w:rPr>
          <w:i/>
          <w:iCs/>
        </w:rPr>
        <w:t>Evaluation Plan</w:t>
      </w:r>
      <w:r w:rsidRPr="008B3932">
        <w:t xml:space="preserve">, </w:t>
      </w:r>
      <w:r w:rsidR="00451349" w:rsidRPr="008B3932">
        <w:t xml:space="preserve">the team recognised three potential limitations to the evaluation, all of which were successfully mitigated. Firstly, as noted above, no formal program logic was established at inception. </w:t>
      </w:r>
      <w:r w:rsidR="00360DF2" w:rsidRPr="008B3932">
        <w:t xml:space="preserve">Nevertheless, by applying the logic model introduced in 2022, the evaluation team found it sufficiently robust to help shape both the Evaluation Matrix and the rubric used in this evaluation, thereby satisfactorily answering the EQs. </w:t>
      </w:r>
    </w:p>
    <w:p w14:paraId="68C6F1F9" w14:textId="63048E35" w:rsidR="00360DF2" w:rsidRPr="008B3932" w:rsidRDefault="00360DF2" w:rsidP="00195C85">
      <w:pPr>
        <w:spacing w:after="120"/>
      </w:pPr>
      <w:r w:rsidRPr="008B3932">
        <w:t xml:space="preserve">Secondly, our stakeholder analysis conducted at the outset indicated that key informants might not be available for interviews (either due to staff turnover or other commitments). This turned out not to be a major impediment, and nearly all the planned interviews were completed as scheduled (in fact, the evaluation team interviewed more than initially envisaged). In addition, the extensive, reliable, and validated secondary evidence, including detailed program reports and independent evaluations, ensured that the evaluation team had enough evidence to address the implementation of the </w:t>
      </w:r>
      <w:r w:rsidR="00B41DE6">
        <w:t>Investment</w:t>
      </w:r>
      <w:r w:rsidRPr="008B3932">
        <w:t xml:space="preserve"> activities conducted in the early years.</w:t>
      </w:r>
    </w:p>
    <w:p w14:paraId="181FEC0C" w14:textId="2DFE3726" w:rsidR="00466019" w:rsidRDefault="002B69B9" w:rsidP="00195C85">
      <w:pPr>
        <w:spacing w:after="120"/>
      </w:pPr>
      <w:r w:rsidRPr="008B3932">
        <w:t xml:space="preserve">Thirdly, there was a concern that not all interviews could be conducted in person (due to resourcing and timing challenges) and that remote methods might not be effective. However, this did not pose an impediment, and the evaluation team encountered no challenges in conducting </w:t>
      </w:r>
      <w:r w:rsidR="00836AB4">
        <w:t>the four</w:t>
      </w:r>
      <w:r w:rsidRPr="008B3932">
        <w:t xml:space="preserve"> remote interviews</w:t>
      </w:r>
      <w:r w:rsidR="00417BE0" w:rsidRPr="008B3932">
        <w:t xml:space="preserve">. </w:t>
      </w:r>
      <w:r w:rsidR="00836AB4">
        <w:t>The team</w:t>
      </w:r>
      <w:r w:rsidR="000413DA" w:rsidRPr="008B3932">
        <w:t xml:space="preserve"> employed multiple approaches</w:t>
      </w:r>
      <w:r w:rsidR="00836AB4">
        <w:t xml:space="preserve"> for the online interviews,</w:t>
      </w:r>
      <w:r w:rsidR="000413DA" w:rsidRPr="008B3932">
        <w:t xml:space="preserve"> including ensuring that all respondents received the questions in advance, participated in interviews at their convenience, and were also given the opportunity to submit written responses instead of being interviewed.</w:t>
      </w:r>
    </w:p>
    <w:p w14:paraId="4942AB33" w14:textId="23703F9F" w:rsidR="0067360E" w:rsidRDefault="00ED4A7B" w:rsidP="00195C85">
      <w:pPr>
        <w:spacing w:after="120"/>
      </w:pPr>
      <w:r w:rsidRPr="00ED4A7B">
        <w:t xml:space="preserve">While the </w:t>
      </w:r>
      <w:r w:rsidR="00B41DE6">
        <w:t>Investment</w:t>
      </w:r>
      <w:r w:rsidRPr="00ED4A7B">
        <w:t xml:space="preserve"> has not systematically collected monitoring data since inception (noting the absence of a Program Logic until 2022), it has nonetheless faithfully reported progress annually through DFAT’s Annual Quality Checks (AQCs) and </w:t>
      </w:r>
      <w:r w:rsidR="00B41DE6">
        <w:t>Investment</w:t>
      </w:r>
      <w:r w:rsidRPr="00ED4A7B">
        <w:t xml:space="preserve"> Monitoring Reports (IMRs), as well as through reports from implementing partners. When relevant and necessary monitoring data w</w:t>
      </w:r>
      <w:r w:rsidR="00836AB4">
        <w:t>ere</w:t>
      </w:r>
      <w:r w:rsidRPr="00ED4A7B">
        <w:t xml:space="preserve"> unavailable, the Evaluation Team filled the gap by collecting its own data, such as through key informant interviews, distributing a short electronic survey to fisheries agencies, and consulting other relevant literature and documents.</w:t>
      </w:r>
    </w:p>
    <w:p w14:paraId="469B8C76" w14:textId="7F4DEBBE" w:rsidR="00882DC4" w:rsidRDefault="00750927" w:rsidP="00195C85">
      <w:pPr>
        <w:spacing w:after="120"/>
      </w:pPr>
      <w:r>
        <w:rPr>
          <w:rFonts w:asciiTheme="majorHAnsi" w:hAnsiTheme="majorHAnsi"/>
          <w:noProof/>
        </w:rPr>
        <w:drawing>
          <wp:anchor distT="0" distB="0" distL="114300" distR="114300" simplePos="0" relativeHeight="251658286" behindDoc="1" locked="0" layoutInCell="1" allowOverlap="1" wp14:anchorId="06A02E9E" wp14:editId="5FF36BFC">
            <wp:simplePos x="0" y="0"/>
            <wp:positionH relativeFrom="column">
              <wp:posOffset>-736850</wp:posOffset>
            </wp:positionH>
            <wp:positionV relativeFrom="page">
              <wp:posOffset>5812790</wp:posOffset>
            </wp:positionV>
            <wp:extent cx="7595870" cy="4882515"/>
            <wp:effectExtent l="0" t="0" r="0" b="0"/>
            <wp:wrapNone/>
            <wp:docPr id="674136058" name="Picture 50"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27903" name="Picture 50" descr="A blue and white backgroun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595870" cy="4882515"/>
                    </a:xfrm>
                    <a:prstGeom prst="rect">
                      <a:avLst/>
                    </a:prstGeom>
                  </pic:spPr>
                </pic:pic>
              </a:graphicData>
            </a:graphic>
            <wp14:sizeRelH relativeFrom="page">
              <wp14:pctWidth>0</wp14:pctWidth>
            </wp14:sizeRelH>
            <wp14:sizeRelV relativeFrom="page">
              <wp14:pctHeight>0</wp14:pctHeight>
            </wp14:sizeRelV>
          </wp:anchor>
        </w:drawing>
      </w:r>
      <w:r w:rsidR="000413DA" w:rsidRPr="000D655A">
        <w:t>No other major data collection issues affected the evaluation, and all key informants were very obliging</w:t>
      </w:r>
      <w:r w:rsidR="000C3915" w:rsidRPr="000D655A">
        <w:t xml:space="preserve"> in making time to speak to the evaluation team. </w:t>
      </w:r>
      <w:r w:rsidR="004C4E70" w:rsidRPr="000D655A">
        <w:t>Overall, the evaluation team is confident that, with careful attention to mitigation measures, systematic and triangulated analysis, and adherence to the approach outlined in the Evaluatio</w:t>
      </w:r>
      <w:r w:rsidR="00AF62A9" w:rsidRPr="000D655A">
        <w:t>n</w:t>
      </w:r>
      <w:r w:rsidR="004C4E70" w:rsidRPr="000D655A">
        <w:t xml:space="preserve"> Plan, the </w:t>
      </w:r>
      <w:r w:rsidR="00B41DE6">
        <w:t>Investment</w:t>
      </w:r>
      <w:r w:rsidR="004C4E70" w:rsidRPr="000D655A">
        <w:t xml:space="preserve"> has been evaluated credibly and reliably.</w:t>
      </w:r>
      <w:r w:rsidRPr="00750927">
        <w:rPr>
          <w:rFonts w:asciiTheme="majorHAnsi" w:hAnsiTheme="majorHAnsi"/>
          <w:noProof/>
        </w:rPr>
        <w:t xml:space="preserve"> </w:t>
      </w:r>
    </w:p>
    <w:p w14:paraId="564484AB" w14:textId="2D896B8F" w:rsidR="00E743A8" w:rsidRPr="000C5CB3" w:rsidRDefault="00360DF2" w:rsidP="00F65D73">
      <w:pPr>
        <w:pStyle w:val="Heading2"/>
        <w:rPr>
          <w:color w:val="FFFFFF" w:themeColor="background1"/>
        </w:rPr>
      </w:pPr>
      <w:r w:rsidRPr="000C5CB3">
        <w:rPr>
          <w:color w:val="FFFFFF" w:themeColor="background1"/>
        </w:rPr>
        <w:br w:type="page"/>
      </w:r>
      <w:bookmarkStart w:id="29" w:name="_Toc207206812"/>
      <w:r w:rsidR="000C5CB3" w:rsidRPr="00F65D73">
        <w:rPr>
          <w:rStyle w:val="Heading"/>
          <w:rFonts w:ascii="Verdana" w:hAnsi="Verdana" w:cstheme="majorBidi"/>
          <w:noProof/>
          <w:color w:val="FFFFFF" w:themeColor="background1"/>
          <w:sz w:val="40"/>
          <w:szCs w:val="40"/>
        </w:rPr>
        <w:lastRenderedPageBreak/>
        <w:drawing>
          <wp:anchor distT="0" distB="0" distL="114300" distR="114300" simplePos="0" relativeHeight="251658283" behindDoc="1" locked="0" layoutInCell="1" allowOverlap="1" wp14:anchorId="2DB2FC2B" wp14:editId="10A17CCD">
            <wp:simplePos x="0" y="0"/>
            <wp:positionH relativeFrom="column">
              <wp:posOffset>-1041400</wp:posOffset>
            </wp:positionH>
            <wp:positionV relativeFrom="page">
              <wp:posOffset>-54610</wp:posOffset>
            </wp:positionV>
            <wp:extent cx="7955915" cy="1331595"/>
            <wp:effectExtent l="0" t="0" r="0" b="1905"/>
            <wp:wrapNone/>
            <wp:docPr id="1534549575" name="Picture 47" descr="A blue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5579116" name="Picture 47" descr="A blue and white backgroun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955915" cy="1331595"/>
                    </a:xfrm>
                    <a:prstGeom prst="rect">
                      <a:avLst/>
                    </a:prstGeom>
                  </pic:spPr>
                </pic:pic>
              </a:graphicData>
            </a:graphic>
            <wp14:sizeRelH relativeFrom="page">
              <wp14:pctWidth>0</wp14:pctWidth>
            </wp14:sizeRelH>
            <wp14:sizeRelV relativeFrom="page">
              <wp14:pctHeight>0</wp14:pctHeight>
            </wp14:sizeRelV>
          </wp:anchor>
        </w:drawing>
      </w:r>
      <w:r w:rsidR="001568F7" w:rsidRPr="00F65D73">
        <w:rPr>
          <w:rStyle w:val="Heading"/>
          <w:rFonts w:ascii="Verdana" w:hAnsi="Verdana" w:cstheme="majorBidi"/>
          <w:color w:val="FFFFFF" w:themeColor="background1"/>
          <w:sz w:val="40"/>
          <w:szCs w:val="40"/>
        </w:rPr>
        <w:t>Key Findings</w:t>
      </w:r>
      <w:bookmarkEnd w:id="29"/>
    </w:p>
    <w:p w14:paraId="6BD597A9" w14:textId="77777777" w:rsidR="000C5CB3" w:rsidRDefault="000C5CB3" w:rsidP="000C5CB3">
      <w:pPr>
        <w:rPr>
          <w:lang w:val="en-AU"/>
        </w:rPr>
      </w:pPr>
    </w:p>
    <w:p w14:paraId="45361B72" w14:textId="77777777" w:rsidR="00273004" w:rsidRDefault="00273004" w:rsidP="001F1F0E">
      <w:pPr>
        <w:rPr>
          <w:lang w:eastAsia="en-GB"/>
        </w:rPr>
      </w:pPr>
      <w:bookmarkStart w:id="30" w:name="_Toc205147178"/>
      <w:bookmarkStart w:id="31" w:name="_Toc205147307"/>
      <w:bookmarkStart w:id="32" w:name="_Toc205147363"/>
      <w:bookmarkStart w:id="33" w:name="_Toc205147515"/>
      <w:bookmarkStart w:id="34" w:name="_Toc205147817"/>
    </w:p>
    <w:p w14:paraId="24C166A2" w14:textId="720FA6C1" w:rsidR="00F409E4" w:rsidRDefault="00F409E4" w:rsidP="001F1F0E">
      <w:pPr>
        <w:rPr>
          <w:lang w:eastAsia="en-GB"/>
        </w:rPr>
      </w:pPr>
      <w:r w:rsidRPr="00F409E4">
        <w:rPr>
          <w:lang w:eastAsia="en-GB"/>
        </w:rPr>
        <w:t>This section of the report is organised to address the three Key Evaluation Questions (KEQ) and their associated sub-questions that the evaluation aimed to answer, as specified in the Terms of Reference (</w:t>
      </w:r>
      <w:proofErr w:type="spellStart"/>
      <w:r w:rsidRPr="00F409E4">
        <w:rPr>
          <w:lang w:eastAsia="en-GB"/>
        </w:rPr>
        <w:t>ToRs</w:t>
      </w:r>
      <w:proofErr w:type="spellEnd"/>
      <w:r w:rsidRPr="00F409E4">
        <w:rPr>
          <w:lang w:eastAsia="en-GB"/>
        </w:rPr>
        <w:t>). Under each KEQ, the key findings are summarised, along with an assessment of the relevant criteria from the Evaluation Rubric (</w:t>
      </w:r>
      <w:r w:rsidR="000F3351">
        <w:rPr>
          <w:lang w:eastAsia="en-GB"/>
        </w:rPr>
        <w:t>Annexe</w:t>
      </w:r>
      <w:r w:rsidRPr="00F409E4">
        <w:rPr>
          <w:lang w:eastAsia="en-GB"/>
        </w:rPr>
        <w:t xml:space="preserve"> 5), where applicable, overall spend, and a summary of the projects that contributed to the question under discussion</w:t>
      </w:r>
      <w:r>
        <w:rPr>
          <w:lang w:eastAsia="en-GB"/>
        </w:rPr>
        <w:t xml:space="preserve"> is provided</w:t>
      </w:r>
      <w:r w:rsidRPr="00F409E4">
        <w:rPr>
          <w:lang w:eastAsia="en-GB"/>
        </w:rPr>
        <w:t>, followed by commentary highlighting relevant examples (including key strengths and challenges identified by the evaluation team).</w:t>
      </w:r>
      <w:bookmarkEnd w:id="30"/>
      <w:bookmarkEnd w:id="31"/>
      <w:bookmarkEnd w:id="32"/>
      <w:bookmarkEnd w:id="33"/>
      <w:bookmarkEnd w:id="34"/>
      <w:r w:rsidRPr="00F409E4">
        <w:rPr>
          <w:lang w:eastAsia="en-GB"/>
        </w:rPr>
        <w:t xml:space="preserve">  </w:t>
      </w:r>
    </w:p>
    <w:p w14:paraId="30124A11" w14:textId="602D18AD" w:rsidR="00895FF5" w:rsidRPr="00895FF5" w:rsidRDefault="00895FF5" w:rsidP="00895FF5">
      <w:pPr>
        <w:rPr>
          <w:lang w:eastAsia="en-GB"/>
        </w:rPr>
      </w:pPr>
    </w:p>
    <w:p w14:paraId="20D75B62" w14:textId="2F2FD810" w:rsidR="00025887" w:rsidRPr="00F65D73" w:rsidRDefault="00BF430E" w:rsidP="00F65D73">
      <w:pPr>
        <w:pStyle w:val="Heading3"/>
        <w:rPr>
          <w:rStyle w:val="Heading"/>
          <w:rFonts w:asciiTheme="majorHAnsi" w:hAnsiTheme="majorHAnsi" w:cstheme="majorBidi"/>
          <w:b/>
          <w:bCs/>
          <w:color w:val="2F5496" w:themeColor="accent1" w:themeShade="BF"/>
          <w:sz w:val="28"/>
          <w:szCs w:val="28"/>
        </w:rPr>
      </w:pPr>
      <w:bookmarkStart w:id="35" w:name="_Toc207206813"/>
      <w:r w:rsidRPr="00F65D73">
        <w:rPr>
          <w:rStyle w:val="Heading"/>
          <w:rFonts w:asciiTheme="majorHAnsi" w:hAnsiTheme="majorHAnsi" w:cstheme="majorBidi"/>
          <w:b/>
          <w:bCs/>
          <w:color w:val="2F5496" w:themeColor="accent1" w:themeShade="BF"/>
          <w:sz w:val="28"/>
          <w:szCs w:val="28"/>
        </w:rPr>
        <w:t>K</w:t>
      </w:r>
      <w:r w:rsidR="00CA143F" w:rsidRPr="00F65D73">
        <w:rPr>
          <w:rStyle w:val="Heading"/>
          <w:rFonts w:asciiTheme="majorHAnsi" w:hAnsiTheme="majorHAnsi" w:cstheme="majorBidi"/>
          <w:b/>
          <w:bCs/>
          <w:color w:val="2F5496" w:themeColor="accent1" w:themeShade="BF"/>
          <w:sz w:val="28"/>
          <w:szCs w:val="28"/>
        </w:rPr>
        <w:t xml:space="preserve">EQ 1: </w:t>
      </w:r>
      <w:r w:rsidR="00256205" w:rsidRPr="00F65D73">
        <w:rPr>
          <w:rStyle w:val="Heading"/>
          <w:rFonts w:asciiTheme="majorHAnsi" w:hAnsiTheme="majorHAnsi" w:cstheme="majorBidi"/>
          <w:b/>
          <w:bCs/>
          <w:color w:val="2F5496" w:themeColor="accent1" w:themeShade="BF"/>
          <w:sz w:val="28"/>
          <w:szCs w:val="28"/>
        </w:rPr>
        <w:t>To what extent was the investment effective in achieving its intended outcomes?</w:t>
      </w:r>
      <w:bookmarkStart w:id="36" w:name="_Toc199684944"/>
      <w:bookmarkEnd w:id="35"/>
    </w:p>
    <w:tbl>
      <w:tblPr>
        <w:tblStyle w:val="TableGrid"/>
        <w:tblW w:w="0" w:type="auto"/>
        <w:tblLook w:val="04A0" w:firstRow="1" w:lastRow="0" w:firstColumn="1" w:lastColumn="0" w:noHBand="0" w:noVBand="1"/>
      </w:tblPr>
      <w:tblGrid>
        <w:gridCol w:w="9730"/>
      </w:tblGrid>
      <w:tr w:rsidR="0059244B" w14:paraId="0875B625" w14:textId="77777777" w:rsidTr="0059244B">
        <w:tc>
          <w:tcPr>
            <w:tcW w:w="9730" w:type="dxa"/>
            <w:tcBorders>
              <w:top w:val="nil"/>
              <w:left w:val="nil"/>
              <w:bottom w:val="nil"/>
              <w:right w:val="nil"/>
            </w:tcBorders>
            <w:shd w:val="clear" w:color="auto" w:fill="DEEAF6" w:themeFill="accent5" w:themeFillTint="33"/>
          </w:tcPr>
          <w:p w14:paraId="751A2E78" w14:textId="05E5A4CB" w:rsidR="0059244B" w:rsidRPr="0059244B" w:rsidRDefault="0059244B" w:rsidP="00ED5AB5">
            <w:pPr>
              <w:rPr>
                <w:rFonts w:asciiTheme="majorHAnsi" w:hAnsiTheme="majorHAnsi" w:cstheme="majorHAnsi"/>
              </w:rPr>
            </w:pPr>
            <w:r w:rsidRPr="00E82EFE">
              <w:rPr>
                <w:rFonts w:asciiTheme="majorHAnsi" w:hAnsiTheme="majorHAnsi" w:cstheme="majorHAnsi"/>
                <w:b/>
                <w:bCs/>
              </w:rPr>
              <w:t xml:space="preserve">Key finding: </w:t>
            </w:r>
            <w:r w:rsidRPr="00E82EFE">
              <w:rPr>
                <w:rFonts w:asciiTheme="majorHAnsi" w:hAnsiTheme="majorHAnsi" w:cstheme="majorHAnsi"/>
              </w:rPr>
              <w:t>The overarching finding regarding effectiveness is that Investment has largely achieved all four expected end-of-program outcomes (</w:t>
            </w:r>
            <w:proofErr w:type="spellStart"/>
            <w:r w:rsidRPr="00E82EFE">
              <w:rPr>
                <w:rFonts w:asciiTheme="majorHAnsi" w:hAnsiTheme="majorHAnsi" w:cstheme="majorHAnsi"/>
              </w:rPr>
              <w:t>EoPOs</w:t>
            </w:r>
            <w:proofErr w:type="spellEnd"/>
            <w:r w:rsidRPr="00E82EFE">
              <w:rPr>
                <w:rFonts w:asciiTheme="majorHAnsi" w:hAnsiTheme="majorHAnsi" w:cstheme="majorHAnsi"/>
              </w:rPr>
              <w:t xml:space="preserve">). DFAT successfully supported both the FFA and SPC FAME. Notable results were accomplished across all four </w:t>
            </w:r>
            <w:proofErr w:type="spellStart"/>
            <w:r w:rsidRPr="00E82EFE">
              <w:rPr>
                <w:rFonts w:asciiTheme="majorHAnsi" w:hAnsiTheme="majorHAnsi" w:cstheme="majorHAnsi"/>
              </w:rPr>
              <w:t>EoPOs</w:t>
            </w:r>
            <w:proofErr w:type="spellEnd"/>
            <w:r w:rsidRPr="00E82EFE">
              <w:rPr>
                <w:rFonts w:asciiTheme="majorHAnsi" w:hAnsiTheme="majorHAnsi" w:cstheme="majorHAnsi"/>
              </w:rPr>
              <w:t xml:space="preserve">, including strengthening regional organisations to improve fisheries management, demonstrating the importance of sustainable coastal fisheries management in enhancing Pacific livelihoods, building capacity to combat IUU fishing, and assisting PICs in securing their maritime boundaries to enable more effective enforcement of maritime jurisdiction amid climate change-related sea-level rise. Interviews with key informants indicated that DFAT has been effective in delivering a strategically important and well-managed investment, strengthening regional partnerships, influencing policy, and advancing fisheries governance. Key challenges remain across all four </w:t>
            </w:r>
            <w:proofErr w:type="spellStart"/>
            <w:r w:rsidRPr="00E82EFE">
              <w:rPr>
                <w:rFonts w:asciiTheme="majorHAnsi" w:hAnsiTheme="majorHAnsi" w:cstheme="majorHAnsi"/>
              </w:rPr>
              <w:t>EoPOs</w:t>
            </w:r>
            <w:proofErr w:type="spellEnd"/>
            <w:r w:rsidRPr="00E82EFE">
              <w:rPr>
                <w:rFonts w:asciiTheme="majorHAnsi" w:hAnsiTheme="majorHAnsi" w:cstheme="majorHAnsi"/>
              </w:rPr>
              <w:t>, such as issues related to capacity, capability, staff turnover, and political difficulties in formalising sector-specific treaties. It remains crucial for Australia to continue providing adequate support to build upon the successes achieved so far in improving sector effectiveness.</w:t>
            </w:r>
          </w:p>
        </w:tc>
      </w:tr>
    </w:tbl>
    <w:p w14:paraId="61AA9C66" w14:textId="54A08ACF" w:rsidR="00ED5AB5" w:rsidRPr="00ED5AB5" w:rsidRDefault="00ED5AB5" w:rsidP="00ED5AB5"/>
    <w:p w14:paraId="74B16088" w14:textId="5B4536BD" w:rsidR="00025887" w:rsidRDefault="00025887" w:rsidP="00195C85">
      <w:pPr>
        <w:spacing w:after="120"/>
      </w:pPr>
      <w:r>
        <w:t>There is strong evidence to support the finding triangulated across document sources (including independent evaluation reports, IMRs/AQCs, annual reports</w:t>
      </w:r>
      <w:r w:rsidR="00C338E9">
        <w:t>, and interviews with key informants</w:t>
      </w:r>
      <w:r>
        <w:t>) to support</w:t>
      </w:r>
      <w:r w:rsidR="00C338E9">
        <w:t xml:space="preserve"> an overall assessment of effectiveness, in addition to drawing on the detail discussion of each </w:t>
      </w:r>
      <w:proofErr w:type="spellStart"/>
      <w:r w:rsidR="00C338E9">
        <w:t>EoPO</w:t>
      </w:r>
      <w:proofErr w:type="spellEnd"/>
      <w:r w:rsidR="00C338E9">
        <w:t xml:space="preserve"> below, </w:t>
      </w:r>
      <w:r>
        <w:t xml:space="preserve">noting that </w:t>
      </w:r>
      <w:proofErr w:type="spellStart"/>
      <w:r>
        <w:t>EoPO</w:t>
      </w:r>
      <w:proofErr w:type="spellEnd"/>
      <w:r>
        <w:t xml:space="preserve"> 1 (support to the FFA and SPC </w:t>
      </w:r>
      <w:r w:rsidR="006B5558">
        <w:t>FAME</w:t>
      </w:r>
      <w:r>
        <w:t>) received approximately 70% of the Investment’s expenditure, with the remainder split on project funding for coastal fisheries, IUU fishing, and maritime boundaries</w:t>
      </w:r>
      <w:r w:rsidR="00C338E9">
        <w:t>:</w:t>
      </w:r>
    </w:p>
    <w:tbl>
      <w:tblPr>
        <w:tblStyle w:val="TableGrid"/>
        <w:tblW w:w="0" w:type="auto"/>
        <w:tblLook w:val="04A0" w:firstRow="1" w:lastRow="0" w:firstColumn="1" w:lastColumn="0" w:noHBand="0" w:noVBand="1"/>
      </w:tblPr>
      <w:tblGrid>
        <w:gridCol w:w="9730"/>
      </w:tblGrid>
      <w:tr w:rsidR="0059244B" w14:paraId="3D553C62" w14:textId="77777777" w:rsidTr="0059244B">
        <w:tc>
          <w:tcPr>
            <w:tcW w:w="9730" w:type="dxa"/>
            <w:tcBorders>
              <w:top w:val="nil"/>
              <w:left w:val="nil"/>
              <w:bottom w:val="nil"/>
              <w:right w:val="nil"/>
            </w:tcBorders>
            <w:shd w:val="clear" w:color="auto" w:fill="2F5496" w:themeFill="accent1" w:themeFillShade="BF"/>
          </w:tcPr>
          <w:p w14:paraId="295502B2" w14:textId="55C5A0B2" w:rsidR="0059244B" w:rsidRPr="0059244B" w:rsidRDefault="0059244B" w:rsidP="0059244B">
            <w:pPr>
              <w:spacing w:after="120"/>
              <w:rPr>
                <w:color w:val="FFFFFF" w:themeColor="background1"/>
              </w:rPr>
            </w:pPr>
            <w:r w:rsidRPr="00CF6E5C">
              <w:rPr>
                <w:rFonts w:asciiTheme="majorHAnsi" w:eastAsia="Times New Roman" w:hAnsiTheme="majorHAnsi" w:cstheme="majorHAnsi"/>
                <w:b/>
                <w:color w:val="FFFFFF" w:themeColor="background1"/>
                <w:lang w:eastAsia="en-GB"/>
              </w:rPr>
              <w:t>Rubric Criterion #1</w:t>
            </w:r>
            <w:r w:rsidRPr="00CF6E5C">
              <w:rPr>
                <w:rFonts w:asciiTheme="majorHAnsi" w:eastAsia="Times New Roman" w:hAnsiTheme="majorHAnsi" w:cstheme="majorHAnsi"/>
                <w:color w:val="FFFFFF" w:themeColor="background1"/>
                <w:lang w:eastAsia="en-GB"/>
              </w:rPr>
              <w:t>:</w:t>
            </w:r>
            <w:r w:rsidRPr="00CF6E5C">
              <w:rPr>
                <w:rFonts w:cs="Calibri Light"/>
                <w:i/>
                <w:color w:val="FFFFFF" w:themeColor="background1"/>
                <w:lang w:eastAsia="en-GB"/>
              </w:rPr>
              <w:t xml:space="preserve"> </w:t>
            </w:r>
            <w:r w:rsidRPr="00CF6E5C">
              <w:rPr>
                <w:i/>
                <w:color w:val="FFFFFF" w:themeColor="background1"/>
                <w:lang w:eastAsia="en-GB"/>
              </w:rPr>
              <w:t>Investment achieved the end-of-program outcomes that were expected over the lifetime of this investment</w:t>
            </w:r>
            <w:r w:rsidRPr="00CF6E5C">
              <w:rPr>
                <w:rFonts w:asciiTheme="majorHAnsi" w:eastAsia="Times New Roman" w:hAnsiTheme="majorHAnsi" w:cstheme="majorHAnsi"/>
                <w:i/>
                <w:color w:val="FFFFFF" w:themeColor="background1"/>
                <w:lang w:eastAsia="en-GB"/>
              </w:rPr>
              <w:t xml:space="preserve">. </w:t>
            </w:r>
            <w:r w:rsidRPr="00CF6E5C">
              <w:rPr>
                <w:rFonts w:asciiTheme="majorHAnsi" w:eastAsia="Times New Roman" w:hAnsiTheme="majorHAnsi" w:cstheme="majorHAnsi"/>
                <w:color w:val="FFFFFF" w:themeColor="background1"/>
                <w:lang w:eastAsia="en-GB"/>
              </w:rPr>
              <w:t xml:space="preserve">Based on the evidence evaluated, this criterion is assessed overall as </w:t>
            </w:r>
            <w:r w:rsidRPr="00CF6E5C">
              <w:rPr>
                <w:rFonts w:asciiTheme="majorHAnsi" w:eastAsia="Times New Roman" w:hAnsiTheme="majorHAnsi" w:cstheme="majorHAnsi"/>
                <w:b/>
                <w:color w:val="FFFFFF" w:themeColor="background1"/>
                <w:lang w:eastAsia="en-GB"/>
              </w:rPr>
              <w:t>Good.</w:t>
            </w:r>
          </w:p>
        </w:tc>
      </w:tr>
    </w:tbl>
    <w:p w14:paraId="754A99BD" w14:textId="4E88984D" w:rsidR="00C338E9" w:rsidRDefault="00C338E9" w:rsidP="007462D2"/>
    <w:bookmarkEnd w:id="36"/>
    <w:p w14:paraId="2B3DF05B" w14:textId="31F4970C" w:rsidR="00895FF5" w:rsidRDefault="00D32091" w:rsidP="005B0617">
      <w:r w:rsidRPr="00D32091">
        <w:t xml:space="preserve">The overarching goal of the Investment is ‘The Pacific has secure access to sustainably managed ocean </w:t>
      </w:r>
      <w:proofErr w:type="gramStart"/>
      <w:r w:rsidR="00F62AE7" w:rsidRPr="00D32091">
        <w:t>resources</w:t>
      </w:r>
      <w:r w:rsidR="00F62AE7">
        <w:t>’</w:t>
      </w:r>
      <w:proofErr w:type="gramEnd"/>
      <w:r w:rsidRPr="00D32091">
        <w:t xml:space="preserve">. While it is outside the scope of the Evaluation to assess this goal, and it is also </w:t>
      </w:r>
      <w:r w:rsidR="00862CB7">
        <w:t>challenging</w:t>
      </w:r>
      <w:r w:rsidRPr="00D32091">
        <w:t xml:space="preserve"> to provide a reasonable assessment of the Investment’s effectiveness in contributing to its realisation, it is worth noting that over the lifetime of the Investment</w:t>
      </w:r>
      <w:r w:rsidR="00862CB7">
        <w:t>,</w:t>
      </w:r>
      <w:r>
        <w:t xml:space="preserve"> noticeable shifts have occurred within the sector. A</w:t>
      </w:r>
      <w:r w:rsidRPr="00D32091">
        <w:t xml:space="preserve">ll four tuna stocks </w:t>
      </w:r>
      <w:r w:rsidR="00B6589C">
        <w:t>are now</w:t>
      </w:r>
      <w:r w:rsidRPr="00D32091">
        <w:t xml:space="preserve"> reported as ‘biologically healthy’. This means they are assessed as not overfished and that overfishing is not occurring. The catch value taken by FFA fleets has substantially increased, rising from 39% in 2015 to 54% in 2022. Growth in export values now exceeds 50% compared to 2015, and the volume of tuna processed or handled onshore has increased significantly — volumes have risen by more than 50% between 2015 and 2021. Total employment related to tuna fisheries reached an estimated 27,803 in 2022, representing a 44% increase from 2015, and estimates of IUU fishing in the Pacific have decreased by 37% over the same period. While these achievements</w:t>
      </w:r>
      <w:r>
        <w:t xml:space="preserve"> (see </w:t>
      </w:r>
      <w:r w:rsidR="000F3351">
        <w:rPr>
          <w:b/>
          <w:bCs/>
        </w:rPr>
        <w:t>Annexe</w:t>
      </w:r>
      <w:r w:rsidRPr="00F62AE7">
        <w:rPr>
          <w:b/>
          <w:bCs/>
        </w:rPr>
        <w:t xml:space="preserve"> 7</w:t>
      </w:r>
      <w:r>
        <w:t xml:space="preserve"> for more details)</w:t>
      </w:r>
      <w:r w:rsidRPr="00D32091">
        <w:t xml:space="preserve"> are not exclusive to the Investment, as discussed in the assessment of progress against all four </w:t>
      </w:r>
      <w:proofErr w:type="spellStart"/>
      <w:r w:rsidRPr="00D32091">
        <w:t>EoPOs</w:t>
      </w:r>
      <w:proofErr w:type="spellEnd"/>
      <w:r w:rsidRPr="00D32091">
        <w:t>, the Investment has made a noteworthy contribution to the positive changes observed in the fisheries sector across the region.</w:t>
      </w:r>
    </w:p>
    <w:p w14:paraId="018E6E31" w14:textId="77777777" w:rsidR="00D32091" w:rsidRPr="0040069E" w:rsidRDefault="00D32091" w:rsidP="005D77AF">
      <w:pPr>
        <w:spacing w:after="120"/>
      </w:pPr>
    </w:p>
    <w:p w14:paraId="7080E9FB" w14:textId="799646E6" w:rsidR="000F21B6" w:rsidRDefault="00F6746E" w:rsidP="00195C85">
      <w:pPr>
        <w:spacing w:after="120"/>
        <w:rPr>
          <w:b/>
          <w:bCs/>
        </w:rPr>
      </w:pPr>
      <w:r w:rsidRPr="001E654B">
        <w:rPr>
          <w:b/>
          <w:bCs/>
        </w:rPr>
        <w:lastRenderedPageBreak/>
        <w:t>EoPO1: Pacific regional organisations provide adequate support to PICs to manage and develop their fisheries sustainably and cooperatively.</w:t>
      </w:r>
      <w:bookmarkStart w:id="37" w:name="_Toc199684946"/>
    </w:p>
    <w:tbl>
      <w:tblPr>
        <w:tblStyle w:val="TableGrid"/>
        <w:tblW w:w="0" w:type="auto"/>
        <w:tblLook w:val="04A0" w:firstRow="1" w:lastRow="0" w:firstColumn="1" w:lastColumn="0" w:noHBand="0" w:noVBand="1"/>
      </w:tblPr>
      <w:tblGrid>
        <w:gridCol w:w="9730"/>
      </w:tblGrid>
      <w:tr w:rsidR="00483330" w14:paraId="681CD15F" w14:textId="77777777" w:rsidTr="00E15BAE">
        <w:tc>
          <w:tcPr>
            <w:tcW w:w="9730" w:type="dxa"/>
            <w:tcBorders>
              <w:top w:val="nil"/>
              <w:left w:val="nil"/>
              <w:bottom w:val="nil"/>
              <w:right w:val="nil"/>
            </w:tcBorders>
            <w:shd w:val="clear" w:color="auto" w:fill="DEEAF6" w:themeFill="accent5" w:themeFillTint="33"/>
          </w:tcPr>
          <w:p w14:paraId="0EDDA558" w14:textId="046C9CB6" w:rsidR="00483330" w:rsidRDefault="00E15BAE" w:rsidP="007462D2">
            <w:pPr>
              <w:rPr>
                <w:lang w:eastAsia="en-GB"/>
              </w:rPr>
            </w:pPr>
            <w:r>
              <w:rPr>
                <w:rFonts w:asciiTheme="majorHAnsi" w:hAnsiTheme="majorHAnsi" w:cstheme="majorHAnsi"/>
                <w:b/>
                <w:bCs/>
              </w:rPr>
              <w:t xml:space="preserve">Key finding: </w:t>
            </w:r>
            <w:r w:rsidRPr="00C86A6C">
              <w:rPr>
                <w:rFonts w:asciiTheme="majorHAnsi" w:hAnsiTheme="majorHAnsi" w:cstheme="majorHAnsi"/>
              </w:rPr>
              <w:t xml:space="preserve">Australia's overall support for both FFA and SPC </w:t>
            </w:r>
            <w:r>
              <w:rPr>
                <w:rFonts w:asciiTheme="majorHAnsi" w:hAnsiTheme="majorHAnsi" w:cstheme="majorHAnsi"/>
              </w:rPr>
              <w:t>FAME</w:t>
            </w:r>
            <w:r w:rsidRPr="00C86A6C">
              <w:rPr>
                <w:rFonts w:asciiTheme="majorHAnsi" w:hAnsiTheme="majorHAnsi" w:cstheme="majorHAnsi"/>
              </w:rPr>
              <w:t xml:space="preserve"> strengthens regional organisations that offer economies of scale and a platform for collective resource management. This approach's main strengths include enabling both organisations to provide vital technical, scientific, and operational support to PICs, despite facing financial and institutional challenges. Key challenges involve the need for ongoing support from Australia to help the region fully realise the ambitious goals of the Regional Roadmap for Sustainable Pacific Fisheries and for Australia to continue assisting the FFA in addressing issues that affect its effectiveness</w:t>
            </w:r>
            <w:r>
              <w:rPr>
                <w:rFonts w:asciiTheme="majorHAnsi" w:hAnsiTheme="majorHAnsi" w:cstheme="majorHAnsi"/>
              </w:rPr>
              <w:t>.</w:t>
            </w:r>
          </w:p>
        </w:tc>
      </w:tr>
    </w:tbl>
    <w:p w14:paraId="11DF83EE" w14:textId="207ACC2C" w:rsidR="00A52313" w:rsidRDefault="00A52313" w:rsidP="007462D2">
      <w:pPr>
        <w:rPr>
          <w:lang w:eastAsia="en-GB"/>
        </w:rPr>
      </w:pPr>
    </w:p>
    <w:p w14:paraId="216608B4" w14:textId="1B09C97B" w:rsidR="001E654B" w:rsidRPr="00E3004D" w:rsidRDefault="000F21B6" w:rsidP="00195C85">
      <w:pPr>
        <w:spacing w:after="120"/>
        <w:rPr>
          <w:lang w:eastAsia="en-GB"/>
        </w:rPr>
      </w:pPr>
      <w:r>
        <w:rPr>
          <w:lang w:eastAsia="en-GB"/>
        </w:rPr>
        <w:t>T</w:t>
      </w:r>
      <w:r w:rsidR="00E3004D">
        <w:rPr>
          <w:lang w:eastAsia="en-GB"/>
        </w:rPr>
        <w:t xml:space="preserve">here is sufficient evidence (synthesised from interviews, AQCs/IMRs, Independent Reviews, and Annual reports from the two regional organisations) to evaluate the extent to which DFAT’s support has been effective in enabling both the FFA and SPC </w:t>
      </w:r>
      <w:r w:rsidR="006B5558">
        <w:rPr>
          <w:lang w:eastAsia="en-GB"/>
        </w:rPr>
        <w:t>FAME</w:t>
      </w:r>
      <w:r w:rsidR="00E3004D">
        <w:rPr>
          <w:lang w:eastAsia="en-GB"/>
        </w:rPr>
        <w:t xml:space="preserve"> to support PICs</w:t>
      </w:r>
      <w:r w:rsidR="000D6B30">
        <w:rPr>
          <w:lang w:eastAsia="en-GB"/>
        </w:rPr>
        <w:t xml:space="preserve"> effectively</w:t>
      </w:r>
      <w:r w:rsidR="00E3004D">
        <w:rPr>
          <w:lang w:eastAsia="en-GB"/>
        </w:rPr>
        <w:t xml:space="preserve">. Regarding effectiveness, as outlined in the Evaluation Rubric, one criterion was assessed for </w:t>
      </w:r>
      <w:proofErr w:type="spellStart"/>
      <w:r w:rsidR="00E3004D">
        <w:rPr>
          <w:lang w:eastAsia="en-GB"/>
        </w:rPr>
        <w:t>EoPO</w:t>
      </w:r>
      <w:proofErr w:type="spellEnd"/>
      <w:r w:rsidR="00E3004D">
        <w:rPr>
          <w:lang w:eastAsia="en-GB"/>
        </w:rPr>
        <w:t xml:space="preserve"> 1:</w:t>
      </w:r>
    </w:p>
    <w:tbl>
      <w:tblPr>
        <w:tblStyle w:val="TableGrid"/>
        <w:tblW w:w="0" w:type="auto"/>
        <w:tblLook w:val="04A0" w:firstRow="1" w:lastRow="0" w:firstColumn="1" w:lastColumn="0" w:noHBand="0" w:noVBand="1"/>
      </w:tblPr>
      <w:tblGrid>
        <w:gridCol w:w="9730"/>
      </w:tblGrid>
      <w:tr w:rsidR="00E15BAE" w14:paraId="7B827756" w14:textId="77777777" w:rsidTr="00E15BAE">
        <w:tc>
          <w:tcPr>
            <w:tcW w:w="9730" w:type="dxa"/>
            <w:tcBorders>
              <w:top w:val="nil"/>
              <w:left w:val="nil"/>
              <w:bottom w:val="nil"/>
              <w:right w:val="nil"/>
            </w:tcBorders>
            <w:shd w:val="clear" w:color="auto" w:fill="2F5496" w:themeFill="accent1" w:themeFillShade="BF"/>
          </w:tcPr>
          <w:p w14:paraId="53804922" w14:textId="0A1C7192" w:rsidR="00E15BAE" w:rsidRPr="00E15BAE" w:rsidRDefault="00E15BAE" w:rsidP="00E15BAE">
            <w:pPr>
              <w:spacing w:after="120"/>
              <w:rPr>
                <w:color w:val="FFFFFF" w:themeColor="background1"/>
              </w:rPr>
            </w:pPr>
            <w:r w:rsidRPr="00831E4E">
              <w:rPr>
                <w:rFonts w:asciiTheme="majorHAnsi" w:eastAsia="Times New Roman" w:hAnsiTheme="majorHAnsi" w:cstheme="majorHAnsi"/>
                <w:b/>
                <w:bCs/>
                <w:color w:val="FFFFFF" w:themeColor="background1"/>
                <w:lang w:eastAsia="en-GB"/>
              </w:rPr>
              <w:t>Rubric Criterion #2</w:t>
            </w:r>
            <w:r w:rsidRPr="00831E4E">
              <w:rPr>
                <w:rFonts w:asciiTheme="majorHAnsi" w:eastAsia="Times New Roman" w:hAnsiTheme="majorHAnsi" w:cstheme="majorHAnsi"/>
                <w:color w:val="FFFFFF" w:themeColor="background1"/>
                <w:lang w:eastAsia="en-GB"/>
              </w:rPr>
              <w:t>:</w:t>
            </w:r>
            <w:r w:rsidRPr="00831E4E">
              <w:rPr>
                <w:rFonts w:cs="Calibri Light"/>
                <w:i/>
                <w:iCs/>
                <w:color w:val="FFFFFF" w:themeColor="background1"/>
                <w:lang w:eastAsia="en-GB"/>
              </w:rPr>
              <w:t xml:space="preserve"> Pacific regional organisations provide adequate support to PICs to manage and develop their fisheries sustainably and cooperatively</w:t>
            </w:r>
            <w:r w:rsidRPr="00831E4E">
              <w:rPr>
                <w:rFonts w:asciiTheme="majorHAnsi" w:eastAsia="Times New Roman" w:hAnsiTheme="majorHAnsi" w:cstheme="majorHAnsi"/>
                <w:i/>
                <w:iCs/>
                <w:color w:val="FFFFFF" w:themeColor="background1"/>
                <w:lang w:eastAsia="en-GB"/>
              </w:rPr>
              <w:t xml:space="preserve">. </w:t>
            </w:r>
            <w:r w:rsidRPr="00831E4E">
              <w:rPr>
                <w:rFonts w:asciiTheme="majorHAnsi" w:eastAsia="Times New Roman" w:hAnsiTheme="majorHAnsi" w:cstheme="majorHAnsi"/>
                <w:color w:val="FFFFFF" w:themeColor="background1"/>
                <w:lang w:eastAsia="en-GB"/>
              </w:rPr>
              <w:t xml:space="preserve">Based on the evidence evaluated, this criterion is assessed overall as </w:t>
            </w:r>
            <w:r w:rsidRPr="00831E4E">
              <w:rPr>
                <w:rFonts w:asciiTheme="majorHAnsi" w:eastAsia="Times New Roman" w:hAnsiTheme="majorHAnsi" w:cstheme="majorHAnsi"/>
                <w:b/>
                <w:bCs/>
                <w:color w:val="FFFFFF" w:themeColor="background1"/>
                <w:lang w:eastAsia="en-GB"/>
              </w:rPr>
              <w:t xml:space="preserve">Adequate to Good, </w:t>
            </w:r>
            <w:r w:rsidRPr="00831E4E">
              <w:rPr>
                <w:rFonts w:asciiTheme="majorHAnsi" w:eastAsia="Times New Roman" w:hAnsiTheme="majorHAnsi" w:cstheme="majorHAnsi"/>
                <w:color w:val="FFFFFF" w:themeColor="background1"/>
                <w:lang w:eastAsia="en-GB"/>
              </w:rPr>
              <w:t>as both regional organisations have actively promoted and participated in fisheries development, but the support provided by the FFA to its members is regarded by key informants as variable.</w:t>
            </w:r>
          </w:p>
        </w:tc>
      </w:tr>
    </w:tbl>
    <w:p w14:paraId="0922F5A6" w14:textId="478E3DB2" w:rsidR="0058053E" w:rsidRDefault="0058053E" w:rsidP="007462D2">
      <w:pPr>
        <w:rPr>
          <w:lang w:eastAsia="en-GB"/>
        </w:rPr>
      </w:pPr>
    </w:p>
    <w:bookmarkEnd w:id="37"/>
    <w:p w14:paraId="5CFB4E0F" w14:textId="77FF33E3" w:rsidR="0023142C" w:rsidRPr="00195C85" w:rsidRDefault="00F6746E" w:rsidP="00195C85">
      <w:pPr>
        <w:spacing w:after="120"/>
        <w:rPr>
          <w:rFonts w:asciiTheme="majorHAnsi" w:hAnsiTheme="majorHAnsi" w:cstheme="majorHAnsi"/>
        </w:rPr>
      </w:pPr>
      <w:r w:rsidRPr="00AC33B7">
        <w:rPr>
          <w:rFonts w:asciiTheme="majorHAnsi" w:hAnsiTheme="majorHAnsi" w:cstheme="majorHAnsi"/>
        </w:rPr>
        <w:t xml:space="preserve">Australia has provided substantial core and project funding since FFA's inception in 1979, and under the </w:t>
      </w:r>
      <w:r w:rsidR="00862CB7">
        <w:rPr>
          <w:rFonts w:asciiTheme="majorHAnsi" w:hAnsiTheme="majorHAnsi" w:cstheme="majorHAnsi"/>
        </w:rPr>
        <w:t>Investment, it has</w:t>
      </w:r>
      <w:r w:rsidRPr="00AC33B7">
        <w:rPr>
          <w:rFonts w:asciiTheme="majorHAnsi" w:hAnsiTheme="majorHAnsi" w:cstheme="majorHAnsi"/>
        </w:rPr>
        <w:t xml:space="preserve"> provided $65.56 million since 2010</w:t>
      </w:r>
      <w:r w:rsidR="0023142C">
        <w:rPr>
          <w:rFonts w:asciiTheme="majorHAnsi" w:hAnsiTheme="majorHAnsi" w:cstheme="majorHAnsi"/>
        </w:rPr>
        <w:t xml:space="preserve"> (effectively providing about 16% of the FFA’s annual budget)</w:t>
      </w:r>
      <w:r w:rsidRPr="00AC33B7">
        <w:rPr>
          <w:rFonts w:asciiTheme="majorHAnsi" w:hAnsiTheme="majorHAnsi" w:cstheme="majorHAnsi"/>
        </w:rPr>
        <w:t xml:space="preserve">, and $26.39 million to SPC </w:t>
      </w:r>
      <w:r w:rsidR="006B5558">
        <w:rPr>
          <w:rFonts w:asciiTheme="majorHAnsi" w:hAnsiTheme="majorHAnsi" w:cstheme="majorHAnsi"/>
        </w:rPr>
        <w:t>FAME</w:t>
      </w:r>
      <w:r w:rsidR="0023142C">
        <w:rPr>
          <w:rFonts w:asciiTheme="majorHAnsi" w:hAnsiTheme="majorHAnsi" w:cstheme="majorHAnsi"/>
        </w:rPr>
        <w:t xml:space="preserve"> (effectively providing about 20% of SPC </w:t>
      </w:r>
      <w:r w:rsidR="006B5558">
        <w:rPr>
          <w:rFonts w:asciiTheme="majorHAnsi" w:hAnsiTheme="majorHAnsi" w:cstheme="majorHAnsi"/>
        </w:rPr>
        <w:t>FAME</w:t>
      </w:r>
      <w:r w:rsidR="0023142C">
        <w:rPr>
          <w:rFonts w:asciiTheme="majorHAnsi" w:hAnsiTheme="majorHAnsi" w:cstheme="majorHAnsi"/>
        </w:rPr>
        <w:t xml:space="preserve">’s </w:t>
      </w:r>
      <w:r w:rsidR="00862CB7">
        <w:rPr>
          <w:rFonts w:asciiTheme="majorHAnsi" w:hAnsiTheme="majorHAnsi" w:cstheme="majorHAnsi"/>
        </w:rPr>
        <w:t>yearly</w:t>
      </w:r>
      <w:r w:rsidR="0023142C">
        <w:rPr>
          <w:rFonts w:asciiTheme="majorHAnsi" w:hAnsiTheme="majorHAnsi" w:cstheme="majorHAnsi"/>
        </w:rPr>
        <w:t xml:space="preserve"> </w:t>
      </w:r>
      <w:r w:rsidR="00FD2E26">
        <w:rPr>
          <w:rFonts w:asciiTheme="majorHAnsi" w:hAnsiTheme="majorHAnsi" w:cstheme="majorHAnsi"/>
        </w:rPr>
        <w:t>program funding</w:t>
      </w:r>
      <w:r w:rsidR="0023142C">
        <w:rPr>
          <w:rFonts w:asciiTheme="majorHAnsi" w:hAnsiTheme="majorHAnsi" w:cstheme="majorHAnsi"/>
        </w:rPr>
        <w:t>)</w:t>
      </w:r>
      <w:r w:rsidRPr="00AC33B7">
        <w:rPr>
          <w:rFonts w:asciiTheme="majorHAnsi" w:hAnsiTheme="majorHAnsi" w:cstheme="majorHAnsi"/>
        </w:rPr>
        <w:t xml:space="preserve">. This funding is flexible and intended to support the implementation of the long-term plans of both the FFA and SPC. In addition, DFAT has provided substantial technical support to both organisations, including funding consultants to support HR reforms within the FFA, updating business plans, hosting regional meetings, and so on. This is in addition to Australia’s Whole of Government approach to the region, which has involved various partners such as DAFF, Defence and AFMA providing relevant support where appropriate. Australia is also an active member of both organisations, contributing to </w:t>
      </w:r>
      <w:r w:rsidR="00251DDA" w:rsidRPr="00AC33B7">
        <w:rPr>
          <w:rFonts w:asciiTheme="majorHAnsi" w:hAnsiTheme="majorHAnsi" w:cstheme="majorHAnsi"/>
        </w:rPr>
        <w:t>Forum Fisheries Committee (</w:t>
      </w:r>
      <w:r w:rsidRPr="00AC33B7">
        <w:rPr>
          <w:rFonts w:asciiTheme="majorHAnsi" w:hAnsiTheme="majorHAnsi" w:cstheme="majorHAnsi"/>
        </w:rPr>
        <w:t>FFC</w:t>
      </w:r>
      <w:r w:rsidR="006F4AC2" w:rsidRPr="00AC33B7">
        <w:rPr>
          <w:rFonts w:asciiTheme="majorHAnsi" w:hAnsiTheme="majorHAnsi" w:cstheme="majorHAnsi"/>
        </w:rPr>
        <w:t>)</w:t>
      </w:r>
      <w:r w:rsidRPr="00AC33B7">
        <w:rPr>
          <w:rFonts w:asciiTheme="majorHAnsi" w:hAnsiTheme="majorHAnsi" w:cstheme="majorHAnsi"/>
        </w:rPr>
        <w:t xml:space="preserve"> officials and ministerial meetings, as well as FFA's audit, strategic planning, and budget review committees, to name a few.</w:t>
      </w:r>
    </w:p>
    <w:p w14:paraId="00B2A071" w14:textId="16E510CF" w:rsidR="00FD2E26" w:rsidRDefault="00FD2E26" w:rsidP="00195C85">
      <w:pPr>
        <w:spacing w:after="120"/>
      </w:pPr>
      <w:bookmarkStart w:id="38" w:name="OLE_LINK14"/>
      <w:r>
        <w:t xml:space="preserve">Both FFA and SPC </w:t>
      </w:r>
      <w:r w:rsidR="006B5558">
        <w:t>FAME</w:t>
      </w:r>
      <w:r>
        <w:t xml:space="preserve"> actively promote and participate in fisheries development</w:t>
      </w:r>
      <w:bookmarkEnd w:id="38"/>
      <w:r>
        <w:t xml:space="preserve">. FFA's Fisheries Development Division concentrates on facilitating investment and trade, supporting negotiations, preparing investment plans, and monitoring economic indicators. SPC supports the development of alternative fisheries, including aquaculture, and helps meet trade requirements. While it is not feasible to determine the extent to which DFAT’s contribution has directly supported these activities, due to the nature of core funding, it can still be highlighted that actions taken by both FFA and SPC </w:t>
      </w:r>
      <w:r w:rsidR="006B5558">
        <w:t>FAME</w:t>
      </w:r>
      <w:r>
        <w:t xml:space="preserve"> have contributed to the continued growth of economic benefits from regional fisheries (as detailed in </w:t>
      </w:r>
      <w:r w:rsidR="000F3351">
        <w:rPr>
          <w:b/>
          <w:bCs/>
        </w:rPr>
        <w:t>Annexe</w:t>
      </w:r>
      <w:r w:rsidRPr="00AC33B7">
        <w:rPr>
          <w:b/>
          <w:bCs/>
        </w:rPr>
        <w:t xml:space="preserve"> </w:t>
      </w:r>
      <w:r w:rsidR="00F62AE7">
        <w:rPr>
          <w:b/>
          <w:bCs/>
        </w:rPr>
        <w:t>7</w:t>
      </w:r>
      <w:r>
        <w:t>). PICs have successfully negotiated increased economic assistance through treaties such as the US Tuna Treaty</w:t>
      </w:r>
      <w:r w:rsidR="003F3CA6">
        <w:rPr>
          <w:rStyle w:val="FootnoteReference"/>
        </w:rPr>
        <w:footnoteReference w:id="4"/>
      </w:r>
      <w:r>
        <w:t xml:space="preserve">, resulting in a substantial rise in revenue (which DFAT directly supported the FFA in negotiating, especially after negotiations became problematic). </w:t>
      </w:r>
    </w:p>
    <w:p w14:paraId="675EDA06" w14:textId="77B259A7" w:rsidR="00F6746E" w:rsidRPr="00F6746E" w:rsidRDefault="00FD2E26" w:rsidP="00195C85">
      <w:pPr>
        <w:spacing w:after="120"/>
      </w:pPr>
      <w:r>
        <w:t xml:space="preserve">Challenges nevertheless remain, especially as the </w:t>
      </w:r>
      <w:r w:rsidRPr="00F6746E">
        <w:t>targets under the</w:t>
      </w:r>
      <w:r w:rsidR="003C6549">
        <w:t xml:space="preserve"> </w:t>
      </w:r>
      <w:hyperlink r:id="rId23" w:history="1">
        <w:r w:rsidR="005D77AF">
          <w:rPr>
            <w:rStyle w:val="Hyperlink"/>
          </w:rPr>
          <w:t xml:space="preserve">Regional Roadmap for Sustainable Pacific Fisheries, </w:t>
        </w:r>
      </w:hyperlink>
      <w:r w:rsidR="005D77AF">
        <w:t>such</w:t>
      </w:r>
      <w:r w:rsidRPr="00F6746E">
        <w:t xml:space="preserve"> as doubling the value of the tuna catch and </w:t>
      </w:r>
      <w:r w:rsidR="00862CB7">
        <w:t>increasing</w:t>
      </w:r>
      <w:r>
        <w:t xml:space="preserve"> job creation, were</w:t>
      </w:r>
      <w:r w:rsidRPr="00F6746E">
        <w:t xml:space="preserve"> regarded as very ambitious and potentially unrealistic. </w:t>
      </w:r>
      <w:r>
        <w:t xml:space="preserve">Several respondents noted that without greater emphasis on national </w:t>
      </w:r>
      <w:r>
        <w:lastRenderedPageBreak/>
        <w:t xml:space="preserve">fisheries development and investment in critical infrastructure such as ports and processing facilities, these targets remain </w:t>
      </w:r>
      <w:r w:rsidR="005D77AF">
        <w:t>unfeasible.</w:t>
      </w:r>
      <w:r w:rsidR="00195C85" w:rsidRPr="00F6746E">
        <w:t xml:space="preserve"> </w:t>
      </w:r>
    </w:p>
    <w:p w14:paraId="7806AC59" w14:textId="65DAEA5D" w:rsidR="00F6746E" w:rsidRDefault="00BC2901" w:rsidP="005B0617">
      <w:r>
        <w:t>While FFA's core mission is to empower members for the sustainable use of offshore resources through collective and national action, and to deliver a range of services</w:t>
      </w:r>
      <w:r w:rsidR="00862CB7">
        <w:t>,</w:t>
      </w:r>
      <w:r>
        <w:t xml:space="preserve"> including technical advice, capacity building, and MCS service</w:t>
      </w:r>
      <w:r w:rsidR="00862CB7">
        <w:t>s</w:t>
      </w:r>
      <w:r>
        <w:t xml:space="preserve">, key informants expressed concerns about FFA's service delivery </w:t>
      </w:r>
      <w:r w:rsidR="00862CB7">
        <w:t>in</w:t>
      </w:r>
      <w:r>
        <w:t xml:space="preserve"> </w:t>
      </w:r>
      <w:r w:rsidR="00862CB7">
        <w:t>recent times</w:t>
      </w:r>
      <w:r w:rsidR="00455EED">
        <w:rPr>
          <w:rStyle w:val="FootnoteReference"/>
        </w:rPr>
        <w:footnoteReference w:id="5"/>
      </w:r>
      <w:r w:rsidR="00F6746E" w:rsidRPr="00F6746E">
        <w:t xml:space="preserve">. SPC </w:t>
      </w:r>
      <w:r w:rsidR="006B5558">
        <w:t>FAME</w:t>
      </w:r>
      <w:r w:rsidR="00F6746E" w:rsidRPr="00F6746E">
        <w:t xml:space="preserve"> provides scientific and technical support </w:t>
      </w:r>
      <w:r w:rsidR="00E74E6C">
        <w:t xml:space="preserve">for both coastal and offshore fisheries </w:t>
      </w:r>
      <w:r w:rsidR="00DA2588">
        <w:t xml:space="preserve">and aquaculture </w:t>
      </w:r>
      <w:r w:rsidR="00F6746E" w:rsidRPr="00F6746E">
        <w:t xml:space="preserve">and is widely regarded as effective in this role. </w:t>
      </w:r>
      <w:r w:rsidR="00043B13">
        <w:t xml:space="preserve">The 2023 evaluation </w:t>
      </w:r>
      <w:r w:rsidR="00DA2588">
        <w:t xml:space="preserve">of SPC </w:t>
      </w:r>
      <w:r w:rsidR="006B5558">
        <w:t>FAME</w:t>
      </w:r>
      <w:r w:rsidR="00DA2588">
        <w:t xml:space="preserve"> </w:t>
      </w:r>
      <w:r w:rsidR="00043B13">
        <w:t xml:space="preserve">reported evidence of increased demand for </w:t>
      </w:r>
      <w:r w:rsidR="006B5558">
        <w:t>SPC FAME</w:t>
      </w:r>
      <w:r w:rsidR="00043B13">
        <w:t>'s advice and services from PICTs, with requests rising significantly from 56 in 2022 to 160 in 2023</w:t>
      </w:r>
      <w:r w:rsidR="00F6746E" w:rsidRPr="00F6746E">
        <w:t xml:space="preserve">. Both organisations support PICs in managing resources and effectively pursuing their interests in international forums like the WCPFC. </w:t>
      </w:r>
      <w:r w:rsidR="00A745C8" w:rsidRPr="00A745C8">
        <w:t xml:space="preserve">Although members' satisfaction with the services of FFA and SPC </w:t>
      </w:r>
      <w:r w:rsidR="006B5558">
        <w:t>FAME</w:t>
      </w:r>
      <w:r w:rsidR="00A745C8" w:rsidRPr="00A745C8">
        <w:t xml:space="preserve"> remains relatively positive, key informants indicate that FFA is facing increasing difficulties in several areas that members consider critical. For example, there is a perception that FFA's effectiveness in international negotiations has recently declined, as evidenced by the protracted negotiations surrounding the US Tuna Treaty. Members of the FFA have often criticised the timeliness and quality of meeting papers provided by the secretariat. Delays and inconsistencies in the depth of analysis in these papers, according to key informants, make it difficult for members to adequately prepare and develop national positions ahead of Forum Fisheries Committee (FFC) meetings, leading to the need for follow-up discussions and thereby undermining the effectiveness of the FCC. </w:t>
      </w:r>
    </w:p>
    <w:p w14:paraId="220019CD" w14:textId="362A5C47" w:rsidR="00455EED" w:rsidRDefault="00455EED" w:rsidP="00195C85">
      <w:pPr>
        <w:spacing w:after="120"/>
      </w:pPr>
    </w:p>
    <w:p w14:paraId="50E45ED1" w14:textId="09AED4CD" w:rsidR="000F21B6" w:rsidRPr="00195C85" w:rsidRDefault="00E769AD" w:rsidP="00195C85">
      <w:pPr>
        <w:spacing w:after="120"/>
        <w:rPr>
          <w:b/>
          <w:bCs/>
        </w:rPr>
      </w:pPr>
      <w:r w:rsidRPr="003C5F89">
        <w:rPr>
          <w:b/>
          <w:bCs/>
        </w:rPr>
        <w:t>EoPO2: Pacific livelihoods are improved through access to sustainable coastal fisheries resources</w:t>
      </w:r>
      <w:bookmarkStart w:id="39" w:name="_Toc199684948"/>
    </w:p>
    <w:tbl>
      <w:tblPr>
        <w:tblStyle w:val="TableGrid"/>
        <w:tblW w:w="0" w:type="auto"/>
        <w:tblLook w:val="04A0" w:firstRow="1" w:lastRow="0" w:firstColumn="1" w:lastColumn="0" w:noHBand="0" w:noVBand="1"/>
      </w:tblPr>
      <w:tblGrid>
        <w:gridCol w:w="9730"/>
      </w:tblGrid>
      <w:tr w:rsidR="00E15BAE" w14:paraId="7DC8DA6A" w14:textId="77777777" w:rsidTr="00E15BAE">
        <w:tc>
          <w:tcPr>
            <w:tcW w:w="9730" w:type="dxa"/>
            <w:tcBorders>
              <w:top w:val="nil"/>
              <w:left w:val="nil"/>
              <w:bottom w:val="nil"/>
              <w:right w:val="nil"/>
            </w:tcBorders>
            <w:shd w:val="clear" w:color="auto" w:fill="DEEAF6" w:themeFill="accent5" w:themeFillTint="33"/>
          </w:tcPr>
          <w:p w14:paraId="1E1A9B69" w14:textId="004728CD" w:rsidR="00E15BAE" w:rsidRDefault="00E15BAE" w:rsidP="007462D2">
            <w:pPr>
              <w:rPr>
                <w:lang w:eastAsia="en-GB"/>
              </w:rPr>
            </w:pPr>
            <w:r w:rsidRPr="00777036">
              <w:rPr>
                <w:rFonts w:asciiTheme="majorHAnsi" w:hAnsiTheme="majorHAnsi" w:cstheme="majorHAnsi"/>
                <w:b/>
                <w:bCs/>
              </w:rPr>
              <w:t>Key finding</w:t>
            </w:r>
            <w:r>
              <w:rPr>
                <w:rFonts w:asciiTheme="majorHAnsi" w:hAnsiTheme="majorHAnsi" w:cstheme="majorHAnsi"/>
              </w:rPr>
              <w:t xml:space="preserve">: </w:t>
            </w:r>
            <w:r w:rsidRPr="00C86A6C">
              <w:rPr>
                <w:rFonts w:cs="Calibri Light"/>
              </w:rPr>
              <w:t xml:space="preserve">The </w:t>
            </w:r>
            <w:r>
              <w:rPr>
                <w:rFonts w:cs="Calibri Light"/>
              </w:rPr>
              <w:t>I</w:t>
            </w:r>
            <w:r w:rsidRPr="00C86A6C">
              <w:rPr>
                <w:rFonts w:cs="Calibri Light"/>
              </w:rPr>
              <w:t xml:space="preserve">nvestment has shown promise in raising awareness, building foundational government policy support for CBFM, and trialling livelihood interventions that have yielded positive results for participants. </w:t>
            </w:r>
            <w:r>
              <w:rPr>
                <w:rFonts w:cs="Calibri Light"/>
              </w:rPr>
              <w:t>Key</w:t>
            </w:r>
            <w:r w:rsidRPr="00C86A6C">
              <w:rPr>
                <w:rFonts w:cs="Calibri Light"/>
              </w:rPr>
              <w:t xml:space="preserve"> challenges </w:t>
            </w:r>
            <w:proofErr w:type="gramStart"/>
            <w:r w:rsidRPr="00C86A6C">
              <w:rPr>
                <w:rFonts w:cs="Calibri Light"/>
              </w:rPr>
              <w:t>still persist</w:t>
            </w:r>
            <w:proofErr w:type="gramEnd"/>
            <w:r w:rsidRPr="00C86A6C">
              <w:rPr>
                <w:rFonts w:cs="Calibri Light"/>
              </w:rPr>
              <w:t xml:space="preserve"> regarding communities' ability to effectively monitor and enforce, along with a lack of comprehensive data to conclusively link CBFM activities to improved human wellbeing and resource management</w:t>
            </w:r>
            <w:r>
              <w:rPr>
                <w:rFonts w:cs="Calibri Light"/>
              </w:rPr>
              <w:t>.</w:t>
            </w:r>
          </w:p>
        </w:tc>
      </w:tr>
    </w:tbl>
    <w:p w14:paraId="71F3964C" w14:textId="552413A8" w:rsidR="00A52313" w:rsidRDefault="00A52313" w:rsidP="007462D2">
      <w:pPr>
        <w:rPr>
          <w:lang w:eastAsia="en-GB"/>
        </w:rPr>
      </w:pPr>
    </w:p>
    <w:p w14:paraId="4D8F0338" w14:textId="5630C2E3" w:rsidR="00A745C8" w:rsidRDefault="00A745C8" w:rsidP="00195C85">
      <w:pPr>
        <w:spacing w:after="120"/>
        <w:rPr>
          <w:lang w:eastAsia="en-GB"/>
        </w:rPr>
      </w:pPr>
      <w:r>
        <w:rPr>
          <w:lang w:eastAsia="en-GB"/>
        </w:rPr>
        <w:t>A substantial number of evaluations of CBFM, triangulated with annual reports and interviews</w:t>
      </w:r>
      <w:r w:rsidR="00617A21">
        <w:rPr>
          <w:lang w:eastAsia="en-GB"/>
        </w:rPr>
        <w:t>,</w:t>
      </w:r>
      <w:r>
        <w:rPr>
          <w:lang w:eastAsia="en-GB"/>
        </w:rPr>
        <w:t xml:space="preserve"> informed the assessment of the effectiveness</w:t>
      </w:r>
      <w:r w:rsidR="004E194D">
        <w:rPr>
          <w:lang w:eastAsia="en-GB"/>
        </w:rPr>
        <w:t xml:space="preserve"> of the Investment</w:t>
      </w:r>
      <w:r>
        <w:rPr>
          <w:lang w:eastAsia="en-GB"/>
        </w:rPr>
        <w:t xml:space="preserve"> in delivering against </w:t>
      </w:r>
      <w:proofErr w:type="spellStart"/>
      <w:r>
        <w:rPr>
          <w:lang w:eastAsia="en-GB"/>
        </w:rPr>
        <w:t>EoPO</w:t>
      </w:r>
      <w:proofErr w:type="spellEnd"/>
      <w:r>
        <w:rPr>
          <w:lang w:eastAsia="en-GB"/>
        </w:rPr>
        <w:t xml:space="preserve"> 2, as outlined in the </w:t>
      </w:r>
      <w:r w:rsidRPr="00AC33B7">
        <w:rPr>
          <w:i/>
          <w:iCs/>
          <w:lang w:eastAsia="en-GB"/>
        </w:rPr>
        <w:t>Evaluation Rubric</w:t>
      </w:r>
      <w:r w:rsidR="004E194D">
        <w:rPr>
          <w:lang w:eastAsia="en-GB"/>
        </w:rPr>
        <w:t>:</w:t>
      </w:r>
    </w:p>
    <w:tbl>
      <w:tblPr>
        <w:tblStyle w:val="TableGrid"/>
        <w:tblW w:w="0" w:type="auto"/>
        <w:tblLook w:val="04A0" w:firstRow="1" w:lastRow="0" w:firstColumn="1" w:lastColumn="0" w:noHBand="0" w:noVBand="1"/>
      </w:tblPr>
      <w:tblGrid>
        <w:gridCol w:w="9730"/>
      </w:tblGrid>
      <w:tr w:rsidR="00151D38" w14:paraId="0774EFA1" w14:textId="77777777" w:rsidTr="00151D38">
        <w:tc>
          <w:tcPr>
            <w:tcW w:w="9730" w:type="dxa"/>
            <w:tcBorders>
              <w:top w:val="nil"/>
              <w:left w:val="nil"/>
              <w:bottom w:val="nil"/>
              <w:right w:val="nil"/>
            </w:tcBorders>
            <w:shd w:val="clear" w:color="auto" w:fill="2F5496" w:themeFill="accent1" w:themeFillShade="BF"/>
          </w:tcPr>
          <w:bookmarkEnd w:id="39"/>
          <w:p w14:paraId="39A198F0" w14:textId="02E5CBF0" w:rsidR="00151D38" w:rsidRDefault="00151D38" w:rsidP="00151D38">
            <w:pPr>
              <w:spacing w:after="120"/>
              <w:rPr>
                <w:lang w:eastAsia="en-GB"/>
              </w:rPr>
            </w:pPr>
            <w:r w:rsidRPr="00831E4E">
              <w:rPr>
                <w:rFonts w:asciiTheme="majorHAnsi" w:eastAsia="Times New Roman" w:hAnsiTheme="majorHAnsi" w:cstheme="majorHAnsi"/>
                <w:b/>
                <w:color w:val="FFFFFF" w:themeColor="background1"/>
                <w:lang w:eastAsia="en-GB"/>
              </w:rPr>
              <w:t>Rubric Criterion #3</w:t>
            </w:r>
            <w:r w:rsidRPr="00831E4E">
              <w:rPr>
                <w:rFonts w:asciiTheme="majorHAnsi" w:eastAsia="Times New Roman" w:hAnsiTheme="majorHAnsi" w:cstheme="majorHAnsi"/>
                <w:color w:val="FFFFFF" w:themeColor="background1"/>
                <w:lang w:eastAsia="en-GB"/>
              </w:rPr>
              <w:t>:</w:t>
            </w:r>
            <w:r w:rsidRPr="00831E4E">
              <w:rPr>
                <w:rFonts w:cs="Calibri Light"/>
                <w:i/>
                <w:color w:val="FFFFFF" w:themeColor="background1"/>
                <w:lang w:eastAsia="en-GB"/>
              </w:rPr>
              <w:t xml:space="preserve"> </w:t>
            </w:r>
            <w:r w:rsidRPr="00831E4E">
              <w:rPr>
                <w:i/>
                <w:color w:val="FFFFFF" w:themeColor="background1"/>
                <w:lang w:eastAsia="en-GB"/>
              </w:rPr>
              <w:t>Pacific livelihoods are improved through access to sustainable coastal fisheries resources</w:t>
            </w:r>
            <w:r w:rsidRPr="00831E4E">
              <w:rPr>
                <w:rFonts w:asciiTheme="majorHAnsi" w:eastAsia="Times New Roman" w:hAnsiTheme="majorHAnsi" w:cstheme="majorHAnsi"/>
                <w:i/>
                <w:color w:val="FFFFFF" w:themeColor="background1"/>
                <w:lang w:eastAsia="en-GB"/>
              </w:rPr>
              <w:t xml:space="preserve">. </w:t>
            </w:r>
            <w:r w:rsidRPr="00831E4E">
              <w:rPr>
                <w:rFonts w:asciiTheme="majorHAnsi" w:eastAsia="Times New Roman" w:hAnsiTheme="majorHAnsi" w:cstheme="majorHAnsi"/>
                <w:color w:val="FFFFFF" w:themeColor="background1"/>
                <w:lang w:eastAsia="en-GB"/>
              </w:rPr>
              <w:t xml:space="preserve">Based on the evidence evaluated, this criterion is assessed overall as </w:t>
            </w:r>
            <w:r w:rsidRPr="00831E4E">
              <w:rPr>
                <w:rFonts w:asciiTheme="majorHAnsi" w:eastAsia="Times New Roman" w:hAnsiTheme="majorHAnsi" w:cstheme="majorHAnsi"/>
                <w:b/>
                <w:color w:val="FFFFFF" w:themeColor="background1"/>
                <w:lang w:eastAsia="en-GB"/>
              </w:rPr>
              <w:t>Adequate to Good</w:t>
            </w:r>
            <w:r w:rsidRPr="00831E4E">
              <w:rPr>
                <w:rFonts w:asciiTheme="majorHAnsi" w:eastAsia="Times New Roman" w:hAnsiTheme="majorHAnsi" w:cstheme="majorHAnsi"/>
                <w:color w:val="FFFFFF" w:themeColor="background1"/>
                <w:lang w:eastAsia="en-GB"/>
              </w:rPr>
              <w:t>, as CBFM has shown promise in trialling livelihoods, but more evidence is needed to directly connect CBFM initiatives to well-being and resource management achievements</w:t>
            </w:r>
          </w:p>
        </w:tc>
      </w:tr>
    </w:tbl>
    <w:p w14:paraId="402244D1" w14:textId="77777777" w:rsidR="0060465C" w:rsidRDefault="0060465C" w:rsidP="007462D2">
      <w:pPr>
        <w:rPr>
          <w:lang w:eastAsia="en-GB"/>
        </w:rPr>
      </w:pPr>
    </w:p>
    <w:p w14:paraId="76A10B87" w14:textId="4430BB92" w:rsidR="00E769AD" w:rsidRPr="00195C85" w:rsidRDefault="004E194D" w:rsidP="00195C85">
      <w:pPr>
        <w:spacing w:after="120"/>
        <w:rPr>
          <w:rFonts w:cs="Calibri Light"/>
        </w:rPr>
      </w:pPr>
      <w:r w:rsidRPr="004E194D">
        <w:rPr>
          <w:rFonts w:cs="Calibri Light"/>
        </w:rPr>
        <w:t>Australia's investment aims to enhance Pacific livelihoods by improving access to sustainable coastal fisheries resources, mainly through supporting the development of national CBFM programs. Although co-funded with ACIAR, DFAT has typically provided most of the funding for CBFM, which accounts for about 16% of the funds allocated by the Investment to these programs. Coastal fisheries are vital for Pacific Island communities, playing a key role in food and nutrition security and local livelihoods. They are estimated to contribute more to GDP than tuna fisheries when considering subsistence and local market value, and unlike offshore tuna, the revenue largely stays within communities. The investment helps national fisheries agencies collaborate with communities and civil society organisations to formalise community-led arrangements for sustainable management of their local coastal marine resources, supporting food security and livelihoods.</w:t>
      </w:r>
    </w:p>
    <w:p w14:paraId="0C118240" w14:textId="03602224" w:rsidR="004F3978" w:rsidRPr="00195C85" w:rsidRDefault="00493DAB" w:rsidP="00195C85">
      <w:pPr>
        <w:spacing w:after="120"/>
        <w:rPr>
          <w:rStyle w:val="Strong"/>
          <w:rFonts w:eastAsiaTheme="minorHAnsi" w:cstheme="minorHAnsi"/>
          <w:b w:val="0"/>
          <w:bCs w:val="0"/>
        </w:rPr>
      </w:pPr>
      <w:r w:rsidRPr="00493DAB">
        <w:t xml:space="preserve">To date, </w:t>
      </w:r>
      <w:r>
        <w:t>CBFM</w:t>
      </w:r>
      <w:r w:rsidRPr="00493DAB">
        <w:t xml:space="preserve"> has directly engaged 748 communities across Kiribati, Solomon Islands, and Vanuatu since 2013 in sustainable fisheries management and supported food security, including after natural disasters. Independent evaluations</w:t>
      </w:r>
      <w:r w:rsidR="00ED3FF9">
        <w:t xml:space="preserve"> commissioned by DFAT</w:t>
      </w:r>
      <w:r w:rsidRPr="00493DAB">
        <w:t xml:space="preserve"> of the CBFM have found evidence that these programs have </w:t>
      </w:r>
      <w:r w:rsidRPr="00493DAB">
        <w:lastRenderedPageBreak/>
        <w:t>improved livelihoods</w:t>
      </w:r>
      <w:r w:rsidR="00ED3FF9">
        <w:rPr>
          <w:rStyle w:val="FootnoteReference"/>
        </w:rPr>
        <w:footnoteReference w:id="6"/>
      </w:r>
      <w:r w:rsidRPr="00493DAB">
        <w:t xml:space="preserve">. Examples cited include women’s groups in both Solomon Islands and Vanuatu increasing their incomes </w:t>
      </w:r>
      <w:r w:rsidR="00ED3FF9" w:rsidRPr="00493DAB">
        <w:t>using</w:t>
      </w:r>
      <w:r w:rsidRPr="00493DAB">
        <w:t xml:space="preserve"> solar freezers provided by the program; improved access to fish markets has been shown to benefit inland communities</w:t>
      </w:r>
      <w:r w:rsidR="00BC2901">
        <w:t xml:space="preserve"> directly</w:t>
      </w:r>
      <w:r w:rsidRPr="00493DAB">
        <w:t>; and communities working within Marine Protected Areas increasing their income through successful marketing of tourist activities such as scuba diving. Key informants note that CBFM is effective in supporting livelihoods by promoting sustainable resource use and fostering community resilience.</w:t>
      </w:r>
    </w:p>
    <w:p w14:paraId="33A4741A" w14:textId="4DC85FF6" w:rsidR="004F3978" w:rsidRPr="00195C85" w:rsidRDefault="004F3978" w:rsidP="00195C85">
      <w:pPr>
        <w:spacing w:after="120"/>
        <w:rPr>
          <w:rStyle w:val="Strong"/>
          <w:rFonts w:eastAsiaTheme="minorHAnsi"/>
          <w:b w:val="0"/>
          <w:bCs w:val="0"/>
        </w:rPr>
      </w:pPr>
      <w:r>
        <w:rPr>
          <w:rFonts w:cs="Calibri Light"/>
        </w:rPr>
        <w:t>CBFM</w:t>
      </w:r>
      <w:r w:rsidRPr="002467CB">
        <w:rPr>
          <w:rFonts w:cs="Calibri Light"/>
        </w:rPr>
        <w:t xml:space="preserve"> has established strong partnerships with governments and contributed significantly to developing foundational policy, strategy, regulation, and procedures that mandate CBFM</w:t>
      </w:r>
      <w:r w:rsidR="00ED3FF9">
        <w:rPr>
          <w:rFonts w:cs="Calibri Light"/>
        </w:rPr>
        <w:t xml:space="preserve"> (</w:t>
      </w:r>
      <w:hyperlink r:id="rId24" w:history="1">
        <w:r w:rsidR="00ED3FF9" w:rsidRPr="00ED3FF9">
          <w:rPr>
            <w:rStyle w:val="Hyperlink"/>
            <w:rFonts w:cs="Calibri Light"/>
          </w:rPr>
          <w:t>Status of CBFM in the Pacific</w:t>
        </w:r>
      </w:hyperlink>
      <w:r w:rsidR="00ED3FF9">
        <w:rPr>
          <w:rFonts w:cs="Calibri Light"/>
        </w:rPr>
        <w:t>).</w:t>
      </w:r>
      <w:r w:rsidRPr="002467CB">
        <w:rPr>
          <w:rFonts w:cs="Calibri Light"/>
        </w:rPr>
        <w:t xml:space="preserve"> Examples include policy changes in Solomon Islands, roadmaps and regulations in Kiribati, and a national roadmap in Vanuatu. CBFM has contributed to coastal fisheries policies and regulations in all three target countries and facilitated the development of the first long-term coastal fisheries strategies in </w:t>
      </w:r>
      <w:r w:rsidR="00ED3FF9">
        <w:rPr>
          <w:rFonts w:cs="Calibri Light"/>
        </w:rPr>
        <w:t xml:space="preserve">the </w:t>
      </w:r>
      <w:r>
        <w:rPr>
          <w:rFonts w:cs="Calibri Light"/>
        </w:rPr>
        <w:t xml:space="preserve">Solomon Islands, </w:t>
      </w:r>
      <w:r w:rsidRPr="002467CB">
        <w:rPr>
          <w:rFonts w:cs="Calibri Light"/>
        </w:rPr>
        <w:t xml:space="preserve">Vanuatu and Kiribati. Several countries have updated or introduced new fisheries legislation to strengthen the legal basis for coastal fisheries management. CBFM has increased government awareness and institutional commitment to coastal fisheries management. </w:t>
      </w:r>
      <w:r>
        <w:rPr>
          <w:rFonts w:cs="Calibri Light"/>
        </w:rPr>
        <w:t xml:space="preserve">CBFM has been </w:t>
      </w:r>
      <w:r w:rsidRPr="002467CB">
        <w:rPr>
          <w:rFonts w:cs="Calibri Light"/>
        </w:rPr>
        <w:t>integrated into national fisheries agencies</w:t>
      </w:r>
      <w:r>
        <w:rPr>
          <w:rFonts w:cs="Calibri Light"/>
        </w:rPr>
        <w:t xml:space="preserve"> in some form in all three countries, with project staff transitioning into national structures under new CBFM coordination roles</w:t>
      </w:r>
      <w:r w:rsidRPr="002467CB">
        <w:rPr>
          <w:rFonts w:cs="Calibri Light"/>
        </w:rPr>
        <w:t xml:space="preserve">. While project and agency staffing for coastal fisheries has significantly increased in the target countries, concerns </w:t>
      </w:r>
      <w:r>
        <w:rPr>
          <w:rFonts w:cs="Calibri Light"/>
        </w:rPr>
        <w:t>have been</w:t>
      </w:r>
      <w:r w:rsidRPr="002467CB">
        <w:rPr>
          <w:rFonts w:cs="Calibri Light"/>
        </w:rPr>
        <w:t xml:space="preserve"> raised at Heads of Fisheries meetings about insufficient funding from member governments for coastal fisheries more broadly, with a larger budget often allocated to offshore fisheries. Overall, while integration is progressing and resourcing at the project/agency level has increased, sustaining adequate government funding for implementation remains a challenge.</w:t>
      </w:r>
    </w:p>
    <w:p w14:paraId="0CE33F38" w14:textId="675E3D71" w:rsidR="00E769AD" w:rsidRPr="00195C85" w:rsidRDefault="00493DAB" w:rsidP="00195C85">
      <w:pPr>
        <w:spacing w:after="120"/>
        <w:rPr>
          <w:rFonts w:asciiTheme="majorHAnsi" w:hAnsiTheme="majorHAnsi" w:cstheme="majorHAnsi"/>
        </w:rPr>
      </w:pPr>
      <w:r w:rsidRPr="00493DAB">
        <w:rPr>
          <w:rStyle w:val="Strong"/>
          <w:rFonts w:asciiTheme="majorHAnsi" w:hAnsiTheme="majorHAnsi" w:cstheme="majorHAnsi"/>
          <w:b w:val="0"/>
          <w:bCs w:val="0"/>
        </w:rPr>
        <w:t xml:space="preserve">Community capacity to develop, monitor, and enforce CBFM is being enhanced. The community-led approach of CBFM promotes ownership and empowers communities to manage resources sustainably. Independent evaluations report that communities have shown increased interest, buy-in, and ownership of CBFM. Engaging all members of the community, including women and youth, in activities such as management plans has, according to key informants, made the approach more effective. Although communities receive support in developing and monitoring, there is limited evidence that explicitly details their capacity for formal enforcement; the focus </w:t>
      </w:r>
      <w:r w:rsidR="00BC2901">
        <w:rPr>
          <w:rStyle w:val="Strong"/>
          <w:rFonts w:asciiTheme="majorHAnsi" w:hAnsiTheme="majorHAnsi" w:cstheme="majorHAnsi"/>
          <w:b w:val="0"/>
          <w:bCs w:val="0"/>
        </w:rPr>
        <w:t>is</w:t>
      </w:r>
      <w:r w:rsidRPr="00493DAB">
        <w:rPr>
          <w:rStyle w:val="Strong"/>
          <w:rFonts w:asciiTheme="majorHAnsi" w:hAnsiTheme="majorHAnsi" w:cstheme="majorHAnsi"/>
          <w:b w:val="0"/>
          <w:bCs w:val="0"/>
        </w:rPr>
        <w:t xml:space="preserve"> more on fostering collective action, community adherence, and resource stewardship to support sustainability. Since compliance operates within (and not against) cultural practices, it is considered more appropriate to the context than </w:t>
      </w:r>
      <w:r w:rsidR="00BC2901">
        <w:rPr>
          <w:rStyle w:val="Strong"/>
          <w:rFonts w:asciiTheme="majorHAnsi" w:hAnsiTheme="majorHAnsi" w:cstheme="majorHAnsi"/>
          <w:b w:val="0"/>
          <w:bCs w:val="0"/>
        </w:rPr>
        <w:t>W</w:t>
      </w:r>
      <w:r w:rsidRPr="00493DAB">
        <w:rPr>
          <w:rStyle w:val="Strong"/>
          <w:rFonts w:asciiTheme="majorHAnsi" w:hAnsiTheme="majorHAnsi" w:cstheme="majorHAnsi"/>
          <w:b w:val="0"/>
          <w:bCs w:val="0"/>
        </w:rPr>
        <w:t>estern-led compliance approaches. The NZ-funded Sustainable Coastal Fisheries and Aquaculture project and the US-funded Pacific Coastal Fisheries Management and Compliance project also explicitly focus on enforcement. Overall, capacity-building initiatives are ongoing and are increasing community involvement in development and monitoring, but enforcement capacity at the community level remains less clear from the sources.</w:t>
      </w:r>
    </w:p>
    <w:p w14:paraId="5C3C6953" w14:textId="2F4D3642" w:rsidR="00FD6864" w:rsidRDefault="004F3978" w:rsidP="00195C85">
      <w:pPr>
        <w:spacing w:after="120"/>
        <w:rPr>
          <w:rFonts w:cs="Calibri Light"/>
        </w:rPr>
      </w:pPr>
      <w:r w:rsidRPr="00AC33B7">
        <w:rPr>
          <w:rStyle w:val="Strong"/>
          <w:rFonts w:asciiTheme="majorHAnsi" w:hAnsiTheme="majorHAnsi" w:cstheme="majorHAnsi"/>
          <w:b w:val="0"/>
          <w:bCs w:val="0"/>
        </w:rPr>
        <w:t xml:space="preserve">Improvements are evident in community well-being and coastal ecosystem health, including fair access to benefits. The investment recognises that supporting household entrepreneurs and small community businesses is essential for economic resilience and overall well-being in CBFM communities. The primary aim of CBFM is </w:t>
      </w:r>
      <w:r w:rsidR="00BC2901">
        <w:rPr>
          <w:rStyle w:val="Strong"/>
          <w:rFonts w:asciiTheme="majorHAnsi" w:hAnsiTheme="majorHAnsi" w:cstheme="majorHAnsi"/>
          <w:b w:val="0"/>
          <w:bCs w:val="0"/>
        </w:rPr>
        <w:t>to create</w:t>
      </w:r>
      <w:r w:rsidRPr="00AC33B7">
        <w:rPr>
          <w:rStyle w:val="Strong"/>
          <w:rFonts w:asciiTheme="majorHAnsi" w:hAnsiTheme="majorHAnsi" w:cstheme="majorHAnsi"/>
          <w:b w:val="0"/>
          <w:bCs w:val="0"/>
        </w:rPr>
        <w:t xml:space="preserve"> "resilient coastal communities." Regarding ecosystem health, independent evaluations and annual reports indicate that communities involved in the CBFM project have observed either improvements or stability in the health of marine resources and reefs in their </w:t>
      </w:r>
      <w:proofErr w:type="gramStart"/>
      <w:r w:rsidR="000D6B30" w:rsidRPr="00AC33B7">
        <w:rPr>
          <w:rStyle w:val="Strong"/>
          <w:rFonts w:asciiTheme="majorHAnsi" w:hAnsiTheme="majorHAnsi" w:cstheme="majorHAnsi"/>
          <w:b w:val="0"/>
          <w:bCs w:val="0"/>
        </w:rPr>
        <w:t>areas</w:t>
      </w:r>
      <w:r w:rsidR="00617A21">
        <w:rPr>
          <w:rStyle w:val="Strong"/>
          <w:rFonts w:asciiTheme="majorHAnsi" w:hAnsiTheme="majorHAnsi" w:cstheme="majorHAnsi"/>
          <w:b w:val="0"/>
          <w:bCs w:val="0"/>
        </w:rPr>
        <w:t>,</w:t>
      </w:r>
      <w:r w:rsidR="000D6B30">
        <w:rPr>
          <w:rStyle w:val="Strong"/>
          <w:rFonts w:asciiTheme="majorHAnsi" w:hAnsiTheme="majorHAnsi" w:cstheme="majorHAnsi"/>
          <w:b w:val="0"/>
          <w:bCs w:val="0"/>
        </w:rPr>
        <w:t xml:space="preserve"> but</w:t>
      </w:r>
      <w:proofErr w:type="gramEnd"/>
      <w:r w:rsidR="00E913C8">
        <w:rPr>
          <w:rStyle w:val="Strong"/>
          <w:rFonts w:asciiTheme="majorHAnsi" w:hAnsiTheme="majorHAnsi" w:cstheme="majorHAnsi"/>
          <w:b w:val="0"/>
          <w:bCs w:val="0"/>
        </w:rPr>
        <w:t xml:space="preserve"> note that there is insufficient evidence to link CBFM initiatives to well-being and resource management achievements</w:t>
      </w:r>
      <w:r w:rsidR="00BC2901">
        <w:rPr>
          <w:rStyle w:val="Strong"/>
          <w:rFonts w:asciiTheme="majorHAnsi" w:hAnsiTheme="majorHAnsi" w:cstheme="majorHAnsi"/>
          <w:b w:val="0"/>
          <w:bCs w:val="0"/>
        </w:rPr>
        <w:t xml:space="preserve"> directly</w:t>
      </w:r>
      <w:r w:rsidR="00E913C8">
        <w:rPr>
          <w:rStyle w:val="Strong"/>
          <w:rFonts w:asciiTheme="majorHAnsi" w:hAnsiTheme="majorHAnsi" w:cstheme="majorHAnsi"/>
          <w:b w:val="0"/>
          <w:bCs w:val="0"/>
        </w:rPr>
        <w:t>.</w:t>
      </w:r>
      <w:r w:rsidRPr="00AC33B7">
        <w:rPr>
          <w:rStyle w:val="Strong"/>
          <w:rFonts w:asciiTheme="majorHAnsi" w:hAnsiTheme="majorHAnsi" w:cstheme="majorHAnsi"/>
          <w:b w:val="0"/>
          <w:bCs w:val="0"/>
        </w:rPr>
        <w:t xml:space="preserve"> </w:t>
      </w:r>
    </w:p>
    <w:p w14:paraId="2DB56485" w14:textId="77777777" w:rsidR="00195C85" w:rsidRDefault="00195C85" w:rsidP="00195C85">
      <w:pPr>
        <w:spacing w:after="120"/>
        <w:rPr>
          <w:rFonts w:cs="Calibri Light"/>
        </w:rPr>
      </w:pPr>
    </w:p>
    <w:p w14:paraId="6502697C" w14:textId="77777777" w:rsidR="00503638" w:rsidRDefault="00503638" w:rsidP="00195C85">
      <w:pPr>
        <w:spacing w:after="120"/>
        <w:rPr>
          <w:rFonts w:cs="Calibri Light"/>
        </w:rPr>
      </w:pPr>
    </w:p>
    <w:p w14:paraId="1153AF3B" w14:textId="77777777" w:rsidR="00503638" w:rsidRDefault="00503638" w:rsidP="00195C85">
      <w:pPr>
        <w:spacing w:after="120"/>
        <w:rPr>
          <w:rFonts w:cs="Calibri Light"/>
        </w:rPr>
      </w:pPr>
    </w:p>
    <w:p w14:paraId="178EAF05" w14:textId="77777777" w:rsidR="00503638" w:rsidRPr="00195C85" w:rsidRDefault="00503638" w:rsidP="00195C85">
      <w:pPr>
        <w:spacing w:after="120"/>
        <w:rPr>
          <w:rFonts w:cs="Calibri Light"/>
        </w:rPr>
      </w:pPr>
    </w:p>
    <w:p w14:paraId="56005A03" w14:textId="114C6040" w:rsidR="002D59AD" w:rsidRPr="00503638" w:rsidRDefault="00976C29" w:rsidP="00503638">
      <w:pPr>
        <w:spacing w:after="120"/>
        <w:rPr>
          <w:b/>
          <w:bCs/>
        </w:rPr>
      </w:pPr>
      <w:proofErr w:type="spellStart"/>
      <w:r w:rsidRPr="003C5F89">
        <w:rPr>
          <w:b/>
          <w:bCs/>
        </w:rPr>
        <w:lastRenderedPageBreak/>
        <w:t>EoPO</w:t>
      </w:r>
      <w:proofErr w:type="spellEnd"/>
      <w:r w:rsidRPr="003C5F89">
        <w:rPr>
          <w:b/>
          <w:bCs/>
        </w:rPr>
        <w:t xml:space="preserve"> 3: IUU fishing is reduced through coordinated fisheries monitoring, control and surveillance activities</w:t>
      </w:r>
      <w:bookmarkStart w:id="40" w:name="_Toc199684950"/>
    </w:p>
    <w:tbl>
      <w:tblPr>
        <w:tblStyle w:val="TableGrid"/>
        <w:tblW w:w="0" w:type="auto"/>
        <w:tblLook w:val="04A0" w:firstRow="1" w:lastRow="0" w:firstColumn="1" w:lastColumn="0" w:noHBand="0" w:noVBand="1"/>
      </w:tblPr>
      <w:tblGrid>
        <w:gridCol w:w="9730"/>
      </w:tblGrid>
      <w:tr w:rsidR="005A0CEA" w14:paraId="46181DFB" w14:textId="77777777" w:rsidTr="005A0CEA">
        <w:tc>
          <w:tcPr>
            <w:tcW w:w="9730" w:type="dxa"/>
            <w:tcBorders>
              <w:top w:val="nil"/>
              <w:left w:val="nil"/>
              <w:bottom w:val="nil"/>
              <w:right w:val="nil"/>
            </w:tcBorders>
            <w:shd w:val="clear" w:color="auto" w:fill="DEEAF6" w:themeFill="accent5" w:themeFillTint="33"/>
          </w:tcPr>
          <w:p w14:paraId="4888E077" w14:textId="4A4936D0" w:rsidR="005A0CEA" w:rsidRDefault="005A0CEA" w:rsidP="00195C85">
            <w:pPr>
              <w:spacing w:after="120"/>
              <w:rPr>
                <w:lang w:eastAsia="en-GB"/>
              </w:rPr>
            </w:pPr>
            <w:r w:rsidRPr="00777036">
              <w:rPr>
                <w:rFonts w:asciiTheme="majorHAnsi" w:hAnsiTheme="majorHAnsi" w:cstheme="majorHAnsi"/>
                <w:b/>
                <w:bCs/>
              </w:rPr>
              <w:t>Key finding</w:t>
            </w:r>
            <w:r>
              <w:rPr>
                <w:rFonts w:asciiTheme="majorHAnsi" w:hAnsiTheme="majorHAnsi" w:cstheme="majorHAnsi"/>
              </w:rPr>
              <w:t xml:space="preserve">: </w:t>
            </w:r>
            <w:r w:rsidRPr="00FE1439">
              <w:rPr>
                <w:rFonts w:cs="Calibri Light"/>
              </w:rPr>
              <w:t>The Investment has made a noticeable contribution to reducing IUU fishing in the Pacific through coordinated Monitoring, Control, and Surveillance (MCS) activities. Key informants highlight numerous regional enforcement issues supported by the Investment, including improved regional surveillance and enforcement capacity, as well as better information sharing, which have contributed to the observed reduction in IUU fishing activity in the Pacific.</w:t>
            </w:r>
            <w:r w:rsidRPr="00FE1439" w:rsidDel="00EF7C4D">
              <w:rPr>
                <w:rFonts w:cs="Calibri Light"/>
              </w:rPr>
              <w:t xml:space="preserve"> </w:t>
            </w:r>
            <w:r>
              <w:rPr>
                <w:rFonts w:cs="Calibri Light"/>
              </w:rPr>
              <w:t xml:space="preserve">Challenges </w:t>
            </w:r>
            <w:proofErr w:type="gramStart"/>
            <w:r>
              <w:rPr>
                <w:rFonts w:cs="Calibri Light"/>
              </w:rPr>
              <w:t>still persist</w:t>
            </w:r>
            <w:proofErr w:type="gramEnd"/>
            <w:r>
              <w:rPr>
                <w:rFonts w:cs="Calibri Light"/>
              </w:rPr>
              <w:t>, including limited capacity and staff turnover at the national level, and delays in a small number of PICs ratifying the NTSA.</w:t>
            </w:r>
          </w:p>
        </w:tc>
      </w:tr>
    </w:tbl>
    <w:p w14:paraId="58A1F86A" w14:textId="77777777" w:rsidR="00503638" w:rsidRDefault="00503638" w:rsidP="00503638">
      <w:pPr>
        <w:rPr>
          <w:lang w:eastAsia="en-GB"/>
        </w:rPr>
      </w:pPr>
    </w:p>
    <w:p w14:paraId="0B3FF0B0" w14:textId="3A1527BB" w:rsidR="00FE1439" w:rsidRPr="00FE1439" w:rsidRDefault="00FE1439" w:rsidP="00195C85">
      <w:pPr>
        <w:spacing w:after="120"/>
        <w:rPr>
          <w:lang w:eastAsia="en-GB"/>
        </w:rPr>
      </w:pPr>
      <w:r>
        <w:rPr>
          <w:lang w:eastAsia="en-GB"/>
        </w:rPr>
        <w:t>A synthesis of independent evaluations, AQCs/IMRS, annual and regional reports, triangulated with interviews</w:t>
      </w:r>
      <w:r w:rsidR="00A52313">
        <w:rPr>
          <w:lang w:eastAsia="en-GB"/>
        </w:rPr>
        <w:t>,</w:t>
      </w:r>
      <w:r>
        <w:rPr>
          <w:lang w:eastAsia="en-GB"/>
        </w:rPr>
        <w:t xml:space="preserve"> informed the assessment of the effectiveness of the Investment in achieving </w:t>
      </w:r>
      <w:proofErr w:type="spellStart"/>
      <w:r>
        <w:rPr>
          <w:lang w:eastAsia="en-GB"/>
        </w:rPr>
        <w:t>EoPO</w:t>
      </w:r>
      <w:proofErr w:type="spellEnd"/>
      <w:r>
        <w:rPr>
          <w:lang w:eastAsia="en-GB"/>
        </w:rPr>
        <w:t xml:space="preserve"> 3, as outlined in the </w:t>
      </w:r>
      <w:r w:rsidRPr="00AC33B7">
        <w:rPr>
          <w:i/>
          <w:iCs/>
          <w:lang w:eastAsia="en-GB"/>
        </w:rPr>
        <w:t>Evaluation Rubric</w:t>
      </w:r>
      <w:r>
        <w:rPr>
          <w:lang w:eastAsia="en-GB"/>
        </w:rPr>
        <w:t>:</w:t>
      </w:r>
    </w:p>
    <w:tbl>
      <w:tblPr>
        <w:tblStyle w:val="TableGrid"/>
        <w:tblW w:w="0" w:type="auto"/>
        <w:tblLook w:val="04A0" w:firstRow="1" w:lastRow="0" w:firstColumn="1" w:lastColumn="0" w:noHBand="0" w:noVBand="1"/>
      </w:tblPr>
      <w:tblGrid>
        <w:gridCol w:w="9730"/>
      </w:tblGrid>
      <w:tr w:rsidR="000D3CD1" w14:paraId="4C08FDDD" w14:textId="77777777" w:rsidTr="000D3CD1">
        <w:tc>
          <w:tcPr>
            <w:tcW w:w="9730" w:type="dxa"/>
            <w:tcBorders>
              <w:top w:val="nil"/>
              <w:left w:val="nil"/>
              <w:bottom w:val="nil"/>
              <w:right w:val="nil"/>
            </w:tcBorders>
            <w:shd w:val="clear" w:color="auto" w:fill="2F5496" w:themeFill="accent1" w:themeFillShade="BF"/>
          </w:tcPr>
          <w:p w14:paraId="7AC0A864" w14:textId="5E2C4A71" w:rsidR="000D3CD1" w:rsidRPr="005A0CEA" w:rsidRDefault="000D3CD1" w:rsidP="005A0CEA">
            <w:pPr>
              <w:spacing w:after="120"/>
              <w:rPr>
                <w:color w:val="FFFFFF" w:themeColor="background1"/>
              </w:rPr>
            </w:pPr>
            <w:r w:rsidRPr="00831E4E">
              <w:rPr>
                <w:rFonts w:asciiTheme="majorHAnsi" w:eastAsia="Times New Roman" w:hAnsiTheme="majorHAnsi" w:cstheme="majorHAnsi"/>
                <w:b/>
                <w:bCs/>
                <w:color w:val="FFFFFF" w:themeColor="background1"/>
                <w:lang w:eastAsia="en-GB"/>
              </w:rPr>
              <w:t>Rubric Criterion #4</w:t>
            </w:r>
            <w:r w:rsidRPr="00831E4E">
              <w:rPr>
                <w:rFonts w:asciiTheme="majorHAnsi" w:eastAsia="Times New Roman" w:hAnsiTheme="majorHAnsi" w:cstheme="majorHAnsi"/>
                <w:color w:val="FFFFFF" w:themeColor="background1"/>
                <w:lang w:eastAsia="en-GB"/>
              </w:rPr>
              <w:t>:</w:t>
            </w:r>
            <w:r w:rsidRPr="00831E4E">
              <w:rPr>
                <w:rFonts w:cs="Calibri Light"/>
                <w:i/>
                <w:iCs/>
                <w:color w:val="FFFFFF" w:themeColor="background1"/>
                <w:lang w:eastAsia="en-GB"/>
              </w:rPr>
              <w:t xml:space="preserve"> </w:t>
            </w:r>
            <w:r w:rsidRPr="00831E4E">
              <w:rPr>
                <w:i/>
                <w:iCs/>
                <w:color w:val="FFFFFF" w:themeColor="background1"/>
                <w:lang w:eastAsia="en-GB"/>
              </w:rPr>
              <w:t xml:space="preserve">IUU fishing is reduced through coordinated fisheries monitoring, control and surveillance activities. </w:t>
            </w:r>
            <w:r w:rsidRPr="00831E4E">
              <w:rPr>
                <w:color w:val="FFFFFF" w:themeColor="background1"/>
                <w:lang w:eastAsia="en-GB"/>
              </w:rPr>
              <w:t xml:space="preserve">Based on the evaluated evidence, this criterion is overall assessed as </w:t>
            </w:r>
            <w:r w:rsidRPr="00831E4E">
              <w:rPr>
                <w:b/>
                <w:bCs/>
                <w:color w:val="FFFFFF" w:themeColor="background1"/>
                <w:lang w:eastAsia="en-GB"/>
              </w:rPr>
              <w:t>Good,</w:t>
            </w:r>
            <w:r w:rsidRPr="00831E4E">
              <w:rPr>
                <w:color w:val="FFFFFF" w:themeColor="background1"/>
                <w:lang w:eastAsia="en-GB"/>
              </w:rPr>
              <w:t xml:space="preserve"> as the Investment has been effective in ensuring that most </w:t>
            </w:r>
            <w:proofErr w:type="spellStart"/>
            <w:r w:rsidRPr="00831E4E">
              <w:rPr>
                <w:color w:val="FFFFFF" w:themeColor="background1"/>
                <w:lang w:eastAsia="en-GB"/>
              </w:rPr>
              <w:t>EoPO</w:t>
            </w:r>
            <w:proofErr w:type="spellEnd"/>
            <w:r w:rsidRPr="00831E4E">
              <w:rPr>
                <w:color w:val="FFFFFF" w:themeColor="background1"/>
                <w:lang w:eastAsia="en-GB"/>
              </w:rPr>
              <w:t xml:space="preserve"> 3 objectives have been achieved, but ongoing challenges remain in building MCS capacity at the national level and securing effective information sharing. </w:t>
            </w:r>
          </w:p>
        </w:tc>
      </w:tr>
    </w:tbl>
    <w:p w14:paraId="3C175F13" w14:textId="310370B7" w:rsidR="00FE1439" w:rsidRDefault="00FE1439" w:rsidP="007462D2">
      <w:pPr>
        <w:rPr>
          <w:lang w:eastAsia="en-GB"/>
        </w:rPr>
      </w:pPr>
    </w:p>
    <w:p w14:paraId="0A51702A" w14:textId="3ED52B4D" w:rsidR="00C24534" w:rsidRDefault="00221A98" w:rsidP="00195C85">
      <w:pPr>
        <w:spacing w:after="120"/>
      </w:pPr>
      <w:r>
        <w:rPr>
          <w:lang w:eastAsia="en-GB"/>
        </w:rPr>
        <w:t xml:space="preserve">DFAT, in conjunction with New Zealand, has been the largest donor and provider of MCS programs in the Region. </w:t>
      </w:r>
      <w:r w:rsidR="00BC2901">
        <w:rPr>
          <w:lang w:eastAsia="en-GB"/>
        </w:rPr>
        <w:t>The</w:t>
      </w:r>
      <w:r>
        <w:rPr>
          <w:lang w:eastAsia="en-GB"/>
        </w:rPr>
        <w:t xml:space="preserve"> Investment has directly contributed $8 million (roughly 6% of the total expended by the Investment</w:t>
      </w:r>
      <w:r w:rsidR="00C24534">
        <w:rPr>
          <w:lang w:eastAsia="en-GB"/>
        </w:rPr>
        <w:t>)</w:t>
      </w:r>
      <w:r>
        <w:rPr>
          <w:rStyle w:val="FootnoteReference"/>
          <w:lang w:eastAsia="en-GB"/>
        </w:rPr>
        <w:footnoteReference w:id="7"/>
      </w:r>
      <w:r w:rsidR="00BC2901">
        <w:rPr>
          <w:lang w:eastAsia="en-GB"/>
        </w:rPr>
        <w:t xml:space="preserve"> to MCS</w:t>
      </w:r>
      <w:r w:rsidR="00617A21">
        <w:rPr>
          <w:lang w:eastAsia="en-GB"/>
        </w:rPr>
        <w:t>-</w:t>
      </w:r>
      <w:r w:rsidR="00BC2901">
        <w:rPr>
          <w:lang w:eastAsia="en-GB"/>
        </w:rPr>
        <w:t>related programs</w:t>
      </w:r>
      <w:r>
        <w:rPr>
          <w:lang w:eastAsia="en-GB"/>
        </w:rPr>
        <w:t>.</w:t>
      </w:r>
      <w:r w:rsidR="00C902AB">
        <w:rPr>
          <w:lang w:eastAsia="en-GB"/>
        </w:rPr>
        <w:t xml:space="preserve"> Through </w:t>
      </w:r>
      <w:r w:rsidR="00C24534">
        <w:rPr>
          <w:lang w:eastAsia="en-GB"/>
        </w:rPr>
        <w:t>the Investment</w:t>
      </w:r>
      <w:r w:rsidR="00C902AB">
        <w:rPr>
          <w:lang w:eastAsia="en-GB"/>
        </w:rPr>
        <w:t xml:space="preserve">, DFAT has offered MCS technical support and training programs, primarily through AFMA. </w:t>
      </w:r>
      <w:r w:rsidR="00C902AB" w:rsidRPr="00976C29">
        <w:t xml:space="preserve">AFMA conducts on-the-job training during cooperative enforcement activities and delivers FFA MCS officer courses, providing technical and practical expertise </w:t>
      </w:r>
      <w:r w:rsidR="00C902AB">
        <w:t>to improve the</w:t>
      </w:r>
      <w:r w:rsidR="00C902AB" w:rsidRPr="00976C29">
        <w:t xml:space="preserve"> capacity for monitoring, control, and surveillance. </w:t>
      </w:r>
      <w:r w:rsidR="001C4941">
        <w:t>In recent years</w:t>
      </w:r>
      <w:r w:rsidR="008020CE">
        <w:t>,</w:t>
      </w:r>
      <w:r w:rsidR="001C4941">
        <w:t xml:space="preserve"> the development of the FFA’s </w:t>
      </w:r>
      <w:hyperlink r:id="rId25" w:history="1">
        <w:r w:rsidR="001C4941" w:rsidRPr="001C4941">
          <w:rPr>
            <w:rStyle w:val="Hyperlink"/>
          </w:rPr>
          <w:t>Regional, Monitoring, Control and Surveillance Strategy</w:t>
        </w:r>
      </w:hyperlink>
      <w:r w:rsidR="001C4941">
        <w:t xml:space="preserve"> (RMCSS)</w:t>
      </w:r>
      <w:r w:rsidR="008020CE">
        <w:t>, in</w:t>
      </w:r>
      <w:r w:rsidR="001C4941">
        <w:t xml:space="preserve"> which the Investment played an </w:t>
      </w:r>
      <w:r w:rsidR="000D6B30">
        <w:t>essential</w:t>
      </w:r>
      <w:r w:rsidR="001C4941">
        <w:t xml:space="preserve"> role in its development, now guides the coordination of efforts to combat IUU fishing, including regional operations.</w:t>
      </w:r>
    </w:p>
    <w:p w14:paraId="7CB7D48A" w14:textId="2E9F78EF" w:rsidR="00C902AB" w:rsidRPr="00195C85" w:rsidRDefault="00C24534" w:rsidP="00195C85">
      <w:pPr>
        <w:spacing w:after="120"/>
        <w:rPr>
          <w:rFonts w:asciiTheme="majorHAnsi" w:hAnsiTheme="majorHAnsi" w:cstheme="majorHAnsi"/>
        </w:rPr>
      </w:pPr>
      <w:r w:rsidRPr="00AC33B7">
        <w:rPr>
          <w:rFonts w:asciiTheme="majorHAnsi" w:hAnsiTheme="majorHAnsi" w:cstheme="majorHAnsi"/>
        </w:rPr>
        <w:t>With support from Australia</w:t>
      </w:r>
      <w:r w:rsidR="000D6B30">
        <w:rPr>
          <w:rFonts w:asciiTheme="majorHAnsi" w:hAnsiTheme="majorHAnsi" w:cstheme="majorHAnsi"/>
        </w:rPr>
        <w:t>,</w:t>
      </w:r>
      <w:r w:rsidRPr="00AC33B7">
        <w:rPr>
          <w:rFonts w:asciiTheme="majorHAnsi" w:hAnsiTheme="majorHAnsi" w:cstheme="majorHAnsi"/>
        </w:rPr>
        <w:t xml:space="preserve"> regional enforcement efforts have led to an estimated 37% reduction in IUU fishing activity in the Pacific between 2010</w:t>
      </w:r>
      <w:r w:rsidR="000D6B30">
        <w:rPr>
          <w:rFonts w:asciiTheme="majorHAnsi" w:hAnsiTheme="majorHAnsi" w:cstheme="majorHAnsi"/>
        </w:rPr>
        <w:t xml:space="preserve"> and </w:t>
      </w:r>
      <w:r w:rsidRPr="00AC33B7">
        <w:rPr>
          <w:rFonts w:asciiTheme="majorHAnsi" w:hAnsiTheme="majorHAnsi" w:cstheme="majorHAnsi"/>
        </w:rPr>
        <w:t>2015</w:t>
      </w:r>
      <w:r w:rsidR="000D6B30">
        <w:rPr>
          <w:rFonts w:asciiTheme="majorHAnsi" w:hAnsiTheme="majorHAnsi" w:cstheme="majorHAnsi"/>
        </w:rPr>
        <w:t>,</w:t>
      </w:r>
      <w:r w:rsidRPr="00AC33B7">
        <w:rPr>
          <w:rFonts w:asciiTheme="majorHAnsi" w:hAnsiTheme="majorHAnsi" w:cstheme="majorHAnsi"/>
        </w:rPr>
        <w:t xml:space="preserve"> and 2017</w:t>
      </w:r>
      <w:r w:rsidR="000D6B30">
        <w:rPr>
          <w:rFonts w:asciiTheme="majorHAnsi" w:hAnsiTheme="majorHAnsi" w:cstheme="majorHAnsi"/>
        </w:rPr>
        <w:t xml:space="preserve"> and </w:t>
      </w:r>
      <w:r w:rsidRPr="00AC33B7">
        <w:rPr>
          <w:rFonts w:asciiTheme="majorHAnsi" w:hAnsiTheme="majorHAnsi" w:cstheme="majorHAnsi"/>
        </w:rPr>
        <w:t xml:space="preserve">2019. </w:t>
      </w:r>
      <w:r w:rsidR="00C23E07">
        <w:rPr>
          <w:rFonts w:asciiTheme="majorHAnsi" w:hAnsiTheme="majorHAnsi" w:cstheme="majorHAnsi"/>
        </w:rPr>
        <w:t>Key</w:t>
      </w:r>
      <w:r w:rsidRPr="00AC33B7">
        <w:rPr>
          <w:rFonts w:asciiTheme="majorHAnsi" w:hAnsiTheme="majorHAnsi" w:cstheme="majorHAnsi"/>
        </w:rPr>
        <w:t xml:space="preserve"> </w:t>
      </w:r>
      <w:r w:rsidR="00C23E07">
        <w:rPr>
          <w:rFonts w:asciiTheme="majorHAnsi" w:hAnsiTheme="majorHAnsi" w:cstheme="majorHAnsi"/>
        </w:rPr>
        <w:t>informant</w:t>
      </w:r>
      <w:r w:rsidRPr="00AC33B7">
        <w:rPr>
          <w:rFonts w:asciiTheme="majorHAnsi" w:hAnsiTheme="majorHAnsi" w:cstheme="majorHAnsi"/>
        </w:rPr>
        <w:t xml:space="preserve">s largely attribute </w:t>
      </w:r>
      <w:r w:rsidR="00C23E07">
        <w:rPr>
          <w:rFonts w:asciiTheme="majorHAnsi" w:hAnsiTheme="majorHAnsi" w:cstheme="majorHAnsi"/>
        </w:rPr>
        <w:t>this</w:t>
      </w:r>
      <w:r w:rsidRPr="00AC33B7">
        <w:rPr>
          <w:rFonts w:asciiTheme="majorHAnsi" w:hAnsiTheme="majorHAnsi" w:cstheme="majorHAnsi"/>
        </w:rPr>
        <w:t xml:space="preserve"> </w:t>
      </w:r>
      <w:r w:rsidR="00C23E07">
        <w:rPr>
          <w:rFonts w:asciiTheme="majorHAnsi" w:hAnsiTheme="majorHAnsi" w:cstheme="majorHAnsi"/>
        </w:rPr>
        <w:t>succes</w:t>
      </w:r>
      <w:r w:rsidRPr="00AC33B7">
        <w:rPr>
          <w:rFonts w:asciiTheme="majorHAnsi" w:hAnsiTheme="majorHAnsi" w:cstheme="majorHAnsi"/>
        </w:rPr>
        <w:t>s to the central role of Australia in enhancing regional surveillance and enforcement capacity, with illegal fishing now making up a smaller percentage of the overall IUU component compared to unreported and unregulated fishing.</w:t>
      </w:r>
    </w:p>
    <w:p w14:paraId="61BA44E4" w14:textId="77777777" w:rsidR="005D77AF" w:rsidRDefault="00C24534" w:rsidP="00195C85">
      <w:pPr>
        <w:spacing w:after="120"/>
        <w:rPr>
          <w:rFonts w:asciiTheme="majorHAnsi" w:hAnsiTheme="majorHAnsi" w:cstheme="majorHAnsi"/>
        </w:rPr>
      </w:pPr>
      <w:r w:rsidRPr="00AC33B7">
        <w:rPr>
          <w:rFonts w:asciiTheme="majorHAnsi" w:hAnsiTheme="majorHAnsi" w:cstheme="majorHAnsi"/>
        </w:rPr>
        <w:t xml:space="preserve">With support from the </w:t>
      </w:r>
      <w:r w:rsidR="00597976" w:rsidRPr="00AC33B7">
        <w:rPr>
          <w:rFonts w:asciiTheme="majorHAnsi" w:hAnsiTheme="majorHAnsi" w:cstheme="majorHAnsi"/>
        </w:rPr>
        <w:t>Investment</w:t>
      </w:r>
      <w:r w:rsidRPr="00AC33B7">
        <w:rPr>
          <w:rFonts w:asciiTheme="majorHAnsi" w:hAnsiTheme="majorHAnsi" w:cstheme="majorHAnsi"/>
        </w:rPr>
        <w:t>, the FFA ha</w:t>
      </w:r>
      <w:r w:rsidR="005D77AF">
        <w:rPr>
          <w:rFonts w:asciiTheme="majorHAnsi" w:hAnsiTheme="majorHAnsi" w:cstheme="majorHAnsi"/>
        </w:rPr>
        <w:t>s</w:t>
      </w:r>
      <w:r w:rsidRPr="00AC33B7">
        <w:rPr>
          <w:rFonts w:asciiTheme="majorHAnsi" w:hAnsiTheme="majorHAnsi" w:cstheme="majorHAnsi"/>
        </w:rPr>
        <w:t xml:space="preserve"> established and operated </w:t>
      </w:r>
      <w:r w:rsidR="009232AE" w:rsidRPr="009232AE">
        <w:rPr>
          <w:rFonts w:asciiTheme="majorHAnsi" w:hAnsiTheme="majorHAnsi" w:cstheme="majorHAnsi"/>
        </w:rPr>
        <w:t>effectively</w:t>
      </w:r>
      <w:r w:rsidRPr="00AC33B7">
        <w:rPr>
          <w:rFonts w:asciiTheme="majorHAnsi" w:hAnsiTheme="majorHAnsi" w:cstheme="majorHAnsi"/>
        </w:rPr>
        <w:t xml:space="preserve"> the Regional Fisheries Surveillance Centre (RFSC) in Honiara, which key informants argue plays a central role in managing the regional response to IUU threats. This centre operates collaboratively with FFA members, the Pacific Quadrilateral Defence Coordinating Group (P-QUAD – Australia, New Zealand, France, and the United States), and national authorities, and is commended as best practice.</w:t>
      </w:r>
      <w:r w:rsidR="00597976" w:rsidRPr="00AC33B7">
        <w:rPr>
          <w:rFonts w:asciiTheme="majorHAnsi" w:hAnsiTheme="majorHAnsi" w:cstheme="majorHAnsi"/>
        </w:rPr>
        <w:t xml:space="preserve"> </w:t>
      </w:r>
      <w:bookmarkEnd w:id="40"/>
      <w:r w:rsidR="005D77AF" w:rsidRPr="005D77AF">
        <w:rPr>
          <w:rFonts w:asciiTheme="majorHAnsi" w:hAnsiTheme="majorHAnsi" w:cstheme="majorHAnsi"/>
        </w:rPr>
        <w:t xml:space="preserve">Key informants perceive the RFSC as having enhanced daily surveillance activities in the region and supporting dedicated land, sea, and air exercises targeting IUU efforts through the adoption of new and emerging surveillance technologies and platforms, such as satellite technology, electronic monitoring (EM), electronic reporting (ER), AI-driven analytics, and improved IT infrastructure, all of which have strengthened maritime domain awareness and the assessment of IUU risks. </w:t>
      </w:r>
    </w:p>
    <w:p w14:paraId="1B4FDE6B" w14:textId="49D2B38C" w:rsidR="00C23E07" w:rsidRPr="00195C85" w:rsidRDefault="00C23E07" w:rsidP="00195C85">
      <w:pPr>
        <w:spacing w:after="120"/>
        <w:rPr>
          <w:rFonts w:asciiTheme="majorHAnsi" w:eastAsiaTheme="majorEastAsia" w:hAnsiTheme="majorHAnsi" w:cstheme="majorHAnsi"/>
        </w:rPr>
      </w:pPr>
      <w:r w:rsidRPr="00C23E07">
        <w:rPr>
          <w:rStyle w:val="Strong"/>
          <w:rFonts w:asciiTheme="majorHAnsi" w:hAnsiTheme="majorHAnsi" w:cstheme="majorHAnsi"/>
          <w:b w:val="0"/>
          <w:bCs w:val="0"/>
        </w:rPr>
        <w:t>The delivery of MCS training has increased PIC’s capacity to conduct IUU fishing surveillance and enforcement activities, according to informants, who widely recognise Australia as the principal funder and provider of MSC program</w:t>
      </w:r>
      <w:r w:rsidR="005D77AF">
        <w:rPr>
          <w:rStyle w:val="Strong"/>
          <w:rFonts w:asciiTheme="majorHAnsi" w:hAnsiTheme="majorHAnsi" w:cstheme="majorHAnsi"/>
          <w:b w:val="0"/>
          <w:bCs w:val="0"/>
        </w:rPr>
        <w:t>s in the region</w:t>
      </w:r>
      <w:r w:rsidRPr="00C23E07">
        <w:rPr>
          <w:rStyle w:val="Strong"/>
          <w:rFonts w:asciiTheme="majorHAnsi" w:hAnsiTheme="majorHAnsi" w:cstheme="majorHAnsi"/>
          <w:b w:val="0"/>
          <w:bCs w:val="0"/>
        </w:rPr>
        <w:t>. These informants argue that such program</w:t>
      </w:r>
      <w:r w:rsidR="005D77AF">
        <w:rPr>
          <w:rStyle w:val="Strong"/>
          <w:rFonts w:asciiTheme="majorHAnsi" w:hAnsiTheme="majorHAnsi" w:cstheme="majorHAnsi"/>
          <w:b w:val="0"/>
          <w:bCs w:val="0"/>
        </w:rPr>
        <w:t xml:space="preserve">s </w:t>
      </w:r>
      <w:r w:rsidRPr="00C23E07">
        <w:rPr>
          <w:rStyle w:val="Strong"/>
          <w:rFonts w:asciiTheme="majorHAnsi" w:hAnsiTheme="majorHAnsi" w:cstheme="majorHAnsi"/>
          <w:b w:val="0"/>
          <w:bCs w:val="0"/>
        </w:rPr>
        <w:t xml:space="preserve">have enhanced the capacity of national fisheries agencies to enforce regulations, monitor vessel movements, and implement compliance measures. </w:t>
      </w:r>
      <w:r w:rsidRPr="00C23E07">
        <w:rPr>
          <w:rStyle w:val="Strong"/>
          <w:rFonts w:asciiTheme="majorHAnsi" w:hAnsiTheme="majorHAnsi" w:cstheme="majorHAnsi"/>
          <w:b w:val="0"/>
          <w:bCs w:val="0"/>
        </w:rPr>
        <w:lastRenderedPageBreak/>
        <w:t xml:space="preserve">Examples include the work AFMA (funded by the Investment) has done to integrate IUU fishing analysis and threat assessments into operational planning, with the deployment of assets being targeted for more effective enforcement. The </w:t>
      </w:r>
      <w:r w:rsidR="00B41DE6">
        <w:rPr>
          <w:rStyle w:val="Strong"/>
          <w:rFonts w:asciiTheme="majorHAnsi" w:hAnsiTheme="majorHAnsi" w:cstheme="majorHAnsi"/>
          <w:b w:val="0"/>
          <w:bCs w:val="0"/>
        </w:rPr>
        <w:t>I</w:t>
      </w:r>
      <w:r w:rsidRPr="00C23E07">
        <w:rPr>
          <w:rStyle w:val="Strong"/>
          <w:rFonts w:asciiTheme="majorHAnsi" w:hAnsiTheme="majorHAnsi" w:cstheme="majorHAnsi"/>
          <w:b w:val="0"/>
          <w:bCs w:val="0"/>
        </w:rPr>
        <w:t xml:space="preserve">nvestment has also provided financial and technical support to strengthen intelligence analysis from member countries transitioning to digital systems for compliance tracking and data collection. (See </w:t>
      </w:r>
      <w:r w:rsidR="000F3351">
        <w:rPr>
          <w:rStyle w:val="Strong"/>
          <w:rFonts w:asciiTheme="majorHAnsi" w:hAnsiTheme="majorHAnsi" w:cstheme="majorHAnsi"/>
        </w:rPr>
        <w:t>Annexe</w:t>
      </w:r>
      <w:r w:rsidRPr="00F62AE7">
        <w:rPr>
          <w:rStyle w:val="Strong"/>
          <w:rFonts w:asciiTheme="majorHAnsi" w:hAnsiTheme="majorHAnsi" w:cstheme="majorHAnsi"/>
        </w:rPr>
        <w:t xml:space="preserve"> </w:t>
      </w:r>
      <w:r w:rsidR="00F62AE7" w:rsidRPr="00F62AE7">
        <w:rPr>
          <w:rStyle w:val="Strong"/>
          <w:rFonts w:asciiTheme="majorHAnsi" w:hAnsiTheme="majorHAnsi" w:cstheme="majorHAnsi"/>
        </w:rPr>
        <w:t>9</w:t>
      </w:r>
      <w:r w:rsidRPr="00C23E07">
        <w:rPr>
          <w:rStyle w:val="Strong"/>
          <w:rFonts w:asciiTheme="majorHAnsi" w:hAnsiTheme="majorHAnsi" w:cstheme="majorHAnsi"/>
          <w:b w:val="0"/>
          <w:bCs w:val="0"/>
        </w:rPr>
        <w:t xml:space="preserve"> for more details on the support provided by the Investment, including Australia). By improving the integration of IUU fishing analysis and threat assessments into operational planning, the Investment is helping PICs deploy assets more effectively, thereby ensuring more efficient enforcement actions. </w:t>
      </w:r>
      <w:r w:rsidR="00394694">
        <w:rPr>
          <w:rStyle w:val="Strong"/>
          <w:rFonts w:asciiTheme="majorHAnsi" w:hAnsiTheme="majorHAnsi" w:cstheme="majorHAnsi"/>
          <w:b w:val="0"/>
          <w:bCs w:val="0"/>
        </w:rPr>
        <w:t>Given</w:t>
      </w:r>
      <w:r w:rsidRPr="00C23E07">
        <w:rPr>
          <w:rStyle w:val="Strong"/>
          <w:rFonts w:asciiTheme="majorHAnsi" w:hAnsiTheme="majorHAnsi" w:cstheme="majorHAnsi"/>
          <w:b w:val="0"/>
          <w:bCs w:val="0"/>
        </w:rPr>
        <w:t xml:space="preserve"> that fisheries agencies are often severely underfunded and understaffed, coupled with high staff turnover, ongoing challenges remain in strengthening MCS capabilities, necessitating continued investment and resource allocation.</w:t>
      </w:r>
    </w:p>
    <w:p w14:paraId="30A55419" w14:textId="4E1AC630" w:rsidR="00D6350C" w:rsidRDefault="0074395E" w:rsidP="005B0617">
      <w:r w:rsidRPr="00976C29">
        <w:t xml:space="preserve">Enhanced information sharing and cooperation are key components of the </w:t>
      </w:r>
      <w:r>
        <w:t>In</w:t>
      </w:r>
      <w:r w:rsidRPr="00976C29">
        <w:t>vestment's success in combating IUU fishing</w:t>
      </w:r>
      <w:r w:rsidR="00826B8E">
        <w:t>,</w:t>
      </w:r>
      <w:r w:rsidR="00844CC1">
        <w:t xml:space="preserve"> according to evaluation reports and key informants</w:t>
      </w:r>
      <w:r w:rsidRPr="00976C29">
        <w:t>. The Niue Treaty Subsidiary Agreement (NTSA) is highlighted as a crucial mechanism for regional cooperation and information sharing. Australia support</w:t>
      </w:r>
      <w:r w:rsidR="005D77AF">
        <w:t>ed</w:t>
      </w:r>
      <w:r w:rsidRPr="00976C29">
        <w:t xml:space="preserve"> the ratification and</w:t>
      </w:r>
      <w:r w:rsidR="005D77AF">
        <w:t xml:space="preserve"> subsequent</w:t>
      </w:r>
      <w:r w:rsidRPr="00976C29">
        <w:t xml:space="preserve"> implementation of the NTSA</w:t>
      </w:r>
      <w:r>
        <w:t xml:space="preserve"> by FFA members</w:t>
      </w:r>
      <w:r w:rsidRPr="00976C29">
        <w:t xml:space="preserve">, which enhances regional cooperation and intelligence sharing. </w:t>
      </w:r>
      <w:r w:rsidR="008A180C" w:rsidRPr="008A180C">
        <w:t>Twelve (12) Parties (Cook Islands, Federated States of Micronesia, Marshall Islands, Nauru, New Zealand, Niue, Palau, Samoa, Solomon Islands, Tonga, Tuvalu, Vanuatu) out of the thirteen (13) Parties to the NTSA are currently sharing historic and current Licensing and VMS data with other NTSA Parties and the Administrator</w:t>
      </w:r>
      <w:r w:rsidR="00D6350C">
        <w:rPr>
          <w:rStyle w:val="FootnoteReference"/>
        </w:rPr>
        <w:footnoteReference w:id="8"/>
      </w:r>
      <w:r w:rsidR="00D6350C">
        <w:t>.</w:t>
      </w:r>
    </w:p>
    <w:p w14:paraId="37A73B99" w14:textId="76B3487B" w:rsidR="00665EF5" w:rsidRPr="00976C29" w:rsidRDefault="00665EF5" w:rsidP="00351EA4"/>
    <w:p w14:paraId="5017CA0F" w14:textId="219B79A3" w:rsidR="009232AE" w:rsidRPr="00195C85" w:rsidRDefault="00C85F74" w:rsidP="00195C85">
      <w:pPr>
        <w:spacing w:after="120"/>
        <w:rPr>
          <w:rFonts w:eastAsiaTheme="majorEastAsia" w:cs="Calibri Light"/>
          <w:b/>
          <w:bCs/>
        </w:rPr>
      </w:pPr>
      <w:r w:rsidRPr="00394AD7">
        <w:rPr>
          <w:rStyle w:val="Strong"/>
        </w:rPr>
        <w:t>EoPO4: Maritime boundaries are secured and resilient to the effects of climate change.</w:t>
      </w:r>
      <w:bookmarkStart w:id="41" w:name="_Toc199684952"/>
    </w:p>
    <w:tbl>
      <w:tblPr>
        <w:tblStyle w:val="TableGrid"/>
        <w:tblW w:w="0" w:type="auto"/>
        <w:tblLook w:val="04A0" w:firstRow="1" w:lastRow="0" w:firstColumn="1" w:lastColumn="0" w:noHBand="0" w:noVBand="1"/>
      </w:tblPr>
      <w:tblGrid>
        <w:gridCol w:w="9730"/>
      </w:tblGrid>
      <w:tr w:rsidR="00503638" w14:paraId="00FA08E2" w14:textId="77777777" w:rsidTr="00503638">
        <w:tc>
          <w:tcPr>
            <w:tcW w:w="9730" w:type="dxa"/>
            <w:tcBorders>
              <w:top w:val="nil"/>
              <w:left w:val="nil"/>
              <w:bottom w:val="nil"/>
              <w:right w:val="nil"/>
            </w:tcBorders>
            <w:shd w:val="clear" w:color="auto" w:fill="DEEAF6" w:themeFill="accent5" w:themeFillTint="33"/>
          </w:tcPr>
          <w:p w14:paraId="24A13ABB" w14:textId="77777777" w:rsidR="00503638" w:rsidRDefault="00503638" w:rsidP="00503638">
            <w:pPr>
              <w:shd w:val="clear" w:color="auto" w:fill="DEEAF6" w:themeFill="accent5" w:themeFillTint="33"/>
              <w:rPr>
                <w:rFonts w:asciiTheme="majorHAnsi" w:hAnsiTheme="majorHAnsi" w:cstheme="majorHAnsi"/>
              </w:rPr>
            </w:pPr>
            <w:r w:rsidRPr="00777036">
              <w:rPr>
                <w:rFonts w:asciiTheme="majorHAnsi" w:hAnsiTheme="majorHAnsi" w:cstheme="majorHAnsi"/>
                <w:b/>
                <w:bCs/>
              </w:rPr>
              <w:t>Key finding</w:t>
            </w:r>
            <w:r>
              <w:rPr>
                <w:rFonts w:asciiTheme="majorHAnsi" w:hAnsiTheme="majorHAnsi" w:cstheme="majorHAnsi"/>
              </w:rPr>
              <w:t xml:space="preserve">: </w:t>
            </w:r>
            <w:r w:rsidRPr="009232AE">
              <w:rPr>
                <w:rFonts w:asciiTheme="majorHAnsi" w:hAnsiTheme="majorHAnsi" w:cstheme="majorHAnsi"/>
              </w:rPr>
              <w:t xml:space="preserve">The </w:t>
            </w:r>
            <w:r>
              <w:rPr>
                <w:rFonts w:asciiTheme="majorHAnsi" w:hAnsiTheme="majorHAnsi" w:cstheme="majorHAnsi"/>
              </w:rPr>
              <w:t>Investment</w:t>
            </w:r>
            <w:r w:rsidRPr="009232AE">
              <w:rPr>
                <w:rFonts w:asciiTheme="majorHAnsi" w:hAnsiTheme="majorHAnsi" w:cstheme="majorHAnsi"/>
              </w:rPr>
              <w:t xml:space="preserve"> has contributed to </w:t>
            </w:r>
            <w:r>
              <w:rPr>
                <w:rFonts w:asciiTheme="majorHAnsi" w:hAnsiTheme="majorHAnsi" w:cstheme="majorHAnsi"/>
              </w:rPr>
              <w:t xml:space="preserve">substantial </w:t>
            </w:r>
            <w:r w:rsidRPr="009232AE">
              <w:rPr>
                <w:rFonts w:asciiTheme="majorHAnsi" w:hAnsiTheme="majorHAnsi" w:cstheme="majorHAnsi"/>
              </w:rPr>
              <w:t xml:space="preserve">progress in helping PICs define their maritime boundaries, with </w:t>
            </w:r>
            <w:proofErr w:type="gramStart"/>
            <w:r w:rsidRPr="009232AE">
              <w:rPr>
                <w:rFonts w:asciiTheme="majorHAnsi" w:hAnsiTheme="majorHAnsi" w:cstheme="majorHAnsi"/>
              </w:rPr>
              <w:t>the majority of</w:t>
            </w:r>
            <w:proofErr w:type="gramEnd"/>
            <w:r w:rsidRPr="009232AE">
              <w:rPr>
                <w:rFonts w:asciiTheme="majorHAnsi" w:hAnsiTheme="majorHAnsi" w:cstheme="majorHAnsi"/>
              </w:rPr>
              <w:t xml:space="preserve"> shared boundaries formally delimited in accordance with international law. This provides the legal basis for establishing and enforcing maritime jurisdiction, and once defined under international law, there is increased recognition that these boundaries exist indefinitely, regardless of the impacts of climate change. Securing and preserving maritime rights and entitlements amid climate change-related sea-level rise is essential, aligning with the position taken by PIF Leaders in 2021. </w:t>
            </w:r>
            <w:r>
              <w:rPr>
                <w:rFonts w:asciiTheme="majorHAnsi" w:hAnsiTheme="majorHAnsi" w:cstheme="majorHAnsi"/>
              </w:rPr>
              <w:t>The</w:t>
            </w:r>
            <w:r w:rsidRPr="009232AE">
              <w:rPr>
                <w:rFonts w:asciiTheme="majorHAnsi" w:hAnsiTheme="majorHAnsi" w:cstheme="majorHAnsi"/>
              </w:rPr>
              <w:t xml:space="preserve"> </w:t>
            </w:r>
            <w:r>
              <w:rPr>
                <w:rFonts w:asciiTheme="majorHAnsi" w:hAnsiTheme="majorHAnsi" w:cstheme="majorHAnsi"/>
              </w:rPr>
              <w:t>Investment</w:t>
            </w:r>
            <w:r w:rsidRPr="009232AE">
              <w:rPr>
                <w:rFonts w:asciiTheme="majorHAnsi" w:hAnsiTheme="majorHAnsi" w:cstheme="majorHAnsi"/>
              </w:rPr>
              <w:t xml:space="preserve">, through the Resilient Boundaries for the Blue Pacific (RBBP) project, actively supported PICs in understanding </w:t>
            </w:r>
          </w:p>
          <w:p w14:paraId="1E6AC451" w14:textId="5856E077" w:rsidR="00503638" w:rsidRDefault="00503638" w:rsidP="00503638">
            <w:pPr>
              <w:rPr>
                <w:lang w:eastAsia="en-GB"/>
              </w:rPr>
            </w:pPr>
            <w:r w:rsidRPr="009232AE">
              <w:rPr>
                <w:rFonts w:asciiTheme="majorHAnsi" w:hAnsiTheme="majorHAnsi" w:cstheme="majorHAnsi"/>
              </w:rPr>
              <w:t>the legal and technical implications of climate change on these boundaries and building their capacity to respond</w:t>
            </w:r>
            <w:r>
              <w:rPr>
                <w:rFonts w:asciiTheme="majorHAnsi" w:hAnsiTheme="majorHAnsi" w:cstheme="majorHAnsi"/>
              </w:rPr>
              <w:t>, adapt</w:t>
            </w:r>
            <w:r w:rsidRPr="009232AE">
              <w:rPr>
                <w:rFonts w:asciiTheme="majorHAnsi" w:hAnsiTheme="majorHAnsi" w:cstheme="majorHAnsi"/>
              </w:rPr>
              <w:t xml:space="preserve"> and advocate internationally. While challenges like completing all boundary delimitations and fully integrating climate resilience into all areas remain, the </w:t>
            </w:r>
            <w:r>
              <w:rPr>
                <w:rFonts w:asciiTheme="majorHAnsi" w:hAnsiTheme="majorHAnsi" w:cstheme="majorHAnsi"/>
              </w:rPr>
              <w:t>Investment</w:t>
            </w:r>
            <w:r w:rsidRPr="009232AE">
              <w:rPr>
                <w:rFonts w:asciiTheme="majorHAnsi" w:hAnsiTheme="majorHAnsi" w:cstheme="majorHAnsi"/>
              </w:rPr>
              <w:t xml:space="preserve"> is clearly helping to secure jurisdictional rights and strengthen capacity for future climate-related challenges</w:t>
            </w:r>
          </w:p>
        </w:tc>
      </w:tr>
    </w:tbl>
    <w:p w14:paraId="58C90DD4" w14:textId="5982C947" w:rsidR="002D59AD" w:rsidRDefault="002D59AD" w:rsidP="007462D2">
      <w:pPr>
        <w:rPr>
          <w:lang w:eastAsia="en-GB"/>
        </w:rPr>
      </w:pPr>
    </w:p>
    <w:p w14:paraId="77CD547E" w14:textId="15E2B222" w:rsidR="009232AE" w:rsidRPr="00FE1439" w:rsidRDefault="009232AE" w:rsidP="00195C85">
      <w:pPr>
        <w:spacing w:after="120"/>
        <w:rPr>
          <w:lang w:eastAsia="en-GB"/>
        </w:rPr>
      </w:pPr>
      <w:r>
        <w:rPr>
          <w:lang w:eastAsia="en-GB"/>
        </w:rPr>
        <w:t>A synthesis of independent evaluations, AQCs/IMRS, triangulated with interviews</w:t>
      </w:r>
      <w:r w:rsidR="003343A8">
        <w:rPr>
          <w:lang w:eastAsia="en-GB"/>
        </w:rPr>
        <w:t>,</w:t>
      </w:r>
      <w:r>
        <w:rPr>
          <w:lang w:eastAsia="en-GB"/>
        </w:rPr>
        <w:t xml:space="preserve"> informed the assessment of the effectiveness of the Investment in achieving </w:t>
      </w:r>
      <w:proofErr w:type="spellStart"/>
      <w:r>
        <w:rPr>
          <w:lang w:eastAsia="en-GB"/>
        </w:rPr>
        <w:t>EoPO</w:t>
      </w:r>
      <w:proofErr w:type="spellEnd"/>
      <w:r>
        <w:rPr>
          <w:lang w:eastAsia="en-GB"/>
        </w:rPr>
        <w:t xml:space="preserve"> 4, as outlined in the </w:t>
      </w:r>
      <w:r w:rsidRPr="002869A9">
        <w:rPr>
          <w:i/>
          <w:iCs/>
          <w:lang w:eastAsia="en-GB"/>
        </w:rPr>
        <w:t>Evaluation Rubric</w:t>
      </w:r>
      <w:r>
        <w:rPr>
          <w:lang w:eastAsia="en-GB"/>
        </w:rPr>
        <w:t>:</w:t>
      </w:r>
    </w:p>
    <w:tbl>
      <w:tblPr>
        <w:tblStyle w:val="TableGrid"/>
        <w:tblW w:w="0" w:type="auto"/>
        <w:tblLook w:val="04A0" w:firstRow="1" w:lastRow="0" w:firstColumn="1" w:lastColumn="0" w:noHBand="0" w:noVBand="1"/>
      </w:tblPr>
      <w:tblGrid>
        <w:gridCol w:w="9730"/>
      </w:tblGrid>
      <w:tr w:rsidR="004D3D1F" w14:paraId="1B4B7258" w14:textId="77777777" w:rsidTr="004D3D1F">
        <w:tc>
          <w:tcPr>
            <w:tcW w:w="9730" w:type="dxa"/>
            <w:tcBorders>
              <w:top w:val="nil"/>
              <w:left w:val="nil"/>
              <w:bottom w:val="nil"/>
              <w:right w:val="nil"/>
            </w:tcBorders>
            <w:shd w:val="clear" w:color="auto" w:fill="2F5496" w:themeFill="accent1" w:themeFillShade="BF"/>
          </w:tcPr>
          <w:p w14:paraId="372ED919" w14:textId="038F67C0" w:rsidR="004D3D1F" w:rsidRDefault="004D3D1F" w:rsidP="00351EA4">
            <w:pPr>
              <w:rPr>
                <w:lang w:eastAsia="en-GB"/>
              </w:rPr>
            </w:pPr>
            <w:r w:rsidRPr="00831E4E">
              <w:rPr>
                <w:rFonts w:asciiTheme="majorHAnsi" w:eastAsia="Times New Roman" w:hAnsiTheme="majorHAnsi" w:cstheme="majorHAnsi"/>
                <w:b/>
                <w:bCs/>
                <w:color w:val="FFFFFF" w:themeColor="background1"/>
                <w:lang w:eastAsia="en-GB"/>
              </w:rPr>
              <w:t xml:space="preserve">Rubric Criterion #5: </w:t>
            </w:r>
            <w:r w:rsidRPr="00831E4E">
              <w:rPr>
                <w:rFonts w:asciiTheme="majorHAnsi" w:eastAsia="Times New Roman" w:hAnsiTheme="majorHAnsi" w:cstheme="majorHAnsi"/>
                <w:i/>
                <w:iCs/>
                <w:color w:val="FFFFFF" w:themeColor="background1"/>
                <w:lang w:eastAsia="en-GB"/>
              </w:rPr>
              <w:t>IUU maritime boundaries are secured and resilient to the effects of climate change</w:t>
            </w:r>
            <w:r w:rsidRPr="00831E4E">
              <w:rPr>
                <w:rFonts w:asciiTheme="majorHAnsi" w:eastAsia="Times New Roman" w:hAnsiTheme="majorHAnsi" w:cstheme="majorHAnsi"/>
                <w:color w:val="FFFFFF" w:themeColor="background1"/>
                <w:lang w:eastAsia="en-GB"/>
              </w:rPr>
              <w:t xml:space="preserve">. Based on the evidence evaluated, this criterion is assessed overall as </w:t>
            </w:r>
            <w:r w:rsidRPr="00831E4E">
              <w:rPr>
                <w:rFonts w:asciiTheme="majorHAnsi" w:eastAsia="Times New Roman" w:hAnsiTheme="majorHAnsi" w:cstheme="majorHAnsi"/>
                <w:b/>
                <w:bCs/>
                <w:color w:val="FFFFFF" w:themeColor="background1"/>
                <w:lang w:eastAsia="en-GB"/>
              </w:rPr>
              <w:t>Good</w:t>
            </w:r>
            <w:r w:rsidRPr="00831E4E">
              <w:rPr>
                <w:rFonts w:asciiTheme="majorHAnsi" w:eastAsia="Times New Roman" w:hAnsiTheme="majorHAnsi" w:cstheme="majorHAnsi"/>
                <w:color w:val="FFFFFF" w:themeColor="background1"/>
                <w:lang w:eastAsia="en-GB"/>
              </w:rPr>
              <w:t>, as the Investment has enhanced strong legal and technical capacity, even though a few maritime boundaries have yet to be determined</w:t>
            </w:r>
            <w:r>
              <w:rPr>
                <w:rFonts w:asciiTheme="majorHAnsi" w:eastAsia="Times New Roman" w:hAnsiTheme="majorHAnsi" w:cstheme="majorHAnsi"/>
                <w:color w:val="FFFFFF" w:themeColor="background1"/>
                <w:lang w:eastAsia="en-GB"/>
              </w:rPr>
              <w:t>.</w:t>
            </w:r>
          </w:p>
        </w:tc>
      </w:tr>
    </w:tbl>
    <w:p w14:paraId="04709942" w14:textId="5D297911" w:rsidR="009232AE" w:rsidRDefault="009232AE" w:rsidP="00351EA4">
      <w:pPr>
        <w:rPr>
          <w:lang w:eastAsia="en-GB"/>
        </w:rPr>
      </w:pPr>
    </w:p>
    <w:p w14:paraId="638D399D" w14:textId="4DB92ED6" w:rsidR="00884938" w:rsidRDefault="00884938" w:rsidP="00195C85">
      <w:pPr>
        <w:spacing w:after="120"/>
        <w:rPr>
          <w:rFonts w:cstheme="majorHAnsi"/>
        </w:rPr>
      </w:pPr>
      <w:r>
        <w:rPr>
          <w:lang w:eastAsia="en-GB"/>
        </w:rPr>
        <w:t>The Investment</w:t>
      </w:r>
      <w:r w:rsidR="009232AE">
        <w:rPr>
          <w:lang w:eastAsia="en-GB"/>
        </w:rPr>
        <w:t xml:space="preserve"> has been the primary </w:t>
      </w:r>
      <w:r>
        <w:rPr>
          <w:lang w:eastAsia="en-GB"/>
        </w:rPr>
        <w:t>funder (</w:t>
      </w:r>
      <w:r w:rsidR="008020CE">
        <w:rPr>
          <w:lang w:eastAsia="en-GB"/>
        </w:rPr>
        <w:t>$</w:t>
      </w:r>
      <w:r>
        <w:rPr>
          <w:lang w:eastAsia="en-GB"/>
        </w:rPr>
        <w:t xml:space="preserve">4 million, 4% of the total amount expended by the Investment) of initiatives to support PICs </w:t>
      </w:r>
      <w:r w:rsidRPr="00884938">
        <w:rPr>
          <w:rFonts w:cstheme="majorHAnsi"/>
        </w:rPr>
        <w:t>to establish and secure their maritime boundaries and zones with</w:t>
      </w:r>
      <w:r>
        <w:rPr>
          <w:rFonts w:cstheme="majorHAnsi"/>
        </w:rPr>
        <w:t xml:space="preserve"> various forms of in-kind support from</w:t>
      </w:r>
      <w:r w:rsidRPr="00884938">
        <w:rPr>
          <w:rFonts w:cstheme="majorHAnsi"/>
        </w:rPr>
        <w:t xml:space="preserve"> SPC’s Geoscience, Energy and Maritime Division (SPC GEM), Geoscience Australia (technical support) and Attorney-General’s Department (legal support). </w:t>
      </w:r>
      <w:r w:rsidRPr="0088775E">
        <w:rPr>
          <w:rFonts w:cstheme="majorHAnsi"/>
        </w:rPr>
        <w:t>This includes the Resilient Boundaries for the Blue Pacific (RBBP) Project with SPC GEM to examine the effects of sea level rise and other climate change impacts on the physical features used to generate maritime zones and develop Pacific-led responses (2019-2024</w:t>
      </w:r>
      <w:r>
        <w:rPr>
          <w:rFonts w:cstheme="majorHAnsi"/>
        </w:rPr>
        <w:t>).</w:t>
      </w:r>
    </w:p>
    <w:p w14:paraId="682EB149" w14:textId="0AF90943" w:rsidR="00884938" w:rsidRDefault="00884938" w:rsidP="00195C85">
      <w:pPr>
        <w:spacing w:after="120"/>
        <w:rPr>
          <w:rFonts w:asciiTheme="majorHAnsi" w:hAnsiTheme="majorHAnsi" w:cstheme="majorHAnsi"/>
        </w:rPr>
      </w:pPr>
      <w:r w:rsidRPr="00AC33B7">
        <w:rPr>
          <w:rFonts w:asciiTheme="majorHAnsi" w:hAnsiTheme="majorHAnsi" w:cstheme="majorHAnsi"/>
        </w:rPr>
        <w:lastRenderedPageBreak/>
        <w:t xml:space="preserve">DFAT’s investment, including the technical and legal support of Australian agencies (GA and AGD), has supported PICs to </w:t>
      </w:r>
      <w:r w:rsidRPr="00AC33B7">
        <w:rPr>
          <w:rStyle w:val="Strong"/>
          <w:rFonts w:asciiTheme="majorHAnsi" w:hAnsiTheme="majorHAnsi" w:cstheme="majorHAnsi"/>
          <w:b w:val="0"/>
          <w:bCs w:val="0"/>
        </w:rPr>
        <w:t xml:space="preserve">establish and secure their maritime boundaries and zones in accordance with the </w:t>
      </w:r>
      <w:hyperlink r:id="rId26" w:history="1">
        <w:r w:rsidRPr="008020CE">
          <w:rPr>
            <w:rStyle w:val="Hyperlink"/>
            <w:rFonts w:asciiTheme="majorHAnsi" w:eastAsiaTheme="majorEastAsia" w:hAnsiTheme="majorHAnsi" w:cstheme="majorHAnsi"/>
            <w:i/>
          </w:rPr>
          <w:t>United Nations Convention on the Law of the Sea</w:t>
        </w:r>
      </w:hyperlink>
      <w:r w:rsidRPr="00AC33B7">
        <w:rPr>
          <w:rStyle w:val="Strong"/>
          <w:rFonts w:asciiTheme="majorHAnsi" w:hAnsiTheme="majorHAnsi" w:cstheme="majorHAnsi"/>
          <w:b w:val="0"/>
          <w:bCs w:val="0"/>
          <w:i/>
        </w:rPr>
        <w:t xml:space="preserve"> </w:t>
      </w:r>
      <w:r w:rsidRPr="00AC33B7">
        <w:rPr>
          <w:rStyle w:val="Strong"/>
          <w:rFonts w:asciiTheme="majorHAnsi" w:hAnsiTheme="majorHAnsi" w:cstheme="majorHAnsi"/>
          <w:b w:val="0"/>
          <w:bCs w:val="0"/>
        </w:rPr>
        <w:t>(UNCLOS)</w:t>
      </w:r>
      <w:r w:rsidR="005D77AF">
        <w:rPr>
          <w:rStyle w:val="Strong"/>
          <w:rFonts w:asciiTheme="majorHAnsi" w:hAnsiTheme="majorHAnsi" w:cstheme="majorHAnsi"/>
          <w:b w:val="0"/>
          <w:bCs w:val="0"/>
        </w:rPr>
        <w:t>,</w:t>
      </w:r>
      <w:r w:rsidRPr="00AC33B7">
        <w:rPr>
          <w:rStyle w:val="Strong"/>
          <w:rFonts w:asciiTheme="majorHAnsi" w:hAnsiTheme="majorHAnsi" w:cstheme="majorHAnsi"/>
          <w:b w:val="0"/>
          <w:bCs w:val="0"/>
        </w:rPr>
        <w:t xml:space="preserve"> </w:t>
      </w:r>
      <w:r w:rsidRPr="00AC33B7">
        <w:rPr>
          <w:rFonts w:asciiTheme="majorHAnsi" w:hAnsiTheme="majorHAnsi" w:cstheme="majorHAnsi"/>
        </w:rPr>
        <w:t>thereby unlocking the collective vision of 100% ocean management across the Blue Pacific continent</w:t>
      </w:r>
      <w:r w:rsidRPr="00AC33B7">
        <w:rPr>
          <w:rStyle w:val="Strong"/>
          <w:rFonts w:asciiTheme="majorHAnsi" w:hAnsiTheme="majorHAnsi" w:cstheme="majorHAnsi"/>
          <w:b w:val="0"/>
          <w:bCs w:val="0"/>
        </w:rPr>
        <w:t>.</w:t>
      </w:r>
      <w:r w:rsidRPr="00AC33B7">
        <w:rPr>
          <w:rFonts w:asciiTheme="majorHAnsi" w:hAnsiTheme="majorHAnsi" w:cstheme="majorHAnsi"/>
        </w:rPr>
        <w:t xml:space="preserve"> The project has been successful in supporting the negotiation and agreement of 75% (36 of 48) of the shared Pacific maritime boundaries</w:t>
      </w:r>
      <w:r>
        <w:rPr>
          <w:rFonts w:asciiTheme="majorHAnsi" w:hAnsiTheme="majorHAnsi" w:cstheme="majorHAnsi"/>
        </w:rPr>
        <w:t xml:space="preserve"> (</w:t>
      </w:r>
      <w:r>
        <w:t xml:space="preserve">see </w:t>
      </w:r>
      <w:r w:rsidR="000F3351">
        <w:rPr>
          <w:b/>
          <w:bCs/>
        </w:rPr>
        <w:t>Annexe</w:t>
      </w:r>
      <w:r w:rsidRPr="0065767B">
        <w:rPr>
          <w:b/>
          <w:bCs/>
        </w:rPr>
        <w:t xml:space="preserve"> </w:t>
      </w:r>
      <w:r w:rsidR="00F62AE7">
        <w:rPr>
          <w:b/>
          <w:bCs/>
        </w:rPr>
        <w:t>10</w:t>
      </w:r>
      <w:r>
        <w:t xml:space="preserve"> for more information on maritime boundary delimitation</w:t>
      </w:r>
      <w:r>
        <w:rPr>
          <w:rFonts w:asciiTheme="majorHAnsi" w:hAnsiTheme="majorHAnsi" w:cstheme="majorHAnsi"/>
        </w:rPr>
        <w:t>)</w:t>
      </w:r>
      <w:r w:rsidRPr="00AC33B7">
        <w:rPr>
          <w:rStyle w:val="Strong"/>
          <w:rFonts w:asciiTheme="majorHAnsi" w:hAnsiTheme="majorHAnsi" w:cstheme="majorHAnsi"/>
          <w:b w:val="0"/>
          <w:bCs w:val="0"/>
        </w:rPr>
        <w:t>.</w:t>
      </w:r>
      <w:r w:rsidRPr="00AC33B7">
        <w:rPr>
          <w:rFonts w:asciiTheme="majorHAnsi" w:hAnsiTheme="majorHAnsi" w:cstheme="majorHAnsi"/>
        </w:rPr>
        <w:t xml:space="preserve"> </w:t>
      </w:r>
      <w:r>
        <w:rPr>
          <w:rFonts w:asciiTheme="majorHAnsi" w:hAnsiTheme="majorHAnsi" w:cstheme="majorHAnsi"/>
        </w:rPr>
        <w:t>Evaluation reports and key informant</w:t>
      </w:r>
      <w:r w:rsidR="00634D46">
        <w:rPr>
          <w:rFonts w:asciiTheme="majorHAnsi" w:hAnsiTheme="majorHAnsi" w:cstheme="majorHAnsi"/>
        </w:rPr>
        <w:t>s</w:t>
      </w:r>
      <w:r>
        <w:rPr>
          <w:rFonts w:asciiTheme="majorHAnsi" w:hAnsiTheme="majorHAnsi" w:cstheme="majorHAnsi"/>
        </w:rPr>
        <w:t xml:space="preserve"> highlight the noticeable </w:t>
      </w:r>
      <w:r w:rsidRPr="00AC33B7">
        <w:rPr>
          <w:rFonts w:asciiTheme="majorHAnsi" w:hAnsiTheme="majorHAnsi" w:cstheme="majorHAnsi"/>
        </w:rPr>
        <w:t xml:space="preserve">progress </w:t>
      </w:r>
      <w:r>
        <w:rPr>
          <w:rFonts w:asciiTheme="majorHAnsi" w:hAnsiTheme="majorHAnsi" w:cstheme="majorHAnsi"/>
        </w:rPr>
        <w:t xml:space="preserve">that </w:t>
      </w:r>
      <w:r w:rsidRPr="00AC33B7">
        <w:rPr>
          <w:rFonts w:asciiTheme="majorHAnsi" w:hAnsiTheme="majorHAnsi" w:cstheme="majorHAnsi"/>
        </w:rPr>
        <w:t xml:space="preserve">has been made in defining maritime boundaries, increasing legal certainty and stability for PICs. This work is crucial for PICs to manage their EEZs, including in relation to fisheries and non-living resources, and </w:t>
      </w:r>
      <w:r w:rsidR="00634D46">
        <w:rPr>
          <w:rFonts w:asciiTheme="majorHAnsi" w:hAnsiTheme="majorHAnsi" w:cstheme="majorHAnsi"/>
        </w:rPr>
        <w:t xml:space="preserve">the </w:t>
      </w:r>
      <w:r w:rsidRPr="00AC33B7">
        <w:rPr>
          <w:rFonts w:asciiTheme="majorHAnsi" w:hAnsiTheme="majorHAnsi" w:cstheme="majorHAnsi"/>
        </w:rPr>
        <w:t xml:space="preserve">exercise of criminal and other jurisdiction, effectively. </w:t>
      </w:r>
    </w:p>
    <w:bookmarkEnd w:id="41"/>
    <w:p w14:paraId="02B57C21" w14:textId="355C6197" w:rsidR="00634D46" w:rsidRPr="00195C85" w:rsidRDefault="00634D46" w:rsidP="00195C85">
      <w:pPr>
        <w:spacing w:after="120"/>
        <w:rPr>
          <w:rFonts w:asciiTheme="majorHAnsi" w:hAnsiTheme="majorHAnsi" w:cstheme="majorHAnsi"/>
        </w:rPr>
      </w:pPr>
      <w:r w:rsidRPr="00634D46">
        <w:rPr>
          <w:rFonts w:asciiTheme="majorHAnsi" w:hAnsiTheme="majorHAnsi" w:cstheme="majorHAnsi"/>
        </w:rPr>
        <w:t>The investment has concentrated on overcoming technical, legal, and political barriers to delimiting shared maritime boundaries and EEZ limits, as well as establishing maritime zones, leading to significant achievements. These include states reaching in-</w:t>
      </w:r>
      <w:proofErr w:type="gramStart"/>
      <w:r w:rsidR="00C435B6" w:rsidRPr="00634D46">
        <w:rPr>
          <w:rFonts w:asciiTheme="majorHAnsi" w:hAnsiTheme="majorHAnsi" w:cstheme="majorHAnsi"/>
        </w:rPr>
        <w:t>princip</w:t>
      </w:r>
      <w:r w:rsidR="00C435B6">
        <w:rPr>
          <w:rFonts w:asciiTheme="majorHAnsi" w:hAnsiTheme="majorHAnsi" w:cstheme="majorHAnsi"/>
        </w:rPr>
        <w:t>le</w:t>
      </w:r>
      <w:proofErr w:type="gramEnd"/>
      <w:r w:rsidR="00C435B6">
        <w:rPr>
          <w:rFonts w:asciiTheme="majorHAnsi" w:hAnsiTheme="majorHAnsi" w:cstheme="majorHAnsi"/>
        </w:rPr>
        <w:t xml:space="preserve"> </w:t>
      </w:r>
      <w:r w:rsidRPr="00634D46">
        <w:rPr>
          <w:rFonts w:asciiTheme="majorHAnsi" w:hAnsiTheme="majorHAnsi" w:cstheme="majorHAnsi"/>
        </w:rPr>
        <w:t>agreements on intersection points, successfully negotiating maritime boundary delimitation treaties, which then entered into force, being registered with the UN Treaty Section, and deposited with the UN Secretary-General. It also involves the enactment or drafting of revised maritime zones legislation, including establishing national maritime zone limits with geographical coordinates, and depositing baselines and maritime zone limits with the UN Secretary-General. By 2019, digital maritime zone limits had been incorporated into the FFA VMS system under an MOU between FFA and SPC, providing authoritative information to support fisheries compliance and enforcement. The investment has further supported capacity building efforts to enhance PIC expertise in maritime boundary governance, including legal and technical support and training workshops for national maritime boundary teams. Supporting internships and postgraduate studies in relevant areas, such as coastal monitoring systems, has also been a focus. Although fully integrating climate resilience into all aspects remains a work in progress, the investment is evidently contributing to securing jurisdictional rights and strengthening capacity to address future climate-related challenges.</w:t>
      </w:r>
    </w:p>
    <w:p w14:paraId="77407D3C" w14:textId="087EDF72" w:rsidR="00634D46" w:rsidRPr="00195C85" w:rsidRDefault="00826B8E" w:rsidP="00195C85">
      <w:pPr>
        <w:spacing w:after="120"/>
        <w:rPr>
          <w:rStyle w:val="Strong"/>
          <w:rFonts w:asciiTheme="majorHAnsi" w:hAnsiTheme="majorHAnsi" w:cstheme="majorHAnsi"/>
        </w:rPr>
      </w:pPr>
      <w:r>
        <w:rPr>
          <w:rFonts w:asciiTheme="majorHAnsi" w:hAnsiTheme="majorHAnsi" w:cstheme="majorHAnsi"/>
        </w:rPr>
        <w:t>Progress</w:t>
      </w:r>
      <w:r w:rsidR="00A343CD" w:rsidRPr="00E607AF">
        <w:rPr>
          <w:rStyle w:val="Strong"/>
          <w:rFonts w:asciiTheme="majorHAnsi" w:hAnsiTheme="majorHAnsi" w:cstheme="majorHAnsi"/>
          <w:b w:val="0"/>
          <w:bCs w:val="0"/>
        </w:rPr>
        <w:t xml:space="preserve"> in formalising maritime boundaries has slowed in recent years</w:t>
      </w:r>
      <w:r w:rsidR="000D6B30">
        <w:rPr>
          <w:rFonts w:asciiTheme="majorHAnsi" w:hAnsiTheme="majorHAnsi" w:cstheme="majorHAnsi"/>
        </w:rPr>
        <w:t>.</w:t>
      </w:r>
      <w:r w:rsidR="00A343CD" w:rsidRPr="00E607AF">
        <w:rPr>
          <w:rFonts w:asciiTheme="majorHAnsi" w:hAnsiTheme="majorHAnsi" w:cstheme="majorHAnsi"/>
        </w:rPr>
        <w:t xml:space="preserve"> </w:t>
      </w:r>
      <w:r w:rsidR="000D6B30">
        <w:rPr>
          <w:rFonts w:asciiTheme="majorHAnsi" w:hAnsiTheme="majorHAnsi" w:cstheme="majorHAnsi"/>
        </w:rPr>
        <w:t>However,</w:t>
      </w:r>
      <w:r w:rsidR="00A343CD" w:rsidRPr="00E607AF">
        <w:rPr>
          <w:rFonts w:asciiTheme="majorHAnsi" w:hAnsiTheme="majorHAnsi" w:cstheme="majorHAnsi"/>
        </w:rPr>
        <w:t xml:space="preserve"> </w:t>
      </w:r>
      <w:r w:rsidR="00C435B6" w:rsidRPr="00E607AF">
        <w:rPr>
          <w:rFonts w:asciiTheme="majorHAnsi" w:hAnsiTheme="majorHAnsi" w:cstheme="majorHAnsi"/>
        </w:rPr>
        <w:t>several</w:t>
      </w:r>
      <w:r w:rsidR="00A343CD" w:rsidRPr="00E607AF">
        <w:rPr>
          <w:rFonts w:asciiTheme="majorHAnsi" w:hAnsiTheme="majorHAnsi" w:cstheme="majorHAnsi"/>
        </w:rPr>
        <w:t xml:space="preserve"> signed treaties have been brought into force in recent years (Vanuatu-Solomon Islands and Fiji-Solomon Islands</w:t>
      </w:r>
      <w:r w:rsidR="000D6B30">
        <w:rPr>
          <w:rFonts w:asciiTheme="majorHAnsi" w:hAnsiTheme="majorHAnsi" w:cstheme="majorHAnsi"/>
        </w:rPr>
        <w:t>,</w:t>
      </w:r>
      <w:r w:rsidR="00A343CD" w:rsidRPr="00E607AF">
        <w:rPr>
          <w:rFonts w:asciiTheme="majorHAnsi" w:hAnsiTheme="majorHAnsi" w:cstheme="majorHAnsi"/>
        </w:rPr>
        <w:t xml:space="preserve"> both in 2023). </w:t>
      </w:r>
      <w:r w:rsidR="00634D46" w:rsidRPr="00634D46">
        <w:rPr>
          <w:rFonts w:asciiTheme="majorHAnsi" w:hAnsiTheme="majorHAnsi" w:cstheme="majorHAnsi"/>
        </w:rPr>
        <w:t xml:space="preserve">Approximately 12 maritime boundaries remain unresolved, with some nearing resolution or making significant progress in negotiations. </w:t>
      </w:r>
      <w:r>
        <w:rPr>
          <w:rFonts w:asciiTheme="majorHAnsi" w:hAnsiTheme="majorHAnsi" w:cstheme="majorHAnsi"/>
        </w:rPr>
        <w:t>At</w:t>
      </w:r>
      <w:r w:rsidR="00634D46" w:rsidRPr="00634D46">
        <w:rPr>
          <w:rFonts w:asciiTheme="majorHAnsi" w:hAnsiTheme="majorHAnsi" w:cstheme="majorHAnsi"/>
        </w:rPr>
        <w:t xml:space="preserve"> least seven are more complex and likely to take longer to resolve</w:t>
      </w:r>
      <w:r w:rsidR="00C435B6">
        <w:rPr>
          <w:rFonts w:asciiTheme="majorHAnsi" w:hAnsiTheme="majorHAnsi" w:cstheme="majorHAnsi"/>
        </w:rPr>
        <w:t>;</w:t>
      </w:r>
      <w:r w:rsidR="00A047FA">
        <w:rPr>
          <w:rFonts w:asciiTheme="majorHAnsi" w:hAnsiTheme="majorHAnsi" w:cstheme="majorHAnsi"/>
        </w:rPr>
        <w:t xml:space="preserve"> p</w:t>
      </w:r>
      <w:r w:rsidR="00634D46" w:rsidRPr="00634D46">
        <w:rPr>
          <w:rFonts w:asciiTheme="majorHAnsi" w:hAnsiTheme="majorHAnsi" w:cstheme="majorHAnsi"/>
        </w:rPr>
        <w:t>olitical and technical delays persist, with unresolved issues requiring long-term diplomatic efforts beyond SPC’s mandate. While significant progress has been made with the 'easier' shared boundaries, lessons learned suggest considering redesigning the support modality, such as through program funding with SPC.</w:t>
      </w:r>
    </w:p>
    <w:p w14:paraId="7E8D63E3" w14:textId="651E71CB" w:rsidR="00634D46" w:rsidRPr="00195C85" w:rsidRDefault="00634D46" w:rsidP="00195C85">
      <w:pPr>
        <w:spacing w:after="120"/>
        <w:rPr>
          <w:rFonts w:asciiTheme="majorHAnsi" w:eastAsiaTheme="majorEastAsia" w:hAnsiTheme="majorHAnsi" w:cstheme="majorHAnsi"/>
        </w:rPr>
      </w:pPr>
      <w:r w:rsidRPr="00A047FA">
        <w:rPr>
          <w:rStyle w:val="Strong"/>
          <w:rFonts w:asciiTheme="majorHAnsi" w:hAnsiTheme="majorHAnsi" w:cstheme="majorHAnsi"/>
          <w:b w:val="0"/>
          <w:bCs w:val="0"/>
        </w:rPr>
        <w:t xml:space="preserve">The investment </w:t>
      </w:r>
      <w:r w:rsidR="00A6712E" w:rsidRPr="00A047FA">
        <w:rPr>
          <w:rStyle w:val="Strong"/>
          <w:rFonts w:asciiTheme="majorHAnsi" w:hAnsiTheme="majorHAnsi" w:cstheme="majorHAnsi"/>
          <w:b w:val="0"/>
          <w:bCs w:val="0"/>
        </w:rPr>
        <w:t>has</w:t>
      </w:r>
      <w:r w:rsidRPr="00A047FA">
        <w:rPr>
          <w:rStyle w:val="Strong"/>
          <w:rFonts w:asciiTheme="majorHAnsi" w:hAnsiTheme="majorHAnsi" w:cstheme="majorHAnsi"/>
          <w:b w:val="0"/>
          <w:bCs w:val="0"/>
        </w:rPr>
        <w:t xml:space="preserve"> proven effective in ensuring PICs have the information needed to respond to climate impacts on jurisdictional rights and to advocate for international recognition of ongoing maritime boundaries amid climate change. Key informants report that the projects increased </w:t>
      </w:r>
      <w:proofErr w:type="spellStart"/>
      <w:r w:rsidRPr="00A047FA">
        <w:rPr>
          <w:rStyle w:val="Strong"/>
          <w:rFonts w:asciiTheme="majorHAnsi" w:hAnsiTheme="majorHAnsi" w:cstheme="majorHAnsi"/>
          <w:b w:val="0"/>
          <w:bCs w:val="0"/>
        </w:rPr>
        <w:t>PICs'</w:t>
      </w:r>
      <w:proofErr w:type="spellEnd"/>
      <w:r w:rsidRPr="00A047FA">
        <w:rPr>
          <w:rStyle w:val="Strong"/>
          <w:rFonts w:asciiTheme="majorHAnsi" w:hAnsiTheme="majorHAnsi" w:cstheme="majorHAnsi"/>
          <w:b w:val="0"/>
          <w:bCs w:val="0"/>
        </w:rPr>
        <w:t xml:space="preserve"> awareness of sea level rise and other climate change effects on physical features used to establish maritime zones (such as baselines), and facilitated the development of possible, Pacific-led, and country-specific response options. The earlier Pacific Maritime Boundaries Project (funded by this investment until 2022), according to its final evaluation report, also helped countries secure current jurisdiction and created a buffer against potential future losses caused by rising sea levels, tropical cyclones, and droughts that threaten maritime jurisdiction. Moreover, the development of the Pacific Maritime Boundaries Dashboard, by the SPC with support from the investment, has improved access to a secure, reliable, and authoritative source of maritime boundary information. This is foundational for understanding their jurisdictional rights in the context of climate change and for ensuring broader visibility of </w:t>
      </w:r>
      <w:proofErr w:type="spellStart"/>
      <w:r w:rsidRPr="00A047FA">
        <w:rPr>
          <w:rStyle w:val="Strong"/>
          <w:rFonts w:asciiTheme="majorHAnsi" w:hAnsiTheme="majorHAnsi" w:cstheme="majorHAnsi"/>
          <w:b w:val="0"/>
          <w:bCs w:val="0"/>
        </w:rPr>
        <w:t>PICs’</w:t>
      </w:r>
      <w:proofErr w:type="spellEnd"/>
      <w:r w:rsidRPr="00A047FA">
        <w:rPr>
          <w:rStyle w:val="Strong"/>
          <w:rFonts w:asciiTheme="majorHAnsi" w:hAnsiTheme="majorHAnsi" w:cstheme="majorHAnsi"/>
          <w:b w:val="0"/>
          <w:bCs w:val="0"/>
        </w:rPr>
        <w:t xml:space="preserve"> maritime jurisdictions.</w:t>
      </w:r>
    </w:p>
    <w:p w14:paraId="7A31883D" w14:textId="59BBB710" w:rsidR="00B113F8" w:rsidRDefault="00634D46" w:rsidP="00195C85">
      <w:pPr>
        <w:spacing w:after="120"/>
        <w:rPr>
          <w:rFonts w:asciiTheme="majorHAnsi" w:hAnsiTheme="majorHAnsi" w:cstheme="majorHAnsi"/>
        </w:rPr>
      </w:pPr>
      <w:r>
        <w:rPr>
          <w:rFonts w:asciiTheme="majorHAnsi" w:hAnsiTheme="majorHAnsi" w:cstheme="majorHAnsi"/>
        </w:rPr>
        <w:t xml:space="preserve">Key informants also reported that the Investment has been crucial in providing the robust evidence base needed for effectively building political will for boundary determination. This is seen by informants as essential for advocating on complex issues like the impact of sea level rise on these boundaries, as well as for helping to raise Pacific priorities (including on Sea Level Rise impacts) at international forums. For example, the Investment supported PICs through SPC to develop the 2021 </w:t>
      </w:r>
      <w:bookmarkStart w:id="42" w:name="OLE_LINK12"/>
      <w:r>
        <w:rPr>
          <w:rFonts w:asciiTheme="majorHAnsi" w:hAnsiTheme="majorHAnsi" w:cstheme="majorHAnsi"/>
        </w:rPr>
        <w:t xml:space="preserve">PIF Leaders </w:t>
      </w:r>
      <w:hyperlink r:id="rId27" w:history="1">
        <w:r w:rsidRPr="00C435B6">
          <w:rPr>
            <w:rStyle w:val="Hyperlink"/>
            <w:rFonts w:asciiTheme="majorHAnsi" w:hAnsiTheme="majorHAnsi" w:cstheme="majorHAnsi"/>
          </w:rPr>
          <w:t xml:space="preserve">Declaration on Preserving </w:t>
        </w:r>
        <w:r w:rsidRPr="00C435B6">
          <w:rPr>
            <w:rStyle w:val="Hyperlink"/>
            <w:rFonts w:asciiTheme="majorHAnsi" w:hAnsiTheme="majorHAnsi" w:cstheme="majorHAnsi"/>
          </w:rPr>
          <w:lastRenderedPageBreak/>
          <w:t>Maritime Zones in the Face of Climate Change-Related Sea Level Rise</w:t>
        </w:r>
      </w:hyperlink>
      <w:bookmarkEnd w:id="42"/>
      <w:r>
        <w:rPr>
          <w:rFonts w:asciiTheme="majorHAnsi" w:hAnsiTheme="majorHAnsi" w:cstheme="majorHAnsi"/>
        </w:rPr>
        <w:t>, which other international states</w:t>
      </w:r>
      <w:r w:rsidR="00726222" w:rsidRPr="00AC33B7">
        <w:rPr>
          <w:rStyle w:val="FootnoteReference"/>
          <w:rFonts w:asciiTheme="majorHAnsi" w:hAnsiTheme="majorHAnsi" w:cstheme="majorHAnsi"/>
        </w:rPr>
        <w:footnoteReference w:id="9"/>
      </w:r>
      <w:r w:rsidR="00C435B6">
        <w:rPr>
          <w:rFonts w:asciiTheme="majorHAnsi" w:hAnsiTheme="majorHAnsi" w:cstheme="majorHAnsi"/>
        </w:rPr>
        <w:t xml:space="preserve"> have now recognised</w:t>
      </w:r>
      <w:r w:rsidR="00726222" w:rsidRPr="00AC33B7">
        <w:rPr>
          <w:rFonts w:asciiTheme="majorHAnsi" w:hAnsiTheme="majorHAnsi" w:cstheme="majorHAnsi"/>
        </w:rPr>
        <w:t>.</w:t>
      </w:r>
      <w:r w:rsidR="00E67586" w:rsidRPr="00AC33B7">
        <w:rPr>
          <w:rFonts w:asciiTheme="majorHAnsi" w:hAnsiTheme="majorHAnsi" w:cstheme="majorHAnsi"/>
        </w:rPr>
        <w:t xml:space="preserve"> The investment also supported a range of additional practice</w:t>
      </w:r>
      <w:r w:rsidR="00726222" w:rsidRPr="00AC33B7">
        <w:rPr>
          <w:rFonts w:asciiTheme="majorHAnsi" w:hAnsiTheme="majorHAnsi" w:cstheme="majorHAnsi"/>
        </w:rPr>
        <w:t>s</w:t>
      </w:r>
      <w:r w:rsidR="00E67586" w:rsidRPr="00AC33B7">
        <w:rPr>
          <w:rFonts w:asciiTheme="majorHAnsi" w:hAnsiTheme="majorHAnsi" w:cstheme="majorHAnsi"/>
        </w:rPr>
        <w:t xml:space="preserve"> by PICs aligning with the </w:t>
      </w:r>
      <w:r w:rsidR="00C435B6">
        <w:rPr>
          <w:rFonts w:asciiTheme="majorHAnsi" w:hAnsiTheme="majorHAnsi" w:cstheme="majorHAnsi"/>
        </w:rPr>
        <w:t>D</w:t>
      </w:r>
      <w:r w:rsidR="00E67586" w:rsidRPr="00AC33B7">
        <w:rPr>
          <w:rFonts w:asciiTheme="majorHAnsi" w:hAnsiTheme="majorHAnsi" w:cstheme="majorHAnsi"/>
        </w:rPr>
        <w:t>eclaration to further enhance maritime boundary stability, which has been acknowledged in key international legal fora, including by the International Law Commission’s Study Group on sea-level rise in relation to international law</w:t>
      </w:r>
      <w:r w:rsidR="00726222" w:rsidRPr="00AC33B7">
        <w:rPr>
          <w:rStyle w:val="FootnoteReference"/>
          <w:rFonts w:asciiTheme="majorHAnsi" w:hAnsiTheme="majorHAnsi" w:cstheme="majorHAnsi"/>
        </w:rPr>
        <w:footnoteReference w:id="10"/>
      </w:r>
      <w:r w:rsidR="00E67586" w:rsidRPr="00AC33B7">
        <w:rPr>
          <w:rFonts w:asciiTheme="majorHAnsi" w:hAnsiTheme="majorHAnsi" w:cstheme="majorHAnsi"/>
        </w:rPr>
        <w:t xml:space="preserve">. Australian Consortium Partners (such as Geoscience Australia and the Attorney-General's Department), along with SPC and PIFS/OPOC, contribute to advocacy and influencing efforts, both within the region and internationally. </w:t>
      </w:r>
    </w:p>
    <w:p w14:paraId="5947A8E6" w14:textId="1C582336" w:rsidR="00195C85" w:rsidRPr="00195C85" w:rsidRDefault="00195C85" w:rsidP="00351EA4">
      <w:pPr>
        <w:rPr>
          <w:rFonts w:asciiTheme="majorHAnsi" w:hAnsiTheme="majorHAnsi" w:cstheme="majorHAnsi"/>
        </w:rPr>
      </w:pPr>
    </w:p>
    <w:p w14:paraId="1B19201C" w14:textId="7BB8D015" w:rsidR="00665EF5" w:rsidRPr="00471F58" w:rsidRDefault="00BF430E" w:rsidP="00471F58">
      <w:pPr>
        <w:pStyle w:val="Heading4"/>
        <w:rPr>
          <w:sz w:val="24"/>
          <w:szCs w:val="24"/>
        </w:rPr>
      </w:pPr>
      <w:r w:rsidRPr="00471F58">
        <w:rPr>
          <w:sz w:val="24"/>
          <w:szCs w:val="24"/>
        </w:rPr>
        <w:t>KEQ 1(a)</w:t>
      </w:r>
      <w:r w:rsidR="001C34D3" w:rsidRPr="00471F58">
        <w:rPr>
          <w:sz w:val="24"/>
          <w:szCs w:val="24"/>
        </w:rPr>
        <w:t>:</w:t>
      </w:r>
      <w:r w:rsidR="00CA143F" w:rsidRPr="00471F58">
        <w:rPr>
          <w:sz w:val="24"/>
          <w:szCs w:val="24"/>
        </w:rPr>
        <w:t xml:space="preserve"> </w:t>
      </w:r>
      <w:r w:rsidR="00094273" w:rsidRPr="00471F58">
        <w:rPr>
          <w:sz w:val="24"/>
          <w:szCs w:val="24"/>
        </w:rPr>
        <w:t>How effectively does DFAT’s support to the FFA Secretariat enable the FFA to support its members to sustainably manage and develop their fisheries, and achieve outcomes of FFA's Strategic Plan?</w:t>
      </w:r>
      <w:bookmarkStart w:id="43" w:name="_Toc199684954"/>
    </w:p>
    <w:tbl>
      <w:tblPr>
        <w:tblStyle w:val="TableGrid"/>
        <w:tblW w:w="0" w:type="auto"/>
        <w:tblLook w:val="04A0" w:firstRow="1" w:lastRow="0" w:firstColumn="1" w:lastColumn="0" w:noHBand="0" w:noVBand="1"/>
      </w:tblPr>
      <w:tblGrid>
        <w:gridCol w:w="9730"/>
      </w:tblGrid>
      <w:tr w:rsidR="004D3D1F" w14:paraId="0289CD07" w14:textId="77777777" w:rsidTr="004D3D1F">
        <w:tc>
          <w:tcPr>
            <w:tcW w:w="9730" w:type="dxa"/>
            <w:tcBorders>
              <w:top w:val="nil"/>
              <w:left w:val="nil"/>
              <w:bottom w:val="nil"/>
              <w:right w:val="nil"/>
            </w:tcBorders>
            <w:shd w:val="clear" w:color="auto" w:fill="DEEAF6" w:themeFill="accent5" w:themeFillTint="33"/>
          </w:tcPr>
          <w:bookmarkEnd w:id="43"/>
          <w:p w14:paraId="57F8E584" w14:textId="253B9764" w:rsidR="004D3D1F" w:rsidRDefault="004D3D1F" w:rsidP="004D3D1F">
            <w:pPr>
              <w:spacing w:after="120"/>
              <w:rPr>
                <w:lang w:eastAsia="en-GB"/>
              </w:rPr>
            </w:pPr>
            <w:r w:rsidRPr="00777036">
              <w:rPr>
                <w:rFonts w:asciiTheme="majorHAnsi" w:hAnsiTheme="majorHAnsi" w:cstheme="majorHAnsi"/>
                <w:b/>
                <w:bCs/>
              </w:rPr>
              <w:t>Key finding</w:t>
            </w:r>
            <w:r>
              <w:rPr>
                <w:rFonts w:asciiTheme="majorHAnsi" w:hAnsiTheme="majorHAnsi" w:cstheme="majorHAnsi"/>
              </w:rPr>
              <w:t xml:space="preserve">: </w:t>
            </w:r>
            <w:r w:rsidRPr="00EF7C4D">
              <w:rPr>
                <w:rFonts w:asciiTheme="majorHAnsi" w:hAnsiTheme="majorHAnsi" w:cstheme="majorHAnsi"/>
              </w:rPr>
              <w:t>Australia has continued to be a major and reliable donor to the FFA, providing about 16% of the FFA’s total annual income in recent years. This support is widely recognised by key informants as essential for the FFA to achieve its strategic objectives and is generally seen as effective and highly successful in enhancing the FFA's influence in the region. Without this external support, the FFA's financial sustainability would be severely affected.</w:t>
            </w:r>
            <w:r>
              <w:rPr>
                <w:rFonts w:asciiTheme="majorHAnsi" w:hAnsiTheme="majorHAnsi" w:cstheme="majorHAnsi"/>
              </w:rPr>
              <w:t xml:space="preserve"> </w:t>
            </w:r>
            <w:r w:rsidRPr="00D27F44">
              <w:rPr>
                <w:rFonts w:asciiTheme="majorHAnsi" w:hAnsiTheme="majorHAnsi" w:cstheme="majorHAnsi"/>
              </w:rPr>
              <w:t>Despite the support from DFAT, the FFA faces challenges in meeting its objectives outlined in its Strategic and Business Plans, and recent reviews commissioned highlight ongoing governance and human resource challenges</w:t>
            </w:r>
            <w:r>
              <w:rPr>
                <w:rFonts w:asciiTheme="majorHAnsi" w:hAnsiTheme="majorHAnsi" w:cstheme="majorHAnsi"/>
              </w:rPr>
              <w:t>.</w:t>
            </w:r>
          </w:p>
        </w:tc>
      </w:tr>
    </w:tbl>
    <w:p w14:paraId="0EAE5403" w14:textId="77777777" w:rsidR="00A9322C" w:rsidRDefault="00A9322C" w:rsidP="00351EA4">
      <w:pPr>
        <w:rPr>
          <w:lang w:eastAsia="en-GB"/>
        </w:rPr>
      </w:pPr>
    </w:p>
    <w:p w14:paraId="19E384BE" w14:textId="335C8CAA" w:rsidR="00A22B64" w:rsidRDefault="00BF430E" w:rsidP="00563F83">
      <w:pPr>
        <w:rPr>
          <w:rFonts w:asciiTheme="majorHAnsi" w:hAnsiTheme="majorHAnsi" w:cstheme="majorHAnsi"/>
        </w:rPr>
      </w:pPr>
      <w:r w:rsidRPr="003904DB">
        <w:rPr>
          <w:rFonts w:asciiTheme="majorHAnsi" w:hAnsiTheme="majorHAnsi" w:cstheme="majorHAnsi"/>
        </w:rPr>
        <w:t>Australia has been a consistent financial supporter of the FFA since its inception in 1979, providing core funding and project-specific support. Since 2010, through the Investment under review, Australia has contributed over $65.56 million to the FFA (</w:t>
      </w:r>
      <w:r w:rsidR="00A22B64">
        <w:rPr>
          <w:rFonts w:asciiTheme="majorHAnsi" w:hAnsiTheme="majorHAnsi" w:cstheme="majorHAnsi"/>
        </w:rPr>
        <w:t xml:space="preserve">$5 million per annum, </w:t>
      </w:r>
      <w:r w:rsidRPr="003904DB">
        <w:rPr>
          <w:rFonts w:asciiTheme="majorHAnsi" w:hAnsiTheme="majorHAnsi" w:cstheme="majorHAnsi"/>
        </w:rPr>
        <w:t>50% of the Investment’s total value), primarily as core funding</w:t>
      </w:r>
      <w:r w:rsidR="00A22B64" w:rsidRPr="003904DB">
        <w:rPr>
          <w:rStyle w:val="FootnoteReference"/>
          <w:rFonts w:asciiTheme="majorHAnsi" w:hAnsiTheme="majorHAnsi" w:cstheme="majorHAnsi"/>
        </w:rPr>
        <w:footnoteReference w:id="11"/>
      </w:r>
      <w:r w:rsidRPr="003904DB">
        <w:rPr>
          <w:rFonts w:asciiTheme="majorHAnsi" w:hAnsiTheme="majorHAnsi" w:cstheme="majorHAnsi"/>
        </w:rPr>
        <w:t xml:space="preserve">. </w:t>
      </w:r>
      <w:r w:rsidR="00A22B64" w:rsidRPr="00A22B64">
        <w:rPr>
          <w:rFonts w:asciiTheme="majorHAnsi" w:hAnsiTheme="majorHAnsi" w:cstheme="majorHAnsi"/>
        </w:rPr>
        <w:t xml:space="preserve">Independent evaluations of the FFA reveal that the organisation relies heavily on donor funds, with over 60% of its total annual income coming from donors in recent years. Australia contributes about 16% of that income, underscoring the importance of Australia’s support for the FFA’s operational sustainability. </w:t>
      </w:r>
    </w:p>
    <w:p w14:paraId="3A1BA88B" w14:textId="4C8714D1" w:rsidR="00BF430E" w:rsidRDefault="0057762C" w:rsidP="00351EA4">
      <w:pPr>
        <w:spacing w:before="240" w:after="120"/>
        <w:rPr>
          <w:lang w:eastAsia="en-GB"/>
        </w:rPr>
      </w:pPr>
      <w:r w:rsidRPr="0057762C">
        <w:rPr>
          <w:rFonts w:asciiTheme="majorHAnsi" w:eastAsia="Times New Roman" w:hAnsiTheme="majorHAnsi" w:cstheme="majorHAnsi"/>
          <w:lang w:eastAsia="en-GB"/>
        </w:rPr>
        <w:t xml:space="preserve">To provide a meaningful assessment of DFAT’s support to the FFA Secretariat under the Evaluation Rubric (specifically Rubric Criteria #2), the Evaluation team examined three specific components of this criterion: the extent to which DFAT has supported the FFA in delivering its Strategic and/or Business Plans, contributed to regional unity and fisheries development, and provided services and commitments to its members. Each of these three areas is assessed and scored separately below. </w:t>
      </w:r>
    </w:p>
    <w:tbl>
      <w:tblPr>
        <w:tblStyle w:val="TableGrid"/>
        <w:tblW w:w="0" w:type="auto"/>
        <w:tblLook w:val="04A0" w:firstRow="1" w:lastRow="0" w:firstColumn="1" w:lastColumn="0" w:noHBand="0" w:noVBand="1"/>
      </w:tblPr>
      <w:tblGrid>
        <w:gridCol w:w="9730"/>
      </w:tblGrid>
      <w:tr w:rsidR="00B94DDA" w14:paraId="7A4F86A4" w14:textId="77777777" w:rsidTr="00B94DDA">
        <w:tc>
          <w:tcPr>
            <w:tcW w:w="9730" w:type="dxa"/>
            <w:tcBorders>
              <w:top w:val="nil"/>
              <w:left w:val="nil"/>
              <w:bottom w:val="nil"/>
              <w:right w:val="nil"/>
            </w:tcBorders>
            <w:shd w:val="clear" w:color="auto" w:fill="2F5496" w:themeFill="accent1" w:themeFillShade="BF"/>
          </w:tcPr>
          <w:p w14:paraId="04242942" w14:textId="2403F3FA" w:rsidR="00B94DDA" w:rsidRPr="00B94DDA" w:rsidRDefault="00B94DDA" w:rsidP="00B94DDA">
            <w:pPr>
              <w:spacing w:after="120"/>
            </w:pPr>
            <w:r w:rsidRPr="00831E4E">
              <w:rPr>
                <w:rFonts w:asciiTheme="majorHAnsi" w:eastAsia="Times New Roman" w:hAnsiTheme="majorHAnsi" w:cstheme="majorHAnsi"/>
                <w:b/>
                <w:bCs/>
                <w:color w:val="FFFFFF" w:themeColor="background1"/>
                <w:lang w:eastAsia="en-GB"/>
              </w:rPr>
              <w:t>Rubric Criterion #2(a)</w:t>
            </w:r>
            <w:r w:rsidRPr="00831E4E">
              <w:rPr>
                <w:rFonts w:asciiTheme="majorHAnsi" w:eastAsia="Times New Roman" w:hAnsiTheme="majorHAnsi" w:cstheme="majorHAnsi"/>
                <w:color w:val="FFFFFF" w:themeColor="background1"/>
                <w:lang w:eastAsia="en-GB"/>
              </w:rPr>
              <w:t xml:space="preserve">: </w:t>
            </w:r>
            <w:r w:rsidRPr="00831E4E">
              <w:rPr>
                <w:rFonts w:asciiTheme="majorHAnsi" w:eastAsia="Times New Roman" w:hAnsiTheme="majorHAnsi" w:cstheme="majorHAnsi"/>
                <w:i/>
                <w:iCs/>
                <w:color w:val="FFFFFF" w:themeColor="background1"/>
                <w:lang w:eastAsia="en-GB"/>
              </w:rPr>
              <w:t xml:space="preserve">The extent to which DFAT’s support to the FFA Secretariat enabled the FFA’s Strategic and/or Business plans to be delivered. Based on the evidence evaluated, this criterion is assessed overall as </w:t>
            </w:r>
            <w:r w:rsidRPr="00831E4E">
              <w:rPr>
                <w:rFonts w:asciiTheme="majorHAnsi" w:eastAsia="Times New Roman" w:hAnsiTheme="majorHAnsi" w:cstheme="majorHAnsi"/>
                <w:b/>
                <w:bCs/>
                <w:i/>
                <w:iCs/>
                <w:color w:val="FFFFFF" w:themeColor="background1"/>
                <w:lang w:eastAsia="en-GB"/>
              </w:rPr>
              <w:t>Adequate.</w:t>
            </w:r>
            <w:r w:rsidRPr="00831E4E">
              <w:rPr>
                <w:rFonts w:asciiTheme="majorHAnsi" w:eastAsia="Times New Roman" w:hAnsiTheme="majorHAnsi" w:cstheme="majorHAnsi"/>
                <w:color w:val="FFFFFF" w:themeColor="background1"/>
                <w:lang w:eastAsia="en-GB"/>
              </w:rPr>
              <w:t xml:space="preserve"> </w:t>
            </w:r>
          </w:p>
        </w:tc>
      </w:tr>
    </w:tbl>
    <w:p w14:paraId="23C499AD" w14:textId="5BCA2A44" w:rsidR="00BF430E" w:rsidRPr="00195C85" w:rsidRDefault="00BF430E" w:rsidP="00D00646">
      <w:pPr>
        <w:pStyle w:val="ListParagraph"/>
        <w:spacing w:before="240" w:after="120"/>
        <w:ind w:left="0"/>
        <w:rPr>
          <w:rFonts w:cstheme="majorHAnsi"/>
        </w:rPr>
      </w:pPr>
      <w:r w:rsidRPr="00771330">
        <w:rPr>
          <w:rFonts w:eastAsia="Times New Roman" w:cstheme="majorHAnsi"/>
          <w:lang w:eastAsia="en-GB"/>
        </w:rPr>
        <w:t>There is strong evidence (synthesised from interviews, AQCs</w:t>
      </w:r>
      <w:r w:rsidR="00686B1C">
        <w:rPr>
          <w:rFonts w:eastAsia="Times New Roman" w:cstheme="majorHAnsi"/>
          <w:lang w:eastAsia="en-GB"/>
        </w:rPr>
        <w:t>/</w:t>
      </w:r>
      <w:r w:rsidRPr="00771330">
        <w:rPr>
          <w:rFonts w:eastAsia="Times New Roman" w:cstheme="majorHAnsi"/>
          <w:lang w:eastAsia="en-GB"/>
        </w:rPr>
        <w:t xml:space="preserve">MRs, Independent Evaluations, and FFA Annual reports) that DFAT’s support has been crucial in enabling the FFA to implement its long-term plans. From the outset of the investment, DFAT has worked closely with the FFA to prepare and refine the development of Strategic and Business Plans. For instance, DFAT helped prepare and refine the logic framework that underpinned the 2005–2020 Strategic Plan for the FFA. DFAT was also part of the review committee that </w:t>
      </w:r>
      <w:r w:rsidRPr="00771330">
        <w:rPr>
          <w:rFonts w:eastAsia="Times New Roman" w:cstheme="majorHAnsi"/>
          <w:lang w:eastAsia="en-GB"/>
        </w:rPr>
        <w:lastRenderedPageBreak/>
        <w:t xml:space="preserve">assessed the 2005–2020 Strategic Plan. Additionally, DFAT employed a consultant to review HR policies to support the update of key HR policies for the FFA, a primary focus in </w:t>
      </w:r>
      <w:r w:rsidR="000D6B30">
        <w:rPr>
          <w:rFonts w:eastAsia="Times New Roman" w:cstheme="majorHAnsi"/>
          <w:lang w:eastAsia="en-GB"/>
        </w:rPr>
        <w:t xml:space="preserve">the </w:t>
      </w:r>
      <w:r w:rsidRPr="00771330">
        <w:rPr>
          <w:rFonts w:eastAsia="Times New Roman" w:cstheme="majorHAnsi"/>
          <w:lang w:eastAsia="en-GB"/>
        </w:rPr>
        <w:t xml:space="preserve">FFA’s Business Plan 2021-2025. </w:t>
      </w:r>
      <w:r w:rsidRPr="00771330">
        <w:rPr>
          <w:rFonts w:cstheme="majorHAnsi"/>
        </w:rPr>
        <w:t>The FFA's HR policies are currently being revised to foster a high-performance culture, and an Information Strategy has been approved to strengthen data systems and business processes.</w:t>
      </w:r>
    </w:p>
    <w:p w14:paraId="1571BFFB" w14:textId="2F5B2B86" w:rsidR="00BF430E" w:rsidRDefault="00BF430E" w:rsidP="00195C85">
      <w:pPr>
        <w:pStyle w:val="ListParagraph"/>
        <w:spacing w:after="120"/>
        <w:ind w:left="0"/>
        <w:rPr>
          <w:rFonts w:cstheme="majorHAnsi"/>
        </w:rPr>
      </w:pPr>
      <w:r w:rsidRPr="00771330">
        <w:rPr>
          <w:rFonts w:cstheme="majorHAnsi"/>
        </w:rPr>
        <w:t xml:space="preserve">Key informants report that, with DFAT’s support, the FFA Secretariat has demonstrated substantial improvements in internal processes, governance policies, financial systems, planning, and risk management. DFAT funded the upgrading and enhancement of FFA’s corporate support systems, including finance and HR systems, following the 2010 Performance Review. Australia has actively participated in the FFA Audit and Risk Committee. DFAT also uses these Audit and Risk Committee meetings, along with annual FFA/Australia/New Zealand trilateral meetings, to monitor FFA's performance. DFAT also supported the FFA in the adoption of International Public Sector Accounting Standards (IPSAS) for financial reporting, the introduction of a new traffic light report for the Audit Committee, and the development of a new Enterprise Risk Management Framework. </w:t>
      </w:r>
    </w:p>
    <w:p w14:paraId="3F6C57BE" w14:textId="267D72FE" w:rsidR="00BF430E" w:rsidRPr="00F44853" w:rsidRDefault="00F44853" w:rsidP="00F44853">
      <w:pPr>
        <w:pStyle w:val="ListParagraph"/>
        <w:spacing w:after="120"/>
        <w:ind w:left="0"/>
        <w:rPr>
          <w:rFonts w:cstheme="majorHAnsi"/>
        </w:rPr>
      </w:pPr>
      <w:r w:rsidRPr="00A22B64">
        <w:rPr>
          <w:rFonts w:eastAsia="Times New Roman" w:cstheme="majorHAnsi"/>
          <w:lang w:eastAsia="en-GB"/>
        </w:rPr>
        <w:t>As the FFA’s own Annual Reports illustrate, although plans are being implemented, many elements of the 2021–2025 Business Plan and the 2020–2025 Strategic Plan are still ongoing</w:t>
      </w:r>
      <w:r w:rsidRPr="00A22B64">
        <w:rPr>
          <w:rStyle w:val="FootnoteReference"/>
          <w:rFonts w:eastAsia="Times New Roman" w:cstheme="majorHAnsi"/>
          <w:lang w:eastAsia="en-GB"/>
        </w:rPr>
        <w:footnoteReference w:id="12"/>
      </w:r>
      <w:r w:rsidRPr="00A22B64">
        <w:rPr>
          <w:rFonts w:eastAsia="Times New Roman" w:cstheme="majorHAnsi"/>
          <w:lang w:eastAsia="en-GB"/>
        </w:rPr>
        <w:t xml:space="preserve">. </w:t>
      </w:r>
      <w:r w:rsidR="00BF430E" w:rsidRPr="00A22B64">
        <w:rPr>
          <w:rFonts w:eastAsia="Times New Roman" w:cstheme="majorHAnsi"/>
          <w:lang w:eastAsia="en-GB"/>
        </w:rPr>
        <w:t>By the end of 2025, it will be important for Australia to support the FFA in assessing progress towards these plans and identifying how it can offer more targeted support to improve the FFA's effectiveness in implementation (which could include setting more achievable delivery targets, noting that more than half the expected deliverables</w:t>
      </w:r>
      <w:r w:rsidRPr="00A22B64">
        <w:rPr>
          <w:rFonts w:eastAsia="Times New Roman" w:cstheme="majorHAnsi"/>
          <w:lang w:eastAsia="en-GB"/>
        </w:rPr>
        <w:t xml:space="preserve"> are still to be completed).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2F5496" w:themeFill="accent1" w:themeFillShade="BF"/>
        <w:tblLook w:val="04A0" w:firstRow="1" w:lastRow="0" w:firstColumn="1" w:lastColumn="0" w:noHBand="0" w:noVBand="1"/>
      </w:tblPr>
      <w:tblGrid>
        <w:gridCol w:w="9730"/>
      </w:tblGrid>
      <w:tr w:rsidR="00B94DDA" w14:paraId="75BFA5AB" w14:textId="77777777" w:rsidTr="00B94DDA">
        <w:tc>
          <w:tcPr>
            <w:tcW w:w="9730" w:type="dxa"/>
            <w:shd w:val="clear" w:color="auto" w:fill="2F5496" w:themeFill="accent1" w:themeFillShade="BF"/>
          </w:tcPr>
          <w:p w14:paraId="2552D4EF" w14:textId="62C6722D" w:rsidR="00B94DDA" w:rsidRPr="00B94DDA" w:rsidRDefault="00B94DDA" w:rsidP="00B94DDA">
            <w:pPr>
              <w:spacing w:after="120"/>
              <w:rPr>
                <w:rFonts w:asciiTheme="majorHAnsi" w:eastAsia="Times New Roman" w:hAnsiTheme="majorHAnsi" w:cstheme="majorHAnsi"/>
                <w:color w:val="FFFFFF" w:themeColor="background1"/>
                <w:lang w:eastAsia="en-GB"/>
              </w:rPr>
            </w:pPr>
            <w:r w:rsidRPr="00831E4E">
              <w:rPr>
                <w:rFonts w:asciiTheme="majorHAnsi" w:eastAsia="Times New Roman" w:hAnsiTheme="majorHAnsi" w:cstheme="majorHAnsi"/>
                <w:b/>
                <w:color w:val="FFFFFF" w:themeColor="background1"/>
                <w:lang w:eastAsia="en-GB"/>
              </w:rPr>
              <w:t>Rubric Criterion #2(b)</w:t>
            </w:r>
            <w:r w:rsidRPr="00831E4E">
              <w:rPr>
                <w:rFonts w:asciiTheme="majorHAnsi" w:eastAsia="Times New Roman" w:hAnsiTheme="majorHAnsi" w:cstheme="majorHAnsi"/>
                <w:color w:val="FFFFFF" w:themeColor="background1"/>
                <w:lang w:eastAsia="en-GB"/>
              </w:rPr>
              <w:t xml:space="preserve">: </w:t>
            </w:r>
            <w:r w:rsidRPr="00831E4E">
              <w:rPr>
                <w:rFonts w:asciiTheme="majorHAnsi" w:eastAsia="Times New Roman" w:hAnsiTheme="majorHAnsi" w:cstheme="majorHAnsi"/>
                <w:i/>
                <w:color w:val="FFFFFF" w:themeColor="background1"/>
                <w:lang w:eastAsia="en-GB"/>
              </w:rPr>
              <w:t xml:space="preserve">The extent to which DFAT’s support to the FFA contributes to regional unity and fisheries development. Based on the evidence evaluated, this criterion is assessed overall as </w:t>
            </w:r>
            <w:r w:rsidRPr="00831E4E">
              <w:rPr>
                <w:rFonts w:asciiTheme="majorHAnsi" w:eastAsia="Times New Roman" w:hAnsiTheme="majorHAnsi" w:cstheme="majorHAnsi"/>
                <w:b/>
                <w:i/>
                <w:color w:val="FFFFFF" w:themeColor="background1"/>
                <w:lang w:eastAsia="en-GB"/>
              </w:rPr>
              <w:t>Good</w:t>
            </w:r>
            <w:r w:rsidRPr="00831E4E">
              <w:rPr>
                <w:rFonts w:asciiTheme="majorHAnsi" w:eastAsia="Times New Roman" w:hAnsiTheme="majorHAnsi" w:cstheme="majorHAnsi"/>
                <w:i/>
                <w:color w:val="FFFFFF" w:themeColor="background1"/>
                <w:lang w:eastAsia="en-GB"/>
              </w:rPr>
              <w:t>.</w:t>
            </w:r>
            <w:r w:rsidRPr="00831E4E">
              <w:rPr>
                <w:rFonts w:asciiTheme="majorHAnsi" w:eastAsia="Times New Roman" w:hAnsiTheme="majorHAnsi" w:cstheme="majorHAnsi"/>
                <w:color w:val="FFFFFF" w:themeColor="background1"/>
                <w:lang w:eastAsia="en-GB"/>
              </w:rPr>
              <w:t xml:space="preserve"> </w:t>
            </w:r>
          </w:p>
        </w:tc>
      </w:tr>
    </w:tbl>
    <w:p w14:paraId="5DDD7025" w14:textId="50C9F764" w:rsidR="00BF430E" w:rsidRDefault="00BF430E" w:rsidP="00563F83">
      <w:pPr>
        <w:rPr>
          <w:lang w:eastAsia="en-GB"/>
        </w:rPr>
      </w:pPr>
    </w:p>
    <w:p w14:paraId="7AF31F9D" w14:textId="67F4DBBD" w:rsidR="00BF430E" w:rsidRPr="003904DB" w:rsidRDefault="00BF430E" w:rsidP="00195C85">
      <w:pPr>
        <w:spacing w:after="120"/>
        <w:rPr>
          <w:rFonts w:asciiTheme="majorHAnsi" w:hAnsiTheme="majorHAnsi" w:cstheme="majorHAnsi"/>
        </w:rPr>
      </w:pPr>
      <w:r w:rsidRPr="003904DB">
        <w:rPr>
          <w:rFonts w:asciiTheme="majorHAnsi" w:hAnsiTheme="majorHAnsi" w:cstheme="majorHAnsi"/>
        </w:rPr>
        <w:t>There is strong evidence (synthesised from interviews, AQCs</w:t>
      </w:r>
      <w:r w:rsidR="00C2653C">
        <w:rPr>
          <w:rFonts w:asciiTheme="majorHAnsi" w:hAnsiTheme="majorHAnsi" w:cstheme="majorHAnsi"/>
        </w:rPr>
        <w:t>/I</w:t>
      </w:r>
      <w:r w:rsidRPr="003904DB">
        <w:rPr>
          <w:rFonts w:asciiTheme="majorHAnsi" w:hAnsiTheme="majorHAnsi" w:cstheme="majorHAnsi"/>
        </w:rPr>
        <w:t xml:space="preserve">MRs, Independent Evaluations, and own survey data) that DFAT has played </w:t>
      </w:r>
      <w:r w:rsidR="00DE18E6">
        <w:rPr>
          <w:rFonts w:asciiTheme="majorHAnsi" w:hAnsiTheme="majorHAnsi" w:cstheme="majorHAnsi"/>
        </w:rPr>
        <w:t>an important</w:t>
      </w:r>
      <w:r w:rsidRPr="003904DB">
        <w:rPr>
          <w:rFonts w:asciiTheme="majorHAnsi" w:hAnsiTheme="majorHAnsi" w:cstheme="majorHAnsi"/>
        </w:rPr>
        <w:t xml:space="preserve"> role both in helping the FFA facilitate PICs in managing and developing their fisheries sustainably and in promoting and strengthening regional unity. Since the outset of the Investment</w:t>
      </w:r>
      <w:r w:rsidR="00DE18E6">
        <w:rPr>
          <w:rFonts w:asciiTheme="majorHAnsi" w:hAnsiTheme="majorHAnsi" w:cstheme="majorHAnsi"/>
        </w:rPr>
        <w:t>,</w:t>
      </w:r>
      <w:r w:rsidRPr="003904DB">
        <w:rPr>
          <w:rFonts w:asciiTheme="majorHAnsi" w:hAnsiTheme="majorHAnsi" w:cstheme="majorHAnsi"/>
        </w:rPr>
        <w:t xml:space="preserve"> DFAT’s funding and engagement have directly aligned with regional strategies and priorities. For instance, Australia supported the development of the </w:t>
      </w:r>
      <w:r w:rsidRPr="00DE18E6">
        <w:rPr>
          <w:rFonts w:asciiTheme="majorHAnsi" w:hAnsiTheme="majorHAnsi" w:cstheme="majorHAnsi"/>
        </w:rPr>
        <w:t>Regional Roadmap for Sustainable</w:t>
      </w:r>
      <w:r w:rsidR="00B6589C" w:rsidRPr="00DE18E6">
        <w:rPr>
          <w:rFonts w:asciiTheme="majorHAnsi" w:hAnsiTheme="majorHAnsi" w:cstheme="majorHAnsi"/>
        </w:rPr>
        <w:t xml:space="preserve"> Pacific</w:t>
      </w:r>
      <w:r w:rsidRPr="00DE18E6">
        <w:rPr>
          <w:rFonts w:asciiTheme="majorHAnsi" w:hAnsiTheme="majorHAnsi" w:cstheme="majorHAnsi"/>
        </w:rPr>
        <w:t xml:space="preserve"> Fisheries (e</w:t>
      </w:r>
      <w:r w:rsidRPr="003904DB">
        <w:rPr>
          <w:rFonts w:asciiTheme="majorHAnsi" w:hAnsiTheme="majorHAnsi" w:cstheme="majorHAnsi"/>
        </w:rPr>
        <w:t xml:space="preserve">ndorsed September 2015) and increased its investment in the FFA to support the implementation of the </w:t>
      </w:r>
      <w:proofErr w:type="gramStart"/>
      <w:r w:rsidRPr="003904DB">
        <w:rPr>
          <w:rFonts w:asciiTheme="majorHAnsi" w:hAnsiTheme="majorHAnsi" w:cstheme="majorHAnsi"/>
        </w:rPr>
        <w:t>Roadmap</w:t>
      </w:r>
      <w:proofErr w:type="gramEnd"/>
      <w:r w:rsidRPr="003904DB">
        <w:rPr>
          <w:rFonts w:asciiTheme="majorHAnsi" w:hAnsiTheme="majorHAnsi" w:cstheme="majorHAnsi"/>
        </w:rPr>
        <w:t xml:space="preserve">. In 2018, Australia signed a new 10-year Partnership Agreement with FFA, aimed at a whole-of-government approach to demonstrate enduring support for mutual fisheries, development, and security objectives in the region. Key informants note that DFAT has played a strong role in helping shape several other key regional strategies (including the FFA Regional Monitoring, Control and Surveillance Strategy) and is an active participant in regional meetings. DFAT’s commitment to regional unity is maintained through high-level dialogue, with Australian officials engaging in FFC officials' and annual fisheries ministerial meetings. </w:t>
      </w:r>
    </w:p>
    <w:p w14:paraId="09C6E7F2" w14:textId="66521AEA" w:rsidR="00BF430E" w:rsidRPr="003904DB" w:rsidRDefault="00BF430E" w:rsidP="00195C85">
      <w:pPr>
        <w:spacing w:after="120"/>
        <w:rPr>
          <w:rFonts w:asciiTheme="majorHAnsi" w:hAnsiTheme="majorHAnsi" w:cstheme="majorHAnsi"/>
        </w:rPr>
      </w:pPr>
      <w:r w:rsidRPr="003904DB">
        <w:rPr>
          <w:rFonts w:asciiTheme="majorHAnsi" w:hAnsiTheme="majorHAnsi" w:cstheme="majorHAnsi"/>
        </w:rPr>
        <w:t xml:space="preserve">DFAT’s support directly helps maximise social and economic benefits from sustainable fisheries. DFAT’s funding aligns with FFA’s goals to increase economic gains from sustainable commercial and subsistence fisheries. This includes supporting the effective operation of the Vessel Day Scheme (VDS) implemented by the Parties to the Nauru Agreement (PNA), which has significantly boosted direct annual government revenues. DFAT has also played a key role in the FFA’s efforts to promote fair labour practices. Work supported by DFAT has contributed to the adoption of additions to the harmonised Minimum Terms and Conditions for fishing vessel access to protect human rights and ensure minimum labour conditions for crew, and supported FFA to incorporate training for compliance officers to identify and act on instances of modern slavery at sea as part of a broader FFA initiative to improve work and living conditions on fishing vessels. </w:t>
      </w:r>
    </w:p>
    <w:p w14:paraId="2217678B" w14:textId="60C93395" w:rsidR="00BF430E" w:rsidRPr="003904DB" w:rsidRDefault="00BF430E" w:rsidP="00195C85">
      <w:pPr>
        <w:spacing w:after="120"/>
        <w:rPr>
          <w:rFonts w:asciiTheme="majorHAnsi" w:hAnsiTheme="majorHAnsi" w:cstheme="majorHAnsi"/>
        </w:rPr>
      </w:pPr>
      <w:r w:rsidRPr="003904DB">
        <w:rPr>
          <w:rFonts w:asciiTheme="majorHAnsi" w:hAnsiTheme="majorHAnsi" w:cstheme="majorHAnsi"/>
        </w:rPr>
        <w:t xml:space="preserve">DFAT has helped the FFA develop one of the world's leading MCS frameworks and received a global award for IUU fishing enforcement in 2019.  DFAT's funding has been crucial in various MCS projects, including Vessel </w:t>
      </w:r>
      <w:r w:rsidRPr="003904DB">
        <w:rPr>
          <w:rFonts w:asciiTheme="majorHAnsi" w:hAnsiTheme="majorHAnsi" w:cstheme="majorHAnsi"/>
        </w:rPr>
        <w:lastRenderedPageBreak/>
        <w:t>Monitoring Systems (VMS), surveillance operations, intelligence training, and the transition to electronic monitoring (EM) and electronic reporting (ER). The FFA’s Regional Fisheries Surveillance Centre (RFSC), which includes Australian personnel seconded to assist in running the centre, is recognised as a world-leading regional response to IUU threats. Australia played a critical role in shaping the Niue Treaty Subsidiary Agreement (NTSA), which has further enhanced regional information sharing and MCS cooperation. A 2022 evaluation of the program highlighted that without Australia’s support</w:t>
      </w:r>
      <w:r w:rsidR="00B51359">
        <w:rPr>
          <w:rFonts w:asciiTheme="majorHAnsi" w:hAnsiTheme="majorHAnsi" w:cstheme="majorHAnsi"/>
        </w:rPr>
        <w:t>,</w:t>
      </w:r>
      <w:r w:rsidRPr="003904DB">
        <w:rPr>
          <w:rFonts w:asciiTheme="majorHAnsi" w:hAnsiTheme="majorHAnsi" w:cstheme="majorHAnsi"/>
        </w:rPr>
        <w:t xml:space="preserve"> momentum on measures to implement the agreement would have stalled.  With Australia’s support</w:t>
      </w:r>
      <w:r w:rsidR="00B51359">
        <w:rPr>
          <w:rFonts w:asciiTheme="majorHAnsi" w:hAnsiTheme="majorHAnsi" w:cstheme="majorHAnsi"/>
        </w:rPr>
        <w:t>,</w:t>
      </w:r>
      <w:r w:rsidRPr="003904DB">
        <w:rPr>
          <w:rFonts w:asciiTheme="majorHAnsi" w:hAnsiTheme="majorHAnsi" w:cstheme="majorHAnsi"/>
        </w:rPr>
        <w:t xml:space="preserve"> the FFA delivers high-level targeted learning outcomes, such as the accredited MCS Certificate IV course. Australia has also supported improvements in fisheries data management systems, such as TUFMAN. As previously noted in this report</w:t>
      </w:r>
      <w:r w:rsidR="00026A07">
        <w:rPr>
          <w:rFonts w:asciiTheme="majorHAnsi" w:hAnsiTheme="majorHAnsi" w:cstheme="majorHAnsi"/>
        </w:rPr>
        <w:t xml:space="preserve"> (see also </w:t>
      </w:r>
      <w:r w:rsidR="00026A07" w:rsidRPr="00026A07">
        <w:rPr>
          <w:rFonts w:asciiTheme="majorHAnsi" w:hAnsiTheme="majorHAnsi" w:cstheme="majorHAnsi"/>
          <w:b/>
          <w:bCs/>
        </w:rPr>
        <w:t>Annexe 7</w:t>
      </w:r>
      <w:r w:rsidR="00026A07">
        <w:rPr>
          <w:rFonts w:asciiTheme="majorHAnsi" w:hAnsiTheme="majorHAnsi" w:cstheme="majorHAnsi"/>
        </w:rPr>
        <w:t>)</w:t>
      </w:r>
      <w:r w:rsidR="00B51359">
        <w:rPr>
          <w:rFonts w:asciiTheme="majorHAnsi" w:hAnsiTheme="majorHAnsi" w:cstheme="majorHAnsi"/>
        </w:rPr>
        <w:t>,</w:t>
      </w:r>
      <w:r w:rsidR="00026A07">
        <w:rPr>
          <w:rFonts w:asciiTheme="majorHAnsi" w:hAnsiTheme="majorHAnsi" w:cstheme="majorHAnsi"/>
        </w:rPr>
        <w:t xml:space="preserve"> </w:t>
      </w:r>
      <w:r w:rsidRPr="003904DB">
        <w:rPr>
          <w:rFonts w:asciiTheme="majorHAnsi" w:hAnsiTheme="majorHAnsi" w:cstheme="majorHAnsi"/>
        </w:rPr>
        <w:t>these efforts have contributed to a substantial decline in illegal fishing over the past decade.</w:t>
      </w:r>
    </w:p>
    <w:p w14:paraId="4259592F" w14:textId="53E75A0A" w:rsidR="00BF430E" w:rsidRDefault="00BF430E" w:rsidP="00195C85">
      <w:pPr>
        <w:spacing w:after="120"/>
        <w:rPr>
          <w:lang w:eastAsia="en-GB"/>
        </w:rPr>
      </w:pPr>
      <w:r w:rsidRPr="003904DB">
        <w:rPr>
          <w:rFonts w:asciiTheme="majorHAnsi" w:hAnsiTheme="majorHAnsi" w:cstheme="majorHAnsi"/>
        </w:rPr>
        <w:t>With DFAT’s support, the FFA has been effective in negotiating favourable outcomes in international fisheries forums like the Western and Central Pacific Fisheries Commission (WCPFC), with its regional solidarity and cooperative approach being key strengths. DFAT's funding has enabled important technical and ministerial meetings to occur in person, ensuring Pacific voices are represented in global fisheries negotiations. Significant progress has been made at the WCPFC, including the agreement on a Skipjack Target Reference Point (TRP) in 2015 and the adoption of a WCPFC Harvest Strategy workplan measure. Recently, negotiation processes led by the FFA have become difficult, according to key informants. The 2023 negotiation of the distribution of economic assistance under the US Tuna Treaty was prolonged, partly due to ongoing tensions between sub-regional groups in the Pacific, and was close to collapsing until, informants suggest, Australia intervened to ensure a successful outcome. The resolution does represent a key achievement of regional cooperation, helping to maintain member confidence in the secretariat.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B94DDA" w14:paraId="5A682E53" w14:textId="77777777" w:rsidTr="00B94DDA">
        <w:tc>
          <w:tcPr>
            <w:tcW w:w="9730" w:type="dxa"/>
            <w:shd w:val="clear" w:color="auto" w:fill="2F5496" w:themeFill="accent1" w:themeFillShade="BF"/>
          </w:tcPr>
          <w:p w14:paraId="6ACD2097" w14:textId="264AA8C1" w:rsidR="00B94DDA" w:rsidRDefault="00B94DDA" w:rsidP="00B94DDA">
            <w:pPr>
              <w:spacing w:after="120"/>
              <w:rPr>
                <w:lang w:eastAsia="en-GB"/>
              </w:rPr>
            </w:pPr>
            <w:r w:rsidRPr="00831E4E">
              <w:rPr>
                <w:rFonts w:asciiTheme="majorHAnsi" w:eastAsia="Times New Roman" w:hAnsiTheme="majorHAnsi" w:cstheme="majorHAnsi"/>
                <w:b/>
                <w:color w:val="FFFFFF" w:themeColor="background1"/>
                <w:lang w:eastAsia="en-GB"/>
              </w:rPr>
              <w:t>Rubric Criterion #2(c):</w:t>
            </w:r>
            <w:r w:rsidRPr="00831E4E">
              <w:rPr>
                <w:rFonts w:asciiTheme="majorHAnsi" w:eastAsia="Times New Roman" w:hAnsiTheme="majorHAnsi" w:cstheme="majorHAnsi"/>
                <w:color w:val="FFFFFF" w:themeColor="background1"/>
                <w:lang w:eastAsia="en-GB"/>
              </w:rPr>
              <w:t xml:space="preserve"> </w:t>
            </w:r>
            <w:r w:rsidRPr="00831E4E">
              <w:rPr>
                <w:rFonts w:asciiTheme="majorHAnsi" w:eastAsia="Times New Roman" w:hAnsiTheme="majorHAnsi" w:cstheme="majorHAnsi"/>
                <w:i/>
                <w:color w:val="FFFFFF" w:themeColor="background1"/>
                <w:lang w:eastAsia="en-GB"/>
              </w:rPr>
              <w:t xml:space="preserve">The extent to which DFAT’s support to the FFA Secretariat ensured the effectiveness of services to members, and the extent to which commitments are upheld. Based on the evidence evaluated, this is assessed overall as </w:t>
            </w:r>
            <w:r w:rsidRPr="00831E4E">
              <w:rPr>
                <w:rFonts w:asciiTheme="majorHAnsi" w:eastAsia="Times New Roman" w:hAnsiTheme="majorHAnsi" w:cstheme="majorHAnsi"/>
                <w:b/>
                <w:i/>
                <w:color w:val="FFFFFF" w:themeColor="background1"/>
                <w:lang w:eastAsia="en-GB"/>
              </w:rPr>
              <w:t>Adequate</w:t>
            </w:r>
            <w:r>
              <w:rPr>
                <w:rFonts w:asciiTheme="majorHAnsi" w:eastAsia="Times New Roman" w:hAnsiTheme="majorHAnsi" w:cstheme="majorHAnsi"/>
                <w:b/>
                <w:i/>
                <w:color w:val="FFFFFF" w:themeColor="background1"/>
                <w:lang w:eastAsia="en-GB"/>
              </w:rPr>
              <w:t>.</w:t>
            </w:r>
          </w:p>
        </w:tc>
      </w:tr>
    </w:tbl>
    <w:p w14:paraId="5B2BF708" w14:textId="5B1B97CA" w:rsidR="00BF430E" w:rsidRDefault="00BF430E" w:rsidP="00563F83">
      <w:pPr>
        <w:rPr>
          <w:lang w:eastAsia="en-GB"/>
        </w:rPr>
      </w:pPr>
    </w:p>
    <w:p w14:paraId="1D369109" w14:textId="06364017" w:rsidR="00A047FA" w:rsidRDefault="00A047FA" w:rsidP="00195C85">
      <w:pPr>
        <w:spacing w:after="120"/>
        <w:rPr>
          <w:rFonts w:asciiTheme="majorHAnsi" w:hAnsiTheme="majorHAnsi" w:cstheme="majorHAnsi"/>
        </w:rPr>
      </w:pPr>
      <w:r w:rsidRPr="00A047FA">
        <w:rPr>
          <w:rFonts w:asciiTheme="majorHAnsi" w:hAnsiTheme="majorHAnsi" w:cstheme="majorHAnsi"/>
        </w:rPr>
        <w:t>There is strong evidence (mainly gathered from key informant interviews and the FFA’s own commissioned studies</w:t>
      </w:r>
      <w:r w:rsidR="00B51359">
        <w:rPr>
          <w:rStyle w:val="FootnoteReference"/>
          <w:rFonts w:asciiTheme="majorHAnsi" w:hAnsiTheme="majorHAnsi" w:cstheme="majorHAnsi"/>
        </w:rPr>
        <w:footnoteReference w:id="13"/>
      </w:r>
      <w:r w:rsidRPr="00A047FA">
        <w:rPr>
          <w:rFonts w:asciiTheme="majorHAnsi" w:hAnsiTheme="majorHAnsi" w:cstheme="majorHAnsi"/>
        </w:rPr>
        <w:t xml:space="preserve">) indicating that, </w:t>
      </w:r>
      <w:bookmarkStart w:id="44" w:name="OLE_LINK11"/>
      <w:r w:rsidRPr="00A047FA">
        <w:rPr>
          <w:rFonts w:asciiTheme="majorHAnsi" w:hAnsiTheme="majorHAnsi" w:cstheme="majorHAnsi"/>
        </w:rPr>
        <w:t>although the FFA is generally effective and well regarded, some members believe that service delivery by the FFA does not meet expectations. Despite DFAT’s support, key informants noted fluctuations in the FFA’s effectiveness due to changes in key personnel and leadership, as well as challenges with staff capacities and recruitment processes</w:t>
      </w:r>
      <w:bookmarkEnd w:id="44"/>
      <w:r w:rsidRPr="00A047FA">
        <w:rPr>
          <w:rFonts w:asciiTheme="majorHAnsi" w:hAnsiTheme="majorHAnsi" w:cstheme="majorHAnsi"/>
        </w:rPr>
        <w:t xml:space="preserve">. High vacancy rates, slow recruitment (taking over six months), approvals not being delegated down, and insufficient use of the Human Resource Information System have been identified as concerns for the FFA. Gaps in human capacity and capability hinder the FFA from fully delivering against its Strategic and Business Plans, which is why DFAT funding efforts to transform the FFA’s HR systems are important. Interviews found that staff are often stretched thin, with some acting in multiple roles and unable to take leave. </w:t>
      </w:r>
    </w:p>
    <w:p w14:paraId="41671EC1" w14:textId="2A144181" w:rsidR="00A820C4" w:rsidRPr="003904DB" w:rsidRDefault="00A820C4" w:rsidP="00195C85">
      <w:pPr>
        <w:spacing w:after="120"/>
        <w:rPr>
          <w:rFonts w:asciiTheme="majorHAnsi" w:hAnsiTheme="majorHAnsi" w:cstheme="majorHAnsi"/>
        </w:rPr>
      </w:pPr>
      <w:r w:rsidRPr="003904DB">
        <w:rPr>
          <w:rFonts w:asciiTheme="majorHAnsi" w:hAnsiTheme="majorHAnsi" w:cstheme="majorHAnsi"/>
        </w:rPr>
        <w:t>Key informants also noted that the FFA has not been fully effective in its monitoring and evaluation of its service delivery to members</w:t>
      </w:r>
      <w:r w:rsidR="00B51359">
        <w:rPr>
          <w:rStyle w:val="FootnoteReference"/>
          <w:rFonts w:asciiTheme="majorHAnsi" w:hAnsiTheme="majorHAnsi" w:cstheme="majorHAnsi"/>
        </w:rPr>
        <w:footnoteReference w:id="14"/>
      </w:r>
      <w:r w:rsidRPr="003904DB">
        <w:rPr>
          <w:rFonts w:asciiTheme="majorHAnsi" w:hAnsiTheme="majorHAnsi" w:cstheme="majorHAnsi"/>
        </w:rPr>
        <w:t xml:space="preserve">. DFAT relies on FFA reporting on performance to monitor progress against its core funding, but limited M&amp;E have been conducted so far on the Business Plan and CPAs, with no formal M&amp;E mechanism in place for support provided to members without a CPA. The current planning and reporting framework </w:t>
      </w:r>
      <w:proofErr w:type="gramStart"/>
      <w:r w:rsidRPr="003904DB">
        <w:rPr>
          <w:rFonts w:asciiTheme="majorHAnsi" w:hAnsiTheme="majorHAnsi" w:cstheme="majorHAnsi"/>
        </w:rPr>
        <w:t>has</w:t>
      </w:r>
      <w:proofErr w:type="gramEnd"/>
      <w:r w:rsidRPr="003904DB">
        <w:rPr>
          <w:rFonts w:asciiTheme="majorHAnsi" w:hAnsiTheme="majorHAnsi" w:cstheme="majorHAnsi"/>
        </w:rPr>
        <w:t xml:space="preserve"> been described by key informants as somewhat unwieldy and confusing, with a need for clearer links to development outcomes and improved reporting against them. Several key informants believed that DFAT could have taken a more deliberate role in questioning the quality of the reporting</w:t>
      </w:r>
      <w:r>
        <w:rPr>
          <w:rFonts w:asciiTheme="majorHAnsi" w:hAnsiTheme="majorHAnsi" w:cstheme="majorHAnsi"/>
        </w:rPr>
        <w:t>.</w:t>
      </w:r>
    </w:p>
    <w:p w14:paraId="43D32766" w14:textId="37A18294" w:rsidR="00B51359" w:rsidRDefault="00A820C4" w:rsidP="00195C85">
      <w:pPr>
        <w:spacing w:after="120"/>
        <w:rPr>
          <w:rFonts w:asciiTheme="majorHAnsi" w:hAnsiTheme="majorHAnsi" w:cstheme="majorHAnsi"/>
        </w:rPr>
      </w:pPr>
      <w:r w:rsidRPr="00A820C4">
        <w:rPr>
          <w:rFonts w:asciiTheme="majorHAnsi" w:hAnsiTheme="majorHAnsi" w:cstheme="majorHAnsi"/>
        </w:rPr>
        <w:t>DFAT is an active member of the FFA and has played an important role in supporting the FFA to uphold its commitments to members</w:t>
      </w:r>
      <w:r w:rsidR="00B51359">
        <w:rPr>
          <w:rFonts w:asciiTheme="majorHAnsi" w:hAnsiTheme="majorHAnsi" w:cstheme="majorHAnsi"/>
        </w:rPr>
        <w:t>,</w:t>
      </w:r>
      <w:r w:rsidRPr="00A820C4">
        <w:rPr>
          <w:rFonts w:asciiTheme="majorHAnsi" w:hAnsiTheme="majorHAnsi" w:cstheme="majorHAnsi"/>
        </w:rPr>
        <w:t xml:space="preserve"> according to key informants. The FFA consistently states that it is a proudly member-driven organisation, and there is evidence that </w:t>
      </w:r>
      <w:r w:rsidR="00A047FA">
        <w:rPr>
          <w:rFonts w:asciiTheme="majorHAnsi" w:hAnsiTheme="majorHAnsi" w:cstheme="majorHAnsi"/>
        </w:rPr>
        <w:t>member</w:t>
      </w:r>
      <w:r w:rsidR="00B51359">
        <w:rPr>
          <w:rFonts w:asciiTheme="majorHAnsi" w:hAnsiTheme="majorHAnsi" w:cstheme="majorHAnsi"/>
        </w:rPr>
        <w:t>s</w:t>
      </w:r>
      <w:r w:rsidR="005F5E93">
        <w:rPr>
          <w:rFonts w:asciiTheme="majorHAnsi" w:hAnsiTheme="majorHAnsi" w:cstheme="majorHAnsi"/>
        </w:rPr>
        <w:t>’</w:t>
      </w:r>
      <w:r w:rsidRPr="00A820C4">
        <w:rPr>
          <w:rFonts w:asciiTheme="majorHAnsi" w:hAnsiTheme="majorHAnsi" w:cstheme="majorHAnsi"/>
        </w:rPr>
        <w:t xml:space="preserve"> </w:t>
      </w:r>
      <w:r w:rsidR="00A047FA">
        <w:rPr>
          <w:rFonts w:asciiTheme="majorHAnsi" w:hAnsiTheme="majorHAnsi" w:cstheme="majorHAnsi"/>
        </w:rPr>
        <w:t>needs</w:t>
      </w:r>
      <w:r w:rsidRPr="00A820C4">
        <w:rPr>
          <w:rFonts w:asciiTheme="majorHAnsi" w:hAnsiTheme="majorHAnsi" w:cstheme="majorHAnsi"/>
        </w:rPr>
        <w:t xml:space="preserve"> and </w:t>
      </w:r>
      <w:r w:rsidR="00A047FA">
        <w:rPr>
          <w:rFonts w:asciiTheme="majorHAnsi" w:hAnsiTheme="majorHAnsi" w:cstheme="majorHAnsi"/>
        </w:rPr>
        <w:t>interests</w:t>
      </w:r>
      <w:r w:rsidRPr="00A820C4">
        <w:rPr>
          <w:rFonts w:asciiTheme="majorHAnsi" w:hAnsiTheme="majorHAnsi" w:cstheme="majorHAnsi"/>
        </w:rPr>
        <w:t xml:space="preserve"> directly influence </w:t>
      </w:r>
      <w:r w:rsidR="00A047FA">
        <w:rPr>
          <w:rFonts w:asciiTheme="majorHAnsi" w:hAnsiTheme="majorHAnsi" w:cstheme="majorHAnsi"/>
        </w:rPr>
        <w:t>its</w:t>
      </w:r>
      <w:r w:rsidRPr="00A820C4">
        <w:rPr>
          <w:rFonts w:asciiTheme="majorHAnsi" w:hAnsiTheme="majorHAnsi" w:cstheme="majorHAnsi"/>
        </w:rPr>
        <w:t xml:space="preserve"> </w:t>
      </w:r>
      <w:r w:rsidR="00A047FA">
        <w:rPr>
          <w:rFonts w:asciiTheme="majorHAnsi" w:hAnsiTheme="majorHAnsi" w:cstheme="majorHAnsi"/>
        </w:rPr>
        <w:t>work</w:t>
      </w:r>
      <w:r w:rsidRPr="00A820C4">
        <w:rPr>
          <w:rFonts w:asciiTheme="majorHAnsi" w:hAnsiTheme="majorHAnsi" w:cstheme="majorHAnsi"/>
        </w:rPr>
        <w:t xml:space="preserve"> and </w:t>
      </w:r>
      <w:r w:rsidR="00A047FA">
        <w:rPr>
          <w:rFonts w:asciiTheme="majorHAnsi" w:hAnsiTheme="majorHAnsi" w:cstheme="majorHAnsi"/>
        </w:rPr>
        <w:t>prioritie</w:t>
      </w:r>
      <w:r w:rsidRPr="00A820C4">
        <w:rPr>
          <w:rFonts w:asciiTheme="majorHAnsi" w:hAnsiTheme="majorHAnsi" w:cstheme="majorHAnsi"/>
        </w:rPr>
        <w:t xml:space="preserve">s. An example of this is the development of the 2020-2025 Strategic Plan, which involved a </w:t>
      </w:r>
      <w:r w:rsidRPr="00A820C4">
        <w:rPr>
          <w:rFonts w:asciiTheme="majorHAnsi" w:hAnsiTheme="majorHAnsi" w:cstheme="majorHAnsi"/>
        </w:rPr>
        <w:lastRenderedPageBreak/>
        <w:t xml:space="preserve">highly consultative process with all its members, including Australia. Key informants noted the </w:t>
      </w:r>
      <w:r w:rsidR="00B51359">
        <w:rPr>
          <w:rFonts w:asciiTheme="majorHAnsi" w:hAnsiTheme="majorHAnsi" w:cstheme="majorHAnsi"/>
        </w:rPr>
        <w:t>vital</w:t>
      </w:r>
      <w:r w:rsidRPr="00A820C4">
        <w:rPr>
          <w:rFonts w:asciiTheme="majorHAnsi" w:hAnsiTheme="majorHAnsi" w:cstheme="majorHAnsi"/>
        </w:rPr>
        <w:t xml:space="preserve"> role Australia plays in FFA’s governance body, the FFC, especially since Australia is not seen as being aligned with any of the sub-regional groups. DFAT has actively sought governance and administration </w:t>
      </w:r>
      <w:r w:rsidR="00F62AE7" w:rsidRPr="00A820C4">
        <w:rPr>
          <w:rFonts w:asciiTheme="majorHAnsi" w:hAnsiTheme="majorHAnsi" w:cstheme="majorHAnsi"/>
        </w:rPr>
        <w:t>reforms and</w:t>
      </w:r>
      <w:r w:rsidRPr="00A820C4">
        <w:rPr>
          <w:rFonts w:asciiTheme="majorHAnsi" w:hAnsiTheme="majorHAnsi" w:cstheme="majorHAnsi"/>
        </w:rPr>
        <w:t xml:space="preserve"> strengthened financial accountability. </w:t>
      </w:r>
      <w:r w:rsidR="00B51359">
        <w:rPr>
          <w:rFonts w:asciiTheme="majorHAnsi" w:hAnsiTheme="majorHAnsi" w:cstheme="majorHAnsi"/>
        </w:rPr>
        <w:t>S</w:t>
      </w:r>
      <w:r w:rsidRPr="00A820C4">
        <w:rPr>
          <w:rFonts w:asciiTheme="majorHAnsi" w:hAnsiTheme="majorHAnsi" w:cstheme="majorHAnsi"/>
        </w:rPr>
        <w:t>ome key informants consider that donors such as Australia have been too passive in their oversight of FFA, leading to calls for more frequent and higher-level engagement to ensure alignment with funding objectives and better accountability.</w:t>
      </w:r>
    </w:p>
    <w:p w14:paraId="36029C7A" w14:textId="5BD4E2CB" w:rsidR="00835965" w:rsidRDefault="00A820C4" w:rsidP="00195C85">
      <w:pPr>
        <w:spacing w:after="120"/>
        <w:rPr>
          <w:rFonts w:asciiTheme="majorHAnsi" w:hAnsiTheme="majorHAnsi" w:cstheme="majorHAnsi"/>
        </w:rPr>
      </w:pPr>
      <w:r w:rsidRPr="00A820C4">
        <w:rPr>
          <w:rFonts w:asciiTheme="majorHAnsi" w:hAnsiTheme="majorHAnsi" w:cstheme="majorHAnsi"/>
        </w:rPr>
        <w:t>Additionally, some key informants raised concerns that the SPC is absorbing some of FFA's traditional roles, raising questions about FFA's long-term relevance if it does not improve governance, transparency, and impact. This is complicated by a perceived loss of core expertise in FFA technical fisheries management, leading to a decline in relevance and support from some countries. It will be critical for Australia in the short to medium term to continue to target its support to the FFA to help it demonstrate its relevance through effective delivery to its members.</w:t>
      </w:r>
    </w:p>
    <w:p w14:paraId="709122E6" w14:textId="33BEF3ED" w:rsidR="00902519" w:rsidRPr="00471F58" w:rsidRDefault="00BF430E" w:rsidP="00471F58">
      <w:pPr>
        <w:pStyle w:val="Heading4"/>
        <w:rPr>
          <w:sz w:val="24"/>
          <w:szCs w:val="24"/>
        </w:rPr>
      </w:pPr>
      <w:r w:rsidRPr="00471F58">
        <w:rPr>
          <w:sz w:val="24"/>
          <w:szCs w:val="24"/>
        </w:rPr>
        <w:t>KEQ 1(b)</w:t>
      </w:r>
      <w:r w:rsidR="008875B0" w:rsidRPr="00471F58">
        <w:rPr>
          <w:sz w:val="24"/>
          <w:szCs w:val="24"/>
        </w:rPr>
        <w:t>:</w:t>
      </w:r>
      <w:r w:rsidR="00CA143F" w:rsidRPr="00471F58">
        <w:rPr>
          <w:sz w:val="24"/>
          <w:szCs w:val="24"/>
        </w:rPr>
        <w:t xml:space="preserve"> </w:t>
      </w:r>
      <w:r w:rsidR="00094273" w:rsidRPr="00471F58">
        <w:rPr>
          <w:sz w:val="24"/>
          <w:szCs w:val="24"/>
        </w:rPr>
        <w:t xml:space="preserve">How effectively has DFAT coordinated </w:t>
      </w:r>
      <w:proofErr w:type="gramStart"/>
      <w:r w:rsidR="00094273" w:rsidRPr="00471F58">
        <w:rPr>
          <w:sz w:val="24"/>
          <w:szCs w:val="24"/>
        </w:rPr>
        <w:t>with</w:t>
      </w:r>
      <w:proofErr w:type="gramEnd"/>
      <w:r w:rsidR="00094273" w:rsidRPr="00471F58">
        <w:rPr>
          <w:sz w:val="24"/>
          <w:szCs w:val="24"/>
        </w:rPr>
        <w:t xml:space="preserve"> and leveraged support provided by other donors, government and non-government organisations (including </w:t>
      </w:r>
      <w:r w:rsidR="002012EC" w:rsidRPr="00471F58">
        <w:rPr>
          <w:sz w:val="24"/>
          <w:szCs w:val="24"/>
        </w:rPr>
        <w:t xml:space="preserve">the </w:t>
      </w:r>
      <w:r w:rsidR="00094273" w:rsidRPr="00471F58">
        <w:rPr>
          <w:sz w:val="24"/>
          <w:szCs w:val="24"/>
        </w:rPr>
        <w:t>private sector)?</w:t>
      </w:r>
      <w:bookmarkStart w:id="45" w:name="_Toc19968495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B94DDA" w14:paraId="51F34F91" w14:textId="77777777" w:rsidTr="00B94DDA">
        <w:tc>
          <w:tcPr>
            <w:tcW w:w="9730" w:type="dxa"/>
            <w:shd w:val="clear" w:color="auto" w:fill="DEEAF6" w:themeFill="accent5" w:themeFillTint="33"/>
          </w:tcPr>
          <w:p w14:paraId="095D0E1E" w14:textId="08861AAA" w:rsidR="00B94DDA" w:rsidRDefault="00B94DDA" w:rsidP="00B94DDA">
            <w:pPr>
              <w:spacing w:after="120"/>
              <w:rPr>
                <w:lang w:eastAsia="en-GB"/>
              </w:rPr>
            </w:pPr>
            <w:r w:rsidRPr="00777036">
              <w:rPr>
                <w:rFonts w:asciiTheme="majorHAnsi" w:hAnsiTheme="majorHAnsi" w:cstheme="majorHAnsi"/>
                <w:b/>
                <w:bCs/>
              </w:rPr>
              <w:t>Key finding</w:t>
            </w:r>
            <w:r>
              <w:rPr>
                <w:rFonts w:asciiTheme="majorHAnsi" w:hAnsiTheme="majorHAnsi" w:cstheme="majorHAnsi"/>
              </w:rPr>
              <w:t xml:space="preserve">: </w:t>
            </w:r>
            <w:r w:rsidRPr="00AC33B7">
              <w:rPr>
                <w:rFonts w:asciiTheme="majorHAnsi" w:hAnsiTheme="majorHAnsi" w:cstheme="majorHAnsi"/>
              </w:rPr>
              <w:t xml:space="preserve">DFAT has demonstrated </w:t>
            </w:r>
            <w:r>
              <w:rPr>
                <w:rFonts w:asciiTheme="majorHAnsi" w:hAnsiTheme="majorHAnsi" w:cstheme="majorHAnsi"/>
              </w:rPr>
              <w:t>noticeable</w:t>
            </w:r>
            <w:r w:rsidRPr="00AC33B7">
              <w:rPr>
                <w:rFonts w:asciiTheme="majorHAnsi" w:hAnsiTheme="majorHAnsi" w:cstheme="majorHAnsi"/>
              </w:rPr>
              <w:t xml:space="preserve"> effort and achieved considerable success in coordinating and leveraging support from other donors (especially MFAT), partner governments (through embedded staff and policy alignment), and non-government/academic organisations (through consortium models and co-contributions) in these programs. </w:t>
            </w:r>
            <w:r>
              <w:rPr>
                <w:rFonts w:asciiTheme="majorHAnsi" w:hAnsiTheme="majorHAnsi" w:cstheme="majorHAnsi"/>
              </w:rPr>
              <w:t>Key informants see these partnerships</w:t>
            </w:r>
            <w:r w:rsidRPr="00AC33B7">
              <w:rPr>
                <w:rFonts w:asciiTheme="majorHAnsi" w:hAnsiTheme="majorHAnsi" w:cstheme="majorHAnsi"/>
              </w:rPr>
              <w:t xml:space="preserve"> as providing value for money, bringing diverse expertise, and strengthening regional organisations</w:t>
            </w:r>
            <w:r>
              <w:rPr>
                <w:rFonts w:asciiTheme="majorHAnsi" w:hAnsiTheme="majorHAnsi" w:cstheme="majorHAnsi"/>
              </w:rPr>
              <w:t>, but there</w:t>
            </w:r>
            <w:r w:rsidRPr="00AC33B7">
              <w:rPr>
                <w:rFonts w:asciiTheme="majorHAnsi" w:hAnsiTheme="majorHAnsi" w:cstheme="majorHAnsi"/>
              </w:rPr>
              <w:t xml:space="preserve"> is scope for DFAT to </w:t>
            </w:r>
            <w:r>
              <w:rPr>
                <w:rFonts w:asciiTheme="majorHAnsi" w:hAnsiTheme="majorHAnsi" w:cstheme="majorHAnsi"/>
              </w:rPr>
              <w:t>continue to i</w:t>
            </w:r>
            <w:r w:rsidRPr="00AC33B7">
              <w:rPr>
                <w:rFonts w:asciiTheme="majorHAnsi" w:hAnsiTheme="majorHAnsi" w:cstheme="majorHAnsi"/>
              </w:rPr>
              <w:t>mprove harmonisation with other donors</w:t>
            </w:r>
            <w:r>
              <w:rPr>
                <w:rFonts w:asciiTheme="majorHAnsi" w:hAnsiTheme="majorHAnsi" w:cstheme="majorHAnsi"/>
              </w:rPr>
              <w:t>.</w:t>
            </w:r>
          </w:p>
        </w:tc>
      </w:tr>
    </w:tbl>
    <w:p w14:paraId="1AC32CD4" w14:textId="77777777" w:rsidR="00D32091" w:rsidRDefault="00D32091" w:rsidP="00563F83">
      <w:pPr>
        <w:rPr>
          <w:lang w:eastAsia="en-GB"/>
        </w:rPr>
      </w:pPr>
    </w:p>
    <w:p w14:paraId="78FEFAA2" w14:textId="4D54D43A" w:rsidR="009A31E8" w:rsidRDefault="009A31E8" w:rsidP="00195C85">
      <w:pPr>
        <w:spacing w:after="120"/>
        <w:rPr>
          <w:lang w:eastAsia="en-GB"/>
        </w:rPr>
      </w:pPr>
      <w:r>
        <w:rPr>
          <w:lang w:eastAsia="en-GB"/>
        </w:rPr>
        <w:t xml:space="preserve">As per the </w:t>
      </w:r>
      <w:r>
        <w:rPr>
          <w:i/>
          <w:iCs/>
          <w:lang w:eastAsia="en-GB"/>
        </w:rPr>
        <w:t>Evaluation Rubric</w:t>
      </w:r>
      <w:r>
        <w:rPr>
          <w:lang w:eastAsia="en-GB"/>
        </w:rPr>
        <w:t>, one criterion was assessed to determine the efficacy of DFAT’s role in coordinating key sector stakeholders like donors and non-government organisations.</w:t>
      </w:r>
    </w:p>
    <w:tbl>
      <w:tblPr>
        <w:tblStyle w:val="TableGrid"/>
        <w:tblW w:w="0" w:type="auto"/>
        <w:tblLook w:val="04A0" w:firstRow="1" w:lastRow="0" w:firstColumn="1" w:lastColumn="0" w:noHBand="0" w:noVBand="1"/>
      </w:tblPr>
      <w:tblGrid>
        <w:gridCol w:w="9730"/>
      </w:tblGrid>
      <w:tr w:rsidR="00B94DDA" w14:paraId="7E189378" w14:textId="77777777" w:rsidTr="00B94DDA">
        <w:tc>
          <w:tcPr>
            <w:tcW w:w="9730" w:type="dxa"/>
            <w:tcBorders>
              <w:top w:val="nil"/>
              <w:left w:val="nil"/>
              <w:bottom w:val="nil"/>
              <w:right w:val="nil"/>
            </w:tcBorders>
            <w:shd w:val="clear" w:color="auto" w:fill="2F5496" w:themeFill="accent1" w:themeFillShade="BF"/>
          </w:tcPr>
          <w:p w14:paraId="3F717169" w14:textId="12965CBE" w:rsidR="00B94DDA" w:rsidRDefault="00B94DDA" w:rsidP="00B94DDA">
            <w:pPr>
              <w:spacing w:after="120"/>
              <w:rPr>
                <w:lang w:eastAsia="en-GB"/>
              </w:rPr>
            </w:pPr>
            <w:r w:rsidRPr="00831E4E">
              <w:rPr>
                <w:rFonts w:asciiTheme="majorHAnsi" w:eastAsia="Times New Roman" w:hAnsiTheme="majorHAnsi" w:cstheme="majorHAnsi"/>
                <w:b/>
                <w:color w:val="FFFFFF" w:themeColor="background1"/>
                <w:lang w:eastAsia="en-GB"/>
              </w:rPr>
              <w:t>Rubric Criterion #6:</w:t>
            </w:r>
            <w:r w:rsidRPr="00831E4E">
              <w:rPr>
                <w:rFonts w:asciiTheme="majorHAnsi" w:eastAsia="Times New Roman" w:hAnsiTheme="majorHAnsi" w:cstheme="majorHAnsi"/>
                <w:color w:val="FFFFFF" w:themeColor="background1"/>
                <w:lang w:eastAsia="en-GB"/>
              </w:rPr>
              <w:t xml:space="preserve"> </w:t>
            </w:r>
            <w:r w:rsidRPr="00831E4E">
              <w:rPr>
                <w:i/>
                <w:color w:val="FFFFFF" w:themeColor="background1"/>
                <w:lang w:eastAsia="en-GB"/>
              </w:rPr>
              <w:t>DFAT coordinated with and leveraged support provided by other key stakeholders, including other donors, government and non-government organisations (including the private sector)</w:t>
            </w:r>
            <w:r w:rsidRPr="00831E4E">
              <w:rPr>
                <w:rFonts w:asciiTheme="majorHAnsi" w:eastAsia="Times New Roman" w:hAnsiTheme="majorHAnsi" w:cstheme="majorHAnsi"/>
                <w:i/>
                <w:color w:val="FFFFFF" w:themeColor="background1"/>
                <w:lang w:eastAsia="en-GB"/>
              </w:rPr>
              <w:t xml:space="preserve">. Based on the evidence evaluated, this is assessed overall as </w:t>
            </w:r>
            <w:r w:rsidRPr="00831E4E">
              <w:rPr>
                <w:rFonts w:asciiTheme="majorHAnsi" w:eastAsia="Times New Roman" w:hAnsiTheme="majorHAnsi" w:cstheme="majorHAnsi"/>
                <w:b/>
                <w:i/>
                <w:color w:val="FFFFFF" w:themeColor="background1"/>
                <w:lang w:eastAsia="en-GB"/>
              </w:rPr>
              <w:t>Good</w:t>
            </w:r>
            <w:r>
              <w:rPr>
                <w:rFonts w:asciiTheme="majorHAnsi" w:eastAsia="Times New Roman" w:hAnsiTheme="majorHAnsi" w:cstheme="majorHAnsi"/>
                <w:b/>
                <w:i/>
                <w:color w:val="FFFFFF" w:themeColor="background1"/>
                <w:lang w:eastAsia="en-GB"/>
              </w:rPr>
              <w:t>.</w:t>
            </w:r>
          </w:p>
        </w:tc>
      </w:tr>
    </w:tbl>
    <w:p w14:paraId="43710700" w14:textId="0134BADB" w:rsidR="009A31E8" w:rsidRDefault="009A31E8" w:rsidP="00563F83">
      <w:pPr>
        <w:rPr>
          <w:lang w:eastAsia="en-GB"/>
        </w:rPr>
      </w:pPr>
    </w:p>
    <w:bookmarkEnd w:id="45"/>
    <w:p w14:paraId="44014828" w14:textId="1C128B66" w:rsidR="00835965" w:rsidRPr="00AC33B7" w:rsidRDefault="009A31E8" w:rsidP="00195C85">
      <w:pPr>
        <w:spacing w:after="120"/>
        <w:rPr>
          <w:rFonts w:asciiTheme="majorHAnsi" w:hAnsiTheme="majorHAnsi" w:cstheme="majorHAnsi"/>
          <w:lang w:eastAsia="en-GB"/>
        </w:rPr>
      </w:pPr>
      <w:r>
        <w:rPr>
          <w:lang w:eastAsia="en-GB"/>
        </w:rPr>
        <w:t>T</w:t>
      </w:r>
      <w:r w:rsidRPr="00AC33B7">
        <w:rPr>
          <w:rFonts w:asciiTheme="majorHAnsi" w:hAnsiTheme="majorHAnsi" w:cstheme="majorHAnsi"/>
          <w:lang w:eastAsia="en-GB"/>
        </w:rPr>
        <w:t xml:space="preserve">he evidence is satisfactory (triangulated from document sources such as Evaluation Reports, IMRs/AQCs, and Annual Reports) and supported by interviews to confirm that DFAT coordinated with other key stakeholders through information exchange. DFAT has established coordination mechanisms with other donors, especially with New Zealand's Ministry of Foreign Affairs and Trade (MFAT). This includes regular meetings, joint funding arrangements, and aligned investments. Coordination also takes place via various forums, including donor coordination meetings with SPC </w:t>
      </w:r>
      <w:r w:rsidR="006B5558">
        <w:rPr>
          <w:rFonts w:asciiTheme="majorHAnsi" w:hAnsiTheme="majorHAnsi" w:cstheme="majorHAnsi"/>
          <w:lang w:eastAsia="en-GB"/>
        </w:rPr>
        <w:t>FAME</w:t>
      </w:r>
      <w:r w:rsidRPr="00AC33B7">
        <w:rPr>
          <w:rFonts w:asciiTheme="majorHAnsi" w:hAnsiTheme="majorHAnsi" w:cstheme="majorHAnsi"/>
          <w:lang w:eastAsia="en-GB"/>
        </w:rPr>
        <w:t xml:space="preserve"> and Trilateral High-Level Consultations between FFA, Australia, and New Zealand.</w:t>
      </w:r>
      <w:r w:rsidRPr="00AC33B7">
        <w:rPr>
          <w:rFonts w:asciiTheme="majorHAnsi" w:hAnsiTheme="majorHAnsi" w:cstheme="majorHAnsi"/>
        </w:rPr>
        <w:t xml:space="preserve"> DFAT works with a range of donors, including the World Bank, ADB, EU, and NZ, to develop complementary institutional strengthening programs</w:t>
      </w:r>
    </w:p>
    <w:p w14:paraId="029FD0E5" w14:textId="7085C0A6" w:rsidR="00EF2B67" w:rsidRPr="00195C85" w:rsidRDefault="00D1076A" w:rsidP="00195C85">
      <w:pPr>
        <w:spacing w:after="120"/>
        <w:rPr>
          <w:rFonts w:asciiTheme="majorHAnsi" w:hAnsiTheme="majorHAnsi" w:cstheme="majorHAnsi"/>
        </w:rPr>
      </w:pPr>
      <w:r w:rsidRPr="00AC33B7">
        <w:rPr>
          <w:rFonts w:asciiTheme="majorHAnsi" w:hAnsiTheme="majorHAnsi" w:cstheme="majorHAnsi"/>
        </w:rPr>
        <w:t>Additionally, key informants highlighted that a whole-of-government approach has been a strength of DFAT's engagement. DFAT collaborates with Australian agencies</w:t>
      </w:r>
      <w:r w:rsidR="000D6B30">
        <w:rPr>
          <w:rFonts w:asciiTheme="majorHAnsi" w:hAnsiTheme="majorHAnsi" w:cstheme="majorHAnsi"/>
        </w:rPr>
        <w:t>,</w:t>
      </w:r>
      <w:r w:rsidRPr="00AC33B7">
        <w:rPr>
          <w:rFonts w:asciiTheme="majorHAnsi" w:hAnsiTheme="majorHAnsi" w:cstheme="majorHAnsi"/>
        </w:rPr>
        <w:t xml:space="preserve"> including DAFF, AFMA, Defence, AGD, GA, ACIAR, and CSIRO. This enables the </w:t>
      </w:r>
      <w:r>
        <w:rPr>
          <w:rFonts w:asciiTheme="majorHAnsi" w:hAnsiTheme="majorHAnsi" w:cstheme="majorHAnsi"/>
        </w:rPr>
        <w:t>Investment</w:t>
      </w:r>
      <w:r w:rsidRPr="00AC33B7">
        <w:rPr>
          <w:rFonts w:asciiTheme="majorHAnsi" w:hAnsiTheme="majorHAnsi" w:cstheme="majorHAnsi"/>
        </w:rPr>
        <w:t xml:space="preserve"> to utilise the diverse resources and expertise of key government partners. DFAT leads Australia's engagement regarding the operation, performance, and accountability of the FFA, coordinating across agencies to support the FFA, including with Defence's Pacific Maritime Security Programme. The whole-of-government effort is viewed by key informants as evidence of Australia’s commitment to the sector, extending beyond mere financial investment.</w:t>
      </w:r>
      <w:r w:rsidRPr="00AC33B7" w:rsidDel="009A31E8">
        <w:rPr>
          <w:rFonts w:asciiTheme="majorHAnsi" w:hAnsiTheme="majorHAnsi" w:cstheme="majorHAnsi"/>
        </w:rPr>
        <w:t xml:space="preserve"> </w:t>
      </w:r>
    </w:p>
    <w:p w14:paraId="2FE62C6E" w14:textId="05C29758" w:rsidR="00EF2B67" w:rsidRPr="00195C85" w:rsidRDefault="00D1076A" w:rsidP="00195C85">
      <w:pPr>
        <w:spacing w:after="120"/>
        <w:rPr>
          <w:rFonts w:asciiTheme="majorHAnsi" w:hAnsiTheme="majorHAnsi" w:cstheme="majorHAnsi"/>
        </w:rPr>
      </w:pPr>
      <w:r w:rsidRPr="00AC33B7">
        <w:rPr>
          <w:rFonts w:asciiTheme="majorHAnsi" w:hAnsiTheme="majorHAnsi" w:cstheme="majorHAnsi"/>
        </w:rPr>
        <w:t xml:space="preserve">Evaluation reports and interviews with key informants signal that </w:t>
      </w:r>
      <w:r>
        <w:rPr>
          <w:rFonts w:asciiTheme="majorHAnsi" w:hAnsiTheme="majorHAnsi" w:cstheme="majorHAnsi"/>
        </w:rPr>
        <w:t>e</w:t>
      </w:r>
      <w:r w:rsidR="001A591B" w:rsidRPr="00AC33B7">
        <w:rPr>
          <w:rFonts w:asciiTheme="majorHAnsi" w:hAnsiTheme="majorHAnsi" w:cstheme="majorHAnsi"/>
        </w:rPr>
        <w:t xml:space="preserve">ngagement with NGOs and civil society </w:t>
      </w:r>
      <w:r w:rsidRPr="00AC33B7">
        <w:rPr>
          <w:rFonts w:asciiTheme="majorHAnsi" w:hAnsiTheme="majorHAnsi" w:cstheme="majorHAnsi"/>
        </w:rPr>
        <w:t xml:space="preserve">is </w:t>
      </w:r>
      <w:r w:rsidR="00394694">
        <w:rPr>
          <w:rFonts w:asciiTheme="majorHAnsi" w:hAnsiTheme="majorHAnsi" w:cstheme="majorHAnsi"/>
        </w:rPr>
        <w:t>robust</w:t>
      </w:r>
      <w:r w:rsidR="001A591B" w:rsidRPr="00AC33B7">
        <w:rPr>
          <w:rFonts w:asciiTheme="majorHAnsi" w:hAnsiTheme="majorHAnsi" w:cstheme="majorHAnsi"/>
        </w:rPr>
        <w:t xml:space="preserve"> in the CBFM program. </w:t>
      </w:r>
      <w:r w:rsidRPr="00AC33B7">
        <w:rPr>
          <w:rFonts w:asciiTheme="majorHAnsi" w:hAnsiTheme="majorHAnsi" w:cstheme="majorHAnsi"/>
        </w:rPr>
        <w:t xml:space="preserve">The evaluation of the </w:t>
      </w:r>
      <w:r w:rsidR="001A591B" w:rsidRPr="00AC33B7">
        <w:rPr>
          <w:rFonts w:asciiTheme="majorHAnsi" w:hAnsiTheme="majorHAnsi" w:cstheme="majorHAnsi"/>
        </w:rPr>
        <w:t xml:space="preserve">CBFM Phase 3 demonstrated effective partnerships with NGOs and civil society organisations, enhancing impact and reach. </w:t>
      </w:r>
      <w:r>
        <w:rPr>
          <w:rFonts w:asciiTheme="majorHAnsi" w:hAnsiTheme="majorHAnsi" w:cstheme="majorHAnsi"/>
        </w:rPr>
        <w:t>The same can be said for private sector engagement, which has been limited across the Investment, and the evaluation team found little evidence of engagement with the private sector.</w:t>
      </w:r>
    </w:p>
    <w:p w14:paraId="12FDD1D8" w14:textId="1534B5C1" w:rsidR="006E7C83" w:rsidRPr="00D1076A" w:rsidRDefault="001A591B" w:rsidP="00195C85">
      <w:pPr>
        <w:spacing w:after="120"/>
      </w:pPr>
      <w:bookmarkStart w:id="46" w:name="_Toc199684958"/>
      <w:r w:rsidRPr="00D1076A">
        <w:lastRenderedPageBreak/>
        <w:t xml:space="preserve">DFAT's core funding to FFA and SPC is essential for enabling these organisations to </w:t>
      </w:r>
      <w:r w:rsidRPr="00AC33B7">
        <w:t>leverage further investment from other donors</w:t>
      </w:r>
      <w:r w:rsidRPr="00D1076A">
        <w:t>. Examples include funds from the World Bank (PROP), EU (EDF11, PEUMP</w:t>
      </w:r>
      <w:r w:rsidR="00FC4937" w:rsidRPr="00D1076A">
        <w:rPr>
          <w:rStyle w:val="FootnoteReference"/>
          <w:color w:val="auto"/>
        </w:rPr>
        <w:footnoteReference w:id="15"/>
      </w:r>
      <w:r w:rsidRPr="00D1076A">
        <w:t xml:space="preserve">), NZ, and </w:t>
      </w:r>
      <w:r w:rsidR="00F05C22" w:rsidRPr="00D1076A">
        <w:t>the USA</w:t>
      </w:r>
      <w:r w:rsidRPr="00D1076A">
        <w:t xml:space="preserve">. Specific projects also attract additional resources; for instance, CBFM </w:t>
      </w:r>
      <w:r w:rsidR="00A878D1" w:rsidRPr="00D1076A">
        <w:t xml:space="preserve">was co-funded with ACIAR and </w:t>
      </w:r>
      <w:r w:rsidRPr="00D1076A">
        <w:t>attracted funding from the University of Wollongong. The IUU Fishing project attracted larger maritime surveillance investments</w:t>
      </w:r>
      <w:r w:rsidR="0008185C">
        <w:t xml:space="preserve"> from other donors</w:t>
      </w:r>
      <w:r w:rsidR="00394694">
        <w:t>,</w:t>
      </w:r>
      <w:r w:rsidR="0008185C">
        <w:t xml:space="preserve"> including New Zealand</w:t>
      </w:r>
      <w:r w:rsidRPr="00D1076A">
        <w:t xml:space="preserve">. </w:t>
      </w:r>
      <w:bookmarkEnd w:id="46"/>
    </w:p>
    <w:p w14:paraId="0F1A1262" w14:textId="0D09F4C3" w:rsidR="006E7C83" w:rsidRPr="001A591B" w:rsidRDefault="006E7C83" w:rsidP="00195C85">
      <w:pPr>
        <w:spacing w:after="120"/>
      </w:pPr>
      <w:r w:rsidRPr="006E7C83">
        <w:t xml:space="preserve">Evaluation reports during the lifetime of the Investment have identified several successful co-delivered programs which have been underpinned by effective coordination with DFAT. These include the Pacific Maritime Boundaries Project, supported by DFAT, Geoscience Australia, the Attorney-General's Department, SPC GEM, and a consortium of partners including the US, UK, and FFA; the Support to Address IUU Fishing Project, which brought together the FFA, Attorney-General's Department, and AFMA. An independent evaluation recognised this as effective coordination that enhanced the efficient use of resources and expertise, thereby reducing duplication. Additionally, independent reviews of the CBFM initiatives have highlighted how various phases involve collaboration between DFAT, ACIAR, the University of Wollongong, WorldFish, SPC </w:t>
      </w:r>
      <w:r w:rsidR="006B5558">
        <w:t>FAME</w:t>
      </w:r>
      <w:r w:rsidRPr="006E7C83">
        <w:t>, NGOs, and national agencies.</w:t>
      </w:r>
    </w:p>
    <w:p w14:paraId="17410A3F" w14:textId="77777777" w:rsidR="00A047FA" w:rsidRDefault="00D92099" w:rsidP="00686B1C">
      <w:pPr>
        <w:spacing w:after="120"/>
      </w:pPr>
      <w:r w:rsidRPr="00D92099">
        <w:t xml:space="preserve">While coordination is generally effective, </w:t>
      </w:r>
      <w:r w:rsidR="006E7C83">
        <w:t>key informants report that c</w:t>
      </w:r>
      <w:r w:rsidR="006E7C83" w:rsidRPr="00AC33B7">
        <w:t>oordinating activities across the region can be challenging due to various factors, including donor agendas. Informants report that there is a need for DFAT to continue to engage with other donors (e.g., NZ MFAT, EU, World Bank, FAO) to harmonise resources and activities and, where possible explore other effective partnerships with donors to minimise duplication (</w:t>
      </w:r>
      <w:r w:rsidR="006E7C83" w:rsidRPr="00AC33B7">
        <w:rPr>
          <w:rFonts w:asciiTheme="majorHAnsi" w:hAnsiTheme="majorHAnsi" w:cstheme="majorHAnsi"/>
        </w:rPr>
        <w:t xml:space="preserve">several key informants cited the example of </w:t>
      </w:r>
      <w:r w:rsidR="0008185C" w:rsidRPr="00AC33B7">
        <w:rPr>
          <w:rFonts w:asciiTheme="majorHAnsi" w:hAnsiTheme="majorHAnsi" w:cstheme="majorHAnsi"/>
        </w:rPr>
        <w:t>the</w:t>
      </w:r>
      <w:r w:rsidR="0008185C" w:rsidRPr="00AC33B7">
        <w:rPr>
          <w:rFonts w:asciiTheme="majorHAnsi" w:eastAsia="calibri,sans-serif" w:hAnsiTheme="majorHAnsi" w:cstheme="majorHAnsi"/>
          <w:color w:val="000000"/>
        </w:rPr>
        <w:t xml:space="preserve"> Quadrilateral Defence Coordinating Group </w:t>
      </w:r>
      <w:r w:rsidR="0008185C">
        <w:rPr>
          <w:rFonts w:asciiTheme="majorHAnsi" w:eastAsia="calibri,sans-serif" w:hAnsiTheme="majorHAnsi" w:cstheme="majorHAnsi"/>
          <w:color w:val="000000"/>
        </w:rPr>
        <w:t xml:space="preserve">- </w:t>
      </w:r>
      <w:r w:rsidR="0008185C" w:rsidRPr="00AC33B7">
        <w:rPr>
          <w:rFonts w:asciiTheme="majorHAnsi" w:eastAsia="calibri,sans-serif" w:hAnsiTheme="majorHAnsi" w:cstheme="majorHAnsi"/>
          <w:color w:val="000000"/>
        </w:rPr>
        <w:t>NZ, France, Australia, US</w:t>
      </w:r>
      <w:r w:rsidR="0008185C">
        <w:rPr>
          <w:rFonts w:asciiTheme="majorHAnsi" w:eastAsia="calibri,sans-serif" w:hAnsiTheme="majorHAnsi" w:cstheme="majorHAnsi"/>
          <w:color w:val="000000"/>
        </w:rPr>
        <w:t xml:space="preserve"> – working together to share MCS information and coordinate collective efforts</w:t>
      </w:r>
      <w:r w:rsidR="006E7C83" w:rsidRPr="00AC33B7">
        <w:rPr>
          <w:rFonts w:asciiTheme="majorHAnsi" w:hAnsiTheme="majorHAnsi" w:cstheme="majorHAnsi"/>
        </w:rPr>
        <w:t>).</w:t>
      </w:r>
      <w:r w:rsidR="006E7C83" w:rsidRPr="00AC33B7">
        <w:t xml:space="preserve"> </w:t>
      </w:r>
    </w:p>
    <w:p w14:paraId="067F3A5E" w14:textId="6C19F09A" w:rsidR="0001427F" w:rsidRPr="00471F58" w:rsidRDefault="006E7C83" w:rsidP="00471F58">
      <w:pPr>
        <w:pStyle w:val="Heading3"/>
        <w:rPr>
          <w:rStyle w:val="Heading"/>
          <w:rFonts w:asciiTheme="majorHAnsi" w:hAnsiTheme="majorHAnsi" w:cstheme="majorBidi"/>
          <w:b/>
          <w:bCs/>
          <w:color w:val="2F5496" w:themeColor="accent1" w:themeShade="BF"/>
          <w:sz w:val="28"/>
          <w:szCs w:val="28"/>
        </w:rPr>
      </w:pPr>
      <w:bookmarkStart w:id="47" w:name="_Toc207206814"/>
      <w:r w:rsidRPr="00471F58">
        <w:rPr>
          <w:rStyle w:val="Heading"/>
          <w:rFonts w:asciiTheme="majorHAnsi" w:hAnsiTheme="majorHAnsi" w:cstheme="majorBidi"/>
          <w:b/>
          <w:bCs/>
          <w:color w:val="2F5496" w:themeColor="accent1" w:themeShade="BF"/>
          <w:sz w:val="28"/>
          <w:szCs w:val="28"/>
        </w:rPr>
        <w:t>K</w:t>
      </w:r>
      <w:r w:rsidR="00051E56" w:rsidRPr="00471F58">
        <w:rPr>
          <w:rStyle w:val="Heading"/>
          <w:rFonts w:asciiTheme="majorHAnsi" w:hAnsiTheme="majorHAnsi" w:cstheme="majorBidi"/>
          <w:b/>
          <w:bCs/>
          <w:color w:val="2F5496" w:themeColor="accent1" w:themeShade="BF"/>
          <w:sz w:val="28"/>
          <w:szCs w:val="28"/>
        </w:rPr>
        <w:t xml:space="preserve">EQ 2: </w:t>
      </w:r>
      <w:r w:rsidR="00A72B8D" w:rsidRPr="00471F58">
        <w:rPr>
          <w:rStyle w:val="Heading"/>
          <w:rFonts w:asciiTheme="majorHAnsi" w:hAnsiTheme="majorHAnsi" w:cstheme="majorBidi"/>
          <w:b/>
          <w:bCs/>
          <w:color w:val="2F5496" w:themeColor="accent1" w:themeShade="BF"/>
          <w:sz w:val="28"/>
          <w:szCs w:val="28"/>
        </w:rPr>
        <w:t>T</w:t>
      </w:r>
      <w:r w:rsidR="00094273" w:rsidRPr="00471F58">
        <w:rPr>
          <w:rStyle w:val="Heading"/>
          <w:rFonts w:asciiTheme="majorHAnsi" w:hAnsiTheme="majorHAnsi" w:cstheme="majorBidi"/>
          <w:b/>
          <w:bCs/>
          <w:color w:val="2F5496" w:themeColor="accent1" w:themeShade="BF"/>
          <w:sz w:val="28"/>
          <w:szCs w:val="28"/>
        </w:rPr>
        <w:t xml:space="preserve">o what extent was the </w:t>
      </w:r>
      <w:r w:rsidR="008E5543" w:rsidRPr="00471F58">
        <w:rPr>
          <w:rStyle w:val="Heading"/>
          <w:rFonts w:asciiTheme="majorHAnsi" w:hAnsiTheme="majorHAnsi" w:cstheme="majorBidi"/>
          <w:b/>
          <w:bCs/>
          <w:color w:val="2F5496" w:themeColor="accent1" w:themeShade="BF"/>
          <w:sz w:val="28"/>
          <w:szCs w:val="28"/>
        </w:rPr>
        <w:t>I</w:t>
      </w:r>
      <w:r w:rsidR="00094273" w:rsidRPr="00471F58">
        <w:rPr>
          <w:rStyle w:val="Heading"/>
          <w:rFonts w:asciiTheme="majorHAnsi" w:hAnsiTheme="majorHAnsi" w:cstheme="majorBidi"/>
          <w:b/>
          <w:bCs/>
          <w:color w:val="2F5496" w:themeColor="accent1" w:themeShade="BF"/>
          <w:sz w:val="28"/>
          <w:szCs w:val="28"/>
        </w:rPr>
        <w:t>nvestment (including partner selection and modalities) efficient in achieving its intended outcomes?</w:t>
      </w:r>
      <w:bookmarkStart w:id="48" w:name="_Toc199684960"/>
      <w:bookmarkEnd w:id="4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EEAF6" w:themeFill="accent5" w:themeFillTint="33"/>
        <w:tblLook w:val="04A0" w:firstRow="1" w:lastRow="0" w:firstColumn="1" w:lastColumn="0" w:noHBand="0" w:noVBand="1"/>
      </w:tblPr>
      <w:tblGrid>
        <w:gridCol w:w="9730"/>
      </w:tblGrid>
      <w:tr w:rsidR="006E5D9F" w14:paraId="16869172" w14:textId="77777777" w:rsidTr="0020539C">
        <w:tc>
          <w:tcPr>
            <w:tcW w:w="9730" w:type="dxa"/>
            <w:shd w:val="clear" w:color="auto" w:fill="DEEAF6" w:themeFill="accent5" w:themeFillTint="33"/>
          </w:tcPr>
          <w:p w14:paraId="0B56A863" w14:textId="04D8A10B" w:rsidR="006E5D9F" w:rsidRDefault="006E5D9F" w:rsidP="0020539C">
            <w:pPr>
              <w:spacing w:after="120"/>
            </w:pPr>
            <w:r w:rsidRPr="00777036">
              <w:rPr>
                <w:rFonts w:asciiTheme="majorHAnsi" w:hAnsiTheme="majorHAnsi" w:cstheme="majorHAnsi"/>
                <w:b/>
                <w:bCs/>
              </w:rPr>
              <w:t>Key finding</w:t>
            </w:r>
            <w:r>
              <w:rPr>
                <w:rFonts w:asciiTheme="majorHAnsi" w:hAnsiTheme="majorHAnsi" w:cstheme="majorHAnsi"/>
              </w:rPr>
              <w:t>: The overarching efficiency finding is that, apart from during the COVID-19 Pandemic or other circumstances beyond the Investment’s control, the Investment has generally delivered its outputs within the expected budget and timeframes. Partner selection, especially through Australian government technical agencies, academic institutions, and regional and partner government organisations via mechanisms like consortia and embedded staff, proved effective in sourcing diverse expertise and enhancing capacity. In a few isolated instances, efficiency was affected by legislative reform and diplomatic issues, challenges in financial management by partners, and the need for clearer outcomes and better-integrated program design for the overall Investment. As previously noted, while coordination with other donors, governments, and non-government organisations is visible and actively pursued, there remain opportunities to improve harmonisation among like-minded development partners within the sector.</w:t>
            </w:r>
          </w:p>
        </w:tc>
      </w:tr>
    </w:tbl>
    <w:p w14:paraId="7EA9535E" w14:textId="202EE6E1" w:rsidR="005A55C9" w:rsidRPr="005A55C9" w:rsidRDefault="005A55C9" w:rsidP="005A55C9"/>
    <w:p w14:paraId="65079E33" w14:textId="65D99CEF" w:rsidR="0020539C" w:rsidRDefault="00833338" w:rsidP="003B1CA4">
      <w:pPr>
        <w:rPr>
          <w:i/>
          <w:iCs/>
          <w:lang w:eastAsia="en-GB"/>
        </w:rPr>
      </w:pPr>
      <w:r>
        <w:rPr>
          <w:lang w:eastAsia="en-GB"/>
        </w:rPr>
        <w:t xml:space="preserve">Although strong evidence, supported by triangulation across document sources including Evaluation Reports, IMRs/AQCs, and Annual Reports, and cross-checked against interviews, indicates that the </w:t>
      </w:r>
      <w:r w:rsidR="00B41DE6">
        <w:rPr>
          <w:lang w:eastAsia="en-GB"/>
        </w:rPr>
        <w:t>I</w:t>
      </w:r>
      <w:r>
        <w:rPr>
          <w:lang w:eastAsia="en-GB"/>
        </w:rPr>
        <w:t>nvestment was effective, evaluating its efficiency is hindered by the fact that 70% of the funding disbursed by the Investment was allocated as</w:t>
      </w:r>
      <w:r w:rsidR="00DD6BA0" w:rsidRPr="00DD6BA0">
        <w:rPr>
          <w:lang w:eastAsia="en-GB"/>
        </w:rPr>
        <w:t xml:space="preserve"> core support. This makes it difficult to identify specific efficiencies achieved </w:t>
      </w:r>
      <w:r w:rsidR="00F62AE7" w:rsidRPr="00DD6BA0">
        <w:rPr>
          <w:lang w:eastAsia="en-GB"/>
        </w:rPr>
        <w:t>because of</w:t>
      </w:r>
      <w:r w:rsidR="00DD6BA0" w:rsidRPr="00DD6BA0">
        <w:rPr>
          <w:lang w:eastAsia="en-GB"/>
        </w:rPr>
        <w:t xml:space="preserve"> the </w:t>
      </w:r>
      <w:r>
        <w:rPr>
          <w:lang w:eastAsia="en-GB"/>
        </w:rPr>
        <w:t>I</w:t>
      </w:r>
      <w:r w:rsidR="00DD6BA0" w:rsidRPr="00DD6BA0">
        <w:rPr>
          <w:lang w:eastAsia="en-GB"/>
        </w:rPr>
        <w:t xml:space="preserve">nvestment. Nonetheless, the evaluation team found sufficient evidence to assess the two relevant rubric criteria in accordance with the </w:t>
      </w:r>
      <w:r w:rsidR="00DD6BA0" w:rsidRPr="00AC33B7">
        <w:rPr>
          <w:i/>
          <w:iCs/>
          <w:lang w:eastAsia="en-GB"/>
        </w:rPr>
        <w:t>Evaluation Rubric</w:t>
      </w:r>
      <w:r>
        <w:rPr>
          <w:lang w:eastAsia="en-GB"/>
        </w:rPr>
        <w:t>:</w:t>
      </w:r>
      <w:r w:rsidR="00DD6BA0" w:rsidRPr="00DD6BA0" w:rsidDel="00DD6BA0">
        <w:rPr>
          <w:lang w:eastAsia="en-GB"/>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20539C" w14:paraId="17C7F2B2" w14:textId="77777777" w:rsidTr="0020539C">
        <w:tc>
          <w:tcPr>
            <w:tcW w:w="9730" w:type="dxa"/>
            <w:shd w:val="clear" w:color="auto" w:fill="2F5496" w:themeFill="accent1" w:themeFillShade="BF"/>
          </w:tcPr>
          <w:p w14:paraId="342FC5FF" w14:textId="77777777" w:rsidR="0020539C" w:rsidRPr="00831E4E" w:rsidRDefault="0020539C" w:rsidP="0020539C">
            <w:pPr>
              <w:rPr>
                <w:rFonts w:asciiTheme="majorHAnsi" w:eastAsia="Times New Roman" w:hAnsiTheme="majorHAnsi" w:cstheme="majorHAnsi"/>
                <w:color w:val="FFFFFF" w:themeColor="background1"/>
                <w:lang w:eastAsia="en-GB"/>
              </w:rPr>
            </w:pPr>
            <w:r w:rsidRPr="00831E4E">
              <w:rPr>
                <w:rFonts w:asciiTheme="majorHAnsi" w:eastAsia="Times New Roman" w:hAnsiTheme="majorHAnsi" w:cstheme="majorHAnsi"/>
                <w:b/>
                <w:bCs/>
                <w:color w:val="FFFFFF" w:themeColor="background1"/>
                <w:lang w:eastAsia="en-GB"/>
              </w:rPr>
              <w:t>Rubric Criterion #7:</w:t>
            </w:r>
            <w:r w:rsidRPr="00831E4E">
              <w:rPr>
                <w:rFonts w:asciiTheme="majorHAnsi" w:eastAsia="Times New Roman" w:hAnsiTheme="majorHAnsi" w:cstheme="majorHAnsi"/>
                <w:color w:val="FFFFFF" w:themeColor="background1"/>
                <w:lang w:eastAsia="en-GB"/>
              </w:rPr>
              <w:t xml:space="preserve"> </w:t>
            </w:r>
            <w:r w:rsidRPr="00831E4E">
              <w:rPr>
                <w:i/>
                <w:iCs/>
                <w:color w:val="FFFFFF" w:themeColor="background1"/>
                <w:lang w:eastAsia="en-GB"/>
              </w:rPr>
              <w:t>Investment made appropriate and efficient use of Australia’s and partners’ time and resources to achieve the EOPOs</w:t>
            </w:r>
            <w:r w:rsidRPr="00831E4E">
              <w:rPr>
                <w:rFonts w:asciiTheme="majorHAnsi" w:eastAsia="Times New Roman" w:hAnsiTheme="majorHAnsi" w:cstheme="majorHAnsi"/>
                <w:i/>
                <w:iCs/>
                <w:color w:val="FFFFFF" w:themeColor="background1"/>
                <w:lang w:eastAsia="en-GB"/>
              </w:rPr>
              <w:t xml:space="preserve">. </w:t>
            </w:r>
            <w:r w:rsidRPr="00831E4E">
              <w:rPr>
                <w:rFonts w:asciiTheme="majorHAnsi" w:eastAsia="Times New Roman" w:hAnsiTheme="majorHAnsi" w:cstheme="majorHAnsi"/>
                <w:color w:val="FFFFFF" w:themeColor="background1"/>
                <w:lang w:eastAsia="en-GB"/>
              </w:rPr>
              <w:t xml:space="preserve">Based on the evidence evaluated, this is assessed overall as </w:t>
            </w:r>
            <w:r w:rsidRPr="00831E4E">
              <w:rPr>
                <w:rFonts w:asciiTheme="majorHAnsi" w:eastAsia="Times New Roman" w:hAnsiTheme="majorHAnsi" w:cstheme="majorHAnsi"/>
                <w:b/>
                <w:bCs/>
                <w:color w:val="FFFFFF" w:themeColor="background1"/>
                <w:lang w:eastAsia="en-GB"/>
              </w:rPr>
              <w:t>Good</w:t>
            </w:r>
            <w:r w:rsidRPr="00831E4E">
              <w:rPr>
                <w:rFonts w:asciiTheme="majorHAnsi" w:eastAsia="Times New Roman" w:hAnsiTheme="majorHAnsi" w:cstheme="majorHAnsi"/>
                <w:color w:val="FFFFFF" w:themeColor="background1"/>
                <w:lang w:eastAsia="en-GB"/>
              </w:rPr>
              <w:t>.</w:t>
            </w:r>
          </w:p>
          <w:p w14:paraId="556827B3" w14:textId="7068F24F" w:rsidR="0020539C" w:rsidRPr="0020539C" w:rsidRDefault="0020539C" w:rsidP="0020539C">
            <w:pPr>
              <w:spacing w:after="120"/>
              <w:rPr>
                <w:rFonts w:asciiTheme="majorHAnsi" w:eastAsia="Times New Roman" w:hAnsiTheme="majorHAnsi" w:cstheme="majorHAnsi"/>
                <w:i/>
                <w:iCs/>
                <w:color w:val="FFFFFF" w:themeColor="background1"/>
                <w:lang w:eastAsia="en-GB"/>
              </w:rPr>
            </w:pPr>
            <w:r w:rsidRPr="00831E4E">
              <w:rPr>
                <w:rFonts w:asciiTheme="majorHAnsi" w:eastAsia="Times New Roman" w:hAnsiTheme="majorHAnsi" w:cstheme="majorHAnsi"/>
                <w:b/>
                <w:bCs/>
                <w:color w:val="FFFFFF" w:themeColor="background1"/>
                <w:lang w:eastAsia="en-GB"/>
              </w:rPr>
              <w:t>Rubric Criterion #8:</w:t>
            </w:r>
            <w:r w:rsidRPr="00831E4E">
              <w:rPr>
                <w:rFonts w:asciiTheme="majorHAnsi" w:eastAsia="Times New Roman" w:hAnsiTheme="majorHAnsi" w:cstheme="majorHAnsi"/>
                <w:i/>
                <w:iCs/>
                <w:color w:val="FFFFFF" w:themeColor="background1"/>
                <w:lang w:eastAsia="en-GB"/>
              </w:rPr>
              <w:t xml:space="preserve"> </w:t>
            </w:r>
            <w:r w:rsidRPr="00831E4E">
              <w:rPr>
                <w:i/>
                <w:iCs/>
                <w:color w:val="FFFFFF" w:themeColor="background1"/>
              </w:rPr>
              <w:t>Partner selection and modalities chosen helped achieve intended outcomes</w:t>
            </w:r>
            <w:r w:rsidRPr="00831E4E">
              <w:rPr>
                <w:color w:val="FFFFFF" w:themeColor="background1"/>
              </w:rPr>
              <w:t xml:space="preserve">. Based on the evidence evaluated, this is assessed as </w:t>
            </w:r>
            <w:r w:rsidRPr="00831E4E">
              <w:rPr>
                <w:b/>
                <w:bCs/>
                <w:color w:val="FFFFFF" w:themeColor="background1"/>
              </w:rPr>
              <w:t>Excellent</w:t>
            </w:r>
            <w:r w:rsidRPr="00831E4E">
              <w:rPr>
                <w:color w:val="FFFFFF" w:themeColor="background1"/>
              </w:rPr>
              <w:t>.</w:t>
            </w:r>
          </w:p>
        </w:tc>
      </w:tr>
    </w:tbl>
    <w:p w14:paraId="3DE69D20" w14:textId="053F3602" w:rsidR="00DB615E" w:rsidRDefault="00DB615E" w:rsidP="003B1CA4">
      <w:pPr>
        <w:rPr>
          <w:i/>
          <w:iCs/>
          <w:lang w:eastAsia="en-GB"/>
        </w:rPr>
      </w:pPr>
    </w:p>
    <w:p w14:paraId="4399CE19" w14:textId="5BFE03FF" w:rsidR="00DB615E" w:rsidRDefault="00DB615E" w:rsidP="00563F83">
      <w:pPr>
        <w:rPr>
          <w:i/>
          <w:iCs/>
          <w:lang w:eastAsia="en-GB"/>
        </w:rPr>
      </w:pPr>
    </w:p>
    <w:bookmarkEnd w:id="48"/>
    <w:p w14:paraId="50BDD446" w14:textId="563C8FF2" w:rsidR="00F62AE7" w:rsidRPr="00103CC1" w:rsidRDefault="001712D6" w:rsidP="004A3541">
      <w:pPr>
        <w:tabs>
          <w:tab w:val="clear" w:pos="7780"/>
        </w:tabs>
        <w:spacing w:after="120"/>
      </w:pPr>
      <w:r w:rsidRPr="00AC33B7">
        <w:rPr>
          <w:rFonts w:asciiTheme="majorHAnsi" w:hAnsiTheme="majorHAnsi" w:cstheme="majorHAnsi"/>
        </w:rPr>
        <w:lastRenderedPageBreak/>
        <w:t xml:space="preserve">Time and resources were generally well utilised in relation to all </w:t>
      </w:r>
      <w:proofErr w:type="spellStart"/>
      <w:r w:rsidR="00C846CE">
        <w:rPr>
          <w:rFonts w:asciiTheme="majorHAnsi" w:hAnsiTheme="majorHAnsi" w:cstheme="majorHAnsi"/>
        </w:rPr>
        <w:t>EoPOs</w:t>
      </w:r>
      <w:proofErr w:type="spellEnd"/>
      <w:r w:rsidR="00DD6BA0">
        <w:rPr>
          <w:rFonts w:asciiTheme="majorHAnsi" w:hAnsiTheme="majorHAnsi" w:cstheme="majorHAnsi"/>
        </w:rPr>
        <w:t>.</w:t>
      </w:r>
      <w:r w:rsidRPr="00AC33B7">
        <w:rPr>
          <w:rFonts w:asciiTheme="majorHAnsi" w:hAnsiTheme="majorHAnsi" w:cstheme="majorHAnsi"/>
        </w:rPr>
        <w:t xml:space="preserve"> </w:t>
      </w:r>
      <w:r w:rsidR="003A6C31" w:rsidRPr="00AC33B7">
        <w:rPr>
          <w:rFonts w:asciiTheme="majorHAnsi" w:hAnsiTheme="majorHAnsi" w:cstheme="majorHAnsi"/>
        </w:rPr>
        <w:t xml:space="preserve">Financial records demonstrate that funding was disbursed in accordance with contracts between DFAT and implementing partners. As of May 2025, the </w:t>
      </w:r>
      <w:r w:rsidR="00B41DE6">
        <w:rPr>
          <w:rFonts w:asciiTheme="majorHAnsi" w:hAnsiTheme="majorHAnsi" w:cstheme="majorHAnsi"/>
        </w:rPr>
        <w:t>I</w:t>
      </w:r>
      <w:r w:rsidR="003A6C31" w:rsidRPr="00AC33B7">
        <w:rPr>
          <w:rFonts w:asciiTheme="majorHAnsi" w:hAnsiTheme="majorHAnsi" w:cstheme="majorHAnsi"/>
        </w:rPr>
        <w:t xml:space="preserve">nvestment had expended 95.91% of committed funds, within 93.10% of the time allocated to the </w:t>
      </w:r>
      <w:r w:rsidR="00B41DE6">
        <w:rPr>
          <w:rFonts w:asciiTheme="majorHAnsi" w:hAnsiTheme="majorHAnsi" w:cstheme="majorHAnsi"/>
        </w:rPr>
        <w:t>Investment</w:t>
      </w:r>
      <w:r w:rsidR="003A6C31" w:rsidRPr="00AC33B7">
        <w:rPr>
          <w:rFonts w:asciiTheme="majorHAnsi" w:hAnsiTheme="majorHAnsi" w:cstheme="majorHAnsi"/>
        </w:rPr>
        <w:t xml:space="preserve"> (June 2010 – June 2026). There was limited deviation in the overarching budget for the </w:t>
      </w:r>
      <w:r w:rsidR="00B41DE6">
        <w:rPr>
          <w:rFonts w:asciiTheme="majorHAnsi" w:hAnsiTheme="majorHAnsi" w:cstheme="majorHAnsi"/>
        </w:rPr>
        <w:t>Investment</w:t>
      </w:r>
      <w:r w:rsidR="003A6C31" w:rsidRPr="00AC33B7">
        <w:rPr>
          <w:rFonts w:asciiTheme="majorHAnsi" w:hAnsiTheme="majorHAnsi" w:cstheme="majorHAnsi"/>
        </w:rPr>
        <w:t xml:space="preserve">. The </w:t>
      </w:r>
      <w:r w:rsidR="00B41DE6">
        <w:rPr>
          <w:rFonts w:asciiTheme="majorHAnsi" w:hAnsiTheme="majorHAnsi" w:cstheme="majorHAnsi"/>
        </w:rPr>
        <w:t>Investment</w:t>
      </w:r>
      <w:r w:rsidR="003A6C31" w:rsidRPr="00AC33B7">
        <w:rPr>
          <w:rFonts w:asciiTheme="majorHAnsi" w:hAnsiTheme="majorHAnsi" w:cstheme="majorHAnsi"/>
        </w:rPr>
        <w:t xml:space="preserve"> has funded 5</w:t>
      </w:r>
      <w:r w:rsidR="008526B8" w:rsidRPr="00AC33B7">
        <w:rPr>
          <w:rFonts w:asciiTheme="majorHAnsi" w:hAnsiTheme="majorHAnsi" w:cstheme="majorHAnsi"/>
        </w:rPr>
        <w:t>4</w:t>
      </w:r>
      <w:r w:rsidR="003A6C31" w:rsidRPr="00AC33B7">
        <w:rPr>
          <w:rFonts w:asciiTheme="majorHAnsi" w:hAnsiTheme="majorHAnsi" w:cstheme="majorHAnsi"/>
        </w:rPr>
        <w:t xml:space="preserve"> separate Pacific fisheries-related agreements, with 70% of expenditure on core and program funding for Pacific regional organisations (FFA and SPC </w:t>
      </w:r>
      <w:r w:rsidR="006B5558">
        <w:rPr>
          <w:rFonts w:asciiTheme="majorHAnsi" w:hAnsiTheme="majorHAnsi" w:cstheme="majorHAnsi"/>
        </w:rPr>
        <w:t>FAME</w:t>
      </w:r>
      <w:r w:rsidR="003A6C31" w:rsidRPr="00AC33B7">
        <w:rPr>
          <w:rFonts w:asciiTheme="majorHAnsi" w:hAnsiTheme="majorHAnsi" w:cstheme="majorHAnsi"/>
        </w:rPr>
        <w:t>) and 30% on project funding for coastal fisheries, maritime boundaries, and IUU fishing</w:t>
      </w:r>
      <w:r w:rsidRPr="00AC33B7">
        <w:rPr>
          <w:rFonts w:asciiTheme="majorHAnsi" w:hAnsiTheme="majorHAnsi" w:cstheme="majorHAnsi"/>
        </w:rPr>
        <w:t xml:space="preserve"> </w:t>
      </w:r>
      <w:r w:rsidR="00C846CE">
        <w:rPr>
          <w:rFonts w:asciiTheme="majorHAnsi" w:hAnsiTheme="majorHAnsi" w:cstheme="majorHAnsi"/>
        </w:rPr>
        <w:t>(</w:t>
      </w:r>
      <w:r w:rsidR="00C846CE">
        <w:rPr>
          <w:rFonts w:asciiTheme="majorHAnsi" w:hAnsiTheme="majorHAnsi" w:cstheme="majorHAnsi"/>
        </w:rPr>
        <w:fldChar w:fldCharType="begin"/>
      </w:r>
      <w:r w:rsidR="00C846CE">
        <w:rPr>
          <w:rFonts w:asciiTheme="majorHAnsi" w:hAnsiTheme="majorHAnsi" w:cstheme="majorHAnsi"/>
        </w:rPr>
        <w:instrText xml:space="preserve"> REF _Ref205115150 \h </w:instrText>
      </w:r>
      <w:r w:rsidR="00C846CE">
        <w:rPr>
          <w:rFonts w:asciiTheme="majorHAnsi" w:hAnsiTheme="majorHAnsi" w:cstheme="majorHAnsi"/>
        </w:rPr>
      </w:r>
      <w:r w:rsidR="00C846CE">
        <w:rPr>
          <w:rFonts w:asciiTheme="majorHAnsi" w:hAnsiTheme="majorHAnsi" w:cstheme="majorHAnsi"/>
        </w:rPr>
        <w:fldChar w:fldCharType="separate"/>
      </w:r>
      <w:r w:rsidR="00FC67EE">
        <w:t xml:space="preserve">Figure </w:t>
      </w:r>
      <w:r w:rsidR="00FC67EE">
        <w:rPr>
          <w:noProof/>
        </w:rPr>
        <w:t>3</w:t>
      </w:r>
      <w:r w:rsidR="00C846CE">
        <w:rPr>
          <w:rFonts w:asciiTheme="majorHAnsi" w:hAnsiTheme="majorHAnsi" w:cstheme="majorHAnsi"/>
        </w:rPr>
        <w:fldChar w:fldCharType="end"/>
      </w:r>
      <w:r w:rsidR="00C846CE">
        <w:rPr>
          <w:rFonts w:asciiTheme="majorHAnsi" w:hAnsiTheme="majorHAnsi" w:cstheme="majorHAnsi"/>
        </w:rPr>
        <w:t xml:space="preserve">, </w:t>
      </w:r>
      <w:r w:rsidR="000F3351">
        <w:rPr>
          <w:rFonts w:asciiTheme="majorHAnsi" w:hAnsiTheme="majorHAnsi" w:cstheme="majorHAnsi"/>
        </w:rPr>
        <w:t>Annexe</w:t>
      </w:r>
      <w:r w:rsidR="00C846CE">
        <w:rPr>
          <w:rFonts w:asciiTheme="majorHAnsi" w:hAnsiTheme="majorHAnsi" w:cstheme="majorHAnsi"/>
        </w:rPr>
        <w:t xml:space="preserve"> 6</w:t>
      </w:r>
      <w:r w:rsidRPr="00C846CE">
        <w:rPr>
          <w:rFonts w:asciiTheme="majorHAnsi" w:hAnsiTheme="majorHAnsi" w:cstheme="majorHAnsi"/>
        </w:rPr>
        <w:t xml:space="preserve">). </w:t>
      </w:r>
      <w:r w:rsidRPr="00AC33B7">
        <w:rPr>
          <w:rFonts w:asciiTheme="majorHAnsi" w:hAnsiTheme="majorHAnsi" w:cstheme="majorHAnsi"/>
        </w:rPr>
        <w:t xml:space="preserve">This approach and budget split has remained consistent over the life of the </w:t>
      </w:r>
      <w:r w:rsidR="00B41DE6">
        <w:rPr>
          <w:rFonts w:asciiTheme="majorHAnsi" w:hAnsiTheme="majorHAnsi" w:cstheme="majorHAnsi"/>
        </w:rPr>
        <w:t>Investment</w:t>
      </w:r>
      <w:r w:rsidR="004A3541">
        <w:rPr>
          <w:rFonts w:asciiTheme="majorHAnsi" w:hAnsiTheme="majorHAnsi" w:cstheme="majorHAnsi"/>
        </w:rPr>
        <w:t>, but</w:t>
      </w:r>
      <w:bookmarkStart w:id="49" w:name="_Ref197619223"/>
      <w:r w:rsidR="004A3541">
        <w:rPr>
          <w:rFonts w:asciiTheme="majorHAnsi" w:hAnsiTheme="majorHAnsi" w:cstheme="majorHAnsi"/>
        </w:rPr>
        <w:t xml:space="preserve"> disbursement varied over time on certain initiatives, such as the contributions to the FFA (</w:t>
      </w:r>
      <w:r w:rsidR="004A3541">
        <w:rPr>
          <w:rFonts w:asciiTheme="majorHAnsi" w:hAnsiTheme="majorHAnsi" w:cstheme="majorHAnsi"/>
        </w:rPr>
        <w:fldChar w:fldCharType="begin"/>
      </w:r>
      <w:r w:rsidR="004A3541">
        <w:rPr>
          <w:rFonts w:asciiTheme="majorHAnsi" w:hAnsiTheme="majorHAnsi" w:cstheme="majorHAnsi"/>
        </w:rPr>
        <w:instrText xml:space="preserve"> REF _Ref205116042 \h </w:instrText>
      </w:r>
      <w:r w:rsidR="004A3541">
        <w:rPr>
          <w:rFonts w:asciiTheme="majorHAnsi" w:hAnsiTheme="majorHAnsi" w:cstheme="majorHAnsi"/>
        </w:rPr>
      </w:r>
      <w:r w:rsidR="004A3541">
        <w:rPr>
          <w:rFonts w:asciiTheme="majorHAnsi" w:hAnsiTheme="majorHAnsi" w:cstheme="majorHAnsi"/>
        </w:rPr>
        <w:fldChar w:fldCharType="separate"/>
      </w:r>
      <w:r w:rsidR="00FC67EE">
        <w:t xml:space="preserve">Figure </w:t>
      </w:r>
      <w:r w:rsidR="00FC67EE">
        <w:rPr>
          <w:noProof/>
        </w:rPr>
        <w:t>1</w:t>
      </w:r>
      <w:r w:rsidR="004A3541">
        <w:rPr>
          <w:rFonts w:asciiTheme="majorHAnsi" w:hAnsiTheme="majorHAnsi" w:cstheme="majorHAnsi"/>
        </w:rPr>
        <w:fldChar w:fldCharType="end"/>
      </w:r>
      <w:r w:rsidR="004A3541">
        <w:rPr>
          <w:rFonts w:asciiTheme="majorHAnsi" w:hAnsiTheme="majorHAnsi" w:cstheme="majorHAnsi"/>
        </w:rPr>
        <w:t xml:space="preserve">), </w:t>
      </w:r>
      <w:bookmarkEnd w:id="49"/>
      <w:r w:rsidR="00103CC1" w:rsidRPr="00103CC1">
        <w:t>due to pre-payments made in some years.</w:t>
      </w:r>
    </w:p>
    <w:p w14:paraId="4595A65B" w14:textId="0BDFC6BF" w:rsidR="00103CC1" w:rsidRPr="00E91002" w:rsidRDefault="5E4F35AE" w:rsidP="00195C85">
      <w:pPr>
        <w:pStyle w:val="Caption"/>
        <w:spacing w:after="120"/>
      </w:pPr>
      <w:bookmarkStart w:id="50" w:name="_Ref205116042"/>
      <w:r>
        <w:t xml:space="preserve">Figure </w:t>
      </w:r>
      <w:r w:rsidR="00103CC1" w:rsidRPr="57ADDF87">
        <w:fldChar w:fldCharType="begin"/>
      </w:r>
      <w:r w:rsidR="00103CC1">
        <w:instrText xml:space="preserve"> SEQ Figure \* ARABIC </w:instrText>
      </w:r>
      <w:r w:rsidR="00103CC1" w:rsidRPr="57ADDF87">
        <w:fldChar w:fldCharType="separate"/>
      </w:r>
      <w:r w:rsidR="157F8BDD" w:rsidRPr="57ADDF87">
        <w:rPr>
          <w:noProof/>
        </w:rPr>
        <w:t>1</w:t>
      </w:r>
      <w:r w:rsidR="00103CC1" w:rsidRPr="57ADDF87">
        <w:rPr>
          <w:noProof/>
        </w:rPr>
        <w:fldChar w:fldCharType="end"/>
      </w:r>
      <w:bookmarkEnd w:id="50"/>
      <w:r>
        <w:t>: FFA core funding (AUD, without pre-payments)</w:t>
      </w:r>
    </w:p>
    <w:p w14:paraId="48082517" w14:textId="0EE3103A" w:rsidR="0D314DD7" w:rsidRDefault="0D314DD7" w:rsidP="57ADDF87">
      <w:pPr>
        <w:spacing w:after="120"/>
      </w:pPr>
      <w:r>
        <w:t>GoA – FFA Partnership Agreement 2013 – 2018</w:t>
      </w:r>
    </w:p>
    <w:tbl>
      <w:tblPr>
        <w:tblW w:w="4038"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shd w:val="clear" w:color="auto" w:fill="DEEAF6" w:themeFill="accent5" w:themeFillTint="33"/>
        <w:tblCellMar>
          <w:left w:w="0" w:type="dxa"/>
          <w:right w:w="0" w:type="dxa"/>
        </w:tblCellMar>
        <w:tblLook w:val="04A0" w:firstRow="1" w:lastRow="0" w:firstColumn="1" w:lastColumn="0" w:noHBand="0" w:noVBand="1"/>
      </w:tblPr>
      <w:tblGrid>
        <w:gridCol w:w="965"/>
        <w:gridCol w:w="965"/>
        <w:gridCol w:w="965"/>
        <w:gridCol w:w="965"/>
        <w:gridCol w:w="965"/>
      </w:tblGrid>
      <w:tr w:rsidR="00103CC1" w:rsidRPr="00E91002" w14:paraId="217CD3A2" w14:textId="77777777" w:rsidTr="57ADDF87">
        <w:trPr>
          <w:trHeight w:val="338"/>
        </w:trPr>
        <w:tc>
          <w:tcPr>
            <w:tcW w:w="807" w:type="dxa"/>
            <w:shd w:val="clear" w:color="auto" w:fill="DEEAF6" w:themeFill="accent5" w:themeFillTint="33"/>
            <w:tcMar>
              <w:top w:w="0" w:type="dxa"/>
              <w:left w:w="108" w:type="dxa"/>
              <w:bottom w:w="0" w:type="dxa"/>
              <w:right w:w="108" w:type="dxa"/>
            </w:tcMar>
            <w:hideMark/>
          </w:tcPr>
          <w:p w14:paraId="191BC521" w14:textId="77777777" w:rsidR="00103CC1" w:rsidRPr="00E91002" w:rsidRDefault="00103CC1" w:rsidP="00195C85">
            <w:pPr>
              <w:spacing w:after="120"/>
            </w:pPr>
            <w:r w:rsidRPr="00E91002">
              <w:t>2013/14</w:t>
            </w:r>
          </w:p>
        </w:tc>
        <w:tc>
          <w:tcPr>
            <w:tcW w:w="807" w:type="dxa"/>
            <w:shd w:val="clear" w:color="auto" w:fill="DEEAF6" w:themeFill="accent5" w:themeFillTint="33"/>
            <w:tcMar>
              <w:top w:w="0" w:type="dxa"/>
              <w:left w:w="108" w:type="dxa"/>
              <w:bottom w:w="0" w:type="dxa"/>
              <w:right w:w="108" w:type="dxa"/>
            </w:tcMar>
            <w:hideMark/>
          </w:tcPr>
          <w:p w14:paraId="5966552F" w14:textId="77777777" w:rsidR="00103CC1" w:rsidRPr="00E91002" w:rsidRDefault="00103CC1" w:rsidP="00195C85">
            <w:pPr>
              <w:spacing w:after="120"/>
            </w:pPr>
            <w:r w:rsidRPr="00E91002">
              <w:t>2014/15</w:t>
            </w:r>
          </w:p>
        </w:tc>
        <w:tc>
          <w:tcPr>
            <w:tcW w:w="808" w:type="dxa"/>
            <w:shd w:val="clear" w:color="auto" w:fill="DEEAF6" w:themeFill="accent5" w:themeFillTint="33"/>
            <w:tcMar>
              <w:top w:w="0" w:type="dxa"/>
              <w:left w:w="108" w:type="dxa"/>
              <w:bottom w:w="0" w:type="dxa"/>
              <w:right w:w="108" w:type="dxa"/>
            </w:tcMar>
            <w:hideMark/>
          </w:tcPr>
          <w:p w14:paraId="45DECFE1" w14:textId="77777777" w:rsidR="00103CC1" w:rsidRPr="00E91002" w:rsidRDefault="00103CC1" w:rsidP="00195C85">
            <w:pPr>
              <w:spacing w:after="120"/>
            </w:pPr>
            <w:r w:rsidRPr="00E91002">
              <w:t>2015/16</w:t>
            </w:r>
          </w:p>
        </w:tc>
        <w:tc>
          <w:tcPr>
            <w:tcW w:w="808" w:type="dxa"/>
            <w:shd w:val="clear" w:color="auto" w:fill="DEEAF6" w:themeFill="accent5" w:themeFillTint="33"/>
            <w:tcMar>
              <w:top w:w="0" w:type="dxa"/>
              <w:left w:w="108" w:type="dxa"/>
              <w:bottom w:w="0" w:type="dxa"/>
              <w:right w:w="108" w:type="dxa"/>
            </w:tcMar>
            <w:hideMark/>
          </w:tcPr>
          <w:p w14:paraId="0FD9C27C" w14:textId="77777777" w:rsidR="00103CC1" w:rsidRPr="00E91002" w:rsidRDefault="00103CC1" w:rsidP="00195C85">
            <w:pPr>
              <w:spacing w:after="120"/>
            </w:pPr>
            <w:r w:rsidRPr="00E91002">
              <w:t>2016/17</w:t>
            </w:r>
          </w:p>
        </w:tc>
        <w:tc>
          <w:tcPr>
            <w:tcW w:w="808" w:type="dxa"/>
            <w:shd w:val="clear" w:color="auto" w:fill="DEEAF6" w:themeFill="accent5" w:themeFillTint="33"/>
            <w:tcMar>
              <w:top w:w="0" w:type="dxa"/>
              <w:left w:w="108" w:type="dxa"/>
              <w:bottom w:w="0" w:type="dxa"/>
              <w:right w:w="108" w:type="dxa"/>
            </w:tcMar>
            <w:hideMark/>
          </w:tcPr>
          <w:p w14:paraId="3006B70F" w14:textId="77777777" w:rsidR="00103CC1" w:rsidRPr="00E91002" w:rsidRDefault="00103CC1" w:rsidP="00195C85">
            <w:pPr>
              <w:spacing w:after="120"/>
            </w:pPr>
            <w:r w:rsidRPr="00E91002">
              <w:t>2017/18</w:t>
            </w:r>
          </w:p>
        </w:tc>
      </w:tr>
      <w:tr w:rsidR="00CA7D98" w:rsidRPr="00E91002" w14:paraId="033BDA8B" w14:textId="77777777" w:rsidTr="57ADDF87">
        <w:trPr>
          <w:trHeight w:val="321"/>
        </w:trPr>
        <w:tc>
          <w:tcPr>
            <w:tcW w:w="807" w:type="dxa"/>
            <w:shd w:val="clear" w:color="auto" w:fill="DEEAF6" w:themeFill="accent5" w:themeFillTint="33"/>
            <w:tcMar>
              <w:top w:w="0" w:type="dxa"/>
              <w:left w:w="108" w:type="dxa"/>
              <w:bottom w:w="0" w:type="dxa"/>
              <w:right w:w="108" w:type="dxa"/>
            </w:tcMar>
            <w:hideMark/>
          </w:tcPr>
          <w:p w14:paraId="4CCFAB5E" w14:textId="77777777" w:rsidR="00103CC1" w:rsidRPr="00E91002" w:rsidRDefault="00103CC1" w:rsidP="00195C85">
            <w:pPr>
              <w:spacing w:after="120"/>
            </w:pPr>
            <w:r w:rsidRPr="00E91002">
              <w:t>2.6m</w:t>
            </w:r>
          </w:p>
        </w:tc>
        <w:tc>
          <w:tcPr>
            <w:tcW w:w="807" w:type="dxa"/>
            <w:shd w:val="clear" w:color="auto" w:fill="DEEAF6" w:themeFill="accent5" w:themeFillTint="33"/>
            <w:tcMar>
              <w:top w:w="0" w:type="dxa"/>
              <w:left w:w="108" w:type="dxa"/>
              <w:bottom w:w="0" w:type="dxa"/>
              <w:right w:w="108" w:type="dxa"/>
            </w:tcMar>
            <w:hideMark/>
          </w:tcPr>
          <w:p w14:paraId="55EE13DB" w14:textId="77777777" w:rsidR="00103CC1" w:rsidRPr="00E91002" w:rsidRDefault="00103CC1" w:rsidP="00195C85">
            <w:pPr>
              <w:spacing w:after="120"/>
            </w:pPr>
            <w:r w:rsidRPr="00E91002">
              <w:t>3.8m</w:t>
            </w:r>
          </w:p>
        </w:tc>
        <w:tc>
          <w:tcPr>
            <w:tcW w:w="808" w:type="dxa"/>
            <w:shd w:val="clear" w:color="auto" w:fill="DEEAF6" w:themeFill="accent5" w:themeFillTint="33"/>
            <w:tcMar>
              <w:top w:w="0" w:type="dxa"/>
              <w:left w:w="108" w:type="dxa"/>
              <w:bottom w:w="0" w:type="dxa"/>
              <w:right w:w="108" w:type="dxa"/>
            </w:tcMar>
            <w:hideMark/>
          </w:tcPr>
          <w:p w14:paraId="297CA92D" w14:textId="77777777" w:rsidR="00103CC1" w:rsidRPr="00E91002" w:rsidRDefault="00103CC1" w:rsidP="00195C85">
            <w:pPr>
              <w:spacing w:after="120"/>
            </w:pPr>
            <w:r w:rsidRPr="00E91002">
              <w:t>6.5m</w:t>
            </w:r>
          </w:p>
        </w:tc>
        <w:tc>
          <w:tcPr>
            <w:tcW w:w="808" w:type="dxa"/>
            <w:shd w:val="clear" w:color="auto" w:fill="DEEAF6" w:themeFill="accent5" w:themeFillTint="33"/>
            <w:tcMar>
              <w:top w:w="0" w:type="dxa"/>
              <w:left w:w="108" w:type="dxa"/>
              <w:bottom w:w="0" w:type="dxa"/>
              <w:right w:w="108" w:type="dxa"/>
            </w:tcMar>
            <w:hideMark/>
          </w:tcPr>
          <w:p w14:paraId="2E72FD6A" w14:textId="77777777" w:rsidR="00103CC1" w:rsidRPr="00E91002" w:rsidRDefault="00103CC1" w:rsidP="00195C85">
            <w:pPr>
              <w:spacing w:after="120"/>
            </w:pPr>
            <w:r w:rsidRPr="00E91002">
              <w:t>4.3m</w:t>
            </w:r>
          </w:p>
        </w:tc>
        <w:tc>
          <w:tcPr>
            <w:tcW w:w="808" w:type="dxa"/>
            <w:shd w:val="clear" w:color="auto" w:fill="DEEAF6" w:themeFill="accent5" w:themeFillTint="33"/>
            <w:tcMar>
              <w:top w:w="0" w:type="dxa"/>
              <w:left w:w="108" w:type="dxa"/>
              <w:bottom w:w="0" w:type="dxa"/>
              <w:right w:w="108" w:type="dxa"/>
            </w:tcMar>
            <w:hideMark/>
          </w:tcPr>
          <w:p w14:paraId="0C708BBA" w14:textId="77777777" w:rsidR="00103CC1" w:rsidRPr="00E91002" w:rsidRDefault="00103CC1" w:rsidP="00195C85">
            <w:pPr>
              <w:spacing w:after="120"/>
            </w:pPr>
            <w:r w:rsidRPr="00E91002">
              <w:t>4.2m</w:t>
            </w:r>
          </w:p>
        </w:tc>
      </w:tr>
    </w:tbl>
    <w:p w14:paraId="13914A0A" w14:textId="77777777" w:rsidR="004A3541" w:rsidRDefault="5E4F35AE" w:rsidP="000357D3">
      <w:r>
        <w:t> </w:t>
      </w:r>
    </w:p>
    <w:p w14:paraId="2AC064B1" w14:textId="795C4353" w:rsidR="1FDFA95C" w:rsidRDefault="1FDFA95C" w:rsidP="57ADDF87">
      <w:pPr>
        <w:spacing w:after="120"/>
      </w:pPr>
      <w:r>
        <w:t>GoA – FFA Partnership Agreement 2018 – 2028</w:t>
      </w:r>
    </w:p>
    <w:tbl>
      <w:tblPr>
        <w:tblW w:w="0" w:type="auto"/>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Pr>
      <w:tblGrid>
        <w:gridCol w:w="965"/>
        <w:gridCol w:w="965"/>
        <w:gridCol w:w="965"/>
        <w:gridCol w:w="965"/>
        <w:gridCol w:w="965"/>
        <w:gridCol w:w="965"/>
        <w:gridCol w:w="965"/>
      </w:tblGrid>
      <w:tr w:rsidR="57ADDF87" w14:paraId="419A73AC" w14:textId="77777777" w:rsidTr="57ADDF87">
        <w:trPr>
          <w:trHeight w:val="338"/>
        </w:trPr>
        <w:tc>
          <w:tcPr>
            <w:tcW w:w="808" w:type="dxa"/>
            <w:shd w:val="clear" w:color="auto" w:fill="DEEAF6" w:themeFill="accent5" w:themeFillTint="33"/>
            <w:tcMar>
              <w:top w:w="0" w:type="dxa"/>
              <w:left w:w="108" w:type="dxa"/>
              <w:bottom w:w="0" w:type="dxa"/>
              <w:right w:w="108" w:type="dxa"/>
            </w:tcMar>
          </w:tcPr>
          <w:p w14:paraId="78F02EE6" w14:textId="77777777" w:rsidR="57ADDF87" w:rsidRDefault="57ADDF87" w:rsidP="57ADDF87">
            <w:pPr>
              <w:spacing w:after="120"/>
            </w:pPr>
            <w:r>
              <w:t>2018/19</w:t>
            </w:r>
          </w:p>
        </w:tc>
        <w:tc>
          <w:tcPr>
            <w:tcW w:w="808" w:type="dxa"/>
            <w:shd w:val="clear" w:color="auto" w:fill="DEEAF6" w:themeFill="accent5" w:themeFillTint="33"/>
            <w:tcMar>
              <w:top w:w="0" w:type="dxa"/>
              <w:left w:w="108" w:type="dxa"/>
              <w:bottom w:w="0" w:type="dxa"/>
              <w:right w:w="108" w:type="dxa"/>
            </w:tcMar>
          </w:tcPr>
          <w:p w14:paraId="3AA285F5" w14:textId="77777777" w:rsidR="57ADDF87" w:rsidRDefault="57ADDF87" w:rsidP="57ADDF87">
            <w:pPr>
              <w:spacing w:after="120"/>
            </w:pPr>
            <w:r>
              <w:t>2019/20</w:t>
            </w:r>
          </w:p>
        </w:tc>
        <w:tc>
          <w:tcPr>
            <w:tcW w:w="808" w:type="dxa"/>
            <w:shd w:val="clear" w:color="auto" w:fill="DEEAF6" w:themeFill="accent5" w:themeFillTint="33"/>
            <w:tcMar>
              <w:top w:w="0" w:type="dxa"/>
              <w:left w:w="108" w:type="dxa"/>
              <w:bottom w:w="0" w:type="dxa"/>
              <w:right w:w="108" w:type="dxa"/>
            </w:tcMar>
          </w:tcPr>
          <w:p w14:paraId="3CBA4C4A" w14:textId="77777777" w:rsidR="57ADDF87" w:rsidRDefault="57ADDF87" w:rsidP="57ADDF87">
            <w:pPr>
              <w:spacing w:after="120"/>
            </w:pPr>
            <w:r>
              <w:t>2020/21</w:t>
            </w:r>
          </w:p>
        </w:tc>
        <w:tc>
          <w:tcPr>
            <w:tcW w:w="808" w:type="dxa"/>
            <w:shd w:val="clear" w:color="auto" w:fill="DEEAF6" w:themeFill="accent5" w:themeFillTint="33"/>
            <w:tcMar>
              <w:top w:w="0" w:type="dxa"/>
              <w:left w:w="108" w:type="dxa"/>
              <w:bottom w:w="0" w:type="dxa"/>
              <w:right w:w="108" w:type="dxa"/>
            </w:tcMar>
          </w:tcPr>
          <w:p w14:paraId="2DCE809C" w14:textId="77777777" w:rsidR="57ADDF87" w:rsidRDefault="57ADDF87" w:rsidP="57ADDF87">
            <w:pPr>
              <w:spacing w:after="120"/>
            </w:pPr>
            <w:r>
              <w:t>2021/22</w:t>
            </w:r>
          </w:p>
        </w:tc>
        <w:tc>
          <w:tcPr>
            <w:tcW w:w="808" w:type="dxa"/>
            <w:shd w:val="clear" w:color="auto" w:fill="DEEAF6" w:themeFill="accent5" w:themeFillTint="33"/>
            <w:tcMar>
              <w:top w:w="0" w:type="dxa"/>
              <w:left w:w="108" w:type="dxa"/>
              <w:bottom w:w="0" w:type="dxa"/>
              <w:right w:w="108" w:type="dxa"/>
            </w:tcMar>
          </w:tcPr>
          <w:p w14:paraId="2983DA00" w14:textId="77777777" w:rsidR="57ADDF87" w:rsidRDefault="57ADDF87" w:rsidP="57ADDF87">
            <w:pPr>
              <w:spacing w:after="120"/>
            </w:pPr>
            <w:r>
              <w:t>2022/23</w:t>
            </w:r>
          </w:p>
        </w:tc>
        <w:tc>
          <w:tcPr>
            <w:tcW w:w="808" w:type="dxa"/>
            <w:shd w:val="clear" w:color="auto" w:fill="DEEAF6" w:themeFill="accent5" w:themeFillTint="33"/>
            <w:tcMar>
              <w:top w:w="0" w:type="dxa"/>
              <w:left w:w="108" w:type="dxa"/>
              <w:bottom w:w="0" w:type="dxa"/>
              <w:right w:w="108" w:type="dxa"/>
            </w:tcMar>
          </w:tcPr>
          <w:p w14:paraId="73523181" w14:textId="77777777" w:rsidR="57ADDF87" w:rsidRDefault="57ADDF87" w:rsidP="57ADDF87">
            <w:pPr>
              <w:spacing w:after="120"/>
            </w:pPr>
            <w:r>
              <w:t>2023/24</w:t>
            </w:r>
          </w:p>
        </w:tc>
        <w:tc>
          <w:tcPr>
            <w:tcW w:w="808" w:type="dxa"/>
            <w:shd w:val="clear" w:color="auto" w:fill="DEEAF6" w:themeFill="accent5" w:themeFillTint="33"/>
            <w:tcMar>
              <w:top w:w="0" w:type="dxa"/>
              <w:left w:w="108" w:type="dxa"/>
              <w:bottom w:w="0" w:type="dxa"/>
              <w:right w:w="108" w:type="dxa"/>
            </w:tcMar>
          </w:tcPr>
          <w:p w14:paraId="626AE60F" w14:textId="77777777" w:rsidR="57ADDF87" w:rsidRDefault="57ADDF87" w:rsidP="57ADDF87">
            <w:pPr>
              <w:spacing w:after="120"/>
            </w:pPr>
            <w:r>
              <w:t>2024/25</w:t>
            </w:r>
          </w:p>
        </w:tc>
      </w:tr>
      <w:tr w:rsidR="57ADDF87" w14:paraId="7A97DA70" w14:textId="77777777" w:rsidTr="57ADDF87">
        <w:trPr>
          <w:trHeight w:val="321"/>
        </w:trPr>
        <w:tc>
          <w:tcPr>
            <w:tcW w:w="808" w:type="dxa"/>
            <w:shd w:val="clear" w:color="auto" w:fill="DEEAF6" w:themeFill="accent5" w:themeFillTint="33"/>
            <w:tcMar>
              <w:top w:w="0" w:type="dxa"/>
              <w:left w:w="108" w:type="dxa"/>
              <w:bottom w:w="0" w:type="dxa"/>
              <w:right w:w="108" w:type="dxa"/>
            </w:tcMar>
          </w:tcPr>
          <w:p w14:paraId="4C8544F0" w14:textId="77777777" w:rsidR="57ADDF87" w:rsidRDefault="57ADDF87" w:rsidP="57ADDF87">
            <w:pPr>
              <w:spacing w:after="120"/>
            </w:pPr>
            <w:r>
              <w:t>5.0m</w:t>
            </w:r>
          </w:p>
        </w:tc>
        <w:tc>
          <w:tcPr>
            <w:tcW w:w="808" w:type="dxa"/>
            <w:shd w:val="clear" w:color="auto" w:fill="DEEAF6" w:themeFill="accent5" w:themeFillTint="33"/>
            <w:tcMar>
              <w:top w:w="0" w:type="dxa"/>
              <w:left w:w="108" w:type="dxa"/>
              <w:bottom w:w="0" w:type="dxa"/>
              <w:right w:w="108" w:type="dxa"/>
            </w:tcMar>
          </w:tcPr>
          <w:p w14:paraId="258856AA" w14:textId="77777777" w:rsidR="57ADDF87" w:rsidRDefault="57ADDF87" w:rsidP="57ADDF87">
            <w:pPr>
              <w:spacing w:after="120"/>
            </w:pPr>
            <w:r>
              <w:t>5.0m</w:t>
            </w:r>
          </w:p>
        </w:tc>
        <w:tc>
          <w:tcPr>
            <w:tcW w:w="808" w:type="dxa"/>
            <w:shd w:val="clear" w:color="auto" w:fill="DEEAF6" w:themeFill="accent5" w:themeFillTint="33"/>
            <w:tcMar>
              <w:top w:w="0" w:type="dxa"/>
              <w:left w:w="108" w:type="dxa"/>
              <w:bottom w:w="0" w:type="dxa"/>
              <w:right w:w="108" w:type="dxa"/>
            </w:tcMar>
          </w:tcPr>
          <w:p w14:paraId="6C98AE9A" w14:textId="77777777" w:rsidR="57ADDF87" w:rsidRDefault="57ADDF87" w:rsidP="57ADDF87">
            <w:pPr>
              <w:spacing w:after="120"/>
            </w:pPr>
            <w:r>
              <w:t>5.0m</w:t>
            </w:r>
          </w:p>
        </w:tc>
        <w:tc>
          <w:tcPr>
            <w:tcW w:w="808" w:type="dxa"/>
            <w:shd w:val="clear" w:color="auto" w:fill="DEEAF6" w:themeFill="accent5" w:themeFillTint="33"/>
            <w:tcMar>
              <w:top w:w="0" w:type="dxa"/>
              <w:left w:w="108" w:type="dxa"/>
              <w:bottom w:w="0" w:type="dxa"/>
              <w:right w:w="108" w:type="dxa"/>
            </w:tcMar>
          </w:tcPr>
          <w:p w14:paraId="170928D7" w14:textId="77777777" w:rsidR="57ADDF87" w:rsidRDefault="57ADDF87" w:rsidP="57ADDF87">
            <w:pPr>
              <w:spacing w:after="120"/>
            </w:pPr>
            <w:r>
              <w:t>5.0m</w:t>
            </w:r>
          </w:p>
        </w:tc>
        <w:tc>
          <w:tcPr>
            <w:tcW w:w="808" w:type="dxa"/>
            <w:shd w:val="clear" w:color="auto" w:fill="DEEAF6" w:themeFill="accent5" w:themeFillTint="33"/>
            <w:tcMar>
              <w:top w:w="0" w:type="dxa"/>
              <w:left w:w="108" w:type="dxa"/>
              <w:bottom w:w="0" w:type="dxa"/>
              <w:right w:w="108" w:type="dxa"/>
            </w:tcMar>
          </w:tcPr>
          <w:p w14:paraId="62EA97FE" w14:textId="77777777" w:rsidR="57ADDF87" w:rsidRDefault="57ADDF87" w:rsidP="57ADDF87">
            <w:pPr>
              <w:spacing w:after="120"/>
            </w:pPr>
            <w:r>
              <w:t>5.0m</w:t>
            </w:r>
          </w:p>
        </w:tc>
        <w:tc>
          <w:tcPr>
            <w:tcW w:w="808" w:type="dxa"/>
            <w:shd w:val="clear" w:color="auto" w:fill="DEEAF6" w:themeFill="accent5" w:themeFillTint="33"/>
            <w:tcMar>
              <w:top w:w="0" w:type="dxa"/>
              <w:left w:w="108" w:type="dxa"/>
              <w:bottom w:w="0" w:type="dxa"/>
              <w:right w:w="108" w:type="dxa"/>
            </w:tcMar>
          </w:tcPr>
          <w:p w14:paraId="3504D827" w14:textId="77777777" w:rsidR="57ADDF87" w:rsidRDefault="57ADDF87" w:rsidP="57ADDF87">
            <w:pPr>
              <w:spacing w:after="120"/>
            </w:pPr>
            <w:r>
              <w:t>5.0m</w:t>
            </w:r>
          </w:p>
        </w:tc>
        <w:tc>
          <w:tcPr>
            <w:tcW w:w="808" w:type="dxa"/>
            <w:shd w:val="clear" w:color="auto" w:fill="DEEAF6" w:themeFill="accent5" w:themeFillTint="33"/>
            <w:tcMar>
              <w:top w:w="0" w:type="dxa"/>
              <w:left w:w="108" w:type="dxa"/>
              <w:bottom w:w="0" w:type="dxa"/>
              <w:right w:w="108" w:type="dxa"/>
            </w:tcMar>
          </w:tcPr>
          <w:p w14:paraId="74F6E1B4" w14:textId="77777777" w:rsidR="57ADDF87" w:rsidRDefault="57ADDF87" w:rsidP="57ADDF87">
            <w:pPr>
              <w:spacing w:after="120"/>
            </w:pPr>
            <w:r>
              <w:t>5.0m</w:t>
            </w:r>
          </w:p>
        </w:tc>
      </w:tr>
    </w:tbl>
    <w:p w14:paraId="68DC5403" w14:textId="22BFD581" w:rsidR="57ADDF87" w:rsidRDefault="57ADDF87" w:rsidP="57ADDF87">
      <w:pPr>
        <w:spacing w:after="120"/>
        <w:rPr>
          <w:rFonts w:asciiTheme="majorHAnsi" w:hAnsiTheme="majorHAnsi" w:cstheme="majorBidi"/>
        </w:rPr>
      </w:pPr>
    </w:p>
    <w:p w14:paraId="02133DFA" w14:textId="107711C2" w:rsidR="004A3541" w:rsidRPr="004A3541" w:rsidRDefault="004A3541" w:rsidP="00195C85">
      <w:pPr>
        <w:spacing w:after="120"/>
      </w:pPr>
      <w:r w:rsidRPr="004A3541">
        <w:rPr>
          <w:rFonts w:asciiTheme="majorHAnsi" w:hAnsiTheme="majorHAnsi" w:cstheme="majorHAnsi"/>
        </w:rPr>
        <w:t xml:space="preserve">In some other components of the </w:t>
      </w:r>
      <w:r w:rsidR="00B41DE6">
        <w:rPr>
          <w:rFonts w:asciiTheme="majorHAnsi" w:hAnsiTheme="majorHAnsi" w:cstheme="majorHAnsi"/>
        </w:rPr>
        <w:t>Investment</w:t>
      </w:r>
      <w:r w:rsidRPr="004A3541">
        <w:rPr>
          <w:rFonts w:asciiTheme="majorHAnsi" w:hAnsiTheme="majorHAnsi" w:cstheme="majorHAnsi"/>
        </w:rPr>
        <w:t>, there was significant underspend across several projects. The IUU Fishing project was 17% under budget, mainly because the COVID-19 pandemic limited face-to-face activities. The PMB Project had an overall underspend of about 33% until the end of 2020, partly due to COVID-19 impacts and difficulties in financial reporting from partners, but it was fully spent by the end of the extended project. The OPOC funding showed a notable under-expenditure rate (around 49%) because the office was not fully staffed until mid-2019. In the CBFM project, the SPC portion experienced some underspend, including on monitoring and evaluation.</w:t>
      </w:r>
    </w:p>
    <w:p w14:paraId="1270BFC8" w14:textId="780A50A6" w:rsidR="004A3541" w:rsidRDefault="004A3541" w:rsidP="00195C85">
      <w:pPr>
        <w:spacing w:after="120"/>
        <w:rPr>
          <w:rFonts w:asciiTheme="majorHAnsi" w:hAnsiTheme="majorHAnsi" w:cstheme="majorHAnsi"/>
        </w:rPr>
      </w:pPr>
      <w:r w:rsidRPr="004A3541">
        <w:rPr>
          <w:rFonts w:asciiTheme="majorHAnsi" w:hAnsiTheme="majorHAnsi" w:cstheme="majorHAnsi"/>
        </w:rPr>
        <w:t xml:space="preserve">Efficiency in resource use was sometimes hindered by factors outside project control, such as the slow pace of legislative reform in targeted PICs, which limited the full utilisation of the technical expertise from the AGD in the IUU Fishing project. Delays were also encountered in finalising all marine boundaries, again due to diplomatic issues beyond the control of the </w:t>
      </w:r>
      <w:r w:rsidR="00B41DE6">
        <w:rPr>
          <w:rFonts w:asciiTheme="majorHAnsi" w:hAnsiTheme="majorHAnsi" w:cstheme="majorHAnsi"/>
        </w:rPr>
        <w:t>Investment</w:t>
      </w:r>
      <w:r w:rsidRPr="004A3541">
        <w:rPr>
          <w:rFonts w:asciiTheme="majorHAnsi" w:hAnsiTheme="majorHAnsi" w:cstheme="majorHAnsi"/>
        </w:rPr>
        <w:t xml:space="preserve">. The COVID-19 pandemic significantly impacted the </w:t>
      </w:r>
      <w:r w:rsidR="00B41DE6">
        <w:rPr>
          <w:rFonts w:asciiTheme="majorHAnsi" w:hAnsiTheme="majorHAnsi" w:cstheme="majorHAnsi"/>
        </w:rPr>
        <w:t>Investment</w:t>
      </w:r>
      <w:r w:rsidRPr="004A3541">
        <w:rPr>
          <w:rFonts w:asciiTheme="majorHAnsi" w:hAnsiTheme="majorHAnsi" w:cstheme="majorHAnsi"/>
        </w:rPr>
        <w:t>, forcing a shift to remote or online delivery that curtailed many planned face-to-face activities, particularly in IUU Fishing and PMB.</w:t>
      </w:r>
    </w:p>
    <w:p w14:paraId="7B22945D" w14:textId="34202BD2" w:rsidR="00C27173" w:rsidRDefault="00CE5FD2" w:rsidP="00195C85">
      <w:pPr>
        <w:spacing w:after="120"/>
      </w:pPr>
      <w:r w:rsidRPr="00AC33B7">
        <w:rPr>
          <w:rFonts w:asciiTheme="majorHAnsi" w:hAnsiTheme="majorHAnsi" w:cstheme="majorHAnsi"/>
        </w:rPr>
        <w:t xml:space="preserve">Partner selection and the chosen modalities were suitable for achieving the EOPOs. Independent evaluation reports and key informant interviews highlighted several examples that demonstrate the effectiveness of the partner selection and the appropriateness of the approaches used under this </w:t>
      </w:r>
      <w:r w:rsidR="00B41DE6">
        <w:rPr>
          <w:rFonts w:asciiTheme="majorHAnsi" w:hAnsiTheme="majorHAnsi" w:cstheme="majorHAnsi"/>
        </w:rPr>
        <w:t>Investment</w:t>
      </w:r>
      <w:r w:rsidRPr="00AC33B7">
        <w:rPr>
          <w:rFonts w:asciiTheme="majorHAnsi" w:hAnsiTheme="majorHAnsi" w:cstheme="majorHAnsi"/>
        </w:rPr>
        <w:t xml:space="preserve">. Providing support through existing, long-term partnerships with regional organisations such as the FFA and SPC </w:t>
      </w:r>
      <w:r w:rsidR="006B5558">
        <w:rPr>
          <w:rFonts w:asciiTheme="majorHAnsi" w:hAnsiTheme="majorHAnsi" w:cstheme="majorHAnsi"/>
        </w:rPr>
        <w:t>FAME</w:t>
      </w:r>
      <w:r w:rsidRPr="00AC33B7">
        <w:rPr>
          <w:rFonts w:asciiTheme="majorHAnsi" w:hAnsiTheme="majorHAnsi" w:cstheme="majorHAnsi"/>
        </w:rPr>
        <w:t xml:space="preserve"> is regarded as an efficient method to coordinate, share information, and access specialised services. It helps reduce administrative burdens and delivers economies of scale</w:t>
      </w:r>
      <w:r>
        <w:rPr>
          <w:rFonts w:asciiTheme="majorHAnsi" w:hAnsiTheme="majorHAnsi" w:cstheme="majorHAnsi"/>
        </w:rPr>
        <w:t xml:space="preserve">, and </w:t>
      </w:r>
      <w:r w:rsidRPr="00D5119C">
        <w:t>core funding</w:t>
      </w:r>
      <w:r>
        <w:t xml:space="preserve"> to the FFA, for instance,</w:t>
      </w:r>
      <w:r w:rsidRPr="00D5119C">
        <w:t xml:space="preserve"> allows responsiveness to emerging priorities, including deep-sea mining and climate change</w:t>
      </w:r>
      <w:r w:rsidRPr="00AC33B7">
        <w:rPr>
          <w:rFonts w:asciiTheme="majorHAnsi" w:hAnsiTheme="majorHAnsi" w:cstheme="majorHAnsi"/>
        </w:rPr>
        <w:t>.</w:t>
      </w:r>
      <w:r w:rsidR="00C27173" w:rsidRPr="00103CC1">
        <w:t xml:space="preserve"> In several instances, these agencies have also played a key role in activities supported by the </w:t>
      </w:r>
      <w:r w:rsidR="00B41DE6">
        <w:t>Investment</w:t>
      </w:r>
      <w:r w:rsidR="00C27173" w:rsidRPr="00103CC1">
        <w:t xml:space="preserve"> (e.g., SPC’s role in PMB, and the FFA in the IUU Fishing project), which is valued by PICs and enhances local ownership</w:t>
      </w:r>
    </w:p>
    <w:p w14:paraId="7A11F297" w14:textId="4E61474B" w:rsidR="00DD6BA0" w:rsidRDefault="00427F3D" w:rsidP="00195C85">
      <w:pPr>
        <w:spacing w:after="120"/>
        <w:rPr>
          <w:rFonts w:asciiTheme="majorHAnsi" w:hAnsiTheme="majorHAnsi" w:cs="Calibri"/>
          <w:lang w:val="en-AU"/>
        </w:rPr>
      </w:pPr>
      <w:r w:rsidRPr="00D5119C">
        <w:t xml:space="preserve">Evaluations of different components of the </w:t>
      </w:r>
      <w:r w:rsidR="00B41DE6">
        <w:t>Investment</w:t>
      </w:r>
      <w:r w:rsidRPr="00D5119C">
        <w:t xml:space="preserve"> found partners such as the AFMA, ANCOR</w:t>
      </w:r>
      <w:r>
        <w:t>S</w:t>
      </w:r>
      <w:r w:rsidRPr="00D5119C">
        <w:t xml:space="preserve">, ACIAR, </w:t>
      </w:r>
      <w:r>
        <w:t>and</w:t>
      </w:r>
      <w:r w:rsidRPr="00D5119C">
        <w:t xml:space="preserve"> AGD to be the right partners, who had a good reputation in the region.</w:t>
      </w:r>
      <w:r w:rsidR="00C27173">
        <w:t xml:space="preserve"> For example, i</w:t>
      </w:r>
      <w:r w:rsidR="00C27173" w:rsidRPr="00103CC1">
        <w:t>n the IUU Fishing project, the use of specific Australian government partners like AFMA (operational) and AGD (legal) was considered appropriate and highly valued by PICs for their subject matter expertise.</w:t>
      </w:r>
    </w:p>
    <w:p w14:paraId="7112E66D" w14:textId="57A886BE" w:rsidR="00CE5FD2" w:rsidRDefault="00427F3D" w:rsidP="00195C85">
      <w:pPr>
        <w:spacing w:after="120"/>
        <w:rPr>
          <w:rFonts w:asciiTheme="majorHAnsi" w:hAnsiTheme="majorHAnsi" w:cs="Calibri"/>
          <w:lang w:val="en-AU"/>
        </w:rPr>
      </w:pPr>
      <w:r w:rsidRPr="00427F3D">
        <w:rPr>
          <w:rFonts w:asciiTheme="majorHAnsi" w:hAnsiTheme="majorHAnsi" w:cs="Calibri"/>
          <w:lang w:val="en-AU"/>
        </w:rPr>
        <w:lastRenderedPageBreak/>
        <w:t>The consortium model used in several initiatives was valued by key informants who noted that such an approach brought together a range of expertise (including both technical and legal) and different funding sources to the projects, as well as ensuring continuity between funding stages. Examples include both CBFM (with University of Wollongong/ANCORS and WorldFish) and the PMB Project (with GA, AGD, SPC, University of Sydney, GRID-Arendal). Additionally, both CBFM and the PMB project functioned effectively as a 'community of practice', which enhanced delivery and helped address challenges quickly as they arose</w:t>
      </w:r>
      <w:r>
        <w:rPr>
          <w:rFonts w:asciiTheme="majorHAnsi" w:hAnsiTheme="majorHAnsi" w:cs="Calibri"/>
          <w:lang w:val="en-AU"/>
        </w:rPr>
        <w:t xml:space="preserve"> through peer-to-peer engagement</w:t>
      </w:r>
      <w:r w:rsidRPr="00427F3D">
        <w:rPr>
          <w:rFonts w:asciiTheme="majorHAnsi" w:hAnsiTheme="majorHAnsi" w:cs="Calibri"/>
          <w:lang w:val="en-AU"/>
        </w:rPr>
        <w:t>.</w:t>
      </w:r>
    </w:p>
    <w:p w14:paraId="1D16E591" w14:textId="584EAFED" w:rsidR="00427F3D" w:rsidRDefault="00CE5FD2" w:rsidP="00195C85">
      <w:pPr>
        <w:spacing w:after="120"/>
        <w:rPr>
          <w:rFonts w:asciiTheme="majorHAnsi" w:hAnsiTheme="majorHAnsi" w:cs="Calibri"/>
          <w:lang w:val="en-AU"/>
        </w:rPr>
      </w:pPr>
      <w:r w:rsidRPr="00CE5FD2">
        <w:rPr>
          <w:rFonts w:asciiTheme="majorHAnsi" w:hAnsiTheme="majorHAnsi" w:cs="Calibri"/>
          <w:lang w:val="en-AU"/>
        </w:rPr>
        <w:t xml:space="preserve">DFAT’s use of a whole-of-government approach enabled the </w:t>
      </w:r>
      <w:r w:rsidR="00B41DE6">
        <w:rPr>
          <w:rFonts w:asciiTheme="majorHAnsi" w:hAnsiTheme="majorHAnsi" w:cs="Calibri"/>
          <w:lang w:val="en-AU"/>
        </w:rPr>
        <w:t>Investment</w:t>
      </w:r>
      <w:r w:rsidRPr="00CE5FD2">
        <w:rPr>
          <w:rFonts w:asciiTheme="majorHAnsi" w:hAnsiTheme="majorHAnsi" w:cs="Calibri"/>
          <w:lang w:val="en-AU"/>
        </w:rPr>
        <w:t xml:space="preserve"> to leverage the resources and skills of key government partners. DFAT’s collaboration with Australian agencies such as the Department of Agriculture, Fisheries and Forestry (DAFF), Defence, AGD, AFMA, GA, ACIAR, and CSIRO is regarded by key informants as essential and efficient, as it ensured the </w:t>
      </w:r>
      <w:r w:rsidR="00B41DE6">
        <w:rPr>
          <w:rFonts w:asciiTheme="majorHAnsi" w:hAnsiTheme="majorHAnsi" w:cs="Calibri"/>
          <w:lang w:val="en-AU"/>
        </w:rPr>
        <w:t>Investment</w:t>
      </w:r>
      <w:r w:rsidRPr="00CE5FD2">
        <w:rPr>
          <w:rFonts w:asciiTheme="majorHAnsi" w:hAnsiTheme="majorHAnsi" w:cs="Calibri"/>
          <w:lang w:val="en-AU"/>
        </w:rPr>
        <w:t xml:space="preserve"> could access the necessary technical capacity and expertise provided by these different agencies. At the same time, it offered DFAT an opportunity to coordinate inputs </w:t>
      </w:r>
      <w:r>
        <w:rPr>
          <w:rFonts w:asciiTheme="majorHAnsi" w:hAnsiTheme="majorHAnsi" w:cs="Calibri"/>
          <w:lang w:val="en-AU"/>
        </w:rPr>
        <w:t>into</w:t>
      </w:r>
      <w:r w:rsidRPr="00CE5FD2">
        <w:rPr>
          <w:rFonts w:asciiTheme="majorHAnsi" w:hAnsiTheme="majorHAnsi" w:cs="Calibri"/>
          <w:lang w:val="en-AU"/>
        </w:rPr>
        <w:t xml:space="preserve"> relatively small and often overstretched fisheries agencies across the region.</w:t>
      </w:r>
    </w:p>
    <w:p w14:paraId="5B794AB4" w14:textId="5DD1D083" w:rsidR="00C27173" w:rsidRDefault="00C27173" w:rsidP="00195C85">
      <w:pPr>
        <w:spacing w:after="120"/>
        <w:rPr>
          <w:rFonts w:cstheme="majorHAnsi"/>
          <w:color w:val="2E74B5" w:themeColor="accent5" w:themeShade="BF"/>
          <w:spacing w:val="30"/>
          <w:sz w:val="24"/>
          <w:szCs w:val="24"/>
        </w:rPr>
      </w:pPr>
      <w:r w:rsidRPr="00C27173">
        <w:rPr>
          <w:rFonts w:asciiTheme="majorHAnsi" w:hAnsiTheme="majorHAnsi" w:cs="Calibri"/>
          <w:lang w:val="en-AU"/>
        </w:rPr>
        <w:t xml:space="preserve">The embedded approach, which involves placing staff within partner country fisheries agencies and a WorldFish Advisor within a government unit, is regarded as fostering a strong partnership and delivering targeted, relevant support aligned with national priorities. According to key informants, this approach has been effective in building institutional capacity and contributing to foundational policy and strategy. </w:t>
      </w:r>
    </w:p>
    <w:p w14:paraId="50FD786F" w14:textId="3876F544" w:rsidR="0057453C" w:rsidRPr="00471F58" w:rsidRDefault="006E7C83" w:rsidP="00471F58">
      <w:pPr>
        <w:pStyle w:val="Heading4"/>
        <w:rPr>
          <w:sz w:val="24"/>
          <w:szCs w:val="24"/>
        </w:rPr>
      </w:pPr>
      <w:r w:rsidRPr="00471F58">
        <w:rPr>
          <w:sz w:val="24"/>
          <w:szCs w:val="24"/>
        </w:rPr>
        <w:t>K</w:t>
      </w:r>
      <w:r w:rsidR="00CA143F" w:rsidRPr="00471F58">
        <w:rPr>
          <w:sz w:val="24"/>
          <w:szCs w:val="24"/>
        </w:rPr>
        <w:t>EQ</w:t>
      </w:r>
      <w:r w:rsidRPr="00471F58">
        <w:rPr>
          <w:sz w:val="24"/>
          <w:szCs w:val="24"/>
        </w:rPr>
        <w:t xml:space="preserve"> 2(a)</w:t>
      </w:r>
      <w:r w:rsidR="00AF095E" w:rsidRPr="00471F58">
        <w:rPr>
          <w:sz w:val="24"/>
          <w:szCs w:val="24"/>
        </w:rPr>
        <w:t>:</w:t>
      </w:r>
      <w:r w:rsidRPr="00471F58">
        <w:rPr>
          <w:sz w:val="24"/>
          <w:szCs w:val="24"/>
        </w:rPr>
        <w:t xml:space="preserve"> </w:t>
      </w:r>
      <w:r w:rsidR="00094273" w:rsidRPr="00471F58">
        <w:rPr>
          <w:sz w:val="24"/>
          <w:szCs w:val="24"/>
        </w:rPr>
        <w:t>How effectively did DFAT identify and manage risk?</w:t>
      </w:r>
      <w:bookmarkStart w:id="51" w:name="_Toc199684963"/>
    </w:p>
    <w:tbl>
      <w:tblPr>
        <w:tblStyle w:val="TableGrid"/>
        <w:tblW w:w="0" w:type="auto"/>
        <w:tblLook w:val="04A0" w:firstRow="1" w:lastRow="0" w:firstColumn="1" w:lastColumn="0" w:noHBand="0" w:noVBand="1"/>
      </w:tblPr>
      <w:tblGrid>
        <w:gridCol w:w="9730"/>
      </w:tblGrid>
      <w:tr w:rsidR="000A7AF2" w14:paraId="4495AD56" w14:textId="77777777" w:rsidTr="000A7AF2">
        <w:tc>
          <w:tcPr>
            <w:tcW w:w="9730" w:type="dxa"/>
            <w:tcBorders>
              <w:top w:val="nil"/>
              <w:left w:val="nil"/>
              <w:bottom w:val="nil"/>
              <w:right w:val="nil"/>
            </w:tcBorders>
            <w:shd w:val="clear" w:color="auto" w:fill="DEEAF6" w:themeFill="accent5" w:themeFillTint="33"/>
          </w:tcPr>
          <w:p w14:paraId="751BBFB0" w14:textId="55ED5860" w:rsidR="000A7AF2" w:rsidRDefault="000A7AF2" w:rsidP="000A7AF2">
            <w:pPr>
              <w:spacing w:after="120"/>
              <w:rPr>
                <w:lang w:eastAsia="en-GB"/>
              </w:rPr>
            </w:pPr>
            <w:r w:rsidRPr="00777036">
              <w:rPr>
                <w:rFonts w:asciiTheme="majorHAnsi" w:hAnsiTheme="majorHAnsi" w:cstheme="majorHAnsi"/>
                <w:b/>
                <w:bCs/>
              </w:rPr>
              <w:t>Key finding</w:t>
            </w:r>
            <w:r>
              <w:rPr>
                <w:rFonts w:asciiTheme="majorHAnsi" w:hAnsiTheme="majorHAnsi" w:cstheme="majorHAnsi"/>
              </w:rPr>
              <w:t xml:space="preserve">: </w:t>
            </w:r>
            <w:r w:rsidRPr="00AC33B7">
              <w:rPr>
                <w:rStyle w:val="cf11"/>
                <w:rFonts w:asciiTheme="majorHAnsi" w:hAnsiTheme="majorHAnsi" w:cstheme="majorHAnsi"/>
                <w:sz w:val="22"/>
                <w:szCs w:val="22"/>
                <w:lang w:eastAsia="en-AU"/>
              </w:rPr>
              <w:t xml:space="preserve">Risks to achieving the investment’s outcomes were well managed through various strategies implemented by DFAT and its partners throughout the investment's duration. Risks did not impact </w:t>
            </w:r>
            <w:r w:rsidRPr="00AC33B7">
              <w:rPr>
                <w:rStyle w:val="Strong"/>
                <w:rFonts w:asciiTheme="majorHAnsi" w:hAnsiTheme="majorHAnsi" w:cstheme="majorHAnsi"/>
                <w:b w:val="0"/>
                <w:bCs w:val="0"/>
              </w:rPr>
              <w:t xml:space="preserve">project delivery or achieving </w:t>
            </w:r>
            <w:r>
              <w:rPr>
                <w:rStyle w:val="Strong"/>
                <w:rFonts w:asciiTheme="majorHAnsi" w:hAnsiTheme="majorHAnsi" w:cstheme="majorHAnsi"/>
                <w:b w:val="0"/>
                <w:bCs w:val="0"/>
              </w:rPr>
              <w:t>the Investment’s</w:t>
            </w:r>
            <w:r w:rsidRPr="00AC33B7">
              <w:rPr>
                <w:rStyle w:val="Strong"/>
                <w:rFonts w:asciiTheme="majorHAnsi" w:hAnsiTheme="majorHAnsi" w:cstheme="majorHAnsi"/>
                <w:b w:val="0"/>
                <w:bCs w:val="0"/>
              </w:rPr>
              <w:t xml:space="preserve"> outcomes</w:t>
            </w:r>
            <w:r w:rsidRPr="00AC33B7">
              <w:rPr>
                <w:rFonts w:asciiTheme="majorHAnsi" w:hAnsiTheme="majorHAnsi" w:cstheme="majorHAnsi"/>
              </w:rPr>
              <w:t>. DFAT demonstrated high effectiveness in risk management by proactively identifying potential risks, developing comprehensive mitigation strategies, maintaining regular oversight and communication, and adapting to changing contexts</w:t>
            </w:r>
            <w:r>
              <w:rPr>
                <w:rFonts w:asciiTheme="majorHAnsi" w:hAnsiTheme="majorHAnsi" w:cstheme="majorHAnsi"/>
              </w:rPr>
              <w:t>.</w:t>
            </w:r>
          </w:p>
        </w:tc>
      </w:tr>
    </w:tbl>
    <w:p w14:paraId="1FD0C115" w14:textId="3AB273F3" w:rsidR="00F65408" w:rsidRDefault="00F65408" w:rsidP="007E4504">
      <w:pPr>
        <w:rPr>
          <w:lang w:eastAsia="en-GB"/>
        </w:rPr>
      </w:pPr>
    </w:p>
    <w:p w14:paraId="6411F677" w14:textId="0BD04135" w:rsidR="00E04B9B" w:rsidRDefault="00E04B9B" w:rsidP="007E4504">
      <w:pPr>
        <w:rPr>
          <w:lang w:eastAsia="en-GB"/>
        </w:rPr>
      </w:pPr>
      <w:r>
        <w:rPr>
          <w:lang w:eastAsia="en-GB"/>
        </w:rPr>
        <w:t xml:space="preserve">As per the </w:t>
      </w:r>
      <w:r>
        <w:rPr>
          <w:i/>
          <w:iCs/>
          <w:lang w:eastAsia="en-GB"/>
        </w:rPr>
        <w:t>Evaluation Rubric</w:t>
      </w:r>
      <w:r>
        <w:rPr>
          <w:lang w:eastAsia="en-GB"/>
        </w:rPr>
        <w:t>, one criterion was assessed to determine how effectively DFAT identified a</w:t>
      </w:r>
      <w:r w:rsidR="000D6B30">
        <w:rPr>
          <w:lang w:eastAsia="en-GB"/>
        </w:rPr>
        <w:t>nd</w:t>
      </w:r>
      <w:r>
        <w:rPr>
          <w:lang w:eastAsia="en-GB"/>
        </w:rPr>
        <w:t xml:space="preserve"> managed risk.</w:t>
      </w:r>
    </w:p>
    <w:p w14:paraId="56049E94" w14:textId="77777777" w:rsidR="000A7AF2" w:rsidRDefault="000A7AF2" w:rsidP="007E4504">
      <w:pPr>
        <w:rPr>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0A7AF2" w14:paraId="075E448C" w14:textId="77777777" w:rsidTr="000A7AF2">
        <w:tc>
          <w:tcPr>
            <w:tcW w:w="9730" w:type="dxa"/>
            <w:shd w:val="clear" w:color="auto" w:fill="2F5496" w:themeFill="accent1" w:themeFillShade="BF"/>
          </w:tcPr>
          <w:p w14:paraId="7F309F5A" w14:textId="1EA77CB2" w:rsidR="000A7AF2" w:rsidRPr="000A7AF2" w:rsidRDefault="000A7AF2" w:rsidP="000A7AF2">
            <w:pPr>
              <w:spacing w:after="120"/>
              <w:rPr>
                <w:rFonts w:asciiTheme="majorHAnsi" w:eastAsia="Times New Roman" w:hAnsiTheme="majorHAnsi" w:cstheme="majorHAnsi"/>
                <w:color w:val="FFFFFF" w:themeColor="background1"/>
                <w:lang w:eastAsia="en-GB"/>
              </w:rPr>
            </w:pPr>
            <w:r w:rsidRPr="00831E4E">
              <w:rPr>
                <w:rFonts w:asciiTheme="majorHAnsi" w:eastAsia="Times New Roman" w:hAnsiTheme="majorHAnsi" w:cstheme="majorHAnsi"/>
                <w:b/>
                <w:color w:val="FFFFFF" w:themeColor="background1"/>
                <w:lang w:eastAsia="en-GB"/>
              </w:rPr>
              <w:t>Rubric Criterion #9:</w:t>
            </w:r>
            <w:r w:rsidRPr="00831E4E">
              <w:rPr>
                <w:rFonts w:asciiTheme="majorHAnsi" w:eastAsia="Times New Roman" w:hAnsiTheme="majorHAnsi" w:cstheme="majorHAnsi"/>
                <w:color w:val="FFFFFF" w:themeColor="background1"/>
                <w:lang w:eastAsia="en-GB"/>
              </w:rPr>
              <w:t xml:space="preserve"> </w:t>
            </w:r>
            <w:r w:rsidRPr="00831E4E">
              <w:rPr>
                <w:i/>
                <w:color w:val="FFFFFF" w:themeColor="background1"/>
                <w:lang w:eastAsia="en-GB"/>
              </w:rPr>
              <w:t>The extent to which DFAT’s Risk Management was effective.</w:t>
            </w:r>
            <w:r w:rsidRPr="00831E4E">
              <w:rPr>
                <w:rFonts w:asciiTheme="majorHAnsi" w:eastAsia="Times New Roman" w:hAnsiTheme="majorHAnsi" w:cstheme="majorHAnsi"/>
                <w:i/>
                <w:color w:val="FFFFFF" w:themeColor="background1"/>
                <w:lang w:eastAsia="en-GB"/>
              </w:rPr>
              <w:t xml:space="preserve"> Based on the evidence evaluated, this is assessed overall as </w:t>
            </w:r>
            <w:r w:rsidRPr="00831E4E">
              <w:rPr>
                <w:rFonts w:asciiTheme="majorHAnsi" w:eastAsia="Times New Roman" w:hAnsiTheme="majorHAnsi" w:cstheme="majorHAnsi"/>
                <w:b/>
                <w:i/>
                <w:color w:val="FFFFFF" w:themeColor="background1"/>
                <w:lang w:eastAsia="en-GB"/>
              </w:rPr>
              <w:t>Excellent</w:t>
            </w:r>
            <w:r w:rsidRPr="00831E4E">
              <w:rPr>
                <w:rFonts w:asciiTheme="majorHAnsi" w:eastAsia="Times New Roman" w:hAnsiTheme="majorHAnsi" w:cstheme="majorHAnsi"/>
                <w:i/>
                <w:color w:val="FFFFFF" w:themeColor="background1"/>
                <w:lang w:eastAsia="en-GB"/>
              </w:rPr>
              <w:t>.</w:t>
            </w:r>
          </w:p>
        </w:tc>
      </w:tr>
    </w:tbl>
    <w:p w14:paraId="2029123E" w14:textId="112618C9" w:rsidR="00E04B9B" w:rsidRDefault="00E04B9B" w:rsidP="00563F83">
      <w:pPr>
        <w:rPr>
          <w:lang w:eastAsia="en-GB"/>
        </w:rPr>
      </w:pPr>
    </w:p>
    <w:p w14:paraId="5DE0BD10" w14:textId="1260F2E5" w:rsidR="00CE301B" w:rsidRPr="00195C85" w:rsidRDefault="00CE301B" w:rsidP="00195C85">
      <w:pPr>
        <w:spacing w:after="120"/>
        <w:rPr>
          <w:lang w:eastAsia="en-GB"/>
        </w:rPr>
      </w:pPr>
      <w:r w:rsidRPr="00CE301B">
        <w:rPr>
          <w:lang w:eastAsia="en-GB"/>
        </w:rPr>
        <w:t xml:space="preserve">There is satisfactory evidence (triangulated from document sources such as IMRs/AQCs and Annual Reports) and supported by interviews to confirm that risks were well managed throughout the </w:t>
      </w:r>
      <w:r w:rsidR="00B41DE6">
        <w:rPr>
          <w:lang w:eastAsia="en-GB"/>
        </w:rPr>
        <w:t>Investment</w:t>
      </w:r>
      <w:r w:rsidRPr="00CE301B">
        <w:rPr>
          <w:lang w:eastAsia="en-GB"/>
        </w:rPr>
        <w:t xml:space="preserve">’s duration, using established procedures. The </w:t>
      </w:r>
      <w:r w:rsidR="00B41DE6">
        <w:rPr>
          <w:lang w:eastAsia="en-GB"/>
        </w:rPr>
        <w:t>Investment</w:t>
      </w:r>
      <w:r w:rsidRPr="00CE301B">
        <w:rPr>
          <w:lang w:eastAsia="en-GB"/>
        </w:rPr>
        <w:t xml:space="preserve"> had clear risk management procedures in place. Each project within the </w:t>
      </w:r>
      <w:r w:rsidR="00B41DE6">
        <w:rPr>
          <w:lang w:eastAsia="en-GB"/>
        </w:rPr>
        <w:t>Investment</w:t>
      </w:r>
      <w:r w:rsidRPr="00CE301B">
        <w:rPr>
          <w:lang w:eastAsia="en-GB"/>
        </w:rPr>
        <w:t xml:space="preserve"> had its own risk assessment and risk register, completed </w:t>
      </w:r>
      <w:r w:rsidR="004A3541">
        <w:rPr>
          <w:lang w:eastAsia="en-GB"/>
        </w:rPr>
        <w:t>following</w:t>
      </w:r>
      <w:r w:rsidRPr="00CE301B">
        <w:rPr>
          <w:lang w:eastAsia="en-GB"/>
        </w:rPr>
        <w:t xml:space="preserve"> DFAT guidelines. These registers were overseen by Pacific Fisheries and Maritime Section (PFO) staff in consultation with project implementation partners. An overarching risk register for the </w:t>
      </w:r>
      <w:r w:rsidR="00B41DE6">
        <w:rPr>
          <w:lang w:eastAsia="en-GB"/>
        </w:rPr>
        <w:t>Investment</w:t>
      </w:r>
      <w:r w:rsidRPr="00CE301B">
        <w:rPr>
          <w:lang w:eastAsia="en-GB"/>
        </w:rPr>
        <w:t xml:space="preserve"> was established in 2023-24 in response to a previous management action. DFAT's standard safeguard clauses were incorporated into agreements. DFAT conducted due diligence assessments before </w:t>
      </w:r>
      <w:r w:rsidR="00F62AE7" w:rsidRPr="00CE301B">
        <w:rPr>
          <w:lang w:eastAsia="en-GB"/>
        </w:rPr>
        <w:t>entering</w:t>
      </w:r>
      <w:r w:rsidRPr="00CE301B">
        <w:rPr>
          <w:lang w:eastAsia="en-GB"/>
        </w:rPr>
        <w:t xml:space="preserve"> arrangements with partners to verify their ability to deliver in line with DFAT requirements. Partners also developed Child Protection Policies. WorldFish implemented a new policy for project staff, underpinned by these safeguarding clauses. </w:t>
      </w:r>
    </w:p>
    <w:p w14:paraId="0F4563F1" w14:textId="06F68CA3" w:rsidR="00D90473" w:rsidRPr="00195C85" w:rsidRDefault="00E90BD1" w:rsidP="00195C85">
      <w:pPr>
        <w:spacing w:after="120"/>
        <w:rPr>
          <w:rFonts w:asciiTheme="majorHAnsi" w:hAnsiTheme="majorHAnsi" w:cstheme="majorHAnsi"/>
        </w:rPr>
      </w:pPr>
      <w:r w:rsidRPr="00E90BD1">
        <w:rPr>
          <w:rFonts w:asciiTheme="majorHAnsi" w:hAnsiTheme="majorHAnsi" w:cstheme="majorHAnsi"/>
        </w:rPr>
        <w:t xml:space="preserve">Key risks to the </w:t>
      </w:r>
      <w:r w:rsidR="00B41DE6">
        <w:rPr>
          <w:rFonts w:asciiTheme="majorHAnsi" w:hAnsiTheme="majorHAnsi" w:cstheme="majorHAnsi"/>
        </w:rPr>
        <w:t>Investment</w:t>
      </w:r>
      <w:r w:rsidRPr="00E90BD1">
        <w:rPr>
          <w:rFonts w:asciiTheme="majorHAnsi" w:hAnsiTheme="majorHAnsi" w:cstheme="majorHAnsi"/>
        </w:rPr>
        <w:t xml:space="preserve"> were regularly reviewed through both informal and formal discussions, conducted internally and with development partners. Formal risk assessments by DFAT occurred quarterly, and where applicable, DFAT adapted initiatives accordingly. For example, within the PMB project, where boundaries were not formalised due to a lack of political will, alternative arrangements were introduced that were more flexible and did not require a treaty ratification by all affected parties, such as in the case of the boundary issue involving Vanuatu and France. In response to the findings of the 2022 Evaluation of the NTSA project, DFAT implemented several measures, such as improving governance and coordination to strengthen oversight. During the COVID-19 pandemic, risk assessments highlighted lower than expected donor income </w:t>
      </w:r>
      <w:r w:rsidRPr="00E90BD1">
        <w:rPr>
          <w:rFonts w:asciiTheme="majorHAnsi" w:hAnsiTheme="majorHAnsi" w:cstheme="majorHAnsi"/>
        </w:rPr>
        <w:lastRenderedPageBreak/>
        <w:t>for the FFA due to foreign exchange issues, worsened by delays in finalising donor funding agreements. DFAT provided advisory assistance to minimise future exposure, including assisting the FFA in transferring funds into USD and closely monitoring expenditures against its reduced budget.</w:t>
      </w:r>
      <w:bookmarkEnd w:id="51"/>
    </w:p>
    <w:p w14:paraId="14C85C5E" w14:textId="3FA16D89" w:rsidR="004A3541" w:rsidRDefault="004A3541">
      <w:pPr>
        <w:tabs>
          <w:tab w:val="clear" w:pos="7780"/>
        </w:tabs>
      </w:pPr>
      <w:r w:rsidRPr="004A3541">
        <w:t>To ensure controls were effective, DFAT actively took part in formal governance and audit structures. DFAT attended FFA and SPC governance meetings (FFC and Heads of Fisheries), and through its active membership, supported these regional organisations in better managing risks. DFAT is a member of the FFA’s Audit Committee meetings and has often served as either the chair or the vice-chair of these meetings. An independent review of FFA governance in 2023 resulted in structural recommendations, such as strengthening oversight through the Audit and Risk Committee. Consequently, DFAT supported the recommendations to reinforce the Audit and Risk Committee structure, which the FFA has agreed to.</w:t>
      </w:r>
    </w:p>
    <w:p w14:paraId="188D838B" w14:textId="2AEE316E" w:rsidR="000C5CB3" w:rsidRDefault="000C5CB3">
      <w:pPr>
        <w:tabs>
          <w:tab w:val="clear" w:pos="7780"/>
        </w:tabs>
        <w:rPr>
          <w:rFonts w:cstheme="majorHAnsi"/>
          <w:color w:val="2E74B5" w:themeColor="accent5" w:themeShade="BF"/>
          <w:spacing w:val="30"/>
          <w:sz w:val="24"/>
          <w:szCs w:val="24"/>
        </w:rPr>
      </w:pPr>
    </w:p>
    <w:p w14:paraId="42D178C4" w14:textId="11D9EA29" w:rsidR="009B1CC6" w:rsidRPr="00471F58" w:rsidRDefault="00CE301B" w:rsidP="00471F58">
      <w:pPr>
        <w:pStyle w:val="Heading4"/>
        <w:rPr>
          <w:sz w:val="24"/>
          <w:szCs w:val="24"/>
        </w:rPr>
      </w:pPr>
      <w:r w:rsidRPr="00471F58">
        <w:rPr>
          <w:sz w:val="24"/>
          <w:szCs w:val="24"/>
        </w:rPr>
        <w:t>KEQ 2(b)</w:t>
      </w:r>
      <w:r w:rsidR="00A068D8" w:rsidRPr="00471F58">
        <w:rPr>
          <w:sz w:val="24"/>
          <w:szCs w:val="24"/>
        </w:rPr>
        <w:t xml:space="preserve">: </w:t>
      </w:r>
      <w:r w:rsidR="00094273" w:rsidRPr="00471F58">
        <w:rPr>
          <w:sz w:val="24"/>
          <w:szCs w:val="24"/>
        </w:rPr>
        <w:t>How effective were DFAT’s and partners’ monitoring, evaluation, and learning systems in informing decision-making, learning, and accountability?</w:t>
      </w:r>
      <w:bookmarkStart w:id="52" w:name="_Toc199684965"/>
    </w:p>
    <w:tbl>
      <w:tblPr>
        <w:tblStyle w:val="TableGrid"/>
        <w:tblW w:w="0" w:type="auto"/>
        <w:tblLook w:val="04A0" w:firstRow="1" w:lastRow="0" w:firstColumn="1" w:lastColumn="0" w:noHBand="0" w:noVBand="1"/>
      </w:tblPr>
      <w:tblGrid>
        <w:gridCol w:w="9730"/>
      </w:tblGrid>
      <w:tr w:rsidR="000A7AF2" w14:paraId="3F24AF4E" w14:textId="77777777" w:rsidTr="000A7AF2">
        <w:tc>
          <w:tcPr>
            <w:tcW w:w="9730" w:type="dxa"/>
            <w:tcBorders>
              <w:top w:val="nil"/>
              <w:left w:val="nil"/>
              <w:bottom w:val="nil"/>
              <w:right w:val="nil"/>
            </w:tcBorders>
            <w:shd w:val="clear" w:color="auto" w:fill="DEEAF6" w:themeFill="accent5" w:themeFillTint="33"/>
          </w:tcPr>
          <w:p w14:paraId="224EABE2" w14:textId="6554272B" w:rsidR="000A7AF2" w:rsidRDefault="000A7AF2" w:rsidP="000A7AF2">
            <w:pPr>
              <w:spacing w:after="120"/>
              <w:rPr>
                <w:lang w:eastAsia="en-GB"/>
              </w:rPr>
            </w:pPr>
            <w:r w:rsidRPr="000A7AF2">
              <w:rPr>
                <w:lang w:eastAsia="en-GB"/>
              </w:rPr>
              <w:t>Key Finding: The lack of a MEL framework for the overall investment represented a missed opportunity to monitor overarching outcomes and process indicators across the portfolio of fisheries investments in the Pacific. This limited the Australian Government's ability to make evidence-based decisions on strategy, resource allocation, and partnership engagement across the portfolio, as well as the extent to which lessons could be learned and information shared across the overall investment. MEL systems have improved over time at the agreement level (such as for AFMA and ANCORS) and within regional organisations like SPC FAME, but none of the frameworks being used comply with DFAT’s MEL standards</w:t>
            </w:r>
            <w:r>
              <w:rPr>
                <w:lang w:eastAsia="en-GB"/>
              </w:rPr>
              <w:t>.</w:t>
            </w:r>
          </w:p>
        </w:tc>
      </w:tr>
    </w:tbl>
    <w:p w14:paraId="0130A2F0" w14:textId="51A6761E" w:rsidR="00542E34" w:rsidRDefault="00542E34" w:rsidP="000357D3">
      <w:pPr>
        <w:rPr>
          <w:lang w:eastAsia="en-GB"/>
        </w:rPr>
      </w:pPr>
    </w:p>
    <w:p w14:paraId="134D2872" w14:textId="41E77228" w:rsidR="00E56663" w:rsidRDefault="00E90BD1" w:rsidP="00195C85">
      <w:pPr>
        <w:spacing w:after="120"/>
        <w:rPr>
          <w:lang w:eastAsia="en-GB"/>
        </w:rPr>
      </w:pPr>
      <w:r>
        <w:rPr>
          <w:lang w:eastAsia="en-GB"/>
        </w:rPr>
        <w:t>There</w:t>
      </w:r>
      <w:r w:rsidR="00E56663">
        <w:rPr>
          <w:lang w:eastAsia="en-GB"/>
        </w:rPr>
        <w:t xml:space="preserve"> is a </w:t>
      </w:r>
      <w:r w:rsidR="00E56663" w:rsidRPr="00CB2295">
        <w:t>satisfactory level of evidence (triangulated across document sources and validated against interviews with key informants)</w:t>
      </w:r>
      <w:r w:rsidR="007207CE">
        <w:t xml:space="preserve"> </w:t>
      </w:r>
      <w:r>
        <w:t xml:space="preserve">that was used to determine the efficacy of the use of MEL systems. </w:t>
      </w:r>
      <w:r w:rsidR="00E56663">
        <w:rPr>
          <w:lang w:eastAsia="en-GB"/>
        </w:rPr>
        <w:t xml:space="preserve">As per the </w:t>
      </w:r>
      <w:r w:rsidR="00E56663">
        <w:rPr>
          <w:i/>
          <w:iCs/>
          <w:lang w:eastAsia="en-GB"/>
        </w:rPr>
        <w:t>Evaluation Rubric</w:t>
      </w:r>
      <w:r w:rsidR="00E56663">
        <w:rPr>
          <w:lang w:eastAsia="en-GB"/>
        </w:rPr>
        <w:t>, one criterion was assessed</w:t>
      </w:r>
      <w:r>
        <w:rPr>
          <w:lang w:eastAsia="en-GB"/>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0A7AF2" w14:paraId="7C56C067" w14:textId="77777777" w:rsidTr="000A7AF2">
        <w:tc>
          <w:tcPr>
            <w:tcW w:w="9730" w:type="dxa"/>
            <w:shd w:val="clear" w:color="auto" w:fill="2F5496" w:themeFill="accent1" w:themeFillShade="BF"/>
          </w:tcPr>
          <w:p w14:paraId="41A89B33" w14:textId="44F1B90C" w:rsidR="000A7AF2" w:rsidRDefault="000A7AF2" w:rsidP="000A7AF2">
            <w:pPr>
              <w:spacing w:after="120"/>
              <w:rPr>
                <w:lang w:eastAsia="en-GB"/>
              </w:rPr>
            </w:pPr>
            <w:r w:rsidRPr="00831E4E">
              <w:rPr>
                <w:rFonts w:asciiTheme="majorHAnsi" w:eastAsia="Times New Roman" w:hAnsiTheme="majorHAnsi" w:cstheme="majorHAnsi"/>
                <w:b/>
                <w:color w:val="FFFFFF" w:themeColor="background1"/>
                <w:lang w:eastAsia="en-GB"/>
              </w:rPr>
              <w:t xml:space="preserve">Rubric Criterion </w:t>
            </w:r>
            <w:r w:rsidRPr="00831E4E">
              <w:rPr>
                <w:rFonts w:cstheme="majorHAnsi"/>
                <w:b/>
                <w:color w:val="FFFFFF" w:themeColor="background1"/>
              </w:rPr>
              <w:t>#10</w:t>
            </w:r>
            <w:r w:rsidRPr="00831E4E">
              <w:rPr>
                <w:rFonts w:cstheme="majorHAnsi"/>
                <w:color w:val="FFFFFF" w:themeColor="background1"/>
              </w:rPr>
              <w:t xml:space="preserve">: </w:t>
            </w:r>
            <w:r w:rsidRPr="00831E4E">
              <w:rPr>
                <w:i/>
                <w:color w:val="FFFFFF" w:themeColor="background1"/>
                <w:lang w:eastAsia="en-GB"/>
              </w:rPr>
              <w:t xml:space="preserve"> Degree of attention by DFAT and its partners to the production and credible use of performance information, including MEL data, to support management decision-making and learning. </w:t>
            </w:r>
            <w:r w:rsidRPr="00831E4E">
              <w:rPr>
                <w:rFonts w:asciiTheme="majorHAnsi" w:eastAsia="Times New Roman" w:hAnsiTheme="majorHAnsi" w:cstheme="majorHAnsi"/>
                <w:color w:val="FFFFFF" w:themeColor="background1"/>
                <w:lang w:eastAsia="en-GB"/>
              </w:rPr>
              <w:t>Based on the evidence evaluated, this is assessed overall as</w:t>
            </w:r>
            <w:r w:rsidRPr="00831E4E">
              <w:rPr>
                <w:color w:val="FFFFFF" w:themeColor="background1"/>
                <w:lang w:eastAsia="en-GB"/>
              </w:rPr>
              <w:t xml:space="preserve"> </w:t>
            </w:r>
            <w:r w:rsidRPr="00831E4E">
              <w:rPr>
                <w:b/>
                <w:color w:val="FFFFFF" w:themeColor="background1"/>
                <w:lang w:eastAsia="en-GB"/>
              </w:rPr>
              <w:t>Adequate</w:t>
            </w:r>
          </w:p>
        </w:tc>
      </w:tr>
      <w:bookmarkEnd w:id="52"/>
    </w:tbl>
    <w:p w14:paraId="3FFBF4F0" w14:textId="29006B91" w:rsidR="00E90BD1" w:rsidRDefault="00E90BD1" w:rsidP="000357D3">
      <w:pPr>
        <w:rPr>
          <w:lang w:eastAsia="en-GB"/>
        </w:rPr>
      </w:pPr>
    </w:p>
    <w:p w14:paraId="443538A5" w14:textId="55D9F960" w:rsidR="00D90D13" w:rsidRPr="00AC33B7" w:rsidRDefault="00911328" w:rsidP="00195C85">
      <w:pPr>
        <w:spacing w:after="120"/>
        <w:rPr>
          <w:rFonts w:asciiTheme="majorHAnsi" w:hAnsiTheme="majorHAnsi" w:cstheme="majorHAnsi"/>
        </w:rPr>
      </w:pPr>
      <w:r w:rsidRPr="00AC33B7">
        <w:rPr>
          <w:rFonts w:asciiTheme="majorHAnsi" w:hAnsiTheme="majorHAnsi" w:cstheme="majorHAnsi"/>
        </w:rPr>
        <w:t xml:space="preserve">The M&amp;E plan for </w:t>
      </w:r>
      <w:r w:rsidR="00CE301B">
        <w:rPr>
          <w:rFonts w:asciiTheme="majorHAnsi" w:hAnsiTheme="majorHAnsi" w:cstheme="majorHAnsi"/>
        </w:rPr>
        <w:t xml:space="preserve">the </w:t>
      </w:r>
      <w:r w:rsidR="00B41DE6">
        <w:rPr>
          <w:rFonts w:asciiTheme="majorHAnsi" w:hAnsiTheme="majorHAnsi" w:cstheme="majorHAnsi"/>
        </w:rPr>
        <w:t>Investment</w:t>
      </w:r>
      <w:r w:rsidR="00CE301B" w:rsidRPr="00AC33B7">
        <w:rPr>
          <w:rFonts w:asciiTheme="majorHAnsi" w:hAnsiTheme="majorHAnsi" w:cstheme="majorHAnsi"/>
        </w:rPr>
        <w:t xml:space="preserve"> </w:t>
      </w:r>
      <w:r w:rsidRPr="00AC33B7">
        <w:rPr>
          <w:rFonts w:asciiTheme="majorHAnsi" w:hAnsiTheme="majorHAnsi" w:cstheme="majorHAnsi"/>
        </w:rPr>
        <w:t xml:space="preserve">did not fully meet </w:t>
      </w:r>
      <w:hyperlink r:id="rId28" w:history="1">
        <w:r w:rsidR="007565EF" w:rsidRPr="00AC33B7">
          <w:rPr>
            <w:rStyle w:val="Hyperlink"/>
            <w:rFonts w:asciiTheme="majorHAnsi" w:hAnsiTheme="majorHAnsi" w:cstheme="majorHAnsi"/>
          </w:rPr>
          <w:t>DFAT's Design and Monitoring, Evaluation and Learning Standards</w:t>
        </w:r>
      </w:hyperlink>
      <w:r w:rsidRPr="00AC33B7">
        <w:rPr>
          <w:rFonts w:asciiTheme="majorHAnsi" w:hAnsiTheme="majorHAnsi" w:cstheme="majorHAnsi"/>
        </w:rPr>
        <w:t xml:space="preserve">, particularly as the logical framework for the </w:t>
      </w:r>
      <w:r w:rsidR="00B41DE6">
        <w:rPr>
          <w:rFonts w:asciiTheme="majorHAnsi" w:hAnsiTheme="majorHAnsi" w:cstheme="majorHAnsi"/>
        </w:rPr>
        <w:t>Investment</w:t>
      </w:r>
      <w:r w:rsidRPr="00AC33B7">
        <w:rPr>
          <w:rFonts w:asciiTheme="majorHAnsi" w:hAnsiTheme="majorHAnsi" w:cstheme="majorHAnsi"/>
        </w:rPr>
        <w:t xml:space="preserve"> was only introduced in 2022, and no fully developed M&amp;E plan existed for the overall </w:t>
      </w:r>
      <w:r w:rsidR="00B41DE6">
        <w:rPr>
          <w:rFonts w:asciiTheme="majorHAnsi" w:hAnsiTheme="majorHAnsi" w:cstheme="majorHAnsi"/>
        </w:rPr>
        <w:t>Investment</w:t>
      </w:r>
      <w:r w:rsidRPr="00AC33B7">
        <w:rPr>
          <w:rFonts w:asciiTheme="majorHAnsi" w:hAnsiTheme="majorHAnsi" w:cstheme="majorHAnsi"/>
        </w:rPr>
        <w:t xml:space="preserve">. IMR 2021 included a recommendation to update the project monitoring, evaluation and learning (MEL) framework to incorporate indicators and targets that stem from political economy analysis and an assessment of priorities to achieve outcomes within the project resources and timeframe. There is limited evidence that this has taken place. </w:t>
      </w:r>
      <w:r w:rsidR="00394694">
        <w:rPr>
          <w:rFonts w:asciiTheme="majorHAnsi" w:hAnsiTheme="majorHAnsi" w:cstheme="majorHAnsi"/>
        </w:rPr>
        <w:t>From</w:t>
      </w:r>
      <w:r w:rsidRPr="00AC33B7">
        <w:rPr>
          <w:rFonts w:asciiTheme="majorHAnsi" w:hAnsiTheme="majorHAnsi" w:cstheme="majorHAnsi"/>
        </w:rPr>
        <w:t xml:space="preserve"> IMR 2021 onwards, the process found that all activities under </w:t>
      </w:r>
      <w:r w:rsidR="00394694">
        <w:rPr>
          <w:rFonts w:asciiTheme="majorHAnsi" w:hAnsiTheme="majorHAnsi" w:cstheme="majorHAnsi"/>
        </w:rPr>
        <w:t xml:space="preserve">the </w:t>
      </w:r>
      <w:r w:rsidR="00B41DE6">
        <w:rPr>
          <w:rFonts w:asciiTheme="majorHAnsi" w:hAnsiTheme="majorHAnsi" w:cstheme="majorHAnsi"/>
        </w:rPr>
        <w:t>Investment</w:t>
      </w:r>
      <w:r w:rsidRPr="00AC33B7">
        <w:rPr>
          <w:rFonts w:asciiTheme="majorHAnsi" w:hAnsiTheme="majorHAnsi" w:cstheme="majorHAnsi"/>
        </w:rPr>
        <w:t xml:space="preserve"> have monitoring and evaluation, as well as risk management frameworks in place, which are assessed in accordance with the relevant activity review schedules.</w:t>
      </w:r>
    </w:p>
    <w:p w14:paraId="53A9678F" w14:textId="35CA83BC" w:rsidR="00911328" w:rsidRPr="00195C85" w:rsidRDefault="00D90D13" w:rsidP="00195C85">
      <w:pPr>
        <w:spacing w:after="120"/>
        <w:rPr>
          <w:rFonts w:asciiTheme="majorHAnsi" w:hAnsiTheme="majorHAnsi" w:cstheme="majorHAnsi"/>
        </w:rPr>
      </w:pPr>
      <w:r w:rsidRPr="00AC33B7">
        <w:rPr>
          <w:rFonts w:asciiTheme="majorHAnsi" w:hAnsiTheme="majorHAnsi" w:cstheme="majorHAnsi"/>
        </w:rPr>
        <w:t xml:space="preserve">Whilst key informants note that strong relationships and engagement between DFAT and partners meant that monitoring occurred adaptively and fluidly, it remains unclear to what extent this shaped MEL practice across the </w:t>
      </w:r>
      <w:r w:rsidR="00B41DE6">
        <w:rPr>
          <w:rFonts w:asciiTheme="majorHAnsi" w:hAnsiTheme="majorHAnsi" w:cstheme="majorHAnsi"/>
        </w:rPr>
        <w:t>Investment</w:t>
      </w:r>
      <w:r w:rsidRPr="00AC33B7">
        <w:rPr>
          <w:rFonts w:asciiTheme="majorHAnsi" w:hAnsiTheme="majorHAnsi" w:cstheme="majorHAnsi"/>
        </w:rPr>
        <w:t xml:space="preserve">. Nevertheless, by maintaining monthly </w:t>
      </w:r>
      <w:proofErr w:type="gramStart"/>
      <w:r w:rsidRPr="00AC33B7">
        <w:rPr>
          <w:rFonts w:asciiTheme="majorHAnsi" w:hAnsiTheme="majorHAnsi" w:cstheme="majorHAnsi"/>
        </w:rPr>
        <w:t>catch-ups</w:t>
      </w:r>
      <w:proofErr w:type="gramEnd"/>
      <w:r w:rsidRPr="00AC33B7">
        <w:rPr>
          <w:rFonts w:asciiTheme="majorHAnsi" w:hAnsiTheme="majorHAnsi" w:cstheme="majorHAnsi"/>
        </w:rPr>
        <w:t xml:space="preserve"> with all partners to discuss progress and risk management, among other issues, DFAT has kept ‘their finger on the pulse’. Additionally, DFAT routinely participates in </w:t>
      </w:r>
      <w:r w:rsidR="00AD12E3">
        <w:rPr>
          <w:rFonts w:asciiTheme="majorHAnsi" w:hAnsiTheme="majorHAnsi" w:cstheme="majorHAnsi"/>
        </w:rPr>
        <w:t>a</w:t>
      </w:r>
      <w:r w:rsidRPr="00AC33B7">
        <w:rPr>
          <w:rFonts w:asciiTheme="majorHAnsi" w:hAnsiTheme="majorHAnsi" w:cstheme="majorHAnsi"/>
        </w:rPr>
        <w:t xml:space="preserve"> plethora of regional meetings (such as the Annual Officials Meeting of the </w:t>
      </w:r>
      <w:r w:rsidR="007565EF">
        <w:rPr>
          <w:rFonts w:asciiTheme="majorHAnsi" w:hAnsiTheme="majorHAnsi" w:cstheme="majorHAnsi"/>
        </w:rPr>
        <w:t>FFC</w:t>
      </w:r>
      <w:r w:rsidRPr="00AC33B7">
        <w:rPr>
          <w:rFonts w:asciiTheme="majorHAnsi" w:hAnsiTheme="majorHAnsi" w:cstheme="majorHAnsi"/>
        </w:rPr>
        <w:t xml:space="preserve">) focusing on fisheries, which also provides ample opportunity to discuss the </w:t>
      </w:r>
      <w:r w:rsidR="00B41DE6">
        <w:rPr>
          <w:rFonts w:asciiTheme="majorHAnsi" w:hAnsiTheme="majorHAnsi" w:cstheme="majorHAnsi"/>
        </w:rPr>
        <w:t>Investment</w:t>
      </w:r>
      <w:r w:rsidRPr="00AC33B7">
        <w:rPr>
          <w:rFonts w:asciiTheme="majorHAnsi" w:hAnsiTheme="majorHAnsi" w:cstheme="majorHAnsi"/>
        </w:rPr>
        <w:t xml:space="preserve"> in person with relevant stakeholders and other like-minded development partners.</w:t>
      </w:r>
    </w:p>
    <w:p w14:paraId="25D9F0B4" w14:textId="12D260AC" w:rsidR="00911328" w:rsidRPr="00AC33B7" w:rsidRDefault="000D6B30" w:rsidP="00BD1321">
      <w:pPr>
        <w:spacing w:after="120"/>
        <w:rPr>
          <w:rFonts w:asciiTheme="majorHAnsi" w:hAnsiTheme="majorHAnsi" w:cstheme="majorHAnsi"/>
        </w:rPr>
      </w:pPr>
      <w:r>
        <w:rPr>
          <w:rFonts w:asciiTheme="majorHAnsi" w:hAnsiTheme="majorHAnsi" w:cstheme="majorHAnsi"/>
        </w:rPr>
        <w:t xml:space="preserve">The evaluations conducted on the Investment during this period have found a need for stronger Monitoring, Evaluation, and Learning (MEL) systems, with consistent recommendations to enhance MEL frameworks. Evaluations routinely revealed that M&amp;E reports often focused on outputs rather than outcomes, data was rarely disaggregated by sex or ability, and the emphasis on core funding complicated the attribution of results </w:t>
      </w:r>
      <w:r>
        <w:rPr>
          <w:rFonts w:asciiTheme="majorHAnsi" w:hAnsiTheme="majorHAnsi" w:cstheme="majorHAnsi"/>
        </w:rPr>
        <w:lastRenderedPageBreak/>
        <w:t>to the Investment. They also emphasised the importance of developing more robust M&amp;E plans with relevant and meaningful indicators for comprehensive progress assessment. Incorporating these MEL components from the design phase was identified as a key lesson. However, as indicated below, feedback from key stakeholders during the fieldwork for this evaluation shows a gradual improvement in MEL capabilities over the period of the Investment, with more sophisticated frameworks, refined indicators, and increased utilisation of MEL for decision-making. Key partners, such as AFMA and ANCORS, established their own M&amp;E systems for their individual programmes or ROUs that aligned with DFAT’s M&amp;E Standards. Evidence suggests that the Investment demonstrated continuous improvement over time example</w:t>
      </w:r>
      <w:r w:rsidR="000B7160" w:rsidRPr="00AC33B7">
        <w:rPr>
          <w:rFonts w:asciiTheme="majorHAnsi" w:hAnsiTheme="majorHAnsi" w:cstheme="majorHAnsi"/>
        </w:rPr>
        <w:t>:</w:t>
      </w:r>
    </w:p>
    <w:p w14:paraId="1104EA5C" w14:textId="1FC5E98D" w:rsidR="000B7160" w:rsidRPr="00D90D13" w:rsidRDefault="000B7160" w:rsidP="00821BD8">
      <w:pPr>
        <w:pStyle w:val="ListParagraph"/>
        <w:numPr>
          <w:ilvl w:val="0"/>
          <w:numId w:val="8"/>
        </w:numPr>
        <w:ind w:left="714" w:hanging="357"/>
        <w:rPr>
          <w:rFonts w:cstheme="majorHAnsi"/>
        </w:rPr>
      </w:pPr>
      <w:r w:rsidRPr="00D90D13">
        <w:rPr>
          <w:rFonts w:cstheme="majorHAnsi"/>
        </w:rPr>
        <w:t xml:space="preserve">As part of the CBFM </w:t>
      </w:r>
      <w:r w:rsidR="00C15F57" w:rsidRPr="00D90D13">
        <w:rPr>
          <w:rFonts w:cstheme="majorHAnsi"/>
        </w:rPr>
        <w:t>project</w:t>
      </w:r>
      <w:r w:rsidRPr="00D90D13">
        <w:rPr>
          <w:rFonts w:cstheme="majorHAnsi"/>
        </w:rPr>
        <w:t xml:space="preserve">, </w:t>
      </w:r>
      <w:r w:rsidRPr="00AC33B7">
        <w:rPr>
          <w:rFonts w:cstheme="majorHAnsi"/>
        </w:rPr>
        <w:t>ANCORS</w:t>
      </w:r>
      <w:r w:rsidRPr="00D90D13">
        <w:rPr>
          <w:rFonts w:cstheme="majorHAnsi"/>
        </w:rPr>
        <w:t xml:space="preserve"> engaged a MEL advisor in 2021 to develop a comprehensive MEL strategy to meet the M&amp;E standards of DFAT and ACIAR.</w:t>
      </w:r>
    </w:p>
    <w:p w14:paraId="6C2BF449" w14:textId="687D3370" w:rsidR="00D736BD" w:rsidRPr="00BD1321" w:rsidRDefault="000B7160" w:rsidP="00821BD8">
      <w:pPr>
        <w:pStyle w:val="ListParagraph"/>
        <w:numPr>
          <w:ilvl w:val="0"/>
          <w:numId w:val="8"/>
        </w:numPr>
        <w:spacing w:after="120"/>
        <w:rPr>
          <w:rFonts w:cstheme="majorHAnsi"/>
        </w:rPr>
      </w:pPr>
      <w:r w:rsidRPr="00AC33B7">
        <w:rPr>
          <w:rFonts w:cstheme="majorHAnsi"/>
        </w:rPr>
        <w:t>AFMA</w:t>
      </w:r>
      <w:r w:rsidRPr="00D90D13">
        <w:rPr>
          <w:rFonts w:cstheme="majorHAnsi"/>
        </w:rPr>
        <w:t xml:space="preserve"> developed a framework to track and report on indicators relating to outputs and intermediate outcomes for the operations component of the Pacific IUU Fishing investment, which fed into their ROU annual reporting processes to DFAT.</w:t>
      </w:r>
    </w:p>
    <w:p w14:paraId="6E522CAE" w14:textId="0FF26DF9" w:rsidR="00D736BD" w:rsidRPr="00AC33B7" w:rsidRDefault="00403C3B" w:rsidP="00BD1321">
      <w:pPr>
        <w:spacing w:after="120"/>
        <w:rPr>
          <w:rFonts w:asciiTheme="majorHAnsi" w:hAnsiTheme="majorHAnsi" w:cstheme="majorHAnsi"/>
        </w:rPr>
      </w:pPr>
      <w:r w:rsidRPr="00AC33B7">
        <w:rPr>
          <w:rFonts w:asciiTheme="majorHAnsi" w:hAnsiTheme="majorHAnsi" w:cstheme="majorHAnsi"/>
        </w:rPr>
        <w:t xml:space="preserve">Different initiatives also strengthened their approach to </w:t>
      </w:r>
      <w:r w:rsidR="000D6B30">
        <w:rPr>
          <w:rFonts w:asciiTheme="majorHAnsi" w:hAnsiTheme="majorHAnsi" w:cstheme="majorHAnsi"/>
        </w:rPr>
        <w:t>MEL</w:t>
      </w:r>
      <w:r w:rsidRPr="00AC33B7">
        <w:rPr>
          <w:rFonts w:asciiTheme="majorHAnsi" w:hAnsiTheme="majorHAnsi" w:cstheme="majorHAnsi"/>
        </w:rPr>
        <w:t xml:space="preserve"> over time to generate credible information for measuring progress and performance.</w:t>
      </w:r>
      <w:r w:rsidR="007E469F" w:rsidRPr="00AC33B7">
        <w:rPr>
          <w:rFonts w:asciiTheme="majorHAnsi" w:hAnsiTheme="majorHAnsi" w:cstheme="majorHAnsi"/>
        </w:rPr>
        <w:t xml:space="preserve"> Both the FFA and SPC</w:t>
      </w:r>
      <w:r w:rsidR="001A39BE" w:rsidRPr="00AC33B7">
        <w:rPr>
          <w:rFonts w:asciiTheme="majorHAnsi" w:hAnsiTheme="majorHAnsi" w:cstheme="majorHAnsi"/>
        </w:rPr>
        <w:t xml:space="preserve"> </w:t>
      </w:r>
      <w:r w:rsidR="006B5558">
        <w:rPr>
          <w:rFonts w:asciiTheme="majorHAnsi" w:hAnsiTheme="majorHAnsi" w:cstheme="majorHAnsi"/>
        </w:rPr>
        <w:t>FAME</w:t>
      </w:r>
      <w:r w:rsidR="007E469F" w:rsidRPr="00AC33B7">
        <w:rPr>
          <w:rFonts w:asciiTheme="majorHAnsi" w:hAnsiTheme="majorHAnsi" w:cstheme="majorHAnsi"/>
        </w:rPr>
        <w:t xml:space="preserve"> developed increasingly sophisticated monitoring and evaluation frameworks, assessing performance through governance arrangements, multi-year planning and budgeting, Country Service Level Agreements, and annual reporting. For example:</w:t>
      </w:r>
    </w:p>
    <w:p w14:paraId="7FFBFD98" w14:textId="42AF904B" w:rsidR="00BA7054" w:rsidRDefault="00AD12E3" w:rsidP="00821BD8">
      <w:pPr>
        <w:pStyle w:val="ListParagraph"/>
        <w:numPr>
          <w:ilvl w:val="0"/>
          <w:numId w:val="8"/>
        </w:numPr>
        <w:ind w:left="714" w:hanging="357"/>
        <w:rPr>
          <w:rFonts w:cstheme="majorHAnsi"/>
        </w:rPr>
      </w:pPr>
      <w:r w:rsidRPr="00AD12E3">
        <w:rPr>
          <w:rFonts w:cstheme="majorHAnsi"/>
        </w:rPr>
        <w:t xml:space="preserve">Since funding for this </w:t>
      </w:r>
      <w:r w:rsidR="00F01473">
        <w:rPr>
          <w:rFonts w:cstheme="majorHAnsi"/>
        </w:rPr>
        <w:t>I</w:t>
      </w:r>
      <w:r w:rsidRPr="00AD12E3">
        <w:rPr>
          <w:rFonts w:cstheme="majorHAnsi"/>
        </w:rPr>
        <w:t xml:space="preserve">nvestment began, SPC </w:t>
      </w:r>
      <w:r w:rsidR="006B5558">
        <w:rPr>
          <w:rFonts w:cstheme="majorHAnsi"/>
        </w:rPr>
        <w:t>FAME</w:t>
      </w:r>
      <w:r w:rsidRPr="00AD12E3">
        <w:rPr>
          <w:rFonts w:cstheme="majorHAnsi"/>
        </w:rPr>
        <w:t xml:space="preserve"> </w:t>
      </w:r>
      <w:r w:rsidR="007565EF">
        <w:rPr>
          <w:rFonts w:cstheme="majorHAnsi"/>
        </w:rPr>
        <w:t xml:space="preserve">has </w:t>
      </w:r>
      <w:r w:rsidRPr="00AD12E3">
        <w:rPr>
          <w:rFonts w:cstheme="majorHAnsi"/>
        </w:rPr>
        <w:t xml:space="preserve">adopted multi-year budgeting and planning processes that include M&amp;E frameworks </w:t>
      </w:r>
      <w:r w:rsidR="00BA7054">
        <w:rPr>
          <w:rFonts w:cstheme="majorHAnsi"/>
        </w:rPr>
        <w:t xml:space="preserve">that are now closely </w:t>
      </w:r>
      <w:r w:rsidRPr="00AD12E3">
        <w:rPr>
          <w:rFonts w:cstheme="majorHAnsi"/>
        </w:rPr>
        <w:t xml:space="preserve">aligned with DFAT’s M&amp;E Standards for its activities, evaluating outputs and outcomes for each component against key indicators, and are supported by a dedicated MEL team (advisors and officers). </w:t>
      </w:r>
      <w:r>
        <w:rPr>
          <w:rFonts w:cstheme="majorHAnsi"/>
        </w:rPr>
        <w:t xml:space="preserve">Progress against this framework was communicated through annual corporate reports, annual HOF meetings, and reviewed as part of the independent </w:t>
      </w:r>
      <w:r w:rsidR="007565EF">
        <w:rPr>
          <w:rFonts w:cstheme="majorHAnsi"/>
        </w:rPr>
        <w:t xml:space="preserve">SPC </w:t>
      </w:r>
      <w:r w:rsidR="006B5558">
        <w:rPr>
          <w:rFonts w:cstheme="majorHAnsi"/>
        </w:rPr>
        <w:t>FAME</w:t>
      </w:r>
      <w:r>
        <w:rPr>
          <w:rFonts w:cstheme="majorHAnsi"/>
        </w:rPr>
        <w:t xml:space="preserve"> performance assessments. </w:t>
      </w:r>
    </w:p>
    <w:p w14:paraId="187AEAB1" w14:textId="50AC7ED5" w:rsidR="007E469F" w:rsidRPr="00D90D13" w:rsidRDefault="00AD12E3" w:rsidP="00821BD8">
      <w:pPr>
        <w:pStyle w:val="ListParagraph"/>
        <w:numPr>
          <w:ilvl w:val="0"/>
          <w:numId w:val="8"/>
        </w:numPr>
        <w:ind w:left="714" w:hanging="357"/>
        <w:rPr>
          <w:rFonts w:cstheme="majorHAnsi"/>
        </w:rPr>
      </w:pPr>
      <w:r>
        <w:rPr>
          <w:rFonts w:cstheme="majorHAnsi"/>
        </w:rPr>
        <w:t xml:space="preserve">By 2021, monitoring, evaluation, and learning systems within </w:t>
      </w:r>
      <w:r w:rsidR="007565EF">
        <w:rPr>
          <w:rFonts w:cstheme="majorHAnsi"/>
        </w:rPr>
        <w:t xml:space="preserve">SPC </w:t>
      </w:r>
      <w:r w:rsidR="006B5558">
        <w:rPr>
          <w:rFonts w:cstheme="majorHAnsi"/>
        </w:rPr>
        <w:t>FAME</w:t>
      </w:r>
      <w:r>
        <w:rPr>
          <w:rFonts w:cstheme="majorHAnsi"/>
        </w:rPr>
        <w:t xml:space="preserve"> were enhanced, with improved communication of the results of </w:t>
      </w:r>
      <w:r w:rsidR="007565EF">
        <w:rPr>
          <w:rFonts w:cstheme="majorHAnsi"/>
        </w:rPr>
        <w:t>its</w:t>
      </w:r>
      <w:r>
        <w:rPr>
          <w:rFonts w:cstheme="majorHAnsi"/>
        </w:rPr>
        <w:t xml:space="preserve"> activities and the sharing of experiences and knowledge across the region</w:t>
      </w:r>
      <w:r w:rsidR="007E469F" w:rsidRPr="00D90D13">
        <w:rPr>
          <w:rFonts w:cstheme="majorHAnsi"/>
        </w:rPr>
        <w:t>.</w:t>
      </w:r>
    </w:p>
    <w:p w14:paraId="75FD55BD" w14:textId="5516B1F8" w:rsidR="00AA7A3D" w:rsidRDefault="007E469F" w:rsidP="00821BD8">
      <w:pPr>
        <w:pStyle w:val="ListParagraph"/>
        <w:numPr>
          <w:ilvl w:val="0"/>
          <w:numId w:val="8"/>
        </w:numPr>
        <w:spacing w:after="120"/>
        <w:rPr>
          <w:rFonts w:cstheme="majorHAnsi"/>
        </w:rPr>
      </w:pPr>
      <w:r w:rsidRPr="00D90D13">
        <w:rPr>
          <w:rFonts w:cstheme="majorHAnsi"/>
        </w:rPr>
        <w:t xml:space="preserve">SPC </w:t>
      </w:r>
      <w:r w:rsidR="006B5558">
        <w:rPr>
          <w:rFonts w:cstheme="majorHAnsi"/>
        </w:rPr>
        <w:t>FAME</w:t>
      </w:r>
      <w:r w:rsidRPr="00D90D13">
        <w:rPr>
          <w:rFonts w:cstheme="majorHAnsi"/>
        </w:rPr>
        <w:t>'s MEL system aligns with regional frameworks, ensuring effective tracking of results, while also featuring a robust MEL framework aligned with regional prioritie</w:t>
      </w:r>
      <w:r w:rsidR="00AD12E3">
        <w:rPr>
          <w:rFonts w:cstheme="majorHAnsi"/>
        </w:rPr>
        <w:t>s</w:t>
      </w:r>
      <w:r w:rsidRPr="00D90D13">
        <w:rPr>
          <w:rFonts w:cstheme="majorHAnsi"/>
        </w:rPr>
        <w:t>.</w:t>
      </w:r>
    </w:p>
    <w:p w14:paraId="2F92D33A" w14:textId="41658C17" w:rsidR="00AA7A3D" w:rsidRPr="00AC33B7" w:rsidRDefault="0034299C" w:rsidP="00BD1321">
      <w:pPr>
        <w:spacing w:after="120"/>
        <w:rPr>
          <w:rFonts w:asciiTheme="majorHAnsi" w:hAnsiTheme="majorHAnsi" w:cstheme="majorHAnsi"/>
        </w:rPr>
      </w:pPr>
      <w:r w:rsidRPr="00AC33B7">
        <w:rPr>
          <w:rFonts w:asciiTheme="majorHAnsi" w:hAnsiTheme="majorHAnsi" w:cstheme="majorHAnsi"/>
        </w:rPr>
        <w:t>Performance evidence</w:t>
      </w:r>
      <w:r w:rsidR="002716AC">
        <w:rPr>
          <w:rFonts w:asciiTheme="majorHAnsi" w:hAnsiTheme="majorHAnsi" w:cstheme="majorHAnsi"/>
        </w:rPr>
        <w:t>-</w:t>
      </w:r>
      <w:r w:rsidRPr="00AC33B7">
        <w:rPr>
          <w:rFonts w:asciiTheme="majorHAnsi" w:hAnsiTheme="majorHAnsi" w:cstheme="majorHAnsi"/>
        </w:rPr>
        <w:t xml:space="preserve">informed </w:t>
      </w:r>
      <w:r w:rsidR="00F01473">
        <w:rPr>
          <w:rFonts w:asciiTheme="majorHAnsi" w:hAnsiTheme="majorHAnsi" w:cstheme="majorHAnsi"/>
        </w:rPr>
        <w:t>Investment</w:t>
      </w:r>
      <w:r w:rsidRPr="00AC33B7">
        <w:rPr>
          <w:rFonts w:asciiTheme="majorHAnsi" w:hAnsiTheme="majorHAnsi" w:cstheme="majorHAnsi"/>
        </w:rPr>
        <w:t xml:space="preserve"> decision-making, although the evidence at the </w:t>
      </w:r>
      <w:r w:rsidR="00632C3D" w:rsidRPr="00AC33B7">
        <w:rPr>
          <w:rFonts w:asciiTheme="majorHAnsi" w:hAnsiTheme="majorHAnsi" w:cstheme="majorHAnsi"/>
        </w:rPr>
        <w:t xml:space="preserve">agreement </w:t>
      </w:r>
      <w:r w:rsidRPr="00AC33B7">
        <w:rPr>
          <w:rFonts w:asciiTheme="majorHAnsi" w:hAnsiTheme="majorHAnsi" w:cstheme="majorHAnsi"/>
        </w:rPr>
        <w:t xml:space="preserve">level is more compelling. Evaluation recommendations and findings were leveraged for critical decision-making moments. Evidence from evaluations and program reports illustrates that MEL systems enhanced learning at </w:t>
      </w:r>
      <w:r w:rsidR="000D6B30">
        <w:rPr>
          <w:rFonts w:asciiTheme="majorHAnsi" w:hAnsiTheme="majorHAnsi" w:cstheme="majorHAnsi"/>
        </w:rPr>
        <w:t xml:space="preserve">the </w:t>
      </w:r>
      <w:r w:rsidR="00F01473">
        <w:rPr>
          <w:rFonts w:asciiTheme="majorHAnsi" w:hAnsiTheme="majorHAnsi" w:cstheme="majorHAnsi"/>
        </w:rPr>
        <w:t>Investment</w:t>
      </w:r>
      <w:r w:rsidR="0060680E" w:rsidRPr="00AC33B7">
        <w:rPr>
          <w:rFonts w:asciiTheme="majorHAnsi" w:hAnsiTheme="majorHAnsi" w:cstheme="majorHAnsi"/>
        </w:rPr>
        <w:t xml:space="preserve"> </w:t>
      </w:r>
      <w:r w:rsidRPr="00AC33B7">
        <w:rPr>
          <w:rFonts w:asciiTheme="majorHAnsi" w:hAnsiTheme="majorHAnsi" w:cstheme="majorHAnsi"/>
        </w:rPr>
        <w:t xml:space="preserve">level. </w:t>
      </w:r>
      <w:r w:rsidR="004970F2" w:rsidRPr="00AC33B7">
        <w:rPr>
          <w:rFonts w:asciiTheme="majorHAnsi" w:hAnsiTheme="majorHAnsi" w:cstheme="majorHAnsi"/>
        </w:rPr>
        <w:t>For example:</w:t>
      </w:r>
    </w:p>
    <w:p w14:paraId="4554CE9C" w14:textId="77777777" w:rsidR="0034299C" w:rsidRPr="00D90D13" w:rsidRDefault="0034299C" w:rsidP="00821BD8">
      <w:pPr>
        <w:pStyle w:val="ListParagraph"/>
        <w:numPr>
          <w:ilvl w:val="0"/>
          <w:numId w:val="7"/>
        </w:numPr>
        <w:ind w:left="714" w:hanging="357"/>
        <w:rPr>
          <w:rFonts w:cstheme="majorHAnsi"/>
        </w:rPr>
      </w:pPr>
      <w:r w:rsidRPr="00D90D13">
        <w:rPr>
          <w:rFonts w:cstheme="majorHAnsi"/>
        </w:rPr>
        <w:t>Within the FFA MEL approach, decision-making was increasingly informed through annual high-level consultations, audit committee meetings, performance review platforms, traffic light reporting systems, and donor-agency meetings.</w:t>
      </w:r>
    </w:p>
    <w:p w14:paraId="61870E09" w14:textId="77777777" w:rsidR="0034299C" w:rsidRDefault="0034299C" w:rsidP="00821BD8">
      <w:pPr>
        <w:pStyle w:val="ListParagraph"/>
        <w:numPr>
          <w:ilvl w:val="0"/>
          <w:numId w:val="7"/>
        </w:numPr>
        <w:ind w:left="714" w:hanging="357"/>
        <w:rPr>
          <w:rFonts w:cstheme="majorHAnsi"/>
        </w:rPr>
      </w:pPr>
      <w:r w:rsidRPr="00D90D13">
        <w:rPr>
          <w:rFonts w:cstheme="majorHAnsi"/>
        </w:rPr>
        <w:t>CBFM introduced key learning mechanisms, including post-training assessments, longitudinal panel studies, gender benchmarking, periodic project reviews, and the refinement of strategic objectives based on organisational learning.</w:t>
      </w:r>
    </w:p>
    <w:p w14:paraId="4FCB7396" w14:textId="6FBC195B" w:rsidR="007565EF" w:rsidRPr="00D90D13" w:rsidRDefault="007565EF" w:rsidP="00821BD8">
      <w:pPr>
        <w:pStyle w:val="ListParagraph"/>
        <w:numPr>
          <w:ilvl w:val="0"/>
          <w:numId w:val="7"/>
        </w:numPr>
        <w:ind w:left="714" w:hanging="357"/>
        <w:rPr>
          <w:rFonts w:cstheme="majorHAnsi"/>
        </w:rPr>
      </w:pPr>
      <w:r>
        <w:rPr>
          <w:rFonts w:cstheme="majorHAnsi"/>
        </w:rPr>
        <w:t>Post-training surveys</w:t>
      </w:r>
      <w:r w:rsidRPr="007565EF">
        <w:rPr>
          <w:rFonts w:cstheme="majorHAnsi"/>
        </w:rPr>
        <w:t xml:space="preserve"> </w:t>
      </w:r>
      <w:r>
        <w:rPr>
          <w:rFonts w:cstheme="majorHAnsi"/>
        </w:rPr>
        <w:t>and</w:t>
      </w:r>
      <w:r w:rsidRPr="007565EF">
        <w:rPr>
          <w:rFonts w:cstheme="majorHAnsi"/>
        </w:rPr>
        <w:t xml:space="preserve"> </w:t>
      </w:r>
      <w:r>
        <w:rPr>
          <w:rFonts w:cstheme="majorHAnsi"/>
        </w:rPr>
        <w:t>six-month</w:t>
      </w:r>
      <w:r w:rsidRPr="007565EF">
        <w:rPr>
          <w:rFonts w:cstheme="majorHAnsi"/>
        </w:rPr>
        <w:t xml:space="preserve"> </w:t>
      </w:r>
      <w:r>
        <w:rPr>
          <w:rFonts w:cstheme="majorHAnsi"/>
        </w:rPr>
        <w:t>tracer</w:t>
      </w:r>
      <w:r w:rsidRPr="007565EF">
        <w:rPr>
          <w:rFonts w:cstheme="majorHAnsi"/>
        </w:rPr>
        <w:t xml:space="preserve"> </w:t>
      </w:r>
      <w:r>
        <w:rPr>
          <w:rFonts w:cstheme="majorHAnsi"/>
        </w:rPr>
        <w:t>studies</w:t>
      </w:r>
      <w:r w:rsidRPr="007565EF">
        <w:rPr>
          <w:rFonts w:cstheme="majorHAnsi"/>
        </w:rPr>
        <w:t xml:space="preserve"> </w:t>
      </w:r>
      <w:r>
        <w:rPr>
          <w:rFonts w:cstheme="majorHAnsi"/>
        </w:rPr>
        <w:t>accompany</w:t>
      </w:r>
      <w:r w:rsidRPr="007565EF">
        <w:rPr>
          <w:rFonts w:cstheme="majorHAnsi"/>
        </w:rPr>
        <w:t xml:space="preserve"> </w:t>
      </w:r>
      <w:r>
        <w:rPr>
          <w:rFonts w:cstheme="majorHAnsi"/>
        </w:rPr>
        <w:t>all</w:t>
      </w:r>
      <w:r w:rsidRPr="007565EF">
        <w:rPr>
          <w:rFonts w:cstheme="majorHAnsi"/>
        </w:rPr>
        <w:t xml:space="preserve"> </w:t>
      </w:r>
      <w:r>
        <w:rPr>
          <w:rFonts w:cstheme="majorHAnsi"/>
        </w:rPr>
        <w:t>SPC</w:t>
      </w:r>
      <w:r w:rsidRPr="007565EF">
        <w:rPr>
          <w:rFonts w:cstheme="majorHAnsi"/>
        </w:rPr>
        <w:t xml:space="preserve"> </w:t>
      </w:r>
      <w:r w:rsidR="006B5558">
        <w:rPr>
          <w:rFonts w:cstheme="majorHAnsi"/>
        </w:rPr>
        <w:t>FAME</w:t>
      </w:r>
      <w:r w:rsidRPr="007565EF">
        <w:rPr>
          <w:rFonts w:cstheme="majorHAnsi"/>
        </w:rPr>
        <w:t xml:space="preserve"> tra</w:t>
      </w:r>
      <w:r>
        <w:rPr>
          <w:rFonts w:cstheme="majorHAnsi"/>
        </w:rPr>
        <w:t>ining</w:t>
      </w:r>
      <w:r w:rsidRPr="007565EF">
        <w:rPr>
          <w:rFonts w:cstheme="majorHAnsi"/>
        </w:rPr>
        <w:t xml:space="preserve"> </w:t>
      </w:r>
      <w:r>
        <w:rPr>
          <w:rFonts w:cstheme="majorHAnsi"/>
        </w:rPr>
        <w:t>programs</w:t>
      </w:r>
      <w:r w:rsidRPr="007565EF">
        <w:rPr>
          <w:rFonts w:cstheme="majorHAnsi"/>
        </w:rPr>
        <w:t xml:space="preserve">. These results are systematically collected and published online at </w:t>
      </w:r>
      <w:hyperlink r:id="rId29" w:history="1">
        <w:r w:rsidR="006B5558" w:rsidRPr="00355D92">
          <w:rPr>
            <w:rStyle w:val="Hyperlink"/>
          </w:rPr>
          <w:t>https://fameresults.org/</w:t>
        </w:r>
      </w:hyperlink>
      <w:r w:rsidRPr="004E59F3">
        <w:rPr>
          <w:rFonts w:ascii="Calibri" w:hAnsi="Calibri"/>
        </w:rPr>
        <w:t xml:space="preserve">, </w:t>
      </w:r>
      <w:r w:rsidRPr="007565EF">
        <w:rPr>
          <w:rFonts w:cstheme="majorHAnsi"/>
        </w:rPr>
        <w:t>ensuring transparency and accountability</w:t>
      </w:r>
      <w:r>
        <w:rPr>
          <w:rFonts w:cstheme="majorHAnsi"/>
        </w:rPr>
        <w:t>.</w:t>
      </w:r>
    </w:p>
    <w:p w14:paraId="4F2F049B" w14:textId="16B421D7" w:rsidR="00AA7A3D" w:rsidRPr="00BD1321" w:rsidRDefault="0034299C" w:rsidP="00821BD8">
      <w:pPr>
        <w:pStyle w:val="ListParagraph"/>
        <w:numPr>
          <w:ilvl w:val="0"/>
          <w:numId w:val="7"/>
        </w:numPr>
        <w:spacing w:after="120"/>
        <w:ind w:left="714" w:hanging="357"/>
        <w:rPr>
          <w:rFonts w:cstheme="majorHAnsi"/>
        </w:rPr>
      </w:pPr>
      <w:r w:rsidRPr="00D90D13">
        <w:rPr>
          <w:rFonts w:cstheme="majorHAnsi"/>
        </w:rPr>
        <w:t xml:space="preserve">For CBFM, MEL outputs were used to inform program evolution, such as shifting from provincial to national-level support in </w:t>
      </w:r>
      <w:r w:rsidR="008E7FA2" w:rsidRPr="00D90D13">
        <w:rPr>
          <w:rFonts w:cstheme="majorHAnsi"/>
        </w:rPr>
        <w:t xml:space="preserve">the </w:t>
      </w:r>
      <w:r w:rsidRPr="00D90D13">
        <w:rPr>
          <w:rFonts w:cstheme="majorHAnsi"/>
        </w:rPr>
        <w:t>Solomon Islands and adapting delivery modalities based on lessons learned.</w:t>
      </w:r>
    </w:p>
    <w:p w14:paraId="2E07225E" w14:textId="78533C4F" w:rsidR="00AA7A3D" w:rsidRPr="00FD1E4F" w:rsidRDefault="00FD1E4F" w:rsidP="00BD1321">
      <w:pPr>
        <w:spacing w:after="120"/>
      </w:pPr>
      <w:r w:rsidRPr="00FD1E4F">
        <w:t>T</w:t>
      </w:r>
      <w:r w:rsidR="00CE1ED7" w:rsidRPr="00FD1E4F">
        <w:t xml:space="preserve">he extent to which actions were taken or enhancements made to improve the performance of the MEL system over its lifetime </w:t>
      </w:r>
      <w:r w:rsidR="00394694">
        <w:t>is</w:t>
      </w:r>
      <w:r w:rsidRPr="00FD1E4F">
        <w:t xml:space="preserve"> limited</w:t>
      </w:r>
      <w:r w:rsidR="00CE1ED7" w:rsidRPr="00FD1E4F">
        <w:t xml:space="preserve">. Although most activities under the </w:t>
      </w:r>
      <w:r w:rsidR="00F01473">
        <w:t>Investment</w:t>
      </w:r>
      <w:r w:rsidR="00CE1ED7" w:rsidRPr="00FD1E4F">
        <w:t xml:space="preserve"> eventually involved the appointment of dedicated M&amp;E advisors to support M&amp;E actions, it is unclear whether they had adequate resources to implement sufficient M&amp;E. </w:t>
      </w:r>
      <w:r w:rsidR="004970F2">
        <w:t>For example:</w:t>
      </w:r>
    </w:p>
    <w:p w14:paraId="0CD1B6C1" w14:textId="66BEBAF7" w:rsidR="00CE1ED7" w:rsidRPr="00FD1E4F" w:rsidRDefault="00CE1ED7" w:rsidP="00821BD8">
      <w:pPr>
        <w:pStyle w:val="ListParagraph"/>
        <w:numPr>
          <w:ilvl w:val="0"/>
          <w:numId w:val="9"/>
        </w:numPr>
        <w:ind w:left="714" w:hanging="357"/>
      </w:pPr>
      <w:r w:rsidRPr="00FD1E4F">
        <w:lastRenderedPageBreak/>
        <w:t xml:space="preserve">CBFM showcased various innovative monitoring tools, including AI-driven systems to enhance fisheries </w:t>
      </w:r>
      <w:r w:rsidR="00AE5085">
        <w:t>monitoring</w:t>
      </w:r>
      <w:r w:rsidRPr="00FD1E4F">
        <w:t xml:space="preserve">, and several significant technologies were introduced to support MCS initiatives; however, these were peripheral to the overall progress monitoring of the </w:t>
      </w:r>
      <w:r w:rsidR="00F01473">
        <w:t>Investment</w:t>
      </w:r>
      <w:r w:rsidRPr="00FD1E4F">
        <w:t>. By 2024, MEL systems were reported to have matured significantly, with structured frameworks aligned to the Theory of Change and regional strategies like the New Song. However, outcome-level evaluation and community-level feedback loops still need strengthening.</w:t>
      </w:r>
    </w:p>
    <w:p w14:paraId="00D9D5B9" w14:textId="1179F905" w:rsidR="008222DC" w:rsidRDefault="00CE1ED7" w:rsidP="00821BD8">
      <w:pPr>
        <w:pStyle w:val="ListParagraph"/>
        <w:numPr>
          <w:ilvl w:val="0"/>
          <w:numId w:val="9"/>
        </w:numPr>
        <w:ind w:left="714" w:hanging="357"/>
      </w:pPr>
      <w:r w:rsidRPr="00FD1E4F">
        <w:t xml:space="preserve">High staff turnover, especially in regional organisations like FFA, undermined institutional memory and MEL continuity. </w:t>
      </w:r>
      <w:r w:rsidR="00986431">
        <w:t xml:space="preserve">Whilst the FFA have developed a MERLA framework (September 2024) </w:t>
      </w:r>
      <w:r w:rsidR="00B045AA">
        <w:t>interviews found that the framework ha</w:t>
      </w:r>
      <w:r w:rsidR="00DB53EC">
        <w:t>s not yet been fully implemented</w:t>
      </w:r>
      <w:r w:rsidR="00B02CE9">
        <w:t>.</w:t>
      </w:r>
    </w:p>
    <w:p w14:paraId="7053D54D" w14:textId="421BCBB6" w:rsidR="00D90D13" w:rsidRDefault="00CE1ED7" w:rsidP="00821BD8">
      <w:pPr>
        <w:pStyle w:val="ListParagraph"/>
        <w:numPr>
          <w:ilvl w:val="0"/>
          <w:numId w:val="9"/>
        </w:numPr>
        <w:spacing w:after="120"/>
      </w:pPr>
      <w:r w:rsidRPr="00FD1E4F">
        <w:t>Similarly, MEL systems</w:t>
      </w:r>
      <w:r w:rsidR="00B02CE9">
        <w:t xml:space="preserve"> in </w:t>
      </w:r>
      <w:r w:rsidR="000D6B30">
        <w:t>several</w:t>
      </w:r>
      <w:r w:rsidR="00B02CE9">
        <w:t xml:space="preserve"> organisations</w:t>
      </w:r>
      <w:r w:rsidRPr="00FD1E4F">
        <w:t xml:space="preserve"> were sometimes dependent on a few individuals, making them vulnerable to personnel changes.</w:t>
      </w:r>
    </w:p>
    <w:p w14:paraId="2413031E" w14:textId="36F40EB8" w:rsidR="007207CE" w:rsidRDefault="00536325" w:rsidP="00BD1321">
      <w:pPr>
        <w:spacing w:after="120"/>
      </w:pPr>
      <w:r>
        <w:t>The absence of an MEL framework for the overall Investment represented a missed opportunity to monitor broader outcomes and process indicators across the Investment. This limited the Australian Government's ability to make evidence-based decisions regarding strategy, resource allocation, and partnership engagement across the portfolio, as well as the extent to which lessons could be learned and information shared</w:t>
      </w:r>
      <w:r w:rsidR="00D90D13" w:rsidRPr="004428EF">
        <w:t>.</w:t>
      </w:r>
    </w:p>
    <w:p w14:paraId="673EE948" w14:textId="6771A125" w:rsidR="00D32091" w:rsidRDefault="00D32091" w:rsidP="000357D3"/>
    <w:p w14:paraId="077ADA70" w14:textId="1BA9A587" w:rsidR="00094273" w:rsidRPr="00471F58" w:rsidRDefault="00CE301B" w:rsidP="00471F58">
      <w:pPr>
        <w:pStyle w:val="Heading4"/>
        <w:rPr>
          <w:sz w:val="24"/>
          <w:szCs w:val="24"/>
        </w:rPr>
      </w:pPr>
      <w:r w:rsidRPr="00471F58">
        <w:rPr>
          <w:sz w:val="24"/>
          <w:szCs w:val="24"/>
        </w:rPr>
        <w:t xml:space="preserve">KEQ 2(c) </w:t>
      </w:r>
      <w:r w:rsidR="00094273" w:rsidRPr="00471F58">
        <w:rPr>
          <w:sz w:val="24"/>
          <w:szCs w:val="24"/>
        </w:rPr>
        <w:t>What lessons and approaches for monitoring, evaluation and learning should be applied to DFAT’s future Pacific fisheries investments?</w:t>
      </w:r>
    </w:p>
    <w:tbl>
      <w:tblPr>
        <w:tblStyle w:val="TableGrid"/>
        <w:tblW w:w="0" w:type="auto"/>
        <w:tblLook w:val="04A0" w:firstRow="1" w:lastRow="0" w:firstColumn="1" w:lastColumn="0" w:noHBand="0" w:noVBand="1"/>
      </w:tblPr>
      <w:tblGrid>
        <w:gridCol w:w="9730"/>
      </w:tblGrid>
      <w:tr w:rsidR="00A34B99" w14:paraId="303F7B90" w14:textId="77777777" w:rsidTr="00A34B99">
        <w:tc>
          <w:tcPr>
            <w:tcW w:w="9730" w:type="dxa"/>
            <w:tcBorders>
              <w:top w:val="nil"/>
              <w:left w:val="nil"/>
              <w:bottom w:val="nil"/>
              <w:right w:val="nil"/>
            </w:tcBorders>
            <w:shd w:val="clear" w:color="auto" w:fill="DEEAF6" w:themeFill="accent5" w:themeFillTint="33"/>
          </w:tcPr>
          <w:p w14:paraId="4B0C41A7" w14:textId="418120CC" w:rsidR="00A34B99" w:rsidRDefault="00A34B99" w:rsidP="00A34B99">
            <w:pPr>
              <w:spacing w:after="120"/>
            </w:pPr>
            <w:r w:rsidRPr="001E60B8">
              <w:rPr>
                <w:b/>
                <w:bCs/>
              </w:rPr>
              <w:t>Key Finding</w:t>
            </w:r>
            <w:r>
              <w:t xml:space="preserve">: </w:t>
            </w:r>
            <w:r w:rsidRPr="00AC33B7">
              <w:rPr>
                <w:rFonts w:asciiTheme="majorHAnsi" w:hAnsiTheme="majorHAnsi" w:cstheme="majorHAnsi"/>
              </w:rPr>
              <w:t xml:space="preserve">Several lessons and opportunities for MEL in DFAT’s future Pacific fisheries investments exist, some specific to the subject matter and operational context, while others align with effective MEL practices that could be enhanced in the future. Additionally, the evaluation found that learning was often anecdotal rather than evidence-based and needs to be improved to ensure that a more systematic approach to lessons learnt is used to inform future programming. </w:t>
            </w:r>
            <w:r>
              <w:t>A</w:t>
            </w:r>
            <w:r w:rsidRPr="008A42D9">
              <w:t>n opportunity now exists to connect fisheries agencies with the recently launched</w:t>
            </w:r>
            <w:r>
              <w:t xml:space="preserve"> </w:t>
            </w:r>
            <w:hyperlink r:id="rId30" w:history="1">
              <w:r w:rsidRPr="00550850">
                <w:rPr>
                  <w:rStyle w:val="Hyperlink"/>
                </w:rPr>
                <w:t>Diploma in Monitoring, Evaluation and Learning</w:t>
              </w:r>
            </w:hyperlink>
            <w:r w:rsidRPr="008A42D9">
              <w:t xml:space="preserve"> qualification under the auspices of the SPC</w:t>
            </w:r>
            <w:r>
              <w:t>.</w:t>
            </w:r>
          </w:p>
        </w:tc>
      </w:tr>
    </w:tbl>
    <w:p w14:paraId="43C1F459" w14:textId="09C0BF0B" w:rsidR="00CA143F" w:rsidRDefault="00CA143F" w:rsidP="000357D3"/>
    <w:p w14:paraId="50691E29" w14:textId="1E577B1D" w:rsidR="00916072" w:rsidRDefault="00CA143F" w:rsidP="00BD1321">
      <w:pPr>
        <w:spacing w:after="120"/>
      </w:pPr>
      <w:r>
        <w:t xml:space="preserve">In reviewing the current approach to MEL across the Investment, the Evaluation team identified examples of good MEL practice which should be taken on board in </w:t>
      </w:r>
      <w:r w:rsidR="00916072">
        <w:t>future</w:t>
      </w:r>
      <w:r>
        <w:t xml:space="preserve"> Pacific Fisheries Investments</w:t>
      </w:r>
      <w:r w:rsidR="00916072">
        <w:t xml:space="preserve">. The Evaluation team also found that </w:t>
      </w:r>
      <w:r w:rsidR="00916072" w:rsidRPr="00695436">
        <w:t>learning was often anecdotal rather than evidence-based, which could be improved through structured learning loops (e.g., reflection sessions, after-action reviews) and document adaptations to inform future programming</w:t>
      </w:r>
      <w:r w:rsidR="00916072">
        <w:t>.</w:t>
      </w:r>
    </w:p>
    <w:p w14:paraId="232A649F" w14:textId="34B1BB6D" w:rsidR="00916072" w:rsidRPr="00BD1321" w:rsidRDefault="00916072" w:rsidP="00BD1321">
      <w:pPr>
        <w:spacing w:after="120"/>
        <w:rPr>
          <w:rFonts w:asciiTheme="majorHAnsi" w:hAnsiTheme="majorHAnsi" w:cstheme="majorHAnsi"/>
        </w:rPr>
      </w:pPr>
      <w:r w:rsidRPr="00AC33B7">
        <w:rPr>
          <w:rFonts w:asciiTheme="majorHAnsi" w:hAnsiTheme="majorHAnsi" w:cstheme="majorHAnsi"/>
        </w:rPr>
        <w:t xml:space="preserve">Examples of good MEL practice identified by the Evaluation Team (and which are clearly articulated in the </w:t>
      </w:r>
      <w:hyperlink r:id="rId31" w:history="1">
        <w:r w:rsidRPr="00AC33B7">
          <w:rPr>
            <w:rStyle w:val="Hyperlink"/>
            <w:rFonts w:asciiTheme="majorHAnsi" w:hAnsiTheme="majorHAnsi" w:cstheme="majorHAnsi"/>
          </w:rPr>
          <w:t>DFAT's Design and Monitoring, Evaluation and Learning Standards</w:t>
        </w:r>
      </w:hyperlink>
      <w:r w:rsidRPr="00AC33B7">
        <w:rPr>
          <w:rFonts w:asciiTheme="majorHAnsi" w:hAnsiTheme="majorHAnsi" w:cstheme="majorHAnsi"/>
        </w:rPr>
        <w:t>) include</w:t>
      </w:r>
      <w:r>
        <w:rPr>
          <w:rFonts w:asciiTheme="majorHAnsi" w:hAnsiTheme="majorHAnsi" w:cstheme="majorHAnsi"/>
        </w:rPr>
        <w:t>:</w:t>
      </w:r>
    </w:p>
    <w:p w14:paraId="2C62DDC9" w14:textId="344840EB" w:rsidR="00916072" w:rsidRPr="008A42D9" w:rsidRDefault="00916072" w:rsidP="00821BD8">
      <w:pPr>
        <w:pStyle w:val="ListParagraph"/>
        <w:numPr>
          <w:ilvl w:val="0"/>
          <w:numId w:val="10"/>
        </w:numPr>
        <w:ind w:left="714" w:hanging="357"/>
      </w:pPr>
      <w:r w:rsidRPr="008A42D9">
        <w:t xml:space="preserve">A clearer articulation of objectives, governance structures, and monitoring frameworks is crucial in the early stages of any future investment. </w:t>
      </w:r>
    </w:p>
    <w:p w14:paraId="67E3406F" w14:textId="77777777" w:rsidR="00916072" w:rsidRPr="008A42D9" w:rsidRDefault="00916072" w:rsidP="00821BD8">
      <w:pPr>
        <w:pStyle w:val="ListParagraph"/>
        <w:numPr>
          <w:ilvl w:val="0"/>
          <w:numId w:val="10"/>
        </w:numPr>
        <w:ind w:left="714" w:hanging="357"/>
      </w:pPr>
      <w:r w:rsidRPr="008A42D9">
        <w:t xml:space="preserve">There should be a deliberate shift towards outcome-oriented MEL by developing systems that more effectively capture long-term behavioural, ecological, and governance outcomes of interventions. </w:t>
      </w:r>
    </w:p>
    <w:p w14:paraId="142BC90E" w14:textId="77777777" w:rsidR="00916072" w:rsidRPr="008A42D9" w:rsidRDefault="00916072" w:rsidP="00821BD8">
      <w:pPr>
        <w:pStyle w:val="ListParagraph"/>
        <w:numPr>
          <w:ilvl w:val="0"/>
          <w:numId w:val="10"/>
        </w:numPr>
        <w:ind w:left="714" w:hanging="357"/>
      </w:pPr>
      <w:r w:rsidRPr="008A42D9">
        <w:t xml:space="preserve">It is essential to support enhanced data sharing and trust concerning the sensitivities of data sharing (e.g. IUU Fishing) through secure platforms and regional governance mechanisms. </w:t>
      </w:r>
    </w:p>
    <w:p w14:paraId="6ECCD2AF" w14:textId="77777777" w:rsidR="00916072" w:rsidRPr="008A42D9" w:rsidRDefault="00916072" w:rsidP="00821BD8">
      <w:pPr>
        <w:pStyle w:val="ListParagraph"/>
        <w:numPr>
          <w:ilvl w:val="0"/>
          <w:numId w:val="10"/>
        </w:numPr>
        <w:ind w:left="714" w:hanging="357"/>
      </w:pPr>
      <w:r w:rsidRPr="008A42D9">
        <w:t xml:space="preserve">We should encourage regional organisations to embed MEL in their core operations rather than solely in donor-funded projects, to better institutionalise MEL processes. </w:t>
      </w:r>
    </w:p>
    <w:p w14:paraId="51C987A0" w14:textId="5F8866A0" w:rsidR="00916072" w:rsidRPr="008A42D9" w:rsidRDefault="00916072" w:rsidP="00821BD8">
      <w:pPr>
        <w:pStyle w:val="ListParagraph"/>
        <w:numPr>
          <w:ilvl w:val="0"/>
          <w:numId w:val="10"/>
        </w:numPr>
        <w:ind w:left="714" w:hanging="357"/>
      </w:pPr>
      <w:r w:rsidRPr="008A42D9">
        <w:t xml:space="preserve">For future portfolios, MEL systems ought to be designed to track coherence and integration across project components and partners. </w:t>
      </w:r>
    </w:p>
    <w:p w14:paraId="032CCB10" w14:textId="4B51EC3A" w:rsidR="003000B6" w:rsidRPr="00BD1321" w:rsidRDefault="00916072" w:rsidP="00821BD8">
      <w:pPr>
        <w:pStyle w:val="ListParagraph"/>
        <w:numPr>
          <w:ilvl w:val="0"/>
          <w:numId w:val="10"/>
        </w:numPr>
        <w:spacing w:after="120"/>
        <w:rPr>
          <w:rFonts w:cstheme="majorHAnsi"/>
        </w:rPr>
      </w:pPr>
      <w:r w:rsidRPr="008A42D9">
        <w:t>Additionally, institutional and sustainability indicators should be included in MEL frameworks, and capacity outcomes ought to be</w:t>
      </w:r>
    </w:p>
    <w:p w14:paraId="72D4363F" w14:textId="3377D2A8" w:rsidR="00B72C83" w:rsidRDefault="008A42D9" w:rsidP="00BD1321">
      <w:pPr>
        <w:spacing w:after="120"/>
      </w:pPr>
      <w:r w:rsidRPr="008A42D9">
        <w:t>In the specific context of Pacific fisheries, an opportunity now exists to connect fisheries agencies with the recently launched</w:t>
      </w:r>
      <w:r w:rsidR="00550850">
        <w:t xml:space="preserve"> </w:t>
      </w:r>
      <w:hyperlink r:id="rId32" w:history="1">
        <w:r w:rsidR="00550850" w:rsidRPr="00550850">
          <w:rPr>
            <w:rStyle w:val="Hyperlink"/>
          </w:rPr>
          <w:t>Diploma in Monitoring, Evaluation and Learning</w:t>
        </w:r>
      </w:hyperlink>
      <w:r w:rsidRPr="008A42D9">
        <w:t xml:space="preserve"> qualification under the auspices of the SPC. </w:t>
      </w:r>
      <w:r w:rsidRPr="008A42D9">
        <w:lastRenderedPageBreak/>
        <w:t xml:space="preserve">This initiative would help address the evident challenges of limited MEL capacity in the region and support the localisation of this function for overall sustainability. Furthermore, additional investment in tools, training, and systems to enhance MEL at the country level in the Pacific—particularly for coastal fisheries—would also build relevant capacity. </w:t>
      </w:r>
    </w:p>
    <w:p w14:paraId="3800589F" w14:textId="77777777" w:rsidR="00D67FA7" w:rsidRDefault="00D67FA7" w:rsidP="000357D3">
      <w:pPr>
        <w:rPr>
          <w:rFonts w:asciiTheme="minorHAnsi" w:hAnsiTheme="minorHAnsi"/>
        </w:rPr>
      </w:pPr>
    </w:p>
    <w:p w14:paraId="2CC6D8D8" w14:textId="51BE7579" w:rsidR="00603815" w:rsidRPr="000E6D9F" w:rsidRDefault="00CE301B" w:rsidP="000E6D9F">
      <w:pPr>
        <w:pStyle w:val="Heading3"/>
        <w:rPr>
          <w:rStyle w:val="Heading"/>
          <w:rFonts w:asciiTheme="majorHAnsi" w:hAnsiTheme="majorHAnsi" w:cstheme="majorBidi"/>
          <w:b/>
          <w:bCs/>
          <w:color w:val="2F5496" w:themeColor="accent1" w:themeShade="BF"/>
          <w:sz w:val="28"/>
          <w:szCs w:val="28"/>
        </w:rPr>
      </w:pPr>
      <w:bookmarkStart w:id="53" w:name="_Toc207206815"/>
      <w:r w:rsidRPr="000E6D9F">
        <w:rPr>
          <w:rStyle w:val="Heading"/>
          <w:rFonts w:asciiTheme="majorHAnsi" w:hAnsiTheme="majorHAnsi" w:cstheme="majorBidi"/>
          <w:b/>
          <w:bCs/>
          <w:color w:val="2F5496" w:themeColor="accent1" w:themeShade="BF"/>
          <w:sz w:val="28"/>
          <w:szCs w:val="28"/>
        </w:rPr>
        <w:t>K</w:t>
      </w:r>
      <w:r w:rsidR="00051E56" w:rsidRPr="000E6D9F">
        <w:rPr>
          <w:rStyle w:val="Heading"/>
          <w:rFonts w:asciiTheme="majorHAnsi" w:hAnsiTheme="majorHAnsi" w:cstheme="majorBidi"/>
          <w:b/>
          <w:bCs/>
          <w:color w:val="2F5496" w:themeColor="accent1" w:themeShade="BF"/>
          <w:sz w:val="28"/>
          <w:szCs w:val="28"/>
        </w:rPr>
        <w:t xml:space="preserve">EQ 3: </w:t>
      </w:r>
      <w:r w:rsidR="00603815" w:rsidRPr="000E6D9F">
        <w:rPr>
          <w:rStyle w:val="Heading"/>
          <w:rFonts w:asciiTheme="majorHAnsi" w:hAnsiTheme="majorHAnsi" w:cstheme="majorBidi"/>
          <w:b/>
          <w:bCs/>
          <w:color w:val="2F5496" w:themeColor="accent1" w:themeShade="BF"/>
          <w:sz w:val="28"/>
          <w:szCs w:val="28"/>
        </w:rPr>
        <w:t>What other outcomes (intended, unintended, positive and negative) has the investment contributed to in the Pacific region?</w:t>
      </w:r>
      <w:bookmarkEnd w:id="53"/>
    </w:p>
    <w:tbl>
      <w:tblPr>
        <w:tblStyle w:val="TableGrid"/>
        <w:tblW w:w="0" w:type="auto"/>
        <w:tblLook w:val="04A0" w:firstRow="1" w:lastRow="0" w:firstColumn="1" w:lastColumn="0" w:noHBand="0" w:noVBand="1"/>
      </w:tblPr>
      <w:tblGrid>
        <w:gridCol w:w="9730"/>
      </w:tblGrid>
      <w:tr w:rsidR="00A34B99" w14:paraId="2F92939F" w14:textId="77777777" w:rsidTr="00A34B99">
        <w:tc>
          <w:tcPr>
            <w:tcW w:w="9730" w:type="dxa"/>
            <w:tcBorders>
              <w:top w:val="nil"/>
              <w:left w:val="nil"/>
              <w:bottom w:val="nil"/>
              <w:right w:val="nil"/>
            </w:tcBorders>
            <w:shd w:val="clear" w:color="auto" w:fill="DEEAF6" w:themeFill="accent5" w:themeFillTint="33"/>
          </w:tcPr>
          <w:p w14:paraId="0F00DFB3" w14:textId="6EDB0A52" w:rsidR="00A34B99" w:rsidRDefault="00A34B99" w:rsidP="00A34B99">
            <w:pPr>
              <w:spacing w:after="120"/>
            </w:pPr>
            <w:r w:rsidRPr="001E60B8">
              <w:rPr>
                <w:b/>
                <w:bCs/>
              </w:rPr>
              <w:t>Key Finding</w:t>
            </w:r>
            <w:r>
              <w:t>:</w:t>
            </w:r>
            <w:r w:rsidRPr="00DC09BD">
              <w:t xml:space="preserve"> </w:t>
            </w:r>
            <w:r>
              <w:t>The Investment</w:t>
            </w:r>
            <w:r w:rsidRPr="00896D82">
              <w:t xml:space="preserve"> has yielded a variety of outcomes beyond the primary goals of maximising economic benefits and ensuring food security. These include positive results associated with regional cooperation, institutional strengthening, capacity building, gender and social inclusion, specific project successes, and advantages arising from the </w:t>
            </w:r>
            <w:r>
              <w:t>Investment</w:t>
            </w:r>
            <w:r w:rsidRPr="00896D82">
              <w:t>'s modality, as well as negative outcomes or challenges related to</w:t>
            </w:r>
            <w:r>
              <w:t xml:space="preserve"> issues that are largely outside the control of the Investment including</w:t>
            </w:r>
            <w:r w:rsidRPr="00896D82">
              <w:t xml:space="preserve"> </w:t>
            </w:r>
            <w:r>
              <w:t>external shocks such as COVID-19, and institutional weaknesses that undermine the efficacy of fisheries agencies in the region.</w:t>
            </w:r>
          </w:p>
        </w:tc>
      </w:tr>
    </w:tbl>
    <w:p w14:paraId="7C8041C4" w14:textId="77777777" w:rsidR="00526276" w:rsidRDefault="00526276" w:rsidP="00436A62"/>
    <w:p w14:paraId="0638FB47" w14:textId="7C30A282" w:rsidR="00FE6D51" w:rsidRDefault="00FE6D51" w:rsidP="00BD1321">
      <w:pPr>
        <w:spacing w:after="120"/>
      </w:pPr>
      <w:r w:rsidRPr="00FE6D51">
        <w:t xml:space="preserve">The purpose of this section of the report is to assess the extent to which the Investment has effectively addressed broader cross-cutting issues such as GEDSI and Climate Change (both discussed in more detail below), in addition to identifying outcomes achieved that, whilst not the specific objectives of the </w:t>
      </w:r>
      <w:r>
        <w:t>I</w:t>
      </w:r>
      <w:r w:rsidRPr="00FE6D51">
        <w:t xml:space="preserve">nvestment, were nevertheless noteworthy. Examples of these unintended consequences emerged from a synthesis of responses to the sub-questions below, as well as those that arose during fieldwork and the review of independent evaluations commissioned by the Investment over its lifetime. </w:t>
      </w:r>
    </w:p>
    <w:p w14:paraId="58E1B6EF" w14:textId="702FE9DA" w:rsidR="00FE6D51" w:rsidRDefault="00FE6D51" w:rsidP="00BD1321">
      <w:pPr>
        <w:spacing w:after="120"/>
      </w:pPr>
      <w:r w:rsidRPr="00FE6D51">
        <w:t xml:space="preserve">Examples of such positive outcomes achieved by the Investment include enhancing regional cooperation and cohesion through its support for both the FFA and SPPC; promoting a regional approach to address transboundary issues via regional organisations and thereby securing economies of scale and bargaining power to act as a catalyst for global influence on these matters; backing Pacific-led responses to challenges, such as the Resilient Boundaries for the Blue Pacific project, and fostering strong national ownership of initiatives like CBFM; contributing to the development of important regional strategies and policies, including the Regional Roadmap for Sustainable Pacific Fisheries, the New Song for Coastal Fisheries, and the Framework for a Pacific </w:t>
      </w:r>
      <w:proofErr w:type="spellStart"/>
      <w:r w:rsidRPr="00FE6D51">
        <w:t>Oceanscape</w:t>
      </w:r>
      <w:proofErr w:type="spellEnd"/>
      <w:r w:rsidRPr="00FE6D51">
        <w:t>; and helping to drive innovative approaches, such as introducing AI-based fisheries tracking tools within the CBFM project, and efforts to strengthen MCS in the region.</w:t>
      </w:r>
    </w:p>
    <w:p w14:paraId="1179D7B2" w14:textId="641136BF" w:rsidR="00A34B99" w:rsidRDefault="00696124" w:rsidP="000E6D9F">
      <w:pPr>
        <w:spacing w:after="240"/>
      </w:pPr>
      <w:r w:rsidRPr="00696124">
        <w:t xml:space="preserve">Very few unintended negative outcomes arose during the fieldwork for the review, and those that did were mostly outside the scope of the </w:t>
      </w:r>
      <w:r w:rsidR="00F01473">
        <w:t>I</w:t>
      </w:r>
      <w:r w:rsidRPr="00696124">
        <w:t xml:space="preserve">nvestment. However, several are worth noting, including the impact of external shocks such as COVID-19, which disrupted engagement and slowed implementation; cyclones, like the destruction caused by Cyclone Pam, that required project reorientation and redefinition of activities; and institutional weaknesses and capacity gaps, which key informants report can hinder fisheries agencies from having enough capacity to fully implement new systems, leading to frustration among those involved in capacity-building initiatives. </w:t>
      </w:r>
    </w:p>
    <w:p w14:paraId="6EEDF41D" w14:textId="476BE696" w:rsidR="00B72C83" w:rsidRPr="000E6D9F" w:rsidRDefault="00CE301B" w:rsidP="000E6D9F">
      <w:pPr>
        <w:pStyle w:val="Heading4"/>
        <w:rPr>
          <w:sz w:val="24"/>
          <w:szCs w:val="24"/>
        </w:rPr>
      </w:pPr>
      <w:r w:rsidRPr="000E6D9F">
        <w:rPr>
          <w:sz w:val="24"/>
          <w:szCs w:val="24"/>
        </w:rPr>
        <w:t>K</w:t>
      </w:r>
      <w:r w:rsidR="00051E56" w:rsidRPr="000E6D9F">
        <w:rPr>
          <w:sz w:val="24"/>
          <w:szCs w:val="24"/>
        </w:rPr>
        <w:t>EQ 3</w:t>
      </w:r>
      <w:r w:rsidRPr="000E6D9F">
        <w:rPr>
          <w:sz w:val="24"/>
          <w:szCs w:val="24"/>
        </w:rPr>
        <w:t xml:space="preserve">(a) </w:t>
      </w:r>
      <w:r w:rsidR="00577DB3" w:rsidRPr="000E6D9F">
        <w:rPr>
          <w:sz w:val="24"/>
          <w:szCs w:val="24"/>
        </w:rPr>
        <w:t>How effectively has the investment contributed to fostering inclusion among marginalised groups and gender equality including empowering women, youth and people with disability in the fisheries sector?</w:t>
      </w:r>
    </w:p>
    <w:tbl>
      <w:tblPr>
        <w:tblStyle w:val="TableGrid"/>
        <w:tblW w:w="0" w:type="auto"/>
        <w:tblLook w:val="04A0" w:firstRow="1" w:lastRow="0" w:firstColumn="1" w:lastColumn="0" w:noHBand="0" w:noVBand="1"/>
      </w:tblPr>
      <w:tblGrid>
        <w:gridCol w:w="9730"/>
      </w:tblGrid>
      <w:tr w:rsidR="00A34B99" w14:paraId="5F02E8B7" w14:textId="77777777" w:rsidTr="00A34B99">
        <w:tc>
          <w:tcPr>
            <w:tcW w:w="9730" w:type="dxa"/>
            <w:tcBorders>
              <w:top w:val="nil"/>
              <w:left w:val="nil"/>
              <w:bottom w:val="nil"/>
              <w:right w:val="nil"/>
            </w:tcBorders>
            <w:shd w:val="clear" w:color="auto" w:fill="DEEAF6" w:themeFill="accent5" w:themeFillTint="33"/>
          </w:tcPr>
          <w:p w14:paraId="0A7FC9C0" w14:textId="77777777" w:rsidR="00A34B99" w:rsidRPr="00696124" w:rsidRDefault="00A34B99" w:rsidP="00A34B99">
            <w:pPr>
              <w:shd w:val="clear" w:color="auto" w:fill="DEEAF6" w:themeFill="accent5" w:themeFillTint="33"/>
            </w:pPr>
            <w:bookmarkStart w:id="54" w:name="_Toc199684969"/>
            <w:r w:rsidRPr="001E60B8">
              <w:rPr>
                <w:b/>
                <w:bCs/>
              </w:rPr>
              <w:t>Key Finding</w:t>
            </w:r>
            <w:r>
              <w:t>:</w:t>
            </w:r>
            <w:r w:rsidRPr="00DC09BD">
              <w:t xml:space="preserve"> </w:t>
            </w:r>
            <w:r w:rsidRPr="00C7173C">
              <w:t>Gender equality has gained increasing attention</w:t>
            </w:r>
            <w:r>
              <w:t xml:space="preserve"> and commitment over the lifetime of the Investment. </w:t>
            </w:r>
            <w:r w:rsidRPr="00C7173C">
              <w:t xml:space="preserve"> </w:t>
            </w:r>
            <w:r w:rsidRPr="00122F2D">
              <w:t xml:space="preserve">Both the FFA and SPC </w:t>
            </w:r>
            <w:r>
              <w:t>FAME</w:t>
            </w:r>
            <w:r w:rsidRPr="00122F2D">
              <w:t xml:space="preserve"> have recruited dedicated gender equality advisors, facilitated regional discussions </w:t>
            </w:r>
            <w:r>
              <w:t xml:space="preserve">on gender, </w:t>
            </w:r>
            <w:r w:rsidRPr="00122F2D">
              <w:t>and developed comprehensive gender strategies</w:t>
            </w:r>
            <w:r>
              <w:t xml:space="preserve">. </w:t>
            </w:r>
            <w:r w:rsidRPr="006F38BA">
              <w:t xml:space="preserve">The sector has seen significant progress in women’s representation within fisheries governance and decision-making, </w:t>
            </w:r>
            <w:r>
              <w:t xml:space="preserve">as well as at all leadership levels and the community level. Gender-sensitive approaches to coastal fisheries </w:t>
            </w:r>
            <w:r>
              <w:lastRenderedPageBreak/>
              <w:t>management have supported outcomes that promote</w:t>
            </w:r>
            <w:r w:rsidRPr="00822D23">
              <w:t xml:space="preserve"> women’s economic empowerment</w:t>
            </w:r>
            <w:r>
              <w:t>. Challenges</w:t>
            </w:r>
            <w:r w:rsidRPr="00C7173C">
              <w:t xml:space="preserve"> remain in mainstreaming gender</w:t>
            </w:r>
            <w:r>
              <w:t xml:space="preserve"> </w:t>
            </w:r>
            <w:r w:rsidRPr="00C7173C">
              <w:t>equality and addressing cultural barriers at senior levels</w:t>
            </w:r>
            <w:r>
              <w:t>.</w:t>
            </w:r>
          </w:p>
          <w:p w14:paraId="636B93BA" w14:textId="77777777" w:rsidR="00A34B99" w:rsidRDefault="00A34B99" w:rsidP="00A34B99">
            <w:pPr>
              <w:shd w:val="clear" w:color="auto" w:fill="DEEAF6" w:themeFill="accent5" w:themeFillTint="33"/>
              <w:rPr>
                <w:rFonts w:asciiTheme="majorHAnsi" w:hAnsiTheme="majorHAnsi" w:cstheme="majorHAnsi"/>
              </w:rPr>
            </w:pPr>
          </w:p>
          <w:p w14:paraId="76C0D6F2" w14:textId="7792018B" w:rsidR="00A34B99" w:rsidRPr="00A34B99" w:rsidRDefault="00A34B99" w:rsidP="00A34B99">
            <w:pPr>
              <w:shd w:val="clear" w:color="auto" w:fill="DEEAF6" w:themeFill="accent5" w:themeFillTint="33"/>
              <w:spacing w:after="120"/>
              <w:rPr>
                <w:rFonts w:asciiTheme="majorHAnsi" w:hAnsiTheme="majorHAnsi" w:cstheme="majorHAnsi"/>
              </w:rPr>
            </w:pPr>
            <w:r>
              <w:rPr>
                <w:rFonts w:asciiTheme="majorHAnsi" w:hAnsiTheme="majorHAnsi" w:cstheme="majorHAnsi"/>
              </w:rPr>
              <w:t>The Investment did not prioritise disability equity or youth inclusion, and there was no significant progress or change for these groups beyond initial efforts. Future initiatives must be much more deliberate and fully integrated regarding disability equity.</w:t>
            </w:r>
          </w:p>
        </w:tc>
      </w:tr>
    </w:tbl>
    <w:p w14:paraId="04244D6A" w14:textId="278BBF2C" w:rsidR="00DC09BD" w:rsidRDefault="00196301" w:rsidP="000357D3">
      <w:pPr>
        <w:spacing w:before="240" w:after="120"/>
        <w:rPr>
          <w:rFonts w:asciiTheme="majorHAnsi" w:hAnsiTheme="majorHAnsi" w:cstheme="majorHAnsi"/>
        </w:rPr>
      </w:pPr>
      <w:r w:rsidRPr="00196301">
        <w:rPr>
          <w:rFonts w:asciiTheme="majorHAnsi" w:hAnsiTheme="majorHAnsi" w:cstheme="majorHAnsi"/>
        </w:rPr>
        <w:lastRenderedPageBreak/>
        <w:t xml:space="preserve">Gender equality, disability, and social inclusion are not objectives of the Investment, and a gender or disability analysis was not conducted at the </w:t>
      </w:r>
      <w:r w:rsidR="00F01473">
        <w:rPr>
          <w:rFonts w:asciiTheme="majorHAnsi" w:hAnsiTheme="majorHAnsi" w:cstheme="majorHAnsi"/>
        </w:rPr>
        <w:t>I</w:t>
      </w:r>
      <w:r w:rsidRPr="00196301">
        <w:rPr>
          <w:rFonts w:asciiTheme="majorHAnsi" w:hAnsiTheme="majorHAnsi" w:cstheme="majorHAnsi"/>
        </w:rPr>
        <w:t>nvestment level. However, there is sufficient evidence (triangulated across document sources and validated against interviews) of increasingly dedicated efforts to support the inclusion of marginalised groups in the fisheries sector, which has led to improved outcomes, particularly for women’s empowerment. Two</w:t>
      </w:r>
      <w:r>
        <w:rPr>
          <w:rFonts w:asciiTheme="majorHAnsi" w:hAnsiTheme="majorHAnsi" w:cstheme="majorHAnsi"/>
        </w:rPr>
        <w:t xml:space="preserve"> criteria from the </w:t>
      </w:r>
      <w:r w:rsidRPr="00AC33B7">
        <w:rPr>
          <w:rFonts w:asciiTheme="majorHAnsi" w:hAnsiTheme="majorHAnsi" w:cstheme="majorHAnsi"/>
          <w:i/>
          <w:iCs/>
        </w:rPr>
        <w:t>Evaluation Rubric</w:t>
      </w:r>
      <w:r>
        <w:rPr>
          <w:rFonts w:asciiTheme="majorHAnsi" w:hAnsiTheme="majorHAnsi" w:cstheme="majorHAnsi"/>
        </w:rPr>
        <w:t xml:space="preserve"> were assessed in answering this evaluation question: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30"/>
      </w:tblGrid>
      <w:tr w:rsidR="00A34B99" w14:paraId="754DC810" w14:textId="77777777" w:rsidTr="00A34B99">
        <w:tc>
          <w:tcPr>
            <w:tcW w:w="9730" w:type="dxa"/>
            <w:shd w:val="clear" w:color="auto" w:fill="2F5496" w:themeFill="accent1" w:themeFillShade="BF"/>
          </w:tcPr>
          <w:p w14:paraId="3DDB8880" w14:textId="77777777" w:rsidR="00A34B99" w:rsidRPr="000357D3" w:rsidRDefault="00A34B99" w:rsidP="00A34B99">
            <w:pPr>
              <w:rPr>
                <w:i/>
                <w:color w:val="FFFFFF" w:themeColor="background1"/>
                <w:lang w:eastAsia="en-GB"/>
              </w:rPr>
            </w:pPr>
            <w:r w:rsidRPr="000357D3">
              <w:rPr>
                <w:rFonts w:cstheme="majorHAnsi"/>
                <w:b/>
                <w:color w:val="FFFFFF" w:themeColor="background1"/>
              </w:rPr>
              <w:t>Rubric criterion # 11</w:t>
            </w:r>
            <w:r w:rsidRPr="000357D3">
              <w:rPr>
                <w:rFonts w:cstheme="majorHAnsi"/>
                <w:color w:val="FFFFFF" w:themeColor="background1"/>
              </w:rPr>
              <w:t xml:space="preserve">: </w:t>
            </w:r>
            <w:r w:rsidRPr="000357D3">
              <w:rPr>
                <w:i/>
                <w:color w:val="FFFFFF" w:themeColor="background1"/>
                <w:lang w:eastAsia="en-GB"/>
              </w:rPr>
              <w:t xml:space="preserve"> </w:t>
            </w:r>
            <w:r w:rsidRPr="000357D3">
              <w:rPr>
                <w:rFonts w:asciiTheme="majorHAnsi" w:hAnsiTheme="majorHAnsi" w:cstheme="majorHAnsi"/>
                <w:i/>
                <w:color w:val="FFFFFF" w:themeColor="background1"/>
                <w:lang w:eastAsia="en-GB"/>
              </w:rPr>
              <w:t>The extent to which the investment considered gender equality in most areas, implemented appropriate strategies or activities to improve gender equality, had a positive impact on women and marginalised groups, and collected sex-disaggregated data to inform implementation</w:t>
            </w:r>
            <w:r w:rsidRPr="000357D3">
              <w:rPr>
                <w:rFonts w:asciiTheme="majorHAnsi" w:hAnsiTheme="majorHAnsi" w:cstheme="majorHAnsi"/>
                <w:color w:val="FFFFFF" w:themeColor="background1"/>
                <w:lang w:eastAsia="en-GB"/>
              </w:rPr>
              <w:t xml:space="preserve">.  </w:t>
            </w:r>
            <w:r w:rsidRPr="000357D3">
              <w:rPr>
                <w:rFonts w:asciiTheme="majorHAnsi" w:eastAsia="Times New Roman" w:hAnsiTheme="majorHAnsi" w:cstheme="majorHAnsi"/>
                <w:color w:val="FFFFFF" w:themeColor="background1"/>
                <w:lang w:eastAsia="en-GB"/>
              </w:rPr>
              <w:t>Based on the evidence evaluated, this is assessed overall as</w:t>
            </w:r>
            <w:r w:rsidRPr="000357D3">
              <w:rPr>
                <w:color w:val="FFFFFF" w:themeColor="background1"/>
                <w:lang w:eastAsia="en-GB"/>
              </w:rPr>
              <w:t xml:space="preserve"> </w:t>
            </w:r>
            <w:r w:rsidRPr="000357D3">
              <w:rPr>
                <w:b/>
                <w:color w:val="FFFFFF" w:themeColor="background1"/>
                <w:lang w:eastAsia="en-GB"/>
              </w:rPr>
              <w:t>Adequate</w:t>
            </w:r>
            <w:r w:rsidRPr="000357D3">
              <w:rPr>
                <w:color w:val="FFFFFF" w:themeColor="background1"/>
                <w:lang w:eastAsia="en-GB"/>
              </w:rPr>
              <w:t>.</w:t>
            </w:r>
            <w:r w:rsidRPr="000357D3">
              <w:rPr>
                <w:rFonts w:asciiTheme="majorHAnsi" w:hAnsiTheme="majorHAnsi" w:cstheme="majorHAnsi"/>
                <w:color w:val="FFFFFF" w:themeColor="background1"/>
                <w:lang w:eastAsia="en-GB"/>
              </w:rPr>
              <w:t xml:space="preserve"> </w:t>
            </w:r>
          </w:p>
          <w:p w14:paraId="714B6AD1" w14:textId="2A107C1B" w:rsidR="00A34B99" w:rsidRDefault="00A34B99" w:rsidP="00A34B99">
            <w:pPr>
              <w:spacing w:after="120"/>
              <w:rPr>
                <w:rFonts w:asciiTheme="majorHAnsi" w:hAnsiTheme="majorHAnsi" w:cstheme="majorHAnsi"/>
              </w:rPr>
            </w:pPr>
            <w:r w:rsidRPr="000357D3">
              <w:rPr>
                <w:rFonts w:cstheme="majorHAnsi"/>
                <w:b/>
                <w:color w:val="FFFFFF" w:themeColor="background1"/>
              </w:rPr>
              <w:t>Rubric criterion # 12</w:t>
            </w:r>
            <w:r w:rsidRPr="000357D3">
              <w:rPr>
                <w:i/>
                <w:color w:val="FFFFFF" w:themeColor="background1"/>
                <w:lang w:eastAsia="en-GB"/>
              </w:rPr>
              <w:t xml:space="preserve">: </w:t>
            </w:r>
            <w:r w:rsidRPr="000357D3">
              <w:rPr>
                <w:rFonts w:asciiTheme="majorHAnsi" w:hAnsiTheme="majorHAnsi" w:cstheme="majorHAnsi"/>
                <w:i/>
                <w:color w:val="FFFFFF" w:themeColor="background1"/>
                <w:lang w:eastAsia="en-GB"/>
              </w:rPr>
              <w:t>The extent to which the investment considered disability and youth in most areas, had benefits for youth and people with disabilities, engaged with organisations for people with disabilities, and assessed disability and youth data to inform implementation</w:t>
            </w:r>
            <w:r w:rsidRPr="000357D3">
              <w:rPr>
                <w:rFonts w:asciiTheme="majorHAnsi" w:hAnsiTheme="majorHAnsi" w:cstheme="majorHAnsi"/>
                <w:color w:val="FFFFFF" w:themeColor="background1"/>
                <w:lang w:eastAsia="en-GB"/>
              </w:rPr>
              <w:t xml:space="preserve">.  </w:t>
            </w:r>
            <w:r w:rsidRPr="000357D3">
              <w:rPr>
                <w:rFonts w:asciiTheme="majorHAnsi" w:eastAsia="Times New Roman" w:hAnsiTheme="majorHAnsi" w:cstheme="majorHAnsi"/>
                <w:color w:val="FFFFFF" w:themeColor="background1"/>
                <w:lang w:eastAsia="en-GB"/>
              </w:rPr>
              <w:t>Based on the evidence evaluated, this is assessed overall as</w:t>
            </w:r>
            <w:r w:rsidRPr="000357D3">
              <w:rPr>
                <w:color w:val="FFFFFF" w:themeColor="background1"/>
                <w:lang w:eastAsia="en-GB"/>
              </w:rPr>
              <w:t xml:space="preserve"> </w:t>
            </w:r>
            <w:r w:rsidRPr="000357D3">
              <w:rPr>
                <w:b/>
                <w:color w:val="FFFFFF" w:themeColor="background1"/>
                <w:lang w:eastAsia="en-GB"/>
              </w:rPr>
              <w:t>Poor</w:t>
            </w:r>
          </w:p>
        </w:tc>
      </w:tr>
    </w:tbl>
    <w:p w14:paraId="6A7714A7" w14:textId="3DF32A90" w:rsidR="00826B8E" w:rsidRDefault="00826B8E" w:rsidP="000357D3">
      <w:pPr>
        <w:rPr>
          <w:rFonts w:asciiTheme="majorHAnsi" w:hAnsiTheme="majorHAnsi" w:cstheme="majorHAnsi"/>
        </w:rPr>
      </w:pPr>
    </w:p>
    <w:bookmarkEnd w:id="54"/>
    <w:p w14:paraId="56E7EDC2" w14:textId="0854F2AA" w:rsidR="0084116A" w:rsidRDefault="0084116A" w:rsidP="00BD1321">
      <w:pPr>
        <w:spacing w:after="120"/>
        <w:rPr>
          <w:rFonts w:asciiTheme="majorHAnsi" w:hAnsiTheme="majorHAnsi" w:cstheme="majorHAnsi"/>
        </w:rPr>
      </w:pPr>
      <w:r w:rsidRPr="0084116A">
        <w:rPr>
          <w:rFonts w:asciiTheme="majorHAnsi" w:hAnsiTheme="majorHAnsi" w:cstheme="majorHAnsi"/>
        </w:rPr>
        <w:t xml:space="preserve">The </w:t>
      </w:r>
      <w:r w:rsidR="00F01473">
        <w:rPr>
          <w:rFonts w:asciiTheme="majorHAnsi" w:hAnsiTheme="majorHAnsi" w:cstheme="majorHAnsi"/>
        </w:rPr>
        <w:t>Investment</w:t>
      </w:r>
      <w:r w:rsidRPr="0084116A">
        <w:rPr>
          <w:rFonts w:asciiTheme="majorHAnsi" w:hAnsiTheme="majorHAnsi" w:cstheme="majorHAnsi"/>
        </w:rPr>
        <w:t xml:space="preserve"> has led to a greater commitment from regional organisations to gender equality within the sector. Both the FFA and SPC </w:t>
      </w:r>
      <w:r w:rsidR="006B5558">
        <w:rPr>
          <w:rFonts w:asciiTheme="majorHAnsi" w:hAnsiTheme="majorHAnsi" w:cstheme="majorHAnsi"/>
        </w:rPr>
        <w:t>FAME</w:t>
      </w:r>
      <w:r w:rsidRPr="0084116A">
        <w:rPr>
          <w:rFonts w:asciiTheme="majorHAnsi" w:hAnsiTheme="majorHAnsi" w:cstheme="majorHAnsi"/>
        </w:rPr>
        <w:t xml:space="preserve"> now employ dedicated gender advisors and have developed comprehensive gender strategies. These organisations have embedded gender inclusion into their operations, promoting equal opportunities in training, leadership, and decision-making roles. For instance, SPC </w:t>
      </w:r>
      <w:r w:rsidR="006B5558">
        <w:rPr>
          <w:rFonts w:asciiTheme="majorHAnsi" w:hAnsiTheme="majorHAnsi" w:cstheme="majorHAnsi"/>
        </w:rPr>
        <w:t>FAME</w:t>
      </w:r>
      <w:r w:rsidRPr="0084116A">
        <w:rPr>
          <w:rFonts w:asciiTheme="majorHAnsi" w:hAnsiTheme="majorHAnsi" w:cstheme="majorHAnsi"/>
        </w:rPr>
        <w:t xml:space="preserve"> provided advice on incorporating GESI into national policies and plans (including practical handbooks on GESI in tuna and coastal fisheries) and delivered GESI capacity-building across the region. They co-hosted, with FFA, the inaugural GESI Forum in Honiara in April 2024. Both organisations emphasise gender equality in recruitment and leadership training, with SPC's Women in Leadership programme specifically aiming to improve gender balance in higher decision-making positions.</w:t>
      </w:r>
    </w:p>
    <w:p w14:paraId="02446BF2" w14:textId="78A8F783" w:rsidR="009E052A" w:rsidRDefault="0084116A" w:rsidP="00BD1321">
      <w:pPr>
        <w:spacing w:after="120"/>
        <w:rPr>
          <w:rFonts w:asciiTheme="majorHAnsi" w:hAnsiTheme="majorHAnsi" w:cstheme="majorHAnsi"/>
        </w:rPr>
      </w:pPr>
      <w:r>
        <w:rPr>
          <w:rFonts w:asciiTheme="majorHAnsi" w:hAnsiTheme="majorHAnsi" w:cstheme="majorHAnsi"/>
        </w:rPr>
        <w:t xml:space="preserve">Women’s representation has notably increased, with key informants reporting that the proportion of women in fisheries technical roles has steadily grown during this period as well. Staff in regional fisheries organisations have attributed this growth to gender-balanced recruitment strategies and the emerging pipeline of female fisheries officers, who have largely been educated through student scholarships outside the scope of the </w:t>
      </w:r>
      <w:r w:rsidR="00F01473">
        <w:rPr>
          <w:rFonts w:asciiTheme="majorHAnsi" w:hAnsiTheme="majorHAnsi" w:cstheme="majorHAnsi"/>
        </w:rPr>
        <w:t>Investment</w:t>
      </w:r>
      <w:r w:rsidR="009E052A" w:rsidRPr="00E74EE8">
        <w:rPr>
          <w:rFonts w:asciiTheme="majorHAnsi" w:hAnsiTheme="majorHAnsi" w:cstheme="majorHAnsi"/>
        </w:rPr>
        <w:t>. More women now occupy senior roles, including ministerial positions—e.g., Manu Tupou-Roosen (Tonga), Rhea Moss-Christian (RMI), and Josie Tamate (Niue), whose leadership was supported by Australian mentoring.</w:t>
      </w:r>
      <w:r w:rsidR="009E052A">
        <w:rPr>
          <w:rFonts w:asciiTheme="majorHAnsi" w:hAnsiTheme="majorHAnsi" w:cstheme="majorHAnsi"/>
        </w:rPr>
        <w:t xml:space="preserve"> </w:t>
      </w:r>
      <w:r w:rsidR="009E052A" w:rsidRPr="00AC33B7">
        <w:rPr>
          <w:rFonts w:asciiTheme="majorHAnsi" w:hAnsiTheme="majorHAnsi" w:cstheme="majorHAnsi"/>
        </w:rPr>
        <w:t>Informants noted that within the FFA, significant reforms relating to GESI, including the review and launch of the recent GESI strategy, could be directly attributed to the former female Director-General’s efforts in galvanising momentum for these actions</w:t>
      </w:r>
      <w:r w:rsidR="009E052A">
        <w:rPr>
          <w:rFonts w:asciiTheme="majorHAnsi" w:hAnsiTheme="majorHAnsi" w:cstheme="majorHAnsi"/>
        </w:rPr>
        <w:t>.</w:t>
      </w:r>
      <w:r w:rsidR="009E052A" w:rsidRPr="00E74EE8">
        <w:rPr>
          <w:rFonts w:asciiTheme="majorHAnsi" w:hAnsiTheme="majorHAnsi" w:cstheme="majorHAnsi"/>
        </w:rPr>
        <w:t xml:space="preserve"> SPC’s Women in Leadership programme and publications like </w:t>
      </w:r>
      <w:r w:rsidR="009E052A" w:rsidRPr="00E74EE8">
        <w:rPr>
          <w:rFonts w:asciiTheme="majorHAnsi" w:hAnsiTheme="majorHAnsi" w:cstheme="majorHAnsi"/>
          <w:i/>
          <w:iCs/>
        </w:rPr>
        <w:t>Moana Voices</w:t>
      </w:r>
      <w:r w:rsidR="009E052A" w:rsidRPr="00E74EE8">
        <w:rPr>
          <w:rFonts w:asciiTheme="majorHAnsi" w:hAnsiTheme="majorHAnsi" w:cstheme="majorHAnsi"/>
        </w:rPr>
        <w:t xml:space="preserve"> and the </w:t>
      </w:r>
      <w:r w:rsidR="009E052A" w:rsidRPr="00E74EE8">
        <w:rPr>
          <w:rFonts w:asciiTheme="majorHAnsi" w:hAnsiTheme="majorHAnsi" w:cstheme="majorHAnsi"/>
          <w:i/>
          <w:iCs/>
        </w:rPr>
        <w:t>Women in Fisheries Bulletin</w:t>
      </w:r>
      <w:r w:rsidR="009E052A">
        <w:rPr>
          <w:rFonts w:asciiTheme="majorHAnsi" w:hAnsiTheme="majorHAnsi" w:cstheme="majorHAnsi"/>
          <w:i/>
          <w:iCs/>
        </w:rPr>
        <w:t xml:space="preserve"> </w:t>
      </w:r>
      <w:r w:rsidR="009E052A" w:rsidRPr="00F34526">
        <w:rPr>
          <w:rFonts w:asciiTheme="majorHAnsi" w:hAnsiTheme="majorHAnsi" w:cstheme="majorHAnsi"/>
        </w:rPr>
        <w:t>(published since</w:t>
      </w:r>
      <w:r w:rsidR="00F34526" w:rsidRPr="00F34526">
        <w:rPr>
          <w:rFonts w:asciiTheme="majorHAnsi" w:hAnsiTheme="majorHAnsi" w:cstheme="majorHAnsi"/>
        </w:rPr>
        <w:t xml:space="preserve"> 1996 by SPC </w:t>
      </w:r>
      <w:r w:rsidR="006B5558">
        <w:rPr>
          <w:rFonts w:asciiTheme="majorHAnsi" w:hAnsiTheme="majorHAnsi" w:cstheme="majorHAnsi"/>
        </w:rPr>
        <w:t>FAME</w:t>
      </w:r>
      <w:r w:rsidR="00F34526">
        <w:rPr>
          <w:rFonts w:asciiTheme="majorHAnsi" w:hAnsiTheme="majorHAnsi" w:cstheme="majorHAnsi"/>
          <w:i/>
          <w:iCs/>
        </w:rPr>
        <w:t>)</w:t>
      </w:r>
      <w:r w:rsidR="009E052A" w:rsidRPr="00E74EE8">
        <w:rPr>
          <w:rFonts w:asciiTheme="majorHAnsi" w:hAnsiTheme="majorHAnsi" w:cstheme="majorHAnsi"/>
        </w:rPr>
        <w:t xml:space="preserve"> have further elevated women’s visibility and influence</w:t>
      </w:r>
      <w:r w:rsidR="009E052A">
        <w:rPr>
          <w:rFonts w:asciiTheme="majorHAnsi" w:hAnsiTheme="majorHAnsi" w:cstheme="majorHAnsi"/>
        </w:rPr>
        <w:t xml:space="preserve"> (</w:t>
      </w:r>
      <w:r w:rsidR="009E052A" w:rsidRPr="00196301">
        <w:rPr>
          <w:rFonts w:asciiTheme="majorHAnsi" w:hAnsiTheme="majorHAnsi" w:cstheme="majorHAnsi"/>
        </w:rPr>
        <w:t xml:space="preserve">see </w:t>
      </w:r>
      <w:r w:rsidR="000F3351">
        <w:rPr>
          <w:rFonts w:asciiTheme="majorHAnsi" w:hAnsiTheme="majorHAnsi" w:cstheme="majorHAnsi"/>
          <w:b/>
          <w:bCs/>
        </w:rPr>
        <w:t>Annexe</w:t>
      </w:r>
      <w:r w:rsidR="009E052A" w:rsidRPr="00F62AE7">
        <w:rPr>
          <w:rFonts w:asciiTheme="majorHAnsi" w:hAnsiTheme="majorHAnsi" w:cstheme="majorHAnsi"/>
          <w:b/>
          <w:bCs/>
        </w:rPr>
        <w:t xml:space="preserve"> 1</w:t>
      </w:r>
      <w:r w:rsidR="00F62AE7">
        <w:rPr>
          <w:rFonts w:asciiTheme="majorHAnsi" w:hAnsiTheme="majorHAnsi" w:cstheme="majorHAnsi"/>
          <w:b/>
          <w:bCs/>
        </w:rPr>
        <w:t>1</w:t>
      </w:r>
      <w:r w:rsidR="009E052A" w:rsidRPr="00196301">
        <w:rPr>
          <w:rFonts w:asciiTheme="majorHAnsi" w:hAnsiTheme="majorHAnsi" w:cstheme="majorHAnsi"/>
        </w:rPr>
        <w:t xml:space="preserve"> for a list of </w:t>
      </w:r>
      <w:r w:rsidR="009E052A">
        <w:rPr>
          <w:rFonts w:asciiTheme="majorHAnsi" w:hAnsiTheme="majorHAnsi" w:cstheme="majorHAnsi"/>
        </w:rPr>
        <w:t xml:space="preserve">more </w:t>
      </w:r>
      <w:r w:rsidR="009E052A" w:rsidRPr="00196301">
        <w:rPr>
          <w:rFonts w:asciiTheme="majorHAnsi" w:hAnsiTheme="majorHAnsi" w:cstheme="majorHAnsi"/>
        </w:rPr>
        <w:t xml:space="preserve">gender equity outcomes to which </w:t>
      </w:r>
      <w:r w:rsidR="009E052A">
        <w:rPr>
          <w:rFonts w:asciiTheme="majorHAnsi" w:hAnsiTheme="majorHAnsi" w:cstheme="majorHAnsi"/>
        </w:rPr>
        <w:t xml:space="preserve">the </w:t>
      </w:r>
      <w:r w:rsidR="00F01473">
        <w:rPr>
          <w:rFonts w:asciiTheme="majorHAnsi" w:hAnsiTheme="majorHAnsi" w:cstheme="majorHAnsi"/>
        </w:rPr>
        <w:t>Investment</w:t>
      </w:r>
      <w:r w:rsidR="009E052A" w:rsidRPr="00196301">
        <w:rPr>
          <w:rFonts w:asciiTheme="majorHAnsi" w:hAnsiTheme="majorHAnsi" w:cstheme="majorHAnsi"/>
        </w:rPr>
        <w:t xml:space="preserve"> has contributed)</w:t>
      </w:r>
      <w:r w:rsidR="009E052A" w:rsidRPr="00AC33B7">
        <w:rPr>
          <w:rFonts w:asciiTheme="majorHAnsi" w:hAnsiTheme="majorHAnsi" w:cstheme="majorHAnsi"/>
        </w:rPr>
        <w:t>.</w:t>
      </w:r>
    </w:p>
    <w:p w14:paraId="335A44E5" w14:textId="7A9AE661" w:rsidR="00F34526" w:rsidRDefault="009E052A" w:rsidP="00BD1321">
      <w:pPr>
        <w:spacing w:after="120"/>
        <w:rPr>
          <w:rFonts w:asciiTheme="majorHAnsi" w:eastAsia="Times New Roman" w:hAnsiTheme="majorHAnsi" w:cstheme="majorHAnsi"/>
          <w:color w:val="auto"/>
          <w:lang w:eastAsia="en-GB"/>
        </w:rPr>
      </w:pPr>
      <w:r w:rsidRPr="00E74EE8">
        <w:rPr>
          <w:rFonts w:asciiTheme="majorHAnsi" w:eastAsia="Times New Roman" w:hAnsiTheme="majorHAnsi" w:cstheme="majorHAnsi"/>
          <w:color w:val="auto"/>
          <w:lang w:eastAsia="en-GB"/>
        </w:rPr>
        <w:t>The CBFM project demonstrates the most robust GEDSI integration.</w:t>
      </w:r>
      <w:r>
        <w:rPr>
          <w:rFonts w:asciiTheme="majorHAnsi" w:eastAsia="Times New Roman" w:hAnsiTheme="majorHAnsi" w:cstheme="majorHAnsi"/>
          <w:color w:val="auto"/>
          <w:lang w:eastAsia="en-GB"/>
        </w:rPr>
        <w:t xml:space="preserve"> </w:t>
      </w:r>
      <w:r w:rsidRPr="00AC33B7">
        <w:rPr>
          <w:rFonts w:asciiTheme="majorHAnsi" w:hAnsiTheme="majorHAnsi" w:cstheme="majorHAnsi"/>
        </w:rPr>
        <w:t xml:space="preserve">CBFM initiatives have engaged with women’s groups to understand how women participate in local </w:t>
      </w:r>
      <w:r w:rsidR="0084116A" w:rsidRPr="00AC33B7">
        <w:rPr>
          <w:rFonts w:asciiTheme="majorHAnsi" w:hAnsiTheme="majorHAnsi" w:cstheme="majorHAnsi"/>
        </w:rPr>
        <w:t>fisheries and</w:t>
      </w:r>
      <w:r w:rsidRPr="00AC33B7">
        <w:rPr>
          <w:rFonts w:asciiTheme="majorHAnsi" w:hAnsiTheme="majorHAnsi" w:cstheme="majorHAnsi"/>
        </w:rPr>
        <w:t xml:space="preserve"> have used this analysis to inform project activitie</w:t>
      </w:r>
      <w:r>
        <w:rPr>
          <w:rFonts w:asciiTheme="majorHAnsi" w:hAnsiTheme="majorHAnsi" w:cstheme="majorHAnsi"/>
        </w:rPr>
        <w:t>s. CBFM</w:t>
      </w:r>
      <w:r w:rsidRPr="00E74EE8">
        <w:rPr>
          <w:rFonts w:asciiTheme="majorHAnsi" w:eastAsia="Times New Roman" w:hAnsiTheme="majorHAnsi" w:cstheme="majorHAnsi"/>
          <w:color w:val="auto"/>
          <w:lang w:eastAsia="en-GB"/>
        </w:rPr>
        <w:t xml:space="preserve"> has mainstreamed gender and disability inclusion across community-level fisheries management. </w:t>
      </w:r>
      <w:r w:rsidR="00F34526" w:rsidRPr="00AC33B7">
        <w:rPr>
          <w:rFonts w:asciiTheme="majorHAnsi" w:hAnsiTheme="majorHAnsi" w:cstheme="majorHAnsi"/>
        </w:rPr>
        <w:t xml:space="preserve">The CBFM project undertook and published a </w:t>
      </w:r>
      <w:hyperlink r:id="rId33" w:history="1">
        <w:r w:rsidR="00F34526" w:rsidRPr="00AC33B7">
          <w:rPr>
            <w:rFonts w:asciiTheme="majorHAnsi" w:hAnsiTheme="majorHAnsi" w:cstheme="majorHAnsi"/>
            <w:color w:val="0000FF"/>
            <w:u w:val="single"/>
          </w:rPr>
          <w:t>review in 2024</w:t>
        </w:r>
      </w:hyperlink>
      <w:r w:rsidR="00F34526" w:rsidRPr="00AC33B7">
        <w:rPr>
          <w:rFonts w:asciiTheme="majorHAnsi" w:hAnsiTheme="majorHAnsi" w:cstheme="majorHAnsi"/>
        </w:rPr>
        <w:t xml:space="preserve"> to identify barriers to disability inclusion in coastal fisheries, noting that these barriers vary by country and local context. ‘National disability in </w:t>
      </w:r>
      <w:r w:rsidR="00F34526">
        <w:rPr>
          <w:rFonts w:asciiTheme="majorHAnsi" w:hAnsiTheme="majorHAnsi" w:cstheme="majorHAnsi"/>
        </w:rPr>
        <w:t xml:space="preserve">coastal fisheries’ forums </w:t>
      </w:r>
      <w:proofErr w:type="gramStart"/>
      <w:r w:rsidR="00F34526">
        <w:rPr>
          <w:rFonts w:asciiTheme="majorHAnsi" w:hAnsiTheme="majorHAnsi" w:cstheme="majorHAnsi"/>
        </w:rPr>
        <w:t>have</w:t>
      </w:r>
      <w:proofErr w:type="gramEnd"/>
      <w:r w:rsidR="00F34526">
        <w:rPr>
          <w:rFonts w:asciiTheme="majorHAnsi" w:hAnsiTheme="majorHAnsi" w:cstheme="majorHAnsi"/>
        </w:rPr>
        <w:t xml:space="preserve"> been held in the Solomon Islands and Vanuatu, and upcoming scoping meetings and workshops are planned in Kiribati</w:t>
      </w:r>
      <w:r w:rsidR="00F34526" w:rsidRPr="00AC33B7">
        <w:rPr>
          <w:rFonts w:asciiTheme="majorHAnsi" w:hAnsiTheme="majorHAnsi" w:cstheme="majorHAnsi"/>
        </w:rPr>
        <w:t xml:space="preserve">. These initiatives aid in gathering first-hand insights from people with </w:t>
      </w:r>
      <w:r w:rsidR="00F34526" w:rsidRPr="00AC33B7">
        <w:rPr>
          <w:rFonts w:asciiTheme="majorHAnsi" w:hAnsiTheme="majorHAnsi" w:cstheme="majorHAnsi"/>
        </w:rPr>
        <w:lastRenderedPageBreak/>
        <w:t>disabilities to inform future projects, and early interventions have also included a disability inclusion analysis and engagement with key Disabled Person</w:t>
      </w:r>
      <w:r w:rsidR="00B4113F">
        <w:rPr>
          <w:rFonts w:asciiTheme="majorHAnsi" w:hAnsiTheme="majorHAnsi" w:cstheme="majorHAnsi"/>
        </w:rPr>
        <w:t>s’</w:t>
      </w:r>
      <w:r w:rsidR="00F34526" w:rsidRPr="00AC33B7">
        <w:rPr>
          <w:rFonts w:asciiTheme="majorHAnsi" w:hAnsiTheme="majorHAnsi" w:cstheme="majorHAnsi"/>
        </w:rPr>
        <w:t xml:space="preserve"> Organisations at the regional and national level, including the Pacific Disability Forum. Disability inclusion will be a strong focus in the next phase of </w:t>
      </w:r>
      <w:r w:rsidR="00F34526">
        <w:rPr>
          <w:rFonts w:asciiTheme="majorHAnsi" w:hAnsiTheme="majorHAnsi" w:cstheme="majorHAnsi"/>
        </w:rPr>
        <w:t>CBFM</w:t>
      </w:r>
      <w:r w:rsidRPr="00E74EE8">
        <w:rPr>
          <w:rFonts w:asciiTheme="majorHAnsi" w:eastAsia="Times New Roman" w:hAnsiTheme="majorHAnsi" w:cstheme="majorHAnsi"/>
          <w:color w:val="auto"/>
          <w:lang w:eastAsia="en-GB"/>
        </w:rPr>
        <w:t xml:space="preserve">. </w:t>
      </w:r>
    </w:p>
    <w:p w14:paraId="1941C8C2" w14:textId="10F694AC" w:rsidR="0084116A" w:rsidRDefault="00455EED" w:rsidP="00BD1321">
      <w:pPr>
        <w:spacing w:after="120"/>
        <w:rPr>
          <w:rFonts w:asciiTheme="majorHAnsi" w:hAnsiTheme="majorHAnsi" w:cstheme="majorHAnsi"/>
        </w:rPr>
      </w:pPr>
      <w:r>
        <w:rPr>
          <w:rFonts w:asciiTheme="majorHAnsi" w:hAnsiTheme="majorHAnsi" w:cstheme="majorHAnsi"/>
        </w:rPr>
        <w:t>B</w:t>
      </w:r>
      <w:r w:rsidR="0084116A" w:rsidRPr="0084116A">
        <w:rPr>
          <w:rFonts w:asciiTheme="majorHAnsi" w:hAnsiTheme="majorHAnsi" w:cstheme="majorHAnsi"/>
        </w:rPr>
        <w:t>oth FFA and SPC</w:t>
      </w:r>
      <w:r>
        <w:rPr>
          <w:rFonts w:asciiTheme="majorHAnsi" w:hAnsiTheme="majorHAnsi" w:cstheme="majorHAnsi"/>
        </w:rPr>
        <w:t xml:space="preserve"> </w:t>
      </w:r>
      <w:r w:rsidR="006B5558">
        <w:rPr>
          <w:rFonts w:asciiTheme="majorHAnsi" w:hAnsiTheme="majorHAnsi" w:cstheme="majorHAnsi"/>
        </w:rPr>
        <w:t>FAME</w:t>
      </w:r>
      <w:r w:rsidR="0084116A" w:rsidRPr="0084116A">
        <w:rPr>
          <w:rFonts w:asciiTheme="majorHAnsi" w:hAnsiTheme="majorHAnsi" w:cstheme="majorHAnsi"/>
        </w:rPr>
        <w:t xml:space="preserve"> have omitted disability inclusion from their integration </w:t>
      </w:r>
      <w:proofErr w:type="gramStart"/>
      <w:r w:rsidR="0084116A" w:rsidRPr="0084116A">
        <w:rPr>
          <w:rFonts w:asciiTheme="majorHAnsi" w:hAnsiTheme="majorHAnsi" w:cstheme="majorHAnsi"/>
        </w:rPr>
        <w:t>efforts</w:t>
      </w:r>
      <w:r w:rsidR="009D09A7">
        <w:rPr>
          <w:rFonts w:asciiTheme="majorHAnsi" w:hAnsiTheme="majorHAnsi" w:cstheme="majorHAnsi"/>
        </w:rPr>
        <w:t>, but</w:t>
      </w:r>
      <w:proofErr w:type="gramEnd"/>
      <w:r w:rsidR="009D09A7">
        <w:rPr>
          <w:rFonts w:asciiTheme="majorHAnsi" w:hAnsiTheme="majorHAnsi" w:cstheme="majorHAnsi"/>
        </w:rPr>
        <w:t xml:space="preserve"> </w:t>
      </w:r>
      <w:r w:rsidR="0084116A" w:rsidRPr="0084116A">
        <w:rPr>
          <w:rFonts w:asciiTheme="majorHAnsi" w:hAnsiTheme="majorHAnsi" w:cstheme="majorHAnsi"/>
        </w:rPr>
        <w:t xml:space="preserve">have indicated early attempts to explore disability inclusion opportunities within workplaces and programmes, including through improved collection of disaggregated data. Similarly, there have been few instances of the </w:t>
      </w:r>
      <w:r w:rsidR="00F01473">
        <w:rPr>
          <w:rFonts w:asciiTheme="majorHAnsi" w:hAnsiTheme="majorHAnsi" w:cstheme="majorHAnsi"/>
        </w:rPr>
        <w:t>Investment</w:t>
      </w:r>
      <w:r w:rsidR="0084116A" w:rsidRPr="0084116A">
        <w:rPr>
          <w:rFonts w:asciiTheme="majorHAnsi" w:hAnsiTheme="majorHAnsi" w:cstheme="majorHAnsi"/>
        </w:rPr>
        <w:t xml:space="preserve"> promoting youth inclusion, although specific cases under CBFM have directly targeted youth. For example, in the Solomon Islands, the CBFM project engaged the Malaita Youth Council and organised a youth-led CBFM awareness event that reached 300 people. To date, informants suggest that progress on gender, disability, and youth has been mostly organic and aligned with broader Pacific initiatives, such as DFAT’s investment in Pacific Women Lead and its predecessor regional gender initiatives.</w:t>
      </w:r>
    </w:p>
    <w:p w14:paraId="57407D88" w14:textId="2385028A" w:rsidR="00F34526" w:rsidRPr="00B966A6" w:rsidRDefault="00F34526" w:rsidP="00BD1321">
      <w:pPr>
        <w:spacing w:after="120"/>
        <w:rPr>
          <w:rFonts w:asciiTheme="majorHAnsi" w:eastAsia="Times New Roman" w:hAnsiTheme="majorHAnsi" w:cstheme="majorHAnsi"/>
          <w:color w:val="auto"/>
          <w:lang w:eastAsia="en-GB"/>
        </w:rPr>
      </w:pPr>
      <w:r w:rsidRPr="00E74EE8">
        <w:rPr>
          <w:rFonts w:asciiTheme="majorHAnsi" w:eastAsia="Times New Roman" w:hAnsiTheme="majorHAnsi" w:cstheme="majorHAnsi"/>
          <w:color w:val="auto"/>
          <w:lang w:eastAsia="en-GB"/>
        </w:rPr>
        <w:t>Data collection is improving, with disaggregation by gender, age, and disability now common in monitoring and evaluation frameworks. This is aiding efforts to shift power dynamics</w:t>
      </w:r>
      <w:r w:rsidR="00B4113F">
        <w:rPr>
          <w:rFonts w:asciiTheme="majorHAnsi" w:eastAsia="Times New Roman" w:hAnsiTheme="majorHAnsi" w:cstheme="majorHAnsi"/>
          <w:color w:val="auto"/>
          <w:lang w:eastAsia="en-GB"/>
        </w:rPr>
        <w:t>,</w:t>
      </w:r>
      <w:r w:rsidRPr="00E74EE8">
        <w:rPr>
          <w:rFonts w:asciiTheme="majorHAnsi" w:eastAsia="Times New Roman" w:hAnsiTheme="majorHAnsi" w:cstheme="majorHAnsi"/>
          <w:color w:val="auto"/>
          <w:lang w:eastAsia="en-GB"/>
        </w:rPr>
        <w:t xml:space="preserve"> and </w:t>
      </w:r>
      <w:r w:rsidRPr="001E60B8">
        <w:rPr>
          <w:rFonts w:asciiTheme="majorHAnsi" w:hAnsiTheme="majorHAnsi" w:cstheme="majorHAnsi"/>
        </w:rPr>
        <w:t xml:space="preserve">any barriers to engagement are identified and addressed within the </w:t>
      </w:r>
      <w:r w:rsidR="00F01473">
        <w:rPr>
          <w:rFonts w:asciiTheme="majorHAnsi" w:hAnsiTheme="majorHAnsi" w:cstheme="majorHAnsi"/>
        </w:rPr>
        <w:t>I</w:t>
      </w:r>
      <w:r w:rsidRPr="001E60B8">
        <w:rPr>
          <w:rFonts w:asciiTheme="majorHAnsi" w:hAnsiTheme="majorHAnsi" w:cstheme="majorHAnsi"/>
        </w:rPr>
        <w:t>nvestment. Similarly, programs such as the CBFM project now have GEDSI indicators explicitly identified in MEL frameworks to ensure the right data is captured</w:t>
      </w:r>
      <w:r w:rsidR="0084116A">
        <w:rPr>
          <w:rFonts w:asciiTheme="majorHAnsi" w:hAnsiTheme="majorHAnsi" w:cstheme="majorHAnsi"/>
        </w:rPr>
        <w:t>.</w:t>
      </w:r>
    </w:p>
    <w:p w14:paraId="4153965B" w14:textId="7F33FA19" w:rsidR="0084116A" w:rsidRDefault="00536325" w:rsidP="00076FC9">
      <w:r>
        <w:t>Persistent challenges still exist. Key informants emphasised that a gap remains between policies and their implementation, necessitating more mainstreamed capacity development to identify opportunities for promoting inclusion within the sector. The fisheries sector remains predominantly male</w:t>
      </w:r>
      <w:r w:rsidR="00B4113F">
        <w:t>-</w:t>
      </w:r>
      <w:r>
        <w:t xml:space="preserve">dominated, especially in field operations such as enforcement, patrols, and on fishing vessels. In some Pacific cultures, there are still difficulties recognising the opportunities and benefits of inclusive fisheries, particularly at community level. Targeted efforts to </w:t>
      </w:r>
      <w:r w:rsidR="00BE0D5E">
        <w:t>boost</w:t>
      </w:r>
      <w:r>
        <w:t xml:space="preserve"> women’s participation in at-sea observer programmes and enforcement activities have encountered some resistance due to cultural and sectoral biases. While female fisheries officers praised the training and educational opportunities that have enabled them to pursue this career, they are keen to promote similar opportunities for young women in future. This aims to help them explore diverse career options within the sector and to increase the number of women working in fisheries management</w:t>
      </w:r>
      <w:r w:rsidR="0084116A" w:rsidRPr="0084116A">
        <w:t>.</w:t>
      </w:r>
    </w:p>
    <w:p w14:paraId="4FBC5565" w14:textId="77777777" w:rsidR="00696124" w:rsidRDefault="00696124" w:rsidP="00076FC9"/>
    <w:p w14:paraId="709FF8BF" w14:textId="43B2E6F8" w:rsidR="00252746" w:rsidRPr="00F6402D" w:rsidRDefault="00051E56" w:rsidP="00F6402D">
      <w:pPr>
        <w:pStyle w:val="Heading4"/>
        <w:rPr>
          <w:sz w:val="24"/>
          <w:szCs w:val="24"/>
        </w:rPr>
      </w:pPr>
      <w:r w:rsidRPr="00F6402D">
        <w:rPr>
          <w:sz w:val="24"/>
          <w:szCs w:val="24"/>
        </w:rPr>
        <w:t>EQ 3</w:t>
      </w:r>
      <w:r w:rsidR="00CE301B" w:rsidRPr="00F6402D">
        <w:rPr>
          <w:sz w:val="24"/>
          <w:szCs w:val="24"/>
        </w:rPr>
        <w:t>(b)</w:t>
      </w:r>
      <w:r w:rsidRPr="00F6402D">
        <w:rPr>
          <w:sz w:val="24"/>
          <w:szCs w:val="24"/>
        </w:rPr>
        <w:t xml:space="preserve"> </w:t>
      </w:r>
      <w:r w:rsidR="00577DB3" w:rsidRPr="00F6402D">
        <w:rPr>
          <w:sz w:val="24"/>
          <w:szCs w:val="24"/>
        </w:rPr>
        <w:t xml:space="preserve">How </w:t>
      </w:r>
      <w:bookmarkStart w:id="55" w:name="OLE_LINK7"/>
      <w:r w:rsidR="00577DB3" w:rsidRPr="00F6402D">
        <w:rPr>
          <w:sz w:val="24"/>
          <w:szCs w:val="24"/>
        </w:rPr>
        <w:t xml:space="preserve">has the investment been effective in adapting </w:t>
      </w:r>
      <w:r w:rsidR="004A0D10" w:rsidRPr="00F6402D">
        <w:rPr>
          <w:sz w:val="24"/>
          <w:szCs w:val="24"/>
        </w:rPr>
        <w:t xml:space="preserve">to </w:t>
      </w:r>
      <w:r w:rsidR="00577DB3" w:rsidRPr="00F6402D">
        <w:rPr>
          <w:sz w:val="24"/>
          <w:szCs w:val="24"/>
        </w:rPr>
        <w:t xml:space="preserve">or mitigating the impacts of climate change? </w:t>
      </w:r>
      <w:bookmarkStart w:id="56" w:name="_Toc199684972"/>
      <w:bookmarkEnd w:id="55"/>
    </w:p>
    <w:tbl>
      <w:tblPr>
        <w:tblStyle w:val="TableGrid"/>
        <w:tblW w:w="0" w:type="auto"/>
        <w:tblLook w:val="04A0" w:firstRow="1" w:lastRow="0" w:firstColumn="1" w:lastColumn="0" w:noHBand="0" w:noVBand="1"/>
      </w:tblPr>
      <w:tblGrid>
        <w:gridCol w:w="9730"/>
      </w:tblGrid>
      <w:tr w:rsidR="00A34B99" w14:paraId="127F4ECB" w14:textId="77777777" w:rsidTr="00A34B99">
        <w:tc>
          <w:tcPr>
            <w:tcW w:w="9730" w:type="dxa"/>
            <w:tcBorders>
              <w:top w:val="nil"/>
              <w:left w:val="nil"/>
              <w:bottom w:val="nil"/>
              <w:right w:val="nil"/>
            </w:tcBorders>
            <w:shd w:val="clear" w:color="auto" w:fill="DEEAF6" w:themeFill="accent5" w:themeFillTint="33"/>
          </w:tcPr>
          <w:p w14:paraId="50CE3976" w14:textId="6D645DD8" w:rsidR="00A34B99" w:rsidRDefault="00A34B99" w:rsidP="00A34B99">
            <w:pPr>
              <w:spacing w:after="120"/>
              <w:rPr>
                <w:lang w:eastAsia="en-GB"/>
              </w:rPr>
            </w:pPr>
            <w:r w:rsidRPr="001E60B8">
              <w:rPr>
                <w:b/>
                <w:bCs/>
              </w:rPr>
              <w:t>Key Finding</w:t>
            </w:r>
            <w:r>
              <w:t>:</w:t>
            </w:r>
            <w:r w:rsidRPr="008E014B">
              <w:t xml:space="preserve"> </w:t>
            </w:r>
            <w:r>
              <w:t>Although climate change is not a primary goal of the Investment, and activities related to climate change are not systematically incorporated into all its components, the Investment has helped improve understanding and address the impacts of climate change on Pacific fisheries and maritime zones. Nevertheless, there is a need for more systematic integration of climate change considerations across all parts of the Investment parts, clearer articulation of adaptation outcomes, and ongoing support for Pacific-led climate action in the fisheries sector.</w:t>
            </w:r>
          </w:p>
        </w:tc>
      </w:tr>
    </w:tbl>
    <w:p w14:paraId="0F72B384" w14:textId="6FB7FA4E" w:rsidR="001826BE" w:rsidRDefault="001826BE" w:rsidP="000357D3">
      <w:pPr>
        <w:rPr>
          <w:lang w:eastAsia="en-GB"/>
        </w:rPr>
      </w:pPr>
    </w:p>
    <w:bookmarkEnd w:id="56"/>
    <w:p w14:paraId="7EE2FF3F" w14:textId="5890278C" w:rsidR="00006FBE" w:rsidRDefault="00CB2295" w:rsidP="00BD1321">
      <w:pPr>
        <w:spacing w:after="120"/>
        <w:rPr>
          <w:lang w:eastAsia="en-GB"/>
        </w:rPr>
      </w:pPr>
      <w:r w:rsidRPr="00CB2295">
        <w:t xml:space="preserve">There is a satisfactory level of evidence (triangulated across document sources and validated against interviews with key informants), that whilst climate change was not a core objective of </w:t>
      </w:r>
      <w:r w:rsidR="00006FBE">
        <w:t xml:space="preserve">the </w:t>
      </w:r>
      <w:r w:rsidR="00F01473">
        <w:t>I</w:t>
      </w:r>
      <w:r w:rsidR="00006FBE">
        <w:t>nvestment</w:t>
      </w:r>
      <w:r w:rsidR="00F01473">
        <w:t xml:space="preserve"> cl</w:t>
      </w:r>
      <w:r w:rsidRPr="00CB2295">
        <w:t xml:space="preserve">imate change activities are not systematically designed into all components, the </w:t>
      </w:r>
      <w:r w:rsidR="00F01473">
        <w:t>I</w:t>
      </w:r>
      <w:r w:rsidRPr="00CB2295">
        <w:t xml:space="preserve">nvestment has contributed to understanding and addressing the impacts of climate change on Pacific fisheries and maritime zones (see </w:t>
      </w:r>
      <w:r w:rsidR="000F3351">
        <w:rPr>
          <w:b/>
          <w:bCs/>
        </w:rPr>
        <w:t>Annexe</w:t>
      </w:r>
      <w:r w:rsidRPr="00AC33B7">
        <w:rPr>
          <w:b/>
          <w:bCs/>
        </w:rPr>
        <w:t xml:space="preserve"> 1</w:t>
      </w:r>
      <w:r w:rsidR="00F62AE7">
        <w:rPr>
          <w:b/>
          <w:bCs/>
        </w:rPr>
        <w:t>2</w:t>
      </w:r>
      <w:r w:rsidRPr="00CB2295">
        <w:t xml:space="preserve"> for a list of the many different contributions made by the </w:t>
      </w:r>
      <w:r w:rsidR="00F01473">
        <w:t>I</w:t>
      </w:r>
      <w:r w:rsidRPr="00CB2295">
        <w:t>nvestment).</w:t>
      </w:r>
      <w:r w:rsidR="00006FBE">
        <w:t xml:space="preserve"> </w:t>
      </w:r>
      <w:r w:rsidR="00006FBE">
        <w:rPr>
          <w:lang w:eastAsia="en-GB"/>
        </w:rPr>
        <w:t xml:space="preserve">As per the </w:t>
      </w:r>
      <w:r w:rsidR="00006FBE">
        <w:rPr>
          <w:i/>
          <w:iCs/>
          <w:lang w:eastAsia="en-GB"/>
        </w:rPr>
        <w:t>Evaluation Rubric</w:t>
      </w:r>
      <w:r w:rsidR="00006FBE">
        <w:rPr>
          <w:lang w:eastAsia="en-GB"/>
        </w:rPr>
        <w:t>, one criterion was assessed to determine how</w:t>
      </w:r>
      <w:r w:rsidR="00D462F4">
        <w:rPr>
          <w:lang w:eastAsia="en-GB"/>
        </w:rPr>
        <w:t xml:space="preserve"> effective </w:t>
      </w:r>
      <w:r w:rsidR="00006FBE">
        <w:rPr>
          <w:lang w:eastAsia="en-GB"/>
        </w:rPr>
        <w:t xml:space="preserve">the Investment </w:t>
      </w:r>
      <w:r w:rsidR="00D462F4">
        <w:rPr>
          <w:lang w:eastAsia="en-GB"/>
        </w:rPr>
        <w:t>has been in adapting to or mitigating the impacts of climate change</w:t>
      </w:r>
      <w:r w:rsidR="00006FBE">
        <w:rPr>
          <w:lang w:eastAsia="en-GB"/>
        </w:rPr>
        <w:t>.</w:t>
      </w:r>
    </w:p>
    <w:tbl>
      <w:tblPr>
        <w:tblStyle w:val="TableGrid"/>
        <w:tblW w:w="0" w:type="auto"/>
        <w:tblLook w:val="04A0" w:firstRow="1" w:lastRow="0" w:firstColumn="1" w:lastColumn="0" w:noHBand="0" w:noVBand="1"/>
      </w:tblPr>
      <w:tblGrid>
        <w:gridCol w:w="9730"/>
      </w:tblGrid>
      <w:tr w:rsidR="00A34B99" w14:paraId="027DDBD9" w14:textId="77777777" w:rsidTr="00A34B99">
        <w:tc>
          <w:tcPr>
            <w:tcW w:w="9730" w:type="dxa"/>
            <w:tcBorders>
              <w:top w:val="nil"/>
              <w:left w:val="nil"/>
              <w:bottom w:val="nil"/>
              <w:right w:val="nil"/>
            </w:tcBorders>
            <w:shd w:val="clear" w:color="auto" w:fill="2F5496" w:themeFill="accent1" w:themeFillShade="BF"/>
          </w:tcPr>
          <w:p w14:paraId="1B435E1A" w14:textId="216B552A" w:rsidR="00A34B99" w:rsidRDefault="00A34B99" w:rsidP="000357D3">
            <w:pPr>
              <w:rPr>
                <w:lang w:eastAsia="en-GB"/>
              </w:rPr>
            </w:pPr>
            <w:r w:rsidRPr="00831E4E">
              <w:rPr>
                <w:rFonts w:asciiTheme="majorHAnsi" w:eastAsia="Times New Roman" w:hAnsiTheme="majorHAnsi" w:cstheme="majorHAnsi"/>
                <w:b/>
                <w:color w:val="FFFFFF" w:themeColor="background1"/>
                <w:lang w:eastAsia="en-GB"/>
              </w:rPr>
              <w:t>Rubric Criterion #13</w:t>
            </w:r>
            <w:r w:rsidRPr="00831E4E">
              <w:rPr>
                <w:rFonts w:cstheme="majorHAnsi"/>
                <w:color w:val="FFFFFF" w:themeColor="background1"/>
              </w:rPr>
              <w:t xml:space="preserve">: </w:t>
            </w:r>
            <w:r w:rsidRPr="00831E4E">
              <w:rPr>
                <w:i/>
                <w:color w:val="FFFFFF" w:themeColor="background1"/>
                <w:lang w:eastAsia="en-GB"/>
              </w:rPr>
              <w:t xml:space="preserve"> </w:t>
            </w:r>
            <w:r w:rsidRPr="00831E4E">
              <w:rPr>
                <w:rFonts w:asciiTheme="majorHAnsi" w:hAnsiTheme="majorHAnsi" w:cstheme="majorHAnsi"/>
                <w:i/>
                <w:color w:val="FFFFFF" w:themeColor="background1"/>
                <w:lang w:eastAsia="en-GB"/>
              </w:rPr>
              <w:t>The extent to which activities of the investment supported PICs to adapt to the impacts of climate change and were informed by climate change analysis</w:t>
            </w:r>
            <w:r w:rsidRPr="00831E4E">
              <w:rPr>
                <w:rFonts w:asciiTheme="majorHAnsi" w:hAnsiTheme="majorHAnsi" w:cstheme="majorHAnsi"/>
                <w:color w:val="FFFFFF" w:themeColor="background1"/>
                <w:lang w:eastAsia="en-GB"/>
              </w:rPr>
              <w:t>.</w:t>
            </w:r>
            <w:r w:rsidRPr="00831E4E">
              <w:rPr>
                <w:color w:val="FFFFFF" w:themeColor="background1"/>
                <w:lang w:eastAsia="en-GB"/>
              </w:rPr>
              <w:t xml:space="preserve"> </w:t>
            </w:r>
            <w:r w:rsidRPr="00831E4E">
              <w:rPr>
                <w:rFonts w:asciiTheme="majorHAnsi" w:eastAsia="Times New Roman" w:hAnsiTheme="majorHAnsi" w:cstheme="majorHAnsi"/>
                <w:color w:val="FFFFFF" w:themeColor="background1"/>
                <w:lang w:eastAsia="en-GB"/>
              </w:rPr>
              <w:t>Based on the evidence evaluated, this is assessed overall as</w:t>
            </w:r>
            <w:r w:rsidRPr="00831E4E">
              <w:rPr>
                <w:color w:val="FFFFFF" w:themeColor="background1"/>
                <w:lang w:eastAsia="en-GB"/>
              </w:rPr>
              <w:t xml:space="preserve"> </w:t>
            </w:r>
            <w:r w:rsidRPr="00831E4E">
              <w:rPr>
                <w:b/>
                <w:color w:val="FFFFFF" w:themeColor="background1"/>
                <w:lang w:eastAsia="en-GB"/>
              </w:rPr>
              <w:t>Good</w:t>
            </w:r>
          </w:p>
        </w:tc>
      </w:tr>
    </w:tbl>
    <w:p w14:paraId="2DDAC76E" w14:textId="0A0837E8" w:rsidR="002931F5" w:rsidRDefault="002931F5" w:rsidP="000357D3">
      <w:pPr>
        <w:rPr>
          <w:lang w:eastAsia="en-GB"/>
        </w:rPr>
      </w:pPr>
    </w:p>
    <w:p w14:paraId="2AFD45FA" w14:textId="679D9EF3" w:rsidR="00975BF8" w:rsidRPr="00975BF8" w:rsidRDefault="00CB2295" w:rsidP="00BD1321">
      <w:pPr>
        <w:spacing w:after="120"/>
      </w:pPr>
      <w:r>
        <w:t>The initiatives under the Investment</w:t>
      </w:r>
      <w:r w:rsidR="00975BF8" w:rsidRPr="00975BF8">
        <w:t xml:space="preserve"> have varied in their effectiveness in adapting to or mitigating the impacts of climate change in the Pacific. The CBFM </w:t>
      </w:r>
      <w:r w:rsidR="00B36043">
        <w:t>project</w:t>
      </w:r>
      <w:r w:rsidR="00B36043" w:rsidRPr="00975BF8">
        <w:t xml:space="preserve"> </w:t>
      </w:r>
      <w:r w:rsidR="00975BF8" w:rsidRPr="00975BF8">
        <w:t xml:space="preserve">provides the clearest evidence supporting contributions to </w:t>
      </w:r>
      <w:r w:rsidR="00975BF8" w:rsidRPr="00975BF8">
        <w:lastRenderedPageBreak/>
        <w:t>climate adaptation and resilience, with a project goal of ‘resilient coastal</w:t>
      </w:r>
      <w:r>
        <w:t xml:space="preserve"> </w:t>
      </w:r>
      <w:r w:rsidR="00975BF8" w:rsidRPr="00975BF8">
        <w:t>communities’ supported by project activities such as coral replanting, vulnerability assessments</w:t>
      </w:r>
      <w:r>
        <w:t>,</w:t>
      </w:r>
      <w:r w:rsidR="00975BF8" w:rsidRPr="00975BF8">
        <w:t xml:space="preserve"> and disaster preparedness</w:t>
      </w:r>
      <w:r>
        <w:t>,</w:t>
      </w:r>
      <w:r w:rsidR="00975BF8" w:rsidRPr="00975BF8">
        <w:t xml:space="preserve"> directly supporting communities to respond to the impacts of climate change. The 2023</w:t>
      </w:r>
      <w:r>
        <w:t xml:space="preserve"> SPC</w:t>
      </w:r>
      <w:r w:rsidR="00975BF8" w:rsidRPr="00975BF8">
        <w:t xml:space="preserve"> </w:t>
      </w:r>
      <w:r w:rsidR="006B5558">
        <w:t>FAME</w:t>
      </w:r>
      <w:r w:rsidR="00DB4D43" w:rsidRPr="00975BF8">
        <w:t xml:space="preserve"> </w:t>
      </w:r>
      <w:r w:rsidR="00975BF8" w:rsidRPr="00975BF8">
        <w:t>evaluation recommend</w:t>
      </w:r>
      <w:r w:rsidR="00DB4D43">
        <w:t>ed</w:t>
      </w:r>
      <w:r w:rsidR="00975BF8" w:rsidRPr="00975BF8">
        <w:t xml:space="preserve"> that DFAT consider additional support specifically aimed at addressing climate change impacts on fisheries, recognising the growing importance of this issue and the need for </w:t>
      </w:r>
      <w:r w:rsidR="00006FBE" w:rsidRPr="00975BF8">
        <w:t>longer</w:t>
      </w:r>
      <w:r w:rsidR="00006FBE">
        <w:t>-</w:t>
      </w:r>
      <w:r w:rsidR="00975BF8" w:rsidRPr="00975BF8">
        <w:t>term strategies and assessment</w:t>
      </w:r>
      <w:r w:rsidR="00F01473">
        <w:t>s</w:t>
      </w:r>
      <w:r w:rsidR="00975BF8" w:rsidRPr="00975BF8">
        <w:t xml:space="preserve"> that ensure the impact of these investments </w:t>
      </w:r>
      <w:r w:rsidR="00F01473">
        <w:t>is</w:t>
      </w:r>
      <w:r w:rsidR="00975BF8" w:rsidRPr="00975BF8">
        <w:t xml:space="preserve"> sustainable into the future.</w:t>
      </w:r>
    </w:p>
    <w:p w14:paraId="60C25CAC" w14:textId="6B1EFCE6" w:rsidR="005511F4" w:rsidRDefault="00006FBE" w:rsidP="00BD1321">
      <w:pPr>
        <w:spacing w:after="120"/>
      </w:pPr>
      <w:r>
        <w:t>The</w:t>
      </w:r>
      <w:r w:rsidR="00975BF8" w:rsidRPr="00975BF8">
        <w:t xml:space="preserve"> </w:t>
      </w:r>
      <w:r w:rsidR="007A2E9A">
        <w:t>PMB</w:t>
      </w:r>
      <w:r w:rsidR="007A2E9A" w:rsidRPr="00975BF8">
        <w:t xml:space="preserve"> </w:t>
      </w:r>
      <w:r w:rsidR="00DB4D43">
        <w:t>project</w:t>
      </w:r>
      <w:r w:rsidR="00DB4D43" w:rsidRPr="00975BF8">
        <w:t xml:space="preserve"> </w:t>
      </w:r>
      <w:r w:rsidR="00975BF8" w:rsidRPr="00975BF8">
        <w:t>has also been effective in supporting climate adaptation through its focus on how climate change will impact marine features and the security of maritime boundaries. This has resulted in significant outcomes for the Pacific</w:t>
      </w:r>
      <w:r>
        <w:t>,</w:t>
      </w:r>
      <w:r w:rsidR="00975BF8" w:rsidRPr="00975BF8">
        <w:t xml:space="preserve"> including the</w:t>
      </w:r>
      <w:r w:rsidR="00455EED">
        <w:t xml:space="preserve"> previously mentioned </w:t>
      </w:r>
      <w:r w:rsidR="00455EED">
        <w:rPr>
          <w:rFonts w:asciiTheme="majorHAnsi" w:hAnsiTheme="majorHAnsi" w:cstheme="majorHAnsi"/>
        </w:rPr>
        <w:t xml:space="preserve">PIF Leaders 2021 </w:t>
      </w:r>
      <w:hyperlink r:id="rId34" w:history="1">
        <w:r w:rsidR="00455EED" w:rsidRPr="00C435B6">
          <w:rPr>
            <w:rStyle w:val="Hyperlink"/>
            <w:rFonts w:asciiTheme="majorHAnsi" w:hAnsiTheme="majorHAnsi" w:cstheme="majorHAnsi"/>
          </w:rPr>
          <w:t>Declaration on Preserving Maritime Zones in the Face of Climate Change-Related Sea Level Rise</w:t>
        </w:r>
      </w:hyperlink>
      <w:r w:rsidR="00975BF8" w:rsidRPr="00975BF8">
        <w:t xml:space="preserve">, development of </w:t>
      </w:r>
      <w:r w:rsidR="00F01473">
        <w:t xml:space="preserve">a </w:t>
      </w:r>
      <w:r w:rsidR="00975BF8" w:rsidRPr="00975BF8">
        <w:t xml:space="preserve">climate change risk assessment methodology and enhanced skills, knowledge and information for analysing and responding to meteorological and ocean data to develop climate adaptation and mitigation strategies. </w:t>
      </w:r>
      <w:r w:rsidR="00C5028E">
        <w:t xml:space="preserve">The RBBP project has assessed </w:t>
      </w:r>
      <w:r>
        <w:t xml:space="preserve">the </w:t>
      </w:r>
      <w:r w:rsidR="00C5028E">
        <w:t xml:space="preserve">vulnerability of certain features used for measuring baselines and provided reports for 10 countries, including </w:t>
      </w:r>
      <w:r>
        <w:t>a</w:t>
      </w:r>
      <w:r w:rsidR="00C5028E">
        <w:t xml:space="preserve">n </w:t>
      </w:r>
      <w:r>
        <w:t>in-</w:t>
      </w:r>
      <w:r w:rsidR="00C5028E">
        <w:t>depth assessment and reports for certain features in Fiji and Tuvalu.</w:t>
      </w:r>
    </w:p>
    <w:p w14:paraId="789396D8" w14:textId="44ECF0F4" w:rsidR="00975BF8" w:rsidRPr="00975BF8" w:rsidRDefault="00006FBE" w:rsidP="00BD1321">
      <w:pPr>
        <w:spacing w:after="120"/>
      </w:pPr>
      <w:r w:rsidRPr="00006FBE">
        <w:t xml:space="preserve">Other initiatives under the </w:t>
      </w:r>
      <w:r w:rsidR="00F01473">
        <w:t>Investment</w:t>
      </w:r>
      <w:r w:rsidRPr="00006FBE">
        <w:t xml:space="preserve"> also provided some high-level and structural support indirectly. This includes FFA developing its first regional Climate Change Strategy and hiring a climate change specialist. The </w:t>
      </w:r>
      <w:r w:rsidR="00F01473">
        <w:t>Investment</w:t>
      </w:r>
      <w:r w:rsidRPr="00006FBE">
        <w:t xml:space="preserve"> has also enabled </w:t>
      </w:r>
      <w:r>
        <w:t>noteworthy</w:t>
      </w:r>
      <w:r w:rsidRPr="00006FBE">
        <w:t xml:space="preserve"> climate change analysis, mainly through SPC </w:t>
      </w:r>
      <w:r w:rsidR="006B5558">
        <w:t>FAME</w:t>
      </w:r>
      <w:r w:rsidRPr="00006FBE">
        <w:t xml:space="preserve">, which, according to key informants, has offered excellent insights into how climate change affects offshore, onshore, aquaculture, and freshwater fisheries. </w:t>
      </w:r>
    </w:p>
    <w:p w14:paraId="398DBA31" w14:textId="14E7FC86" w:rsidR="00C16E28" w:rsidRDefault="009D09A7" w:rsidP="00BD1321">
      <w:pPr>
        <w:spacing w:after="120"/>
      </w:pPr>
      <w:r>
        <w:t xml:space="preserve">Australia's effort to incorporate climate change into its investments has been welcomed in the Pacific, according to key informants. </w:t>
      </w:r>
      <w:r w:rsidR="0091690E">
        <w:t>However, s</w:t>
      </w:r>
      <w:r>
        <w:t>everal of these informants explicitly mentioned that climate change and gas emissions (coal mining) are factors that have generated some negative perceptions of Australia's domestic climate change policies and actions, which influence how Australia's attempts to enhance climate considerations in its fisheries investments are viewed</w:t>
      </w:r>
      <w:r w:rsidR="00006FBE" w:rsidRPr="00975BF8">
        <w:t xml:space="preserve">.  </w:t>
      </w:r>
      <w:r w:rsidR="00975BF8" w:rsidRPr="00975BF8">
        <w:t xml:space="preserve">As the Pacific continues to be at the frontline of climate change impacts, there is a growing need and opportunity for greater investment in the key threats to fisheries – rising sea levels, ocean acidification, and habitat degradation. Integrating climate change adaptation into fisheries management is critical, and ensuring that regional frameworks, such as the FFA's Climate Change Strategy, are fully realised will be </w:t>
      </w:r>
      <w:r w:rsidR="00F01473">
        <w:t>an essential</w:t>
      </w:r>
      <w:r w:rsidR="00975BF8" w:rsidRPr="00975BF8">
        <w:t xml:space="preserve"> step to ensuring regional momentum that cooperatively manages the emergence of climate risks.</w:t>
      </w:r>
    </w:p>
    <w:p w14:paraId="78735E24" w14:textId="4288512C" w:rsidR="00696124" w:rsidRPr="00B966A6" w:rsidRDefault="00696124">
      <w:pPr>
        <w:tabs>
          <w:tab w:val="clear" w:pos="7780"/>
        </w:tabs>
        <w:rPr>
          <w:rFonts w:asciiTheme="majorHAnsi" w:eastAsiaTheme="majorEastAsia" w:hAnsiTheme="majorHAnsi" w:cstheme="majorHAnsi"/>
        </w:rPr>
      </w:pPr>
    </w:p>
    <w:p w14:paraId="21FE604A" w14:textId="78364BF4" w:rsidR="008E014B" w:rsidRPr="00F6402D" w:rsidRDefault="00051E56" w:rsidP="00F6402D">
      <w:pPr>
        <w:pStyle w:val="Heading4"/>
        <w:rPr>
          <w:sz w:val="24"/>
          <w:szCs w:val="24"/>
        </w:rPr>
      </w:pPr>
      <w:r w:rsidRPr="00F6402D">
        <w:rPr>
          <w:sz w:val="24"/>
          <w:szCs w:val="24"/>
        </w:rPr>
        <w:t>EQ 3</w:t>
      </w:r>
      <w:r w:rsidR="002931F5" w:rsidRPr="00F6402D">
        <w:rPr>
          <w:sz w:val="24"/>
          <w:szCs w:val="24"/>
        </w:rPr>
        <w:t>(c)</w:t>
      </w:r>
      <w:r w:rsidRPr="00F6402D">
        <w:rPr>
          <w:sz w:val="24"/>
          <w:szCs w:val="24"/>
        </w:rPr>
        <w:t xml:space="preserve"> </w:t>
      </w:r>
      <w:r w:rsidR="00577DB3" w:rsidRPr="00F6402D">
        <w:rPr>
          <w:sz w:val="24"/>
          <w:szCs w:val="24"/>
        </w:rPr>
        <w:t>How has the investment impacted how Australia is seen in and by the region?</w:t>
      </w:r>
      <w:bookmarkStart w:id="57" w:name="_Toc199684974"/>
    </w:p>
    <w:tbl>
      <w:tblPr>
        <w:tblStyle w:val="TableGrid"/>
        <w:tblW w:w="0" w:type="auto"/>
        <w:tblLook w:val="04A0" w:firstRow="1" w:lastRow="0" w:firstColumn="1" w:lastColumn="0" w:noHBand="0" w:noVBand="1"/>
      </w:tblPr>
      <w:tblGrid>
        <w:gridCol w:w="9730"/>
      </w:tblGrid>
      <w:tr w:rsidR="00287D1D" w14:paraId="4CAC9FCC" w14:textId="77777777" w:rsidTr="00287D1D">
        <w:tc>
          <w:tcPr>
            <w:tcW w:w="9730" w:type="dxa"/>
            <w:tcBorders>
              <w:top w:val="nil"/>
              <w:left w:val="nil"/>
              <w:bottom w:val="nil"/>
              <w:right w:val="nil"/>
            </w:tcBorders>
            <w:shd w:val="clear" w:color="auto" w:fill="DEEAF6" w:themeFill="accent5" w:themeFillTint="33"/>
          </w:tcPr>
          <w:p w14:paraId="62575D8C" w14:textId="571F58C5" w:rsidR="00287D1D" w:rsidRDefault="00287D1D" w:rsidP="00BD1321">
            <w:pPr>
              <w:spacing w:after="120"/>
              <w:rPr>
                <w:lang w:eastAsia="en-GB"/>
              </w:rPr>
            </w:pPr>
            <w:r w:rsidRPr="001E60B8">
              <w:rPr>
                <w:b/>
                <w:bCs/>
              </w:rPr>
              <w:t>Key Finding</w:t>
            </w:r>
            <w:r>
              <w:t>:</w:t>
            </w:r>
            <w:r w:rsidRPr="008E014B">
              <w:t xml:space="preserve"> </w:t>
            </w:r>
            <w:r>
              <w:t>The Investment has had a substantial, largely positive impact on how Australia is seen in the Pacific region, strengthening its position as a key development partner. While it has mostly elevated Australia's reputation as a dependable and trusted partner in Pacific fisheries and maritime security—particularly through steady support for regional organisations and important initiatives like MCS and maritime boundaries—this is sometimes countered by limited visibility of certain contributions and negative perceptions surrounding Australia's broader climate policies and geopolitical stance</w:t>
            </w:r>
          </w:p>
        </w:tc>
      </w:tr>
    </w:tbl>
    <w:p w14:paraId="7779D9A4" w14:textId="460CB050" w:rsidR="008E014B" w:rsidRDefault="002F6938" w:rsidP="00BD1321">
      <w:pPr>
        <w:spacing w:after="120"/>
        <w:rPr>
          <w:lang w:eastAsia="en-GB"/>
        </w:rPr>
      </w:pPr>
      <w:r>
        <w:rPr>
          <w:lang w:eastAsia="en-GB"/>
        </w:rPr>
        <w:t xml:space="preserve">There is strong evidence (triangulated across document sources and interviews) and validated by the survey distributed by the Evaluation team to Fisheries agencies across the Pacific (discussed below). As per the </w:t>
      </w:r>
      <w:r>
        <w:rPr>
          <w:i/>
          <w:iCs/>
          <w:lang w:eastAsia="en-GB"/>
        </w:rPr>
        <w:t>Evaluation Rubric</w:t>
      </w:r>
      <w:r>
        <w:rPr>
          <w:lang w:eastAsia="en-GB"/>
        </w:rPr>
        <w:t>, one criterion was assessed to determine how the Investment has impacted Australia's reputation in and by the region.</w:t>
      </w:r>
    </w:p>
    <w:tbl>
      <w:tblPr>
        <w:tblStyle w:val="TableGrid"/>
        <w:tblW w:w="0" w:type="auto"/>
        <w:tblLook w:val="04A0" w:firstRow="1" w:lastRow="0" w:firstColumn="1" w:lastColumn="0" w:noHBand="0" w:noVBand="1"/>
      </w:tblPr>
      <w:tblGrid>
        <w:gridCol w:w="9730"/>
      </w:tblGrid>
      <w:tr w:rsidR="00287D1D" w14:paraId="74B9EB23" w14:textId="77777777" w:rsidTr="00287D1D">
        <w:tc>
          <w:tcPr>
            <w:tcW w:w="9730" w:type="dxa"/>
            <w:tcBorders>
              <w:top w:val="nil"/>
              <w:left w:val="nil"/>
              <w:bottom w:val="nil"/>
              <w:right w:val="nil"/>
            </w:tcBorders>
            <w:shd w:val="clear" w:color="auto" w:fill="2F5496" w:themeFill="accent1" w:themeFillShade="BF"/>
          </w:tcPr>
          <w:p w14:paraId="11FEBD89" w14:textId="4A55FF5A" w:rsidR="00287D1D" w:rsidRPr="00287D1D" w:rsidRDefault="00287D1D" w:rsidP="00287D1D">
            <w:pPr>
              <w:spacing w:after="120"/>
              <w:rPr>
                <w:rFonts w:asciiTheme="majorHAnsi" w:hAnsiTheme="majorHAnsi" w:cstheme="majorHAnsi"/>
                <w:color w:val="FFFFFF" w:themeColor="background1"/>
              </w:rPr>
            </w:pPr>
            <w:r w:rsidRPr="00831E4E">
              <w:rPr>
                <w:rFonts w:asciiTheme="majorHAnsi" w:eastAsia="Times New Roman" w:hAnsiTheme="majorHAnsi" w:cstheme="majorHAnsi"/>
                <w:b/>
                <w:color w:val="FFFFFF" w:themeColor="background1"/>
                <w:lang w:eastAsia="en-GB"/>
              </w:rPr>
              <w:t>Rubric Criterion #14</w:t>
            </w:r>
            <w:r w:rsidRPr="00831E4E">
              <w:rPr>
                <w:rFonts w:asciiTheme="majorHAnsi" w:hAnsiTheme="majorHAnsi" w:cstheme="majorHAnsi"/>
                <w:color w:val="FFFFFF" w:themeColor="background1"/>
              </w:rPr>
              <w:t xml:space="preserve">: </w:t>
            </w:r>
            <w:r w:rsidRPr="00831E4E">
              <w:rPr>
                <w:i/>
                <w:color w:val="FFFFFF" w:themeColor="background1"/>
                <w:lang w:eastAsia="en-GB"/>
              </w:rPr>
              <w:t xml:space="preserve"> The extent to which the investment has enhanced Australia’s standing in the region. </w:t>
            </w:r>
            <w:r w:rsidRPr="00831E4E">
              <w:rPr>
                <w:rFonts w:asciiTheme="majorHAnsi" w:eastAsia="Times New Roman" w:hAnsiTheme="majorHAnsi" w:cstheme="majorHAnsi"/>
                <w:color w:val="FFFFFF" w:themeColor="background1"/>
                <w:lang w:eastAsia="en-GB"/>
              </w:rPr>
              <w:t>Based on the evidence evaluated, this is assessed overall as</w:t>
            </w:r>
            <w:r w:rsidRPr="00831E4E">
              <w:rPr>
                <w:i/>
                <w:color w:val="FFFFFF" w:themeColor="background1"/>
                <w:lang w:eastAsia="en-GB"/>
              </w:rPr>
              <w:t xml:space="preserve"> </w:t>
            </w:r>
            <w:r w:rsidRPr="00831E4E">
              <w:rPr>
                <w:b/>
                <w:i/>
                <w:color w:val="FFFFFF" w:themeColor="background1"/>
                <w:lang w:eastAsia="en-GB"/>
              </w:rPr>
              <w:t>Good.</w:t>
            </w:r>
          </w:p>
        </w:tc>
      </w:tr>
    </w:tbl>
    <w:p w14:paraId="51BF2DCF" w14:textId="29668666" w:rsidR="00FD06E1" w:rsidRDefault="00FD06E1" w:rsidP="000357D3">
      <w:pPr>
        <w:rPr>
          <w:lang w:eastAsia="en-GB"/>
        </w:rPr>
      </w:pPr>
    </w:p>
    <w:bookmarkEnd w:id="57"/>
    <w:p w14:paraId="3FFA6557" w14:textId="4D09CB9E" w:rsidR="00C74E7A" w:rsidRPr="00A75428" w:rsidRDefault="00A75428" w:rsidP="00BD1321">
      <w:pPr>
        <w:spacing w:after="120"/>
      </w:pPr>
      <w:r w:rsidRPr="00A75428">
        <w:t>A survey of Fisheries Agencies in the Pacific</w:t>
      </w:r>
      <w:r w:rsidR="002F6938">
        <w:t>,</w:t>
      </w:r>
      <w:r w:rsidR="008E014B">
        <w:t xml:space="preserve"> distributed to the agencies by the Evaluation Team</w:t>
      </w:r>
      <w:r w:rsidR="002F6938">
        <w:t xml:space="preserve"> (9 Agencies responded)</w:t>
      </w:r>
      <w:r w:rsidRPr="00A75428">
        <w:t>, illustrates the extent to which these agencies perceive Australia’s support. Many agencies largely agree that this support has been critical to targeted policy areas in the Pacific (</w:t>
      </w:r>
      <w:r w:rsidRPr="00A75428">
        <w:fldChar w:fldCharType="begin"/>
      </w:r>
      <w:r w:rsidRPr="00A75428">
        <w:instrText xml:space="preserve"> REF _Ref197938909 \h  \* MERGEFORMAT </w:instrText>
      </w:r>
      <w:r w:rsidRPr="00A75428">
        <w:fldChar w:fldCharType="separate"/>
      </w:r>
      <w:r w:rsidR="00FC67EE">
        <w:t xml:space="preserve">Figure </w:t>
      </w:r>
      <w:r w:rsidRPr="00A75428">
        <w:fldChar w:fldCharType="end"/>
      </w:r>
      <w:r w:rsidRPr="00A75428">
        <w:t>).</w:t>
      </w:r>
    </w:p>
    <w:p w14:paraId="10E02CF2" w14:textId="75972067" w:rsidR="00A75428" w:rsidRDefault="00A75428" w:rsidP="00BD1321">
      <w:pPr>
        <w:pStyle w:val="Caption"/>
        <w:spacing w:after="120"/>
      </w:pPr>
      <w:bookmarkStart w:id="58" w:name="_Ref197938909"/>
      <w:r>
        <w:lastRenderedPageBreak/>
        <w:t xml:space="preserve">Figure </w:t>
      </w:r>
      <w:r>
        <w:fldChar w:fldCharType="begin"/>
      </w:r>
      <w:r>
        <w:instrText xml:space="preserve"> SEQ Figure \* ARABIC </w:instrText>
      </w:r>
      <w:r>
        <w:fldChar w:fldCharType="separate"/>
      </w:r>
      <w:r w:rsidR="00FC67EE">
        <w:rPr>
          <w:noProof/>
        </w:rPr>
        <w:t>2</w:t>
      </w:r>
      <w:r>
        <w:fldChar w:fldCharType="end"/>
      </w:r>
      <w:bookmarkEnd w:id="58"/>
      <w:r>
        <w:t xml:space="preserve">: </w:t>
      </w:r>
      <w:r w:rsidR="00900F91">
        <w:t xml:space="preserve">Table </w:t>
      </w:r>
      <w:r w:rsidR="00900F91" w:rsidRPr="00900F91">
        <w:t>show</w:t>
      </w:r>
      <w:r w:rsidR="00900F91">
        <w:t>s</w:t>
      </w:r>
      <w:r w:rsidR="00900F91" w:rsidRPr="00900F91">
        <w:t xml:space="preserve"> strong support for Australia’s contribution to Pacific fisheries since 2010</w:t>
      </w:r>
      <w:r w:rsidR="00D737B4">
        <w:t xml:space="preserve">: approx. </w:t>
      </w:r>
      <w:r w:rsidR="00900F91" w:rsidRPr="00900F91">
        <w:t xml:space="preserve">70–95% of agencies </w:t>
      </w:r>
      <w:r w:rsidR="00D737B4">
        <w:t xml:space="preserve">agree or strongly </w:t>
      </w:r>
      <w:r w:rsidR="00900F91" w:rsidRPr="00900F91">
        <w:t>across all key policy areas</w:t>
      </w:r>
      <w:r w:rsidR="007B2661">
        <w:t xml:space="preserve">; approx. </w:t>
      </w:r>
      <w:r w:rsidR="00900F91" w:rsidRPr="00900F91">
        <w:t xml:space="preserve">70% believe Australia has helped promote gender equality and social inclusion, while </w:t>
      </w:r>
      <w:r w:rsidR="007B2661">
        <w:t>approx.</w:t>
      </w:r>
      <w:r w:rsidR="00900F91" w:rsidRPr="00900F91">
        <w:t xml:space="preserve"> 85% agree it has strengthened community</w:t>
      </w:r>
      <w:r w:rsidR="00900F91" w:rsidRPr="00900F91">
        <w:rPr>
          <w:rFonts w:ascii="Cambria Math" w:hAnsi="Cambria Math" w:cs="Cambria Math"/>
        </w:rPr>
        <w:t>‑</w:t>
      </w:r>
      <w:r w:rsidR="00900F91" w:rsidRPr="00900F91">
        <w:t>based fisheries management</w:t>
      </w:r>
      <w:r w:rsidR="007B2661">
        <w:t xml:space="preserve">; </w:t>
      </w:r>
      <w:r w:rsidR="005E2977">
        <w:t xml:space="preserve">approx. </w:t>
      </w:r>
      <w:r w:rsidR="00900F91" w:rsidRPr="00900F91">
        <w:t>75% consider Australia</w:t>
      </w:r>
      <w:r w:rsidR="00900F91" w:rsidRPr="00900F91">
        <w:rPr>
          <w:rFonts w:ascii="Calibri" w:hAnsi="Calibri" w:cs="Calibri"/>
        </w:rPr>
        <w:t>’</w:t>
      </w:r>
      <w:r w:rsidR="00900F91" w:rsidRPr="00900F91">
        <w:t>s funding important for improving monitoring, control and surveillance</w:t>
      </w:r>
      <w:r w:rsidR="005E2977">
        <w:t xml:space="preserve">; approx. 70% </w:t>
      </w:r>
      <w:r w:rsidR="00900F91" w:rsidRPr="00900F91">
        <w:t>see it as helping secure maritime boundaries. Support for Australia’s broader regional role is also high</w:t>
      </w:r>
      <w:r w:rsidR="003B6F1E">
        <w:t xml:space="preserve">:  approx. </w:t>
      </w:r>
      <w:r w:rsidR="00900F91" w:rsidRPr="00900F91">
        <w:t>85% saying funding has enhanced Australia’s reputation. The strongest results relate to regional ocean management:</w:t>
      </w:r>
      <w:r w:rsidR="003B6F1E">
        <w:t xml:space="preserve"> approx. </w:t>
      </w:r>
      <w:r w:rsidR="00900F91" w:rsidRPr="00900F91">
        <w:t>90% strongly agree that Australia has helped the Pacific sustainably manage its ocean resources and supported regional fisheries organisations</w:t>
      </w:r>
      <w:r w:rsidR="003B6F1E">
        <w:t xml:space="preserve">; approx. </w:t>
      </w:r>
      <w:r w:rsidR="00C96BB9">
        <w:t>100</w:t>
      </w:r>
      <w:r w:rsidR="00900F91" w:rsidRPr="00900F91">
        <w:t>% strongly agree that Australia has strengthened cooperation on illegal, unreported and unregulated fishing</w:t>
      </w:r>
      <w:r w:rsidR="003B6F1E">
        <w:t xml:space="preserve"> (IUU)</w:t>
      </w:r>
      <w:r w:rsidR="00900F91" w:rsidRPr="00900F91">
        <w:t xml:space="preserve">. </w:t>
      </w:r>
      <w:r>
        <w:t>(Source: own survey)</w:t>
      </w:r>
    </w:p>
    <w:p w14:paraId="0329047A" w14:textId="653A1351" w:rsidR="00A75428" w:rsidRDefault="00DC7E46" w:rsidP="00BD1321">
      <w:pPr>
        <w:spacing w:after="120"/>
      </w:pPr>
      <w:r>
        <w:rPr>
          <w:noProof/>
        </w:rPr>
        <w:drawing>
          <wp:inline distT="0" distB="0" distL="0" distR="0" wp14:anchorId="278BF18B" wp14:editId="5FC33DDD">
            <wp:extent cx="5742940" cy="3590925"/>
            <wp:effectExtent l="0" t="0" r="0" b="9525"/>
            <wp:docPr id="634242505" name="Picture 1" descr="See text above for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242505" name="Picture 1" descr="See text above for image descriptio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2940" cy="3590925"/>
                    </a:xfrm>
                    <a:prstGeom prst="rect">
                      <a:avLst/>
                    </a:prstGeom>
                    <a:noFill/>
                  </pic:spPr>
                </pic:pic>
              </a:graphicData>
            </a:graphic>
          </wp:inline>
        </w:drawing>
      </w:r>
    </w:p>
    <w:p w14:paraId="41316BF3" w14:textId="3D230660" w:rsidR="002F6938" w:rsidRPr="00AC33B7" w:rsidRDefault="002F6938" w:rsidP="00BD1321">
      <w:pPr>
        <w:spacing w:after="120"/>
        <w:rPr>
          <w:rStyle w:val="Strong"/>
          <w:rFonts w:asciiTheme="majorHAnsi" w:hAnsiTheme="majorHAnsi" w:cstheme="majorHAnsi"/>
        </w:rPr>
      </w:pPr>
      <w:r w:rsidRPr="00006FBE">
        <w:rPr>
          <w:rStyle w:val="Strong"/>
          <w:rFonts w:asciiTheme="majorHAnsi" w:hAnsiTheme="majorHAnsi" w:cstheme="majorHAnsi"/>
          <w:b w:val="0"/>
          <w:bCs w:val="0"/>
        </w:rPr>
        <w:t>Survey feedback, validated through interviews with key informants, identified several factors that have boosted Australia’s standing in the region, including:</w:t>
      </w:r>
    </w:p>
    <w:p w14:paraId="03A94998" w14:textId="3E655ED9" w:rsidR="002F6938" w:rsidRPr="004A3541" w:rsidRDefault="00A75428" w:rsidP="00821BD8">
      <w:pPr>
        <w:pStyle w:val="ListParagraph"/>
        <w:numPr>
          <w:ilvl w:val="0"/>
          <w:numId w:val="38"/>
        </w:numPr>
        <w:ind w:left="714" w:hanging="357"/>
        <w:rPr>
          <w:rFonts w:cstheme="majorHAnsi"/>
        </w:rPr>
      </w:pPr>
      <w:r w:rsidRPr="004A3541">
        <w:rPr>
          <w:rStyle w:val="Strong"/>
          <w:rFonts w:cstheme="majorHAnsi"/>
          <w:b w:val="0"/>
          <w:bCs w:val="0"/>
        </w:rPr>
        <w:t>Consistent and Long-Standing Engagement:</w:t>
      </w:r>
      <w:r w:rsidRPr="004A3541">
        <w:rPr>
          <w:rFonts w:cstheme="majorHAnsi"/>
        </w:rPr>
        <w:t xml:space="preserve"> Australia's long-term and consistent investment in Pacific fisheries, particularly through core funding for regional organisations like the FFA and SPC </w:t>
      </w:r>
      <w:r w:rsidR="006B5558">
        <w:rPr>
          <w:rFonts w:cstheme="majorHAnsi"/>
        </w:rPr>
        <w:t>FAME</w:t>
      </w:r>
      <w:r w:rsidRPr="004A3541">
        <w:rPr>
          <w:rFonts w:cstheme="majorHAnsi"/>
        </w:rPr>
        <w:t>, is foundational to its standing. Notably, Australia has been both an active member and donor to both agencies since their respective beginnings. This longevity builds trust.</w:t>
      </w:r>
      <w:r w:rsidR="002F6938" w:rsidRPr="004A3541">
        <w:rPr>
          <w:rFonts w:cstheme="majorHAnsi"/>
        </w:rPr>
        <w:t xml:space="preserve"> Moreover, this support allows Australia to participate as a </w:t>
      </w:r>
      <w:r w:rsidR="002F6938" w:rsidRPr="0091690E">
        <w:rPr>
          <w:rStyle w:val="Strong"/>
          <w:rFonts w:cstheme="majorHAnsi"/>
          <w:b w:val="0"/>
          <w:bCs w:val="0"/>
        </w:rPr>
        <w:t>partner</w:t>
      </w:r>
      <w:r w:rsidR="002F6938" w:rsidRPr="0091690E">
        <w:rPr>
          <w:rFonts w:cstheme="majorHAnsi"/>
          <w:b/>
          <w:bCs/>
        </w:rPr>
        <w:t xml:space="preserve"> i</w:t>
      </w:r>
      <w:r w:rsidR="002F6938" w:rsidRPr="004A3541">
        <w:rPr>
          <w:rFonts w:cstheme="majorHAnsi"/>
        </w:rPr>
        <w:t>n the region rather than being perceived as imposing its views as a donor</w:t>
      </w:r>
      <w:r w:rsidR="00F01473">
        <w:rPr>
          <w:rFonts w:cstheme="majorHAnsi"/>
        </w:rPr>
        <w:t>.</w:t>
      </w:r>
    </w:p>
    <w:p w14:paraId="5DA141B3" w14:textId="64843154" w:rsidR="002F6938" w:rsidRPr="004A3541" w:rsidRDefault="00A75428" w:rsidP="00821BD8">
      <w:pPr>
        <w:pStyle w:val="ListParagraph"/>
        <w:numPr>
          <w:ilvl w:val="0"/>
          <w:numId w:val="38"/>
        </w:numPr>
        <w:ind w:left="714" w:hanging="357"/>
        <w:rPr>
          <w:rFonts w:cstheme="majorHAnsi"/>
        </w:rPr>
      </w:pPr>
      <w:r w:rsidRPr="004A3541">
        <w:rPr>
          <w:rStyle w:val="Strong"/>
          <w:rFonts w:cstheme="majorHAnsi"/>
          <w:b w:val="0"/>
          <w:bCs w:val="0"/>
        </w:rPr>
        <w:t>Role as a Trusted Partner</w:t>
      </w:r>
      <w:r w:rsidRPr="004A3541">
        <w:rPr>
          <w:rStyle w:val="Strong"/>
          <w:rFonts w:cstheme="majorHAnsi"/>
        </w:rPr>
        <w:t>:</w:t>
      </w:r>
      <w:r w:rsidRPr="004A3541">
        <w:rPr>
          <w:rFonts w:cstheme="majorHAnsi"/>
        </w:rPr>
        <w:t xml:space="preserve"> </w:t>
      </w:r>
      <w:r w:rsidR="00F01473">
        <w:rPr>
          <w:rFonts w:cstheme="majorHAnsi"/>
        </w:rPr>
        <w:t>The Investment</w:t>
      </w:r>
      <w:r w:rsidRPr="004A3541">
        <w:rPr>
          <w:rFonts w:cstheme="majorHAnsi"/>
        </w:rPr>
        <w:t xml:space="preserve"> strengthens Australia's role as a key Pacific development partner and a </w:t>
      </w:r>
      <w:r w:rsidRPr="004A3541">
        <w:rPr>
          <w:rStyle w:val="Strong"/>
          <w:rFonts w:cstheme="majorHAnsi"/>
          <w:b w:val="0"/>
          <w:bCs w:val="0"/>
        </w:rPr>
        <w:t>trusted fisheries development partner</w:t>
      </w:r>
      <w:r w:rsidRPr="004A3541">
        <w:rPr>
          <w:rFonts w:cstheme="majorHAnsi"/>
        </w:rPr>
        <w:t xml:space="preserve">. The effective management of DFAT funding by partners like SPC </w:t>
      </w:r>
      <w:r w:rsidR="006B5558">
        <w:rPr>
          <w:rFonts w:cstheme="majorHAnsi"/>
        </w:rPr>
        <w:t>FAME</w:t>
      </w:r>
      <w:r w:rsidRPr="004A3541">
        <w:rPr>
          <w:rFonts w:cstheme="majorHAnsi"/>
        </w:rPr>
        <w:t xml:space="preserve"> reinforces trust in Australia's long-term commitment.</w:t>
      </w:r>
    </w:p>
    <w:p w14:paraId="50803C3B" w14:textId="27AEAF42" w:rsidR="00237506" w:rsidRPr="00287D1D" w:rsidRDefault="002F6938" w:rsidP="00287D1D">
      <w:pPr>
        <w:pStyle w:val="ListParagraph"/>
        <w:numPr>
          <w:ilvl w:val="0"/>
          <w:numId w:val="38"/>
        </w:numPr>
        <w:ind w:left="714" w:hanging="357"/>
        <w:rPr>
          <w:rStyle w:val="Strong"/>
          <w:rFonts w:eastAsiaTheme="minorHAnsi" w:cstheme="majorHAnsi"/>
          <w:b w:val="0"/>
          <w:bCs w:val="0"/>
        </w:rPr>
      </w:pPr>
      <w:r w:rsidRPr="004A3541">
        <w:rPr>
          <w:rStyle w:val="Strong"/>
          <w:rFonts w:cstheme="majorHAnsi"/>
        </w:rPr>
        <w:t xml:space="preserve"> </w:t>
      </w:r>
      <w:r w:rsidRPr="004A3541">
        <w:rPr>
          <w:rStyle w:val="Strong"/>
          <w:rFonts w:cstheme="majorHAnsi"/>
          <w:b w:val="0"/>
          <w:bCs w:val="0"/>
        </w:rPr>
        <w:t>Combating IUU Fishing</w:t>
      </w:r>
      <w:r w:rsidRPr="004A3541">
        <w:rPr>
          <w:rStyle w:val="Strong"/>
          <w:rFonts w:cstheme="majorHAnsi"/>
        </w:rPr>
        <w:t>:</w:t>
      </w:r>
      <w:r w:rsidRPr="004A3541">
        <w:rPr>
          <w:rFonts w:cstheme="majorHAnsi"/>
        </w:rPr>
        <w:t xml:space="preserve"> Australia's support for MCS initiatives is highly valued and often applauded. These are considered flagship successes, demonstrating Australia's strong support for security in the maritime domain and EEZs and enhancing Australia's reputation in supporting fisheries enforcement. </w:t>
      </w:r>
    </w:p>
    <w:p w14:paraId="545EAB82" w14:textId="111E3FBF" w:rsidR="002F6938" w:rsidRPr="004A3541" w:rsidRDefault="002F6938" w:rsidP="00821BD8">
      <w:pPr>
        <w:pStyle w:val="ListParagraph"/>
        <w:numPr>
          <w:ilvl w:val="0"/>
          <w:numId w:val="38"/>
        </w:numPr>
        <w:ind w:left="714" w:hanging="357"/>
        <w:rPr>
          <w:rFonts w:cstheme="majorHAnsi"/>
        </w:rPr>
      </w:pPr>
      <w:r w:rsidRPr="004A3541">
        <w:rPr>
          <w:rStyle w:val="Strong"/>
          <w:rFonts w:cstheme="majorHAnsi"/>
          <w:b w:val="0"/>
          <w:bCs w:val="0"/>
        </w:rPr>
        <w:t>Supporting Sustainable Fisheries Management</w:t>
      </w:r>
      <w:r w:rsidRPr="004A3541">
        <w:rPr>
          <w:rStyle w:val="Strong"/>
          <w:rFonts w:cstheme="majorHAnsi"/>
        </w:rPr>
        <w:t>:</w:t>
      </w:r>
      <w:r w:rsidRPr="004A3541">
        <w:rPr>
          <w:rFonts w:cstheme="majorHAnsi"/>
        </w:rPr>
        <w:t xml:space="preserve"> DFAT's support for sustainable fisheries development, including achievements in CBFM, contributes positively to Australia's credibility in this area. Supporting sustainable practices resonates with Pacific nations.</w:t>
      </w:r>
    </w:p>
    <w:p w14:paraId="5F0456F4" w14:textId="77777777" w:rsidR="00B966A6" w:rsidRPr="00B966A6" w:rsidRDefault="00B966A6" w:rsidP="00B966A6">
      <w:pPr>
        <w:pStyle w:val="ListParagraph"/>
        <w:ind w:left="714"/>
        <w:rPr>
          <w:rFonts w:cstheme="majorHAnsi"/>
        </w:rPr>
      </w:pPr>
    </w:p>
    <w:p w14:paraId="1381B5D1" w14:textId="00506BDB" w:rsidR="00F36581" w:rsidRDefault="00F36581" w:rsidP="000357D3">
      <w:pPr>
        <w:rPr>
          <w:rStyle w:val="Strong"/>
          <w:rFonts w:asciiTheme="majorHAnsi" w:hAnsiTheme="majorHAnsi" w:cstheme="majorHAnsi"/>
          <w:b w:val="0"/>
          <w:bCs w:val="0"/>
        </w:rPr>
      </w:pPr>
      <w:r>
        <w:rPr>
          <w:rStyle w:val="Strong"/>
          <w:rFonts w:asciiTheme="majorHAnsi" w:hAnsiTheme="majorHAnsi" w:cstheme="majorHAnsi"/>
          <w:b w:val="0"/>
          <w:bCs w:val="0"/>
        </w:rPr>
        <w:t>Key</w:t>
      </w:r>
      <w:r w:rsidR="00006FBE" w:rsidRPr="00006FBE">
        <w:rPr>
          <w:rStyle w:val="Strong"/>
          <w:rFonts w:asciiTheme="majorHAnsi" w:hAnsiTheme="majorHAnsi" w:cstheme="majorHAnsi"/>
          <w:b w:val="0"/>
          <w:bCs w:val="0"/>
        </w:rPr>
        <w:t xml:space="preserve"> informants noted that Australia’s strong focus on investing in training local authorities enhances skills and fosters goodwill. Supporting initiatives like maritime boundary delimitation is regarded by key informants as addressing critical issues and being a successful effort, which helps improve Australia's reputation, especially regarding its stance on climate issues. </w:t>
      </w:r>
      <w:r w:rsidR="009D09A7">
        <w:rPr>
          <w:rStyle w:val="Strong"/>
          <w:rFonts w:asciiTheme="majorHAnsi" w:hAnsiTheme="majorHAnsi" w:cstheme="majorHAnsi"/>
          <w:b w:val="0"/>
          <w:bCs w:val="0"/>
        </w:rPr>
        <w:t>As</w:t>
      </w:r>
      <w:r w:rsidR="00006FBE" w:rsidRPr="00006FBE">
        <w:rPr>
          <w:rStyle w:val="Strong"/>
          <w:rFonts w:asciiTheme="majorHAnsi" w:hAnsiTheme="majorHAnsi" w:cstheme="majorHAnsi"/>
          <w:b w:val="0"/>
          <w:bCs w:val="0"/>
        </w:rPr>
        <w:t xml:space="preserve"> mentioned earlier, key informants have explicitly stated that climate </w:t>
      </w:r>
      <w:r w:rsidR="00006FBE" w:rsidRPr="00006FBE">
        <w:rPr>
          <w:rStyle w:val="Strong"/>
          <w:rFonts w:asciiTheme="majorHAnsi" w:hAnsiTheme="majorHAnsi" w:cstheme="majorHAnsi"/>
          <w:b w:val="0"/>
          <w:bCs w:val="0"/>
        </w:rPr>
        <w:lastRenderedPageBreak/>
        <w:t xml:space="preserve">change is a negative factor affecting Australia's reputation. </w:t>
      </w:r>
      <w:r w:rsidRPr="00F36581">
        <w:rPr>
          <w:rStyle w:val="Strong"/>
          <w:rFonts w:asciiTheme="majorHAnsi" w:hAnsiTheme="majorHAnsi" w:cstheme="majorHAnsi"/>
          <w:b w:val="0"/>
          <w:bCs w:val="0"/>
        </w:rPr>
        <w:t xml:space="preserve">While key informants see Australia as supporting climate change adaptation efforts in fisheries, many </w:t>
      </w:r>
      <w:r>
        <w:rPr>
          <w:rStyle w:val="Strong"/>
          <w:rFonts w:asciiTheme="majorHAnsi" w:hAnsiTheme="majorHAnsi" w:cstheme="majorHAnsi"/>
          <w:b w:val="0"/>
          <w:bCs w:val="0"/>
        </w:rPr>
        <w:t xml:space="preserve">PICs </w:t>
      </w:r>
      <w:r w:rsidRPr="00F36581">
        <w:rPr>
          <w:rStyle w:val="Strong"/>
          <w:rFonts w:asciiTheme="majorHAnsi" w:hAnsiTheme="majorHAnsi" w:cstheme="majorHAnsi"/>
          <w:b w:val="0"/>
          <w:bCs w:val="0"/>
        </w:rPr>
        <w:t>view its broader climate policies (e.g., on emissions) unfavourably.</w:t>
      </w:r>
    </w:p>
    <w:p w14:paraId="626D2939" w14:textId="77777777" w:rsidR="00F36581" w:rsidRPr="004A3541" w:rsidRDefault="00F36581" w:rsidP="000357D3">
      <w:pPr>
        <w:rPr>
          <w:rFonts w:asciiTheme="majorHAnsi" w:hAnsiTheme="majorHAnsi" w:cstheme="majorHAnsi"/>
        </w:rPr>
      </w:pPr>
    </w:p>
    <w:p w14:paraId="1587C767" w14:textId="54E4C61A" w:rsidR="003A3FA3" w:rsidRPr="00F6402D" w:rsidRDefault="00051E56" w:rsidP="00F6402D">
      <w:pPr>
        <w:pStyle w:val="Heading4"/>
        <w:rPr>
          <w:sz w:val="24"/>
          <w:szCs w:val="24"/>
        </w:rPr>
      </w:pPr>
      <w:r w:rsidRPr="00F6402D">
        <w:rPr>
          <w:sz w:val="24"/>
          <w:szCs w:val="24"/>
        </w:rPr>
        <w:t xml:space="preserve">EQ </w:t>
      </w:r>
      <w:r w:rsidR="002931F5" w:rsidRPr="00F6402D">
        <w:rPr>
          <w:sz w:val="24"/>
          <w:szCs w:val="24"/>
        </w:rPr>
        <w:t xml:space="preserve">3(d) </w:t>
      </w:r>
      <w:r w:rsidR="00577DB3" w:rsidRPr="00F6402D">
        <w:rPr>
          <w:sz w:val="24"/>
          <w:szCs w:val="24"/>
        </w:rPr>
        <w:t xml:space="preserve">How sustainable are the benefits of the </w:t>
      </w:r>
      <w:r w:rsidR="00C71700" w:rsidRPr="00F6402D">
        <w:rPr>
          <w:sz w:val="24"/>
          <w:szCs w:val="24"/>
        </w:rPr>
        <w:t>I</w:t>
      </w:r>
      <w:r w:rsidR="00577DB3" w:rsidRPr="00F6402D">
        <w:rPr>
          <w:sz w:val="24"/>
          <w:szCs w:val="24"/>
        </w:rPr>
        <w:t>nvestment and what actions/strategies have contributed to this?</w:t>
      </w:r>
      <w:bookmarkStart w:id="59" w:name="_Toc199684976"/>
    </w:p>
    <w:tbl>
      <w:tblPr>
        <w:tblStyle w:val="TableGrid"/>
        <w:tblW w:w="0" w:type="auto"/>
        <w:tblLook w:val="04A0" w:firstRow="1" w:lastRow="0" w:firstColumn="1" w:lastColumn="0" w:noHBand="0" w:noVBand="1"/>
      </w:tblPr>
      <w:tblGrid>
        <w:gridCol w:w="9730"/>
      </w:tblGrid>
      <w:tr w:rsidR="006E18F9" w14:paraId="536742CE" w14:textId="77777777" w:rsidTr="006E18F9">
        <w:tc>
          <w:tcPr>
            <w:tcW w:w="9730" w:type="dxa"/>
            <w:tcBorders>
              <w:top w:val="nil"/>
              <w:left w:val="nil"/>
              <w:bottom w:val="nil"/>
              <w:right w:val="nil"/>
            </w:tcBorders>
            <w:shd w:val="clear" w:color="auto" w:fill="DEEAF6" w:themeFill="accent5" w:themeFillTint="33"/>
          </w:tcPr>
          <w:p w14:paraId="471A34C5" w14:textId="52849E91" w:rsidR="006E18F9" w:rsidRDefault="006E18F9" w:rsidP="006E18F9">
            <w:pPr>
              <w:spacing w:after="120"/>
              <w:rPr>
                <w:lang w:eastAsia="en-GB"/>
              </w:rPr>
            </w:pPr>
            <w:r w:rsidRPr="00AC33B7">
              <w:rPr>
                <w:b/>
                <w:bCs/>
              </w:rPr>
              <w:t>Key Finding</w:t>
            </w:r>
            <w:r>
              <w:t>: The benefits of the Investment have secured sustainability in certain areas, particularly by strengthening regional institutions and encouraging local ownership in community-based initiatives. Developing sustainable systems and capabilities, especially in financial mechanisms and through capacity-building initiatives, will also help sustain the benefits of the Investment. Concerns persist about long-term dependency on donor funding and the challenges of maintaining momentum in national-level capacity and policy reform, such as in areas like IUU fishing, which requires ongoing investment to promote national reform challenges.</w:t>
            </w:r>
          </w:p>
        </w:tc>
      </w:tr>
    </w:tbl>
    <w:p w14:paraId="55BE07B7" w14:textId="5705CC87" w:rsidR="00C71700" w:rsidRDefault="00C71700" w:rsidP="000357D3">
      <w:pPr>
        <w:rPr>
          <w:lang w:eastAsia="en-GB"/>
        </w:rPr>
      </w:pPr>
    </w:p>
    <w:p w14:paraId="4F6DE269" w14:textId="51A3C151" w:rsidR="00FD06E1" w:rsidRDefault="00C71700" w:rsidP="00BD1321">
      <w:pPr>
        <w:spacing w:after="120"/>
        <w:rPr>
          <w:lang w:eastAsia="en-GB"/>
        </w:rPr>
      </w:pPr>
      <w:r w:rsidRPr="00C71700">
        <w:rPr>
          <w:lang w:eastAsia="en-GB"/>
        </w:rPr>
        <w:t xml:space="preserve">As per the </w:t>
      </w:r>
      <w:r w:rsidRPr="00AC33B7">
        <w:rPr>
          <w:i/>
          <w:iCs/>
          <w:lang w:eastAsia="en-GB"/>
        </w:rPr>
        <w:t>Evaluation Rubric</w:t>
      </w:r>
      <w:r w:rsidRPr="00C71700">
        <w:rPr>
          <w:lang w:eastAsia="en-GB"/>
        </w:rPr>
        <w:t>, two criteria were assessed to determine the sustainability of the Investment and the actions taken by the Investment to support the likely sustainability of its benefits.</w:t>
      </w:r>
    </w:p>
    <w:tbl>
      <w:tblPr>
        <w:tblStyle w:val="TableGrid"/>
        <w:tblW w:w="0" w:type="auto"/>
        <w:tblLook w:val="04A0" w:firstRow="1" w:lastRow="0" w:firstColumn="1" w:lastColumn="0" w:noHBand="0" w:noVBand="1"/>
      </w:tblPr>
      <w:tblGrid>
        <w:gridCol w:w="9730"/>
      </w:tblGrid>
      <w:tr w:rsidR="006E18F9" w14:paraId="5DBD9927" w14:textId="77777777" w:rsidTr="006E18F9">
        <w:tc>
          <w:tcPr>
            <w:tcW w:w="9730" w:type="dxa"/>
            <w:tcBorders>
              <w:top w:val="nil"/>
              <w:left w:val="nil"/>
              <w:bottom w:val="nil"/>
              <w:right w:val="nil"/>
            </w:tcBorders>
            <w:shd w:val="clear" w:color="auto" w:fill="2F5496" w:themeFill="accent1" w:themeFillShade="BF"/>
          </w:tcPr>
          <w:p w14:paraId="0F8433A2" w14:textId="231A3896" w:rsidR="006E18F9" w:rsidRPr="006E18F9" w:rsidRDefault="006E18F9" w:rsidP="006E18F9">
            <w:pPr>
              <w:shd w:val="clear" w:color="auto" w:fill="2F5496" w:themeFill="accent1" w:themeFillShade="BF"/>
              <w:spacing w:after="120"/>
              <w:rPr>
                <w:rFonts w:asciiTheme="majorHAnsi" w:hAnsiTheme="majorHAnsi" w:cstheme="majorHAnsi"/>
                <w:color w:val="FFFFFF" w:themeColor="background1"/>
              </w:rPr>
            </w:pPr>
            <w:r w:rsidRPr="00831E4E">
              <w:rPr>
                <w:rFonts w:asciiTheme="majorHAnsi" w:eastAsia="Times New Roman" w:hAnsiTheme="majorHAnsi" w:cstheme="majorHAnsi"/>
                <w:b/>
                <w:bCs/>
                <w:color w:val="FFFFFF" w:themeColor="background1"/>
                <w:lang w:eastAsia="en-GB"/>
              </w:rPr>
              <w:t>Rubric Criterion #15</w:t>
            </w:r>
            <w:r w:rsidRPr="00831E4E">
              <w:rPr>
                <w:rFonts w:asciiTheme="majorHAnsi" w:hAnsiTheme="majorHAnsi" w:cstheme="majorHAnsi"/>
                <w:color w:val="FFFFFF" w:themeColor="background1"/>
              </w:rPr>
              <w:t xml:space="preserve">: </w:t>
            </w:r>
            <w:r w:rsidRPr="00831E4E">
              <w:rPr>
                <w:i/>
                <w:iCs/>
                <w:color w:val="FFFFFF" w:themeColor="background1"/>
                <w:lang w:eastAsia="en-GB"/>
              </w:rPr>
              <w:t xml:space="preserve"> Benefits of the investment will last and were locally led and/or owned.</w:t>
            </w:r>
            <w:r w:rsidRPr="00831E4E">
              <w:rPr>
                <w:color w:val="FFFFFF" w:themeColor="background1"/>
                <w:lang w:eastAsia="en-GB"/>
              </w:rPr>
              <w:t xml:space="preserve"> Based on the assessment, the criteria were rated as </w:t>
            </w:r>
            <w:r w:rsidRPr="00831E4E">
              <w:rPr>
                <w:b/>
                <w:bCs/>
                <w:color w:val="FFFFFF" w:themeColor="background1"/>
                <w:lang w:eastAsia="en-GB"/>
              </w:rPr>
              <w:t xml:space="preserve">Adequate </w:t>
            </w:r>
            <w:r w:rsidRPr="00831E4E">
              <w:rPr>
                <w:color w:val="FFFFFF" w:themeColor="background1"/>
                <w:lang w:eastAsia="en-GB"/>
              </w:rPr>
              <w:t xml:space="preserve">to </w:t>
            </w:r>
            <w:r w:rsidRPr="00831E4E">
              <w:rPr>
                <w:b/>
                <w:bCs/>
                <w:color w:val="FFFFFF" w:themeColor="background1"/>
                <w:lang w:eastAsia="en-GB"/>
              </w:rPr>
              <w:t>Good</w:t>
            </w:r>
            <w:r w:rsidRPr="00831E4E">
              <w:rPr>
                <w:color w:val="FFFFFF" w:themeColor="background1"/>
                <w:lang w:eastAsia="en-GB"/>
              </w:rPr>
              <w:t>, as while the benefits of the Investment will likely only persist in some areas without ongoing support from Australia, the Investment ensured high local participation and ownership in most activities.</w:t>
            </w:r>
          </w:p>
        </w:tc>
      </w:tr>
    </w:tbl>
    <w:p w14:paraId="4C1B5C01" w14:textId="6F9709EA" w:rsidR="00FD06E1" w:rsidRDefault="00FD06E1" w:rsidP="000357D3">
      <w:pPr>
        <w:rPr>
          <w:lang w:eastAsia="en-GB"/>
        </w:rPr>
      </w:pPr>
    </w:p>
    <w:p w14:paraId="04BF488B" w14:textId="3E360F6A" w:rsidR="000D7CAD" w:rsidRPr="0086382C" w:rsidRDefault="000D7CAD" w:rsidP="00BD1321">
      <w:pPr>
        <w:spacing w:after="120"/>
        <w:rPr>
          <w:lang w:eastAsia="en-GB"/>
        </w:rPr>
      </w:pPr>
      <w:r w:rsidRPr="000D7CAD">
        <w:rPr>
          <w:lang w:eastAsia="en-GB"/>
        </w:rPr>
        <w:t>There is strong evidence (triangulated against document sources, including Evaluation Reports, IMRs/AQCs, Annual Reports), and verified through key informant interviews</w:t>
      </w:r>
      <w:r w:rsidR="00840FC4">
        <w:rPr>
          <w:lang w:eastAsia="en-GB"/>
        </w:rPr>
        <w:t>,</w:t>
      </w:r>
      <w:r w:rsidRPr="000D7CAD">
        <w:rPr>
          <w:lang w:eastAsia="en-GB"/>
        </w:rPr>
        <w:t xml:space="preserve"> that the Investment under each of the four </w:t>
      </w:r>
      <w:proofErr w:type="spellStart"/>
      <w:r w:rsidRPr="000D7CAD">
        <w:rPr>
          <w:lang w:eastAsia="en-GB"/>
        </w:rPr>
        <w:t>EoPOs</w:t>
      </w:r>
      <w:proofErr w:type="spellEnd"/>
      <w:r w:rsidRPr="000D7CAD">
        <w:rPr>
          <w:lang w:eastAsia="en-GB"/>
        </w:rPr>
        <w:t xml:space="preserve"> took reasonable steps to enhance sustainability</w:t>
      </w:r>
      <w:r w:rsidR="00840FC4">
        <w:rPr>
          <w:lang w:eastAsia="en-GB"/>
        </w:rPr>
        <w:t>.</w:t>
      </w:r>
    </w:p>
    <w:p w14:paraId="2C9A9209" w14:textId="0A1F8EE6" w:rsidR="000D7CAD" w:rsidRPr="0086382C" w:rsidRDefault="000D7CAD" w:rsidP="00BD1321">
      <w:pPr>
        <w:spacing w:after="120"/>
      </w:pPr>
      <w:r w:rsidRPr="000D7CAD">
        <w:t>Core funding for the FFA and SPC</w:t>
      </w:r>
      <w:r w:rsidR="0091690E">
        <w:t xml:space="preserve"> </w:t>
      </w:r>
      <w:r w:rsidR="006B5558">
        <w:t>FAME</w:t>
      </w:r>
      <w:r w:rsidRPr="000D7CAD">
        <w:t xml:space="preserve"> </w:t>
      </w:r>
      <w:r w:rsidR="00840FC4">
        <w:t xml:space="preserve">(under </w:t>
      </w:r>
      <w:proofErr w:type="spellStart"/>
      <w:r w:rsidR="00840FC4">
        <w:t>EoPO</w:t>
      </w:r>
      <w:proofErr w:type="spellEnd"/>
      <w:r w:rsidR="00840FC4">
        <w:t xml:space="preserve"> 1) </w:t>
      </w:r>
      <w:r w:rsidRPr="000D7CAD">
        <w:t xml:space="preserve">is considered essential for their ability to support members and maintain a presence in the region. Without this support, key informants believe that the effectiveness and capacity of both organisations would be severely limited. There is little expectation that the FFA or national agencies can sustain current levels of success without continued Australian support. Exiting this sector and reducing support for regional partners would contradict DFAT's policies and interests. </w:t>
      </w:r>
    </w:p>
    <w:p w14:paraId="7016A87D" w14:textId="422A779D" w:rsidR="00840FC4" w:rsidRPr="00B966A6" w:rsidRDefault="00840FC4" w:rsidP="00BD1321">
      <w:pPr>
        <w:spacing w:after="120"/>
        <w:rPr>
          <w:rStyle w:val="Strong"/>
          <w:rFonts w:eastAsiaTheme="minorHAnsi" w:cstheme="minorHAnsi"/>
          <w:b w:val="0"/>
          <w:bCs w:val="0"/>
        </w:rPr>
      </w:pPr>
      <w:r w:rsidRPr="00840FC4">
        <w:rPr>
          <w:rStyle w:val="Strong"/>
          <w:b w:val="0"/>
          <w:bCs w:val="0"/>
        </w:rPr>
        <w:t>Support to</w:t>
      </w:r>
      <w:r>
        <w:rPr>
          <w:rStyle w:val="Strong"/>
        </w:rPr>
        <w:t xml:space="preserve"> </w:t>
      </w:r>
      <w:r w:rsidR="00301C2C" w:rsidRPr="00301C2C">
        <w:rPr>
          <w:rFonts w:cs="Calibri Light"/>
        </w:rPr>
        <w:t>CBFM</w:t>
      </w:r>
      <w:r>
        <w:rPr>
          <w:rFonts w:cs="Calibri Light"/>
        </w:rPr>
        <w:t xml:space="preserve"> (under </w:t>
      </w:r>
      <w:proofErr w:type="spellStart"/>
      <w:r>
        <w:rPr>
          <w:rFonts w:cs="Calibri Light"/>
        </w:rPr>
        <w:t>EoPO</w:t>
      </w:r>
      <w:proofErr w:type="spellEnd"/>
      <w:r>
        <w:rPr>
          <w:rFonts w:cs="Calibri Light"/>
        </w:rPr>
        <w:t xml:space="preserve"> 2)</w:t>
      </w:r>
      <w:r w:rsidR="00301C2C" w:rsidRPr="00301C2C">
        <w:rPr>
          <w:rFonts w:cs="Calibri Light"/>
        </w:rPr>
        <w:t xml:space="preserve"> is highlighted as a prime example of sustainability, where benefits are likely to endure and are locally led or owned. </w:t>
      </w:r>
      <w:r w:rsidR="00A343CD">
        <w:rPr>
          <w:rFonts w:cs="Calibri Light"/>
        </w:rPr>
        <w:t>By i</w:t>
      </w:r>
      <w:r w:rsidR="00A343CD" w:rsidRPr="00301C2C">
        <w:rPr>
          <w:rFonts w:cs="Calibri Light"/>
        </w:rPr>
        <w:t>ntegrating project staff, as CBFM promotes, into national fisheries departments and developing national strategies</w:t>
      </w:r>
      <w:r w:rsidR="00826B8E">
        <w:rPr>
          <w:rFonts w:cs="Calibri Light"/>
        </w:rPr>
        <w:t>,</w:t>
      </w:r>
      <w:r w:rsidR="00A343CD" w:rsidRPr="00301C2C">
        <w:rPr>
          <w:rFonts w:cs="Calibri Light"/>
        </w:rPr>
        <w:t xml:space="preserve"> key informants </w:t>
      </w:r>
      <w:r w:rsidR="00826B8E">
        <w:rPr>
          <w:rFonts w:cs="Calibri Light"/>
        </w:rPr>
        <w:t xml:space="preserve">see this </w:t>
      </w:r>
      <w:r w:rsidR="00A343CD" w:rsidRPr="00301C2C">
        <w:rPr>
          <w:rFonts w:cs="Calibri Light"/>
        </w:rPr>
        <w:t xml:space="preserve">as </w:t>
      </w:r>
      <w:r w:rsidR="00826B8E">
        <w:rPr>
          <w:rFonts w:cs="Calibri Light"/>
        </w:rPr>
        <w:t xml:space="preserve">a </w:t>
      </w:r>
      <w:r w:rsidR="00A343CD" w:rsidRPr="00301C2C">
        <w:rPr>
          <w:rFonts w:cs="Calibri Light"/>
        </w:rPr>
        <w:t>vital step towards achieving sustainability</w:t>
      </w:r>
      <w:r w:rsidR="0084116A">
        <w:rPr>
          <w:rFonts w:cs="Calibri Light"/>
        </w:rPr>
        <w:t xml:space="preserve">. </w:t>
      </w:r>
      <w:r w:rsidR="00A343CD">
        <w:rPr>
          <w:rFonts w:cs="Calibri Light"/>
        </w:rPr>
        <w:t>N</w:t>
      </w:r>
      <w:r w:rsidR="00A343CD" w:rsidRPr="00301C2C">
        <w:rPr>
          <w:rFonts w:cs="Calibri Light"/>
        </w:rPr>
        <w:t>ational governments are demonstrating strong ownership by beginning to fund key CBFM positions in Kiribati and Vanuatu. Recent investments have expanded to include Polynesian representation in Tonga, creating opportunities for new tools and approaches to be shared and adopted across national programmes in all three subregions</w:t>
      </w:r>
      <w:r w:rsidR="00A343CD">
        <w:rPr>
          <w:rFonts w:cs="Calibri Light"/>
        </w:rPr>
        <w:t>.</w:t>
      </w:r>
    </w:p>
    <w:p w14:paraId="7494990D" w14:textId="2909540B" w:rsidR="000D7CAD" w:rsidRPr="00B966A6" w:rsidRDefault="00A343CD" w:rsidP="00BD1321">
      <w:pPr>
        <w:spacing w:after="120"/>
        <w:rPr>
          <w:rStyle w:val="Strong"/>
          <w:rFonts w:eastAsiaTheme="minorHAnsi"/>
          <w:b w:val="0"/>
          <w:bCs w:val="0"/>
        </w:rPr>
      </w:pPr>
      <w:r w:rsidRPr="00C23E07">
        <w:rPr>
          <w:rFonts w:cs="Calibri Light"/>
        </w:rPr>
        <w:t>The largely successful delivery of securing maritime boundaries</w:t>
      </w:r>
      <w:r w:rsidR="00840FC4">
        <w:rPr>
          <w:rFonts w:cs="Calibri Light"/>
        </w:rPr>
        <w:t xml:space="preserve"> (under </w:t>
      </w:r>
      <w:proofErr w:type="spellStart"/>
      <w:r w:rsidR="00840FC4">
        <w:rPr>
          <w:rFonts w:cs="Calibri Light"/>
        </w:rPr>
        <w:t>EoPO</w:t>
      </w:r>
      <w:proofErr w:type="spellEnd"/>
      <w:r w:rsidR="00840FC4">
        <w:rPr>
          <w:rFonts w:cs="Calibri Light"/>
        </w:rPr>
        <w:t xml:space="preserve"> 3)</w:t>
      </w:r>
      <w:r w:rsidRPr="00C23E07">
        <w:rPr>
          <w:rFonts w:cs="Calibri Light"/>
        </w:rPr>
        <w:t xml:space="preserve"> is seen by key informants as critical to ensuring long term legal certainty and stability for PICs, enabling them to manage their EEZs</w:t>
      </w:r>
      <w:r w:rsidR="000D7CAD" w:rsidRPr="00C23E07">
        <w:rPr>
          <w:rFonts w:cs="Calibri Light"/>
        </w:rPr>
        <w:t>.</w:t>
      </w:r>
      <w:r w:rsidRPr="00C23E07">
        <w:rPr>
          <w:rFonts w:cs="Calibri Light"/>
        </w:rPr>
        <w:t xml:space="preserve"> </w:t>
      </w:r>
      <w:r w:rsidR="00C23E07" w:rsidRPr="00C23E07">
        <w:rPr>
          <w:rFonts w:cs="Calibri Light"/>
        </w:rPr>
        <w:t>Strengthening PICs understanding of their jurisdictional rights and enhancing capacity is likely to further ensure that the benefits of the Investment will be sustained.</w:t>
      </w:r>
    </w:p>
    <w:p w14:paraId="61D657BA" w14:textId="65E9F526" w:rsidR="000D7CAD" w:rsidRPr="00B966A6" w:rsidRDefault="00C23E07" w:rsidP="00BD1321">
      <w:pPr>
        <w:spacing w:after="120"/>
        <w:rPr>
          <w:rStyle w:val="Strong"/>
          <w:rFonts w:eastAsiaTheme="minorHAnsi" w:cstheme="minorHAnsi"/>
          <w:b w:val="0"/>
          <w:bCs w:val="0"/>
        </w:rPr>
      </w:pPr>
      <w:r>
        <w:t>Enhancing regional surveillance and enforcement capability</w:t>
      </w:r>
      <w:r w:rsidR="00840FC4">
        <w:t xml:space="preserve"> (under </w:t>
      </w:r>
      <w:proofErr w:type="spellStart"/>
      <w:r w:rsidR="00840FC4">
        <w:t>EoPO</w:t>
      </w:r>
      <w:proofErr w:type="spellEnd"/>
      <w:r w:rsidR="00840FC4">
        <w:t xml:space="preserve"> 4)</w:t>
      </w:r>
      <w:r>
        <w:t xml:space="preserve"> has helped national fisheries agencies better enforce regulations, monitor vessel movements, and implement compliance measures. All critical for reducing IUU Fishing to sustain fish stocks. </w:t>
      </w:r>
    </w:p>
    <w:p w14:paraId="5AD83F70" w14:textId="40DD0866" w:rsidR="003311C6" w:rsidRDefault="00C25BBA" w:rsidP="00BD1321">
      <w:pPr>
        <w:spacing w:after="120"/>
        <w:rPr>
          <w:rStyle w:val="Strong"/>
          <w:rFonts w:asciiTheme="majorHAnsi" w:hAnsiTheme="majorHAnsi" w:cstheme="majorHAnsi"/>
          <w:b w:val="0"/>
          <w:bCs w:val="0"/>
        </w:rPr>
      </w:pPr>
      <w:r w:rsidRPr="00C25BBA">
        <w:rPr>
          <w:rStyle w:val="Strong"/>
          <w:rFonts w:asciiTheme="majorHAnsi" w:hAnsiTheme="majorHAnsi" w:cstheme="majorHAnsi"/>
          <w:b w:val="0"/>
          <w:bCs w:val="0"/>
        </w:rPr>
        <w:t xml:space="preserve">The sustainability of the benefits of the Investment under each of the four </w:t>
      </w:r>
      <w:proofErr w:type="spellStart"/>
      <w:r w:rsidRPr="00C25BBA">
        <w:rPr>
          <w:rStyle w:val="Strong"/>
          <w:rFonts w:asciiTheme="majorHAnsi" w:hAnsiTheme="majorHAnsi" w:cstheme="majorHAnsi"/>
          <w:b w:val="0"/>
          <w:bCs w:val="0"/>
        </w:rPr>
        <w:t>EoPOs</w:t>
      </w:r>
      <w:proofErr w:type="spellEnd"/>
      <w:r w:rsidRPr="00C25BBA">
        <w:rPr>
          <w:rStyle w:val="Strong"/>
          <w:rFonts w:asciiTheme="majorHAnsi" w:hAnsiTheme="majorHAnsi" w:cstheme="majorHAnsi"/>
          <w:b w:val="0"/>
          <w:bCs w:val="0"/>
        </w:rPr>
        <w:t xml:space="preserve"> has been supported by a strong emphasis on institutional strengthening and capacity building. Funding has gradually enhanced the capabilities of regional organisations, governments, and partners, according to key informants. This includes delivering technical assistance, training, and legal support to regional bodies and national fisheries </w:t>
      </w:r>
      <w:r w:rsidRPr="00C25BBA">
        <w:rPr>
          <w:rStyle w:val="Strong"/>
          <w:rFonts w:asciiTheme="majorHAnsi" w:hAnsiTheme="majorHAnsi" w:cstheme="majorHAnsi"/>
          <w:b w:val="0"/>
          <w:bCs w:val="0"/>
        </w:rPr>
        <w:lastRenderedPageBreak/>
        <w:t>institutions. Key informants also acknowledged that Australia's involvement has resulted in better knowledge and greater participation in regional fisheries management issues, all of which help to enhance the benefits of the Investment.</w:t>
      </w:r>
    </w:p>
    <w:p w14:paraId="2644E196" w14:textId="05D56093" w:rsidR="00B80C35" w:rsidRDefault="00305BF3" w:rsidP="00BD1321">
      <w:pPr>
        <w:spacing w:after="120"/>
      </w:pPr>
      <w:r>
        <w:rPr>
          <w:rFonts w:asciiTheme="majorHAnsi" w:hAnsiTheme="majorHAnsi"/>
          <w:noProof/>
        </w:rPr>
        <w:drawing>
          <wp:anchor distT="0" distB="0" distL="114300" distR="114300" simplePos="0" relativeHeight="251658240" behindDoc="1" locked="0" layoutInCell="1" allowOverlap="1" wp14:anchorId="6FAE6AFB" wp14:editId="65E68958">
            <wp:simplePos x="0" y="0"/>
            <wp:positionH relativeFrom="column">
              <wp:posOffset>-714375</wp:posOffset>
            </wp:positionH>
            <wp:positionV relativeFrom="page">
              <wp:posOffset>5807075</wp:posOffset>
            </wp:positionV>
            <wp:extent cx="7595870" cy="4882515"/>
            <wp:effectExtent l="0" t="0" r="0" b="0"/>
            <wp:wrapNone/>
            <wp:docPr id="1721932879" name="Picture 50" descr="A blue and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227903" name="Picture 50" descr="A blue and white background&#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7595870" cy="4882515"/>
                    </a:xfrm>
                    <a:prstGeom prst="rect">
                      <a:avLst/>
                    </a:prstGeom>
                  </pic:spPr>
                </pic:pic>
              </a:graphicData>
            </a:graphic>
            <wp14:sizeRelH relativeFrom="page">
              <wp14:pctWidth>0</wp14:pctWidth>
            </wp14:sizeRelH>
            <wp14:sizeRelV relativeFrom="page">
              <wp14:pctHeight>0</wp14:pctHeight>
            </wp14:sizeRelV>
          </wp:anchor>
        </w:drawing>
      </w:r>
      <w:r w:rsidR="003311C6">
        <w:t>There is strong, triangulated evidence—from documents and key informant interviews—that the Investment has significantly promoted local participation, system use, and ownership, thereby enhancing sustainability. As previously reported, half of the funding provided by the Investment supports regional, member-driven institutions (FFA</w:t>
      </w:r>
      <w:r w:rsidR="0091690E">
        <w:t xml:space="preserve"> and</w:t>
      </w:r>
      <w:r w:rsidR="003311C6">
        <w:t xml:space="preserve"> SPC </w:t>
      </w:r>
      <w:r w:rsidR="006B5558">
        <w:t>FAME</w:t>
      </w:r>
      <w:r w:rsidR="003311C6">
        <w:t xml:space="preserve">), which advance Pacific Island countries’ fisheries management and development goals. </w:t>
      </w:r>
      <w:r w:rsidR="003311C6" w:rsidRPr="009061E6">
        <w:t xml:space="preserve">Core funding also enabled a considerable part of the </w:t>
      </w:r>
      <w:r w:rsidR="00170F24">
        <w:t>I</w:t>
      </w:r>
      <w:r w:rsidR="003311C6" w:rsidRPr="009061E6">
        <w:t xml:space="preserve">nvestment to leverage local systems established by the FFA and SPC </w:t>
      </w:r>
      <w:r w:rsidR="006B5558">
        <w:t>FAME</w:t>
      </w:r>
      <w:r w:rsidR="003311C6">
        <w:t xml:space="preserve"> to use local systems and strengthen national capacity, with initiatives such as training, institutional development, and legislative reform contributing to local expertise. </w:t>
      </w:r>
      <w:bookmarkEnd w:id="59"/>
      <w:r w:rsidR="00B80C35">
        <w:t xml:space="preserve"> </w:t>
      </w:r>
    </w:p>
    <w:p w14:paraId="68F39807" w14:textId="503C91CC" w:rsidR="00B80C35" w:rsidRDefault="00B80C35" w:rsidP="00BD1321">
      <w:pPr>
        <w:spacing w:after="120"/>
      </w:pPr>
      <w:r w:rsidRPr="00785848">
        <w:t>Government ownership is</w:t>
      </w:r>
      <w:r>
        <w:t xml:space="preserve"> demonstrated by the Investment’s </w:t>
      </w:r>
      <w:r w:rsidRPr="002F6173">
        <w:t>willingness to collaborate with government institutions and connect with technical support and regional organisations</w:t>
      </w:r>
      <w:r>
        <w:t>. Key informants noted that the deliberate</w:t>
      </w:r>
      <w:r w:rsidRPr="00B80C35">
        <w:t xml:space="preserve"> </w:t>
      </w:r>
      <w:r w:rsidRPr="002F6173">
        <w:t>focus on institutional strengthening, rather than direct activity implementation, through partnerships with ministries and provincial governments</w:t>
      </w:r>
      <w:r>
        <w:t>,</w:t>
      </w:r>
      <w:r w:rsidRPr="002F6173">
        <w:t xml:space="preserve"> supports sustainability</w:t>
      </w:r>
      <w:r>
        <w:t xml:space="preserve">. </w:t>
      </w:r>
      <w:r w:rsidR="0091690E">
        <w:t>Additionally, government policy adoption—which is crucial, for example, in the NTSA programme and securing maritime boundaries—integration with national initiatives (such as the strong link between MCS training initiatives and combating IUU fishing), involvement of national staff in various initiatives supported by the Investment, and financial contributions (often in-kind, though not always, as noted in the evaluations of CBFM) are also viewed by informants as essential for maintaining the benefits of the Investment</w:t>
      </w:r>
      <w:r w:rsidRPr="00785848">
        <w:t xml:space="preserve">. </w:t>
      </w:r>
    </w:p>
    <w:p w14:paraId="6D08AA15" w14:textId="2E18BB47" w:rsidR="000C5CB3" w:rsidRDefault="000C5CB3">
      <w:pPr>
        <w:tabs>
          <w:tab w:val="clear" w:pos="7780"/>
        </w:tabs>
      </w:pPr>
      <w:r>
        <w:br w:type="page"/>
      </w:r>
    </w:p>
    <w:p w14:paraId="35125522" w14:textId="5217140F" w:rsidR="00895FF5" w:rsidRPr="00F6402D" w:rsidRDefault="000C5CB3" w:rsidP="00F6402D">
      <w:pPr>
        <w:pStyle w:val="Heading2"/>
        <w:rPr>
          <w:rStyle w:val="Heading"/>
          <w:rFonts w:ascii="Verdana" w:hAnsi="Verdana" w:cstheme="majorBidi"/>
          <w:color w:val="FFFFFF" w:themeColor="background1"/>
          <w:sz w:val="40"/>
          <w:szCs w:val="40"/>
        </w:rPr>
      </w:pPr>
      <w:bookmarkStart w:id="60" w:name="_Toc207206816"/>
      <w:r w:rsidRPr="00F6402D">
        <w:rPr>
          <w:rStyle w:val="Heading"/>
          <w:rFonts w:ascii="Verdana" w:hAnsi="Verdana" w:cstheme="majorBidi"/>
          <w:noProof/>
          <w:color w:val="FFFFFF" w:themeColor="background1"/>
          <w:sz w:val="40"/>
          <w:szCs w:val="40"/>
        </w:rPr>
        <w:lastRenderedPageBreak/>
        <w:drawing>
          <wp:anchor distT="0" distB="0" distL="114300" distR="114300" simplePos="0" relativeHeight="251658284" behindDoc="1" locked="0" layoutInCell="1" allowOverlap="1" wp14:anchorId="7BF7088F" wp14:editId="38A3EB11">
            <wp:simplePos x="0" y="0"/>
            <wp:positionH relativeFrom="column">
              <wp:posOffset>-965200</wp:posOffset>
            </wp:positionH>
            <wp:positionV relativeFrom="paragraph">
              <wp:posOffset>-902970</wp:posOffset>
            </wp:positionV>
            <wp:extent cx="7956000" cy="1872000"/>
            <wp:effectExtent l="0" t="0" r="0" b="0"/>
            <wp:wrapNone/>
            <wp:docPr id="422027921" name="Picture 47" descr="A blue and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5579116" name="Picture 47" descr="A blue and white background&#10;&#10;AI-generated content may be incorrect."/>
                    <pic:cNvPicPr/>
                  </pic:nvPicPr>
                  <pic:blipFill>
                    <a:blip r:embed="rId17">
                      <a:extLst>
                        <a:ext uri="{28A0092B-C50C-407E-A947-70E740481C1C}">
                          <a14:useLocalDpi xmlns:a14="http://schemas.microsoft.com/office/drawing/2010/main" val="0"/>
                        </a:ext>
                      </a:extLst>
                    </a:blip>
                    <a:stretch>
                      <a:fillRect/>
                    </a:stretch>
                  </pic:blipFill>
                  <pic:spPr>
                    <a:xfrm>
                      <a:off x="0" y="0"/>
                      <a:ext cx="7956000" cy="1872000"/>
                    </a:xfrm>
                    <a:prstGeom prst="rect">
                      <a:avLst/>
                    </a:prstGeom>
                  </pic:spPr>
                </pic:pic>
              </a:graphicData>
            </a:graphic>
            <wp14:sizeRelH relativeFrom="page">
              <wp14:pctWidth>0</wp14:pctWidth>
            </wp14:sizeRelH>
            <wp14:sizeRelV relativeFrom="page">
              <wp14:pctHeight>0</wp14:pctHeight>
            </wp14:sizeRelV>
          </wp:anchor>
        </w:drawing>
      </w:r>
      <w:r w:rsidR="00895FF5" w:rsidRPr="00F6402D">
        <w:rPr>
          <w:rStyle w:val="Heading"/>
          <w:rFonts w:ascii="Verdana" w:hAnsi="Verdana" w:cstheme="majorBidi"/>
          <w:color w:val="FFFFFF" w:themeColor="background1"/>
          <w:sz w:val="40"/>
          <w:szCs w:val="40"/>
        </w:rPr>
        <w:t>Conclusion, Lessons Learned and Recommendations</w:t>
      </w:r>
      <w:bookmarkEnd w:id="60"/>
    </w:p>
    <w:p w14:paraId="754021E6" w14:textId="47BEBBF4" w:rsidR="000C5CB3" w:rsidRDefault="000C5CB3" w:rsidP="000C5CB3">
      <w:pPr>
        <w:rPr>
          <w:lang w:val="en-AU"/>
        </w:rPr>
      </w:pPr>
    </w:p>
    <w:p w14:paraId="0ADDA9DA" w14:textId="1635638C" w:rsidR="000C5CB3" w:rsidRDefault="000C5CB3" w:rsidP="000C5CB3">
      <w:pPr>
        <w:rPr>
          <w:lang w:val="en-AU"/>
        </w:rPr>
      </w:pPr>
    </w:p>
    <w:p w14:paraId="32812AB7" w14:textId="77777777" w:rsidR="001B2460" w:rsidRPr="000C5CB3" w:rsidRDefault="001B2460" w:rsidP="000C5CB3">
      <w:pPr>
        <w:rPr>
          <w:lang w:val="en-AU"/>
        </w:rPr>
      </w:pPr>
    </w:p>
    <w:p w14:paraId="254FADCE" w14:textId="77777777" w:rsidR="007E4504" w:rsidRDefault="007E4504" w:rsidP="003D6560">
      <w:pPr>
        <w:spacing w:after="240"/>
        <w:rPr>
          <w:rFonts w:ascii="Verdana" w:hAnsi="Verdana"/>
          <w:b/>
          <w:bCs/>
          <w:color w:val="1F4E79" w:themeColor="accent5" w:themeShade="80"/>
          <w:sz w:val="28"/>
          <w:szCs w:val="28"/>
        </w:rPr>
      </w:pPr>
    </w:p>
    <w:p w14:paraId="06DF2B38" w14:textId="64081663" w:rsidR="000A4F9F" w:rsidRPr="00447546" w:rsidRDefault="00BE6915" w:rsidP="00447546">
      <w:pPr>
        <w:pStyle w:val="Heading3"/>
        <w:rPr>
          <w:b/>
          <w:bCs/>
        </w:rPr>
      </w:pPr>
      <w:r w:rsidRPr="00447546">
        <w:rPr>
          <w:b/>
          <w:bCs/>
        </w:rPr>
        <w:t>Conclusion</w:t>
      </w:r>
    </w:p>
    <w:p w14:paraId="4A54B255" w14:textId="5CCA54D4" w:rsidR="00B966A6" w:rsidRDefault="00C0082E" w:rsidP="00B966A6">
      <w:pPr>
        <w:spacing w:after="120"/>
      </w:pPr>
      <w:r w:rsidRPr="00C0082E">
        <w:t xml:space="preserve">Over the past 15 years, </w:t>
      </w:r>
      <w:r w:rsidR="00895FF5">
        <w:t>the Investment has supported</w:t>
      </w:r>
      <w:r w:rsidRPr="00C0082E">
        <w:t xml:space="preserve"> the region in sustainably managing and benefiting from marine resources. </w:t>
      </w:r>
      <w:r w:rsidR="0000456B">
        <w:t>The Investment</w:t>
      </w:r>
      <w:r w:rsidRPr="00C0082E">
        <w:t xml:space="preserve"> has achieved substantial results across all </w:t>
      </w:r>
      <w:proofErr w:type="spellStart"/>
      <w:r w:rsidRPr="00C0082E">
        <w:t>EoPOs</w:t>
      </w:r>
      <w:proofErr w:type="spellEnd"/>
      <w:r w:rsidRPr="00C0082E">
        <w:t xml:space="preserve">, establishing itself as a strategically relevant and well-managed investment. It has strengthened regional partnerships, influenced policy, and advanced fisheries governance while contributing to gender equality and climate resilience. </w:t>
      </w:r>
    </w:p>
    <w:p w14:paraId="2EC244D9" w14:textId="77777777" w:rsidR="009D3C18" w:rsidRDefault="009D3C18" w:rsidP="00B966A6">
      <w:pPr>
        <w:spacing w:after="120"/>
      </w:pPr>
      <w:r w:rsidRPr="009D3C18">
        <w:t xml:space="preserve">Regional support through core funding to the FFA and SPC FAME was crucial for enabling the FFA to assist its members in managing, developing, and monitoring offshore fisheries resources (although the effectiveness of service delivery was mixed), while SPC FAME provided PICTs with scientific and technical advice and developed key strategies to steer progress towards sustainable Pacific fisheries. Furthermore, the investment improved livelihoods in Kiribati, the Solomon Islands, and Vanuatu, and helped ensure that coastal management has become a regional priority with momentum for expansion.  </w:t>
      </w:r>
    </w:p>
    <w:p w14:paraId="30A0E405" w14:textId="77777777" w:rsidR="009D3C18" w:rsidRDefault="009D3C18" w:rsidP="00B966A6">
      <w:pPr>
        <w:spacing w:after="120"/>
      </w:pPr>
      <w:r w:rsidRPr="009D3C18">
        <w:t xml:space="preserve">The support provided by the Investment underpinned a world-leading MCS system through the FFA’s Regional Surveillance Centre. This was complemented by extensive MCS training, electronic monitoring, vessel tracking, and coordinated patrols, which contributed to a clear reduction in IUU fishing. The Investment was also responsible for assisting PICs in defining their maritime boundaries, which are vital for establishing and enforcing maritime jurisdiction, and for increasing awareness of, and responsiveness to, the impacts of climate change on these boundaries. </w:t>
      </w:r>
    </w:p>
    <w:p w14:paraId="39E376F0" w14:textId="2CBB8317" w:rsidR="00795C52" w:rsidRDefault="003A4A0C" w:rsidP="00B966A6">
      <w:pPr>
        <w:spacing w:after="120"/>
      </w:pPr>
      <w:r w:rsidRPr="003A4A0C">
        <w:t xml:space="preserve">Cross-cutting outcomes were not explicit objectives of </w:t>
      </w:r>
      <w:r w:rsidR="0000456B">
        <w:t xml:space="preserve">the </w:t>
      </w:r>
      <w:r w:rsidR="00170F24">
        <w:t>Investment</w:t>
      </w:r>
      <w:r w:rsidRPr="003A4A0C">
        <w:t xml:space="preserve">, yet they received greater attention throughout the </w:t>
      </w:r>
      <w:r w:rsidR="00170F24">
        <w:t>Investment</w:t>
      </w:r>
      <w:r w:rsidRPr="003A4A0C">
        <w:t>'s lifetime. Women's involvement in fisheries governance has increased, with FFA and SPC</w:t>
      </w:r>
      <w:r w:rsidR="0091690E">
        <w:t xml:space="preserve"> </w:t>
      </w:r>
      <w:r w:rsidR="006B5558">
        <w:t>FAME</w:t>
      </w:r>
      <w:r w:rsidRPr="003A4A0C">
        <w:t xml:space="preserve"> recruiting gender equality advisors and developing comprehensive strategies. CBFM initiatives have empowered women through gender-sensitive approaches. The </w:t>
      </w:r>
      <w:r w:rsidR="00170F24">
        <w:t>Investment</w:t>
      </w:r>
      <w:r w:rsidRPr="003A4A0C">
        <w:t xml:space="preserve"> has contributed to climate resilience via research, securing maritime boundaries, and CBFM methodologies. </w:t>
      </w:r>
      <w:r w:rsidR="00826B8E">
        <w:t>Disability</w:t>
      </w:r>
      <w:r w:rsidRPr="003A4A0C">
        <w:t xml:space="preserve"> inclusion has not been systematically addressed beyond the initial steps taken by CBFM in Vanuatu and Kiribati.</w:t>
      </w:r>
    </w:p>
    <w:p w14:paraId="4F17863C" w14:textId="13034FEF" w:rsidR="00365F4F" w:rsidRPr="00581C11" w:rsidRDefault="00365F4F" w:rsidP="00686B1C">
      <w:pPr>
        <w:spacing w:after="120"/>
      </w:pPr>
      <w:r w:rsidRPr="00365F4F">
        <w:t xml:space="preserve">The sustainability prospects for the </w:t>
      </w:r>
      <w:r w:rsidR="00170F24">
        <w:t>Investment</w:t>
      </w:r>
      <w:r w:rsidRPr="00365F4F">
        <w:t xml:space="preserve">'s achievements are strong due to institutional partnerships, core funding, and national capacity building. Government ownership is evident through policy adoption, infrastructure </w:t>
      </w:r>
      <w:r w:rsidR="00170F24">
        <w:t>Investment</w:t>
      </w:r>
      <w:r w:rsidRPr="00365F4F">
        <w:t>, and alignment with regional strategies. While the member-driven governance of the FFA and SPC</w:t>
      </w:r>
      <w:r w:rsidR="0091690E">
        <w:t xml:space="preserve"> </w:t>
      </w:r>
      <w:r w:rsidR="006B5558">
        <w:t>FAME</w:t>
      </w:r>
      <w:r w:rsidRPr="00365F4F">
        <w:t xml:space="preserve"> underpins continuity, enduring success will necessitate ongoing Australian and multilateral support, and future investments will require further integration of gender, climate change, and particularly disability. </w:t>
      </w:r>
    </w:p>
    <w:p w14:paraId="023020E2" w14:textId="77777777" w:rsidR="00A52541" w:rsidRDefault="00A52541" w:rsidP="00B966A6">
      <w:pPr>
        <w:pStyle w:val="Heading4"/>
        <w:spacing w:after="120"/>
        <w:sectPr w:rsidR="00A52541" w:rsidSect="000C15A8">
          <w:type w:val="continuous"/>
          <w:pgSz w:w="11900" w:h="16840"/>
          <w:pgMar w:top="1440" w:right="1080" w:bottom="1440" w:left="1080" w:header="709" w:footer="709" w:gutter="0"/>
          <w:pgNumType w:start="1"/>
          <w:cols w:space="720"/>
          <w:docGrid w:linePitch="360"/>
        </w:sectPr>
      </w:pPr>
    </w:p>
    <w:p w14:paraId="6FC6BCAF" w14:textId="5F85DE26" w:rsidR="00840FC4" w:rsidRPr="00447546" w:rsidRDefault="00840FC4" w:rsidP="00447546">
      <w:pPr>
        <w:pStyle w:val="Heading3"/>
        <w:rPr>
          <w:b/>
          <w:bCs/>
        </w:rPr>
      </w:pPr>
      <w:r w:rsidRPr="00447546">
        <w:rPr>
          <w:b/>
          <w:bCs/>
        </w:rPr>
        <w:lastRenderedPageBreak/>
        <w:t xml:space="preserve">Lessons Learned and </w:t>
      </w:r>
      <w:r w:rsidR="00BE6915" w:rsidRPr="00447546">
        <w:rPr>
          <w:b/>
          <w:bCs/>
        </w:rPr>
        <w:t>Recommendations</w:t>
      </w:r>
    </w:p>
    <w:p w14:paraId="30ABE35D" w14:textId="0CC3D8F1" w:rsidR="000E515A" w:rsidRDefault="0048308C" w:rsidP="00305BF3">
      <w:r w:rsidRPr="00DE1834">
        <w:t xml:space="preserve">Considering the findings of this </w:t>
      </w:r>
      <w:r w:rsidR="00210548">
        <w:t>evaluation</w:t>
      </w:r>
      <w:r w:rsidRPr="00DE1834">
        <w:t xml:space="preserve"> and the lessons learned, the following</w:t>
      </w:r>
      <w:r w:rsidR="00057EF4" w:rsidRPr="00DE1834">
        <w:t xml:space="preserve"> </w:t>
      </w:r>
      <w:r w:rsidRPr="00DE1834">
        <w:t>recommendations have been mad</w:t>
      </w:r>
      <w:r w:rsidR="00806C2E" w:rsidRPr="00DE1834">
        <w:t>e</w:t>
      </w:r>
      <w:r w:rsidR="00EA0952" w:rsidRPr="00DE1834">
        <w:t>:</w:t>
      </w:r>
      <w:r w:rsidR="00786A6F" w:rsidRPr="00DE1834">
        <w:t xml:space="preserve"> </w:t>
      </w:r>
    </w:p>
    <w:p w14:paraId="223BF778" w14:textId="77777777" w:rsidR="00D0266A" w:rsidRDefault="00D0266A" w:rsidP="00305BF3"/>
    <w:p w14:paraId="1E6C7093" w14:textId="01A4C56B" w:rsidR="003F6A3A" w:rsidRPr="00581C11" w:rsidRDefault="0029445A" w:rsidP="00305BF3">
      <w:pPr>
        <w:pStyle w:val="Caption"/>
      </w:pPr>
      <w:bookmarkStart w:id="61" w:name="_Ref205145487"/>
      <w:bookmarkStart w:id="62" w:name="_Ref205145477"/>
      <w:r>
        <w:t xml:space="preserve">Table </w:t>
      </w:r>
      <w:r>
        <w:fldChar w:fldCharType="begin"/>
      </w:r>
      <w:r>
        <w:instrText xml:space="preserve"> SEQ Table \* ARABIC </w:instrText>
      </w:r>
      <w:r>
        <w:fldChar w:fldCharType="separate"/>
      </w:r>
      <w:r w:rsidR="00FC67EE">
        <w:rPr>
          <w:noProof/>
        </w:rPr>
        <w:t>1</w:t>
      </w:r>
      <w:r>
        <w:fldChar w:fldCharType="end"/>
      </w:r>
      <w:bookmarkEnd w:id="61"/>
      <w:r>
        <w:t>: Findings, Lessons Learned and Recommendations</w:t>
      </w:r>
      <w:bookmarkEnd w:id="62"/>
    </w:p>
    <w:tbl>
      <w:tblPr>
        <w:tblStyle w:val="table-style-blauw-100-outline101"/>
        <w:tblW w:w="5000" w:type="pct"/>
        <w:tblCellMar>
          <w:top w:w="85" w:type="dxa"/>
          <w:bottom w:w="85" w:type="dxa"/>
        </w:tblCellMar>
        <w:tblLook w:val="04A0" w:firstRow="1" w:lastRow="0" w:firstColumn="1" w:lastColumn="0" w:noHBand="0" w:noVBand="1"/>
      </w:tblPr>
      <w:tblGrid>
        <w:gridCol w:w="5095"/>
        <w:gridCol w:w="3262"/>
        <w:gridCol w:w="3684"/>
        <w:gridCol w:w="1133"/>
        <w:gridCol w:w="1467"/>
      </w:tblGrid>
      <w:tr w:rsidR="006F114C" w:rsidRPr="00305BF3" w14:paraId="0AE9F71F" w14:textId="3627E47F" w:rsidTr="0054446C">
        <w:trPr>
          <w:cnfStyle w:val="100000000000" w:firstRow="1" w:lastRow="0" w:firstColumn="0" w:lastColumn="0" w:oddVBand="0" w:evenVBand="0" w:oddHBand="0" w:evenHBand="0" w:firstRowFirstColumn="0" w:firstRowLastColumn="0" w:lastRowFirstColumn="0" w:lastRowLastColumn="0"/>
          <w:tblHeader/>
        </w:trPr>
        <w:tc>
          <w:tcPr>
            <w:tcW w:w="1740" w:type="pct"/>
          </w:tcPr>
          <w:bookmarkEnd w:id="21"/>
          <w:bookmarkEnd w:id="22"/>
          <w:bookmarkEnd w:id="23"/>
          <w:p w14:paraId="04D1BE3A" w14:textId="70529ADD" w:rsidR="00656919" w:rsidRPr="00305BF3" w:rsidRDefault="00656919" w:rsidP="00305BF3">
            <w:pPr>
              <w:spacing w:line="240" w:lineRule="auto"/>
              <w:rPr>
                <w:rFonts w:asciiTheme="majorHAnsi" w:hAnsiTheme="majorHAnsi" w:cstheme="majorHAnsi"/>
                <w:color w:val="FFFFFF" w:themeColor="background1"/>
                <w:sz w:val="18"/>
                <w:szCs w:val="18"/>
                <w:lang w:val="en-GB"/>
              </w:rPr>
            </w:pPr>
            <w:r w:rsidRPr="00305BF3">
              <w:rPr>
                <w:rFonts w:asciiTheme="majorHAnsi" w:hAnsiTheme="majorHAnsi" w:cstheme="majorHAnsi"/>
                <w:color w:val="FFFFFF" w:themeColor="background1"/>
                <w:sz w:val="18"/>
                <w:szCs w:val="18"/>
                <w:lang w:val="en-GB"/>
              </w:rPr>
              <w:t>Finding</w:t>
            </w:r>
          </w:p>
        </w:tc>
        <w:tc>
          <w:tcPr>
            <w:tcW w:w="1114" w:type="pct"/>
          </w:tcPr>
          <w:p w14:paraId="7D7B7302" w14:textId="08129594" w:rsidR="00656919" w:rsidRPr="00305BF3" w:rsidRDefault="00656919" w:rsidP="00305BF3">
            <w:pPr>
              <w:spacing w:line="240" w:lineRule="auto"/>
              <w:rPr>
                <w:rFonts w:asciiTheme="majorHAnsi" w:hAnsiTheme="majorHAnsi" w:cstheme="majorHAnsi"/>
                <w:color w:val="FFFFFF" w:themeColor="background1"/>
                <w:sz w:val="18"/>
                <w:szCs w:val="18"/>
                <w:lang w:val="en-GB"/>
              </w:rPr>
            </w:pPr>
            <w:r w:rsidRPr="00305BF3">
              <w:rPr>
                <w:rFonts w:asciiTheme="majorHAnsi" w:hAnsiTheme="majorHAnsi" w:cstheme="majorHAnsi"/>
                <w:color w:val="FFFFFF" w:themeColor="background1"/>
                <w:sz w:val="18"/>
                <w:szCs w:val="18"/>
                <w:lang w:val="en-GB"/>
              </w:rPr>
              <w:t>Lesson Learnt</w:t>
            </w:r>
          </w:p>
        </w:tc>
        <w:tc>
          <w:tcPr>
            <w:tcW w:w="1258" w:type="pct"/>
          </w:tcPr>
          <w:p w14:paraId="03F81FEC" w14:textId="3D7E01DB" w:rsidR="00656919" w:rsidRPr="00305BF3" w:rsidRDefault="00656919" w:rsidP="00305BF3">
            <w:pPr>
              <w:spacing w:line="240" w:lineRule="auto"/>
              <w:rPr>
                <w:rFonts w:asciiTheme="majorHAnsi" w:hAnsiTheme="majorHAnsi" w:cstheme="majorHAnsi"/>
                <w:color w:val="FFFFFF" w:themeColor="background1"/>
                <w:sz w:val="18"/>
                <w:szCs w:val="18"/>
                <w:lang w:val="en-GB"/>
              </w:rPr>
            </w:pPr>
            <w:r w:rsidRPr="00305BF3">
              <w:rPr>
                <w:rFonts w:asciiTheme="majorHAnsi" w:hAnsiTheme="majorHAnsi" w:cstheme="majorHAnsi"/>
                <w:color w:val="FFFFFF" w:themeColor="background1"/>
                <w:sz w:val="18"/>
                <w:szCs w:val="18"/>
                <w:lang w:val="en-GB"/>
              </w:rPr>
              <w:t>Recommendation</w:t>
            </w:r>
          </w:p>
        </w:tc>
        <w:tc>
          <w:tcPr>
            <w:tcW w:w="387" w:type="pct"/>
          </w:tcPr>
          <w:p w14:paraId="60ED4E84" w14:textId="6CEDF0FF" w:rsidR="00656919" w:rsidRPr="00305BF3" w:rsidRDefault="00656919" w:rsidP="00305BF3">
            <w:pPr>
              <w:spacing w:line="240" w:lineRule="auto"/>
              <w:rPr>
                <w:rFonts w:asciiTheme="majorHAnsi" w:hAnsiTheme="majorHAnsi" w:cstheme="majorHAnsi"/>
                <w:color w:val="FFFFFF" w:themeColor="background1"/>
                <w:sz w:val="18"/>
                <w:szCs w:val="18"/>
                <w:lang w:val="en-GB"/>
              </w:rPr>
            </w:pPr>
            <w:r w:rsidRPr="00305BF3">
              <w:rPr>
                <w:rFonts w:asciiTheme="majorHAnsi" w:hAnsiTheme="majorHAnsi" w:cstheme="majorHAnsi"/>
                <w:color w:val="FFFFFF" w:themeColor="background1"/>
                <w:sz w:val="18"/>
                <w:szCs w:val="18"/>
                <w:lang w:val="en-GB"/>
              </w:rPr>
              <w:t>Priority</w:t>
            </w:r>
          </w:p>
        </w:tc>
        <w:tc>
          <w:tcPr>
            <w:tcW w:w="501" w:type="pct"/>
          </w:tcPr>
          <w:p w14:paraId="33759C93" w14:textId="2A4438D8" w:rsidR="00656919" w:rsidRPr="00305BF3" w:rsidRDefault="00656919" w:rsidP="00305BF3">
            <w:pPr>
              <w:spacing w:line="240" w:lineRule="auto"/>
              <w:rPr>
                <w:rFonts w:asciiTheme="majorHAnsi" w:hAnsiTheme="majorHAnsi" w:cstheme="majorHAnsi"/>
                <w:color w:val="FFFFFF" w:themeColor="background1"/>
                <w:sz w:val="18"/>
                <w:szCs w:val="18"/>
                <w:lang w:val="en-GB"/>
              </w:rPr>
            </w:pPr>
            <w:r w:rsidRPr="00305BF3">
              <w:rPr>
                <w:rFonts w:asciiTheme="majorHAnsi" w:hAnsiTheme="majorHAnsi" w:cstheme="majorHAnsi"/>
                <w:color w:val="FFFFFF" w:themeColor="background1"/>
                <w:sz w:val="18"/>
                <w:szCs w:val="18"/>
                <w:lang w:val="en-GB"/>
              </w:rPr>
              <w:t>Responsibility</w:t>
            </w:r>
          </w:p>
        </w:tc>
      </w:tr>
      <w:tr w:rsidR="00656919" w:rsidRPr="00305BF3" w14:paraId="355115EE" w14:textId="42049555" w:rsidTr="0054446C">
        <w:trPr>
          <w:cnfStyle w:val="000000100000" w:firstRow="0" w:lastRow="0" w:firstColumn="0" w:lastColumn="0" w:oddVBand="0" w:evenVBand="0" w:oddHBand="1" w:evenHBand="0" w:firstRowFirstColumn="0" w:firstRowLastColumn="0" w:lastRowFirstColumn="0" w:lastRowLastColumn="0"/>
        </w:trPr>
        <w:tc>
          <w:tcPr>
            <w:tcW w:w="1740" w:type="pct"/>
          </w:tcPr>
          <w:p w14:paraId="4CBA1995" w14:textId="4DDBE05E" w:rsidR="00656919" w:rsidRPr="00305BF3" w:rsidRDefault="00656919"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Australia has continued to be a major and reliable donor to the FFA, providing about 16% of the FFA’s total annual income in recent years. This support is widely recognised by key informants as essential for the FFA to achieve its strategic objectives and is generally seen as effective and highly successful in enhancing the FFA's influence in the region. Without this external support, the FFA's financial sustainability would be severely affected. Despite the support from DFAT, the FFA faces challenges in meeting its objectives outlined in its Strategic and Business Plans, and recent reviews commissioned highlight ongoing governance and human resource challenges</w:t>
            </w:r>
          </w:p>
        </w:tc>
        <w:tc>
          <w:tcPr>
            <w:tcW w:w="1114" w:type="pct"/>
          </w:tcPr>
          <w:p w14:paraId="1A74413F" w14:textId="37CDDFFD" w:rsidR="00656919" w:rsidRPr="00305BF3" w:rsidRDefault="00656919"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 xml:space="preserve">The importance of long-term consistent engagement enables the FFA to undertake multi-year planning and has helped foster a longer-term, trust-based partnership, allowing DFAT to play a central role not just as a donor but also in </w:t>
            </w:r>
            <w:r w:rsidR="00542E34" w:rsidRPr="00305BF3">
              <w:rPr>
                <w:rFonts w:asciiTheme="majorHAnsi" w:hAnsiTheme="majorHAnsi" w:cstheme="majorHAnsi"/>
                <w:sz w:val="18"/>
                <w:szCs w:val="18"/>
                <w:lang w:val="en-GB"/>
              </w:rPr>
              <w:t xml:space="preserve">actively </w:t>
            </w:r>
            <w:r w:rsidRPr="00305BF3">
              <w:rPr>
                <w:rFonts w:asciiTheme="majorHAnsi" w:hAnsiTheme="majorHAnsi" w:cstheme="majorHAnsi"/>
                <w:sz w:val="18"/>
                <w:szCs w:val="18"/>
                <w:lang w:val="en-GB"/>
              </w:rPr>
              <w:t>supporting the effectiveness of the FFA</w:t>
            </w:r>
            <w:r w:rsidR="00542E34" w:rsidRPr="00305BF3">
              <w:rPr>
                <w:rFonts w:asciiTheme="majorHAnsi" w:hAnsiTheme="majorHAnsi" w:cstheme="majorHAnsi"/>
                <w:sz w:val="18"/>
                <w:szCs w:val="18"/>
                <w:lang w:val="en-GB"/>
              </w:rPr>
              <w:t>.</w:t>
            </w:r>
          </w:p>
        </w:tc>
        <w:tc>
          <w:tcPr>
            <w:tcW w:w="1258" w:type="pct"/>
          </w:tcPr>
          <w:p w14:paraId="78F7D8BD" w14:textId="2D224C0B" w:rsidR="00656919" w:rsidRPr="00305BF3" w:rsidRDefault="00656919" w:rsidP="00305BF3">
            <w:pPr>
              <w:pStyle w:val="ListParagraph"/>
              <w:numPr>
                <w:ilvl w:val="0"/>
                <w:numId w:val="39"/>
              </w:numPr>
              <w:spacing w:line="240" w:lineRule="auto"/>
              <w:rPr>
                <w:rFonts w:cstheme="majorHAnsi"/>
                <w:sz w:val="18"/>
                <w:szCs w:val="18"/>
                <w:lang w:val="en-GB"/>
              </w:rPr>
            </w:pPr>
            <w:r w:rsidRPr="00305BF3">
              <w:rPr>
                <w:rFonts w:cstheme="majorHAnsi"/>
                <w:sz w:val="18"/>
                <w:szCs w:val="18"/>
                <w:lang w:val="en-GB"/>
              </w:rPr>
              <w:t xml:space="preserve">DFAT should consider adapting its core funding to the FFA to include both a </w:t>
            </w:r>
            <w:r w:rsidRPr="00305BF3">
              <w:rPr>
                <w:rFonts w:cstheme="majorHAnsi"/>
                <w:i/>
                <w:iCs/>
                <w:sz w:val="18"/>
                <w:szCs w:val="18"/>
                <w:lang w:val="en-GB"/>
              </w:rPr>
              <w:t>fixed</w:t>
            </w:r>
            <w:r w:rsidRPr="00305BF3">
              <w:rPr>
                <w:rFonts w:cstheme="majorHAnsi"/>
                <w:sz w:val="18"/>
                <w:szCs w:val="18"/>
                <w:lang w:val="en-GB"/>
              </w:rPr>
              <w:t xml:space="preserve"> part and a </w:t>
            </w:r>
            <w:r w:rsidRPr="00305BF3">
              <w:rPr>
                <w:rFonts w:cstheme="majorHAnsi"/>
                <w:i/>
                <w:iCs/>
                <w:sz w:val="18"/>
                <w:szCs w:val="18"/>
                <w:lang w:val="en-GB"/>
              </w:rPr>
              <w:t>variable</w:t>
            </w:r>
            <w:r w:rsidRPr="00305BF3">
              <w:rPr>
                <w:rFonts w:cstheme="majorHAnsi"/>
                <w:sz w:val="18"/>
                <w:szCs w:val="18"/>
                <w:lang w:val="en-GB"/>
              </w:rPr>
              <w:t xml:space="preserve"> part</w:t>
            </w:r>
            <w:r w:rsidRPr="00305BF3">
              <w:rPr>
                <w:rStyle w:val="FootnoteReference"/>
                <w:rFonts w:cstheme="majorHAnsi"/>
                <w:sz w:val="18"/>
                <w:szCs w:val="18"/>
                <w:lang w:val="en-GB"/>
              </w:rPr>
              <w:footnoteReference w:id="16"/>
            </w:r>
            <w:r w:rsidRPr="00305BF3">
              <w:rPr>
                <w:rFonts w:cstheme="majorHAnsi"/>
                <w:sz w:val="18"/>
                <w:szCs w:val="18"/>
                <w:lang w:val="en-GB"/>
              </w:rPr>
              <w:t xml:space="preserve">. </w:t>
            </w:r>
            <w:r w:rsidR="00862CB7" w:rsidRPr="00305BF3">
              <w:rPr>
                <w:rFonts w:cstheme="majorHAnsi"/>
                <w:sz w:val="18"/>
                <w:szCs w:val="18"/>
                <w:lang w:val="en-GB"/>
              </w:rPr>
              <w:t>The variable part will be based on funding linked to targets agreed between DFAT and the FFA and will be linked to measurable results</w:t>
            </w:r>
            <w:r w:rsidRPr="00305BF3">
              <w:rPr>
                <w:rFonts w:cstheme="majorHAnsi"/>
                <w:sz w:val="18"/>
                <w:szCs w:val="18"/>
                <w:lang w:val="en-GB"/>
              </w:rPr>
              <w:t>.</w:t>
            </w:r>
          </w:p>
        </w:tc>
        <w:tc>
          <w:tcPr>
            <w:tcW w:w="387" w:type="pct"/>
          </w:tcPr>
          <w:p w14:paraId="5742B61B" w14:textId="72F676E5" w:rsidR="00656919" w:rsidRPr="00305BF3" w:rsidRDefault="00656919"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High</w:t>
            </w:r>
            <w:r w:rsidR="00285025" w:rsidRPr="00305BF3">
              <w:rPr>
                <w:rFonts w:asciiTheme="majorHAnsi" w:hAnsiTheme="majorHAnsi" w:cstheme="majorHAnsi"/>
                <w:sz w:val="18"/>
                <w:szCs w:val="18"/>
                <w:lang w:val="en-GB"/>
              </w:rPr>
              <w:t xml:space="preserve"> (within the next reporting period)</w:t>
            </w:r>
          </w:p>
        </w:tc>
        <w:tc>
          <w:tcPr>
            <w:tcW w:w="501" w:type="pct"/>
          </w:tcPr>
          <w:p w14:paraId="44E1C73A" w14:textId="23581331" w:rsidR="00656919" w:rsidRPr="00305BF3" w:rsidRDefault="00656919"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PFO in close consultation with FFA Secretariat</w:t>
            </w:r>
          </w:p>
        </w:tc>
      </w:tr>
      <w:tr w:rsidR="00656919" w:rsidRPr="00305BF3" w14:paraId="5DC87B27" w14:textId="24A4E4BF" w:rsidTr="0054446C">
        <w:trPr>
          <w:cnfStyle w:val="000000010000" w:firstRow="0" w:lastRow="0" w:firstColumn="0" w:lastColumn="0" w:oddVBand="0" w:evenVBand="0" w:oddHBand="0" w:evenHBand="1" w:firstRowFirstColumn="0" w:firstRowLastColumn="0" w:lastRowFirstColumn="0" w:lastRowLastColumn="0"/>
        </w:trPr>
        <w:tc>
          <w:tcPr>
            <w:tcW w:w="1740" w:type="pct"/>
          </w:tcPr>
          <w:p w14:paraId="02C3296D" w14:textId="643BAFA6" w:rsidR="00656919" w:rsidRPr="00305BF3" w:rsidRDefault="00E87C7E"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 xml:space="preserve">The lack of a MEL framework for the overall </w:t>
            </w:r>
            <w:r w:rsidR="00170F24" w:rsidRPr="00305BF3">
              <w:rPr>
                <w:rFonts w:asciiTheme="majorHAnsi" w:hAnsiTheme="majorHAnsi" w:cstheme="majorHAnsi"/>
                <w:sz w:val="18"/>
                <w:szCs w:val="18"/>
                <w:lang w:val="en-GB"/>
              </w:rPr>
              <w:t>Investment</w:t>
            </w:r>
            <w:r w:rsidRPr="00305BF3">
              <w:rPr>
                <w:rFonts w:asciiTheme="majorHAnsi" w:hAnsiTheme="majorHAnsi" w:cstheme="majorHAnsi"/>
                <w:sz w:val="18"/>
                <w:szCs w:val="18"/>
                <w:lang w:val="en-GB"/>
              </w:rPr>
              <w:t xml:space="preserve"> represented a missed opportunity to monitor overarching outcomes and process indicators across the </w:t>
            </w:r>
            <w:r w:rsidR="00170F24" w:rsidRPr="00305BF3">
              <w:rPr>
                <w:rFonts w:asciiTheme="majorHAnsi" w:hAnsiTheme="majorHAnsi" w:cstheme="majorHAnsi"/>
                <w:sz w:val="18"/>
                <w:szCs w:val="18"/>
                <w:lang w:val="en-GB"/>
              </w:rPr>
              <w:t>Investment</w:t>
            </w:r>
            <w:r w:rsidRPr="00305BF3">
              <w:rPr>
                <w:rFonts w:asciiTheme="majorHAnsi" w:hAnsiTheme="majorHAnsi" w:cstheme="majorHAnsi"/>
                <w:sz w:val="18"/>
                <w:szCs w:val="18"/>
                <w:lang w:val="en-GB"/>
              </w:rPr>
              <w:t xml:space="preserve">. This limited the ability of the Australian Government to make evidence-based decisions regarding strategy, resource allocation, and partnership engagement across the portfolio, as well as the extent to which lessons could be learned and information shared across the </w:t>
            </w:r>
            <w:r w:rsidR="00170F24" w:rsidRPr="00305BF3">
              <w:rPr>
                <w:rFonts w:asciiTheme="majorHAnsi" w:hAnsiTheme="majorHAnsi" w:cstheme="majorHAnsi"/>
                <w:sz w:val="18"/>
                <w:szCs w:val="18"/>
                <w:lang w:val="en-GB"/>
              </w:rPr>
              <w:t>Investment</w:t>
            </w:r>
            <w:r w:rsidRPr="00305BF3">
              <w:rPr>
                <w:rFonts w:asciiTheme="majorHAnsi" w:hAnsiTheme="majorHAnsi" w:cstheme="majorHAnsi"/>
                <w:sz w:val="18"/>
                <w:szCs w:val="18"/>
                <w:lang w:val="en-GB"/>
              </w:rPr>
              <w:t xml:space="preserve">. MEL systems have improved </w:t>
            </w:r>
            <w:r w:rsidR="00516EB5" w:rsidRPr="00305BF3">
              <w:rPr>
                <w:rFonts w:asciiTheme="majorHAnsi" w:hAnsiTheme="majorHAnsi" w:cstheme="majorHAnsi"/>
                <w:sz w:val="18"/>
                <w:szCs w:val="18"/>
                <w:lang w:val="en-GB"/>
              </w:rPr>
              <w:t xml:space="preserve">noticeably </w:t>
            </w:r>
            <w:r w:rsidRPr="00305BF3">
              <w:rPr>
                <w:rFonts w:asciiTheme="majorHAnsi" w:hAnsiTheme="majorHAnsi" w:cstheme="majorHAnsi"/>
                <w:sz w:val="18"/>
                <w:szCs w:val="18"/>
                <w:lang w:val="en-GB"/>
              </w:rPr>
              <w:t xml:space="preserve">over time at the agreement level (such as for AFMA and ANCORS) and within regional organisations like SPC </w:t>
            </w:r>
            <w:r w:rsidR="006B5558" w:rsidRPr="00305BF3">
              <w:rPr>
                <w:rFonts w:asciiTheme="majorHAnsi" w:hAnsiTheme="majorHAnsi" w:cstheme="majorHAnsi"/>
                <w:sz w:val="18"/>
                <w:szCs w:val="18"/>
                <w:lang w:val="en-GB"/>
              </w:rPr>
              <w:t>FAME</w:t>
            </w:r>
            <w:r w:rsidR="00516EB5" w:rsidRPr="00305BF3">
              <w:rPr>
                <w:rFonts w:asciiTheme="majorHAnsi" w:hAnsiTheme="majorHAnsi" w:cstheme="majorHAnsi"/>
                <w:sz w:val="18"/>
                <w:szCs w:val="18"/>
                <w:lang w:val="en-GB"/>
              </w:rPr>
              <w:t xml:space="preserve"> to ensure they comply with DFAT’s MEL standards</w:t>
            </w:r>
            <w:r w:rsidRPr="00305BF3">
              <w:rPr>
                <w:rFonts w:asciiTheme="majorHAnsi" w:hAnsiTheme="majorHAnsi" w:cstheme="majorHAnsi"/>
                <w:sz w:val="18"/>
                <w:szCs w:val="18"/>
                <w:lang w:val="en-GB"/>
              </w:rPr>
              <w:t xml:space="preserve">, but </w:t>
            </w:r>
            <w:r w:rsidR="00516EB5" w:rsidRPr="00305BF3">
              <w:rPr>
                <w:rFonts w:asciiTheme="majorHAnsi" w:hAnsiTheme="majorHAnsi" w:cstheme="majorHAnsi"/>
                <w:sz w:val="18"/>
                <w:szCs w:val="18"/>
                <w:lang w:val="en-GB"/>
              </w:rPr>
              <w:t>not all</w:t>
            </w:r>
            <w:r w:rsidRPr="00305BF3">
              <w:rPr>
                <w:rFonts w:asciiTheme="majorHAnsi" w:hAnsiTheme="majorHAnsi" w:cstheme="majorHAnsi"/>
                <w:sz w:val="18"/>
                <w:szCs w:val="18"/>
                <w:lang w:val="en-GB"/>
              </w:rPr>
              <w:t xml:space="preserve"> </w:t>
            </w:r>
            <w:r w:rsidR="00516EB5" w:rsidRPr="00305BF3">
              <w:rPr>
                <w:rFonts w:asciiTheme="majorHAnsi" w:hAnsiTheme="majorHAnsi" w:cstheme="majorHAnsi"/>
                <w:sz w:val="18"/>
                <w:szCs w:val="18"/>
                <w:lang w:val="en-GB"/>
              </w:rPr>
              <w:t>MEL frameworks</w:t>
            </w:r>
            <w:r w:rsidRPr="00305BF3">
              <w:rPr>
                <w:rFonts w:asciiTheme="majorHAnsi" w:hAnsiTheme="majorHAnsi" w:cstheme="majorHAnsi"/>
                <w:sz w:val="18"/>
                <w:szCs w:val="18"/>
                <w:lang w:val="en-GB"/>
              </w:rPr>
              <w:t xml:space="preserve"> being used </w:t>
            </w:r>
            <w:r w:rsidR="00516EB5" w:rsidRPr="00305BF3">
              <w:rPr>
                <w:rFonts w:asciiTheme="majorHAnsi" w:hAnsiTheme="majorHAnsi" w:cstheme="majorHAnsi"/>
                <w:sz w:val="18"/>
                <w:szCs w:val="18"/>
                <w:lang w:val="en-GB"/>
              </w:rPr>
              <w:t xml:space="preserve">across the Investment </w:t>
            </w:r>
            <w:r w:rsidRPr="00305BF3">
              <w:rPr>
                <w:rFonts w:asciiTheme="majorHAnsi" w:hAnsiTheme="majorHAnsi" w:cstheme="majorHAnsi"/>
                <w:sz w:val="18"/>
                <w:szCs w:val="18"/>
                <w:lang w:val="en-GB"/>
              </w:rPr>
              <w:t>comply with DFAT’s MEL standards.</w:t>
            </w:r>
          </w:p>
        </w:tc>
        <w:tc>
          <w:tcPr>
            <w:tcW w:w="1114" w:type="pct"/>
          </w:tcPr>
          <w:p w14:paraId="1418E589" w14:textId="4A9ED8B5" w:rsidR="00656919" w:rsidRPr="00305BF3" w:rsidRDefault="00542E34"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Effective MEL systems are essential for tracking progress, informing adaptive management, and ensuring accountability. There is a recognised need for MEL systems that focus on outcomes and long-term impact, not just outputs</w:t>
            </w:r>
          </w:p>
        </w:tc>
        <w:tc>
          <w:tcPr>
            <w:tcW w:w="1258" w:type="pct"/>
          </w:tcPr>
          <w:p w14:paraId="1A2A6F53" w14:textId="78D7934F" w:rsidR="00656919" w:rsidRPr="00305BF3" w:rsidRDefault="00E87C7E" w:rsidP="00305BF3">
            <w:pPr>
              <w:pStyle w:val="ListParagraph"/>
              <w:numPr>
                <w:ilvl w:val="0"/>
                <w:numId w:val="39"/>
              </w:numPr>
              <w:spacing w:line="240" w:lineRule="auto"/>
              <w:rPr>
                <w:rFonts w:cstheme="majorHAnsi"/>
                <w:sz w:val="18"/>
                <w:szCs w:val="18"/>
                <w:lang w:val="en-GB"/>
              </w:rPr>
            </w:pPr>
            <w:r w:rsidRPr="00305BF3">
              <w:rPr>
                <w:rFonts w:cstheme="majorHAnsi"/>
                <w:sz w:val="18"/>
                <w:szCs w:val="18"/>
                <w:lang w:val="en-GB"/>
              </w:rPr>
              <w:t>Ensure implementing partners of future discrete investment</w:t>
            </w:r>
            <w:r w:rsidR="0049334D" w:rsidRPr="00305BF3">
              <w:rPr>
                <w:rFonts w:cstheme="majorHAnsi"/>
                <w:sz w:val="18"/>
                <w:szCs w:val="18"/>
                <w:lang w:val="en-GB"/>
              </w:rPr>
              <w:t>s</w:t>
            </w:r>
            <w:r w:rsidRPr="00305BF3">
              <w:rPr>
                <w:rFonts w:cstheme="majorHAnsi"/>
                <w:sz w:val="18"/>
                <w:szCs w:val="18"/>
                <w:lang w:val="en-GB"/>
              </w:rPr>
              <w:t xml:space="preserve"> develop Monitoring, Evaluation and Learning Frameworks that meet </w:t>
            </w:r>
            <w:hyperlink r:id="rId36" w:history="1">
              <w:r w:rsidRPr="00305BF3">
                <w:rPr>
                  <w:rStyle w:val="Hyperlink"/>
                  <w:rFonts w:cstheme="majorHAnsi"/>
                  <w:sz w:val="18"/>
                  <w:szCs w:val="18"/>
                  <w:lang w:val="en-GB"/>
                </w:rPr>
                <w:t>DFAT's Design and Monitoring, Evaluation and Learning Standards</w:t>
              </w:r>
            </w:hyperlink>
          </w:p>
        </w:tc>
        <w:tc>
          <w:tcPr>
            <w:tcW w:w="387" w:type="pct"/>
          </w:tcPr>
          <w:p w14:paraId="68FD7042" w14:textId="12038512" w:rsidR="00656919" w:rsidRPr="00305BF3" w:rsidRDefault="00285025"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High</w:t>
            </w:r>
          </w:p>
        </w:tc>
        <w:tc>
          <w:tcPr>
            <w:tcW w:w="501" w:type="pct"/>
          </w:tcPr>
          <w:p w14:paraId="64E843B5" w14:textId="4A2FA5E0" w:rsidR="00656919" w:rsidRPr="00305BF3" w:rsidRDefault="00285025"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PFO in close conjunction with implementing partners</w:t>
            </w:r>
          </w:p>
        </w:tc>
      </w:tr>
      <w:tr w:rsidR="00656919" w:rsidRPr="00305BF3" w14:paraId="3BF70851" w14:textId="06FE43FC" w:rsidTr="0054446C">
        <w:trPr>
          <w:cnfStyle w:val="000000100000" w:firstRow="0" w:lastRow="0" w:firstColumn="0" w:lastColumn="0" w:oddVBand="0" w:evenVBand="0" w:oddHBand="1" w:evenHBand="0" w:firstRowFirstColumn="0" w:firstRowLastColumn="0" w:lastRowFirstColumn="0" w:lastRowLastColumn="0"/>
        </w:trPr>
        <w:tc>
          <w:tcPr>
            <w:tcW w:w="1740" w:type="pct"/>
          </w:tcPr>
          <w:p w14:paraId="66934D16" w14:textId="269014CA" w:rsidR="0049334D" w:rsidRPr="00305BF3" w:rsidRDefault="0049334D"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lastRenderedPageBreak/>
              <w:t xml:space="preserve">Gender equality has gained increasing attention and commitment over the lifetime of the Investment.  Both the FFA and SPC </w:t>
            </w:r>
            <w:r w:rsidR="006B5558" w:rsidRPr="00305BF3">
              <w:rPr>
                <w:rFonts w:asciiTheme="majorHAnsi" w:hAnsiTheme="majorHAnsi" w:cstheme="majorHAnsi"/>
                <w:sz w:val="18"/>
                <w:szCs w:val="18"/>
                <w:lang w:val="en-GB"/>
              </w:rPr>
              <w:t>FAME</w:t>
            </w:r>
            <w:r w:rsidRPr="00305BF3">
              <w:rPr>
                <w:rFonts w:asciiTheme="majorHAnsi" w:hAnsiTheme="majorHAnsi" w:cstheme="majorHAnsi"/>
                <w:sz w:val="18"/>
                <w:szCs w:val="18"/>
                <w:lang w:val="en-GB"/>
              </w:rPr>
              <w:t xml:space="preserve"> have recruited dedicated gender equality advisors, facilitated regional discussions on gender, and developed comprehensive gender strategies. The sector has seen significant progress in women’s representation within fisheries governance and decision-making, as well as at all leadership levels and the community level. Gender-sensitive approaches to coastal fisheries management have supported outcomes that promote women’s economic empowerment. Challenges remain in mainstreaming gender equality and addressing cultural barriers at senior levels.</w:t>
            </w:r>
          </w:p>
          <w:p w14:paraId="5EEE7D5A" w14:textId="67CDFAF4" w:rsidR="00656919" w:rsidRPr="00305BF3" w:rsidRDefault="0049334D"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 xml:space="preserve">The </w:t>
            </w:r>
            <w:r w:rsidR="00170F24" w:rsidRPr="00305BF3">
              <w:rPr>
                <w:rFonts w:asciiTheme="majorHAnsi" w:hAnsiTheme="majorHAnsi" w:cstheme="majorHAnsi"/>
                <w:sz w:val="18"/>
                <w:szCs w:val="18"/>
                <w:lang w:val="en-GB"/>
              </w:rPr>
              <w:t>I</w:t>
            </w:r>
            <w:r w:rsidRPr="00305BF3">
              <w:rPr>
                <w:rFonts w:asciiTheme="majorHAnsi" w:hAnsiTheme="majorHAnsi" w:cstheme="majorHAnsi"/>
                <w:sz w:val="18"/>
                <w:szCs w:val="18"/>
                <w:lang w:val="en-GB"/>
              </w:rPr>
              <w:t>nvestment did not prioritise disability equity or youth inclusion, and there was no significant progress or change for these groups beyond initial efforts. Future initiatives must be much more deliberate and fully integrated regarding disability equity.</w:t>
            </w:r>
          </w:p>
        </w:tc>
        <w:tc>
          <w:tcPr>
            <w:tcW w:w="1114" w:type="pct"/>
          </w:tcPr>
          <w:p w14:paraId="7E4BC23A" w14:textId="5DB2A376" w:rsidR="00656919" w:rsidRPr="00305BF3" w:rsidRDefault="0049334D"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 xml:space="preserve">Addressing GEDSI issues requires long-term, systemic changes beyond short-term programs, and requires funding that explicitly supports regional partners to implement their GEDSI Strategies/Policies and ensures deeper engagement within </w:t>
            </w:r>
            <w:proofErr w:type="gramStart"/>
            <w:r w:rsidRPr="00305BF3">
              <w:rPr>
                <w:rFonts w:asciiTheme="majorHAnsi" w:hAnsiTheme="majorHAnsi" w:cstheme="majorHAnsi"/>
                <w:sz w:val="18"/>
                <w:szCs w:val="18"/>
                <w:lang w:val="en-GB"/>
              </w:rPr>
              <w:t>those institution</w:t>
            </w:r>
            <w:proofErr w:type="gramEnd"/>
            <w:r w:rsidRPr="00305BF3">
              <w:rPr>
                <w:rFonts w:asciiTheme="majorHAnsi" w:hAnsiTheme="majorHAnsi" w:cstheme="majorHAnsi"/>
                <w:sz w:val="18"/>
                <w:szCs w:val="18"/>
                <w:lang w:val="en-GB"/>
              </w:rPr>
              <w:t>. Both gender equity and disability equity require deliberate effort and understanding, with appropriate planning from the outset to ensure meaningful progress</w:t>
            </w:r>
          </w:p>
        </w:tc>
        <w:tc>
          <w:tcPr>
            <w:tcW w:w="1258" w:type="pct"/>
          </w:tcPr>
          <w:p w14:paraId="3B6737C9" w14:textId="0F115F1D" w:rsidR="00656919" w:rsidRPr="00305BF3" w:rsidRDefault="0049334D" w:rsidP="00305BF3">
            <w:pPr>
              <w:pStyle w:val="ListParagraph"/>
              <w:numPr>
                <w:ilvl w:val="0"/>
                <w:numId w:val="39"/>
              </w:numPr>
              <w:spacing w:line="240" w:lineRule="auto"/>
              <w:rPr>
                <w:rFonts w:cstheme="majorHAnsi"/>
                <w:sz w:val="18"/>
                <w:szCs w:val="18"/>
                <w:lang w:val="en-GB"/>
              </w:rPr>
            </w:pPr>
            <w:r w:rsidRPr="00305BF3">
              <w:rPr>
                <w:rFonts w:cstheme="majorHAnsi"/>
                <w:sz w:val="18"/>
                <w:szCs w:val="18"/>
                <w:lang w:val="en-GB"/>
              </w:rPr>
              <w:t>GEDSI goals must be explicitly integrated into the design and plans of future discrete investments</w:t>
            </w:r>
            <w:r w:rsidR="00210548" w:rsidRPr="00305BF3">
              <w:rPr>
                <w:rFonts w:cstheme="majorHAnsi"/>
                <w:sz w:val="18"/>
                <w:szCs w:val="18"/>
                <w:lang w:val="en-GB"/>
              </w:rPr>
              <w:t>,</w:t>
            </w:r>
            <w:r w:rsidR="00210548" w:rsidRPr="00305BF3">
              <w:rPr>
                <w:rFonts w:cstheme="majorHAnsi"/>
                <w:sz w:val="18"/>
                <w:szCs w:val="18"/>
              </w:rPr>
              <w:t xml:space="preserve"> underpinned by rigorous gender analysis</w:t>
            </w:r>
          </w:p>
        </w:tc>
        <w:tc>
          <w:tcPr>
            <w:tcW w:w="387" w:type="pct"/>
          </w:tcPr>
          <w:p w14:paraId="01D3F8A8" w14:textId="5569EC78" w:rsidR="00656919" w:rsidRPr="00305BF3" w:rsidRDefault="0049334D"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Medium</w:t>
            </w:r>
            <w:r w:rsidR="006F114C" w:rsidRPr="00305BF3">
              <w:rPr>
                <w:rFonts w:asciiTheme="majorHAnsi" w:hAnsiTheme="majorHAnsi" w:cstheme="majorHAnsi"/>
                <w:sz w:val="18"/>
                <w:szCs w:val="18"/>
                <w:lang w:val="en-GB"/>
              </w:rPr>
              <w:t xml:space="preserve"> (within the next 18 months)</w:t>
            </w:r>
          </w:p>
        </w:tc>
        <w:tc>
          <w:tcPr>
            <w:tcW w:w="501" w:type="pct"/>
          </w:tcPr>
          <w:p w14:paraId="6382D92F" w14:textId="1CAEC411" w:rsidR="00656919" w:rsidRPr="00305BF3" w:rsidRDefault="0049334D"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PFO in close consultation with implementing partners</w:t>
            </w:r>
          </w:p>
        </w:tc>
      </w:tr>
      <w:tr w:rsidR="0049334D" w:rsidRPr="00305BF3" w14:paraId="4AA8D0DD" w14:textId="2DD2DA95" w:rsidTr="0054446C">
        <w:trPr>
          <w:cnfStyle w:val="000000010000" w:firstRow="0" w:lastRow="0" w:firstColumn="0" w:lastColumn="0" w:oddVBand="0" w:evenVBand="0" w:oddHBand="0" w:evenHBand="1" w:firstRowFirstColumn="0" w:firstRowLastColumn="0" w:lastRowFirstColumn="0" w:lastRowLastColumn="0"/>
        </w:trPr>
        <w:tc>
          <w:tcPr>
            <w:tcW w:w="1740" w:type="pct"/>
          </w:tcPr>
          <w:p w14:paraId="0F06E99E" w14:textId="725BB6A6" w:rsidR="0049334D" w:rsidRPr="00305BF3" w:rsidRDefault="0049334D"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 xml:space="preserve">Although climate change is not a primary goal of the Investment, and activities related to climate change are not systematically incorporated into all its components, the Investment has helped improve understanding and address the impacts of climate change on Pacific fisheries and maritime zones. Nevertheless, there is a need for more systematic integration of climate change considerations across all </w:t>
            </w:r>
            <w:r w:rsidR="00170F24" w:rsidRPr="00305BF3">
              <w:rPr>
                <w:rFonts w:asciiTheme="majorHAnsi" w:hAnsiTheme="majorHAnsi" w:cstheme="majorHAnsi"/>
                <w:sz w:val="18"/>
                <w:szCs w:val="18"/>
                <w:lang w:val="en-GB"/>
              </w:rPr>
              <w:t>parts of the Investment,</w:t>
            </w:r>
            <w:r w:rsidRPr="00305BF3">
              <w:rPr>
                <w:rFonts w:asciiTheme="majorHAnsi" w:hAnsiTheme="majorHAnsi" w:cstheme="majorHAnsi"/>
                <w:sz w:val="18"/>
                <w:szCs w:val="18"/>
                <w:lang w:val="en-GB"/>
              </w:rPr>
              <w:t xml:space="preserve"> clearer articulation of adaptation outcomes, and ongoing support for Pacific-led climate action in the fisheries sector</w:t>
            </w:r>
          </w:p>
        </w:tc>
        <w:tc>
          <w:tcPr>
            <w:tcW w:w="1114" w:type="pct"/>
          </w:tcPr>
          <w:p w14:paraId="173D02E1" w14:textId="02BE7E88" w:rsidR="0049334D" w:rsidRPr="00305BF3" w:rsidRDefault="006F114C"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As the Pacific continues to be at the frontline of climate change impacts, there is a growing need and opportunity for greater investment in the key threats to fisheries – rising sea levels, ocean acidification, and habitat degradation. Integrating climate change adaptation into fisheries management is critical</w:t>
            </w:r>
          </w:p>
        </w:tc>
        <w:tc>
          <w:tcPr>
            <w:tcW w:w="1258" w:type="pct"/>
          </w:tcPr>
          <w:p w14:paraId="45603C1A" w14:textId="53BB7CF6" w:rsidR="0049334D" w:rsidRPr="00305BF3" w:rsidRDefault="0049334D" w:rsidP="00305BF3">
            <w:pPr>
              <w:pStyle w:val="ListParagraph"/>
              <w:numPr>
                <w:ilvl w:val="0"/>
                <w:numId w:val="39"/>
              </w:numPr>
              <w:spacing w:line="240" w:lineRule="auto"/>
              <w:rPr>
                <w:rFonts w:cstheme="majorHAnsi"/>
                <w:sz w:val="18"/>
                <w:szCs w:val="18"/>
                <w:lang w:val="en-GB"/>
              </w:rPr>
            </w:pPr>
            <w:r w:rsidRPr="00305BF3">
              <w:rPr>
                <w:rFonts w:cstheme="majorHAnsi"/>
                <w:sz w:val="18"/>
                <w:szCs w:val="18"/>
                <w:lang w:val="en-GB"/>
              </w:rPr>
              <w:t xml:space="preserve">Explicitly integrate climate change adaptation and resilience objectives into all relevant future discrete investments </w:t>
            </w:r>
          </w:p>
          <w:p w14:paraId="1AA43939" w14:textId="77777777" w:rsidR="0049334D" w:rsidRPr="00305BF3" w:rsidRDefault="0049334D" w:rsidP="00305BF3">
            <w:pPr>
              <w:spacing w:line="240" w:lineRule="auto"/>
              <w:ind w:left="360"/>
              <w:rPr>
                <w:rFonts w:cstheme="majorHAnsi"/>
                <w:sz w:val="18"/>
                <w:szCs w:val="18"/>
                <w:lang w:val="en-GB"/>
              </w:rPr>
            </w:pPr>
          </w:p>
        </w:tc>
        <w:tc>
          <w:tcPr>
            <w:tcW w:w="387" w:type="pct"/>
          </w:tcPr>
          <w:p w14:paraId="2933FE20" w14:textId="3AB7B97C" w:rsidR="0049334D" w:rsidRPr="00305BF3" w:rsidRDefault="0049334D"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Medium</w:t>
            </w:r>
          </w:p>
        </w:tc>
        <w:tc>
          <w:tcPr>
            <w:tcW w:w="501" w:type="pct"/>
          </w:tcPr>
          <w:p w14:paraId="0D185F4C" w14:textId="35539A85" w:rsidR="0049334D" w:rsidRPr="00305BF3" w:rsidRDefault="0049334D"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PFO in close consultation with implementing partners</w:t>
            </w:r>
          </w:p>
        </w:tc>
      </w:tr>
      <w:tr w:rsidR="0049334D" w:rsidRPr="00305BF3" w14:paraId="64BC8E62" w14:textId="7B0C9FED" w:rsidTr="0054446C">
        <w:trPr>
          <w:cnfStyle w:val="000000100000" w:firstRow="0" w:lastRow="0" w:firstColumn="0" w:lastColumn="0" w:oddVBand="0" w:evenVBand="0" w:oddHBand="1" w:evenHBand="0" w:firstRowFirstColumn="0" w:firstRowLastColumn="0" w:lastRowFirstColumn="0" w:lastRowLastColumn="0"/>
        </w:trPr>
        <w:tc>
          <w:tcPr>
            <w:tcW w:w="1740" w:type="pct"/>
          </w:tcPr>
          <w:p w14:paraId="496193D0" w14:textId="783512B2" w:rsidR="0049334D" w:rsidRPr="00305BF3" w:rsidRDefault="006F114C" w:rsidP="00305BF3">
            <w:pPr>
              <w:spacing w:line="240" w:lineRule="auto"/>
              <w:rPr>
                <w:rFonts w:asciiTheme="majorHAnsi" w:hAnsiTheme="majorHAnsi" w:cstheme="majorHAnsi"/>
                <w:sz w:val="18"/>
                <w:szCs w:val="18"/>
                <w:lang w:val="en-GB"/>
              </w:rPr>
            </w:pPr>
            <w:r w:rsidRPr="00305BF3">
              <w:rPr>
                <w:sz w:val="18"/>
                <w:szCs w:val="18"/>
                <w:lang w:val="en-GB"/>
              </w:rPr>
              <w:t>The Investment has had a substantial, largely positive impact on how Australia is seen in the Pacific region, strengthening its position as a key development partner. While it has mostly elevated Australia's reputation as a dependable and trusted partner in Pacific fisheries and maritime security—particularly through steady support for regional organisations and important initiatives like MCS and maritime boundaries—this is sometimes countered by limited visibility of certain contributions and negative perceptions surrounding Australia's broader climate policies and geopolitical stance.</w:t>
            </w:r>
          </w:p>
        </w:tc>
        <w:tc>
          <w:tcPr>
            <w:tcW w:w="1114" w:type="pct"/>
          </w:tcPr>
          <w:p w14:paraId="3F70711F" w14:textId="64FA2D47" w:rsidR="0049334D" w:rsidRPr="00305BF3" w:rsidRDefault="006F114C" w:rsidP="00305BF3">
            <w:pPr>
              <w:spacing w:line="240" w:lineRule="auto"/>
              <w:rPr>
                <w:rFonts w:asciiTheme="majorHAnsi" w:hAnsiTheme="majorHAnsi" w:cstheme="majorHAnsi"/>
                <w:sz w:val="18"/>
                <w:szCs w:val="18"/>
                <w:lang w:val="en-GB"/>
              </w:rPr>
            </w:pPr>
            <w:r w:rsidRPr="00305BF3">
              <w:rPr>
                <w:rFonts w:asciiTheme="majorHAnsi" w:eastAsiaTheme="minorHAnsi" w:hAnsiTheme="majorHAnsi" w:cstheme="majorHAnsi"/>
                <w:sz w:val="18"/>
                <w:szCs w:val="18"/>
                <w:lang w:val="en-GB"/>
              </w:rPr>
              <w:t xml:space="preserve">Strategic communication can improve reputation and effectiveness. While recognising the importance of regional ownership, a more strategic way of communicating Australia's contributions can boost its reputation and support program delivery. </w:t>
            </w:r>
          </w:p>
        </w:tc>
        <w:tc>
          <w:tcPr>
            <w:tcW w:w="1258" w:type="pct"/>
          </w:tcPr>
          <w:p w14:paraId="57B094F1" w14:textId="159448F4" w:rsidR="0049334D" w:rsidRPr="00305BF3" w:rsidRDefault="006F114C" w:rsidP="00305BF3">
            <w:pPr>
              <w:pStyle w:val="ListParagraph"/>
              <w:numPr>
                <w:ilvl w:val="0"/>
                <w:numId w:val="39"/>
              </w:numPr>
              <w:spacing w:line="240" w:lineRule="auto"/>
              <w:rPr>
                <w:rFonts w:cstheme="majorHAnsi"/>
                <w:sz w:val="18"/>
                <w:szCs w:val="18"/>
                <w:lang w:val="en-GB"/>
              </w:rPr>
            </w:pPr>
            <w:r w:rsidRPr="00305BF3">
              <w:rPr>
                <w:rFonts w:cstheme="majorHAnsi"/>
                <w:sz w:val="18"/>
                <w:szCs w:val="18"/>
                <w:lang w:val="en-GB"/>
              </w:rPr>
              <w:t xml:space="preserve">Develop a plan for strategically communicating Australia’s contributions to enhancing Pacific fisheries management across </w:t>
            </w:r>
            <w:proofErr w:type="gramStart"/>
            <w:r w:rsidRPr="00305BF3">
              <w:rPr>
                <w:rFonts w:cstheme="majorHAnsi"/>
                <w:sz w:val="18"/>
                <w:szCs w:val="18"/>
                <w:lang w:val="en-GB"/>
              </w:rPr>
              <w:t>all of</w:t>
            </w:r>
            <w:proofErr w:type="gramEnd"/>
            <w:r w:rsidRPr="00305BF3">
              <w:rPr>
                <w:rFonts w:cstheme="majorHAnsi"/>
                <w:sz w:val="18"/>
                <w:szCs w:val="18"/>
                <w:lang w:val="en-GB"/>
              </w:rPr>
              <w:t xml:space="preserve"> its investments</w:t>
            </w:r>
          </w:p>
        </w:tc>
        <w:tc>
          <w:tcPr>
            <w:tcW w:w="387" w:type="pct"/>
          </w:tcPr>
          <w:p w14:paraId="2C4EC3DC" w14:textId="274B811C" w:rsidR="0049334D" w:rsidRPr="00305BF3" w:rsidRDefault="006F114C"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Low (within the next two years)</w:t>
            </w:r>
          </w:p>
        </w:tc>
        <w:tc>
          <w:tcPr>
            <w:tcW w:w="501" w:type="pct"/>
          </w:tcPr>
          <w:p w14:paraId="2E604594" w14:textId="2617DFAB" w:rsidR="0049334D" w:rsidRPr="00305BF3" w:rsidRDefault="006F114C" w:rsidP="00305BF3">
            <w:pPr>
              <w:spacing w:line="240" w:lineRule="auto"/>
              <w:rPr>
                <w:rFonts w:asciiTheme="majorHAnsi" w:hAnsiTheme="majorHAnsi" w:cstheme="majorHAnsi"/>
                <w:sz w:val="18"/>
                <w:szCs w:val="18"/>
                <w:lang w:val="en-GB"/>
              </w:rPr>
            </w:pPr>
            <w:r w:rsidRPr="00305BF3">
              <w:rPr>
                <w:rFonts w:asciiTheme="majorHAnsi" w:hAnsiTheme="majorHAnsi" w:cstheme="majorHAnsi"/>
                <w:sz w:val="18"/>
                <w:szCs w:val="18"/>
                <w:lang w:val="en-GB"/>
              </w:rPr>
              <w:t>PFO</w:t>
            </w:r>
          </w:p>
        </w:tc>
      </w:tr>
    </w:tbl>
    <w:p w14:paraId="0B6A3FAB" w14:textId="77777777" w:rsidR="00A52541" w:rsidRDefault="00A52541" w:rsidP="008E7E2B">
      <w:pPr>
        <w:sectPr w:rsidR="00A52541" w:rsidSect="000C15A8">
          <w:footerReference w:type="first" r:id="rId37"/>
          <w:pgSz w:w="16817" w:h="11901" w:orient="landscape"/>
          <w:pgMar w:top="1440" w:right="1080" w:bottom="1440" w:left="1080" w:header="709" w:footer="709" w:gutter="0"/>
          <w:cols w:space="720"/>
          <w:titlePg/>
          <w:docGrid w:linePitch="360"/>
        </w:sectPr>
      </w:pPr>
    </w:p>
    <w:bookmarkStart w:id="63" w:name="_Toc207206079"/>
    <w:bookmarkStart w:id="64" w:name="_Toc207206178"/>
    <w:bookmarkStart w:id="65" w:name="_Toc207206817"/>
    <w:p w14:paraId="665B00F1" w14:textId="7D1687B2" w:rsidR="008E7E2B" w:rsidRPr="00447546" w:rsidRDefault="001B2460" w:rsidP="00AA364A">
      <w:pPr>
        <w:pStyle w:val="Heading2"/>
        <w:rPr>
          <w:rStyle w:val="Heading"/>
          <w:rFonts w:ascii="Verdana" w:hAnsi="Verdana" w:cstheme="majorBidi"/>
          <w:color w:val="FFFFFF" w:themeColor="background1"/>
          <w:sz w:val="40"/>
          <w:szCs w:val="40"/>
        </w:rPr>
      </w:pPr>
      <w:r>
        <w:rPr>
          <w:noProof/>
        </w:rPr>
        <w:lastRenderedPageBreak/>
        <mc:AlternateContent>
          <mc:Choice Requires="wps">
            <w:drawing>
              <wp:anchor distT="0" distB="0" distL="114300" distR="114300" simplePos="0" relativeHeight="251658287" behindDoc="1" locked="0" layoutInCell="1" allowOverlap="1" wp14:anchorId="10B5B24F" wp14:editId="694EB440">
                <wp:simplePos x="0" y="0"/>
                <wp:positionH relativeFrom="page">
                  <wp:align>left</wp:align>
                </wp:positionH>
                <wp:positionV relativeFrom="paragraph">
                  <wp:posOffset>-898121</wp:posOffset>
                </wp:positionV>
                <wp:extent cx="7560000" cy="10627200"/>
                <wp:effectExtent l="0" t="0" r="22225" b="22225"/>
                <wp:wrapNone/>
                <wp:docPr id="1821456005" name="Rectangle 52"/>
                <wp:cNvGraphicFramePr/>
                <a:graphic xmlns:a="http://schemas.openxmlformats.org/drawingml/2006/main">
                  <a:graphicData uri="http://schemas.microsoft.com/office/word/2010/wordprocessingShape">
                    <wps:wsp>
                      <wps:cNvSpPr/>
                      <wps:spPr>
                        <a:xfrm>
                          <a:off x="0" y="0"/>
                          <a:ext cx="7560000" cy="10627200"/>
                        </a:xfrm>
                        <a:prstGeom prst="rect">
                          <a:avLst/>
                        </a:prstGeom>
                        <a:solidFill>
                          <a:schemeClr val="accent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w:pict w14:anchorId="7DDD3FB3">
              <v:rect id="Rectangle 52" style="position:absolute;margin-left:0;margin-top:-70.7pt;width:595.3pt;height:836.8pt;z-index:-251658193;visibility:visible;mso-wrap-style:square;mso-width-percent:0;mso-wrap-distance-left:9pt;mso-wrap-distance-top:0;mso-wrap-distance-right:9pt;mso-wrap-distance-bottom:0;mso-position-horizontal:left;mso-position-horizontal-relative:page;mso-position-vertical:absolute;mso-position-vertical-relative:text;mso-width-percent:0;mso-width-relative:margin;v-text-anchor:middle" o:spid="_x0000_s1026" fillcolor="#1f3763 [1604]" strokecolor="#09101d [484]" strokeweight="1pt" w14:anchorId="4A99EB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">
                <w10:wrap anchorx="page"/>
              </v:rect>
            </w:pict>
          </mc:Fallback>
        </mc:AlternateContent>
      </w:r>
      <w:bookmarkStart w:id="66" w:name="_Toc207206818"/>
      <w:bookmarkEnd w:id="63"/>
      <w:bookmarkEnd w:id="64"/>
      <w:bookmarkEnd w:id="65"/>
      <w:r w:rsidR="000F3351" w:rsidRPr="00447546">
        <w:rPr>
          <w:rStyle w:val="Heading"/>
          <w:rFonts w:ascii="Verdana" w:hAnsi="Verdana" w:cstheme="majorBidi"/>
          <w:color w:val="FFFFFF" w:themeColor="background1"/>
          <w:sz w:val="40"/>
          <w:szCs w:val="40"/>
        </w:rPr>
        <w:t>Annexes</w:t>
      </w:r>
      <w:bookmarkEnd w:id="66"/>
    </w:p>
    <w:p w14:paraId="4E3626A0" w14:textId="77777777" w:rsidR="008E7E2B" w:rsidRDefault="008E7E2B" w:rsidP="008E7E2B"/>
    <w:p w14:paraId="0552C115" w14:textId="1E9348AA" w:rsidR="005472CF" w:rsidRPr="005472CF" w:rsidRDefault="005472CF" w:rsidP="005472CF">
      <w:pPr>
        <w:pStyle w:val="ListParagraph"/>
        <w:rPr>
          <w:b/>
          <w:bCs/>
        </w:rPr>
      </w:pPr>
    </w:p>
    <w:p w14:paraId="5493708A" w14:textId="77777777" w:rsidR="00155FEA" w:rsidRDefault="00155FEA" w:rsidP="0047156B">
      <w:pPr>
        <w:pStyle w:val="Heading2"/>
        <w:sectPr w:rsidR="00155FEA" w:rsidSect="000C15A8">
          <w:headerReference w:type="first" r:id="rId38"/>
          <w:pgSz w:w="11900" w:h="16840"/>
          <w:pgMar w:top="1440" w:right="1080" w:bottom="1440" w:left="1080" w:header="709" w:footer="709" w:gutter="0"/>
          <w:pgNumType w:start="1"/>
          <w:cols w:space="720"/>
          <w:titlePg/>
          <w:docGrid w:linePitch="360"/>
        </w:sectPr>
      </w:pPr>
    </w:p>
    <w:p w14:paraId="5B78CF08" w14:textId="4ED7B4F4" w:rsidR="00997571" w:rsidRPr="00447546" w:rsidRDefault="002A0D12" w:rsidP="00447546">
      <w:pPr>
        <w:pStyle w:val="Heading3"/>
        <w:rPr>
          <w:b/>
          <w:bCs/>
        </w:rPr>
      </w:pPr>
      <w:r w:rsidRPr="0047156B">
        <w:br w:type="page"/>
      </w:r>
      <w:bookmarkStart w:id="67" w:name="_Toc207206819"/>
      <w:r w:rsidR="000F3351" w:rsidRPr="00447546">
        <w:rPr>
          <w:b/>
          <w:bCs/>
        </w:rPr>
        <w:lastRenderedPageBreak/>
        <w:t>Annexe</w:t>
      </w:r>
      <w:r w:rsidR="0073589D" w:rsidRPr="00447546">
        <w:rPr>
          <w:b/>
          <w:bCs/>
        </w:rPr>
        <w:t xml:space="preserve"> </w:t>
      </w:r>
      <w:r w:rsidR="005640D6" w:rsidRPr="00447546">
        <w:rPr>
          <w:b/>
          <w:bCs/>
        </w:rPr>
        <w:t>1</w:t>
      </w:r>
      <w:r w:rsidR="0073589D" w:rsidRPr="00447546">
        <w:rPr>
          <w:b/>
          <w:bCs/>
        </w:rPr>
        <w:t xml:space="preserve">: </w:t>
      </w:r>
      <w:r w:rsidR="00721320" w:rsidRPr="00447546">
        <w:rPr>
          <w:b/>
          <w:bCs/>
        </w:rPr>
        <w:t>Project documents reviewed</w:t>
      </w:r>
      <w:bookmarkEnd w:id="67"/>
    </w:p>
    <w:p w14:paraId="22C22A30" w14:textId="0DD945DD" w:rsidR="0073589D" w:rsidRDefault="0073589D" w:rsidP="00D41C65"/>
    <w:p w14:paraId="39E6F6A1" w14:textId="7825E214" w:rsidR="0044125C" w:rsidRDefault="0044125C" w:rsidP="0044125C">
      <w:pPr>
        <w:pStyle w:val="Caption"/>
        <w:rPr>
          <w:b/>
          <w:bCs/>
        </w:rPr>
      </w:pPr>
      <w:bookmarkStart w:id="68" w:name="_Ref187844495"/>
      <w:r>
        <w:t xml:space="preserve">Table </w:t>
      </w:r>
      <w:r>
        <w:fldChar w:fldCharType="begin"/>
      </w:r>
      <w:r>
        <w:instrText xml:space="preserve"> SEQ Table \* ARABIC </w:instrText>
      </w:r>
      <w:r>
        <w:fldChar w:fldCharType="separate"/>
      </w:r>
      <w:r w:rsidR="00FC67EE">
        <w:rPr>
          <w:noProof/>
        </w:rPr>
        <w:t>2</w:t>
      </w:r>
      <w:r>
        <w:fldChar w:fldCharType="end"/>
      </w:r>
      <w:bookmarkEnd w:id="68"/>
      <w:r>
        <w:t xml:space="preserve">: </w:t>
      </w:r>
      <w:r w:rsidRPr="002F6EA8">
        <w:t xml:space="preserve">List of </w:t>
      </w:r>
      <w:r>
        <w:t xml:space="preserve">independent </w:t>
      </w:r>
      <w:r w:rsidRPr="002F6EA8">
        <w:t>evaluations</w:t>
      </w:r>
      <w:r>
        <w:t xml:space="preserve"> commissioned by DFAT</w:t>
      </w:r>
    </w:p>
    <w:tbl>
      <w:tblPr>
        <w:tblStyle w:val="GridTable4-Accent5"/>
        <w:tblW w:w="0" w:type="auto"/>
        <w:tblLook w:val="04A0" w:firstRow="1" w:lastRow="0" w:firstColumn="1" w:lastColumn="0" w:noHBand="0" w:noVBand="1"/>
      </w:tblPr>
      <w:tblGrid>
        <w:gridCol w:w="846"/>
        <w:gridCol w:w="7513"/>
        <w:gridCol w:w="657"/>
      </w:tblGrid>
      <w:tr w:rsidR="0044125C" w:rsidRPr="00D22800" w14:paraId="70A3F4E8" w14:textId="77777777" w:rsidTr="00734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C90582D" w14:textId="77777777" w:rsidR="0044125C" w:rsidRPr="008D3EF9" w:rsidRDefault="0044125C" w:rsidP="0073437D">
            <w:pPr>
              <w:rPr>
                <w:color w:val="FFFFFF" w:themeColor="background1"/>
              </w:rPr>
            </w:pPr>
            <w:r w:rsidRPr="008D3EF9">
              <w:rPr>
                <w:color w:val="FFFFFF" w:themeColor="background1"/>
              </w:rPr>
              <w:t>Year</w:t>
            </w:r>
          </w:p>
        </w:tc>
        <w:tc>
          <w:tcPr>
            <w:tcW w:w="7513" w:type="dxa"/>
          </w:tcPr>
          <w:p w14:paraId="7893A071" w14:textId="77777777" w:rsidR="0044125C" w:rsidRPr="008D3EF9" w:rsidRDefault="0044125C" w:rsidP="00734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D3EF9">
              <w:rPr>
                <w:color w:val="FFFFFF" w:themeColor="background1"/>
              </w:rPr>
              <w:t>Title</w:t>
            </w:r>
          </w:p>
        </w:tc>
        <w:tc>
          <w:tcPr>
            <w:tcW w:w="657" w:type="dxa"/>
          </w:tcPr>
          <w:p w14:paraId="527F170B" w14:textId="77777777" w:rsidR="0044125C" w:rsidRPr="008D3EF9" w:rsidRDefault="0044125C" w:rsidP="00734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8D3EF9">
              <w:rPr>
                <w:color w:val="FFFFFF" w:themeColor="background1"/>
              </w:rPr>
              <w:t>Link</w:t>
            </w:r>
          </w:p>
        </w:tc>
      </w:tr>
      <w:tr w:rsidR="0044125C" w:rsidRPr="00D22800" w14:paraId="3817A99A"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CF76868" w14:textId="77777777" w:rsidR="0044125C" w:rsidRPr="00D22800" w:rsidRDefault="0044125C" w:rsidP="0073437D">
            <w:r w:rsidRPr="00D22800">
              <w:t>2015</w:t>
            </w:r>
          </w:p>
        </w:tc>
        <w:tc>
          <w:tcPr>
            <w:tcW w:w="7513" w:type="dxa"/>
          </w:tcPr>
          <w:p w14:paraId="1A6D4F00" w14:textId="77777777" w:rsidR="0044125C" w:rsidRPr="00D22800" w:rsidRDefault="0044125C" w:rsidP="0073437D">
            <w:pPr>
              <w:cnfStyle w:val="000000100000" w:firstRow="0" w:lastRow="0" w:firstColumn="0" w:lastColumn="0" w:oddVBand="0" w:evenVBand="0" w:oddHBand="1" w:evenHBand="0" w:firstRowFirstColumn="0" w:firstRowLastColumn="0" w:lastRowFirstColumn="0" w:lastRowLastColumn="0"/>
            </w:pPr>
            <w:r w:rsidRPr="00D22800">
              <w:t>Improving Community-based Fisheries Management in Pacific Countries Program [Phase 1]: Mid-Term Review</w:t>
            </w:r>
          </w:p>
        </w:tc>
        <w:tc>
          <w:tcPr>
            <w:tcW w:w="657" w:type="dxa"/>
          </w:tcPr>
          <w:p w14:paraId="6E7C7815" w14:textId="77777777" w:rsidR="0044125C" w:rsidRPr="00D22800" w:rsidRDefault="0044125C"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39" w:history="1">
              <w:r w:rsidRPr="00D22800">
                <w:rPr>
                  <w:rStyle w:val="Hyperlink"/>
                  <w:rFonts w:asciiTheme="minorHAnsi" w:hAnsiTheme="minorHAnsi"/>
                  <w:sz w:val="20"/>
                  <w:szCs w:val="20"/>
                </w:rPr>
                <w:t>Link</w:t>
              </w:r>
            </w:hyperlink>
          </w:p>
        </w:tc>
      </w:tr>
      <w:tr w:rsidR="0044125C" w:rsidRPr="00D22800" w14:paraId="1BE0272B" w14:textId="77777777" w:rsidTr="0073437D">
        <w:tc>
          <w:tcPr>
            <w:cnfStyle w:val="001000000000" w:firstRow="0" w:lastRow="0" w:firstColumn="1" w:lastColumn="0" w:oddVBand="0" w:evenVBand="0" w:oddHBand="0" w:evenHBand="0" w:firstRowFirstColumn="0" w:firstRowLastColumn="0" w:lastRowFirstColumn="0" w:lastRowLastColumn="0"/>
            <w:tcW w:w="846" w:type="dxa"/>
          </w:tcPr>
          <w:p w14:paraId="7ED2490A" w14:textId="77777777" w:rsidR="0044125C" w:rsidRPr="00D22800" w:rsidRDefault="0044125C" w:rsidP="0073437D">
            <w:r w:rsidRPr="00D22800">
              <w:t>2019</w:t>
            </w:r>
          </w:p>
        </w:tc>
        <w:tc>
          <w:tcPr>
            <w:tcW w:w="7513" w:type="dxa"/>
          </w:tcPr>
          <w:p w14:paraId="64490B80" w14:textId="77777777" w:rsidR="0044125C" w:rsidRPr="00D22800" w:rsidRDefault="0044125C" w:rsidP="0073437D">
            <w:pPr>
              <w:cnfStyle w:val="000000000000" w:firstRow="0" w:lastRow="0" w:firstColumn="0" w:lastColumn="0" w:oddVBand="0" w:evenVBand="0" w:oddHBand="0" w:evenHBand="0" w:firstRowFirstColumn="0" w:firstRowLastColumn="0" w:lastRowFirstColumn="0" w:lastRowLastColumn="0"/>
            </w:pPr>
            <w:r w:rsidRPr="00D22800">
              <w:t>Improving Community-based Fisheries Management in the Pacific [Phase 2]: Mid-Term Review</w:t>
            </w:r>
          </w:p>
        </w:tc>
        <w:tc>
          <w:tcPr>
            <w:tcW w:w="657" w:type="dxa"/>
          </w:tcPr>
          <w:p w14:paraId="614B2BE7" w14:textId="77777777" w:rsidR="0044125C" w:rsidRPr="00D22800" w:rsidRDefault="0044125C"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40" w:history="1">
              <w:r w:rsidRPr="00D22800">
                <w:rPr>
                  <w:rStyle w:val="Hyperlink"/>
                  <w:rFonts w:asciiTheme="minorHAnsi" w:hAnsiTheme="minorHAnsi"/>
                  <w:sz w:val="20"/>
                  <w:szCs w:val="20"/>
                </w:rPr>
                <w:t>Link</w:t>
              </w:r>
            </w:hyperlink>
          </w:p>
        </w:tc>
      </w:tr>
      <w:tr w:rsidR="0044125C" w:rsidRPr="00D22800" w14:paraId="20473A5B"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14B65D5" w14:textId="77777777" w:rsidR="0044125C" w:rsidRPr="00D22800" w:rsidRDefault="0044125C" w:rsidP="0073437D">
            <w:r w:rsidRPr="00D22800">
              <w:t>2020</w:t>
            </w:r>
          </w:p>
        </w:tc>
        <w:tc>
          <w:tcPr>
            <w:tcW w:w="7513" w:type="dxa"/>
          </w:tcPr>
          <w:p w14:paraId="448E3B40" w14:textId="77777777" w:rsidR="0044125C" w:rsidRPr="00D22800" w:rsidRDefault="0044125C" w:rsidP="0073437D">
            <w:pPr>
              <w:cnfStyle w:val="000000100000" w:firstRow="0" w:lastRow="0" w:firstColumn="0" w:lastColumn="0" w:oddVBand="0" w:evenVBand="0" w:oddHBand="1" w:evenHBand="0" w:firstRowFirstColumn="0" w:firstRowLastColumn="0" w:lastRowFirstColumn="0" w:lastRowLastColumn="0"/>
            </w:pPr>
            <w:r w:rsidRPr="00D22800">
              <w:t>Office of the Pacific Ocean Commissioner Evaluation</w:t>
            </w:r>
          </w:p>
        </w:tc>
        <w:tc>
          <w:tcPr>
            <w:tcW w:w="657" w:type="dxa"/>
          </w:tcPr>
          <w:p w14:paraId="1F83D9CC" w14:textId="77777777" w:rsidR="0044125C" w:rsidRPr="00D22800" w:rsidRDefault="0044125C"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41" w:history="1">
              <w:r w:rsidRPr="00D22800">
                <w:rPr>
                  <w:rStyle w:val="Hyperlink"/>
                  <w:rFonts w:asciiTheme="minorHAnsi" w:hAnsiTheme="minorHAnsi"/>
                  <w:sz w:val="20"/>
                  <w:szCs w:val="20"/>
                </w:rPr>
                <w:t>Link</w:t>
              </w:r>
            </w:hyperlink>
          </w:p>
        </w:tc>
      </w:tr>
      <w:tr w:rsidR="0044125C" w:rsidRPr="00D22800" w14:paraId="3E38119D" w14:textId="77777777" w:rsidTr="0073437D">
        <w:tc>
          <w:tcPr>
            <w:cnfStyle w:val="001000000000" w:firstRow="0" w:lastRow="0" w:firstColumn="1" w:lastColumn="0" w:oddVBand="0" w:evenVBand="0" w:oddHBand="0" w:evenHBand="0" w:firstRowFirstColumn="0" w:firstRowLastColumn="0" w:lastRowFirstColumn="0" w:lastRowLastColumn="0"/>
            <w:tcW w:w="846" w:type="dxa"/>
          </w:tcPr>
          <w:p w14:paraId="67968754" w14:textId="77777777" w:rsidR="0044125C" w:rsidRPr="00D22800" w:rsidRDefault="0044125C" w:rsidP="0073437D">
            <w:r w:rsidRPr="00D22800">
              <w:t>2020</w:t>
            </w:r>
          </w:p>
        </w:tc>
        <w:tc>
          <w:tcPr>
            <w:tcW w:w="7513" w:type="dxa"/>
          </w:tcPr>
          <w:p w14:paraId="14D28C4B" w14:textId="77777777" w:rsidR="0044125C" w:rsidRPr="00D22800" w:rsidRDefault="0044125C" w:rsidP="0073437D">
            <w:pPr>
              <w:cnfStyle w:val="000000000000" w:firstRow="0" w:lastRow="0" w:firstColumn="0" w:lastColumn="0" w:oddVBand="0" w:evenVBand="0" w:oddHBand="0" w:evenHBand="0" w:firstRowFirstColumn="0" w:firstRowLastColumn="0" w:lastRowFirstColumn="0" w:lastRowLastColumn="0"/>
            </w:pPr>
            <w:r w:rsidRPr="00D22800">
              <w:t>Pacific Maritime Boundaries – End of Investment Evaluation</w:t>
            </w:r>
          </w:p>
        </w:tc>
        <w:tc>
          <w:tcPr>
            <w:tcW w:w="657" w:type="dxa"/>
          </w:tcPr>
          <w:p w14:paraId="6C5CC680" w14:textId="77777777" w:rsidR="0044125C" w:rsidRPr="00D22800" w:rsidRDefault="0044125C"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42" w:history="1">
              <w:r w:rsidRPr="00D22800">
                <w:rPr>
                  <w:rStyle w:val="Hyperlink"/>
                  <w:rFonts w:asciiTheme="minorHAnsi" w:hAnsiTheme="minorHAnsi"/>
                  <w:sz w:val="20"/>
                  <w:szCs w:val="20"/>
                </w:rPr>
                <w:t>Link</w:t>
              </w:r>
            </w:hyperlink>
          </w:p>
        </w:tc>
      </w:tr>
      <w:tr w:rsidR="0044125C" w:rsidRPr="00D22800" w14:paraId="7E7FF73D"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8088A48" w14:textId="77777777" w:rsidR="0044125C" w:rsidRPr="00D22800" w:rsidRDefault="0044125C" w:rsidP="0073437D">
            <w:r w:rsidRPr="00D22800">
              <w:t>2022</w:t>
            </w:r>
          </w:p>
        </w:tc>
        <w:tc>
          <w:tcPr>
            <w:tcW w:w="7513" w:type="dxa"/>
          </w:tcPr>
          <w:p w14:paraId="4AADA241" w14:textId="77777777" w:rsidR="0044125C" w:rsidRPr="00D22800" w:rsidRDefault="0044125C" w:rsidP="0073437D">
            <w:pPr>
              <w:cnfStyle w:val="000000100000" w:firstRow="0" w:lastRow="0" w:firstColumn="0" w:lastColumn="0" w:oddVBand="0" w:evenVBand="0" w:oddHBand="1" w:evenHBand="0" w:firstRowFirstColumn="0" w:firstRowLastColumn="0" w:lastRowFirstColumn="0" w:lastRowLastColumn="0"/>
            </w:pPr>
            <w:r w:rsidRPr="00D22800">
              <w:t>Pacific Illegal, Unreported and Unregulated (IUU) Fishing: End of Investment Evaluation</w:t>
            </w:r>
          </w:p>
        </w:tc>
        <w:tc>
          <w:tcPr>
            <w:tcW w:w="657" w:type="dxa"/>
          </w:tcPr>
          <w:p w14:paraId="02367700" w14:textId="77777777" w:rsidR="0044125C" w:rsidRPr="00D22800" w:rsidRDefault="0044125C"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43" w:history="1">
              <w:r w:rsidRPr="00D22800">
                <w:rPr>
                  <w:rStyle w:val="Hyperlink"/>
                  <w:rFonts w:asciiTheme="minorHAnsi" w:hAnsiTheme="minorHAnsi"/>
                  <w:sz w:val="20"/>
                  <w:szCs w:val="20"/>
                </w:rPr>
                <w:t>Link</w:t>
              </w:r>
            </w:hyperlink>
          </w:p>
        </w:tc>
      </w:tr>
      <w:tr w:rsidR="0044125C" w:rsidRPr="00D22800" w14:paraId="21EC80E8" w14:textId="77777777" w:rsidTr="0073437D">
        <w:tc>
          <w:tcPr>
            <w:cnfStyle w:val="001000000000" w:firstRow="0" w:lastRow="0" w:firstColumn="1" w:lastColumn="0" w:oddVBand="0" w:evenVBand="0" w:oddHBand="0" w:evenHBand="0" w:firstRowFirstColumn="0" w:firstRowLastColumn="0" w:lastRowFirstColumn="0" w:lastRowLastColumn="0"/>
            <w:tcW w:w="846" w:type="dxa"/>
          </w:tcPr>
          <w:p w14:paraId="0E3CE0DE" w14:textId="77777777" w:rsidR="0044125C" w:rsidRPr="00D22800" w:rsidRDefault="0044125C" w:rsidP="0073437D">
            <w:r w:rsidRPr="00D22800">
              <w:t>2023</w:t>
            </w:r>
          </w:p>
        </w:tc>
        <w:tc>
          <w:tcPr>
            <w:tcW w:w="7513" w:type="dxa"/>
          </w:tcPr>
          <w:p w14:paraId="508B58DF" w14:textId="6DE4E56D" w:rsidR="0044125C" w:rsidRPr="00D22800" w:rsidRDefault="0044125C" w:rsidP="0073437D">
            <w:pPr>
              <w:cnfStyle w:val="000000000000" w:firstRow="0" w:lastRow="0" w:firstColumn="0" w:lastColumn="0" w:oddVBand="0" w:evenVBand="0" w:oddHBand="0" w:evenHBand="0" w:firstRowFirstColumn="0" w:firstRowLastColumn="0" w:lastRowFirstColumn="0" w:lastRowLastColumn="0"/>
            </w:pPr>
            <w:r w:rsidRPr="00D22800">
              <w:t xml:space="preserve">Pacific Community’s Fisheries, Aquaculture and Marine Ecosystems Division (SPC </w:t>
            </w:r>
            <w:r w:rsidR="006B5558">
              <w:t>FAME</w:t>
            </w:r>
            <w:r w:rsidRPr="00D22800">
              <w:t>): Evaluation of DFAT Funding Support</w:t>
            </w:r>
          </w:p>
        </w:tc>
        <w:tc>
          <w:tcPr>
            <w:tcW w:w="657" w:type="dxa"/>
          </w:tcPr>
          <w:p w14:paraId="0CDD5402" w14:textId="77777777" w:rsidR="0044125C" w:rsidRPr="00D22800" w:rsidRDefault="0044125C"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44" w:history="1">
              <w:r w:rsidRPr="00D22800">
                <w:rPr>
                  <w:rStyle w:val="Hyperlink"/>
                  <w:rFonts w:asciiTheme="minorHAnsi" w:hAnsiTheme="minorHAnsi"/>
                  <w:sz w:val="20"/>
                  <w:szCs w:val="20"/>
                </w:rPr>
                <w:t>Link</w:t>
              </w:r>
            </w:hyperlink>
          </w:p>
        </w:tc>
      </w:tr>
      <w:tr w:rsidR="0044125C" w:rsidRPr="00D22800" w14:paraId="587824EA"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091A1642" w14:textId="77777777" w:rsidR="0044125C" w:rsidRPr="00D22800" w:rsidRDefault="0044125C" w:rsidP="0073437D">
            <w:r w:rsidRPr="00D22800">
              <w:t>2024</w:t>
            </w:r>
          </w:p>
        </w:tc>
        <w:tc>
          <w:tcPr>
            <w:tcW w:w="7513" w:type="dxa"/>
          </w:tcPr>
          <w:p w14:paraId="48D48A83" w14:textId="77777777" w:rsidR="0044125C" w:rsidRPr="00D22800" w:rsidRDefault="0044125C" w:rsidP="0073437D">
            <w:pPr>
              <w:cnfStyle w:val="000000100000" w:firstRow="0" w:lastRow="0" w:firstColumn="0" w:lastColumn="0" w:oddVBand="0" w:evenVBand="0" w:oddHBand="1" w:evenHBand="0" w:firstRowFirstColumn="0" w:firstRowLastColumn="0" w:lastRowFirstColumn="0" w:lastRowLastColumn="0"/>
            </w:pPr>
            <w:r w:rsidRPr="00D22800">
              <w:t>Coalitions for change in sustainable national CBFM programs in the Pacific [CBFM Phase 2]: Mid-term review report</w:t>
            </w:r>
          </w:p>
        </w:tc>
        <w:tc>
          <w:tcPr>
            <w:tcW w:w="657" w:type="dxa"/>
          </w:tcPr>
          <w:p w14:paraId="1CD2A7B2" w14:textId="77777777" w:rsidR="0044125C" w:rsidRPr="00D22800" w:rsidRDefault="0044125C" w:rsidP="0073437D">
            <w:pPr>
              <w:cnfStyle w:val="000000100000" w:firstRow="0" w:lastRow="0" w:firstColumn="0" w:lastColumn="0" w:oddVBand="0" w:evenVBand="0" w:oddHBand="1" w:evenHBand="0" w:firstRowFirstColumn="0" w:firstRowLastColumn="0" w:lastRowFirstColumn="0" w:lastRowLastColumn="0"/>
            </w:pPr>
            <w:r w:rsidRPr="00D22800">
              <w:t>N/A</w:t>
            </w:r>
          </w:p>
        </w:tc>
      </w:tr>
    </w:tbl>
    <w:p w14:paraId="509D27F6" w14:textId="77777777" w:rsidR="0044125C" w:rsidRDefault="0044125C" w:rsidP="00D41C65"/>
    <w:p w14:paraId="199B3AD9" w14:textId="58DB6CAE" w:rsidR="005E14A2" w:rsidRPr="00581C11" w:rsidRDefault="005E14A2" w:rsidP="005E14A2">
      <w:pPr>
        <w:pStyle w:val="Caption"/>
      </w:pPr>
      <w:r>
        <w:t xml:space="preserve">Table </w:t>
      </w:r>
      <w:r>
        <w:fldChar w:fldCharType="begin"/>
      </w:r>
      <w:r>
        <w:instrText xml:space="preserve"> SEQ Table \* ARABIC </w:instrText>
      </w:r>
      <w:r>
        <w:fldChar w:fldCharType="separate"/>
      </w:r>
      <w:r w:rsidR="00FC67EE">
        <w:rPr>
          <w:noProof/>
        </w:rPr>
        <w:t>3</w:t>
      </w:r>
      <w:r>
        <w:fldChar w:fldCharType="end"/>
      </w:r>
      <w:r>
        <w:t xml:space="preserve">: </w:t>
      </w:r>
      <w:r w:rsidRPr="00313B0E">
        <w:t>Project documents reviewed</w:t>
      </w:r>
    </w:p>
    <w:tbl>
      <w:tblPr>
        <w:tblStyle w:val="PlainTable4"/>
        <w:tblW w:w="0" w:type="auto"/>
        <w:tblLook w:val="04A0" w:firstRow="1" w:lastRow="0" w:firstColumn="1" w:lastColumn="0" w:noHBand="0" w:noVBand="1"/>
      </w:tblPr>
      <w:tblGrid>
        <w:gridCol w:w="8789"/>
      </w:tblGrid>
      <w:tr w:rsidR="00242983" w:rsidRPr="00546313" w14:paraId="63C73FC5" w14:textId="77777777" w:rsidTr="004E473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227B004D" w14:textId="77777777" w:rsidR="00242983" w:rsidRPr="00546313" w:rsidRDefault="00242983" w:rsidP="00546313">
            <w:pPr>
              <w:rPr>
                <w:rFonts w:eastAsia="Calibri" w:cs="Calibri Light"/>
                <w:b w:val="0"/>
                <w:bCs w:val="0"/>
              </w:rPr>
            </w:pPr>
            <w:r w:rsidRPr="00546313">
              <w:rPr>
                <w:rFonts w:cs="Calibri Light"/>
                <w:b w:val="0"/>
                <w:bCs w:val="0"/>
              </w:rPr>
              <w:t xml:space="preserve">2015 AQC - </w:t>
            </w:r>
            <w:proofErr w:type="spellStart"/>
            <w:r w:rsidRPr="00546313">
              <w:rPr>
                <w:rFonts w:cs="Calibri Light"/>
                <w:b w:val="0"/>
                <w:bCs w:val="0"/>
              </w:rPr>
              <w:t>Att</w:t>
            </w:r>
            <w:proofErr w:type="spellEnd"/>
            <w:r w:rsidRPr="00546313">
              <w:rPr>
                <w:rFonts w:cs="Calibri Light"/>
                <w:b w:val="0"/>
                <w:bCs w:val="0"/>
              </w:rPr>
              <w:t xml:space="preserve"> 1 Highlights.docx</w:t>
            </w:r>
          </w:p>
        </w:tc>
      </w:tr>
      <w:tr w:rsidR="00242983" w:rsidRPr="00546313" w14:paraId="37F585C7" w14:textId="77777777" w:rsidTr="004E47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6DE65270" w14:textId="77777777" w:rsidR="00242983" w:rsidRPr="00546313" w:rsidRDefault="00242983" w:rsidP="00546313">
            <w:pPr>
              <w:rPr>
                <w:rFonts w:eastAsia="Calibri" w:cs="Calibri Light"/>
                <w:b w:val="0"/>
                <w:bCs w:val="0"/>
              </w:rPr>
            </w:pPr>
            <w:r w:rsidRPr="00546313">
              <w:rPr>
                <w:rFonts w:cs="Calibri Light"/>
                <w:b w:val="0"/>
                <w:bCs w:val="0"/>
              </w:rPr>
              <w:t xml:space="preserve">2015 AQC - </w:t>
            </w:r>
            <w:proofErr w:type="spellStart"/>
            <w:r w:rsidRPr="00546313">
              <w:rPr>
                <w:rFonts w:cs="Calibri Light"/>
                <w:b w:val="0"/>
                <w:bCs w:val="0"/>
              </w:rPr>
              <w:t>Att</w:t>
            </w:r>
            <w:proofErr w:type="spellEnd"/>
            <w:r w:rsidRPr="00546313">
              <w:rPr>
                <w:rFonts w:cs="Calibri Light"/>
                <w:b w:val="0"/>
                <w:bCs w:val="0"/>
              </w:rPr>
              <w:t xml:space="preserve"> 2 Results Reporting.xlsx</w:t>
            </w:r>
          </w:p>
        </w:tc>
      </w:tr>
      <w:tr w:rsidR="00242983" w:rsidRPr="00546313" w14:paraId="3D10D306" w14:textId="77777777" w:rsidTr="004E4730">
        <w:trPr>
          <w:trHeight w:val="30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6119FD21" w14:textId="77777777" w:rsidR="00242983" w:rsidRPr="00546313" w:rsidRDefault="00242983" w:rsidP="00546313">
            <w:pPr>
              <w:rPr>
                <w:rFonts w:eastAsia="Calibri" w:cs="Calibri Light"/>
                <w:b w:val="0"/>
                <w:bCs w:val="0"/>
              </w:rPr>
            </w:pPr>
            <w:r w:rsidRPr="00546313">
              <w:rPr>
                <w:rFonts w:cs="Calibri Light"/>
                <w:b w:val="0"/>
                <w:bCs w:val="0"/>
              </w:rPr>
              <w:t>2015 AQC Report.PDF</w:t>
            </w:r>
          </w:p>
        </w:tc>
      </w:tr>
      <w:tr w:rsidR="00242983" w:rsidRPr="00546313" w14:paraId="4477BD44" w14:textId="77777777" w:rsidTr="004E473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497C6692" w14:textId="77777777" w:rsidR="00242983" w:rsidRPr="00546313" w:rsidRDefault="00242983" w:rsidP="00546313">
            <w:pPr>
              <w:rPr>
                <w:rFonts w:eastAsia="Calibri" w:cs="Calibri Light"/>
                <w:b w:val="0"/>
                <w:bCs w:val="0"/>
                <w:kern w:val="2"/>
              </w:rPr>
            </w:pPr>
            <w:r w:rsidRPr="00546313">
              <w:rPr>
                <w:rFonts w:cs="Calibri Light"/>
                <w:b w:val="0"/>
                <w:bCs w:val="0"/>
              </w:rPr>
              <w:t xml:space="preserve">2016 AQC - </w:t>
            </w:r>
            <w:proofErr w:type="spellStart"/>
            <w:r w:rsidRPr="00546313">
              <w:rPr>
                <w:rFonts w:cs="Calibri Light"/>
                <w:b w:val="0"/>
                <w:bCs w:val="0"/>
              </w:rPr>
              <w:t>Att</w:t>
            </w:r>
            <w:proofErr w:type="spellEnd"/>
            <w:r w:rsidRPr="00546313">
              <w:rPr>
                <w:rFonts w:cs="Calibri Light"/>
                <w:b w:val="0"/>
                <w:bCs w:val="0"/>
              </w:rPr>
              <w:t xml:space="preserve"> 1 Highlights.docx</w:t>
            </w:r>
          </w:p>
        </w:tc>
      </w:tr>
      <w:tr w:rsidR="00242983" w:rsidRPr="00546313" w14:paraId="076C457C" w14:textId="77777777" w:rsidTr="004E4730">
        <w:trPr>
          <w:trHeight w:val="30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40A4A575" w14:textId="66FE3530" w:rsidR="00242983" w:rsidRPr="00546313" w:rsidRDefault="00242983" w:rsidP="00546313">
            <w:pPr>
              <w:rPr>
                <w:rFonts w:eastAsia="Calibri" w:cs="Calibri Light"/>
                <w:b w:val="0"/>
                <w:bCs w:val="0"/>
              </w:rPr>
            </w:pPr>
            <w:r w:rsidRPr="00546313">
              <w:rPr>
                <w:rFonts w:cs="Calibri Light"/>
                <w:b w:val="0"/>
                <w:bCs w:val="0"/>
              </w:rPr>
              <w:t xml:space="preserve">2016 AQC - </w:t>
            </w:r>
            <w:proofErr w:type="spellStart"/>
            <w:r w:rsidRPr="00546313">
              <w:rPr>
                <w:rFonts w:cs="Calibri Light"/>
                <w:b w:val="0"/>
                <w:bCs w:val="0"/>
              </w:rPr>
              <w:t>Att</w:t>
            </w:r>
            <w:proofErr w:type="spellEnd"/>
            <w:r w:rsidRPr="00546313">
              <w:rPr>
                <w:rFonts w:cs="Calibri Light"/>
                <w:b w:val="0"/>
                <w:bCs w:val="0"/>
              </w:rPr>
              <w:t xml:space="preserve"> 2 Results Reporting</w:t>
            </w:r>
            <w:r w:rsidR="00A733FE">
              <w:rPr>
                <w:rFonts w:cs="Calibri Light"/>
                <w:b w:val="0"/>
                <w:bCs w:val="0"/>
              </w:rPr>
              <w:t>.</w:t>
            </w:r>
            <w:r w:rsidRPr="00546313">
              <w:rPr>
                <w:rFonts w:cs="Calibri Light"/>
                <w:b w:val="0"/>
                <w:bCs w:val="0"/>
              </w:rPr>
              <w:t>xls</w:t>
            </w:r>
            <w:r w:rsidR="00147800">
              <w:rPr>
                <w:rFonts w:cs="Calibri Light"/>
                <w:b w:val="0"/>
                <w:bCs w:val="0"/>
              </w:rPr>
              <w:t>x</w:t>
            </w:r>
          </w:p>
        </w:tc>
      </w:tr>
      <w:tr w:rsidR="00242983" w:rsidRPr="00546313" w14:paraId="592F6F32"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5FB26090" w14:textId="77777777" w:rsidR="00242983" w:rsidRPr="00546313" w:rsidRDefault="00242983" w:rsidP="00546313">
            <w:pPr>
              <w:rPr>
                <w:rFonts w:eastAsia="Calibri" w:cs="Calibri Light"/>
                <w:b w:val="0"/>
                <w:bCs w:val="0"/>
              </w:rPr>
            </w:pPr>
            <w:r w:rsidRPr="00546313">
              <w:rPr>
                <w:rFonts w:cs="Calibri Light"/>
                <w:b w:val="0"/>
                <w:bCs w:val="0"/>
              </w:rPr>
              <w:t>2016 AQC Report.docx</w:t>
            </w:r>
          </w:p>
        </w:tc>
      </w:tr>
      <w:tr w:rsidR="00242983" w:rsidRPr="00546313" w14:paraId="52111E47"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0BC9A6D0" w14:textId="77777777" w:rsidR="00242983" w:rsidRPr="00546313" w:rsidRDefault="00242983" w:rsidP="00546313">
            <w:pPr>
              <w:rPr>
                <w:rFonts w:eastAsia="Calibri" w:cs="Calibri Light"/>
                <w:b w:val="0"/>
                <w:bCs w:val="0"/>
              </w:rPr>
            </w:pPr>
            <w:r w:rsidRPr="00546313">
              <w:rPr>
                <w:rFonts w:cs="Calibri Light"/>
                <w:b w:val="0"/>
                <w:bCs w:val="0"/>
              </w:rPr>
              <w:t>2017 AQC - CBFM.docx</w:t>
            </w:r>
          </w:p>
        </w:tc>
      </w:tr>
      <w:tr w:rsidR="00242983" w:rsidRPr="00546313" w14:paraId="63D7CF43"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75C363C7" w14:textId="77777777" w:rsidR="00242983" w:rsidRPr="00546313" w:rsidRDefault="00242983" w:rsidP="00546313">
            <w:pPr>
              <w:rPr>
                <w:rFonts w:eastAsia="Calibri" w:cs="Calibri Light"/>
                <w:b w:val="0"/>
                <w:bCs w:val="0"/>
              </w:rPr>
            </w:pPr>
            <w:r w:rsidRPr="00546313">
              <w:rPr>
                <w:rFonts w:cs="Calibri Light"/>
                <w:b w:val="0"/>
                <w:bCs w:val="0"/>
              </w:rPr>
              <w:t>2017 AQC - FFA.docx</w:t>
            </w:r>
          </w:p>
        </w:tc>
      </w:tr>
      <w:tr w:rsidR="00242983" w:rsidRPr="00546313" w14:paraId="05F35E2C"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693734D9" w14:textId="6DB380C8" w:rsidR="00242983" w:rsidRPr="00546313" w:rsidRDefault="00242983" w:rsidP="00546313">
            <w:pPr>
              <w:rPr>
                <w:rFonts w:eastAsia="Calibri" w:cs="Calibri Light"/>
                <w:b w:val="0"/>
                <w:bCs w:val="0"/>
              </w:rPr>
            </w:pPr>
            <w:r w:rsidRPr="00546313">
              <w:rPr>
                <w:rFonts w:cs="Calibri Light"/>
                <w:b w:val="0"/>
                <w:bCs w:val="0"/>
              </w:rPr>
              <w:t xml:space="preserve">2017 AQC - SPC </w:t>
            </w:r>
            <w:r w:rsidR="006B5558">
              <w:rPr>
                <w:rFonts w:cs="Calibri Light"/>
                <w:b w:val="0"/>
                <w:bCs w:val="0"/>
              </w:rPr>
              <w:t>FAME</w:t>
            </w:r>
            <w:r w:rsidRPr="00546313">
              <w:rPr>
                <w:rFonts w:cs="Calibri Light"/>
                <w:b w:val="0"/>
                <w:bCs w:val="0"/>
              </w:rPr>
              <w:t>.docx</w:t>
            </w:r>
          </w:p>
        </w:tc>
      </w:tr>
      <w:tr w:rsidR="00242983" w:rsidRPr="00546313" w14:paraId="4B52AFCB"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647082B1" w14:textId="77777777" w:rsidR="00242983" w:rsidRPr="00546313" w:rsidRDefault="00242983" w:rsidP="00546313">
            <w:pPr>
              <w:rPr>
                <w:rFonts w:eastAsia="Calibri" w:cs="Calibri Light"/>
                <w:b w:val="0"/>
                <w:bCs w:val="0"/>
              </w:rPr>
            </w:pPr>
            <w:r w:rsidRPr="00546313">
              <w:rPr>
                <w:rFonts w:cs="Calibri Light"/>
                <w:b w:val="0"/>
                <w:bCs w:val="0"/>
              </w:rPr>
              <w:t>2017 AQC Report.pdf</w:t>
            </w:r>
          </w:p>
        </w:tc>
      </w:tr>
      <w:tr w:rsidR="00242983" w:rsidRPr="00546313" w14:paraId="27D5B18B"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3E2EE360" w14:textId="77777777" w:rsidR="00242983" w:rsidRPr="00546313" w:rsidRDefault="00242983" w:rsidP="00546313">
            <w:pPr>
              <w:rPr>
                <w:rFonts w:eastAsia="Calibri" w:cs="Calibri Light"/>
                <w:b w:val="0"/>
                <w:bCs w:val="0"/>
              </w:rPr>
            </w:pPr>
            <w:r w:rsidRPr="00546313">
              <w:rPr>
                <w:rFonts w:cs="Calibri Light"/>
                <w:b w:val="0"/>
                <w:bCs w:val="0"/>
              </w:rPr>
              <w:t>2018 AQC - Highlights.docx</w:t>
            </w:r>
          </w:p>
        </w:tc>
      </w:tr>
      <w:tr w:rsidR="00242983" w:rsidRPr="00546313" w14:paraId="0CDBC3BB"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4C08E8E7" w14:textId="77777777" w:rsidR="00242983" w:rsidRPr="00546313" w:rsidRDefault="00242983" w:rsidP="00546313">
            <w:pPr>
              <w:rPr>
                <w:rFonts w:eastAsia="Calibri" w:cs="Calibri Light"/>
                <w:b w:val="0"/>
                <w:bCs w:val="0"/>
              </w:rPr>
            </w:pPr>
            <w:r w:rsidRPr="00546313">
              <w:rPr>
                <w:rFonts w:cs="Calibri Light"/>
                <w:b w:val="0"/>
                <w:bCs w:val="0"/>
              </w:rPr>
              <w:t>2019 AQC - Highlights.docx</w:t>
            </w:r>
          </w:p>
        </w:tc>
      </w:tr>
      <w:tr w:rsidR="00242983" w:rsidRPr="00546313" w14:paraId="5B424266"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65F0A04B" w14:textId="77777777" w:rsidR="00242983" w:rsidRPr="00546313" w:rsidRDefault="00242983" w:rsidP="00546313">
            <w:pPr>
              <w:rPr>
                <w:rFonts w:eastAsia="Calibri" w:cs="Calibri Light"/>
                <w:b w:val="0"/>
                <w:bCs w:val="0"/>
              </w:rPr>
            </w:pPr>
            <w:r w:rsidRPr="00546313">
              <w:rPr>
                <w:rFonts w:cs="Calibri Light"/>
                <w:b w:val="0"/>
                <w:bCs w:val="0"/>
              </w:rPr>
              <w:t>2019 AQC Report.pdf</w:t>
            </w:r>
          </w:p>
        </w:tc>
      </w:tr>
      <w:tr w:rsidR="00242983" w:rsidRPr="00546313" w14:paraId="726F80A2"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17FA2523" w14:textId="333E4D9C" w:rsidR="00242983" w:rsidRPr="00546313" w:rsidRDefault="00242983" w:rsidP="00546313">
            <w:pPr>
              <w:rPr>
                <w:rFonts w:eastAsia="Calibri" w:cs="Calibri Light"/>
                <w:b w:val="0"/>
                <w:bCs w:val="0"/>
              </w:rPr>
            </w:pPr>
            <w:r w:rsidRPr="00546313">
              <w:rPr>
                <w:rFonts w:cs="Calibri Light"/>
                <w:b w:val="0"/>
                <w:bCs w:val="0"/>
              </w:rPr>
              <w:t xml:space="preserve">2020 AQC - </w:t>
            </w:r>
            <w:r w:rsidR="000F3351">
              <w:rPr>
                <w:rFonts w:cs="Calibri Light"/>
                <w:b w:val="0"/>
                <w:bCs w:val="0"/>
              </w:rPr>
              <w:t>Annexe</w:t>
            </w:r>
            <w:r w:rsidRPr="00546313">
              <w:rPr>
                <w:rFonts w:cs="Calibri Light"/>
                <w:b w:val="0"/>
                <w:bCs w:val="0"/>
              </w:rPr>
              <w:t xml:space="preserve"> 1 Narrative.docx</w:t>
            </w:r>
          </w:p>
        </w:tc>
      </w:tr>
      <w:tr w:rsidR="00242983" w:rsidRPr="00546313" w14:paraId="2C2C2A74"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3AA6CDA6" w14:textId="77777777" w:rsidR="00242983" w:rsidRPr="00546313" w:rsidRDefault="00242983" w:rsidP="00546313">
            <w:pPr>
              <w:rPr>
                <w:rFonts w:eastAsia="Calibri" w:cs="Calibri Light"/>
                <w:b w:val="0"/>
                <w:bCs w:val="0"/>
              </w:rPr>
            </w:pPr>
            <w:r w:rsidRPr="00546313">
              <w:rPr>
                <w:rFonts w:cs="Calibri Light"/>
                <w:b w:val="0"/>
                <w:bCs w:val="0"/>
              </w:rPr>
              <w:t>2020 AQC Report.pdf</w:t>
            </w:r>
          </w:p>
        </w:tc>
      </w:tr>
      <w:tr w:rsidR="00242983" w:rsidRPr="00546313" w14:paraId="0FFE0A9C"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3565731E" w14:textId="77777777" w:rsidR="00242983" w:rsidRPr="00546313" w:rsidRDefault="00242983" w:rsidP="00546313">
            <w:pPr>
              <w:rPr>
                <w:rFonts w:eastAsia="Calibri" w:cs="Calibri Light"/>
                <w:b w:val="0"/>
                <w:bCs w:val="0"/>
              </w:rPr>
            </w:pPr>
            <w:r w:rsidRPr="00546313">
              <w:rPr>
                <w:rFonts w:cs="Calibri Light"/>
                <w:b w:val="0"/>
                <w:bCs w:val="0"/>
              </w:rPr>
              <w:t>DFAT Aid Quality Check - AFMA IUU 77601 2023-2024</w:t>
            </w:r>
          </w:p>
        </w:tc>
      </w:tr>
      <w:tr w:rsidR="00242983" w:rsidRPr="00546313" w14:paraId="673C5C19"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1FE9CBCE" w14:textId="77777777" w:rsidR="00242983" w:rsidRPr="00546313" w:rsidRDefault="00242983" w:rsidP="00546313">
            <w:pPr>
              <w:rPr>
                <w:rFonts w:eastAsia="Calibri" w:cs="Calibri Light"/>
                <w:b w:val="0"/>
                <w:bCs w:val="0"/>
              </w:rPr>
            </w:pPr>
            <w:r w:rsidRPr="00546313">
              <w:rPr>
                <w:rFonts w:cs="Calibri Light"/>
                <w:b w:val="0"/>
                <w:bCs w:val="0"/>
              </w:rPr>
              <w:t>2010 QAE Report.doc</w:t>
            </w:r>
          </w:p>
        </w:tc>
      </w:tr>
      <w:tr w:rsidR="00242983" w:rsidRPr="00546313" w14:paraId="2E8404F1"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11A6291D" w14:textId="77777777" w:rsidR="00242983" w:rsidRPr="00546313" w:rsidRDefault="00242983" w:rsidP="00546313">
            <w:pPr>
              <w:rPr>
                <w:rFonts w:eastAsia="Calibri" w:cs="Calibri Light"/>
                <w:b w:val="0"/>
                <w:bCs w:val="0"/>
              </w:rPr>
            </w:pPr>
            <w:r w:rsidRPr="00546313">
              <w:rPr>
                <w:rFonts w:cs="Calibri Light"/>
                <w:b w:val="0"/>
                <w:bCs w:val="0"/>
              </w:rPr>
              <w:t>2011 QAI Report.doc</w:t>
            </w:r>
          </w:p>
        </w:tc>
      </w:tr>
      <w:tr w:rsidR="00242983" w:rsidRPr="00546313" w14:paraId="39C30625"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19BE6F5D" w14:textId="77777777" w:rsidR="00242983" w:rsidRPr="00546313" w:rsidRDefault="00242983" w:rsidP="00546313">
            <w:pPr>
              <w:rPr>
                <w:rFonts w:eastAsia="Calibri" w:cs="Calibri Light"/>
                <w:b w:val="0"/>
                <w:bCs w:val="0"/>
              </w:rPr>
            </w:pPr>
            <w:r w:rsidRPr="00546313">
              <w:rPr>
                <w:rFonts w:cs="Calibri Light"/>
                <w:b w:val="0"/>
                <w:bCs w:val="0"/>
              </w:rPr>
              <w:t>2012 QAI Report.pdf</w:t>
            </w:r>
          </w:p>
        </w:tc>
      </w:tr>
      <w:tr w:rsidR="00242983" w:rsidRPr="00546313" w14:paraId="7D040F4C"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09CF9E99" w14:textId="77777777" w:rsidR="00242983" w:rsidRPr="00546313" w:rsidRDefault="00242983" w:rsidP="00546313">
            <w:pPr>
              <w:rPr>
                <w:rFonts w:eastAsia="Calibri" w:cs="Calibri Light"/>
                <w:b w:val="0"/>
                <w:bCs w:val="0"/>
              </w:rPr>
            </w:pPr>
            <w:r w:rsidRPr="00546313">
              <w:rPr>
                <w:rFonts w:cs="Calibri Light"/>
                <w:b w:val="0"/>
                <w:bCs w:val="0"/>
              </w:rPr>
              <w:t>2013 QAI Report.pdf</w:t>
            </w:r>
          </w:p>
        </w:tc>
      </w:tr>
      <w:tr w:rsidR="00242983" w:rsidRPr="00546313" w14:paraId="68A6AA9F"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1FCBCDE6" w14:textId="77777777" w:rsidR="00242983" w:rsidRPr="00546313" w:rsidRDefault="00242983" w:rsidP="00546313">
            <w:pPr>
              <w:rPr>
                <w:rFonts w:eastAsia="Calibri" w:cs="Calibri Light"/>
                <w:b w:val="0"/>
                <w:bCs w:val="0"/>
              </w:rPr>
            </w:pPr>
            <w:r w:rsidRPr="00546313">
              <w:rPr>
                <w:rFonts w:cs="Calibri Light"/>
                <w:b w:val="0"/>
                <w:bCs w:val="0"/>
              </w:rPr>
              <w:t>2014 QAI Report.pdf</w:t>
            </w:r>
          </w:p>
        </w:tc>
      </w:tr>
      <w:tr w:rsidR="00242983" w:rsidRPr="00546313" w14:paraId="79F1A588"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5CEC8D32" w14:textId="77777777" w:rsidR="00242983" w:rsidRPr="00546313" w:rsidRDefault="00242983" w:rsidP="00546313">
            <w:pPr>
              <w:rPr>
                <w:rFonts w:eastAsia="Calibri" w:cs="Calibri Light"/>
                <w:b w:val="0"/>
                <w:bCs w:val="0"/>
              </w:rPr>
            </w:pPr>
            <w:r w:rsidRPr="00546313">
              <w:rPr>
                <w:rFonts w:cs="Calibri Light"/>
                <w:b w:val="0"/>
                <w:bCs w:val="0"/>
              </w:rPr>
              <w:t>2021_INJ201_AIMR_ANNUAL_INVESTMENT_MONITORING_REPORT</w:t>
            </w:r>
          </w:p>
        </w:tc>
      </w:tr>
      <w:tr w:rsidR="00242983" w:rsidRPr="00546313" w14:paraId="28A979B4"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4668419A" w14:textId="77777777" w:rsidR="00242983" w:rsidRPr="00546313" w:rsidRDefault="00242983" w:rsidP="00546313">
            <w:pPr>
              <w:rPr>
                <w:rFonts w:eastAsia="Calibri" w:cs="Calibri Light"/>
                <w:b w:val="0"/>
                <w:bCs w:val="0"/>
              </w:rPr>
            </w:pPr>
            <w:r w:rsidRPr="00546313">
              <w:rPr>
                <w:rFonts w:cs="Calibri Light"/>
                <w:b w:val="0"/>
                <w:bCs w:val="0"/>
              </w:rPr>
              <w:t>2022_INJ201_AIMR_ANNUAL_INVESTMENT_MONITORING_REPORT</w:t>
            </w:r>
          </w:p>
        </w:tc>
      </w:tr>
      <w:tr w:rsidR="00242983" w:rsidRPr="00546313" w14:paraId="30A99A9F"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08AEB02E" w14:textId="77777777" w:rsidR="00242983" w:rsidRPr="00546313" w:rsidRDefault="00242983" w:rsidP="00546313">
            <w:pPr>
              <w:rPr>
                <w:rFonts w:eastAsia="Calibri" w:cs="Calibri Light"/>
                <w:b w:val="0"/>
                <w:bCs w:val="0"/>
              </w:rPr>
            </w:pPr>
            <w:r w:rsidRPr="00546313">
              <w:rPr>
                <w:rFonts w:cs="Calibri Light"/>
                <w:b w:val="0"/>
                <w:bCs w:val="0"/>
              </w:rPr>
              <w:t>2023_INJ201_AIMR_ANNUAL_INVESTMENT_MONITORING_REPORT</w:t>
            </w:r>
          </w:p>
        </w:tc>
      </w:tr>
      <w:tr w:rsidR="00242983" w:rsidRPr="00546313" w14:paraId="37F5ABAA"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759D8B4B" w14:textId="77777777" w:rsidR="00242983" w:rsidRPr="00546313" w:rsidRDefault="00242983" w:rsidP="00546313">
            <w:pPr>
              <w:rPr>
                <w:rFonts w:eastAsia="Calibri" w:cs="Calibri Light"/>
                <w:b w:val="0"/>
                <w:bCs w:val="0"/>
              </w:rPr>
            </w:pPr>
            <w:r w:rsidRPr="00546313">
              <w:rPr>
                <w:rFonts w:cs="Calibri Light"/>
                <w:b w:val="0"/>
                <w:bCs w:val="0"/>
              </w:rPr>
              <w:t>2024_INJ201_AIMR_ANNUAL_INVESTMENT_MONITORING_REPORT</w:t>
            </w:r>
          </w:p>
        </w:tc>
      </w:tr>
      <w:tr w:rsidR="00242983" w:rsidRPr="00546313" w14:paraId="0D19A288"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66C7767E" w14:textId="77777777" w:rsidR="00242983" w:rsidRPr="00546313" w:rsidRDefault="00242983" w:rsidP="00546313">
            <w:pPr>
              <w:rPr>
                <w:rFonts w:eastAsia="Calibri" w:cs="Calibri Light"/>
                <w:b w:val="0"/>
                <w:bCs w:val="0"/>
              </w:rPr>
            </w:pPr>
            <w:r w:rsidRPr="00546313">
              <w:rPr>
                <w:rFonts w:cs="Calibri Light"/>
                <w:b w:val="0"/>
                <w:bCs w:val="0"/>
              </w:rPr>
              <w:t>2015 CBFM Phase 1 Mid-Term Review.pdf</w:t>
            </w:r>
          </w:p>
        </w:tc>
      </w:tr>
      <w:tr w:rsidR="00242983" w:rsidRPr="00546313" w14:paraId="75354B21"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2B7CFE52" w14:textId="77777777" w:rsidR="00242983" w:rsidRPr="00546313" w:rsidRDefault="00242983" w:rsidP="00546313">
            <w:pPr>
              <w:rPr>
                <w:rFonts w:eastAsia="Calibri" w:cs="Calibri Light"/>
                <w:b w:val="0"/>
                <w:bCs w:val="0"/>
              </w:rPr>
            </w:pPr>
            <w:r w:rsidRPr="00546313">
              <w:rPr>
                <w:rFonts w:cs="Calibri Light"/>
                <w:b w:val="0"/>
                <w:bCs w:val="0"/>
              </w:rPr>
              <w:t>2019 CBFM Phase 2 Mid-Term Review - Management Response.pdf</w:t>
            </w:r>
          </w:p>
        </w:tc>
      </w:tr>
      <w:tr w:rsidR="00242983" w:rsidRPr="00546313" w14:paraId="6DECFFDB"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18902BCC" w14:textId="77777777" w:rsidR="00242983" w:rsidRPr="00546313" w:rsidRDefault="00242983" w:rsidP="00546313">
            <w:pPr>
              <w:rPr>
                <w:rFonts w:eastAsia="Calibri" w:cs="Calibri Light"/>
                <w:b w:val="0"/>
                <w:bCs w:val="0"/>
              </w:rPr>
            </w:pPr>
            <w:r w:rsidRPr="00546313">
              <w:rPr>
                <w:rFonts w:cs="Calibri Light"/>
                <w:b w:val="0"/>
                <w:bCs w:val="0"/>
              </w:rPr>
              <w:t>2019 CBFM Phase 2 Mid-Term Review.pdf</w:t>
            </w:r>
          </w:p>
        </w:tc>
      </w:tr>
      <w:tr w:rsidR="00242983" w:rsidRPr="00546313" w14:paraId="4F9F54FF"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38207117" w14:textId="77777777" w:rsidR="00242983" w:rsidRPr="00546313" w:rsidRDefault="00242983" w:rsidP="00546313">
            <w:pPr>
              <w:rPr>
                <w:rFonts w:eastAsia="Calibri" w:cs="Calibri Light"/>
                <w:b w:val="0"/>
                <w:bCs w:val="0"/>
              </w:rPr>
            </w:pPr>
            <w:r w:rsidRPr="00546313">
              <w:rPr>
                <w:rFonts w:cs="Calibri Light"/>
                <w:b w:val="0"/>
                <w:bCs w:val="0"/>
              </w:rPr>
              <w:t>2024 CBFM Phase 3 Mid-Term Review.pdf</w:t>
            </w:r>
          </w:p>
        </w:tc>
      </w:tr>
      <w:tr w:rsidR="00242983" w:rsidRPr="00546313" w14:paraId="65B25541"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2E8CAC14" w14:textId="77777777" w:rsidR="00242983" w:rsidRPr="00546313" w:rsidRDefault="00242983" w:rsidP="00546313">
            <w:pPr>
              <w:rPr>
                <w:rFonts w:eastAsia="Calibri" w:cs="Calibri Light"/>
                <w:b w:val="0"/>
                <w:bCs w:val="0"/>
              </w:rPr>
            </w:pPr>
            <w:r w:rsidRPr="00546313">
              <w:rPr>
                <w:rFonts w:cs="Calibri Light"/>
                <w:b w:val="0"/>
                <w:bCs w:val="0"/>
              </w:rPr>
              <w:t>opoc-evaluation-management-response.pdf</w:t>
            </w:r>
          </w:p>
        </w:tc>
      </w:tr>
      <w:tr w:rsidR="00242983" w:rsidRPr="00546313" w14:paraId="3A6021DB"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057D7E3A" w14:textId="77777777" w:rsidR="00242983" w:rsidRPr="00546313" w:rsidRDefault="00242983" w:rsidP="00546313">
            <w:pPr>
              <w:rPr>
                <w:rFonts w:eastAsia="Calibri" w:cs="Calibri Light"/>
                <w:b w:val="0"/>
                <w:bCs w:val="0"/>
              </w:rPr>
            </w:pPr>
            <w:r w:rsidRPr="00546313">
              <w:rPr>
                <w:rFonts w:cs="Calibri Light"/>
                <w:b w:val="0"/>
                <w:bCs w:val="0"/>
              </w:rPr>
              <w:lastRenderedPageBreak/>
              <w:t>opoc-evaluation-report.pdf</w:t>
            </w:r>
          </w:p>
        </w:tc>
      </w:tr>
      <w:tr w:rsidR="00242983" w:rsidRPr="00546313" w14:paraId="2D4B557B"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14FF9D89" w14:textId="77777777" w:rsidR="00242983" w:rsidRPr="00546313" w:rsidRDefault="00242983" w:rsidP="00546313">
            <w:pPr>
              <w:rPr>
                <w:rFonts w:eastAsia="Calibri" w:cs="Calibri Light"/>
                <w:b w:val="0"/>
                <w:bCs w:val="0"/>
              </w:rPr>
            </w:pPr>
            <w:r w:rsidRPr="00546313">
              <w:rPr>
                <w:rFonts w:cs="Calibri Light"/>
                <w:b w:val="0"/>
                <w:bCs w:val="0"/>
              </w:rPr>
              <w:t>pacific-iuu-fishing-evaluation-management-response.pdf</w:t>
            </w:r>
          </w:p>
        </w:tc>
      </w:tr>
      <w:tr w:rsidR="00242983" w:rsidRPr="00546313" w14:paraId="3093C831"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3E1B18D0" w14:textId="77777777" w:rsidR="00242983" w:rsidRPr="00546313" w:rsidRDefault="00242983" w:rsidP="00546313">
            <w:pPr>
              <w:rPr>
                <w:rFonts w:eastAsia="Calibri" w:cs="Calibri Light"/>
                <w:b w:val="0"/>
                <w:bCs w:val="0"/>
              </w:rPr>
            </w:pPr>
            <w:r w:rsidRPr="00546313">
              <w:rPr>
                <w:rFonts w:cs="Calibri Light"/>
                <w:b w:val="0"/>
                <w:bCs w:val="0"/>
              </w:rPr>
              <w:t>pacific-iuu-fishing-evaluation-report.pdf</w:t>
            </w:r>
          </w:p>
        </w:tc>
      </w:tr>
      <w:tr w:rsidR="00242983" w:rsidRPr="00546313" w14:paraId="671DDE00"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3073D778" w14:textId="77777777" w:rsidR="00242983" w:rsidRPr="00546313" w:rsidRDefault="00242983" w:rsidP="00546313">
            <w:pPr>
              <w:rPr>
                <w:rFonts w:eastAsia="Calibri" w:cs="Calibri Light"/>
                <w:b w:val="0"/>
                <w:bCs w:val="0"/>
              </w:rPr>
            </w:pPr>
            <w:r w:rsidRPr="00546313">
              <w:rPr>
                <w:rFonts w:cs="Calibri Light"/>
                <w:b w:val="0"/>
                <w:bCs w:val="0"/>
              </w:rPr>
              <w:t>pmbp-evaluation-management-response.pdf</w:t>
            </w:r>
          </w:p>
        </w:tc>
      </w:tr>
      <w:tr w:rsidR="00242983" w:rsidRPr="00546313" w14:paraId="7CFF85EB"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7FDA83CF" w14:textId="77777777" w:rsidR="00242983" w:rsidRPr="00546313" w:rsidRDefault="00242983" w:rsidP="00546313">
            <w:pPr>
              <w:rPr>
                <w:rFonts w:eastAsia="Calibri" w:cs="Calibri Light"/>
                <w:b w:val="0"/>
                <w:bCs w:val="0"/>
              </w:rPr>
            </w:pPr>
            <w:r w:rsidRPr="00546313">
              <w:rPr>
                <w:rFonts w:cs="Calibri Light"/>
                <w:b w:val="0"/>
                <w:bCs w:val="0"/>
              </w:rPr>
              <w:t>pmbp-evaluation-report.pdf</w:t>
            </w:r>
          </w:p>
        </w:tc>
      </w:tr>
      <w:tr w:rsidR="00242983" w:rsidRPr="00546313" w14:paraId="2A562D7E"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71C193F6" w14:textId="7D0A46AE" w:rsidR="00242983" w:rsidRPr="00546313" w:rsidRDefault="00242983" w:rsidP="00546313">
            <w:pPr>
              <w:rPr>
                <w:rFonts w:eastAsia="Calibri" w:cs="Calibri Light"/>
                <w:b w:val="0"/>
                <w:bCs w:val="0"/>
              </w:rPr>
            </w:pPr>
            <w:r w:rsidRPr="00546313">
              <w:rPr>
                <w:rFonts w:cs="Calibri Light"/>
                <w:b w:val="0"/>
                <w:bCs w:val="0"/>
              </w:rPr>
              <w:t>spc-</w:t>
            </w:r>
            <w:r w:rsidR="006B5558">
              <w:rPr>
                <w:rFonts w:cs="Calibri Light"/>
                <w:b w:val="0"/>
                <w:bCs w:val="0"/>
              </w:rPr>
              <w:t>FAME</w:t>
            </w:r>
            <w:r w:rsidRPr="00546313">
              <w:rPr>
                <w:rFonts w:cs="Calibri Light"/>
                <w:b w:val="0"/>
                <w:bCs w:val="0"/>
              </w:rPr>
              <w:t>-evaluation-management-response.pdf</w:t>
            </w:r>
          </w:p>
        </w:tc>
      </w:tr>
      <w:tr w:rsidR="00242983" w:rsidRPr="00546313" w14:paraId="1A69A70E"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471C0E9E" w14:textId="4083C0FA" w:rsidR="00242983" w:rsidRPr="00546313" w:rsidRDefault="00242983" w:rsidP="00546313">
            <w:pPr>
              <w:rPr>
                <w:rFonts w:eastAsia="Calibri" w:cs="Calibri Light"/>
                <w:b w:val="0"/>
                <w:bCs w:val="0"/>
              </w:rPr>
            </w:pPr>
            <w:r w:rsidRPr="00546313">
              <w:rPr>
                <w:rFonts w:cs="Calibri Light"/>
                <w:b w:val="0"/>
                <w:bCs w:val="0"/>
              </w:rPr>
              <w:t>spc-</w:t>
            </w:r>
            <w:r w:rsidR="006B5558">
              <w:rPr>
                <w:rFonts w:cs="Calibri Light"/>
                <w:b w:val="0"/>
                <w:bCs w:val="0"/>
              </w:rPr>
              <w:t>FAME</w:t>
            </w:r>
            <w:r w:rsidRPr="00546313">
              <w:rPr>
                <w:rFonts w:cs="Calibri Light"/>
                <w:b w:val="0"/>
                <w:bCs w:val="0"/>
              </w:rPr>
              <w:t>-evaluation-report.pdf</w:t>
            </w:r>
          </w:p>
        </w:tc>
      </w:tr>
      <w:tr w:rsidR="00242983" w:rsidRPr="00546313" w14:paraId="7B623A71"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623A8DE3" w14:textId="77777777" w:rsidR="00242983" w:rsidRPr="00546313" w:rsidRDefault="00242983" w:rsidP="00546313">
            <w:pPr>
              <w:rPr>
                <w:rFonts w:eastAsia="Calibri" w:cs="Calibri Light"/>
                <w:b w:val="0"/>
                <w:bCs w:val="0"/>
              </w:rPr>
            </w:pPr>
            <w:r w:rsidRPr="00546313">
              <w:rPr>
                <w:rFonts w:cs="Calibri Light"/>
                <w:b w:val="0"/>
                <w:bCs w:val="0"/>
              </w:rPr>
              <w:t>FINAL_FFA Governance Review_030423.pdf</w:t>
            </w:r>
          </w:p>
        </w:tc>
      </w:tr>
      <w:tr w:rsidR="00242983" w:rsidRPr="00546313" w14:paraId="113F6DEA"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0269005C" w14:textId="77777777" w:rsidR="00242983" w:rsidRPr="00546313" w:rsidRDefault="00242983" w:rsidP="00546313">
            <w:pPr>
              <w:rPr>
                <w:rFonts w:eastAsia="Calibri" w:cs="Calibri Light"/>
                <w:b w:val="0"/>
                <w:bCs w:val="0"/>
              </w:rPr>
            </w:pPr>
            <w:r w:rsidRPr="00546313">
              <w:rPr>
                <w:rFonts w:cs="Calibri Light"/>
                <w:b w:val="0"/>
                <w:bCs w:val="0"/>
              </w:rPr>
              <w:t>Independent External Review of the FFA (May 2017).pdf</w:t>
            </w:r>
          </w:p>
        </w:tc>
      </w:tr>
      <w:tr w:rsidR="00242983" w:rsidRPr="00546313" w14:paraId="467AC854"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49686F18" w14:textId="77777777" w:rsidR="00242983" w:rsidRPr="00546313" w:rsidRDefault="00242983" w:rsidP="00546313">
            <w:pPr>
              <w:rPr>
                <w:rFonts w:eastAsia="Calibri" w:cs="Calibri Light"/>
                <w:b w:val="0"/>
                <w:bCs w:val="0"/>
              </w:rPr>
            </w:pPr>
            <w:r w:rsidRPr="00546313">
              <w:rPr>
                <w:rFonts w:cs="Calibri Light"/>
                <w:b w:val="0"/>
                <w:bCs w:val="0"/>
              </w:rPr>
              <w:t>ACIAR 2015-031 - Final Review.docx</w:t>
            </w:r>
          </w:p>
        </w:tc>
      </w:tr>
      <w:tr w:rsidR="00242983" w:rsidRPr="00546313" w14:paraId="70F28B1A"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6F642BD5" w14:textId="77777777" w:rsidR="00242983" w:rsidRPr="00546313" w:rsidRDefault="00242983" w:rsidP="00546313">
            <w:pPr>
              <w:rPr>
                <w:rFonts w:eastAsia="Calibri" w:cs="Calibri Light"/>
                <w:b w:val="0"/>
                <w:bCs w:val="0"/>
              </w:rPr>
            </w:pPr>
            <w:r w:rsidRPr="00546313">
              <w:rPr>
                <w:rFonts w:cs="Calibri Light"/>
                <w:b w:val="0"/>
                <w:bCs w:val="0"/>
              </w:rPr>
              <w:t>dfat-design-monitoring-evaluation-learning-standards.pdf</w:t>
            </w:r>
          </w:p>
        </w:tc>
      </w:tr>
      <w:tr w:rsidR="00242983" w:rsidRPr="00546313" w14:paraId="66B101E9"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23CF670C" w14:textId="77777777" w:rsidR="00242983" w:rsidRPr="00546313" w:rsidRDefault="00242983" w:rsidP="00546313">
            <w:pPr>
              <w:rPr>
                <w:rFonts w:eastAsia="Calibri" w:cs="Calibri Light"/>
                <w:b w:val="0"/>
                <w:bCs w:val="0"/>
              </w:rPr>
            </w:pPr>
            <w:r w:rsidRPr="00546313">
              <w:rPr>
                <w:rFonts w:cs="Calibri Light"/>
                <w:b w:val="0"/>
                <w:bCs w:val="0"/>
              </w:rPr>
              <w:t>FIMR-Ratings-Matrix.pdf</w:t>
            </w:r>
          </w:p>
        </w:tc>
      </w:tr>
      <w:tr w:rsidR="00242983" w:rsidRPr="00546313" w14:paraId="247E5339"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2FA33D95" w14:textId="77777777" w:rsidR="00242983" w:rsidRPr="00546313" w:rsidRDefault="00242983" w:rsidP="00546313">
            <w:pPr>
              <w:rPr>
                <w:rFonts w:eastAsia="Calibri" w:cs="Calibri Light"/>
                <w:b w:val="0"/>
                <w:bCs w:val="0"/>
              </w:rPr>
            </w:pPr>
            <w:r w:rsidRPr="00546313">
              <w:rPr>
                <w:rFonts w:cs="Calibri Light"/>
                <w:b w:val="0"/>
                <w:bCs w:val="0"/>
              </w:rPr>
              <w:t>FIMR-Template</w:t>
            </w:r>
          </w:p>
        </w:tc>
      </w:tr>
      <w:tr w:rsidR="00242983" w:rsidRPr="00546313" w14:paraId="74833F0E"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1D4B803C" w14:textId="77777777" w:rsidR="00242983" w:rsidRPr="00546313" w:rsidRDefault="00242983" w:rsidP="00546313">
            <w:pPr>
              <w:rPr>
                <w:rFonts w:eastAsia="Calibri" w:cs="Calibri Light"/>
                <w:b w:val="0"/>
                <w:bCs w:val="0"/>
              </w:rPr>
            </w:pPr>
            <w:r w:rsidRPr="00546313">
              <w:rPr>
                <w:rFonts w:cs="Calibri Light"/>
                <w:b w:val="0"/>
                <w:bCs w:val="0"/>
              </w:rPr>
              <w:t>FFA Business Plan 2021-2025.pdf</w:t>
            </w:r>
          </w:p>
        </w:tc>
      </w:tr>
      <w:tr w:rsidR="00242983" w:rsidRPr="00546313" w14:paraId="100D06DF"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6A17044E" w14:textId="77777777" w:rsidR="00242983" w:rsidRPr="00546313" w:rsidRDefault="00242983" w:rsidP="00546313">
            <w:pPr>
              <w:rPr>
                <w:rFonts w:eastAsia="Calibri" w:cs="Calibri Light"/>
                <w:b w:val="0"/>
                <w:bCs w:val="0"/>
              </w:rPr>
            </w:pPr>
            <w:r w:rsidRPr="00546313">
              <w:rPr>
                <w:rFonts w:cs="Calibri Light"/>
                <w:b w:val="0"/>
                <w:bCs w:val="0"/>
              </w:rPr>
              <w:t>FFA Resourcing Strategies and Funding Guidelines.pdf</w:t>
            </w:r>
          </w:p>
        </w:tc>
      </w:tr>
      <w:tr w:rsidR="00242983" w:rsidRPr="00546313" w14:paraId="042A5287"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5ECD4704" w14:textId="77777777" w:rsidR="00242983" w:rsidRPr="00546313" w:rsidRDefault="00242983" w:rsidP="00546313">
            <w:pPr>
              <w:rPr>
                <w:rFonts w:eastAsia="Calibri" w:cs="Calibri Light"/>
                <w:b w:val="0"/>
                <w:bCs w:val="0"/>
              </w:rPr>
            </w:pPr>
            <w:r w:rsidRPr="00546313">
              <w:rPr>
                <w:rFonts w:cs="Calibri Light"/>
                <w:b w:val="0"/>
                <w:bCs w:val="0"/>
              </w:rPr>
              <w:t>FFA Strategic Plan 2014-20.pdf</w:t>
            </w:r>
          </w:p>
        </w:tc>
      </w:tr>
      <w:tr w:rsidR="00242983" w:rsidRPr="00546313" w14:paraId="0A35833E"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66ACB1FF" w14:textId="77777777" w:rsidR="00242983" w:rsidRPr="00546313" w:rsidRDefault="00242983" w:rsidP="00546313">
            <w:pPr>
              <w:rPr>
                <w:rFonts w:eastAsia="Calibri" w:cs="Calibri Light"/>
                <w:b w:val="0"/>
                <w:bCs w:val="0"/>
              </w:rPr>
            </w:pPr>
            <w:r w:rsidRPr="00546313">
              <w:rPr>
                <w:rFonts w:cs="Calibri Light"/>
                <w:b w:val="0"/>
                <w:bCs w:val="0"/>
              </w:rPr>
              <w:t>FFA Strategic Plan 2020-25.pdf</w:t>
            </w:r>
          </w:p>
        </w:tc>
      </w:tr>
      <w:tr w:rsidR="00242983" w:rsidRPr="00546313" w14:paraId="7A647C8E"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41F8A1D0" w14:textId="77777777" w:rsidR="00242983" w:rsidRPr="00546313" w:rsidRDefault="00242983" w:rsidP="00546313">
            <w:pPr>
              <w:rPr>
                <w:rFonts w:eastAsia="Calibri" w:cs="Calibri Light"/>
                <w:b w:val="0"/>
                <w:bCs w:val="0"/>
              </w:rPr>
            </w:pPr>
            <w:r w:rsidRPr="00546313">
              <w:rPr>
                <w:rFonts w:cs="Calibri Light"/>
                <w:b w:val="0"/>
                <w:bCs w:val="0"/>
              </w:rPr>
              <w:t>FFC135-INFO3-Update-Performance-Review.pdf</w:t>
            </w:r>
          </w:p>
        </w:tc>
      </w:tr>
      <w:tr w:rsidR="00242983" w:rsidRPr="00546313" w14:paraId="5769B746"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7C0B452D" w14:textId="77777777" w:rsidR="00242983" w:rsidRPr="00546313" w:rsidRDefault="00242983" w:rsidP="00546313">
            <w:pPr>
              <w:rPr>
                <w:rFonts w:eastAsia="Calibri" w:cs="Calibri Light"/>
                <w:b w:val="0"/>
                <w:bCs w:val="0"/>
              </w:rPr>
            </w:pPr>
            <w:r w:rsidRPr="00546313">
              <w:rPr>
                <w:rFonts w:cs="Calibri Light"/>
                <w:b w:val="0"/>
                <w:bCs w:val="0"/>
              </w:rPr>
              <w:t xml:space="preserve">Partnership </w:t>
            </w:r>
            <w:proofErr w:type="spellStart"/>
            <w:r w:rsidRPr="00546313">
              <w:rPr>
                <w:rFonts w:cs="Calibri Light"/>
                <w:b w:val="0"/>
                <w:bCs w:val="0"/>
              </w:rPr>
              <w:t>GoA</w:t>
            </w:r>
            <w:proofErr w:type="spellEnd"/>
            <w:r w:rsidRPr="00546313">
              <w:rPr>
                <w:rFonts w:cs="Calibri Light"/>
                <w:b w:val="0"/>
                <w:bCs w:val="0"/>
              </w:rPr>
              <w:t xml:space="preserve"> FFA 2018-2028.url</w:t>
            </w:r>
          </w:p>
        </w:tc>
      </w:tr>
      <w:tr w:rsidR="00242983" w:rsidRPr="00546313" w14:paraId="203B76E1"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0DA8CFE0" w14:textId="77777777" w:rsidR="00242983" w:rsidRPr="00546313" w:rsidRDefault="00242983" w:rsidP="00546313">
            <w:pPr>
              <w:rPr>
                <w:rFonts w:eastAsia="Calibri" w:cs="Calibri Light"/>
                <w:b w:val="0"/>
                <w:bCs w:val="0"/>
              </w:rPr>
            </w:pPr>
            <w:r w:rsidRPr="00546313">
              <w:rPr>
                <w:rFonts w:cs="Calibri Light"/>
                <w:b w:val="0"/>
                <w:bCs w:val="0"/>
              </w:rPr>
              <w:t xml:space="preserve">Partnership </w:t>
            </w:r>
            <w:proofErr w:type="spellStart"/>
            <w:r w:rsidRPr="00546313">
              <w:rPr>
                <w:rFonts w:cs="Calibri Light"/>
                <w:b w:val="0"/>
                <w:bCs w:val="0"/>
              </w:rPr>
              <w:t>GoA</w:t>
            </w:r>
            <w:proofErr w:type="spellEnd"/>
            <w:r w:rsidRPr="00546313">
              <w:rPr>
                <w:rFonts w:cs="Calibri Light"/>
                <w:b w:val="0"/>
                <w:bCs w:val="0"/>
              </w:rPr>
              <w:t xml:space="preserve"> SPC 2014-2023.url</w:t>
            </w:r>
          </w:p>
        </w:tc>
      </w:tr>
      <w:tr w:rsidR="00242983" w:rsidRPr="00546313" w14:paraId="20143876"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244C598D" w14:textId="77777777" w:rsidR="00242983" w:rsidRPr="00546313" w:rsidRDefault="00242983" w:rsidP="00546313">
            <w:pPr>
              <w:rPr>
                <w:rFonts w:eastAsia="Calibri" w:cs="Calibri Light"/>
                <w:b w:val="0"/>
                <w:bCs w:val="0"/>
              </w:rPr>
            </w:pPr>
            <w:r w:rsidRPr="00546313">
              <w:rPr>
                <w:rFonts w:cs="Calibri Light"/>
                <w:b w:val="0"/>
                <w:bCs w:val="0"/>
              </w:rPr>
              <w:t>2007 DFAT Fisheries Framework.pdf</w:t>
            </w:r>
          </w:p>
        </w:tc>
      </w:tr>
      <w:tr w:rsidR="00242983" w:rsidRPr="00546313" w14:paraId="602EEDE0"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42C6D039" w14:textId="77777777" w:rsidR="00242983" w:rsidRPr="00546313" w:rsidRDefault="00242983" w:rsidP="00546313">
            <w:pPr>
              <w:rPr>
                <w:rFonts w:eastAsia="Calibri" w:cs="Calibri Light"/>
                <w:b w:val="0"/>
                <w:bCs w:val="0"/>
              </w:rPr>
            </w:pPr>
            <w:r w:rsidRPr="00546313">
              <w:rPr>
                <w:rFonts w:cs="Calibri Light"/>
                <w:b w:val="0"/>
                <w:bCs w:val="0"/>
              </w:rPr>
              <w:t>Framework-for-a-Pacific-Oceanscape-2010.pdf</w:t>
            </w:r>
          </w:p>
        </w:tc>
      </w:tr>
      <w:tr w:rsidR="00242983" w:rsidRPr="00546313" w14:paraId="5F371A86"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03689C0C" w14:textId="77777777" w:rsidR="00242983" w:rsidRPr="00546313" w:rsidRDefault="00242983" w:rsidP="00546313">
            <w:pPr>
              <w:rPr>
                <w:rFonts w:eastAsia="Calibri" w:cs="Calibri Light"/>
                <w:b w:val="0"/>
                <w:bCs w:val="0"/>
              </w:rPr>
            </w:pPr>
            <w:r w:rsidRPr="00546313">
              <w:rPr>
                <w:rFonts w:cs="Calibri Light"/>
                <w:b w:val="0"/>
                <w:bCs w:val="0"/>
              </w:rPr>
              <w:t>Link to further resources.url</w:t>
            </w:r>
          </w:p>
        </w:tc>
      </w:tr>
      <w:tr w:rsidR="00242983" w:rsidRPr="00546313" w14:paraId="34A36928"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60018049" w14:textId="22817DEB" w:rsidR="00242983" w:rsidRPr="00546313" w:rsidRDefault="00242983" w:rsidP="00546313">
            <w:pPr>
              <w:rPr>
                <w:rFonts w:eastAsia="Calibri" w:cs="Calibri Light"/>
                <w:b w:val="0"/>
                <w:bCs w:val="0"/>
              </w:rPr>
            </w:pPr>
            <w:r w:rsidRPr="00546313">
              <w:rPr>
                <w:rFonts w:cs="Calibri Light"/>
                <w:b w:val="0"/>
                <w:bCs w:val="0"/>
              </w:rPr>
              <w:t>SPC_</w:t>
            </w:r>
            <w:r w:rsidR="006B5558">
              <w:rPr>
                <w:rFonts w:cs="Calibri Light"/>
                <w:b w:val="0"/>
                <w:bCs w:val="0"/>
              </w:rPr>
              <w:t>FAME</w:t>
            </w:r>
            <w:r w:rsidRPr="00546313">
              <w:rPr>
                <w:rFonts w:cs="Calibri Light"/>
                <w:b w:val="0"/>
                <w:bCs w:val="0"/>
              </w:rPr>
              <w:t>_Business_Plan_2016-21.pdf</w:t>
            </w:r>
          </w:p>
        </w:tc>
      </w:tr>
      <w:tr w:rsidR="00242983" w:rsidRPr="00546313" w14:paraId="099FDC2D"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7C05E7F0" w14:textId="10A3AB33" w:rsidR="00242983" w:rsidRPr="00546313" w:rsidRDefault="00242983" w:rsidP="00546313">
            <w:pPr>
              <w:rPr>
                <w:rFonts w:eastAsia="Calibri" w:cs="Calibri Light"/>
                <w:b w:val="0"/>
                <w:bCs w:val="0"/>
              </w:rPr>
            </w:pPr>
            <w:r w:rsidRPr="00546313">
              <w:rPr>
                <w:rFonts w:cs="Calibri Light"/>
                <w:b w:val="0"/>
                <w:bCs w:val="0"/>
              </w:rPr>
              <w:t>SPC_</w:t>
            </w:r>
            <w:r w:rsidR="006B5558">
              <w:rPr>
                <w:rFonts w:cs="Calibri Light"/>
                <w:b w:val="0"/>
                <w:bCs w:val="0"/>
              </w:rPr>
              <w:t>FAME</w:t>
            </w:r>
            <w:r w:rsidRPr="00546313">
              <w:rPr>
                <w:rFonts w:cs="Calibri Light"/>
                <w:b w:val="0"/>
                <w:bCs w:val="0"/>
              </w:rPr>
              <w:t>_Business_Plan_2022-27.pdf</w:t>
            </w:r>
          </w:p>
        </w:tc>
      </w:tr>
      <w:tr w:rsidR="00242983" w:rsidRPr="00546313" w14:paraId="0A48CC78"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54CE52BC" w14:textId="77777777" w:rsidR="00242983" w:rsidRPr="00546313" w:rsidRDefault="00242983" w:rsidP="00546313">
            <w:pPr>
              <w:rPr>
                <w:rFonts w:eastAsia="Calibri" w:cs="Calibri Light"/>
                <w:b w:val="0"/>
                <w:bCs w:val="0"/>
              </w:rPr>
            </w:pPr>
            <w:r w:rsidRPr="00546313">
              <w:rPr>
                <w:rFonts w:cs="Calibri Light"/>
                <w:b w:val="0"/>
                <w:bCs w:val="0"/>
              </w:rPr>
              <w:t>INJ201 Activities and Agreements.xlsx</w:t>
            </w:r>
          </w:p>
        </w:tc>
      </w:tr>
      <w:tr w:rsidR="00242983" w:rsidRPr="00546313" w14:paraId="084C8AB7"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25D8C6BA" w14:textId="77777777" w:rsidR="00242983" w:rsidRPr="00546313" w:rsidRDefault="00242983" w:rsidP="00546313">
            <w:pPr>
              <w:rPr>
                <w:rFonts w:eastAsia="Calibri" w:cs="Calibri Light"/>
                <w:b w:val="0"/>
                <w:bCs w:val="0"/>
              </w:rPr>
            </w:pPr>
            <w:r w:rsidRPr="00546313">
              <w:rPr>
                <w:rFonts w:cs="Calibri Light"/>
                <w:b w:val="0"/>
                <w:bCs w:val="0"/>
              </w:rPr>
              <w:t>INJ201 Risk Register.pdf</w:t>
            </w:r>
          </w:p>
        </w:tc>
      </w:tr>
      <w:tr w:rsidR="00242983" w:rsidRPr="00546313" w14:paraId="6A9B1730"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7B724A58" w14:textId="77777777" w:rsidR="00242983" w:rsidRPr="00546313" w:rsidRDefault="00242983" w:rsidP="00546313">
            <w:pPr>
              <w:rPr>
                <w:rFonts w:eastAsia="Calibri" w:cs="Calibri Light"/>
                <w:b w:val="0"/>
                <w:bCs w:val="0"/>
              </w:rPr>
            </w:pPr>
            <w:r w:rsidRPr="00546313">
              <w:rPr>
                <w:rFonts w:cs="Calibri Light"/>
                <w:b w:val="0"/>
                <w:bCs w:val="0"/>
              </w:rPr>
              <w:t>CE1084685L Pacific Coastal Fisheries Support</w:t>
            </w:r>
          </w:p>
        </w:tc>
      </w:tr>
      <w:tr w:rsidR="00242983" w:rsidRPr="00546313" w14:paraId="4D47C3D6"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5AD58B24" w14:textId="77777777" w:rsidR="00242983" w:rsidRPr="00546313" w:rsidRDefault="00242983" w:rsidP="00546313">
            <w:pPr>
              <w:rPr>
                <w:rFonts w:eastAsia="Calibri" w:cs="Calibri Light"/>
                <w:b w:val="0"/>
                <w:bCs w:val="0"/>
              </w:rPr>
            </w:pPr>
            <w:r w:rsidRPr="00546313">
              <w:rPr>
                <w:rFonts w:cs="Calibri Light"/>
                <w:b w:val="0"/>
                <w:bCs w:val="0"/>
              </w:rPr>
              <w:t>CE791465L Strategy for Aid Investments</w:t>
            </w:r>
          </w:p>
        </w:tc>
      </w:tr>
      <w:tr w:rsidR="00242983" w:rsidRPr="00546313" w14:paraId="4B6ED6BF"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5530C7D3" w14:textId="77777777" w:rsidR="00242983" w:rsidRPr="00546313" w:rsidRDefault="00242983" w:rsidP="00546313">
            <w:pPr>
              <w:rPr>
                <w:rFonts w:eastAsia="Calibri" w:cs="Calibri Light"/>
                <w:b w:val="0"/>
                <w:bCs w:val="0"/>
              </w:rPr>
            </w:pPr>
            <w:r w:rsidRPr="00546313">
              <w:rPr>
                <w:rFonts w:cs="Calibri Light"/>
                <w:b w:val="0"/>
                <w:bCs w:val="0"/>
              </w:rPr>
              <w:t>CE902308L 2018 FFA HLCs</w:t>
            </w:r>
          </w:p>
        </w:tc>
      </w:tr>
      <w:tr w:rsidR="00242983" w:rsidRPr="00546313" w14:paraId="5BD25EB4"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76314935" w14:textId="77777777" w:rsidR="00242983" w:rsidRPr="00546313" w:rsidRDefault="00242983" w:rsidP="00546313">
            <w:pPr>
              <w:rPr>
                <w:rFonts w:eastAsia="Calibri" w:cs="Calibri Light"/>
                <w:b w:val="0"/>
                <w:bCs w:val="0"/>
              </w:rPr>
            </w:pPr>
            <w:r w:rsidRPr="00546313">
              <w:rPr>
                <w:rFonts w:cs="Calibri Light"/>
                <w:b w:val="0"/>
                <w:bCs w:val="0"/>
              </w:rPr>
              <w:t>241112 Draft Terms of Reference - PFO-INJ201 Evaluation</w:t>
            </w:r>
          </w:p>
        </w:tc>
      </w:tr>
      <w:tr w:rsidR="00242983" w:rsidRPr="00546313" w14:paraId="6CA79023"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30880153" w14:textId="77777777" w:rsidR="00242983" w:rsidRPr="00546313" w:rsidRDefault="00242983" w:rsidP="00546313">
            <w:pPr>
              <w:rPr>
                <w:rFonts w:eastAsia="Calibri" w:cs="Calibri Light"/>
                <w:b w:val="0"/>
                <w:bCs w:val="0"/>
              </w:rPr>
            </w:pPr>
            <w:r w:rsidRPr="00546313">
              <w:rPr>
                <w:rFonts w:cs="Calibri Light"/>
                <w:b w:val="0"/>
                <w:bCs w:val="0"/>
              </w:rPr>
              <w:t>FFA Annual Reports.url</w:t>
            </w:r>
          </w:p>
        </w:tc>
      </w:tr>
      <w:tr w:rsidR="00242983" w:rsidRPr="00546313" w14:paraId="175E07BB"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73517763" w14:textId="77777777" w:rsidR="00242983" w:rsidRPr="00546313" w:rsidRDefault="00242983" w:rsidP="00546313">
            <w:pPr>
              <w:rPr>
                <w:rFonts w:eastAsia="Calibri" w:cs="Calibri Light"/>
                <w:b w:val="0"/>
                <w:bCs w:val="0"/>
              </w:rPr>
            </w:pPr>
            <w:r w:rsidRPr="00546313">
              <w:rPr>
                <w:rFonts w:cs="Calibri Light"/>
                <w:b w:val="0"/>
                <w:bCs w:val="0"/>
              </w:rPr>
              <w:t>IDS AGD NTSA</w:t>
            </w:r>
          </w:p>
        </w:tc>
      </w:tr>
      <w:tr w:rsidR="00242983" w:rsidRPr="00546313" w14:paraId="00CC8849"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0D5B40AB" w14:textId="77777777" w:rsidR="00242983" w:rsidRPr="00546313" w:rsidRDefault="00242983" w:rsidP="00546313">
            <w:pPr>
              <w:rPr>
                <w:rFonts w:eastAsia="Calibri" w:cs="Calibri Light"/>
                <w:b w:val="0"/>
                <w:bCs w:val="0"/>
              </w:rPr>
            </w:pPr>
            <w:r w:rsidRPr="00546313">
              <w:rPr>
                <w:rFonts w:cs="Calibri Light"/>
                <w:b w:val="0"/>
                <w:bCs w:val="0"/>
              </w:rPr>
              <w:t>IDS CBFM Phase 2 (Final)</w:t>
            </w:r>
          </w:p>
        </w:tc>
      </w:tr>
      <w:tr w:rsidR="00242983" w:rsidRPr="00546313" w14:paraId="100AEF84"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419519C8" w14:textId="77777777" w:rsidR="00242983" w:rsidRPr="00546313" w:rsidRDefault="00242983" w:rsidP="00546313">
            <w:pPr>
              <w:rPr>
                <w:rFonts w:eastAsia="Calibri" w:cs="Calibri Light"/>
                <w:b w:val="0"/>
                <w:bCs w:val="0"/>
              </w:rPr>
            </w:pPr>
            <w:r w:rsidRPr="00546313">
              <w:rPr>
                <w:rFonts w:cs="Calibri Light"/>
                <w:b w:val="0"/>
                <w:bCs w:val="0"/>
              </w:rPr>
              <w:t>IDS FFA Core Funding 2018-22</w:t>
            </w:r>
          </w:p>
        </w:tc>
      </w:tr>
      <w:tr w:rsidR="00242983" w:rsidRPr="00546313" w14:paraId="4734211A"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0E936270" w14:textId="77777777" w:rsidR="00242983" w:rsidRPr="00546313" w:rsidRDefault="00242983" w:rsidP="00546313">
            <w:pPr>
              <w:rPr>
                <w:rFonts w:eastAsia="Calibri" w:cs="Calibri Light"/>
                <w:b w:val="0"/>
                <w:bCs w:val="0"/>
              </w:rPr>
            </w:pPr>
            <w:r w:rsidRPr="00546313">
              <w:rPr>
                <w:rFonts w:cs="Calibri Light"/>
                <w:b w:val="0"/>
                <w:bCs w:val="0"/>
              </w:rPr>
              <w:t>IDS Resilient Boundaries</w:t>
            </w:r>
          </w:p>
        </w:tc>
      </w:tr>
      <w:tr w:rsidR="00242983" w:rsidRPr="00546313" w14:paraId="719559E2"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35E6C80D" w14:textId="726945B6" w:rsidR="00242983" w:rsidRPr="00546313" w:rsidRDefault="00242983" w:rsidP="00546313">
            <w:pPr>
              <w:rPr>
                <w:rFonts w:eastAsia="Calibri" w:cs="Calibri Light"/>
                <w:b w:val="0"/>
                <w:bCs w:val="0"/>
              </w:rPr>
            </w:pPr>
            <w:r w:rsidRPr="00546313">
              <w:rPr>
                <w:rFonts w:cs="Calibri Light"/>
                <w:b w:val="0"/>
                <w:bCs w:val="0"/>
              </w:rPr>
              <w:t xml:space="preserve">IDS SPC </w:t>
            </w:r>
            <w:r w:rsidR="006B5558">
              <w:rPr>
                <w:rFonts w:cs="Calibri Light"/>
                <w:b w:val="0"/>
                <w:bCs w:val="0"/>
              </w:rPr>
              <w:t>FAME</w:t>
            </w:r>
            <w:r w:rsidRPr="00546313">
              <w:rPr>
                <w:rFonts w:cs="Calibri Light"/>
                <w:b w:val="0"/>
                <w:bCs w:val="0"/>
              </w:rPr>
              <w:t xml:space="preserve"> Program Funding 2018-20</w:t>
            </w:r>
          </w:p>
        </w:tc>
      </w:tr>
      <w:tr w:rsidR="00242983" w:rsidRPr="00546313" w14:paraId="48C02103"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09A63807" w14:textId="7A497B72" w:rsidR="00242983" w:rsidRPr="00546313" w:rsidRDefault="00242983" w:rsidP="00546313">
            <w:pPr>
              <w:rPr>
                <w:rFonts w:eastAsia="Calibri" w:cs="Calibri Light"/>
                <w:b w:val="0"/>
                <w:bCs w:val="0"/>
              </w:rPr>
            </w:pPr>
            <w:r w:rsidRPr="00546313">
              <w:rPr>
                <w:rFonts w:cs="Calibri Light"/>
                <w:b w:val="0"/>
                <w:bCs w:val="0"/>
              </w:rPr>
              <w:t xml:space="preserve">IDS SPC </w:t>
            </w:r>
            <w:r w:rsidR="006B5558">
              <w:rPr>
                <w:rFonts w:cs="Calibri Light"/>
                <w:b w:val="0"/>
                <w:bCs w:val="0"/>
              </w:rPr>
              <w:t>FAME</w:t>
            </w:r>
            <w:r w:rsidRPr="00546313">
              <w:rPr>
                <w:rFonts w:cs="Calibri Light"/>
                <w:b w:val="0"/>
                <w:bCs w:val="0"/>
              </w:rPr>
              <w:t xml:space="preserve"> Program Funding 2021-23</w:t>
            </w:r>
          </w:p>
        </w:tc>
      </w:tr>
      <w:tr w:rsidR="00242983" w:rsidRPr="00546313" w14:paraId="7C1FBCAD"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0DBF39F9" w14:textId="77777777" w:rsidR="00242983" w:rsidRPr="00546313" w:rsidRDefault="00242983" w:rsidP="00546313">
            <w:pPr>
              <w:rPr>
                <w:rFonts w:eastAsia="Calibri" w:cs="Calibri Light"/>
                <w:b w:val="0"/>
                <w:bCs w:val="0"/>
              </w:rPr>
            </w:pPr>
            <w:r w:rsidRPr="00546313">
              <w:rPr>
                <w:rFonts w:cs="Calibri Light"/>
                <w:b w:val="0"/>
                <w:bCs w:val="0"/>
              </w:rPr>
              <w:t>Activity Completion Report - EPOG</w:t>
            </w:r>
          </w:p>
        </w:tc>
      </w:tr>
      <w:tr w:rsidR="00242983" w:rsidRPr="00546313" w14:paraId="6556E20F"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68963407" w14:textId="77777777" w:rsidR="00242983" w:rsidRPr="00546313" w:rsidRDefault="00242983" w:rsidP="00546313">
            <w:pPr>
              <w:rPr>
                <w:rFonts w:eastAsia="Calibri" w:cs="Calibri Light"/>
                <w:b w:val="0"/>
                <w:bCs w:val="0"/>
              </w:rPr>
            </w:pPr>
            <w:r w:rsidRPr="00546313">
              <w:rPr>
                <w:rFonts w:cs="Calibri Light"/>
                <w:b w:val="0"/>
                <w:bCs w:val="0"/>
              </w:rPr>
              <w:t>AGD NTSA - Final Report</w:t>
            </w:r>
          </w:p>
        </w:tc>
      </w:tr>
      <w:tr w:rsidR="00242983" w:rsidRPr="00546313" w14:paraId="026C8346"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512B3A68" w14:textId="2C54CC61" w:rsidR="00242983" w:rsidRPr="00546313" w:rsidRDefault="00242983" w:rsidP="00546313">
            <w:pPr>
              <w:rPr>
                <w:rFonts w:eastAsia="Calibri" w:cs="Calibri Light"/>
                <w:b w:val="0"/>
                <w:bCs w:val="0"/>
              </w:rPr>
            </w:pPr>
            <w:r w:rsidRPr="00546313">
              <w:rPr>
                <w:rFonts w:cs="Calibri Light"/>
                <w:b w:val="0"/>
                <w:bCs w:val="0"/>
              </w:rPr>
              <w:t xml:space="preserve">BBNJ Completion </w:t>
            </w:r>
            <w:r w:rsidR="005E14A2" w:rsidRPr="00546313">
              <w:rPr>
                <w:rFonts w:cs="Calibri Light"/>
                <w:b w:val="0"/>
                <w:bCs w:val="0"/>
              </w:rPr>
              <w:t>Report Final</w:t>
            </w:r>
            <w:r w:rsidRPr="00546313">
              <w:rPr>
                <w:rFonts w:cs="Calibri Light"/>
                <w:b w:val="0"/>
                <w:bCs w:val="0"/>
              </w:rPr>
              <w:t xml:space="preserve"> April 2021.PDF</w:t>
            </w:r>
          </w:p>
        </w:tc>
      </w:tr>
      <w:tr w:rsidR="00242983" w:rsidRPr="00546313" w14:paraId="2366CF50"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17F4BF97" w14:textId="77777777" w:rsidR="00242983" w:rsidRPr="00546313" w:rsidRDefault="00242983" w:rsidP="00546313">
            <w:pPr>
              <w:rPr>
                <w:rFonts w:eastAsia="Calibri" w:cs="Calibri Light"/>
                <w:b w:val="0"/>
                <w:bCs w:val="0"/>
              </w:rPr>
            </w:pPr>
            <w:proofErr w:type="spellStart"/>
            <w:r w:rsidRPr="00546313">
              <w:rPr>
                <w:rFonts w:cs="Calibri Light"/>
                <w:b w:val="0"/>
                <w:bCs w:val="0"/>
              </w:rPr>
              <w:t>Benefish</w:t>
            </w:r>
            <w:proofErr w:type="spellEnd"/>
            <w:r w:rsidRPr="00546313">
              <w:rPr>
                <w:rFonts w:cs="Calibri Light"/>
                <w:b w:val="0"/>
                <w:bCs w:val="0"/>
              </w:rPr>
              <w:t xml:space="preserve"> - Final Report</w:t>
            </w:r>
          </w:p>
        </w:tc>
      </w:tr>
      <w:tr w:rsidR="00242983" w:rsidRPr="00546313" w14:paraId="43B614EC"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3A2BF72C" w14:textId="77777777" w:rsidR="00242983" w:rsidRPr="00546313" w:rsidRDefault="00242983" w:rsidP="00546313">
            <w:pPr>
              <w:rPr>
                <w:rFonts w:eastAsia="Calibri" w:cs="Calibri Light"/>
                <w:b w:val="0"/>
                <w:bCs w:val="0"/>
              </w:rPr>
            </w:pPr>
            <w:r w:rsidRPr="00546313">
              <w:rPr>
                <w:rFonts w:cs="Calibri Light"/>
                <w:b w:val="0"/>
                <w:bCs w:val="0"/>
              </w:rPr>
              <w:t>DFAT CEAFM Project Final Report.pdf</w:t>
            </w:r>
          </w:p>
        </w:tc>
      </w:tr>
      <w:tr w:rsidR="00242983" w:rsidRPr="00546313" w14:paraId="25A4926C"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3B4D7594" w14:textId="77777777" w:rsidR="00242983" w:rsidRPr="00546313" w:rsidRDefault="00242983" w:rsidP="00546313">
            <w:pPr>
              <w:rPr>
                <w:rFonts w:eastAsia="Calibri" w:cs="Calibri Light"/>
                <w:b w:val="0"/>
                <w:bCs w:val="0"/>
              </w:rPr>
            </w:pPr>
            <w:r w:rsidRPr="00546313">
              <w:rPr>
                <w:rFonts w:cs="Calibri Light"/>
                <w:b w:val="0"/>
                <w:bCs w:val="0"/>
              </w:rPr>
              <w:t>FFA HR Policy Update Activity Summary Report (DRAFT)</w:t>
            </w:r>
          </w:p>
        </w:tc>
      </w:tr>
      <w:tr w:rsidR="00242983" w:rsidRPr="00546313" w14:paraId="3D8B6D40"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3592030A" w14:textId="77777777" w:rsidR="00242983" w:rsidRPr="00546313" w:rsidRDefault="00242983" w:rsidP="00546313">
            <w:pPr>
              <w:rPr>
                <w:rFonts w:eastAsia="Calibri" w:cs="Calibri Light"/>
                <w:b w:val="0"/>
                <w:bCs w:val="0"/>
              </w:rPr>
            </w:pPr>
            <w:r w:rsidRPr="00546313">
              <w:rPr>
                <w:rFonts w:cs="Calibri Light"/>
                <w:b w:val="0"/>
                <w:bCs w:val="0"/>
              </w:rPr>
              <w:t>FFA HR Policy Update Deliverable 1_Needs Assessment Final Draft (For FFA Review).pdf</w:t>
            </w:r>
          </w:p>
        </w:tc>
      </w:tr>
      <w:tr w:rsidR="00242983" w:rsidRPr="00546313" w14:paraId="5BCC6794"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28EB0931" w14:textId="77777777" w:rsidR="00242983" w:rsidRPr="00546313" w:rsidRDefault="00242983" w:rsidP="00546313">
            <w:pPr>
              <w:rPr>
                <w:rFonts w:eastAsia="Calibri" w:cs="Calibri Light"/>
                <w:b w:val="0"/>
                <w:bCs w:val="0"/>
              </w:rPr>
            </w:pPr>
            <w:r w:rsidRPr="00546313">
              <w:rPr>
                <w:rFonts w:cs="Calibri Light"/>
                <w:b w:val="0"/>
                <w:bCs w:val="0"/>
              </w:rPr>
              <w:t>FFA MCS Strategy May 2023 Report and Activity Plan.pdf</w:t>
            </w:r>
          </w:p>
        </w:tc>
      </w:tr>
      <w:tr w:rsidR="00242983" w:rsidRPr="00546313" w14:paraId="0007A39F"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4BAE7D3E" w14:textId="77777777" w:rsidR="00242983" w:rsidRPr="00546313" w:rsidRDefault="00242983" w:rsidP="00546313">
            <w:pPr>
              <w:rPr>
                <w:rFonts w:eastAsia="Calibri" w:cs="Calibri Light"/>
                <w:b w:val="0"/>
                <w:bCs w:val="0"/>
              </w:rPr>
            </w:pPr>
            <w:proofErr w:type="gramStart"/>
            <w:r w:rsidRPr="00546313">
              <w:rPr>
                <w:rFonts w:cs="Calibri Light"/>
                <w:b w:val="0"/>
                <w:bCs w:val="0"/>
              </w:rPr>
              <w:t>Final Results</w:t>
            </w:r>
            <w:proofErr w:type="gramEnd"/>
            <w:r w:rsidRPr="00546313">
              <w:rPr>
                <w:rFonts w:cs="Calibri Light"/>
                <w:b w:val="0"/>
                <w:bCs w:val="0"/>
              </w:rPr>
              <w:t xml:space="preserve"> Report Pacific Maritime Boundaries Project 2017-2020</w:t>
            </w:r>
          </w:p>
        </w:tc>
      </w:tr>
      <w:tr w:rsidR="00242983" w:rsidRPr="00546313" w14:paraId="28340D6C"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401CB40C" w14:textId="77777777" w:rsidR="00242983" w:rsidRPr="00546313" w:rsidRDefault="00242983" w:rsidP="00546313">
            <w:pPr>
              <w:rPr>
                <w:rFonts w:eastAsia="Calibri" w:cs="Calibri Light"/>
                <w:b w:val="0"/>
                <w:bCs w:val="0"/>
              </w:rPr>
            </w:pPr>
            <w:r w:rsidRPr="00546313">
              <w:rPr>
                <w:rFonts w:cs="Calibri Light"/>
                <w:b w:val="0"/>
                <w:bCs w:val="0"/>
              </w:rPr>
              <w:t>HOF10 Funding - Final Report</w:t>
            </w:r>
          </w:p>
        </w:tc>
      </w:tr>
      <w:tr w:rsidR="00242983" w:rsidRPr="00546313" w14:paraId="752427AD"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6FF3C046" w14:textId="1ECB97A2" w:rsidR="00242983" w:rsidRPr="00546313" w:rsidRDefault="00242983" w:rsidP="00546313">
            <w:pPr>
              <w:rPr>
                <w:rFonts w:eastAsia="Calibri" w:cs="Calibri Light"/>
                <w:b w:val="0"/>
                <w:bCs w:val="0"/>
              </w:rPr>
            </w:pPr>
            <w:r w:rsidRPr="00546313">
              <w:rPr>
                <w:rFonts w:cs="Calibri Light"/>
                <w:b w:val="0"/>
                <w:bCs w:val="0"/>
              </w:rPr>
              <w:t xml:space="preserve">OPOC_70141-16_Completion </w:t>
            </w:r>
            <w:r w:rsidR="005E14A2" w:rsidRPr="00546313">
              <w:rPr>
                <w:rFonts w:cs="Calibri Light"/>
                <w:b w:val="0"/>
                <w:bCs w:val="0"/>
              </w:rPr>
              <w:t>Report Final</w:t>
            </w:r>
          </w:p>
        </w:tc>
      </w:tr>
      <w:tr w:rsidR="00242983" w:rsidRPr="00546313" w14:paraId="001618ED" w14:textId="77777777" w:rsidTr="004E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9" w:type="dxa"/>
            <w:vAlign w:val="bottom"/>
          </w:tcPr>
          <w:p w14:paraId="07130792" w14:textId="77777777" w:rsidR="00242983" w:rsidRPr="00546313" w:rsidRDefault="00242983" w:rsidP="00546313">
            <w:pPr>
              <w:rPr>
                <w:rFonts w:eastAsia="Calibri" w:cs="Calibri Light"/>
                <w:b w:val="0"/>
                <w:bCs w:val="0"/>
              </w:rPr>
            </w:pPr>
            <w:r w:rsidRPr="00546313">
              <w:rPr>
                <w:rFonts w:cs="Calibri Light"/>
                <w:b w:val="0"/>
                <w:bCs w:val="0"/>
              </w:rPr>
              <w:t>PNA Final Report - Sep 17</w:t>
            </w:r>
          </w:p>
        </w:tc>
      </w:tr>
      <w:tr w:rsidR="00242983" w:rsidRPr="00546313" w14:paraId="6BBF5923" w14:textId="77777777" w:rsidTr="004E4730">
        <w:tc>
          <w:tcPr>
            <w:cnfStyle w:val="001000000000" w:firstRow="0" w:lastRow="0" w:firstColumn="1" w:lastColumn="0" w:oddVBand="0" w:evenVBand="0" w:oddHBand="0" w:evenHBand="0" w:firstRowFirstColumn="0" w:firstRowLastColumn="0" w:lastRowFirstColumn="0" w:lastRowLastColumn="0"/>
            <w:tcW w:w="8789" w:type="dxa"/>
            <w:vAlign w:val="bottom"/>
          </w:tcPr>
          <w:p w14:paraId="6AC6E801" w14:textId="77777777" w:rsidR="00242983" w:rsidRPr="00546313" w:rsidRDefault="00242983" w:rsidP="00546313">
            <w:pPr>
              <w:rPr>
                <w:rFonts w:eastAsia="Calibri" w:cs="Calibri Light"/>
                <w:b w:val="0"/>
                <w:bCs w:val="0"/>
              </w:rPr>
            </w:pPr>
            <w:proofErr w:type="spellStart"/>
            <w:r w:rsidRPr="00546313">
              <w:rPr>
                <w:rFonts w:cs="Calibri Light"/>
                <w:b w:val="0"/>
                <w:bCs w:val="0"/>
              </w:rPr>
              <w:t>RBBP_Final</w:t>
            </w:r>
            <w:proofErr w:type="spellEnd"/>
            <w:r w:rsidRPr="00546313">
              <w:rPr>
                <w:rFonts w:cs="Calibri Light"/>
                <w:b w:val="0"/>
                <w:bCs w:val="0"/>
              </w:rPr>
              <w:t xml:space="preserve"> Project Report_Year1 to 4</w:t>
            </w:r>
          </w:p>
        </w:tc>
      </w:tr>
    </w:tbl>
    <w:p w14:paraId="6359DB44" w14:textId="77777777" w:rsidR="0073589D" w:rsidRPr="00581C11" w:rsidRDefault="0073589D" w:rsidP="00D41C65"/>
    <w:p w14:paraId="2E9709A3" w14:textId="535F3B13" w:rsidR="0073589D" w:rsidRPr="00581C11" w:rsidRDefault="0073589D" w:rsidP="00D41C65">
      <w:pPr>
        <w:rPr>
          <w:rStyle w:val="Heading"/>
          <w:rFonts w:eastAsiaTheme="majorEastAsia" w:cstheme="minorHAnsi"/>
          <w:color w:val="2F5496" w:themeColor="accent1" w:themeShade="BF"/>
          <w:sz w:val="32"/>
          <w:szCs w:val="32"/>
        </w:rPr>
      </w:pPr>
    </w:p>
    <w:p w14:paraId="0E99A478" w14:textId="0178CA81" w:rsidR="00FC5E11" w:rsidRPr="000D277D" w:rsidRDefault="000F3351" w:rsidP="000D277D">
      <w:pPr>
        <w:pStyle w:val="Heading3"/>
        <w:rPr>
          <w:b/>
          <w:bCs/>
        </w:rPr>
      </w:pPr>
      <w:bookmarkStart w:id="69" w:name="_Toc207206820"/>
      <w:r w:rsidRPr="000D277D">
        <w:rPr>
          <w:b/>
          <w:bCs/>
        </w:rPr>
        <w:t>Annexe</w:t>
      </w:r>
      <w:r w:rsidR="007807D2" w:rsidRPr="000D277D">
        <w:rPr>
          <w:b/>
          <w:bCs/>
        </w:rPr>
        <w:t xml:space="preserve"> </w:t>
      </w:r>
      <w:r w:rsidR="005640D6" w:rsidRPr="000D277D">
        <w:rPr>
          <w:b/>
          <w:bCs/>
        </w:rPr>
        <w:t>2</w:t>
      </w:r>
      <w:r w:rsidR="007807D2" w:rsidRPr="000D277D">
        <w:rPr>
          <w:b/>
          <w:bCs/>
        </w:rPr>
        <w:t xml:space="preserve">: </w:t>
      </w:r>
      <w:r w:rsidR="00721320" w:rsidRPr="000D277D">
        <w:rPr>
          <w:b/>
          <w:bCs/>
        </w:rPr>
        <w:t>List</w:t>
      </w:r>
      <w:r w:rsidR="003A748A" w:rsidRPr="000D277D">
        <w:rPr>
          <w:b/>
          <w:bCs/>
        </w:rPr>
        <w:t xml:space="preserve"> of key informants</w:t>
      </w:r>
      <w:bookmarkEnd w:id="69"/>
    </w:p>
    <w:p w14:paraId="4296808B" w14:textId="22CE2712" w:rsidR="007807D2" w:rsidRPr="00581C11" w:rsidRDefault="007807D2" w:rsidP="00D41C65">
      <w:pPr>
        <w:rPr>
          <w:rStyle w:val="Heading"/>
          <w:rFonts w:cstheme="minorHAnsi"/>
        </w:rPr>
      </w:pPr>
    </w:p>
    <w:tbl>
      <w:tblPr>
        <w:tblW w:w="0" w:type="auto"/>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Caption w:val="Key Informant Interviews with Decision Makers"/>
      </w:tblPr>
      <w:tblGrid>
        <w:gridCol w:w="1830"/>
        <w:gridCol w:w="3390"/>
        <w:gridCol w:w="3936"/>
      </w:tblGrid>
      <w:tr w:rsidR="00242983" w14:paraId="14045E05"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shd w:val="clear" w:color="auto" w:fill="DAE9F7"/>
            <w:vAlign w:val="center"/>
            <w:hideMark/>
          </w:tcPr>
          <w:p w14:paraId="5F3431B9" w14:textId="77777777" w:rsidR="00242983" w:rsidRDefault="00242983" w:rsidP="00D41C65">
            <w:pPr>
              <w:pStyle w:val="paragraph"/>
            </w:pPr>
            <w:r>
              <w:rPr>
                <w:rStyle w:val="normaltextrun"/>
                <w:rFonts w:cs="Calibri Light"/>
                <w:b/>
                <w:bCs/>
                <w:lang w:val="en-AU"/>
              </w:rPr>
              <w:t>Name</w:t>
            </w:r>
            <w:r>
              <w:rPr>
                <w:rStyle w:val="eop"/>
                <w:rFonts w:cs="Calibri Light"/>
              </w:rPr>
              <w:t> </w:t>
            </w:r>
          </w:p>
        </w:tc>
        <w:tc>
          <w:tcPr>
            <w:tcW w:w="3390" w:type="dxa"/>
            <w:tcBorders>
              <w:top w:val="single" w:sz="6" w:space="0" w:color="000000"/>
              <w:left w:val="single" w:sz="6" w:space="0" w:color="000000"/>
              <w:bottom w:val="single" w:sz="6" w:space="0" w:color="000000"/>
              <w:right w:val="single" w:sz="6" w:space="0" w:color="000000"/>
            </w:tcBorders>
            <w:shd w:val="clear" w:color="auto" w:fill="DAE9F7"/>
            <w:vAlign w:val="center"/>
            <w:hideMark/>
          </w:tcPr>
          <w:p w14:paraId="70647386" w14:textId="77777777" w:rsidR="00242983" w:rsidRDefault="00242983" w:rsidP="00D41C65">
            <w:pPr>
              <w:pStyle w:val="paragraph"/>
            </w:pPr>
            <w:r>
              <w:rPr>
                <w:rStyle w:val="normaltextrun"/>
                <w:rFonts w:cs="Calibri Light"/>
                <w:b/>
                <w:bCs/>
                <w:lang w:val="en-AU"/>
              </w:rPr>
              <w:t>Role</w:t>
            </w:r>
            <w:r>
              <w:rPr>
                <w:rStyle w:val="eop"/>
                <w:rFonts w:cs="Calibri Light"/>
              </w:rPr>
              <w:t> </w:t>
            </w:r>
          </w:p>
        </w:tc>
        <w:tc>
          <w:tcPr>
            <w:tcW w:w="3936" w:type="dxa"/>
            <w:tcBorders>
              <w:top w:val="single" w:sz="6" w:space="0" w:color="000000"/>
              <w:left w:val="single" w:sz="6" w:space="0" w:color="000000"/>
              <w:bottom w:val="single" w:sz="4" w:space="0" w:color="auto"/>
              <w:right w:val="single" w:sz="6" w:space="0" w:color="000000"/>
            </w:tcBorders>
            <w:shd w:val="clear" w:color="auto" w:fill="DAE9F7"/>
            <w:vAlign w:val="center"/>
            <w:hideMark/>
          </w:tcPr>
          <w:p w14:paraId="58B0DC68" w14:textId="77777777" w:rsidR="00242983" w:rsidRDefault="00242983" w:rsidP="00D41C65">
            <w:pPr>
              <w:pStyle w:val="paragraph"/>
            </w:pPr>
            <w:r>
              <w:rPr>
                <w:rStyle w:val="normaltextrun"/>
                <w:rFonts w:cs="Calibri Light"/>
                <w:b/>
                <w:bCs/>
                <w:lang w:val="en-AU"/>
              </w:rPr>
              <w:t>Organisation</w:t>
            </w:r>
            <w:r>
              <w:rPr>
                <w:rStyle w:val="eop"/>
                <w:rFonts w:cs="Calibri Light"/>
              </w:rPr>
              <w:t> </w:t>
            </w:r>
          </w:p>
        </w:tc>
      </w:tr>
      <w:tr w:rsidR="006E18F9" w14:paraId="383B0051"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0697B04D" w14:textId="77777777" w:rsidR="006E18F9" w:rsidRDefault="006E18F9" w:rsidP="00D41C65">
            <w:pPr>
              <w:pStyle w:val="paragraph"/>
            </w:pPr>
            <w:r>
              <w:rPr>
                <w:rStyle w:val="normaltextrun"/>
                <w:rFonts w:cs="Calibri Light"/>
                <w:color w:val="000000"/>
                <w:lang w:val="en-AU"/>
              </w:rPr>
              <w:t>Regan Field</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4" w:space="0" w:color="auto"/>
            </w:tcBorders>
            <w:vAlign w:val="center"/>
            <w:hideMark/>
          </w:tcPr>
          <w:p w14:paraId="04531C38" w14:textId="77777777" w:rsidR="006E18F9" w:rsidRDefault="006E18F9" w:rsidP="00D41C65">
            <w:pPr>
              <w:pStyle w:val="paragraph"/>
            </w:pPr>
            <w:r>
              <w:rPr>
                <w:rStyle w:val="normaltextrun"/>
                <w:rFonts w:cs="Calibri Light"/>
                <w:color w:val="000000"/>
                <w:lang w:val="en-AU"/>
              </w:rPr>
              <w:t>Director</w:t>
            </w:r>
            <w:r>
              <w:rPr>
                <w:rStyle w:val="eop"/>
                <w:rFonts w:cs="Calibri Light"/>
                <w:color w:val="000000"/>
              </w:rPr>
              <w:t> </w:t>
            </w:r>
          </w:p>
        </w:tc>
        <w:tc>
          <w:tcPr>
            <w:tcW w:w="3936" w:type="dxa"/>
            <w:tcBorders>
              <w:top w:val="single" w:sz="4" w:space="0" w:color="auto"/>
              <w:left w:val="single" w:sz="4" w:space="0" w:color="auto"/>
              <w:bottom w:val="single" w:sz="4" w:space="0" w:color="auto"/>
              <w:right w:val="single" w:sz="4" w:space="0" w:color="auto"/>
            </w:tcBorders>
            <w:vAlign w:val="center"/>
            <w:hideMark/>
          </w:tcPr>
          <w:p w14:paraId="036E4433" w14:textId="77777777" w:rsidR="006E18F9" w:rsidRDefault="006E18F9" w:rsidP="006E18F9">
            <w:pPr>
              <w:pStyle w:val="paragraph"/>
            </w:pPr>
            <w:r>
              <w:rPr>
                <w:rStyle w:val="normaltextrun"/>
                <w:rFonts w:cs="Calibri Light"/>
                <w:lang w:val="en-AU"/>
              </w:rPr>
              <w:t>DFAT Pacific Fisheries and Maritime Section</w:t>
            </w:r>
            <w:r>
              <w:rPr>
                <w:rStyle w:val="eop"/>
                <w:rFonts w:cs="Calibri Light"/>
              </w:rPr>
              <w:t> </w:t>
            </w:r>
          </w:p>
        </w:tc>
      </w:tr>
      <w:tr w:rsidR="006E18F9" w14:paraId="58FA44F3"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4A87E836" w14:textId="77777777" w:rsidR="006E18F9" w:rsidRDefault="006E18F9" w:rsidP="006E18F9">
            <w:pPr>
              <w:pStyle w:val="paragraph"/>
            </w:pPr>
            <w:r>
              <w:rPr>
                <w:rStyle w:val="normaltextrun"/>
                <w:rFonts w:cs="Calibri Light"/>
                <w:color w:val="000000"/>
                <w:lang w:val="en-AU"/>
              </w:rPr>
              <w:t xml:space="preserve">Ben </w:t>
            </w:r>
            <w:proofErr w:type="spellStart"/>
            <w:r>
              <w:rPr>
                <w:rStyle w:val="normaltextrun"/>
                <w:rFonts w:cs="Calibri Light"/>
                <w:color w:val="000000"/>
                <w:lang w:val="en-AU"/>
              </w:rPr>
              <w:t>Priebbenow</w:t>
            </w:r>
            <w:proofErr w:type="spellEnd"/>
            <w:r>
              <w:rPr>
                <w:rStyle w:val="normaltextrun"/>
                <w:rFonts w:cs="Calibri Light"/>
                <w:color w:val="000000"/>
                <w:lang w:val="en-AU"/>
              </w:rPr>
              <w:t> </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4" w:space="0" w:color="auto"/>
            </w:tcBorders>
            <w:vAlign w:val="center"/>
            <w:hideMark/>
          </w:tcPr>
          <w:p w14:paraId="5AE42FB7" w14:textId="77777777" w:rsidR="006E18F9" w:rsidRDefault="006E18F9" w:rsidP="006E18F9">
            <w:pPr>
              <w:pStyle w:val="paragraph"/>
            </w:pPr>
            <w:r>
              <w:rPr>
                <w:rStyle w:val="normaltextrun"/>
                <w:rFonts w:cs="Calibri Light"/>
                <w:color w:val="000000"/>
                <w:lang w:val="en-AU"/>
              </w:rPr>
              <w:t>Policy Officer</w:t>
            </w:r>
            <w:r>
              <w:rPr>
                <w:rStyle w:val="eop"/>
                <w:rFonts w:cs="Calibri Light"/>
                <w:color w:val="000000"/>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F075FFC" w14:textId="593E0699" w:rsidR="006E18F9" w:rsidRDefault="006E18F9" w:rsidP="006E18F9">
            <w:r>
              <w:rPr>
                <w:rStyle w:val="normaltextrun"/>
                <w:rFonts w:cs="Calibri Light"/>
                <w:lang w:val="en-AU"/>
              </w:rPr>
              <w:t>DFAT Pacific Fisheries and Maritime Section</w:t>
            </w:r>
            <w:r>
              <w:rPr>
                <w:rStyle w:val="eop"/>
                <w:rFonts w:cs="Calibri Light"/>
              </w:rPr>
              <w:t> </w:t>
            </w:r>
          </w:p>
        </w:tc>
      </w:tr>
      <w:tr w:rsidR="006E18F9" w14:paraId="135770CC"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1434089B" w14:textId="77777777" w:rsidR="006E18F9" w:rsidRDefault="006E18F9" w:rsidP="006E18F9">
            <w:pPr>
              <w:pStyle w:val="paragraph"/>
            </w:pPr>
            <w:r>
              <w:rPr>
                <w:rStyle w:val="normaltextrun"/>
                <w:rFonts w:cs="Calibri Light"/>
                <w:color w:val="000000"/>
                <w:lang w:val="en-AU"/>
              </w:rPr>
              <w:t>Kylie Tonon </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4" w:space="0" w:color="auto"/>
            </w:tcBorders>
            <w:vAlign w:val="center"/>
            <w:hideMark/>
          </w:tcPr>
          <w:p w14:paraId="2B3ACC1F" w14:textId="77777777" w:rsidR="006E18F9" w:rsidRDefault="006E18F9" w:rsidP="006E18F9">
            <w:pPr>
              <w:pStyle w:val="paragraph"/>
            </w:pPr>
            <w:r>
              <w:rPr>
                <w:rStyle w:val="normaltextrun"/>
                <w:rFonts w:cs="Calibri Light"/>
                <w:color w:val="000000"/>
                <w:lang w:val="en-AU"/>
              </w:rPr>
              <w:t>Assistant Director</w:t>
            </w:r>
            <w:r>
              <w:rPr>
                <w:rStyle w:val="eop"/>
                <w:rFonts w:cs="Calibri Light"/>
                <w:color w:val="000000"/>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09B58261" w14:textId="16E360F2" w:rsidR="006E18F9" w:rsidRDefault="006E18F9" w:rsidP="006E18F9">
            <w:r>
              <w:rPr>
                <w:rStyle w:val="normaltextrun"/>
                <w:rFonts w:cs="Calibri Light"/>
                <w:lang w:val="en-AU"/>
              </w:rPr>
              <w:t>DFAT Pacific Fisheries and Maritime Section</w:t>
            </w:r>
            <w:r>
              <w:rPr>
                <w:rStyle w:val="eop"/>
                <w:rFonts w:cs="Calibri Light"/>
              </w:rPr>
              <w:t> </w:t>
            </w:r>
          </w:p>
        </w:tc>
      </w:tr>
      <w:tr w:rsidR="006E18F9" w14:paraId="6A3D64F2"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1C8F065F" w14:textId="77777777" w:rsidR="006E18F9" w:rsidRDefault="006E18F9" w:rsidP="006E18F9">
            <w:pPr>
              <w:pStyle w:val="paragraph"/>
            </w:pPr>
            <w:r>
              <w:rPr>
                <w:rStyle w:val="normaltextrun"/>
                <w:rFonts w:cs="Calibri Light"/>
                <w:color w:val="000000"/>
                <w:lang w:val="en-AU"/>
              </w:rPr>
              <w:t>John Hutton</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4" w:space="0" w:color="auto"/>
            </w:tcBorders>
            <w:vAlign w:val="center"/>
            <w:hideMark/>
          </w:tcPr>
          <w:p w14:paraId="35F43032" w14:textId="77777777" w:rsidR="006E18F9" w:rsidRDefault="006E18F9" w:rsidP="006E18F9">
            <w:pPr>
              <w:pStyle w:val="paragraph"/>
            </w:pPr>
            <w:r>
              <w:rPr>
                <w:rStyle w:val="normaltextrun"/>
                <w:rFonts w:cs="Calibri Light"/>
                <w:color w:val="000000"/>
                <w:lang w:val="en-AU"/>
              </w:rPr>
              <w:t>Assistant Director</w:t>
            </w:r>
            <w:r>
              <w:rPr>
                <w:rStyle w:val="eop"/>
                <w:rFonts w:cs="Calibri Light"/>
                <w:color w:val="000000"/>
              </w:rPr>
              <w:t> </w:t>
            </w:r>
          </w:p>
        </w:tc>
        <w:tc>
          <w:tcPr>
            <w:tcW w:w="0" w:type="auto"/>
            <w:tcBorders>
              <w:top w:val="single" w:sz="4" w:space="0" w:color="auto"/>
              <w:left w:val="single" w:sz="4" w:space="0" w:color="auto"/>
              <w:bottom w:val="single" w:sz="4" w:space="0" w:color="auto"/>
              <w:right w:val="single" w:sz="4" w:space="0" w:color="auto"/>
            </w:tcBorders>
            <w:vAlign w:val="center"/>
            <w:hideMark/>
          </w:tcPr>
          <w:p w14:paraId="73E9C527" w14:textId="35808BE1" w:rsidR="006E18F9" w:rsidRDefault="006E18F9" w:rsidP="006E18F9">
            <w:r>
              <w:rPr>
                <w:rStyle w:val="normaltextrun"/>
                <w:rFonts w:cs="Calibri Light"/>
                <w:lang w:val="en-AU"/>
              </w:rPr>
              <w:t>DFAT Pacific Fisheries and Maritime Section</w:t>
            </w:r>
            <w:r>
              <w:rPr>
                <w:rStyle w:val="eop"/>
                <w:rFonts w:cs="Calibri Light"/>
              </w:rPr>
              <w:t> </w:t>
            </w:r>
          </w:p>
        </w:tc>
      </w:tr>
      <w:tr w:rsidR="006E18F9" w14:paraId="4E2AEB7C"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50569AD0" w14:textId="77777777" w:rsidR="006E18F9" w:rsidRDefault="006E18F9" w:rsidP="006E18F9">
            <w:pPr>
              <w:pStyle w:val="paragraph"/>
            </w:pPr>
            <w:r>
              <w:rPr>
                <w:rStyle w:val="normaltextrun"/>
                <w:rFonts w:cs="Calibri Light"/>
                <w:color w:val="000000"/>
                <w:lang w:val="en-AU"/>
              </w:rPr>
              <w:t xml:space="preserve">Liz Brierley </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257E03EB" w14:textId="77777777" w:rsidR="006E18F9" w:rsidRDefault="006E18F9" w:rsidP="006E18F9">
            <w:pPr>
              <w:pStyle w:val="paragraph"/>
            </w:pPr>
            <w:r>
              <w:rPr>
                <w:rStyle w:val="normaltextrun"/>
                <w:rFonts w:cs="Calibri Light"/>
                <w:color w:val="000000"/>
                <w:lang w:val="en-AU"/>
              </w:rPr>
              <w:t>Defence, former Director of PFO) </w:t>
            </w:r>
            <w:r>
              <w:rPr>
                <w:rStyle w:val="eop"/>
                <w:rFonts w:cs="Calibri Light"/>
                <w:color w:val="000000"/>
              </w:rPr>
              <w:t> </w:t>
            </w:r>
          </w:p>
        </w:tc>
        <w:tc>
          <w:tcPr>
            <w:tcW w:w="3936" w:type="dxa"/>
            <w:tcBorders>
              <w:top w:val="single" w:sz="4" w:space="0" w:color="auto"/>
              <w:left w:val="single" w:sz="6" w:space="0" w:color="000000"/>
              <w:bottom w:val="single" w:sz="6" w:space="0" w:color="000000"/>
              <w:right w:val="single" w:sz="6" w:space="0" w:color="000000"/>
            </w:tcBorders>
            <w:vAlign w:val="center"/>
            <w:hideMark/>
          </w:tcPr>
          <w:p w14:paraId="6E69067D" w14:textId="77777777" w:rsidR="006E18F9" w:rsidRDefault="006E18F9" w:rsidP="006E18F9">
            <w:pPr>
              <w:pStyle w:val="paragraph"/>
            </w:pPr>
            <w:r>
              <w:rPr>
                <w:rStyle w:val="normaltextrun"/>
                <w:rFonts w:cs="Calibri Light"/>
                <w:color w:val="000000"/>
                <w:lang w:val="en-AU"/>
              </w:rPr>
              <w:t>Former PFO</w:t>
            </w:r>
            <w:r>
              <w:rPr>
                <w:rStyle w:val="eop"/>
                <w:rFonts w:cs="Calibri Light"/>
                <w:color w:val="000000"/>
              </w:rPr>
              <w:t> </w:t>
            </w:r>
          </w:p>
        </w:tc>
      </w:tr>
      <w:tr w:rsidR="006E18F9" w14:paraId="15303B1A"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5F98DA79" w14:textId="77777777" w:rsidR="006E18F9" w:rsidRDefault="006E18F9" w:rsidP="006E18F9">
            <w:pPr>
              <w:pStyle w:val="paragraph"/>
            </w:pPr>
            <w:r>
              <w:rPr>
                <w:rStyle w:val="normaltextrun"/>
                <w:rFonts w:cs="Calibri Light"/>
                <w:color w:val="000000"/>
                <w:lang w:val="en-AU"/>
              </w:rPr>
              <w:t>Karen Bray</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0602396A" w14:textId="77777777" w:rsidR="006E18F9" w:rsidRDefault="006E18F9" w:rsidP="006E18F9">
            <w:pPr>
              <w:pStyle w:val="paragraph"/>
            </w:pPr>
            <w:r>
              <w:rPr>
                <w:rStyle w:val="normaltextrun"/>
                <w:rFonts w:cs="Calibri Light"/>
                <w:color w:val="000000"/>
                <w:lang w:val="en-AU"/>
              </w:rPr>
              <w:t>DFAT, former Director of PFO</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1E6148BD" w14:textId="77777777" w:rsidR="006E18F9" w:rsidRDefault="006E18F9" w:rsidP="006E18F9">
            <w:pPr>
              <w:pStyle w:val="paragraph"/>
            </w:pPr>
            <w:r>
              <w:rPr>
                <w:rStyle w:val="normaltextrun"/>
                <w:rFonts w:cs="Calibri Light"/>
                <w:color w:val="000000"/>
                <w:lang w:val="en-AU"/>
              </w:rPr>
              <w:t>Former PFO &amp; DFAT Post Kiribati</w:t>
            </w:r>
            <w:r>
              <w:rPr>
                <w:rStyle w:val="eop"/>
                <w:rFonts w:cs="Calibri Light"/>
                <w:color w:val="000000"/>
              </w:rPr>
              <w:t> </w:t>
            </w:r>
          </w:p>
        </w:tc>
      </w:tr>
      <w:tr w:rsidR="006E18F9" w14:paraId="67D158D9"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76581003" w14:textId="77777777" w:rsidR="006E18F9" w:rsidRDefault="006E18F9" w:rsidP="006E18F9">
            <w:pPr>
              <w:pStyle w:val="paragraph"/>
            </w:pPr>
            <w:r>
              <w:rPr>
                <w:rStyle w:val="normaltextrun"/>
                <w:rFonts w:cs="Calibri Light"/>
                <w:color w:val="000000"/>
                <w:lang w:val="en-AU"/>
              </w:rPr>
              <w:t>Bill Rowell</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2B6B2C71" w14:textId="77777777" w:rsidR="006E18F9" w:rsidRDefault="006E18F9" w:rsidP="006E18F9">
            <w:pPr>
              <w:pStyle w:val="paragraph"/>
            </w:pPr>
            <w:r>
              <w:rPr>
                <w:rStyle w:val="normaltextrun"/>
                <w:rFonts w:cs="Calibri Light"/>
                <w:color w:val="000000"/>
                <w:lang w:val="en-AU"/>
              </w:rPr>
              <w:t>Posts Solomon Islands</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4994AD83" w14:textId="77777777" w:rsidR="006E18F9" w:rsidRDefault="006E18F9" w:rsidP="006E18F9">
            <w:pPr>
              <w:pStyle w:val="paragraph"/>
            </w:pPr>
            <w:r>
              <w:rPr>
                <w:rStyle w:val="normaltextrun"/>
                <w:rFonts w:cs="Calibri Light"/>
                <w:color w:val="000000"/>
                <w:lang w:val="en-AU"/>
              </w:rPr>
              <w:t>Department of Foreign Affairs and Trade</w:t>
            </w:r>
            <w:r>
              <w:rPr>
                <w:rStyle w:val="eop"/>
                <w:rFonts w:cs="Calibri Light"/>
                <w:color w:val="000000"/>
              </w:rPr>
              <w:t> </w:t>
            </w:r>
          </w:p>
        </w:tc>
      </w:tr>
      <w:tr w:rsidR="006E18F9" w14:paraId="37042159"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654A6A00" w14:textId="77777777" w:rsidR="006E18F9" w:rsidRDefault="006E18F9" w:rsidP="006E18F9">
            <w:pPr>
              <w:pStyle w:val="paragraph"/>
            </w:pPr>
            <w:r>
              <w:rPr>
                <w:rStyle w:val="normaltextrun"/>
                <w:rFonts w:cs="Calibri Light"/>
                <w:color w:val="000000"/>
                <w:lang w:val="en-AU"/>
              </w:rPr>
              <w:t xml:space="preserve">Mat Kertesz </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72D174CA" w14:textId="77777777" w:rsidR="006E18F9" w:rsidRDefault="006E18F9" w:rsidP="006E18F9">
            <w:pPr>
              <w:pStyle w:val="paragraph"/>
            </w:pPr>
            <w:r>
              <w:rPr>
                <w:rStyle w:val="normaltextrun"/>
                <w:rFonts w:cs="Calibri Light"/>
                <w:color w:val="000000"/>
                <w:lang w:val="en-AU"/>
              </w:rPr>
              <w:t>Director Fisheries – Pacific, Multilateral and Research</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687A4DB6" w14:textId="77777777" w:rsidR="006E18F9" w:rsidRDefault="006E18F9" w:rsidP="006E18F9">
            <w:pPr>
              <w:pStyle w:val="paragraph"/>
            </w:pPr>
            <w:r>
              <w:rPr>
                <w:rStyle w:val="normaltextrun"/>
                <w:rFonts w:cs="Calibri Light"/>
                <w:color w:val="000000"/>
                <w:lang w:val="en-AU"/>
              </w:rPr>
              <w:t>DAFF</w:t>
            </w:r>
            <w:r>
              <w:rPr>
                <w:rStyle w:val="eop"/>
                <w:rFonts w:cs="Calibri Light"/>
                <w:color w:val="000000"/>
              </w:rPr>
              <w:t> </w:t>
            </w:r>
          </w:p>
        </w:tc>
      </w:tr>
      <w:tr w:rsidR="006E18F9" w14:paraId="28357B0C"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4803231" w14:textId="77777777" w:rsidR="006E18F9" w:rsidRDefault="006E18F9" w:rsidP="006E18F9">
            <w:pPr>
              <w:pStyle w:val="paragraph"/>
            </w:pPr>
            <w:proofErr w:type="spellStart"/>
            <w:r>
              <w:rPr>
                <w:rStyle w:val="normaltextrun"/>
                <w:rFonts w:cs="Calibri Light"/>
                <w:color w:val="000000"/>
                <w:lang w:val="en-AU"/>
              </w:rPr>
              <w:t>Wez</w:t>
            </w:r>
            <w:proofErr w:type="spellEnd"/>
            <w:r>
              <w:rPr>
                <w:rStyle w:val="normaltextrun"/>
                <w:rFonts w:cs="Calibri Light"/>
                <w:color w:val="000000"/>
                <w:lang w:val="en-AU"/>
              </w:rPr>
              <w:t xml:space="preserve"> Norris </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351259FE" w14:textId="77777777" w:rsidR="006E18F9" w:rsidRDefault="006E18F9" w:rsidP="006E18F9">
            <w:pPr>
              <w:pStyle w:val="paragraph"/>
            </w:pPr>
            <w:r>
              <w:rPr>
                <w:rStyle w:val="normaltextrun"/>
                <w:rFonts w:cs="Calibri Light"/>
                <w:color w:val="000000"/>
                <w:lang w:val="en-AU"/>
              </w:rPr>
              <w:t>CEO</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1C133719" w14:textId="77777777" w:rsidR="006E18F9" w:rsidRDefault="006E18F9" w:rsidP="006E18F9">
            <w:pPr>
              <w:pStyle w:val="paragraph"/>
            </w:pPr>
            <w:r>
              <w:rPr>
                <w:rStyle w:val="normaltextrun"/>
                <w:rFonts w:cs="Calibri Light"/>
                <w:color w:val="000000"/>
                <w:lang w:val="en-AU"/>
              </w:rPr>
              <w:t>AFMA</w:t>
            </w:r>
            <w:r>
              <w:rPr>
                <w:rStyle w:val="eop"/>
                <w:rFonts w:cs="Calibri Light"/>
                <w:color w:val="000000"/>
              </w:rPr>
              <w:t> </w:t>
            </w:r>
          </w:p>
        </w:tc>
      </w:tr>
      <w:tr w:rsidR="006E18F9" w14:paraId="7D7EB7DC"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26BE4158" w14:textId="77777777" w:rsidR="006E18F9" w:rsidRDefault="006E18F9" w:rsidP="006E18F9">
            <w:pPr>
              <w:pStyle w:val="paragraph"/>
            </w:pPr>
            <w:r>
              <w:rPr>
                <w:rStyle w:val="normaltextrun"/>
                <w:rFonts w:cs="Calibri Light"/>
                <w:color w:val="000000"/>
                <w:lang w:val="en-AU"/>
              </w:rPr>
              <w:t>David Power </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6BDD9978" w14:textId="77777777" w:rsidR="006E18F9" w:rsidRDefault="006E18F9" w:rsidP="006E18F9">
            <w:pPr>
              <w:pStyle w:val="paragraph"/>
            </w:pPr>
            <w:r>
              <w:rPr>
                <w:rStyle w:val="normaltextrun"/>
                <w:rFonts w:cs="Calibri Light"/>
                <w:color w:val="000000"/>
                <w:lang w:val="en-AU"/>
              </w:rPr>
              <w:t>Senior Manager International Compliance</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2F557BE4" w14:textId="77777777" w:rsidR="006E18F9" w:rsidRDefault="006E18F9" w:rsidP="006E18F9">
            <w:pPr>
              <w:pStyle w:val="paragraph"/>
            </w:pPr>
            <w:r>
              <w:rPr>
                <w:rStyle w:val="normaltextrun"/>
                <w:rFonts w:cs="Calibri Light"/>
                <w:color w:val="000000"/>
                <w:lang w:val="en-AU"/>
              </w:rPr>
              <w:t>AFMA</w:t>
            </w:r>
            <w:r>
              <w:rPr>
                <w:rStyle w:val="eop"/>
                <w:rFonts w:cs="Calibri Light"/>
                <w:color w:val="000000"/>
              </w:rPr>
              <w:t> </w:t>
            </w:r>
          </w:p>
        </w:tc>
      </w:tr>
      <w:tr w:rsidR="006E18F9" w14:paraId="31AAC64A"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0160718E" w14:textId="77777777" w:rsidR="006E18F9" w:rsidRDefault="006E18F9" w:rsidP="006E18F9">
            <w:pPr>
              <w:pStyle w:val="paragraph"/>
            </w:pPr>
            <w:r>
              <w:rPr>
                <w:rStyle w:val="normaltextrun"/>
                <w:rFonts w:cs="Calibri Light"/>
                <w:color w:val="000000"/>
                <w:lang w:val="en-AU"/>
              </w:rPr>
              <w:t>Chris Barlow</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6BF10729" w14:textId="77777777" w:rsidR="006E18F9" w:rsidRDefault="006E18F9" w:rsidP="006E18F9">
            <w:pPr>
              <w:pStyle w:val="paragraph"/>
            </w:pPr>
            <w:r>
              <w:rPr>
                <w:rStyle w:val="normaltextrun"/>
                <w:rFonts w:cs="Calibri Light"/>
                <w:color w:val="000000"/>
                <w:lang w:val="en-AU"/>
              </w:rPr>
              <w:t>Fisheries Research Program Manager</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18ACA10A" w14:textId="77777777" w:rsidR="006E18F9" w:rsidRDefault="006E18F9" w:rsidP="006E18F9">
            <w:pPr>
              <w:pStyle w:val="paragraph"/>
            </w:pPr>
            <w:r>
              <w:rPr>
                <w:rStyle w:val="normaltextrun"/>
                <w:rFonts w:cs="Calibri Light"/>
                <w:color w:val="000000"/>
                <w:lang w:val="en-AU"/>
              </w:rPr>
              <w:t>ACIAR</w:t>
            </w:r>
            <w:r>
              <w:rPr>
                <w:rStyle w:val="eop"/>
                <w:rFonts w:cs="Calibri Light"/>
                <w:color w:val="000000"/>
              </w:rPr>
              <w:t> </w:t>
            </w:r>
          </w:p>
        </w:tc>
      </w:tr>
      <w:tr w:rsidR="006E18F9" w14:paraId="35053EA7"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7F85CD8F" w14:textId="77777777" w:rsidR="006E18F9" w:rsidRDefault="006E18F9" w:rsidP="006E18F9">
            <w:pPr>
              <w:pStyle w:val="paragraph"/>
            </w:pPr>
            <w:r>
              <w:rPr>
                <w:rStyle w:val="normaltextrun"/>
                <w:rFonts w:cs="Calibri Light"/>
                <w:color w:val="000000"/>
                <w:lang w:val="en-AU"/>
              </w:rPr>
              <w:t>Janet Saeni-Oeta</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4B2BEE7F" w14:textId="77777777" w:rsidR="006E18F9" w:rsidRDefault="006E18F9" w:rsidP="006E18F9">
            <w:pPr>
              <w:pStyle w:val="paragraph"/>
            </w:pPr>
            <w:r>
              <w:rPr>
                <w:rStyle w:val="normaltextrun"/>
                <w:rFonts w:cs="Calibri Light"/>
                <w:color w:val="000000"/>
                <w:lang w:val="en-AU"/>
              </w:rPr>
              <w:t>Solomon Islands Country Director</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6F69483D" w14:textId="77777777" w:rsidR="006E18F9" w:rsidRDefault="006E18F9" w:rsidP="006E18F9">
            <w:pPr>
              <w:pStyle w:val="paragraph"/>
            </w:pPr>
            <w:r>
              <w:rPr>
                <w:rStyle w:val="normaltextrun"/>
                <w:rFonts w:cs="Calibri Light"/>
                <w:color w:val="000000"/>
                <w:lang w:val="en-AU"/>
              </w:rPr>
              <w:t>WorldFish</w:t>
            </w:r>
            <w:r>
              <w:rPr>
                <w:rStyle w:val="eop"/>
                <w:rFonts w:cs="Calibri Light"/>
                <w:color w:val="000000"/>
              </w:rPr>
              <w:t> </w:t>
            </w:r>
          </w:p>
        </w:tc>
      </w:tr>
      <w:tr w:rsidR="006E18F9" w14:paraId="40871D19"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25415520" w14:textId="77777777" w:rsidR="006E18F9" w:rsidRDefault="006E18F9" w:rsidP="006E18F9">
            <w:pPr>
              <w:pStyle w:val="paragraph"/>
            </w:pPr>
            <w:r>
              <w:rPr>
                <w:rStyle w:val="normaltextrun"/>
                <w:rFonts w:cs="Calibri Light"/>
                <w:color w:val="000000"/>
                <w:lang w:val="en-AU"/>
              </w:rPr>
              <w:t>Prof Neil Andrews</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566B78E7" w14:textId="77777777" w:rsidR="006E18F9" w:rsidRDefault="006E18F9" w:rsidP="006E18F9">
            <w:pPr>
              <w:pStyle w:val="paragraph"/>
            </w:pPr>
            <w:r>
              <w:rPr>
                <w:rStyle w:val="normaltextrun"/>
                <w:rFonts w:cs="Calibri Light"/>
                <w:color w:val="000000"/>
                <w:lang w:val="en-AU"/>
              </w:rPr>
              <w:t>Professor - Fisheries Ecology</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740A0C4F" w14:textId="77777777" w:rsidR="006E18F9" w:rsidRDefault="006E18F9" w:rsidP="006E18F9">
            <w:pPr>
              <w:pStyle w:val="paragraph"/>
            </w:pPr>
            <w:r>
              <w:rPr>
                <w:rStyle w:val="normaltextrun"/>
                <w:rFonts w:cs="Calibri Light"/>
                <w:color w:val="000000"/>
                <w:lang w:val="en-AU"/>
              </w:rPr>
              <w:t>ANCORS/UOW</w:t>
            </w:r>
            <w:r>
              <w:rPr>
                <w:rStyle w:val="eop"/>
                <w:rFonts w:cs="Calibri Light"/>
                <w:color w:val="000000"/>
              </w:rPr>
              <w:t> </w:t>
            </w:r>
          </w:p>
        </w:tc>
      </w:tr>
      <w:tr w:rsidR="006E18F9" w14:paraId="23BAFDFD"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1A741F3A" w14:textId="77777777" w:rsidR="006E18F9" w:rsidRDefault="006E18F9" w:rsidP="006E18F9">
            <w:pPr>
              <w:pStyle w:val="paragraph"/>
            </w:pPr>
            <w:r>
              <w:rPr>
                <w:rStyle w:val="normaltextrun"/>
                <w:rFonts w:cs="Calibri Light"/>
                <w:color w:val="000000"/>
                <w:lang w:val="en-AU"/>
              </w:rPr>
              <w:t>Terry Opa </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73DEB10F" w14:textId="76238262" w:rsidR="006E18F9" w:rsidRDefault="006E18F9" w:rsidP="006E18F9">
            <w:pPr>
              <w:pStyle w:val="paragraph"/>
            </w:pPr>
            <w:r>
              <w:rPr>
                <w:rStyle w:val="normaltextrun"/>
                <w:rFonts w:cs="Calibri Light"/>
                <w:color w:val="000000"/>
                <w:lang w:val="en-AU"/>
              </w:rPr>
              <w:t>Team Leader, Planning, Monitoring, Evaluation and Learning, FAME</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413B871B" w14:textId="77777777" w:rsidR="006E18F9" w:rsidRDefault="006E18F9" w:rsidP="006E18F9">
            <w:pPr>
              <w:pStyle w:val="paragraph"/>
            </w:pPr>
            <w:r>
              <w:rPr>
                <w:rStyle w:val="normaltextrun"/>
                <w:rFonts w:cs="Calibri Light"/>
                <w:lang w:val="en-AU"/>
              </w:rPr>
              <w:t>SPC</w:t>
            </w:r>
            <w:r>
              <w:rPr>
                <w:rStyle w:val="eop"/>
                <w:rFonts w:cs="Calibri Light"/>
              </w:rPr>
              <w:t> </w:t>
            </w:r>
          </w:p>
        </w:tc>
      </w:tr>
      <w:tr w:rsidR="006E18F9" w14:paraId="165B4FE8"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57AE8AF5" w14:textId="77777777" w:rsidR="006E18F9" w:rsidRDefault="006E18F9" w:rsidP="006E18F9">
            <w:pPr>
              <w:pStyle w:val="paragraph"/>
            </w:pPr>
            <w:r>
              <w:rPr>
                <w:rStyle w:val="normaltextrun"/>
                <w:rFonts w:cs="Calibri Light"/>
                <w:color w:val="000000"/>
                <w:lang w:val="en-AU"/>
              </w:rPr>
              <w:t xml:space="preserve">Neville Smith </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5E15ADBF" w14:textId="07D2CCCB" w:rsidR="006E18F9" w:rsidRDefault="006E18F9" w:rsidP="006E18F9">
            <w:pPr>
              <w:pStyle w:val="paragraph"/>
            </w:pPr>
            <w:r>
              <w:rPr>
                <w:rStyle w:val="normaltextrun"/>
                <w:rFonts w:cs="Calibri Light"/>
                <w:color w:val="000000"/>
                <w:lang w:val="en-AU"/>
              </w:rPr>
              <w:t>Director FAME Division</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00B762F0" w14:textId="77777777" w:rsidR="006E18F9" w:rsidRDefault="006E18F9" w:rsidP="006E18F9">
            <w:pPr>
              <w:pStyle w:val="paragraph"/>
            </w:pPr>
            <w:r>
              <w:rPr>
                <w:rStyle w:val="normaltextrun"/>
                <w:rFonts w:cs="Calibri Light"/>
                <w:lang w:val="en-AU"/>
              </w:rPr>
              <w:t>SPC</w:t>
            </w:r>
            <w:r>
              <w:rPr>
                <w:rStyle w:val="eop"/>
                <w:rFonts w:cs="Calibri Light"/>
              </w:rPr>
              <w:t> </w:t>
            </w:r>
          </w:p>
        </w:tc>
      </w:tr>
      <w:tr w:rsidR="006E18F9" w14:paraId="752FE323"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48152C08" w14:textId="77777777" w:rsidR="006E18F9" w:rsidRDefault="006E18F9" w:rsidP="006E18F9">
            <w:pPr>
              <w:pStyle w:val="paragraph"/>
            </w:pPr>
            <w:r>
              <w:rPr>
                <w:rStyle w:val="normaltextrun"/>
                <w:rFonts w:cs="Calibri Light"/>
                <w:color w:val="000000"/>
                <w:lang w:val="en-AU"/>
              </w:rPr>
              <w:t>Ivory Akao</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6F470F73" w14:textId="77777777" w:rsidR="006E18F9" w:rsidRDefault="006E18F9" w:rsidP="006E18F9">
            <w:pPr>
              <w:pStyle w:val="paragraph"/>
            </w:pPr>
            <w:r>
              <w:rPr>
                <w:rStyle w:val="normaltextrun"/>
                <w:rFonts w:cs="Calibri Light"/>
                <w:color w:val="000000"/>
                <w:lang w:val="en-AU"/>
              </w:rPr>
              <w:t>Regional CBFM Officer (Pathways project UOW)</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14289D86" w14:textId="58B1744D" w:rsidR="006E18F9" w:rsidRDefault="006E18F9" w:rsidP="006E18F9">
            <w:pPr>
              <w:pStyle w:val="paragraph"/>
            </w:pPr>
            <w:r>
              <w:rPr>
                <w:rStyle w:val="normaltextrun"/>
                <w:rFonts w:cs="Calibri Light"/>
                <w:color w:val="000000"/>
                <w:lang w:val="en-AU"/>
              </w:rPr>
              <w:t>SPC FAME</w:t>
            </w:r>
            <w:r>
              <w:rPr>
                <w:rStyle w:val="eop"/>
                <w:rFonts w:cs="Calibri Light"/>
                <w:color w:val="000000"/>
              </w:rPr>
              <w:t> </w:t>
            </w:r>
          </w:p>
        </w:tc>
      </w:tr>
      <w:tr w:rsidR="006E18F9" w14:paraId="2FE150FD"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49299E2A" w14:textId="77777777" w:rsidR="006E18F9" w:rsidRDefault="006E18F9" w:rsidP="006E18F9">
            <w:pPr>
              <w:pStyle w:val="paragraph"/>
            </w:pPr>
            <w:r>
              <w:rPr>
                <w:rStyle w:val="normaltextrun"/>
                <w:rFonts w:cs="Calibri Light"/>
                <w:color w:val="000000"/>
                <w:lang w:val="en-AU"/>
              </w:rPr>
              <w:t>Stephen Harris  </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5CA59330" w14:textId="77777777" w:rsidR="006E18F9" w:rsidRDefault="006E18F9" w:rsidP="006E18F9">
            <w:pPr>
              <w:pStyle w:val="paragraph"/>
            </w:pPr>
            <w:r>
              <w:rPr>
                <w:rStyle w:val="normaltextrun"/>
                <w:rFonts w:cs="Calibri Light"/>
                <w:color w:val="000000"/>
                <w:lang w:val="en-AU"/>
              </w:rPr>
              <w:t>Head, Pacific Ocean and Fisheries team</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570C81C9" w14:textId="77777777" w:rsidR="006E18F9" w:rsidRDefault="006E18F9" w:rsidP="006E18F9">
            <w:pPr>
              <w:pStyle w:val="paragraph"/>
            </w:pPr>
            <w:r>
              <w:rPr>
                <w:rStyle w:val="normaltextrun"/>
                <w:rFonts w:cs="Calibri Light"/>
                <w:lang w:val="en-AU"/>
              </w:rPr>
              <w:t>MFAT, New Zealand, </w:t>
            </w:r>
            <w:r>
              <w:rPr>
                <w:rStyle w:val="eop"/>
                <w:rFonts w:cs="Calibri Light"/>
              </w:rPr>
              <w:t> </w:t>
            </w:r>
          </w:p>
          <w:p w14:paraId="15DBE4B2" w14:textId="77777777" w:rsidR="006E18F9" w:rsidRDefault="006E18F9" w:rsidP="006E18F9">
            <w:pPr>
              <w:pStyle w:val="paragraph"/>
            </w:pPr>
            <w:r>
              <w:rPr>
                <w:rStyle w:val="normaltextrun"/>
                <w:rFonts w:cs="Calibri Light"/>
                <w:lang w:val="en-AU"/>
              </w:rPr>
              <w:t>Pacific Ocean and Fisheries team</w:t>
            </w:r>
            <w:r>
              <w:rPr>
                <w:rStyle w:val="eop"/>
                <w:rFonts w:cs="Calibri Light"/>
              </w:rPr>
              <w:t> </w:t>
            </w:r>
          </w:p>
        </w:tc>
      </w:tr>
      <w:tr w:rsidR="006E18F9" w14:paraId="65F31D17"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71ECC8F5" w14:textId="77777777" w:rsidR="006E18F9" w:rsidRDefault="006E18F9" w:rsidP="006E18F9">
            <w:pPr>
              <w:pStyle w:val="paragraph"/>
            </w:pPr>
            <w:r>
              <w:rPr>
                <w:rStyle w:val="normaltextrun"/>
                <w:rFonts w:cs="Calibri Light"/>
                <w:color w:val="000000"/>
                <w:lang w:val="en-AU"/>
              </w:rPr>
              <w:t>Sarah McAvinchey </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23E6510C" w14:textId="77777777" w:rsidR="006E18F9" w:rsidRDefault="006E18F9" w:rsidP="006E18F9">
            <w:pPr>
              <w:pStyle w:val="paragraph"/>
            </w:pPr>
            <w:r>
              <w:rPr>
                <w:rStyle w:val="normaltextrun"/>
                <w:rFonts w:cs="Calibri Light"/>
                <w:color w:val="000000"/>
                <w:lang w:val="en-AU"/>
              </w:rPr>
              <w:t>Lead Adviser, Pacific Ocean and Fisheries team </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55BFFE84" w14:textId="77777777" w:rsidR="006E18F9" w:rsidRDefault="006E18F9" w:rsidP="006E18F9">
            <w:pPr>
              <w:pStyle w:val="paragraph"/>
            </w:pPr>
            <w:r>
              <w:rPr>
                <w:rStyle w:val="normaltextrun"/>
                <w:rFonts w:cs="Calibri Light"/>
                <w:lang w:val="en-AU"/>
              </w:rPr>
              <w:t>MFAT, New Zealand, </w:t>
            </w:r>
            <w:r>
              <w:rPr>
                <w:rStyle w:val="eop"/>
                <w:rFonts w:cs="Calibri Light"/>
              </w:rPr>
              <w:t> </w:t>
            </w:r>
          </w:p>
          <w:p w14:paraId="419400E5" w14:textId="77777777" w:rsidR="006E18F9" w:rsidRDefault="006E18F9" w:rsidP="006E18F9">
            <w:pPr>
              <w:pStyle w:val="paragraph"/>
            </w:pPr>
            <w:r>
              <w:rPr>
                <w:rStyle w:val="normaltextrun"/>
                <w:rFonts w:cs="Calibri Light"/>
                <w:lang w:val="en-AU"/>
              </w:rPr>
              <w:t>Pacific Ocean and Fisheries team</w:t>
            </w:r>
            <w:r>
              <w:rPr>
                <w:rStyle w:val="eop"/>
                <w:rFonts w:cs="Calibri Light"/>
              </w:rPr>
              <w:t> </w:t>
            </w:r>
          </w:p>
        </w:tc>
      </w:tr>
      <w:tr w:rsidR="006E18F9" w14:paraId="064E2D9A"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AAFFBA2" w14:textId="77777777" w:rsidR="006E18F9" w:rsidRDefault="006E18F9" w:rsidP="006E18F9">
            <w:pPr>
              <w:pStyle w:val="paragraph"/>
            </w:pPr>
            <w:r>
              <w:rPr>
                <w:rStyle w:val="normaltextrun"/>
                <w:rFonts w:cs="Calibri Light"/>
                <w:color w:val="000000"/>
                <w:lang w:val="en-AU"/>
              </w:rPr>
              <w:t>Ian Cartwright</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0C554E7F" w14:textId="77777777" w:rsidR="006E18F9" w:rsidRDefault="006E18F9" w:rsidP="006E18F9">
            <w:pPr>
              <w:pStyle w:val="paragraph"/>
            </w:pPr>
            <w:r>
              <w:rPr>
                <w:rStyle w:val="normaltextrun"/>
                <w:rFonts w:cs="Calibri Light"/>
                <w:color w:val="000000"/>
                <w:lang w:val="en-AU"/>
              </w:rPr>
              <w:t>Former Commissioner for the Australian Fisheries Management Authority</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3FB10D0B" w14:textId="77777777" w:rsidR="006E18F9" w:rsidRDefault="006E18F9" w:rsidP="006E18F9">
            <w:pPr>
              <w:pStyle w:val="paragraph"/>
            </w:pPr>
            <w:r>
              <w:rPr>
                <w:rStyle w:val="normaltextrun"/>
                <w:rFonts w:cs="Calibri Light"/>
                <w:color w:val="000000"/>
                <w:lang w:val="en-AU"/>
              </w:rPr>
              <w:t>Australian Fisheries Management Authority</w:t>
            </w:r>
            <w:r>
              <w:rPr>
                <w:rStyle w:val="eop"/>
                <w:rFonts w:cs="Calibri Light"/>
                <w:color w:val="000000"/>
              </w:rPr>
              <w:t> </w:t>
            </w:r>
          </w:p>
        </w:tc>
      </w:tr>
      <w:tr w:rsidR="006E18F9" w14:paraId="7290AC6E"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00380ED1" w14:textId="77777777" w:rsidR="006E18F9" w:rsidRDefault="006E18F9" w:rsidP="006E18F9">
            <w:pPr>
              <w:pStyle w:val="paragraph"/>
            </w:pPr>
            <w:proofErr w:type="spellStart"/>
            <w:r>
              <w:rPr>
                <w:rStyle w:val="normaltextrun"/>
                <w:rFonts w:cs="Calibri Light"/>
                <w:color w:val="000000"/>
                <w:lang w:val="en-AU"/>
              </w:rPr>
              <w:t>Rooti</w:t>
            </w:r>
            <w:proofErr w:type="spellEnd"/>
            <w:r>
              <w:rPr>
                <w:rStyle w:val="normaltextrun"/>
                <w:rFonts w:cs="Calibri Light"/>
                <w:color w:val="000000"/>
                <w:lang w:val="en-AU"/>
              </w:rPr>
              <w:t xml:space="preserve"> Tioti (Ross)</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019D1F4D" w14:textId="77777777" w:rsidR="006E18F9" w:rsidRDefault="006E18F9" w:rsidP="006E18F9">
            <w:pPr>
              <w:pStyle w:val="paragraph"/>
            </w:pPr>
            <w:r>
              <w:rPr>
                <w:rStyle w:val="normaltextrun"/>
                <w:rFonts w:cs="Calibri Light"/>
                <w:color w:val="000000"/>
                <w:lang w:val="en-AU"/>
              </w:rPr>
              <w:t>CBFM Officer (Pathways Project UOW)</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03C6895F" w14:textId="77777777" w:rsidR="006E18F9" w:rsidRDefault="006E18F9" w:rsidP="006E18F9">
            <w:pPr>
              <w:pStyle w:val="paragraph"/>
            </w:pPr>
            <w:r>
              <w:rPr>
                <w:rStyle w:val="normaltextrun"/>
                <w:rFonts w:cs="Calibri Light"/>
                <w:color w:val="000000"/>
                <w:lang w:val="en-AU"/>
              </w:rPr>
              <w:t>Ministry of Fisheries and Ocean Resources - Kiribati</w:t>
            </w:r>
            <w:r>
              <w:rPr>
                <w:rStyle w:val="eop"/>
                <w:rFonts w:cs="Calibri Light"/>
                <w:color w:val="000000"/>
              </w:rPr>
              <w:t> </w:t>
            </w:r>
          </w:p>
        </w:tc>
      </w:tr>
      <w:tr w:rsidR="006E18F9" w14:paraId="04991DEB"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333EFD9" w14:textId="77777777" w:rsidR="006E18F9" w:rsidRDefault="006E18F9" w:rsidP="006E18F9">
            <w:pPr>
              <w:pStyle w:val="paragraph"/>
            </w:pPr>
            <w:r>
              <w:rPr>
                <w:rStyle w:val="normaltextrun"/>
                <w:rFonts w:cs="Calibri Light"/>
                <w:color w:val="000000"/>
                <w:lang w:val="en-AU"/>
              </w:rPr>
              <w:t xml:space="preserve">Grace </w:t>
            </w:r>
            <w:proofErr w:type="spellStart"/>
            <w:r>
              <w:rPr>
                <w:rStyle w:val="normaltextrun"/>
                <w:rFonts w:cs="Calibri Light"/>
                <w:color w:val="000000"/>
                <w:lang w:val="en-AU"/>
              </w:rPr>
              <w:t>Orirana</w:t>
            </w:r>
            <w:proofErr w:type="spellEnd"/>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6A852348" w14:textId="77777777" w:rsidR="006E18F9" w:rsidRDefault="006E18F9" w:rsidP="006E18F9">
            <w:pPr>
              <w:pStyle w:val="paragraph"/>
            </w:pPr>
            <w:r>
              <w:rPr>
                <w:rStyle w:val="normaltextrun"/>
                <w:rFonts w:cs="Calibri Light"/>
                <w:color w:val="000000"/>
                <w:lang w:val="en-AU"/>
              </w:rPr>
              <w:t>Pathways Solomon Islands Team Lead</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10A77DFD" w14:textId="77777777" w:rsidR="006E18F9" w:rsidRDefault="006E18F9" w:rsidP="006E18F9">
            <w:pPr>
              <w:pStyle w:val="paragraph"/>
            </w:pPr>
            <w:r>
              <w:rPr>
                <w:rStyle w:val="normaltextrun"/>
                <w:rFonts w:cs="Calibri Light"/>
                <w:color w:val="000000"/>
                <w:lang w:val="en-AU"/>
              </w:rPr>
              <w:t>WorldFish</w:t>
            </w:r>
            <w:r>
              <w:rPr>
                <w:rStyle w:val="eop"/>
                <w:rFonts w:cs="Calibri Light"/>
                <w:color w:val="000000"/>
              </w:rPr>
              <w:t> </w:t>
            </w:r>
          </w:p>
        </w:tc>
      </w:tr>
      <w:tr w:rsidR="006E18F9" w14:paraId="59FC8FD9"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011D6D08" w14:textId="77777777" w:rsidR="006E18F9" w:rsidRDefault="006E18F9" w:rsidP="006E18F9">
            <w:pPr>
              <w:pStyle w:val="paragraph"/>
            </w:pPr>
            <w:r>
              <w:rPr>
                <w:rStyle w:val="normaltextrun"/>
                <w:rFonts w:cs="Calibri Light"/>
                <w:color w:val="000000"/>
                <w:lang w:val="en-AU"/>
              </w:rPr>
              <w:t xml:space="preserve">Pita </w:t>
            </w:r>
            <w:proofErr w:type="spellStart"/>
            <w:r>
              <w:rPr>
                <w:rStyle w:val="normaltextrun"/>
                <w:rFonts w:cs="Calibri Light"/>
                <w:color w:val="000000"/>
                <w:lang w:val="en-AU"/>
              </w:rPr>
              <w:t>Neihapi</w:t>
            </w:r>
            <w:proofErr w:type="spellEnd"/>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60EC8945" w14:textId="77777777" w:rsidR="006E18F9" w:rsidRDefault="006E18F9" w:rsidP="006E18F9">
            <w:pPr>
              <w:pStyle w:val="paragraph"/>
            </w:pPr>
            <w:r>
              <w:rPr>
                <w:rStyle w:val="normaltextrun"/>
                <w:rFonts w:cs="Calibri Light"/>
                <w:color w:val="000000"/>
                <w:lang w:val="en-AU"/>
              </w:rPr>
              <w:t>Pathways Vanuatu Team Lead</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6D5B1333" w14:textId="77777777" w:rsidR="006E18F9" w:rsidRDefault="006E18F9" w:rsidP="006E18F9">
            <w:pPr>
              <w:pStyle w:val="paragraph"/>
            </w:pPr>
            <w:r>
              <w:rPr>
                <w:rStyle w:val="normaltextrun"/>
                <w:rFonts w:cs="Calibri Light"/>
                <w:color w:val="000000"/>
                <w:lang w:val="en-AU"/>
              </w:rPr>
              <w:t>Vanuatu Fisheries Department</w:t>
            </w:r>
            <w:r>
              <w:rPr>
                <w:rStyle w:val="eop"/>
                <w:rFonts w:cs="Calibri Light"/>
                <w:color w:val="000000"/>
              </w:rPr>
              <w:t> </w:t>
            </w:r>
          </w:p>
        </w:tc>
      </w:tr>
      <w:tr w:rsidR="006E18F9" w14:paraId="03C18512"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49276FA4" w14:textId="77777777" w:rsidR="006E18F9" w:rsidRDefault="006E18F9" w:rsidP="006E18F9">
            <w:pPr>
              <w:pStyle w:val="paragraph"/>
            </w:pPr>
            <w:r>
              <w:rPr>
                <w:rStyle w:val="normaltextrun"/>
                <w:rFonts w:cs="Calibri Light"/>
                <w:color w:val="000000"/>
                <w:lang w:val="en-AU"/>
              </w:rPr>
              <w:t>Quentin Hanich</w:t>
            </w:r>
            <w:r>
              <w:rPr>
                <w:rStyle w:val="eop"/>
                <w:rFonts w:cs="Calibri Light"/>
                <w:color w:val="000000"/>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08F2D16E" w14:textId="77777777" w:rsidR="006E18F9" w:rsidRDefault="006E18F9" w:rsidP="006E18F9">
            <w:pPr>
              <w:pStyle w:val="paragraph"/>
            </w:pPr>
            <w:r>
              <w:rPr>
                <w:rStyle w:val="normaltextrun"/>
                <w:rFonts w:cs="Calibri Light"/>
                <w:color w:val="000000"/>
                <w:lang w:val="en-AU"/>
              </w:rPr>
              <w:t>Professor - Fisheries Governance</w:t>
            </w:r>
            <w:r>
              <w:rPr>
                <w:rStyle w:val="eop"/>
                <w:rFonts w:cs="Calibri Light"/>
                <w:color w:val="000000"/>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66591D2F" w14:textId="77777777" w:rsidR="006E18F9" w:rsidRDefault="006E18F9" w:rsidP="006E18F9">
            <w:pPr>
              <w:pStyle w:val="paragraph"/>
            </w:pPr>
            <w:r>
              <w:rPr>
                <w:rStyle w:val="normaltextrun"/>
                <w:rFonts w:cs="Calibri Light"/>
                <w:color w:val="000000"/>
                <w:lang w:val="en-AU"/>
              </w:rPr>
              <w:t>ANCORS/UOW</w:t>
            </w:r>
            <w:r>
              <w:rPr>
                <w:rStyle w:val="eop"/>
                <w:rFonts w:cs="Calibri Light"/>
                <w:color w:val="000000"/>
              </w:rPr>
              <w:t> </w:t>
            </w:r>
          </w:p>
        </w:tc>
      </w:tr>
      <w:tr w:rsidR="006E18F9" w14:paraId="26DC25C2" w14:textId="77777777" w:rsidTr="006E18F9">
        <w:trPr>
          <w:trHeight w:val="300"/>
        </w:trPr>
        <w:tc>
          <w:tcPr>
            <w:tcW w:w="1830" w:type="dxa"/>
            <w:tcBorders>
              <w:top w:val="single" w:sz="6" w:space="0" w:color="000000"/>
              <w:left w:val="single" w:sz="6" w:space="0" w:color="000000"/>
              <w:bottom w:val="single" w:sz="6" w:space="0" w:color="000000"/>
              <w:right w:val="single" w:sz="6" w:space="0" w:color="000000"/>
            </w:tcBorders>
            <w:vAlign w:val="center"/>
            <w:hideMark/>
          </w:tcPr>
          <w:p w14:paraId="321AB3B8" w14:textId="77777777" w:rsidR="006E18F9" w:rsidRDefault="006E18F9" w:rsidP="006E18F9">
            <w:pPr>
              <w:pStyle w:val="paragraph"/>
            </w:pPr>
            <w:r>
              <w:rPr>
                <w:rStyle w:val="normaltextrun"/>
                <w:rFonts w:cs="Calibri Light"/>
                <w:lang w:val="en-AU"/>
              </w:rPr>
              <w:t xml:space="preserve">Professor Transform </w:t>
            </w:r>
            <w:proofErr w:type="spellStart"/>
            <w:r>
              <w:rPr>
                <w:rStyle w:val="normaltextrun"/>
                <w:rFonts w:cs="Calibri Light"/>
                <w:lang w:val="en-AU"/>
              </w:rPr>
              <w:t>Aqorau</w:t>
            </w:r>
            <w:proofErr w:type="spellEnd"/>
            <w:r>
              <w:rPr>
                <w:rStyle w:val="eop"/>
                <w:rFonts w:cs="Calibri Light"/>
              </w:rPr>
              <w:t> </w:t>
            </w:r>
          </w:p>
        </w:tc>
        <w:tc>
          <w:tcPr>
            <w:tcW w:w="3390" w:type="dxa"/>
            <w:tcBorders>
              <w:top w:val="single" w:sz="6" w:space="0" w:color="000000"/>
              <w:left w:val="single" w:sz="6" w:space="0" w:color="000000"/>
              <w:bottom w:val="single" w:sz="6" w:space="0" w:color="000000"/>
              <w:right w:val="single" w:sz="6" w:space="0" w:color="000000"/>
            </w:tcBorders>
            <w:vAlign w:val="center"/>
            <w:hideMark/>
          </w:tcPr>
          <w:p w14:paraId="456D6BD1" w14:textId="77777777" w:rsidR="006E18F9" w:rsidRDefault="006E18F9" w:rsidP="006E18F9">
            <w:pPr>
              <w:pStyle w:val="paragraph"/>
            </w:pPr>
            <w:r>
              <w:rPr>
                <w:rStyle w:val="normaltextrun"/>
                <w:rFonts w:cs="Calibri Light"/>
                <w:lang w:val="en-AU"/>
              </w:rPr>
              <w:t>Vice Chancellor</w:t>
            </w:r>
            <w:r>
              <w:rPr>
                <w:rStyle w:val="eop"/>
                <w:rFonts w:cs="Calibri Light"/>
              </w:rPr>
              <w:t> </w:t>
            </w:r>
          </w:p>
        </w:tc>
        <w:tc>
          <w:tcPr>
            <w:tcW w:w="3936" w:type="dxa"/>
            <w:tcBorders>
              <w:top w:val="single" w:sz="6" w:space="0" w:color="000000"/>
              <w:left w:val="single" w:sz="6" w:space="0" w:color="000000"/>
              <w:bottom w:val="single" w:sz="6" w:space="0" w:color="000000"/>
              <w:right w:val="single" w:sz="6" w:space="0" w:color="000000"/>
            </w:tcBorders>
            <w:vAlign w:val="center"/>
            <w:hideMark/>
          </w:tcPr>
          <w:p w14:paraId="11CDFFD4" w14:textId="77777777" w:rsidR="006E18F9" w:rsidRDefault="006E18F9" w:rsidP="006E18F9">
            <w:pPr>
              <w:pStyle w:val="paragraph"/>
            </w:pPr>
            <w:r>
              <w:rPr>
                <w:rStyle w:val="normaltextrun"/>
                <w:rFonts w:cs="Calibri Light"/>
                <w:lang w:val="en-AU"/>
              </w:rPr>
              <w:t>Solomon Islands National University</w:t>
            </w:r>
            <w:r>
              <w:rPr>
                <w:rStyle w:val="eop"/>
                <w:rFonts w:cs="Calibri Light"/>
              </w:rPr>
              <w:t> </w:t>
            </w:r>
          </w:p>
        </w:tc>
      </w:tr>
    </w:tbl>
    <w:p w14:paraId="4F590458" w14:textId="77777777" w:rsidR="009F38F0" w:rsidRDefault="009F38F0" w:rsidP="00546313">
      <w:pPr>
        <w:rPr>
          <w:rStyle w:val="normaltextrun"/>
        </w:rPr>
      </w:pPr>
    </w:p>
    <w:p w14:paraId="67AFBED5" w14:textId="3B0F2707" w:rsidR="00242983" w:rsidRPr="00546313" w:rsidRDefault="00242983" w:rsidP="00546313">
      <w:pPr>
        <w:rPr>
          <w:rStyle w:val="normaltextrun"/>
          <w:lang w:val="fr-FR"/>
        </w:rPr>
      </w:pPr>
      <w:r w:rsidRPr="00546313">
        <w:rPr>
          <w:rStyle w:val="normaltextrun"/>
        </w:rPr>
        <w:lastRenderedPageBreak/>
        <w:t xml:space="preserve">Interviews conducted with the FFA, Honiara, Solomon Islands </w:t>
      </w:r>
      <w:r w:rsidR="001437D4" w:rsidRPr="00546313">
        <w:rPr>
          <w:rStyle w:val="normaltextrun"/>
        </w:rPr>
        <w:t>included:</w:t>
      </w:r>
      <w:r w:rsidRPr="00546313">
        <w:rPr>
          <w:rStyle w:val="normaltextrun"/>
        </w:rPr>
        <w:t> </w:t>
      </w:r>
    </w:p>
    <w:p w14:paraId="72038A8B" w14:textId="77777777" w:rsidR="00242983" w:rsidRPr="00546313" w:rsidRDefault="00242983" w:rsidP="00821BD8">
      <w:pPr>
        <w:pStyle w:val="ListParagraph"/>
        <w:numPr>
          <w:ilvl w:val="0"/>
          <w:numId w:val="27"/>
        </w:numPr>
        <w:ind w:left="709"/>
        <w:rPr>
          <w:rStyle w:val="normaltextrun"/>
        </w:rPr>
      </w:pPr>
      <w:r w:rsidRPr="00546313">
        <w:rPr>
          <w:rStyle w:val="normaltextrun"/>
        </w:rPr>
        <w:t xml:space="preserve">Noan </w:t>
      </w:r>
      <w:proofErr w:type="spellStart"/>
      <w:r w:rsidRPr="00546313">
        <w:rPr>
          <w:rStyle w:val="normaltextrun"/>
        </w:rPr>
        <w:t>Pakop</w:t>
      </w:r>
      <w:proofErr w:type="spellEnd"/>
      <w:r w:rsidRPr="00546313">
        <w:rPr>
          <w:rStyle w:val="normaltextrun"/>
        </w:rPr>
        <w:t>, Director General </w:t>
      </w:r>
    </w:p>
    <w:p w14:paraId="21853F23" w14:textId="31EF772C" w:rsidR="00242983" w:rsidRPr="00546313" w:rsidRDefault="00242983" w:rsidP="00821BD8">
      <w:pPr>
        <w:pStyle w:val="ListParagraph"/>
        <w:numPr>
          <w:ilvl w:val="0"/>
          <w:numId w:val="27"/>
        </w:numPr>
        <w:ind w:left="709"/>
        <w:rPr>
          <w:rStyle w:val="normaltextrun"/>
        </w:rPr>
      </w:pPr>
      <w:r w:rsidRPr="00546313">
        <w:rPr>
          <w:rStyle w:val="normaltextrun"/>
        </w:rPr>
        <w:t>Jason Raubani, MCS Policy Advisor </w:t>
      </w:r>
    </w:p>
    <w:p w14:paraId="60BDBEA0" w14:textId="77777777" w:rsidR="00242983" w:rsidRPr="00546313" w:rsidRDefault="00242983" w:rsidP="00821BD8">
      <w:pPr>
        <w:pStyle w:val="ListParagraph"/>
        <w:numPr>
          <w:ilvl w:val="0"/>
          <w:numId w:val="27"/>
        </w:numPr>
        <w:ind w:left="709"/>
        <w:rPr>
          <w:rStyle w:val="normaltextrun"/>
        </w:rPr>
      </w:pPr>
      <w:proofErr w:type="spellStart"/>
      <w:r w:rsidRPr="00546313">
        <w:rPr>
          <w:rStyle w:val="normaltextrun"/>
        </w:rPr>
        <w:t>Yohni</w:t>
      </w:r>
      <w:proofErr w:type="spellEnd"/>
      <w:r w:rsidRPr="00546313">
        <w:rPr>
          <w:rStyle w:val="normaltextrun"/>
        </w:rPr>
        <w:t xml:space="preserve"> Fepulea'i, Surveillance Operations Officer </w:t>
      </w:r>
    </w:p>
    <w:p w14:paraId="6A46D803" w14:textId="77777777" w:rsidR="00242983" w:rsidRPr="00546313" w:rsidRDefault="00242983" w:rsidP="00821BD8">
      <w:pPr>
        <w:pStyle w:val="ListParagraph"/>
        <w:numPr>
          <w:ilvl w:val="0"/>
          <w:numId w:val="27"/>
        </w:numPr>
        <w:ind w:left="709"/>
        <w:rPr>
          <w:rStyle w:val="normaltextrun"/>
        </w:rPr>
      </w:pPr>
      <w:r w:rsidRPr="00546313">
        <w:rPr>
          <w:rStyle w:val="normaltextrun"/>
        </w:rPr>
        <w:t>Ramesh Chand, Manager VMS </w:t>
      </w:r>
    </w:p>
    <w:p w14:paraId="3AD9EDC4" w14:textId="77777777" w:rsidR="00242983" w:rsidRPr="00546313" w:rsidRDefault="00242983" w:rsidP="00821BD8">
      <w:pPr>
        <w:pStyle w:val="ListParagraph"/>
        <w:numPr>
          <w:ilvl w:val="0"/>
          <w:numId w:val="27"/>
        </w:numPr>
        <w:ind w:left="709"/>
        <w:rPr>
          <w:rStyle w:val="normaltextrun"/>
        </w:rPr>
      </w:pPr>
      <w:r w:rsidRPr="00546313">
        <w:rPr>
          <w:rStyle w:val="normaltextrun"/>
        </w:rPr>
        <w:t>Ana Taholo, Compliance Policy Advisor </w:t>
      </w:r>
    </w:p>
    <w:p w14:paraId="558349A6" w14:textId="77777777" w:rsidR="00242983" w:rsidRPr="00546313" w:rsidRDefault="00242983" w:rsidP="00821BD8">
      <w:pPr>
        <w:pStyle w:val="ListParagraph"/>
        <w:numPr>
          <w:ilvl w:val="0"/>
          <w:numId w:val="27"/>
        </w:numPr>
        <w:ind w:left="709"/>
        <w:rPr>
          <w:rStyle w:val="normaltextrun"/>
        </w:rPr>
      </w:pPr>
      <w:r w:rsidRPr="00546313">
        <w:rPr>
          <w:rStyle w:val="normaltextrun"/>
        </w:rPr>
        <w:t>Dennis Yehilomo, MCS Analyst </w:t>
      </w:r>
    </w:p>
    <w:p w14:paraId="28AD5027" w14:textId="77777777" w:rsidR="00242983" w:rsidRPr="00546313" w:rsidRDefault="00242983" w:rsidP="00821BD8">
      <w:pPr>
        <w:pStyle w:val="ListParagraph"/>
        <w:numPr>
          <w:ilvl w:val="0"/>
          <w:numId w:val="27"/>
        </w:numPr>
        <w:ind w:left="709"/>
        <w:rPr>
          <w:rStyle w:val="normaltextrun"/>
        </w:rPr>
      </w:pPr>
      <w:r w:rsidRPr="00546313">
        <w:rPr>
          <w:rStyle w:val="normaltextrun"/>
        </w:rPr>
        <w:t>Daniel Koroi, VMS Liaison Officer </w:t>
      </w:r>
    </w:p>
    <w:p w14:paraId="133D7314" w14:textId="77777777" w:rsidR="00242983" w:rsidRPr="00546313" w:rsidRDefault="00242983" w:rsidP="00821BD8">
      <w:pPr>
        <w:pStyle w:val="ListParagraph"/>
        <w:numPr>
          <w:ilvl w:val="0"/>
          <w:numId w:val="27"/>
        </w:numPr>
        <w:ind w:left="709"/>
        <w:rPr>
          <w:rStyle w:val="normaltextrun"/>
        </w:rPr>
      </w:pPr>
      <w:r w:rsidRPr="00546313">
        <w:rPr>
          <w:rStyle w:val="normaltextrun"/>
        </w:rPr>
        <w:t>Jonathan Wara, VMS Liaison Officer </w:t>
      </w:r>
    </w:p>
    <w:p w14:paraId="2F0E7D5A" w14:textId="534EDB3C" w:rsidR="00242983" w:rsidRPr="00546313" w:rsidRDefault="00242983" w:rsidP="00821BD8">
      <w:pPr>
        <w:pStyle w:val="ListParagraph"/>
        <w:numPr>
          <w:ilvl w:val="0"/>
          <w:numId w:val="27"/>
        </w:numPr>
        <w:ind w:left="709"/>
        <w:rPr>
          <w:rStyle w:val="normaltextrun"/>
        </w:rPr>
      </w:pPr>
      <w:r w:rsidRPr="00546313">
        <w:rPr>
          <w:rStyle w:val="normaltextrun"/>
        </w:rPr>
        <w:t>Ludwig Kumoru, Director Fisheries Management </w:t>
      </w:r>
    </w:p>
    <w:p w14:paraId="59EBB7AA" w14:textId="77777777" w:rsidR="00242983" w:rsidRPr="00546313" w:rsidRDefault="00242983" w:rsidP="00821BD8">
      <w:pPr>
        <w:pStyle w:val="ListParagraph"/>
        <w:numPr>
          <w:ilvl w:val="0"/>
          <w:numId w:val="27"/>
        </w:numPr>
        <w:ind w:left="709"/>
        <w:rPr>
          <w:rStyle w:val="normaltextrun"/>
        </w:rPr>
      </w:pPr>
      <w:r w:rsidRPr="00546313">
        <w:rPr>
          <w:rStyle w:val="normaltextrun"/>
        </w:rPr>
        <w:t xml:space="preserve">Pene </w:t>
      </w:r>
      <w:proofErr w:type="spellStart"/>
      <w:r w:rsidRPr="00546313">
        <w:rPr>
          <w:rStyle w:val="normaltextrun"/>
        </w:rPr>
        <w:t>Baleinabuli</w:t>
      </w:r>
      <w:proofErr w:type="spellEnd"/>
      <w:r w:rsidRPr="00546313">
        <w:rPr>
          <w:rStyle w:val="normaltextrun"/>
        </w:rPr>
        <w:t>, Director Corporate Services </w:t>
      </w:r>
    </w:p>
    <w:p w14:paraId="42F1EA05" w14:textId="77777777" w:rsidR="00242983" w:rsidRPr="00546313" w:rsidRDefault="00242983" w:rsidP="00821BD8">
      <w:pPr>
        <w:pStyle w:val="ListParagraph"/>
        <w:numPr>
          <w:ilvl w:val="0"/>
          <w:numId w:val="27"/>
        </w:numPr>
        <w:ind w:left="709"/>
        <w:rPr>
          <w:rStyle w:val="normaltextrun"/>
        </w:rPr>
      </w:pPr>
      <w:proofErr w:type="spellStart"/>
      <w:r w:rsidRPr="00546313">
        <w:rPr>
          <w:rStyle w:val="normaltextrun"/>
        </w:rPr>
        <w:t>Kauka</w:t>
      </w:r>
      <w:proofErr w:type="spellEnd"/>
      <w:r w:rsidRPr="00546313">
        <w:rPr>
          <w:rStyle w:val="normaltextrun"/>
        </w:rPr>
        <w:t xml:space="preserve"> Havea, acting Manager Finance </w:t>
      </w:r>
    </w:p>
    <w:p w14:paraId="55ABA5EB" w14:textId="77777777" w:rsidR="00242983" w:rsidRPr="00546313" w:rsidRDefault="00242983" w:rsidP="00821BD8">
      <w:pPr>
        <w:pStyle w:val="ListParagraph"/>
        <w:numPr>
          <w:ilvl w:val="0"/>
          <w:numId w:val="27"/>
        </w:numPr>
        <w:ind w:left="709"/>
        <w:rPr>
          <w:rStyle w:val="normaltextrun"/>
        </w:rPr>
      </w:pPr>
      <w:proofErr w:type="spellStart"/>
      <w:r w:rsidRPr="00546313">
        <w:rPr>
          <w:rStyle w:val="normaltextrun"/>
        </w:rPr>
        <w:t>Cmdr</w:t>
      </w:r>
      <w:proofErr w:type="spellEnd"/>
      <w:r w:rsidRPr="00546313">
        <w:rPr>
          <w:rStyle w:val="normaltextrun"/>
        </w:rPr>
        <w:t xml:space="preserve"> Khan Beaumont, Surveillance Operations Officer </w:t>
      </w:r>
    </w:p>
    <w:p w14:paraId="35091BFD" w14:textId="77777777" w:rsidR="00242983" w:rsidRPr="00546313" w:rsidRDefault="00242983" w:rsidP="00821BD8">
      <w:pPr>
        <w:pStyle w:val="ListParagraph"/>
        <w:numPr>
          <w:ilvl w:val="0"/>
          <w:numId w:val="27"/>
        </w:numPr>
        <w:ind w:left="709"/>
        <w:rPr>
          <w:rStyle w:val="normaltextrun"/>
        </w:rPr>
      </w:pPr>
      <w:r w:rsidRPr="00546313">
        <w:rPr>
          <w:rStyle w:val="normaltextrun"/>
        </w:rPr>
        <w:t>Rose Martin, GESI Advisor </w:t>
      </w:r>
    </w:p>
    <w:p w14:paraId="398376CD" w14:textId="77777777" w:rsidR="00242983" w:rsidRPr="00546313" w:rsidRDefault="00242983" w:rsidP="00821BD8">
      <w:pPr>
        <w:pStyle w:val="ListParagraph"/>
        <w:numPr>
          <w:ilvl w:val="0"/>
          <w:numId w:val="27"/>
        </w:numPr>
        <w:ind w:left="709"/>
        <w:rPr>
          <w:rStyle w:val="normaltextrun"/>
        </w:rPr>
      </w:pPr>
      <w:r w:rsidRPr="00546313">
        <w:rPr>
          <w:rStyle w:val="normaltextrun"/>
        </w:rPr>
        <w:t>Joyce Samuelu-Ah Leong, Fisheries Management Advisor </w:t>
      </w:r>
    </w:p>
    <w:p w14:paraId="037171AA" w14:textId="77777777" w:rsidR="00242983" w:rsidRDefault="00242983" w:rsidP="00821BD8">
      <w:pPr>
        <w:pStyle w:val="ListParagraph"/>
        <w:numPr>
          <w:ilvl w:val="0"/>
          <w:numId w:val="27"/>
        </w:numPr>
        <w:ind w:left="709"/>
        <w:rPr>
          <w:rStyle w:val="normaltextrun"/>
        </w:rPr>
      </w:pPr>
      <w:r w:rsidRPr="00546313">
        <w:rPr>
          <w:rStyle w:val="normaltextrun"/>
        </w:rPr>
        <w:t>Ueta Junior Faasili, Fisheries Management Advisor </w:t>
      </w:r>
    </w:p>
    <w:p w14:paraId="7EDE4AF4" w14:textId="77777777" w:rsidR="000F44C0" w:rsidRDefault="000F44C0" w:rsidP="000F44C0">
      <w:pPr>
        <w:rPr>
          <w:rStyle w:val="normaltextrun"/>
        </w:rPr>
      </w:pPr>
    </w:p>
    <w:p w14:paraId="768BD5E0" w14:textId="14E804BD" w:rsidR="000F44C0" w:rsidRDefault="000F44C0" w:rsidP="000F44C0">
      <w:pPr>
        <w:rPr>
          <w:rStyle w:val="normaltextrun"/>
        </w:rPr>
      </w:pPr>
      <w:r>
        <w:rPr>
          <w:rStyle w:val="normaltextrun"/>
        </w:rPr>
        <w:t>Survey responses were received from the following Fisheries Agencies:</w:t>
      </w:r>
    </w:p>
    <w:p w14:paraId="520840B5" w14:textId="77777777" w:rsidR="000F44C0" w:rsidRDefault="000F44C0" w:rsidP="000F44C0">
      <w:pPr>
        <w:rPr>
          <w:rStyle w:val="normaltextrun"/>
        </w:rPr>
      </w:pPr>
    </w:p>
    <w:p w14:paraId="1A148635" w14:textId="55D24104" w:rsidR="000F44C0" w:rsidRPr="000F44C0" w:rsidRDefault="000F44C0" w:rsidP="00821BD8">
      <w:pPr>
        <w:pStyle w:val="ListParagraph"/>
        <w:numPr>
          <w:ilvl w:val="0"/>
          <w:numId w:val="42"/>
        </w:numPr>
      </w:pPr>
      <w:r w:rsidRPr="000F44C0">
        <w:rPr>
          <w:rFonts w:ascii="Calibri" w:eastAsia="Times New Roman" w:hAnsi="Calibri"/>
          <w:color w:val="000000"/>
          <w:lang w:eastAsia="en-GB"/>
        </w:rPr>
        <w:t>Nauru Fisheries and Marine Resources Authority</w:t>
      </w:r>
    </w:p>
    <w:p w14:paraId="4DC53179" w14:textId="74A76207" w:rsidR="000F44C0" w:rsidRPr="000F44C0" w:rsidRDefault="000F44C0" w:rsidP="00821BD8">
      <w:pPr>
        <w:pStyle w:val="ListParagraph"/>
        <w:numPr>
          <w:ilvl w:val="0"/>
          <w:numId w:val="42"/>
        </w:numPr>
      </w:pPr>
      <w:r>
        <w:rPr>
          <w:rFonts w:ascii="Calibri" w:eastAsia="Times New Roman" w:hAnsi="Calibri"/>
          <w:color w:val="000000"/>
          <w:lang w:eastAsia="en-GB"/>
        </w:rPr>
        <w:t>Ministry of Marine Resources, Cook Islands</w:t>
      </w:r>
    </w:p>
    <w:p w14:paraId="0FB09B9F" w14:textId="54B9D4FB" w:rsidR="000F44C0" w:rsidRPr="000F44C0" w:rsidRDefault="000F44C0" w:rsidP="00821BD8">
      <w:pPr>
        <w:pStyle w:val="ListParagraph"/>
        <w:numPr>
          <w:ilvl w:val="0"/>
          <w:numId w:val="42"/>
        </w:numPr>
      </w:pPr>
      <w:r w:rsidRPr="000F44C0">
        <w:rPr>
          <w:rFonts w:ascii="Calibri" w:eastAsia="Times New Roman" w:hAnsi="Calibri"/>
          <w:color w:val="000000"/>
          <w:lang w:eastAsia="en-GB"/>
        </w:rPr>
        <w:t>Marshall Islands Marine Resources Authority</w:t>
      </w:r>
    </w:p>
    <w:p w14:paraId="5E38FE2F" w14:textId="6A416837" w:rsidR="000F44C0" w:rsidRPr="000F44C0" w:rsidRDefault="000F44C0" w:rsidP="00821BD8">
      <w:pPr>
        <w:pStyle w:val="ListParagraph"/>
        <w:numPr>
          <w:ilvl w:val="0"/>
          <w:numId w:val="42"/>
        </w:numPr>
      </w:pPr>
      <w:r w:rsidRPr="000F44C0">
        <w:rPr>
          <w:rFonts w:ascii="Calibri" w:eastAsia="Times New Roman" w:hAnsi="Calibri"/>
          <w:color w:val="000000"/>
          <w:lang w:eastAsia="en-GB"/>
        </w:rPr>
        <w:t>Pacific Islands Forum Fisheries Agency (FFA)</w:t>
      </w:r>
    </w:p>
    <w:p w14:paraId="6445373B" w14:textId="74C658BA" w:rsidR="000F44C0" w:rsidRPr="000F44C0" w:rsidRDefault="000F44C0" w:rsidP="00821BD8">
      <w:pPr>
        <w:pStyle w:val="ListParagraph"/>
        <w:numPr>
          <w:ilvl w:val="0"/>
          <w:numId w:val="42"/>
        </w:numPr>
      </w:pPr>
      <w:r w:rsidRPr="000F44C0">
        <w:rPr>
          <w:rFonts w:ascii="Calibri" w:eastAsia="Times New Roman" w:hAnsi="Calibri"/>
          <w:color w:val="000000"/>
          <w:lang w:eastAsia="en-GB"/>
        </w:rPr>
        <w:t>Tuvalu Fisheries Department</w:t>
      </w:r>
    </w:p>
    <w:p w14:paraId="4FCDE451" w14:textId="29A108A6" w:rsidR="000F44C0" w:rsidRPr="000F44C0" w:rsidRDefault="000F44C0" w:rsidP="00821BD8">
      <w:pPr>
        <w:pStyle w:val="ListParagraph"/>
        <w:numPr>
          <w:ilvl w:val="0"/>
          <w:numId w:val="42"/>
        </w:numPr>
      </w:pPr>
      <w:r w:rsidRPr="000F44C0">
        <w:rPr>
          <w:rFonts w:ascii="Calibri" w:eastAsia="Times New Roman" w:hAnsi="Calibri"/>
          <w:color w:val="000000"/>
          <w:lang w:eastAsia="en-GB"/>
        </w:rPr>
        <w:t>Samoa Fisheries Division (MAF)</w:t>
      </w:r>
    </w:p>
    <w:p w14:paraId="1B331D32" w14:textId="514B7D64" w:rsidR="000F44C0" w:rsidRPr="000F44C0" w:rsidRDefault="000F44C0" w:rsidP="00821BD8">
      <w:pPr>
        <w:pStyle w:val="ListParagraph"/>
        <w:numPr>
          <w:ilvl w:val="0"/>
          <w:numId w:val="42"/>
        </w:numPr>
      </w:pPr>
      <w:r w:rsidRPr="000F44C0">
        <w:rPr>
          <w:rFonts w:ascii="Calibri" w:eastAsia="Times New Roman" w:hAnsi="Calibri"/>
          <w:color w:val="000000"/>
          <w:lang w:eastAsia="en-GB"/>
        </w:rPr>
        <w:t>Ministry of Fisheries and Ocean Resources</w:t>
      </w:r>
      <w:r>
        <w:rPr>
          <w:rFonts w:ascii="Calibri" w:eastAsia="Times New Roman" w:hAnsi="Calibri"/>
          <w:color w:val="000000"/>
          <w:lang w:eastAsia="en-GB"/>
        </w:rPr>
        <w:t xml:space="preserve">, </w:t>
      </w:r>
      <w:proofErr w:type="spellStart"/>
      <w:r>
        <w:rPr>
          <w:rFonts w:ascii="Calibri" w:eastAsia="Times New Roman" w:hAnsi="Calibri"/>
          <w:color w:val="000000"/>
          <w:lang w:eastAsia="en-GB"/>
        </w:rPr>
        <w:t>Kirabati</w:t>
      </w:r>
      <w:proofErr w:type="spellEnd"/>
    </w:p>
    <w:p w14:paraId="6BE63F3C" w14:textId="3F71FF99" w:rsidR="000F44C0" w:rsidRPr="000F44C0" w:rsidRDefault="000F44C0" w:rsidP="00821BD8">
      <w:pPr>
        <w:pStyle w:val="ListParagraph"/>
        <w:numPr>
          <w:ilvl w:val="0"/>
          <w:numId w:val="42"/>
        </w:numPr>
      </w:pPr>
      <w:r w:rsidRPr="000F44C0">
        <w:rPr>
          <w:rFonts w:ascii="Calibri" w:eastAsia="Times New Roman" w:hAnsi="Calibri"/>
          <w:color w:val="000000"/>
          <w:lang w:eastAsia="en-GB"/>
        </w:rPr>
        <w:t>Tuvalu Fisheries Department</w:t>
      </w:r>
    </w:p>
    <w:p w14:paraId="01AF8B45" w14:textId="1E9A369B" w:rsidR="000F44C0" w:rsidRDefault="000F44C0" w:rsidP="00821BD8">
      <w:pPr>
        <w:pStyle w:val="ListParagraph"/>
        <w:numPr>
          <w:ilvl w:val="0"/>
          <w:numId w:val="42"/>
        </w:numPr>
        <w:rPr>
          <w:rStyle w:val="normaltextrun"/>
        </w:rPr>
      </w:pPr>
      <w:r w:rsidRPr="000F44C0">
        <w:rPr>
          <w:rFonts w:ascii="Calibri" w:eastAsia="Times New Roman" w:hAnsi="Calibri"/>
          <w:color w:val="000000"/>
          <w:lang w:eastAsia="en-GB"/>
        </w:rPr>
        <w:t>Ministry of Fisheries and Forests</w:t>
      </w:r>
      <w:r>
        <w:rPr>
          <w:rFonts w:ascii="Calibri" w:eastAsia="Times New Roman" w:hAnsi="Calibri"/>
          <w:color w:val="000000"/>
          <w:lang w:eastAsia="en-GB"/>
        </w:rPr>
        <w:t>, Fiji</w:t>
      </w:r>
    </w:p>
    <w:p w14:paraId="0245E59C" w14:textId="77777777" w:rsidR="000F44C0" w:rsidRDefault="000F44C0" w:rsidP="000F44C0">
      <w:pPr>
        <w:rPr>
          <w:rStyle w:val="normaltextrun"/>
        </w:rPr>
      </w:pPr>
    </w:p>
    <w:p w14:paraId="0EA4C52A" w14:textId="77777777" w:rsidR="000F44C0" w:rsidRPr="00546313" w:rsidRDefault="000F44C0" w:rsidP="000F44C0">
      <w:pPr>
        <w:rPr>
          <w:rStyle w:val="normaltextrun"/>
        </w:rPr>
      </w:pPr>
    </w:p>
    <w:p w14:paraId="489BA41E" w14:textId="77777777" w:rsidR="00272CEB" w:rsidRPr="00581C11" w:rsidRDefault="00272CEB" w:rsidP="00D41C65">
      <w:pPr>
        <w:rPr>
          <w:rStyle w:val="Heading"/>
          <w:rFonts w:cstheme="minorHAnsi"/>
        </w:rPr>
      </w:pPr>
    </w:p>
    <w:p w14:paraId="42543192" w14:textId="2E85B7D9" w:rsidR="00CB51B5" w:rsidRDefault="00CB51B5" w:rsidP="00D41C65">
      <w:pPr>
        <w:rPr>
          <w:rStyle w:val="Heading"/>
          <w:rFonts w:eastAsiaTheme="majorEastAsia" w:cstheme="minorHAnsi"/>
          <w:color w:val="2F5496" w:themeColor="accent1" w:themeShade="BF"/>
          <w:sz w:val="32"/>
          <w:szCs w:val="32"/>
        </w:rPr>
      </w:pPr>
      <w:r>
        <w:rPr>
          <w:rStyle w:val="Heading"/>
          <w:rFonts w:cstheme="minorHAnsi"/>
          <w:color w:val="2F5496" w:themeColor="accent1" w:themeShade="BF"/>
          <w:sz w:val="32"/>
          <w:szCs w:val="32"/>
        </w:rPr>
        <w:br w:type="page"/>
      </w:r>
    </w:p>
    <w:p w14:paraId="55E434B6" w14:textId="6F24FB6A" w:rsidR="0097449F" w:rsidRPr="000D277D" w:rsidRDefault="000F3351" w:rsidP="000D277D">
      <w:pPr>
        <w:pStyle w:val="Heading3"/>
        <w:rPr>
          <w:b/>
          <w:bCs/>
        </w:rPr>
      </w:pPr>
      <w:bookmarkStart w:id="70" w:name="_Toc207206821"/>
      <w:r w:rsidRPr="000D277D">
        <w:rPr>
          <w:b/>
          <w:bCs/>
        </w:rPr>
        <w:lastRenderedPageBreak/>
        <w:t>Annexe</w:t>
      </w:r>
      <w:r w:rsidR="0073589D" w:rsidRPr="000D277D">
        <w:rPr>
          <w:b/>
          <w:bCs/>
        </w:rPr>
        <w:t xml:space="preserve"> </w:t>
      </w:r>
      <w:r w:rsidR="005640D6" w:rsidRPr="000D277D">
        <w:rPr>
          <w:b/>
          <w:bCs/>
        </w:rPr>
        <w:t>3</w:t>
      </w:r>
      <w:r w:rsidR="0073589D" w:rsidRPr="000D277D">
        <w:rPr>
          <w:b/>
          <w:bCs/>
        </w:rPr>
        <w:t xml:space="preserve">: </w:t>
      </w:r>
      <w:r w:rsidR="0097449F" w:rsidRPr="000D277D">
        <w:rPr>
          <w:b/>
          <w:bCs/>
        </w:rPr>
        <w:t>Interview Questions for Key Stakeholders</w:t>
      </w:r>
      <w:bookmarkEnd w:id="70"/>
    </w:p>
    <w:p w14:paraId="409542CE" w14:textId="77777777" w:rsidR="0097449F" w:rsidRPr="00581C11" w:rsidRDefault="0097449F" w:rsidP="00D41C65"/>
    <w:p w14:paraId="5A565207" w14:textId="77777777" w:rsidR="00E37930" w:rsidRPr="00546313" w:rsidRDefault="00E37930" w:rsidP="00E87678">
      <w:pPr>
        <w:pStyle w:val="Heading4"/>
      </w:pPr>
      <w:bookmarkStart w:id="71" w:name="_Toc192856861"/>
      <w:bookmarkStart w:id="72" w:name="_Toc196726537"/>
      <w:bookmarkStart w:id="73" w:name="_Toc197185407"/>
      <w:bookmarkStart w:id="74" w:name="_Toc197687008"/>
      <w:bookmarkStart w:id="75" w:name="_Toc199684982"/>
      <w:r w:rsidRPr="00546313">
        <w:t>Introduction</w:t>
      </w:r>
      <w:bookmarkEnd w:id="71"/>
      <w:bookmarkEnd w:id="72"/>
      <w:bookmarkEnd w:id="73"/>
      <w:bookmarkEnd w:id="74"/>
      <w:bookmarkEnd w:id="75"/>
    </w:p>
    <w:p w14:paraId="7AC4605F" w14:textId="77777777" w:rsidR="00834F6B" w:rsidRPr="00DB1F12" w:rsidRDefault="00834F6B" w:rsidP="00834F6B">
      <w:pPr>
        <w:numPr>
          <w:ilvl w:val="0"/>
          <w:numId w:val="4"/>
        </w:numPr>
        <w:pBdr>
          <w:top w:val="nil"/>
          <w:left w:val="nil"/>
          <w:bottom w:val="nil"/>
          <w:right w:val="nil"/>
          <w:between w:val="nil"/>
        </w:pBdr>
        <w:tabs>
          <w:tab w:val="clear" w:pos="7780"/>
        </w:tabs>
        <w:spacing w:before="120" w:after="120"/>
        <w:jc w:val="both"/>
        <w:rPr>
          <w:rFonts w:eastAsia="Calibri" w:cs="Calibri Light"/>
          <w:color w:val="000000"/>
        </w:rPr>
      </w:pPr>
      <w:r w:rsidRPr="00DB1F12">
        <w:rPr>
          <w:rFonts w:eastAsia="Calibri" w:cs="Calibri Light"/>
          <w:color w:val="000000"/>
        </w:rPr>
        <w:t>The following discussion points outlined below will be used to guide interviews with key informants. Questions will be adjusted according to which informant is being interviewed, based on issues with which they are familiar. Questions will also be adjusted based on information that emerges from other methods that will be happening in parallel (e.g. the document review or the survey).</w:t>
      </w:r>
    </w:p>
    <w:p w14:paraId="5AB21179" w14:textId="4F934025" w:rsidR="00834F6B" w:rsidRPr="00DB1F12" w:rsidRDefault="00834F6B" w:rsidP="00834F6B">
      <w:pPr>
        <w:numPr>
          <w:ilvl w:val="0"/>
          <w:numId w:val="4"/>
        </w:numPr>
        <w:pBdr>
          <w:top w:val="nil"/>
          <w:left w:val="nil"/>
          <w:bottom w:val="nil"/>
          <w:right w:val="nil"/>
          <w:between w:val="nil"/>
        </w:pBdr>
        <w:tabs>
          <w:tab w:val="clear" w:pos="7780"/>
        </w:tabs>
        <w:spacing w:before="120" w:after="120"/>
        <w:jc w:val="both"/>
        <w:rPr>
          <w:rFonts w:eastAsia="Calibri" w:cs="Calibri Light"/>
          <w:color w:val="000000"/>
        </w:rPr>
      </w:pPr>
      <w:r w:rsidRPr="00DB1F12">
        <w:rPr>
          <w:rFonts w:eastAsia="Calibri" w:cs="Calibri Light"/>
          <w:color w:val="000000"/>
        </w:rPr>
        <w:t xml:space="preserve">Although what is outlined below is explicitly linked to the </w:t>
      </w:r>
      <w:proofErr w:type="spellStart"/>
      <w:r w:rsidRPr="00DB1F12">
        <w:rPr>
          <w:rFonts w:eastAsia="Calibri" w:cs="Calibri Light"/>
          <w:color w:val="000000"/>
        </w:rPr>
        <w:t>ToRs</w:t>
      </w:r>
      <w:proofErr w:type="spellEnd"/>
      <w:r w:rsidRPr="00DB1F12">
        <w:rPr>
          <w:rFonts w:eastAsia="Calibri" w:cs="Calibri Light"/>
          <w:color w:val="000000"/>
        </w:rPr>
        <w:t xml:space="preserve"> and to the main objectives of the Evaluation, team members will not assume that participants are overly familiar with all aspects of the investment and will not restrict the discussion solely to the program; where applicable they will seek views, where possible at a strategic level, about relevant aspects of the purpose of the </w:t>
      </w:r>
      <w:r w:rsidR="00821BD8">
        <w:rPr>
          <w:rFonts w:eastAsia="Calibri" w:cs="Calibri Light"/>
          <w:color w:val="000000"/>
        </w:rPr>
        <w:t>Investment</w:t>
      </w:r>
      <w:r w:rsidRPr="00DB1F12">
        <w:rPr>
          <w:rFonts w:eastAsia="Calibri" w:cs="Calibri Light"/>
          <w:color w:val="000000"/>
        </w:rPr>
        <w:t xml:space="preserve">, its overall portfolio and performance since the outset and also opportunities for the future. </w:t>
      </w:r>
    </w:p>
    <w:p w14:paraId="7C553D9F" w14:textId="77777777" w:rsidR="00834F6B" w:rsidRPr="00DB1F12" w:rsidRDefault="00834F6B" w:rsidP="00834F6B">
      <w:pPr>
        <w:numPr>
          <w:ilvl w:val="0"/>
          <w:numId w:val="4"/>
        </w:numPr>
        <w:pBdr>
          <w:top w:val="nil"/>
          <w:left w:val="nil"/>
          <w:bottom w:val="nil"/>
          <w:right w:val="nil"/>
          <w:between w:val="nil"/>
        </w:pBdr>
        <w:tabs>
          <w:tab w:val="clear" w:pos="7780"/>
        </w:tabs>
        <w:spacing w:before="120" w:after="120"/>
        <w:jc w:val="both"/>
        <w:rPr>
          <w:rFonts w:eastAsia="Calibri" w:cs="Calibri Light"/>
          <w:color w:val="000000"/>
        </w:rPr>
      </w:pPr>
      <w:r w:rsidRPr="00DB1F12">
        <w:rPr>
          <w:rFonts w:eastAsia="Calibri" w:cs="Calibri Light"/>
          <w:color w:val="000000"/>
        </w:rPr>
        <w:t>The Evaluation team will begin all meetings, interviews and discussions with personal introductions, an exploration of participants’ backgrounds and job descriptions, an explanation of the evaluation, an assurance of neutrality and confidentiality (</w:t>
      </w:r>
      <w:r w:rsidRPr="00DB1F12">
        <w:rPr>
          <w:rFonts w:eastAsia="Calibri" w:cs="Calibri Light"/>
        </w:rPr>
        <w:t xml:space="preserve">in line with </w:t>
      </w:r>
      <w:hyperlink r:id="rId45" w:history="1">
        <w:r w:rsidRPr="00DB1F12">
          <w:rPr>
            <w:rStyle w:val="Hyperlink"/>
            <w:rFonts w:eastAsia="Calibri" w:cs="Calibri Light"/>
          </w:rPr>
          <w:t>DFAT's Ethical Research and Evaluation Guidance</w:t>
        </w:r>
      </w:hyperlink>
      <w:r w:rsidRPr="00DB1F12">
        <w:rPr>
          <w:rFonts w:eastAsia="Calibri" w:cs="Calibri Light"/>
          <w:color w:val="000000"/>
        </w:rPr>
        <w:t xml:space="preserve">), and a check on participant willingness to proceed. They will emphasise that participation will have no negative effects on participant interests, and that anyone who does not wish to take part is free to withdraw without negative consequences. </w:t>
      </w:r>
    </w:p>
    <w:p w14:paraId="6D2A07D4" w14:textId="77777777" w:rsidR="00834F6B" w:rsidRPr="00DB1F12" w:rsidRDefault="00834F6B" w:rsidP="00834F6B">
      <w:pPr>
        <w:numPr>
          <w:ilvl w:val="0"/>
          <w:numId w:val="4"/>
        </w:numPr>
        <w:pBdr>
          <w:top w:val="nil"/>
          <w:left w:val="nil"/>
          <w:bottom w:val="nil"/>
          <w:right w:val="nil"/>
          <w:between w:val="nil"/>
        </w:pBdr>
        <w:tabs>
          <w:tab w:val="clear" w:pos="7780"/>
        </w:tabs>
        <w:spacing w:before="120" w:after="120"/>
        <w:jc w:val="both"/>
        <w:rPr>
          <w:rFonts w:eastAsia="Calibri" w:cs="Calibri Light"/>
          <w:color w:val="000000"/>
        </w:rPr>
      </w:pPr>
      <w:r w:rsidRPr="00DB1F12">
        <w:rPr>
          <w:rFonts w:eastAsia="Calibri" w:cs="Calibri Light"/>
          <w:color w:val="000000"/>
        </w:rPr>
        <w:t xml:space="preserve">When conducting the interviews the Evaluation team will formulate questions in a (non-technical) way that respondents can easily relate to, while generating evidence that is relevant to the evaluation questions that the evaluators have in mind. </w:t>
      </w:r>
    </w:p>
    <w:p w14:paraId="25769967" w14:textId="007B2EA7" w:rsidR="00E37930" w:rsidRPr="00DB1F12" w:rsidRDefault="00834F6B" w:rsidP="00834F6B">
      <w:pPr>
        <w:pStyle w:val="ListParagraph"/>
        <w:numPr>
          <w:ilvl w:val="0"/>
          <w:numId w:val="4"/>
        </w:numPr>
        <w:rPr>
          <w:rFonts w:ascii="Calibri Light" w:hAnsi="Calibri Light" w:cs="Calibri Light"/>
        </w:rPr>
      </w:pPr>
      <w:bookmarkStart w:id="76" w:name="_heading=h.3rdcrjn" w:colFirst="0" w:colLast="0"/>
      <w:bookmarkEnd w:id="76"/>
      <w:r w:rsidRPr="00DB1F12">
        <w:rPr>
          <w:rFonts w:ascii="Calibri Light" w:eastAsia="Calibri" w:hAnsi="Calibri Light" w:cs="Calibri Light"/>
          <w:color w:val="000000"/>
        </w:rPr>
        <w:t>Discussion points listed below (first for the FFA, and then for other key stakeholders) are not intended as a questionnaire. It will not be possible to cover all issues in all the categories listed below with all informants. Members of the Evaluation team will use their judgement and focus on areas which are likely to add most to the team’s existing knowledge, while allowing interviewees to highlight the issues that are most important to them</w:t>
      </w:r>
      <w:r w:rsidR="00E37930" w:rsidRPr="00DB1F12">
        <w:rPr>
          <w:rFonts w:ascii="Calibri Light" w:hAnsi="Calibri Light" w:cs="Calibri Light"/>
        </w:rPr>
        <w:t>.</w:t>
      </w:r>
    </w:p>
    <w:p w14:paraId="54F14EBD" w14:textId="77777777" w:rsidR="000E515A" w:rsidRPr="000E515A" w:rsidRDefault="000E515A" w:rsidP="00D41C65"/>
    <w:p w14:paraId="51E7CC6C" w14:textId="77777777" w:rsidR="00E37930" w:rsidRPr="00546313" w:rsidRDefault="00E37930" w:rsidP="00E87678">
      <w:pPr>
        <w:pStyle w:val="Heading4"/>
      </w:pPr>
      <w:bookmarkStart w:id="77" w:name="_Toc192856862"/>
      <w:bookmarkStart w:id="78" w:name="_Toc196726538"/>
      <w:bookmarkStart w:id="79" w:name="_Toc197185408"/>
      <w:bookmarkStart w:id="80" w:name="_Toc197687009"/>
      <w:bookmarkStart w:id="81" w:name="_Toc199684983"/>
      <w:r w:rsidRPr="00546313">
        <w:t>Interview Discussion Points</w:t>
      </w:r>
      <w:bookmarkEnd w:id="77"/>
      <w:bookmarkEnd w:id="78"/>
      <w:bookmarkEnd w:id="79"/>
      <w:bookmarkEnd w:id="80"/>
      <w:bookmarkEnd w:id="81"/>
    </w:p>
    <w:p w14:paraId="1DB8FB4C" w14:textId="77777777" w:rsidR="00FF71CD" w:rsidRPr="00546313" w:rsidRDefault="00FF71CD" w:rsidP="008E1333">
      <w:pPr>
        <w:pStyle w:val="Subheading"/>
      </w:pPr>
      <w:r w:rsidRPr="00546313">
        <w:t>Key informant interview discussion points for FFA</w:t>
      </w:r>
    </w:p>
    <w:p w14:paraId="5C8D57C4" w14:textId="77777777" w:rsidR="00FF71CD" w:rsidRDefault="00FF71CD" w:rsidP="00D41C65"/>
    <w:p w14:paraId="356CED25" w14:textId="77777777" w:rsidR="00FF71CD" w:rsidRPr="00546215" w:rsidRDefault="00FF71CD" w:rsidP="00821BD8">
      <w:pPr>
        <w:pStyle w:val="ListParagraph"/>
        <w:numPr>
          <w:ilvl w:val="0"/>
          <w:numId w:val="28"/>
        </w:numPr>
        <w:spacing w:after="240"/>
        <w:rPr>
          <w:rFonts w:asciiTheme="minorHAnsi" w:hAnsiTheme="minorHAnsi" w:cstheme="minorHAnsi"/>
        </w:rPr>
      </w:pPr>
      <w:r>
        <w:t xml:space="preserve">What is your role at the FFA, and please describe the extent to which you have interacted with </w:t>
      </w:r>
      <w:r w:rsidRPr="00546215">
        <w:rPr>
          <w:rFonts w:asciiTheme="minorHAnsi" w:hAnsiTheme="minorHAnsi" w:cstheme="minorHAnsi"/>
        </w:rPr>
        <w:t>DFAT as part of the core funding and corporate support Australia has provided to the FFA?</w:t>
      </w:r>
    </w:p>
    <w:p w14:paraId="2ED27058" w14:textId="77777777" w:rsidR="00FF71CD" w:rsidRDefault="00FF71CD" w:rsidP="00821BD8">
      <w:pPr>
        <w:pStyle w:val="ListParagraph"/>
        <w:numPr>
          <w:ilvl w:val="0"/>
          <w:numId w:val="28"/>
        </w:numPr>
        <w:spacing w:after="240"/>
      </w:pPr>
      <w:r w:rsidRPr="005B3FDA">
        <w:t>To what extent do you believe that the support has enabled the FFA to</w:t>
      </w:r>
      <w:r>
        <w:t>:</w:t>
      </w:r>
    </w:p>
    <w:p w14:paraId="5A2CB9E2" w14:textId="61350F1C" w:rsidR="00FF71CD" w:rsidRDefault="00FF71CD" w:rsidP="00821BD8">
      <w:pPr>
        <w:pStyle w:val="ListParagraph"/>
        <w:numPr>
          <w:ilvl w:val="0"/>
          <w:numId w:val="29"/>
        </w:numPr>
        <w:ind w:left="1276" w:hanging="916"/>
      </w:pPr>
      <w:r>
        <w:t>Deliver</w:t>
      </w:r>
      <w:r w:rsidRPr="005B3FDA">
        <w:t xml:space="preserve"> the FFA's Strategic </w:t>
      </w:r>
      <w:r>
        <w:t xml:space="preserve">and/or Business </w:t>
      </w:r>
      <w:r w:rsidR="009809F0">
        <w:t>P</w:t>
      </w:r>
      <w:r>
        <w:t>lans</w:t>
      </w:r>
      <w:r w:rsidRPr="005B3FDA">
        <w:t>? (Please explain your answer and provide specific examples of how this support has helped</w:t>
      </w:r>
      <w:r>
        <w:t xml:space="preserve"> with delivery of these plans</w:t>
      </w:r>
      <w:r w:rsidRPr="005B3FDA">
        <w:t>)</w:t>
      </w:r>
      <w:r>
        <w:t>?</w:t>
      </w:r>
    </w:p>
    <w:p w14:paraId="00E3EBBF" w14:textId="77777777" w:rsidR="00FF71CD" w:rsidRDefault="00FF71CD" w:rsidP="00821BD8">
      <w:pPr>
        <w:pStyle w:val="ListParagraph"/>
        <w:numPr>
          <w:ilvl w:val="0"/>
          <w:numId w:val="29"/>
        </w:numPr>
        <w:ind w:left="1276" w:hanging="916"/>
      </w:pPr>
      <w:r>
        <w:t>Help</w:t>
      </w:r>
      <w:r w:rsidRPr="007D64AD">
        <w:t xml:space="preserve"> PICs negotiate favourable outcomes in international fisheries forums (e.g. WCPFC)?</w:t>
      </w:r>
      <w:r>
        <w:t xml:space="preserve"> </w:t>
      </w:r>
      <w:r w:rsidRPr="005B3FDA">
        <w:t>(Please explain your answer and provide specific examples of how this support has helped</w:t>
      </w:r>
      <w:r>
        <w:t>)?</w:t>
      </w:r>
    </w:p>
    <w:p w14:paraId="42D7AD4B" w14:textId="77777777" w:rsidR="00FF71CD" w:rsidRDefault="00FF71CD" w:rsidP="00821BD8">
      <w:pPr>
        <w:pStyle w:val="ListParagraph"/>
        <w:numPr>
          <w:ilvl w:val="0"/>
          <w:numId w:val="29"/>
        </w:numPr>
        <w:ind w:left="1276" w:hanging="916"/>
      </w:pPr>
      <w:r>
        <w:t>Enhance performance of the secretariat to strengthen regional unity and the efficacy of fisheries agencies in the region? (Please provide specific examples)</w:t>
      </w:r>
    </w:p>
    <w:p w14:paraId="671FE4D8" w14:textId="77777777" w:rsidR="00FF71CD" w:rsidRPr="00546215" w:rsidRDefault="00FF71CD" w:rsidP="00821BD8">
      <w:pPr>
        <w:pStyle w:val="ListParagraph"/>
        <w:numPr>
          <w:ilvl w:val="0"/>
          <w:numId w:val="29"/>
        </w:numPr>
        <w:ind w:left="1276" w:hanging="916"/>
        <w:rPr>
          <w:color w:val="000000"/>
        </w:rPr>
      </w:pPr>
      <w:r w:rsidRPr="080AC63D">
        <w:t>Enhance the efficacy of the FFA to deliver services effectively to its members? (Please provide specific examples)</w:t>
      </w:r>
    </w:p>
    <w:p w14:paraId="4D9B2C87" w14:textId="77777777" w:rsidR="00FF71CD" w:rsidRPr="00546215" w:rsidRDefault="00FF71CD" w:rsidP="00821BD8">
      <w:pPr>
        <w:pStyle w:val="ListParagraph"/>
        <w:numPr>
          <w:ilvl w:val="0"/>
          <w:numId w:val="29"/>
        </w:numPr>
        <w:ind w:left="1276" w:hanging="916"/>
        <w:rPr>
          <w:rFonts w:eastAsia="Calibri"/>
          <w:color w:val="000000"/>
        </w:rPr>
      </w:pPr>
      <w:r w:rsidRPr="080AC63D">
        <w:t>Strengthen IUU fishing surveillance and enforcement capacity and improve regional MCS information sharing and cooperation? (Please provide specific examples)</w:t>
      </w:r>
    </w:p>
    <w:p w14:paraId="55080CC3" w14:textId="77777777" w:rsidR="00FF71CD" w:rsidRPr="00546215" w:rsidRDefault="00FF71CD" w:rsidP="00821BD8">
      <w:pPr>
        <w:pStyle w:val="ListParagraph"/>
        <w:numPr>
          <w:ilvl w:val="0"/>
          <w:numId w:val="29"/>
        </w:numPr>
        <w:spacing w:after="240"/>
        <w:ind w:left="1276" w:hanging="916"/>
        <w:rPr>
          <w:color w:val="000000"/>
        </w:rPr>
      </w:pPr>
      <w:r w:rsidRPr="080AC63D">
        <w:lastRenderedPageBreak/>
        <w:t>Strengthen the FFA’s monitoring, evaluation and learning systems to inform decision-making, learning and accountability? (Please explain your answer and provide specific examples of how this support has helped)</w:t>
      </w:r>
    </w:p>
    <w:p w14:paraId="30DE66E3" w14:textId="204D828A" w:rsidR="00FF71CD" w:rsidRPr="00C37A85" w:rsidRDefault="00FF71CD" w:rsidP="00821BD8">
      <w:pPr>
        <w:pStyle w:val="ListParagraph"/>
        <w:numPr>
          <w:ilvl w:val="0"/>
          <w:numId w:val="28"/>
        </w:numPr>
        <w:spacing w:after="240"/>
      </w:pPr>
      <w:r w:rsidRPr="00C37A85">
        <w:t xml:space="preserve">To what extent has DFAT’s </w:t>
      </w:r>
      <w:r w:rsidR="00821BD8">
        <w:t>Investment</w:t>
      </w:r>
      <w:r w:rsidRPr="00C37A85">
        <w:t xml:space="preserve"> contributed to </w:t>
      </w:r>
      <w:r w:rsidRPr="00885DB1">
        <w:rPr>
          <w:b/>
          <w:bCs/>
        </w:rPr>
        <w:t xml:space="preserve">meaningful improvements in fisheries management and governance </w:t>
      </w:r>
      <w:r w:rsidRPr="00C37A85">
        <w:t>in the FFA? (please explain your response)</w:t>
      </w:r>
    </w:p>
    <w:p w14:paraId="5F1DE855" w14:textId="03732851" w:rsidR="00FF71CD" w:rsidRPr="006F1D87" w:rsidRDefault="00FF71CD" w:rsidP="00821BD8">
      <w:pPr>
        <w:pStyle w:val="ListParagraph"/>
        <w:numPr>
          <w:ilvl w:val="0"/>
          <w:numId w:val="29"/>
        </w:numPr>
        <w:ind w:left="1276" w:hanging="916"/>
      </w:pPr>
      <w:r w:rsidRPr="080AC63D">
        <w:t xml:space="preserve">Have </w:t>
      </w:r>
      <w:r w:rsidRPr="006F1D87">
        <w:t>the economic benefits</w:t>
      </w:r>
      <w:r w:rsidRPr="080AC63D">
        <w:t xml:space="preserve"> from regional fisheries management improved for PICs over the past decade </w:t>
      </w:r>
      <w:proofErr w:type="gramStart"/>
      <w:r w:rsidRPr="080AC63D">
        <w:t>as a result of</w:t>
      </w:r>
      <w:proofErr w:type="gramEnd"/>
      <w:r w:rsidRPr="080AC63D">
        <w:t xml:space="preserve"> DFAT’s </w:t>
      </w:r>
      <w:r w:rsidR="00821BD8">
        <w:t>Investment</w:t>
      </w:r>
      <w:r w:rsidRPr="080AC63D">
        <w:t>? (Yes/No/Not Sure – Please explain why.)</w:t>
      </w:r>
    </w:p>
    <w:p w14:paraId="1966E4DD" w14:textId="77777777" w:rsidR="00FF71CD" w:rsidRDefault="00FF71CD" w:rsidP="00821BD8">
      <w:pPr>
        <w:pStyle w:val="ListParagraph"/>
        <w:numPr>
          <w:ilvl w:val="0"/>
          <w:numId w:val="29"/>
        </w:numPr>
        <w:ind w:left="1276" w:hanging="916"/>
      </w:pPr>
      <w:r>
        <w:t>To what extent do you believe that the benefits of Australia’s support to the FFA are sustainable, and what actions/ strategies have led to this sustainability (please explain your response/ provide examples of actions taken to enhance sustainability)</w:t>
      </w:r>
    </w:p>
    <w:p w14:paraId="1B66BFEA" w14:textId="77777777" w:rsidR="00FF71CD" w:rsidRPr="00C37A85" w:rsidRDefault="00FF71CD" w:rsidP="00821BD8">
      <w:pPr>
        <w:pStyle w:val="ListParagraph"/>
        <w:numPr>
          <w:ilvl w:val="0"/>
          <w:numId w:val="29"/>
        </w:numPr>
        <w:spacing w:after="240"/>
        <w:ind w:left="1276" w:hanging="916"/>
      </w:pPr>
      <w:r>
        <w:t xml:space="preserve">To what extent do you believe that </w:t>
      </w:r>
      <w:r w:rsidRPr="00507ABE">
        <w:t>core funding to regional organisations such as the FFA provides value for money in supporting Pacific fisheries management?</w:t>
      </w:r>
    </w:p>
    <w:p w14:paraId="4FDD2E60" w14:textId="25BA49EA" w:rsidR="00FF71CD" w:rsidRPr="00F16736" w:rsidRDefault="00FF71CD" w:rsidP="00821BD8">
      <w:pPr>
        <w:pStyle w:val="ListParagraph"/>
        <w:numPr>
          <w:ilvl w:val="0"/>
          <w:numId w:val="28"/>
        </w:numPr>
        <w:spacing w:after="240"/>
        <w:rPr>
          <w:color w:val="000000"/>
          <w:lang w:val="en-GB"/>
        </w:rPr>
      </w:pPr>
      <w:r w:rsidRPr="07769C73">
        <w:rPr>
          <w:lang w:val="en-GB"/>
        </w:rPr>
        <w:t xml:space="preserve">How effective has DFAT been in helping to </w:t>
      </w:r>
      <w:r w:rsidRPr="00F16736">
        <w:rPr>
          <w:b/>
          <w:bCs/>
          <w:lang w:val="en-GB"/>
        </w:rPr>
        <w:t>coordinate with and leverage support provided by other donors, government and non-government organisations</w:t>
      </w:r>
      <w:r w:rsidRPr="07769C73">
        <w:rPr>
          <w:lang w:val="en-GB"/>
        </w:rPr>
        <w:t xml:space="preserve"> (including private sector) to benefit the FFA? (please provide specific examples of the role of DFAT in helping to coordinate support to the FFA)</w:t>
      </w:r>
    </w:p>
    <w:p w14:paraId="5371272C" w14:textId="4F7F6CDF" w:rsidR="00FF71CD" w:rsidRPr="00C37A85" w:rsidRDefault="00FF71CD" w:rsidP="00821BD8">
      <w:pPr>
        <w:pStyle w:val="ListParagraph"/>
        <w:numPr>
          <w:ilvl w:val="0"/>
          <w:numId w:val="28"/>
        </w:numPr>
        <w:spacing w:after="240"/>
      </w:pPr>
      <w:r w:rsidRPr="00C37A85">
        <w:t xml:space="preserve">Over the past </w:t>
      </w:r>
      <w:r>
        <w:t>15</w:t>
      </w:r>
      <w:r w:rsidRPr="00C37A85">
        <w:t xml:space="preserve"> years have you noticed any </w:t>
      </w:r>
      <w:r w:rsidRPr="00F16736">
        <w:rPr>
          <w:b/>
          <w:bCs/>
        </w:rPr>
        <w:t>improvement in women’s participation or representation in decision-making</w:t>
      </w:r>
      <w:r w:rsidRPr="00C37A85">
        <w:t xml:space="preserve"> in fisheries in the Pacific </w:t>
      </w:r>
      <w:proofErr w:type="gramStart"/>
      <w:r w:rsidRPr="00C37A85">
        <w:t>as a result of</w:t>
      </w:r>
      <w:proofErr w:type="gramEnd"/>
      <w:r w:rsidRPr="00C37A85">
        <w:t xml:space="preserve"> the support provided by DFAT to the FFA (Yes/ No/Don’t Know)</w:t>
      </w:r>
    </w:p>
    <w:p w14:paraId="36F8B3C1" w14:textId="77777777" w:rsidR="00FF71CD" w:rsidRPr="00C37A85" w:rsidRDefault="00FF71CD" w:rsidP="00821BD8">
      <w:pPr>
        <w:pStyle w:val="ListParagraph"/>
        <w:numPr>
          <w:ilvl w:val="0"/>
          <w:numId w:val="29"/>
        </w:numPr>
        <w:ind w:left="1276" w:hanging="916"/>
      </w:pPr>
      <w:r w:rsidRPr="00C37A85">
        <w:t>If yes, what factors do you think account for the progress to date?</w:t>
      </w:r>
    </w:p>
    <w:p w14:paraId="7E14B4BF" w14:textId="77777777" w:rsidR="00FF71CD" w:rsidRPr="00C37A85" w:rsidRDefault="00FF71CD" w:rsidP="00821BD8">
      <w:pPr>
        <w:pStyle w:val="ListParagraph"/>
        <w:numPr>
          <w:ilvl w:val="0"/>
          <w:numId w:val="29"/>
        </w:numPr>
        <w:ind w:left="1276" w:hanging="916"/>
      </w:pPr>
      <w:r w:rsidRPr="00C37A85">
        <w:t xml:space="preserve">If no, what needs to be done to enhance women’s participation? </w:t>
      </w:r>
    </w:p>
    <w:p w14:paraId="3AAE01D8" w14:textId="32B54F11" w:rsidR="00FF71CD" w:rsidRPr="00C37A85" w:rsidRDefault="00FF71CD" w:rsidP="00821BD8">
      <w:pPr>
        <w:pStyle w:val="ListParagraph"/>
        <w:numPr>
          <w:ilvl w:val="0"/>
          <w:numId w:val="29"/>
        </w:numPr>
        <w:spacing w:after="240"/>
        <w:ind w:left="1276" w:hanging="916"/>
      </w:pPr>
      <w:r w:rsidRPr="00C37A85">
        <w:t xml:space="preserve">Has the </w:t>
      </w:r>
      <w:r w:rsidR="00821BD8">
        <w:t>Investment</w:t>
      </w:r>
      <w:r w:rsidRPr="00C37A85">
        <w:t xml:space="preserve"> contributed to fostering inclusion among marginalised groups, youth and people with disability in the fisheries sector?</w:t>
      </w:r>
    </w:p>
    <w:p w14:paraId="40898AD1" w14:textId="77777777" w:rsidR="00FF71CD" w:rsidRPr="00F16736" w:rsidRDefault="00FF71CD" w:rsidP="00821BD8">
      <w:pPr>
        <w:pStyle w:val="ListParagraph"/>
        <w:numPr>
          <w:ilvl w:val="0"/>
          <w:numId w:val="28"/>
        </w:numPr>
        <w:spacing w:after="240"/>
        <w:rPr>
          <w:color w:val="000000"/>
        </w:rPr>
      </w:pPr>
      <w:r w:rsidRPr="080AC63D">
        <w:t xml:space="preserve">To what extent has DFAT’s support to the FFA contributed to FFA’s work to </w:t>
      </w:r>
      <w:r w:rsidRPr="00F16736">
        <w:rPr>
          <w:b/>
        </w:rPr>
        <w:t>adapt to the impacts of climate change</w:t>
      </w:r>
      <w:r w:rsidRPr="080AC63D">
        <w:t>? (please provide specific examples)</w:t>
      </w:r>
    </w:p>
    <w:p w14:paraId="779F5B79" w14:textId="5657B609" w:rsidR="00FF71CD" w:rsidRPr="00C37A85" w:rsidRDefault="00FF71CD" w:rsidP="00821BD8">
      <w:pPr>
        <w:pStyle w:val="ListParagraph"/>
        <w:numPr>
          <w:ilvl w:val="0"/>
          <w:numId w:val="28"/>
        </w:numPr>
        <w:spacing w:after="240"/>
      </w:pPr>
      <w:r w:rsidRPr="00C37A85">
        <w:t xml:space="preserve">To what extent has the </w:t>
      </w:r>
      <w:r w:rsidR="00821BD8">
        <w:t>Investment</w:t>
      </w:r>
      <w:r w:rsidRPr="00C37A85">
        <w:t xml:space="preserve"> in the FFA enhanced Australia’s reputation in the Pacific? (please explain your answer)</w:t>
      </w:r>
    </w:p>
    <w:p w14:paraId="37853236" w14:textId="6488487E" w:rsidR="00FF71CD" w:rsidRPr="006F1D87" w:rsidRDefault="00FF71CD" w:rsidP="00821BD8">
      <w:pPr>
        <w:pStyle w:val="ListParagraph"/>
        <w:numPr>
          <w:ilvl w:val="0"/>
          <w:numId w:val="29"/>
        </w:numPr>
        <w:ind w:left="1276" w:hanging="916"/>
      </w:pPr>
      <w:r w:rsidRPr="080AC63D">
        <w:t xml:space="preserve">What for you has been the most significant achievement in fisheries </w:t>
      </w:r>
      <w:proofErr w:type="gramStart"/>
      <w:r w:rsidRPr="080AC63D">
        <w:t>as a result of</w:t>
      </w:r>
      <w:proofErr w:type="gramEnd"/>
      <w:r w:rsidRPr="080AC63D">
        <w:t xml:space="preserve"> Australia’s </w:t>
      </w:r>
      <w:r w:rsidR="00821BD8">
        <w:t>Investment</w:t>
      </w:r>
      <w:r w:rsidRPr="080AC63D">
        <w:t xml:space="preserve"> in the FFA in the Pacific? (please provide a specific example)</w:t>
      </w:r>
    </w:p>
    <w:p w14:paraId="0BE401D6" w14:textId="77777777" w:rsidR="00FF71CD" w:rsidRPr="00C37A85" w:rsidRDefault="00FF71CD" w:rsidP="00821BD8">
      <w:pPr>
        <w:pStyle w:val="ListParagraph"/>
        <w:numPr>
          <w:ilvl w:val="0"/>
          <w:numId w:val="29"/>
        </w:numPr>
        <w:spacing w:after="240"/>
        <w:ind w:left="1276" w:hanging="916"/>
      </w:pPr>
      <w:r w:rsidRPr="00C37A85">
        <w:t>What, for you, are the public diplomacy benefits for Australia continuing to invest in the FFA?</w:t>
      </w:r>
    </w:p>
    <w:p w14:paraId="076D0622" w14:textId="78842DB0" w:rsidR="00FF71CD" w:rsidRPr="00C37A85" w:rsidRDefault="00FF71CD" w:rsidP="00821BD8">
      <w:pPr>
        <w:pStyle w:val="ListParagraph"/>
        <w:numPr>
          <w:ilvl w:val="0"/>
          <w:numId w:val="28"/>
        </w:numPr>
        <w:spacing w:after="240"/>
      </w:pPr>
      <w:r w:rsidRPr="00C37A85">
        <w:t xml:space="preserve">What are the </w:t>
      </w:r>
      <w:r w:rsidRPr="006F1D87">
        <w:rPr>
          <w:b/>
          <w:bCs/>
        </w:rPr>
        <w:t>biggest challenges</w:t>
      </w:r>
      <w:r w:rsidRPr="00C37A85">
        <w:t xml:space="preserve"> still facing Pacific fisheries that DFAT’s support should help the FFA address in the future?</w:t>
      </w:r>
    </w:p>
    <w:p w14:paraId="62DB1405" w14:textId="72533026" w:rsidR="00FF71CD" w:rsidRPr="00C37A85" w:rsidRDefault="00FF71CD" w:rsidP="00821BD8">
      <w:pPr>
        <w:pStyle w:val="ListParagraph"/>
        <w:numPr>
          <w:ilvl w:val="0"/>
          <w:numId w:val="28"/>
        </w:numPr>
        <w:spacing w:after="240"/>
      </w:pPr>
      <w:r w:rsidRPr="00C37A85">
        <w:t xml:space="preserve">As a result of the FFA’s interaction with the support provided by Australia, do you believe there are any </w:t>
      </w:r>
      <w:r w:rsidRPr="006F1D87">
        <w:rPr>
          <w:b/>
          <w:bCs/>
        </w:rPr>
        <w:t>lessons learned</w:t>
      </w:r>
      <w:r w:rsidRPr="00C37A85">
        <w:t xml:space="preserve"> that DFAT should be made aware of to inform the future direction of its </w:t>
      </w:r>
      <w:r w:rsidR="00821BD8">
        <w:t>Investment</w:t>
      </w:r>
      <w:r w:rsidRPr="00C37A85">
        <w:t xml:space="preserve"> in the FFA? (If so, please be specific).</w:t>
      </w:r>
    </w:p>
    <w:p w14:paraId="099BEA66" w14:textId="33BCC738" w:rsidR="00FF71CD" w:rsidRPr="00C37A85" w:rsidRDefault="00FF71CD" w:rsidP="00821BD8">
      <w:pPr>
        <w:pStyle w:val="ListParagraph"/>
        <w:numPr>
          <w:ilvl w:val="0"/>
          <w:numId w:val="28"/>
        </w:numPr>
        <w:spacing w:after="240"/>
      </w:pPr>
      <w:r w:rsidRPr="00C37A85">
        <w:t xml:space="preserve">Do you have any additional </w:t>
      </w:r>
      <w:r w:rsidRPr="006F1D87">
        <w:rPr>
          <w:b/>
          <w:bCs/>
        </w:rPr>
        <w:t>comments or recommendations</w:t>
      </w:r>
      <w:r w:rsidRPr="00C37A85">
        <w:t xml:space="preserve"> on how DFAT’s </w:t>
      </w:r>
      <w:r w:rsidR="00821BD8">
        <w:t>Investment</w:t>
      </w:r>
      <w:r w:rsidRPr="00C37A85">
        <w:t xml:space="preserve"> to the FFA could be improved?</w:t>
      </w:r>
    </w:p>
    <w:p w14:paraId="3D7BF1B8" w14:textId="77777777" w:rsidR="00FF71CD" w:rsidRPr="00C37A85" w:rsidRDefault="00FF71CD" w:rsidP="00D41C65"/>
    <w:p w14:paraId="0D89125B" w14:textId="058D27BE" w:rsidR="00FF71CD" w:rsidRPr="00672AAA" w:rsidRDefault="00FF71CD" w:rsidP="008E1333">
      <w:pPr>
        <w:pStyle w:val="Subheading"/>
      </w:pPr>
      <w:r w:rsidRPr="00672AAA">
        <w:t>Key informant interview discussion points for key stakeholders</w:t>
      </w:r>
    </w:p>
    <w:p w14:paraId="5E91E195" w14:textId="77777777" w:rsidR="00FF71CD" w:rsidRPr="00C37A85" w:rsidRDefault="00FF71CD" w:rsidP="00D41C65"/>
    <w:p w14:paraId="1D87F7A2" w14:textId="77777777" w:rsidR="00FF71CD" w:rsidRPr="00C37A85" w:rsidRDefault="00FF71CD" w:rsidP="00821BD8">
      <w:pPr>
        <w:pStyle w:val="ListParagraph"/>
        <w:numPr>
          <w:ilvl w:val="0"/>
          <w:numId w:val="19"/>
        </w:numPr>
        <w:spacing w:after="240"/>
      </w:pPr>
      <w:r w:rsidRPr="00C37A85">
        <w:lastRenderedPageBreak/>
        <w:t xml:space="preserve">What is your relationship with Australia’s Fisheries Development Assistance in the Pacific (please describe your role, and any engagement you might have had with different initiatives </w:t>
      </w:r>
      <w:r>
        <w:t xml:space="preserve">in the fisheries sector </w:t>
      </w:r>
      <w:r w:rsidRPr="00C37A85">
        <w:t>funded by the Australian Government</w:t>
      </w:r>
      <w:r>
        <w:t xml:space="preserve"> in the Pacific</w:t>
      </w:r>
      <w:r w:rsidRPr="00C37A85">
        <w:t>)?</w:t>
      </w:r>
    </w:p>
    <w:p w14:paraId="0433C7EA" w14:textId="0CCA084A" w:rsidR="00FF71CD" w:rsidRPr="00C37A85" w:rsidRDefault="00FF71CD" w:rsidP="00821BD8">
      <w:pPr>
        <w:pStyle w:val="ListParagraph"/>
        <w:numPr>
          <w:ilvl w:val="0"/>
          <w:numId w:val="19"/>
        </w:numPr>
        <w:spacing w:after="240"/>
      </w:pPr>
      <w:r w:rsidRPr="00C37A85">
        <w:t xml:space="preserve">To what extent do you believe the </w:t>
      </w:r>
      <w:r w:rsidR="00821BD8">
        <w:t>Investment</w:t>
      </w:r>
      <w:r w:rsidRPr="00C37A85">
        <w:t xml:space="preserve"> has made a difference in the Pacific (please provide specific examples of the effectiveness of the program)?</w:t>
      </w:r>
    </w:p>
    <w:p w14:paraId="5189091D" w14:textId="25434518" w:rsidR="00FF71CD" w:rsidRDefault="00FF71CD" w:rsidP="00821BD8">
      <w:pPr>
        <w:pStyle w:val="ListParagraph"/>
        <w:numPr>
          <w:ilvl w:val="2"/>
          <w:numId w:val="18"/>
        </w:numPr>
        <w:ind w:left="1276"/>
      </w:pPr>
      <w:r w:rsidRPr="00C37A85">
        <w:t xml:space="preserve">To what extent has DFAT’s </w:t>
      </w:r>
      <w:r w:rsidR="00821BD8">
        <w:t>Investment</w:t>
      </w:r>
      <w:r w:rsidRPr="00C37A85">
        <w:t xml:space="preserve"> contributed to </w:t>
      </w:r>
      <w:r w:rsidRPr="00D41C65">
        <w:rPr>
          <w:b/>
          <w:bCs/>
        </w:rPr>
        <w:t xml:space="preserve">meaningful improvements in fisheries management and governance </w:t>
      </w:r>
      <w:r w:rsidRPr="00C37A85">
        <w:t>in the Pacific? (please explain your response)</w:t>
      </w:r>
    </w:p>
    <w:p w14:paraId="112F84B7" w14:textId="47B89766" w:rsidR="00FF71CD" w:rsidRPr="00D41C65" w:rsidRDefault="00FF71CD" w:rsidP="00821BD8">
      <w:pPr>
        <w:pStyle w:val="ListParagraph"/>
        <w:numPr>
          <w:ilvl w:val="2"/>
          <w:numId w:val="18"/>
        </w:numPr>
        <w:ind w:left="1276"/>
        <w:rPr>
          <w:rFonts w:asciiTheme="minorHAnsi" w:hAnsiTheme="minorHAnsi" w:cstheme="minorHAnsi"/>
        </w:rPr>
      </w:pPr>
      <w:r w:rsidRPr="00D41C65">
        <w:rPr>
          <w:rFonts w:asciiTheme="minorHAnsi" w:hAnsiTheme="minorHAnsi" w:cstheme="minorHAnsi"/>
        </w:rPr>
        <w:t>To what extent have</w:t>
      </w:r>
      <w:r w:rsidRPr="00097BBF">
        <w:t xml:space="preserve"> </w:t>
      </w:r>
      <w:r w:rsidRPr="00D41C65">
        <w:rPr>
          <w:b/>
          <w:bCs/>
        </w:rPr>
        <w:t>the economic benefits</w:t>
      </w:r>
      <w:r w:rsidRPr="00097BBF">
        <w:t xml:space="preserve"> from regional fisheries management improved for PICs over the past decade </w:t>
      </w:r>
      <w:proofErr w:type="gramStart"/>
      <w:r w:rsidRPr="00097BBF">
        <w:t>as a result of</w:t>
      </w:r>
      <w:proofErr w:type="gramEnd"/>
      <w:r w:rsidRPr="00097BBF">
        <w:t xml:space="preserve"> DFAT’s </w:t>
      </w:r>
      <w:r w:rsidR="00821BD8">
        <w:t>Investment</w:t>
      </w:r>
      <w:r w:rsidRPr="00097BBF">
        <w:t>? (Yes/No/Not Sure – Please explain why.)</w:t>
      </w:r>
    </w:p>
    <w:p w14:paraId="67031886" w14:textId="0F35ABB3" w:rsidR="00FF71CD" w:rsidRPr="00D41C65" w:rsidRDefault="00FF71CD" w:rsidP="00821BD8">
      <w:pPr>
        <w:pStyle w:val="ListParagraph"/>
        <w:numPr>
          <w:ilvl w:val="2"/>
          <w:numId w:val="18"/>
        </w:numPr>
        <w:ind w:left="1276"/>
        <w:rPr>
          <w:rFonts w:asciiTheme="minorHAnsi" w:hAnsiTheme="minorHAnsi" w:cstheme="minorBidi"/>
          <w:lang w:val="en-GB"/>
        </w:rPr>
      </w:pPr>
      <w:r w:rsidRPr="07769C73">
        <w:rPr>
          <w:lang w:val="en-GB"/>
        </w:rPr>
        <w:t xml:space="preserve">To what extent has there been an improvement in sustaining coastal fisheries resources </w:t>
      </w:r>
      <w:proofErr w:type="gramStart"/>
      <w:r w:rsidRPr="07769C73">
        <w:rPr>
          <w:lang w:val="en-GB"/>
        </w:rPr>
        <w:t>as a result of</w:t>
      </w:r>
      <w:proofErr w:type="gramEnd"/>
      <w:r w:rsidRPr="07769C73">
        <w:rPr>
          <w:lang w:val="en-GB"/>
        </w:rPr>
        <w:t xml:space="preserve"> </w:t>
      </w:r>
      <w:r w:rsidRPr="00D41C65">
        <w:rPr>
          <w:b/>
          <w:bCs/>
          <w:lang w:val="en-GB"/>
        </w:rPr>
        <w:t>greater community involvement in fisheries management</w:t>
      </w:r>
      <w:r w:rsidRPr="07769C73">
        <w:rPr>
          <w:lang w:val="en-GB"/>
        </w:rPr>
        <w:t>?</w:t>
      </w:r>
    </w:p>
    <w:p w14:paraId="7CD0C7C9" w14:textId="00DFBE45" w:rsidR="00FF71CD" w:rsidRDefault="00FF71CD" w:rsidP="00821BD8">
      <w:pPr>
        <w:pStyle w:val="ListParagraph"/>
        <w:numPr>
          <w:ilvl w:val="2"/>
          <w:numId w:val="18"/>
        </w:numPr>
        <w:ind w:left="1276"/>
        <w:rPr>
          <w:lang w:val="en-GB"/>
        </w:rPr>
      </w:pPr>
      <w:r w:rsidRPr="07769C73">
        <w:rPr>
          <w:lang w:val="en-GB"/>
        </w:rPr>
        <w:t>To what extent has there been a reduction in IUU fishing as the result of Australia’s support to strengthen MCS capacity in, and coordination between, fisheries agencies?</w:t>
      </w:r>
    </w:p>
    <w:p w14:paraId="708D5491" w14:textId="5FC0A42D" w:rsidR="00FF71CD" w:rsidRPr="001278F2" w:rsidRDefault="00FF71CD" w:rsidP="00821BD8">
      <w:pPr>
        <w:pStyle w:val="ListParagraph"/>
        <w:numPr>
          <w:ilvl w:val="2"/>
          <w:numId w:val="18"/>
        </w:numPr>
        <w:ind w:left="1276"/>
        <w:rPr>
          <w:lang w:val="en-GB"/>
        </w:rPr>
      </w:pPr>
      <w:r w:rsidRPr="07769C73">
        <w:rPr>
          <w:lang w:val="en-GB"/>
        </w:rPr>
        <w:t xml:space="preserve">How effective has the </w:t>
      </w:r>
      <w:r w:rsidR="00821BD8">
        <w:rPr>
          <w:lang w:val="en-GB"/>
        </w:rPr>
        <w:t>Investment</w:t>
      </w:r>
      <w:r w:rsidRPr="07769C73">
        <w:rPr>
          <w:lang w:val="en-GB"/>
        </w:rPr>
        <w:t xml:space="preserve"> been in helping to determine maritime boundaries, and improve PIC capacity to make legal and policy decisions about natural features at risk of destabilising maritime zones?</w:t>
      </w:r>
    </w:p>
    <w:p w14:paraId="78F223E7" w14:textId="77777777" w:rsidR="00FF71CD" w:rsidRPr="001278F2" w:rsidRDefault="00FF71CD" w:rsidP="00821BD8">
      <w:pPr>
        <w:pStyle w:val="ListParagraph"/>
        <w:numPr>
          <w:ilvl w:val="2"/>
          <w:numId w:val="18"/>
        </w:numPr>
        <w:spacing w:after="240"/>
        <w:ind w:left="1276"/>
      </w:pPr>
      <w:r>
        <w:t xml:space="preserve">To what extent do you believe that the </w:t>
      </w:r>
      <w:r w:rsidRPr="00D41C65">
        <w:rPr>
          <w:b/>
          <w:bCs/>
        </w:rPr>
        <w:t>benefits</w:t>
      </w:r>
      <w:r>
        <w:t xml:space="preserve"> of Australia’s support to fisheries in the Pacific </w:t>
      </w:r>
      <w:r w:rsidRPr="00D41C65">
        <w:rPr>
          <w:b/>
          <w:bCs/>
        </w:rPr>
        <w:t>are sustainable</w:t>
      </w:r>
      <w:r>
        <w:t>, and what actions/ strategies have led to this sustainability (please explain your response/ provide examples of actions taken to enhance sustainability)?</w:t>
      </w:r>
    </w:p>
    <w:p w14:paraId="7C583E0A" w14:textId="77777777" w:rsidR="00FF71CD" w:rsidRPr="00C37A85" w:rsidRDefault="00FF71CD" w:rsidP="00821BD8">
      <w:pPr>
        <w:pStyle w:val="ListParagraph"/>
        <w:numPr>
          <w:ilvl w:val="0"/>
          <w:numId w:val="19"/>
        </w:numPr>
        <w:spacing w:after="240"/>
      </w:pPr>
      <w:r w:rsidRPr="00C37A85">
        <w:t xml:space="preserve">Over the past </w:t>
      </w:r>
      <w:r>
        <w:t xml:space="preserve">15 </w:t>
      </w:r>
      <w:r w:rsidRPr="00C37A85">
        <w:t xml:space="preserve">years have you noticed any improvement in </w:t>
      </w:r>
      <w:r w:rsidRPr="00C37A85">
        <w:rPr>
          <w:b/>
          <w:bCs/>
        </w:rPr>
        <w:t>women’s participation</w:t>
      </w:r>
      <w:r>
        <w:rPr>
          <w:b/>
          <w:bCs/>
        </w:rPr>
        <w:t xml:space="preserve"> or representation in decision-making</w:t>
      </w:r>
      <w:r w:rsidRPr="00C37A85">
        <w:rPr>
          <w:b/>
          <w:bCs/>
        </w:rPr>
        <w:t xml:space="preserve"> in fisheries</w:t>
      </w:r>
      <w:r w:rsidRPr="00C37A85">
        <w:t xml:space="preserve"> in the Pacific (Yes/ No/Don’t Know)</w:t>
      </w:r>
    </w:p>
    <w:p w14:paraId="6050FFD7" w14:textId="77777777" w:rsidR="00FF71CD" w:rsidRPr="00C37A85" w:rsidRDefault="00FF71CD" w:rsidP="00821BD8">
      <w:pPr>
        <w:pStyle w:val="ListParagraph"/>
        <w:numPr>
          <w:ilvl w:val="2"/>
          <w:numId w:val="18"/>
        </w:numPr>
        <w:ind w:left="1276"/>
      </w:pPr>
      <w:r w:rsidRPr="00C37A85">
        <w:t>If yes, what factors do you think account for the progress to date?</w:t>
      </w:r>
    </w:p>
    <w:p w14:paraId="1E73BED6" w14:textId="77777777" w:rsidR="00FF71CD" w:rsidRPr="00C37A85" w:rsidRDefault="00FF71CD" w:rsidP="00821BD8">
      <w:pPr>
        <w:pStyle w:val="ListParagraph"/>
        <w:numPr>
          <w:ilvl w:val="2"/>
          <w:numId w:val="18"/>
        </w:numPr>
        <w:ind w:left="1276"/>
      </w:pPr>
      <w:r w:rsidRPr="00C37A85">
        <w:t xml:space="preserve">If no, what needs to be done to enhance women’s participation? </w:t>
      </w:r>
    </w:p>
    <w:p w14:paraId="596CE883" w14:textId="1E2532F5" w:rsidR="00FF71CD" w:rsidRPr="00505030" w:rsidRDefault="00FF71CD" w:rsidP="00821BD8">
      <w:pPr>
        <w:pStyle w:val="ListParagraph"/>
        <w:numPr>
          <w:ilvl w:val="1"/>
          <w:numId w:val="18"/>
        </w:numPr>
        <w:spacing w:after="240"/>
        <w:ind w:left="993"/>
      </w:pPr>
      <w:r w:rsidRPr="00C37A85">
        <w:t xml:space="preserve">Has the </w:t>
      </w:r>
      <w:r w:rsidR="00821BD8">
        <w:t>Investment</w:t>
      </w:r>
      <w:r w:rsidRPr="00C37A85">
        <w:t xml:space="preserve"> contributed to fostering inclusion among marginalised groups, youth and people with disability in the fisheries sector?</w:t>
      </w:r>
    </w:p>
    <w:p w14:paraId="4220E273" w14:textId="404C0B99" w:rsidR="00FF71CD" w:rsidRPr="00C37A85" w:rsidRDefault="00FF71CD" w:rsidP="00821BD8">
      <w:pPr>
        <w:pStyle w:val="ListParagraph"/>
        <w:numPr>
          <w:ilvl w:val="0"/>
          <w:numId w:val="19"/>
        </w:numPr>
        <w:spacing w:after="240"/>
        <w:rPr>
          <w:rFonts w:eastAsia="Calibri"/>
          <w:color w:val="000000"/>
        </w:rPr>
      </w:pPr>
      <w:r w:rsidRPr="00C37A85">
        <w:t xml:space="preserve">To what extent do you think Australia’s </w:t>
      </w:r>
      <w:r w:rsidR="00821BD8">
        <w:t>Investment</w:t>
      </w:r>
      <w:r w:rsidRPr="00C37A85">
        <w:t xml:space="preserve"> </w:t>
      </w:r>
      <w:r>
        <w:t xml:space="preserve">has </w:t>
      </w:r>
      <w:r w:rsidRPr="00C37A85">
        <w:t>been effective in</w:t>
      </w:r>
      <w:r>
        <w:t xml:space="preserve"> helping PICs </w:t>
      </w:r>
      <w:r w:rsidRPr="001278F2">
        <w:rPr>
          <w:b/>
          <w:bCs/>
        </w:rPr>
        <w:t xml:space="preserve">adapt to the impacts of </w:t>
      </w:r>
      <w:r w:rsidRPr="006A6E25">
        <w:rPr>
          <w:b/>
          <w:bCs/>
        </w:rPr>
        <w:t>climate change</w:t>
      </w:r>
      <w:r w:rsidRPr="00C37A85">
        <w:t xml:space="preserve"> in the Pacific? (please provide specific examples)</w:t>
      </w:r>
    </w:p>
    <w:p w14:paraId="029C2F19" w14:textId="1B7FAEA6" w:rsidR="00FF71CD" w:rsidRPr="00C37A85" w:rsidRDefault="00FF71CD" w:rsidP="00821BD8">
      <w:pPr>
        <w:pStyle w:val="ListParagraph"/>
        <w:numPr>
          <w:ilvl w:val="0"/>
          <w:numId w:val="19"/>
        </w:numPr>
        <w:spacing w:after="240"/>
      </w:pPr>
      <w:r w:rsidRPr="00C37A85">
        <w:t xml:space="preserve">To what extent has the </w:t>
      </w:r>
      <w:r w:rsidR="00821BD8">
        <w:t>Investment</w:t>
      </w:r>
      <w:r w:rsidRPr="00C37A85">
        <w:t xml:space="preserve"> </w:t>
      </w:r>
      <w:r w:rsidRPr="00C37A85">
        <w:rPr>
          <w:b/>
          <w:bCs/>
        </w:rPr>
        <w:t>enhanced Australia’s reputation in the Pacific</w:t>
      </w:r>
      <w:r w:rsidRPr="00C37A85">
        <w:t>? (please explain your answer)</w:t>
      </w:r>
    </w:p>
    <w:p w14:paraId="3CC772FA" w14:textId="3CCB1C1E" w:rsidR="00FF71CD" w:rsidRPr="00C37A85" w:rsidRDefault="00FF71CD" w:rsidP="00821BD8">
      <w:pPr>
        <w:pStyle w:val="ListParagraph"/>
        <w:numPr>
          <w:ilvl w:val="2"/>
          <w:numId w:val="18"/>
        </w:numPr>
        <w:ind w:left="1276"/>
      </w:pPr>
      <w:r w:rsidRPr="00C37A85">
        <w:t xml:space="preserve">What for you has been the </w:t>
      </w:r>
      <w:r w:rsidRPr="00D41C65">
        <w:rPr>
          <w:b/>
          <w:bCs/>
        </w:rPr>
        <w:t>most significant achievement</w:t>
      </w:r>
      <w:r w:rsidRPr="00C37A85">
        <w:t xml:space="preserve"> in fisheries </w:t>
      </w:r>
      <w:proofErr w:type="gramStart"/>
      <w:r w:rsidRPr="00C37A85">
        <w:t>as a result of</w:t>
      </w:r>
      <w:proofErr w:type="gramEnd"/>
      <w:r w:rsidRPr="00C37A85">
        <w:t xml:space="preserve"> Australia’s </w:t>
      </w:r>
      <w:r w:rsidR="00821BD8">
        <w:t>Investment</w:t>
      </w:r>
      <w:r w:rsidRPr="00C37A85">
        <w:t xml:space="preserve"> in fisheries in the Pacific? (please provide a specific example)</w:t>
      </w:r>
    </w:p>
    <w:p w14:paraId="4A92B0B2" w14:textId="77777777" w:rsidR="00FF71CD" w:rsidRPr="00C37A85" w:rsidRDefault="00FF71CD" w:rsidP="00821BD8">
      <w:pPr>
        <w:pStyle w:val="ListParagraph"/>
        <w:numPr>
          <w:ilvl w:val="2"/>
          <w:numId w:val="18"/>
        </w:numPr>
        <w:ind w:left="1276"/>
      </w:pPr>
      <w:r w:rsidRPr="00C37A85">
        <w:t xml:space="preserve">What for you are the </w:t>
      </w:r>
      <w:r w:rsidRPr="00D41C65">
        <w:rPr>
          <w:b/>
          <w:bCs/>
        </w:rPr>
        <w:t>public diplomacy benefits</w:t>
      </w:r>
      <w:r w:rsidRPr="00C37A85">
        <w:t xml:space="preserve"> for Australia continuing to invest in fisheries in the Pacific?</w:t>
      </w:r>
    </w:p>
    <w:p w14:paraId="78917F44" w14:textId="77777777" w:rsidR="00FF71CD" w:rsidRDefault="00FF71CD" w:rsidP="00821BD8">
      <w:pPr>
        <w:pStyle w:val="ListParagraph"/>
        <w:numPr>
          <w:ilvl w:val="2"/>
          <w:numId w:val="18"/>
        </w:numPr>
        <w:ind w:left="1276"/>
      </w:pPr>
      <w:r w:rsidRPr="00C37A85">
        <w:t xml:space="preserve">To what extent has DFAT been effective in helping </w:t>
      </w:r>
      <w:r w:rsidRPr="00D41C65">
        <w:rPr>
          <w:b/>
          <w:bCs/>
        </w:rPr>
        <w:t>to coordinate with and leverage support provided by other donors, government and non-government organisations</w:t>
      </w:r>
      <w:r w:rsidRPr="00C37A85">
        <w:t xml:space="preserve"> (including private sector) to benefit fisheries agencies in the Pacific? (please provide specific examples of the role of DFAT in helping to coordinate support to agencies in the Pacific)</w:t>
      </w:r>
    </w:p>
    <w:p w14:paraId="00CC5568" w14:textId="13807CCE" w:rsidR="00FF71CD" w:rsidRPr="00654C7C" w:rsidRDefault="00FF71CD" w:rsidP="00821BD8">
      <w:pPr>
        <w:pStyle w:val="ListParagraph"/>
        <w:numPr>
          <w:ilvl w:val="2"/>
          <w:numId w:val="18"/>
        </w:numPr>
        <w:spacing w:after="240"/>
        <w:ind w:left="1276"/>
      </w:pPr>
      <w:r w:rsidRPr="00F455F8">
        <w:t xml:space="preserve">To what extent has the </w:t>
      </w:r>
      <w:r w:rsidR="00821BD8">
        <w:t>Investment</w:t>
      </w:r>
      <w:r w:rsidRPr="00F455F8">
        <w:t xml:space="preserve"> been underpinned by </w:t>
      </w:r>
      <w:r w:rsidRPr="00D41C65">
        <w:rPr>
          <w:b/>
          <w:bCs/>
        </w:rPr>
        <w:t>effective monitoring, evaluation and learning systems</w:t>
      </w:r>
      <w:r w:rsidRPr="00F455F8">
        <w:t xml:space="preserve"> to inform decision-making, learning and accountability</w:t>
      </w:r>
      <w:r>
        <w:t xml:space="preserve"> on both the side of DFAT and on the side of partners? (please explain your response)</w:t>
      </w:r>
    </w:p>
    <w:p w14:paraId="39F53A71" w14:textId="77777777" w:rsidR="00FF71CD" w:rsidRPr="00C37A85" w:rsidRDefault="00FF71CD" w:rsidP="00821BD8">
      <w:pPr>
        <w:pStyle w:val="ListParagraph"/>
        <w:numPr>
          <w:ilvl w:val="0"/>
          <w:numId w:val="19"/>
        </w:numPr>
        <w:spacing w:after="240"/>
      </w:pPr>
      <w:r w:rsidRPr="00C37A85">
        <w:t xml:space="preserve">What are the </w:t>
      </w:r>
      <w:r w:rsidRPr="00C37A85">
        <w:rPr>
          <w:b/>
          <w:bCs/>
        </w:rPr>
        <w:t>biggest challenges</w:t>
      </w:r>
      <w:r w:rsidRPr="00C37A85">
        <w:t xml:space="preserve"> still facing Pacific fisheries that DFAT’s support should help address in the future?</w:t>
      </w:r>
    </w:p>
    <w:p w14:paraId="0FCFDBB8" w14:textId="22A4221D" w:rsidR="00FF71CD" w:rsidRPr="00C37A85" w:rsidRDefault="00FF71CD" w:rsidP="00821BD8">
      <w:pPr>
        <w:pStyle w:val="ListParagraph"/>
        <w:numPr>
          <w:ilvl w:val="0"/>
          <w:numId w:val="19"/>
        </w:numPr>
        <w:spacing w:after="240"/>
      </w:pPr>
      <w:r w:rsidRPr="00C37A85">
        <w:lastRenderedPageBreak/>
        <w:t xml:space="preserve">As a result of your agency's interaction with the support provided by Australia, do you believe there are any </w:t>
      </w:r>
      <w:r w:rsidRPr="00C37A85">
        <w:rPr>
          <w:b/>
          <w:bCs/>
        </w:rPr>
        <w:t>lessons learned</w:t>
      </w:r>
      <w:r w:rsidRPr="00C37A85">
        <w:t xml:space="preserve"> that DFAT should be made aware of to inform the future direction of its </w:t>
      </w:r>
      <w:proofErr w:type="gramStart"/>
      <w:r w:rsidR="00821BD8">
        <w:t>Investment</w:t>
      </w:r>
      <w:proofErr w:type="gramEnd"/>
      <w:r w:rsidRPr="00C37A85">
        <w:t xml:space="preserve"> in fisheries in the Pacific? (If so, please be specific).</w:t>
      </w:r>
    </w:p>
    <w:p w14:paraId="342CD88B" w14:textId="38FBF05D" w:rsidR="00FF71CD" w:rsidRPr="00C37A85" w:rsidRDefault="00FF71CD" w:rsidP="00821BD8">
      <w:pPr>
        <w:pStyle w:val="ListParagraph"/>
        <w:numPr>
          <w:ilvl w:val="0"/>
          <w:numId w:val="19"/>
        </w:numPr>
        <w:spacing w:after="240"/>
      </w:pPr>
      <w:r w:rsidRPr="00C37A85">
        <w:t xml:space="preserve">Do you have any </w:t>
      </w:r>
      <w:r w:rsidRPr="00C37A85">
        <w:rPr>
          <w:b/>
          <w:bCs/>
        </w:rPr>
        <w:t>additional comments or recommendations</w:t>
      </w:r>
      <w:r w:rsidRPr="00C37A85">
        <w:t xml:space="preserve"> on how DFAT’s </w:t>
      </w:r>
      <w:r w:rsidR="00821BD8">
        <w:t>Investment</w:t>
      </w:r>
      <w:r w:rsidRPr="00C37A85">
        <w:t xml:space="preserve"> in Pacific Fisheries could be improved?</w:t>
      </w:r>
    </w:p>
    <w:p w14:paraId="377C16E7" w14:textId="77777777" w:rsidR="00FF71CD" w:rsidRPr="00AB0F56" w:rsidRDefault="00FF71CD" w:rsidP="00D41C65"/>
    <w:p w14:paraId="4A106BB6" w14:textId="77777777" w:rsidR="0097449F" w:rsidRPr="00581C11" w:rsidRDefault="0097449F" w:rsidP="00D41C65">
      <w:pPr>
        <w:rPr>
          <w:rStyle w:val="Heading"/>
          <w:rFonts w:eastAsiaTheme="majorEastAsia" w:cstheme="minorHAnsi"/>
          <w:color w:val="2F5496" w:themeColor="accent1" w:themeShade="BF"/>
          <w:sz w:val="32"/>
          <w:szCs w:val="32"/>
        </w:rPr>
      </w:pPr>
      <w:r w:rsidRPr="00581C11">
        <w:rPr>
          <w:rStyle w:val="Heading"/>
          <w:rFonts w:cstheme="minorHAnsi"/>
          <w:color w:val="2F5496" w:themeColor="accent1" w:themeShade="BF"/>
          <w:sz w:val="32"/>
          <w:szCs w:val="32"/>
        </w:rPr>
        <w:br w:type="page"/>
      </w:r>
    </w:p>
    <w:p w14:paraId="070C8DD9" w14:textId="49C8FEB0" w:rsidR="0073589D" w:rsidRPr="00FA2BF4" w:rsidRDefault="000F3351" w:rsidP="00FA2BF4">
      <w:pPr>
        <w:pStyle w:val="Heading3"/>
        <w:rPr>
          <w:b/>
          <w:bCs/>
        </w:rPr>
      </w:pPr>
      <w:bookmarkStart w:id="82" w:name="_Toc207206822"/>
      <w:r w:rsidRPr="00FA2BF4">
        <w:rPr>
          <w:b/>
          <w:bCs/>
        </w:rPr>
        <w:lastRenderedPageBreak/>
        <w:t>Annexe</w:t>
      </w:r>
      <w:r w:rsidR="0097449F" w:rsidRPr="00FA2BF4">
        <w:rPr>
          <w:b/>
          <w:bCs/>
        </w:rPr>
        <w:t xml:space="preserve"> </w:t>
      </w:r>
      <w:r w:rsidR="005640D6" w:rsidRPr="00FA2BF4">
        <w:rPr>
          <w:b/>
          <w:bCs/>
        </w:rPr>
        <w:t>4</w:t>
      </w:r>
      <w:r w:rsidR="0097449F" w:rsidRPr="00FA2BF4">
        <w:rPr>
          <w:b/>
          <w:bCs/>
        </w:rPr>
        <w:t xml:space="preserve">: </w:t>
      </w:r>
      <w:r w:rsidR="003A748A" w:rsidRPr="00FA2BF4">
        <w:rPr>
          <w:b/>
          <w:bCs/>
        </w:rPr>
        <w:t xml:space="preserve">Survey </w:t>
      </w:r>
      <w:r w:rsidR="006E4AFF" w:rsidRPr="00FA2BF4">
        <w:rPr>
          <w:b/>
          <w:bCs/>
        </w:rPr>
        <w:t>I</w:t>
      </w:r>
      <w:r w:rsidR="003A748A" w:rsidRPr="00FA2BF4">
        <w:rPr>
          <w:b/>
          <w:bCs/>
        </w:rPr>
        <w:t>nstrument</w:t>
      </w:r>
      <w:bookmarkEnd w:id="82"/>
    </w:p>
    <w:p w14:paraId="44CD1D86" w14:textId="77777777" w:rsidR="00A60B28" w:rsidRDefault="00A60B28" w:rsidP="00D41C65"/>
    <w:p w14:paraId="6E0FBDA3" w14:textId="77777777" w:rsidR="00EA494A" w:rsidRDefault="00EA494A" w:rsidP="00821BD8">
      <w:pPr>
        <w:pStyle w:val="ListParagraph"/>
        <w:numPr>
          <w:ilvl w:val="0"/>
          <w:numId w:val="23"/>
        </w:numPr>
      </w:pPr>
      <w:r>
        <w:t>Name of your home country</w:t>
      </w:r>
    </w:p>
    <w:p w14:paraId="6CEB05EE" w14:textId="77777777" w:rsidR="00EA494A" w:rsidRDefault="00EA494A" w:rsidP="00821BD8">
      <w:pPr>
        <w:pStyle w:val="ListParagraph"/>
        <w:numPr>
          <w:ilvl w:val="0"/>
          <w:numId w:val="23"/>
        </w:numPr>
      </w:pPr>
      <w:r>
        <w:t>Name of your organisation/agency</w:t>
      </w:r>
    </w:p>
    <w:p w14:paraId="0F4F7513" w14:textId="77777777" w:rsidR="00EA494A" w:rsidRPr="00496BA4" w:rsidRDefault="00EA494A" w:rsidP="00821BD8">
      <w:pPr>
        <w:pStyle w:val="ListParagraph"/>
        <w:numPr>
          <w:ilvl w:val="0"/>
          <w:numId w:val="23"/>
        </w:numPr>
      </w:pPr>
      <w:r>
        <w:t xml:space="preserve">Please signal which projects supported by Australia you have been involved in through your fisheries agencies: </w:t>
      </w:r>
    </w:p>
    <w:p w14:paraId="764B05E2" w14:textId="77777777" w:rsidR="00EA494A" w:rsidRDefault="00EA494A" w:rsidP="00D41C65">
      <w:pPr>
        <w:rPr>
          <w:rFonts w:eastAsia="Calibri"/>
        </w:rPr>
      </w:pPr>
    </w:p>
    <w:tbl>
      <w:tblPr>
        <w:tblStyle w:val="GridTable1Light-Accent1"/>
        <w:tblW w:w="9024" w:type="dxa"/>
        <w:tblLook w:val="04A0" w:firstRow="1" w:lastRow="0" w:firstColumn="1" w:lastColumn="0" w:noHBand="0" w:noVBand="1"/>
      </w:tblPr>
      <w:tblGrid>
        <w:gridCol w:w="5382"/>
        <w:gridCol w:w="1134"/>
        <w:gridCol w:w="1276"/>
        <w:gridCol w:w="1232"/>
      </w:tblGrid>
      <w:tr w:rsidR="00134547" w:rsidRPr="009A152C" w14:paraId="1141B1F6" w14:textId="77777777" w:rsidTr="00BD18E0">
        <w:trPr>
          <w:cnfStyle w:val="100000000000" w:firstRow="1" w:lastRow="0" w:firstColumn="0" w:lastColumn="0" w:oddVBand="0" w:evenVBand="0" w:oddHBand="0" w:evenHBand="0" w:firstRowFirstColumn="0" w:firstRowLastColumn="0" w:lastRowFirstColumn="0" w:lastRowLastColumn="0"/>
          <w:trHeight w:val="816"/>
        </w:trPr>
        <w:tc>
          <w:tcPr>
            <w:cnfStyle w:val="001000000000" w:firstRow="0" w:lastRow="0" w:firstColumn="1" w:lastColumn="0" w:oddVBand="0" w:evenVBand="0" w:oddHBand="0" w:evenHBand="0" w:firstRowFirstColumn="0" w:firstRowLastColumn="0" w:lastRowFirstColumn="0" w:lastRowLastColumn="0"/>
            <w:tcW w:w="5382" w:type="dxa"/>
            <w:shd w:val="clear" w:color="auto" w:fill="2E74B5" w:themeFill="accent5" w:themeFillShade="BF"/>
          </w:tcPr>
          <w:p w14:paraId="372DA0D8" w14:textId="77777777" w:rsidR="00134547" w:rsidRPr="00BC1A34" w:rsidRDefault="00134547" w:rsidP="00BC1A34">
            <w:pPr>
              <w:rPr>
                <w:color w:val="FFFFFF" w:themeColor="background1"/>
              </w:rPr>
            </w:pPr>
            <w:r w:rsidRPr="00BC1A34">
              <w:rPr>
                <w:color w:val="FFFFFF" w:themeColor="background1"/>
              </w:rPr>
              <w:t>Project Description</w:t>
            </w:r>
          </w:p>
        </w:tc>
        <w:tc>
          <w:tcPr>
            <w:tcW w:w="3642" w:type="dxa"/>
            <w:gridSpan w:val="3"/>
            <w:shd w:val="clear" w:color="auto" w:fill="2E74B5" w:themeFill="accent5" w:themeFillShade="BF"/>
          </w:tcPr>
          <w:p w14:paraId="06447DF9" w14:textId="77777777" w:rsidR="00134547" w:rsidRPr="00BC1A34" w:rsidRDefault="00134547" w:rsidP="00BC1A34">
            <w:pPr>
              <w:cnfStyle w:val="100000000000" w:firstRow="1" w:lastRow="0" w:firstColumn="0" w:lastColumn="0" w:oddVBand="0" w:evenVBand="0" w:oddHBand="0" w:evenHBand="0" w:firstRowFirstColumn="0" w:firstRowLastColumn="0" w:lastRowFirstColumn="0" w:lastRowLastColumn="0"/>
              <w:rPr>
                <w:b w:val="0"/>
                <w:bCs w:val="0"/>
                <w:color w:val="FFFFFF" w:themeColor="background1"/>
                <w:lang w:val="en-GB"/>
              </w:rPr>
            </w:pPr>
            <w:r w:rsidRPr="00BC1A34">
              <w:rPr>
                <w:color w:val="FFFFFF" w:themeColor="background1"/>
                <w:lang w:val="en-GB"/>
              </w:rPr>
              <w:t>Projects I participated in</w:t>
            </w:r>
          </w:p>
          <w:p w14:paraId="6C804E1D" w14:textId="4BF07B9E" w:rsidR="00134547" w:rsidRPr="008B235A" w:rsidRDefault="00134547" w:rsidP="00BC1A3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C1A34">
              <w:rPr>
                <w:color w:val="FFFFFF" w:themeColor="background1"/>
              </w:rPr>
              <w:t>Yes</w:t>
            </w:r>
            <w:r>
              <w:rPr>
                <w:color w:val="FFFFFF" w:themeColor="background1"/>
              </w:rPr>
              <w:t xml:space="preserve"> (Y)</w:t>
            </w:r>
            <w:r w:rsidR="008B235A">
              <w:rPr>
                <w:color w:val="FFFFFF" w:themeColor="background1"/>
              </w:rPr>
              <w:t xml:space="preserve">, </w:t>
            </w:r>
            <w:r w:rsidRPr="00BC1A34">
              <w:rPr>
                <w:color w:val="FFFFFF" w:themeColor="background1"/>
              </w:rPr>
              <w:t>No</w:t>
            </w:r>
            <w:r>
              <w:rPr>
                <w:color w:val="FFFFFF" w:themeColor="background1"/>
              </w:rPr>
              <w:t xml:space="preserve"> (N)</w:t>
            </w:r>
            <w:r w:rsidR="008B235A">
              <w:rPr>
                <w:color w:val="FFFFFF" w:themeColor="background1"/>
              </w:rPr>
              <w:t xml:space="preserve">, </w:t>
            </w:r>
            <w:r w:rsidRPr="00BC1A34">
              <w:rPr>
                <w:color w:val="FFFFFF" w:themeColor="background1"/>
                <w:lang w:val="en-GB"/>
              </w:rPr>
              <w:t>Don’t know</w:t>
            </w:r>
            <w:r>
              <w:rPr>
                <w:color w:val="FFFFFF" w:themeColor="background1"/>
                <w:lang w:val="en-GB"/>
              </w:rPr>
              <w:t xml:space="preserve"> (DK)</w:t>
            </w:r>
          </w:p>
        </w:tc>
      </w:tr>
      <w:tr w:rsidR="00EA494A" w:rsidRPr="00822FB9" w14:paraId="1586105A" w14:textId="77777777" w:rsidTr="004E4730">
        <w:trPr>
          <w:trHeight w:val="1468"/>
        </w:trPr>
        <w:tc>
          <w:tcPr>
            <w:cnfStyle w:val="001000000000" w:firstRow="0" w:lastRow="0" w:firstColumn="1" w:lastColumn="0" w:oddVBand="0" w:evenVBand="0" w:oddHBand="0" w:evenHBand="0" w:firstRowFirstColumn="0" w:firstRowLastColumn="0" w:lastRowFirstColumn="0" w:lastRowLastColumn="0"/>
            <w:tcW w:w="5382" w:type="dxa"/>
          </w:tcPr>
          <w:p w14:paraId="48F6DF0C" w14:textId="77777777" w:rsidR="00EA494A" w:rsidRPr="00BC1A34" w:rsidRDefault="00EA494A" w:rsidP="00BC1A34">
            <w:r w:rsidRPr="00BC1A34">
              <w:t>Pacific Islands Forum Fisheries Agency</w:t>
            </w:r>
          </w:p>
          <w:p w14:paraId="41D7B21D" w14:textId="77777777" w:rsidR="00EA494A" w:rsidRPr="00BC1A34" w:rsidRDefault="00EA494A" w:rsidP="00821BD8">
            <w:pPr>
              <w:pStyle w:val="ListParagraph"/>
              <w:numPr>
                <w:ilvl w:val="0"/>
                <w:numId w:val="30"/>
              </w:numPr>
              <w:rPr>
                <w:b w:val="0"/>
                <w:bCs w:val="0"/>
              </w:rPr>
            </w:pPr>
            <w:r w:rsidRPr="00BC1A34">
              <w:rPr>
                <w:b w:val="0"/>
                <w:bCs w:val="0"/>
              </w:rPr>
              <w:t xml:space="preserve">Funding for regional and national activities to implement the Regional Monitoring, Control and Surveillance Strategy (2021-2024) </w:t>
            </w:r>
          </w:p>
          <w:p w14:paraId="0AD8EBD0" w14:textId="77777777" w:rsidR="00EA494A" w:rsidRPr="00BC1A34" w:rsidRDefault="00EA494A" w:rsidP="00821BD8">
            <w:pPr>
              <w:pStyle w:val="ListParagraph"/>
              <w:numPr>
                <w:ilvl w:val="0"/>
                <w:numId w:val="30"/>
              </w:numPr>
              <w:rPr>
                <w:b w:val="0"/>
                <w:bCs w:val="0"/>
              </w:rPr>
            </w:pPr>
            <w:r w:rsidRPr="00BC1A34">
              <w:rPr>
                <w:b w:val="0"/>
                <w:bCs w:val="0"/>
              </w:rPr>
              <w:t>Support for national ratification and implementation of the Niue Treaty Subsidiary Agreement (NTSA) (2017-2023)</w:t>
            </w:r>
          </w:p>
          <w:p w14:paraId="3EDB45E8" w14:textId="77777777" w:rsidR="00EA494A" w:rsidRPr="00BC1A34" w:rsidRDefault="00EA494A" w:rsidP="00821BD8">
            <w:pPr>
              <w:pStyle w:val="ListParagraph"/>
              <w:numPr>
                <w:ilvl w:val="0"/>
                <w:numId w:val="30"/>
              </w:numPr>
            </w:pPr>
            <w:r w:rsidRPr="00BC1A34">
              <w:rPr>
                <w:b w:val="0"/>
                <w:bCs w:val="0"/>
              </w:rPr>
              <w:t>Ongoing core funding and corporate support to the FFA</w:t>
            </w:r>
          </w:p>
        </w:tc>
        <w:tc>
          <w:tcPr>
            <w:tcW w:w="1134" w:type="dxa"/>
          </w:tcPr>
          <w:p w14:paraId="7D15A9B9" w14:textId="3BF09A94" w:rsidR="00EA494A" w:rsidRPr="00B46CA9" w:rsidRDefault="008B235A" w:rsidP="00BC1A34">
            <w:pPr>
              <w:cnfStyle w:val="000000000000" w:firstRow="0" w:lastRow="0" w:firstColumn="0" w:lastColumn="0" w:oddVBand="0" w:evenVBand="0" w:oddHBand="0" w:evenHBand="0" w:firstRowFirstColumn="0" w:firstRowLastColumn="0" w:lastRowFirstColumn="0" w:lastRowLastColumn="0"/>
            </w:pPr>
            <w:r>
              <w:t xml:space="preserve">Y = </w:t>
            </w:r>
            <w:r w:rsidR="00EA494A" w:rsidRPr="000A2AC6">
              <w:t>1</w:t>
            </w:r>
          </w:p>
        </w:tc>
        <w:tc>
          <w:tcPr>
            <w:tcW w:w="1276" w:type="dxa"/>
          </w:tcPr>
          <w:p w14:paraId="431D133F" w14:textId="7F9C4972" w:rsidR="00EA494A" w:rsidRPr="00B46CA9" w:rsidRDefault="008B235A" w:rsidP="00BC1A34">
            <w:pPr>
              <w:cnfStyle w:val="000000000000" w:firstRow="0" w:lastRow="0" w:firstColumn="0" w:lastColumn="0" w:oddVBand="0" w:evenVBand="0" w:oddHBand="0" w:evenHBand="0" w:firstRowFirstColumn="0" w:firstRowLastColumn="0" w:lastRowFirstColumn="0" w:lastRowLastColumn="0"/>
            </w:pPr>
            <w:r>
              <w:t xml:space="preserve">N = </w:t>
            </w:r>
            <w:r w:rsidR="00EA494A" w:rsidRPr="000A2AC6">
              <w:t>2</w:t>
            </w:r>
          </w:p>
        </w:tc>
        <w:tc>
          <w:tcPr>
            <w:tcW w:w="1232" w:type="dxa"/>
          </w:tcPr>
          <w:p w14:paraId="4D78273C" w14:textId="3E4B4644" w:rsidR="00EA494A" w:rsidRPr="00B46CA9" w:rsidRDefault="008B235A" w:rsidP="00BC1A34">
            <w:pPr>
              <w:cnfStyle w:val="000000000000" w:firstRow="0" w:lastRow="0" w:firstColumn="0" w:lastColumn="0" w:oddVBand="0" w:evenVBand="0" w:oddHBand="0" w:evenHBand="0" w:firstRowFirstColumn="0" w:firstRowLastColumn="0" w:lastRowFirstColumn="0" w:lastRowLastColumn="0"/>
            </w:pPr>
            <w:r>
              <w:t xml:space="preserve">DK = </w:t>
            </w:r>
            <w:r w:rsidR="00EA494A" w:rsidRPr="000A2AC6">
              <w:t>0</w:t>
            </w:r>
          </w:p>
        </w:tc>
      </w:tr>
      <w:tr w:rsidR="005B2D93" w:rsidRPr="00822FB9" w14:paraId="6692166D" w14:textId="77777777" w:rsidTr="004E4730">
        <w:trPr>
          <w:trHeight w:val="710"/>
        </w:trPr>
        <w:tc>
          <w:tcPr>
            <w:cnfStyle w:val="001000000000" w:firstRow="0" w:lastRow="0" w:firstColumn="1" w:lastColumn="0" w:oddVBand="0" w:evenVBand="0" w:oddHBand="0" w:evenHBand="0" w:firstRowFirstColumn="0" w:firstRowLastColumn="0" w:lastRowFirstColumn="0" w:lastRowLastColumn="0"/>
            <w:tcW w:w="5382" w:type="dxa"/>
          </w:tcPr>
          <w:p w14:paraId="532E0138" w14:textId="45FF4DB9" w:rsidR="005B2D93" w:rsidRPr="00BC1A34" w:rsidRDefault="005B2D93" w:rsidP="005B2D93">
            <w:r w:rsidRPr="00BC1A34">
              <w:t xml:space="preserve">SPC </w:t>
            </w:r>
            <w:r>
              <w:t>FAME</w:t>
            </w:r>
          </w:p>
          <w:p w14:paraId="26F1A7D9" w14:textId="77777777" w:rsidR="005B2D93" w:rsidRPr="00BC1A34" w:rsidRDefault="005B2D93" w:rsidP="005B2D93">
            <w:pPr>
              <w:pStyle w:val="ListParagraph"/>
              <w:numPr>
                <w:ilvl w:val="0"/>
                <w:numId w:val="30"/>
              </w:numPr>
              <w:rPr>
                <w:b w:val="0"/>
                <w:bCs w:val="0"/>
              </w:rPr>
            </w:pPr>
            <w:r w:rsidRPr="00BC1A34">
              <w:rPr>
                <w:b w:val="0"/>
                <w:bCs w:val="0"/>
              </w:rPr>
              <w:t>Ongoing program funding to SPC’s Fisheries, Aquaculture and Marine Ecosystems Division</w:t>
            </w:r>
          </w:p>
        </w:tc>
        <w:tc>
          <w:tcPr>
            <w:tcW w:w="1134" w:type="dxa"/>
          </w:tcPr>
          <w:p w14:paraId="1FC0F5E4" w14:textId="13895BEF" w:rsidR="005B2D93" w:rsidRPr="00B46CA9" w:rsidRDefault="005B2D93" w:rsidP="005B2D93">
            <w:pPr>
              <w:cnfStyle w:val="000000000000" w:firstRow="0" w:lastRow="0" w:firstColumn="0" w:lastColumn="0" w:oddVBand="0" w:evenVBand="0" w:oddHBand="0" w:evenHBand="0" w:firstRowFirstColumn="0" w:firstRowLastColumn="0" w:lastRowFirstColumn="0" w:lastRowLastColumn="0"/>
            </w:pPr>
            <w:r>
              <w:t xml:space="preserve">Y = </w:t>
            </w:r>
            <w:r w:rsidRPr="000A2AC6">
              <w:t>1</w:t>
            </w:r>
          </w:p>
        </w:tc>
        <w:tc>
          <w:tcPr>
            <w:tcW w:w="1276" w:type="dxa"/>
          </w:tcPr>
          <w:p w14:paraId="48A5FF4C" w14:textId="5762AB17" w:rsidR="005B2D93" w:rsidRPr="00B46CA9" w:rsidRDefault="005B2D93" w:rsidP="005B2D93">
            <w:pPr>
              <w:cnfStyle w:val="000000000000" w:firstRow="0" w:lastRow="0" w:firstColumn="0" w:lastColumn="0" w:oddVBand="0" w:evenVBand="0" w:oddHBand="0" w:evenHBand="0" w:firstRowFirstColumn="0" w:firstRowLastColumn="0" w:lastRowFirstColumn="0" w:lastRowLastColumn="0"/>
            </w:pPr>
            <w:r>
              <w:t xml:space="preserve">N = </w:t>
            </w:r>
            <w:r w:rsidRPr="000A2AC6">
              <w:t>2</w:t>
            </w:r>
          </w:p>
        </w:tc>
        <w:tc>
          <w:tcPr>
            <w:tcW w:w="1232" w:type="dxa"/>
          </w:tcPr>
          <w:p w14:paraId="233FEDCA" w14:textId="65750988" w:rsidR="005B2D93" w:rsidRPr="00B46CA9" w:rsidRDefault="005B2D93" w:rsidP="005B2D93">
            <w:pPr>
              <w:cnfStyle w:val="000000000000" w:firstRow="0" w:lastRow="0" w:firstColumn="0" w:lastColumn="0" w:oddVBand="0" w:evenVBand="0" w:oddHBand="0" w:evenHBand="0" w:firstRowFirstColumn="0" w:firstRowLastColumn="0" w:lastRowFirstColumn="0" w:lastRowLastColumn="0"/>
            </w:pPr>
            <w:r>
              <w:t xml:space="preserve">DK = </w:t>
            </w:r>
            <w:r w:rsidRPr="000A2AC6">
              <w:t>0</w:t>
            </w:r>
          </w:p>
        </w:tc>
      </w:tr>
      <w:tr w:rsidR="005B2D93" w:rsidRPr="00822FB9" w14:paraId="49D75027" w14:textId="77777777" w:rsidTr="004E4730">
        <w:trPr>
          <w:trHeight w:val="1277"/>
        </w:trPr>
        <w:tc>
          <w:tcPr>
            <w:cnfStyle w:val="001000000000" w:firstRow="0" w:lastRow="0" w:firstColumn="1" w:lastColumn="0" w:oddVBand="0" w:evenVBand="0" w:oddHBand="0" w:evenHBand="0" w:firstRowFirstColumn="0" w:firstRowLastColumn="0" w:lastRowFirstColumn="0" w:lastRowLastColumn="0"/>
            <w:tcW w:w="5382" w:type="dxa"/>
          </w:tcPr>
          <w:p w14:paraId="0D734EB5" w14:textId="77777777" w:rsidR="005B2D93" w:rsidRPr="00BC1A34" w:rsidRDefault="005B2D93" w:rsidP="005B2D93">
            <w:r w:rsidRPr="00BC1A34">
              <w:t>Addressing Illegal, Unreported and Unregulated Fishing</w:t>
            </w:r>
          </w:p>
          <w:p w14:paraId="1B9F39F1" w14:textId="77777777" w:rsidR="005B2D93" w:rsidRPr="00BC1A34" w:rsidRDefault="005B2D93" w:rsidP="005B2D93">
            <w:pPr>
              <w:rPr>
                <w:b w:val="0"/>
                <w:bCs w:val="0"/>
              </w:rPr>
            </w:pPr>
            <w:r w:rsidRPr="00BC1A34">
              <w:rPr>
                <w:b w:val="0"/>
                <w:bCs w:val="0"/>
              </w:rPr>
              <w:t>DFAT funds the Australian Fisheries Management Authority to build national enforcement capacity (including boarding and inspection training) and encourage information sharing through the NTSA (2017-2025)</w:t>
            </w:r>
          </w:p>
        </w:tc>
        <w:tc>
          <w:tcPr>
            <w:tcW w:w="1134" w:type="dxa"/>
          </w:tcPr>
          <w:p w14:paraId="467E9144" w14:textId="17139818" w:rsidR="005B2D93" w:rsidRPr="000A2AC6" w:rsidRDefault="005B2D93" w:rsidP="005B2D93">
            <w:pPr>
              <w:cnfStyle w:val="000000000000" w:firstRow="0" w:lastRow="0" w:firstColumn="0" w:lastColumn="0" w:oddVBand="0" w:evenVBand="0" w:oddHBand="0" w:evenHBand="0" w:firstRowFirstColumn="0" w:firstRowLastColumn="0" w:lastRowFirstColumn="0" w:lastRowLastColumn="0"/>
            </w:pPr>
            <w:r>
              <w:t xml:space="preserve">Y = </w:t>
            </w:r>
            <w:r w:rsidRPr="000A2AC6">
              <w:t>1</w:t>
            </w:r>
          </w:p>
        </w:tc>
        <w:tc>
          <w:tcPr>
            <w:tcW w:w="1276" w:type="dxa"/>
          </w:tcPr>
          <w:p w14:paraId="0097B8D2" w14:textId="5D3D91A8" w:rsidR="005B2D93" w:rsidRPr="000A2AC6" w:rsidRDefault="005B2D93" w:rsidP="005B2D93">
            <w:pPr>
              <w:cnfStyle w:val="000000000000" w:firstRow="0" w:lastRow="0" w:firstColumn="0" w:lastColumn="0" w:oddVBand="0" w:evenVBand="0" w:oddHBand="0" w:evenHBand="0" w:firstRowFirstColumn="0" w:firstRowLastColumn="0" w:lastRowFirstColumn="0" w:lastRowLastColumn="0"/>
            </w:pPr>
            <w:r>
              <w:t xml:space="preserve">N = </w:t>
            </w:r>
            <w:r w:rsidRPr="000A2AC6">
              <w:t>2</w:t>
            </w:r>
          </w:p>
        </w:tc>
        <w:tc>
          <w:tcPr>
            <w:tcW w:w="1232" w:type="dxa"/>
          </w:tcPr>
          <w:p w14:paraId="5799FEF8" w14:textId="770C6F3F" w:rsidR="005B2D93" w:rsidRPr="000A2AC6" w:rsidRDefault="005B2D93" w:rsidP="005B2D93">
            <w:pPr>
              <w:cnfStyle w:val="000000000000" w:firstRow="0" w:lastRow="0" w:firstColumn="0" w:lastColumn="0" w:oddVBand="0" w:evenVBand="0" w:oddHBand="0" w:evenHBand="0" w:firstRowFirstColumn="0" w:firstRowLastColumn="0" w:lastRowFirstColumn="0" w:lastRowLastColumn="0"/>
            </w:pPr>
            <w:r>
              <w:t xml:space="preserve">DK = </w:t>
            </w:r>
            <w:r w:rsidRPr="000A2AC6">
              <w:t>0</w:t>
            </w:r>
          </w:p>
        </w:tc>
      </w:tr>
      <w:tr w:rsidR="005B2D93" w:rsidRPr="00822FB9" w14:paraId="57EEBA17" w14:textId="77777777" w:rsidTr="004E4730">
        <w:trPr>
          <w:trHeight w:val="1218"/>
        </w:trPr>
        <w:tc>
          <w:tcPr>
            <w:cnfStyle w:val="001000000000" w:firstRow="0" w:lastRow="0" w:firstColumn="1" w:lastColumn="0" w:oddVBand="0" w:evenVBand="0" w:oddHBand="0" w:evenHBand="0" w:firstRowFirstColumn="0" w:firstRowLastColumn="0" w:lastRowFirstColumn="0" w:lastRowLastColumn="0"/>
            <w:tcW w:w="5382" w:type="dxa"/>
          </w:tcPr>
          <w:p w14:paraId="642AC839" w14:textId="77777777" w:rsidR="005B2D93" w:rsidRPr="00BC1A34" w:rsidRDefault="005B2D93" w:rsidP="005B2D93">
            <w:r w:rsidRPr="00BC1A34">
              <w:t>Community-Based Fisheries Management (CBFM)</w:t>
            </w:r>
          </w:p>
          <w:p w14:paraId="58502DAA" w14:textId="77777777" w:rsidR="005B2D93" w:rsidRPr="00BC1A34" w:rsidRDefault="005B2D93" w:rsidP="005B2D93">
            <w:pPr>
              <w:rPr>
                <w:b w:val="0"/>
                <w:bCs w:val="0"/>
                <w:lang w:val="en-GB"/>
              </w:rPr>
            </w:pPr>
            <w:r w:rsidRPr="00BC1A34">
              <w:rPr>
                <w:b w:val="0"/>
                <w:bCs w:val="0"/>
                <w:lang w:val="en-GB"/>
              </w:rPr>
              <w:t>Supports sustainable national and sub-national community-based fisheries management and enhanced food security, nutrition and diversified livelihoods for the people of Kiribati, Solomon Islands and Vanuatu (since 2012)</w:t>
            </w:r>
          </w:p>
        </w:tc>
        <w:tc>
          <w:tcPr>
            <w:tcW w:w="1134" w:type="dxa"/>
          </w:tcPr>
          <w:p w14:paraId="16F4AF5F" w14:textId="15341329" w:rsidR="005B2D93" w:rsidRPr="00496BA4" w:rsidRDefault="005B2D93" w:rsidP="005B2D93">
            <w:pPr>
              <w:cnfStyle w:val="000000000000" w:firstRow="0" w:lastRow="0" w:firstColumn="0" w:lastColumn="0" w:oddVBand="0" w:evenVBand="0" w:oddHBand="0" w:evenHBand="0" w:firstRowFirstColumn="0" w:firstRowLastColumn="0" w:lastRowFirstColumn="0" w:lastRowLastColumn="0"/>
            </w:pPr>
            <w:r>
              <w:t xml:space="preserve">Y = </w:t>
            </w:r>
            <w:r w:rsidRPr="000A2AC6">
              <w:t>1</w:t>
            </w:r>
          </w:p>
        </w:tc>
        <w:tc>
          <w:tcPr>
            <w:tcW w:w="1276" w:type="dxa"/>
          </w:tcPr>
          <w:p w14:paraId="43F89678" w14:textId="01CAF2BD" w:rsidR="005B2D93" w:rsidRPr="00496BA4" w:rsidRDefault="005B2D93" w:rsidP="005B2D93">
            <w:pPr>
              <w:cnfStyle w:val="000000000000" w:firstRow="0" w:lastRow="0" w:firstColumn="0" w:lastColumn="0" w:oddVBand="0" w:evenVBand="0" w:oddHBand="0" w:evenHBand="0" w:firstRowFirstColumn="0" w:firstRowLastColumn="0" w:lastRowFirstColumn="0" w:lastRowLastColumn="0"/>
            </w:pPr>
            <w:r>
              <w:t xml:space="preserve">N = </w:t>
            </w:r>
            <w:r w:rsidRPr="000A2AC6">
              <w:t>2</w:t>
            </w:r>
          </w:p>
        </w:tc>
        <w:tc>
          <w:tcPr>
            <w:tcW w:w="1232" w:type="dxa"/>
          </w:tcPr>
          <w:p w14:paraId="32B153F5" w14:textId="5C776E06" w:rsidR="005B2D93" w:rsidRPr="00496BA4" w:rsidRDefault="005B2D93" w:rsidP="005B2D93">
            <w:pPr>
              <w:cnfStyle w:val="000000000000" w:firstRow="0" w:lastRow="0" w:firstColumn="0" w:lastColumn="0" w:oddVBand="0" w:evenVBand="0" w:oddHBand="0" w:evenHBand="0" w:firstRowFirstColumn="0" w:firstRowLastColumn="0" w:lastRowFirstColumn="0" w:lastRowLastColumn="0"/>
            </w:pPr>
            <w:r>
              <w:t xml:space="preserve">DK = </w:t>
            </w:r>
            <w:r w:rsidRPr="000A2AC6">
              <w:t>0</w:t>
            </w:r>
          </w:p>
        </w:tc>
      </w:tr>
      <w:tr w:rsidR="005B2D93" w:rsidRPr="00822FB9" w14:paraId="38BBBB11" w14:textId="77777777" w:rsidTr="004E4730">
        <w:trPr>
          <w:trHeight w:val="1189"/>
        </w:trPr>
        <w:tc>
          <w:tcPr>
            <w:cnfStyle w:val="001000000000" w:firstRow="0" w:lastRow="0" w:firstColumn="1" w:lastColumn="0" w:oddVBand="0" w:evenVBand="0" w:oddHBand="0" w:evenHBand="0" w:firstRowFirstColumn="0" w:firstRowLastColumn="0" w:lastRowFirstColumn="0" w:lastRowLastColumn="0"/>
            <w:tcW w:w="5382" w:type="dxa"/>
          </w:tcPr>
          <w:p w14:paraId="7C65E742" w14:textId="77777777" w:rsidR="005B2D93" w:rsidRPr="00BC1A34" w:rsidRDefault="005B2D93" w:rsidP="005B2D93">
            <w:r w:rsidRPr="00BC1A34">
              <w:t>Pacific Maritime Boundaries</w:t>
            </w:r>
          </w:p>
          <w:p w14:paraId="6C65C62F" w14:textId="77777777" w:rsidR="005B2D93" w:rsidRPr="00BC1A34" w:rsidRDefault="005B2D93" w:rsidP="005B2D93">
            <w:pPr>
              <w:rPr>
                <w:b w:val="0"/>
                <w:bCs w:val="0"/>
                <w:lang w:val="en-GB"/>
              </w:rPr>
            </w:pPr>
            <w:r w:rsidRPr="00BC1A34">
              <w:rPr>
                <w:b w:val="0"/>
                <w:bCs w:val="0"/>
                <w:lang w:val="en-GB"/>
              </w:rPr>
              <w:t>Over the last three decades, DFAT has supported Pacific Island countries to establish and secure their maritime boundaries and zones with SPC GEM, Geoscience Australia (technical support) and Attorney-General’s Department (legal support)</w:t>
            </w:r>
          </w:p>
        </w:tc>
        <w:tc>
          <w:tcPr>
            <w:tcW w:w="1134" w:type="dxa"/>
          </w:tcPr>
          <w:p w14:paraId="1770F8FB" w14:textId="107E216F" w:rsidR="005B2D93" w:rsidRPr="00496BA4" w:rsidRDefault="005B2D93" w:rsidP="005B2D93">
            <w:pPr>
              <w:cnfStyle w:val="000000000000" w:firstRow="0" w:lastRow="0" w:firstColumn="0" w:lastColumn="0" w:oddVBand="0" w:evenVBand="0" w:oddHBand="0" w:evenHBand="0" w:firstRowFirstColumn="0" w:firstRowLastColumn="0" w:lastRowFirstColumn="0" w:lastRowLastColumn="0"/>
            </w:pPr>
            <w:r>
              <w:t xml:space="preserve">Y = </w:t>
            </w:r>
            <w:r w:rsidRPr="000A2AC6">
              <w:t>1</w:t>
            </w:r>
          </w:p>
        </w:tc>
        <w:tc>
          <w:tcPr>
            <w:tcW w:w="1276" w:type="dxa"/>
          </w:tcPr>
          <w:p w14:paraId="640C6B0E" w14:textId="02C77244" w:rsidR="005B2D93" w:rsidRPr="00496BA4" w:rsidRDefault="005B2D93" w:rsidP="005B2D93">
            <w:pPr>
              <w:cnfStyle w:val="000000000000" w:firstRow="0" w:lastRow="0" w:firstColumn="0" w:lastColumn="0" w:oddVBand="0" w:evenVBand="0" w:oddHBand="0" w:evenHBand="0" w:firstRowFirstColumn="0" w:firstRowLastColumn="0" w:lastRowFirstColumn="0" w:lastRowLastColumn="0"/>
            </w:pPr>
            <w:r>
              <w:t xml:space="preserve">N = </w:t>
            </w:r>
            <w:r w:rsidRPr="000A2AC6">
              <w:t>2</w:t>
            </w:r>
          </w:p>
        </w:tc>
        <w:tc>
          <w:tcPr>
            <w:tcW w:w="1232" w:type="dxa"/>
          </w:tcPr>
          <w:p w14:paraId="4B73E8ED" w14:textId="531916BB" w:rsidR="005B2D93" w:rsidRPr="00496BA4" w:rsidRDefault="005B2D93" w:rsidP="005B2D93">
            <w:pPr>
              <w:cnfStyle w:val="000000000000" w:firstRow="0" w:lastRow="0" w:firstColumn="0" w:lastColumn="0" w:oddVBand="0" w:evenVBand="0" w:oddHBand="0" w:evenHBand="0" w:firstRowFirstColumn="0" w:firstRowLastColumn="0" w:lastRowFirstColumn="0" w:lastRowLastColumn="0"/>
            </w:pPr>
            <w:r>
              <w:t xml:space="preserve">DK = </w:t>
            </w:r>
            <w:r w:rsidRPr="000A2AC6">
              <w:t>0</w:t>
            </w:r>
          </w:p>
        </w:tc>
      </w:tr>
      <w:tr w:rsidR="005B2D93" w:rsidRPr="00822FB9" w14:paraId="3784E83E" w14:textId="77777777" w:rsidTr="004E4730">
        <w:trPr>
          <w:trHeight w:val="810"/>
        </w:trPr>
        <w:tc>
          <w:tcPr>
            <w:cnfStyle w:val="001000000000" w:firstRow="0" w:lastRow="0" w:firstColumn="1" w:lastColumn="0" w:oddVBand="0" w:evenVBand="0" w:oddHBand="0" w:evenHBand="0" w:firstRowFirstColumn="0" w:firstRowLastColumn="0" w:lastRowFirstColumn="0" w:lastRowLastColumn="0"/>
            <w:tcW w:w="5382" w:type="dxa"/>
          </w:tcPr>
          <w:p w14:paraId="15045564" w14:textId="77777777" w:rsidR="005B2D93" w:rsidRPr="00BC1A34" w:rsidRDefault="005B2D93" w:rsidP="005B2D93">
            <w:r w:rsidRPr="00BC1A34">
              <w:t>Resilient Boundaries for the Blue Pacific</w:t>
            </w:r>
          </w:p>
          <w:p w14:paraId="624CAB7A" w14:textId="77777777" w:rsidR="005B2D93" w:rsidRPr="00BC1A34" w:rsidRDefault="005B2D93" w:rsidP="005B2D93">
            <w:pPr>
              <w:rPr>
                <w:b w:val="0"/>
                <w:bCs w:val="0"/>
              </w:rPr>
            </w:pPr>
            <w:r w:rsidRPr="00BC1A34">
              <w:rPr>
                <w:b w:val="0"/>
                <w:bCs w:val="0"/>
              </w:rPr>
              <w:t>DFAT funded project with SPC GEM to examine the effects of sea level rise and other climate change impacts on the physical features used to generate maritime zones and develop Pacific-led responses (2019-2024)</w:t>
            </w:r>
          </w:p>
        </w:tc>
        <w:tc>
          <w:tcPr>
            <w:tcW w:w="1134" w:type="dxa"/>
          </w:tcPr>
          <w:p w14:paraId="325B5278" w14:textId="2FAA6106" w:rsidR="005B2D93" w:rsidRPr="00496BA4" w:rsidRDefault="005B2D93" w:rsidP="005B2D93">
            <w:pPr>
              <w:cnfStyle w:val="000000000000" w:firstRow="0" w:lastRow="0" w:firstColumn="0" w:lastColumn="0" w:oddVBand="0" w:evenVBand="0" w:oddHBand="0" w:evenHBand="0" w:firstRowFirstColumn="0" w:firstRowLastColumn="0" w:lastRowFirstColumn="0" w:lastRowLastColumn="0"/>
            </w:pPr>
            <w:r>
              <w:t xml:space="preserve">Y = </w:t>
            </w:r>
            <w:r w:rsidRPr="000A2AC6">
              <w:t>1</w:t>
            </w:r>
          </w:p>
        </w:tc>
        <w:tc>
          <w:tcPr>
            <w:tcW w:w="1276" w:type="dxa"/>
          </w:tcPr>
          <w:p w14:paraId="747795B0" w14:textId="0E402261" w:rsidR="005B2D93" w:rsidRPr="00496BA4" w:rsidRDefault="005B2D93" w:rsidP="005B2D93">
            <w:pPr>
              <w:cnfStyle w:val="000000000000" w:firstRow="0" w:lastRow="0" w:firstColumn="0" w:lastColumn="0" w:oddVBand="0" w:evenVBand="0" w:oddHBand="0" w:evenHBand="0" w:firstRowFirstColumn="0" w:firstRowLastColumn="0" w:lastRowFirstColumn="0" w:lastRowLastColumn="0"/>
            </w:pPr>
            <w:r>
              <w:t xml:space="preserve">N = </w:t>
            </w:r>
            <w:r w:rsidRPr="000A2AC6">
              <w:t>2</w:t>
            </w:r>
          </w:p>
        </w:tc>
        <w:tc>
          <w:tcPr>
            <w:tcW w:w="1232" w:type="dxa"/>
          </w:tcPr>
          <w:p w14:paraId="2AB687CF" w14:textId="6985F854" w:rsidR="005B2D93" w:rsidRPr="00496BA4" w:rsidRDefault="005B2D93" w:rsidP="005B2D93">
            <w:pPr>
              <w:cnfStyle w:val="000000000000" w:firstRow="0" w:lastRow="0" w:firstColumn="0" w:lastColumn="0" w:oddVBand="0" w:evenVBand="0" w:oddHBand="0" w:evenHBand="0" w:firstRowFirstColumn="0" w:firstRowLastColumn="0" w:lastRowFirstColumn="0" w:lastRowLastColumn="0"/>
            </w:pPr>
            <w:r>
              <w:t xml:space="preserve">DK = </w:t>
            </w:r>
            <w:r w:rsidRPr="000A2AC6">
              <w:t>0</w:t>
            </w:r>
          </w:p>
        </w:tc>
      </w:tr>
    </w:tbl>
    <w:p w14:paraId="00CE566A" w14:textId="77777777" w:rsidR="00BC1A34" w:rsidRDefault="00BC1A34" w:rsidP="00BC1A34">
      <w:pPr>
        <w:rPr>
          <w:rFonts w:eastAsia="Calibri"/>
        </w:rPr>
      </w:pPr>
    </w:p>
    <w:p w14:paraId="06D5C35A" w14:textId="77777777" w:rsidR="00EA494A" w:rsidRDefault="00EA494A" w:rsidP="00821BD8">
      <w:pPr>
        <w:pStyle w:val="ListParagraph"/>
        <w:numPr>
          <w:ilvl w:val="0"/>
          <w:numId w:val="23"/>
        </w:numPr>
      </w:pPr>
      <w:r>
        <w:t>Rate the support that Australia has provided to fisheries in the Pacific since 2010 with respect to the following statements, only providing responses for activities that you are familiar with:</w:t>
      </w:r>
    </w:p>
    <w:p w14:paraId="51B418EE" w14:textId="77777777" w:rsidR="00EA494A" w:rsidRDefault="00EA494A" w:rsidP="00BC1A34"/>
    <w:tbl>
      <w:tblPr>
        <w:tblStyle w:val="GridTable1Light-Accent1"/>
        <w:tblW w:w="0" w:type="auto"/>
        <w:tblLayout w:type="fixed"/>
        <w:tblLook w:val="04A0" w:firstRow="1" w:lastRow="0" w:firstColumn="1" w:lastColumn="0" w:noHBand="0" w:noVBand="1"/>
      </w:tblPr>
      <w:tblGrid>
        <w:gridCol w:w="2830"/>
        <w:gridCol w:w="1102"/>
        <w:gridCol w:w="1103"/>
        <w:gridCol w:w="1103"/>
        <w:gridCol w:w="1103"/>
        <w:gridCol w:w="1103"/>
        <w:gridCol w:w="666"/>
      </w:tblGrid>
      <w:tr w:rsidR="00EA494A" w:rsidRPr="00B05CE8" w14:paraId="04541EDA" w14:textId="77777777" w:rsidTr="004E4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2E74B5" w:themeFill="accent5" w:themeFillShade="BF"/>
          </w:tcPr>
          <w:p w14:paraId="052D4183" w14:textId="77777777" w:rsidR="00EA494A" w:rsidRPr="00BC1A34" w:rsidRDefault="00EA494A" w:rsidP="00BC1A34">
            <w:pPr>
              <w:rPr>
                <w:color w:val="FFFFFF" w:themeColor="background1"/>
              </w:rPr>
            </w:pPr>
          </w:p>
        </w:tc>
        <w:tc>
          <w:tcPr>
            <w:tcW w:w="1102" w:type="dxa"/>
            <w:shd w:val="clear" w:color="auto" w:fill="2E74B5" w:themeFill="accent5" w:themeFillShade="BF"/>
          </w:tcPr>
          <w:p w14:paraId="3436EEB2" w14:textId="77777777" w:rsidR="00EA494A" w:rsidRPr="00BC1A34" w:rsidRDefault="00EA494A" w:rsidP="00BC1A3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C1A34">
              <w:rPr>
                <w:color w:val="FFFFFF" w:themeColor="background1"/>
              </w:rPr>
              <w:t>Strongly disagree</w:t>
            </w:r>
          </w:p>
        </w:tc>
        <w:tc>
          <w:tcPr>
            <w:tcW w:w="1103" w:type="dxa"/>
            <w:shd w:val="clear" w:color="auto" w:fill="2E74B5" w:themeFill="accent5" w:themeFillShade="BF"/>
          </w:tcPr>
          <w:p w14:paraId="3A6FEDAB" w14:textId="77777777" w:rsidR="00EA494A" w:rsidRPr="00BC1A34" w:rsidRDefault="00EA494A" w:rsidP="00BC1A3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C1A34">
              <w:rPr>
                <w:color w:val="FFFFFF" w:themeColor="background1"/>
              </w:rPr>
              <w:t>Disagree</w:t>
            </w:r>
          </w:p>
        </w:tc>
        <w:tc>
          <w:tcPr>
            <w:tcW w:w="1103" w:type="dxa"/>
            <w:shd w:val="clear" w:color="auto" w:fill="2E74B5" w:themeFill="accent5" w:themeFillShade="BF"/>
          </w:tcPr>
          <w:p w14:paraId="72FD8C24" w14:textId="77777777" w:rsidR="00EA494A" w:rsidRPr="00BC1A34" w:rsidRDefault="00EA494A" w:rsidP="00BC1A3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C1A34">
              <w:rPr>
                <w:color w:val="FFFFFF" w:themeColor="background1"/>
              </w:rPr>
              <w:t>Neutral</w:t>
            </w:r>
          </w:p>
        </w:tc>
        <w:tc>
          <w:tcPr>
            <w:tcW w:w="1103" w:type="dxa"/>
            <w:shd w:val="clear" w:color="auto" w:fill="2E74B5" w:themeFill="accent5" w:themeFillShade="BF"/>
          </w:tcPr>
          <w:p w14:paraId="03F624D0" w14:textId="77777777" w:rsidR="00EA494A" w:rsidRPr="00BC1A34" w:rsidRDefault="00EA494A" w:rsidP="00BC1A3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C1A34">
              <w:rPr>
                <w:color w:val="FFFFFF" w:themeColor="background1"/>
              </w:rPr>
              <w:t>Agree</w:t>
            </w:r>
          </w:p>
        </w:tc>
        <w:tc>
          <w:tcPr>
            <w:tcW w:w="1103" w:type="dxa"/>
            <w:shd w:val="clear" w:color="auto" w:fill="2E74B5" w:themeFill="accent5" w:themeFillShade="BF"/>
          </w:tcPr>
          <w:p w14:paraId="14EEEA0D" w14:textId="77777777" w:rsidR="00EA494A" w:rsidRPr="00BC1A34" w:rsidRDefault="00EA494A" w:rsidP="00BC1A3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C1A34">
              <w:rPr>
                <w:color w:val="FFFFFF" w:themeColor="background1"/>
              </w:rPr>
              <w:t>Strongly agree</w:t>
            </w:r>
          </w:p>
        </w:tc>
        <w:tc>
          <w:tcPr>
            <w:tcW w:w="666" w:type="dxa"/>
            <w:shd w:val="clear" w:color="auto" w:fill="2E74B5" w:themeFill="accent5" w:themeFillShade="BF"/>
          </w:tcPr>
          <w:p w14:paraId="2C95A7D3" w14:textId="77777777" w:rsidR="00EA494A" w:rsidRPr="00BC1A34" w:rsidRDefault="00EA494A" w:rsidP="00BC1A34">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BC1A34">
              <w:rPr>
                <w:color w:val="FFFFFF" w:themeColor="background1"/>
              </w:rPr>
              <w:t>N/A</w:t>
            </w:r>
          </w:p>
        </w:tc>
      </w:tr>
      <w:tr w:rsidR="00EA494A" w:rsidRPr="00B53C9E" w14:paraId="5735BF5A" w14:textId="77777777" w:rsidTr="004E4730">
        <w:tc>
          <w:tcPr>
            <w:cnfStyle w:val="001000000000" w:firstRow="0" w:lastRow="0" w:firstColumn="1" w:lastColumn="0" w:oddVBand="0" w:evenVBand="0" w:oddHBand="0" w:evenHBand="0" w:firstRowFirstColumn="0" w:firstRowLastColumn="0" w:lastRowFirstColumn="0" w:lastRowLastColumn="0"/>
            <w:tcW w:w="2830" w:type="dxa"/>
          </w:tcPr>
          <w:p w14:paraId="2A303277" w14:textId="62B99C3A" w:rsidR="00EA494A" w:rsidRPr="00BC1A34" w:rsidRDefault="00EA494A" w:rsidP="00BC1A34">
            <w:pPr>
              <w:rPr>
                <w:b w:val="0"/>
                <w:bCs w:val="0"/>
              </w:rPr>
            </w:pPr>
            <w:r w:rsidRPr="00BC1A34">
              <w:rPr>
                <w:b w:val="0"/>
                <w:bCs w:val="0"/>
              </w:rPr>
              <w:t>DFAT’s funding has helped regional fisheries organisations (e.g. FFA, SPC-</w:t>
            </w:r>
            <w:r w:rsidR="006B5558">
              <w:rPr>
                <w:b w:val="0"/>
                <w:bCs w:val="0"/>
              </w:rPr>
              <w:t>FAME</w:t>
            </w:r>
            <w:r w:rsidRPr="00BC1A34">
              <w:rPr>
                <w:b w:val="0"/>
                <w:bCs w:val="0"/>
              </w:rPr>
              <w:t>) support members to develop and manage their fisheries</w:t>
            </w:r>
          </w:p>
        </w:tc>
        <w:tc>
          <w:tcPr>
            <w:tcW w:w="1102" w:type="dxa"/>
          </w:tcPr>
          <w:p w14:paraId="160CCB96"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1</w:t>
            </w:r>
          </w:p>
        </w:tc>
        <w:tc>
          <w:tcPr>
            <w:tcW w:w="1103" w:type="dxa"/>
          </w:tcPr>
          <w:p w14:paraId="03EAF07E"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2</w:t>
            </w:r>
          </w:p>
        </w:tc>
        <w:tc>
          <w:tcPr>
            <w:tcW w:w="1103" w:type="dxa"/>
          </w:tcPr>
          <w:p w14:paraId="6718D1AF"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3</w:t>
            </w:r>
          </w:p>
        </w:tc>
        <w:tc>
          <w:tcPr>
            <w:tcW w:w="1103" w:type="dxa"/>
          </w:tcPr>
          <w:p w14:paraId="3E312474"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4</w:t>
            </w:r>
          </w:p>
        </w:tc>
        <w:tc>
          <w:tcPr>
            <w:tcW w:w="1103" w:type="dxa"/>
          </w:tcPr>
          <w:p w14:paraId="7E5055F8"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5</w:t>
            </w:r>
          </w:p>
        </w:tc>
        <w:tc>
          <w:tcPr>
            <w:tcW w:w="666" w:type="dxa"/>
          </w:tcPr>
          <w:p w14:paraId="6AFF1782" w14:textId="77777777" w:rsidR="00EA494A" w:rsidRDefault="00EA494A" w:rsidP="00BC1A34">
            <w:pPr>
              <w:cnfStyle w:val="000000000000" w:firstRow="0" w:lastRow="0" w:firstColumn="0" w:lastColumn="0" w:oddVBand="0" w:evenVBand="0" w:oddHBand="0" w:evenHBand="0" w:firstRowFirstColumn="0" w:firstRowLastColumn="0" w:lastRowFirstColumn="0" w:lastRowLastColumn="0"/>
            </w:pPr>
            <w:r>
              <w:t>N/A</w:t>
            </w:r>
          </w:p>
        </w:tc>
      </w:tr>
      <w:tr w:rsidR="00EA494A" w:rsidRPr="00B53C9E" w14:paraId="0D5CA2CD" w14:textId="77777777" w:rsidTr="004E4730">
        <w:tc>
          <w:tcPr>
            <w:cnfStyle w:val="001000000000" w:firstRow="0" w:lastRow="0" w:firstColumn="1" w:lastColumn="0" w:oddVBand="0" w:evenVBand="0" w:oddHBand="0" w:evenHBand="0" w:firstRowFirstColumn="0" w:firstRowLastColumn="0" w:lastRowFirstColumn="0" w:lastRowLastColumn="0"/>
            <w:tcW w:w="2830" w:type="dxa"/>
          </w:tcPr>
          <w:p w14:paraId="43FAB38A" w14:textId="77777777" w:rsidR="00EA494A" w:rsidRPr="00BC1A34" w:rsidRDefault="00EA494A" w:rsidP="00BC1A34">
            <w:pPr>
              <w:rPr>
                <w:b w:val="0"/>
                <w:bCs w:val="0"/>
              </w:rPr>
            </w:pPr>
            <w:r w:rsidRPr="00BC1A34">
              <w:rPr>
                <w:b w:val="0"/>
                <w:bCs w:val="0"/>
              </w:rPr>
              <w:t>DFAT’s funding has contributed to strengthening regional cooperation on IUU fishing in the region</w:t>
            </w:r>
          </w:p>
        </w:tc>
        <w:tc>
          <w:tcPr>
            <w:tcW w:w="1102" w:type="dxa"/>
          </w:tcPr>
          <w:p w14:paraId="03C698CB"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1</w:t>
            </w:r>
          </w:p>
        </w:tc>
        <w:tc>
          <w:tcPr>
            <w:tcW w:w="1103" w:type="dxa"/>
          </w:tcPr>
          <w:p w14:paraId="74E0472F"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2</w:t>
            </w:r>
          </w:p>
        </w:tc>
        <w:tc>
          <w:tcPr>
            <w:tcW w:w="1103" w:type="dxa"/>
          </w:tcPr>
          <w:p w14:paraId="5B17D30E"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3</w:t>
            </w:r>
          </w:p>
        </w:tc>
        <w:tc>
          <w:tcPr>
            <w:tcW w:w="1103" w:type="dxa"/>
          </w:tcPr>
          <w:p w14:paraId="3C089907"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4</w:t>
            </w:r>
          </w:p>
        </w:tc>
        <w:tc>
          <w:tcPr>
            <w:tcW w:w="1103" w:type="dxa"/>
          </w:tcPr>
          <w:p w14:paraId="30E36C53"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5</w:t>
            </w:r>
          </w:p>
        </w:tc>
        <w:tc>
          <w:tcPr>
            <w:tcW w:w="666" w:type="dxa"/>
          </w:tcPr>
          <w:p w14:paraId="1FBF6A45" w14:textId="77777777" w:rsidR="00EA494A" w:rsidRDefault="00EA494A" w:rsidP="00BC1A34">
            <w:pPr>
              <w:cnfStyle w:val="000000000000" w:firstRow="0" w:lastRow="0" w:firstColumn="0" w:lastColumn="0" w:oddVBand="0" w:evenVBand="0" w:oddHBand="0" w:evenHBand="0" w:firstRowFirstColumn="0" w:firstRowLastColumn="0" w:lastRowFirstColumn="0" w:lastRowLastColumn="0"/>
            </w:pPr>
            <w:r w:rsidRPr="002049CF">
              <w:t>N/A</w:t>
            </w:r>
          </w:p>
        </w:tc>
      </w:tr>
      <w:tr w:rsidR="00EA494A" w:rsidRPr="00B53C9E" w14:paraId="60EE09CC" w14:textId="77777777" w:rsidTr="004E4730">
        <w:tc>
          <w:tcPr>
            <w:cnfStyle w:val="001000000000" w:firstRow="0" w:lastRow="0" w:firstColumn="1" w:lastColumn="0" w:oddVBand="0" w:evenVBand="0" w:oddHBand="0" w:evenHBand="0" w:firstRowFirstColumn="0" w:firstRowLastColumn="0" w:lastRowFirstColumn="0" w:lastRowLastColumn="0"/>
            <w:tcW w:w="2830" w:type="dxa"/>
          </w:tcPr>
          <w:p w14:paraId="35DE3BC2" w14:textId="77777777" w:rsidR="00EA494A" w:rsidRPr="00BC1A34" w:rsidRDefault="00EA494A" w:rsidP="00BC1A34">
            <w:pPr>
              <w:rPr>
                <w:b w:val="0"/>
                <w:bCs w:val="0"/>
                <w:lang w:val="en-GB"/>
              </w:rPr>
            </w:pPr>
            <w:r w:rsidRPr="00BC1A34">
              <w:rPr>
                <w:b w:val="0"/>
                <w:bCs w:val="0"/>
                <w:lang w:val="en-GB"/>
              </w:rPr>
              <w:t>DFAT’s funding has improved domestic fisheries monitoring, control and surveillance capacity</w:t>
            </w:r>
          </w:p>
        </w:tc>
        <w:tc>
          <w:tcPr>
            <w:tcW w:w="1102" w:type="dxa"/>
          </w:tcPr>
          <w:p w14:paraId="29A75E8A" w14:textId="77777777" w:rsidR="00EA494A" w:rsidRDefault="00EA494A" w:rsidP="00BC1A34">
            <w:pPr>
              <w:cnfStyle w:val="000000000000" w:firstRow="0" w:lastRow="0" w:firstColumn="0" w:lastColumn="0" w:oddVBand="0" w:evenVBand="0" w:oddHBand="0" w:evenHBand="0" w:firstRowFirstColumn="0" w:firstRowLastColumn="0" w:lastRowFirstColumn="0" w:lastRowLastColumn="0"/>
            </w:pPr>
            <w:r>
              <w:t>1</w:t>
            </w:r>
          </w:p>
        </w:tc>
        <w:tc>
          <w:tcPr>
            <w:tcW w:w="1103" w:type="dxa"/>
          </w:tcPr>
          <w:p w14:paraId="14E29E8A" w14:textId="77777777" w:rsidR="00EA494A" w:rsidRDefault="00EA494A" w:rsidP="00BC1A34">
            <w:pPr>
              <w:cnfStyle w:val="000000000000" w:firstRow="0" w:lastRow="0" w:firstColumn="0" w:lastColumn="0" w:oddVBand="0" w:evenVBand="0" w:oddHBand="0" w:evenHBand="0" w:firstRowFirstColumn="0" w:firstRowLastColumn="0" w:lastRowFirstColumn="0" w:lastRowLastColumn="0"/>
            </w:pPr>
            <w:r>
              <w:t>2</w:t>
            </w:r>
          </w:p>
        </w:tc>
        <w:tc>
          <w:tcPr>
            <w:tcW w:w="1103" w:type="dxa"/>
          </w:tcPr>
          <w:p w14:paraId="54E8D5C5" w14:textId="77777777" w:rsidR="00EA494A" w:rsidRDefault="00EA494A" w:rsidP="00BC1A34">
            <w:pPr>
              <w:cnfStyle w:val="000000000000" w:firstRow="0" w:lastRow="0" w:firstColumn="0" w:lastColumn="0" w:oddVBand="0" w:evenVBand="0" w:oddHBand="0" w:evenHBand="0" w:firstRowFirstColumn="0" w:firstRowLastColumn="0" w:lastRowFirstColumn="0" w:lastRowLastColumn="0"/>
            </w:pPr>
            <w:r>
              <w:t>3</w:t>
            </w:r>
          </w:p>
        </w:tc>
        <w:tc>
          <w:tcPr>
            <w:tcW w:w="1103" w:type="dxa"/>
          </w:tcPr>
          <w:p w14:paraId="035DC4E8" w14:textId="77777777" w:rsidR="00EA494A" w:rsidRDefault="00EA494A" w:rsidP="00BC1A34">
            <w:pPr>
              <w:cnfStyle w:val="000000000000" w:firstRow="0" w:lastRow="0" w:firstColumn="0" w:lastColumn="0" w:oddVBand="0" w:evenVBand="0" w:oddHBand="0" w:evenHBand="0" w:firstRowFirstColumn="0" w:firstRowLastColumn="0" w:lastRowFirstColumn="0" w:lastRowLastColumn="0"/>
            </w:pPr>
            <w:r>
              <w:t>4</w:t>
            </w:r>
          </w:p>
        </w:tc>
        <w:tc>
          <w:tcPr>
            <w:tcW w:w="1103" w:type="dxa"/>
          </w:tcPr>
          <w:p w14:paraId="3F579FB2" w14:textId="77777777" w:rsidR="00EA494A" w:rsidRDefault="00EA494A" w:rsidP="00BC1A34">
            <w:pPr>
              <w:cnfStyle w:val="000000000000" w:firstRow="0" w:lastRow="0" w:firstColumn="0" w:lastColumn="0" w:oddVBand="0" w:evenVBand="0" w:oddHBand="0" w:evenHBand="0" w:firstRowFirstColumn="0" w:firstRowLastColumn="0" w:lastRowFirstColumn="0" w:lastRowLastColumn="0"/>
            </w:pPr>
            <w:r>
              <w:t>5</w:t>
            </w:r>
          </w:p>
        </w:tc>
        <w:tc>
          <w:tcPr>
            <w:tcW w:w="666" w:type="dxa"/>
          </w:tcPr>
          <w:p w14:paraId="1F9637F9" w14:textId="77777777" w:rsidR="00EA494A" w:rsidRPr="002049CF" w:rsidRDefault="00EA494A" w:rsidP="00BC1A34">
            <w:pPr>
              <w:cnfStyle w:val="000000000000" w:firstRow="0" w:lastRow="0" w:firstColumn="0" w:lastColumn="0" w:oddVBand="0" w:evenVBand="0" w:oddHBand="0" w:evenHBand="0" w:firstRowFirstColumn="0" w:firstRowLastColumn="0" w:lastRowFirstColumn="0" w:lastRowLastColumn="0"/>
            </w:pPr>
            <w:r w:rsidRPr="002049CF">
              <w:t>N/A</w:t>
            </w:r>
          </w:p>
        </w:tc>
      </w:tr>
      <w:tr w:rsidR="00EA494A" w:rsidRPr="00B53C9E" w14:paraId="1B9A3916" w14:textId="77777777" w:rsidTr="004E4730">
        <w:tc>
          <w:tcPr>
            <w:cnfStyle w:val="001000000000" w:firstRow="0" w:lastRow="0" w:firstColumn="1" w:lastColumn="0" w:oddVBand="0" w:evenVBand="0" w:oddHBand="0" w:evenHBand="0" w:firstRowFirstColumn="0" w:firstRowLastColumn="0" w:lastRowFirstColumn="0" w:lastRowLastColumn="0"/>
            <w:tcW w:w="0" w:type="dxa"/>
          </w:tcPr>
          <w:p w14:paraId="26FAB5BF" w14:textId="77777777" w:rsidR="00EA494A" w:rsidRPr="00BC1A34" w:rsidRDefault="00EA494A" w:rsidP="00BC1A34">
            <w:pPr>
              <w:rPr>
                <w:b w:val="0"/>
                <w:bCs w:val="0"/>
              </w:rPr>
            </w:pPr>
            <w:r w:rsidRPr="00BC1A34">
              <w:rPr>
                <w:b w:val="0"/>
                <w:bCs w:val="0"/>
              </w:rPr>
              <w:t>DFAT’s funding for community-based fisheries management [in Kiribati, Solomon Islands and Vanuatu] has helped promote sustainable coastal fisheries management</w:t>
            </w:r>
          </w:p>
        </w:tc>
        <w:tc>
          <w:tcPr>
            <w:tcW w:w="1102" w:type="dxa"/>
          </w:tcPr>
          <w:p w14:paraId="7B1B23AB"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1</w:t>
            </w:r>
          </w:p>
        </w:tc>
        <w:tc>
          <w:tcPr>
            <w:tcW w:w="1103" w:type="dxa"/>
          </w:tcPr>
          <w:p w14:paraId="5B345BAB"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2</w:t>
            </w:r>
          </w:p>
        </w:tc>
        <w:tc>
          <w:tcPr>
            <w:tcW w:w="1103" w:type="dxa"/>
          </w:tcPr>
          <w:p w14:paraId="02AD9567"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3</w:t>
            </w:r>
          </w:p>
        </w:tc>
        <w:tc>
          <w:tcPr>
            <w:tcW w:w="1103" w:type="dxa"/>
          </w:tcPr>
          <w:p w14:paraId="58494192"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4</w:t>
            </w:r>
          </w:p>
        </w:tc>
        <w:tc>
          <w:tcPr>
            <w:tcW w:w="1103" w:type="dxa"/>
          </w:tcPr>
          <w:p w14:paraId="0D655DE1"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5</w:t>
            </w:r>
          </w:p>
        </w:tc>
        <w:tc>
          <w:tcPr>
            <w:tcW w:w="0" w:type="dxa"/>
          </w:tcPr>
          <w:p w14:paraId="04CF3112" w14:textId="77777777" w:rsidR="00EA494A" w:rsidRDefault="00EA494A" w:rsidP="00BC1A34">
            <w:pPr>
              <w:cnfStyle w:val="000000000000" w:firstRow="0" w:lastRow="0" w:firstColumn="0" w:lastColumn="0" w:oddVBand="0" w:evenVBand="0" w:oddHBand="0" w:evenHBand="0" w:firstRowFirstColumn="0" w:firstRowLastColumn="0" w:lastRowFirstColumn="0" w:lastRowLastColumn="0"/>
            </w:pPr>
            <w:r w:rsidRPr="002049CF">
              <w:t>N/A</w:t>
            </w:r>
          </w:p>
        </w:tc>
      </w:tr>
      <w:tr w:rsidR="00EA494A" w:rsidRPr="00B53C9E" w14:paraId="52D8EF90" w14:textId="77777777" w:rsidTr="004E4730">
        <w:tc>
          <w:tcPr>
            <w:cnfStyle w:val="001000000000" w:firstRow="0" w:lastRow="0" w:firstColumn="1" w:lastColumn="0" w:oddVBand="0" w:evenVBand="0" w:oddHBand="0" w:evenHBand="0" w:firstRowFirstColumn="0" w:firstRowLastColumn="0" w:lastRowFirstColumn="0" w:lastRowLastColumn="0"/>
            <w:tcW w:w="0" w:type="dxa"/>
          </w:tcPr>
          <w:p w14:paraId="068CC7A7" w14:textId="77777777" w:rsidR="00EA494A" w:rsidRPr="00BC1A34" w:rsidRDefault="00EA494A" w:rsidP="00BC1A34">
            <w:pPr>
              <w:rPr>
                <w:b w:val="0"/>
                <w:bCs w:val="0"/>
              </w:rPr>
            </w:pPr>
            <w:r w:rsidRPr="00BC1A34">
              <w:rPr>
                <w:b w:val="0"/>
                <w:bCs w:val="0"/>
              </w:rPr>
              <w:t>DFAT’s funding has helped establish and secure maritime boundaries</w:t>
            </w:r>
          </w:p>
        </w:tc>
        <w:tc>
          <w:tcPr>
            <w:tcW w:w="1102" w:type="dxa"/>
          </w:tcPr>
          <w:p w14:paraId="61D41028"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1</w:t>
            </w:r>
          </w:p>
        </w:tc>
        <w:tc>
          <w:tcPr>
            <w:tcW w:w="1103" w:type="dxa"/>
          </w:tcPr>
          <w:p w14:paraId="1F7CBB1B"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2</w:t>
            </w:r>
          </w:p>
        </w:tc>
        <w:tc>
          <w:tcPr>
            <w:tcW w:w="1103" w:type="dxa"/>
          </w:tcPr>
          <w:p w14:paraId="0F22B5DB"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3</w:t>
            </w:r>
          </w:p>
        </w:tc>
        <w:tc>
          <w:tcPr>
            <w:tcW w:w="1103" w:type="dxa"/>
          </w:tcPr>
          <w:p w14:paraId="41A74B21"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4</w:t>
            </w:r>
          </w:p>
        </w:tc>
        <w:tc>
          <w:tcPr>
            <w:tcW w:w="1103" w:type="dxa"/>
          </w:tcPr>
          <w:p w14:paraId="49FA1026"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5</w:t>
            </w:r>
          </w:p>
        </w:tc>
        <w:tc>
          <w:tcPr>
            <w:tcW w:w="0" w:type="dxa"/>
          </w:tcPr>
          <w:p w14:paraId="194A4F82" w14:textId="77777777" w:rsidR="00EA494A" w:rsidRDefault="00EA494A" w:rsidP="00BC1A34">
            <w:pPr>
              <w:cnfStyle w:val="000000000000" w:firstRow="0" w:lastRow="0" w:firstColumn="0" w:lastColumn="0" w:oddVBand="0" w:evenVBand="0" w:oddHBand="0" w:evenHBand="0" w:firstRowFirstColumn="0" w:firstRowLastColumn="0" w:lastRowFirstColumn="0" w:lastRowLastColumn="0"/>
            </w:pPr>
            <w:r w:rsidRPr="002049CF">
              <w:t>N/A</w:t>
            </w:r>
          </w:p>
        </w:tc>
      </w:tr>
      <w:tr w:rsidR="00EA494A" w:rsidRPr="00B53C9E" w14:paraId="6596A739" w14:textId="77777777" w:rsidTr="004E4730">
        <w:tc>
          <w:tcPr>
            <w:cnfStyle w:val="001000000000" w:firstRow="0" w:lastRow="0" w:firstColumn="1" w:lastColumn="0" w:oddVBand="0" w:evenVBand="0" w:oddHBand="0" w:evenHBand="0" w:firstRowFirstColumn="0" w:firstRowLastColumn="0" w:lastRowFirstColumn="0" w:lastRowLastColumn="0"/>
            <w:tcW w:w="0" w:type="dxa"/>
          </w:tcPr>
          <w:p w14:paraId="676B5023" w14:textId="77777777" w:rsidR="00EA494A" w:rsidRPr="00BC1A34" w:rsidRDefault="00EA494A" w:rsidP="00BC1A34">
            <w:pPr>
              <w:rPr>
                <w:b w:val="0"/>
                <w:bCs w:val="0"/>
              </w:rPr>
            </w:pPr>
            <w:bookmarkStart w:id="83" w:name="OLE_LINK8"/>
            <w:r w:rsidRPr="00BC1A34">
              <w:rPr>
                <w:b w:val="0"/>
                <w:bCs w:val="0"/>
              </w:rPr>
              <w:t xml:space="preserve">DFAT’s funding </w:t>
            </w:r>
            <w:bookmarkEnd w:id="83"/>
            <w:r w:rsidRPr="00BC1A34">
              <w:rPr>
                <w:b w:val="0"/>
                <w:bCs w:val="0"/>
              </w:rPr>
              <w:t>has helped promote gender equality and social inclusion in Pacific fisheries</w:t>
            </w:r>
          </w:p>
        </w:tc>
        <w:tc>
          <w:tcPr>
            <w:tcW w:w="1102" w:type="dxa"/>
          </w:tcPr>
          <w:p w14:paraId="1AEE2CFA"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1</w:t>
            </w:r>
          </w:p>
        </w:tc>
        <w:tc>
          <w:tcPr>
            <w:tcW w:w="1103" w:type="dxa"/>
          </w:tcPr>
          <w:p w14:paraId="3E4039A1"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2</w:t>
            </w:r>
          </w:p>
        </w:tc>
        <w:tc>
          <w:tcPr>
            <w:tcW w:w="1103" w:type="dxa"/>
          </w:tcPr>
          <w:p w14:paraId="40EFA1EA"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3</w:t>
            </w:r>
          </w:p>
        </w:tc>
        <w:tc>
          <w:tcPr>
            <w:tcW w:w="1103" w:type="dxa"/>
          </w:tcPr>
          <w:p w14:paraId="44237256"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4</w:t>
            </w:r>
          </w:p>
        </w:tc>
        <w:tc>
          <w:tcPr>
            <w:tcW w:w="1103" w:type="dxa"/>
          </w:tcPr>
          <w:p w14:paraId="1EE62F67"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5</w:t>
            </w:r>
          </w:p>
        </w:tc>
        <w:tc>
          <w:tcPr>
            <w:tcW w:w="0" w:type="dxa"/>
          </w:tcPr>
          <w:p w14:paraId="7FB533F1" w14:textId="77777777" w:rsidR="00EA494A" w:rsidRDefault="00EA494A" w:rsidP="00BC1A34">
            <w:pPr>
              <w:cnfStyle w:val="000000000000" w:firstRow="0" w:lastRow="0" w:firstColumn="0" w:lastColumn="0" w:oddVBand="0" w:evenVBand="0" w:oddHBand="0" w:evenHBand="0" w:firstRowFirstColumn="0" w:firstRowLastColumn="0" w:lastRowFirstColumn="0" w:lastRowLastColumn="0"/>
            </w:pPr>
            <w:r w:rsidRPr="002049CF">
              <w:t>N/A</w:t>
            </w:r>
          </w:p>
        </w:tc>
      </w:tr>
      <w:tr w:rsidR="00EA494A" w:rsidRPr="00B53C9E" w14:paraId="36DDD922" w14:textId="77777777" w:rsidTr="004E4730">
        <w:tc>
          <w:tcPr>
            <w:cnfStyle w:val="001000000000" w:firstRow="0" w:lastRow="0" w:firstColumn="1" w:lastColumn="0" w:oddVBand="0" w:evenVBand="0" w:oddHBand="0" w:evenHBand="0" w:firstRowFirstColumn="0" w:firstRowLastColumn="0" w:lastRowFirstColumn="0" w:lastRowLastColumn="0"/>
            <w:tcW w:w="0" w:type="dxa"/>
          </w:tcPr>
          <w:p w14:paraId="5F9A2D84" w14:textId="77777777" w:rsidR="00EA494A" w:rsidRPr="00BC1A34" w:rsidRDefault="00EA494A" w:rsidP="00BC1A34">
            <w:pPr>
              <w:rPr>
                <w:b w:val="0"/>
                <w:bCs w:val="0"/>
              </w:rPr>
            </w:pPr>
            <w:r w:rsidRPr="00BC1A34">
              <w:rPr>
                <w:b w:val="0"/>
                <w:bCs w:val="0"/>
              </w:rPr>
              <w:t>DFAT’s funding has enhanced Australia’s reputation in the region</w:t>
            </w:r>
          </w:p>
        </w:tc>
        <w:tc>
          <w:tcPr>
            <w:tcW w:w="1102" w:type="dxa"/>
          </w:tcPr>
          <w:p w14:paraId="38D10BCD"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1</w:t>
            </w:r>
          </w:p>
        </w:tc>
        <w:tc>
          <w:tcPr>
            <w:tcW w:w="1103" w:type="dxa"/>
          </w:tcPr>
          <w:p w14:paraId="46BE9210"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2</w:t>
            </w:r>
          </w:p>
        </w:tc>
        <w:tc>
          <w:tcPr>
            <w:tcW w:w="1103" w:type="dxa"/>
          </w:tcPr>
          <w:p w14:paraId="17F63A72"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3</w:t>
            </w:r>
          </w:p>
        </w:tc>
        <w:tc>
          <w:tcPr>
            <w:tcW w:w="1103" w:type="dxa"/>
          </w:tcPr>
          <w:p w14:paraId="5C2CD797"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4</w:t>
            </w:r>
          </w:p>
        </w:tc>
        <w:tc>
          <w:tcPr>
            <w:tcW w:w="1103" w:type="dxa"/>
          </w:tcPr>
          <w:p w14:paraId="3F57B431"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5</w:t>
            </w:r>
          </w:p>
        </w:tc>
        <w:tc>
          <w:tcPr>
            <w:tcW w:w="0" w:type="dxa"/>
          </w:tcPr>
          <w:p w14:paraId="22A88AB4" w14:textId="77777777" w:rsidR="00EA494A" w:rsidRDefault="00EA494A" w:rsidP="00BC1A34">
            <w:pPr>
              <w:cnfStyle w:val="000000000000" w:firstRow="0" w:lastRow="0" w:firstColumn="0" w:lastColumn="0" w:oddVBand="0" w:evenVBand="0" w:oddHBand="0" w:evenHBand="0" w:firstRowFirstColumn="0" w:firstRowLastColumn="0" w:lastRowFirstColumn="0" w:lastRowLastColumn="0"/>
            </w:pPr>
            <w:r w:rsidRPr="002049CF">
              <w:t>N/A</w:t>
            </w:r>
          </w:p>
        </w:tc>
      </w:tr>
      <w:tr w:rsidR="00EA494A" w:rsidRPr="00B53C9E" w14:paraId="7DC6AE27" w14:textId="77777777" w:rsidTr="004E4730">
        <w:tc>
          <w:tcPr>
            <w:cnfStyle w:val="001000000000" w:firstRow="0" w:lastRow="0" w:firstColumn="1" w:lastColumn="0" w:oddVBand="0" w:evenVBand="0" w:oddHBand="0" w:evenHBand="0" w:firstRowFirstColumn="0" w:firstRowLastColumn="0" w:lastRowFirstColumn="0" w:lastRowLastColumn="0"/>
            <w:tcW w:w="0" w:type="dxa"/>
          </w:tcPr>
          <w:p w14:paraId="77DFBA99" w14:textId="77777777" w:rsidR="00EA494A" w:rsidRPr="00BC1A34" w:rsidRDefault="00EA494A" w:rsidP="00BC1A34">
            <w:pPr>
              <w:rPr>
                <w:b w:val="0"/>
                <w:bCs w:val="0"/>
              </w:rPr>
            </w:pPr>
            <w:r w:rsidRPr="00BC1A34">
              <w:rPr>
                <w:b w:val="0"/>
                <w:bCs w:val="0"/>
              </w:rPr>
              <w:t>Overall, DFAT’s funding has been effective in supporting the Pacific to secure and sustainably manage its ocean resources</w:t>
            </w:r>
          </w:p>
        </w:tc>
        <w:tc>
          <w:tcPr>
            <w:tcW w:w="1102" w:type="dxa"/>
          </w:tcPr>
          <w:p w14:paraId="5D068A33"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1</w:t>
            </w:r>
          </w:p>
        </w:tc>
        <w:tc>
          <w:tcPr>
            <w:tcW w:w="1103" w:type="dxa"/>
          </w:tcPr>
          <w:p w14:paraId="5EF0A1DD"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2</w:t>
            </w:r>
          </w:p>
        </w:tc>
        <w:tc>
          <w:tcPr>
            <w:tcW w:w="1103" w:type="dxa"/>
          </w:tcPr>
          <w:p w14:paraId="507E853C"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3</w:t>
            </w:r>
          </w:p>
        </w:tc>
        <w:tc>
          <w:tcPr>
            <w:tcW w:w="1103" w:type="dxa"/>
          </w:tcPr>
          <w:p w14:paraId="20CA227E"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4</w:t>
            </w:r>
          </w:p>
        </w:tc>
        <w:tc>
          <w:tcPr>
            <w:tcW w:w="1103" w:type="dxa"/>
          </w:tcPr>
          <w:p w14:paraId="059A117F" w14:textId="77777777" w:rsidR="00EA494A" w:rsidRPr="00B53C9E" w:rsidRDefault="00EA494A" w:rsidP="00BC1A34">
            <w:pPr>
              <w:cnfStyle w:val="000000000000" w:firstRow="0" w:lastRow="0" w:firstColumn="0" w:lastColumn="0" w:oddVBand="0" w:evenVBand="0" w:oddHBand="0" w:evenHBand="0" w:firstRowFirstColumn="0" w:firstRowLastColumn="0" w:lastRowFirstColumn="0" w:lastRowLastColumn="0"/>
            </w:pPr>
            <w:r>
              <w:t>5</w:t>
            </w:r>
          </w:p>
        </w:tc>
        <w:tc>
          <w:tcPr>
            <w:tcW w:w="0" w:type="dxa"/>
          </w:tcPr>
          <w:p w14:paraId="029DE0D3" w14:textId="77777777" w:rsidR="00EA494A" w:rsidRDefault="00EA494A" w:rsidP="00BC1A34">
            <w:pPr>
              <w:cnfStyle w:val="000000000000" w:firstRow="0" w:lastRow="0" w:firstColumn="0" w:lastColumn="0" w:oddVBand="0" w:evenVBand="0" w:oddHBand="0" w:evenHBand="0" w:firstRowFirstColumn="0" w:firstRowLastColumn="0" w:lastRowFirstColumn="0" w:lastRowLastColumn="0"/>
            </w:pPr>
            <w:r w:rsidRPr="002049CF">
              <w:t>N/A</w:t>
            </w:r>
          </w:p>
        </w:tc>
      </w:tr>
    </w:tbl>
    <w:p w14:paraId="4A141484" w14:textId="77777777" w:rsidR="00EA494A" w:rsidRDefault="00EA494A" w:rsidP="00D41C65">
      <w:pPr>
        <w:rPr>
          <w:rFonts w:eastAsia="Calibri"/>
        </w:rPr>
      </w:pPr>
    </w:p>
    <w:p w14:paraId="7F63F094" w14:textId="3856E798" w:rsidR="00EA494A" w:rsidRPr="00DD25E0" w:rsidRDefault="00EA494A" w:rsidP="00821BD8">
      <w:pPr>
        <w:pStyle w:val="ListParagraph"/>
        <w:numPr>
          <w:ilvl w:val="0"/>
          <w:numId w:val="23"/>
        </w:numPr>
      </w:pPr>
      <w:r w:rsidRPr="00DD25E0">
        <w:t xml:space="preserve">In your opinion, has DFAT’s </w:t>
      </w:r>
      <w:r w:rsidR="00821BD8">
        <w:t>Investment</w:t>
      </w:r>
      <w:r w:rsidRPr="00DD25E0">
        <w:t xml:space="preserve"> contributed to </w:t>
      </w:r>
      <w:r w:rsidRPr="00A30B21">
        <w:rPr>
          <w:b/>
          <w:bCs/>
        </w:rPr>
        <w:t>meaningful improvements in fisheries management and governance</w:t>
      </w:r>
      <w:r w:rsidRPr="00DD25E0">
        <w:t xml:space="preserve"> in the Pacific? (Yes/No/Not Sure – Please explain why.)</w:t>
      </w:r>
      <w:r w:rsidRPr="00DD25E0">
        <w:br/>
      </w:r>
    </w:p>
    <w:p w14:paraId="38115BCC" w14:textId="7FE91EE4" w:rsidR="00EA494A" w:rsidRPr="001B5951" w:rsidRDefault="00EA494A" w:rsidP="00821BD8">
      <w:pPr>
        <w:pStyle w:val="ListParagraph"/>
        <w:numPr>
          <w:ilvl w:val="0"/>
          <w:numId w:val="23"/>
        </w:numPr>
      </w:pPr>
      <w:r w:rsidRPr="001B5951">
        <w:t xml:space="preserve">What aspects of Australia’s </w:t>
      </w:r>
      <w:r w:rsidR="00821BD8">
        <w:t>Investment</w:t>
      </w:r>
      <w:r w:rsidRPr="001B5951">
        <w:t xml:space="preserve"> in Pacific fisheries have contributed to </w:t>
      </w:r>
      <w:r w:rsidRPr="00A30B21">
        <w:rPr>
          <w:b/>
          <w:bCs/>
        </w:rPr>
        <w:t>Australia’s reputation in the region</w:t>
      </w:r>
      <w:r w:rsidRPr="001B5951">
        <w:t xml:space="preserve"> (which may encompass both positive and negative aspects)?</w:t>
      </w:r>
    </w:p>
    <w:p w14:paraId="0CFB68AB" w14:textId="77777777" w:rsidR="00EA494A" w:rsidRDefault="00EA494A" w:rsidP="00D41C65">
      <w:pPr>
        <w:pStyle w:val="ListParagraph"/>
      </w:pPr>
    </w:p>
    <w:p w14:paraId="23EB2D82" w14:textId="77777777" w:rsidR="00EA494A" w:rsidRDefault="00EA494A" w:rsidP="00821BD8">
      <w:pPr>
        <w:pStyle w:val="ListParagraph"/>
        <w:numPr>
          <w:ilvl w:val="0"/>
          <w:numId w:val="23"/>
        </w:numPr>
      </w:pPr>
      <w:r>
        <w:t xml:space="preserve">In your opinion, has Australia’s </w:t>
      </w:r>
      <w:r w:rsidRPr="001B5951">
        <w:rPr>
          <w:b/>
          <w:bCs/>
        </w:rPr>
        <w:t>support been well-coordinated</w:t>
      </w:r>
      <w:r w:rsidRPr="001B5951">
        <w:t xml:space="preserve"> with other donors</w:t>
      </w:r>
      <w:r>
        <w:t>?</w:t>
      </w:r>
    </w:p>
    <w:p w14:paraId="103D8F59" w14:textId="77777777" w:rsidR="00EA494A" w:rsidRDefault="00EA494A" w:rsidP="00D41C65">
      <w:pPr>
        <w:pStyle w:val="ListParagraph"/>
      </w:pPr>
    </w:p>
    <w:p w14:paraId="24B108E0" w14:textId="77777777" w:rsidR="00EA494A" w:rsidRDefault="00EA494A" w:rsidP="00821BD8">
      <w:pPr>
        <w:pStyle w:val="ListParagraph"/>
        <w:numPr>
          <w:ilvl w:val="0"/>
          <w:numId w:val="23"/>
        </w:numPr>
      </w:pPr>
      <w:r w:rsidRPr="00DD25E0">
        <w:t xml:space="preserve">From your perspective, </w:t>
      </w:r>
      <w:r>
        <w:t>what elements of the</w:t>
      </w:r>
      <w:r w:rsidRPr="00DD25E0">
        <w:t xml:space="preserve"> support provided by Australia</w:t>
      </w:r>
      <w:r>
        <w:t xml:space="preserve"> have </w:t>
      </w:r>
      <w:r w:rsidRPr="00DD25E0">
        <w:t>been</w:t>
      </w:r>
      <w:r>
        <w:t xml:space="preserve"> effective</w:t>
      </w:r>
      <w:r w:rsidRPr="00DD25E0">
        <w:t xml:space="preserve"> in addressing the </w:t>
      </w:r>
      <w:r w:rsidRPr="001B5951">
        <w:rPr>
          <w:b/>
          <w:bCs/>
        </w:rPr>
        <w:t xml:space="preserve">potential impacts of climate change </w:t>
      </w:r>
      <w:r w:rsidRPr="00DD25E0">
        <w:t>on ocean resources in the Pacific? (Please explain your answer).</w:t>
      </w:r>
    </w:p>
    <w:p w14:paraId="36AE2E0D" w14:textId="77777777" w:rsidR="00EA494A" w:rsidRDefault="00EA494A" w:rsidP="00D41C65">
      <w:pPr>
        <w:pStyle w:val="ListParagraph"/>
      </w:pPr>
    </w:p>
    <w:p w14:paraId="532976CC" w14:textId="77777777" w:rsidR="00EA494A" w:rsidRDefault="00EA494A" w:rsidP="00821BD8">
      <w:pPr>
        <w:pStyle w:val="ListParagraph"/>
        <w:numPr>
          <w:ilvl w:val="0"/>
          <w:numId w:val="23"/>
        </w:numPr>
      </w:pPr>
      <w:r>
        <w:lastRenderedPageBreak/>
        <w:t xml:space="preserve">Over the past 15 years have you noticed any </w:t>
      </w:r>
      <w:r w:rsidRPr="001B5951">
        <w:rPr>
          <w:b/>
          <w:bCs/>
        </w:rPr>
        <w:t>improvement in women’s and persons with disabilities’ participation</w:t>
      </w:r>
      <w:r>
        <w:t xml:space="preserve"> in fisheries in the Pacific (Yes/No/Don’t Know)</w:t>
      </w:r>
    </w:p>
    <w:p w14:paraId="78BF5449" w14:textId="77777777" w:rsidR="00EA494A" w:rsidRPr="00CB2DFC" w:rsidRDefault="00EA494A" w:rsidP="00D41C65">
      <w:pPr>
        <w:pStyle w:val="ListParagraph"/>
      </w:pPr>
    </w:p>
    <w:p w14:paraId="5F116F1A" w14:textId="77777777" w:rsidR="00EA494A" w:rsidRDefault="00EA494A" w:rsidP="00821BD8">
      <w:pPr>
        <w:pStyle w:val="ListParagraph"/>
        <w:numPr>
          <w:ilvl w:val="1"/>
          <w:numId w:val="24"/>
        </w:numPr>
      </w:pPr>
      <w:r>
        <w:t>If yes, what factors do you think account for the progress to date?</w:t>
      </w:r>
    </w:p>
    <w:p w14:paraId="3AE01894" w14:textId="77777777" w:rsidR="00EA494A" w:rsidRPr="007F4B66" w:rsidRDefault="00EA494A" w:rsidP="00821BD8">
      <w:pPr>
        <w:pStyle w:val="ListParagraph"/>
        <w:numPr>
          <w:ilvl w:val="1"/>
          <w:numId w:val="24"/>
        </w:numPr>
      </w:pPr>
      <w:r>
        <w:t xml:space="preserve">If no, what needs to be done to enhance women’s and persons with disabilities’ participation? </w:t>
      </w:r>
    </w:p>
    <w:p w14:paraId="421BC154" w14:textId="77777777" w:rsidR="00EA494A" w:rsidRDefault="00EA494A" w:rsidP="00D41C65">
      <w:pPr>
        <w:pStyle w:val="ListParagraph"/>
      </w:pPr>
    </w:p>
    <w:p w14:paraId="3DD48C02" w14:textId="77777777" w:rsidR="00EA494A" w:rsidRDefault="00EA494A" w:rsidP="00821BD8">
      <w:pPr>
        <w:pStyle w:val="ListParagraph"/>
        <w:numPr>
          <w:ilvl w:val="0"/>
          <w:numId w:val="23"/>
        </w:numPr>
      </w:pPr>
      <w:r w:rsidRPr="001812D8">
        <w:t xml:space="preserve">From your perspective, do you believe there have been any </w:t>
      </w:r>
      <w:r w:rsidRPr="001B5951">
        <w:rPr>
          <w:b/>
          <w:bCs/>
        </w:rPr>
        <w:t>significant achievements</w:t>
      </w:r>
      <w:r w:rsidRPr="001812D8">
        <w:t xml:space="preserve"> to date resulting from Australia’s support for the region? </w:t>
      </w:r>
      <w:r>
        <w:t>(</w:t>
      </w:r>
      <w:r w:rsidRPr="001812D8">
        <w:t>Please provide examples, such as improved coordination among fisheries agencies, enhanced MCS capacity, and so forth</w:t>
      </w:r>
      <w:r>
        <w:t>)</w:t>
      </w:r>
      <w:r w:rsidRPr="001812D8">
        <w:t>.</w:t>
      </w:r>
    </w:p>
    <w:p w14:paraId="1E0BF010" w14:textId="77777777" w:rsidR="00EA494A" w:rsidRPr="005F224C" w:rsidRDefault="00EA494A" w:rsidP="00D41C65">
      <w:pPr>
        <w:pStyle w:val="ListParagraph"/>
      </w:pPr>
    </w:p>
    <w:p w14:paraId="4B05464A" w14:textId="77777777" w:rsidR="00EA494A" w:rsidRDefault="00EA494A" w:rsidP="00821BD8">
      <w:pPr>
        <w:pStyle w:val="ListParagraph"/>
        <w:numPr>
          <w:ilvl w:val="0"/>
          <w:numId w:val="23"/>
        </w:numPr>
      </w:pPr>
      <w:r w:rsidRPr="005F224C">
        <w:t xml:space="preserve">What are the </w:t>
      </w:r>
      <w:r w:rsidRPr="001B5951">
        <w:rPr>
          <w:b/>
          <w:bCs/>
        </w:rPr>
        <w:t>biggest challenges</w:t>
      </w:r>
      <w:r w:rsidRPr="005F224C">
        <w:t xml:space="preserve"> still facing Pacific fisheries that DFAT’s support should </w:t>
      </w:r>
      <w:r>
        <w:t xml:space="preserve">help </w:t>
      </w:r>
      <w:r w:rsidRPr="005F224C">
        <w:t>address in the future?</w:t>
      </w:r>
    </w:p>
    <w:p w14:paraId="246672BB" w14:textId="77777777" w:rsidR="00EA494A" w:rsidRPr="00B53C9E" w:rsidRDefault="00EA494A" w:rsidP="00D41C65">
      <w:pPr>
        <w:pStyle w:val="ListParagraph"/>
      </w:pPr>
    </w:p>
    <w:p w14:paraId="094C2E5A" w14:textId="67BE2645" w:rsidR="00EA494A" w:rsidRDefault="00EA494A" w:rsidP="00821BD8">
      <w:pPr>
        <w:pStyle w:val="ListParagraph"/>
        <w:numPr>
          <w:ilvl w:val="0"/>
          <w:numId w:val="23"/>
        </w:numPr>
      </w:pPr>
      <w:r w:rsidRPr="001812D8">
        <w:t xml:space="preserve">As a result of your agency's interaction with the support provided by Australia, do you believe there are any </w:t>
      </w:r>
      <w:r w:rsidRPr="001B5951">
        <w:rPr>
          <w:b/>
          <w:bCs/>
        </w:rPr>
        <w:t>lessons learned</w:t>
      </w:r>
      <w:r w:rsidRPr="001812D8">
        <w:t xml:space="preserve"> that DFAT should be made aware of to inform the future direction of its </w:t>
      </w:r>
      <w:proofErr w:type="gramStart"/>
      <w:r w:rsidR="00821BD8">
        <w:t>Investment</w:t>
      </w:r>
      <w:proofErr w:type="gramEnd"/>
      <w:r w:rsidRPr="001812D8">
        <w:t xml:space="preserve"> in fisheries in the Pacific? </w:t>
      </w:r>
      <w:r>
        <w:t>(</w:t>
      </w:r>
      <w:r w:rsidRPr="001812D8">
        <w:t>If so, please be specific</w:t>
      </w:r>
      <w:r>
        <w:t>)</w:t>
      </w:r>
      <w:r w:rsidRPr="001812D8">
        <w:t>.</w:t>
      </w:r>
    </w:p>
    <w:p w14:paraId="4A9AF1EF" w14:textId="77777777" w:rsidR="00EA494A" w:rsidRPr="005F224C" w:rsidRDefault="00EA494A" w:rsidP="00D41C65">
      <w:pPr>
        <w:pStyle w:val="ListParagraph"/>
      </w:pPr>
    </w:p>
    <w:p w14:paraId="3540435A" w14:textId="1834CC7E" w:rsidR="00EA494A" w:rsidRPr="00D93969" w:rsidRDefault="00EA494A" w:rsidP="00821BD8">
      <w:pPr>
        <w:pStyle w:val="ListParagraph"/>
        <w:numPr>
          <w:ilvl w:val="0"/>
          <w:numId w:val="23"/>
        </w:numPr>
      </w:pPr>
      <w:r>
        <w:t xml:space="preserve">Do you have any additional </w:t>
      </w:r>
      <w:r w:rsidRPr="001B5951">
        <w:rPr>
          <w:b/>
          <w:bCs/>
        </w:rPr>
        <w:t>comments or recommendations</w:t>
      </w:r>
      <w:r>
        <w:t xml:space="preserve"> on how DFAT’s </w:t>
      </w:r>
      <w:r w:rsidR="00821BD8">
        <w:t>Investment</w:t>
      </w:r>
      <w:r>
        <w:t xml:space="preserve"> in Pacific Fisheries could be improved?</w:t>
      </w:r>
    </w:p>
    <w:p w14:paraId="71B485E8" w14:textId="77777777" w:rsidR="00A60B28" w:rsidRDefault="00A60B28" w:rsidP="00D41C65"/>
    <w:p w14:paraId="577F8A3F" w14:textId="52E7866D" w:rsidR="00A60B28" w:rsidRDefault="00A60B28" w:rsidP="00D41C65">
      <w:r>
        <w:br w:type="page"/>
      </w:r>
    </w:p>
    <w:p w14:paraId="339CE4DD" w14:textId="77777777" w:rsidR="00A93516" w:rsidRDefault="00A93516" w:rsidP="00357F6C">
      <w:pPr>
        <w:pStyle w:val="Heading1"/>
        <w:rPr>
          <w:rStyle w:val="Heading"/>
          <w:rFonts w:cstheme="minorHAnsi"/>
          <w:color w:val="2F5496" w:themeColor="accent1" w:themeShade="BF"/>
          <w:sz w:val="32"/>
          <w:szCs w:val="32"/>
          <w:lang w:val="en-GB"/>
        </w:rPr>
        <w:sectPr w:rsidR="00A93516" w:rsidSect="000C15A8">
          <w:type w:val="continuous"/>
          <w:pgSz w:w="11900" w:h="16840"/>
          <w:pgMar w:top="1440" w:right="1080" w:bottom="1440" w:left="1080" w:header="709" w:footer="709" w:gutter="0"/>
          <w:pgNumType w:start="1"/>
          <w:cols w:space="720"/>
          <w:titlePg/>
          <w:docGrid w:linePitch="360"/>
        </w:sectPr>
      </w:pPr>
    </w:p>
    <w:p w14:paraId="6B0ECB1E" w14:textId="1F0354FB" w:rsidR="00CE245D" w:rsidRPr="00FA2BF4" w:rsidRDefault="000F3351" w:rsidP="00FA2BF4">
      <w:pPr>
        <w:pStyle w:val="Heading3"/>
        <w:rPr>
          <w:b/>
          <w:bCs/>
        </w:rPr>
      </w:pPr>
      <w:bookmarkStart w:id="84" w:name="_Toc207206823"/>
      <w:r w:rsidRPr="00FA2BF4">
        <w:rPr>
          <w:b/>
          <w:bCs/>
        </w:rPr>
        <w:lastRenderedPageBreak/>
        <w:t>Annexe</w:t>
      </w:r>
      <w:r w:rsidR="00CE245D" w:rsidRPr="00FA2BF4">
        <w:rPr>
          <w:b/>
          <w:bCs/>
        </w:rPr>
        <w:t xml:space="preserve"> 5: </w:t>
      </w:r>
      <w:r w:rsidR="00FA4BE1" w:rsidRPr="00FA2BF4">
        <w:rPr>
          <w:b/>
          <w:bCs/>
        </w:rPr>
        <w:t xml:space="preserve">Evaluation </w:t>
      </w:r>
      <w:r w:rsidR="00A93516" w:rsidRPr="00FA2BF4">
        <w:rPr>
          <w:b/>
          <w:bCs/>
        </w:rPr>
        <w:t>Rubric</w:t>
      </w:r>
      <w:bookmarkEnd w:id="84"/>
    </w:p>
    <w:tbl>
      <w:tblPr>
        <w:tblStyle w:val="GridTable4-Accent1"/>
        <w:tblW w:w="0" w:type="auto"/>
        <w:tblLook w:val="04A0" w:firstRow="1" w:lastRow="0" w:firstColumn="1" w:lastColumn="0" w:noHBand="0" w:noVBand="1"/>
      </w:tblPr>
      <w:tblGrid>
        <w:gridCol w:w="1980"/>
        <w:gridCol w:w="2662"/>
        <w:gridCol w:w="2322"/>
        <w:gridCol w:w="2322"/>
        <w:gridCol w:w="2322"/>
        <w:gridCol w:w="2322"/>
      </w:tblGrid>
      <w:tr w:rsidR="00FA4BE1" w:rsidRPr="00A710F9" w14:paraId="0D6227FE" w14:textId="77777777" w:rsidTr="00DE74C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2649126D" w14:textId="46EF5E91" w:rsidR="00FA4BE1" w:rsidRPr="00BC1A34" w:rsidRDefault="004075FF" w:rsidP="00BC1A34">
            <w:pPr>
              <w:jc w:val="center"/>
              <w:rPr>
                <w:color w:val="FFFFFF" w:themeColor="background1"/>
              </w:rPr>
            </w:pPr>
            <w:r>
              <w:rPr>
                <w:color w:val="FFFFFF" w:themeColor="background1"/>
              </w:rPr>
              <w:t>Dimensions</w:t>
            </w:r>
          </w:p>
        </w:tc>
        <w:tc>
          <w:tcPr>
            <w:tcW w:w="2662" w:type="dxa"/>
          </w:tcPr>
          <w:p w14:paraId="5C54AE0C" w14:textId="1E07494F" w:rsidR="00FA4BE1" w:rsidRPr="00BC1A34" w:rsidRDefault="004075FF" w:rsidP="00BC1A3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Criteria</w:t>
            </w:r>
          </w:p>
        </w:tc>
        <w:tc>
          <w:tcPr>
            <w:tcW w:w="2322" w:type="dxa"/>
          </w:tcPr>
          <w:p w14:paraId="37A5E305" w14:textId="2C2D6D28" w:rsidR="00FA4BE1" w:rsidRPr="00BC1A34" w:rsidRDefault="004075FF" w:rsidP="00BC1A3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Rating (</w:t>
            </w:r>
            <w:r w:rsidR="00FA4BE1" w:rsidRPr="00BC1A34">
              <w:rPr>
                <w:color w:val="FFFFFF" w:themeColor="background1"/>
              </w:rPr>
              <w:t>Poor</w:t>
            </w:r>
            <w:r>
              <w:rPr>
                <w:color w:val="FFFFFF" w:themeColor="background1"/>
              </w:rPr>
              <w:t>)</w:t>
            </w:r>
          </w:p>
        </w:tc>
        <w:tc>
          <w:tcPr>
            <w:tcW w:w="2322" w:type="dxa"/>
          </w:tcPr>
          <w:p w14:paraId="7202F66E" w14:textId="6B4B7AC2" w:rsidR="00FA4BE1" w:rsidRPr="00BC1A34" w:rsidRDefault="004075FF" w:rsidP="00BC1A3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Rating (</w:t>
            </w:r>
            <w:r w:rsidR="00FA4BE1" w:rsidRPr="00BC1A34">
              <w:rPr>
                <w:color w:val="FFFFFF" w:themeColor="background1"/>
              </w:rPr>
              <w:t>Adequate</w:t>
            </w:r>
            <w:r>
              <w:rPr>
                <w:color w:val="FFFFFF" w:themeColor="background1"/>
              </w:rPr>
              <w:t>)</w:t>
            </w:r>
          </w:p>
        </w:tc>
        <w:tc>
          <w:tcPr>
            <w:tcW w:w="2322" w:type="dxa"/>
          </w:tcPr>
          <w:p w14:paraId="76B4BBF7" w14:textId="019026CE" w:rsidR="00FA4BE1" w:rsidRPr="00BC1A34" w:rsidRDefault="004075FF" w:rsidP="00BC1A3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Rating (Good)</w:t>
            </w:r>
          </w:p>
        </w:tc>
        <w:tc>
          <w:tcPr>
            <w:tcW w:w="2322" w:type="dxa"/>
          </w:tcPr>
          <w:p w14:paraId="0E9BE30D" w14:textId="503CDF1E" w:rsidR="00FA4BE1" w:rsidRPr="00BC1A34" w:rsidRDefault="004075FF" w:rsidP="00BC1A34">
            <w:pPr>
              <w:jc w:val="center"/>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Rating (Excellent)</w:t>
            </w:r>
          </w:p>
        </w:tc>
      </w:tr>
      <w:tr w:rsidR="00FA4BE1" w:rsidRPr="00A710F9" w14:paraId="295E6C63" w14:textId="77777777" w:rsidTr="00DE7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9A4EC94" w14:textId="77777777" w:rsidR="00FA4BE1" w:rsidRPr="00DF14A9" w:rsidRDefault="00FA4BE1" w:rsidP="00D41C65">
            <w:r w:rsidRPr="00DF14A9">
              <w:t>Effectiveness</w:t>
            </w:r>
          </w:p>
          <w:p w14:paraId="1714B12D" w14:textId="77777777" w:rsidR="00FA4BE1" w:rsidRPr="00DF14A9" w:rsidRDefault="00FA4BE1" w:rsidP="00D41C65">
            <w:r w:rsidRPr="00DF14A9">
              <w:t>(EQ 1)</w:t>
            </w:r>
          </w:p>
        </w:tc>
        <w:tc>
          <w:tcPr>
            <w:tcW w:w="2662" w:type="dxa"/>
          </w:tcPr>
          <w:p w14:paraId="0FDDC2CC" w14:textId="487A3C73" w:rsidR="00FA4BE1" w:rsidRPr="00A710F9" w:rsidRDefault="00DE74CB" w:rsidP="00D41C65">
            <w:pPr>
              <w:cnfStyle w:val="000000100000" w:firstRow="0" w:lastRow="0" w:firstColumn="0" w:lastColumn="0" w:oddVBand="0" w:evenVBand="0" w:oddHBand="1" w:evenHBand="0" w:firstRowFirstColumn="0" w:firstRowLastColumn="0" w:lastRowFirstColumn="0" w:lastRowLastColumn="0"/>
            </w:pPr>
            <w:r w:rsidRPr="00DE74CB">
              <w:rPr>
                <w:b/>
                <w:bCs/>
              </w:rPr>
              <w:t># 1.</w:t>
            </w:r>
            <w:r>
              <w:t xml:space="preserve"> </w:t>
            </w:r>
            <w:r w:rsidR="00821BD8">
              <w:t>Investment</w:t>
            </w:r>
            <w:r w:rsidR="00FA4BE1" w:rsidRPr="00A710F9">
              <w:t xml:space="preserve"> achieved the end-of-program outcomes that were expected over the lifetime of this </w:t>
            </w:r>
            <w:r w:rsidR="00821BD8">
              <w:t>Investment</w:t>
            </w:r>
            <w:r w:rsidR="00FA4BE1" w:rsidRPr="00A710F9">
              <w:t xml:space="preserve"> </w:t>
            </w:r>
          </w:p>
        </w:tc>
        <w:tc>
          <w:tcPr>
            <w:tcW w:w="2322" w:type="dxa"/>
          </w:tcPr>
          <w:p w14:paraId="4986CF78" w14:textId="570D9537"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rsidRPr="00A710F9">
              <w:t xml:space="preserve">The </w:t>
            </w:r>
            <w:r w:rsidR="00821BD8">
              <w:t>Investment</w:t>
            </w:r>
            <w:r w:rsidRPr="00A710F9">
              <w:t xml:space="preserve"> achieved very few of the intended EOPOs</w:t>
            </w:r>
          </w:p>
        </w:tc>
        <w:tc>
          <w:tcPr>
            <w:tcW w:w="2322" w:type="dxa"/>
          </w:tcPr>
          <w:p w14:paraId="53D213BF" w14:textId="209CAE6F"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rsidRPr="00A710F9">
              <w:t xml:space="preserve">The </w:t>
            </w:r>
            <w:r w:rsidR="00821BD8">
              <w:t>Investment</w:t>
            </w:r>
            <w:r w:rsidRPr="00A710F9">
              <w:t xml:space="preserve"> achieved about half of the intended EOPOs according to the evidence</w:t>
            </w:r>
          </w:p>
        </w:tc>
        <w:tc>
          <w:tcPr>
            <w:tcW w:w="2322" w:type="dxa"/>
          </w:tcPr>
          <w:p w14:paraId="3D4C6878" w14:textId="6D55B651"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rsidRPr="00A710F9">
              <w:t xml:space="preserve">The </w:t>
            </w:r>
            <w:r w:rsidR="00821BD8">
              <w:t>Investment</w:t>
            </w:r>
            <w:r w:rsidRPr="00A710F9">
              <w:t xml:space="preserve"> achieved almost all the intended EOPOs according to the evidence</w:t>
            </w:r>
          </w:p>
        </w:tc>
        <w:tc>
          <w:tcPr>
            <w:tcW w:w="2322" w:type="dxa"/>
          </w:tcPr>
          <w:p w14:paraId="37509484" w14:textId="16D23E72"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rsidRPr="00A710F9">
              <w:t xml:space="preserve">The </w:t>
            </w:r>
            <w:r w:rsidR="00821BD8">
              <w:t>Investment</w:t>
            </w:r>
            <w:r w:rsidRPr="00A710F9">
              <w:t xml:space="preserve"> achieved all the intended EOPOs</w:t>
            </w:r>
          </w:p>
        </w:tc>
      </w:tr>
      <w:tr w:rsidR="00FA4BE1" w:rsidRPr="00A710F9" w14:paraId="09A1E65A" w14:textId="77777777" w:rsidTr="00787D0B">
        <w:tc>
          <w:tcPr>
            <w:cnfStyle w:val="001000000000" w:firstRow="0" w:lastRow="0" w:firstColumn="1" w:lastColumn="0" w:oddVBand="0" w:evenVBand="0" w:oddHBand="0" w:evenHBand="0" w:firstRowFirstColumn="0" w:firstRowLastColumn="0" w:lastRowFirstColumn="0" w:lastRowLastColumn="0"/>
            <w:tcW w:w="1980" w:type="dxa"/>
            <w:shd w:val="clear" w:color="auto" w:fill="D9E2F3" w:themeFill="accent1" w:themeFillTint="33"/>
          </w:tcPr>
          <w:p w14:paraId="78E128B5" w14:textId="77777777" w:rsidR="00477250" w:rsidRPr="00DF14A9" w:rsidRDefault="00477250" w:rsidP="00477250">
            <w:r w:rsidRPr="00DF14A9">
              <w:t>Effectiveness</w:t>
            </w:r>
          </w:p>
          <w:p w14:paraId="2670E30A" w14:textId="70E3AD59" w:rsidR="00FA4BE1" w:rsidRPr="00DF14A9" w:rsidRDefault="00477250" w:rsidP="00477250">
            <w:r w:rsidRPr="00DF14A9">
              <w:t>(EQ 1)</w:t>
            </w:r>
          </w:p>
        </w:tc>
        <w:tc>
          <w:tcPr>
            <w:tcW w:w="2662" w:type="dxa"/>
          </w:tcPr>
          <w:p w14:paraId="53C2BEA3" w14:textId="447A8D86" w:rsidR="00FA4BE1" w:rsidRPr="00A710F9" w:rsidRDefault="00DE74CB" w:rsidP="00D41C65">
            <w:pPr>
              <w:cnfStyle w:val="000000000000" w:firstRow="0" w:lastRow="0" w:firstColumn="0" w:lastColumn="0" w:oddVBand="0" w:evenVBand="0" w:oddHBand="0" w:evenHBand="0" w:firstRowFirstColumn="0" w:firstRowLastColumn="0" w:lastRowFirstColumn="0" w:lastRowLastColumn="0"/>
            </w:pPr>
            <w:r w:rsidRPr="00DE74CB">
              <w:rPr>
                <w:b/>
                <w:bCs/>
              </w:rPr>
              <w:t xml:space="preserve"># </w:t>
            </w:r>
            <w:r>
              <w:rPr>
                <w:b/>
                <w:bCs/>
              </w:rPr>
              <w:t>2</w:t>
            </w:r>
            <w:r w:rsidRPr="00DE74CB">
              <w:rPr>
                <w:b/>
                <w:bCs/>
              </w:rPr>
              <w:t>.</w:t>
            </w:r>
            <w:r>
              <w:t xml:space="preserve"> </w:t>
            </w:r>
            <w:r w:rsidR="00FA4BE1" w:rsidRPr="00A710F9">
              <w:t>Pacific regional organisations provide adequate support to PICs to manage and develop their fisheries sustainably and cooperatively</w:t>
            </w:r>
          </w:p>
        </w:tc>
        <w:tc>
          <w:tcPr>
            <w:tcW w:w="2322" w:type="dxa"/>
          </w:tcPr>
          <w:p w14:paraId="71186268"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Strategic and/or Business Plans delivered in very few areas</w:t>
            </w:r>
          </w:p>
          <w:p w14:paraId="4F841EE6"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Organisation provides limited support for regional unity and fisheries development</w:t>
            </w:r>
          </w:p>
          <w:p w14:paraId="1AA245C8"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Service delivery to members is minimal and commitments to members are partly articulated but very few are upheld</w:t>
            </w:r>
          </w:p>
        </w:tc>
        <w:tc>
          <w:tcPr>
            <w:tcW w:w="2322" w:type="dxa"/>
          </w:tcPr>
          <w:p w14:paraId="5E5BD688"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Strategic and/or Business Plans delivered in some areas</w:t>
            </w:r>
          </w:p>
          <w:p w14:paraId="04420730"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Organisation provides reasonable support for regional unity and fisheries development</w:t>
            </w:r>
          </w:p>
          <w:p w14:paraId="741A5F80"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Service delivery to members barely meets requirements and commitments to members are articulated but few are upheld</w:t>
            </w:r>
          </w:p>
        </w:tc>
        <w:tc>
          <w:tcPr>
            <w:tcW w:w="2322" w:type="dxa"/>
          </w:tcPr>
          <w:p w14:paraId="32CEB201"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Strategic and/or Business Plans delivered in most areas</w:t>
            </w:r>
          </w:p>
          <w:p w14:paraId="3E8F979F"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Organisation contributes to regional unity and fisheries development</w:t>
            </w:r>
          </w:p>
          <w:p w14:paraId="25B87EA3"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Service delivery to members is sufficient and commitments to members are articulated and most are upheld</w:t>
            </w:r>
          </w:p>
        </w:tc>
        <w:tc>
          <w:tcPr>
            <w:tcW w:w="2322" w:type="dxa"/>
          </w:tcPr>
          <w:p w14:paraId="31DEFED2"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Strategic and/or Business Plans delivered in all areas</w:t>
            </w:r>
          </w:p>
          <w:p w14:paraId="52E27C54"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Organisation actively strengthens regional unity and fisheries development</w:t>
            </w:r>
          </w:p>
          <w:p w14:paraId="55C88BA4"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Service delivery to members is effective and efficient and commitments to members are articulated and upheld</w:t>
            </w:r>
          </w:p>
        </w:tc>
      </w:tr>
      <w:tr w:rsidR="00FA4BE1" w:rsidRPr="00A710F9" w14:paraId="67F213A3" w14:textId="77777777" w:rsidTr="00DE7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A08AF17" w14:textId="77777777" w:rsidR="00477250" w:rsidRPr="00DF14A9" w:rsidRDefault="00477250" w:rsidP="00477250">
            <w:r w:rsidRPr="00DF14A9">
              <w:t>Effectiveness</w:t>
            </w:r>
          </w:p>
          <w:p w14:paraId="230EC105" w14:textId="0A31B264" w:rsidR="00FA4BE1" w:rsidRPr="00DF14A9" w:rsidRDefault="00477250" w:rsidP="00477250">
            <w:r w:rsidRPr="00DF14A9">
              <w:t>(EQ 1)</w:t>
            </w:r>
          </w:p>
        </w:tc>
        <w:tc>
          <w:tcPr>
            <w:tcW w:w="2662" w:type="dxa"/>
          </w:tcPr>
          <w:p w14:paraId="080FAABF" w14:textId="4C8BB62B" w:rsidR="00FA4BE1" w:rsidRPr="00A710F9" w:rsidRDefault="00DE74CB" w:rsidP="00D41C65">
            <w:pPr>
              <w:cnfStyle w:val="000000100000" w:firstRow="0" w:lastRow="0" w:firstColumn="0" w:lastColumn="0" w:oddVBand="0" w:evenVBand="0" w:oddHBand="1" w:evenHBand="0" w:firstRowFirstColumn="0" w:firstRowLastColumn="0" w:lastRowFirstColumn="0" w:lastRowLastColumn="0"/>
            </w:pPr>
            <w:r w:rsidRPr="00DE74CB">
              <w:rPr>
                <w:b/>
                <w:bCs/>
              </w:rPr>
              <w:t xml:space="preserve"># </w:t>
            </w:r>
            <w:r>
              <w:rPr>
                <w:b/>
                <w:bCs/>
              </w:rPr>
              <w:t>3</w:t>
            </w:r>
            <w:r w:rsidRPr="00DE74CB">
              <w:rPr>
                <w:b/>
                <w:bCs/>
              </w:rPr>
              <w:t>.</w:t>
            </w:r>
            <w:r>
              <w:t xml:space="preserve"> </w:t>
            </w:r>
            <w:r w:rsidR="00FA4BE1" w:rsidRPr="00A710F9">
              <w:t>Pacific livelihoods are improved through access to sustainable coastal fisheries resources</w:t>
            </w:r>
          </w:p>
        </w:tc>
        <w:tc>
          <w:tcPr>
            <w:tcW w:w="2322" w:type="dxa"/>
          </w:tcPr>
          <w:p w14:paraId="5C161144"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t>CBFM approaches rarely integrated into national frameworks with no resourcing</w:t>
            </w:r>
          </w:p>
          <w:p w14:paraId="55A13A2A"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t xml:space="preserve">Communities have baseline capacity to </w:t>
            </w:r>
            <w:r w:rsidRPr="00A710F9">
              <w:lastRenderedPageBreak/>
              <w:t>develop, monitor and enforce CBFM</w:t>
            </w:r>
          </w:p>
          <w:p w14:paraId="25413CA5"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t>No improved community wellbeing or coastal ecosystem health</w:t>
            </w:r>
          </w:p>
        </w:tc>
        <w:tc>
          <w:tcPr>
            <w:tcW w:w="2322" w:type="dxa"/>
          </w:tcPr>
          <w:p w14:paraId="52C0422F"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lastRenderedPageBreak/>
              <w:t>CBFM approaches partially integrated into national frameworks with no dedicated resourcing</w:t>
            </w:r>
          </w:p>
          <w:p w14:paraId="34B7E06A"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lastRenderedPageBreak/>
              <w:t>Communities have some capacity to develop, monitor and enforce CBFM, but not all</w:t>
            </w:r>
          </w:p>
          <w:p w14:paraId="0D290619"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t>Passable improvement in community wellbeing and coastal ecosystem health</w:t>
            </w:r>
          </w:p>
        </w:tc>
        <w:tc>
          <w:tcPr>
            <w:tcW w:w="2322" w:type="dxa"/>
          </w:tcPr>
          <w:p w14:paraId="79DB9A69"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lastRenderedPageBreak/>
              <w:t>CBFM approaches partially integrated into national frameworks with some resourcing</w:t>
            </w:r>
          </w:p>
          <w:p w14:paraId="78BFAA39"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t xml:space="preserve">All communities have some capacity </w:t>
            </w:r>
            <w:r w:rsidRPr="00A710F9">
              <w:lastRenderedPageBreak/>
              <w:t>to develop, monitor and enforce CBFM</w:t>
            </w:r>
          </w:p>
          <w:p w14:paraId="6BF2451D"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t>Noticeable improvement in community wellbeing and coastal ecosystem health</w:t>
            </w:r>
          </w:p>
        </w:tc>
        <w:tc>
          <w:tcPr>
            <w:tcW w:w="2322" w:type="dxa"/>
          </w:tcPr>
          <w:p w14:paraId="485265D7"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lastRenderedPageBreak/>
              <w:t>CBFM approaches fully integrated into national frameworks with adequate resourcing</w:t>
            </w:r>
          </w:p>
          <w:p w14:paraId="1C19D022"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lastRenderedPageBreak/>
              <w:t>All communities have the capacity to develop, monitor and enforce CBFM</w:t>
            </w:r>
          </w:p>
          <w:p w14:paraId="255278D4"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t>Improved community wellbeing and coastal ecosystem health, including equitable access to benefits</w:t>
            </w:r>
          </w:p>
        </w:tc>
      </w:tr>
      <w:tr w:rsidR="00FA4BE1" w:rsidRPr="00A710F9" w14:paraId="583A23CD" w14:textId="77777777" w:rsidTr="00787D0B">
        <w:tc>
          <w:tcPr>
            <w:cnfStyle w:val="001000000000" w:firstRow="0" w:lastRow="0" w:firstColumn="1" w:lastColumn="0" w:oddVBand="0" w:evenVBand="0" w:oddHBand="0" w:evenHBand="0" w:firstRowFirstColumn="0" w:firstRowLastColumn="0" w:lastRowFirstColumn="0" w:lastRowLastColumn="0"/>
            <w:tcW w:w="1980" w:type="dxa"/>
            <w:shd w:val="clear" w:color="auto" w:fill="D9E2F3" w:themeFill="accent1" w:themeFillTint="33"/>
          </w:tcPr>
          <w:p w14:paraId="0C995003" w14:textId="77777777" w:rsidR="00477250" w:rsidRPr="00DF14A9" w:rsidRDefault="00477250" w:rsidP="00477250">
            <w:r w:rsidRPr="00DF14A9">
              <w:lastRenderedPageBreak/>
              <w:t>Effectiveness</w:t>
            </w:r>
          </w:p>
          <w:p w14:paraId="4CE83E03" w14:textId="709F2D32" w:rsidR="00FA4BE1" w:rsidRPr="00DF14A9" w:rsidRDefault="00477250" w:rsidP="00477250">
            <w:r w:rsidRPr="00DF14A9">
              <w:t>(EQ 1)</w:t>
            </w:r>
          </w:p>
        </w:tc>
        <w:tc>
          <w:tcPr>
            <w:tcW w:w="2662" w:type="dxa"/>
          </w:tcPr>
          <w:p w14:paraId="049FE537" w14:textId="558F59D8" w:rsidR="00FA4BE1" w:rsidRPr="00A710F9" w:rsidRDefault="00DE74CB" w:rsidP="00D41C65">
            <w:pPr>
              <w:cnfStyle w:val="000000000000" w:firstRow="0" w:lastRow="0" w:firstColumn="0" w:lastColumn="0" w:oddVBand="0" w:evenVBand="0" w:oddHBand="0" w:evenHBand="0" w:firstRowFirstColumn="0" w:firstRowLastColumn="0" w:lastRowFirstColumn="0" w:lastRowLastColumn="0"/>
            </w:pPr>
            <w:r w:rsidRPr="00DE74CB">
              <w:rPr>
                <w:b/>
                <w:bCs/>
              </w:rPr>
              <w:t xml:space="preserve"># </w:t>
            </w:r>
            <w:r>
              <w:rPr>
                <w:b/>
                <w:bCs/>
              </w:rPr>
              <w:t>4</w:t>
            </w:r>
            <w:r w:rsidRPr="00DE74CB">
              <w:rPr>
                <w:b/>
                <w:bCs/>
              </w:rPr>
              <w:t>.</w:t>
            </w:r>
            <w:r>
              <w:t xml:space="preserve"> </w:t>
            </w:r>
            <w:r w:rsidR="00FA4BE1" w:rsidRPr="00A710F9">
              <w:t>IUU fishing is reduced through coordinated fisheries monitoring, control and surveillance activities</w:t>
            </w:r>
          </w:p>
        </w:tc>
        <w:tc>
          <w:tcPr>
            <w:tcW w:w="2322" w:type="dxa"/>
          </w:tcPr>
          <w:p w14:paraId="05292695"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t>At the national and regional level:</w:t>
            </w:r>
          </w:p>
          <w:p w14:paraId="16B9CD11" w14:textId="77777777" w:rsidR="00FA4BE1" w:rsidRPr="00A710F9" w:rsidDel="004F6C08"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IUU fishing analysis and threat assessments are rarely integrated into operational planning, and the deployment of assets is not targeted</w:t>
            </w:r>
          </w:p>
          <w:p w14:paraId="70FCBBB9"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Delivery of MCS training has not increased PIC capacity to conduct IUU fishing surveillance and enforcement activities</w:t>
            </w:r>
          </w:p>
          <w:p w14:paraId="2ABA8B0A"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lastRenderedPageBreak/>
              <w:t xml:space="preserve">Information sharing and cooperation mechanisms are not </w:t>
            </w:r>
            <w:proofErr w:type="gramStart"/>
            <w:r w:rsidRPr="00A710F9">
              <w:t>effective</w:t>
            </w:r>
            <w:proofErr w:type="gramEnd"/>
            <w:r w:rsidRPr="00A710F9">
              <w:t xml:space="preserve"> and PICs are unable to utilise the information needed to inform operations</w:t>
            </w:r>
          </w:p>
        </w:tc>
        <w:tc>
          <w:tcPr>
            <w:tcW w:w="2322" w:type="dxa"/>
          </w:tcPr>
          <w:p w14:paraId="5174C896"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lastRenderedPageBreak/>
              <w:t>At the national and regional level:</w:t>
            </w:r>
          </w:p>
          <w:p w14:paraId="0840070D"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IUU fishing analysis and threat assessments are partially integrated into operational planning, and the deployment of assets is sometimes targeted</w:t>
            </w:r>
          </w:p>
          <w:p w14:paraId="1B5B280F"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Delivery of MCS training has partially increased PIC capacity to conduct IUU fishing surveillance and enforcement activities</w:t>
            </w:r>
          </w:p>
          <w:p w14:paraId="131C92FB"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lastRenderedPageBreak/>
              <w:t xml:space="preserve">Information sharing and cooperation mechanisms are adequate and PICs can utilise some information needed to inform operations </w:t>
            </w:r>
          </w:p>
        </w:tc>
        <w:tc>
          <w:tcPr>
            <w:tcW w:w="2322" w:type="dxa"/>
          </w:tcPr>
          <w:p w14:paraId="4A3F5E41"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lastRenderedPageBreak/>
              <w:t>At the national and regional level:</w:t>
            </w:r>
          </w:p>
          <w:p w14:paraId="7C0FD0DB"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IUU fishing analysis and threat assessments mostly integrated into operational planning, and the deployment of assets is targeted</w:t>
            </w:r>
          </w:p>
          <w:p w14:paraId="05CC5B52"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Delivery of MCS training has mostly increased PIC capacity to conduct IUU fishing surveillance and enforcement activities</w:t>
            </w:r>
          </w:p>
          <w:p w14:paraId="0BD812B6"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 xml:space="preserve">Information sharing and </w:t>
            </w:r>
            <w:r w:rsidRPr="00A710F9">
              <w:lastRenderedPageBreak/>
              <w:t>cooperation mechanisms are mostly effective and enable PICs to utilise most information needed to inform operations</w:t>
            </w:r>
          </w:p>
        </w:tc>
        <w:tc>
          <w:tcPr>
            <w:tcW w:w="2322" w:type="dxa"/>
          </w:tcPr>
          <w:p w14:paraId="7B529340"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lastRenderedPageBreak/>
              <w:t>At the national and regional level:</w:t>
            </w:r>
          </w:p>
          <w:p w14:paraId="29E7F4DD"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IUU fishing analysis and threat assessments fully integrated into operational planning, and the deployment of assets is targeted, leading to effective enforcement action</w:t>
            </w:r>
          </w:p>
          <w:p w14:paraId="42A98A71"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 xml:space="preserve">Delivery of MCS training has greatly increased PIC capacity to conduct IUU fishing surveillance and </w:t>
            </w:r>
            <w:r w:rsidRPr="00A710F9">
              <w:lastRenderedPageBreak/>
              <w:t>enforcement activities</w:t>
            </w:r>
          </w:p>
          <w:p w14:paraId="7D30E7D0"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Information sharing and cooperation mechanisms are fully effective and enable PICs to access all information needed to inform operations</w:t>
            </w:r>
          </w:p>
        </w:tc>
      </w:tr>
      <w:tr w:rsidR="00FA4BE1" w:rsidRPr="00A710F9" w14:paraId="158DEA86" w14:textId="77777777" w:rsidTr="00DE7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04C1A68" w14:textId="77777777" w:rsidR="00477250" w:rsidRPr="00DF14A9" w:rsidRDefault="00477250" w:rsidP="00477250">
            <w:r w:rsidRPr="00DF14A9">
              <w:lastRenderedPageBreak/>
              <w:t>Effectiveness</w:t>
            </w:r>
          </w:p>
          <w:p w14:paraId="497C5872" w14:textId="129DEEE3" w:rsidR="00FA4BE1" w:rsidRPr="00DF14A9" w:rsidRDefault="00477250" w:rsidP="00477250">
            <w:r w:rsidRPr="00DF14A9">
              <w:t>(EQ 1)</w:t>
            </w:r>
          </w:p>
        </w:tc>
        <w:tc>
          <w:tcPr>
            <w:tcW w:w="2662" w:type="dxa"/>
          </w:tcPr>
          <w:p w14:paraId="4259F99C" w14:textId="19404B13" w:rsidR="00FA4BE1" w:rsidRPr="00A710F9" w:rsidRDefault="00DE74CB" w:rsidP="00D41C65">
            <w:pPr>
              <w:cnfStyle w:val="000000100000" w:firstRow="0" w:lastRow="0" w:firstColumn="0" w:lastColumn="0" w:oddVBand="0" w:evenVBand="0" w:oddHBand="1" w:evenHBand="0" w:firstRowFirstColumn="0" w:firstRowLastColumn="0" w:lastRowFirstColumn="0" w:lastRowLastColumn="0"/>
            </w:pPr>
            <w:r w:rsidRPr="00DE74CB">
              <w:rPr>
                <w:b/>
                <w:bCs/>
              </w:rPr>
              <w:t xml:space="preserve"># </w:t>
            </w:r>
            <w:r>
              <w:rPr>
                <w:b/>
                <w:bCs/>
              </w:rPr>
              <w:t>5</w:t>
            </w:r>
            <w:r w:rsidRPr="00DE74CB">
              <w:rPr>
                <w:b/>
                <w:bCs/>
              </w:rPr>
              <w:t>.</w:t>
            </w:r>
            <w:r>
              <w:t xml:space="preserve"> </w:t>
            </w:r>
            <w:r w:rsidR="00FA4BE1" w:rsidRPr="00A710F9">
              <w:t>Maritime boundaries are secured and resilience to the effects of climate change</w:t>
            </w:r>
          </w:p>
        </w:tc>
        <w:tc>
          <w:tcPr>
            <w:tcW w:w="2322" w:type="dxa"/>
          </w:tcPr>
          <w:p w14:paraId="10C9BA9A" w14:textId="77777777" w:rsidR="00FA4BE1" w:rsidRPr="00A710F9" w:rsidRDefault="00FA4BE1" w:rsidP="00821BD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A710F9">
              <w:t>PICs have limited capacity to negotiate and delimit boundaries, requiring substantial SPC support</w:t>
            </w:r>
          </w:p>
          <w:p w14:paraId="26087320" w14:textId="77777777" w:rsidR="00FA4BE1" w:rsidRPr="00A710F9" w:rsidRDefault="00FA4BE1" w:rsidP="00821BD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A710F9">
              <w:t>Only a few Pacific maritime boundaries determined</w:t>
            </w:r>
          </w:p>
          <w:p w14:paraId="2D35498D" w14:textId="77777777"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p>
        </w:tc>
        <w:tc>
          <w:tcPr>
            <w:tcW w:w="2322" w:type="dxa"/>
          </w:tcPr>
          <w:p w14:paraId="70535F2A" w14:textId="77777777" w:rsidR="00FA4BE1" w:rsidRPr="00A710F9" w:rsidRDefault="00FA4BE1" w:rsidP="00821BD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A710F9">
              <w:t>PICs can negotiate and delimit boundaries with SPC support</w:t>
            </w:r>
          </w:p>
          <w:p w14:paraId="4976D042" w14:textId="77777777" w:rsidR="00FA4BE1" w:rsidRPr="00A710F9" w:rsidRDefault="00FA4BE1" w:rsidP="00821BD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A710F9">
              <w:t>Some Pacific maritime boundaries determined</w:t>
            </w:r>
          </w:p>
          <w:p w14:paraId="6E205382" w14:textId="77777777" w:rsidR="00FA4BE1" w:rsidRPr="00A710F9" w:rsidRDefault="00FA4BE1" w:rsidP="00821BD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A710F9">
              <w:t>PICs have adequate information to respond to climate change impacts on national jurisdictional rights</w:t>
            </w:r>
          </w:p>
        </w:tc>
        <w:tc>
          <w:tcPr>
            <w:tcW w:w="2322" w:type="dxa"/>
          </w:tcPr>
          <w:p w14:paraId="693092C4" w14:textId="77777777" w:rsidR="00FA4BE1" w:rsidRPr="00A710F9" w:rsidRDefault="00FA4BE1" w:rsidP="00821BD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A710F9">
              <w:t>PICs have sufficient legal and technical capability to negotiate and delimit boundaries with SPC support</w:t>
            </w:r>
          </w:p>
          <w:p w14:paraId="077B62D1" w14:textId="77777777" w:rsidR="00FA4BE1" w:rsidRPr="00A710F9" w:rsidRDefault="00FA4BE1" w:rsidP="00821BD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A710F9">
              <w:t>Most Pacific maritime boundaries determined</w:t>
            </w:r>
          </w:p>
          <w:p w14:paraId="238A97D6" w14:textId="77777777" w:rsidR="00FA4BE1" w:rsidRPr="00A710F9" w:rsidRDefault="00FA4BE1" w:rsidP="00821BD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A710F9">
              <w:t>PICs have adequate information to respond to climate impacts on national jurisdictional rights</w:t>
            </w:r>
          </w:p>
        </w:tc>
        <w:tc>
          <w:tcPr>
            <w:tcW w:w="2322" w:type="dxa"/>
          </w:tcPr>
          <w:p w14:paraId="16EFB128" w14:textId="77777777" w:rsidR="00FA4BE1" w:rsidRPr="00A710F9" w:rsidRDefault="00FA4BE1" w:rsidP="00821BD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A710F9">
              <w:t>PICs have strong legal and technical capability to negotiate and delimit boundaries with broad SPC support</w:t>
            </w:r>
          </w:p>
          <w:p w14:paraId="046BF8CB" w14:textId="77777777" w:rsidR="00FA4BE1" w:rsidRPr="00A710F9" w:rsidRDefault="00FA4BE1" w:rsidP="00821BD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A710F9">
              <w:t>All Pacific maritime boundaries determined</w:t>
            </w:r>
          </w:p>
          <w:p w14:paraId="3D342C22" w14:textId="77777777" w:rsidR="00FA4BE1" w:rsidRPr="00A710F9" w:rsidRDefault="00FA4BE1" w:rsidP="00821BD8">
            <w:pPr>
              <w:pStyle w:val="ListParagraph"/>
              <w:numPr>
                <w:ilvl w:val="0"/>
                <w:numId w:val="16"/>
              </w:numPr>
              <w:cnfStyle w:val="000000100000" w:firstRow="0" w:lastRow="0" w:firstColumn="0" w:lastColumn="0" w:oddVBand="0" w:evenVBand="0" w:oddHBand="1" w:evenHBand="0" w:firstRowFirstColumn="0" w:firstRowLastColumn="0" w:lastRowFirstColumn="0" w:lastRowLastColumn="0"/>
            </w:pPr>
            <w:r w:rsidRPr="00A710F9">
              <w:t xml:space="preserve">PICs have the information to effectively respond to climate impacts on jurisdictional rights and to advocate for international recognition of ongoing maritime </w:t>
            </w:r>
            <w:r w:rsidRPr="00A710F9">
              <w:lastRenderedPageBreak/>
              <w:t>boundaries in the face of climate change</w:t>
            </w:r>
          </w:p>
        </w:tc>
      </w:tr>
      <w:tr w:rsidR="00FA4BE1" w:rsidRPr="00A710F9" w14:paraId="38D7D452" w14:textId="77777777" w:rsidTr="00787D0B">
        <w:tc>
          <w:tcPr>
            <w:cnfStyle w:val="001000000000" w:firstRow="0" w:lastRow="0" w:firstColumn="1" w:lastColumn="0" w:oddVBand="0" w:evenVBand="0" w:oddHBand="0" w:evenHBand="0" w:firstRowFirstColumn="0" w:firstRowLastColumn="0" w:lastRowFirstColumn="0" w:lastRowLastColumn="0"/>
            <w:tcW w:w="1980" w:type="dxa"/>
            <w:shd w:val="clear" w:color="auto" w:fill="D9E2F3" w:themeFill="accent1" w:themeFillTint="33"/>
          </w:tcPr>
          <w:p w14:paraId="573CF780" w14:textId="77777777" w:rsidR="00477250" w:rsidRPr="00DF14A9" w:rsidRDefault="00477250" w:rsidP="00477250">
            <w:r w:rsidRPr="00DF14A9">
              <w:lastRenderedPageBreak/>
              <w:t>Effectiveness</w:t>
            </w:r>
          </w:p>
          <w:p w14:paraId="006AC5D0" w14:textId="58EFC117" w:rsidR="00FA4BE1" w:rsidRPr="00DF14A9" w:rsidRDefault="00477250" w:rsidP="00477250">
            <w:r w:rsidRPr="00DF14A9">
              <w:t>(EQ 1)</w:t>
            </w:r>
          </w:p>
        </w:tc>
        <w:tc>
          <w:tcPr>
            <w:tcW w:w="2662" w:type="dxa"/>
          </w:tcPr>
          <w:p w14:paraId="1B3379B5" w14:textId="7EA816CE" w:rsidR="00FA4BE1" w:rsidRPr="00A710F9" w:rsidRDefault="00DE74CB" w:rsidP="00D41C65">
            <w:pPr>
              <w:cnfStyle w:val="000000000000" w:firstRow="0" w:lastRow="0" w:firstColumn="0" w:lastColumn="0" w:oddVBand="0" w:evenVBand="0" w:oddHBand="0" w:evenHBand="0" w:firstRowFirstColumn="0" w:firstRowLastColumn="0" w:lastRowFirstColumn="0" w:lastRowLastColumn="0"/>
            </w:pPr>
            <w:r w:rsidRPr="00DE74CB">
              <w:rPr>
                <w:b/>
                <w:bCs/>
              </w:rPr>
              <w:t xml:space="preserve"># </w:t>
            </w:r>
            <w:r>
              <w:rPr>
                <w:b/>
                <w:bCs/>
              </w:rPr>
              <w:t>6</w:t>
            </w:r>
            <w:r w:rsidRPr="00DE74CB">
              <w:rPr>
                <w:b/>
                <w:bCs/>
              </w:rPr>
              <w:t>.</w:t>
            </w:r>
            <w:r>
              <w:t xml:space="preserve"> </w:t>
            </w:r>
            <w:r w:rsidR="00FA4BE1" w:rsidRPr="00A710F9">
              <w:t>DFAT coordinated with and leveraged support provided by other key stakeholders, including other donors, government and non-government organisations (including private sector)</w:t>
            </w:r>
          </w:p>
        </w:tc>
        <w:tc>
          <w:tcPr>
            <w:tcW w:w="2322" w:type="dxa"/>
          </w:tcPr>
          <w:p w14:paraId="20D0D0A0"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t>DFAT did not coordinate with other key stakeholders or programs were duplicative</w:t>
            </w:r>
          </w:p>
        </w:tc>
        <w:tc>
          <w:tcPr>
            <w:tcW w:w="2322" w:type="dxa"/>
          </w:tcPr>
          <w:p w14:paraId="05E04E20"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t>DFAT coordinated with and leveraged support from other key stakeholders by sharing information on programs and development priorities</w:t>
            </w:r>
          </w:p>
        </w:tc>
        <w:tc>
          <w:tcPr>
            <w:tcW w:w="2322" w:type="dxa"/>
          </w:tcPr>
          <w:p w14:paraId="0921E21B"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t>DFAT was well coordinated with and leveraged support from other key stakeholders by exchanging information and consulting during design/prior to implementation</w:t>
            </w:r>
          </w:p>
        </w:tc>
        <w:tc>
          <w:tcPr>
            <w:tcW w:w="2322" w:type="dxa"/>
          </w:tcPr>
          <w:p w14:paraId="73EBD1AD"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t>DFAT were highly coordinated with and leveraged support from other key stakeholders, including to co-deliver programs</w:t>
            </w:r>
          </w:p>
        </w:tc>
      </w:tr>
      <w:tr w:rsidR="00FA4BE1" w:rsidRPr="00A710F9" w14:paraId="12CFAAEA" w14:textId="77777777" w:rsidTr="00DE7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2914D2D" w14:textId="77777777" w:rsidR="00FA4BE1" w:rsidRPr="00DF14A9" w:rsidRDefault="00FA4BE1" w:rsidP="00D41C65">
            <w:r w:rsidRPr="00DF14A9">
              <w:t>Efficiency</w:t>
            </w:r>
          </w:p>
          <w:p w14:paraId="2B4AAAE3" w14:textId="77777777" w:rsidR="00FA4BE1" w:rsidRPr="00DF14A9" w:rsidRDefault="00FA4BE1" w:rsidP="00D41C65">
            <w:r w:rsidRPr="00DF14A9">
              <w:t>(EQ 2)</w:t>
            </w:r>
          </w:p>
        </w:tc>
        <w:tc>
          <w:tcPr>
            <w:tcW w:w="2662" w:type="dxa"/>
          </w:tcPr>
          <w:p w14:paraId="6A8AA3C0" w14:textId="451377CD" w:rsidR="00FA4BE1" w:rsidRPr="00A710F9" w:rsidRDefault="00DE74CB" w:rsidP="00D41C65">
            <w:pPr>
              <w:cnfStyle w:val="000000100000" w:firstRow="0" w:lastRow="0" w:firstColumn="0" w:lastColumn="0" w:oddVBand="0" w:evenVBand="0" w:oddHBand="1" w:evenHBand="0" w:firstRowFirstColumn="0" w:firstRowLastColumn="0" w:lastRowFirstColumn="0" w:lastRowLastColumn="0"/>
            </w:pPr>
            <w:r w:rsidRPr="00DE74CB">
              <w:rPr>
                <w:b/>
                <w:bCs/>
              </w:rPr>
              <w:t xml:space="preserve"># </w:t>
            </w:r>
            <w:r>
              <w:rPr>
                <w:b/>
                <w:bCs/>
              </w:rPr>
              <w:t>7</w:t>
            </w:r>
            <w:r w:rsidRPr="00DE74CB">
              <w:rPr>
                <w:b/>
                <w:bCs/>
              </w:rPr>
              <w:t>.</w:t>
            </w:r>
            <w:r>
              <w:t xml:space="preserve"> </w:t>
            </w:r>
            <w:r w:rsidR="00821BD8">
              <w:t>Investment</w:t>
            </w:r>
            <w:r w:rsidR="00FA4BE1" w:rsidRPr="00A710F9">
              <w:t xml:space="preserve"> made appropriate and efficient use of Australia’s and partners’ time and resources to achieve the EOPOs</w:t>
            </w:r>
          </w:p>
        </w:tc>
        <w:tc>
          <w:tcPr>
            <w:tcW w:w="2322" w:type="dxa"/>
          </w:tcPr>
          <w:p w14:paraId="63B8DC0F" w14:textId="57FE0DBD"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rsidRPr="00A710F9">
              <w:t xml:space="preserve">The </w:t>
            </w:r>
            <w:r w:rsidR="00821BD8">
              <w:t>Investment</w:t>
            </w:r>
            <w:r w:rsidRPr="00A710F9">
              <w:t xml:space="preserve"> made poor use of time and resources</w:t>
            </w:r>
          </w:p>
        </w:tc>
        <w:tc>
          <w:tcPr>
            <w:tcW w:w="2322" w:type="dxa"/>
          </w:tcPr>
          <w:p w14:paraId="45DF0716" w14:textId="70F5B6EB"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rsidRPr="00A710F9">
              <w:t xml:space="preserve">The </w:t>
            </w:r>
            <w:r w:rsidR="00821BD8">
              <w:t>Investment</w:t>
            </w:r>
            <w:r w:rsidRPr="00A710F9">
              <w:t xml:space="preserve"> made reasonable use of time and resources in relation to some of the EOPOs </w:t>
            </w:r>
          </w:p>
        </w:tc>
        <w:tc>
          <w:tcPr>
            <w:tcW w:w="2322" w:type="dxa"/>
          </w:tcPr>
          <w:p w14:paraId="181FB674" w14:textId="01665044"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rsidRPr="00A710F9">
              <w:t xml:space="preserve">The </w:t>
            </w:r>
            <w:r w:rsidR="00821BD8">
              <w:t>Investment</w:t>
            </w:r>
            <w:r w:rsidRPr="00A710F9">
              <w:t xml:space="preserve"> made good use of available time and resources in relation to almost all EOPOs </w:t>
            </w:r>
          </w:p>
        </w:tc>
        <w:tc>
          <w:tcPr>
            <w:tcW w:w="2322" w:type="dxa"/>
          </w:tcPr>
          <w:p w14:paraId="13A7435B" w14:textId="2A9E7A84"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rsidRPr="00A710F9">
              <w:t xml:space="preserve">The </w:t>
            </w:r>
            <w:r w:rsidR="00821BD8">
              <w:t>Investment</w:t>
            </w:r>
            <w:r w:rsidRPr="00A710F9">
              <w:t xml:space="preserve"> made very good use of available time and resources in relation to all EOPOs </w:t>
            </w:r>
          </w:p>
        </w:tc>
      </w:tr>
      <w:tr w:rsidR="00FA4BE1" w:rsidRPr="00A710F9" w14:paraId="44409F5E" w14:textId="77777777" w:rsidTr="00787D0B">
        <w:tc>
          <w:tcPr>
            <w:cnfStyle w:val="001000000000" w:firstRow="0" w:lastRow="0" w:firstColumn="1" w:lastColumn="0" w:oddVBand="0" w:evenVBand="0" w:oddHBand="0" w:evenHBand="0" w:firstRowFirstColumn="0" w:firstRowLastColumn="0" w:lastRowFirstColumn="0" w:lastRowLastColumn="0"/>
            <w:tcW w:w="1980" w:type="dxa"/>
            <w:shd w:val="clear" w:color="auto" w:fill="D9E2F3" w:themeFill="accent1" w:themeFillTint="33"/>
          </w:tcPr>
          <w:p w14:paraId="58A807BD" w14:textId="77777777" w:rsidR="00137387" w:rsidRPr="00DF14A9" w:rsidRDefault="00137387" w:rsidP="00137387">
            <w:r w:rsidRPr="00DF14A9">
              <w:t>Efficiency</w:t>
            </w:r>
          </w:p>
          <w:p w14:paraId="43DC96F8" w14:textId="413DBCD2" w:rsidR="00FA4BE1" w:rsidRPr="00DF14A9" w:rsidRDefault="00137387" w:rsidP="00137387">
            <w:r w:rsidRPr="00DF14A9">
              <w:t>(EQ 2)</w:t>
            </w:r>
          </w:p>
        </w:tc>
        <w:tc>
          <w:tcPr>
            <w:tcW w:w="2662" w:type="dxa"/>
          </w:tcPr>
          <w:p w14:paraId="00987845" w14:textId="43DA2973" w:rsidR="00FA4BE1" w:rsidRPr="00A710F9" w:rsidRDefault="00DE74CB" w:rsidP="00D41C65">
            <w:pPr>
              <w:cnfStyle w:val="000000000000" w:firstRow="0" w:lastRow="0" w:firstColumn="0" w:lastColumn="0" w:oddVBand="0" w:evenVBand="0" w:oddHBand="0" w:evenHBand="0" w:firstRowFirstColumn="0" w:firstRowLastColumn="0" w:lastRowFirstColumn="0" w:lastRowLastColumn="0"/>
            </w:pPr>
            <w:r w:rsidRPr="00DE74CB">
              <w:rPr>
                <w:b/>
                <w:bCs/>
              </w:rPr>
              <w:t xml:space="preserve"># </w:t>
            </w:r>
            <w:r>
              <w:rPr>
                <w:b/>
                <w:bCs/>
              </w:rPr>
              <w:t>8</w:t>
            </w:r>
            <w:r w:rsidRPr="00DE74CB">
              <w:rPr>
                <w:b/>
                <w:bCs/>
              </w:rPr>
              <w:t>.</w:t>
            </w:r>
            <w:r>
              <w:t xml:space="preserve"> </w:t>
            </w:r>
            <w:r w:rsidR="00FA4BE1" w:rsidRPr="00A710F9">
              <w:t>Partner selection and modalities chosen helped achieved intended outcomes</w:t>
            </w:r>
          </w:p>
        </w:tc>
        <w:tc>
          <w:tcPr>
            <w:tcW w:w="2322" w:type="dxa"/>
          </w:tcPr>
          <w:p w14:paraId="744AB02D"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t>Partner selection and the chosen modalities were mostly inefficient for achieving the EOPOs</w:t>
            </w:r>
          </w:p>
        </w:tc>
        <w:tc>
          <w:tcPr>
            <w:tcW w:w="2322" w:type="dxa"/>
          </w:tcPr>
          <w:p w14:paraId="7055A8A1"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t>Partner selection and the chosen modalities were adequate, with room for improvement for achieving the EOPOs</w:t>
            </w:r>
          </w:p>
        </w:tc>
        <w:tc>
          <w:tcPr>
            <w:tcW w:w="2322" w:type="dxa"/>
          </w:tcPr>
          <w:p w14:paraId="21331EA7"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t xml:space="preserve">Partner selection and the chosen modalities were good, or mostly efficient for achieving the EOPOs </w:t>
            </w:r>
          </w:p>
        </w:tc>
        <w:tc>
          <w:tcPr>
            <w:tcW w:w="2322" w:type="dxa"/>
          </w:tcPr>
          <w:p w14:paraId="412BB161"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t xml:space="preserve">Partner selection and the chosen modalities were very good, or very efficient for achieving the EOPOs </w:t>
            </w:r>
          </w:p>
        </w:tc>
      </w:tr>
      <w:tr w:rsidR="00FA4BE1" w:rsidRPr="00A710F9" w14:paraId="0A935085" w14:textId="77777777" w:rsidTr="00DE7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638DAD" w14:textId="77777777" w:rsidR="00137387" w:rsidRPr="00DF14A9" w:rsidRDefault="00137387" w:rsidP="00137387">
            <w:r w:rsidRPr="00DF14A9">
              <w:t>Efficiency</w:t>
            </w:r>
          </w:p>
          <w:p w14:paraId="7E2EBDC6" w14:textId="223EFD71" w:rsidR="00FA4BE1" w:rsidRPr="00DF14A9" w:rsidRDefault="00137387" w:rsidP="00137387">
            <w:r w:rsidRPr="00DF14A9">
              <w:t>(EQ 2)</w:t>
            </w:r>
          </w:p>
        </w:tc>
        <w:tc>
          <w:tcPr>
            <w:tcW w:w="2662" w:type="dxa"/>
          </w:tcPr>
          <w:p w14:paraId="623352F5" w14:textId="5BDBB8C1" w:rsidR="00FA4BE1" w:rsidRPr="00A710F9" w:rsidRDefault="00DE74CB" w:rsidP="00D41C65">
            <w:pPr>
              <w:cnfStyle w:val="000000100000" w:firstRow="0" w:lastRow="0" w:firstColumn="0" w:lastColumn="0" w:oddVBand="0" w:evenVBand="0" w:oddHBand="1" w:evenHBand="0" w:firstRowFirstColumn="0" w:firstRowLastColumn="0" w:lastRowFirstColumn="0" w:lastRowLastColumn="0"/>
            </w:pPr>
            <w:r w:rsidRPr="00DE74CB">
              <w:rPr>
                <w:b/>
                <w:bCs/>
              </w:rPr>
              <w:t xml:space="preserve"># </w:t>
            </w:r>
            <w:r>
              <w:rPr>
                <w:b/>
                <w:bCs/>
              </w:rPr>
              <w:t>9</w:t>
            </w:r>
            <w:r w:rsidRPr="00DE74CB">
              <w:rPr>
                <w:b/>
                <w:bCs/>
              </w:rPr>
              <w:t>.</w:t>
            </w:r>
            <w:r>
              <w:t xml:space="preserve"> </w:t>
            </w:r>
            <w:r w:rsidR="00FA4BE1" w:rsidRPr="00A710F9">
              <w:t xml:space="preserve">DFAT’s Risk management was effective </w:t>
            </w:r>
          </w:p>
        </w:tc>
        <w:tc>
          <w:tcPr>
            <w:tcW w:w="2322" w:type="dxa"/>
          </w:tcPr>
          <w:p w14:paraId="66026EEC" w14:textId="77777777" w:rsidR="00FA4BE1" w:rsidRPr="00A710F9" w:rsidRDefault="00FA4BE1" w:rsidP="00821BD8">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A710F9">
              <w:t>Sporadic attention was made to the management of risks</w:t>
            </w:r>
          </w:p>
          <w:p w14:paraId="06663F7C" w14:textId="77777777" w:rsidR="00FA4BE1" w:rsidRPr="00A710F9" w:rsidRDefault="00FA4BE1" w:rsidP="00821BD8">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A710F9">
              <w:t>Controls were ineffective</w:t>
            </w:r>
          </w:p>
          <w:p w14:paraId="1B9E332B" w14:textId="77777777" w:rsidR="00FA4BE1" w:rsidRPr="00A710F9" w:rsidRDefault="00FA4BE1" w:rsidP="00821BD8">
            <w:pPr>
              <w:pStyle w:val="ListParagraph"/>
              <w:numPr>
                <w:ilvl w:val="0"/>
                <w:numId w:val="17"/>
              </w:numPr>
              <w:cnfStyle w:val="000000100000" w:firstRow="0" w:lastRow="0" w:firstColumn="0" w:lastColumn="0" w:oddVBand="0" w:evenVBand="0" w:oddHBand="1" w:evenHBand="0" w:firstRowFirstColumn="0" w:firstRowLastColumn="0" w:lastRowFirstColumn="0" w:lastRowLastColumn="0"/>
            </w:pPr>
            <w:r w:rsidRPr="00A710F9">
              <w:t xml:space="preserve">Poor risk management </w:t>
            </w:r>
            <w:r w:rsidRPr="00A710F9">
              <w:lastRenderedPageBreak/>
              <w:t>impacted outcomes negatively</w:t>
            </w:r>
          </w:p>
        </w:tc>
        <w:tc>
          <w:tcPr>
            <w:tcW w:w="2322" w:type="dxa"/>
          </w:tcPr>
          <w:p w14:paraId="1F1DB82A" w14:textId="46F06C82"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rsidRPr="00A710F9">
              <w:lastRenderedPageBreak/>
              <w:t xml:space="preserve">Risks to outcomes were reasonably managed over most of the lifetime of the </w:t>
            </w:r>
            <w:r w:rsidR="00821BD8">
              <w:t>Investment</w:t>
            </w:r>
            <w:r w:rsidRPr="00A710F9">
              <w:t xml:space="preserve"> and most controls were effective </w:t>
            </w:r>
          </w:p>
        </w:tc>
        <w:tc>
          <w:tcPr>
            <w:tcW w:w="2322" w:type="dxa"/>
          </w:tcPr>
          <w:p w14:paraId="522ED7EE" w14:textId="0A9677B6"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rsidRPr="00A710F9">
              <w:t xml:space="preserve">Risks to outcomes were largely well managed over the lifetime of the </w:t>
            </w:r>
            <w:r w:rsidR="00821BD8">
              <w:t>Investment</w:t>
            </w:r>
            <w:r w:rsidRPr="00A710F9">
              <w:t xml:space="preserve"> and most controls were effective </w:t>
            </w:r>
          </w:p>
          <w:p w14:paraId="6A1EB9E6" w14:textId="77777777"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p>
        </w:tc>
        <w:tc>
          <w:tcPr>
            <w:tcW w:w="2322" w:type="dxa"/>
          </w:tcPr>
          <w:p w14:paraId="37CE90BC" w14:textId="1721B6F2"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rsidRPr="00A710F9">
              <w:t xml:space="preserve">Risks to the achievement of outcomes were well managed over the </w:t>
            </w:r>
            <w:r w:rsidR="00821BD8">
              <w:t>Investment</w:t>
            </w:r>
            <w:r w:rsidRPr="00A710F9">
              <w:t xml:space="preserve"> lifetime and all controls were effective </w:t>
            </w:r>
          </w:p>
        </w:tc>
      </w:tr>
      <w:tr w:rsidR="00FA4BE1" w:rsidRPr="00A710F9" w14:paraId="5E83620B" w14:textId="77777777" w:rsidTr="00787D0B">
        <w:tc>
          <w:tcPr>
            <w:cnfStyle w:val="001000000000" w:firstRow="0" w:lastRow="0" w:firstColumn="1" w:lastColumn="0" w:oddVBand="0" w:evenVBand="0" w:oddHBand="0" w:evenHBand="0" w:firstRowFirstColumn="0" w:firstRowLastColumn="0" w:lastRowFirstColumn="0" w:lastRowLastColumn="0"/>
            <w:tcW w:w="1980" w:type="dxa"/>
            <w:shd w:val="clear" w:color="auto" w:fill="D9E2F3" w:themeFill="accent1" w:themeFillTint="33"/>
          </w:tcPr>
          <w:p w14:paraId="018CDA5B" w14:textId="77777777" w:rsidR="00137387" w:rsidRPr="00DF14A9" w:rsidRDefault="00137387" w:rsidP="00137387">
            <w:r w:rsidRPr="00DF14A9">
              <w:t>Efficiency</w:t>
            </w:r>
          </w:p>
          <w:p w14:paraId="5084B816" w14:textId="13A18218" w:rsidR="00FA4BE1" w:rsidRPr="00DF14A9" w:rsidRDefault="00137387" w:rsidP="00137387">
            <w:r w:rsidRPr="00DF14A9">
              <w:t>(EQ 2)</w:t>
            </w:r>
          </w:p>
        </w:tc>
        <w:tc>
          <w:tcPr>
            <w:tcW w:w="2662" w:type="dxa"/>
          </w:tcPr>
          <w:p w14:paraId="0E96FF8F" w14:textId="174BBC60" w:rsidR="00FA4BE1" w:rsidRPr="00A710F9" w:rsidRDefault="00DE74CB" w:rsidP="00D41C65">
            <w:pPr>
              <w:cnfStyle w:val="000000000000" w:firstRow="0" w:lastRow="0" w:firstColumn="0" w:lastColumn="0" w:oddVBand="0" w:evenVBand="0" w:oddHBand="0" w:evenHBand="0" w:firstRowFirstColumn="0" w:firstRowLastColumn="0" w:lastRowFirstColumn="0" w:lastRowLastColumn="0"/>
            </w:pPr>
            <w:r w:rsidRPr="00DE74CB">
              <w:rPr>
                <w:b/>
                <w:bCs/>
              </w:rPr>
              <w:t># 1</w:t>
            </w:r>
            <w:r>
              <w:rPr>
                <w:b/>
                <w:bCs/>
              </w:rPr>
              <w:t>0</w:t>
            </w:r>
            <w:r w:rsidRPr="00DE74CB">
              <w:rPr>
                <w:b/>
                <w:bCs/>
              </w:rPr>
              <w:t>.</w:t>
            </w:r>
            <w:r>
              <w:t xml:space="preserve"> </w:t>
            </w:r>
            <w:r w:rsidR="00FA4BE1" w:rsidRPr="00A710F9">
              <w:t>DFAT’s and partners’ MEL Systems generated credible information that was used for management decision-making, learning and accountability purposes</w:t>
            </w:r>
          </w:p>
        </w:tc>
        <w:tc>
          <w:tcPr>
            <w:tcW w:w="2322" w:type="dxa"/>
          </w:tcPr>
          <w:p w14:paraId="51D6C313"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t>Very little attention to the production and credible use of performance information to support basic-management functions</w:t>
            </w:r>
          </w:p>
        </w:tc>
        <w:tc>
          <w:tcPr>
            <w:tcW w:w="2322" w:type="dxa"/>
          </w:tcPr>
          <w:p w14:paraId="37069D99"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t>Reasonable attention to the production and credible use of performance information to support management decision making and learning with room for improvement</w:t>
            </w:r>
          </w:p>
        </w:tc>
        <w:tc>
          <w:tcPr>
            <w:tcW w:w="2322" w:type="dxa"/>
          </w:tcPr>
          <w:p w14:paraId="13D8CD6D"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t>A good degree of attention to the production and credible use of performance information including MEL data to support management decision making and learning</w:t>
            </w:r>
          </w:p>
        </w:tc>
        <w:tc>
          <w:tcPr>
            <w:tcW w:w="2322" w:type="dxa"/>
          </w:tcPr>
          <w:p w14:paraId="7F4D9613" w14:textId="77777777"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rsidRPr="00A710F9">
              <w:t>Very good degree of attention to the production and credible use of performance information including MEL data that was used systematically to support management decision making and learning and this improved the extent to which outcomes were delivered</w:t>
            </w:r>
          </w:p>
        </w:tc>
      </w:tr>
      <w:tr w:rsidR="00FA4BE1" w:rsidRPr="00A710F9" w14:paraId="2A367D2D" w14:textId="77777777" w:rsidTr="00DE7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31379FE" w14:textId="77777777" w:rsidR="00AA1149" w:rsidRDefault="00AA1149" w:rsidP="00D41C65">
            <w:pPr>
              <w:rPr>
                <w:b w:val="0"/>
                <w:bCs w:val="0"/>
              </w:rPr>
            </w:pPr>
            <w:r>
              <w:t>Cross-Cutting Outcomes (EQ3) Including:</w:t>
            </w:r>
          </w:p>
          <w:p w14:paraId="49AC7295" w14:textId="77777777" w:rsidR="00AA1149" w:rsidRDefault="00AA1149" w:rsidP="00D41C65">
            <w:pPr>
              <w:rPr>
                <w:b w:val="0"/>
                <w:bCs w:val="0"/>
              </w:rPr>
            </w:pPr>
          </w:p>
          <w:p w14:paraId="59EA0B2B" w14:textId="0D3BC976" w:rsidR="00FA4BE1" w:rsidRPr="00DF14A9" w:rsidRDefault="00FA4BE1" w:rsidP="00D41C65">
            <w:r w:rsidRPr="00DF14A9">
              <w:t>Gender</w:t>
            </w:r>
          </w:p>
        </w:tc>
        <w:tc>
          <w:tcPr>
            <w:tcW w:w="2662" w:type="dxa"/>
          </w:tcPr>
          <w:p w14:paraId="02BB5F72" w14:textId="17AA6BE6" w:rsidR="00FA4BE1" w:rsidRPr="00A710F9" w:rsidRDefault="00DE74CB" w:rsidP="00D41C65">
            <w:pPr>
              <w:cnfStyle w:val="000000100000" w:firstRow="0" w:lastRow="0" w:firstColumn="0" w:lastColumn="0" w:oddVBand="0" w:evenVBand="0" w:oddHBand="1" w:evenHBand="0" w:firstRowFirstColumn="0" w:firstRowLastColumn="0" w:lastRowFirstColumn="0" w:lastRowLastColumn="0"/>
            </w:pPr>
            <w:r w:rsidRPr="00DE74CB">
              <w:rPr>
                <w:b/>
                <w:bCs/>
              </w:rPr>
              <w:t># 1</w:t>
            </w:r>
            <w:r>
              <w:rPr>
                <w:b/>
                <w:bCs/>
              </w:rPr>
              <w:t>1</w:t>
            </w:r>
            <w:r w:rsidRPr="00DE74CB">
              <w:rPr>
                <w:b/>
                <w:bCs/>
              </w:rPr>
              <w:t>.</w:t>
            </w:r>
            <w:r>
              <w:t xml:space="preserve"> </w:t>
            </w:r>
            <w:r w:rsidR="00821BD8">
              <w:t>Investment</w:t>
            </w:r>
            <w:r w:rsidR="00FA4BE1" w:rsidRPr="006002F1">
              <w:t xml:space="preserve"> contributed to fostering inclusion among marginalised groups and gender equality including empowering women, and youth</w:t>
            </w:r>
          </w:p>
        </w:tc>
        <w:tc>
          <w:tcPr>
            <w:tcW w:w="2322" w:type="dxa"/>
          </w:tcPr>
          <w:p w14:paraId="69493E53" w14:textId="38BB4B6C" w:rsidR="00FA4BE1"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 xml:space="preserve">The </w:t>
            </w:r>
            <w:r w:rsidR="00821BD8">
              <w:t>Investment</w:t>
            </w:r>
            <w:r>
              <w:t xml:space="preserve"> did not consider gender equality</w:t>
            </w:r>
          </w:p>
          <w:p w14:paraId="39E8F2E9" w14:textId="0717785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t xml:space="preserve">The </w:t>
            </w:r>
            <w:r w:rsidR="00821BD8">
              <w:t>Investment</w:t>
            </w:r>
            <w:r w:rsidRPr="00A710F9">
              <w:t xml:space="preserve"> could have or did result in harm or discrimination</w:t>
            </w:r>
          </w:p>
        </w:tc>
        <w:tc>
          <w:tcPr>
            <w:tcW w:w="2322" w:type="dxa"/>
          </w:tcPr>
          <w:p w14:paraId="38BBAFAF" w14:textId="348800C4" w:rsidR="00FA4BE1"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 xml:space="preserve">The </w:t>
            </w:r>
            <w:r w:rsidR="00821BD8">
              <w:t>Investment</w:t>
            </w:r>
            <w:r>
              <w:t xml:space="preserve"> considered gender equality in very few areas</w:t>
            </w:r>
          </w:p>
          <w:p w14:paraId="134F9AA7"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t>Strategies or activities aimed at gender equality were ineffectively implemented but did no harm</w:t>
            </w:r>
          </w:p>
        </w:tc>
        <w:tc>
          <w:tcPr>
            <w:tcW w:w="2322" w:type="dxa"/>
          </w:tcPr>
          <w:p w14:paraId="6FECB67B" w14:textId="616751E9" w:rsidR="00FA4BE1"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 xml:space="preserve">The </w:t>
            </w:r>
            <w:r w:rsidR="00821BD8">
              <w:t>Investment</w:t>
            </w:r>
            <w:r>
              <w:t xml:space="preserve"> considered gender</w:t>
            </w:r>
            <w:r w:rsidRPr="006002F1">
              <w:t xml:space="preserve"> equality </w:t>
            </w:r>
            <w:r>
              <w:t>in some areas</w:t>
            </w:r>
          </w:p>
          <w:p w14:paraId="67218744" w14:textId="77777777" w:rsidR="00FA4BE1"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Strategies or activities to improve gender equality were mostly implemented and had some benefit for women and marginalised groups</w:t>
            </w:r>
          </w:p>
          <w:p w14:paraId="0C4F1BD7"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lastRenderedPageBreak/>
              <w:t>Sex-disaggregated data was collected</w:t>
            </w:r>
          </w:p>
        </w:tc>
        <w:tc>
          <w:tcPr>
            <w:tcW w:w="2322" w:type="dxa"/>
          </w:tcPr>
          <w:p w14:paraId="51EBBC4E" w14:textId="47CFB66B" w:rsidR="00FA4BE1"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lastRenderedPageBreak/>
              <w:t xml:space="preserve">The </w:t>
            </w:r>
            <w:r w:rsidR="00821BD8">
              <w:t>Investment</w:t>
            </w:r>
            <w:r>
              <w:t xml:space="preserve"> considered gender</w:t>
            </w:r>
            <w:r w:rsidRPr="006002F1">
              <w:t xml:space="preserve"> equality </w:t>
            </w:r>
            <w:r>
              <w:t>in most areas</w:t>
            </w:r>
          </w:p>
          <w:p w14:paraId="5BA3D4D3" w14:textId="77777777" w:rsidR="00FA4BE1"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Appropriate strategies and actions to improve gender equality were implemented and had a positive impact for women and marginalised groups</w:t>
            </w:r>
          </w:p>
          <w:p w14:paraId="37289059" w14:textId="77777777" w:rsidR="00FA4BE1" w:rsidRPr="00A710F9"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A710F9">
              <w:t xml:space="preserve">Sex-disaggregated data was collected </w:t>
            </w:r>
            <w:r w:rsidRPr="00A710F9">
              <w:lastRenderedPageBreak/>
              <w:t>and is informing implementation</w:t>
            </w:r>
          </w:p>
        </w:tc>
      </w:tr>
      <w:tr w:rsidR="00FA4BE1" w:rsidRPr="00A710F9" w14:paraId="525CD6DD" w14:textId="77777777" w:rsidTr="00DE74CB">
        <w:tc>
          <w:tcPr>
            <w:cnfStyle w:val="001000000000" w:firstRow="0" w:lastRow="0" w:firstColumn="1" w:lastColumn="0" w:oddVBand="0" w:evenVBand="0" w:oddHBand="0" w:evenHBand="0" w:firstRowFirstColumn="0" w:firstRowLastColumn="0" w:lastRowFirstColumn="0" w:lastRowLastColumn="0"/>
            <w:tcW w:w="1980" w:type="dxa"/>
          </w:tcPr>
          <w:p w14:paraId="63CD8735" w14:textId="77777777" w:rsidR="00AA1149" w:rsidRDefault="00AA1149" w:rsidP="00AA1149">
            <w:pPr>
              <w:rPr>
                <w:b w:val="0"/>
                <w:bCs w:val="0"/>
              </w:rPr>
            </w:pPr>
            <w:r>
              <w:lastRenderedPageBreak/>
              <w:t>Cross-Cutting Outcomes (EQ3) Including:</w:t>
            </w:r>
          </w:p>
          <w:p w14:paraId="0D4F9A1D" w14:textId="77777777" w:rsidR="00AA1149" w:rsidRDefault="00AA1149" w:rsidP="00AA1149">
            <w:pPr>
              <w:rPr>
                <w:b w:val="0"/>
                <w:bCs w:val="0"/>
              </w:rPr>
            </w:pPr>
          </w:p>
          <w:p w14:paraId="076CEED5" w14:textId="77777777" w:rsidR="00FA4BE1" w:rsidRPr="00DF14A9" w:rsidRDefault="00FA4BE1" w:rsidP="00D41C65">
            <w:r w:rsidRPr="00DF14A9">
              <w:t>Disability</w:t>
            </w:r>
          </w:p>
        </w:tc>
        <w:tc>
          <w:tcPr>
            <w:tcW w:w="2662" w:type="dxa"/>
          </w:tcPr>
          <w:p w14:paraId="79131FCB" w14:textId="440D9322" w:rsidR="00FA4BE1" w:rsidRPr="00A710F9" w:rsidRDefault="00DE74CB" w:rsidP="00D41C65">
            <w:pPr>
              <w:cnfStyle w:val="000000000000" w:firstRow="0" w:lastRow="0" w:firstColumn="0" w:lastColumn="0" w:oddVBand="0" w:evenVBand="0" w:oddHBand="0" w:evenHBand="0" w:firstRowFirstColumn="0" w:firstRowLastColumn="0" w:lastRowFirstColumn="0" w:lastRowLastColumn="0"/>
            </w:pPr>
            <w:r w:rsidRPr="00DE74CB">
              <w:rPr>
                <w:b/>
                <w:bCs/>
              </w:rPr>
              <w:t># 1</w:t>
            </w:r>
            <w:r>
              <w:rPr>
                <w:b/>
                <w:bCs/>
              </w:rPr>
              <w:t>2</w:t>
            </w:r>
            <w:r w:rsidRPr="00DE74CB">
              <w:rPr>
                <w:b/>
                <w:bCs/>
              </w:rPr>
              <w:t>.</w:t>
            </w:r>
            <w:r>
              <w:t xml:space="preserve"> </w:t>
            </w:r>
            <w:r w:rsidR="00821BD8">
              <w:t>Investment</w:t>
            </w:r>
            <w:r w:rsidR="00FA4BE1" w:rsidRPr="006002F1">
              <w:t xml:space="preserve"> contributed to fostering inclusion among people with disability</w:t>
            </w:r>
          </w:p>
        </w:tc>
        <w:tc>
          <w:tcPr>
            <w:tcW w:w="2322" w:type="dxa"/>
          </w:tcPr>
          <w:p w14:paraId="6DB79459" w14:textId="3C66B674" w:rsidR="00FA4BE1"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The </w:t>
            </w:r>
            <w:r w:rsidR="00821BD8">
              <w:t>Investment</w:t>
            </w:r>
            <w:r>
              <w:t xml:space="preserve"> did not consider disability, and could have or did result in harm or discrimination</w:t>
            </w:r>
          </w:p>
          <w:p w14:paraId="36C2FFDC"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T</w:t>
            </w:r>
            <w:r w:rsidRPr="00A710F9">
              <w:t>here was no engagement with people with disabilities or organisations of persons with disabilities (OPDs)</w:t>
            </w:r>
          </w:p>
        </w:tc>
        <w:tc>
          <w:tcPr>
            <w:tcW w:w="2322" w:type="dxa"/>
          </w:tcPr>
          <w:p w14:paraId="71DE798E" w14:textId="7ED5AE20" w:rsidR="00FA4BE1"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The </w:t>
            </w:r>
            <w:r w:rsidR="00821BD8">
              <w:t>Investment</w:t>
            </w:r>
            <w:r>
              <w:t xml:space="preserve"> </w:t>
            </w:r>
            <w:r w:rsidRPr="006002F1">
              <w:t>considered</w:t>
            </w:r>
            <w:r>
              <w:t xml:space="preserve"> disability in very few areas, and could have or did result in harm or discrimination</w:t>
            </w:r>
          </w:p>
          <w:p w14:paraId="7EEA263B"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There was minimal engagement with people with disabilities or OPDs</w:t>
            </w:r>
          </w:p>
        </w:tc>
        <w:tc>
          <w:tcPr>
            <w:tcW w:w="2322" w:type="dxa"/>
          </w:tcPr>
          <w:p w14:paraId="77C9AA21" w14:textId="3DAAB7A5" w:rsidR="00FA4BE1"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 xml:space="preserve">The </w:t>
            </w:r>
            <w:r w:rsidR="00821BD8">
              <w:t>Investment</w:t>
            </w:r>
            <w:r>
              <w:t xml:space="preserve"> considered disability in some areas, </w:t>
            </w:r>
            <w:r w:rsidRPr="006002F1">
              <w:t>did no harm and did not reinforce discrimination</w:t>
            </w:r>
          </w:p>
          <w:p w14:paraId="0E90A835"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People with disabilities or OPDs were engaged in some aspects of the program</w:t>
            </w:r>
          </w:p>
        </w:tc>
        <w:tc>
          <w:tcPr>
            <w:tcW w:w="2322" w:type="dxa"/>
          </w:tcPr>
          <w:p w14:paraId="5E91A23D" w14:textId="0549E88D" w:rsidR="00FA4BE1"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bookmarkStart w:id="85" w:name="OLE_LINK2"/>
            <w:r>
              <w:t xml:space="preserve">The </w:t>
            </w:r>
            <w:r w:rsidR="00821BD8">
              <w:t>Investment</w:t>
            </w:r>
            <w:r>
              <w:t xml:space="preserve"> considered disability in most areas and had a benefit for people with disabilities</w:t>
            </w:r>
          </w:p>
          <w:p w14:paraId="1409E5B7" w14:textId="77777777" w:rsidR="00FA4BE1"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t>People with disabilities or OPDs were engaged in most aspects of the program</w:t>
            </w:r>
          </w:p>
          <w:p w14:paraId="5ABE5201" w14:textId="77777777" w:rsidR="00FA4BE1" w:rsidRPr="00A710F9" w:rsidRDefault="00FA4BE1" w:rsidP="00821BD8">
            <w:pPr>
              <w:pStyle w:val="ListParagraph"/>
              <w:numPr>
                <w:ilvl w:val="0"/>
                <w:numId w:val="15"/>
              </w:numPr>
              <w:cnfStyle w:val="000000000000" w:firstRow="0" w:lastRow="0" w:firstColumn="0" w:lastColumn="0" w:oddVBand="0" w:evenVBand="0" w:oddHBand="0" w:evenHBand="0" w:firstRowFirstColumn="0" w:firstRowLastColumn="0" w:lastRowFirstColumn="0" w:lastRowLastColumn="0"/>
            </w:pPr>
            <w:r w:rsidRPr="00A710F9">
              <w:t>Data was collected</w:t>
            </w:r>
            <w:r>
              <w:t xml:space="preserve"> and is informing implementation</w:t>
            </w:r>
            <w:bookmarkEnd w:id="85"/>
          </w:p>
        </w:tc>
      </w:tr>
      <w:tr w:rsidR="00FA4BE1" w:rsidRPr="00A710F9" w14:paraId="326982F6" w14:textId="77777777" w:rsidTr="00DE7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35F2511" w14:textId="77777777" w:rsidR="00AA1149" w:rsidRDefault="00AA1149" w:rsidP="00AA1149">
            <w:pPr>
              <w:rPr>
                <w:b w:val="0"/>
                <w:bCs w:val="0"/>
              </w:rPr>
            </w:pPr>
            <w:r>
              <w:t>Cross-Cutting Outcomes (EQ3) Including:</w:t>
            </w:r>
          </w:p>
          <w:p w14:paraId="641DB97E" w14:textId="77777777" w:rsidR="00AA1149" w:rsidRDefault="00AA1149" w:rsidP="00AA1149">
            <w:pPr>
              <w:rPr>
                <w:b w:val="0"/>
                <w:bCs w:val="0"/>
              </w:rPr>
            </w:pPr>
          </w:p>
          <w:p w14:paraId="4EABC8B5" w14:textId="77777777" w:rsidR="00FA4BE1" w:rsidRPr="00DF14A9" w:rsidRDefault="00FA4BE1" w:rsidP="00D41C65">
            <w:r w:rsidRPr="00DF14A9">
              <w:t>Climate Change</w:t>
            </w:r>
          </w:p>
        </w:tc>
        <w:tc>
          <w:tcPr>
            <w:tcW w:w="2662" w:type="dxa"/>
          </w:tcPr>
          <w:p w14:paraId="2F3F9B3A" w14:textId="4D805672" w:rsidR="00FA4BE1" w:rsidRPr="00A710F9" w:rsidRDefault="00DE74CB" w:rsidP="00D41C65">
            <w:pPr>
              <w:cnfStyle w:val="000000100000" w:firstRow="0" w:lastRow="0" w:firstColumn="0" w:lastColumn="0" w:oddVBand="0" w:evenVBand="0" w:oddHBand="1" w:evenHBand="0" w:firstRowFirstColumn="0" w:firstRowLastColumn="0" w:lastRowFirstColumn="0" w:lastRowLastColumn="0"/>
            </w:pPr>
            <w:r w:rsidRPr="00DE74CB">
              <w:rPr>
                <w:b/>
                <w:bCs/>
              </w:rPr>
              <w:t># 1</w:t>
            </w:r>
            <w:r>
              <w:rPr>
                <w:b/>
                <w:bCs/>
              </w:rPr>
              <w:t>3</w:t>
            </w:r>
            <w:r w:rsidRPr="00DE74CB">
              <w:rPr>
                <w:b/>
                <w:bCs/>
              </w:rPr>
              <w:t>.</w:t>
            </w:r>
            <w:r>
              <w:t xml:space="preserve"> </w:t>
            </w:r>
            <w:r w:rsidR="00821BD8">
              <w:t>Investment</w:t>
            </w:r>
            <w:r w:rsidR="00FA4BE1" w:rsidRPr="006002F1">
              <w:t xml:space="preserve"> supported partners in adapting </w:t>
            </w:r>
            <w:r w:rsidR="00FA4BE1">
              <w:t>to</w:t>
            </w:r>
            <w:r w:rsidR="00FA4BE1" w:rsidRPr="006002F1">
              <w:t xml:space="preserve"> the impacts of climate change</w:t>
            </w:r>
          </w:p>
        </w:tc>
        <w:tc>
          <w:tcPr>
            <w:tcW w:w="2322" w:type="dxa"/>
          </w:tcPr>
          <w:p w14:paraId="3632C0E2" w14:textId="2AC01C21"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rsidRPr="00A710F9">
              <w:t xml:space="preserve">The </w:t>
            </w:r>
            <w:r w:rsidR="00821BD8">
              <w:t>Investment</w:t>
            </w:r>
            <w:r w:rsidRPr="00A710F9">
              <w:t xml:space="preserve"> did not consider climate change or resulted in maladaptation to the impacts of climate change</w:t>
            </w:r>
          </w:p>
          <w:p w14:paraId="541E7C83" w14:textId="77777777"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p>
        </w:tc>
        <w:tc>
          <w:tcPr>
            <w:tcW w:w="2322" w:type="dxa"/>
          </w:tcPr>
          <w:p w14:paraId="309B8256" w14:textId="5DA658EE"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t xml:space="preserve">Some activities of the </w:t>
            </w:r>
            <w:r w:rsidR="00821BD8">
              <w:t>Investment</w:t>
            </w:r>
            <w:r>
              <w:t xml:space="preserve"> supported PICs to adapt to the impacts of climate change</w:t>
            </w:r>
          </w:p>
        </w:tc>
        <w:tc>
          <w:tcPr>
            <w:tcW w:w="2322" w:type="dxa"/>
          </w:tcPr>
          <w:p w14:paraId="58E3E16D" w14:textId="2DE92763"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t xml:space="preserve">Most activities of the </w:t>
            </w:r>
            <w:r w:rsidR="00821BD8">
              <w:t>Investment</w:t>
            </w:r>
            <w:r>
              <w:t xml:space="preserve"> supported PICs to adapt to the impacts of climate change, and some activities were informed by climate change analysis</w:t>
            </w:r>
          </w:p>
        </w:tc>
        <w:tc>
          <w:tcPr>
            <w:tcW w:w="2322" w:type="dxa"/>
          </w:tcPr>
          <w:p w14:paraId="394BF7AD" w14:textId="77777777" w:rsidR="00FA4BE1" w:rsidRPr="00A710F9" w:rsidRDefault="00FA4BE1" w:rsidP="00D41C65">
            <w:pPr>
              <w:cnfStyle w:val="000000100000" w:firstRow="0" w:lastRow="0" w:firstColumn="0" w:lastColumn="0" w:oddVBand="0" w:evenVBand="0" w:oddHBand="1" w:evenHBand="0" w:firstRowFirstColumn="0" w:firstRowLastColumn="0" w:lastRowFirstColumn="0" w:lastRowLastColumn="0"/>
            </w:pPr>
            <w:r>
              <w:t>All activities were informed by climate change analysis and helped PICs adapt to the impacts of climate change</w:t>
            </w:r>
          </w:p>
        </w:tc>
      </w:tr>
      <w:tr w:rsidR="00FA4BE1" w:rsidRPr="00A710F9" w14:paraId="0FA79C8A" w14:textId="77777777" w:rsidTr="00DE74CB">
        <w:tc>
          <w:tcPr>
            <w:cnfStyle w:val="001000000000" w:firstRow="0" w:lastRow="0" w:firstColumn="1" w:lastColumn="0" w:oddVBand="0" w:evenVBand="0" w:oddHBand="0" w:evenHBand="0" w:firstRowFirstColumn="0" w:firstRowLastColumn="0" w:lastRowFirstColumn="0" w:lastRowLastColumn="0"/>
            <w:tcW w:w="1980" w:type="dxa"/>
          </w:tcPr>
          <w:p w14:paraId="409D5A18" w14:textId="77777777" w:rsidR="00AA1149" w:rsidRDefault="00AA1149" w:rsidP="00AA1149">
            <w:pPr>
              <w:rPr>
                <w:b w:val="0"/>
                <w:bCs w:val="0"/>
              </w:rPr>
            </w:pPr>
            <w:r>
              <w:t>Cross-Cutting Outcomes (EQ3) Including:</w:t>
            </w:r>
          </w:p>
          <w:p w14:paraId="6F961EC9" w14:textId="77777777" w:rsidR="00AA1149" w:rsidRDefault="00AA1149" w:rsidP="00AA1149">
            <w:pPr>
              <w:rPr>
                <w:b w:val="0"/>
                <w:bCs w:val="0"/>
              </w:rPr>
            </w:pPr>
          </w:p>
          <w:p w14:paraId="14D1EC6A" w14:textId="77777777" w:rsidR="00FA4BE1" w:rsidRPr="00DF14A9" w:rsidRDefault="00FA4BE1" w:rsidP="00D41C65">
            <w:r w:rsidRPr="00DF14A9">
              <w:t>Public Diplomacy</w:t>
            </w:r>
          </w:p>
        </w:tc>
        <w:tc>
          <w:tcPr>
            <w:tcW w:w="2662" w:type="dxa"/>
          </w:tcPr>
          <w:p w14:paraId="54675834" w14:textId="55C17182" w:rsidR="00FA4BE1" w:rsidRPr="00A710F9" w:rsidRDefault="00DE74CB" w:rsidP="00D41C65">
            <w:pPr>
              <w:cnfStyle w:val="000000000000" w:firstRow="0" w:lastRow="0" w:firstColumn="0" w:lastColumn="0" w:oddVBand="0" w:evenVBand="0" w:oddHBand="0" w:evenHBand="0" w:firstRowFirstColumn="0" w:firstRowLastColumn="0" w:lastRowFirstColumn="0" w:lastRowLastColumn="0"/>
            </w:pPr>
            <w:r w:rsidRPr="00DE74CB">
              <w:rPr>
                <w:b/>
                <w:bCs/>
              </w:rPr>
              <w:t># 1</w:t>
            </w:r>
            <w:r>
              <w:rPr>
                <w:b/>
                <w:bCs/>
              </w:rPr>
              <w:t>4</w:t>
            </w:r>
            <w:r w:rsidRPr="00DE74CB">
              <w:rPr>
                <w:b/>
                <w:bCs/>
              </w:rPr>
              <w:t>.</w:t>
            </w:r>
            <w:r>
              <w:t xml:space="preserve"> </w:t>
            </w:r>
            <w:r w:rsidR="00821BD8">
              <w:t>Investment</w:t>
            </w:r>
            <w:r w:rsidR="00FA4BE1" w:rsidRPr="006002F1">
              <w:t xml:space="preserve"> </w:t>
            </w:r>
            <w:r w:rsidR="00FA4BE1">
              <w:t>has improved how Australia is seen in and by the Pacific region</w:t>
            </w:r>
          </w:p>
        </w:tc>
        <w:tc>
          <w:tcPr>
            <w:tcW w:w="2322" w:type="dxa"/>
          </w:tcPr>
          <w:p w14:paraId="1BAF977D" w14:textId="39501A1A"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t>The</w:t>
            </w:r>
            <w:r w:rsidRPr="006002F1">
              <w:t xml:space="preserve"> </w:t>
            </w:r>
            <w:r w:rsidR="00821BD8">
              <w:t>Investment</w:t>
            </w:r>
            <w:r w:rsidRPr="006002F1">
              <w:t xml:space="preserve"> has </w:t>
            </w:r>
            <w:r>
              <w:t>not</w:t>
            </w:r>
            <w:r w:rsidRPr="006002F1">
              <w:t xml:space="preserve"> enhance</w:t>
            </w:r>
            <w:r>
              <w:t>d</w:t>
            </w:r>
            <w:r w:rsidRPr="006002F1">
              <w:t xml:space="preserve"> Australia’s standing in the region</w:t>
            </w:r>
          </w:p>
        </w:tc>
        <w:tc>
          <w:tcPr>
            <w:tcW w:w="2322" w:type="dxa"/>
          </w:tcPr>
          <w:p w14:paraId="3A534CA9" w14:textId="773B7C91"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t>T</w:t>
            </w:r>
            <w:r w:rsidRPr="006002F1">
              <w:t xml:space="preserve">he </w:t>
            </w:r>
            <w:r w:rsidR="00821BD8">
              <w:t>Investment</w:t>
            </w:r>
            <w:r w:rsidRPr="006002F1">
              <w:t xml:space="preserve"> </w:t>
            </w:r>
            <w:r>
              <w:t>has modestly enhanced Australia’s standing in the region</w:t>
            </w:r>
          </w:p>
        </w:tc>
        <w:tc>
          <w:tcPr>
            <w:tcW w:w="2322" w:type="dxa"/>
          </w:tcPr>
          <w:p w14:paraId="28B0B65A" w14:textId="27E5574D"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t>T</w:t>
            </w:r>
            <w:r w:rsidRPr="006002F1">
              <w:t xml:space="preserve">he </w:t>
            </w:r>
            <w:r w:rsidR="00821BD8">
              <w:t>Investment</w:t>
            </w:r>
            <w:r w:rsidRPr="006002F1">
              <w:t xml:space="preserve"> has </w:t>
            </w:r>
            <w:r>
              <w:t>noticeably enhanced Australia’s standing in the region</w:t>
            </w:r>
          </w:p>
        </w:tc>
        <w:tc>
          <w:tcPr>
            <w:tcW w:w="2322" w:type="dxa"/>
          </w:tcPr>
          <w:p w14:paraId="1E507510" w14:textId="1CB33E02" w:rsidR="00FA4BE1" w:rsidRPr="00A710F9" w:rsidRDefault="00FA4BE1" w:rsidP="00D41C65">
            <w:pPr>
              <w:cnfStyle w:val="000000000000" w:firstRow="0" w:lastRow="0" w:firstColumn="0" w:lastColumn="0" w:oddVBand="0" w:evenVBand="0" w:oddHBand="0" w:evenHBand="0" w:firstRowFirstColumn="0" w:firstRowLastColumn="0" w:lastRowFirstColumn="0" w:lastRowLastColumn="0"/>
            </w:pPr>
            <w:r>
              <w:t>T</w:t>
            </w:r>
            <w:r w:rsidRPr="006002F1">
              <w:t xml:space="preserve">he </w:t>
            </w:r>
            <w:r w:rsidR="00821BD8">
              <w:t>Investment</w:t>
            </w:r>
            <w:r w:rsidRPr="006002F1">
              <w:t xml:space="preserve"> has </w:t>
            </w:r>
            <w:r>
              <w:t>strongly enhanced Australia’s standing in the region</w:t>
            </w:r>
          </w:p>
        </w:tc>
      </w:tr>
      <w:tr w:rsidR="00FA4BE1" w:rsidRPr="00A710F9" w14:paraId="6586A5F8" w14:textId="77777777" w:rsidTr="00DE74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237FAA5" w14:textId="77777777" w:rsidR="00AA1149" w:rsidRDefault="00AA1149" w:rsidP="00AA1149">
            <w:pPr>
              <w:rPr>
                <w:b w:val="0"/>
                <w:bCs w:val="0"/>
              </w:rPr>
            </w:pPr>
            <w:r>
              <w:t>Cross-Cutting Outcomes (EQ3) Including:</w:t>
            </w:r>
          </w:p>
          <w:p w14:paraId="28976ABA" w14:textId="77777777" w:rsidR="00AA1149" w:rsidRDefault="00AA1149" w:rsidP="00AA1149">
            <w:pPr>
              <w:rPr>
                <w:b w:val="0"/>
                <w:bCs w:val="0"/>
              </w:rPr>
            </w:pPr>
          </w:p>
          <w:p w14:paraId="2C2D16AD" w14:textId="77777777" w:rsidR="00FA4BE1" w:rsidRPr="00DF14A9" w:rsidRDefault="00FA4BE1" w:rsidP="00D41C65">
            <w:r w:rsidRPr="00DF14A9">
              <w:t>Sustainability</w:t>
            </w:r>
          </w:p>
        </w:tc>
        <w:tc>
          <w:tcPr>
            <w:tcW w:w="2662" w:type="dxa"/>
          </w:tcPr>
          <w:p w14:paraId="58CBBBB2" w14:textId="7D99DBB0" w:rsidR="00FA4BE1" w:rsidRPr="00A710F9" w:rsidRDefault="00DE74CB" w:rsidP="00D41C65">
            <w:pPr>
              <w:cnfStyle w:val="000000100000" w:firstRow="0" w:lastRow="0" w:firstColumn="0" w:lastColumn="0" w:oddVBand="0" w:evenVBand="0" w:oddHBand="1" w:evenHBand="0" w:firstRowFirstColumn="0" w:firstRowLastColumn="0" w:lastRowFirstColumn="0" w:lastRowLastColumn="0"/>
            </w:pPr>
            <w:r w:rsidRPr="00DE74CB">
              <w:rPr>
                <w:b/>
                <w:bCs/>
              </w:rPr>
              <w:lastRenderedPageBreak/>
              <w:t># 1</w:t>
            </w:r>
            <w:r>
              <w:rPr>
                <w:b/>
                <w:bCs/>
              </w:rPr>
              <w:t>5</w:t>
            </w:r>
            <w:r w:rsidRPr="00DE74CB">
              <w:rPr>
                <w:b/>
                <w:bCs/>
              </w:rPr>
              <w:t>.</w:t>
            </w:r>
            <w:r>
              <w:t xml:space="preserve"> </w:t>
            </w:r>
            <w:r w:rsidR="00FA4BE1" w:rsidRPr="006002F1">
              <w:t xml:space="preserve">Benefits of the </w:t>
            </w:r>
            <w:r w:rsidR="00821BD8">
              <w:t>Investment</w:t>
            </w:r>
            <w:r w:rsidR="00FA4BE1" w:rsidRPr="006002F1">
              <w:t xml:space="preserve"> will last</w:t>
            </w:r>
            <w:r w:rsidR="00FA4BE1">
              <w:t xml:space="preserve"> and </w:t>
            </w:r>
            <w:r w:rsidR="00FA4BE1">
              <w:lastRenderedPageBreak/>
              <w:t>were locally led and/or owned</w:t>
            </w:r>
          </w:p>
        </w:tc>
        <w:tc>
          <w:tcPr>
            <w:tcW w:w="2322" w:type="dxa"/>
          </w:tcPr>
          <w:p w14:paraId="1AEC7522" w14:textId="680281EF" w:rsidR="00FA4BE1"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lastRenderedPageBreak/>
              <w:t>T</w:t>
            </w:r>
            <w:r w:rsidRPr="006002F1">
              <w:t>he benefits</w:t>
            </w:r>
            <w:r>
              <w:t xml:space="preserve"> of the </w:t>
            </w:r>
            <w:r w:rsidR="00821BD8">
              <w:t>Investment</w:t>
            </w:r>
            <w:r w:rsidRPr="006002F1">
              <w:t xml:space="preserve"> will </w:t>
            </w:r>
            <w:r w:rsidRPr="006002F1">
              <w:lastRenderedPageBreak/>
              <w:t>endure in very few EOPO areas</w:t>
            </w:r>
          </w:p>
          <w:p w14:paraId="7C56482E" w14:textId="77777777" w:rsidR="00FA4BE1" w:rsidRPr="00C00F0D"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C00F0D">
              <w:t xml:space="preserve">There </w:t>
            </w:r>
            <w:proofErr w:type="gramStart"/>
            <w:r w:rsidRPr="00C00F0D">
              <w:t>was</w:t>
            </w:r>
            <w:proofErr w:type="gramEnd"/>
            <w:r w:rsidRPr="00C00F0D">
              <w:t xml:space="preserve"> no local participation and ownership of activities</w:t>
            </w:r>
          </w:p>
        </w:tc>
        <w:tc>
          <w:tcPr>
            <w:tcW w:w="2322" w:type="dxa"/>
          </w:tcPr>
          <w:p w14:paraId="151BFAB5" w14:textId="77B47162" w:rsidR="00FA4BE1"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lastRenderedPageBreak/>
              <w:t>T</w:t>
            </w:r>
            <w:r w:rsidRPr="006002F1">
              <w:t>he benefits</w:t>
            </w:r>
            <w:r>
              <w:t xml:space="preserve"> of the </w:t>
            </w:r>
            <w:r w:rsidR="00821BD8">
              <w:t>Investment</w:t>
            </w:r>
            <w:r w:rsidRPr="006002F1">
              <w:t xml:space="preserve"> will </w:t>
            </w:r>
            <w:r w:rsidRPr="006002F1">
              <w:lastRenderedPageBreak/>
              <w:t xml:space="preserve">endure in </w:t>
            </w:r>
            <w:r>
              <w:t>some</w:t>
            </w:r>
            <w:r w:rsidRPr="006002F1">
              <w:t xml:space="preserve"> EOPO areas</w:t>
            </w:r>
          </w:p>
          <w:p w14:paraId="6D6DBE1A" w14:textId="77777777" w:rsidR="00FA4BE1" w:rsidRPr="00C00F0D"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 xml:space="preserve">There </w:t>
            </w:r>
            <w:proofErr w:type="gramStart"/>
            <w:r>
              <w:t>was</w:t>
            </w:r>
            <w:proofErr w:type="gramEnd"/>
            <w:r>
              <w:t xml:space="preserve"> local participation and ownership of some activities</w:t>
            </w:r>
          </w:p>
        </w:tc>
        <w:tc>
          <w:tcPr>
            <w:tcW w:w="2322" w:type="dxa"/>
          </w:tcPr>
          <w:p w14:paraId="2622EF2C" w14:textId="1225E9D5" w:rsidR="00FA4BE1"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lastRenderedPageBreak/>
              <w:t>T</w:t>
            </w:r>
            <w:r w:rsidRPr="006002F1">
              <w:t>he benefits</w:t>
            </w:r>
            <w:r>
              <w:t xml:space="preserve"> of the </w:t>
            </w:r>
            <w:r w:rsidR="00821BD8">
              <w:t>Investment</w:t>
            </w:r>
            <w:r w:rsidRPr="006002F1">
              <w:t xml:space="preserve"> will </w:t>
            </w:r>
            <w:r w:rsidRPr="006002F1">
              <w:lastRenderedPageBreak/>
              <w:t xml:space="preserve">endure in </w:t>
            </w:r>
            <w:r>
              <w:t xml:space="preserve">most </w:t>
            </w:r>
            <w:r w:rsidRPr="006002F1">
              <w:t>EOPO areas</w:t>
            </w:r>
          </w:p>
          <w:p w14:paraId="253E2B0D" w14:textId="77777777" w:rsidR="00FA4BE1" w:rsidRPr="00C00F0D"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t xml:space="preserve">There </w:t>
            </w:r>
            <w:proofErr w:type="gramStart"/>
            <w:r>
              <w:t>was</w:t>
            </w:r>
            <w:proofErr w:type="gramEnd"/>
            <w:r>
              <w:t xml:space="preserve"> l</w:t>
            </w:r>
            <w:r w:rsidRPr="00C00F0D">
              <w:t xml:space="preserve">ocal participation and ownership of </w:t>
            </w:r>
            <w:r>
              <w:t>most activities</w:t>
            </w:r>
          </w:p>
        </w:tc>
        <w:tc>
          <w:tcPr>
            <w:tcW w:w="2322" w:type="dxa"/>
          </w:tcPr>
          <w:p w14:paraId="5D0650D0" w14:textId="2DED96BD" w:rsidR="00FA4BE1"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lastRenderedPageBreak/>
              <w:t>T</w:t>
            </w:r>
            <w:r w:rsidRPr="006002F1">
              <w:t xml:space="preserve">he benefits of the </w:t>
            </w:r>
            <w:r w:rsidR="00821BD8">
              <w:t>Investment</w:t>
            </w:r>
            <w:r>
              <w:t xml:space="preserve"> will </w:t>
            </w:r>
            <w:r>
              <w:lastRenderedPageBreak/>
              <w:t>endure</w:t>
            </w:r>
            <w:r w:rsidRPr="006002F1">
              <w:t xml:space="preserve"> in all EOPO areas</w:t>
            </w:r>
          </w:p>
          <w:p w14:paraId="56571327" w14:textId="77777777" w:rsidR="00FA4BE1" w:rsidRPr="00C00F0D" w:rsidRDefault="00FA4BE1" w:rsidP="00821BD8">
            <w:pPr>
              <w:pStyle w:val="ListParagraph"/>
              <w:numPr>
                <w:ilvl w:val="0"/>
                <w:numId w:val="15"/>
              </w:numPr>
              <w:cnfStyle w:val="000000100000" w:firstRow="0" w:lastRow="0" w:firstColumn="0" w:lastColumn="0" w:oddVBand="0" w:evenVBand="0" w:oddHBand="1" w:evenHBand="0" w:firstRowFirstColumn="0" w:firstRowLastColumn="0" w:lastRowFirstColumn="0" w:lastRowLastColumn="0"/>
            </w:pPr>
            <w:r w:rsidRPr="00C00F0D">
              <w:t>There was a high level of local participation and ownership of most activities</w:t>
            </w:r>
          </w:p>
        </w:tc>
      </w:tr>
    </w:tbl>
    <w:p w14:paraId="2504CA1A" w14:textId="77777777" w:rsidR="00A93516" w:rsidRDefault="00A93516" w:rsidP="00357F6C">
      <w:pPr>
        <w:pStyle w:val="Heading1"/>
        <w:rPr>
          <w:rStyle w:val="Heading"/>
          <w:rFonts w:cstheme="minorHAnsi"/>
          <w:color w:val="2F5496" w:themeColor="accent1" w:themeShade="BF"/>
          <w:sz w:val="32"/>
          <w:szCs w:val="32"/>
          <w:lang w:val="en-GB"/>
        </w:rPr>
        <w:sectPr w:rsidR="00A93516" w:rsidSect="000C15A8">
          <w:pgSz w:w="16817" w:h="11901" w:orient="landscape"/>
          <w:pgMar w:top="1440" w:right="1080" w:bottom="1440" w:left="1080" w:header="709" w:footer="709" w:gutter="0"/>
          <w:cols w:space="720"/>
          <w:docGrid w:linePitch="360"/>
        </w:sectPr>
      </w:pPr>
    </w:p>
    <w:p w14:paraId="72B418E3" w14:textId="11D5E4C6" w:rsidR="00C846CE" w:rsidRPr="00FA2BF4" w:rsidRDefault="000F3351" w:rsidP="00FA2BF4">
      <w:pPr>
        <w:pStyle w:val="Heading3"/>
        <w:rPr>
          <w:b/>
          <w:bCs/>
        </w:rPr>
      </w:pPr>
      <w:bookmarkStart w:id="86" w:name="_Toc207206824"/>
      <w:r w:rsidRPr="00FA2BF4">
        <w:rPr>
          <w:b/>
          <w:bCs/>
        </w:rPr>
        <w:lastRenderedPageBreak/>
        <w:t>Annexe</w:t>
      </w:r>
      <w:r w:rsidR="00C846CE" w:rsidRPr="00FA2BF4">
        <w:rPr>
          <w:b/>
          <w:bCs/>
        </w:rPr>
        <w:t xml:space="preserve"> </w:t>
      </w:r>
      <w:r w:rsidR="00576303" w:rsidRPr="00FA2BF4">
        <w:rPr>
          <w:b/>
          <w:bCs/>
        </w:rPr>
        <w:t>6</w:t>
      </w:r>
      <w:r w:rsidR="00C846CE" w:rsidRPr="00FA2BF4">
        <w:rPr>
          <w:b/>
          <w:bCs/>
        </w:rPr>
        <w:t>: Funding by Theme</w:t>
      </w:r>
      <w:bookmarkEnd w:id="86"/>
    </w:p>
    <w:p w14:paraId="0FEEAB58" w14:textId="77777777" w:rsidR="00C846CE" w:rsidRDefault="00C846CE" w:rsidP="00C846CE"/>
    <w:p w14:paraId="3D36EFE7" w14:textId="3F5342BE" w:rsidR="00C846CE" w:rsidRDefault="00C846CE" w:rsidP="00C846CE">
      <w:pPr>
        <w:pStyle w:val="Caption"/>
        <w:spacing w:after="120"/>
      </w:pPr>
      <w:bookmarkStart w:id="87" w:name="_Ref205115150"/>
      <w:r>
        <w:t xml:space="preserve">Figure </w:t>
      </w:r>
      <w:r>
        <w:fldChar w:fldCharType="begin"/>
      </w:r>
      <w:r>
        <w:instrText xml:space="preserve"> SEQ Figure \* ARABIC </w:instrText>
      </w:r>
      <w:r>
        <w:fldChar w:fldCharType="separate"/>
      </w:r>
      <w:r w:rsidR="00FC67EE">
        <w:rPr>
          <w:noProof/>
        </w:rPr>
        <w:t>3</w:t>
      </w:r>
      <w:r>
        <w:rPr>
          <w:noProof/>
        </w:rPr>
        <w:fldChar w:fldCharType="end"/>
      </w:r>
      <w:bookmarkEnd w:id="87"/>
      <w:r>
        <w:t xml:space="preserve">: </w:t>
      </w:r>
      <w:proofErr w:type="spellStart"/>
      <w:r w:rsidR="00B04A64">
        <w:t>Treemap</w:t>
      </w:r>
      <w:proofErr w:type="spellEnd"/>
      <w:r w:rsidR="00B04A64">
        <w:t xml:space="preserve"> </w:t>
      </w:r>
      <w:r w:rsidR="00F92D67">
        <w:t>demonstrating funding distribution breakdown</w:t>
      </w:r>
      <w:r w:rsidR="00714E66">
        <w:t xml:space="preserve"> from 1 June 2010 to 30 June 2026: FFA (51</w:t>
      </w:r>
      <w:r w:rsidR="005630C3">
        <w:t xml:space="preserve">.28%); SPC FAME (19.74%); Coastal Fisheries (CBFM) (16.35%); </w:t>
      </w:r>
      <w:r w:rsidR="00FD7610">
        <w:t>Illegal Unreported and Unregulated fishing (IUU) (5.86%); Maritime Boundaries (3.81%)</w:t>
      </w:r>
      <w:r w:rsidR="00C22F65">
        <w:t>; Oceans (2.05%); Other (0.91%)</w:t>
      </w:r>
    </w:p>
    <w:p w14:paraId="7F9E504C" w14:textId="45937919" w:rsidR="00C846CE" w:rsidRDefault="00E361D7" w:rsidP="00C846CE">
      <w:pPr>
        <w:spacing w:after="120"/>
      </w:pPr>
      <w:r>
        <w:rPr>
          <w:noProof/>
        </w:rPr>
        <w:drawing>
          <wp:inline distT="0" distB="0" distL="0" distR="0" wp14:anchorId="62614C97" wp14:editId="1DCD03D8">
            <wp:extent cx="5627370" cy="4310380"/>
            <wp:effectExtent l="0" t="0" r="0" b="0"/>
            <wp:docPr id="166472089" name="Picture 2" descr="See text above for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72089" name="Picture 2" descr="See text above for image descripti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27370" cy="4310380"/>
                    </a:xfrm>
                    <a:prstGeom prst="rect">
                      <a:avLst/>
                    </a:prstGeom>
                    <a:noFill/>
                  </pic:spPr>
                </pic:pic>
              </a:graphicData>
            </a:graphic>
          </wp:inline>
        </w:drawing>
      </w:r>
    </w:p>
    <w:p w14:paraId="777B7C93" w14:textId="77777777" w:rsidR="00C846CE" w:rsidRDefault="00C846CE" w:rsidP="00C846CE">
      <w:pPr>
        <w:spacing w:after="120"/>
      </w:pPr>
    </w:p>
    <w:p w14:paraId="67AB9BAD" w14:textId="32D340EC" w:rsidR="00910EBF" w:rsidRPr="00910EBF" w:rsidRDefault="00C846CE" w:rsidP="00910EBF">
      <w:pPr>
        <w:pStyle w:val="Caption"/>
      </w:pPr>
      <w:r>
        <w:t xml:space="preserve">Table </w:t>
      </w:r>
      <w:r>
        <w:fldChar w:fldCharType="begin"/>
      </w:r>
      <w:r>
        <w:instrText xml:space="preserve"> SEQ Table \* ARABIC </w:instrText>
      </w:r>
      <w:r>
        <w:fldChar w:fldCharType="separate"/>
      </w:r>
      <w:r w:rsidR="00FC67EE">
        <w:rPr>
          <w:noProof/>
        </w:rPr>
        <w:t>4</w:t>
      </w:r>
      <w:r>
        <w:fldChar w:fldCharType="end"/>
      </w:r>
      <w:r>
        <w:t xml:space="preserve">: </w:t>
      </w:r>
      <w:r w:rsidR="00C22F65">
        <w:t>Table demonstrating i</w:t>
      </w:r>
      <w:r w:rsidR="00821BD8">
        <w:t>nvestment</w:t>
      </w:r>
      <w:r w:rsidRPr="00A70852">
        <w:t xml:space="preserve"> activities by theme</w:t>
      </w:r>
      <w:r w:rsidR="00EE65E7">
        <w:t xml:space="preserve"> showing dollar value (AUD) and % of Investment value</w:t>
      </w:r>
      <w:r w:rsidR="001421FD">
        <w:t>: FFA</w:t>
      </w:r>
      <w:r w:rsidR="00EE65E7">
        <w:t xml:space="preserve"> (AUD65.56m) (51.28%</w:t>
      </w:r>
      <w:r w:rsidR="007279F4">
        <w:t xml:space="preserve">); SPC FAME (AUD26.39m) (19.74%); </w:t>
      </w:r>
      <w:r w:rsidR="00F052A2">
        <w:t>Coastal Fisheries (AUD21.86</w:t>
      </w:r>
      <w:r w:rsidR="00276819">
        <w:t>m)</w:t>
      </w:r>
      <w:r w:rsidR="009B4387">
        <w:t xml:space="preserve"> (16.35%)</w:t>
      </w:r>
      <w:r w:rsidR="00E8361F">
        <w:t>; IUU (Illegal Unreported and Unregulated fishing) (AUD7.84m) (5.86%);</w:t>
      </w:r>
      <w:r w:rsidR="004C748E">
        <w:t xml:space="preserve"> Maritime Boundaries (AUD5.09m) (3.81%); Oceans (AUD2.74m) (2.05%)</w:t>
      </w:r>
      <w:r w:rsidR="00910EBF">
        <w:t xml:space="preserve">; Indian Ocean (AUD0.45m) (0.34%); </w:t>
      </w:r>
      <w:r w:rsidR="0054168F">
        <w:t>WCPFC (Western and Central Pacific Fisheries Commission) (AUD0.32m) (0.24%)</w:t>
      </w:r>
      <w:r w:rsidR="00416AD8">
        <w:t>; Other (AUD0.45m) (0.33%)</w:t>
      </w:r>
    </w:p>
    <w:tbl>
      <w:tblPr>
        <w:tblStyle w:val="GridTable4-Accent1"/>
        <w:tblW w:w="0" w:type="auto"/>
        <w:tblLook w:val="04A0" w:firstRow="1" w:lastRow="0" w:firstColumn="1" w:lastColumn="0" w:noHBand="0" w:noVBand="1"/>
      </w:tblPr>
      <w:tblGrid>
        <w:gridCol w:w="1413"/>
        <w:gridCol w:w="4819"/>
        <w:gridCol w:w="1002"/>
        <w:gridCol w:w="1791"/>
      </w:tblGrid>
      <w:tr w:rsidR="00C846CE" w:rsidRPr="00C846CE" w14:paraId="69403EF9" w14:textId="77777777" w:rsidTr="004D28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13" w:type="dxa"/>
          </w:tcPr>
          <w:p w14:paraId="432BF5F5" w14:textId="77777777" w:rsidR="00C846CE" w:rsidRPr="00C846CE" w:rsidRDefault="00C846CE" w:rsidP="0073437D">
            <w:pPr>
              <w:rPr>
                <w:color w:val="FFFFFF" w:themeColor="background1"/>
              </w:rPr>
            </w:pPr>
            <w:r w:rsidRPr="00C846CE">
              <w:rPr>
                <w:color w:val="FFFFFF" w:themeColor="background1"/>
              </w:rPr>
              <w:t>Theme</w:t>
            </w:r>
          </w:p>
        </w:tc>
        <w:tc>
          <w:tcPr>
            <w:tcW w:w="4819" w:type="dxa"/>
          </w:tcPr>
          <w:p w14:paraId="08879B83" w14:textId="77777777" w:rsidR="00C846CE" w:rsidRPr="00C846CE" w:rsidRDefault="00C846CE" w:rsidP="00734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C846CE">
              <w:rPr>
                <w:color w:val="FFFFFF" w:themeColor="background1"/>
              </w:rPr>
              <w:t>Description</w:t>
            </w:r>
          </w:p>
        </w:tc>
        <w:tc>
          <w:tcPr>
            <w:tcW w:w="993" w:type="dxa"/>
          </w:tcPr>
          <w:p w14:paraId="5565AC75" w14:textId="77777777" w:rsidR="00C846CE" w:rsidRPr="00C846CE" w:rsidRDefault="00C846CE" w:rsidP="00734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C846CE">
              <w:rPr>
                <w:color w:val="FFFFFF" w:themeColor="background1"/>
              </w:rPr>
              <w:t>Value (AUD)</w:t>
            </w:r>
          </w:p>
        </w:tc>
        <w:tc>
          <w:tcPr>
            <w:tcW w:w="1791" w:type="dxa"/>
          </w:tcPr>
          <w:p w14:paraId="3895E35D" w14:textId="20FAA960" w:rsidR="00C846CE" w:rsidRPr="00C846CE" w:rsidRDefault="00C846CE" w:rsidP="0073437D">
            <w:pPr>
              <w:cnfStyle w:val="100000000000" w:firstRow="1" w:lastRow="0" w:firstColumn="0" w:lastColumn="0" w:oddVBand="0" w:evenVBand="0" w:oddHBand="0" w:evenHBand="0" w:firstRowFirstColumn="0" w:firstRowLastColumn="0" w:lastRowFirstColumn="0" w:lastRowLastColumn="0"/>
              <w:rPr>
                <w:color w:val="FFFFFF" w:themeColor="background1"/>
              </w:rPr>
            </w:pPr>
            <w:r w:rsidRPr="00C846CE">
              <w:rPr>
                <w:color w:val="FFFFFF" w:themeColor="background1"/>
              </w:rPr>
              <w:t xml:space="preserve">% of </w:t>
            </w:r>
            <w:r w:rsidR="00821BD8">
              <w:rPr>
                <w:color w:val="FFFFFF" w:themeColor="background1"/>
              </w:rPr>
              <w:t>Investment</w:t>
            </w:r>
            <w:r w:rsidRPr="00C846CE">
              <w:rPr>
                <w:color w:val="FFFFFF" w:themeColor="background1"/>
              </w:rPr>
              <w:t xml:space="preserve"> value</w:t>
            </w:r>
          </w:p>
        </w:tc>
      </w:tr>
      <w:tr w:rsidR="00C846CE" w14:paraId="51438930"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0BCCEA4" w14:textId="77777777" w:rsidR="00C846CE" w:rsidRDefault="00C846CE" w:rsidP="0073437D">
            <w:r>
              <w:t>FFA</w:t>
            </w:r>
          </w:p>
        </w:tc>
        <w:tc>
          <w:tcPr>
            <w:tcW w:w="4819" w:type="dxa"/>
          </w:tcPr>
          <w:p w14:paraId="465050E7" w14:textId="77777777" w:rsidR="00C846CE" w:rsidRDefault="00C846CE" w:rsidP="0073437D">
            <w:pPr>
              <w:cnfStyle w:val="000000100000" w:firstRow="0" w:lastRow="0" w:firstColumn="0" w:lastColumn="0" w:oddVBand="0" w:evenVBand="0" w:oddHBand="1" w:evenHBand="0" w:firstRowFirstColumn="0" w:firstRowLastColumn="0" w:lastRowFirstColumn="0" w:lastRowLastColumn="0"/>
            </w:pPr>
            <w:r>
              <w:t>Core funding and corporate support to the Pacific Islands Forum Fisheries Agency (FFA)</w:t>
            </w:r>
          </w:p>
        </w:tc>
        <w:tc>
          <w:tcPr>
            <w:tcW w:w="993" w:type="dxa"/>
          </w:tcPr>
          <w:p w14:paraId="123C9A44" w14:textId="77777777" w:rsidR="00C846CE" w:rsidRDefault="00C846CE" w:rsidP="0073437D">
            <w:pPr>
              <w:cnfStyle w:val="000000100000" w:firstRow="0" w:lastRow="0" w:firstColumn="0" w:lastColumn="0" w:oddVBand="0" w:evenVBand="0" w:oddHBand="1" w:evenHBand="0" w:firstRowFirstColumn="0" w:firstRowLastColumn="0" w:lastRowFirstColumn="0" w:lastRowLastColumn="0"/>
            </w:pPr>
            <w:r>
              <w:t>$65.56m</w:t>
            </w:r>
          </w:p>
        </w:tc>
        <w:tc>
          <w:tcPr>
            <w:tcW w:w="1791" w:type="dxa"/>
          </w:tcPr>
          <w:p w14:paraId="39F6EF35" w14:textId="77777777" w:rsidR="00C846CE" w:rsidRDefault="00C846CE" w:rsidP="0073437D">
            <w:pPr>
              <w:cnfStyle w:val="000000100000" w:firstRow="0" w:lastRow="0" w:firstColumn="0" w:lastColumn="0" w:oddVBand="0" w:evenVBand="0" w:oddHBand="1" w:evenHBand="0" w:firstRowFirstColumn="0" w:firstRowLastColumn="0" w:lastRowFirstColumn="0" w:lastRowLastColumn="0"/>
            </w:pPr>
            <w:r>
              <w:t>51.28%</w:t>
            </w:r>
          </w:p>
        </w:tc>
      </w:tr>
      <w:tr w:rsidR="00C846CE" w14:paraId="65EC0653" w14:textId="77777777" w:rsidTr="0073437D">
        <w:tc>
          <w:tcPr>
            <w:cnfStyle w:val="001000000000" w:firstRow="0" w:lastRow="0" w:firstColumn="1" w:lastColumn="0" w:oddVBand="0" w:evenVBand="0" w:oddHBand="0" w:evenHBand="0" w:firstRowFirstColumn="0" w:firstRowLastColumn="0" w:lastRowFirstColumn="0" w:lastRowLastColumn="0"/>
            <w:tcW w:w="1413" w:type="dxa"/>
          </w:tcPr>
          <w:p w14:paraId="26F2D479" w14:textId="1917E443" w:rsidR="00C846CE" w:rsidRDefault="00C846CE" w:rsidP="0073437D">
            <w:r>
              <w:t xml:space="preserve">SPC </w:t>
            </w:r>
            <w:r w:rsidR="006B5558">
              <w:t>FAME</w:t>
            </w:r>
          </w:p>
        </w:tc>
        <w:tc>
          <w:tcPr>
            <w:tcW w:w="4819" w:type="dxa"/>
          </w:tcPr>
          <w:p w14:paraId="4CCDFE39" w14:textId="46114AE8" w:rsidR="00C846CE" w:rsidRDefault="00C846CE" w:rsidP="0073437D">
            <w:pPr>
              <w:cnfStyle w:val="000000000000" w:firstRow="0" w:lastRow="0" w:firstColumn="0" w:lastColumn="0" w:oddVBand="0" w:evenVBand="0" w:oddHBand="0" w:evenHBand="0" w:firstRowFirstColumn="0" w:firstRowLastColumn="0" w:lastRowFirstColumn="0" w:lastRowLastColumn="0"/>
            </w:pPr>
            <w:r>
              <w:t>Program funding and corporate support to SPC’s Fisheries, Aquaculture and Marine Ecosystems Division (</w:t>
            </w:r>
            <w:r w:rsidR="006B5558">
              <w:t>FAME</w:t>
            </w:r>
            <w:r>
              <w:t>)</w:t>
            </w:r>
          </w:p>
        </w:tc>
        <w:tc>
          <w:tcPr>
            <w:tcW w:w="993" w:type="dxa"/>
          </w:tcPr>
          <w:p w14:paraId="159EA980" w14:textId="77777777" w:rsidR="00C846CE" w:rsidRDefault="00C846CE" w:rsidP="0073437D">
            <w:pPr>
              <w:cnfStyle w:val="000000000000" w:firstRow="0" w:lastRow="0" w:firstColumn="0" w:lastColumn="0" w:oddVBand="0" w:evenVBand="0" w:oddHBand="0" w:evenHBand="0" w:firstRowFirstColumn="0" w:firstRowLastColumn="0" w:lastRowFirstColumn="0" w:lastRowLastColumn="0"/>
            </w:pPr>
            <w:r>
              <w:t>$26.39m</w:t>
            </w:r>
          </w:p>
        </w:tc>
        <w:tc>
          <w:tcPr>
            <w:tcW w:w="1791" w:type="dxa"/>
          </w:tcPr>
          <w:p w14:paraId="02D95059" w14:textId="77777777" w:rsidR="00C846CE" w:rsidRDefault="00C846CE" w:rsidP="0073437D">
            <w:pPr>
              <w:cnfStyle w:val="000000000000" w:firstRow="0" w:lastRow="0" w:firstColumn="0" w:lastColumn="0" w:oddVBand="0" w:evenVBand="0" w:oddHBand="0" w:evenHBand="0" w:firstRowFirstColumn="0" w:firstRowLastColumn="0" w:lastRowFirstColumn="0" w:lastRowLastColumn="0"/>
            </w:pPr>
            <w:r>
              <w:t>19.74%</w:t>
            </w:r>
          </w:p>
        </w:tc>
      </w:tr>
      <w:tr w:rsidR="00C846CE" w14:paraId="2240F82A"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ABB8D80" w14:textId="77777777" w:rsidR="00C846CE" w:rsidRDefault="00C846CE" w:rsidP="0073437D">
            <w:r>
              <w:t>Coastal Fisheries</w:t>
            </w:r>
          </w:p>
        </w:tc>
        <w:tc>
          <w:tcPr>
            <w:tcW w:w="4819" w:type="dxa"/>
          </w:tcPr>
          <w:p w14:paraId="78302ED4" w14:textId="77777777" w:rsidR="00C846CE" w:rsidRDefault="00C846CE" w:rsidP="0073437D">
            <w:pPr>
              <w:cnfStyle w:val="000000100000" w:firstRow="0" w:lastRow="0" w:firstColumn="0" w:lastColumn="0" w:oddVBand="0" w:evenVBand="0" w:oddHBand="1" w:evenHBand="0" w:firstRowFirstColumn="0" w:firstRowLastColumn="0" w:lastRowFirstColumn="0" w:lastRowLastColumn="0"/>
            </w:pPr>
            <w:r>
              <w:t>Community-Based Fisheries Management in the Pacific (project with ACIAR and ANCORS)</w:t>
            </w:r>
          </w:p>
        </w:tc>
        <w:tc>
          <w:tcPr>
            <w:tcW w:w="993" w:type="dxa"/>
          </w:tcPr>
          <w:p w14:paraId="6B817838" w14:textId="77777777" w:rsidR="00C846CE" w:rsidRDefault="00C846CE" w:rsidP="0073437D">
            <w:pPr>
              <w:cnfStyle w:val="000000100000" w:firstRow="0" w:lastRow="0" w:firstColumn="0" w:lastColumn="0" w:oddVBand="0" w:evenVBand="0" w:oddHBand="1" w:evenHBand="0" w:firstRowFirstColumn="0" w:firstRowLastColumn="0" w:lastRowFirstColumn="0" w:lastRowLastColumn="0"/>
            </w:pPr>
            <w:r>
              <w:t>$21.86m</w:t>
            </w:r>
          </w:p>
        </w:tc>
        <w:tc>
          <w:tcPr>
            <w:tcW w:w="1791" w:type="dxa"/>
          </w:tcPr>
          <w:p w14:paraId="60EDEA43" w14:textId="77777777" w:rsidR="00C846CE" w:rsidRDefault="00C846CE" w:rsidP="0073437D">
            <w:pPr>
              <w:cnfStyle w:val="000000100000" w:firstRow="0" w:lastRow="0" w:firstColumn="0" w:lastColumn="0" w:oddVBand="0" w:evenVBand="0" w:oddHBand="1" w:evenHBand="0" w:firstRowFirstColumn="0" w:firstRowLastColumn="0" w:lastRowFirstColumn="0" w:lastRowLastColumn="0"/>
            </w:pPr>
            <w:r>
              <w:t>16.35%</w:t>
            </w:r>
          </w:p>
        </w:tc>
      </w:tr>
      <w:tr w:rsidR="00C846CE" w14:paraId="3D9D8F23" w14:textId="77777777" w:rsidTr="0073437D">
        <w:tc>
          <w:tcPr>
            <w:cnfStyle w:val="001000000000" w:firstRow="0" w:lastRow="0" w:firstColumn="1" w:lastColumn="0" w:oddVBand="0" w:evenVBand="0" w:oddHBand="0" w:evenHBand="0" w:firstRowFirstColumn="0" w:firstRowLastColumn="0" w:lastRowFirstColumn="0" w:lastRowLastColumn="0"/>
            <w:tcW w:w="1413" w:type="dxa"/>
          </w:tcPr>
          <w:p w14:paraId="317D2559" w14:textId="77777777" w:rsidR="00C846CE" w:rsidRDefault="00C846CE" w:rsidP="0073437D">
            <w:r>
              <w:t>IUU Fishing</w:t>
            </w:r>
          </w:p>
        </w:tc>
        <w:tc>
          <w:tcPr>
            <w:tcW w:w="4819" w:type="dxa"/>
          </w:tcPr>
          <w:p w14:paraId="290E82C0" w14:textId="77777777" w:rsidR="00C846CE" w:rsidRDefault="00C846CE" w:rsidP="0073437D">
            <w:pPr>
              <w:cnfStyle w:val="000000000000" w:firstRow="0" w:lastRow="0" w:firstColumn="0" w:lastColumn="0" w:oddVBand="0" w:evenVBand="0" w:oddHBand="0" w:evenHBand="0" w:firstRowFirstColumn="0" w:firstRowLastColumn="0" w:lastRowFirstColumn="0" w:lastRowLastColumn="0"/>
            </w:pPr>
            <w:r>
              <w:t>Support to address illegal, unreported and unregulated fishing through the FFA and Australian Fisheries Management Authority (AFMA)</w:t>
            </w:r>
          </w:p>
        </w:tc>
        <w:tc>
          <w:tcPr>
            <w:tcW w:w="993" w:type="dxa"/>
          </w:tcPr>
          <w:p w14:paraId="2CBADB2A" w14:textId="77777777" w:rsidR="00C846CE" w:rsidRDefault="00C846CE" w:rsidP="0073437D">
            <w:pPr>
              <w:cnfStyle w:val="000000000000" w:firstRow="0" w:lastRow="0" w:firstColumn="0" w:lastColumn="0" w:oddVBand="0" w:evenVBand="0" w:oddHBand="0" w:evenHBand="0" w:firstRowFirstColumn="0" w:firstRowLastColumn="0" w:lastRowFirstColumn="0" w:lastRowLastColumn="0"/>
            </w:pPr>
            <w:r>
              <w:t>$7.84m</w:t>
            </w:r>
          </w:p>
        </w:tc>
        <w:tc>
          <w:tcPr>
            <w:tcW w:w="1791" w:type="dxa"/>
          </w:tcPr>
          <w:p w14:paraId="1776A4D0" w14:textId="77777777" w:rsidR="00C846CE" w:rsidRDefault="00C846CE" w:rsidP="0073437D">
            <w:pPr>
              <w:cnfStyle w:val="000000000000" w:firstRow="0" w:lastRow="0" w:firstColumn="0" w:lastColumn="0" w:oddVBand="0" w:evenVBand="0" w:oddHBand="0" w:evenHBand="0" w:firstRowFirstColumn="0" w:firstRowLastColumn="0" w:lastRowFirstColumn="0" w:lastRowLastColumn="0"/>
            </w:pPr>
            <w:r>
              <w:t>5.86%</w:t>
            </w:r>
          </w:p>
        </w:tc>
      </w:tr>
      <w:tr w:rsidR="00C846CE" w14:paraId="5132CF2D"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08907CE" w14:textId="77777777" w:rsidR="00C846CE" w:rsidRDefault="00C846CE" w:rsidP="0073437D">
            <w:r>
              <w:t>Maritime Boundaries</w:t>
            </w:r>
          </w:p>
        </w:tc>
        <w:tc>
          <w:tcPr>
            <w:tcW w:w="4819" w:type="dxa"/>
          </w:tcPr>
          <w:p w14:paraId="03FD5EBA" w14:textId="08C26414" w:rsidR="00C846CE" w:rsidRDefault="00C846CE" w:rsidP="0073437D">
            <w:pPr>
              <w:cnfStyle w:val="000000100000" w:firstRow="0" w:lastRow="0" w:firstColumn="0" w:lastColumn="0" w:oddVBand="0" w:evenVBand="0" w:oddHBand="1" w:evenHBand="0" w:firstRowFirstColumn="0" w:firstRowLastColumn="0" w:lastRowFirstColumn="0" w:lastRowLastColumn="0"/>
            </w:pPr>
            <w:r>
              <w:t xml:space="preserve">Support for SPC’s maritime boundaries project (continued under </w:t>
            </w:r>
            <w:r w:rsidR="00821BD8">
              <w:t>Investment</w:t>
            </w:r>
            <w:r>
              <w:t xml:space="preserve"> INN614 from 2020)</w:t>
            </w:r>
          </w:p>
        </w:tc>
        <w:tc>
          <w:tcPr>
            <w:tcW w:w="993" w:type="dxa"/>
          </w:tcPr>
          <w:p w14:paraId="2A27C6D6" w14:textId="77777777" w:rsidR="00C846CE" w:rsidRDefault="00C846CE" w:rsidP="0073437D">
            <w:pPr>
              <w:cnfStyle w:val="000000100000" w:firstRow="0" w:lastRow="0" w:firstColumn="0" w:lastColumn="0" w:oddVBand="0" w:evenVBand="0" w:oddHBand="1" w:evenHBand="0" w:firstRowFirstColumn="0" w:firstRowLastColumn="0" w:lastRowFirstColumn="0" w:lastRowLastColumn="0"/>
            </w:pPr>
            <w:r>
              <w:t>$5.09m</w:t>
            </w:r>
          </w:p>
        </w:tc>
        <w:tc>
          <w:tcPr>
            <w:tcW w:w="1791" w:type="dxa"/>
          </w:tcPr>
          <w:p w14:paraId="5303BB3C" w14:textId="77777777" w:rsidR="00C846CE" w:rsidRDefault="00C846CE" w:rsidP="0073437D">
            <w:pPr>
              <w:cnfStyle w:val="000000100000" w:firstRow="0" w:lastRow="0" w:firstColumn="0" w:lastColumn="0" w:oddVBand="0" w:evenVBand="0" w:oddHBand="1" w:evenHBand="0" w:firstRowFirstColumn="0" w:firstRowLastColumn="0" w:lastRowFirstColumn="0" w:lastRowLastColumn="0"/>
            </w:pPr>
            <w:r>
              <w:t>3.81%</w:t>
            </w:r>
          </w:p>
        </w:tc>
      </w:tr>
      <w:tr w:rsidR="00C846CE" w14:paraId="76915950" w14:textId="77777777" w:rsidTr="0073437D">
        <w:tc>
          <w:tcPr>
            <w:cnfStyle w:val="001000000000" w:firstRow="0" w:lastRow="0" w:firstColumn="1" w:lastColumn="0" w:oddVBand="0" w:evenVBand="0" w:oddHBand="0" w:evenHBand="0" w:firstRowFirstColumn="0" w:firstRowLastColumn="0" w:lastRowFirstColumn="0" w:lastRowLastColumn="0"/>
            <w:tcW w:w="1413" w:type="dxa"/>
          </w:tcPr>
          <w:p w14:paraId="2542DE25" w14:textId="77777777" w:rsidR="00C846CE" w:rsidRDefault="00C846CE" w:rsidP="0073437D">
            <w:r>
              <w:lastRenderedPageBreak/>
              <w:t>Oceans</w:t>
            </w:r>
          </w:p>
        </w:tc>
        <w:tc>
          <w:tcPr>
            <w:tcW w:w="4819" w:type="dxa"/>
          </w:tcPr>
          <w:p w14:paraId="11510165" w14:textId="77777777" w:rsidR="00C846CE" w:rsidRDefault="00C846CE" w:rsidP="0073437D">
            <w:pPr>
              <w:cnfStyle w:val="000000000000" w:firstRow="0" w:lastRow="0" w:firstColumn="0" w:lastColumn="0" w:oddVBand="0" w:evenVBand="0" w:oddHBand="0" w:evenHBand="0" w:firstRowFirstColumn="0" w:firstRowLastColumn="0" w:lastRowFirstColumn="0" w:lastRowLastColumn="0"/>
            </w:pPr>
            <w:r>
              <w:t>Funding for the Office of the Pacific Ocean Commissioner and Pacific travel to UN meetings (work transferred to a different team from 2022)</w:t>
            </w:r>
          </w:p>
        </w:tc>
        <w:tc>
          <w:tcPr>
            <w:tcW w:w="993" w:type="dxa"/>
          </w:tcPr>
          <w:p w14:paraId="6BAF2BE6" w14:textId="77777777" w:rsidR="00C846CE" w:rsidRDefault="00C846CE" w:rsidP="0073437D">
            <w:pPr>
              <w:cnfStyle w:val="000000000000" w:firstRow="0" w:lastRow="0" w:firstColumn="0" w:lastColumn="0" w:oddVBand="0" w:evenVBand="0" w:oddHBand="0" w:evenHBand="0" w:firstRowFirstColumn="0" w:firstRowLastColumn="0" w:lastRowFirstColumn="0" w:lastRowLastColumn="0"/>
            </w:pPr>
            <w:r>
              <w:t>$2.74m</w:t>
            </w:r>
          </w:p>
        </w:tc>
        <w:tc>
          <w:tcPr>
            <w:tcW w:w="1791" w:type="dxa"/>
          </w:tcPr>
          <w:p w14:paraId="3A33F6D7" w14:textId="77777777" w:rsidR="00C846CE" w:rsidRDefault="00C846CE" w:rsidP="0073437D">
            <w:pPr>
              <w:cnfStyle w:val="000000000000" w:firstRow="0" w:lastRow="0" w:firstColumn="0" w:lastColumn="0" w:oddVBand="0" w:evenVBand="0" w:oddHBand="0" w:evenHBand="0" w:firstRowFirstColumn="0" w:firstRowLastColumn="0" w:lastRowFirstColumn="0" w:lastRowLastColumn="0"/>
            </w:pPr>
            <w:r>
              <w:t>2.05%</w:t>
            </w:r>
          </w:p>
        </w:tc>
      </w:tr>
      <w:tr w:rsidR="00C846CE" w14:paraId="1015221E"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11C4FA4" w14:textId="77777777" w:rsidR="00C846CE" w:rsidRPr="002E4D38" w:rsidRDefault="00C846CE" w:rsidP="0073437D">
            <w:pPr>
              <w:rPr>
                <w:b w:val="0"/>
                <w:bCs w:val="0"/>
              </w:rPr>
            </w:pPr>
            <w:r>
              <w:t>Indian Ocean</w:t>
            </w:r>
          </w:p>
        </w:tc>
        <w:tc>
          <w:tcPr>
            <w:tcW w:w="4819" w:type="dxa"/>
          </w:tcPr>
          <w:p w14:paraId="762830E6" w14:textId="77777777" w:rsidR="00C846CE" w:rsidRPr="00397344" w:rsidRDefault="00C846CE" w:rsidP="0073437D">
            <w:pPr>
              <w:cnfStyle w:val="000000100000" w:firstRow="0" w:lastRow="0" w:firstColumn="0" w:lastColumn="0" w:oddVBand="0" w:evenVBand="0" w:oddHBand="1" w:evenHBand="0" w:firstRowFirstColumn="0" w:firstRowLastColumn="0" w:lastRowFirstColumn="0" w:lastRowLastColumn="0"/>
              <w:rPr>
                <w:i/>
                <w:iCs/>
              </w:rPr>
            </w:pPr>
            <w:r>
              <w:t>Funding for DAFF and CSIRO to undertake Indian Ocean work (until 2016)</w:t>
            </w:r>
            <w:r>
              <w:rPr>
                <w:i/>
                <w:iCs/>
              </w:rPr>
              <w:t xml:space="preserve"> </w:t>
            </w:r>
            <w:r w:rsidRPr="00397344">
              <w:rPr>
                <w:i/>
                <w:iCs/>
              </w:rPr>
              <w:t>[</w:t>
            </w:r>
            <w:r>
              <w:rPr>
                <w:i/>
                <w:iCs/>
              </w:rPr>
              <w:t>o</w:t>
            </w:r>
            <w:r w:rsidRPr="00397344">
              <w:rPr>
                <w:i/>
                <w:iCs/>
              </w:rPr>
              <w:t xml:space="preserve">ut of scope </w:t>
            </w:r>
            <w:r>
              <w:rPr>
                <w:i/>
                <w:iCs/>
              </w:rPr>
              <w:t>for</w:t>
            </w:r>
            <w:r w:rsidRPr="00397344">
              <w:rPr>
                <w:i/>
                <w:iCs/>
              </w:rPr>
              <w:t xml:space="preserve"> th</w:t>
            </w:r>
            <w:r>
              <w:rPr>
                <w:i/>
                <w:iCs/>
              </w:rPr>
              <w:t>is</w:t>
            </w:r>
            <w:r w:rsidRPr="00397344">
              <w:rPr>
                <w:i/>
                <w:iCs/>
              </w:rPr>
              <w:t xml:space="preserve"> evaluation]</w:t>
            </w:r>
          </w:p>
        </w:tc>
        <w:tc>
          <w:tcPr>
            <w:tcW w:w="993" w:type="dxa"/>
          </w:tcPr>
          <w:p w14:paraId="7EE8DE16" w14:textId="77777777" w:rsidR="00C846CE" w:rsidRDefault="00C846CE" w:rsidP="0073437D">
            <w:pPr>
              <w:cnfStyle w:val="000000100000" w:firstRow="0" w:lastRow="0" w:firstColumn="0" w:lastColumn="0" w:oddVBand="0" w:evenVBand="0" w:oddHBand="1" w:evenHBand="0" w:firstRowFirstColumn="0" w:firstRowLastColumn="0" w:lastRowFirstColumn="0" w:lastRowLastColumn="0"/>
            </w:pPr>
            <w:r>
              <w:t>$0.45m</w:t>
            </w:r>
          </w:p>
        </w:tc>
        <w:tc>
          <w:tcPr>
            <w:tcW w:w="1791" w:type="dxa"/>
          </w:tcPr>
          <w:p w14:paraId="469CFFFB" w14:textId="77777777" w:rsidR="00C846CE" w:rsidRDefault="00C846CE" w:rsidP="0073437D">
            <w:pPr>
              <w:tabs>
                <w:tab w:val="center" w:pos="1019"/>
              </w:tabs>
              <w:cnfStyle w:val="000000100000" w:firstRow="0" w:lastRow="0" w:firstColumn="0" w:lastColumn="0" w:oddVBand="0" w:evenVBand="0" w:oddHBand="1" w:evenHBand="0" w:firstRowFirstColumn="0" w:firstRowLastColumn="0" w:lastRowFirstColumn="0" w:lastRowLastColumn="0"/>
            </w:pPr>
            <w:r>
              <w:t>0.34%</w:t>
            </w:r>
          </w:p>
        </w:tc>
      </w:tr>
      <w:tr w:rsidR="00C846CE" w14:paraId="0139AE76" w14:textId="77777777" w:rsidTr="0073437D">
        <w:tc>
          <w:tcPr>
            <w:cnfStyle w:val="001000000000" w:firstRow="0" w:lastRow="0" w:firstColumn="1" w:lastColumn="0" w:oddVBand="0" w:evenVBand="0" w:oddHBand="0" w:evenHBand="0" w:firstRowFirstColumn="0" w:firstRowLastColumn="0" w:lastRowFirstColumn="0" w:lastRowLastColumn="0"/>
            <w:tcW w:w="1413" w:type="dxa"/>
          </w:tcPr>
          <w:p w14:paraId="15CA9BE3" w14:textId="77777777" w:rsidR="00C846CE" w:rsidRDefault="00C846CE" w:rsidP="0073437D">
            <w:r>
              <w:t>WCPFC</w:t>
            </w:r>
          </w:p>
        </w:tc>
        <w:tc>
          <w:tcPr>
            <w:tcW w:w="4819" w:type="dxa"/>
          </w:tcPr>
          <w:p w14:paraId="18CB15C7" w14:textId="77777777" w:rsidR="00C846CE" w:rsidRDefault="00C846CE" w:rsidP="0073437D">
            <w:pPr>
              <w:cnfStyle w:val="000000000000" w:firstRow="0" w:lastRow="0" w:firstColumn="0" w:lastColumn="0" w:oddVBand="0" w:evenVBand="0" w:oddHBand="0" w:evenHBand="0" w:firstRowFirstColumn="0" w:firstRowLastColumn="0" w:lastRowFirstColumn="0" w:lastRowLastColumn="0"/>
            </w:pPr>
            <w:r>
              <w:t xml:space="preserve">Australia’s voluntary contributions towards the Western and Central Pacific Fisheries Commission </w:t>
            </w:r>
          </w:p>
        </w:tc>
        <w:tc>
          <w:tcPr>
            <w:tcW w:w="993" w:type="dxa"/>
          </w:tcPr>
          <w:p w14:paraId="420F439E" w14:textId="77777777" w:rsidR="00C846CE" w:rsidRDefault="00C846CE" w:rsidP="0073437D">
            <w:pPr>
              <w:cnfStyle w:val="000000000000" w:firstRow="0" w:lastRow="0" w:firstColumn="0" w:lastColumn="0" w:oddVBand="0" w:evenVBand="0" w:oddHBand="0" w:evenHBand="0" w:firstRowFirstColumn="0" w:firstRowLastColumn="0" w:lastRowFirstColumn="0" w:lastRowLastColumn="0"/>
            </w:pPr>
            <w:r>
              <w:t>$0.32m</w:t>
            </w:r>
          </w:p>
        </w:tc>
        <w:tc>
          <w:tcPr>
            <w:tcW w:w="1791" w:type="dxa"/>
          </w:tcPr>
          <w:p w14:paraId="5EA1D372" w14:textId="77777777" w:rsidR="00C846CE" w:rsidRDefault="00C846CE" w:rsidP="0073437D">
            <w:pPr>
              <w:cnfStyle w:val="000000000000" w:firstRow="0" w:lastRow="0" w:firstColumn="0" w:lastColumn="0" w:oddVBand="0" w:evenVBand="0" w:oddHBand="0" w:evenHBand="0" w:firstRowFirstColumn="0" w:firstRowLastColumn="0" w:lastRowFirstColumn="0" w:lastRowLastColumn="0"/>
            </w:pPr>
            <w:r>
              <w:t>0.24%</w:t>
            </w:r>
          </w:p>
        </w:tc>
      </w:tr>
      <w:tr w:rsidR="00C846CE" w14:paraId="6372241C"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CE68384" w14:textId="77777777" w:rsidR="00C846CE" w:rsidRDefault="00C846CE" w:rsidP="0073437D">
            <w:r>
              <w:t>Other</w:t>
            </w:r>
          </w:p>
        </w:tc>
        <w:tc>
          <w:tcPr>
            <w:tcW w:w="4819" w:type="dxa"/>
          </w:tcPr>
          <w:p w14:paraId="52501D98" w14:textId="77777777" w:rsidR="00C846CE" w:rsidRDefault="00C846CE" w:rsidP="0073437D">
            <w:pPr>
              <w:cnfStyle w:val="000000100000" w:firstRow="0" w:lastRow="0" w:firstColumn="0" w:lastColumn="0" w:oddVBand="0" w:evenVBand="0" w:oddHBand="1" w:evenHBand="0" w:firstRowFirstColumn="0" w:firstRowLastColumn="0" w:lastRowFirstColumn="0" w:lastRowLastColumn="0"/>
            </w:pPr>
            <w:r>
              <w:t>Fisheries Graduate Certificate course and strengthening capacity to address modern slavery in Pacific fisheries</w:t>
            </w:r>
          </w:p>
        </w:tc>
        <w:tc>
          <w:tcPr>
            <w:tcW w:w="993" w:type="dxa"/>
          </w:tcPr>
          <w:p w14:paraId="668C2FDD" w14:textId="77777777" w:rsidR="00C846CE" w:rsidRDefault="00C846CE" w:rsidP="0073437D">
            <w:pPr>
              <w:cnfStyle w:val="000000100000" w:firstRow="0" w:lastRow="0" w:firstColumn="0" w:lastColumn="0" w:oddVBand="0" w:evenVBand="0" w:oddHBand="1" w:evenHBand="0" w:firstRowFirstColumn="0" w:firstRowLastColumn="0" w:lastRowFirstColumn="0" w:lastRowLastColumn="0"/>
            </w:pPr>
            <w:r>
              <w:t>$0.45m</w:t>
            </w:r>
          </w:p>
        </w:tc>
        <w:tc>
          <w:tcPr>
            <w:tcW w:w="1791" w:type="dxa"/>
          </w:tcPr>
          <w:p w14:paraId="2B151923" w14:textId="77777777" w:rsidR="00C846CE" w:rsidRDefault="00C846CE" w:rsidP="0073437D">
            <w:pPr>
              <w:cnfStyle w:val="000000100000" w:firstRow="0" w:lastRow="0" w:firstColumn="0" w:lastColumn="0" w:oddVBand="0" w:evenVBand="0" w:oddHBand="1" w:evenHBand="0" w:firstRowFirstColumn="0" w:firstRowLastColumn="0" w:lastRowFirstColumn="0" w:lastRowLastColumn="0"/>
            </w:pPr>
            <w:r>
              <w:t>0.33%</w:t>
            </w:r>
          </w:p>
        </w:tc>
      </w:tr>
    </w:tbl>
    <w:p w14:paraId="2F7F6393" w14:textId="77777777" w:rsidR="00C846CE" w:rsidRDefault="00C846CE">
      <w:pPr>
        <w:tabs>
          <w:tab w:val="clear" w:pos="7780"/>
        </w:tabs>
        <w:rPr>
          <w:rStyle w:val="Heading"/>
          <w:rFonts w:ascii="Calibri" w:eastAsiaTheme="majorEastAsia" w:hAnsi="Calibri" w:cs="Calibri"/>
          <w:color w:val="2F5496" w:themeColor="accent1" w:themeShade="BF"/>
          <w:kern w:val="2"/>
          <w:sz w:val="28"/>
          <w:szCs w:val="28"/>
          <w14:ligatures w14:val="standardContextual"/>
        </w:rPr>
      </w:pPr>
      <w:r>
        <w:rPr>
          <w:rStyle w:val="Heading"/>
          <w:rFonts w:ascii="Calibri" w:hAnsi="Calibri" w:cs="Calibri"/>
          <w:color w:val="2F5496" w:themeColor="accent1" w:themeShade="BF"/>
          <w:sz w:val="28"/>
          <w:szCs w:val="28"/>
        </w:rPr>
        <w:br w:type="page"/>
      </w:r>
    </w:p>
    <w:p w14:paraId="4D39B02E" w14:textId="3D9819B4" w:rsidR="00337481" w:rsidRPr="00FA2BF4" w:rsidRDefault="000F3351" w:rsidP="00FA2BF4">
      <w:pPr>
        <w:pStyle w:val="Heading3"/>
        <w:rPr>
          <w:b/>
          <w:bCs/>
        </w:rPr>
      </w:pPr>
      <w:bookmarkStart w:id="88" w:name="_Toc207206825"/>
      <w:r w:rsidRPr="00FA2BF4">
        <w:rPr>
          <w:b/>
          <w:bCs/>
        </w:rPr>
        <w:lastRenderedPageBreak/>
        <w:t>Annexe</w:t>
      </w:r>
      <w:r w:rsidR="00A60B28" w:rsidRPr="00FA2BF4">
        <w:rPr>
          <w:b/>
          <w:bCs/>
        </w:rPr>
        <w:t xml:space="preserve"> </w:t>
      </w:r>
      <w:r w:rsidR="00576303" w:rsidRPr="00FA2BF4">
        <w:rPr>
          <w:b/>
          <w:bCs/>
        </w:rPr>
        <w:t>7</w:t>
      </w:r>
      <w:r w:rsidR="00EC0EA5" w:rsidRPr="00FA2BF4">
        <w:rPr>
          <w:b/>
          <w:bCs/>
        </w:rPr>
        <w:t>:</w:t>
      </w:r>
      <w:r w:rsidR="00A60B28" w:rsidRPr="00FA2BF4">
        <w:rPr>
          <w:b/>
          <w:bCs/>
        </w:rPr>
        <w:t xml:space="preserve"> </w:t>
      </w:r>
      <w:r w:rsidR="00A577AB" w:rsidRPr="00FA2BF4">
        <w:rPr>
          <w:b/>
          <w:bCs/>
        </w:rPr>
        <w:t>I</w:t>
      </w:r>
      <w:r w:rsidR="00794010" w:rsidRPr="00FA2BF4">
        <w:rPr>
          <w:b/>
          <w:bCs/>
        </w:rPr>
        <w:t xml:space="preserve">mpact of </w:t>
      </w:r>
      <w:r w:rsidR="00A577AB" w:rsidRPr="00FA2BF4">
        <w:rPr>
          <w:b/>
          <w:bCs/>
        </w:rPr>
        <w:t xml:space="preserve">Improvements in </w:t>
      </w:r>
      <w:r w:rsidR="00794010" w:rsidRPr="00FA2BF4">
        <w:rPr>
          <w:b/>
          <w:bCs/>
        </w:rPr>
        <w:t>Fisheries Management</w:t>
      </w:r>
      <w:r w:rsidR="00A577AB" w:rsidRPr="00FA2BF4">
        <w:rPr>
          <w:b/>
          <w:bCs/>
        </w:rPr>
        <w:t xml:space="preserve"> since 2010</w:t>
      </w:r>
      <w:bookmarkStart w:id="89" w:name="_Toc199684986"/>
      <w:bookmarkEnd w:id="88"/>
    </w:p>
    <w:p w14:paraId="16EB278D" w14:textId="63F0C265" w:rsidR="006E4AFF" w:rsidRPr="00337481" w:rsidRDefault="006E4AFF" w:rsidP="00E87678">
      <w:pPr>
        <w:pStyle w:val="Heading4"/>
      </w:pPr>
      <w:r w:rsidRPr="00337481">
        <w:t>Introduction</w:t>
      </w:r>
      <w:bookmarkEnd w:id="89"/>
    </w:p>
    <w:p w14:paraId="0691366F" w14:textId="5CC606E0" w:rsidR="00EC0EA5" w:rsidRPr="00EC0EA5" w:rsidRDefault="00EC0EA5" w:rsidP="00EC0EA5">
      <w:pPr>
        <w:spacing w:after="120"/>
        <w:rPr>
          <w:rFonts w:asciiTheme="majorHAnsi" w:hAnsiTheme="majorHAnsi" w:cstheme="majorHAnsi"/>
        </w:rPr>
      </w:pPr>
      <w:r w:rsidRPr="00EC0EA5">
        <w:rPr>
          <w:rFonts w:asciiTheme="majorHAnsi" w:hAnsiTheme="majorHAnsi" w:cstheme="majorHAnsi"/>
        </w:rPr>
        <w:t xml:space="preserve">In 2015 Forum Leaders adopted </w:t>
      </w:r>
      <w:hyperlink r:id="rId47" w:history="1">
        <w:r w:rsidRPr="00EC0EA5">
          <w:rPr>
            <w:rStyle w:val="Hyperlink"/>
            <w:rFonts w:asciiTheme="majorHAnsi" w:hAnsiTheme="majorHAnsi" w:cstheme="majorHAnsi"/>
          </w:rPr>
          <w:t>Regional Roadmap for Sustainable Pacific Fisheries</w:t>
        </w:r>
      </w:hyperlink>
      <w:r w:rsidRPr="00EC0EA5">
        <w:rPr>
          <w:rFonts w:asciiTheme="majorHAnsi" w:hAnsiTheme="majorHAnsi" w:cstheme="majorHAnsi"/>
        </w:rPr>
        <w:t xml:space="preserve"> setting out shared goals and strategies for the management of the region’s tuna fisheries, with the goals (which related to sustainability, value, employment and food security) to be achieved over a 10-period of 2024.  Subsequently, Forum Leaders established the Taskforce on Increasing Economic Returns from Fisheries to deliver real results within 5 years. The Taskforce developed four programme components: reform of the management of the longline fishery; increasing the value of employment and ensuring effective labour standards are in place; facilitating </w:t>
      </w:r>
      <w:r w:rsidR="00821BD8">
        <w:rPr>
          <w:rFonts w:asciiTheme="majorHAnsi" w:hAnsiTheme="majorHAnsi" w:cstheme="majorHAnsi"/>
        </w:rPr>
        <w:t>investment</w:t>
      </w:r>
      <w:r w:rsidRPr="00EC0EA5">
        <w:rPr>
          <w:rFonts w:asciiTheme="majorHAnsi" w:hAnsiTheme="majorHAnsi" w:cstheme="majorHAnsi"/>
        </w:rPr>
        <w:t xml:space="preserve"> and trade; and value chain participation and established </w:t>
      </w:r>
      <w:proofErr w:type="gramStart"/>
      <w:r w:rsidRPr="00EC0EA5">
        <w:rPr>
          <w:rFonts w:asciiTheme="majorHAnsi" w:hAnsiTheme="majorHAnsi" w:cstheme="majorHAnsi"/>
        </w:rPr>
        <w:t>a number of</w:t>
      </w:r>
      <w:proofErr w:type="gramEnd"/>
      <w:r w:rsidRPr="00EC0EA5">
        <w:rPr>
          <w:rFonts w:asciiTheme="majorHAnsi" w:hAnsiTheme="majorHAnsi" w:cstheme="majorHAnsi"/>
        </w:rPr>
        <w:t xml:space="preserve"> specific targets to be achieved over a 5-year period. </w:t>
      </w:r>
    </w:p>
    <w:p w14:paraId="75F9B527" w14:textId="4AC7A5FB" w:rsidR="00EC0EA5" w:rsidRPr="00EC0EA5" w:rsidRDefault="00EC0EA5" w:rsidP="00EC0EA5">
      <w:pPr>
        <w:spacing w:after="120"/>
        <w:rPr>
          <w:rFonts w:asciiTheme="majorHAnsi" w:hAnsiTheme="majorHAnsi" w:cstheme="majorHAnsi"/>
        </w:rPr>
      </w:pPr>
      <w:r w:rsidRPr="00EC0EA5">
        <w:rPr>
          <w:rFonts w:asciiTheme="majorHAnsi" w:hAnsiTheme="majorHAnsi" w:cstheme="majorHAnsi"/>
        </w:rPr>
        <w:t xml:space="preserve">On an annual basis, the SPC produces the </w:t>
      </w:r>
      <w:hyperlink r:id="rId48" w:history="1">
        <w:r w:rsidRPr="00EC0EA5">
          <w:rPr>
            <w:rStyle w:val="Hyperlink"/>
            <w:rFonts w:asciiTheme="majorHAnsi" w:hAnsiTheme="majorHAnsi" w:cstheme="majorHAnsi"/>
          </w:rPr>
          <w:t>Tuna Fishery Report Card</w:t>
        </w:r>
      </w:hyperlink>
      <w:r w:rsidRPr="00EC0EA5">
        <w:rPr>
          <w:rFonts w:asciiTheme="majorHAnsi" w:hAnsiTheme="majorHAnsi" w:cstheme="majorHAnsi"/>
        </w:rPr>
        <w:t xml:space="preserve">, which reports on progress against the four Roadmap goals and provides commentary on trends against the sustainability, employment and food security targets specified in the Roadmap.  </w:t>
      </w:r>
    </w:p>
    <w:p w14:paraId="3FC87078" w14:textId="681F7330" w:rsidR="00EC0EA5" w:rsidRPr="00EC0EA5" w:rsidRDefault="00EC0EA5" w:rsidP="00EC0EA5">
      <w:pPr>
        <w:spacing w:after="120"/>
        <w:rPr>
          <w:rFonts w:asciiTheme="majorHAnsi" w:hAnsiTheme="majorHAnsi" w:cstheme="majorHAnsi"/>
        </w:rPr>
      </w:pPr>
      <w:r w:rsidRPr="00EC0EA5">
        <w:rPr>
          <w:rFonts w:asciiTheme="majorHAnsi" w:hAnsiTheme="majorHAnsi" w:cstheme="majorHAnsi"/>
        </w:rPr>
        <w:t>What follows is a summary</w:t>
      </w:r>
      <w:r w:rsidRPr="00EC0EA5">
        <w:rPr>
          <w:rStyle w:val="FootnoteReference"/>
          <w:rFonts w:asciiTheme="majorHAnsi" w:hAnsiTheme="majorHAnsi" w:cstheme="majorHAnsi"/>
        </w:rPr>
        <w:footnoteReference w:id="17"/>
      </w:r>
      <w:r w:rsidRPr="00EC0EA5">
        <w:rPr>
          <w:rFonts w:asciiTheme="majorHAnsi" w:hAnsiTheme="majorHAnsi" w:cstheme="majorHAnsi"/>
        </w:rPr>
        <w:t xml:space="preserve"> of the economic impact of fisheries on Pacific Island economies over the lifetime of the </w:t>
      </w:r>
      <w:r w:rsidR="00821BD8">
        <w:rPr>
          <w:rFonts w:asciiTheme="majorHAnsi" w:hAnsiTheme="majorHAnsi" w:cstheme="majorHAnsi"/>
        </w:rPr>
        <w:t>Investment</w:t>
      </w:r>
      <w:r w:rsidRPr="00EC0EA5">
        <w:rPr>
          <w:rFonts w:asciiTheme="majorHAnsi" w:hAnsiTheme="majorHAnsi" w:cstheme="majorHAnsi"/>
        </w:rPr>
        <w:t xml:space="preserve"> to provide a sense of the extent to which the sector has improved. While it is not possible to attribute improvements solely to Australia’s </w:t>
      </w:r>
      <w:r w:rsidR="00821BD8">
        <w:rPr>
          <w:rFonts w:asciiTheme="majorHAnsi" w:hAnsiTheme="majorHAnsi" w:cstheme="majorHAnsi"/>
        </w:rPr>
        <w:t>Investment</w:t>
      </w:r>
      <w:r w:rsidRPr="00EC0EA5">
        <w:rPr>
          <w:rFonts w:asciiTheme="majorHAnsi" w:hAnsiTheme="majorHAnsi" w:cstheme="majorHAnsi"/>
        </w:rPr>
        <w:t xml:space="preserve">, there is no doubt that Australia has contributed to these changes, noting that Australia has been the largest contributor to the two regional organisations – FFA and SPC – which have been driving these changes, and that Australia has also made significant </w:t>
      </w:r>
      <w:r w:rsidR="00821BD8">
        <w:rPr>
          <w:rFonts w:asciiTheme="majorHAnsi" w:hAnsiTheme="majorHAnsi" w:cstheme="majorHAnsi"/>
        </w:rPr>
        <w:t>Investment</w:t>
      </w:r>
      <w:r w:rsidRPr="00EC0EA5">
        <w:rPr>
          <w:rFonts w:asciiTheme="majorHAnsi" w:hAnsiTheme="majorHAnsi" w:cstheme="majorHAnsi"/>
        </w:rPr>
        <w:t>s in improving responses to IUU Fishing over this period.</w:t>
      </w:r>
    </w:p>
    <w:p w14:paraId="2715EF79" w14:textId="3AF0C1D3" w:rsidR="00EC0EA5" w:rsidRPr="00EC0EA5" w:rsidRDefault="00EC0EA5" w:rsidP="00EC0EA5">
      <w:pPr>
        <w:spacing w:after="120"/>
        <w:rPr>
          <w:rFonts w:asciiTheme="majorHAnsi" w:hAnsiTheme="majorHAnsi" w:cstheme="majorHAnsi"/>
        </w:rPr>
      </w:pPr>
      <w:r w:rsidRPr="00EC0EA5">
        <w:rPr>
          <w:rFonts w:asciiTheme="majorHAnsi" w:hAnsiTheme="majorHAnsi" w:cstheme="majorHAnsi"/>
        </w:rPr>
        <w:t xml:space="preserve">Based on the information from the provided sources, the economic impact of fisheries, particularly tuna fisheries, on the Pacific Island economies has shown contrasting trends and significant changes over the past five years, relative to a 2015 baseline. While some key activity-related indicators have seen substantial increases, government revenue from access fees has remained relatively flat since 2015. </w:t>
      </w:r>
      <w:r w:rsidR="00394694">
        <w:rPr>
          <w:rFonts w:asciiTheme="majorHAnsi" w:hAnsiTheme="majorHAnsi" w:cstheme="majorHAnsi"/>
        </w:rPr>
        <w:t>The</w:t>
      </w:r>
      <w:r w:rsidRPr="00EC0EA5">
        <w:rPr>
          <w:rFonts w:asciiTheme="majorHAnsi" w:hAnsiTheme="majorHAnsi" w:cstheme="majorHAnsi"/>
        </w:rPr>
        <w:t xml:space="preserve"> most recent EDIS report (2024)</w:t>
      </w:r>
      <w:r w:rsidRPr="00EC0EA5">
        <w:rPr>
          <w:rStyle w:val="FootnoteReference"/>
          <w:rFonts w:asciiTheme="majorHAnsi" w:hAnsiTheme="majorHAnsi" w:cstheme="majorHAnsi"/>
        </w:rPr>
        <w:footnoteReference w:id="18"/>
      </w:r>
      <w:r w:rsidRPr="00EC0EA5">
        <w:rPr>
          <w:rFonts w:asciiTheme="majorHAnsi" w:hAnsiTheme="majorHAnsi" w:cstheme="majorHAnsi"/>
        </w:rPr>
        <w:t xml:space="preserve"> suggests that there is an upward trend in recent economic performance, noting that in </w:t>
      </w:r>
      <w:r w:rsidRPr="00EC0EA5">
        <w:rPr>
          <w:rStyle w:val="break-words"/>
          <w:rFonts w:asciiTheme="majorHAnsi" w:hAnsiTheme="majorHAnsi" w:cstheme="majorHAnsi"/>
        </w:rPr>
        <w:t>2023 alone, the sector generated US$460 million in access fees, supported over 24,000 jobs, and drove US$1 billion in exports. Despite global challenges, the EDIS report concludes that ‘tuna continues to drive economic growth, food security, and sustainable livelihoods across the Pacific’.</w:t>
      </w:r>
    </w:p>
    <w:p w14:paraId="0F90C2E3" w14:textId="77777777" w:rsidR="00EC0EA5" w:rsidRPr="00337481" w:rsidRDefault="00EC0EA5" w:rsidP="00EC0EA5">
      <w:pPr>
        <w:pStyle w:val="Heading4"/>
        <w:spacing w:after="120"/>
      </w:pPr>
      <w:bookmarkStart w:id="90" w:name="_Toc199684987"/>
      <w:r w:rsidRPr="00337481">
        <w:t>Status of Tuna Stocks</w:t>
      </w:r>
      <w:bookmarkEnd w:id="90"/>
    </w:p>
    <w:p w14:paraId="3F912E58" w14:textId="0BD55C0C" w:rsidR="00EC0EA5" w:rsidRDefault="00EC0EA5" w:rsidP="00EC0EA5">
      <w:pPr>
        <w:spacing w:after="120"/>
      </w:pPr>
      <w:r w:rsidRPr="006E4AFF">
        <w:t xml:space="preserve">With respect to the status of the tuna stocks, all four main Western and Central Pacific Ocean (WCPO) tuna stocks – South Pacific albacore, bigeye, skipjack, and yellowfin – are </w:t>
      </w:r>
      <w:proofErr w:type="spellStart"/>
      <w:r w:rsidR="002D6DF2">
        <w:t>are</w:t>
      </w:r>
      <w:proofErr w:type="spellEnd"/>
      <w:r w:rsidR="002D6DF2">
        <w:t xml:space="preserve"> now reported</w:t>
      </w:r>
      <w:r w:rsidRPr="006E4AFF">
        <w:t xml:space="preserve"> to be </w:t>
      </w:r>
      <w:r w:rsidRPr="006E4AFF">
        <w:rPr>
          <w:b/>
          <w:bCs/>
        </w:rPr>
        <w:t>"biologically healthy"</w:t>
      </w:r>
      <w:r w:rsidRPr="006E4AFF">
        <w:t xml:space="preserve">. </w:t>
      </w:r>
      <w:r w:rsidR="002D6DF2" w:rsidRPr="002D6DF2">
        <w:rPr>
          <w:rFonts w:asciiTheme="majorHAnsi" w:hAnsiTheme="majorHAnsi" w:cstheme="majorHAnsi"/>
        </w:rPr>
        <w:t>The WCPFC stock assessment for Big Eye Tuna in 2011 indicated it was subject to overfishing and almost overfished</w:t>
      </w:r>
      <w:r w:rsidR="0049298C">
        <w:rPr>
          <w:rFonts w:asciiTheme="majorHAnsi" w:hAnsiTheme="majorHAnsi" w:cstheme="majorHAnsi"/>
        </w:rPr>
        <w:t xml:space="preserve"> (</w:t>
      </w:r>
      <w:r w:rsidR="0049298C">
        <w:rPr>
          <w:rFonts w:asciiTheme="majorHAnsi" w:hAnsiTheme="majorHAnsi" w:cstheme="majorHAnsi"/>
        </w:rPr>
        <w:fldChar w:fldCharType="begin"/>
      </w:r>
      <w:r w:rsidR="0049298C">
        <w:rPr>
          <w:rFonts w:asciiTheme="majorHAnsi" w:hAnsiTheme="majorHAnsi" w:cstheme="majorHAnsi"/>
        </w:rPr>
        <w:instrText xml:space="preserve"> REF _Ref206574869 \h </w:instrText>
      </w:r>
      <w:r w:rsidR="0049298C">
        <w:rPr>
          <w:rFonts w:asciiTheme="majorHAnsi" w:hAnsiTheme="majorHAnsi" w:cstheme="majorHAnsi"/>
        </w:rPr>
      </w:r>
      <w:r w:rsidR="0049298C">
        <w:rPr>
          <w:rFonts w:asciiTheme="majorHAnsi" w:hAnsiTheme="majorHAnsi" w:cstheme="majorHAnsi"/>
        </w:rPr>
        <w:fldChar w:fldCharType="separate"/>
      </w:r>
      <w:r w:rsidR="00FC67EE">
        <w:t xml:space="preserve">Figure </w:t>
      </w:r>
      <w:r w:rsidR="00FC67EE">
        <w:rPr>
          <w:noProof/>
        </w:rPr>
        <w:t>4</w:t>
      </w:r>
      <w:r w:rsidR="0049298C">
        <w:rPr>
          <w:rFonts w:asciiTheme="majorHAnsi" w:hAnsiTheme="majorHAnsi" w:cstheme="majorHAnsi"/>
        </w:rPr>
        <w:fldChar w:fldCharType="end"/>
      </w:r>
      <w:r w:rsidR="0049298C">
        <w:rPr>
          <w:rFonts w:asciiTheme="majorHAnsi" w:hAnsiTheme="majorHAnsi" w:cstheme="majorHAnsi"/>
        </w:rPr>
        <w:t>)</w:t>
      </w:r>
      <w:r w:rsidR="002D6DF2" w:rsidRPr="002D6DF2">
        <w:rPr>
          <w:rFonts w:asciiTheme="majorHAnsi" w:hAnsiTheme="majorHAnsi" w:cstheme="majorHAnsi"/>
          <w:color w:val="000000"/>
        </w:rPr>
        <w:t xml:space="preserve">. Now all 4 stocks are </w:t>
      </w:r>
      <w:r w:rsidRPr="002D6DF2">
        <w:rPr>
          <w:rFonts w:asciiTheme="majorHAnsi" w:hAnsiTheme="majorHAnsi" w:cstheme="majorHAnsi"/>
        </w:rPr>
        <w:t>assessed</w:t>
      </w:r>
      <w:r w:rsidRPr="006E4AFF">
        <w:t xml:space="preserve"> as </w:t>
      </w:r>
      <w:r w:rsidRPr="006E4AFF">
        <w:rPr>
          <w:b/>
          <w:bCs/>
        </w:rPr>
        <w:t>not overfished, and overfishing is not occurring</w:t>
      </w:r>
      <w:r w:rsidR="0049298C">
        <w:rPr>
          <w:b/>
          <w:bCs/>
        </w:rPr>
        <w:t xml:space="preserve"> </w:t>
      </w:r>
      <w:r w:rsidR="0049298C" w:rsidRPr="0049298C">
        <w:t xml:space="preserve">(i.e. in the green, </w:t>
      </w:r>
      <w:r w:rsidR="0049298C" w:rsidRPr="0049298C">
        <w:fldChar w:fldCharType="begin"/>
      </w:r>
      <w:r w:rsidR="0049298C" w:rsidRPr="0049298C">
        <w:instrText xml:space="preserve"> REF _Ref206574900 \h </w:instrText>
      </w:r>
      <w:r w:rsidR="0049298C">
        <w:instrText xml:space="preserve"> \* MERGEFORMAT </w:instrText>
      </w:r>
      <w:r w:rsidR="0049298C" w:rsidRPr="0049298C">
        <w:fldChar w:fldCharType="separate"/>
      </w:r>
      <w:r w:rsidR="00FC67EE">
        <w:t xml:space="preserve">Figure </w:t>
      </w:r>
      <w:r w:rsidR="00FC67EE">
        <w:rPr>
          <w:noProof/>
        </w:rPr>
        <w:t>5</w:t>
      </w:r>
      <w:r w:rsidR="0049298C" w:rsidRPr="0049298C">
        <w:fldChar w:fldCharType="end"/>
      </w:r>
      <w:r w:rsidR="0049298C" w:rsidRPr="0049298C">
        <w:t>)</w:t>
      </w:r>
      <w:r w:rsidRPr="0049298C">
        <w:t>.</w:t>
      </w:r>
      <w:r w:rsidRPr="006E4AFF">
        <w:t xml:space="preserve"> The improved scientific knowledge contributed to this status</w:t>
      </w:r>
      <w:r>
        <w:t xml:space="preserve"> (2019 and 2022 Fishery Report Card)</w:t>
      </w:r>
      <w:r w:rsidRPr="006E4AFF">
        <w:t xml:space="preserve">. </w:t>
      </w:r>
      <w:r w:rsidR="00394694">
        <w:t>There</w:t>
      </w:r>
      <w:r w:rsidRPr="006E4AFF">
        <w:t xml:space="preserve"> is still a noted risk of overfishing occurring for bigeye tuna (a 1 in 8 chance reported in 2022</w:t>
      </w:r>
      <w:r>
        <w:t xml:space="preserve"> Tuna Fishery Report Card</w:t>
      </w:r>
      <w:r w:rsidRPr="006E4AFF">
        <w:t>).</w:t>
      </w:r>
    </w:p>
    <w:p w14:paraId="30ACD70D" w14:textId="77777777" w:rsidR="002D1CCA" w:rsidRDefault="002D1CCA" w:rsidP="00B84609">
      <w:pPr>
        <w:pStyle w:val="Caption"/>
      </w:pPr>
      <w:bookmarkStart w:id="91" w:name="_Ref206574869"/>
    </w:p>
    <w:p w14:paraId="21DBB70C" w14:textId="77777777" w:rsidR="00B31103" w:rsidRPr="00B31103" w:rsidRDefault="00B31103" w:rsidP="00B31103">
      <w:pPr>
        <w:rPr>
          <w:lang w:val="en-AU"/>
        </w:rPr>
      </w:pPr>
    </w:p>
    <w:p w14:paraId="6C9E60E5" w14:textId="77777777" w:rsidR="001911DA" w:rsidRPr="001911DA" w:rsidRDefault="001911DA" w:rsidP="001911DA">
      <w:pPr>
        <w:rPr>
          <w:lang w:val="en-AU"/>
        </w:rPr>
      </w:pPr>
    </w:p>
    <w:p w14:paraId="3FABC26E" w14:textId="6A0F21E7" w:rsidR="00EC0EA5" w:rsidRPr="006E4AFF" w:rsidRDefault="00B84609" w:rsidP="00B84609">
      <w:pPr>
        <w:pStyle w:val="Caption"/>
      </w:pPr>
      <w:r>
        <w:lastRenderedPageBreak/>
        <w:t xml:space="preserve">Figure </w:t>
      </w:r>
      <w:r>
        <w:fldChar w:fldCharType="begin"/>
      </w:r>
      <w:r>
        <w:instrText xml:space="preserve"> SEQ Figure \* ARABIC </w:instrText>
      </w:r>
      <w:r>
        <w:fldChar w:fldCharType="separate"/>
      </w:r>
      <w:r w:rsidR="00FC67EE">
        <w:rPr>
          <w:noProof/>
        </w:rPr>
        <w:t>4</w:t>
      </w:r>
      <w:r>
        <w:fldChar w:fldCharType="end"/>
      </w:r>
      <w:bookmarkEnd w:id="91"/>
      <w:r>
        <w:t xml:space="preserve">: </w:t>
      </w:r>
      <w:r w:rsidR="00626EFD" w:rsidRPr="00626EFD">
        <w:t xml:space="preserve">The 2011 WCPFC stock assessment graph shows that by 2011 the stock had moved into the red zone, meaning it was overfished and experiencing overfishing. The 2011 point sits at approximately SB/SBMSY ≈ 1.0 and F/FMSY ≈ 1.5, indicating spawning biomass had fallen to around the level needed for maximum sustainable yield while fishing pressure was about 50% higher than sustainable levels. The historical trend shows a long decline from the 1970s—when the stock was very healthy (about SB/SBMSY = 3–5 and F/FMSY &lt; 0.3)—through the 1980s and 1990s, where biomass steadily dropped toward SB/SBMSY ≈ 1.5, and fishing mortality climbed to F/FMSY ≈ 1.0. By the early 2000s, the stock crossed into the orange zone, indicating overfishing, before slipping into the overfished state by around 2005–2011. Overall, the graph shows a clear trajectory of increasing fishing pressure and declining biomass over several decades, culminating in unsustainable stock status in 2011 </w:t>
      </w:r>
      <w:r>
        <w:t xml:space="preserve">(Source: </w:t>
      </w:r>
      <w:hyperlink r:id="rId49" w:history="1">
        <w:r w:rsidRPr="00B84609">
          <w:rPr>
            <w:rStyle w:val="Hyperlink"/>
          </w:rPr>
          <w:t>WCPFC's Stock assessment of the bigeye tuna in the western and central Pacific Ocean</w:t>
        </w:r>
      </w:hyperlink>
      <w:r>
        <w:t xml:space="preserve"> August, 2011)</w:t>
      </w:r>
    </w:p>
    <w:p w14:paraId="18647921" w14:textId="7A5CE53F" w:rsidR="00B84609" w:rsidRDefault="7B7BA65F" w:rsidP="57ADDF87">
      <w:pPr>
        <w:spacing w:after="120"/>
        <w:jc w:val="center"/>
      </w:pPr>
      <w:r>
        <w:rPr>
          <w:noProof/>
        </w:rPr>
        <w:drawing>
          <wp:inline distT="0" distB="0" distL="0" distR="0" wp14:anchorId="58D3A6F5" wp14:editId="69C2DF63">
            <wp:extent cx="4444410" cy="3372453"/>
            <wp:effectExtent l="0" t="0" r="0" b="0"/>
            <wp:docPr id="386277765" name="Picture 45" descr="See text above for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277765" name="Picture 45" descr="See text above for image description"/>
                    <pic:cNvPicPr/>
                  </pic:nvPicPr>
                  <pic:blipFill>
                    <a:blip r:embed="rId50">
                      <a:extLst>
                        <a:ext uri="{28A0092B-C50C-407E-A947-70E740481C1C}">
                          <a14:useLocalDpi xmlns:a14="http://schemas.microsoft.com/office/drawing/2010/main" val="0"/>
                        </a:ext>
                      </a:extLst>
                    </a:blip>
                    <a:stretch>
                      <a:fillRect/>
                    </a:stretch>
                  </pic:blipFill>
                  <pic:spPr>
                    <a:xfrm>
                      <a:off x="0" y="0"/>
                      <a:ext cx="4493069" cy="3409376"/>
                    </a:xfrm>
                    <a:prstGeom prst="rect">
                      <a:avLst/>
                    </a:prstGeom>
                  </pic:spPr>
                </pic:pic>
              </a:graphicData>
            </a:graphic>
          </wp:inline>
        </w:drawing>
      </w:r>
    </w:p>
    <w:p w14:paraId="2BA208DE" w14:textId="58CFF4C3" w:rsidR="00B84609" w:rsidRDefault="00B84609" w:rsidP="00B84609">
      <w:pPr>
        <w:pStyle w:val="Caption"/>
      </w:pPr>
      <w:bookmarkStart w:id="92" w:name="_Ref206574900"/>
      <w:r>
        <w:t xml:space="preserve">Figure </w:t>
      </w:r>
      <w:r>
        <w:fldChar w:fldCharType="begin"/>
      </w:r>
      <w:r>
        <w:instrText xml:space="preserve"> SEQ Figure \* ARABIC </w:instrText>
      </w:r>
      <w:r>
        <w:fldChar w:fldCharType="separate"/>
      </w:r>
      <w:r w:rsidR="00FC67EE">
        <w:rPr>
          <w:noProof/>
        </w:rPr>
        <w:t>5</w:t>
      </w:r>
      <w:r>
        <w:fldChar w:fldCharType="end"/>
      </w:r>
      <w:bookmarkEnd w:id="92"/>
      <w:r>
        <w:t xml:space="preserve">: </w:t>
      </w:r>
      <w:r w:rsidR="00DA3D70" w:rsidRPr="00DA3D70">
        <w:t xml:space="preserve">The </w:t>
      </w:r>
      <w:r w:rsidR="00CC7536">
        <w:t xml:space="preserve">2023 </w:t>
      </w:r>
      <w:r w:rsidR="00DA3D70" w:rsidRPr="00DA3D70">
        <w:t>WCPFC stock assessment figure shows that all four major tuna stocks—albacore, bigeye, skipjack and yellowfin—sit safely within the biological “green zone,” meaning they are neither overfished nor subject to overfishing. All species lie above the spawning biomass threshold of 0.2 SB/SBF=0, with current estimates roughly in the range of 0.35–0.75 SB/SBF=0 across the stocks. They are also positioned below the overfishing line (F/FMSY = 1.0), with fishing pressure generally sitting between 0.3 and 0.8 F/FMSY, depending on the species. Skipjack shows the healthiest position, at around 0.7 SB/SBF=0 and 0.4 F/FMSY, followed by yellowfin at roughly 0.5 SB/SBF=0 and 0.6 F/FMSY. Albacore and bigeye sit slightly closer to management limits but remain sustainable, at approximately 0.35–0.45 SB/SBF=0 and 0.5–0.8 F/FMSY. Overall, the numbers indicate that none of the four tuna stocks in the Western and Central Pacific are overfished or experiencing overfishing, and all remain within safe biological limits.</w:t>
      </w:r>
      <w:r>
        <w:t>, 202</w:t>
      </w:r>
      <w:r w:rsidR="0049298C">
        <w:t>3</w:t>
      </w:r>
      <w:r>
        <w:t xml:space="preserve"> (Source:</w:t>
      </w:r>
      <w:r w:rsidR="0049298C">
        <w:t xml:space="preserve"> </w:t>
      </w:r>
      <w:hyperlink r:id="rId51" w:history="1">
        <w:r w:rsidR="0049298C" w:rsidRPr="0049298C">
          <w:rPr>
            <w:rStyle w:val="Hyperlink"/>
          </w:rPr>
          <w:t>Tuna Fishery Report Card</w:t>
        </w:r>
      </w:hyperlink>
      <w:r w:rsidR="0049298C">
        <w:t>, 2023)</w:t>
      </w:r>
    </w:p>
    <w:p w14:paraId="6AB72878" w14:textId="598C46AC" w:rsidR="0049298C" w:rsidRPr="0049298C" w:rsidRDefault="0D792255" w:rsidP="57ADDF87">
      <w:pPr>
        <w:jc w:val="center"/>
        <w:rPr>
          <w:lang w:val="en-AU"/>
        </w:rPr>
      </w:pPr>
      <w:r>
        <w:rPr>
          <w:noProof/>
        </w:rPr>
        <w:drawing>
          <wp:inline distT="0" distB="0" distL="0" distR="0" wp14:anchorId="75801FEE" wp14:editId="03E022D1">
            <wp:extent cx="2822589" cy="2619023"/>
            <wp:effectExtent l="0" t="0" r="0" b="0"/>
            <wp:docPr id="774848321" name="Picture 46" descr="See text above for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848321" name="Picture 46" descr="See text above for image description"/>
                    <pic:cNvPicPr/>
                  </pic:nvPicPr>
                  <pic:blipFill>
                    <a:blip r:embed="rId52">
                      <a:extLst>
                        <a:ext uri="{28A0092B-C50C-407E-A947-70E740481C1C}">
                          <a14:useLocalDpi xmlns:a14="http://schemas.microsoft.com/office/drawing/2010/main" val="0"/>
                        </a:ext>
                      </a:extLst>
                    </a:blip>
                    <a:stretch>
                      <a:fillRect/>
                    </a:stretch>
                  </pic:blipFill>
                  <pic:spPr>
                    <a:xfrm>
                      <a:off x="0" y="0"/>
                      <a:ext cx="2882401" cy="2674521"/>
                    </a:xfrm>
                    <a:prstGeom prst="rect">
                      <a:avLst/>
                    </a:prstGeom>
                  </pic:spPr>
                </pic:pic>
              </a:graphicData>
            </a:graphic>
          </wp:inline>
        </w:drawing>
      </w:r>
    </w:p>
    <w:p w14:paraId="5A5B7393" w14:textId="03DC2A70" w:rsidR="00EC0EA5" w:rsidRDefault="00EC0EA5" w:rsidP="00EC0EA5">
      <w:pPr>
        <w:spacing w:after="120"/>
      </w:pPr>
      <w:r w:rsidRPr="006E4AFF">
        <w:lastRenderedPageBreak/>
        <w:t>While the Roadmap set a 3-year timeframe for agreeing on Target Reference Points (TRPs) for key stocks, progress has been slower than anticipated</w:t>
      </w:r>
      <w:r>
        <w:t xml:space="preserve"> (2022 Tuna Fishery Report Card)</w:t>
      </w:r>
      <w:r w:rsidRPr="006E4AFF">
        <w:t>. Seven years into implementation by 2022, an interim TRP was only in place for South Pacific albacore, although the previously adopted interim TRP for skipjack was no longer in place with discussions continuing. The South Pacific albacore TRP, developed with economic considerations, was being re-evaluated based on the 2021 assessment. The 2019 skipjack assessment led to further discussion on its TRP value, noting its status was close to the 2012 effort/condition on which the initial TRP was aligned</w:t>
      </w:r>
      <w:r>
        <w:t xml:space="preserve"> (2020 Tuna Fishery Report Card)</w:t>
      </w:r>
      <w:r w:rsidRPr="006E4AFF">
        <w:t xml:space="preserve">. By the 2023 report, a TRP for skipjack had been </w:t>
      </w:r>
      <w:r w:rsidRPr="006E4AFF">
        <w:rPr>
          <w:b/>
          <w:bCs/>
        </w:rPr>
        <w:t>adopted as part of the agreed management procedure</w:t>
      </w:r>
      <w:r w:rsidRPr="006E4AFF">
        <w:t xml:space="preserve"> through WCPFC CMM 2022-01. A harvest strategy workplan is in place to establish management procedures for all four main stocks. Despite the healthy status, the biomass of most stocks continued to decline as of 2019, indicating a need to address weaknesses and gaps in management measures</w:t>
      </w:r>
      <w:r>
        <w:t xml:space="preserve"> (2020 Tuna Fishery Report Card).</w:t>
      </w:r>
      <w:bookmarkStart w:id="93" w:name="_Toc199684988"/>
    </w:p>
    <w:p w14:paraId="016DA9BE" w14:textId="77777777" w:rsidR="00EC0EA5" w:rsidRPr="00337481" w:rsidRDefault="00EC0EA5" w:rsidP="00EC0EA5">
      <w:pPr>
        <w:pStyle w:val="Heading4"/>
        <w:spacing w:after="120"/>
      </w:pPr>
      <w:r w:rsidRPr="00337481">
        <w:t>Catch Value</w:t>
      </w:r>
      <w:bookmarkEnd w:id="93"/>
    </w:p>
    <w:p w14:paraId="43E5B15E" w14:textId="22717C7C" w:rsidR="00EC0EA5" w:rsidRPr="006E4AFF" w:rsidRDefault="00EC0EA5" w:rsidP="00EC0EA5">
      <w:pPr>
        <w:spacing w:after="120"/>
      </w:pPr>
      <w:r w:rsidRPr="00267C96">
        <w:t xml:space="preserve">Increasing the share of the catch value taken by FFA fleets was a key objective of the Taskforce, targeting a </w:t>
      </w:r>
      <w:r w:rsidRPr="00267C96">
        <w:rPr>
          <w:b/>
          <w:bCs/>
        </w:rPr>
        <w:t>25% increase over 5 years</w:t>
      </w:r>
      <w:r w:rsidRPr="00267C96">
        <w:t xml:space="preserve"> from 2015 levels. This goal has been significantly exceeded</w:t>
      </w:r>
      <w:r>
        <w:t xml:space="preserve"> (2019 Tuna Fishery Report Card, 2022 Tuna Fishery Report Card)</w:t>
      </w:r>
      <w:r w:rsidRPr="00267C96">
        <w:t>. The share taken by FFA fleets (including flagged and chartered vessels) increased substantially</w:t>
      </w:r>
      <w:r>
        <w:t xml:space="preserve"> (2023 Tuna Fishery Report Card)</w:t>
      </w:r>
      <w:r w:rsidRPr="00267C96">
        <w:t xml:space="preserve">. It rose from </w:t>
      </w:r>
      <w:r w:rsidRPr="00267C96">
        <w:rPr>
          <w:b/>
          <w:bCs/>
        </w:rPr>
        <w:t>39% in 2015 to 56% in 2021</w:t>
      </w:r>
      <w:r w:rsidRPr="00267C96">
        <w:t xml:space="preserve"> in FFA Members' national waters and was </w:t>
      </w:r>
      <w:r w:rsidRPr="00267C96">
        <w:rPr>
          <w:b/>
          <w:bCs/>
        </w:rPr>
        <w:t>54% in 2022</w:t>
      </w:r>
      <w:r>
        <w:rPr>
          <w:b/>
          <w:bCs/>
        </w:rPr>
        <w:t xml:space="preserve"> (</w:t>
      </w:r>
      <w:r w:rsidRPr="00BC4393">
        <w:t>2022 Tuna Fishery Report Card, 2023 Tuna Fishery Report Card)</w:t>
      </w:r>
      <w:r w:rsidRPr="00267C96">
        <w:t>. The 2019 report noted this share reached 49% in 2018, exceeding the 2020 target. Across the WCPFC Convention Area, the share of catch value by FFA members' fleets increased from 24% in 2015 to 31% in 2021</w:t>
      </w:r>
      <w:r>
        <w:t xml:space="preserve"> (2022 Tuna Fishery Report Card)</w:t>
      </w:r>
      <w:r w:rsidRPr="00267C96">
        <w:t>. The increase in national waters has been driven partly by a significant fall in the catch taken by foreign longline fleets</w:t>
      </w:r>
      <w:r>
        <w:t xml:space="preserve"> (2023 Tuna Fishery Report Card).</w:t>
      </w:r>
    </w:p>
    <w:p w14:paraId="66943AE8" w14:textId="57B8F407" w:rsidR="00EC0EA5" w:rsidRPr="006E4AFF" w:rsidRDefault="00EC0EA5" w:rsidP="00EC0EA5">
      <w:pPr>
        <w:spacing w:after="120"/>
      </w:pPr>
      <w:r w:rsidRPr="006E4AFF">
        <w:t>Economic returns are measured through government revenues (license/access fees) and the harvest sector's contribution to GDP. The 5-year goal was a 25% increase in each from 2015 levels.</w:t>
      </w:r>
    </w:p>
    <w:p w14:paraId="5FA4C1CD" w14:textId="77777777" w:rsidR="00EC0EA5" w:rsidRPr="006E4AFF" w:rsidRDefault="00EC0EA5" w:rsidP="00821BD8">
      <w:pPr>
        <w:pStyle w:val="ListParagraph"/>
        <w:numPr>
          <w:ilvl w:val="0"/>
          <w:numId w:val="20"/>
        </w:numPr>
        <w:spacing w:after="120"/>
      </w:pPr>
      <w:r w:rsidRPr="00D41C65">
        <w:rPr>
          <w:b/>
          <w:bCs/>
        </w:rPr>
        <w:t>License and access fee revenue:</w:t>
      </w:r>
      <w:r w:rsidRPr="006E4AFF">
        <w:t xml:space="preserve"> After very large growth from 2009 to 2015 (over 300% increase), government revenue from access and licensing fees has </w:t>
      </w:r>
      <w:r w:rsidRPr="00D41C65">
        <w:rPr>
          <w:b/>
          <w:bCs/>
        </w:rPr>
        <w:t>remained relatively flat since 2015</w:t>
      </w:r>
      <w:r>
        <w:rPr>
          <w:b/>
          <w:bCs/>
        </w:rPr>
        <w:t xml:space="preserve"> (</w:t>
      </w:r>
      <w:r>
        <w:t>2022 Tuna Fishery Report Card, 2023 Tuna Fishery Report Card)</w:t>
      </w:r>
      <w:r w:rsidRPr="006E4AFF">
        <w:t>. The Taskforce's target of a 25% increase from 2015 was not achieved</w:t>
      </w:r>
      <w:r>
        <w:t xml:space="preserve"> (2022 Tuna Fishery Report Card)</w:t>
      </w:r>
      <w:r w:rsidRPr="006E4AFF">
        <w:t>. Revenue reached a record $550 million in 2019, a 21% increase from 2015</w:t>
      </w:r>
      <w:r>
        <w:t xml:space="preserve"> (2020 Tuna Fishery Report Card)</w:t>
      </w:r>
      <w:r w:rsidRPr="006E4AFF">
        <w:t xml:space="preserve">. The resilience of the PNA purse seine Vessel Day Scheme (VDS) has helped maintain purse seine access fee revenues, with the rate of return from the purse seine fishery being around or </w:t>
      </w:r>
      <w:proofErr w:type="gramStart"/>
      <w:r w:rsidRPr="00D41C65">
        <w:rPr>
          <w:b/>
          <w:bCs/>
        </w:rPr>
        <w:t>in excess of</w:t>
      </w:r>
      <w:proofErr w:type="gramEnd"/>
      <w:r w:rsidRPr="00D41C65">
        <w:rPr>
          <w:b/>
          <w:bCs/>
        </w:rPr>
        <w:t xml:space="preserve"> 20% since 2015</w:t>
      </w:r>
      <w:r>
        <w:rPr>
          <w:b/>
          <w:bCs/>
        </w:rPr>
        <w:t xml:space="preserve"> </w:t>
      </w:r>
      <w:r>
        <w:t>(2021 Tuna Fishery Report Card, 2022 Tuna Fishery Report Card, 2023 Tuna Fishery Report Card)</w:t>
      </w:r>
      <w:r w:rsidRPr="006E4AFF">
        <w:t>. This contrasts with the longline fishery, where returns have remained stagnant and low, with foreign vessel rate of return around 5-6%</w:t>
      </w:r>
      <w:r>
        <w:t xml:space="preserve"> (2019 Tuna Fishery Report Card, 2021 Tuna Fishery Report Card).</w:t>
      </w:r>
      <w:r w:rsidRPr="006E4AFF">
        <w:t xml:space="preserve"> Downward pressures on access fees in recent years include low fish prices, COVID-19 disruptions, and increased national fleets paying lower fees</w:t>
      </w:r>
      <w:r>
        <w:t xml:space="preserve"> (2022 Tuna Fishery Report Card, 2023 Tuna Fishery Report Card)</w:t>
      </w:r>
      <w:r w:rsidRPr="006E4AFF">
        <w:t xml:space="preserve">. Access fees for offshore fishing were estimated at </w:t>
      </w:r>
      <w:r w:rsidRPr="00D41C65">
        <w:rPr>
          <w:b/>
          <w:bCs/>
        </w:rPr>
        <w:t>US$514.77 million in 2021</w:t>
      </w:r>
      <w:r>
        <w:t xml:space="preserve"> (</w:t>
      </w:r>
      <w:r w:rsidRPr="00BC4393">
        <w:rPr>
          <w:rFonts w:cstheme="minorHAnsi"/>
        </w:rPr>
        <w:t>Gillett et al, 2023).</w:t>
      </w:r>
    </w:p>
    <w:p w14:paraId="2F345669" w14:textId="5F6B8853" w:rsidR="00EC0EA5" w:rsidRPr="00EC0EA5" w:rsidRDefault="00EC0EA5" w:rsidP="00821BD8">
      <w:pPr>
        <w:pStyle w:val="ListParagraph"/>
        <w:numPr>
          <w:ilvl w:val="0"/>
          <w:numId w:val="20"/>
        </w:numPr>
        <w:spacing w:after="120"/>
      </w:pPr>
      <w:r w:rsidRPr="00D41C65">
        <w:rPr>
          <w:b/>
          <w:bCs/>
        </w:rPr>
        <w:t>Contribution to GDP:</w:t>
      </w:r>
      <w:r w:rsidRPr="006E4AFF">
        <w:t xml:space="preserve"> The harvest sector's contribution to GDP rebounded after falling between 2012 and 2015</w:t>
      </w:r>
      <w:r>
        <w:t xml:space="preserve"> (2019 Tuna Fishery Report Card)</w:t>
      </w:r>
      <w:r w:rsidRPr="006E4AFF">
        <w:t xml:space="preserve">. Preliminary estimates indicated record highs in 2018, reflecting the increased value of catch by FFA fleets. </w:t>
      </w:r>
      <w:r w:rsidR="00394694">
        <w:t>Later</w:t>
      </w:r>
      <w:r w:rsidRPr="006E4AFF">
        <w:t xml:space="preserve"> reports noted that estimating the contribution of the tuna harvest sector to GDP (value added) has been difficult due to the rapid growth of the fleet based in FFA member countries and challenges in assessing the economic centre of interest of these vessels</w:t>
      </w:r>
      <w:r>
        <w:t xml:space="preserve"> (2022 Tuna Fishery Report Card, 2023 Tuna Fishery Report Card)</w:t>
      </w:r>
      <w:r w:rsidRPr="006E4AFF">
        <w:t>. Estimates were discontinued in later editions. Coastal fishing contributed about 17.9% (commercial) and 38.9% (subsistence) to fishing GDP across the region based on 2021 data</w:t>
      </w:r>
      <w:r>
        <w:t xml:space="preserve"> (</w:t>
      </w:r>
      <w:r w:rsidRPr="001D0E7C">
        <w:t>Gillett et al, 2023).</w:t>
      </w:r>
      <w:r w:rsidRPr="006E4AFF">
        <w:t xml:space="preserve"> The total fishery and aquaculture production was estimated to be worth about </w:t>
      </w:r>
      <w:r w:rsidRPr="00D41C65">
        <w:rPr>
          <w:b/>
          <w:bCs/>
        </w:rPr>
        <w:t>US$2.5 billion in 2021</w:t>
      </w:r>
      <w:r w:rsidRPr="006E4AFF">
        <w:t xml:space="preserve">, with offshore fisheries production worth about </w:t>
      </w:r>
      <w:r w:rsidRPr="00D41C65">
        <w:rPr>
          <w:b/>
          <w:bCs/>
        </w:rPr>
        <w:t>US$1.9 billion</w:t>
      </w:r>
      <w:r>
        <w:t xml:space="preserve"> (</w:t>
      </w:r>
      <w:r w:rsidRPr="001D0E7C">
        <w:t>Gillett et al, 2023).</w:t>
      </w:r>
    </w:p>
    <w:p w14:paraId="05E3D410" w14:textId="77777777" w:rsidR="00EC0EA5" w:rsidRPr="006E4AFF" w:rsidRDefault="00EC0EA5" w:rsidP="00EC0EA5">
      <w:pPr>
        <w:spacing w:after="120"/>
      </w:pPr>
      <w:r w:rsidRPr="006E4AFF">
        <w:rPr>
          <w:b/>
          <w:bCs/>
        </w:rPr>
        <w:t>Trade and Investment</w:t>
      </w:r>
      <w:r w:rsidRPr="006E4AFF">
        <w:t xml:space="preserve"> Growth in export values was suggested as a measure of progress towards stimulating trade and investment. The goal was a 25% increase over 5 years. Total exports in 2019 ($928M) were estimated to be </w:t>
      </w:r>
      <w:r w:rsidRPr="006E4AFF">
        <w:rPr>
          <w:b/>
          <w:bCs/>
        </w:rPr>
        <w:t>53% higher than in 2015</w:t>
      </w:r>
      <w:r>
        <w:rPr>
          <w:b/>
          <w:bCs/>
        </w:rPr>
        <w:t xml:space="preserve"> </w:t>
      </w:r>
      <w:r w:rsidRPr="00BC4393">
        <w:t>(2019 Tuna Fishery</w:t>
      </w:r>
      <w:r>
        <w:t xml:space="preserve"> Report</w:t>
      </w:r>
      <w:r w:rsidRPr="00BC4393">
        <w:t xml:space="preserve"> Card)</w:t>
      </w:r>
      <w:r w:rsidRPr="00EB4218">
        <w:t>.</w:t>
      </w:r>
      <w:r w:rsidRPr="006E4AFF">
        <w:t xml:space="preserve"> Exports in 2020 ($</w:t>
      </w:r>
      <w:r>
        <w:t>982</w:t>
      </w:r>
      <w:r w:rsidRPr="006E4AFF">
        <w:t xml:space="preserve">M) were 47% </w:t>
      </w:r>
      <w:r w:rsidRPr="006E4AFF">
        <w:lastRenderedPageBreak/>
        <w:t>higher than 2015</w:t>
      </w:r>
      <w:r>
        <w:t xml:space="preserve"> (2021 Tuna Fishery Report Card)</w:t>
      </w:r>
      <w:r w:rsidRPr="006E4AFF">
        <w:t xml:space="preserve">. The value of exports to the four major markets (Thailand, US, EU, Japan) increased by </w:t>
      </w:r>
      <w:r w:rsidRPr="006E4AFF">
        <w:rPr>
          <w:b/>
          <w:bCs/>
        </w:rPr>
        <w:t>45% between 2015 and 2021</w:t>
      </w:r>
      <w:r w:rsidRPr="006E4AFF">
        <w:t xml:space="preserve"> and by </w:t>
      </w:r>
      <w:r w:rsidRPr="006E4AFF">
        <w:rPr>
          <w:b/>
          <w:bCs/>
        </w:rPr>
        <w:t>over 50% between 2015 and 2022</w:t>
      </w:r>
      <w:r>
        <w:rPr>
          <w:b/>
          <w:bCs/>
        </w:rPr>
        <w:t xml:space="preserve"> (</w:t>
      </w:r>
      <w:r w:rsidRPr="00BC4393">
        <w:t>2023 Tuna Fishery Report Card</w:t>
      </w:r>
      <w:r>
        <w:rPr>
          <w:b/>
          <w:bCs/>
        </w:rPr>
        <w:t>)</w:t>
      </w:r>
      <w:r w:rsidRPr="006E4AFF">
        <w:t>. Prepared/preserved (canned) and loin exports have shown significant growth. COVID-19 impacted fresh tuna exports in 2020 due to airfreight issues</w:t>
      </w:r>
      <w:r>
        <w:t xml:space="preserve"> (2021 Tuna Fishery Report Card)</w:t>
      </w:r>
      <w:r w:rsidRPr="006E4AFF">
        <w:t xml:space="preserve">. Total fishery exports from the region were about </w:t>
      </w:r>
      <w:r w:rsidRPr="006E4AFF">
        <w:rPr>
          <w:b/>
          <w:bCs/>
        </w:rPr>
        <w:t>US$1.1 billion in 2021</w:t>
      </w:r>
      <w:r>
        <w:t xml:space="preserve"> (</w:t>
      </w:r>
      <w:r w:rsidRPr="001D0E7C">
        <w:t>Gillett et al, 2023).</w:t>
      </w:r>
    </w:p>
    <w:p w14:paraId="2C8173A0" w14:textId="06018DC7" w:rsidR="00EC0EA5" w:rsidRDefault="00EC0EA5" w:rsidP="00EC0EA5">
      <w:pPr>
        <w:spacing w:after="120"/>
      </w:pPr>
      <w:r w:rsidRPr="006E4AFF">
        <w:t xml:space="preserve">The volume of tuna processed or handled onshore has also increased significantly. Volumes increased by 27% between 2015 and 2018 (~186,000mt) and by </w:t>
      </w:r>
      <w:r w:rsidRPr="006E4AFF">
        <w:rPr>
          <w:b/>
          <w:bCs/>
        </w:rPr>
        <w:t>more than 50% between 2015 and 2021</w:t>
      </w:r>
      <w:r w:rsidRPr="006E4AFF">
        <w:t xml:space="preserve"> (&gt;245,000mt)</w:t>
      </w:r>
      <w:r>
        <w:t xml:space="preserve"> (2022 Tuna Fishery Report Card, 2023 Tuna Fishery Report Card)</w:t>
      </w:r>
      <w:r w:rsidRPr="006E4AFF">
        <w:t>. The percentage of tuna caught in FFA member waters that is processed onshore reached 17% in 2021</w:t>
      </w:r>
      <w:r>
        <w:t xml:space="preserve"> (2023 Tuna Fishery Report Card).</w:t>
      </w:r>
      <w:bookmarkStart w:id="94" w:name="_Toc199684989"/>
    </w:p>
    <w:p w14:paraId="7D3D8FB9" w14:textId="77777777" w:rsidR="00EC0EA5" w:rsidRPr="00337481" w:rsidRDefault="00EC0EA5" w:rsidP="00EC0EA5">
      <w:pPr>
        <w:pStyle w:val="Heading4"/>
        <w:spacing w:after="120"/>
      </w:pPr>
      <w:r w:rsidRPr="00337481">
        <w:t>Employment</w:t>
      </w:r>
      <w:bookmarkEnd w:id="94"/>
    </w:p>
    <w:p w14:paraId="7AA28834" w14:textId="04A8B4E2" w:rsidR="00EC0EA5" w:rsidRPr="006E4AFF" w:rsidRDefault="00EC0EA5" w:rsidP="00EC0EA5">
      <w:pPr>
        <w:spacing w:after="120"/>
      </w:pPr>
      <w:r w:rsidRPr="006E4AFF">
        <w:t>Total direct employment in the fishing industry (public and private sectors) has continued to grow</w:t>
      </w:r>
      <w:r>
        <w:t xml:space="preserve"> (2022 Tuna Fishery Report Card, 2023 Tuna Fishery Report Card)</w:t>
      </w:r>
      <w:r w:rsidRPr="006E4AFF">
        <w:t>. Employment increased by around 7,000 between 2013 and 2017 (to ~22,500)</w:t>
      </w:r>
      <w:r>
        <w:t xml:space="preserve"> (2019 Tuna Fishery Report Card)</w:t>
      </w:r>
      <w:r w:rsidRPr="006E4AFF">
        <w:t>. It increased by around 4,600 between 2015 and 2019, and by around 4,850 (25%) between 2015 and 2020 (to 24,145)</w:t>
      </w:r>
      <w:r>
        <w:t xml:space="preserve"> (2020 Tuna Fishery Report Card)</w:t>
      </w:r>
      <w:r w:rsidRPr="006E4AFF">
        <w:t xml:space="preserve">. Total employment related to tuna fisheries reached an estimated </w:t>
      </w:r>
      <w:r w:rsidRPr="006E4AFF">
        <w:rPr>
          <w:b/>
          <w:bCs/>
        </w:rPr>
        <w:t>27,442 in 2021 (up 42% from 2015)</w:t>
      </w:r>
      <w:r w:rsidRPr="006E4AFF">
        <w:t xml:space="preserve"> and </w:t>
      </w:r>
      <w:r w:rsidRPr="006E4AFF">
        <w:rPr>
          <w:b/>
          <w:bCs/>
        </w:rPr>
        <w:t>27,803 in 2022 (up 44% from 2015)</w:t>
      </w:r>
      <w:r>
        <w:t xml:space="preserve"> (2023 Tuna Fishery Report Card)</w:t>
      </w:r>
      <w:r w:rsidRPr="006E4AFF">
        <w:t>. The onshore processing sector contributes most significantly to this increase, accounting for 60-70% of all employment</w:t>
      </w:r>
      <w:r>
        <w:t xml:space="preserve"> (2023 Tuna Fishery Report Card)</w:t>
      </w:r>
      <w:r w:rsidRPr="006E4AFF">
        <w:t>. Employment in this sector was estimated at 17,400 in 2021 and 18,099 in 2022</w:t>
      </w:r>
      <w:r>
        <w:t xml:space="preserve"> (2023 Tuna Fishery Report Card)</w:t>
      </w:r>
      <w:r w:rsidRPr="006E4AFF">
        <w:t xml:space="preserve">. Despite this growth, the rate of increase is unlikely to meet the </w:t>
      </w:r>
      <w:proofErr w:type="gramStart"/>
      <w:r w:rsidRPr="006E4AFF">
        <w:t>Roadmap</w:t>
      </w:r>
      <w:proofErr w:type="gramEnd"/>
      <w:r w:rsidRPr="006E4AFF">
        <w:t xml:space="preserve"> goal (18,000 over 10 years) or the Taskforce target (9,000 over 5 years) for new jobs</w:t>
      </w:r>
      <w:r>
        <w:t xml:space="preserve"> (2020 Tuna Fishery Report Card)</w:t>
      </w:r>
      <w:r w:rsidRPr="006E4AFF">
        <w:t>.</w:t>
      </w:r>
    </w:p>
    <w:p w14:paraId="48503C02" w14:textId="77777777" w:rsidR="00EC0EA5" w:rsidRPr="00337481" w:rsidRDefault="00EC0EA5" w:rsidP="00EC0EA5">
      <w:pPr>
        <w:pStyle w:val="Heading4"/>
        <w:spacing w:after="120"/>
      </w:pPr>
      <w:bookmarkStart w:id="95" w:name="_Toc199684990"/>
      <w:r w:rsidRPr="00337481">
        <w:t>Food Security</w:t>
      </w:r>
      <w:bookmarkEnd w:id="95"/>
    </w:p>
    <w:p w14:paraId="2C2E5B73" w14:textId="224248E3" w:rsidR="00EC0EA5" w:rsidRPr="006E4AFF" w:rsidRDefault="00EC0EA5" w:rsidP="00EC0EA5">
      <w:pPr>
        <w:spacing w:after="120"/>
      </w:pPr>
      <w:r w:rsidRPr="006E4AFF">
        <w:t xml:space="preserve">The </w:t>
      </w:r>
      <w:proofErr w:type="gramStart"/>
      <w:r w:rsidRPr="006E4AFF">
        <w:t>Roadmap</w:t>
      </w:r>
      <w:proofErr w:type="gramEnd"/>
      <w:r w:rsidRPr="006E4AFF">
        <w:t xml:space="preserve"> laid out a challenge to ensure an additional 40,000 tonnes of tuna would be available for regional consumption in 10 years. Assessing progress against this target has been difficult due to a </w:t>
      </w:r>
      <w:r w:rsidRPr="00C4452C">
        <w:rPr>
          <w:b/>
          <w:bCs/>
        </w:rPr>
        <w:t>lack of baseline data (</w:t>
      </w:r>
      <w:r w:rsidRPr="00BC4393">
        <w:t>2020 Tuna Fishery Report Card</w:t>
      </w:r>
      <w:r w:rsidRPr="00C4452C">
        <w:rPr>
          <w:b/>
          <w:bCs/>
        </w:rPr>
        <w:t>)</w:t>
      </w:r>
      <w:r w:rsidRPr="006E4AFF">
        <w:t xml:space="preserve">. Nevertheless, research has explored how much tuna enters local markets. Coastal fisheries provide </w:t>
      </w:r>
      <w:proofErr w:type="gramStart"/>
      <w:r w:rsidRPr="006E4AFF">
        <w:t>the vast majority of</w:t>
      </w:r>
      <w:proofErr w:type="gramEnd"/>
      <w:r w:rsidRPr="006E4AFF">
        <w:t xml:space="preserve"> fish for consumption by PICT residents</w:t>
      </w:r>
      <w:r>
        <w:t xml:space="preserve"> (2022 Tuna Fishery Report Card)</w:t>
      </w:r>
      <w:r w:rsidRPr="006E4AFF">
        <w:t xml:space="preserve">. </w:t>
      </w:r>
      <w:r w:rsidR="00394694">
        <w:t>The</w:t>
      </w:r>
      <w:r w:rsidRPr="006E4AFF">
        <w:t xml:space="preserve"> annual per capita supply of coastal fish declined by 14% between 2007 and 2021 (from 16.1 kg to 13.8 kg), which is a cause for concern</w:t>
      </w:r>
      <w:r>
        <w:t xml:space="preserve"> (</w:t>
      </w:r>
      <w:r w:rsidRPr="001D0E7C">
        <w:t>Gillett et al, 2023).</w:t>
      </w:r>
      <w:r>
        <w:t xml:space="preserve"> </w:t>
      </w:r>
      <w:r w:rsidRPr="006E4AFF">
        <w:t>Canned tuna is important in some local markets, with consumption in the three largest countries (Fiji, Solomon Islands, PNG) equivalent to 22,000 tonnes of whole tuna annually</w:t>
      </w:r>
      <w:r>
        <w:t xml:space="preserve"> (2020 Tuna Fishery Report Card, 2023 Tuna Fishery Report Card)</w:t>
      </w:r>
      <w:r w:rsidRPr="006E4AFF">
        <w:t>. Initiatives to increase local supply from commercial fleets (e.g., requiring onshore landings, using bycatch) exist, and artisanal fleets contribute around 17,500 tonnes annually (based on 2016 data)</w:t>
      </w:r>
      <w:r>
        <w:t xml:space="preserve"> (2019 Tuna Fishery Report Card)</w:t>
      </w:r>
      <w:r w:rsidRPr="006E4AFF">
        <w:t>. Tuna from transhipment is a potential local food source, but volumes can be variable and may overwhelm local supply chains if not managed</w:t>
      </w:r>
      <w:r>
        <w:t xml:space="preserve"> (2023 Tuna Fishery Report Card)</w:t>
      </w:r>
      <w:r w:rsidRPr="006E4AFF">
        <w:t xml:space="preserve">. </w:t>
      </w:r>
    </w:p>
    <w:p w14:paraId="097716FC" w14:textId="77777777" w:rsidR="00EC0EA5" w:rsidRPr="00337481" w:rsidRDefault="00EC0EA5" w:rsidP="00EC0EA5">
      <w:pPr>
        <w:pStyle w:val="Heading4"/>
        <w:spacing w:after="120"/>
      </w:pPr>
      <w:bookmarkStart w:id="96" w:name="_Toc199684991"/>
      <w:r w:rsidRPr="00337481">
        <w:t>IUU Fishing</w:t>
      </w:r>
      <w:bookmarkEnd w:id="96"/>
    </w:p>
    <w:p w14:paraId="3C3BAAD4" w14:textId="078882B0" w:rsidR="00EC0EA5" w:rsidRPr="006E4AFF" w:rsidRDefault="00EC0EA5" w:rsidP="00EC0EA5">
      <w:pPr>
        <w:spacing w:after="120"/>
      </w:pPr>
      <w:r w:rsidRPr="006E4AFF">
        <w:t>Quantifying IUU fishing helps gauge potential losses to coastal states. A 2020 update to the quantification of IUU fishing (using 2017-2019 data) estimated the total volume of product involved in IUU activity at 192,187 tonnes with an ex-vessel value of $333.49 million</w:t>
      </w:r>
      <w:r>
        <w:rPr>
          <w:rStyle w:val="FootnoteReference"/>
        </w:rPr>
        <w:footnoteReference w:id="19"/>
      </w:r>
      <w:r w:rsidRPr="006E4AFF">
        <w:t xml:space="preserve">. This is a considerable reduction from the 2016 study estimates (306,440t, $616.11m), largely due to better data and methodological changes. However, ex-vessel value is considered </w:t>
      </w:r>
      <w:r w:rsidRPr="006E4AFF">
        <w:rPr>
          <w:b/>
          <w:bCs/>
        </w:rPr>
        <w:t>not a good indicator of actual loss to FFA members</w:t>
      </w:r>
      <w:r>
        <w:t xml:space="preserve">. </w:t>
      </w:r>
      <w:r w:rsidRPr="006E4AFF">
        <w:t>A better benchmark is the economic rent generated by IUU activity</w:t>
      </w:r>
      <w:r>
        <w:t xml:space="preserve"> (FFA Update, 2020)</w:t>
      </w:r>
      <w:r w:rsidRPr="006E4AFF">
        <w:t xml:space="preserve">. The estimated rent associated with the 2017-2019 IUU estimates was </w:t>
      </w:r>
      <w:r w:rsidRPr="006E4AFF">
        <w:rPr>
          <w:b/>
          <w:bCs/>
        </w:rPr>
        <w:t>$43.18 million</w:t>
      </w:r>
      <w:r w:rsidRPr="006E4AFF">
        <w:t>, a significant reduction from the $152.67 million estimate in the 2016 study</w:t>
      </w:r>
      <w:r>
        <w:t xml:space="preserve"> (FFA Update, 2020)</w:t>
      </w:r>
      <w:r w:rsidRPr="006E4AFF">
        <w:t>. This estimated rent may still overstate the actual loss, particularly in the purse seine fishery where the VDS may capture rent from some IUU activities like misreporting. Misreporting was the largest estimated IUU risk</w:t>
      </w:r>
      <w:r>
        <w:t xml:space="preserve"> (FFA Update, 2020)</w:t>
      </w:r>
      <w:r w:rsidRPr="006E4AFF">
        <w:t xml:space="preserve">. </w:t>
      </w:r>
    </w:p>
    <w:p w14:paraId="58155DC8" w14:textId="08005C85" w:rsidR="00EC0EA5" w:rsidRPr="006E4AFF" w:rsidRDefault="00EC0EA5" w:rsidP="00EC0EA5">
      <w:pPr>
        <w:spacing w:after="120"/>
      </w:pPr>
      <w:r w:rsidRPr="006E4AFF">
        <w:lastRenderedPageBreak/>
        <w:t xml:space="preserve">In summary, over the past five years, the economic impact of tuna fisheries on Pacific Island economies has seen the </w:t>
      </w:r>
      <w:r w:rsidRPr="006E4AFF">
        <w:rPr>
          <w:b/>
          <w:bCs/>
        </w:rPr>
        <w:t>value captured by FFA fleets and associated onshore industries increase significantly</w:t>
      </w:r>
      <w:r w:rsidRPr="006E4AFF">
        <w:t xml:space="preserve">, as evidenced by the rising share of catch value, growing export values, and substantial increases in onshore processing volumes and employment. </w:t>
      </w:r>
      <w:r w:rsidR="00394694">
        <w:t>This</w:t>
      </w:r>
      <w:r w:rsidRPr="006E4AFF">
        <w:t xml:space="preserve"> increased value has </w:t>
      </w:r>
      <w:r w:rsidRPr="006E4AFF">
        <w:rPr>
          <w:b/>
          <w:bCs/>
        </w:rPr>
        <w:t>not fully translated into a proportional increase in government revenue from access fees</w:t>
      </w:r>
      <w:r w:rsidRPr="006E4AFF">
        <w:t xml:space="preserve">, which have remained relatively flat since 2015, largely due to challenges in the longline sector despite the success of the purse seine VDS. While tuna stocks remain biologically healthy, progress on implementing management measures like TRPs has been slower than planned. Efforts are ongoing to better understand and enhance the contribution of tuna to food security, especially </w:t>
      </w:r>
      <w:proofErr w:type="gramStart"/>
      <w:r w:rsidRPr="006E4AFF">
        <w:t>in light of</w:t>
      </w:r>
      <w:proofErr w:type="gramEnd"/>
      <w:r w:rsidRPr="006E4AFF">
        <w:t xml:space="preserve"> declining coastal fish supplies. The estimated value of IUU fishing has decreased, but quantifying its precise economic loss remains challenging.</w:t>
      </w:r>
    </w:p>
    <w:p w14:paraId="4DF8A65E" w14:textId="77777777" w:rsidR="00C67BB1" w:rsidRDefault="00C67BB1" w:rsidP="00EC0EA5">
      <w:pPr>
        <w:spacing w:after="120"/>
        <w:rPr>
          <w:rStyle w:val="Heading"/>
          <w:rFonts w:cstheme="minorHAnsi"/>
          <w:color w:val="2F5496" w:themeColor="accent1" w:themeShade="BF"/>
          <w:sz w:val="32"/>
          <w:szCs w:val="32"/>
        </w:rPr>
      </w:pPr>
    </w:p>
    <w:p w14:paraId="65252C72" w14:textId="77777777" w:rsidR="00C67BB1" w:rsidRDefault="00C67BB1" w:rsidP="00D41C65">
      <w:pPr>
        <w:rPr>
          <w:rStyle w:val="Heading"/>
          <w:rFonts w:cstheme="minorHAnsi"/>
          <w:color w:val="2F5496" w:themeColor="accent1" w:themeShade="BF"/>
          <w:sz w:val="32"/>
          <w:szCs w:val="32"/>
        </w:rPr>
      </w:pPr>
      <w:r>
        <w:rPr>
          <w:rStyle w:val="Heading"/>
          <w:rFonts w:cstheme="minorHAnsi"/>
          <w:color w:val="2F5496" w:themeColor="accent1" w:themeShade="BF"/>
          <w:sz w:val="32"/>
          <w:szCs w:val="32"/>
        </w:rPr>
        <w:br w:type="page"/>
      </w:r>
    </w:p>
    <w:p w14:paraId="323B7A5E" w14:textId="0853CBDA" w:rsidR="009D2B76" w:rsidRPr="00FA2BF4" w:rsidRDefault="000F3351" w:rsidP="00FA2BF4">
      <w:pPr>
        <w:pStyle w:val="Heading3"/>
        <w:rPr>
          <w:b/>
          <w:bCs/>
        </w:rPr>
      </w:pPr>
      <w:bookmarkStart w:id="97" w:name="_Toc207206826"/>
      <w:r w:rsidRPr="00FA2BF4">
        <w:rPr>
          <w:b/>
          <w:bCs/>
        </w:rPr>
        <w:lastRenderedPageBreak/>
        <w:t>Annexe</w:t>
      </w:r>
      <w:r w:rsidR="00C67BB1" w:rsidRPr="00FA2BF4">
        <w:rPr>
          <w:b/>
          <w:bCs/>
        </w:rPr>
        <w:t xml:space="preserve"> </w:t>
      </w:r>
      <w:r w:rsidR="00576303" w:rsidRPr="00FA2BF4">
        <w:rPr>
          <w:b/>
          <w:bCs/>
        </w:rPr>
        <w:t>8</w:t>
      </w:r>
      <w:r w:rsidR="00C67BB1" w:rsidRPr="00FA2BF4">
        <w:rPr>
          <w:b/>
          <w:bCs/>
        </w:rPr>
        <w:t xml:space="preserve">: </w:t>
      </w:r>
      <w:r w:rsidR="00F460A0" w:rsidRPr="00FA2BF4">
        <w:rPr>
          <w:b/>
          <w:bCs/>
        </w:rPr>
        <w:t>Program Logic</w:t>
      </w:r>
      <w:bookmarkEnd w:id="97"/>
    </w:p>
    <w:p w14:paraId="28D9B970" w14:textId="77777777" w:rsidR="0008500E" w:rsidRDefault="0008500E" w:rsidP="00D41C65">
      <w:pPr>
        <w:rPr>
          <w:rStyle w:val="Heading"/>
          <w:rFonts w:cstheme="minorHAnsi"/>
          <w:color w:val="2F5496" w:themeColor="accent1" w:themeShade="BF"/>
          <w:sz w:val="32"/>
          <w:szCs w:val="32"/>
        </w:rPr>
      </w:pPr>
    </w:p>
    <w:p w14:paraId="1B6FCD69" w14:textId="77777777" w:rsidR="007472C4" w:rsidRDefault="007472C4" w:rsidP="00D41C65">
      <w:pPr>
        <w:rPr>
          <w:rStyle w:val="Heading"/>
          <w:rFonts w:cstheme="minorHAnsi"/>
          <w:color w:val="2F5496" w:themeColor="accent1" w:themeShade="BF"/>
          <w:sz w:val="32"/>
          <w:szCs w:val="32"/>
        </w:rPr>
      </w:pPr>
    </w:p>
    <w:p w14:paraId="03387962" w14:textId="77777777" w:rsidR="00113202" w:rsidRPr="00F70680" w:rsidRDefault="00113202" w:rsidP="00113202">
      <w:pPr>
        <w:jc w:val="center"/>
        <w:rPr>
          <w:b/>
          <w:bCs/>
        </w:rPr>
      </w:pPr>
      <w:r w:rsidRPr="00F70680">
        <w:rPr>
          <w:b/>
          <w:bCs/>
        </w:rPr>
        <w:t>The goal of INJ201 is:</w:t>
      </w:r>
    </w:p>
    <w:p w14:paraId="28955635" w14:textId="77777777" w:rsidR="00113202" w:rsidRPr="001A1BDF" w:rsidRDefault="00113202" w:rsidP="00113202">
      <w:pPr>
        <w:jc w:val="center"/>
      </w:pPr>
    </w:p>
    <w:p w14:paraId="0418EC2D" w14:textId="77777777" w:rsidR="00113202" w:rsidRPr="001A1BDF" w:rsidRDefault="00113202" w:rsidP="00113202">
      <w:pPr>
        <w:jc w:val="center"/>
      </w:pPr>
      <w:r w:rsidRPr="001A1BDF">
        <w:t>The Pacific has secure access to sustainably managed ocean resources</w:t>
      </w:r>
    </w:p>
    <w:p w14:paraId="0FEE2444" w14:textId="77777777" w:rsidR="007D39D8" w:rsidRDefault="007D39D8" w:rsidP="007D39D8">
      <w:pPr>
        <w:jc w:val="center"/>
        <w:rPr>
          <w:b/>
          <w:bCs/>
        </w:rPr>
      </w:pPr>
    </w:p>
    <w:p w14:paraId="071CDC20" w14:textId="143D54E2" w:rsidR="007D39D8" w:rsidRDefault="007D39D8" w:rsidP="007D39D8">
      <w:pPr>
        <w:jc w:val="center"/>
        <w:rPr>
          <w:b/>
          <w:bCs/>
        </w:rPr>
      </w:pPr>
      <w:r w:rsidRPr="00F70680">
        <w:rPr>
          <w:b/>
          <w:bCs/>
        </w:rPr>
        <w:t>The goal achieved through four outcomes:</w:t>
      </w:r>
    </w:p>
    <w:p w14:paraId="7B9E7A4A" w14:textId="77777777" w:rsidR="007D39D8" w:rsidRPr="00F70680" w:rsidRDefault="007D39D8" w:rsidP="007D39D8">
      <w:pPr>
        <w:jc w:val="center"/>
        <w:rPr>
          <w:b/>
          <w:bCs/>
        </w:rPr>
      </w:pPr>
    </w:p>
    <w:p w14:paraId="1030D7B7" w14:textId="683FB27E" w:rsidR="00113202" w:rsidRDefault="007D39D8" w:rsidP="007D39D8">
      <w:pPr>
        <w:pStyle w:val="ListParagraph"/>
        <w:numPr>
          <w:ilvl w:val="2"/>
          <w:numId w:val="24"/>
        </w:numPr>
        <w:rPr>
          <w:lang w:val="en-GB"/>
        </w:rPr>
      </w:pPr>
      <w:r w:rsidRPr="00F70680">
        <w:rPr>
          <w:lang w:eastAsia="en-GB"/>
        </w:rPr>
        <w:t>Pacific regional organisations provide adequate support to PICs to manage and develop their fisheries sustainably and cooperatively</w:t>
      </w:r>
      <w:r>
        <w:rPr>
          <w:lang w:eastAsia="en-GB"/>
        </w:rPr>
        <w:t xml:space="preserve"> </w:t>
      </w:r>
      <w:r w:rsidRPr="001A1BDF">
        <w:t>(71% of funds)</w:t>
      </w:r>
      <w:r>
        <w:t>.</w:t>
      </w:r>
    </w:p>
    <w:p w14:paraId="3D3396FE" w14:textId="03314442" w:rsidR="007D39D8" w:rsidRDefault="007D39D8" w:rsidP="007D39D8">
      <w:pPr>
        <w:pStyle w:val="ListParagraph"/>
        <w:numPr>
          <w:ilvl w:val="2"/>
          <w:numId w:val="24"/>
        </w:numPr>
        <w:rPr>
          <w:lang w:val="en-GB"/>
        </w:rPr>
      </w:pPr>
      <w:r w:rsidRPr="00F70680">
        <w:rPr>
          <w:lang w:eastAsia="en-GB"/>
        </w:rPr>
        <w:t>Pacific livelihoods are improved through access to sustainable coastal fisheries resources</w:t>
      </w:r>
      <w:r>
        <w:rPr>
          <w:lang w:eastAsia="en-GB"/>
        </w:rPr>
        <w:t xml:space="preserve"> </w:t>
      </w:r>
      <w:r w:rsidRPr="001A1BDF">
        <w:t>(16% of funds)</w:t>
      </w:r>
      <w:r>
        <w:t>.</w:t>
      </w:r>
    </w:p>
    <w:p w14:paraId="0E032C01" w14:textId="59EF3012" w:rsidR="007D39D8" w:rsidRDefault="007D39D8" w:rsidP="007D39D8">
      <w:pPr>
        <w:pStyle w:val="ListParagraph"/>
        <w:numPr>
          <w:ilvl w:val="2"/>
          <w:numId w:val="24"/>
        </w:numPr>
        <w:rPr>
          <w:lang w:val="en-GB"/>
        </w:rPr>
      </w:pPr>
      <w:r w:rsidRPr="00F70680">
        <w:rPr>
          <w:lang w:eastAsia="en-GB"/>
        </w:rPr>
        <w:t>IUU fishing is reduced through coordinated fisheries monitoring, control and surveillance activities</w:t>
      </w:r>
      <w:r>
        <w:rPr>
          <w:lang w:eastAsia="en-GB"/>
        </w:rPr>
        <w:t xml:space="preserve"> </w:t>
      </w:r>
      <w:r w:rsidRPr="001A1BDF">
        <w:t>(6% of funds)</w:t>
      </w:r>
    </w:p>
    <w:p w14:paraId="3AA81CE3" w14:textId="7FD3E318" w:rsidR="007D39D8" w:rsidRPr="001A1BDF" w:rsidRDefault="007D39D8" w:rsidP="007D39D8">
      <w:pPr>
        <w:pStyle w:val="ListParagraph"/>
        <w:numPr>
          <w:ilvl w:val="2"/>
          <w:numId w:val="24"/>
        </w:numPr>
        <w:rPr>
          <w:lang w:val="en-GB" w:eastAsia="en-GB"/>
        </w:rPr>
      </w:pPr>
      <w:r w:rsidRPr="00F70680">
        <w:rPr>
          <w:lang w:eastAsia="en-GB"/>
        </w:rPr>
        <w:t>Maritime boundaries are secured and resilient to the effects of climate change</w:t>
      </w:r>
      <w:r>
        <w:rPr>
          <w:lang w:eastAsia="en-GB"/>
        </w:rPr>
        <w:t xml:space="preserve"> </w:t>
      </w:r>
      <w:r w:rsidRPr="001A1BDF">
        <w:rPr>
          <w:lang w:eastAsia="en-GB"/>
        </w:rPr>
        <w:t>(4% of funds)</w:t>
      </w:r>
      <w:r w:rsidRPr="001A1BDF">
        <w:rPr>
          <w:lang w:val="en-GB" w:eastAsia="en-GB"/>
        </w:rPr>
        <w:t xml:space="preserve"> </w:t>
      </w:r>
    </w:p>
    <w:p w14:paraId="6ECEBCC4" w14:textId="77777777" w:rsidR="007472C4" w:rsidRDefault="007472C4" w:rsidP="007D39D8">
      <w:pPr>
        <w:pStyle w:val="ListParagraph"/>
        <w:ind w:left="360"/>
        <w:rPr>
          <w:b/>
          <w:bCs/>
        </w:rPr>
      </w:pPr>
    </w:p>
    <w:p w14:paraId="1A72917C" w14:textId="20DA3923" w:rsidR="007D39D8" w:rsidRDefault="007D39D8" w:rsidP="00F04BBB">
      <w:pPr>
        <w:pStyle w:val="ListParagraph"/>
        <w:ind w:left="360"/>
        <w:jc w:val="center"/>
        <w:rPr>
          <w:b/>
          <w:bCs/>
        </w:rPr>
      </w:pPr>
      <w:r w:rsidRPr="007D39D8">
        <w:rPr>
          <w:b/>
          <w:bCs/>
        </w:rPr>
        <w:t>Australia assists the Pacific to achieve these outcomes through the following activities:</w:t>
      </w:r>
    </w:p>
    <w:p w14:paraId="754872B2" w14:textId="77777777" w:rsidR="007472C4" w:rsidRPr="007D39D8" w:rsidRDefault="007472C4" w:rsidP="007472C4">
      <w:pPr>
        <w:pStyle w:val="ListParagraph"/>
        <w:ind w:left="360"/>
        <w:jc w:val="center"/>
        <w:rPr>
          <w:b/>
          <w:bCs/>
        </w:rPr>
      </w:pPr>
    </w:p>
    <w:tbl>
      <w:tblPr>
        <w:tblStyle w:val="TableGrid"/>
        <w:tblW w:w="0" w:type="auto"/>
        <w:tblInd w:w="3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2"/>
        <w:gridCol w:w="2252"/>
        <w:gridCol w:w="2253"/>
        <w:gridCol w:w="2253"/>
      </w:tblGrid>
      <w:tr w:rsidR="007472C4" w:rsidRPr="001A1BDF" w14:paraId="0685E07A" w14:textId="77777777" w:rsidTr="00F04BBB">
        <w:tc>
          <w:tcPr>
            <w:tcW w:w="2252" w:type="dxa"/>
          </w:tcPr>
          <w:p w14:paraId="6F2C573E" w14:textId="77777777" w:rsidR="007472C4" w:rsidRPr="001A1BDF" w:rsidRDefault="007472C4" w:rsidP="00B8025F">
            <w:r w:rsidRPr="001A1BDF">
              <w:t>FFA Core Funding</w:t>
            </w:r>
          </w:p>
        </w:tc>
        <w:tc>
          <w:tcPr>
            <w:tcW w:w="2252" w:type="dxa"/>
          </w:tcPr>
          <w:p w14:paraId="131BD120" w14:textId="77777777" w:rsidR="007472C4" w:rsidRPr="001A1BDF" w:rsidRDefault="007472C4" w:rsidP="00B8025F">
            <w:r w:rsidRPr="001A1BDF">
              <w:t>CBFM</w:t>
            </w:r>
          </w:p>
        </w:tc>
        <w:tc>
          <w:tcPr>
            <w:tcW w:w="2253" w:type="dxa"/>
          </w:tcPr>
          <w:p w14:paraId="2D3265CF" w14:textId="77777777" w:rsidR="007472C4" w:rsidRPr="001A1BDF" w:rsidRDefault="007472C4" w:rsidP="00B8025F">
            <w:r w:rsidRPr="001A1BDF">
              <w:t>NTSA Project</w:t>
            </w:r>
          </w:p>
        </w:tc>
        <w:tc>
          <w:tcPr>
            <w:tcW w:w="2253" w:type="dxa"/>
          </w:tcPr>
          <w:p w14:paraId="01787DFC" w14:textId="77777777" w:rsidR="007472C4" w:rsidRPr="001A1BDF" w:rsidRDefault="007472C4" w:rsidP="007472C4">
            <w:pPr>
              <w:spacing w:after="120"/>
            </w:pPr>
            <w:r w:rsidRPr="001A1BDF">
              <w:t>Pacific Maritime Boundaries</w:t>
            </w:r>
          </w:p>
        </w:tc>
      </w:tr>
      <w:tr w:rsidR="007472C4" w:rsidRPr="001A1BDF" w14:paraId="28CDA734" w14:textId="77777777" w:rsidTr="00F04BBB">
        <w:tc>
          <w:tcPr>
            <w:tcW w:w="2252" w:type="dxa"/>
          </w:tcPr>
          <w:p w14:paraId="59015713" w14:textId="77777777" w:rsidR="007472C4" w:rsidRPr="001A1BDF" w:rsidRDefault="007472C4" w:rsidP="00B8025F">
            <w:r w:rsidRPr="001A1BDF">
              <w:t xml:space="preserve">SPC </w:t>
            </w:r>
            <w:r>
              <w:t>FAME</w:t>
            </w:r>
            <w:r w:rsidRPr="001A1BDF">
              <w:t xml:space="preserve"> Program Funding</w:t>
            </w:r>
          </w:p>
        </w:tc>
        <w:tc>
          <w:tcPr>
            <w:tcW w:w="2252" w:type="dxa"/>
          </w:tcPr>
          <w:p w14:paraId="2376666D" w14:textId="77777777" w:rsidR="007472C4" w:rsidRPr="001A1BDF" w:rsidRDefault="007472C4" w:rsidP="00B8025F">
            <w:r w:rsidRPr="001A1BDF">
              <w:t>Coastal Fisheries and Aquaculture (AU/ NZ)</w:t>
            </w:r>
          </w:p>
        </w:tc>
        <w:tc>
          <w:tcPr>
            <w:tcW w:w="2253" w:type="dxa"/>
          </w:tcPr>
          <w:p w14:paraId="10443B1E" w14:textId="77777777" w:rsidR="007472C4" w:rsidRPr="001A1BDF" w:rsidRDefault="007472C4" w:rsidP="00B8025F">
            <w:r w:rsidRPr="001A1BDF">
              <w:t>MCS Strategy Implementation</w:t>
            </w:r>
          </w:p>
        </w:tc>
        <w:tc>
          <w:tcPr>
            <w:tcW w:w="2253" w:type="dxa"/>
          </w:tcPr>
          <w:p w14:paraId="249CA75F" w14:textId="77777777" w:rsidR="007472C4" w:rsidRPr="001A1BDF" w:rsidRDefault="007472C4" w:rsidP="00B8025F">
            <w:r w:rsidRPr="001A1BDF">
              <w:t>Resilient Boundaries for the Blue Pacific</w:t>
            </w:r>
          </w:p>
        </w:tc>
      </w:tr>
    </w:tbl>
    <w:p w14:paraId="4F9291FE" w14:textId="62A285B0" w:rsidR="007D39D8" w:rsidRPr="007472C4" w:rsidRDefault="007D39D8" w:rsidP="007472C4">
      <w:pPr>
        <w:rPr>
          <w:rStyle w:val="Heading"/>
          <w:rFonts w:ascii="Calibri Light" w:hAnsi="Calibri Light" w:cstheme="minorHAnsi"/>
          <w:color w:val="000000" w:themeColor="text1"/>
          <w:sz w:val="22"/>
          <w:szCs w:val="22"/>
          <w:lang w:eastAsia="en-GB"/>
        </w:rPr>
      </w:pPr>
    </w:p>
    <w:p w14:paraId="54D167CA" w14:textId="0EC8185F" w:rsidR="009D2B76" w:rsidRDefault="009D2B76" w:rsidP="00D41C65">
      <w:pPr>
        <w:rPr>
          <w:rStyle w:val="Heading"/>
          <w:rFonts w:cstheme="minorHAnsi"/>
          <w:color w:val="2F5496" w:themeColor="accent1" w:themeShade="BF"/>
          <w:sz w:val="32"/>
          <w:szCs w:val="32"/>
        </w:rPr>
      </w:pPr>
      <w:r>
        <w:rPr>
          <w:rStyle w:val="Heading"/>
          <w:rFonts w:cstheme="minorHAnsi"/>
          <w:color w:val="2F5496" w:themeColor="accent1" w:themeShade="BF"/>
          <w:sz w:val="32"/>
          <w:szCs w:val="32"/>
        </w:rPr>
        <w:br w:type="page"/>
      </w:r>
    </w:p>
    <w:p w14:paraId="36D09ED1" w14:textId="356832F2" w:rsidR="006A3271" w:rsidRPr="00FA2BF4" w:rsidRDefault="000F3351" w:rsidP="00FA2BF4">
      <w:pPr>
        <w:pStyle w:val="Heading3"/>
        <w:rPr>
          <w:b/>
          <w:bCs/>
        </w:rPr>
      </w:pPr>
      <w:bookmarkStart w:id="98" w:name="_Toc207206827"/>
      <w:r w:rsidRPr="00FA2BF4">
        <w:rPr>
          <w:b/>
          <w:bCs/>
        </w:rPr>
        <w:lastRenderedPageBreak/>
        <w:t>Annexe</w:t>
      </w:r>
      <w:r w:rsidR="006A3271" w:rsidRPr="00FA2BF4">
        <w:rPr>
          <w:b/>
          <w:bCs/>
        </w:rPr>
        <w:t xml:space="preserve"> </w:t>
      </w:r>
      <w:r w:rsidR="00576303" w:rsidRPr="00FA2BF4">
        <w:rPr>
          <w:b/>
          <w:bCs/>
        </w:rPr>
        <w:t>9</w:t>
      </w:r>
      <w:r w:rsidR="00A06226" w:rsidRPr="00FA2BF4">
        <w:rPr>
          <w:b/>
          <w:bCs/>
        </w:rPr>
        <w:t>: Combatting IUU Fishing</w:t>
      </w:r>
      <w:bookmarkEnd w:id="98"/>
    </w:p>
    <w:p w14:paraId="2C80014D" w14:textId="2648BE9F" w:rsidR="00A06226" w:rsidRPr="000918BB" w:rsidRDefault="00A06226" w:rsidP="00A06226">
      <w:pPr>
        <w:spacing w:before="100" w:beforeAutospacing="1" w:after="100" w:afterAutospacing="1"/>
        <w:rPr>
          <w:rFonts w:eastAsia="Times New Roman" w:cs="Calibri Light"/>
          <w:lang w:eastAsia="en-GB"/>
        </w:rPr>
      </w:pPr>
      <w:r w:rsidRPr="000918BB">
        <w:rPr>
          <w:rFonts w:eastAsia="Times New Roman" w:cs="Calibri Light"/>
          <w:lang w:eastAsia="en-GB"/>
        </w:rPr>
        <w:t xml:space="preserve">Australia's </w:t>
      </w:r>
      <w:r w:rsidR="00B41DE6">
        <w:rPr>
          <w:rFonts w:eastAsia="Times New Roman" w:cs="Calibri Light"/>
          <w:lang w:eastAsia="en-GB"/>
        </w:rPr>
        <w:t>Investment</w:t>
      </w:r>
      <w:r w:rsidRPr="000918BB">
        <w:rPr>
          <w:rFonts w:eastAsia="Times New Roman" w:cs="Calibri Light"/>
          <w:lang w:eastAsia="en-GB"/>
        </w:rPr>
        <w:t xml:space="preserve"> in Pacific fisheries development has included a comprehensive range of actions aimed at combating Illegal, IUU fishing, which poses a significant threat to regional revenues and long-term sustainability of fisheries.</w:t>
      </w:r>
    </w:p>
    <w:p w14:paraId="45BEB0A1" w14:textId="77777777" w:rsidR="00A06226" w:rsidRPr="000918BB" w:rsidRDefault="00A06226" w:rsidP="00A06226">
      <w:pPr>
        <w:spacing w:before="100" w:beforeAutospacing="1" w:after="100" w:afterAutospacing="1"/>
        <w:rPr>
          <w:rFonts w:eastAsia="Times New Roman" w:cs="Calibri Light"/>
          <w:lang w:eastAsia="en-GB"/>
        </w:rPr>
      </w:pPr>
      <w:r w:rsidRPr="000918BB">
        <w:rPr>
          <w:rFonts w:eastAsia="Times New Roman" w:cs="Calibri Light"/>
          <w:lang w:eastAsia="en-GB"/>
        </w:rPr>
        <w:t>Key actions taken to combat IUU fishing include:</w:t>
      </w:r>
    </w:p>
    <w:p w14:paraId="3F8AD92B" w14:textId="77777777" w:rsidR="00A06226" w:rsidRPr="000918BB" w:rsidRDefault="00A06226" w:rsidP="00821BD8">
      <w:pPr>
        <w:numPr>
          <w:ilvl w:val="0"/>
          <w:numId w:val="34"/>
        </w:numPr>
        <w:tabs>
          <w:tab w:val="clear" w:pos="7780"/>
        </w:tabs>
        <w:spacing w:before="100" w:beforeAutospacing="1" w:after="100" w:afterAutospacing="1"/>
        <w:rPr>
          <w:rFonts w:eastAsia="Times New Roman" w:cs="Calibri Light"/>
          <w:lang w:eastAsia="en-GB"/>
        </w:rPr>
      </w:pPr>
      <w:r w:rsidRPr="00511B8D">
        <w:rPr>
          <w:rFonts w:eastAsia="Times New Roman" w:cs="Calibri Light"/>
          <w:b/>
          <w:bCs/>
          <w:lang w:eastAsia="en-GB"/>
        </w:rPr>
        <w:t>Strengthening Monitoring, Control, and Surveillance (MCS) Capabilities</w:t>
      </w:r>
      <w:r w:rsidRPr="000918BB">
        <w:rPr>
          <w:rFonts w:eastAsia="Times New Roman" w:cs="Calibri Light"/>
          <w:lang w:eastAsia="en-GB"/>
        </w:rPr>
        <w:t>:</w:t>
      </w:r>
    </w:p>
    <w:p w14:paraId="4CBA27CD"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Financial and Technical Support: Australia has been a major funder of MCS programs, providing financial and technical assistance to strengthen enforcement efforts.</w:t>
      </w:r>
    </w:p>
    <w:p w14:paraId="1C95D3DE"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 xml:space="preserve">Regional Fisheries Surveillance Centre (RFSC) Operations: Located in Honiara, viewed as a world-leading regional response to IUU threats. It has continuously improved its daily surveillance activities and facilitated dedicated land, sea, and air exercises targeting IUU efforts, both sub-regional and </w:t>
      </w:r>
      <w:proofErr w:type="gramStart"/>
      <w:r w:rsidRPr="000918BB">
        <w:rPr>
          <w:rFonts w:eastAsia="Times New Roman" w:cs="Calibri Light"/>
          <w:lang w:eastAsia="en-GB"/>
        </w:rPr>
        <w:t>region-wide</w:t>
      </w:r>
      <w:proofErr w:type="gramEnd"/>
      <w:r w:rsidRPr="000918BB">
        <w:rPr>
          <w:rFonts w:eastAsia="Times New Roman" w:cs="Calibri Light"/>
          <w:lang w:eastAsia="en-GB"/>
        </w:rPr>
        <w:t xml:space="preserve">. </w:t>
      </w:r>
    </w:p>
    <w:p w14:paraId="3AEDB0CF"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The Pacific Maritime Security Program (PMSP), with its enhanced aerial surveillance, has been incorporated into the RFSC's operations. This program has successfully operated, with King Air aircraft clocking significant hours and undertaking numerous deployments across most FFA Member countries in 2019. Australia committed to doubling its funding for aerial surveillance from 2024 onwards.</w:t>
      </w:r>
    </w:p>
    <w:p w14:paraId="4BA4C1C7"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Vessel Monitoring Systems (VMS): Funding and support for satellite tracking of fishing vessels enable real-time monitoring of their activities. VMS tools also help detect and prevent illegal fishing activities by using automated alerts when vessels enter or leave specific areas.</w:t>
      </w:r>
    </w:p>
    <w:p w14:paraId="0AAABB33"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Aerial Surveillance: Australia has significantly contributed to aerial surveillance, including the Pacific Maritime Security Program (PMSP) and its enhanced aerial surveillance, which has been incorporated into RFSC operations. Australia has committed to doubling its funding for aerial surveillance from 2024 onwards.</w:t>
      </w:r>
    </w:p>
    <w:p w14:paraId="52DC4714"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Electronic Monitoring (EM) and Electronic Reporting (ER): Support has been provided to help member countries transition to digital systems for compliance tracking and data collection, expanding their use to enhance compliance and enforcement. The FFA has also developed regional standards for electronic monitoring on fishing vessels for independent verification of fishing activity.</w:t>
      </w:r>
    </w:p>
    <w:p w14:paraId="679FA2E7"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Intelligence Tools and Analysis: Efforts include improved intelligence tools, capacity-building, and technology investments. AFMA has provided support for remote surveillance, training, and intelligence analysis, leading to the identification and prosecution of unlicensed fishing vessels. Funding has also supported PICs in improving maritime domain awareness through new and emerging surveillance technologies and platforms to enhance analytical capabilities in assessing IUU risks.</w:t>
      </w:r>
    </w:p>
    <w:p w14:paraId="7239738C"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Port State Measures (PSM): The FFA has implemented programs like the Agreement on Port State Measures (PSMA) to support combating IUU fishing by preventing vessels engaged in IUU fishing from using ports and landing their catches.</w:t>
      </w:r>
    </w:p>
    <w:p w14:paraId="2112B6D3"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 xml:space="preserve">Joint Operations and Patrols: Australia's support has enabled regional patrols and intelligence-sharing mechanisms, leading to more coordinated patrols and inspections at sea, which have increased deterrence of illegal fishing. </w:t>
      </w:r>
    </w:p>
    <w:p w14:paraId="65FC84F5" w14:textId="77777777" w:rsidR="00A06226" w:rsidRPr="00511B8D" w:rsidRDefault="00A06226" w:rsidP="00821BD8">
      <w:pPr>
        <w:numPr>
          <w:ilvl w:val="0"/>
          <w:numId w:val="34"/>
        </w:numPr>
        <w:tabs>
          <w:tab w:val="clear" w:pos="7780"/>
        </w:tabs>
        <w:spacing w:before="100" w:beforeAutospacing="1" w:after="100" w:afterAutospacing="1"/>
        <w:rPr>
          <w:rFonts w:eastAsia="Times New Roman" w:cs="Calibri Light"/>
          <w:b/>
          <w:bCs/>
          <w:lang w:eastAsia="en-GB"/>
        </w:rPr>
      </w:pPr>
      <w:r w:rsidRPr="00511B8D">
        <w:rPr>
          <w:rFonts w:eastAsia="Times New Roman" w:cs="Calibri Light"/>
          <w:b/>
          <w:bCs/>
          <w:lang w:eastAsia="en-GB"/>
        </w:rPr>
        <w:t>Strengthening Legal and Policy Frameworks:</w:t>
      </w:r>
    </w:p>
    <w:p w14:paraId="23858FB6"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 xml:space="preserve">Niue Treaty Subsidiary Agreement (NTSA): Australia has provided legal advice and operational support to ratify and implement the NTSA. This agreement enhances regional information sharing and cooperative surveillance, facilitating joint operations and the exchange of information on fisheries violations. As of June 2022, the NTSA project concluded, having provided legal advice and operational support, and demonstrating good progress in its uptake </w:t>
      </w:r>
      <w:r w:rsidRPr="000918BB">
        <w:rPr>
          <w:rFonts w:eastAsia="Times New Roman" w:cs="Calibri Light"/>
          <w:lang w:eastAsia="en-GB"/>
        </w:rPr>
        <w:lastRenderedPageBreak/>
        <w:t>and use. By March 2021, all 13 parties to NTSA had confirmed access to the Niue Treaty Information System (NTIS).</w:t>
      </w:r>
    </w:p>
    <w:p w14:paraId="55E6F163"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Fisheries Legislation Updates: Support has been provided for updating fisheries legislation in member countries to reflect international, regional, and subregional obligations, including stronger penalties for illegal fishing.</w:t>
      </w:r>
    </w:p>
    <w:p w14:paraId="17C74C9E"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Evidence, Investigation, and Prosecution Training: Training is provided for fisheries officers to detect and support the prosecution of fisheries offences.</w:t>
      </w:r>
    </w:p>
    <w:p w14:paraId="53D30138" w14:textId="77777777" w:rsidR="00A06226" w:rsidRPr="00511B8D" w:rsidRDefault="00A06226" w:rsidP="00821BD8">
      <w:pPr>
        <w:numPr>
          <w:ilvl w:val="0"/>
          <w:numId w:val="34"/>
        </w:numPr>
        <w:tabs>
          <w:tab w:val="clear" w:pos="7780"/>
        </w:tabs>
        <w:spacing w:before="100" w:beforeAutospacing="1" w:after="100" w:afterAutospacing="1"/>
        <w:rPr>
          <w:rFonts w:eastAsia="Times New Roman" w:cs="Calibri Light"/>
          <w:b/>
          <w:bCs/>
          <w:lang w:eastAsia="en-GB"/>
        </w:rPr>
      </w:pPr>
      <w:r w:rsidRPr="00511B8D">
        <w:rPr>
          <w:rFonts w:eastAsia="Times New Roman" w:cs="Calibri Light"/>
          <w:b/>
          <w:bCs/>
          <w:lang w:eastAsia="en-GB"/>
        </w:rPr>
        <w:t>Capacity Building and Training Initiatives:</w:t>
      </w:r>
    </w:p>
    <w:p w14:paraId="60E2A78B"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 xml:space="preserve">Regional Observer Program: An expanded Regional Observer Program places </w:t>
      </w:r>
      <w:proofErr w:type="gramStart"/>
      <w:r w:rsidRPr="000918BB">
        <w:rPr>
          <w:rFonts w:eastAsia="Times New Roman" w:cs="Calibri Light"/>
          <w:lang w:eastAsia="en-GB"/>
        </w:rPr>
        <w:t>Pacific island</w:t>
      </w:r>
      <w:proofErr w:type="gramEnd"/>
      <w:r w:rsidRPr="000918BB">
        <w:rPr>
          <w:rFonts w:eastAsia="Times New Roman" w:cs="Calibri Light"/>
          <w:lang w:eastAsia="en-GB"/>
        </w:rPr>
        <w:t xml:space="preserve"> country nationals as observers on vessels, providing employment opportunities and monitoring against illegal and unreported fishing. Start-up funding supports training, data management, and corporate systems for national observer programs. Observer training has led to an increase in female observers.</w:t>
      </w:r>
    </w:p>
    <w:p w14:paraId="72427668"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Training Programs: Australia has supported various training programs for fisheries officers, analysts, and enforcement personnel, including workshops on fisheries intelligence and compliance. AFMA and FFA have conducted on-the-job training during cooperative enforcement activities.</w:t>
      </w:r>
    </w:p>
    <w:p w14:paraId="7AC557BB"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On-the-job training during regional surveillance initiatives: For example, during Operation Rai Balang, AFMA conducted on-the-job training during cooperative enforcement activities as part of Operation Rai Balang in PNG, Kiribati, and the Republic of the Marshall Islands (RMI).</w:t>
      </w:r>
    </w:p>
    <w:p w14:paraId="7FC3AD1F"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Institutional Strengthening: Funding supports institutional strengthening and reform in national fisheries management agencies, including capacity building in international negotiations.</w:t>
      </w:r>
    </w:p>
    <w:p w14:paraId="10D578C6" w14:textId="77777777" w:rsidR="00A06226" w:rsidRPr="00511B8D" w:rsidRDefault="00A06226" w:rsidP="00821BD8">
      <w:pPr>
        <w:numPr>
          <w:ilvl w:val="0"/>
          <w:numId w:val="34"/>
        </w:numPr>
        <w:tabs>
          <w:tab w:val="clear" w:pos="7780"/>
        </w:tabs>
        <w:spacing w:before="100" w:beforeAutospacing="1" w:after="100" w:afterAutospacing="1"/>
        <w:rPr>
          <w:rFonts w:eastAsia="Times New Roman" w:cs="Calibri Light"/>
          <w:b/>
          <w:bCs/>
          <w:lang w:eastAsia="en-GB"/>
        </w:rPr>
      </w:pPr>
      <w:r w:rsidRPr="00511B8D">
        <w:rPr>
          <w:rFonts w:eastAsia="Times New Roman" w:cs="Calibri Light"/>
          <w:b/>
          <w:bCs/>
          <w:lang w:eastAsia="en-GB"/>
        </w:rPr>
        <w:t>Investment in Technology and Data Analytics:</w:t>
      </w:r>
    </w:p>
    <w:p w14:paraId="6886F6CE"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Australia has contributed to modernising fisheries management through investments in satellite tracking, data integration systems, Artificial Intelligence (AI), and Big Data Analytics to improve the detection of illegal fishing.</w:t>
      </w:r>
    </w:p>
    <w:p w14:paraId="1CB7237D" w14:textId="77777777" w:rsidR="00A06226" w:rsidRPr="000918BB" w:rsidRDefault="00A06226" w:rsidP="00821BD8">
      <w:pPr>
        <w:numPr>
          <w:ilvl w:val="1"/>
          <w:numId w:val="34"/>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The FFA members adopted an emerging technology policy in May 2023 to guide investment in these technologies.</w:t>
      </w:r>
    </w:p>
    <w:p w14:paraId="38D94668" w14:textId="52F321EA" w:rsidR="00A06226" w:rsidRPr="000918BB" w:rsidRDefault="00A06226" w:rsidP="00A06226">
      <w:pPr>
        <w:spacing w:before="100" w:beforeAutospacing="1" w:after="100" w:afterAutospacing="1"/>
        <w:rPr>
          <w:rFonts w:eastAsia="Times New Roman" w:cs="Calibri Light"/>
          <w:lang w:eastAsia="en-GB"/>
        </w:rPr>
      </w:pPr>
      <w:r w:rsidRPr="000918BB">
        <w:rPr>
          <w:rFonts w:eastAsia="Times New Roman" w:cs="Calibri Light"/>
          <w:lang w:eastAsia="en-GB"/>
        </w:rPr>
        <w:t xml:space="preserve">In addition, Australia has actively supported and been heavily involved in </w:t>
      </w:r>
      <w:r w:rsidRPr="00511B8D">
        <w:rPr>
          <w:rFonts w:eastAsia="Times New Roman" w:cs="Calibri Light"/>
          <w:b/>
          <w:bCs/>
          <w:lang w:eastAsia="en-GB"/>
        </w:rPr>
        <w:t>regional surveillance operations</w:t>
      </w:r>
      <w:r w:rsidRPr="000918BB">
        <w:rPr>
          <w:rFonts w:eastAsia="Times New Roman" w:cs="Calibri Light"/>
          <w:lang w:eastAsia="en-GB"/>
        </w:rPr>
        <w:t xml:space="preserve"> conducted by the FFA</w:t>
      </w:r>
      <w:r>
        <w:rPr>
          <w:rFonts w:eastAsia="Times New Roman" w:cs="Calibri Light"/>
          <w:lang w:eastAsia="en-GB"/>
        </w:rPr>
        <w:t>, under the auspices of the RFSC</w:t>
      </w:r>
      <w:r w:rsidRPr="000918BB">
        <w:rPr>
          <w:rFonts w:eastAsia="Times New Roman" w:cs="Calibri Light"/>
          <w:lang w:eastAsia="en-GB"/>
        </w:rPr>
        <w:t xml:space="preserve"> and its partners</w:t>
      </w:r>
      <w:r>
        <w:rPr>
          <w:rFonts w:eastAsia="Times New Roman" w:cs="Calibri Light"/>
          <w:lang w:eastAsia="en-GB"/>
        </w:rPr>
        <w:t xml:space="preserve">, </w:t>
      </w:r>
      <w:r w:rsidRPr="000918BB">
        <w:rPr>
          <w:rFonts w:eastAsia="Times New Roman" w:cs="Calibri Light"/>
          <w:lang w:eastAsia="en-GB"/>
        </w:rPr>
        <w:t xml:space="preserve">receiving technical advice and support from Members and </w:t>
      </w:r>
      <w:r w:rsidR="0064750B">
        <w:rPr>
          <w:rFonts w:eastAsia="Times New Roman" w:cs="Calibri Light"/>
          <w:lang w:eastAsia="en-GB"/>
        </w:rPr>
        <w:t>P-QUAD</w:t>
      </w:r>
      <w:r w:rsidR="0064750B" w:rsidRPr="000918BB">
        <w:rPr>
          <w:rFonts w:eastAsia="Times New Roman" w:cs="Calibri Light"/>
          <w:lang w:eastAsia="en-GB"/>
        </w:rPr>
        <w:t xml:space="preserve"> </w:t>
      </w:r>
      <w:r w:rsidRPr="000918BB">
        <w:rPr>
          <w:rFonts w:eastAsia="Times New Roman" w:cs="Calibri Light"/>
          <w:lang w:eastAsia="en-GB"/>
        </w:rPr>
        <w:t>partners (Australia, New Zealand, France, and the United States)</w:t>
      </w:r>
      <w:r>
        <w:rPr>
          <w:rFonts w:eastAsia="Times New Roman" w:cs="Calibri Light"/>
          <w:lang w:eastAsia="en-GB"/>
        </w:rPr>
        <w:t xml:space="preserve"> </w:t>
      </w:r>
      <w:r w:rsidRPr="000918BB">
        <w:rPr>
          <w:rFonts w:eastAsia="Times New Roman" w:cs="Calibri Light"/>
          <w:lang w:eastAsia="en-GB"/>
        </w:rPr>
        <w:t>to combat IUU fishing in the Pacific region</w:t>
      </w:r>
      <w:r>
        <w:rPr>
          <w:rFonts w:eastAsia="Times New Roman" w:cs="Calibri Light"/>
          <w:lang w:eastAsia="en-GB"/>
        </w:rPr>
        <w:t xml:space="preserve">, a key component of the </w:t>
      </w:r>
      <w:r w:rsidRPr="000918BB">
        <w:rPr>
          <w:rFonts w:eastAsia="Times New Roman" w:cs="Calibri Light"/>
          <w:i/>
          <w:iCs/>
          <w:lang w:eastAsia="en-GB"/>
        </w:rPr>
        <w:t>Regional MCS Strategy</w:t>
      </w:r>
      <w:r w:rsidRPr="000918BB">
        <w:rPr>
          <w:rFonts w:eastAsia="Times New Roman" w:cs="Calibri Light"/>
          <w:lang w:eastAsia="en-GB"/>
        </w:rPr>
        <w:t>, including in the following regional surveillance operations:</w:t>
      </w:r>
    </w:p>
    <w:p w14:paraId="026ECF03" w14:textId="77777777" w:rsidR="00A06226" w:rsidRPr="000918BB" w:rsidRDefault="00A06226" w:rsidP="00821BD8">
      <w:pPr>
        <w:numPr>
          <w:ilvl w:val="0"/>
          <w:numId w:val="35"/>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Operation Big Eye (2015-16 Fiscal Year): This operation involved six countries.</w:t>
      </w:r>
    </w:p>
    <w:p w14:paraId="700867A6" w14:textId="77777777" w:rsidR="00A06226" w:rsidRPr="000918BB" w:rsidRDefault="00A06226" w:rsidP="00821BD8">
      <w:pPr>
        <w:numPr>
          <w:ilvl w:val="0"/>
          <w:numId w:val="35"/>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 xml:space="preserve">Operation Ika Moana (Multiple years, e.g., 2015-16, 2016-17, 2017-18, 2023-24): </w:t>
      </w:r>
    </w:p>
    <w:p w14:paraId="0B54FD1C" w14:textId="77777777" w:rsidR="00A06226" w:rsidRPr="000918BB" w:rsidRDefault="00A06226" w:rsidP="00821BD8">
      <w:pPr>
        <w:numPr>
          <w:ilvl w:val="0"/>
          <w:numId w:val="35"/>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 xml:space="preserve">Operation Island Chief (Multiple years, e.g., 2016-17, 2017-18, 2021-22, 2023-24): </w:t>
      </w:r>
    </w:p>
    <w:p w14:paraId="4AA15E2B" w14:textId="77777777" w:rsidR="00A06226" w:rsidRPr="000918BB" w:rsidRDefault="00A06226" w:rsidP="00821BD8">
      <w:pPr>
        <w:numPr>
          <w:ilvl w:val="1"/>
          <w:numId w:val="35"/>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In 2023-24, it was one of the four regional surveillance operations undertaken, covering 11 FFA Members' EEZs and adjacent high seas over 18.2 million square kilometres, involving nearly 350 personnel from various units. It identified 11 vessels of interest out of 5,846 detected vessels.</w:t>
      </w:r>
    </w:p>
    <w:p w14:paraId="2BA68132" w14:textId="77777777" w:rsidR="00A06226" w:rsidRPr="000918BB" w:rsidRDefault="00A06226" w:rsidP="00821BD8">
      <w:pPr>
        <w:numPr>
          <w:ilvl w:val="0"/>
          <w:numId w:val="35"/>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 xml:space="preserve">Operation Kurukuru (Multiple years, e.g., 2015-16, 2016-17, 2017-18, 2021-22, 2023-24): </w:t>
      </w:r>
    </w:p>
    <w:p w14:paraId="79DC89AC" w14:textId="77777777" w:rsidR="00A06226" w:rsidRPr="000918BB" w:rsidRDefault="00A06226" w:rsidP="00821BD8">
      <w:pPr>
        <w:numPr>
          <w:ilvl w:val="1"/>
          <w:numId w:val="35"/>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In 2023-24, it was one of the four regional surveillance operations undertaken, covering 15 FFA Members across 21.3 million square kilomet</w:t>
      </w:r>
      <w:r>
        <w:rPr>
          <w:rFonts w:eastAsia="Times New Roman" w:cs="Calibri Light"/>
          <w:lang w:eastAsia="en-GB"/>
        </w:rPr>
        <w:t>re</w:t>
      </w:r>
      <w:r w:rsidRPr="000918BB">
        <w:rPr>
          <w:rFonts w:eastAsia="Times New Roman" w:cs="Calibri Light"/>
          <w:lang w:eastAsia="en-GB"/>
        </w:rPr>
        <w:t>s. It detected 19,659 vessels, sighted 275, inspected 129, and found 0 vessels of interest. Australia's support for this operation has been crucial in building joint enforcement capacity among Pacific Island countries.</w:t>
      </w:r>
    </w:p>
    <w:p w14:paraId="1C9A7D14" w14:textId="77777777" w:rsidR="00A06226" w:rsidRPr="000918BB" w:rsidRDefault="00A06226" w:rsidP="00821BD8">
      <w:pPr>
        <w:numPr>
          <w:ilvl w:val="0"/>
          <w:numId w:val="35"/>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 xml:space="preserve">Operation Rai Balang (Multiple years, e.g., 2015-16, 2016-17, 2017-18, 2018, 2021-22, 2023-24): </w:t>
      </w:r>
    </w:p>
    <w:p w14:paraId="2F4C63F8" w14:textId="77777777" w:rsidR="00A06226" w:rsidRPr="000918BB" w:rsidRDefault="00A06226" w:rsidP="00821BD8">
      <w:pPr>
        <w:numPr>
          <w:ilvl w:val="1"/>
          <w:numId w:val="35"/>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lastRenderedPageBreak/>
        <w:t>In 2023-24, it was one of the four regional surveillance operations undertaken, covering 10 FFA Members across 13.3 million square kilomet</w:t>
      </w:r>
      <w:r>
        <w:rPr>
          <w:rFonts w:eastAsia="Times New Roman" w:cs="Calibri Light"/>
          <w:lang w:eastAsia="en-GB"/>
        </w:rPr>
        <w:t>re</w:t>
      </w:r>
      <w:r w:rsidRPr="000918BB">
        <w:rPr>
          <w:rFonts w:eastAsia="Times New Roman" w:cs="Calibri Light"/>
          <w:lang w:eastAsia="en-GB"/>
        </w:rPr>
        <w:t>s, utili</w:t>
      </w:r>
      <w:r>
        <w:rPr>
          <w:rFonts w:eastAsia="Times New Roman" w:cs="Calibri Light"/>
          <w:lang w:eastAsia="en-GB"/>
        </w:rPr>
        <w:t>s</w:t>
      </w:r>
      <w:r w:rsidRPr="000918BB">
        <w:rPr>
          <w:rFonts w:eastAsia="Times New Roman" w:cs="Calibri Light"/>
          <w:lang w:eastAsia="en-GB"/>
        </w:rPr>
        <w:t>ing 6 aircraft and 13 ships. It detected 795 vessels, sighted 311, inspected 70, and identified 10 vessels of interest.</w:t>
      </w:r>
    </w:p>
    <w:p w14:paraId="20A3FA30" w14:textId="77777777" w:rsidR="00A06226" w:rsidRPr="000918BB" w:rsidRDefault="00A06226" w:rsidP="00821BD8">
      <w:pPr>
        <w:numPr>
          <w:ilvl w:val="0"/>
          <w:numId w:val="35"/>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 xml:space="preserve">Operation </w:t>
      </w:r>
      <w:proofErr w:type="spellStart"/>
      <w:r w:rsidRPr="000918BB">
        <w:rPr>
          <w:rFonts w:eastAsia="Times New Roman" w:cs="Calibri Light"/>
          <w:lang w:eastAsia="en-GB"/>
        </w:rPr>
        <w:t>Solvan</w:t>
      </w:r>
      <w:proofErr w:type="spellEnd"/>
      <w:r w:rsidRPr="000918BB">
        <w:rPr>
          <w:rFonts w:eastAsia="Times New Roman" w:cs="Calibri Light"/>
          <w:lang w:eastAsia="en-GB"/>
        </w:rPr>
        <w:t xml:space="preserve"> (Multiple years, e.g., 2015-16, 2016-17, 2017-18): </w:t>
      </w:r>
    </w:p>
    <w:p w14:paraId="3B41EB21" w14:textId="77777777" w:rsidR="00A06226" w:rsidRPr="000918BB" w:rsidRDefault="00A06226" w:rsidP="00821BD8">
      <w:pPr>
        <w:numPr>
          <w:ilvl w:val="0"/>
          <w:numId w:val="35"/>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 xml:space="preserve">Operation </w:t>
      </w:r>
      <w:proofErr w:type="spellStart"/>
      <w:r w:rsidRPr="000918BB">
        <w:rPr>
          <w:rFonts w:eastAsia="Times New Roman" w:cs="Calibri Light"/>
          <w:lang w:eastAsia="en-GB"/>
        </w:rPr>
        <w:t>Tautai</w:t>
      </w:r>
      <w:proofErr w:type="spellEnd"/>
      <w:r w:rsidRPr="000918BB">
        <w:rPr>
          <w:rFonts w:eastAsia="Times New Roman" w:cs="Calibri Light"/>
          <w:lang w:eastAsia="en-GB"/>
        </w:rPr>
        <w:t xml:space="preserve"> (Multiple years, e.g., 2015-16, 2016-17, 2017-18): </w:t>
      </w:r>
    </w:p>
    <w:p w14:paraId="0EA792F6" w14:textId="77777777" w:rsidR="00A06226" w:rsidRPr="000918BB" w:rsidRDefault="00A06226" w:rsidP="00821BD8">
      <w:pPr>
        <w:numPr>
          <w:ilvl w:val="0"/>
          <w:numId w:val="35"/>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 xml:space="preserve">Operation Tui Moana (Multiple years, e.g., 2015-16, 2016-17, 2017-18, 2020-21, 2023-24): </w:t>
      </w:r>
    </w:p>
    <w:p w14:paraId="7ED2D668" w14:textId="77777777" w:rsidR="00A06226" w:rsidRPr="000918BB" w:rsidRDefault="00A06226" w:rsidP="00821BD8">
      <w:pPr>
        <w:numPr>
          <w:ilvl w:val="1"/>
          <w:numId w:val="35"/>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In 2023-24, it was one of the four regional surveillance operations undertaken, covering 10 FFA Members across 5.6 million square kilomet</w:t>
      </w:r>
      <w:r>
        <w:rPr>
          <w:rFonts w:eastAsia="Times New Roman" w:cs="Calibri Light"/>
          <w:lang w:eastAsia="en-GB"/>
        </w:rPr>
        <w:t>re</w:t>
      </w:r>
      <w:r w:rsidRPr="000918BB">
        <w:rPr>
          <w:rFonts w:eastAsia="Times New Roman" w:cs="Calibri Light"/>
          <w:lang w:eastAsia="en-GB"/>
        </w:rPr>
        <w:t>s, utili</w:t>
      </w:r>
      <w:r>
        <w:rPr>
          <w:rFonts w:eastAsia="Times New Roman" w:cs="Calibri Light"/>
          <w:lang w:eastAsia="en-GB"/>
        </w:rPr>
        <w:t>s</w:t>
      </w:r>
      <w:r w:rsidRPr="000918BB">
        <w:rPr>
          <w:rFonts w:eastAsia="Times New Roman" w:cs="Calibri Light"/>
          <w:lang w:eastAsia="en-GB"/>
        </w:rPr>
        <w:t>ing 5 aircraft and 6 ships. It detected 597 vessels, sighted 189, inspected 95, and identified 10 vessels of interest.</w:t>
      </w:r>
    </w:p>
    <w:p w14:paraId="797852EE" w14:textId="77777777" w:rsidR="00A06226" w:rsidRPr="000918BB" w:rsidRDefault="00A06226" w:rsidP="00821BD8">
      <w:pPr>
        <w:numPr>
          <w:ilvl w:val="0"/>
          <w:numId w:val="35"/>
        </w:numPr>
        <w:tabs>
          <w:tab w:val="clear" w:pos="7780"/>
        </w:tabs>
        <w:spacing w:before="100" w:beforeAutospacing="1" w:after="100" w:afterAutospacing="1"/>
        <w:rPr>
          <w:rFonts w:eastAsia="Times New Roman" w:cs="Calibri Light"/>
          <w:lang w:eastAsia="en-GB"/>
        </w:rPr>
      </w:pPr>
      <w:r w:rsidRPr="000918BB">
        <w:rPr>
          <w:rFonts w:eastAsia="Times New Roman" w:cs="Calibri Light"/>
          <w:lang w:eastAsia="en-GB"/>
        </w:rPr>
        <w:t>Operation COVID (2020-21, 2021-22): This initiative was launched to support Members in operating surveillance and enforcement activities safely during the pandemic. It assists members in risk assessments on fishing vessels reporting directly to the WCPFC VMS. In 2021-22, it also supported Member State of Emergency (SOE) requirements for COVID-19 risk assessments of WCPFC/FFA registered vessels.</w:t>
      </w:r>
    </w:p>
    <w:p w14:paraId="18127E1B" w14:textId="5468FD20" w:rsidR="00A06226" w:rsidRPr="000918BB" w:rsidRDefault="00A06226" w:rsidP="00A06226">
      <w:pPr>
        <w:spacing w:before="100" w:beforeAutospacing="1" w:after="100" w:afterAutospacing="1"/>
        <w:rPr>
          <w:rFonts w:eastAsia="Times New Roman" w:cs="Calibri Light"/>
          <w:lang w:eastAsia="en-GB"/>
        </w:rPr>
      </w:pPr>
      <w:r w:rsidRPr="000918BB">
        <w:rPr>
          <w:rFonts w:eastAsia="Times New Roman" w:cs="Calibri Light"/>
          <w:lang w:eastAsia="en-GB"/>
        </w:rPr>
        <w:t xml:space="preserve">The Regional Fisheries Surveillance Centre (RFSC) at FFA headquarters plays a crucial role in planning and coordinating these operations, receiving technical advice and support from Members and </w:t>
      </w:r>
      <w:r w:rsidR="0064750B">
        <w:rPr>
          <w:rFonts w:eastAsia="Times New Roman" w:cs="Calibri Light"/>
          <w:lang w:eastAsia="en-GB"/>
        </w:rPr>
        <w:t>P-QUAD</w:t>
      </w:r>
      <w:r w:rsidR="0064750B" w:rsidRPr="000918BB">
        <w:rPr>
          <w:rFonts w:eastAsia="Times New Roman" w:cs="Calibri Light"/>
          <w:lang w:eastAsia="en-GB"/>
        </w:rPr>
        <w:t xml:space="preserve"> </w:t>
      </w:r>
      <w:r w:rsidRPr="000918BB">
        <w:rPr>
          <w:rFonts w:eastAsia="Times New Roman" w:cs="Calibri Light"/>
          <w:lang w:eastAsia="en-GB"/>
        </w:rPr>
        <w:t>partners (Australia, New Zealand, France, and the United States). These operations are a key component of the Regional MCS Strategy (RMCSS).</w:t>
      </w:r>
    </w:p>
    <w:p w14:paraId="187C9F36" w14:textId="77777777" w:rsidR="00A06226" w:rsidRPr="000918BB" w:rsidRDefault="00A06226" w:rsidP="00A06226">
      <w:pPr>
        <w:rPr>
          <w:rFonts w:cs="Calibri Light"/>
        </w:rPr>
      </w:pPr>
    </w:p>
    <w:p w14:paraId="7FF4A671" w14:textId="77777777" w:rsidR="00A06226" w:rsidRPr="000918BB" w:rsidRDefault="00A06226" w:rsidP="00A06226">
      <w:pPr>
        <w:rPr>
          <w:rFonts w:cs="Calibri Light"/>
        </w:rPr>
      </w:pPr>
    </w:p>
    <w:p w14:paraId="4DFF7601" w14:textId="7C6985C6" w:rsidR="006A3271" w:rsidRDefault="006A3271">
      <w:pPr>
        <w:tabs>
          <w:tab w:val="clear" w:pos="7780"/>
        </w:tabs>
        <w:rPr>
          <w:rStyle w:val="Heading"/>
          <w:rFonts w:ascii="Calibri" w:eastAsiaTheme="majorEastAsia" w:hAnsi="Calibri" w:cs="Calibri"/>
          <w:color w:val="2F5496" w:themeColor="accent1" w:themeShade="BF"/>
          <w:kern w:val="2"/>
          <w:sz w:val="28"/>
          <w:szCs w:val="28"/>
          <w14:ligatures w14:val="standardContextual"/>
        </w:rPr>
      </w:pPr>
      <w:r>
        <w:rPr>
          <w:rStyle w:val="Heading"/>
          <w:rFonts w:ascii="Calibri" w:hAnsi="Calibri" w:cs="Calibri"/>
          <w:color w:val="2F5496" w:themeColor="accent1" w:themeShade="BF"/>
          <w:sz w:val="28"/>
          <w:szCs w:val="28"/>
        </w:rPr>
        <w:br w:type="page"/>
      </w:r>
    </w:p>
    <w:p w14:paraId="44BB2E14" w14:textId="4B4CF130" w:rsidR="004D0A8F" w:rsidRPr="00FA2BF4" w:rsidRDefault="000F3351" w:rsidP="00FA2BF4">
      <w:pPr>
        <w:pStyle w:val="Heading3"/>
        <w:rPr>
          <w:b/>
          <w:bCs/>
        </w:rPr>
      </w:pPr>
      <w:bookmarkStart w:id="99" w:name="_Toc207206828"/>
      <w:r w:rsidRPr="00FA2BF4">
        <w:rPr>
          <w:b/>
          <w:bCs/>
        </w:rPr>
        <w:lastRenderedPageBreak/>
        <w:t>Annexe</w:t>
      </w:r>
      <w:r w:rsidR="00B03739" w:rsidRPr="00FA2BF4">
        <w:rPr>
          <w:b/>
          <w:bCs/>
        </w:rPr>
        <w:t xml:space="preserve"> </w:t>
      </w:r>
      <w:r w:rsidR="00EC0EA5" w:rsidRPr="00FA2BF4">
        <w:rPr>
          <w:b/>
          <w:bCs/>
        </w:rPr>
        <w:t>1</w:t>
      </w:r>
      <w:r w:rsidR="00073D7C" w:rsidRPr="00FA2BF4">
        <w:rPr>
          <w:b/>
          <w:bCs/>
        </w:rPr>
        <w:t>0</w:t>
      </w:r>
      <w:r w:rsidR="00B03739" w:rsidRPr="00FA2BF4">
        <w:rPr>
          <w:b/>
          <w:bCs/>
        </w:rPr>
        <w:t xml:space="preserve">: Maritime Boundary </w:t>
      </w:r>
      <w:r w:rsidR="00CD3ADA" w:rsidRPr="00FA2BF4">
        <w:rPr>
          <w:b/>
          <w:bCs/>
        </w:rPr>
        <w:t>Activities</w:t>
      </w:r>
      <w:bookmarkEnd w:id="99"/>
    </w:p>
    <w:p w14:paraId="3C27D10D" w14:textId="6DFC031E" w:rsidR="004D0A8F" w:rsidRPr="00766C38" w:rsidRDefault="00EC0EA5" w:rsidP="004D0A8F">
      <w:pPr>
        <w:spacing w:before="100" w:beforeAutospacing="1" w:after="100" w:afterAutospacing="1"/>
        <w:rPr>
          <w:rFonts w:eastAsia="Times New Roman" w:cs="Calibri Light"/>
          <w:lang w:eastAsia="en-GB"/>
        </w:rPr>
      </w:pPr>
      <w:r>
        <w:rPr>
          <w:rFonts w:eastAsia="Times New Roman" w:cs="Calibri Light"/>
          <w:lang w:eastAsia="en-GB"/>
        </w:rPr>
        <w:t>The Investment</w:t>
      </w:r>
      <w:r w:rsidR="004D0A8F" w:rsidRPr="00766C38">
        <w:rPr>
          <w:rFonts w:eastAsia="Times New Roman" w:cs="Calibri Light"/>
          <w:lang w:eastAsia="en-GB"/>
        </w:rPr>
        <w:t xml:space="preserve"> undertook a comprehensive range of actions to assist with maritime boundary delimitation, recognising its critical importance for managing Exclusive Economic Zones (EEZs), securing sovereign rights, combating IUU fishing, and addressing climate change impacts on maritime zones.</w:t>
      </w:r>
    </w:p>
    <w:p w14:paraId="5E8BA268" w14:textId="77777777" w:rsidR="004D0A8F" w:rsidRPr="00766C38" w:rsidRDefault="004D0A8F" w:rsidP="004D0A8F">
      <w:pPr>
        <w:spacing w:before="100" w:beforeAutospacing="1" w:after="100" w:afterAutospacing="1"/>
        <w:rPr>
          <w:rFonts w:eastAsia="Times New Roman" w:cs="Calibri Light"/>
          <w:lang w:eastAsia="en-GB"/>
        </w:rPr>
      </w:pPr>
      <w:r w:rsidRPr="00766C38">
        <w:rPr>
          <w:rFonts w:eastAsia="Times New Roman" w:cs="Calibri Light"/>
          <w:lang w:eastAsia="en-GB"/>
        </w:rPr>
        <w:t>Key actions include:</w:t>
      </w:r>
    </w:p>
    <w:p w14:paraId="1DD4AE2F" w14:textId="77777777" w:rsidR="006E318A" w:rsidRPr="00766C38" w:rsidRDefault="006E318A" w:rsidP="00821BD8">
      <w:pPr>
        <w:numPr>
          <w:ilvl w:val="0"/>
          <w:numId w:val="36"/>
        </w:numPr>
        <w:tabs>
          <w:tab w:val="clear" w:pos="7780"/>
        </w:tabs>
        <w:spacing w:before="100" w:beforeAutospacing="1" w:after="100" w:afterAutospacing="1"/>
        <w:rPr>
          <w:rFonts w:eastAsia="Times New Roman" w:cs="Calibri Light"/>
          <w:lang w:eastAsia="en-GB"/>
        </w:rPr>
      </w:pPr>
      <w:r w:rsidRPr="00511B8D">
        <w:rPr>
          <w:rFonts w:eastAsia="Times New Roman" w:cs="Calibri Light"/>
          <w:b/>
          <w:bCs/>
          <w:lang w:eastAsia="en-GB"/>
        </w:rPr>
        <w:t>Long-Term and Comprehensive Support for Delimitation</w:t>
      </w:r>
      <w:r w:rsidRPr="00766C38">
        <w:rPr>
          <w:rFonts w:eastAsia="Times New Roman" w:cs="Calibri Light"/>
          <w:lang w:eastAsia="en-GB"/>
        </w:rPr>
        <w:t>:</w:t>
      </w:r>
    </w:p>
    <w:p w14:paraId="032AFD78" w14:textId="1FA05466" w:rsidR="006E318A" w:rsidRPr="00766C38" w:rsidRDefault="006E318A"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Providing long-term financial</w:t>
      </w:r>
      <w:r>
        <w:rPr>
          <w:rFonts w:eastAsia="Times New Roman" w:cs="Calibri Light"/>
          <w:lang w:eastAsia="en-GB"/>
        </w:rPr>
        <w:t>,</w:t>
      </w:r>
      <w:r w:rsidRPr="00766C38">
        <w:rPr>
          <w:rFonts w:eastAsia="Times New Roman" w:cs="Calibri Light"/>
          <w:lang w:eastAsia="en-GB"/>
        </w:rPr>
        <w:t xml:space="preserve"> technical </w:t>
      </w:r>
      <w:r>
        <w:rPr>
          <w:rFonts w:eastAsia="Times New Roman" w:cs="Calibri Light"/>
          <w:lang w:eastAsia="en-GB"/>
        </w:rPr>
        <w:t xml:space="preserve">and legal </w:t>
      </w:r>
      <w:r w:rsidRPr="00766C38">
        <w:rPr>
          <w:rFonts w:eastAsia="Times New Roman" w:cs="Calibri Light"/>
          <w:lang w:eastAsia="en-GB"/>
        </w:rPr>
        <w:t>support to Pacific Island Countries (PICs) to establish and secure their maritime boundaries and zones</w:t>
      </w:r>
      <w:r>
        <w:rPr>
          <w:rFonts w:eastAsia="Times New Roman" w:cs="Calibri Light"/>
          <w:lang w:eastAsia="en-GB"/>
        </w:rPr>
        <w:t xml:space="preserve"> in accordance with the </w:t>
      </w:r>
      <w:r>
        <w:rPr>
          <w:rFonts w:eastAsia="Times New Roman" w:cs="Calibri Light"/>
          <w:i/>
          <w:lang w:eastAsia="en-GB"/>
        </w:rPr>
        <w:t xml:space="preserve">United Nations Convention on the Law of the Sea </w:t>
      </w:r>
      <w:r>
        <w:rPr>
          <w:rFonts w:eastAsia="Times New Roman" w:cs="Calibri Light"/>
          <w:lang w:eastAsia="en-GB"/>
        </w:rPr>
        <w:t>(UNCLOS)</w:t>
      </w:r>
      <w:r w:rsidR="00EC0EA5">
        <w:rPr>
          <w:rStyle w:val="FootnoteReference"/>
          <w:rFonts w:eastAsia="Times New Roman" w:cs="Calibri Light"/>
          <w:lang w:eastAsia="en-GB"/>
        </w:rPr>
        <w:footnoteReference w:id="20"/>
      </w:r>
      <w:r w:rsidRPr="00766C38">
        <w:rPr>
          <w:rFonts w:eastAsia="Times New Roman" w:cs="Calibri Light"/>
          <w:lang w:eastAsia="en-GB"/>
        </w:rPr>
        <w:t>.</w:t>
      </w:r>
    </w:p>
    <w:p w14:paraId="234AA782" w14:textId="7C05EF5F" w:rsidR="006E318A" w:rsidRPr="00766C38" w:rsidRDefault="006E318A"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This support involves collaboration with key partners such as the Pacific Community (SPC) Fisheries, Aquaculture and Marine Ecosystems Division (</w:t>
      </w:r>
      <w:r w:rsidR="006B5558">
        <w:rPr>
          <w:rFonts w:eastAsia="Times New Roman" w:cs="Calibri Light"/>
          <w:lang w:eastAsia="en-GB"/>
        </w:rPr>
        <w:t>FAME</w:t>
      </w:r>
      <w:r w:rsidRPr="00766C38">
        <w:rPr>
          <w:rFonts w:eastAsia="Times New Roman" w:cs="Calibri Light"/>
          <w:lang w:eastAsia="en-GB"/>
        </w:rPr>
        <w:t>) and Geoscience Energy and Maritime Division (GEM), Geoscience Australia (GA), and the Attorney-General's Department (AGD).</w:t>
      </w:r>
    </w:p>
    <w:p w14:paraId="0208E194" w14:textId="6785878E" w:rsidR="006E318A" w:rsidRPr="00766C38" w:rsidRDefault="006E318A"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The Pacific Maritime Boundaries (PMB) Project has been a central initiative, focused on overcoming technical, legal, and political barriers to delimit shared maritime boundaries and establish maritime zones. 36 of 4</w:t>
      </w:r>
      <w:r>
        <w:rPr>
          <w:rFonts w:eastAsia="Times New Roman" w:cs="Calibri Light"/>
          <w:lang w:eastAsia="en-GB"/>
        </w:rPr>
        <w:t>8</w:t>
      </w:r>
      <w:r w:rsidRPr="00766C38">
        <w:rPr>
          <w:rFonts w:eastAsia="Times New Roman" w:cs="Calibri Light"/>
          <w:lang w:eastAsia="en-GB"/>
        </w:rPr>
        <w:t xml:space="preserve"> </w:t>
      </w:r>
      <w:r>
        <w:rPr>
          <w:rFonts w:eastAsia="Times New Roman" w:cs="Calibri Light"/>
          <w:lang w:eastAsia="en-GB"/>
        </w:rPr>
        <w:t xml:space="preserve">(75%) </w:t>
      </w:r>
      <w:r w:rsidRPr="00766C38">
        <w:rPr>
          <w:rFonts w:eastAsia="Times New Roman" w:cs="Calibri Light"/>
          <w:lang w:eastAsia="en-GB"/>
        </w:rPr>
        <w:t>shared boundaries ha</w:t>
      </w:r>
      <w:r>
        <w:rPr>
          <w:rFonts w:eastAsia="Times New Roman" w:cs="Calibri Light"/>
          <w:lang w:eastAsia="en-GB"/>
        </w:rPr>
        <w:t>ve</w:t>
      </w:r>
      <w:r w:rsidRPr="00766C38">
        <w:rPr>
          <w:rFonts w:eastAsia="Times New Roman" w:cs="Calibri Light"/>
          <w:lang w:eastAsia="en-GB"/>
        </w:rPr>
        <w:t xml:space="preserve"> been formalised</w:t>
      </w:r>
      <w:r>
        <w:rPr>
          <w:rFonts w:eastAsia="Times New Roman" w:cs="Calibri Light"/>
          <w:lang w:eastAsia="en-GB"/>
        </w:rPr>
        <w:t xml:space="preserve"> to date</w:t>
      </w:r>
      <w:r w:rsidRPr="00766C38">
        <w:rPr>
          <w:rFonts w:eastAsia="Times New Roman" w:cs="Calibri Light"/>
          <w:lang w:eastAsia="en-GB"/>
        </w:rPr>
        <w:t>.</w:t>
      </w:r>
    </w:p>
    <w:p w14:paraId="29C2897D" w14:textId="77777777" w:rsidR="006E318A" w:rsidRPr="00511B8D" w:rsidRDefault="006E318A" w:rsidP="00821BD8">
      <w:pPr>
        <w:numPr>
          <w:ilvl w:val="0"/>
          <w:numId w:val="36"/>
        </w:numPr>
        <w:tabs>
          <w:tab w:val="clear" w:pos="7780"/>
        </w:tabs>
        <w:spacing w:before="100" w:beforeAutospacing="1" w:after="100" w:afterAutospacing="1"/>
        <w:rPr>
          <w:rFonts w:eastAsia="Times New Roman" w:cs="Calibri Light"/>
          <w:b/>
          <w:bCs/>
          <w:lang w:eastAsia="en-GB"/>
        </w:rPr>
      </w:pPr>
      <w:r w:rsidRPr="00511B8D">
        <w:rPr>
          <w:rFonts w:eastAsia="Times New Roman" w:cs="Calibri Light"/>
          <w:b/>
          <w:bCs/>
          <w:lang w:eastAsia="en-GB"/>
        </w:rPr>
        <w:t>Providing Legal and Technical Expertise:</w:t>
      </w:r>
    </w:p>
    <w:p w14:paraId="428814D8" w14:textId="7F6DBC1B" w:rsidR="006E318A" w:rsidRPr="00766C38" w:rsidRDefault="006E318A"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 xml:space="preserve">The Attorney-General's Department (AGD) provides legal expertise and advice to PICs for </w:t>
      </w:r>
      <w:r>
        <w:rPr>
          <w:rFonts w:eastAsia="Times New Roman" w:cs="Calibri Light"/>
          <w:lang w:eastAsia="en-GB"/>
        </w:rPr>
        <w:t xml:space="preserve">maritime </w:t>
      </w:r>
      <w:r w:rsidRPr="00766C38">
        <w:rPr>
          <w:rFonts w:eastAsia="Times New Roman" w:cs="Calibri Light"/>
          <w:lang w:eastAsia="en-GB"/>
        </w:rPr>
        <w:t xml:space="preserve">boundary </w:t>
      </w:r>
      <w:r>
        <w:rPr>
          <w:rFonts w:eastAsia="Times New Roman" w:cs="Calibri Light"/>
          <w:lang w:eastAsia="en-GB"/>
        </w:rPr>
        <w:t xml:space="preserve">delimitation </w:t>
      </w:r>
      <w:r w:rsidRPr="00766C38">
        <w:rPr>
          <w:rFonts w:eastAsia="Times New Roman" w:cs="Calibri Light"/>
          <w:lang w:eastAsia="en-GB"/>
        </w:rPr>
        <w:t>negotiations</w:t>
      </w:r>
      <w:r>
        <w:rPr>
          <w:rFonts w:eastAsia="Times New Roman" w:cs="Calibri Light"/>
          <w:lang w:eastAsia="en-GB"/>
        </w:rPr>
        <w:t xml:space="preserve">, treaty processes including treaty registration and deposit, establishing maritime zone limits in domestic legislation and other legislative reform, processes to deposit maritime zone limits with the UN, and other legal options to enhance maritime boundary stability and implement the 2021 PIF </w:t>
      </w:r>
      <w:proofErr w:type="gramStart"/>
      <w:r>
        <w:rPr>
          <w:rFonts w:eastAsia="Times New Roman" w:cs="Calibri Light"/>
          <w:lang w:eastAsia="en-GB"/>
        </w:rPr>
        <w:t xml:space="preserve">Declaration </w:t>
      </w:r>
      <w:r w:rsidRPr="00766C38">
        <w:rPr>
          <w:rFonts w:eastAsia="Times New Roman" w:cs="Calibri Light"/>
          <w:lang w:eastAsia="en-GB"/>
        </w:rPr>
        <w:t>.</w:t>
      </w:r>
      <w:proofErr w:type="gramEnd"/>
    </w:p>
    <w:p w14:paraId="799472F0" w14:textId="77777777" w:rsidR="006E318A" w:rsidRPr="00766C38" w:rsidRDefault="006E318A"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Geoscience Australia (GA) and SPC GEM provide technical support and mapping surveys for the determination of boundaries.</w:t>
      </w:r>
    </w:p>
    <w:p w14:paraId="4F0A6489" w14:textId="77777777" w:rsidR="006E318A" w:rsidRPr="00766C38" w:rsidRDefault="006E318A"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This technical support extends to improving systems for the capture of maritime boundary information and providing technical training on consistency and alignment of methodology to international standards.</w:t>
      </w:r>
    </w:p>
    <w:p w14:paraId="0622B620" w14:textId="77777777" w:rsidR="004D0A8F" w:rsidRPr="00511B8D" w:rsidRDefault="004D0A8F" w:rsidP="00821BD8">
      <w:pPr>
        <w:numPr>
          <w:ilvl w:val="0"/>
          <w:numId w:val="36"/>
        </w:numPr>
        <w:tabs>
          <w:tab w:val="clear" w:pos="7780"/>
        </w:tabs>
        <w:spacing w:before="100" w:beforeAutospacing="1" w:after="100" w:afterAutospacing="1"/>
        <w:rPr>
          <w:rFonts w:eastAsia="Times New Roman" w:cs="Calibri Light"/>
          <w:b/>
          <w:bCs/>
          <w:lang w:eastAsia="en-GB"/>
        </w:rPr>
      </w:pPr>
      <w:r w:rsidRPr="00511B8D">
        <w:rPr>
          <w:rFonts w:eastAsia="Times New Roman" w:cs="Calibri Light"/>
          <w:b/>
          <w:bCs/>
          <w:lang w:eastAsia="en-GB"/>
        </w:rPr>
        <w:t>Addressing Climate Change Impacts on Boundaries:</w:t>
      </w:r>
    </w:p>
    <w:p w14:paraId="7CB19E4C" w14:textId="77777777" w:rsidR="004D0A8F" w:rsidRPr="00766C38" w:rsidRDefault="004D0A8F"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 xml:space="preserve">The Resilient Boundaries for the Blue Pacific (RBBP) project specifically </w:t>
      </w:r>
      <w:proofErr w:type="gramStart"/>
      <w:r w:rsidRPr="00766C38">
        <w:rPr>
          <w:rFonts w:eastAsia="Times New Roman" w:cs="Calibri Light"/>
          <w:lang w:eastAsia="en-GB"/>
        </w:rPr>
        <w:t>examines</w:t>
      </w:r>
      <w:proofErr w:type="gramEnd"/>
      <w:r w:rsidRPr="00766C38">
        <w:rPr>
          <w:rFonts w:eastAsia="Times New Roman" w:cs="Calibri Light"/>
          <w:lang w:eastAsia="en-GB"/>
        </w:rPr>
        <w:t xml:space="preserve"> the effects of sea level rise and other climate change impacts on the physical features used to generate maritime zones, aiming to develop possible, Pacific-led response options.</w:t>
      </w:r>
    </w:p>
    <w:p w14:paraId="4512BE0C" w14:textId="77777777" w:rsidR="004D0A8F" w:rsidRPr="00766C38" w:rsidRDefault="004D0A8F"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This work aims to help PICs secure their current jurisdiction and buffer against potential losses of maritime rights due to climate change.</w:t>
      </w:r>
    </w:p>
    <w:p w14:paraId="7B11B6AF" w14:textId="77777777" w:rsidR="004D0A8F" w:rsidRPr="00766C38" w:rsidRDefault="004D0A8F"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RBBP has conducted in-depth analysis of vulnerable marine features and developed methodologies for similar future analysis by PICs.</w:t>
      </w:r>
    </w:p>
    <w:p w14:paraId="719A6017" w14:textId="77777777" w:rsidR="004D0A8F" w:rsidRPr="00511B8D" w:rsidRDefault="004D0A8F" w:rsidP="00821BD8">
      <w:pPr>
        <w:numPr>
          <w:ilvl w:val="0"/>
          <w:numId w:val="36"/>
        </w:numPr>
        <w:tabs>
          <w:tab w:val="clear" w:pos="7780"/>
        </w:tabs>
        <w:spacing w:before="100" w:beforeAutospacing="1" w:after="100" w:afterAutospacing="1"/>
        <w:rPr>
          <w:rFonts w:eastAsia="Times New Roman" w:cs="Calibri Light"/>
          <w:b/>
          <w:bCs/>
          <w:lang w:eastAsia="en-GB"/>
        </w:rPr>
      </w:pPr>
      <w:r w:rsidRPr="00511B8D">
        <w:rPr>
          <w:rFonts w:eastAsia="Times New Roman" w:cs="Calibri Light"/>
          <w:b/>
          <w:bCs/>
          <w:lang w:eastAsia="en-GB"/>
        </w:rPr>
        <w:t>Capacity Building and Training:</w:t>
      </w:r>
    </w:p>
    <w:p w14:paraId="4A6550C2" w14:textId="77777777" w:rsidR="004D0A8F" w:rsidRPr="00766C38" w:rsidRDefault="004D0A8F"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Training workshops for national maritime boundary teams have been supported to enhance PIC expertise in maritime boundary governance.</w:t>
      </w:r>
    </w:p>
    <w:p w14:paraId="2BD80CCD" w14:textId="77777777" w:rsidR="004D0A8F" w:rsidRPr="00766C38" w:rsidRDefault="004D0A8F"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Professional development activities, including secondments of SPC Maritime Boundaries Advisors to Geoscience Australia, have been undertaken to build regional capability in spatial industry certification and work program efficiency.</w:t>
      </w:r>
    </w:p>
    <w:p w14:paraId="1A6FE4A6" w14:textId="77777777" w:rsidR="004D0A8F" w:rsidRPr="00766C38" w:rsidRDefault="004D0A8F"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Australia has also supported university scholarships and internships focused on coastal monitoring systems to increase regional capacity.</w:t>
      </w:r>
    </w:p>
    <w:p w14:paraId="51A3756B" w14:textId="77777777" w:rsidR="004D0A8F" w:rsidRPr="00511B8D" w:rsidRDefault="004D0A8F" w:rsidP="00821BD8">
      <w:pPr>
        <w:numPr>
          <w:ilvl w:val="0"/>
          <w:numId w:val="36"/>
        </w:numPr>
        <w:tabs>
          <w:tab w:val="clear" w:pos="7780"/>
        </w:tabs>
        <w:spacing w:before="100" w:beforeAutospacing="1" w:after="100" w:afterAutospacing="1"/>
        <w:rPr>
          <w:rFonts w:eastAsia="Times New Roman" w:cs="Calibri Light"/>
          <w:b/>
          <w:bCs/>
          <w:lang w:eastAsia="en-GB"/>
        </w:rPr>
      </w:pPr>
      <w:r w:rsidRPr="00511B8D">
        <w:rPr>
          <w:rFonts w:eastAsia="Times New Roman" w:cs="Calibri Light"/>
          <w:b/>
          <w:bCs/>
          <w:lang w:eastAsia="en-GB"/>
        </w:rPr>
        <w:t>Facilitating Regional Cooperation and Information Sharing:</w:t>
      </w:r>
    </w:p>
    <w:p w14:paraId="06DC5DCB" w14:textId="77777777" w:rsidR="004D0A8F" w:rsidRPr="00766C38" w:rsidRDefault="004D0A8F"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lastRenderedPageBreak/>
        <w:t>Maritime Boundaries workshops are regularly held to facilitate discussions and negotiations among PICs and relevant international parties.</w:t>
      </w:r>
    </w:p>
    <w:p w14:paraId="4F06F901" w14:textId="77777777" w:rsidR="004D0A8F" w:rsidRPr="00766C38" w:rsidRDefault="004D0A8F"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Support for the Office of the Pacific Ocean Commissioner (OPOC) has helped to lead coordination of ocean advocacy and policy and strengthen ocean governance.</w:t>
      </w:r>
    </w:p>
    <w:p w14:paraId="598B8769" w14:textId="77777777" w:rsidR="004D0A8F" w:rsidRPr="00766C38" w:rsidRDefault="004D0A8F"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 xml:space="preserve">Development of online information products, such as a regional maritime </w:t>
      </w:r>
      <w:proofErr w:type="gramStart"/>
      <w:r w:rsidRPr="00766C38">
        <w:rPr>
          <w:rFonts w:eastAsia="Times New Roman" w:cs="Calibri Light"/>
          <w:lang w:eastAsia="en-GB"/>
        </w:rPr>
        <w:t>boundaries</w:t>
      </w:r>
      <w:proofErr w:type="gramEnd"/>
      <w:r w:rsidRPr="00766C38">
        <w:rPr>
          <w:rFonts w:eastAsia="Times New Roman" w:cs="Calibri Light"/>
          <w:lang w:eastAsia="en-GB"/>
        </w:rPr>
        <w:t xml:space="preserve"> information map, provides real-time digital access to authoritative boundary data.</w:t>
      </w:r>
    </w:p>
    <w:p w14:paraId="58D69E23" w14:textId="77777777" w:rsidR="004D0A8F" w:rsidRPr="00766C38" w:rsidRDefault="004D0A8F"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Digital maritime zones limits are provided to the FFA to aid fisheries compliance and enforcement.</w:t>
      </w:r>
    </w:p>
    <w:p w14:paraId="3C7D7A22" w14:textId="77777777" w:rsidR="004D0A8F" w:rsidRPr="00766C38" w:rsidRDefault="004D0A8F"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FFA and SPC collaborate to incorporate formalised boundaries into Vessel Monitoring Systems (VMS) for enforcement and tracking, enabling automated alerts when vessels enter or leave specific areas.</w:t>
      </w:r>
    </w:p>
    <w:p w14:paraId="34C346E4" w14:textId="77777777" w:rsidR="004D0A8F" w:rsidRPr="00766C38" w:rsidRDefault="004D0A8F" w:rsidP="00821BD8">
      <w:pPr>
        <w:numPr>
          <w:ilvl w:val="1"/>
          <w:numId w:val="36"/>
        </w:numPr>
        <w:tabs>
          <w:tab w:val="clear" w:pos="7780"/>
        </w:tabs>
        <w:spacing w:before="100" w:beforeAutospacing="1" w:after="100" w:afterAutospacing="1"/>
        <w:rPr>
          <w:rFonts w:eastAsia="Times New Roman" w:cs="Calibri Light"/>
          <w:lang w:eastAsia="en-GB"/>
        </w:rPr>
      </w:pPr>
      <w:r w:rsidRPr="00766C38">
        <w:rPr>
          <w:rFonts w:eastAsia="Times New Roman" w:cs="Calibri Light"/>
          <w:lang w:eastAsia="en-GB"/>
        </w:rPr>
        <w:t>Australia influences other development partners to align efforts and adopt similar flexible funding approaches for maritime governance.</w:t>
      </w:r>
    </w:p>
    <w:p w14:paraId="428358D1" w14:textId="77777777" w:rsidR="004D0A8F" w:rsidRPr="00766C38" w:rsidRDefault="004D0A8F" w:rsidP="004D0A8F">
      <w:pPr>
        <w:spacing w:before="100" w:beforeAutospacing="1" w:after="100" w:afterAutospacing="1"/>
        <w:rPr>
          <w:rFonts w:eastAsia="Times New Roman" w:cs="Calibri Light"/>
          <w:lang w:eastAsia="en-GB"/>
        </w:rPr>
      </w:pPr>
      <w:r w:rsidRPr="00766C38">
        <w:rPr>
          <w:rFonts w:eastAsia="Times New Roman" w:cs="Calibri Light"/>
          <w:lang w:eastAsia="en-GB"/>
        </w:rPr>
        <w:t xml:space="preserve">These sustained efforts have led to significant progress in legally defining and formalising EEZs and maritime boundaries in the </w:t>
      </w:r>
      <w:proofErr w:type="gramStart"/>
      <w:r w:rsidRPr="00766C38">
        <w:rPr>
          <w:rFonts w:eastAsia="Times New Roman" w:cs="Calibri Light"/>
          <w:lang w:eastAsia="en-GB"/>
        </w:rPr>
        <w:t>Pacific, and</w:t>
      </w:r>
      <w:proofErr w:type="gramEnd"/>
      <w:r w:rsidRPr="00766C38">
        <w:rPr>
          <w:rFonts w:eastAsia="Times New Roman" w:cs="Calibri Light"/>
          <w:lang w:eastAsia="en-GB"/>
        </w:rPr>
        <w:t xml:space="preserve"> thereby contributing to strengthening regional stability and governance.</w:t>
      </w:r>
    </w:p>
    <w:p w14:paraId="30C9859E" w14:textId="5BE39C24" w:rsidR="00B03739" w:rsidRDefault="00B03739">
      <w:pPr>
        <w:tabs>
          <w:tab w:val="clear" w:pos="7780"/>
        </w:tabs>
        <w:rPr>
          <w:rStyle w:val="Heading"/>
          <w:rFonts w:ascii="Calibri" w:eastAsiaTheme="majorEastAsia" w:hAnsi="Calibri" w:cs="Calibri"/>
          <w:color w:val="2F5496" w:themeColor="accent1" w:themeShade="BF"/>
          <w:kern w:val="2"/>
          <w:sz w:val="28"/>
          <w:szCs w:val="28"/>
          <w14:ligatures w14:val="standardContextual"/>
        </w:rPr>
      </w:pPr>
      <w:r>
        <w:rPr>
          <w:rStyle w:val="Heading"/>
          <w:rFonts w:ascii="Calibri" w:hAnsi="Calibri" w:cs="Calibri"/>
          <w:color w:val="2F5496" w:themeColor="accent1" w:themeShade="BF"/>
          <w:sz w:val="28"/>
          <w:szCs w:val="28"/>
        </w:rPr>
        <w:br w:type="page"/>
      </w:r>
    </w:p>
    <w:p w14:paraId="2B5B066F" w14:textId="7B774829" w:rsidR="00D02C94" w:rsidRPr="00FA2BF4" w:rsidRDefault="000F3351" w:rsidP="00FA2BF4">
      <w:pPr>
        <w:pStyle w:val="Heading3"/>
        <w:rPr>
          <w:b/>
          <w:bCs/>
        </w:rPr>
      </w:pPr>
      <w:bookmarkStart w:id="100" w:name="_Toc207206829"/>
      <w:r w:rsidRPr="00FA2BF4">
        <w:rPr>
          <w:b/>
          <w:bCs/>
        </w:rPr>
        <w:lastRenderedPageBreak/>
        <w:t>Annexe</w:t>
      </w:r>
      <w:r w:rsidR="004D0A8F" w:rsidRPr="00FA2BF4">
        <w:rPr>
          <w:b/>
          <w:bCs/>
        </w:rPr>
        <w:t xml:space="preserve"> 1</w:t>
      </w:r>
      <w:r w:rsidR="00073D7C" w:rsidRPr="00FA2BF4">
        <w:rPr>
          <w:b/>
          <w:bCs/>
        </w:rPr>
        <w:t>1</w:t>
      </w:r>
      <w:r w:rsidR="004D0A8F" w:rsidRPr="00FA2BF4">
        <w:rPr>
          <w:b/>
          <w:bCs/>
        </w:rPr>
        <w:t>:</w:t>
      </w:r>
      <w:r w:rsidR="00D02C94" w:rsidRPr="00FA2BF4">
        <w:rPr>
          <w:b/>
          <w:bCs/>
        </w:rPr>
        <w:t xml:space="preserve"> Gender Equ</w:t>
      </w:r>
      <w:r w:rsidR="00B17901" w:rsidRPr="00FA2BF4">
        <w:rPr>
          <w:b/>
          <w:bCs/>
        </w:rPr>
        <w:t>al</w:t>
      </w:r>
      <w:r w:rsidR="00D02C94" w:rsidRPr="00FA2BF4">
        <w:rPr>
          <w:b/>
          <w:bCs/>
        </w:rPr>
        <w:t>ity Outcomes</w:t>
      </w:r>
      <w:bookmarkEnd w:id="100"/>
    </w:p>
    <w:p w14:paraId="7B7C1E2B" w14:textId="6B409261" w:rsidR="00C74A07" w:rsidRPr="00B865C3" w:rsidRDefault="00B17901" w:rsidP="00C74A07">
      <w:pPr>
        <w:spacing w:before="100" w:beforeAutospacing="1" w:after="100" w:afterAutospacing="1"/>
        <w:rPr>
          <w:rFonts w:eastAsia="Times New Roman" w:cs="Calibri Light"/>
          <w:lang w:eastAsia="en-GB"/>
        </w:rPr>
      </w:pPr>
      <w:r>
        <w:rPr>
          <w:rFonts w:eastAsia="Times New Roman" w:cs="Calibri Light"/>
          <w:lang w:eastAsia="en-GB"/>
        </w:rPr>
        <w:t xml:space="preserve">This </w:t>
      </w:r>
      <w:r w:rsidR="00B41DE6">
        <w:rPr>
          <w:rFonts w:eastAsia="Times New Roman" w:cs="Calibri Light"/>
          <w:lang w:eastAsia="en-GB"/>
        </w:rPr>
        <w:t>Investment</w:t>
      </w:r>
      <w:r w:rsidRPr="00B865C3">
        <w:rPr>
          <w:rFonts w:eastAsia="Times New Roman" w:cs="Calibri Light"/>
          <w:lang w:eastAsia="en-GB"/>
        </w:rPr>
        <w:t xml:space="preserve"> </w:t>
      </w:r>
      <w:r w:rsidR="00C74A07" w:rsidRPr="00B865C3">
        <w:rPr>
          <w:rFonts w:eastAsia="Times New Roman" w:cs="Calibri Light"/>
          <w:lang w:eastAsia="en-GB"/>
        </w:rPr>
        <w:t>has supported various interventions aimed at ensuring equitable outcomes for women in the Pacific fisheries sector, examples include:</w:t>
      </w:r>
    </w:p>
    <w:p w14:paraId="639E4BD5" w14:textId="77777777" w:rsidR="00C74A07" w:rsidRPr="00C74A07" w:rsidRDefault="00C74A07" w:rsidP="00821BD8">
      <w:pPr>
        <w:numPr>
          <w:ilvl w:val="0"/>
          <w:numId w:val="37"/>
        </w:numPr>
        <w:tabs>
          <w:tab w:val="clear" w:pos="7780"/>
        </w:tabs>
        <w:spacing w:before="100" w:beforeAutospacing="1" w:after="100" w:afterAutospacing="1"/>
        <w:rPr>
          <w:rFonts w:eastAsia="Times New Roman" w:cs="Calibri Light"/>
          <w:b/>
          <w:bCs/>
          <w:lang w:eastAsia="en-GB"/>
        </w:rPr>
      </w:pPr>
      <w:r w:rsidRPr="00C74A07">
        <w:rPr>
          <w:rFonts w:eastAsia="Times New Roman" w:cs="Calibri Light"/>
          <w:b/>
          <w:bCs/>
          <w:lang w:eastAsia="en-GB"/>
        </w:rPr>
        <w:t>Policy and Institutional Frameworks:</w:t>
      </w:r>
    </w:p>
    <w:p w14:paraId="4AD02017"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The FFA developed a gender policy in 2006, which contributed to an 80% increase in the number of women recruited. This policy was updated to a Gender Equity Framework in 2016, which was endorsed by its governing council and is now in implementation. FFA also drafted a GESI Strategy 2024-2030, aligning with its strategic plan to integrate gender considerations into current and emerging priorities in the tuna fisheries sector. FFA's Business Plan 2021-2025 places gender and equity as key principles for the organisation.</w:t>
      </w:r>
    </w:p>
    <w:p w14:paraId="2D6BF9E8" w14:textId="13F966C9"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 xml:space="preserve">The Pacific Community's Fisheries, Aquaculture and Marine Ecosystems Division (SPC </w:t>
      </w:r>
      <w:r w:rsidR="006B5558">
        <w:rPr>
          <w:rFonts w:eastAsia="Times New Roman" w:cs="Calibri Light"/>
          <w:lang w:eastAsia="en-GB"/>
        </w:rPr>
        <w:t>FAME</w:t>
      </w:r>
      <w:r w:rsidRPr="00B865C3">
        <w:rPr>
          <w:rFonts w:eastAsia="Times New Roman" w:cs="Calibri Light"/>
          <w:lang w:eastAsia="en-GB"/>
        </w:rPr>
        <w:t>) Strategic Plan 2010-2013 acknowledges that gender stereotypes impact the role of women in Pacific fisheries. SPC policies ensure that jobs and training are available to men and women, and they have an in-house gender advisor to guide policy and gender issues in projects. SPC's Gender Equity and Social Inclusion Policy applies to program activities. In 2023, SPC presented its Gender Equality Flagship as an overarching framework for action on gender equality.</w:t>
      </w:r>
    </w:p>
    <w:p w14:paraId="225F142C" w14:textId="77777777" w:rsidR="00C74A07" w:rsidRPr="00C74A07" w:rsidRDefault="00C74A07" w:rsidP="00821BD8">
      <w:pPr>
        <w:numPr>
          <w:ilvl w:val="0"/>
          <w:numId w:val="37"/>
        </w:numPr>
        <w:tabs>
          <w:tab w:val="clear" w:pos="7780"/>
        </w:tabs>
        <w:spacing w:before="100" w:beforeAutospacing="1" w:after="100" w:afterAutospacing="1"/>
        <w:rPr>
          <w:rFonts w:eastAsia="Times New Roman" w:cs="Calibri Light"/>
          <w:b/>
          <w:bCs/>
          <w:lang w:eastAsia="en-GB"/>
        </w:rPr>
      </w:pPr>
      <w:r w:rsidRPr="00C74A07">
        <w:rPr>
          <w:rFonts w:eastAsia="Times New Roman" w:cs="Calibri Light"/>
          <w:b/>
          <w:bCs/>
          <w:lang w:eastAsia="en-GB"/>
        </w:rPr>
        <w:t>Recruitment and Employment Practices:</w:t>
      </w:r>
    </w:p>
    <w:p w14:paraId="34959C20"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FFA's recruitment processes ensure that a female member is on selection panels and that at least one female is interviewed for each post during short-listing.</w:t>
      </w:r>
    </w:p>
    <w:p w14:paraId="6A933DAE" w14:textId="563C9279"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 xml:space="preserve">The </w:t>
      </w:r>
      <w:r w:rsidR="00B41DE6">
        <w:rPr>
          <w:rFonts w:eastAsia="Times New Roman" w:cs="Calibri Light"/>
          <w:lang w:eastAsia="en-GB"/>
        </w:rPr>
        <w:t>Investment</w:t>
      </w:r>
      <w:r w:rsidRPr="00B865C3">
        <w:rPr>
          <w:rFonts w:eastAsia="Times New Roman" w:cs="Calibri Light"/>
          <w:lang w:eastAsia="en-GB"/>
        </w:rPr>
        <w:t xml:space="preserve"> supported FFA's corporate support systems, including upgrading Human Resource Information Management System following a 2010 performance review.</w:t>
      </w:r>
    </w:p>
    <w:p w14:paraId="2DB2360C"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For the FFA Secretariat, there was a commitment to better articulation and reporting of disaggregated data on staffing profiles including gender.</w:t>
      </w:r>
    </w:p>
    <w:p w14:paraId="28D02B2D"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FFA also introduced a Domestic and Family Violence Policy in March 2018, offering financial and non-financial support to staff affected by domestic and family violence.</w:t>
      </w:r>
    </w:p>
    <w:p w14:paraId="55151565"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In FFA recruitment, an interview panel is formed that ensures gender balance and includes an external independent representative.</w:t>
      </w:r>
    </w:p>
    <w:p w14:paraId="24E29870" w14:textId="77777777" w:rsidR="00C74A07" w:rsidRPr="00C74A07" w:rsidRDefault="00C74A07" w:rsidP="00821BD8">
      <w:pPr>
        <w:numPr>
          <w:ilvl w:val="0"/>
          <w:numId w:val="37"/>
        </w:numPr>
        <w:tabs>
          <w:tab w:val="clear" w:pos="7780"/>
        </w:tabs>
        <w:spacing w:before="100" w:beforeAutospacing="1" w:after="100" w:afterAutospacing="1"/>
        <w:rPr>
          <w:rFonts w:eastAsia="Times New Roman" w:cs="Calibri Light"/>
          <w:b/>
          <w:bCs/>
          <w:lang w:eastAsia="en-GB"/>
        </w:rPr>
      </w:pPr>
      <w:r w:rsidRPr="00C74A07">
        <w:rPr>
          <w:rFonts w:eastAsia="Times New Roman" w:cs="Calibri Light"/>
          <w:b/>
          <w:bCs/>
          <w:lang w:eastAsia="en-GB"/>
        </w:rPr>
        <w:t>Training and Capacity Building:</w:t>
      </w:r>
    </w:p>
    <w:p w14:paraId="23FEC4E0"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Regional training activities and workshops registered an increasing female participation up to 40% in 2009. FFA advises national authorities to provide training opportunities to both men and women for courses like Fisheries Negotiation and Evidence, Investigation, and Prosecution Training.</w:t>
      </w:r>
    </w:p>
    <w:p w14:paraId="707F4177"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FFA planned training for staff on gender impact analysis and gender issues.</w:t>
      </w:r>
    </w:p>
    <w:p w14:paraId="5CFF6DA3" w14:textId="3D49E1B3"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 xml:space="preserve">SPC </w:t>
      </w:r>
      <w:r w:rsidR="006B5558">
        <w:rPr>
          <w:rFonts w:eastAsia="Times New Roman" w:cs="Calibri Light"/>
          <w:lang w:eastAsia="en-GB"/>
        </w:rPr>
        <w:t>FAME</w:t>
      </w:r>
      <w:r w:rsidRPr="00B865C3">
        <w:rPr>
          <w:rFonts w:eastAsia="Times New Roman" w:cs="Calibri Light"/>
          <w:lang w:eastAsia="en-GB"/>
        </w:rPr>
        <w:t xml:space="preserve"> began including Social Development Programme staff in project design to ensure gender expertise is included. Time of SPC's Gender Advisers has also been included in budgets of new projects from 2016 onwards. SPC also supported the capacity building of women in tuna data management.</w:t>
      </w:r>
    </w:p>
    <w:p w14:paraId="4E1DE659"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SPC delivered a series of training sessions and mentorship on gender and social inclusion (GSI) and human rights (HR) in fisheries to 124 participants.</w:t>
      </w:r>
    </w:p>
    <w:p w14:paraId="6C1ABFE4"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The Community-Based Fisheries Management (CBFM) project has conducted training on gender in CBFM for in-country staff and partners, including USP graduates. CBFM3 is also conducting GEDSI training and mentoring and developing a GEDSI manual that adapts regional tools for Pacific coastal fisheries.</w:t>
      </w:r>
    </w:p>
    <w:p w14:paraId="59408CAE" w14:textId="77777777" w:rsidR="00C74A07" w:rsidRPr="00C74A07" w:rsidRDefault="00C74A07" w:rsidP="00821BD8">
      <w:pPr>
        <w:numPr>
          <w:ilvl w:val="0"/>
          <w:numId w:val="37"/>
        </w:numPr>
        <w:tabs>
          <w:tab w:val="clear" w:pos="7780"/>
        </w:tabs>
        <w:spacing w:before="100" w:beforeAutospacing="1" w:after="100" w:afterAutospacing="1"/>
        <w:rPr>
          <w:rFonts w:eastAsia="Times New Roman" w:cs="Calibri Light"/>
          <w:b/>
          <w:bCs/>
          <w:lang w:eastAsia="en-GB"/>
        </w:rPr>
      </w:pPr>
      <w:r w:rsidRPr="00C74A07">
        <w:rPr>
          <w:rFonts w:eastAsia="Times New Roman" w:cs="Calibri Light"/>
          <w:b/>
          <w:bCs/>
          <w:lang w:eastAsia="en-GB"/>
        </w:rPr>
        <w:t>Project Design and Implementation:</w:t>
      </w:r>
    </w:p>
    <w:p w14:paraId="1C61DCFC"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Working with FFA/SPC to strengthen the integration of gender equality in project design, implementation, M&amp;E, and reporting for FSRD projects and more broadly.</w:t>
      </w:r>
    </w:p>
    <w:p w14:paraId="716766FE"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The Regional Economic Integration (REI) program offers significant employment opportunities to women.</w:t>
      </w:r>
    </w:p>
    <w:p w14:paraId="26E70800"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lastRenderedPageBreak/>
        <w:t>For Institutional Strengthening Reviews, FFA promotes gender equality in national fisheries agencies and community consultations. Similarly, for Legislative Reviews, FFA promotes gender equality in community consultations.</w:t>
      </w:r>
    </w:p>
    <w:p w14:paraId="082AA6DE"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In 2013, FFA included measures (such as obligatory gender-separated on-board accommodation facilities) in minimum terms and conditions for vessels, aiming to increase women's participation in employment opportunities in a safe environment.</w:t>
      </w:r>
    </w:p>
    <w:p w14:paraId="67505555" w14:textId="040814B9"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 xml:space="preserve">The CBFM </w:t>
      </w:r>
      <w:r w:rsidR="00B36043">
        <w:rPr>
          <w:rFonts w:eastAsia="Times New Roman" w:cs="Calibri Light"/>
          <w:lang w:eastAsia="en-GB"/>
        </w:rPr>
        <w:t>project</w:t>
      </w:r>
      <w:r w:rsidR="00B36043" w:rsidRPr="00B865C3">
        <w:rPr>
          <w:rFonts w:eastAsia="Times New Roman" w:cs="Calibri Light"/>
          <w:lang w:eastAsia="en-GB"/>
        </w:rPr>
        <w:t xml:space="preserve"> </w:t>
      </w:r>
      <w:r w:rsidRPr="00B865C3">
        <w:rPr>
          <w:rFonts w:eastAsia="Times New Roman" w:cs="Calibri Light"/>
          <w:lang w:eastAsia="en-GB"/>
        </w:rPr>
        <w:t xml:space="preserve">places a strong emphasis on the important role of women in fisheries management decisions. The program aims to ensure its activities adequately analyse the effect on women and uses its M&amp;E system to maximise benefits for women, </w:t>
      </w:r>
      <w:proofErr w:type="gramStart"/>
      <w:r w:rsidRPr="00B865C3">
        <w:rPr>
          <w:rFonts w:eastAsia="Times New Roman" w:cs="Calibri Light"/>
          <w:lang w:eastAsia="en-GB"/>
        </w:rPr>
        <w:t>and also</w:t>
      </w:r>
      <w:proofErr w:type="gramEnd"/>
      <w:r w:rsidRPr="00B865C3">
        <w:rPr>
          <w:rFonts w:eastAsia="Times New Roman" w:cs="Calibri Light"/>
          <w:lang w:eastAsia="en-GB"/>
        </w:rPr>
        <w:t xml:space="preserve"> through a range of different actions taken at the implementation level, including for instance, deploying solar freezers to women's savings clubs in Solomon Islands and Vanuatu.</w:t>
      </w:r>
    </w:p>
    <w:p w14:paraId="0FE6910C" w14:textId="6D966BC8"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 xml:space="preserve">The Pacific Maritime Boundaries Project End of </w:t>
      </w:r>
      <w:r w:rsidR="00B41DE6">
        <w:rPr>
          <w:rFonts w:eastAsia="Times New Roman" w:cs="Calibri Light"/>
          <w:lang w:eastAsia="en-GB"/>
        </w:rPr>
        <w:t>Investment</w:t>
      </w:r>
      <w:r w:rsidRPr="00B865C3">
        <w:rPr>
          <w:rFonts w:eastAsia="Times New Roman" w:cs="Calibri Light"/>
          <w:lang w:eastAsia="en-GB"/>
        </w:rPr>
        <w:t xml:space="preserve"> Evaluation noted a positive impact on gender equity, with training materials having strong gender equity messaging and participation in workshops open to a broad range of participants, including typically female data-entry staff. This training enabled women to be promoted in their respective agencies.</w:t>
      </w:r>
    </w:p>
    <w:p w14:paraId="1B5733CE" w14:textId="77777777" w:rsidR="00C74A07" w:rsidRPr="00C74A07" w:rsidRDefault="00C74A07" w:rsidP="00821BD8">
      <w:pPr>
        <w:numPr>
          <w:ilvl w:val="0"/>
          <w:numId w:val="37"/>
        </w:numPr>
        <w:tabs>
          <w:tab w:val="clear" w:pos="7780"/>
        </w:tabs>
        <w:spacing w:before="100" w:beforeAutospacing="1" w:after="100" w:afterAutospacing="1"/>
        <w:rPr>
          <w:rFonts w:eastAsia="Times New Roman" w:cs="Calibri Light"/>
          <w:b/>
          <w:bCs/>
          <w:lang w:eastAsia="en-GB"/>
        </w:rPr>
      </w:pPr>
      <w:r w:rsidRPr="00C74A07">
        <w:rPr>
          <w:rFonts w:eastAsia="Times New Roman" w:cs="Calibri Light"/>
          <w:b/>
          <w:bCs/>
          <w:lang w:eastAsia="en-GB"/>
        </w:rPr>
        <w:t>Research and Data Collection:</w:t>
      </w:r>
    </w:p>
    <w:p w14:paraId="7B6B3362"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FFA's Commencement Reports note gender integration for each project. Reporting on gender is included in the draft logic framework for the Pacific Fisheries and Food Security Initiative and is reported annually.</w:t>
      </w:r>
    </w:p>
    <w:p w14:paraId="5A9F36BA"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FFA and SPC have released regional studies on "Gender Issues in the Pacific Islands Tuna Industry" (2006) and a follow-up study (2008), which found considerable opportunities for women in domestic tuna industries, particularly in coastal support services and formali</w:t>
      </w:r>
      <w:r>
        <w:rPr>
          <w:rFonts w:eastAsia="Times New Roman" w:cs="Calibri Light"/>
          <w:lang w:eastAsia="en-GB"/>
        </w:rPr>
        <w:t>s</w:t>
      </w:r>
      <w:r w:rsidRPr="00B865C3">
        <w:rPr>
          <w:rFonts w:eastAsia="Times New Roman" w:cs="Calibri Light"/>
          <w:lang w:eastAsia="en-GB"/>
        </w:rPr>
        <w:t>ed fish processing.</w:t>
      </w:r>
    </w:p>
    <w:p w14:paraId="29036ECA" w14:textId="629AB9B6"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 xml:space="preserve">SPC </w:t>
      </w:r>
      <w:r w:rsidR="006B5558">
        <w:rPr>
          <w:rFonts w:eastAsia="Times New Roman" w:cs="Calibri Light"/>
          <w:lang w:eastAsia="en-GB"/>
        </w:rPr>
        <w:t>FAME</w:t>
      </w:r>
      <w:r w:rsidRPr="00B865C3">
        <w:rPr>
          <w:rFonts w:eastAsia="Times New Roman" w:cs="Calibri Light"/>
          <w:lang w:eastAsia="en-GB"/>
        </w:rPr>
        <w:t xml:space="preserve"> also prepared a study of gender in fisheries science and management (2013), proposing ways to increase representation of women in this field, with recommendations to be implemented.</w:t>
      </w:r>
    </w:p>
    <w:p w14:paraId="03BE0079"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CBFM collects gender-disaggregated data where possible. Sex-disaggregated information was collected as part of the M&amp;E plan in all three countries. A significant gender benchmarking study was conducted to determine gender norms and roles, providing a baseline to track progress.</w:t>
      </w:r>
    </w:p>
    <w:p w14:paraId="2B24C134"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Research in aquaculture, including case studies in Fiji, revealed a high level of unacknowledged involvement by women in Pacific aquaculture, which will inform strengthening gender roles.</w:t>
      </w:r>
    </w:p>
    <w:p w14:paraId="3C14B7EA"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In 2022-23, FFA completed a COVID-19 Impact Study on women and marginali</w:t>
      </w:r>
      <w:r>
        <w:rPr>
          <w:rFonts w:eastAsia="Times New Roman" w:cs="Calibri Light"/>
          <w:lang w:eastAsia="en-GB"/>
        </w:rPr>
        <w:t>s</w:t>
      </w:r>
      <w:r w:rsidRPr="00B865C3">
        <w:rPr>
          <w:rFonts w:eastAsia="Times New Roman" w:cs="Calibri Light"/>
          <w:lang w:eastAsia="en-GB"/>
        </w:rPr>
        <w:t>ed groups in seven countries and a Gender Pay Audit.</w:t>
      </w:r>
    </w:p>
    <w:p w14:paraId="01E0658D" w14:textId="77777777" w:rsidR="00C74A07" w:rsidRPr="00C74A07" w:rsidRDefault="00C74A07" w:rsidP="00821BD8">
      <w:pPr>
        <w:numPr>
          <w:ilvl w:val="0"/>
          <w:numId w:val="37"/>
        </w:numPr>
        <w:tabs>
          <w:tab w:val="clear" w:pos="7780"/>
        </w:tabs>
        <w:spacing w:before="100" w:beforeAutospacing="1" w:after="100" w:afterAutospacing="1"/>
        <w:rPr>
          <w:rFonts w:eastAsia="Times New Roman" w:cs="Calibri Light"/>
          <w:b/>
          <w:bCs/>
          <w:lang w:eastAsia="en-GB"/>
        </w:rPr>
      </w:pPr>
      <w:r w:rsidRPr="00C74A07">
        <w:rPr>
          <w:rFonts w:eastAsia="Times New Roman" w:cs="Calibri Light"/>
          <w:b/>
          <w:bCs/>
          <w:lang w:eastAsia="en-GB"/>
        </w:rPr>
        <w:t>Advocacy and Promotion:</w:t>
      </w:r>
    </w:p>
    <w:p w14:paraId="18A48806"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 xml:space="preserve">FFA published </w:t>
      </w:r>
      <w:r w:rsidRPr="00C74A07">
        <w:rPr>
          <w:rFonts w:eastAsia="Times New Roman" w:cs="Calibri Light"/>
          <w:i/>
          <w:iCs/>
          <w:lang w:eastAsia="en-GB"/>
        </w:rPr>
        <w:t>Moana Voices</w:t>
      </w:r>
      <w:r w:rsidRPr="00B865C3">
        <w:rPr>
          <w:rFonts w:eastAsia="Times New Roman" w:cs="Calibri Light"/>
          <w:lang w:eastAsia="en-GB"/>
        </w:rPr>
        <w:t>, which aims to increase women's participation in fisheries by raising the profile of fisheries as a potential career and profiling women already in the sector.</w:t>
      </w:r>
    </w:p>
    <w:p w14:paraId="2C026E4D" w14:textId="77777777" w:rsidR="0042111B" w:rsidRDefault="0042111B" w:rsidP="00821BD8">
      <w:pPr>
        <w:numPr>
          <w:ilvl w:val="1"/>
          <w:numId w:val="37"/>
        </w:numPr>
        <w:tabs>
          <w:tab w:val="clear" w:pos="7780"/>
        </w:tabs>
        <w:spacing w:before="100" w:beforeAutospacing="1" w:after="100" w:afterAutospacing="1"/>
        <w:rPr>
          <w:rFonts w:eastAsia="Times New Roman" w:cs="Calibri Light"/>
          <w:lang w:eastAsia="en-GB"/>
        </w:rPr>
      </w:pPr>
      <w:r w:rsidRPr="0042111B">
        <w:rPr>
          <w:rFonts w:eastAsia="Times New Roman" w:cs="Calibri Light"/>
          <w:lang w:eastAsia="en-GB"/>
        </w:rPr>
        <w:t xml:space="preserve">FFA conducted a gender and human rights forum for </w:t>
      </w:r>
      <w:r>
        <w:rPr>
          <w:rFonts w:eastAsia="Times New Roman" w:cs="Calibri Light"/>
          <w:lang w:eastAsia="en-GB"/>
        </w:rPr>
        <w:t>the Ministry of Fisheries and fishing industry representatives in February 2023, building on a successful pilot with</w:t>
      </w:r>
      <w:r w:rsidR="00C74A07" w:rsidRPr="00B865C3">
        <w:rPr>
          <w:rFonts w:eastAsia="Times New Roman" w:cs="Calibri Light"/>
          <w:lang w:eastAsia="en-GB"/>
        </w:rPr>
        <w:t xml:space="preserve"> a Fijian fishing company promoting women as fishing crew and business leaders. </w:t>
      </w:r>
    </w:p>
    <w:p w14:paraId="7B0311B0" w14:textId="1BC51D4A"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A Gender &amp; Social Inclusion in Fisheries Forum was co-hosted by FFA and SPC-</w:t>
      </w:r>
      <w:r w:rsidR="006B5558">
        <w:rPr>
          <w:rFonts w:eastAsia="Times New Roman" w:cs="Calibri Light"/>
          <w:lang w:eastAsia="en-GB"/>
        </w:rPr>
        <w:t>FAME</w:t>
      </w:r>
      <w:r w:rsidRPr="00B865C3">
        <w:rPr>
          <w:rFonts w:eastAsia="Times New Roman" w:cs="Calibri Light"/>
          <w:lang w:eastAsia="en-GB"/>
        </w:rPr>
        <w:t xml:space="preserve"> in April 2024 to discuss strategies to address GESI challenges.</w:t>
      </w:r>
    </w:p>
    <w:p w14:paraId="3FCA9708"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SPC launched its Pacific Handbook for Gender Equity and Social Inclusion in Small-Scale Fisheries and Aquaculture in 2019, which was well-received as a Pacific-specific guide. Three additional modules were added to the handbook in 2020 on field-related fisheries topics. SPC also launched the Pacific handbook for human rights, gender equity and social inclusion in tuna industries.</w:t>
      </w:r>
    </w:p>
    <w:p w14:paraId="5A10DEC1"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 xml:space="preserve">The CBFM project has developed partnerships and research tools to contribute to its gender outcomes, and its staff will lead a regional gender workshop to design a strategy for </w:t>
      </w:r>
      <w:r w:rsidRPr="00B865C3">
        <w:rPr>
          <w:rFonts w:eastAsia="Times New Roman" w:cs="Calibri Light"/>
          <w:lang w:eastAsia="en-GB"/>
        </w:rPr>
        <w:lastRenderedPageBreak/>
        <w:t>implementing gender activities in coastal fisheries. It published a gender integration strategy and played an important role in developing the SPC-led gender in coastal fisheries toolbox.</w:t>
      </w:r>
    </w:p>
    <w:p w14:paraId="543E6B94"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 xml:space="preserve">In Vanuatu, the CBFM project collaborated with the theatre company Wan </w:t>
      </w:r>
      <w:proofErr w:type="spellStart"/>
      <w:r w:rsidRPr="00B865C3">
        <w:rPr>
          <w:rFonts w:eastAsia="Times New Roman" w:cs="Calibri Light"/>
          <w:lang w:eastAsia="en-GB"/>
        </w:rPr>
        <w:t>Smol</w:t>
      </w:r>
      <w:proofErr w:type="spellEnd"/>
      <w:r w:rsidRPr="00B865C3">
        <w:rPr>
          <w:rFonts w:eastAsia="Times New Roman" w:cs="Calibri Light"/>
          <w:lang w:eastAsia="en-GB"/>
        </w:rPr>
        <w:t xml:space="preserve"> Bag to develop and tour a play exploring community conflict with a focus on fisheries management. The play is augmented with workshops and comics to catalyse the development of management plans by engaging a broad range of local people and giving them a more inclusive voice, including women.</w:t>
      </w:r>
    </w:p>
    <w:p w14:paraId="79B1E1F5" w14:textId="77777777" w:rsidR="00C74A07" w:rsidRPr="00B865C3" w:rsidRDefault="00C74A07" w:rsidP="00821BD8">
      <w:pPr>
        <w:numPr>
          <w:ilvl w:val="0"/>
          <w:numId w:val="37"/>
        </w:numPr>
        <w:tabs>
          <w:tab w:val="clear" w:pos="7780"/>
        </w:tabs>
        <w:spacing w:before="100" w:beforeAutospacing="1" w:after="100" w:afterAutospacing="1"/>
        <w:rPr>
          <w:rFonts w:eastAsia="Times New Roman" w:cs="Calibri Light"/>
          <w:lang w:eastAsia="en-GB"/>
        </w:rPr>
      </w:pPr>
      <w:r w:rsidRPr="00C74A07">
        <w:rPr>
          <w:rFonts w:eastAsia="Times New Roman" w:cs="Calibri Light"/>
          <w:b/>
          <w:bCs/>
          <w:lang w:eastAsia="en-GB"/>
        </w:rPr>
        <w:t>Broader Efforts</w:t>
      </w:r>
      <w:r w:rsidRPr="00B865C3">
        <w:rPr>
          <w:rFonts w:eastAsia="Times New Roman" w:cs="Calibri Light"/>
          <w:lang w:eastAsia="en-GB"/>
        </w:rPr>
        <w:t>:</w:t>
      </w:r>
    </w:p>
    <w:p w14:paraId="38366200"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In several regional forums DFAT has raised concerns about the impacts of the fishing industry on women, including HIV and Sex Workers issues associated with fishing vessels and implications for female observers. Further analysis and policy dialogue on these issues is required in the Pacific Fisheries sector.</w:t>
      </w:r>
    </w:p>
    <w:p w14:paraId="195A665B" w14:textId="77777777" w:rsidR="00C74A07" w:rsidRPr="00B865C3" w:rsidRDefault="00C74A07" w:rsidP="00821BD8">
      <w:pPr>
        <w:numPr>
          <w:ilvl w:val="1"/>
          <w:numId w:val="37"/>
        </w:numPr>
        <w:tabs>
          <w:tab w:val="clear" w:pos="7780"/>
        </w:tabs>
        <w:spacing w:before="100" w:beforeAutospacing="1" w:after="100" w:afterAutospacing="1"/>
        <w:rPr>
          <w:rFonts w:eastAsia="Times New Roman" w:cs="Calibri Light"/>
          <w:lang w:eastAsia="en-GB"/>
        </w:rPr>
      </w:pPr>
      <w:r w:rsidRPr="00B865C3">
        <w:rPr>
          <w:rFonts w:eastAsia="Times New Roman" w:cs="Calibri Light"/>
          <w:lang w:eastAsia="en-GB"/>
        </w:rPr>
        <w:t>FFA's GESI Strategy includes priority areas such as Respectful Workplaces, Safety and Well-being, aiming to integrate GESI into all aspects of the tuna fisheries sector.</w:t>
      </w:r>
    </w:p>
    <w:p w14:paraId="00B55EA3" w14:textId="5E12A2D2" w:rsidR="004D0A8F" w:rsidRDefault="004D0A8F">
      <w:pPr>
        <w:tabs>
          <w:tab w:val="clear" w:pos="7780"/>
        </w:tabs>
        <w:rPr>
          <w:rStyle w:val="Heading"/>
          <w:rFonts w:ascii="Calibri" w:eastAsiaTheme="majorEastAsia" w:hAnsi="Calibri" w:cs="Calibri"/>
          <w:color w:val="2F5496" w:themeColor="accent1" w:themeShade="BF"/>
          <w:kern w:val="2"/>
          <w:sz w:val="28"/>
          <w:szCs w:val="28"/>
          <w14:ligatures w14:val="standardContextual"/>
        </w:rPr>
      </w:pPr>
      <w:r>
        <w:rPr>
          <w:rStyle w:val="Heading"/>
          <w:rFonts w:ascii="Calibri" w:hAnsi="Calibri" w:cs="Calibri"/>
          <w:color w:val="2F5496" w:themeColor="accent1" w:themeShade="BF"/>
          <w:sz w:val="28"/>
          <w:szCs w:val="28"/>
        </w:rPr>
        <w:br w:type="page"/>
      </w:r>
    </w:p>
    <w:p w14:paraId="171CE0E3" w14:textId="225A5A1F" w:rsidR="00A60B28" w:rsidRPr="00FA2BF4" w:rsidRDefault="000F3351" w:rsidP="00FA2BF4">
      <w:pPr>
        <w:pStyle w:val="Heading3"/>
        <w:rPr>
          <w:b/>
          <w:bCs/>
        </w:rPr>
      </w:pPr>
      <w:bookmarkStart w:id="101" w:name="_Toc207206830"/>
      <w:r w:rsidRPr="00FA2BF4">
        <w:rPr>
          <w:b/>
          <w:bCs/>
        </w:rPr>
        <w:lastRenderedPageBreak/>
        <w:t>Annexe</w:t>
      </w:r>
      <w:r w:rsidR="00F460A0" w:rsidRPr="00FA2BF4">
        <w:rPr>
          <w:b/>
          <w:bCs/>
        </w:rPr>
        <w:t xml:space="preserve"> </w:t>
      </w:r>
      <w:r w:rsidR="00CD48B7" w:rsidRPr="00FA2BF4">
        <w:rPr>
          <w:b/>
          <w:bCs/>
        </w:rPr>
        <w:t>1</w:t>
      </w:r>
      <w:r w:rsidR="00073D7C" w:rsidRPr="00FA2BF4">
        <w:rPr>
          <w:b/>
          <w:bCs/>
        </w:rPr>
        <w:t>2</w:t>
      </w:r>
      <w:r w:rsidR="00F460A0" w:rsidRPr="00FA2BF4">
        <w:rPr>
          <w:b/>
          <w:bCs/>
        </w:rPr>
        <w:t xml:space="preserve">: </w:t>
      </w:r>
      <w:r w:rsidR="00460DAB" w:rsidRPr="00FA2BF4">
        <w:rPr>
          <w:b/>
          <w:bCs/>
        </w:rPr>
        <w:t>Examples of activities to</w:t>
      </w:r>
      <w:r w:rsidR="007D1330" w:rsidRPr="00FA2BF4">
        <w:rPr>
          <w:b/>
          <w:bCs/>
        </w:rPr>
        <w:t xml:space="preserve"> address climate change</w:t>
      </w:r>
      <w:bookmarkEnd w:id="101"/>
    </w:p>
    <w:p w14:paraId="3B6E3057" w14:textId="77777777" w:rsidR="00E37930" w:rsidRPr="00581C11" w:rsidRDefault="00E37930" w:rsidP="00D41C65"/>
    <w:p w14:paraId="374242DE" w14:textId="77777777" w:rsidR="00BB042E" w:rsidRPr="006A01EF" w:rsidRDefault="00BB042E" w:rsidP="00D41C65">
      <w:r w:rsidRPr="002D43CF">
        <w:rPr>
          <w:b/>
          <w:bCs/>
        </w:rPr>
        <w:t>Community-Based Fisheries Management (CBFM</w:t>
      </w:r>
      <w:r w:rsidRPr="006A01EF">
        <w:t xml:space="preserve">) </w:t>
      </w:r>
    </w:p>
    <w:p w14:paraId="040C00BD" w14:textId="77777777" w:rsidR="00BB042E" w:rsidRPr="006A01EF" w:rsidRDefault="00BB042E" w:rsidP="00821BD8">
      <w:pPr>
        <w:pStyle w:val="ListParagraph"/>
        <w:numPr>
          <w:ilvl w:val="0"/>
          <w:numId w:val="13"/>
        </w:numPr>
      </w:pPr>
      <w:r w:rsidRPr="006A01EF">
        <w:t>CBFM has empowered coastal communities to sustainably manage their marine resources, which is a critical adaptation strategy in the face of climate-induced stressors such as coral bleaching, ocean acidification, and shifting fish stocks.</w:t>
      </w:r>
    </w:p>
    <w:p w14:paraId="5B850E14" w14:textId="77777777" w:rsidR="00BB042E" w:rsidRPr="006A01EF" w:rsidRDefault="00BB042E" w:rsidP="00821BD8">
      <w:pPr>
        <w:pStyle w:val="ListParagraph"/>
        <w:numPr>
          <w:ilvl w:val="0"/>
          <w:numId w:val="13"/>
        </w:numPr>
      </w:pPr>
      <w:r w:rsidRPr="006A01EF">
        <w:t>In Vanuatu, for example, CBFM teams supported post-disaster recovery efforts following cyclones, including technical assistance and deployment of cold storage to maintain food security.</w:t>
      </w:r>
    </w:p>
    <w:p w14:paraId="1A79F0AE" w14:textId="77777777" w:rsidR="00BB042E" w:rsidRPr="006A01EF" w:rsidRDefault="00BB042E" w:rsidP="00821BD8">
      <w:pPr>
        <w:pStyle w:val="ListParagraph"/>
        <w:numPr>
          <w:ilvl w:val="0"/>
          <w:numId w:val="13"/>
        </w:numPr>
      </w:pPr>
      <w:r w:rsidRPr="006A01EF">
        <w:t>The integration of traditional knowledge with scientific data has improved community understanding of climate impacts and informed adaptive decision-making.</w:t>
      </w:r>
    </w:p>
    <w:p w14:paraId="41E6222F" w14:textId="4756E8CF" w:rsidR="00AE56BF" w:rsidRPr="006A01EF" w:rsidRDefault="00AE56BF" w:rsidP="00821BD8">
      <w:pPr>
        <w:pStyle w:val="ListParagraph"/>
        <w:numPr>
          <w:ilvl w:val="0"/>
          <w:numId w:val="13"/>
        </w:numPr>
      </w:pPr>
      <w:r w:rsidRPr="006A01EF">
        <w:t xml:space="preserve">CBFM </w:t>
      </w:r>
      <w:r w:rsidR="00B41DE6">
        <w:t>Investment</w:t>
      </w:r>
      <w:r w:rsidRPr="006A01EF">
        <w:t>s have contributed to food and nutrition security by promoting sustainable fishing practices and introducing alternative livelihoods (e.g., aquaculture, seaweed farming).</w:t>
      </w:r>
    </w:p>
    <w:p w14:paraId="34BA2F8E" w14:textId="4AC793CD" w:rsidR="00AE56BF" w:rsidRPr="006A01EF" w:rsidRDefault="00AE56BF" w:rsidP="00821BD8">
      <w:pPr>
        <w:pStyle w:val="ListParagraph"/>
        <w:numPr>
          <w:ilvl w:val="0"/>
          <w:numId w:val="13"/>
        </w:numPr>
      </w:pPr>
      <w:r w:rsidRPr="006A01EF">
        <w:t xml:space="preserve">These efforts reduce </w:t>
      </w:r>
      <w:r>
        <w:t>pressures</w:t>
      </w:r>
      <w:r w:rsidRPr="006A01EF">
        <w:t xml:space="preserve"> on vulnerable fish stocks and provide economic buffers against climate-related disruptions</w:t>
      </w:r>
      <w:r>
        <w:t>.</w:t>
      </w:r>
    </w:p>
    <w:p w14:paraId="3D4BAADF" w14:textId="77777777" w:rsidR="00681A57" w:rsidRDefault="00681A57" w:rsidP="00D41C65"/>
    <w:p w14:paraId="39DF9363" w14:textId="73159483" w:rsidR="00BB042E" w:rsidRPr="002D43CF" w:rsidRDefault="00BB042E" w:rsidP="00D41C65">
      <w:pPr>
        <w:rPr>
          <w:b/>
          <w:bCs/>
        </w:rPr>
      </w:pPr>
      <w:r w:rsidRPr="002D43CF">
        <w:rPr>
          <w:b/>
          <w:bCs/>
        </w:rPr>
        <w:t xml:space="preserve">SPC </w:t>
      </w:r>
      <w:r w:rsidR="006B5558">
        <w:rPr>
          <w:b/>
          <w:bCs/>
        </w:rPr>
        <w:t>FAME</w:t>
      </w:r>
    </w:p>
    <w:p w14:paraId="51260B7D" w14:textId="77777777" w:rsidR="00BB042E" w:rsidRPr="006A01EF" w:rsidRDefault="00BB042E" w:rsidP="00821BD8">
      <w:pPr>
        <w:pStyle w:val="ListParagraph"/>
        <w:numPr>
          <w:ilvl w:val="0"/>
          <w:numId w:val="13"/>
        </w:numPr>
      </w:pPr>
      <w:r w:rsidRPr="006A01EF">
        <w:t>The implementation of marine protected areas (MPAs), seasonal closures, and gear restrictions has helped restore fish populations and habitats, enhancing ecological resilience.</w:t>
      </w:r>
    </w:p>
    <w:p w14:paraId="3B93A209" w14:textId="3F5AB64D" w:rsidR="00BB042E" w:rsidRPr="006A01EF" w:rsidRDefault="00B41DE6" w:rsidP="00821BD8">
      <w:pPr>
        <w:pStyle w:val="ListParagraph"/>
        <w:numPr>
          <w:ilvl w:val="0"/>
          <w:numId w:val="13"/>
        </w:numPr>
      </w:pPr>
      <w:r>
        <w:t>Investment</w:t>
      </w:r>
      <w:r w:rsidR="00BB042E" w:rsidRPr="006A01EF">
        <w:t xml:space="preserve">s have supported the development and application of innovative tools, such as the AI-powered </w:t>
      </w:r>
      <w:proofErr w:type="spellStart"/>
      <w:r w:rsidR="00BB042E" w:rsidRPr="006A01EF">
        <w:t>Ikasavea</w:t>
      </w:r>
      <w:proofErr w:type="spellEnd"/>
      <w:r w:rsidR="00BB042E" w:rsidRPr="006A01EF">
        <w:t xml:space="preserve"> platform for fisheries monitoring, which helps communities and governments track fish stocks and adapt management strategies accordingly</w:t>
      </w:r>
      <w:r w:rsidR="00650678">
        <w:t>.</w:t>
      </w:r>
    </w:p>
    <w:p w14:paraId="29BC1521" w14:textId="027781A3" w:rsidR="00BB042E" w:rsidRPr="006A01EF" w:rsidRDefault="00BB042E" w:rsidP="00821BD8">
      <w:pPr>
        <w:pStyle w:val="ListParagraph"/>
        <w:numPr>
          <w:ilvl w:val="0"/>
          <w:numId w:val="13"/>
        </w:numPr>
      </w:pPr>
      <w:r w:rsidRPr="006A01EF">
        <w:t xml:space="preserve">The SPC </w:t>
      </w:r>
      <w:r w:rsidR="006B5558">
        <w:t>FAME</w:t>
      </w:r>
      <w:r w:rsidRPr="006A01EF">
        <w:t xml:space="preserve"> evaluation highlights that DFAT’s program funding has enabled the division to support regional and national fisheries governance, including climate-informed planning and policy development.</w:t>
      </w:r>
    </w:p>
    <w:p w14:paraId="2F834F02" w14:textId="63D9DC72" w:rsidR="00BB042E" w:rsidRPr="006A01EF" w:rsidRDefault="00BB042E" w:rsidP="00821BD8">
      <w:pPr>
        <w:pStyle w:val="ListParagraph"/>
        <w:numPr>
          <w:ilvl w:val="0"/>
          <w:numId w:val="13"/>
        </w:numPr>
      </w:pPr>
      <w:r w:rsidRPr="006A01EF">
        <w:t xml:space="preserve">SPC </w:t>
      </w:r>
      <w:r w:rsidR="006B5558">
        <w:t>FAME</w:t>
      </w:r>
      <w:r w:rsidRPr="006A01EF">
        <w:t>’s business plan and theory of change are aligned with the 2050 Strategy for the Blue Pacific Continent, which emphasizes climate resilience and sustainable ocean management.</w:t>
      </w:r>
    </w:p>
    <w:p w14:paraId="5B7AC628" w14:textId="4CACE773" w:rsidR="00BB042E" w:rsidRPr="006A01EF" w:rsidRDefault="00BB042E" w:rsidP="00821BD8">
      <w:pPr>
        <w:pStyle w:val="ListParagraph"/>
        <w:numPr>
          <w:ilvl w:val="0"/>
          <w:numId w:val="13"/>
        </w:numPr>
      </w:pPr>
      <w:r w:rsidRPr="006A01EF">
        <w:t xml:space="preserve">SPC </w:t>
      </w:r>
      <w:r w:rsidR="006B5558">
        <w:t>FAME</w:t>
      </w:r>
      <w:r w:rsidRPr="006A01EF">
        <w:t xml:space="preserve"> is developing a Coastal Fisheries and Aquaculture Climate Change Strategic Framework</w:t>
      </w:r>
    </w:p>
    <w:p w14:paraId="1010E2D9" w14:textId="220621D8" w:rsidR="00BB042E" w:rsidRPr="006A01EF" w:rsidRDefault="00BB042E" w:rsidP="00821BD8">
      <w:pPr>
        <w:pStyle w:val="ListParagraph"/>
        <w:numPr>
          <w:ilvl w:val="0"/>
          <w:numId w:val="13"/>
        </w:numPr>
      </w:pPr>
      <w:r w:rsidRPr="006A01EF">
        <w:t xml:space="preserve">SPC </w:t>
      </w:r>
      <w:r w:rsidR="006B5558">
        <w:t>FAME</w:t>
      </w:r>
      <w:r w:rsidRPr="006A01EF">
        <w:t xml:space="preserve"> provides critical climate resilience support through modelling impacts on tuna stocks and marine ecosystems, informing evidence-based management responses, identifying 'climate-smart' aquaculture techniques, and supporting emissions reduction strategies.</w:t>
      </w:r>
    </w:p>
    <w:p w14:paraId="72DB4B09" w14:textId="0B597C84" w:rsidR="00BB042E" w:rsidRPr="006A01EF" w:rsidRDefault="00BB042E" w:rsidP="00821BD8">
      <w:pPr>
        <w:pStyle w:val="ListParagraph"/>
        <w:numPr>
          <w:ilvl w:val="0"/>
          <w:numId w:val="13"/>
        </w:numPr>
      </w:pPr>
      <w:r w:rsidRPr="006A01EF">
        <w:t xml:space="preserve">Comprehensive vulnerability assessments have been conducted for both the impacts of climate change on fisheries and on key features that form the basis for maritime boundaries. The SPC </w:t>
      </w:r>
      <w:r w:rsidR="006B5558">
        <w:t>FAME</w:t>
      </w:r>
      <w:r w:rsidRPr="006A01EF">
        <w:t xml:space="preserve"> Vulnerability Assessment on the impact of climate change on Pacific ecosystems and fisheries is expected to be published in 2025.</w:t>
      </w:r>
    </w:p>
    <w:p w14:paraId="61DA9EEA" w14:textId="77777777" w:rsidR="00BB042E" w:rsidRPr="002D43CF" w:rsidRDefault="00BB042E" w:rsidP="00D41C65">
      <w:pPr>
        <w:rPr>
          <w:b/>
          <w:bCs/>
        </w:rPr>
      </w:pPr>
      <w:r w:rsidRPr="002D43CF">
        <w:rPr>
          <w:b/>
          <w:bCs/>
        </w:rPr>
        <w:t>FFA</w:t>
      </w:r>
    </w:p>
    <w:p w14:paraId="1B0F6096" w14:textId="067A9D17" w:rsidR="00BB042E" w:rsidRPr="006A01EF" w:rsidRDefault="00BB042E" w:rsidP="00821BD8">
      <w:pPr>
        <w:pStyle w:val="ListParagraph"/>
        <w:numPr>
          <w:ilvl w:val="0"/>
          <w:numId w:val="14"/>
        </w:numPr>
      </w:pPr>
      <w:r w:rsidRPr="006A01EF">
        <w:t>The FFA developed a regional Climate Change Strategy and an implementation plan</w:t>
      </w:r>
      <w:r w:rsidR="00650678">
        <w:t>.</w:t>
      </w:r>
      <w:r w:rsidRPr="006A01EF">
        <w:t xml:space="preserve"> </w:t>
      </w:r>
    </w:p>
    <w:p w14:paraId="37F90B59" w14:textId="77777777" w:rsidR="00BB042E" w:rsidRPr="006A01EF" w:rsidRDefault="00BB042E" w:rsidP="00821BD8">
      <w:pPr>
        <w:pStyle w:val="ListParagraph"/>
        <w:numPr>
          <w:ilvl w:val="0"/>
          <w:numId w:val="14"/>
        </w:numPr>
      </w:pPr>
      <w:r w:rsidRPr="006A01EF">
        <w:t>Core funding supported effective policy dialogue and partnerships, which influenced the regional policy agenda. This included Ministerial meetings, including the annual Regional Fisheries Ministers Meeting and the Forum Fisheries Committee Ministerial Meetings that collectively address offshore tuna fisheries, coastal fisheries, aquaculture, climate change and emerging and critical environmental issues.</w:t>
      </w:r>
    </w:p>
    <w:p w14:paraId="6835194A" w14:textId="28E93919" w:rsidR="00BB042E" w:rsidRPr="006A01EF" w:rsidRDefault="00BB042E" w:rsidP="00821BD8">
      <w:pPr>
        <w:pStyle w:val="ListParagraph"/>
        <w:numPr>
          <w:ilvl w:val="0"/>
          <w:numId w:val="14"/>
        </w:numPr>
      </w:pPr>
      <w:r w:rsidRPr="006A01EF">
        <w:t>The FFA evaluated the impact of climate change concerning adaptive fisheries management regimes informed by scientific insights from the SPC, as well as harvest strategies and controls, longline fisheries, and food security implications</w:t>
      </w:r>
      <w:r w:rsidR="00650678">
        <w:t>.</w:t>
      </w:r>
    </w:p>
    <w:p w14:paraId="2ABCB95A" w14:textId="77777777" w:rsidR="00681A57" w:rsidRDefault="00681A57" w:rsidP="00D41C65"/>
    <w:p w14:paraId="5818226B" w14:textId="77777777" w:rsidR="00BB042E" w:rsidRPr="002D43CF" w:rsidRDefault="00BB042E" w:rsidP="00D41C65">
      <w:pPr>
        <w:rPr>
          <w:b/>
          <w:bCs/>
        </w:rPr>
      </w:pPr>
      <w:r w:rsidRPr="002D43CF">
        <w:rPr>
          <w:b/>
          <w:bCs/>
        </w:rPr>
        <w:t>Pacific Maritime Boundaries Project</w:t>
      </w:r>
    </w:p>
    <w:p w14:paraId="3A07CE81" w14:textId="2C370AB8" w:rsidR="00D048FA" w:rsidRPr="006A01EF" w:rsidRDefault="00D048FA" w:rsidP="00821BD8">
      <w:pPr>
        <w:pStyle w:val="ListParagraph"/>
        <w:numPr>
          <w:ilvl w:val="0"/>
          <w:numId w:val="11"/>
        </w:numPr>
      </w:pPr>
      <w:r w:rsidRPr="006A01EF">
        <w:t>Legal Certainty Amid Sea Level Rise: The PMB</w:t>
      </w:r>
      <w:r>
        <w:t xml:space="preserve"> </w:t>
      </w:r>
      <w:r w:rsidRPr="006A01EF">
        <w:t>P</w:t>
      </w:r>
      <w:r>
        <w:t>roject</w:t>
      </w:r>
      <w:r w:rsidRPr="006A01EF">
        <w:t xml:space="preserve"> directly addressed climate change by supporting Pacific Island Countries (PICs) to define and secure maritime boundaries that are resilient to sea level rise. This aligns with the 2019 Pacific Islands Forum (PIF) Leaders’ </w:t>
      </w:r>
      <w:r>
        <w:t>Declaration</w:t>
      </w:r>
      <w:r w:rsidRPr="006A01EF">
        <w:t xml:space="preserve"> to ensure that maritime zones, once established</w:t>
      </w:r>
      <w:r>
        <w:t xml:space="preserve"> and notified to the UN Secretary-General in accordance with UNCLOS</w:t>
      </w:r>
      <w:r w:rsidRPr="006A01EF">
        <w:t xml:space="preserve">, </w:t>
      </w:r>
      <w:r>
        <w:t xml:space="preserve">will </w:t>
      </w:r>
      <w:r w:rsidRPr="006A01EF">
        <w:lastRenderedPageBreak/>
        <w:t xml:space="preserve">not </w:t>
      </w:r>
      <w:r>
        <w:t xml:space="preserve">be </w:t>
      </w:r>
      <w:r w:rsidRPr="006A01EF">
        <w:t>diminished by climate-induced coastal changes</w:t>
      </w:r>
      <w:r>
        <w:t>, thus preserving the maritime rights and entitlements that flow from those maritime zones</w:t>
      </w:r>
      <w:r w:rsidRPr="006A01EF">
        <w:t>.</w:t>
      </w:r>
    </w:p>
    <w:p w14:paraId="5889F651" w14:textId="77777777" w:rsidR="00D048FA" w:rsidRPr="006A01EF" w:rsidRDefault="00D048FA" w:rsidP="00821BD8">
      <w:pPr>
        <w:pStyle w:val="ListParagraph"/>
        <w:numPr>
          <w:ilvl w:val="0"/>
          <w:numId w:val="11"/>
        </w:numPr>
      </w:pPr>
      <w:r w:rsidRPr="006A01EF">
        <w:t>Support for Extended Continental Shelf (ECS) Claims: The project helped PICs assert rights over marine resources beyond their EEZs, which is critical for long-term economic resilience in the face of climate-related shocks.</w:t>
      </w:r>
    </w:p>
    <w:p w14:paraId="3FBB57E5" w14:textId="56A30697" w:rsidR="00D048FA" w:rsidRPr="006A01EF" w:rsidRDefault="00D048FA" w:rsidP="00821BD8">
      <w:pPr>
        <w:pStyle w:val="ListParagraph"/>
        <w:numPr>
          <w:ilvl w:val="0"/>
          <w:numId w:val="11"/>
        </w:numPr>
      </w:pPr>
      <w:r w:rsidRPr="006A01EF">
        <w:t>Synergy with the Resilient Boundaries for the Blue Pacific (RBBP): The PMB</w:t>
      </w:r>
      <w:r>
        <w:t xml:space="preserve"> </w:t>
      </w:r>
      <w:r w:rsidRPr="006A01EF">
        <w:t>P</w:t>
      </w:r>
      <w:r>
        <w:t>roject</w:t>
      </w:r>
      <w:r w:rsidRPr="006A01EF">
        <w:t xml:space="preserve"> complemented the RBBP, which specifically addresse</w:t>
      </w:r>
      <w:r>
        <w:t>d</w:t>
      </w:r>
      <w:r w:rsidRPr="006A01EF">
        <w:t xml:space="preserve"> legal and technical implications of climate change on maritime zones.</w:t>
      </w:r>
    </w:p>
    <w:p w14:paraId="46559726" w14:textId="77777777" w:rsidR="00681A57" w:rsidRDefault="00681A57" w:rsidP="00D41C65"/>
    <w:p w14:paraId="71474256" w14:textId="77777777" w:rsidR="00BB042E" w:rsidRPr="00511B8D" w:rsidRDefault="00BB042E" w:rsidP="00D41C65">
      <w:pPr>
        <w:rPr>
          <w:b/>
          <w:bCs/>
        </w:rPr>
      </w:pPr>
      <w:r w:rsidRPr="00511B8D">
        <w:rPr>
          <w:b/>
          <w:bCs/>
        </w:rPr>
        <w:t>IUU Fishing</w:t>
      </w:r>
    </w:p>
    <w:p w14:paraId="55C8E217" w14:textId="77777777" w:rsidR="00BB042E" w:rsidRPr="006A01EF" w:rsidRDefault="00BB042E" w:rsidP="00821BD8">
      <w:pPr>
        <w:pStyle w:val="ListParagraph"/>
        <w:numPr>
          <w:ilvl w:val="0"/>
          <w:numId w:val="12"/>
        </w:numPr>
      </w:pPr>
      <w:r w:rsidRPr="006A01EF">
        <w:t>Protection of Marine Resources: By strengthening monitoring, control, and surveillance (MCS) systems, the project helped safeguard fish stocks, which are vital for food security and economic resilience in a changing climate.</w:t>
      </w:r>
    </w:p>
    <w:p w14:paraId="16966825" w14:textId="77777777" w:rsidR="00BB042E" w:rsidRPr="006A01EF" w:rsidRDefault="00BB042E" w:rsidP="00821BD8">
      <w:pPr>
        <w:pStyle w:val="ListParagraph"/>
        <w:numPr>
          <w:ilvl w:val="0"/>
          <w:numId w:val="12"/>
        </w:numPr>
      </w:pPr>
      <w:r w:rsidRPr="006A01EF">
        <w:t>Regional Cooperation: The Niue Treaty Subsidiary Agreement (NTSA) facilitated cooperative enforcement, which is essential for managing shared resources under climate stress.</w:t>
      </w:r>
    </w:p>
    <w:p w14:paraId="51C1F9B1" w14:textId="73196912" w:rsidR="00C640B0" w:rsidRDefault="00C640B0">
      <w:pPr>
        <w:tabs>
          <w:tab w:val="clear" w:pos="7780"/>
        </w:tabs>
      </w:pPr>
      <w:r>
        <w:br w:type="page"/>
      </w:r>
    </w:p>
    <w:p w14:paraId="30E0D532" w14:textId="59D47BFE" w:rsidR="00E37930" w:rsidRPr="00FA2BF4" w:rsidRDefault="000F3351" w:rsidP="00FA2BF4">
      <w:pPr>
        <w:pStyle w:val="Heading3"/>
        <w:rPr>
          <w:b/>
          <w:bCs/>
        </w:rPr>
      </w:pPr>
      <w:bookmarkStart w:id="102" w:name="_Toc207206831"/>
      <w:r w:rsidRPr="00FA2BF4">
        <w:rPr>
          <w:b/>
          <w:bCs/>
        </w:rPr>
        <w:lastRenderedPageBreak/>
        <w:t>Annexe</w:t>
      </w:r>
      <w:r w:rsidR="00C640B0" w:rsidRPr="00FA2BF4">
        <w:rPr>
          <w:b/>
          <w:bCs/>
        </w:rPr>
        <w:t xml:space="preserve"> 1</w:t>
      </w:r>
      <w:r w:rsidR="00073D7C" w:rsidRPr="00FA2BF4">
        <w:rPr>
          <w:b/>
          <w:bCs/>
        </w:rPr>
        <w:t>3</w:t>
      </w:r>
      <w:r w:rsidR="00C640B0" w:rsidRPr="00FA2BF4">
        <w:rPr>
          <w:b/>
          <w:bCs/>
        </w:rPr>
        <w:t>: Terms of Reference</w:t>
      </w:r>
      <w:bookmarkEnd w:id="102"/>
    </w:p>
    <w:p w14:paraId="59E59ACF" w14:textId="77777777" w:rsidR="00C640B0" w:rsidRPr="00503F39" w:rsidRDefault="00C640B0" w:rsidP="00C640B0">
      <w:pPr>
        <w:jc w:val="center"/>
        <w:rPr>
          <w:b/>
          <w:bCs/>
          <w:sz w:val="24"/>
          <w:szCs w:val="24"/>
          <w:u w:val="single"/>
        </w:rPr>
      </w:pPr>
      <w:r w:rsidRPr="00503F39">
        <w:rPr>
          <w:b/>
          <w:bCs/>
          <w:sz w:val="24"/>
          <w:szCs w:val="24"/>
          <w:u w:val="single"/>
        </w:rPr>
        <w:t>Draft Terms of Reference</w:t>
      </w:r>
    </w:p>
    <w:p w14:paraId="5870DB27" w14:textId="77777777" w:rsidR="00C640B0" w:rsidRPr="00503F39" w:rsidRDefault="00C640B0" w:rsidP="00C640B0">
      <w:pPr>
        <w:jc w:val="center"/>
        <w:rPr>
          <w:b/>
          <w:bCs/>
          <w:sz w:val="24"/>
          <w:szCs w:val="24"/>
          <w:u w:val="single"/>
        </w:rPr>
      </w:pPr>
      <w:r w:rsidRPr="00503F39">
        <w:rPr>
          <w:b/>
          <w:bCs/>
          <w:sz w:val="24"/>
          <w:szCs w:val="24"/>
          <w:u w:val="single"/>
        </w:rPr>
        <w:t>Evaluation of Fisheries Development Assistance in the Pacific (INJ201)</w:t>
      </w:r>
    </w:p>
    <w:p w14:paraId="7C944CD8" w14:textId="77777777" w:rsidR="00C640B0" w:rsidRPr="00503F39" w:rsidRDefault="00C640B0" w:rsidP="00C640B0">
      <w:pPr>
        <w:rPr>
          <w:b/>
          <w:bCs/>
          <w:sz w:val="24"/>
          <w:szCs w:val="24"/>
        </w:rPr>
      </w:pPr>
      <w:r w:rsidRPr="00503F39">
        <w:rPr>
          <w:b/>
          <w:bCs/>
          <w:sz w:val="24"/>
          <w:szCs w:val="24"/>
        </w:rPr>
        <w:t>Purpose</w:t>
      </w:r>
    </w:p>
    <w:p w14:paraId="6054E6F7" w14:textId="77777777" w:rsidR="00C640B0" w:rsidRDefault="00C640B0" w:rsidP="00C640B0">
      <w:r>
        <w:t>The primary purpose of this end-of-investment evaluation is to inform the final investment monitoring report (FIMR) for Australia’s Fisheries Development Assistance in the Pacific investment (</w:t>
      </w:r>
      <w:r w:rsidRPr="009D0308">
        <w:t>INJ201</w:t>
      </w:r>
      <w:r w:rsidRPr="009D0308">
        <w:rPr>
          <w:rStyle w:val="Hyperlink"/>
          <w:color w:val="auto"/>
        </w:rPr>
        <w:t>, 2010</w:t>
      </w:r>
      <w:r>
        <w:rPr>
          <w:rStyle w:val="Hyperlink"/>
          <w:color w:val="auto"/>
        </w:rPr>
        <w:t>-</w:t>
      </w:r>
      <w:r w:rsidRPr="009D0308">
        <w:rPr>
          <w:rStyle w:val="Hyperlink"/>
          <w:color w:val="auto"/>
        </w:rPr>
        <w:t>2026</w:t>
      </w:r>
      <w:r>
        <w:t xml:space="preserve">). It will assess whether the investment was effective and efficient and </w:t>
      </w:r>
      <w:r w:rsidRPr="009D0308">
        <w:t>what outcomes the investment has contributed to in the Pacific region</w:t>
      </w:r>
      <w:r>
        <w:rPr>
          <w:i/>
          <w:iCs/>
        </w:rPr>
        <w:t>.</w:t>
      </w:r>
      <w:r>
        <w:t xml:space="preserve"> It will focus on activities that supported the </w:t>
      </w:r>
      <w:r w:rsidRPr="00CA2FE8">
        <w:t xml:space="preserve">Pacific Islands Forum Fisheries Agency (FFA), </w:t>
      </w:r>
      <w:r>
        <w:t xml:space="preserve">which is </w:t>
      </w:r>
      <w:r w:rsidRPr="00CA2FE8">
        <w:t xml:space="preserve">more than 50% of the value of </w:t>
      </w:r>
      <w:r>
        <w:t>the investment</w:t>
      </w:r>
      <w:r w:rsidRPr="00CA2FE8">
        <w:t xml:space="preserve">, and </w:t>
      </w:r>
      <w:r w:rsidRPr="009D0308">
        <w:t xml:space="preserve">build on existing evidence from other independent evaluations conducted by DFAT. </w:t>
      </w:r>
      <w:r>
        <w:t>The secondary purpose of the evaluation is to identify l</w:t>
      </w:r>
      <w:r w:rsidRPr="00CA2FE8">
        <w:t>essons</w:t>
      </w:r>
      <w:r>
        <w:t xml:space="preserve"> to shape DFAT’s current and future Pacific fisheries programs. New investments have already commenced for some elements including core funding to the Pacific Community (SPC) and program funding for maritime boundaries support. Future investments will include core funding to the FFA and a community-based fisheries management project.</w:t>
      </w:r>
    </w:p>
    <w:p w14:paraId="342D6C2C" w14:textId="77777777" w:rsidR="00C640B0" w:rsidRDefault="00C640B0" w:rsidP="00C640B0">
      <w:r>
        <w:t>Pacific Fisheries and Maritime Section (PFO) and Assistant Secretary, Pacific Security Branch, Office of the Pacific, DFAT will be the primary users of this evaluation. Secondary users include other Australian Government agencies such as the Department of Agriculture, Fisheries and Forestry and Australian Fisheries Management Authority, FFA, SPC and other donors such as New Zealand.</w:t>
      </w:r>
    </w:p>
    <w:p w14:paraId="4D9B90AD" w14:textId="77777777" w:rsidR="00C640B0" w:rsidRPr="00503F39" w:rsidRDefault="00C640B0" w:rsidP="00C640B0">
      <w:pPr>
        <w:rPr>
          <w:b/>
          <w:bCs/>
          <w:sz w:val="24"/>
          <w:szCs w:val="24"/>
        </w:rPr>
      </w:pPr>
      <w:r w:rsidRPr="00503F39">
        <w:rPr>
          <w:b/>
          <w:bCs/>
          <w:sz w:val="24"/>
          <w:szCs w:val="24"/>
        </w:rPr>
        <w:t>Background</w:t>
      </w:r>
    </w:p>
    <w:p w14:paraId="640A1BA1" w14:textId="77777777" w:rsidR="00C640B0" w:rsidRDefault="00C640B0" w:rsidP="00C640B0">
      <w:r>
        <w:t xml:space="preserve">Australia has supported sustainable fisheries management and economic development in the Pacific for several decades. As a founding member and partner of SPC and FFA, we help the region address threats such as illegal, unreported and unregulated (IUU) fishing, enhance regional coordination and support the Pacific to sustainably manage their fisheries and marine resources. </w:t>
      </w:r>
      <w:r w:rsidRPr="00AB5B1B">
        <w:t xml:space="preserve">We </w:t>
      </w:r>
      <w:r>
        <w:t>also</w:t>
      </w:r>
      <w:r w:rsidRPr="00AB5B1B">
        <w:t xml:space="preserve"> work with </w:t>
      </w:r>
      <w:proofErr w:type="gramStart"/>
      <w:r w:rsidRPr="00AB5B1B">
        <w:t>Pacific</w:t>
      </w:r>
      <w:r>
        <w:t xml:space="preserve"> island</w:t>
      </w:r>
      <w:proofErr w:type="gramEnd"/>
      <w:r>
        <w:t xml:space="preserve"> countries and territories</w:t>
      </w:r>
      <w:r w:rsidRPr="00AB5B1B">
        <w:t xml:space="preserve"> to establish their maritime boundaries</w:t>
      </w:r>
      <w:r>
        <w:t xml:space="preserve"> </w:t>
      </w:r>
      <w:r w:rsidRPr="003A4316">
        <w:t>in line with our shared interest in security, prosperity and sovereignty</w:t>
      </w:r>
      <w:r>
        <w:t>.</w:t>
      </w:r>
    </w:p>
    <w:p w14:paraId="72D2E712" w14:textId="77777777" w:rsidR="00C640B0" w:rsidRPr="00074FB5" w:rsidRDefault="00C640B0" w:rsidP="00C640B0">
      <w:r>
        <w:t xml:space="preserve">Since June 2010, most of DFAT’s Pacific fisheries development assistance has been channelled through the </w:t>
      </w:r>
      <w:r w:rsidRPr="00C106AA">
        <w:rPr>
          <w:b/>
          <w:bCs/>
        </w:rPr>
        <w:t xml:space="preserve">Fisheries Development Assistance in the Pacific </w:t>
      </w:r>
      <w:r>
        <w:t>investment (</w:t>
      </w:r>
      <w:r w:rsidRPr="009D0308">
        <w:t>INJ201</w:t>
      </w:r>
      <w:r>
        <w:t xml:space="preserve">) (total value $132 million). When the investment was established in 2010 the </w:t>
      </w:r>
      <w:r>
        <w:rPr>
          <w:i/>
          <w:iCs/>
        </w:rPr>
        <w:t xml:space="preserve">Framework for a Pacific </w:t>
      </w:r>
      <w:proofErr w:type="spellStart"/>
      <w:r>
        <w:rPr>
          <w:i/>
          <w:iCs/>
        </w:rPr>
        <w:t>Oceanscape</w:t>
      </w:r>
      <w:proofErr w:type="spellEnd"/>
      <w:r>
        <w:rPr>
          <w:i/>
          <w:iCs/>
        </w:rPr>
        <w:t xml:space="preserve"> </w:t>
      </w:r>
      <w:r w:rsidRPr="00FC4D89">
        <w:t>was a</w:t>
      </w:r>
      <w:r>
        <w:t xml:space="preserve"> guiding framework for oceans work in the Pacific</w:t>
      </w:r>
      <w:r w:rsidRPr="005456E2">
        <w:t xml:space="preserve"> </w:t>
      </w:r>
      <w:r>
        <w:t>endorsed by Pacific Island Forum leaders. Several other key frameworks guiding Pacific fisheries development have been adopted by Pacific leaders since 2010 and are listed in the key documents section below. The aims of the investment at inception (as per the investment description) were to:</w:t>
      </w:r>
    </w:p>
    <w:p w14:paraId="1FF799D9" w14:textId="77777777" w:rsidR="00C640B0" w:rsidRDefault="00C640B0" w:rsidP="00821BD8">
      <w:pPr>
        <w:pStyle w:val="ListParagraph"/>
        <w:numPr>
          <w:ilvl w:val="0"/>
          <w:numId w:val="43"/>
        </w:numPr>
        <w:tabs>
          <w:tab w:val="clear" w:pos="7780"/>
        </w:tabs>
        <w:spacing w:after="60" w:line="259" w:lineRule="auto"/>
        <w:ind w:left="714" w:hanging="357"/>
        <w:contextualSpacing/>
      </w:pPr>
      <w:r>
        <w:t>I</w:t>
      </w:r>
      <w:r w:rsidRPr="00E94D53">
        <w:t>ncrease the contribution of fisheries to reducing poverty and achieving sustainable development by strengthening institutional frameworks, policies and plans, and fostering partnerships</w:t>
      </w:r>
    </w:p>
    <w:p w14:paraId="78D5DA7E" w14:textId="77777777" w:rsidR="00C640B0" w:rsidRDefault="00C640B0" w:rsidP="00821BD8">
      <w:pPr>
        <w:pStyle w:val="ListParagraph"/>
        <w:numPr>
          <w:ilvl w:val="0"/>
          <w:numId w:val="43"/>
        </w:numPr>
        <w:tabs>
          <w:tab w:val="clear" w:pos="7780"/>
        </w:tabs>
        <w:spacing w:after="60" w:line="259" w:lineRule="auto"/>
        <w:ind w:left="714" w:hanging="357"/>
        <w:contextualSpacing/>
      </w:pPr>
      <w:r>
        <w:t>E</w:t>
      </w:r>
      <w:r w:rsidRPr="00E94D53">
        <w:t>stablish jurisdictional rights and responsibilities over maritime zones by formalising maritime boundaries</w:t>
      </w:r>
    </w:p>
    <w:p w14:paraId="3F2C0A9C" w14:textId="77777777" w:rsidR="00C640B0" w:rsidRDefault="00C640B0" w:rsidP="00821BD8">
      <w:pPr>
        <w:pStyle w:val="ListParagraph"/>
        <w:numPr>
          <w:ilvl w:val="0"/>
          <w:numId w:val="43"/>
        </w:numPr>
        <w:tabs>
          <w:tab w:val="clear" w:pos="7780"/>
        </w:tabs>
        <w:spacing w:after="60" w:line="259" w:lineRule="auto"/>
        <w:ind w:left="714" w:hanging="357"/>
        <w:contextualSpacing/>
      </w:pPr>
      <w:r>
        <w:t>R</w:t>
      </w:r>
      <w:r w:rsidRPr="00E94D53">
        <w:t xml:space="preserve">eclaim stewardship of the ocean as core to Pacific Island livelihoods through integrated coastal resource management, marine spatial planning, and managing high seas resources and </w:t>
      </w:r>
      <w:proofErr w:type="gramStart"/>
      <w:r w:rsidRPr="00E94D53">
        <w:t>deep sea</w:t>
      </w:r>
      <w:proofErr w:type="gramEnd"/>
      <w:r w:rsidRPr="00E94D53">
        <w:t xml:space="preserve"> ecosystems</w:t>
      </w:r>
    </w:p>
    <w:p w14:paraId="179FDFCF" w14:textId="77777777" w:rsidR="00C640B0" w:rsidRDefault="00C640B0" w:rsidP="00821BD8">
      <w:pPr>
        <w:pStyle w:val="ListParagraph"/>
        <w:numPr>
          <w:ilvl w:val="0"/>
          <w:numId w:val="43"/>
        </w:numPr>
        <w:tabs>
          <w:tab w:val="clear" w:pos="7780"/>
        </w:tabs>
        <w:spacing w:after="160" w:line="259" w:lineRule="auto"/>
        <w:ind w:left="714" w:hanging="357"/>
        <w:contextualSpacing/>
      </w:pPr>
      <w:r>
        <w:t>S</w:t>
      </w:r>
      <w:r w:rsidRPr="00E94D53">
        <w:t>eek opportunities to adapt to, and mitigate, the impacts of climate change, climate variability, sea level rise, extreme events and environmental and economic change.</w:t>
      </w:r>
    </w:p>
    <w:p w14:paraId="6B59D992" w14:textId="35751098" w:rsidR="00C640B0" w:rsidRDefault="00C640B0" w:rsidP="00C640B0">
      <w:r>
        <w:t xml:space="preserve">A formal program logic was not created at inception, and since 2010 the activities have grown substantially in response to needs of the Pacific. A logic model (at </w:t>
      </w:r>
      <w:r w:rsidR="000F3351">
        <w:rPr>
          <w:b/>
          <w:bCs/>
        </w:rPr>
        <w:t>Annexe</w:t>
      </w:r>
      <w:r w:rsidRPr="00722216">
        <w:rPr>
          <w:b/>
          <w:bCs/>
        </w:rPr>
        <w:t xml:space="preserve"> 1</w:t>
      </w:r>
      <w:r>
        <w:t>) has been used for investment monitoring reporting since 2022. This identifies the investment goal that the</w:t>
      </w:r>
      <w:r w:rsidRPr="00916F0B">
        <w:t xml:space="preserve"> Pacific has secure access to sustainably managed ocean resources</w:t>
      </w:r>
      <w:r>
        <w:t xml:space="preserve">, which is achieved through four </w:t>
      </w:r>
      <w:proofErr w:type="gramStart"/>
      <w:r>
        <w:t>end</w:t>
      </w:r>
      <w:proofErr w:type="gramEnd"/>
      <w:r>
        <w:t xml:space="preserve"> of program outcomes:</w:t>
      </w:r>
    </w:p>
    <w:p w14:paraId="70FC99EA" w14:textId="77777777" w:rsidR="00C640B0" w:rsidRDefault="00C640B0" w:rsidP="00821BD8">
      <w:pPr>
        <w:pStyle w:val="ListParagraph"/>
        <w:numPr>
          <w:ilvl w:val="0"/>
          <w:numId w:val="47"/>
        </w:numPr>
        <w:tabs>
          <w:tab w:val="clear" w:pos="7780"/>
        </w:tabs>
        <w:spacing w:after="160" w:line="259" w:lineRule="auto"/>
        <w:contextualSpacing/>
      </w:pPr>
      <w:r w:rsidRPr="003676A7">
        <w:t>Pacific regional organisations provide adequate support to PICs to manage and develop their fisheries sustainably and cooperatively</w:t>
      </w:r>
    </w:p>
    <w:p w14:paraId="25A9AB28" w14:textId="77777777" w:rsidR="00C640B0" w:rsidRPr="00722216" w:rsidRDefault="00C640B0" w:rsidP="00821BD8">
      <w:pPr>
        <w:pStyle w:val="ListParagraph"/>
        <w:numPr>
          <w:ilvl w:val="0"/>
          <w:numId w:val="47"/>
        </w:numPr>
        <w:tabs>
          <w:tab w:val="clear" w:pos="7780"/>
        </w:tabs>
        <w:spacing w:after="160" w:line="259" w:lineRule="auto"/>
        <w:contextualSpacing/>
      </w:pPr>
      <w:r w:rsidRPr="00722216">
        <w:t>Pacific livelihoods are improved through access to sustainable coastal fisheries resources</w:t>
      </w:r>
    </w:p>
    <w:p w14:paraId="7917EED3" w14:textId="77777777" w:rsidR="00C640B0" w:rsidRPr="00722216" w:rsidRDefault="00C640B0" w:rsidP="00821BD8">
      <w:pPr>
        <w:pStyle w:val="ListParagraph"/>
        <w:numPr>
          <w:ilvl w:val="0"/>
          <w:numId w:val="47"/>
        </w:numPr>
        <w:tabs>
          <w:tab w:val="clear" w:pos="7780"/>
        </w:tabs>
        <w:spacing w:after="160" w:line="259" w:lineRule="auto"/>
        <w:contextualSpacing/>
      </w:pPr>
      <w:r w:rsidRPr="00722216">
        <w:lastRenderedPageBreak/>
        <w:t>IUU fishing is reduced through coordinated fisheries monitoring, control and surveillance activities</w:t>
      </w:r>
    </w:p>
    <w:p w14:paraId="263217EE" w14:textId="77777777" w:rsidR="00C640B0" w:rsidRDefault="00C640B0" w:rsidP="00821BD8">
      <w:pPr>
        <w:pStyle w:val="ListParagraph"/>
        <w:numPr>
          <w:ilvl w:val="0"/>
          <w:numId w:val="47"/>
        </w:numPr>
        <w:tabs>
          <w:tab w:val="clear" w:pos="7780"/>
        </w:tabs>
        <w:spacing w:after="160" w:line="259" w:lineRule="auto"/>
        <w:contextualSpacing/>
      </w:pPr>
      <w:r w:rsidRPr="00722216">
        <w:t xml:space="preserve">Maritime boundaries are secured and resilient to the effects of climate change </w:t>
      </w:r>
    </w:p>
    <w:p w14:paraId="6ACCC1ED" w14:textId="77777777" w:rsidR="00C640B0" w:rsidRDefault="00C640B0" w:rsidP="00C640B0">
      <w:r>
        <w:t xml:space="preserve">PFO has adopted these end-of-program outcomes for this investment for the purposes of the FIMR process. </w:t>
      </w:r>
    </w:p>
    <w:p w14:paraId="4C389157" w14:textId="4553A022" w:rsidR="00C640B0" w:rsidRDefault="00C640B0" w:rsidP="00C640B0">
      <w:r>
        <w:t xml:space="preserve">The investment has funded 51 separate Pacific fisheries-related agreements since 2010 (see themes in </w:t>
      </w:r>
      <w:r>
        <w:rPr>
          <w:b/>
          <w:bCs/>
        </w:rPr>
        <w:t>Table 1</w:t>
      </w:r>
      <w:r>
        <w:t xml:space="preserve">), with 70% of expenditure </w:t>
      </w:r>
      <w:proofErr w:type="gramStart"/>
      <w:r>
        <w:t>on  core</w:t>
      </w:r>
      <w:proofErr w:type="gramEnd"/>
      <w:r>
        <w:t xml:space="preserve"> and program funding for Pacific regional organisations (FFA and SPC </w:t>
      </w:r>
      <w:r w:rsidR="006B5558">
        <w:t>FAME</w:t>
      </w:r>
      <w:r>
        <w:t>) and 30% on project funding for coastal fisheries, maritime boundaries and IUU fishing. This approach and budget split has remained consistent over the life of the investment.</w:t>
      </w:r>
    </w:p>
    <w:p w14:paraId="312C9458" w14:textId="77777777" w:rsidR="00C640B0" w:rsidRPr="009F2B83" w:rsidRDefault="00C640B0" w:rsidP="00C640B0">
      <w:r>
        <w:rPr>
          <w:b/>
          <w:bCs/>
        </w:rPr>
        <w:t>Table 1 – Investment activities by theme</w:t>
      </w:r>
    </w:p>
    <w:tbl>
      <w:tblPr>
        <w:tblStyle w:val="GridTable1Light-Accent5"/>
        <w:tblW w:w="0" w:type="auto"/>
        <w:tblLook w:val="04A0" w:firstRow="1" w:lastRow="0" w:firstColumn="1" w:lastColumn="0" w:noHBand="0" w:noVBand="1"/>
      </w:tblPr>
      <w:tblGrid>
        <w:gridCol w:w="1413"/>
        <w:gridCol w:w="4819"/>
        <w:gridCol w:w="1002"/>
        <w:gridCol w:w="1791"/>
      </w:tblGrid>
      <w:tr w:rsidR="00C640B0" w14:paraId="71F2FDAD" w14:textId="77777777" w:rsidTr="00734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643B05D" w14:textId="77777777" w:rsidR="00C640B0" w:rsidRDefault="00C640B0" w:rsidP="0073437D">
            <w:r>
              <w:t>Theme</w:t>
            </w:r>
          </w:p>
        </w:tc>
        <w:tc>
          <w:tcPr>
            <w:tcW w:w="4819" w:type="dxa"/>
          </w:tcPr>
          <w:p w14:paraId="3DD1A2B2" w14:textId="77777777" w:rsidR="00C640B0" w:rsidRDefault="00C640B0" w:rsidP="0073437D">
            <w:pPr>
              <w:cnfStyle w:val="100000000000" w:firstRow="1" w:lastRow="0" w:firstColumn="0" w:lastColumn="0" w:oddVBand="0" w:evenVBand="0" w:oddHBand="0" w:evenHBand="0" w:firstRowFirstColumn="0" w:firstRowLastColumn="0" w:lastRowFirstColumn="0" w:lastRowLastColumn="0"/>
            </w:pPr>
            <w:r>
              <w:t>Description</w:t>
            </w:r>
          </w:p>
        </w:tc>
        <w:tc>
          <w:tcPr>
            <w:tcW w:w="993" w:type="dxa"/>
          </w:tcPr>
          <w:p w14:paraId="2E5B685F" w14:textId="77777777" w:rsidR="00C640B0" w:rsidRDefault="00C640B0" w:rsidP="0073437D">
            <w:pPr>
              <w:cnfStyle w:val="100000000000" w:firstRow="1" w:lastRow="0" w:firstColumn="0" w:lastColumn="0" w:oddVBand="0" w:evenVBand="0" w:oddHBand="0" w:evenHBand="0" w:firstRowFirstColumn="0" w:firstRowLastColumn="0" w:lastRowFirstColumn="0" w:lastRowLastColumn="0"/>
            </w:pPr>
            <w:r>
              <w:t>Value (AUD)</w:t>
            </w:r>
          </w:p>
        </w:tc>
        <w:tc>
          <w:tcPr>
            <w:tcW w:w="1791" w:type="dxa"/>
          </w:tcPr>
          <w:p w14:paraId="03BFD8F6" w14:textId="77777777" w:rsidR="00C640B0" w:rsidRDefault="00C640B0" w:rsidP="0073437D">
            <w:pPr>
              <w:cnfStyle w:val="100000000000" w:firstRow="1" w:lastRow="0" w:firstColumn="0" w:lastColumn="0" w:oddVBand="0" w:evenVBand="0" w:oddHBand="0" w:evenHBand="0" w:firstRowFirstColumn="0" w:firstRowLastColumn="0" w:lastRowFirstColumn="0" w:lastRowLastColumn="0"/>
            </w:pPr>
            <w:r>
              <w:t>% of investment value</w:t>
            </w:r>
          </w:p>
        </w:tc>
      </w:tr>
      <w:tr w:rsidR="00C640B0" w14:paraId="10712432" w14:textId="77777777" w:rsidTr="0073437D">
        <w:tc>
          <w:tcPr>
            <w:cnfStyle w:val="001000000000" w:firstRow="0" w:lastRow="0" w:firstColumn="1" w:lastColumn="0" w:oddVBand="0" w:evenVBand="0" w:oddHBand="0" w:evenHBand="0" w:firstRowFirstColumn="0" w:firstRowLastColumn="0" w:lastRowFirstColumn="0" w:lastRowLastColumn="0"/>
            <w:tcW w:w="1413" w:type="dxa"/>
          </w:tcPr>
          <w:p w14:paraId="11FACB6A" w14:textId="77777777" w:rsidR="00C640B0" w:rsidRDefault="00C640B0" w:rsidP="0073437D">
            <w:r>
              <w:t>FFA</w:t>
            </w:r>
          </w:p>
        </w:tc>
        <w:tc>
          <w:tcPr>
            <w:tcW w:w="4819" w:type="dxa"/>
          </w:tcPr>
          <w:p w14:paraId="5D5A54D5"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Core funding and corporate support to the Pacific Islands Forum Fisheries Agency (FFA)</w:t>
            </w:r>
          </w:p>
        </w:tc>
        <w:tc>
          <w:tcPr>
            <w:tcW w:w="993" w:type="dxa"/>
          </w:tcPr>
          <w:p w14:paraId="6D75597A"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$65.56m</w:t>
            </w:r>
          </w:p>
        </w:tc>
        <w:tc>
          <w:tcPr>
            <w:tcW w:w="1791" w:type="dxa"/>
          </w:tcPr>
          <w:p w14:paraId="49F67EF4"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51.28%</w:t>
            </w:r>
          </w:p>
        </w:tc>
      </w:tr>
      <w:tr w:rsidR="00C640B0" w14:paraId="02D74E39" w14:textId="77777777" w:rsidTr="0073437D">
        <w:tc>
          <w:tcPr>
            <w:cnfStyle w:val="001000000000" w:firstRow="0" w:lastRow="0" w:firstColumn="1" w:lastColumn="0" w:oddVBand="0" w:evenVBand="0" w:oddHBand="0" w:evenHBand="0" w:firstRowFirstColumn="0" w:firstRowLastColumn="0" w:lastRowFirstColumn="0" w:lastRowLastColumn="0"/>
            <w:tcW w:w="1413" w:type="dxa"/>
          </w:tcPr>
          <w:p w14:paraId="5F864590" w14:textId="278FBBFE" w:rsidR="00C640B0" w:rsidRDefault="00C640B0" w:rsidP="0073437D">
            <w:r>
              <w:t xml:space="preserve">SPC </w:t>
            </w:r>
            <w:r w:rsidR="006B5558">
              <w:t>FAME</w:t>
            </w:r>
          </w:p>
        </w:tc>
        <w:tc>
          <w:tcPr>
            <w:tcW w:w="4819" w:type="dxa"/>
          </w:tcPr>
          <w:p w14:paraId="3D279661" w14:textId="3B99F1B4" w:rsidR="00C640B0" w:rsidRDefault="00C640B0" w:rsidP="0073437D">
            <w:pPr>
              <w:cnfStyle w:val="000000000000" w:firstRow="0" w:lastRow="0" w:firstColumn="0" w:lastColumn="0" w:oddVBand="0" w:evenVBand="0" w:oddHBand="0" w:evenHBand="0" w:firstRowFirstColumn="0" w:firstRowLastColumn="0" w:lastRowFirstColumn="0" w:lastRowLastColumn="0"/>
            </w:pPr>
            <w:r>
              <w:t>Program funding and corporate support to SPC’s Fisheries, Aquaculture and Marine Ecosystems Division (</w:t>
            </w:r>
            <w:r w:rsidR="006B5558">
              <w:t>FAME</w:t>
            </w:r>
            <w:r>
              <w:t>)</w:t>
            </w:r>
          </w:p>
        </w:tc>
        <w:tc>
          <w:tcPr>
            <w:tcW w:w="993" w:type="dxa"/>
          </w:tcPr>
          <w:p w14:paraId="32C0E4C0"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$26.39m</w:t>
            </w:r>
          </w:p>
        </w:tc>
        <w:tc>
          <w:tcPr>
            <w:tcW w:w="1791" w:type="dxa"/>
          </w:tcPr>
          <w:p w14:paraId="2D14679A"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19.74%</w:t>
            </w:r>
          </w:p>
        </w:tc>
      </w:tr>
      <w:tr w:rsidR="00C640B0" w14:paraId="63AEA574" w14:textId="77777777" w:rsidTr="0073437D">
        <w:tc>
          <w:tcPr>
            <w:cnfStyle w:val="001000000000" w:firstRow="0" w:lastRow="0" w:firstColumn="1" w:lastColumn="0" w:oddVBand="0" w:evenVBand="0" w:oddHBand="0" w:evenHBand="0" w:firstRowFirstColumn="0" w:firstRowLastColumn="0" w:lastRowFirstColumn="0" w:lastRowLastColumn="0"/>
            <w:tcW w:w="1413" w:type="dxa"/>
          </w:tcPr>
          <w:p w14:paraId="18E09AEE" w14:textId="77777777" w:rsidR="00C640B0" w:rsidRDefault="00C640B0" w:rsidP="0073437D">
            <w:r>
              <w:t>Coastal Fisheries</w:t>
            </w:r>
          </w:p>
        </w:tc>
        <w:tc>
          <w:tcPr>
            <w:tcW w:w="4819" w:type="dxa"/>
          </w:tcPr>
          <w:p w14:paraId="7BA4551B"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Community-Based Fisheries Management in the Pacific (project with ACIAR and ANCORS)</w:t>
            </w:r>
          </w:p>
        </w:tc>
        <w:tc>
          <w:tcPr>
            <w:tcW w:w="993" w:type="dxa"/>
          </w:tcPr>
          <w:p w14:paraId="6A61E9F0"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$21.86m</w:t>
            </w:r>
          </w:p>
        </w:tc>
        <w:tc>
          <w:tcPr>
            <w:tcW w:w="1791" w:type="dxa"/>
          </w:tcPr>
          <w:p w14:paraId="49588337"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16.35%</w:t>
            </w:r>
          </w:p>
        </w:tc>
      </w:tr>
      <w:tr w:rsidR="00C640B0" w14:paraId="39435A1D" w14:textId="77777777" w:rsidTr="0073437D">
        <w:tc>
          <w:tcPr>
            <w:cnfStyle w:val="001000000000" w:firstRow="0" w:lastRow="0" w:firstColumn="1" w:lastColumn="0" w:oddVBand="0" w:evenVBand="0" w:oddHBand="0" w:evenHBand="0" w:firstRowFirstColumn="0" w:firstRowLastColumn="0" w:lastRowFirstColumn="0" w:lastRowLastColumn="0"/>
            <w:tcW w:w="1413" w:type="dxa"/>
          </w:tcPr>
          <w:p w14:paraId="3E0E3021" w14:textId="77777777" w:rsidR="00C640B0" w:rsidRDefault="00C640B0" w:rsidP="0073437D">
            <w:r>
              <w:t>IUU Fishing</w:t>
            </w:r>
          </w:p>
        </w:tc>
        <w:tc>
          <w:tcPr>
            <w:tcW w:w="4819" w:type="dxa"/>
          </w:tcPr>
          <w:p w14:paraId="4159256D"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Support to address illegal, unreported and unregulated fishing through the FFA and Australian Fisheries Management Authority (AFMA)</w:t>
            </w:r>
          </w:p>
        </w:tc>
        <w:tc>
          <w:tcPr>
            <w:tcW w:w="993" w:type="dxa"/>
          </w:tcPr>
          <w:p w14:paraId="13FD8C5C"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$7.84m</w:t>
            </w:r>
          </w:p>
        </w:tc>
        <w:tc>
          <w:tcPr>
            <w:tcW w:w="1791" w:type="dxa"/>
          </w:tcPr>
          <w:p w14:paraId="00FE5D06"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5.86%</w:t>
            </w:r>
          </w:p>
        </w:tc>
      </w:tr>
      <w:tr w:rsidR="00C640B0" w14:paraId="4E73CE39" w14:textId="77777777" w:rsidTr="0073437D">
        <w:tc>
          <w:tcPr>
            <w:cnfStyle w:val="001000000000" w:firstRow="0" w:lastRow="0" w:firstColumn="1" w:lastColumn="0" w:oddVBand="0" w:evenVBand="0" w:oddHBand="0" w:evenHBand="0" w:firstRowFirstColumn="0" w:firstRowLastColumn="0" w:lastRowFirstColumn="0" w:lastRowLastColumn="0"/>
            <w:tcW w:w="1413" w:type="dxa"/>
          </w:tcPr>
          <w:p w14:paraId="67E4E772" w14:textId="77777777" w:rsidR="00C640B0" w:rsidRDefault="00C640B0" w:rsidP="0073437D">
            <w:r>
              <w:t>Maritime Boundaries</w:t>
            </w:r>
          </w:p>
        </w:tc>
        <w:tc>
          <w:tcPr>
            <w:tcW w:w="4819" w:type="dxa"/>
          </w:tcPr>
          <w:p w14:paraId="538FEEB5"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Support for SPC’s maritime boundaries project (continued under investment INN614 from 2020)</w:t>
            </w:r>
          </w:p>
        </w:tc>
        <w:tc>
          <w:tcPr>
            <w:tcW w:w="993" w:type="dxa"/>
          </w:tcPr>
          <w:p w14:paraId="53C57DFA"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$5.09m</w:t>
            </w:r>
          </w:p>
        </w:tc>
        <w:tc>
          <w:tcPr>
            <w:tcW w:w="1791" w:type="dxa"/>
          </w:tcPr>
          <w:p w14:paraId="5A7ED30F"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3.81%</w:t>
            </w:r>
          </w:p>
        </w:tc>
      </w:tr>
      <w:tr w:rsidR="00C640B0" w14:paraId="1659ADDB" w14:textId="77777777" w:rsidTr="0073437D">
        <w:tc>
          <w:tcPr>
            <w:cnfStyle w:val="001000000000" w:firstRow="0" w:lastRow="0" w:firstColumn="1" w:lastColumn="0" w:oddVBand="0" w:evenVBand="0" w:oddHBand="0" w:evenHBand="0" w:firstRowFirstColumn="0" w:firstRowLastColumn="0" w:lastRowFirstColumn="0" w:lastRowLastColumn="0"/>
            <w:tcW w:w="1413" w:type="dxa"/>
          </w:tcPr>
          <w:p w14:paraId="4BBB5080" w14:textId="77777777" w:rsidR="00C640B0" w:rsidRDefault="00C640B0" w:rsidP="0073437D">
            <w:r>
              <w:t>Oceans</w:t>
            </w:r>
          </w:p>
        </w:tc>
        <w:tc>
          <w:tcPr>
            <w:tcW w:w="4819" w:type="dxa"/>
          </w:tcPr>
          <w:p w14:paraId="6C0C18A3"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Funding for the Office of the Pacific Ocean Commissioner and Pacific travel to UN meetings (work transferred to a different team from 2022)</w:t>
            </w:r>
          </w:p>
        </w:tc>
        <w:tc>
          <w:tcPr>
            <w:tcW w:w="993" w:type="dxa"/>
          </w:tcPr>
          <w:p w14:paraId="271A12C3"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$2.74m</w:t>
            </w:r>
          </w:p>
        </w:tc>
        <w:tc>
          <w:tcPr>
            <w:tcW w:w="1791" w:type="dxa"/>
          </w:tcPr>
          <w:p w14:paraId="2E4E8BE5"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2.05%</w:t>
            </w:r>
          </w:p>
        </w:tc>
      </w:tr>
      <w:tr w:rsidR="00C640B0" w14:paraId="6D0B92C9" w14:textId="77777777" w:rsidTr="00D224DA">
        <w:trPr>
          <w:trHeight w:val="925"/>
        </w:trPr>
        <w:tc>
          <w:tcPr>
            <w:cnfStyle w:val="001000000000" w:firstRow="0" w:lastRow="0" w:firstColumn="1" w:lastColumn="0" w:oddVBand="0" w:evenVBand="0" w:oddHBand="0" w:evenHBand="0" w:firstRowFirstColumn="0" w:firstRowLastColumn="0" w:lastRowFirstColumn="0" w:lastRowLastColumn="0"/>
            <w:tcW w:w="1413" w:type="dxa"/>
          </w:tcPr>
          <w:p w14:paraId="096F5FFC" w14:textId="77777777" w:rsidR="00C640B0" w:rsidRPr="002E4D38" w:rsidRDefault="00C640B0" w:rsidP="0073437D">
            <w:pPr>
              <w:rPr>
                <w:b w:val="0"/>
                <w:bCs w:val="0"/>
              </w:rPr>
            </w:pPr>
            <w:r>
              <w:t>Indian Ocean</w:t>
            </w:r>
          </w:p>
        </w:tc>
        <w:tc>
          <w:tcPr>
            <w:tcW w:w="4819" w:type="dxa"/>
          </w:tcPr>
          <w:p w14:paraId="10C20D95" w14:textId="77777777" w:rsidR="00C640B0" w:rsidRPr="00397344" w:rsidRDefault="00C640B0" w:rsidP="0073437D">
            <w:pPr>
              <w:cnfStyle w:val="000000000000" w:firstRow="0" w:lastRow="0" w:firstColumn="0" w:lastColumn="0" w:oddVBand="0" w:evenVBand="0" w:oddHBand="0" w:evenHBand="0" w:firstRowFirstColumn="0" w:firstRowLastColumn="0" w:lastRowFirstColumn="0" w:lastRowLastColumn="0"/>
              <w:rPr>
                <w:i/>
                <w:iCs/>
              </w:rPr>
            </w:pPr>
            <w:r>
              <w:t>Funding for DAFF and CSIRO to undertake Indian Ocean work (until 2016)</w:t>
            </w:r>
            <w:r>
              <w:rPr>
                <w:i/>
                <w:iCs/>
              </w:rPr>
              <w:t xml:space="preserve"> </w:t>
            </w:r>
            <w:r w:rsidRPr="00397344">
              <w:rPr>
                <w:i/>
                <w:iCs/>
              </w:rPr>
              <w:t>[</w:t>
            </w:r>
            <w:r>
              <w:rPr>
                <w:i/>
                <w:iCs/>
              </w:rPr>
              <w:t>o</w:t>
            </w:r>
            <w:r w:rsidRPr="00397344">
              <w:rPr>
                <w:i/>
                <w:iCs/>
              </w:rPr>
              <w:t xml:space="preserve">ut of scope </w:t>
            </w:r>
            <w:r>
              <w:rPr>
                <w:i/>
                <w:iCs/>
              </w:rPr>
              <w:t>for</w:t>
            </w:r>
            <w:r w:rsidRPr="00397344">
              <w:rPr>
                <w:i/>
                <w:iCs/>
              </w:rPr>
              <w:t xml:space="preserve"> th</w:t>
            </w:r>
            <w:r>
              <w:rPr>
                <w:i/>
                <w:iCs/>
              </w:rPr>
              <w:t>is</w:t>
            </w:r>
            <w:r w:rsidRPr="00397344">
              <w:rPr>
                <w:i/>
                <w:iCs/>
              </w:rPr>
              <w:t xml:space="preserve"> evaluation]</w:t>
            </w:r>
          </w:p>
        </w:tc>
        <w:tc>
          <w:tcPr>
            <w:tcW w:w="993" w:type="dxa"/>
          </w:tcPr>
          <w:p w14:paraId="7F8FC818"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$0.45m</w:t>
            </w:r>
          </w:p>
        </w:tc>
        <w:tc>
          <w:tcPr>
            <w:tcW w:w="1791" w:type="dxa"/>
          </w:tcPr>
          <w:p w14:paraId="49FC3F0C" w14:textId="77777777" w:rsidR="00C640B0" w:rsidRDefault="00C640B0" w:rsidP="0073437D">
            <w:pPr>
              <w:tabs>
                <w:tab w:val="center" w:pos="1019"/>
              </w:tabs>
              <w:cnfStyle w:val="000000000000" w:firstRow="0" w:lastRow="0" w:firstColumn="0" w:lastColumn="0" w:oddVBand="0" w:evenVBand="0" w:oddHBand="0" w:evenHBand="0" w:firstRowFirstColumn="0" w:firstRowLastColumn="0" w:lastRowFirstColumn="0" w:lastRowLastColumn="0"/>
            </w:pPr>
            <w:r>
              <w:t>0.34%</w:t>
            </w:r>
          </w:p>
        </w:tc>
      </w:tr>
      <w:tr w:rsidR="00C640B0" w14:paraId="2578CB6A" w14:textId="77777777" w:rsidTr="0073437D">
        <w:tc>
          <w:tcPr>
            <w:cnfStyle w:val="001000000000" w:firstRow="0" w:lastRow="0" w:firstColumn="1" w:lastColumn="0" w:oddVBand="0" w:evenVBand="0" w:oddHBand="0" w:evenHBand="0" w:firstRowFirstColumn="0" w:firstRowLastColumn="0" w:lastRowFirstColumn="0" w:lastRowLastColumn="0"/>
            <w:tcW w:w="1413" w:type="dxa"/>
          </w:tcPr>
          <w:p w14:paraId="700B2AA5" w14:textId="77777777" w:rsidR="00C640B0" w:rsidRDefault="00C640B0" w:rsidP="0073437D">
            <w:r>
              <w:t>WCPFC</w:t>
            </w:r>
          </w:p>
        </w:tc>
        <w:tc>
          <w:tcPr>
            <w:tcW w:w="4819" w:type="dxa"/>
          </w:tcPr>
          <w:p w14:paraId="776FDF12"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 xml:space="preserve">Australia’s voluntary contributions towards the Western and Central Pacific Fisheries Commission </w:t>
            </w:r>
          </w:p>
        </w:tc>
        <w:tc>
          <w:tcPr>
            <w:tcW w:w="993" w:type="dxa"/>
          </w:tcPr>
          <w:p w14:paraId="19CD9B5F"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$0.32m</w:t>
            </w:r>
          </w:p>
        </w:tc>
        <w:tc>
          <w:tcPr>
            <w:tcW w:w="1791" w:type="dxa"/>
          </w:tcPr>
          <w:p w14:paraId="7FCE394A"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0.24%</w:t>
            </w:r>
          </w:p>
        </w:tc>
      </w:tr>
      <w:tr w:rsidR="00C640B0" w14:paraId="12AE61F4" w14:textId="77777777" w:rsidTr="0073437D">
        <w:tc>
          <w:tcPr>
            <w:cnfStyle w:val="001000000000" w:firstRow="0" w:lastRow="0" w:firstColumn="1" w:lastColumn="0" w:oddVBand="0" w:evenVBand="0" w:oddHBand="0" w:evenHBand="0" w:firstRowFirstColumn="0" w:firstRowLastColumn="0" w:lastRowFirstColumn="0" w:lastRowLastColumn="0"/>
            <w:tcW w:w="1413" w:type="dxa"/>
          </w:tcPr>
          <w:p w14:paraId="26205AFB" w14:textId="77777777" w:rsidR="00C640B0" w:rsidRDefault="00C640B0" w:rsidP="0073437D">
            <w:r>
              <w:t>Other</w:t>
            </w:r>
          </w:p>
        </w:tc>
        <w:tc>
          <w:tcPr>
            <w:tcW w:w="4819" w:type="dxa"/>
          </w:tcPr>
          <w:p w14:paraId="424F0EDF"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Fisheries Graduate Certificate course and strengthening capacity to address modern slavery in Pacific fisheries</w:t>
            </w:r>
          </w:p>
        </w:tc>
        <w:tc>
          <w:tcPr>
            <w:tcW w:w="993" w:type="dxa"/>
          </w:tcPr>
          <w:p w14:paraId="6DFA69FC"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$0.45m</w:t>
            </w:r>
          </w:p>
        </w:tc>
        <w:tc>
          <w:tcPr>
            <w:tcW w:w="1791" w:type="dxa"/>
          </w:tcPr>
          <w:p w14:paraId="3AC0D4BE"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0.33%</w:t>
            </w:r>
          </w:p>
        </w:tc>
      </w:tr>
    </w:tbl>
    <w:p w14:paraId="46F09AD1" w14:textId="1FED542C" w:rsidR="00C640B0" w:rsidRDefault="00C640B0" w:rsidP="00C640B0">
      <w:r>
        <w:br/>
        <w:t>At least seven</w:t>
      </w:r>
      <w:r w:rsidRPr="00194197">
        <w:t xml:space="preserve"> independent evaluations have been commissioned for </w:t>
      </w:r>
      <w:r>
        <w:t xml:space="preserve">the investment by DFAT (see </w:t>
      </w:r>
      <w:r>
        <w:rPr>
          <w:b/>
          <w:bCs/>
        </w:rPr>
        <w:t>Table 2</w:t>
      </w:r>
      <w:r>
        <w:t xml:space="preserve">). The findings of these evaluations have been used to inform and improve the quality of DFAT’s Pacific fisheries programs, as outlined in the management responses (available at the links provided). While evaluations have been commissioned for DFAT’s support to SPC </w:t>
      </w:r>
      <w:r w:rsidR="006B5558">
        <w:t>FAME</w:t>
      </w:r>
      <w:r>
        <w:t>, community-based fisheries management, IUU fishing and maritime boundaries, there has been no DFAT-commissioned review of our funding to FFA over this time.</w:t>
      </w:r>
    </w:p>
    <w:p w14:paraId="17702137" w14:textId="77777777" w:rsidR="00C640B0" w:rsidRDefault="00C640B0" w:rsidP="00C640B0">
      <w:pPr>
        <w:rPr>
          <w:b/>
          <w:bCs/>
        </w:rPr>
      </w:pPr>
      <w:r>
        <w:rPr>
          <w:b/>
          <w:bCs/>
        </w:rPr>
        <w:t>Table 2 – List of evaluations</w:t>
      </w:r>
    </w:p>
    <w:tbl>
      <w:tblPr>
        <w:tblStyle w:val="GridTable1Light-Accent1"/>
        <w:tblW w:w="0" w:type="auto"/>
        <w:tblLook w:val="04A0" w:firstRow="1" w:lastRow="0" w:firstColumn="1" w:lastColumn="0" w:noHBand="0" w:noVBand="1"/>
      </w:tblPr>
      <w:tblGrid>
        <w:gridCol w:w="846"/>
        <w:gridCol w:w="7513"/>
        <w:gridCol w:w="657"/>
      </w:tblGrid>
      <w:tr w:rsidR="00C640B0" w14:paraId="0A3D2AB1" w14:textId="77777777" w:rsidTr="00734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43B6F3ED" w14:textId="77777777" w:rsidR="00C640B0" w:rsidRDefault="00C640B0" w:rsidP="0073437D">
            <w:r>
              <w:t>Year</w:t>
            </w:r>
          </w:p>
        </w:tc>
        <w:tc>
          <w:tcPr>
            <w:tcW w:w="7513" w:type="dxa"/>
          </w:tcPr>
          <w:p w14:paraId="5CB8A6BC" w14:textId="77777777" w:rsidR="00C640B0" w:rsidRDefault="00C640B0" w:rsidP="0073437D">
            <w:pPr>
              <w:cnfStyle w:val="100000000000" w:firstRow="1" w:lastRow="0" w:firstColumn="0" w:lastColumn="0" w:oddVBand="0" w:evenVBand="0" w:oddHBand="0" w:evenHBand="0" w:firstRowFirstColumn="0" w:firstRowLastColumn="0" w:lastRowFirstColumn="0" w:lastRowLastColumn="0"/>
            </w:pPr>
            <w:r>
              <w:t>Title</w:t>
            </w:r>
          </w:p>
        </w:tc>
        <w:tc>
          <w:tcPr>
            <w:tcW w:w="657" w:type="dxa"/>
          </w:tcPr>
          <w:p w14:paraId="32E159C2" w14:textId="77777777" w:rsidR="00C640B0" w:rsidRDefault="00C640B0" w:rsidP="0073437D">
            <w:pPr>
              <w:cnfStyle w:val="100000000000" w:firstRow="1" w:lastRow="0" w:firstColumn="0" w:lastColumn="0" w:oddVBand="0" w:evenVBand="0" w:oddHBand="0" w:evenHBand="0" w:firstRowFirstColumn="0" w:firstRowLastColumn="0" w:lastRowFirstColumn="0" w:lastRowLastColumn="0"/>
            </w:pPr>
            <w:r>
              <w:t>Link</w:t>
            </w:r>
          </w:p>
        </w:tc>
      </w:tr>
      <w:tr w:rsidR="00C640B0" w14:paraId="3A802764" w14:textId="77777777" w:rsidTr="0073437D">
        <w:tc>
          <w:tcPr>
            <w:cnfStyle w:val="001000000000" w:firstRow="0" w:lastRow="0" w:firstColumn="1" w:lastColumn="0" w:oddVBand="0" w:evenVBand="0" w:oddHBand="0" w:evenHBand="0" w:firstRowFirstColumn="0" w:firstRowLastColumn="0" w:lastRowFirstColumn="0" w:lastRowLastColumn="0"/>
            <w:tcW w:w="846" w:type="dxa"/>
          </w:tcPr>
          <w:p w14:paraId="679B7927" w14:textId="77777777" w:rsidR="00C640B0" w:rsidRDefault="00C640B0" w:rsidP="0073437D">
            <w:r>
              <w:t>2015</w:t>
            </w:r>
          </w:p>
        </w:tc>
        <w:tc>
          <w:tcPr>
            <w:tcW w:w="7513" w:type="dxa"/>
          </w:tcPr>
          <w:p w14:paraId="5283B77E"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Improving Community-based Fisheries Management in Pacific Countries Program [Phase 1]: Mid-Term Review</w:t>
            </w:r>
          </w:p>
        </w:tc>
        <w:tc>
          <w:tcPr>
            <w:tcW w:w="657" w:type="dxa"/>
          </w:tcPr>
          <w:p w14:paraId="22232CF3"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hyperlink r:id="rId53" w:history="1">
              <w:r w:rsidRPr="00CE0809">
                <w:rPr>
                  <w:rStyle w:val="Hyperlink"/>
                </w:rPr>
                <w:t>Link</w:t>
              </w:r>
            </w:hyperlink>
          </w:p>
        </w:tc>
      </w:tr>
      <w:tr w:rsidR="00C640B0" w14:paraId="543F196C" w14:textId="77777777" w:rsidTr="0073437D">
        <w:tc>
          <w:tcPr>
            <w:cnfStyle w:val="001000000000" w:firstRow="0" w:lastRow="0" w:firstColumn="1" w:lastColumn="0" w:oddVBand="0" w:evenVBand="0" w:oddHBand="0" w:evenHBand="0" w:firstRowFirstColumn="0" w:firstRowLastColumn="0" w:lastRowFirstColumn="0" w:lastRowLastColumn="0"/>
            <w:tcW w:w="846" w:type="dxa"/>
          </w:tcPr>
          <w:p w14:paraId="6173FB3F" w14:textId="77777777" w:rsidR="00C640B0" w:rsidRDefault="00C640B0" w:rsidP="0073437D">
            <w:r>
              <w:t>2019</w:t>
            </w:r>
          </w:p>
        </w:tc>
        <w:tc>
          <w:tcPr>
            <w:tcW w:w="7513" w:type="dxa"/>
          </w:tcPr>
          <w:p w14:paraId="397A8A83"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Improving Community-based Fisheries Management in the Pacific [Phase 2]: Mid-Term Review</w:t>
            </w:r>
          </w:p>
        </w:tc>
        <w:tc>
          <w:tcPr>
            <w:tcW w:w="657" w:type="dxa"/>
          </w:tcPr>
          <w:p w14:paraId="2D208946"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hyperlink r:id="rId54" w:history="1">
              <w:r w:rsidRPr="00154271">
                <w:rPr>
                  <w:rStyle w:val="Hyperlink"/>
                </w:rPr>
                <w:t>Link</w:t>
              </w:r>
            </w:hyperlink>
          </w:p>
        </w:tc>
      </w:tr>
      <w:tr w:rsidR="00C640B0" w14:paraId="737A2E01" w14:textId="77777777" w:rsidTr="0073437D">
        <w:tc>
          <w:tcPr>
            <w:cnfStyle w:val="001000000000" w:firstRow="0" w:lastRow="0" w:firstColumn="1" w:lastColumn="0" w:oddVBand="0" w:evenVBand="0" w:oddHBand="0" w:evenHBand="0" w:firstRowFirstColumn="0" w:firstRowLastColumn="0" w:lastRowFirstColumn="0" w:lastRowLastColumn="0"/>
            <w:tcW w:w="846" w:type="dxa"/>
          </w:tcPr>
          <w:p w14:paraId="13BF19A8" w14:textId="77777777" w:rsidR="00C640B0" w:rsidRDefault="00C640B0" w:rsidP="0073437D">
            <w:r>
              <w:t>2020</w:t>
            </w:r>
          </w:p>
        </w:tc>
        <w:tc>
          <w:tcPr>
            <w:tcW w:w="7513" w:type="dxa"/>
          </w:tcPr>
          <w:p w14:paraId="2547F835"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Office of the Pacific Ocean Commissioner Evaluation</w:t>
            </w:r>
          </w:p>
        </w:tc>
        <w:tc>
          <w:tcPr>
            <w:tcW w:w="657" w:type="dxa"/>
          </w:tcPr>
          <w:p w14:paraId="5509C93E"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hyperlink r:id="rId55" w:history="1">
              <w:r w:rsidRPr="00141DE7">
                <w:rPr>
                  <w:rStyle w:val="Hyperlink"/>
                </w:rPr>
                <w:t>Link</w:t>
              </w:r>
            </w:hyperlink>
          </w:p>
        </w:tc>
      </w:tr>
      <w:tr w:rsidR="00C640B0" w14:paraId="3AC8A781" w14:textId="77777777" w:rsidTr="0073437D">
        <w:tc>
          <w:tcPr>
            <w:cnfStyle w:val="001000000000" w:firstRow="0" w:lastRow="0" w:firstColumn="1" w:lastColumn="0" w:oddVBand="0" w:evenVBand="0" w:oddHBand="0" w:evenHBand="0" w:firstRowFirstColumn="0" w:firstRowLastColumn="0" w:lastRowFirstColumn="0" w:lastRowLastColumn="0"/>
            <w:tcW w:w="846" w:type="dxa"/>
          </w:tcPr>
          <w:p w14:paraId="3143DE71" w14:textId="77777777" w:rsidR="00C640B0" w:rsidRDefault="00C640B0" w:rsidP="0073437D">
            <w:r>
              <w:t>2020</w:t>
            </w:r>
          </w:p>
        </w:tc>
        <w:tc>
          <w:tcPr>
            <w:tcW w:w="7513" w:type="dxa"/>
          </w:tcPr>
          <w:p w14:paraId="13B9551E"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Pacific Maritime Boundaries – End of Investment Evaluation</w:t>
            </w:r>
          </w:p>
        </w:tc>
        <w:tc>
          <w:tcPr>
            <w:tcW w:w="657" w:type="dxa"/>
          </w:tcPr>
          <w:p w14:paraId="48031EFD"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hyperlink r:id="rId56" w:history="1">
              <w:r w:rsidRPr="00F86C11">
                <w:rPr>
                  <w:rStyle w:val="Hyperlink"/>
                </w:rPr>
                <w:t>Link</w:t>
              </w:r>
            </w:hyperlink>
          </w:p>
        </w:tc>
      </w:tr>
      <w:tr w:rsidR="00C640B0" w14:paraId="2B99E761" w14:textId="77777777" w:rsidTr="0073437D">
        <w:tc>
          <w:tcPr>
            <w:cnfStyle w:val="001000000000" w:firstRow="0" w:lastRow="0" w:firstColumn="1" w:lastColumn="0" w:oddVBand="0" w:evenVBand="0" w:oddHBand="0" w:evenHBand="0" w:firstRowFirstColumn="0" w:firstRowLastColumn="0" w:lastRowFirstColumn="0" w:lastRowLastColumn="0"/>
            <w:tcW w:w="846" w:type="dxa"/>
          </w:tcPr>
          <w:p w14:paraId="3ECEC04D" w14:textId="77777777" w:rsidR="00C640B0" w:rsidRDefault="00C640B0" w:rsidP="0073437D">
            <w:r>
              <w:t>2022</w:t>
            </w:r>
          </w:p>
        </w:tc>
        <w:tc>
          <w:tcPr>
            <w:tcW w:w="7513" w:type="dxa"/>
          </w:tcPr>
          <w:p w14:paraId="1CB42BE8"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Pacific Illegal, Unreported and Unregulated (IUU) Fishing: End of Investment Evaluation</w:t>
            </w:r>
          </w:p>
        </w:tc>
        <w:tc>
          <w:tcPr>
            <w:tcW w:w="657" w:type="dxa"/>
          </w:tcPr>
          <w:p w14:paraId="47052644"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hyperlink r:id="rId57" w:history="1">
              <w:r w:rsidRPr="009A08D9">
                <w:rPr>
                  <w:rStyle w:val="Hyperlink"/>
                </w:rPr>
                <w:t>Link</w:t>
              </w:r>
            </w:hyperlink>
          </w:p>
        </w:tc>
      </w:tr>
      <w:tr w:rsidR="00C640B0" w14:paraId="1E54983E" w14:textId="77777777" w:rsidTr="0073437D">
        <w:tc>
          <w:tcPr>
            <w:cnfStyle w:val="001000000000" w:firstRow="0" w:lastRow="0" w:firstColumn="1" w:lastColumn="0" w:oddVBand="0" w:evenVBand="0" w:oddHBand="0" w:evenHBand="0" w:firstRowFirstColumn="0" w:firstRowLastColumn="0" w:lastRowFirstColumn="0" w:lastRowLastColumn="0"/>
            <w:tcW w:w="846" w:type="dxa"/>
          </w:tcPr>
          <w:p w14:paraId="4A4E4490" w14:textId="77777777" w:rsidR="00C640B0" w:rsidRDefault="00C640B0" w:rsidP="0073437D">
            <w:r>
              <w:lastRenderedPageBreak/>
              <w:t>2023</w:t>
            </w:r>
          </w:p>
        </w:tc>
        <w:tc>
          <w:tcPr>
            <w:tcW w:w="7513" w:type="dxa"/>
          </w:tcPr>
          <w:p w14:paraId="37A9175D" w14:textId="46FBE13B" w:rsidR="00C640B0" w:rsidRDefault="00C640B0" w:rsidP="0073437D">
            <w:pPr>
              <w:cnfStyle w:val="000000000000" w:firstRow="0" w:lastRow="0" w:firstColumn="0" w:lastColumn="0" w:oddVBand="0" w:evenVBand="0" w:oddHBand="0" w:evenHBand="0" w:firstRowFirstColumn="0" w:firstRowLastColumn="0" w:lastRowFirstColumn="0" w:lastRowLastColumn="0"/>
            </w:pPr>
            <w:r w:rsidRPr="00317804">
              <w:t xml:space="preserve">Pacific Community’s Fisheries, Aquaculture and Marine Ecosystems Division (SPC </w:t>
            </w:r>
            <w:r w:rsidR="006B5558">
              <w:t>FAME</w:t>
            </w:r>
            <w:r w:rsidRPr="00317804">
              <w:t>)</w:t>
            </w:r>
            <w:r>
              <w:t>: Evaluation of DFAT Funding Support</w:t>
            </w:r>
          </w:p>
        </w:tc>
        <w:tc>
          <w:tcPr>
            <w:tcW w:w="657" w:type="dxa"/>
          </w:tcPr>
          <w:p w14:paraId="6CF21676"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hyperlink r:id="rId58" w:history="1">
              <w:r w:rsidRPr="006B5AA9">
                <w:rPr>
                  <w:rStyle w:val="Hyperlink"/>
                </w:rPr>
                <w:t>Link</w:t>
              </w:r>
            </w:hyperlink>
          </w:p>
        </w:tc>
      </w:tr>
      <w:tr w:rsidR="00C640B0" w14:paraId="20FA4804" w14:textId="77777777" w:rsidTr="0073437D">
        <w:tc>
          <w:tcPr>
            <w:cnfStyle w:val="001000000000" w:firstRow="0" w:lastRow="0" w:firstColumn="1" w:lastColumn="0" w:oddVBand="0" w:evenVBand="0" w:oddHBand="0" w:evenHBand="0" w:firstRowFirstColumn="0" w:firstRowLastColumn="0" w:lastRowFirstColumn="0" w:lastRowLastColumn="0"/>
            <w:tcW w:w="846" w:type="dxa"/>
          </w:tcPr>
          <w:p w14:paraId="2E61413D" w14:textId="77777777" w:rsidR="00C640B0" w:rsidRDefault="00C640B0" w:rsidP="0073437D">
            <w:r>
              <w:t>2024</w:t>
            </w:r>
          </w:p>
        </w:tc>
        <w:tc>
          <w:tcPr>
            <w:tcW w:w="7513" w:type="dxa"/>
          </w:tcPr>
          <w:p w14:paraId="64109C45"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Coalitions for change in sustainable national CBFM programs in the Pacific [CBFM Phase 2]: Mid-term review report</w:t>
            </w:r>
          </w:p>
        </w:tc>
        <w:tc>
          <w:tcPr>
            <w:tcW w:w="657" w:type="dxa"/>
          </w:tcPr>
          <w:p w14:paraId="6C47FE79" w14:textId="77777777" w:rsidR="00C640B0" w:rsidRDefault="00C640B0" w:rsidP="0073437D">
            <w:pPr>
              <w:cnfStyle w:val="000000000000" w:firstRow="0" w:lastRow="0" w:firstColumn="0" w:lastColumn="0" w:oddVBand="0" w:evenVBand="0" w:oddHBand="0" w:evenHBand="0" w:firstRowFirstColumn="0" w:firstRowLastColumn="0" w:lastRowFirstColumn="0" w:lastRowLastColumn="0"/>
            </w:pPr>
            <w:r>
              <w:t>N/A</w:t>
            </w:r>
          </w:p>
        </w:tc>
      </w:tr>
    </w:tbl>
    <w:p w14:paraId="3CA99633" w14:textId="77777777" w:rsidR="00C640B0" w:rsidRDefault="00C640B0" w:rsidP="00C640B0"/>
    <w:p w14:paraId="50F3E6B6" w14:textId="77777777" w:rsidR="00C640B0" w:rsidRDefault="00C640B0" w:rsidP="00C640B0">
      <w:pPr>
        <w:rPr>
          <w:b/>
          <w:bCs/>
          <w:sz w:val="24"/>
          <w:szCs w:val="24"/>
        </w:rPr>
      </w:pPr>
      <w:r w:rsidRPr="00503F39">
        <w:rPr>
          <w:b/>
          <w:bCs/>
          <w:sz w:val="24"/>
          <w:szCs w:val="24"/>
        </w:rPr>
        <w:t>Key evaluation questions and evaluation scope</w:t>
      </w:r>
    </w:p>
    <w:p w14:paraId="37E6B932" w14:textId="77777777" w:rsidR="00C640B0" w:rsidRDefault="00C640B0" w:rsidP="00C640B0">
      <w:r>
        <w:t xml:space="preserve">The evaluation should respond to the following key evaluation questions and sub-questions with a credible evidence base. The evaluation questions below will be refined in consultation with the evaluation team during the preparation of the evaluation plan.  </w:t>
      </w:r>
    </w:p>
    <w:p w14:paraId="295B8E47" w14:textId="3B4A37A7" w:rsidR="00C640B0" w:rsidRDefault="00C640B0" w:rsidP="00C640B0">
      <w:r>
        <w:t xml:space="preserve">The evaluation’s primary data collection should </w:t>
      </w:r>
      <w:proofErr w:type="gramStart"/>
      <w:r>
        <w:t>focus  on</w:t>
      </w:r>
      <w:proofErr w:type="gramEnd"/>
      <w:r>
        <w:t xml:space="preserve"> FFA activities (accounting for 51% of the total investment value). Independent evaluations have been conducted for DFAT’s support for SPC </w:t>
      </w:r>
      <w:r w:rsidR="006B5558">
        <w:t>FAME</w:t>
      </w:r>
      <w:r>
        <w:t xml:space="preserve">, coastal fisheries and IUU fishing and the evaluation team should synthesise the findings of these to support the findings and recommendations for this evaluation of the </w:t>
      </w:r>
      <w:proofErr w:type="gramStart"/>
      <w:r>
        <w:t>investment as a whole</w:t>
      </w:r>
      <w:proofErr w:type="gramEnd"/>
      <w:r>
        <w:t>.</w:t>
      </w:r>
    </w:p>
    <w:p w14:paraId="386E0ED6" w14:textId="148F35EC" w:rsidR="00C640B0" w:rsidRPr="002E5056" w:rsidRDefault="00C640B0" w:rsidP="00C640B0">
      <w:pPr>
        <w:pStyle w:val="ListParagraph"/>
        <w:numPr>
          <w:ilvl w:val="0"/>
          <w:numId w:val="6"/>
        </w:numPr>
        <w:tabs>
          <w:tab w:val="clear" w:pos="7780"/>
        </w:tabs>
        <w:spacing w:after="120" w:line="259" w:lineRule="auto"/>
        <w:ind w:left="714" w:hanging="357"/>
        <w:contextualSpacing/>
      </w:pPr>
      <w:r w:rsidRPr="00B141C3">
        <w:t xml:space="preserve">To what </w:t>
      </w:r>
      <w:r w:rsidRPr="002E5056">
        <w:t xml:space="preserve">extent was the investment effective in achieving </w:t>
      </w:r>
      <w:r>
        <w:t>its intended</w:t>
      </w:r>
      <w:r w:rsidRPr="002E5056">
        <w:t xml:space="preserve"> outcomes </w:t>
      </w:r>
      <w:r>
        <w:t xml:space="preserve">(see </w:t>
      </w:r>
      <w:r w:rsidRPr="002E5056">
        <w:t xml:space="preserve">program logic </w:t>
      </w:r>
      <w:r w:rsidR="000F3351">
        <w:rPr>
          <w:b/>
          <w:bCs/>
        </w:rPr>
        <w:t>Annexe</w:t>
      </w:r>
      <w:r w:rsidRPr="002E5056">
        <w:rPr>
          <w:b/>
          <w:bCs/>
        </w:rPr>
        <w:t xml:space="preserve"> 1</w:t>
      </w:r>
      <w:r w:rsidRPr="002E5056">
        <w:t>)?</w:t>
      </w:r>
    </w:p>
    <w:p w14:paraId="713C07CC" w14:textId="77777777" w:rsidR="00C640B0" w:rsidRPr="002E5056" w:rsidRDefault="00C640B0" w:rsidP="00C640B0">
      <w:pPr>
        <w:pStyle w:val="ListParagraph"/>
        <w:numPr>
          <w:ilvl w:val="1"/>
          <w:numId w:val="6"/>
        </w:numPr>
        <w:tabs>
          <w:tab w:val="clear" w:pos="7780"/>
        </w:tabs>
        <w:spacing w:line="259" w:lineRule="auto"/>
        <w:ind w:left="1434" w:hanging="357"/>
      </w:pPr>
      <w:r w:rsidRPr="002E5056">
        <w:rPr>
          <w:rStyle w:val="ui-provider"/>
        </w:rPr>
        <w:t xml:space="preserve">How effectively does DFAT’s support to the FFA Secretariat </w:t>
      </w:r>
      <w:r>
        <w:rPr>
          <w:rStyle w:val="ui-provider"/>
        </w:rPr>
        <w:t xml:space="preserve">enable the FFA to support its members </w:t>
      </w:r>
      <w:r w:rsidRPr="00495E0E">
        <w:rPr>
          <w:rStyle w:val="ui-provider"/>
        </w:rPr>
        <w:t xml:space="preserve">to </w:t>
      </w:r>
      <w:r>
        <w:rPr>
          <w:rStyle w:val="ui-provider"/>
        </w:rPr>
        <w:t xml:space="preserve">sustainably </w:t>
      </w:r>
      <w:r w:rsidRPr="00495E0E">
        <w:rPr>
          <w:rStyle w:val="ui-provider"/>
        </w:rPr>
        <w:t>manage and develop their fisheries</w:t>
      </w:r>
      <w:r>
        <w:rPr>
          <w:rStyle w:val="ui-provider"/>
        </w:rPr>
        <w:t xml:space="preserve">, and achieve outcomes of </w:t>
      </w:r>
      <w:r w:rsidRPr="002E5056">
        <w:rPr>
          <w:rStyle w:val="ui-provider"/>
        </w:rPr>
        <w:t>FFA's Strategic Plan?</w:t>
      </w:r>
    </w:p>
    <w:p w14:paraId="27041812" w14:textId="77777777" w:rsidR="00C640B0" w:rsidRPr="002E5056" w:rsidRDefault="00C640B0" w:rsidP="00C640B0">
      <w:pPr>
        <w:pStyle w:val="ListParagraph"/>
        <w:numPr>
          <w:ilvl w:val="1"/>
          <w:numId w:val="6"/>
        </w:numPr>
        <w:tabs>
          <w:tab w:val="clear" w:pos="7780"/>
        </w:tabs>
        <w:spacing w:after="120" w:line="259" w:lineRule="auto"/>
        <w:ind w:left="1434" w:hanging="357"/>
      </w:pPr>
      <w:r w:rsidRPr="002E5056">
        <w:t xml:space="preserve">How effectively has DFAT coordinated </w:t>
      </w:r>
      <w:proofErr w:type="gramStart"/>
      <w:r w:rsidRPr="002E5056">
        <w:t>with</w:t>
      </w:r>
      <w:proofErr w:type="gramEnd"/>
      <w:r w:rsidRPr="002E5056">
        <w:t xml:space="preserve"> and leveraged support provided by other donors, government and non-government </w:t>
      </w:r>
      <w:r w:rsidRPr="00C640B0">
        <w:t>organisations (including private sector)?</w:t>
      </w:r>
    </w:p>
    <w:p w14:paraId="631C20DC" w14:textId="06388397" w:rsidR="00C640B0" w:rsidRPr="00B141C3" w:rsidRDefault="00C640B0" w:rsidP="00C640B0">
      <w:pPr>
        <w:pStyle w:val="ListParagraph"/>
        <w:numPr>
          <w:ilvl w:val="0"/>
          <w:numId w:val="6"/>
        </w:numPr>
        <w:tabs>
          <w:tab w:val="clear" w:pos="7780"/>
        </w:tabs>
        <w:spacing w:after="160" w:line="259" w:lineRule="auto"/>
        <w:contextualSpacing/>
      </w:pPr>
      <w:r w:rsidRPr="002E5056">
        <w:t>To what extent was the investment (including partner selection and modalities</w:t>
      </w:r>
      <w:r>
        <w:t xml:space="preserve">) </w:t>
      </w:r>
      <w:r w:rsidRPr="00B141C3">
        <w:t xml:space="preserve">efficient in achieving </w:t>
      </w:r>
      <w:r>
        <w:t xml:space="preserve">its intended </w:t>
      </w:r>
      <w:r w:rsidRPr="00B141C3">
        <w:t>outcomes (</w:t>
      </w:r>
      <w:r>
        <w:t xml:space="preserve">see </w:t>
      </w:r>
      <w:r w:rsidR="000F3351">
        <w:rPr>
          <w:b/>
          <w:bCs/>
        </w:rPr>
        <w:t>Annexe</w:t>
      </w:r>
      <w:r w:rsidRPr="00B141C3">
        <w:rPr>
          <w:b/>
          <w:bCs/>
        </w:rPr>
        <w:t xml:space="preserve"> 1</w:t>
      </w:r>
      <w:r w:rsidRPr="00B141C3">
        <w:t>)?</w:t>
      </w:r>
    </w:p>
    <w:p w14:paraId="49258C36" w14:textId="77777777" w:rsidR="00C640B0" w:rsidRPr="00B141C3" w:rsidRDefault="00C640B0" w:rsidP="00C640B0">
      <w:pPr>
        <w:pStyle w:val="ListParagraph"/>
        <w:numPr>
          <w:ilvl w:val="1"/>
          <w:numId w:val="6"/>
        </w:numPr>
        <w:tabs>
          <w:tab w:val="clear" w:pos="7780"/>
        </w:tabs>
        <w:spacing w:line="259" w:lineRule="auto"/>
        <w:ind w:left="1434" w:hanging="357"/>
      </w:pPr>
      <w:r w:rsidRPr="00B141C3">
        <w:t>How effectively did DFAT identify and manage risk?</w:t>
      </w:r>
    </w:p>
    <w:p w14:paraId="4080C9DC" w14:textId="77777777" w:rsidR="00C640B0" w:rsidRPr="003E0EFA" w:rsidRDefault="00C640B0" w:rsidP="00C640B0">
      <w:pPr>
        <w:pStyle w:val="ListParagraph"/>
        <w:numPr>
          <w:ilvl w:val="1"/>
          <w:numId w:val="6"/>
        </w:numPr>
        <w:tabs>
          <w:tab w:val="clear" w:pos="7780"/>
        </w:tabs>
        <w:spacing w:line="259" w:lineRule="auto"/>
        <w:ind w:left="1434" w:hanging="357"/>
      </w:pPr>
      <w:r w:rsidRPr="00B141C3">
        <w:t xml:space="preserve">How </w:t>
      </w:r>
      <w:r w:rsidRPr="003E0EFA">
        <w:t>effective were DFAT’s and partners’ monitoring, evaluation and learning systems to inform decision-making, learning and accountability?</w:t>
      </w:r>
    </w:p>
    <w:p w14:paraId="27CCD963" w14:textId="77777777" w:rsidR="00C640B0" w:rsidRPr="003E0EFA" w:rsidRDefault="00C640B0" w:rsidP="00C640B0">
      <w:pPr>
        <w:pStyle w:val="ListParagraph"/>
        <w:numPr>
          <w:ilvl w:val="1"/>
          <w:numId w:val="6"/>
        </w:numPr>
        <w:tabs>
          <w:tab w:val="clear" w:pos="7780"/>
        </w:tabs>
        <w:spacing w:after="120" w:line="259" w:lineRule="auto"/>
        <w:ind w:left="1434" w:hanging="357"/>
      </w:pPr>
      <w:r w:rsidRPr="003E0EFA">
        <w:t>What lessons and approaches for monitoring, evaluation and learning should be applied to DFAT’s future Pacific fisheries investments?</w:t>
      </w:r>
    </w:p>
    <w:p w14:paraId="78BC63FB" w14:textId="77777777" w:rsidR="00C640B0" w:rsidRPr="003E0EFA" w:rsidRDefault="00C640B0" w:rsidP="00C640B0">
      <w:pPr>
        <w:pStyle w:val="ListParagraph"/>
        <w:numPr>
          <w:ilvl w:val="0"/>
          <w:numId w:val="6"/>
        </w:numPr>
        <w:tabs>
          <w:tab w:val="clear" w:pos="7780"/>
        </w:tabs>
        <w:spacing w:after="160" w:line="259" w:lineRule="auto"/>
        <w:contextualSpacing/>
      </w:pPr>
      <w:r w:rsidRPr="003E0EFA">
        <w:t>What other outcomes (intended, unintended, positive and negative) has the investment contributed to in the Pacific region?</w:t>
      </w:r>
    </w:p>
    <w:p w14:paraId="6E549D26" w14:textId="77777777" w:rsidR="00C640B0" w:rsidRDefault="00C640B0" w:rsidP="00C640B0">
      <w:pPr>
        <w:pStyle w:val="ListParagraph"/>
        <w:numPr>
          <w:ilvl w:val="1"/>
          <w:numId w:val="6"/>
        </w:numPr>
        <w:tabs>
          <w:tab w:val="clear" w:pos="7780"/>
        </w:tabs>
        <w:spacing w:after="160" w:line="259" w:lineRule="auto"/>
        <w:contextualSpacing/>
      </w:pPr>
      <w:r>
        <w:t xml:space="preserve">How effectively has the investment contributed to fostering inclusion among marginalised groups and gender equality </w:t>
      </w:r>
      <w:r w:rsidRPr="004E40DF">
        <w:t>including empowering women, youth and people with disability in the fisheries sector?</w:t>
      </w:r>
    </w:p>
    <w:p w14:paraId="3F1DBC82" w14:textId="77777777" w:rsidR="00C640B0" w:rsidRDefault="00C640B0" w:rsidP="00C640B0">
      <w:pPr>
        <w:pStyle w:val="ListParagraph"/>
        <w:numPr>
          <w:ilvl w:val="1"/>
          <w:numId w:val="6"/>
        </w:numPr>
        <w:tabs>
          <w:tab w:val="clear" w:pos="7780"/>
        </w:tabs>
        <w:spacing w:after="160" w:line="259" w:lineRule="auto"/>
        <w:contextualSpacing/>
      </w:pPr>
      <w:r>
        <w:t>How has the investment been effective in adapting or mitigating to the impacts of climate change?</w:t>
      </w:r>
      <w:r w:rsidRPr="004535E4">
        <w:t xml:space="preserve"> </w:t>
      </w:r>
    </w:p>
    <w:p w14:paraId="72D58AE2" w14:textId="77777777" w:rsidR="00C640B0" w:rsidRDefault="00C640B0" w:rsidP="00C640B0">
      <w:pPr>
        <w:pStyle w:val="ListParagraph"/>
        <w:numPr>
          <w:ilvl w:val="1"/>
          <w:numId w:val="6"/>
        </w:numPr>
        <w:tabs>
          <w:tab w:val="clear" w:pos="7780"/>
        </w:tabs>
        <w:spacing w:after="160" w:line="259" w:lineRule="auto"/>
        <w:contextualSpacing/>
      </w:pPr>
      <w:r>
        <w:t>How has the investment impacted how Australia is seen in and by the region?</w:t>
      </w:r>
    </w:p>
    <w:p w14:paraId="053E0122" w14:textId="77777777" w:rsidR="00C640B0" w:rsidRDefault="00C640B0" w:rsidP="00C640B0">
      <w:pPr>
        <w:pStyle w:val="ListParagraph"/>
        <w:numPr>
          <w:ilvl w:val="1"/>
          <w:numId w:val="6"/>
        </w:numPr>
        <w:tabs>
          <w:tab w:val="clear" w:pos="7780"/>
        </w:tabs>
        <w:spacing w:after="160" w:line="259" w:lineRule="auto"/>
        <w:contextualSpacing/>
      </w:pPr>
      <w:r>
        <w:t>How sustainable are the benefits of the investment and what actions/strategies have contributed to this?</w:t>
      </w:r>
    </w:p>
    <w:p w14:paraId="36BE20BC" w14:textId="77777777" w:rsidR="00C640B0" w:rsidRPr="007B5CAD" w:rsidRDefault="00C640B0" w:rsidP="00C640B0">
      <w:pPr>
        <w:pStyle w:val="ListParagraph"/>
        <w:numPr>
          <w:ilvl w:val="1"/>
          <w:numId w:val="6"/>
        </w:numPr>
        <w:tabs>
          <w:tab w:val="clear" w:pos="7780"/>
        </w:tabs>
        <w:spacing w:after="160" w:line="259" w:lineRule="auto"/>
        <w:contextualSpacing/>
      </w:pPr>
      <w:r>
        <w:t xml:space="preserve">What lessons should be learned to apply to future </w:t>
      </w:r>
      <w:r w:rsidRPr="007B5CAD">
        <w:t xml:space="preserve">Pacific fisheries investments, including any gaps and opportunities in response to Pacific partners’ needs? </w:t>
      </w:r>
    </w:p>
    <w:p w14:paraId="36FAACA8" w14:textId="77777777" w:rsidR="00C640B0" w:rsidRPr="00B407FC" w:rsidRDefault="00C640B0" w:rsidP="00C640B0">
      <w:pPr>
        <w:rPr>
          <w:b/>
          <w:bCs/>
          <w:sz w:val="24"/>
          <w:szCs w:val="24"/>
        </w:rPr>
      </w:pPr>
      <w:r>
        <w:rPr>
          <w:b/>
          <w:bCs/>
          <w:sz w:val="24"/>
          <w:szCs w:val="24"/>
        </w:rPr>
        <w:t>E</w:t>
      </w:r>
      <w:r w:rsidRPr="00B407FC">
        <w:rPr>
          <w:b/>
          <w:bCs/>
          <w:sz w:val="24"/>
          <w:szCs w:val="24"/>
        </w:rPr>
        <w:t>valuation governance</w:t>
      </w:r>
    </w:p>
    <w:p w14:paraId="49BE7323" w14:textId="77777777" w:rsidR="00C640B0" w:rsidRDefault="00C640B0" w:rsidP="00C640B0">
      <w:r>
        <w:t>The evaluation will be managed by a team of three officers from PFO (Director, Assistant Director and Policy Officer), with oversight from Assistant Secretary, Pacific Security Branch (AS SUB), Office of the Pacific. PFO has drafted these Terms of Reference and will commission and manage the evaluation, provide guidance on the evaluation and draft outputs, and work in close collaboration with the selected team during the evaluation including to identify stakeholders and key informants and facilitate introductions. AS SUB will approve evaluation outputs and DFAT’s management response.</w:t>
      </w:r>
    </w:p>
    <w:p w14:paraId="2A53D1D8" w14:textId="77777777" w:rsidR="00C640B0" w:rsidRPr="009D0308" w:rsidRDefault="00C640B0" w:rsidP="00C640B0">
      <w:pPr>
        <w:rPr>
          <w:b/>
          <w:bCs/>
          <w:sz w:val="24"/>
          <w:szCs w:val="24"/>
        </w:rPr>
      </w:pPr>
      <w:r>
        <w:rPr>
          <w:b/>
          <w:bCs/>
          <w:sz w:val="24"/>
          <w:szCs w:val="24"/>
        </w:rPr>
        <w:t>Team composition</w:t>
      </w:r>
    </w:p>
    <w:p w14:paraId="6CA613EC" w14:textId="77777777" w:rsidR="00C640B0" w:rsidRPr="00B407FC" w:rsidRDefault="00C640B0" w:rsidP="00C640B0">
      <w:r w:rsidRPr="00B407FC">
        <w:lastRenderedPageBreak/>
        <w:t xml:space="preserve">The selected </w:t>
      </w:r>
      <w:r>
        <w:t>evaluation team</w:t>
      </w:r>
      <w:r w:rsidRPr="00B407FC">
        <w:t xml:space="preserve"> will lead the evaluation. The</w:t>
      </w:r>
      <w:r>
        <w:t xml:space="preserve"> evaluation</w:t>
      </w:r>
      <w:r w:rsidRPr="00B407FC">
        <w:t xml:space="preserve"> </w:t>
      </w:r>
      <w:r>
        <w:t>team</w:t>
      </w:r>
      <w:r w:rsidRPr="00B407FC">
        <w:t xml:space="preserve"> will liaise with </w:t>
      </w:r>
      <w:r>
        <w:t>other agencies, partners and regional organisations as required to successfully complete the evaluation</w:t>
      </w:r>
      <w:r w:rsidRPr="00B407FC">
        <w:t xml:space="preserve">. The </w:t>
      </w:r>
      <w:r>
        <w:t xml:space="preserve">team </w:t>
      </w:r>
      <w:r w:rsidRPr="00B407FC">
        <w:t>is required to possess the following skills and experience:</w:t>
      </w:r>
    </w:p>
    <w:p w14:paraId="3A573760" w14:textId="77777777" w:rsidR="00C640B0" w:rsidRPr="0048369E" w:rsidRDefault="00C640B0" w:rsidP="00821BD8">
      <w:pPr>
        <w:pStyle w:val="ListParagraph"/>
        <w:numPr>
          <w:ilvl w:val="0"/>
          <w:numId w:val="46"/>
        </w:numPr>
        <w:tabs>
          <w:tab w:val="clear" w:pos="7780"/>
        </w:tabs>
        <w:spacing w:after="160" w:line="259" w:lineRule="auto"/>
        <w:contextualSpacing/>
      </w:pPr>
      <w:r>
        <w:t>A Team Leader who is an evaluation expert</w:t>
      </w:r>
    </w:p>
    <w:p w14:paraId="3EF4346B" w14:textId="77777777" w:rsidR="00C640B0" w:rsidRPr="00B407FC" w:rsidRDefault="00C640B0" w:rsidP="00821BD8">
      <w:pPr>
        <w:pStyle w:val="ListParagraph"/>
        <w:numPr>
          <w:ilvl w:val="0"/>
          <w:numId w:val="46"/>
        </w:numPr>
        <w:tabs>
          <w:tab w:val="clear" w:pos="7780"/>
        </w:tabs>
        <w:spacing w:after="160" w:line="259" w:lineRule="auto"/>
        <w:contextualSpacing/>
      </w:pPr>
      <w:r>
        <w:t>D</w:t>
      </w:r>
      <w:r w:rsidRPr="00B407FC">
        <w:t xml:space="preserve">emonstrated experience in carrying out evaluations </w:t>
      </w:r>
      <w:r>
        <w:t xml:space="preserve">of a similar size and scale </w:t>
      </w:r>
      <w:r w:rsidRPr="00B407FC">
        <w:t xml:space="preserve">in </w:t>
      </w:r>
      <w:r>
        <w:t>a</w:t>
      </w:r>
      <w:r w:rsidRPr="00B407FC">
        <w:t xml:space="preserve"> Pacific context</w:t>
      </w:r>
    </w:p>
    <w:p w14:paraId="398BBED8" w14:textId="77777777" w:rsidR="00C640B0" w:rsidRPr="00086E64" w:rsidRDefault="00C640B0" w:rsidP="00821BD8">
      <w:pPr>
        <w:pStyle w:val="ListParagraph"/>
        <w:numPr>
          <w:ilvl w:val="0"/>
          <w:numId w:val="46"/>
        </w:numPr>
        <w:tabs>
          <w:tab w:val="clear" w:pos="7780"/>
        </w:tabs>
        <w:spacing w:after="160" w:line="259" w:lineRule="auto"/>
        <w:contextualSpacing/>
      </w:pPr>
      <w:r w:rsidRPr="00B407FC">
        <w:t xml:space="preserve">Strong knowledge and understanding of the Pacific political, cultural and development context, including strong knowledge and understanding of sustainable fisheries management </w:t>
      </w:r>
      <w:r>
        <w:t>and associated</w:t>
      </w:r>
      <w:r w:rsidRPr="00B407FC">
        <w:t xml:space="preserve"> economic, food security and environmental </w:t>
      </w:r>
      <w:r w:rsidRPr="00086E64">
        <w:t xml:space="preserve">issues (including climate change) </w:t>
      </w:r>
    </w:p>
    <w:p w14:paraId="4125335E" w14:textId="77777777" w:rsidR="00C640B0" w:rsidRPr="00B407FC" w:rsidRDefault="00C640B0" w:rsidP="00821BD8">
      <w:pPr>
        <w:pStyle w:val="ListParagraph"/>
        <w:numPr>
          <w:ilvl w:val="0"/>
          <w:numId w:val="46"/>
        </w:numPr>
        <w:tabs>
          <w:tab w:val="clear" w:pos="7780"/>
        </w:tabs>
        <w:spacing w:after="160" w:line="259" w:lineRule="auto"/>
        <w:contextualSpacing/>
      </w:pPr>
      <w:r>
        <w:t>K</w:t>
      </w:r>
      <w:r w:rsidRPr="00B407FC">
        <w:t>nowledge and understanding of gender</w:t>
      </w:r>
      <w:r>
        <w:t>, disability,</w:t>
      </w:r>
      <w:r w:rsidRPr="00B407FC">
        <w:t xml:space="preserve"> and social inclusion </w:t>
      </w:r>
      <w:r>
        <w:t>(GEDSI) in a Pacific context and of DFAT’s GEDSI policies and strategies.</w:t>
      </w:r>
    </w:p>
    <w:p w14:paraId="4B308141" w14:textId="77777777" w:rsidR="00C640B0" w:rsidRPr="00B407FC" w:rsidRDefault="00C640B0" w:rsidP="00821BD8">
      <w:pPr>
        <w:pStyle w:val="ListParagraph"/>
        <w:numPr>
          <w:ilvl w:val="0"/>
          <w:numId w:val="46"/>
        </w:numPr>
        <w:tabs>
          <w:tab w:val="clear" w:pos="7780"/>
        </w:tabs>
        <w:spacing w:after="160" w:line="259" w:lineRule="auto"/>
        <w:contextualSpacing/>
      </w:pPr>
      <w:r w:rsidRPr="00B407FC">
        <w:t>Highly developed written communication skills</w:t>
      </w:r>
    </w:p>
    <w:p w14:paraId="1EDB67DE" w14:textId="77777777" w:rsidR="00C640B0" w:rsidRDefault="00C640B0" w:rsidP="00821BD8">
      <w:pPr>
        <w:pStyle w:val="ListParagraph"/>
        <w:numPr>
          <w:ilvl w:val="0"/>
          <w:numId w:val="46"/>
        </w:numPr>
        <w:tabs>
          <w:tab w:val="clear" w:pos="7780"/>
        </w:tabs>
        <w:spacing w:after="160" w:line="259" w:lineRule="auto"/>
        <w:contextualSpacing/>
      </w:pPr>
      <w:r w:rsidRPr="00B407FC">
        <w:t>Fluency in English</w:t>
      </w:r>
    </w:p>
    <w:p w14:paraId="622C6D8A" w14:textId="77777777" w:rsidR="00C640B0" w:rsidRDefault="00C640B0" w:rsidP="00821BD8">
      <w:pPr>
        <w:pStyle w:val="ListParagraph"/>
        <w:numPr>
          <w:ilvl w:val="0"/>
          <w:numId w:val="46"/>
        </w:numPr>
        <w:tabs>
          <w:tab w:val="clear" w:pos="7780"/>
        </w:tabs>
        <w:spacing w:after="160" w:line="259" w:lineRule="auto"/>
        <w:contextualSpacing/>
      </w:pPr>
      <w:r w:rsidRPr="00086E64">
        <w:t xml:space="preserve">At least one team member should be from a </w:t>
      </w:r>
      <w:r>
        <w:t>Pacific island country.</w:t>
      </w:r>
    </w:p>
    <w:p w14:paraId="5D732252" w14:textId="77777777" w:rsidR="00C640B0" w:rsidRDefault="00C640B0" w:rsidP="00C640B0">
      <w:pPr>
        <w:rPr>
          <w:b/>
          <w:bCs/>
          <w:sz w:val="24"/>
          <w:szCs w:val="24"/>
        </w:rPr>
      </w:pPr>
      <w:r>
        <w:rPr>
          <w:b/>
          <w:bCs/>
          <w:sz w:val="24"/>
          <w:szCs w:val="24"/>
        </w:rPr>
        <w:t>Evaluation timeline</w:t>
      </w:r>
    </w:p>
    <w:tbl>
      <w:tblPr>
        <w:tblStyle w:val="TableGrid"/>
        <w:tblW w:w="9858" w:type="dxa"/>
        <w:tblLook w:val="04A0" w:firstRow="1" w:lastRow="0" w:firstColumn="1" w:lastColumn="0" w:noHBand="0" w:noVBand="1"/>
      </w:tblPr>
      <w:tblGrid>
        <w:gridCol w:w="2730"/>
        <w:gridCol w:w="7128"/>
      </w:tblGrid>
      <w:tr w:rsidR="00C640B0" w:rsidRPr="00E4650A" w14:paraId="28858DC7" w14:textId="77777777" w:rsidTr="57ADDF87">
        <w:trPr>
          <w:trHeight w:val="383"/>
        </w:trPr>
        <w:tc>
          <w:tcPr>
            <w:tcW w:w="2730" w:type="dxa"/>
          </w:tcPr>
          <w:p w14:paraId="24F87FCE" w14:textId="77777777" w:rsidR="00C640B0" w:rsidRPr="00E4650A" w:rsidRDefault="00C640B0" w:rsidP="0073437D">
            <w:pPr>
              <w:spacing w:before="120" w:after="120"/>
              <w:rPr>
                <w:rFonts w:cs="Arial"/>
                <w:b/>
              </w:rPr>
            </w:pPr>
            <w:r w:rsidRPr="00E4650A">
              <w:rPr>
                <w:rFonts w:cs="Arial"/>
                <w:b/>
              </w:rPr>
              <w:t>Indicative dates</w:t>
            </w:r>
          </w:p>
        </w:tc>
        <w:tc>
          <w:tcPr>
            <w:tcW w:w="7128" w:type="dxa"/>
          </w:tcPr>
          <w:p w14:paraId="6C4BB768" w14:textId="77777777" w:rsidR="00C640B0" w:rsidRPr="00E4650A" w:rsidRDefault="00C640B0" w:rsidP="0073437D">
            <w:pPr>
              <w:spacing w:before="120" w:after="120"/>
              <w:rPr>
                <w:rFonts w:cs="Arial"/>
                <w:b/>
              </w:rPr>
            </w:pPr>
            <w:r w:rsidRPr="00E4650A">
              <w:rPr>
                <w:rFonts w:cs="Arial"/>
                <w:b/>
              </w:rPr>
              <w:t>Activity</w:t>
            </w:r>
          </w:p>
        </w:tc>
      </w:tr>
      <w:tr w:rsidR="00C640B0" w:rsidRPr="00E4650A" w14:paraId="389F701F" w14:textId="77777777" w:rsidTr="57ADDF87">
        <w:trPr>
          <w:trHeight w:val="300"/>
        </w:trPr>
        <w:tc>
          <w:tcPr>
            <w:tcW w:w="2730" w:type="dxa"/>
          </w:tcPr>
          <w:p w14:paraId="269CCB95" w14:textId="77777777" w:rsidR="00C640B0" w:rsidRPr="009D0308" w:rsidRDefault="00C640B0" w:rsidP="0073437D">
            <w:pPr>
              <w:spacing w:before="120" w:after="120"/>
              <w:rPr>
                <w:rFonts w:cs="Arial"/>
              </w:rPr>
            </w:pPr>
            <w:r>
              <w:rPr>
                <w:rFonts w:cs="Arial"/>
              </w:rPr>
              <w:t>Dec</w:t>
            </w:r>
            <w:r w:rsidRPr="009D0308">
              <w:rPr>
                <w:rFonts w:cs="Arial"/>
              </w:rPr>
              <w:t>ember</w:t>
            </w:r>
          </w:p>
        </w:tc>
        <w:tc>
          <w:tcPr>
            <w:tcW w:w="7128" w:type="dxa"/>
          </w:tcPr>
          <w:p w14:paraId="683AE71F" w14:textId="77777777" w:rsidR="00C640B0" w:rsidRPr="00E4650A" w:rsidRDefault="00C640B0" w:rsidP="0073437D">
            <w:pPr>
              <w:spacing w:before="120" w:after="120"/>
              <w:rPr>
                <w:rFonts w:cs="Arial"/>
              </w:rPr>
            </w:pPr>
            <w:r>
              <w:rPr>
                <w:rFonts w:cs="Arial"/>
              </w:rPr>
              <w:t>I</w:t>
            </w:r>
            <w:r w:rsidRPr="00E4650A">
              <w:rPr>
                <w:rFonts w:cs="Arial"/>
              </w:rPr>
              <w:t xml:space="preserve">ntroductory brief with </w:t>
            </w:r>
            <w:r>
              <w:rPr>
                <w:rFonts w:cs="Arial"/>
              </w:rPr>
              <w:t>DFAT</w:t>
            </w:r>
          </w:p>
        </w:tc>
      </w:tr>
      <w:tr w:rsidR="00C640B0" w:rsidRPr="00E4650A" w14:paraId="76A3206A" w14:textId="77777777" w:rsidTr="57ADDF87">
        <w:trPr>
          <w:trHeight w:val="300"/>
        </w:trPr>
        <w:tc>
          <w:tcPr>
            <w:tcW w:w="2730" w:type="dxa"/>
          </w:tcPr>
          <w:p w14:paraId="579D2CA1" w14:textId="77777777" w:rsidR="00C640B0" w:rsidRPr="009D0308" w:rsidRDefault="00C640B0" w:rsidP="0073437D">
            <w:pPr>
              <w:spacing w:before="120" w:after="120"/>
              <w:rPr>
                <w:rFonts w:cs="Arial"/>
              </w:rPr>
            </w:pPr>
            <w:r>
              <w:rPr>
                <w:rFonts w:cs="Arial"/>
              </w:rPr>
              <w:t>Janua</w:t>
            </w:r>
            <w:r w:rsidRPr="009D0308">
              <w:rPr>
                <w:rFonts w:cs="Arial"/>
              </w:rPr>
              <w:t>r</w:t>
            </w:r>
            <w:r>
              <w:rPr>
                <w:rFonts w:cs="Arial"/>
              </w:rPr>
              <w:t>y</w:t>
            </w:r>
          </w:p>
        </w:tc>
        <w:tc>
          <w:tcPr>
            <w:tcW w:w="7128" w:type="dxa"/>
          </w:tcPr>
          <w:p w14:paraId="43C5EE63" w14:textId="77777777" w:rsidR="00C640B0" w:rsidRPr="00E4650A" w:rsidRDefault="00C640B0" w:rsidP="0073437D">
            <w:pPr>
              <w:spacing w:before="120" w:after="120"/>
              <w:rPr>
                <w:rFonts w:cs="Arial"/>
              </w:rPr>
            </w:pPr>
            <w:r>
              <w:rPr>
                <w:rFonts w:cs="Arial"/>
              </w:rPr>
              <w:t>Preliminary</w:t>
            </w:r>
            <w:r w:rsidRPr="00E4650A">
              <w:rPr>
                <w:rFonts w:cs="Arial"/>
              </w:rPr>
              <w:t xml:space="preserve"> document review</w:t>
            </w:r>
          </w:p>
        </w:tc>
      </w:tr>
      <w:tr w:rsidR="00C640B0" w:rsidRPr="00E4650A" w14:paraId="71E879BA" w14:textId="77777777" w:rsidTr="57ADDF87">
        <w:trPr>
          <w:trHeight w:val="300"/>
        </w:trPr>
        <w:tc>
          <w:tcPr>
            <w:tcW w:w="2730" w:type="dxa"/>
          </w:tcPr>
          <w:p w14:paraId="6B1F75BF" w14:textId="77777777" w:rsidR="00C640B0" w:rsidRPr="009D0308" w:rsidRDefault="00C640B0" w:rsidP="0073437D">
            <w:pPr>
              <w:spacing w:before="120" w:after="120"/>
              <w:rPr>
                <w:rFonts w:cs="Arial"/>
              </w:rPr>
            </w:pPr>
            <w:r w:rsidRPr="009D0308">
              <w:rPr>
                <w:rFonts w:cs="Arial"/>
              </w:rPr>
              <w:t>January</w:t>
            </w:r>
          </w:p>
        </w:tc>
        <w:tc>
          <w:tcPr>
            <w:tcW w:w="7128" w:type="dxa"/>
          </w:tcPr>
          <w:p w14:paraId="30F50850" w14:textId="77777777" w:rsidR="00C640B0" w:rsidRPr="00E4650A" w:rsidRDefault="00C640B0" w:rsidP="0073437D">
            <w:pPr>
              <w:spacing w:before="120" w:after="120"/>
              <w:rPr>
                <w:rFonts w:cs="Arial"/>
              </w:rPr>
            </w:pPr>
            <w:r>
              <w:rPr>
                <w:rFonts w:cs="Arial"/>
              </w:rPr>
              <w:t>Write evaluation plan</w:t>
            </w:r>
          </w:p>
        </w:tc>
      </w:tr>
      <w:tr w:rsidR="00C640B0" w:rsidRPr="00E4650A" w14:paraId="511D419D" w14:textId="77777777" w:rsidTr="57ADDF87">
        <w:trPr>
          <w:trHeight w:val="300"/>
        </w:trPr>
        <w:tc>
          <w:tcPr>
            <w:tcW w:w="2730" w:type="dxa"/>
            <w:shd w:val="clear" w:color="auto" w:fill="D9E2F3" w:themeFill="accent1" w:themeFillTint="33"/>
          </w:tcPr>
          <w:p w14:paraId="7E92BEBD" w14:textId="77777777" w:rsidR="00C640B0" w:rsidRPr="009D0308" w:rsidRDefault="00C640B0" w:rsidP="0073437D">
            <w:pPr>
              <w:spacing w:before="120" w:after="120"/>
              <w:rPr>
                <w:rFonts w:cs="Arial"/>
              </w:rPr>
            </w:pPr>
            <w:r>
              <w:rPr>
                <w:rFonts w:cs="Arial"/>
              </w:rPr>
              <w:t>31</w:t>
            </w:r>
            <w:r w:rsidRPr="009D0308">
              <w:rPr>
                <w:rFonts w:cs="Arial"/>
              </w:rPr>
              <w:t xml:space="preserve"> January 2025</w:t>
            </w:r>
          </w:p>
        </w:tc>
        <w:tc>
          <w:tcPr>
            <w:tcW w:w="7128" w:type="dxa"/>
            <w:shd w:val="clear" w:color="auto" w:fill="D9E2F3" w:themeFill="accent1" w:themeFillTint="33"/>
          </w:tcPr>
          <w:p w14:paraId="5EAC67B2" w14:textId="77777777" w:rsidR="00C640B0" w:rsidRPr="00E4650A" w:rsidRDefault="00C640B0" w:rsidP="0073437D">
            <w:pPr>
              <w:spacing w:before="120" w:after="120"/>
              <w:rPr>
                <w:rFonts w:cs="Arial"/>
              </w:rPr>
            </w:pPr>
            <w:r w:rsidRPr="00E4650A">
              <w:rPr>
                <w:rFonts w:cs="Arial"/>
              </w:rPr>
              <w:t>Draft evaluation plan due to DFAT</w:t>
            </w:r>
          </w:p>
        </w:tc>
      </w:tr>
      <w:tr w:rsidR="00C640B0" w:rsidRPr="00E4650A" w14:paraId="2A342977" w14:textId="77777777" w:rsidTr="57ADDF87">
        <w:trPr>
          <w:trHeight w:val="300"/>
        </w:trPr>
        <w:tc>
          <w:tcPr>
            <w:tcW w:w="2730" w:type="dxa"/>
          </w:tcPr>
          <w:p w14:paraId="6A6B11F4" w14:textId="77777777" w:rsidR="00C640B0" w:rsidRPr="009D0308" w:rsidRDefault="00C640B0" w:rsidP="0073437D">
            <w:pPr>
              <w:spacing w:before="120" w:after="120"/>
              <w:rPr>
                <w:rFonts w:cs="Arial"/>
              </w:rPr>
            </w:pPr>
            <w:r>
              <w:rPr>
                <w:rFonts w:cs="Arial"/>
              </w:rPr>
              <w:t>February</w:t>
            </w:r>
          </w:p>
        </w:tc>
        <w:tc>
          <w:tcPr>
            <w:tcW w:w="7128" w:type="dxa"/>
          </w:tcPr>
          <w:p w14:paraId="289CA964" w14:textId="77777777" w:rsidR="00C640B0" w:rsidRDefault="00C640B0" w:rsidP="0073437D">
            <w:pPr>
              <w:spacing w:before="120" w:after="120"/>
              <w:rPr>
                <w:rFonts w:cs="Arial"/>
              </w:rPr>
            </w:pPr>
            <w:r>
              <w:rPr>
                <w:rFonts w:cs="Arial"/>
              </w:rPr>
              <w:t>DFAT provide feedback on the draft evaluation plan</w:t>
            </w:r>
          </w:p>
          <w:p w14:paraId="1D1B1C73" w14:textId="77777777" w:rsidR="00C640B0" w:rsidRPr="00E4650A" w:rsidRDefault="00C640B0" w:rsidP="0073437D">
            <w:pPr>
              <w:spacing w:before="120" w:after="120"/>
              <w:rPr>
                <w:rFonts w:cs="Arial"/>
              </w:rPr>
            </w:pPr>
            <w:r w:rsidRPr="00E4650A">
              <w:rPr>
                <w:rFonts w:cs="Arial"/>
              </w:rPr>
              <w:t xml:space="preserve">Evaluation </w:t>
            </w:r>
            <w:r>
              <w:rPr>
                <w:rFonts w:cs="Arial"/>
              </w:rPr>
              <w:t>p</w:t>
            </w:r>
            <w:r w:rsidRPr="00E4650A">
              <w:rPr>
                <w:rFonts w:cs="Arial"/>
              </w:rPr>
              <w:t>lan finalised based on DFAT’s feedback</w:t>
            </w:r>
          </w:p>
        </w:tc>
      </w:tr>
      <w:tr w:rsidR="00C640B0" w:rsidRPr="00E4650A" w14:paraId="05AA001F" w14:textId="77777777" w:rsidTr="57ADDF87">
        <w:trPr>
          <w:trHeight w:val="300"/>
        </w:trPr>
        <w:tc>
          <w:tcPr>
            <w:tcW w:w="2730" w:type="dxa"/>
            <w:shd w:val="clear" w:color="auto" w:fill="D9E2F3" w:themeFill="accent1" w:themeFillTint="33"/>
          </w:tcPr>
          <w:p w14:paraId="2E27884F" w14:textId="77777777" w:rsidR="00C640B0" w:rsidRDefault="00C640B0" w:rsidP="0073437D">
            <w:pPr>
              <w:spacing w:before="120" w:after="120"/>
              <w:rPr>
                <w:rFonts w:cs="Arial"/>
              </w:rPr>
            </w:pPr>
            <w:r>
              <w:rPr>
                <w:rFonts w:cs="Arial"/>
              </w:rPr>
              <w:t>14 February 2025</w:t>
            </w:r>
          </w:p>
        </w:tc>
        <w:tc>
          <w:tcPr>
            <w:tcW w:w="7128" w:type="dxa"/>
            <w:shd w:val="clear" w:color="auto" w:fill="D9E2F3" w:themeFill="accent1" w:themeFillTint="33"/>
          </w:tcPr>
          <w:p w14:paraId="3DA4FC84" w14:textId="77777777" w:rsidR="00C640B0" w:rsidRDefault="00C640B0" w:rsidP="0073437D">
            <w:pPr>
              <w:spacing w:before="120" w:after="120"/>
              <w:rPr>
                <w:rFonts w:cs="Arial"/>
              </w:rPr>
            </w:pPr>
            <w:r>
              <w:rPr>
                <w:rFonts w:cs="Arial"/>
              </w:rPr>
              <w:t>Final evaluation plan due to DFAT</w:t>
            </w:r>
          </w:p>
        </w:tc>
      </w:tr>
      <w:tr w:rsidR="00C640B0" w:rsidRPr="00E4650A" w14:paraId="17CADCBA" w14:textId="77777777" w:rsidTr="57ADDF87">
        <w:trPr>
          <w:trHeight w:val="300"/>
        </w:trPr>
        <w:tc>
          <w:tcPr>
            <w:tcW w:w="2730" w:type="dxa"/>
          </w:tcPr>
          <w:p w14:paraId="65D35A89" w14:textId="77777777" w:rsidR="00C640B0" w:rsidRPr="009D0308" w:rsidRDefault="00C640B0" w:rsidP="0073437D">
            <w:pPr>
              <w:spacing w:before="120" w:after="120"/>
              <w:rPr>
                <w:rFonts w:cs="Arial"/>
              </w:rPr>
            </w:pPr>
            <w:r w:rsidRPr="009D0308">
              <w:rPr>
                <w:rFonts w:cs="Arial"/>
              </w:rPr>
              <w:t>February to March</w:t>
            </w:r>
          </w:p>
        </w:tc>
        <w:tc>
          <w:tcPr>
            <w:tcW w:w="7128" w:type="dxa"/>
          </w:tcPr>
          <w:p w14:paraId="7845193A" w14:textId="77777777" w:rsidR="00C640B0" w:rsidRDefault="00C640B0" w:rsidP="0073437D">
            <w:pPr>
              <w:spacing w:before="120" w:after="120"/>
              <w:rPr>
                <w:rFonts w:cs="Arial"/>
              </w:rPr>
            </w:pPr>
            <w:r>
              <w:rPr>
                <w:rFonts w:cs="Arial"/>
              </w:rPr>
              <w:t>I</w:t>
            </w:r>
            <w:r w:rsidRPr="00E4650A">
              <w:rPr>
                <w:rFonts w:cs="Arial"/>
              </w:rPr>
              <w:t xml:space="preserve">nterviews and </w:t>
            </w:r>
            <w:r>
              <w:rPr>
                <w:rFonts w:cs="Arial"/>
              </w:rPr>
              <w:t>comprehensive document review</w:t>
            </w:r>
          </w:p>
          <w:p w14:paraId="0DE5AFA6" w14:textId="77777777" w:rsidR="00C640B0" w:rsidRPr="00B87625" w:rsidRDefault="00C640B0" w:rsidP="0073437D">
            <w:pPr>
              <w:spacing w:before="120" w:after="120"/>
              <w:rPr>
                <w:rFonts w:cs="Arial"/>
              </w:rPr>
            </w:pPr>
            <w:r>
              <w:rPr>
                <w:rFonts w:cs="Arial"/>
              </w:rPr>
              <w:t>I</w:t>
            </w:r>
            <w:r w:rsidRPr="00B87625">
              <w:rPr>
                <w:rFonts w:cs="Arial"/>
              </w:rPr>
              <w:t>ncluding travel to Honiara (FFA) and Canberra</w:t>
            </w:r>
          </w:p>
        </w:tc>
      </w:tr>
      <w:tr w:rsidR="00C640B0" w:rsidRPr="00E4650A" w14:paraId="18A5D958" w14:textId="77777777" w:rsidTr="57ADDF87">
        <w:trPr>
          <w:trHeight w:val="300"/>
        </w:trPr>
        <w:tc>
          <w:tcPr>
            <w:tcW w:w="2730" w:type="dxa"/>
          </w:tcPr>
          <w:p w14:paraId="5C82979F" w14:textId="77777777" w:rsidR="00C640B0" w:rsidRPr="009D0308" w:rsidRDefault="00C640B0" w:rsidP="0073437D">
            <w:pPr>
              <w:spacing w:before="120" w:after="120"/>
              <w:rPr>
                <w:rFonts w:cs="Arial"/>
              </w:rPr>
            </w:pPr>
            <w:r w:rsidRPr="009D0308">
              <w:rPr>
                <w:rFonts w:cs="Arial"/>
              </w:rPr>
              <w:t>March</w:t>
            </w:r>
            <w:r>
              <w:rPr>
                <w:rFonts w:cs="Arial"/>
              </w:rPr>
              <w:t xml:space="preserve"> to April</w:t>
            </w:r>
          </w:p>
        </w:tc>
        <w:tc>
          <w:tcPr>
            <w:tcW w:w="7128" w:type="dxa"/>
          </w:tcPr>
          <w:p w14:paraId="18FF969D" w14:textId="77777777" w:rsidR="00C640B0" w:rsidRPr="00E4650A" w:rsidRDefault="00C640B0" w:rsidP="0073437D">
            <w:pPr>
              <w:spacing w:before="120" w:after="120"/>
              <w:rPr>
                <w:rFonts w:cs="Arial"/>
              </w:rPr>
            </w:pPr>
            <w:r>
              <w:rPr>
                <w:rFonts w:cs="Arial"/>
              </w:rPr>
              <w:t>Prepare initial findings</w:t>
            </w:r>
          </w:p>
        </w:tc>
      </w:tr>
      <w:tr w:rsidR="00C640B0" w:rsidRPr="00E4650A" w14:paraId="53EEDC2B" w14:textId="77777777" w:rsidTr="57ADDF87">
        <w:trPr>
          <w:trHeight w:val="300"/>
        </w:trPr>
        <w:tc>
          <w:tcPr>
            <w:tcW w:w="2730" w:type="dxa"/>
            <w:shd w:val="clear" w:color="auto" w:fill="D9E2F3" w:themeFill="accent1" w:themeFillTint="33"/>
          </w:tcPr>
          <w:p w14:paraId="2D8FCC87" w14:textId="77777777" w:rsidR="00C640B0" w:rsidRPr="009D0308" w:rsidRDefault="00C640B0" w:rsidP="0073437D">
            <w:pPr>
              <w:spacing w:before="120" w:after="120"/>
              <w:rPr>
                <w:rFonts w:cs="Arial"/>
              </w:rPr>
            </w:pPr>
            <w:r>
              <w:rPr>
                <w:rFonts w:cs="Arial"/>
              </w:rPr>
              <w:t>14 April 2025</w:t>
            </w:r>
          </w:p>
        </w:tc>
        <w:tc>
          <w:tcPr>
            <w:tcW w:w="7128" w:type="dxa"/>
            <w:shd w:val="clear" w:color="auto" w:fill="D9E2F3" w:themeFill="accent1" w:themeFillTint="33"/>
          </w:tcPr>
          <w:p w14:paraId="00A61C6E" w14:textId="77777777" w:rsidR="00C640B0" w:rsidRPr="00E4650A" w:rsidRDefault="00C640B0" w:rsidP="0073437D">
            <w:pPr>
              <w:spacing w:before="120" w:after="120"/>
              <w:rPr>
                <w:rFonts w:cs="Arial"/>
              </w:rPr>
            </w:pPr>
            <w:r>
              <w:rPr>
                <w:rFonts w:cs="Arial"/>
              </w:rPr>
              <w:t>I</w:t>
            </w:r>
            <w:r w:rsidRPr="00E4650A">
              <w:rPr>
                <w:rFonts w:cs="Arial"/>
              </w:rPr>
              <w:t xml:space="preserve">nitial findings </w:t>
            </w:r>
            <w:r>
              <w:rPr>
                <w:rFonts w:cs="Arial"/>
              </w:rPr>
              <w:t>discussion with DFAT</w:t>
            </w:r>
          </w:p>
        </w:tc>
      </w:tr>
      <w:tr w:rsidR="00C640B0" w:rsidRPr="00E4650A" w14:paraId="7BF6C35F" w14:textId="77777777" w:rsidTr="57ADDF87">
        <w:trPr>
          <w:trHeight w:val="300"/>
        </w:trPr>
        <w:tc>
          <w:tcPr>
            <w:tcW w:w="2730" w:type="dxa"/>
          </w:tcPr>
          <w:p w14:paraId="0D814434" w14:textId="77777777" w:rsidR="00C640B0" w:rsidRPr="009D0308" w:rsidRDefault="00C640B0" w:rsidP="0073437D">
            <w:pPr>
              <w:spacing w:before="120" w:after="120"/>
              <w:rPr>
                <w:rFonts w:cs="Arial"/>
              </w:rPr>
            </w:pPr>
            <w:r w:rsidRPr="009D0308">
              <w:rPr>
                <w:rFonts w:cs="Arial"/>
              </w:rPr>
              <w:t>April</w:t>
            </w:r>
          </w:p>
        </w:tc>
        <w:tc>
          <w:tcPr>
            <w:tcW w:w="7128" w:type="dxa"/>
          </w:tcPr>
          <w:p w14:paraId="3322258E" w14:textId="77777777" w:rsidR="00C640B0" w:rsidRPr="00E4650A" w:rsidRDefault="00C640B0" w:rsidP="0073437D">
            <w:pPr>
              <w:spacing w:before="120" w:after="120"/>
              <w:rPr>
                <w:rFonts w:cs="Arial"/>
              </w:rPr>
            </w:pPr>
            <w:r>
              <w:rPr>
                <w:rFonts w:cs="Arial"/>
              </w:rPr>
              <w:t>Write draft report</w:t>
            </w:r>
          </w:p>
        </w:tc>
      </w:tr>
      <w:tr w:rsidR="00C640B0" w:rsidRPr="00E4650A" w14:paraId="3D5662E7" w14:textId="77777777" w:rsidTr="57ADDF87">
        <w:trPr>
          <w:trHeight w:val="300"/>
        </w:trPr>
        <w:tc>
          <w:tcPr>
            <w:tcW w:w="2730" w:type="dxa"/>
            <w:shd w:val="clear" w:color="auto" w:fill="D9E2F3" w:themeFill="accent1" w:themeFillTint="33"/>
          </w:tcPr>
          <w:p w14:paraId="44B214C3" w14:textId="77777777" w:rsidR="00C640B0" w:rsidRPr="009D0308" w:rsidRDefault="00C640B0" w:rsidP="0073437D">
            <w:pPr>
              <w:spacing w:before="120" w:after="120"/>
              <w:rPr>
                <w:rFonts w:cs="Arial"/>
              </w:rPr>
            </w:pPr>
            <w:r>
              <w:rPr>
                <w:rFonts w:cs="Arial"/>
              </w:rPr>
              <w:t>9 May 2025</w:t>
            </w:r>
          </w:p>
        </w:tc>
        <w:tc>
          <w:tcPr>
            <w:tcW w:w="7128" w:type="dxa"/>
            <w:shd w:val="clear" w:color="auto" w:fill="D9E2F3" w:themeFill="accent1" w:themeFillTint="33"/>
          </w:tcPr>
          <w:p w14:paraId="7ED3636A" w14:textId="77777777" w:rsidR="00C640B0" w:rsidRPr="00E4650A" w:rsidRDefault="00C640B0" w:rsidP="0073437D">
            <w:pPr>
              <w:spacing w:before="120" w:after="120"/>
              <w:rPr>
                <w:rFonts w:cs="Arial"/>
              </w:rPr>
            </w:pPr>
            <w:r w:rsidRPr="00E4650A">
              <w:rPr>
                <w:rFonts w:cs="Arial"/>
              </w:rPr>
              <w:t xml:space="preserve">Draft report </w:t>
            </w:r>
            <w:r>
              <w:rPr>
                <w:rFonts w:cs="Arial"/>
              </w:rPr>
              <w:t xml:space="preserve">submitted </w:t>
            </w:r>
            <w:r w:rsidRPr="00E4650A">
              <w:rPr>
                <w:rFonts w:cs="Arial"/>
              </w:rPr>
              <w:t>to DFAT</w:t>
            </w:r>
          </w:p>
        </w:tc>
      </w:tr>
      <w:tr w:rsidR="00C640B0" w:rsidRPr="00E4650A" w14:paraId="066ED09C" w14:textId="77777777" w:rsidTr="57ADDF87">
        <w:trPr>
          <w:trHeight w:val="300"/>
        </w:trPr>
        <w:tc>
          <w:tcPr>
            <w:tcW w:w="2730" w:type="dxa"/>
            <w:tcBorders>
              <w:bottom w:val="single" w:sz="4" w:space="0" w:color="auto"/>
            </w:tcBorders>
          </w:tcPr>
          <w:p w14:paraId="361D1F78" w14:textId="33156F7A" w:rsidR="00C640B0" w:rsidRPr="009D0308" w:rsidRDefault="00171862" w:rsidP="0073437D">
            <w:pPr>
              <w:spacing w:before="120" w:after="120"/>
              <w:rPr>
                <w:rFonts w:cs="Arial"/>
              </w:rPr>
            </w:pPr>
            <w:r>
              <w:rPr>
                <w:rFonts w:cs="Arial"/>
              </w:rPr>
              <w:t>May</w:t>
            </w:r>
          </w:p>
        </w:tc>
        <w:tc>
          <w:tcPr>
            <w:tcW w:w="7128" w:type="dxa"/>
            <w:tcBorders>
              <w:bottom w:val="single" w:sz="4" w:space="0" w:color="auto"/>
            </w:tcBorders>
          </w:tcPr>
          <w:p w14:paraId="164D197C" w14:textId="77777777" w:rsidR="00C640B0" w:rsidRDefault="00C640B0" w:rsidP="0073437D">
            <w:pPr>
              <w:spacing w:before="120" w:after="120"/>
              <w:rPr>
                <w:rFonts w:cs="Arial"/>
              </w:rPr>
            </w:pPr>
            <w:r>
              <w:rPr>
                <w:rFonts w:cs="Arial"/>
              </w:rPr>
              <w:t xml:space="preserve">DFAT provide feedback on the draft report </w:t>
            </w:r>
          </w:p>
          <w:p w14:paraId="26D76A30" w14:textId="77777777" w:rsidR="00C640B0" w:rsidRPr="00E4650A" w:rsidRDefault="00C640B0" w:rsidP="0073437D">
            <w:pPr>
              <w:spacing w:before="120" w:after="120"/>
              <w:rPr>
                <w:rFonts w:cs="Arial"/>
              </w:rPr>
            </w:pPr>
            <w:r>
              <w:rPr>
                <w:rFonts w:cs="Arial"/>
              </w:rPr>
              <w:t>Re</w:t>
            </w:r>
            <w:r w:rsidRPr="00E4650A">
              <w:rPr>
                <w:rFonts w:cs="Arial"/>
              </w:rPr>
              <w:t>port</w:t>
            </w:r>
            <w:r>
              <w:rPr>
                <w:rFonts w:cs="Arial"/>
              </w:rPr>
              <w:t xml:space="preserve"> finalised</w:t>
            </w:r>
            <w:r w:rsidRPr="00E4650A">
              <w:rPr>
                <w:rFonts w:cs="Arial"/>
              </w:rPr>
              <w:t xml:space="preserve"> based on DFAT’s feedback</w:t>
            </w:r>
          </w:p>
        </w:tc>
      </w:tr>
      <w:tr w:rsidR="00C640B0" w:rsidRPr="00E4650A" w14:paraId="1228E470" w14:textId="77777777" w:rsidTr="57ADDF87">
        <w:trPr>
          <w:trHeight w:val="300"/>
        </w:trPr>
        <w:tc>
          <w:tcPr>
            <w:tcW w:w="2730" w:type="dxa"/>
            <w:shd w:val="clear" w:color="auto" w:fill="D9E2F3" w:themeFill="accent1" w:themeFillTint="33"/>
          </w:tcPr>
          <w:p w14:paraId="6445B17C" w14:textId="77777777" w:rsidR="00C640B0" w:rsidRPr="009D0308" w:rsidRDefault="00C640B0" w:rsidP="0073437D">
            <w:pPr>
              <w:spacing w:before="120" w:after="120"/>
              <w:rPr>
                <w:rFonts w:cs="Arial"/>
              </w:rPr>
            </w:pPr>
            <w:r w:rsidRPr="009D0308">
              <w:rPr>
                <w:rFonts w:cs="Arial"/>
              </w:rPr>
              <w:t>30 May 2025</w:t>
            </w:r>
          </w:p>
        </w:tc>
        <w:tc>
          <w:tcPr>
            <w:tcW w:w="7128" w:type="dxa"/>
            <w:shd w:val="clear" w:color="auto" w:fill="D9E2F3" w:themeFill="accent1" w:themeFillTint="33"/>
          </w:tcPr>
          <w:p w14:paraId="60B6C074" w14:textId="77777777" w:rsidR="00C640B0" w:rsidRPr="00E4650A" w:rsidRDefault="00C640B0" w:rsidP="0073437D">
            <w:pPr>
              <w:spacing w:before="120" w:after="120"/>
              <w:rPr>
                <w:rFonts w:cs="Arial"/>
              </w:rPr>
            </w:pPr>
            <w:r w:rsidRPr="00E4650A">
              <w:rPr>
                <w:rFonts w:cs="Arial"/>
              </w:rPr>
              <w:t>Final report due to DFAT</w:t>
            </w:r>
          </w:p>
        </w:tc>
      </w:tr>
      <w:tr w:rsidR="00C640B0" w:rsidRPr="00E4650A" w14:paraId="6B349AD5" w14:textId="77777777" w:rsidTr="57ADDF87">
        <w:trPr>
          <w:trHeight w:val="300"/>
        </w:trPr>
        <w:tc>
          <w:tcPr>
            <w:tcW w:w="2730" w:type="dxa"/>
          </w:tcPr>
          <w:p w14:paraId="45D05B67" w14:textId="443FC63C" w:rsidR="00C640B0" w:rsidRPr="004F1287" w:rsidDel="006373AC" w:rsidRDefault="00BB37DE" w:rsidP="0073437D">
            <w:pPr>
              <w:spacing w:before="120" w:after="120"/>
              <w:rPr>
                <w:rFonts w:cs="Arial"/>
                <w:highlight w:val="yellow"/>
              </w:rPr>
            </w:pPr>
            <w:r w:rsidRPr="00BB37DE">
              <w:rPr>
                <w:rFonts w:cs="Arial"/>
              </w:rPr>
              <w:t>May</w:t>
            </w:r>
          </w:p>
        </w:tc>
        <w:tc>
          <w:tcPr>
            <w:tcW w:w="7128" w:type="dxa"/>
          </w:tcPr>
          <w:p w14:paraId="654F5987" w14:textId="77777777" w:rsidR="00C640B0" w:rsidRPr="00E4650A" w:rsidRDefault="00C640B0" w:rsidP="0073437D">
            <w:pPr>
              <w:spacing w:before="120" w:after="120"/>
              <w:rPr>
                <w:rFonts w:cs="Arial"/>
              </w:rPr>
            </w:pPr>
            <w:r>
              <w:rPr>
                <w:rFonts w:cs="Arial"/>
              </w:rPr>
              <w:t>Presentation to key stakeholders</w:t>
            </w:r>
          </w:p>
        </w:tc>
      </w:tr>
      <w:tr w:rsidR="00C640B0" w:rsidRPr="00E4650A" w14:paraId="15397336" w14:textId="77777777" w:rsidTr="57ADDF87">
        <w:trPr>
          <w:trHeight w:val="300"/>
        </w:trPr>
        <w:tc>
          <w:tcPr>
            <w:tcW w:w="2730" w:type="dxa"/>
          </w:tcPr>
          <w:p w14:paraId="5C24D856" w14:textId="5705E21D" w:rsidR="00C640B0" w:rsidRPr="00E4650A" w:rsidRDefault="280F3988" w:rsidP="57ADDF87">
            <w:pPr>
              <w:spacing w:before="120" w:after="120"/>
              <w:rPr>
                <w:rFonts w:cs="Arial"/>
                <w:b/>
                <w:bCs/>
              </w:rPr>
            </w:pPr>
            <w:r w:rsidRPr="57ADDF87">
              <w:rPr>
                <w:rFonts w:cs="Arial"/>
                <w:b/>
                <w:bCs/>
              </w:rPr>
              <w:t>Total</w:t>
            </w:r>
            <w:r w:rsidR="7B50609A" w:rsidRPr="57ADDF87">
              <w:rPr>
                <w:rFonts w:cs="Arial"/>
                <w:b/>
                <w:bCs/>
              </w:rPr>
              <w:t xml:space="preserve"> days</w:t>
            </w:r>
          </w:p>
        </w:tc>
        <w:tc>
          <w:tcPr>
            <w:tcW w:w="7128" w:type="dxa"/>
          </w:tcPr>
          <w:p w14:paraId="0C8C37EF" w14:textId="73944909" w:rsidR="00C640B0" w:rsidRPr="006D4CA7" w:rsidRDefault="7B50609A" w:rsidP="57ADDF87">
            <w:pPr>
              <w:spacing w:before="120" w:after="120"/>
              <w:rPr>
                <w:rFonts w:cs="Arial"/>
              </w:rPr>
            </w:pPr>
            <w:r w:rsidRPr="57ADDF87">
              <w:rPr>
                <w:rFonts w:cs="Arial"/>
              </w:rPr>
              <w:t>Up to 110</w:t>
            </w:r>
          </w:p>
        </w:tc>
      </w:tr>
    </w:tbl>
    <w:p w14:paraId="580594CA" w14:textId="77777777" w:rsidR="00C640B0" w:rsidRDefault="00C640B0" w:rsidP="00C640B0">
      <w:pPr>
        <w:rPr>
          <w:sz w:val="24"/>
          <w:szCs w:val="24"/>
        </w:rPr>
      </w:pPr>
    </w:p>
    <w:p w14:paraId="6929EFBC" w14:textId="77777777" w:rsidR="00C640B0" w:rsidRDefault="00C640B0" w:rsidP="00C640B0">
      <w:pPr>
        <w:rPr>
          <w:b/>
          <w:bCs/>
          <w:sz w:val="24"/>
          <w:szCs w:val="24"/>
        </w:rPr>
      </w:pPr>
      <w:r>
        <w:rPr>
          <w:b/>
          <w:bCs/>
          <w:sz w:val="24"/>
          <w:szCs w:val="24"/>
        </w:rPr>
        <w:t>Expected outputs</w:t>
      </w:r>
    </w:p>
    <w:p w14:paraId="08DEDDC9" w14:textId="77777777" w:rsidR="00C640B0" w:rsidRDefault="00C640B0" w:rsidP="00821BD8">
      <w:pPr>
        <w:pStyle w:val="ListParagraph"/>
        <w:numPr>
          <w:ilvl w:val="0"/>
          <w:numId w:val="44"/>
        </w:numPr>
        <w:tabs>
          <w:tab w:val="clear" w:pos="7780"/>
        </w:tabs>
        <w:spacing w:after="160" w:line="259" w:lineRule="auto"/>
        <w:contextualSpacing/>
      </w:pPr>
      <w:r>
        <w:t>Draft evaluation plan</w:t>
      </w:r>
    </w:p>
    <w:p w14:paraId="68EF1D5E" w14:textId="77777777" w:rsidR="00C640B0" w:rsidRDefault="00C640B0" w:rsidP="00C640B0">
      <w:r>
        <w:t xml:space="preserve">The evaluation plan should comply with DFAT’s Monitoring, Evaluation and Learning Standards (Standard 9) and describe the appropriate methodology proposed to answer the key evaluation questions and sub-questions within the allocated timeline and resources. </w:t>
      </w:r>
      <w:r w:rsidRPr="004A3815">
        <w:t>A list of organisations and individuals that will be consulted should be identified</w:t>
      </w:r>
      <w:r>
        <w:t xml:space="preserve"> in consultation with DFAT</w:t>
      </w:r>
      <w:r w:rsidRPr="004A3815">
        <w:t>.</w:t>
      </w:r>
      <w:r>
        <w:t xml:space="preserve"> The evaluation plan should outline the final key evaluation questions and sub-questions and include an interview guide.</w:t>
      </w:r>
    </w:p>
    <w:p w14:paraId="38468594" w14:textId="77777777" w:rsidR="00C640B0" w:rsidRDefault="00C640B0" w:rsidP="00821BD8">
      <w:pPr>
        <w:pStyle w:val="ListParagraph"/>
        <w:numPr>
          <w:ilvl w:val="0"/>
          <w:numId w:val="44"/>
        </w:numPr>
        <w:tabs>
          <w:tab w:val="clear" w:pos="7780"/>
        </w:tabs>
        <w:spacing w:after="160" w:line="259" w:lineRule="auto"/>
        <w:contextualSpacing/>
      </w:pPr>
      <w:r>
        <w:t>Final evaluation plan</w:t>
      </w:r>
    </w:p>
    <w:p w14:paraId="047F3DDC" w14:textId="77777777" w:rsidR="00C640B0" w:rsidRDefault="00C640B0" w:rsidP="00C640B0">
      <w:r>
        <w:t>The final evaluation plan should consider all DFAT feedback on the draft evaluation plan.</w:t>
      </w:r>
    </w:p>
    <w:p w14:paraId="2074D227" w14:textId="77777777" w:rsidR="00C640B0" w:rsidRDefault="00C640B0" w:rsidP="00821BD8">
      <w:pPr>
        <w:pStyle w:val="ListParagraph"/>
        <w:numPr>
          <w:ilvl w:val="0"/>
          <w:numId w:val="44"/>
        </w:numPr>
        <w:tabs>
          <w:tab w:val="clear" w:pos="7780"/>
        </w:tabs>
        <w:spacing w:after="160" w:line="259" w:lineRule="auto"/>
        <w:contextualSpacing/>
      </w:pPr>
      <w:r>
        <w:t>Presentation of initial findings</w:t>
      </w:r>
    </w:p>
    <w:p w14:paraId="3CAEE29B" w14:textId="77777777" w:rsidR="00C640B0" w:rsidRDefault="00C640B0" w:rsidP="00C640B0">
      <w:r>
        <w:t>The evaluation team will present initial findings, seek verification of facts and assumptions, and discuss the feasibility of initial recommendations with DFAT.</w:t>
      </w:r>
    </w:p>
    <w:p w14:paraId="1C38363E" w14:textId="77777777" w:rsidR="00C640B0" w:rsidRDefault="00C640B0" w:rsidP="00821BD8">
      <w:pPr>
        <w:pStyle w:val="ListParagraph"/>
        <w:numPr>
          <w:ilvl w:val="0"/>
          <w:numId w:val="44"/>
        </w:numPr>
        <w:tabs>
          <w:tab w:val="clear" w:pos="7780"/>
        </w:tabs>
        <w:spacing w:after="160" w:line="259" w:lineRule="auto"/>
        <w:contextualSpacing/>
      </w:pPr>
      <w:r>
        <w:t>Draft evaluation report</w:t>
      </w:r>
    </w:p>
    <w:p w14:paraId="3385AB83" w14:textId="77777777" w:rsidR="00C640B0" w:rsidRDefault="00C640B0" w:rsidP="00C640B0">
      <w:r>
        <w:t>The evaluation report should comply with DFAT’s Monitoring, Evaluation and Learning Standards (Standard 10) and address the key evaluation questions and sub-questions as separate sections. The report should be written succinctly and clearly in plain English that can be read as a standalone document (no more than 25-30 pages). The conclusions and recommendations of the report should be practical and evidence-based; judgements should be clear and unambiguous. DFAT will draw on the draft report to help write the FIMR in May 2025.</w:t>
      </w:r>
    </w:p>
    <w:p w14:paraId="2A1182E7" w14:textId="77777777" w:rsidR="00C640B0" w:rsidRDefault="00C640B0" w:rsidP="00821BD8">
      <w:pPr>
        <w:pStyle w:val="ListParagraph"/>
        <w:numPr>
          <w:ilvl w:val="0"/>
          <w:numId w:val="44"/>
        </w:numPr>
        <w:tabs>
          <w:tab w:val="clear" w:pos="7780"/>
        </w:tabs>
        <w:spacing w:after="160" w:line="259" w:lineRule="auto"/>
        <w:contextualSpacing/>
      </w:pPr>
      <w:r>
        <w:t>Final evaluation report</w:t>
      </w:r>
    </w:p>
    <w:p w14:paraId="7CD7A83D" w14:textId="77777777" w:rsidR="00C640B0" w:rsidRDefault="00C640B0" w:rsidP="00C640B0">
      <w:r>
        <w:t xml:space="preserve">The final evaluation report should consider all DFAT feedback on the draft evaluation report. The final report and DFAT management response will be published on the </w:t>
      </w:r>
      <w:hyperlink r:id="rId59" w:history="1">
        <w:r w:rsidRPr="008C6112">
          <w:rPr>
            <w:rStyle w:val="Hyperlink"/>
          </w:rPr>
          <w:t>DFAT website</w:t>
        </w:r>
      </w:hyperlink>
      <w:r>
        <w:t xml:space="preserve"> in line with </w:t>
      </w:r>
      <w:r w:rsidRPr="00244B6B">
        <w:t>DFAT’s Development Evaluation Policy</w:t>
      </w:r>
      <w:r>
        <w:t>. The evaluation team will also present key findings of the evaluation to key stakeholders.</w:t>
      </w:r>
    </w:p>
    <w:p w14:paraId="785E2192" w14:textId="77777777" w:rsidR="00C640B0" w:rsidRPr="009D7358" w:rsidRDefault="00C640B0" w:rsidP="00C640B0"/>
    <w:p w14:paraId="4E3AD028" w14:textId="77777777" w:rsidR="00C640B0" w:rsidRDefault="00C640B0" w:rsidP="00C640B0">
      <w:pPr>
        <w:rPr>
          <w:b/>
          <w:bCs/>
          <w:sz w:val="24"/>
          <w:szCs w:val="24"/>
        </w:rPr>
      </w:pPr>
      <w:r>
        <w:rPr>
          <w:b/>
          <w:bCs/>
          <w:sz w:val="24"/>
          <w:szCs w:val="24"/>
        </w:rPr>
        <w:t>Key documents</w:t>
      </w:r>
    </w:p>
    <w:p w14:paraId="41505A95" w14:textId="77777777" w:rsidR="00C640B0" w:rsidRPr="00E5576B" w:rsidRDefault="00C640B0" w:rsidP="00C640B0">
      <w:pPr>
        <w:spacing w:before="120" w:after="120"/>
        <w:rPr>
          <w:rFonts w:cs="Arial"/>
        </w:rPr>
      </w:pPr>
      <w:r w:rsidRPr="00E4650A">
        <w:rPr>
          <w:rFonts w:cs="Arial"/>
        </w:rPr>
        <w:t xml:space="preserve">DFAT will make </w:t>
      </w:r>
      <w:r>
        <w:rPr>
          <w:rFonts w:cs="Arial"/>
        </w:rPr>
        <w:t xml:space="preserve">available the following </w:t>
      </w:r>
      <w:r w:rsidRPr="00E4650A">
        <w:rPr>
          <w:rFonts w:cs="Arial"/>
        </w:rPr>
        <w:t>information</w:t>
      </w:r>
      <w:r>
        <w:rPr>
          <w:rFonts w:cs="Arial"/>
        </w:rPr>
        <w:t xml:space="preserve"> and</w:t>
      </w:r>
      <w:r w:rsidRPr="00E4650A">
        <w:rPr>
          <w:rFonts w:cs="Arial"/>
        </w:rPr>
        <w:t xml:space="preserve"> documents relating to </w:t>
      </w:r>
      <w:r>
        <w:rPr>
          <w:rFonts w:cs="Arial"/>
        </w:rPr>
        <w:t>the investment and</w:t>
      </w:r>
      <w:r w:rsidRPr="00E4650A">
        <w:rPr>
          <w:rFonts w:cs="Arial"/>
        </w:rPr>
        <w:t xml:space="preserve"> any other reasonable requests for information and documentation relating to the evaluation. The </w:t>
      </w:r>
      <w:r>
        <w:rPr>
          <w:rFonts w:cs="Arial"/>
        </w:rPr>
        <w:t>evaluation team</w:t>
      </w:r>
      <w:r w:rsidRPr="00E4650A">
        <w:rPr>
          <w:rFonts w:cs="Arial"/>
        </w:rPr>
        <w:t xml:space="preserve"> is expected to independently source other relevant material and literature.</w:t>
      </w:r>
    </w:p>
    <w:p w14:paraId="42AFEDFB" w14:textId="77777777" w:rsidR="00C640B0" w:rsidRDefault="00C640B0" w:rsidP="00821BD8">
      <w:pPr>
        <w:pStyle w:val="ListParagraph"/>
        <w:numPr>
          <w:ilvl w:val="0"/>
          <w:numId w:val="45"/>
        </w:numPr>
        <w:tabs>
          <w:tab w:val="clear" w:pos="7780"/>
        </w:tabs>
        <w:spacing w:after="160" w:line="259" w:lineRule="auto"/>
        <w:contextualSpacing/>
      </w:pPr>
      <w:r>
        <w:t>Investment documentation</w:t>
      </w:r>
    </w:p>
    <w:p w14:paraId="72498694" w14:textId="0ABF8D1C" w:rsidR="00C640B0" w:rsidRDefault="00C640B0" w:rsidP="00821BD8">
      <w:pPr>
        <w:pStyle w:val="ListParagraph"/>
        <w:numPr>
          <w:ilvl w:val="1"/>
          <w:numId w:val="45"/>
        </w:numPr>
        <w:tabs>
          <w:tab w:val="clear" w:pos="7780"/>
        </w:tabs>
        <w:spacing w:after="160" w:line="259" w:lineRule="auto"/>
        <w:contextualSpacing/>
      </w:pPr>
      <w:r>
        <w:t xml:space="preserve">Draft investment program logic (see </w:t>
      </w:r>
      <w:r w:rsidR="000F3351">
        <w:rPr>
          <w:b/>
          <w:bCs/>
        </w:rPr>
        <w:t>Annexe</w:t>
      </w:r>
      <w:r>
        <w:rPr>
          <w:b/>
          <w:bCs/>
        </w:rPr>
        <w:t xml:space="preserve"> 1</w:t>
      </w:r>
      <w:r>
        <w:t>)</w:t>
      </w:r>
    </w:p>
    <w:p w14:paraId="09BCD826" w14:textId="77777777" w:rsidR="00C640B0" w:rsidRDefault="00C640B0" w:rsidP="00821BD8">
      <w:pPr>
        <w:pStyle w:val="ListParagraph"/>
        <w:numPr>
          <w:ilvl w:val="1"/>
          <w:numId w:val="45"/>
        </w:numPr>
        <w:tabs>
          <w:tab w:val="clear" w:pos="7780"/>
        </w:tabs>
        <w:spacing w:after="160" w:line="259" w:lineRule="auto"/>
        <w:contextualSpacing/>
      </w:pPr>
      <w:r>
        <w:t>Detailed list of activities and agreements</w:t>
      </w:r>
    </w:p>
    <w:p w14:paraId="2CBCF15D" w14:textId="77777777" w:rsidR="00C640B0" w:rsidRDefault="00C640B0" w:rsidP="00821BD8">
      <w:pPr>
        <w:pStyle w:val="ListParagraph"/>
        <w:numPr>
          <w:ilvl w:val="1"/>
          <w:numId w:val="45"/>
        </w:numPr>
        <w:tabs>
          <w:tab w:val="clear" w:pos="7780"/>
        </w:tabs>
        <w:spacing w:after="160" w:line="259" w:lineRule="auto"/>
        <w:contextualSpacing/>
      </w:pPr>
      <w:r>
        <w:t>Program documents (e.g. agreements, reports and supporting documentation)</w:t>
      </w:r>
    </w:p>
    <w:p w14:paraId="6784422B" w14:textId="77777777" w:rsidR="00C640B0" w:rsidRDefault="00C640B0" w:rsidP="00821BD8">
      <w:pPr>
        <w:pStyle w:val="ListParagraph"/>
        <w:numPr>
          <w:ilvl w:val="1"/>
          <w:numId w:val="45"/>
        </w:numPr>
        <w:tabs>
          <w:tab w:val="clear" w:pos="7780"/>
        </w:tabs>
        <w:spacing w:after="160" w:line="259" w:lineRule="auto"/>
        <w:contextualSpacing/>
      </w:pPr>
      <w:r>
        <w:t xml:space="preserve">Evaluation reports and management responses (see </w:t>
      </w:r>
      <w:r>
        <w:rPr>
          <w:b/>
          <w:bCs/>
        </w:rPr>
        <w:t>Table 2</w:t>
      </w:r>
      <w:r>
        <w:t>)</w:t>
      </w:r>
    </w:p>
    <w:p w14:paraId="57EB4D1A" w14:textId="77777777" w:rsidR="00C640B0" w:rsidRDefault="00C640B0" w:rsidP="00821BD8">
      <w:pPr>
        <w:pStyle w:val="ListParagraph"/>
        <w:numPr>
          <w:ilvl w:val="1"/>
          <w:numId w:val="45"/>
        </w:numPr>
        <w:tabs>
          <w:tab w:val="clear" w:pos="7780"/>
        </w:tabs>
        <w:spacing w:after="160" w:line="259" w:lineRule="auto"/>
        <w:contextualSpacing/>
      </w:pPr>
      <w:r>
        <w:t xml:space="preserve">DFAT investment quality reporting (2010 to 2024) </w:t>
      </w:r>
    </w:p>
    <w:p w14:paraId="78F9C458" w14:textId="77777777" w:rsidR="00C640B0" w:rsidRDefault="00C640B0" w:rsidP="00821BD8">
      <w:pPr>
        <w:pStyle w:val="ListParagraph"/>
        <w:numPr>
          <w:ilvl w:val="1"/>
          <w:numId w:val="45"/>
        </w:numPr>
        <w:tabs>
          <w:tab w:val="clear" w:pos="7780"/>
        </w:tabs>
        <w:spacing w:after="160" w:line="259" w:lineRule="auto"/>
        <w:contextualSpacing/>
      </w:pPr>
      <w:r>
        <w:t>Relevant unclassified DFAT cable reporting</w:t>
      </w:r>
    </w:p>
    <w:p w14:paraId="20EE655F" w14:textId="77777777" w:rsidR="00C640B0" w:rsidRDefault="00C640B0" w:rsidP="00821BD8">
      <w:pPr>
        <w:pStyle w:val="ListParagraph"/>
        <w:numPr>
          <w:ilvl w:val="0"/>
          <w:numId w:val="45"/>
        </w:numPr>
        <w:tabs>
          <w:tab w:val="clear" w:pos="7780"/>
        </w:tabs>
        <w:spacing w:after="160" w:line="259" w:lineRule="auto"/>
        <w:contextualSpacing/>
      </w:pPr>
      <w:hyperlink r:id="rId60" w:history="1">
        <w:r w:rsidRPr="00B641EE">
          <w:rPr>
            <w:rStyle w:val="Hyperlink"/>
          </w:rPr>
          <w:t>DFAT Monitoring, Evaluation and Learning Standards</w:t>
        </w:r>
      </w:hyperlink>
    </w:p>
    <w:p w14:paraId="74B3BBA9" w14:textId="77777777" w:rsidR="00C640B0" w:rsidRDefault="00C640B0" w:rsidP="00821BD8">
      <w:pPr>
        <w:pStyle w:val="ListParagraph"/>
        <w:numPr>
          <w:ilvl w:val="0"/>
          <w:numId w:val="45"/>
        </w:numPr>
        <w:tabs>
          <w:tab w:val="clear" w:pos="7780"/>
        </w:tabs>
        <w:spacing w:after="160" w:line="259" w:lineRule="auto"/>
        <w:contextualSpacing/>
      </w:pPr>
      <w:r>
        <w:t xml:space="preserve">Final investment monitoring report (FIMR) template </w:t>
      </w:r>
    </w:p>
    <w:p w14:paraId="2E332D8B" w14:textId="77777777" w:rsidR="00C640B0" w:rsidRDefault="00C640B0" w:rsidP="00821BD8">
      <w:pPr>
        <w:pStyle w:val="ListParagraph"/>
        <w:numPr>
          <w:ilvl w:val="0"/>
          <w:numId w:val="45"/>
        </w:numPr>
        <w:tabs>
          <w:tab w:val="clear" w:pos="7780"/>
        </w:tabs>
        <w:spacing w:after="160" w:line="259" w:lineRule="auto"/>
        <w:contextualSpacing/>
      </w:pPr>
      <w:r>
        <w:t>Key partnership documents</w:t>
      </w:r>
    </w:p>
    <w:p w14:paraId="7C66FDBE" w14:textId="77777777" w:rsidR="00C640B0" w:rsidRDefault="00C640B0" w:rsidP="00821BD8">
      <w:pPr>
        <w:pStyle w:val="ListParagraph"/>
        <w:numPr>
          <w:ilvl w:val="1"/>
          <w:numId w:val="45"/>
        </w:numPr>
        <w:tabs>
          <w:tab w:val="clear" w:pos="7780"/>
        </w:tabs>
        <w:spacing w:after="160" w:line="259" w:lineRule="auto"/>
        <w:contextualSpacing/>
      </w:pPr>
      <w:hyperlink r:id="rId61" w:history="1">
        <w:r w:rsidRPr="00B641EE">
          <w:rPr>
            <w:rStyle w:val="Hyperlink"/>
          </w:rPr>
          <w:t>Partnership between the Government of Australia and the Pacific Islands Forum Fisheries Agency 2018-2028</w:t>
        </w:r>
      </w:hyperlink>
    </w:p>
    <w:p w14:paraId="16215078" w14:textId="77777777" w:rsidR="00C640B0" w:rsidRDefault="00C640B0" w:rsidP="00821BD8">
      <w:pPr>
        <w:pStyle w:val="ListParagraph"/>
        <w:numPr>
          <w:ilvl w:val="1"/>
          <w:numId w:val="45"/>
        </w:numPr>
        <w:tabs>
          <w:tab w:val="clear" w:pos="7780"/>
        </w:tabs>
        <w:spacing w:after="160" w:line="259" w:lineRule="auto"/>
        <w:contextualSpacing/>
      </w:pPr>
      <w:hyperlink r:id="rId62" w:history="1">
        <w:r>
          <w:rPr>
            <w:rStyle w:val="Hyperlink"/>
          </w:rPr>
          <w:t>Partnership between the Pacific Community (SPC) and the Government of Australia (</w:t>
        </w:r>
        <w:proofErr w:type="spellStart"/>
        <w:r>
          <w:rPr>
            <w:rStyle w:val="Hyperlink"/>
          </w:rPr>
          <w:t>GoA</w:t>
        </w:r>
        <w:proofErr w:type="spellEnd"/>
        <w:r>
          <w:rPr>
            <w:rStyle w:val="Hyperlink"/>
          </w:rPr>
          <w:t>) 2014-2023 | Australian Government Department of Foreign Affairs and Trade</w:t>
        </w:r>
      </w:hyperlink>
    </w:p>
    <w:p w14:paraId="1718DB8C" w14:textId="77777777" w:rsidR="00C640B0" w:rsidRDefault="00C640B0" w:rsidP="00821BD8">
      <w:pPr>
        <w:pStyle w:val="ListParagraph"/>
        <w:numPr>
          <w:ilvl w:val="1"/>
          <w:numId w:val="45"/>
        </w:numPr>
        <w:tabs>
          <w:tab w:val="clear" w:pos="7780"/>
        </w:tabs>
        <w:spacing w:after="160" w:line="259" w:lineRule="auto"/>
        <w:contextualSpacing/>
      </w:pPr>
      <w:r>
        <w:t xml:space="preserve">Pacific Community – Government of Australia Strategic Partnership Framework 2024-2033 </w:t>
      </w:r>
    </w:p>
    <w:p w14:paraId="2FAB3612" w14:textId="77777777" w:rsidR="00C640B0" w:rsidRDefault="00C640B0" w:rsidP="00821BD8">
      <w:pPr>
        <w:pStyle w:val="ListParagraph"/>
        <w:numPr>
          <w:ilvl w:val="0"/>
          <w:numId w:val="45"/>
        </w:numPr>
        <w:tabs>
          <w:tab w:val="clear" w:pos="7780"/>
        </w:tabs>
        <w:spacing w:after="160" w:line="259" w:lineRule="auto"/>
        <w:contextualSpacing/>
      </w:pPr>
      <w:r>
        <w:t>Key regional frameworks</w:t>
      </w:r>
    </w:p>
    <w:p w14:paraId="56460A75" w14:textId="77777777" w:rsidR="00C640B0" w:rsidRPr="009D0308" w:rsidRDefault="00C640B0" w:rsidP="00821BD8">
      <w:pPr>
        <w:pStyle w:val="ListParagraph"/>
        <w:numPr>
          <w:ilvl w:val="1"/>
          <w:numId w:val="45"/>
        </w:numPr>
        <w:tabs>
          <w:tab w:val="clear" w:pos="7780"/>
        </w:tabs>
        <w:spacing w:after="160" w:line="259" w:lineRule="auto"/>
        <w:contextualSpacing/>
      </w:pPr>
      <w:hyperlink r:id="rId63" w:history="1">
        <w:r w:rsidRPr="004C2C74">
          <w:rPr>
            <w:rStyle w:val="Hyperlink"/>
          </w:rPr>
          <w:t xml:space="preserve">Framework for a Pacific </w:t>
        </w:r>
        <w:proofErr w:type="spellStart"/>
        <w:r w:rsidRPr="004C2C74">
          <w:rPr>
            <w:rStyle w:val="Hyperlink"/>
          </w:rPr>
          <w:t>Oceanscape</w:t>
        </w:r>
        <w:proofErr w:type="spellEnd"/>
      </w:hyperlink>
    </w:p>
    <w:p w14:paraId="580C1400" w14:textId="77777777" w:rsidR="00C640B0" w:rsidRPr="009D0308" w:rsidRDefault="00C640B0" w:rsidP="00821BD8">
      <w:pPr>
        <w:pStyle w:val="ListParagraph"/>
        <w:numPr>
          <w:ilvl w:val="1"/>
          <w:numId w:val="45"/>
        </w:numPr>
        <w:tabs>
          <w:tab w:val="clear" w:pos="7780"/>
        </w:tabs>
        <w:spacing w:after="160" w:line="259" w:lineRule="auto"/>
        <w:contextualSpacing/>
        <w:rPr>
          <w:rStyle w:val="Hyperlink"/>
        </w:rPr>
      </w:pPr>
      <w:hyperlink r:id="rId64" w:history="1">
        <w:r w:rsidRPr="009D0308">
          <w:rPr>
            <w:rStyle w:val="Hyperlink"/>
          </w:rPr>
          <w:t>Future of Fisheries: A Regional Roadmap for Sustainable Pacific Fisheries</w:t>
        </w:r>
      </w:hyperlink>
    </w:p>
    <w:p w14:paraId="62683A9C" w14:textId="77777777" w:rsidR="00C640B0" w:rsidRPr="009D0308" w:rsidRDefault="00C640B0" w:rsidP="00821BD8">
      <w:pPr>
        <w:pStyle w:val="ListParagraph"/>
        <w:numPr>
          <w:ilvl w:val="1"/>
          <w:numId w:val="45"/>
        </w:numPr>
        <w:tabs>
          <w:tab w:val="clear" w:pos="7780"/>
        </w:tabs>
        <w:spacing w:after="160" w:line="259" w:lineRule="auto"/>
        <w:contextualSpacing/>
        <w:rPr>
          <w:rStyle w:val="Hyperlink"/>
        </w:rPr>
      </w:pPr>
      <w:hyperlink r:id="rId65" w:history="1">
        <w:r w:rsidRPr="009D0308">
          <w:rPr>
            <w:rStyle w:val="Hyperlink"/>
          </w:rPr>
          <w:t>A New Song for Coastal Fisheries</w:t>
        </w:r>
        <w:r>
          <w:rPr>
            <w:rStyle w:val="Hyperlink"/>
          </w:rPr>
          <w:t xml:space="preserve"> – </w:t>
        </w:r>
        <w:r w:rsidRPr="009D0308">
          <w:rPr>
            <w:rStyle w:val="Hyperlink"/>
          </w:rPr>
          <w:t>Pathways to Change</w:t>
        </w:r>
      </w:hyperlink>
    </w:p>
    <w:p w14:paraId="539D611E" w14:textId="77777777" w:rsidR="00C640B0" w:rsidRPr="009D0308" w:rsidRDefault="00C640B0" w:rsidP="00821BD8">
      <w:pPr>
        <w:pStyle w:val="ListParagraph"/>
        <w:numPr>
          <w:ilvl w:val="1"/>
          <w:numId w:val="45"/>
        </w:numPr>
        <w:tabs>
          <w:tab w:val="clear" w:pos="7780"/>
        </w:tabs>
        <w:spacing w:after="160" w:line="259" w:lineRule="auto"/>
        <w:contextualSpacing/>
        <w:rPr>
          <w:rStyle w:val="Hyperlink"/>
        </w:rPr>
      </w:pPr>
      <w:hyperlink r:id="rId66" w:history="1">
        <w:r w:rsidRPr="009D0308">
          <w:rPr>
            <w:rStyle w:val="Hyperlink"/>
          </w:rPr>
          <w:t>Pacific Framework for Action on Scaling up Community-based Fisheries Management: 2021-2030</w:t>
        </w:r>
      </w:hyperlink>
    </w:p>
    <w:p w14:paraId="57A38BB2" w14:textId="77777777" w:rsidR="00C640B0" w:rsidRDefault="00C640B0" w:rsidP="00821BD8">
      <w:pPr>
        <w:pStyle w:val="ListParagraph"/>
        <w:numPr>
          <w:ilvl w:val="1"/>
          <w:numId w:val="45"/>
        </w:numPr>
        <w:tabs>
          <w:tab w:val="clear" w:pos="7780"/>
        </w:tabs>
        <w:spacing w:after="160" w:line="259" w:lineRule="auto"/>
        <w:contextualSpacing/>
        <w:rPr>
          <w:rStyle w:val="Hyperlink"/>
        </w:rPr>
      </w:pPr>
      <w:hyperlink r:id="rId67" w:history="1">
        <w:r w:rsidRPr="009D0308">
          <w:rPr>
            <w:rStyle w:val="Hyperlink"/>
          </w:rPr>
          <w:t>Pacific Islands Forum: 2050 Strategy for the Blue Pacific Continent</w:t>
        </w:r>
      </w:hyperlink>
    </w:p>
    <w:p w14:paraId="383316AA" w14:textId="77777777" w:rsidR="00C640B0" w:rsidRDefault="00C640B0" w:rsidP="00821BD8">
      <w:pPr>
        <w:pStyle w:val="ListParagraph"/>
        <w:numPr>
          <w:ilvl w:val="1"/>
          <w:numId w:val="45"/>
        </w:numPr>
        <w:tabs>
          <w:tab w:val="clear" w:pos="7780"/>
        </w:tabs>
        <w:spacing w:after="160" w:line="259" w:lineRule="auto"/>
        <w:contextualSpacing/>
        <w:rPr>
          <w:rStyle w:val="Hyperlink"/>
        </w:rPr>
      </w:pPr>
      <w:hyperlink r:id="rId68" w:history="1">
        <w:r>
          <w:rPr>
            <w:rStyle w:val="Hyperlink"/>
          </w:rPr>
          <w:t>Pacific Islands Forum Fisheries Agency</w:t>
        </w:r>
        <w:r w:rsidRPr="00C714EE">
          <w:rPr>
            <w:rStyle w:val="Hyperlink"/>
          </w:rPr>
          <w:t xml:space="preserve"> Strategic Plan 2020-2025</w:t>
        </w:r>
      </w:hyperlink>
    </w:p>
    <w:p w14:paraId="1AF939EC" w14:textId="77777777" w:rsidR="00C640B0" w:rsidRDefault="00C640B0" w:rsidP="00821BD8">
      <w:pPr>
        <w:pStyle w:val="ListParagraph"/>
        <w:numPr>
          <w:ilvl w:val="1"/>
          <w:numId w:val="45"/>
        </w:numPr>
        <w:tabs>
          <w:tab w:val="clear" w:pos="7780"/>
        </w:tabs>
        <w:spacing w:after="160" w:line="259" w:lineRule="auto"/>
        <w:contextualSpacing/>
        <w:rPr>
          <w:rStyle w:val="Hyperlink"/>
        </w:rPr>
      </w:pPr>
      <w:hyperlink r:id="rId69" w:history="1">
        <w:r w:rsidRPr="00DE348A">
          <w:rPr>
            <w:rStyle w:val="Hyperlink"/>
          </w:rPr>
          <w:t>Pacific Islands Forum Fisheries Agency Business Plan 2021-2025</w:t>
        </w:r>
      </w:hyperlink>
    </w:p>
    <w:p w14:paraId="662FD51E" w14:textId="76F4A80D" w:rsidR="00C640B0" w:rsidRPr="009D0308" w:rsidRDefault="00C640B0" w:rsidP="00821BD8">
      <w:pPr>
        <w:pStyle w:val="ListParagraph"/>
        <w:numPr>
          <w:ilvl w:val="1"/>
          <w:numId w:val="45"/>
        </w:numPr>
        <w:tabs>
          <w:tab w:val="clear" w:pos="7780"/>
        </w:tabs>
        <w:spacing w:after="160" w:line="259" w:lineRule="auto"/>
        <w:contextualSpacing/>
        <w:rPr>
          <w:color w:val="0563C1" w:themeColor="hyperlink"/>
          <w:u w:val="single"/>
        </w:rPr>
      </w:pPr>
      <w:hyperlink r:id="rId70" w:history="1">
        <w:r w:rsidRPr="003A6D05">
          <w:rPr>
            <w:rStyle w:val="Hyperlink"/>
          </w:rPr>
          <w:t xml:space="preserve">SPC </w:t>
        </w:r>
        <w:r w:rsidR="006B5558">
          <w:rPr>
            <w:rStyle w:val="Hyperlink"/>
          </w:rPr>
          <w:t>FAME</w:t>
        </w:r>
        <w:r w:rsidRPr="003A6D05">
          <w:rPr>
            <w:rStyle w:val="Hyperlink"/>
          </w:rPr>
          <w:t xml:space="preserve"> Business Plan 2022-2027</w:t>
        </w:r>
      </w:hyperlink>
    </w:p>
    <w:p w14:paraId="540FDD8D" w14:textId="77777777" w:rsidR="00C640B0" w:rsidRDefault="00C640B0" w:rsidP="00821BD8">
      <w:pPr>
        <w:pStyle w:val="ListParagraph"/>
        <w:numPr>
          <w:ilvl w:val="0"/>
          <w:numId w:val="45"/>
        </w:numPr>
        <w:tabs>
          <w:tab w:val="clear" w:pos="7780"/>
        </w:tabs>
        <w:spacing w:after="160" w:line="259" w:lineRule="auto"/>
        <w:contextualSpacing/>
      </w:pPr>
      <w:r>
        <w:br w:type="page"/>
      </w:r>
    </w:p>
    <w:p w14:paraId="534FCBC6" w14:textId="01EACACA" w:rsidR="00C640B0" w:rsidRPr="00FA2BF4" w:rsidRDefault="000F3351" w:rsidP="00FA2BF4">
      <w:pPr>
        <w:pStyle w:val="Heading3"/>
        <w:rPr>
          <w:b/>
          <w:bCs/>
        </w:rPr>
      </w:pPr>
      <w:bookmarkStart w:id="103" w:name="_Toc207206832"/>
      <w:r w:rsidRPr="00FA2BF4">
        <w:rPr>
          <w:b/>
          <w:bCs/>
        </w:rPr>
        <w:lastRenderedPageBreak/>
        <w:t>Annexe</w:t>
      </w:r>
      <w:r w:rsidR="00C640B0" w:rsidRPr="00FA2BF4">
        <w:rPr>
          <w:b/>
          <w:bCs/>
        </w:rPr>
        <w:t xml:space="preserve"> 1</w:t>
      </w:r>
      <w:r w:rsidR="00073D7C" w:rsidRPr="00FA2BF4">
        <w:rPr>
          <w:b/>
          <w:bCs/>
        </w:rPr>
        <w:t>4</w:t>
      </w:r>
      <w:r w:rsidR="00C640B0" w:rsidRPr="00FA2BF4">
        <w:rPr>
          <w:b/>
          <w:bCs/>
        </w:rPr>
        <w:t>: Evaluation Plan</w:t>
      </w:r>
      <w:bookmarkEnd w:id="103"/>
    </w:p>
    <w:p w14:paraId="2A66E59F" w14:textId="77777777" w:rsidR="00C640B0" w:rsidRPr="00B32E86" w:rsidRDefault="00C640B0" w:rsidP="00C640B0">
      <w:pPr>
        <w:widowControl w:val="0"/>
        <w:pBdr>
          <w:top w:val="nil"/>
          <w:left w:val="nil"/>
          <w:bottom w:val="nil"/>
          <w:right w:val="nil"/>
          <w:between w:val="nil"/>
        </w:pBdr>
        <w:spacing w:line="276" w:lineRule="auto"/>
      </w:pPr>
    </w:p>
    <w:p w14:paraId="4883CEF1" w14:textId="77777777" w:rsidR="00C640B0" w:rsidRPr="00B32E86" w:rsidRDefault="00C640B0" w:rsidP="00C640B0">
      <w:pPr>
        <w:pBdr>
          <w:top w:val="nil"/>
          <w:left w:val="nil"/>
          <w:bottom w:val="nil"/>
          <w:right w:val="nil"/>
          <w:between w:val="nil"/>
        </w:pBdr>
        <w:spacing w:before="1540" w:after="240"/>
        <w:rPr>
          <w:rFonts w:ascii="Calibri" w:eastAsia="Calibri" w:hAnsi="Calibri" w:cs="Calibri"/>
          <w:color w:val="000000"/>
        </w:rPr>
      </w:pPr>
    </w:p>
    <w:p w14:paraId="03A6C6A6" w14:textId="77777777" w:rsidR="00C640B0" w:rsidRPr="00B32E86" w:rsidRDefault="00C640B0" w:rsidP="00C640B0">
      <w:pPr>
        <w:rPr>
          <w:rFonts w:ascii="Oswald" w:eastAsia="Oswald" w:hAnsi="Oswald" w:cs="Oswald"/>
          <w:b/>
          <w:color w:val="0E1428"/>
          <w:sz w:val="52"/>
          <w:szCs w:val="52"/>
        </w:rPr>
      </w:pPr>
      <w:r w:rsidRPr="00B32E86">
        <w:rPr>
          <w:noProof/>
        </w:rPr>
        <w:drawing>
          <wp:anchor distT="0" distB="0" distL="114300" distR="114300" simplePos="0" relativeHeight="251658276" behindDoc="0" locked="0" layoutInCell="1" hidden="0" allowOverlap="1" wp14:anchorId="210AF6F9" wp14:editId="3CB16F1F">
            <wp:simplePos x="0" y="0"/>
            <wp:positionH relativeFrom="column">
              <wp:posOffset>4996</wp:posOffset>
            </wp:positionH>
            <wp:positionV relativeFrom="paragraph">
              <wp:posOffset>94615</wp:posOffset>
            </wp:positionV>
            <wp:extent cx="3449320" cy="1860550"/>
            <wp:effectExtent l="0" t="0" r="0" b="0"/>
            <wp:wrapSquare wrapText="bothSides" distT="0" distB="0" distL="114300" distR="114300"/>
            <wp:docPr id="56" name="Picture 56" descr="A black background with white tex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black background with white text&#10;&#10;Description automatically generated with low confidence"/>
                    <pic:cNvPicPr preferRelativeResize="0"/>
                  </pic:nvPicPr>
                  <pic:blipFill>
                    <a:blip r:embed="rId71"/>
                    <a:srcRect/>
                    <a:stretch>
                      <a:fillRect/>
                    </a:stretch>
                  </pic:blipFill>
                  <pic:spPr>
                    <a:xfrm>
                      <a:off x="0" y="0"/>
                      <a:ext cx="3449320" cy="1860550"/>
                    </a:xfrm>
                    <a:prstGeom prst="rect">
                      <a:avLst/>
                    </a:prstGeom>
                    <a:ln/>
                  </pic:spPr>
                </pic:pic>
              </a:graphicData>
            </a:graphic>
          </wp:anchor>
        </w:drawing>
      </w:r>
    </w:p>
    <w:p w14:paraId="301F92A4" w14:textId="77777777" w:rsidR="00C640B0" w:rsidRPr="00B32E86" w:rsidRDefault="00C640B0" w:rsidP="00C640B0">
      <w:pPr>
        <w:rPr>
          <w:rFonts w:ascii="Oswald" w:eastAsia="Oswald" w:hAnsi="Oswald" w:cs="Oswald"/>
          <w:b/>
          <w:color w:val="0E1428"/>
          <w:sz w:val="52"/>
          <w:szCs w:val="52"/>
        </w:rPr>
      </w:pPr>
    </w:p>
    <w:p w14:paraId="46496A3B" w14:textId="77777777" w:rsidR="00C640B0" w:rsidRPr="00B32E86" w:rsidRDefault="00C640B0" w:rsidP="00C640B0">
      <w:pPr>
        <w:jc w:val="center"/>
        <w:rPr>
          <w:rFonts w:ascii="Oswald" w:eastAsia="Oswald" w:hAnsi="Oswald" w:cs="Oswald"/>
          <w:b/>
          <w:color w:val="0E1428"/>
          <w:sz w:val="52"/>
          <w:szCs w:val="52"/>
        </w:rPr>
      </w:pPr>
    </w:p>
    <w:p w14:paraId="097D2C4F" w14:textId="77777777" w:rsidR="00C640B0" w:rsidRPr="00B32E86" w:rsidRDefault="00C640B0" w:rsidP="00C640B0">
      <w:pPr>
        <w:rPr>
          <w:rFonts w:ascii="Oswald" w:eastAsia="Oswald" w:hAnsi="Oswald" w:cs="Oswald"/>
          <w:b/>
          <w:color w:val="0E1428"/>
          <w:sz w:val="52"/>
          <w:szCs w:val="52"/>
        </w:rPr>
      </w:pPr>
    </w:p>
    <w:p w14:paraId="22198222" w14:textId="77777777" w:rsidR="00C640B0" w:rsidRDefault="00C640B0" w:rsidP="00C640B0">
      <w:pPr>
        <w:tabs>
          <w:tab w:val="left" w:pos="8268"/>
        </w:tabs>
        <w:rPr>
          <w:rFonts w:ascii="Oswald" w:eastAsia="Oswald" w:hAnsi="Oswald" w:cs="Oswald"/>
          <w:b/>
          <w:color w:val="0E1428"/>
          <w:sz w:val="52"/>
          <w:szCs w:val="52"/>
        </w:rPr>
      </w:pPr>
    </w:p>
    <w:p w14:paraId="47A20501" w14:textId="77777777" w:rsidR="00C640B0" w:rsidRPr="00B32E86" w:rsidRDefault="00C640B0" w:rsidP="00C640B0">
      <w:pPr>
        <w:tabs>
          <w:tab w:val="left" w:pos="8268"/>
        </w:tabs>
        <w:rPr>
          <w:rFonts w:ascii="Oswald" w:eastAsia="Oswald" w:hAnsi="Oswald" w:cs="Oswald"/>
          <w:b/>
          <w:color w:val="0E1428"/>
          <w:sz w:val="52"/>
          <w:szCs w:val="52"/>
        </w:rPr>
      </w:pPr>
      <w:r w:rsidRPr="00B32E86">
        <w:rPr>
          <w:rFonts w:ascii="Oswald" w:eastAsia="Oswald" w:hAnsi="Oswald" w:cs="Oswald"/>
          <w:b/>
          <w:color w:val="0E1428"/>
          <w:sz w:val="52"/>
          <w:szCs w:val="52"/>
        </w:rPr>
        <w:tab/>
      </w:r>
      <w:r w:rsidRPr="00B32E86">
        <w:rPr>
          <w:noProof/>
        </w:rPr>
        <mc:AlternateContent>
          <mc:Choice Requires="wps">
            <w:drawing>
              <wp:anchor distT="0" distB="0" distL="114300" distR="114300" simplePos="0" relativeHeight="251658277" behindDoc="0" locked="0" layoutInCell="1" hidden="0" allowOverlap="1" wp14:anchorId="7E00C8BB" wp14:editId="7F21B148">
                <wp:simplePos x="0" y="0"/>
                <wp:positionH relativeFrom="column">
                  <wp:posOffset>-114299</wp:posOffset>
                </wp:positionH>
                <wp:positionV relativeFrom="paragraph">
                  <wp:posOffset>114300</wp:posOffset>
                </wp:positionV>
                <wp:extent cx="4895850" cy="572770"/>
                <wp:effectExtent l="0" t="0" r="0" b="0"/>
                <wp:wrapNone/>
                <wp:docPr id="54" name="Rectangle 54"/>
                <wp:cNvGraphicFramePr/>
                <a:graphic xmlns:a="http://schemas.openxmlformats.org/drawingml/2006/main">
                  <a:graphicData uri="http://schemas.microsoft.com/office/word/2010/wordprocessingShape">
                    <wps:wsp>
                      <wps:cNvSpPr/>
                      <wps:spPr>
                        <a:xfrm>
                          <a:off x="2907600" y="3503140"/>
                          <a:ext cx="4876800" cy="553720"/>
                        </a:xfrm>
                        <a:prstGeom prst="rect">
                          <a:avLst/>
                        </a:prstGeom>
                        <a:noFill/>
                        <a:ln>
                          <a:noFill/>
                        </a:ln>
                      </wps:spPr>
                      <wps:txbx>
                        <w:txbxContent>
                          <w:p w14:paraId="0A4E2C83" w14:textId="77777777" w:rsidR="00C640B0" w:rsidRPr="00EC14BD" w:rsidRDefault="00C640B0" w:rsidP="00C640B0">
                            <w:pPr>
                              <w:textDirection w:val="btLr"/>
                              <w:rPr>
                                <w:sz w:val="36"/>
                                <w:szCs w:val="36"/>
                              </w:rPr>
                            </w:pPr>
                            <w:r>
                              <w:rPr>
                                <w:rFonts w:ascii="Calibri" w:eastAsia="Calibri" w:hAnsi="Calibri" w:cs="Calibri"/>
                                <w:color w:val="B7432A"/>
                                <w:sz w:val="32"/>
                                <w:szCs w:val="36"/>
                              </w:rPr>
                              <w:t>Evaluation of Australia’s Fisheries Development Assistance in the Pacific</w:t>
                            </w:r>
                          </w:p>
                        </w:txbxContent>
                      </wps:txbx>
                      <wps:bodyPr spcFirstLastPara="1" wrap="square" lIns="91425" tIns="45700" rIns="91425" bIns="45700" anchor="t" anchorCtr="0">
                        <a:noAutofit/>
                      </wps:bodyPr>
                    </wps:wsp>
                  </a:graphicData>
                </a:graphic>
              </wp:anchor>
            </w:drawing>
          </mc:Choice>
          <mc:Fallback>
            <w:pict>
              <v:rect w14:anchorId="7E00C8BB" id="Rectangle 54" o:spid="_x0000_s1029" style="position:absolute;margin-left:-9pt;margin-top:9pt;width:385.5pt;height:45.1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" filled="f" stroked="f">
                <v:textbox inset="2.53958mm,1.2694mm,2.53958mm,1.2694mm">
                  <w:txbxContent>
                    <w:p w14:paraId="0A4E2C83" w14:textId="77777777" w:rsidR="00C640B0" w:rsidRPr="00EC14BD" w:rsidRDefault="00C640B0" w:rsidP="00C640B0">
                      <w:pPr>
                        <w:textDirection w:val="btLr"/>
                        <w:rPr>
                          <w:sz w:val="36"/>
                          <w:szCs w:val="36"/>
                        </w:rPr>
                      </w:pPr>
                      <w:r>
                        <w:rPr>
                          <w:rFonts w:ascii="Calibri" w:eastAsia="Calibri" w:hAnsi="Calibri" w:cs="Calibri"/>
                          <w:color w:val="B7432A"/>
                          <w:sz w:val="32"/>
                          <w:szCs w:val="36"/>
                        </w:rPr>
                        <w:t>Evaluation of Australia’s Fisheries Development Assistance in the Pacific</w:t>
                      </w:r>
                    </w:p>
                  </w:txbxContent>
                </v:textbox>
              </v:rect>
            </w:pict>
          </mc:Fallback>
        </mc:AlternateContent>
      </w:r>
    </w:p>
    <w:p w14:paraId="2DA6C91D" w14:textId="77777777" w:rsidR="00C640B0" w:rsidRPr="00B32E86" w:rsidRDefault="00C640B0" w:rsidP="00C640B0">
      <w:pPr>
        <w:rPr>
          <w:rFonts w:ascii="Oswald" w:eastAsia="Oswald" w:hAnsi="Oswald" w:cs="Oswald"/>
          <w:b/>
          <w:color w:val="0E1428"/>
          <w:sz w:val="52"/>
          <w:szCs w:val="52"/>
        </w:rPr>
      </w:pPr>
    </w:p>
    <w:p w14:paraId="727E1787" w14:textId="77777777" w:rsidR="00C640B0" w:rsidRPr="00B32E86" w:rsidRDefault="00C640B0" w:rsidP="00C640B0">
      <w:pPr>
        <w:rPr>
          <w:rFonts w:ascii="Oswald" w:eastAsia="Oswald" w:hAnsi="Oswald" w:cs="Oswald"/>
          <w:b/>
          <w:color w:val="0E1428"/>
          <w:sz w:val="52"/>
          <w:szCs w:val="52"/>
        </w:rPr>
      </w:pPr>
      <w:r w:rsidRPr="00B32E86">
        <w:rPr>
          <w:noProof/>
        </w:rPr>
        <mc:AlternateContent>
          <mc:Choice Requires="wps">
            <w:drawing>
              <wp:anchor distT="0" distB="0" distL="114300" distR="114300" simplePos="0" relativeHeight="251658278" behindDoc="0" locked="0" layoutInCell="1" hidden="0" allowOverlap="1" wp14:anchorId="4A9B0108" wp14:editId="37835CB5">
                <wp:simplePos x="0" y="0"/>
                <wp:positionH relativeFrom="column">
                  <wp:posOffset>-114299</wp:posOffset>
                </wp:positionH>
                <wp:positionV relativeFrom="paragraph">
                  <wp:posOffset>215900</wp:posOffset>
                </wp:positionV>
                <wp:extent cx="4895850" cy="572770"/>
                <wp:effectExtent l="0" t="0" r="0" b="0"/>
                <wp:wrapNone/>
                <wp:docPr id="55" name="Rectangle 55"/>
                <wp:cNvGraphicFramePr/>
                <a:graphic xmlns:a="http://schemas.openxmlformats.org/drawingml/2006/main">
                  <a:graphicData uri="http://schemas.microsoft.com/office/word/2010/wordprocessingShape">
                    <wps:wsp>
                      <wps:cNvSpPr/>
                      <wps:spPr>
                        <a:xfrm>
                          <a:off x="2907600" y="3503140"/>
                          <a:ext cx="4876800" cy="553720"/>
                        </a:xfrm>
                        <a:prstGeom prst="rect">
                          <a:avLst/>
                        </a:prstGeom>
                        <a:noFill/>
                        <a:ln>
                          <a:noFill/>
                        </a:ln>
                      </wps:spPr>
                      <wps:txbx>
                        <w:txbxContent>
                          <w:p w14:paraId="740E4D77" w14:textId="77777777" w:rsidR="00C640B0" w:rsidRDefault="00C640B0" w:rsidP="00C640B0">
                            <w:pPr>
                              <w:textDirection w:val="btLr"/>
                            </w:pPr>
                            <w:r>
                              <w:rPr>
                                <w:rFonts w:ascii="Calibri" w:eastAsia="Calibri" w:hAnsi="Calibri" w:cs="Calibri"/>
                                <w:b/>
                                <w:color w:val="0E1428"/>
                                <w:sz w:val="52"/>
                              </w:rPr>
                              <w:t xml:space="preserve">Evaluation Plan </w:t>
                            </w:r>
                          </w:p>
                        </w:txbxContent>
                      </wps:txbx>
                      <wps:bodyPr spcFirstLastPara="1" wrap="square" lIns="91425" tIns="45700" rIns="91425" bIns="45700" anchor="t" anchorCtr="0">
                        <a:noAutofit/>
                      </wps:bodyPr>
                    </wps:wsp>
                  </a:graphicData>
                </a:graphic>
              </wp:anchor>
            </w:drawing>
          </mc:Choice>
          <mc:Fallback>
            <w:pict>
              <v:rect w14:anchorId="4A9B0108" id="Rectangle 55" o:spid="_x0000_s1030" style="position:absolute;margin-left:-9pt;margin-top:17pt;width:385.5pt;height:45.1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" filled="f" stroked="f">
                <v:textbox inset="2.53958mm,1.2694mm,2.53958mm,1.2694mm">
                  <w:txbxContent>
                    <w:p w14:paraId="740E4D77" w14:textId="77777777" w:rsidR="00C640B0" w:rsidRDefault="00C640B0" w:rsidP="00C640B0">
                      <w:pPr>
                        <w:textDirection w:val="btLr"/>
                      </w:pPr>
                      <w:r>
                        <w:rPr>
                          <w:rFonts w:ascii="Calibri" w:eastAsia="Calibri" w:hAnsi="Calibri" w:cs="Calibri"/>
                          <w:b/>
                          <w:color w:val="0E1428"/>
                          <w:sz w:val="52"/>
                        </w:rPr>
                        <w:t xml:space="preserve">Evaluation Plan </w:t>
                      </w:r>
                    </w:p>
                  </w:txbxContent>
                </v:textbox>
              </v:rect>
            </w:pict>
          </mc:Fallback>
        </mc:AlternateContent>
      </w:r>
    </w:p>
    <w:p w14:paraId="6A598682" w14:textId="77777777" w:rsidR="00C640B0" w:rsidRPr="00B32E86" w:rsidRDefault="00C640B0" w:rsidP="00C640B0">
      <w:pPr>
        <w:rPr>
          <w:rFonts w:ascii="Oswald" w:eastAsia="Oswald" w:hAnsi="Oswald" w:cs="Oswald"/>
          <w:b/>
          <w:color w:val="0E1428"/>
          <w:sz w:val="52"/>
          <w:szCs w:val="52"/>
        </w:rPr>
      </w:pPr>
    </w:p>
    <w:p w14:paraId="078A1BCC" w14:textId="77777777" w:rsidR="00C640B0" w:rsidRPr="00B32E86" w:rsidRDefault="00C640B0" w:rsidP="00C640B0">
      <w:pPr>
        <w:rPr>
          <w:rFonts w:ascii="Oswald" w:eastAsia="Oswald" w:hAnsi="Oswald" w:cs="Oswald"/>
          <w:b/>
          <w:color w:val="0E1428"/>
          <w:sz w:val="52"/>
          <w:szCs w:val="52"/>
        </w:rPr>
      </w:pPr>
    </w:p>
    <w:p w14:paraId="58590A2B" w14:textId="77777777" w:rsidR="00C640B0" w:rsidRPr="00B32E86" w:rsidRDefault="00C640B0" w:rsidP="00C640B0">
      <w:pPr>
        <w:rPr>
          <w:rFonts w:ascii="Oswald" w:eastAsia="Oswald" w:hAnsi="Oswald" w:cs="Oswald"/>
          <w:b/>
          <w:color w:val="0E1428"/>
          <w:sz w:val="52"/>
          <w:szCs w:val="52"/>
        </w:rPr>
      </w:pPr>
      <w:r w:rsidRPr="00B32E86">
        <w:rPr>
          <w:noProof/>
        </w:rPr>
        <mc:AlternateContent>
          <mc:Choice Requires="wps">
            <w:drawing>
              <wp:anchor distT="0" distB="0" distL="114300" distR="114300" simplePos="0" relativeHeight="251658279" behindDoc="0" locked="0" layoutInCell="1" hidden="0" allowOverlap="1" wp14:anchorId="45886C90" wp14:editId="1DB99DDE">
                <wp:simplePos x="0" y="0"/>
                <wp:positionH relativeFrom="column">
                  <wp:posOffset>-114299</wp:posOffset>
                </wp:positionH>
                <wp:positionV relativeFrom="paragraph">
                  <wp:posOffset>63500</wp:posOffset>
                </wp:positionV>
                <wp:extent cx="4895850" cy="572770"/>
                <wp:effectExtent l="0" t="0" r="0" b="0"/>
                <wp:wrapNone/>
                <wp:docPr id="52" name="Rectangle 52"/>
                <wp:cNvGraphicFramePr/>
                <a:graphic xmlns:a="http://schemas.openxmlformats.org/drawingml/2006/main">
                  <a:graphicData uri="http://schemas.microsoft.com/office/word/2010/wordprocessingShape">
                    <wps:wsp>
                      <wps:cNvSpPr/>
                      <wps:spPr>
                        <a:xfrm>
                          <a:off x="2907600" y="3503140"/>
                          <a:ext cx="4876800" cy="553720"/>
                        </a:xfrm>
                        <a:prstGeom prst="rect">
                          <a:avLst/>
                        </a:prstGeom>
                        <a:noFill/>
                        <a:ln>
                          <a:noFill/>
                        </a:ln>
                      </wps:spPr>
                      <wps:txbx>
                        <w:txbxContent>
                          <w:p w14:paraId="63BED10E" w14:textId="77777777" w:rsidR="00C640B0" w:rsidRPr="00EC14BD" w:rsidRDefault="00C640B0" w:rsidP="00C640B0">
                            <w:pPr>
                              <w:textDirection w:val="btLr"/>
                              <w:rPr>
                                <w:sz w:val="32"/>
                                <w:szCs w:val="32"/>
                              </w:rPr>
                            </w:pPr>
                            <w:r>
                              <w:rPr>
                                <w:rFonts w:ascii="Calibri" w:eastAsia="Calibri" w:hAnsi="Calibri" w:cs="Calibri"/>
                                <w:color w:val="B7432A"/>
                                <w:sz w:val="28"/>
                                <w:szCs w:val="32"/>
                              </w:rPr>
                              <w:t>28 February 2025</w:t>
                            </w:r>
                          </w:p>
                        </w:txbxContent>
                      </wps:txbx>
                      <wps:bodyPr spcFirstLastPara="1" wrap="square" lIns="91425" tIns="45700" rIns="91425" bIns="45700" anchor="t" anchorCtr="0">
                        <a:noAutofit/>
                      </wps:bodyPr>
                    </wps:wsp>
                  </a:graphicData>
                </a:graphic>
              </wp:anchor>
            </w:drawing>
          </mc:Choice>
          <mc:Fallback>
            <w:pict>
              <v:rect w14:anchorId="45886C90" id="Rectangle 52" o:spid="_x0000_s1031" style="position:absolute;margin-left:-9pt;margin-top:5pt;width:385.5pt;height:45.1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" filled="f" stroked="f">
                <v:textbox inset="2.53958mm,1.2694mm,2.53958mm,1.2694mm">
                  <w:txbxContent>
                    <w:p w14:paraId="63BED10E" w14:textId="77777777" w:rsidR="00C640B0" w:rsidRPr="00EC14BD" w:rsidRDefault="00C640B0" w:rsidP="00C640B0">
                      <w:pPr>
                        <w:textDirection w:val="btLr"/>
                        <w:rPr>
                          <w:sz w:val="32"/>
                          <w:szCs w:val="32"/>
                        </w:rPr>
                      </w:pPr>
                      <w:r>
                        <w:rPr>
                          <w:rFonts w:ascii="Calibri" w:eastAsia="Calibri" w:hAnsi="Calibri" w:cs="Calibri"/>
                          <w:color w:val="B7432A"/>
                          <w:sz w:val="28"/>
                          <w:szCs w:val="32"/>
                        </w:rPr>
                        <w:t>28 February 2025</w:t>
                      </w:r>
                    </w:p>
                  </w:txbxContent>
                </v:textbox>
              </v:rect>
            </w:pict>
          </mc:Fallback>
        </mc:AlternateContent>
      </w:r>
    </w:p>
    <w:p w14:paraId="6AE80223" w14:textId="77777777" w:rsidR="00C640B0" w:rsidRPr="00B32E86" w:rsidRDefault="00C640B0" w:rsidP="00C640B0">
      <w:pPr>
        <w:rPr>
          <w:rFonts w:ascii="Oswald" w:eastAsia="Oswald" w:hAnsi="Oswald" w:cs="Oswald"/>
          <w:b/>
          <w:color w:val="0E1428"/>
          <w:sz w:val="52"/>
          <w:szCs w:val="52"/>
        </w:rPr>
      </w:pPr>
    </w:p>
    <w:p w14:paraId="2D5BAEBA" w14:textId="77777777" w:rsidR="00A744C0" w:rsidRDefault="00A744C0">
      <w:pPr>
        <w:tabs>
          <w:tab w:val="clear" w:pos="7780"/>
        </w:tabs>
        <w:rPr>
          <w:rFonts w:ascii="Oswald" w:eastAsia="Oswald" w:hAnsi="Oswald" w:cs="Oswald"/>
          <w:b/>
          <w:color w:val="0E1428"/>
          <w:sz w:val="52"/>
          <w:szCs w:val="52"/>
        </w:rPr>
      </w:pPr>
      <w:r>
        <w:rPr>
          <w:rFonts w:ascii="Oswald" w:eastAsia="Oswald" w:hAnsi="Oswald" w:cs="Oswald"/>
          <w:b/>
          <w:color w:val="0E1428"/>
          <w:sz w:val="52"/>
          <w:szCs w:val="52"/>
        </w:rPr>
        <w:br w:type="page"/>
      </w:r>
    </w:p>
    <w:p w14:paraId="61A6F5D8" w14:textId="764AC45A" w:rsidR="00C640B0" w:rsidRPr="00B32E86" w:rsidRDefault="00C640B0" w:rsidP="00C640B0">
      <w:pPr>
        <w:tabs>
          <w:tab w:val="left" w:pos="5779"/>
        </w:tabs>
        <w:rPr>
          <w:rFonts w:ascii="Oswald" w:eastAsia="Oswald" w:hAnsi="Oswald" w:cs="Oswald"/>
          <w:b/>
          <w:color w:val="0E1428"/>
          <w:sz w:val="52"/>
          <w:szCs w:val="52"/>
        </w:rPr>
      </w:pPr>
      <w:r w:rsidRPr="00B32E86">
        <w:rPr>
          <w:rFonts w:ascii="Oswald" w:eastAsia="Oswald" w:hAnsi="Oswald" w:cs="Oswald"/>
          <w:b/>
          <w:color w:val="0E1428"/>
          <w:sz w:val="52"/>
          <w:szCs w:val="52"/>
        </w:rPr>
        <w:lastRenderedPageBreak/>
        <w:tab/>
      </w:r>
    </w:p>
    <w:p w14:paraId="5D32467E" w14:textId="77777777" w:rsidR="00C640B0" w:rsidRPr="00B32E86" w:rsidRDefault="00C640B0" w:rsidP="00C640B0">
      <w:pPr>
        <w:rPr>
          <w:rFonts w:ascii="Roboto Light" w:eastAsia="Roboto Light" w:hAnsi="Roboto Light" w:cs="Roboto Light"/>
          <w:color w:val="0E1428"/>
          <w:sz w:val="18"/>
          <w:szCs w:val="18"/>
        </w:rPr>
      </w:pPr>
    </w:p>
    <w:p w14:paraId="6CC7469B" w14:textId="77777777" w:rsidR="00C640B0" w:rsidRPr="00B32E86" w:rsidRDefault="00C640B0" w:rsidP="00C640B0">
      <w:pPr>
        <w:rPr>
          <w:rFonts w:ascii="Roboto Light" w:eastAsia="Roboto Light" w:hAnsi="Roboto Light" w:cs="Roboto Light"/>
          <w:sz w:val="18"/>
          <w:szCs w:val="18"/>
        </w:rPr>
      </w:pPr>
    </w:p>
    <w:p w14:paraId="33ECABA9" w14:textId="77777777" w:rsidR="00C640B0" w:rsidRPr="00B32E86" w:rsidRDefault="00C640B0" w:rsidP="00C640B0">
      <w:pPr>
        <w:rPr>
          <w:rFonts w:ascii="Roboto Light" w:eastAsia="Roboto Light" w:hAnsi="Roboto Light" w:cs="Roboto Light"/>
          <w:sz w:val="18"/>
          <w:szCs w:val="18"/>
        </w:rPr>
      </w:pPr>
    </w:p>
    <w:p w14:paraId="198235E8" w14:textId="77777777" w:rsidR="00C640B0" w:rsidRPr="00B32E86" w:rsidRDefault="00C640B0" w:rsidP="00C640B0">
      <w:pPr>
        <w:rPr>
          <w:rFonts w:ascii="Roboto Light" w:eastAsia="Roboto Light" w:hAnsi="Roboto Light" w:cs="Roboto Light"/>
          <w:sz w:val="18"/>
          <w:szCs w:val="18"/>
        </w:rPr>
        <w:sectPr w:rsidR="00C640B0" w:rsidRPr="00B32E86" w:rsidSect="000C15A8">
          <w:headerReference w:type="default" r:id="rId72"/>
          <w:footerReference w:type="even" r:id="rId73"/>
          <w:footerReference w:type="default" r:id="rId74"/>
          <w:footerReference w:type="first" r:id="rId75"/>
          <w:pgSz w:w="11900" w:h="16840"/>
          <w:pgMar w:top="1440" w:right="1080" w:bottom="1440" w:left="1080" w:header="709" w:footer="709" w:gutter="0"/>
          <w:cols w:space="720"/>
          <w:titlePg/>
        </w:sectPr>
      </w:pPr>
    </w:p>
    <w:p w14:paraId="3E377091" w14:textId="77777777" w:rsidR="00C640B0" w:rsidRPr="00FA2BF4" w:rsidRDefault="00C640B0" w:rsidP="00FA2BF4">
      <w:pPr>
        <w:pStyle w:val="Heading4"/>
      </w:pPr>
      <w:r w:rsidRPr="00FA2BF4">
        <w:t>Table of Contents</w:t>
      </w:r>
    </w:p>
    <w:bookmarkStart w:id="104" w:name="_heading=h.gjdgxs" w:colFirst="0" w:colLast="0" w:displacedByCustomXml="next"/>
    <w:bookmarkEnd w:id="104" w:displacedByCustomXml="next"/>
    <w:sdt>
      <w:sdtPr>
        <w:rPr>
          <w:rFonts w:ascii="Times New Roman" w:eastAsia="Times New Roman" w:hAnsi="Times New Roman" w:cs="Times New Roman"/>
          <w:b w:val="0"/>
          <w:bCs w:val="0"/>
          <w:caps w:val="0"/>
          <w:noProof w:val="0"/>
          <w:sz w:val="22"/>
          <w:szCs w:val="22"/>
          <w:lang w:eastAsia="en-GB"/>
        </w:rPr>
        <w:id w:val="-1634869440"/>
        <w:docPartObj>
          <w:docPartGallery w:val="Table of Contents"/>
          <w:docPartUnique/>
        </w:docPartObj>
      </w:sdtPr>
      <w:sdtEndPr>
        <w:rPr>
          <w:rFonts w:ascii="Calibri Light" w:eastAsiaTheme="minorEastAsia" w:hAnsi="Calibri Light" w:cstheme="minorBidi"/>
          <w:lang w:eastAsia="en-US"/>
        </w:rPr>
      </w:sdtEndPr>
      <w:sdtContent>
        <w:p w14:paraId="6FE63C58" w14:textId="77F1DB86" w:rsidR="00C640B0" w:rsidRDefault="00C640B0" w:rsidP="00C04EFD">
          <w:pPr>
            <w:pStyle w:val="TOC1"/>
            <w:rPr>
              <w:rFonts w:asciiTheme="minorHAnsi" w:eastAsiaTheme="minorEastAsia" w:hAnsiTheme="minorHAnsi" w:cstheme="minorBidi"/>
              <w:kern w:val="2"/>
              <w:lang w:eastAsia="en-GB"/>
              <w14:ligatures w14:val="standardContextual"/>
            </w:rPr>
          </w:pPr>
          <w:r w:rsidRPr="001278F2">
            <w:fldChar w:fldCharType="begin"/>
          </w:r>
          <w:r w:rsidRPr="001278F2">
            <w:instrText xml:space="preserve"> TOC \h \u \z </w:instrText>
          </w:r>
          <w:r w:rsidRPr="001278F2">
            <w:fldChar w:fldCharType="separate"/>
          </w:r>
          <w:hyperlink w:anchor="_Toc191384071" w:history="1">
            <w:r w:rsidRPr="00DD3E61">
              <w:rPr>
                <w:rStyle w:val="Hyperlink"/>
                <w:rFonts w:ascii="Calibri" w:eastAsia="Calibri" w:hAnsi="Calibri" w:cs="Calibri"/>
              </w:rPr>
              <w:t>The Subject of the Evaluation</w:t>
            </w:r>
            <w:r>
              <w:rPr>
                <w:webHidden/>
              </w:rPr>
              <w:tab/>
            </w:r>
            <w:r>
              <w:rPr>
                <w:webHidden/>
              </w:rPr>
              <w:fldChar w:fldCharType="begin"/>
            </w:r>
            <w:r>
              <w:rPr>
                <w:webHidden/>
              </w:rPr>
              <w:instrText xml:space="preserve"> PAGEREF _Toc191384071 \h </w:instrText>
            </w:r>
            <w:r>
              <w:rPr>
                <w:webHidden/>
              </w:rPr>
            </w:r>
            <w:r>
              <w:rPr>
                <w:webHidden/>
              </w:rPr>
              <w:fldChar w:fldCharType="separate"/>
            </w:r>
            <w:r w:rsidR="00FC67EE">
              <w:rPr>
                <w:webHidden/>
              </w:rPr>
              <w:t>47</w:t>
            </w:r>
            <w:r>
              <w:rPr>
                <w:webHidden/>
              </w:rPr>
              <w:fldChar w:fldCharType="end"/>
            </w:r>
          </w:hyperlink>
        </w:p>
        <w:p w14:paraId="6EA5FBB8" w14:textId="0009A37D" w:rsidR="00C640B0" w:rsidRDefault="00C640B0" w:rsidP="00C04EFD">
          <w:pPr>
            <w:pStyle w:val="TOC1"/>
            <w:rPr>
              <w:rFonts w:asciiTheme="minorHAnsi" w:eastAsiaTheme="minorEastAsia" w:hAnsiTheme="minorHAnsi" w:cstheme="minorBidi"/>
              <w:kern w:val="2"/>
              <w:lang w:eastAsia="en-GB"/>
              <w14:ligatures w14:val="standardContextual"/>
            </w:rPr>
          </w:pPr>
          <w:hyperlink w:anchor="_Toc191384078" w:history="1">
            <w:r w:rsidRPr="00DD3E61">
              <w:rPr>
                <w:rStyle w:val="Hyperlink"/>
                <w:rFonts w:ascii="Calibri" w:eastAsia="Calibri" w:hAnsi="Calibri" w:cs="Calibri"/>
              </w:rPr>
              <w:t>The Purpose of the Evaluation</w:t>
            </w:r>
            <w:r>
              <w:rPr>
                <w:webHidden/>
              </w:rPr>
              <w:tab/>
            </w:r>
            <w:r>
              <w:rPr>
                <w:webHidden/>
              </w:rPr>
              <w:fldChar w:fldCharType="begin"/>
            </w:r>
            <w:r>
              <w:rPr>
                <w:webHidden/>
              </w:rPr>
              <w:instrText xml:space="preserve"> PAGEREF _Toc191384078 \h </w:instrText>
            </w:r>
            <w:r>
              <w:rPr>
                <w:webHidden/>
              </w:rPr>
            </w:r>
            <w:r>
              <w:rPr>
                <w:webHidden/>
              </w:rPr>
              <w:fldChar w:fldCharType="separate"/>
            </w:r>
            <w:r w:rsidR="00FC67EE">
              <w:rPr>
                <w:webHidden/>
              </w:rPr>
              <w:t>48</w:t>
            </w:r>
            <w:r>
              <w:rPr>
                <w:webHidden/>
              </w:rPr>
              <w:fldChar w:fldCharType="end"/>
            </w:r>
          </w:hyperlink>
        </w:p>
        <w:p w14:paraId="70B6B681" w14:textId="64008E2D" w:rsidR="00C640B0" w:rsidRDefault="00C640B0" w:rsidP="00C04EFD">
          <w:pPr>
            <w:pStyle w:val="TOC1"/>
            <w:rPr>
              <w:rFonts w:asciiTheme="minorHAnsi" w:eastAsiaTheme="minorEastAsia" w:hAnsiTheme="minorHAnsi" w:cstheme="minorBidi"/>
              <w:kern w:val="2"/>
              <w:lang w:eastAsia="en-GB"/>
              <w14:ligatures w14:val="standardContextual"/>
            </w:rPr>
          </w:pPr>
          <w:hyperlink w:anchor="_Toc191384079" w:history="1">
            <w:r w:rsidRPr="00DD3E61">
              <w:rPr>
                <w:rStyle w:val="Hyperlink"/>
                <w:rFonts w:ascii="Calibri" w:eastAsia="Calibri" w:hAnsi="Calibri" w:cs="Calibri"/>
              </w:rPr>
              <w:t>Primary Users of the Evaluation</w:t>
            </w:r>
            <w:r>
              <w:rPr>
                <w:webHidden/>
              </w:rPr>
              <w:tab/>
            </w:r>
            <w:r>
              <w:rPr>
                <w:webHidden/>
              </w:rPr>
              <w:fldChar w:fldCharType="begin"/>
            </w:r>
            <w:r>
              <w:rPr>
                <w:webHidden/>
              </w:rPr>
              <w:instrText xml:space="preserve"> PAGEREF _Toc191384079 \h </w:instrText>
            </w:r>
            <w:r>
              <w:rPr>
                <w:webHidden/>
              </w:rPr>
            </w:r>
            <w:r>
              <w:rPr>
                <w:webHidden/>
              </w:rPr>
              <w:fldChar w:fldCharType="separate"/>
            </w:r>
            <w:r w:rsidR="00FC67EE">
              <w:rPr>
                <w:webHidden/>
              </w:rPr>
              <w:t>49</w:t>
            </w:r>
            <w:r>
              <w:rPr>
                <w:webHidden/>
              </w:rPr>
              <w:fldChar w:fldCharType="end"/>
            </w:r>
          </w:hyperlink>
        </w:p>
        <w:p w14:paraId="2C846C06" w14:textId="3C8C2894" w:rsidR="00C640B0" w:rsidRDefault="00C640B0" w:rsidP="00C04EFD">
          <w:pPr>
            <w:pStyle w:val="TOC1"/>
            <w:rPr>
              <w:rFonts w:asciiTheme="minorHAnsi" w:eastAsiaTheme="minorEastAsia" w:hAnsiTheme="minorHAnsi" w:cstheme="minorBidi"/>
              <w:kern w:val="2"/>
              <w:lang w:eastAsia="en-GB"/>
              <w14:ligatures w14:val="standardContextual"/>
            </w:rPr>
          </w:pPr>
          <w:hyperlink w:anchor="_Toc191384080" w:history="1">
            <w:r w:rsidRPr="00DD3E61">
              <w:rPr>
                <w:rStyle w:val="Hyperlink"/>
                <w:rFonts w:ascii="Calibri" w:eastAsia="Calibri" w:hAnsi="Calibri" w:cs="Calibri"/>
              </w:rPr>
              <w:t>Program Logic</w:t>
            </w:r>
            <w:r>
              <w:rPr>
                <w:webHidden/>
              </w:rPr>
              <w:tab/>
            </w:r>
            <w:r>
              <w:rPr>
                <w:webHidden/>
              </w:rPr>
              <w:fldChar w:fldCharType="begin"/>
            </w:r>
            <w:r>
              <w:rPr>
                <w:webHidden/>
              </w:rPr>
              <w:instrText xml:space="preserve"> PAGEREF _Toc191384080 \h </w:instrText>
            </w:r>
            <w:r>
              <w:rPr>
                <w:webHidden/>
              </w:rPr>
            </w:r>
            <w:r>
              <w:rPr>
                <w:webHidden/>
              </w:rPr>
              <w:fldChar w:fldCharType="separate"/>
            </w:r>
            <w:r w:rsidR="00FC67EE">
              <w:rPr>
                <w:webHidden/>
              </w:rPr>
              <w:t>49</w:t>
            </w:r>
            <w:r>
              <w:rPr>
                <w:webHidden/>
              </w:rPr>
              <w:fldChar w:fldCharType="end"/>
            </w:r>
          </w:hyperlink>
        </w:p>
        <w:p w14:paraId="6F30F114" w14:textId="072A2B96" w:rsidR="00C640B0" w:rsidRDefault="00C640B0" w:rsidP="00C04EFD">
          <w:pPr>
            <w:pStyle w:val="TOC1"/>
            <w:rPr>
              <w:rFonts w:asciiTheme="minorHAnsi" w:eastAsiaTheme="minorEastAsia" w:hAnsiTheme="minorHAnsi" w:cstheme="minorBidi"/>
              <w:kern w:val="2"/>
              <w:lang w:eastAsia="en-GB"/>
              <w14:ligatures w14:val="standardContextual"/>
            </w:rPr>
          </w:pPr>
          <w:hyperlink w:anchor="_Toc191384086" w:history="1">
            <w:r w:rsidRPr="00DD3E61">
              <w:rPr>
                <w:rStyle w:val="Hyperlink"/>
                <w:rFonts w:ascii="Calibri" w:eastAsia="Calibri" w:hAnsi="Calibri" w:cs="Calibri"/>
              </w:rPr>
              <w:t>Our Approach</w:t>
            </w:r>
            <w:r>
              <w:rPr>
                <w:webHidden/>
              </w:rPr>
              <w:tab/>
            </w:r>
            <w:r>
              <w:rPr>
                <w:webHidden/>
              </w:rPr>
              <w:fldChar w:fldCharType="begin"/>
            </w:r>
            <w:r>
              <w:rPr>
                <w:webHidden/>
              </w:rPr>
              <w:instrText xml:space="preserve"> PAGEREF _Toc191384086 \h </w:instrText>
            </w:r>
            <w:r>
              <w:rPr>
                <w:webHidden/>
              </w:rPr>
            </w:r>
            <w:r>
              <w:rPr>
                <w:webHidden/>
              </w:rPr>
              <w:fldChar w:fldCharType="separate"/>
            </w:r>
            <w:r w:rsidR="00FC67EE">
              <w:rPr>
                <w:webHidden/>
              </w:rPr>
              <w:t>50</w:t>
            </w:r>
            <w:r>
              <w:rPr>
                <w:webHidden/>
              </w:rPr>
              <w:fldChar w:fldCharType="end"/>
            </w:r>
          </w:hyperlink>
        </w:p>
        <w:p w14:paraId="439D705F" w14:textId="05CA200C" w:rsidR="00C640B0" w:rsidRDefault="00C640B0" w:rsidP="00C04EFD">
          <w:pPr>
            <w:pStyle w:val="TOC1"/>
            <w:rPr>
              <w:rFonts w:asciiTheme="minorHAnsi" w:eastAsiaTheme="minorEastAsia" w:hAnsiTheme="minorHAnsi" w:cstheme="minorBidi"/>
              <w:kern w:val="2"/>
              <w:lang w:eastAsia="en-GB"/>
              <w14:ligatures w14:val="standardContextual"/>
            </w:rPr>
          </w:pPr>
          <w:hyperlink w:anchor="_Toc191384087" w:history="1">
            <w:r w:rsidRPr="00DD3E61">
              <w:rPr>
                <w:rStyle w:val="Hyperlink"/>
                <w:rFonts w:ascii="Calibri" w:eastAsia="Calibri" w:hAnsi="Calibri" w:cs="Calibri"/>
              </w:rPr>
              <w:t>Assumptions, Risks and Limitations</w:t>
            </w:r>
            <w:r>
              <w:rPr>
                <w:webHidden/>
              </w:rPr>
              <w:tab/>
            </w:r>
            <w:r>
              <w:rPr>
                <w:webHidden/>
              </w:rPr>
              <w:fldChar w:fldCharType="begin"/>
            </w:r>
            <w:r>
              <w:rPr>
                <w:webHidden/>
              </w:rPr>
              <w:instrText xml:space="preserve"> PAGEREF _Toc191384087 \h </w:instrText>
            </w:r>
            <w:r>
              <w:rPr>
                <w:webHidden/>
              </w:rPr>
            </w:r>
            <w:r>
              <w:rPr>
                <w:webHidden/>
              </w:rPr>
              <w:fldChar w:fldCharType="separate"/>
            </w:r>
            <w:r w:rsidR="00FC67EE">
              <w:rPr>
                <w:webHidden/>
              </w:rPr>
              <w:t>58</w:t>
            </w:r>
            <w:r>
              <w:rPr>
                <w:webHidden/>
              </w:rPr>
              <w:fldChar w:fldCharType="end"/>
            </w:r>
          </w:hyperlink>
        </w:p>
        <w:p w14:paraId="09ECB9C4" w14:textId="3ADAAF35" w:rsidR="00C640B0" w:rsidRDefault="00C640B0" w:rsidP="00C04EFD">
          <w:pPr>
            <w:pStyle w:val="TOC1"/>
            <w:rPr>
              <w:rFonts w:asciiTheme="minorHAnsi" w:eastAsiaTheme="minorEastAsia" w:hAnsiTheme="minorHAnsi" w:cstheme="minorBidi"/>
              <w:kern w:val="2"/>
              <w:lang w:eastAsia="en-GB"/>
              <w14:ligatures w14:val="standardContextual"/>
            </w:rPr>
          </w:pPr>
          <w:hyperlink w:anchor="_Toc191384088" w:history="1">
            <w:r w:rsidRPr="00DD3E61">
              <w:rPr>
                <w:rStyle w:val="Hyperlink"/>
                <w:rFonts w:ascii="Calibri" w:eastAsia="Calibri" w:hAnsi="Calibri" w:cs="Calibri"/>
              </w:rPr>
              <w:t>Key Personnel</w:t>
            </w:r>
            <w:r>
              <w:rPr>
                <w:webHidden/>
              </w:rPr>
              <w:tab/>
            </w:r>
            <w:r>
              <w:rPr>
                <w:webHidden/>
              </w:rPr>
              <w:fldChar w:fldCharType="begin"/>
            </w:r>
            <w:r>
              <w:rPr>
                <w:webHidden/>
              </w:rPr>
              <w:instrText xml:space="preserve"> PAGEREF _Toc191384088 \h </w:instrText>
            </w:r>
            <w:r>
              <w:rPr>
                <w:webHidden/>
              </w:rPr>
            </w:r>
            <w:r>
              <w:rPr>
                <w:webHidden/>
              </w:rPr>
              <w:fldChar w:fldCharType="separate"/>
            </w:r>
            <w:r w:rsidR="00FC67EE">
              <w:rPr>
                <w:webHidden/>
              </w:rPr>
              <w:t>60</w:t>
            </w:r>
            <w:r>
              <w:rPr>
                <w:webHidden/>
              </w:rPr>
              <w:fldChar w:fldCharType="end"/>
            </w:r>
          </w:hyperlink>
        </w:p>
        <w:p w14:paraId="599F5218" w14:textId="4355BCFE" w:rsidR="00C640B0" w:rsidRDefault="00C640B0" w:rsidP="00C04EFD">
          <w:pPr>
            <w:pStyle w:val="TOC1"/>
            <w:rPr>
              <w:rFonts w:asciiTheme="minorHAnsi" w:eastAsiaTheme="minorEastAsia" w:hAnsiTheme="minorHAnsi" w:cstheme="minorBidi"/>
              <w:kern w:val="2"/>
              <w:lang w:eastAsia="en-GB"/>
              <w14:ligatures w14:val="standardContextual"/>
            </w:rPr>
          </w:pPr>
          <w:hyperlink w:anchor="_Toc191384089" w:history="1">
            <w:r w:rsidRPr="00DD3E61">
              <w:rPr>
                <w:rStyle w:val="Hyperlink"/>
                <w:rFonts w:ascii="Calibri" w:eastAsia="Calibri" w:hAnsi="Calibri" w:cs="Calibri"/>
              </w:rPr>
              <w:t>Outputs</w:t>
            </w:r>
            <w:r>
              <w:rPr>
                <w:webHidden/>
              </w:rPr>
              <w:tab/>
            </w:r>
            <w:r>
              <w:rPr>
                <w:webHidden/>
              </w:rPr>
              <w:fldChar w:fldCharType="begin"/>
            </w:r>
            <w:r>
              <w:rPr>
                <w:webHidden/>
              </w:rPr>
              <w:instrText xml:space="preserve"> PAGEREF _Toc191384089 \h </w:instrText>
            </w:r>
            <w:r>
              <w:rPr>
                <w:webHidden/>
              </w:rPr>
            </w:r>
            <w:r>
              <w:rPr>
                <w:webHidden/>
              </w:rPr>
              <w:fldChar w:fldCharType="separate"/>
            </w:r>
            <w:r w:rsidR="00FC67EE">
              <w:rPr>
                <w:webHidden/>
              </w:rPr>
              <w:t>61</w:t>
            </w:r>
            <w:r>
              <w:rPr>
                <w:webHidden/>
              </w:rPr>
              <w:fldChar w:fldCharType="end"/>
            </w:r>
          </w:hyperlink>
        </w:p>
        <w:p w14:paraId="501D3DE8" w14:textId="1B87E544" w:rsidR="00C640B0" w:rsidRDefault="000F3351" w:rsidP="00C04EFD">
          <w:pPr>
            <w:pStyle w:val="TOC1"/>
            <w:rPr>
              <w:rFonts w:asciiTheme="minorHAnsi" w:eastAsiaTheme="minorEastAsia" w:hAnsiTheme="minorHAnsi" w:cstheme="minorBidi"/>
              <w:kern w:val="2"/>
              <w:lang w:eastAsia="en-GB"/>
              <w14:ligatures w14:val="standardContextual"/>
            </w:rPr>
          </w:pPr>
          <w:hyperlink w:anchor="_Toc191384090" w:history="1">
            <w:r>
              <w:rPr>
                <w:rStyle w:val="Hyperlink"/>
                <w:rFonts w:ascii="Calibri" w:eastAsia="Calibri" w:hAnsi="Calibri" w:cs="Calibri"/>
              </w:rPr>
              <w:t>Annexe</w:t>
            </w:r>
            <w:r w:rsidR="00C640B0" w:rsidRPr="00DD3E61">
              <w:rPr>
                <w:rStyle w:val="Hyperlink"/>
                <w:rFonts w:ascii="Calibri" w:eastAsia="Calibri" w:hAnsi="Calibri" w:cs="Calibri"/>
              </w:rPr>
              <w:t xml:space="preserve"> 1: Program Logic</w:t>
            </w:r>
            <w:r w:rsidR="00C640B0">
              <w:rPr>
                <w:webHidden/>
              </w:rPr>
              <w:tab/>
            </w:r>
            <w:r w:rsidR="00C640B0">
              <w:rPr>
                <w:webHidden/>
              </w:rPr>
              <w:fldChar w:fldCharType="begin"/>
            </w:r>
            <w:r w:rsidR="00C640B0">
              <w:rPr>
                <w:webHidden/>
              </w:rPr>
              <w:instrText xml:space="preserve"> PAGEREF _Toc191384090 \h </w:instrText>
            </w:r>
            <w:r w:rsidR="00C640B0">
              <w:rPr>
                <w:webHidden/>
              </w:rPr>
            </w:r>
            <w:r w:rsidR="00C640B0">
              <w:rPr>
                <w:webHidden/>
              </w:rPr>
              <w:fldChar w:fldCharType="separate"/>
            </w:r>
            <w:r w:rsidR="00FC67EE">
              <w:rPr>
                <w:b w:val="0"/>
                <w:bCs w:val="0"/>
                <w:webHidden/>
                <w:lang w:val="en-US"/>
              </w:rPr>
              <w:t>Error! Bookmark not defined.</w:t>
            </w:r>
            <w:r w:rsidR="00C640B0">
              <w:rPr>
                <w:webHidden/>
              </w:rPr>
              <w:fldChar w:fldCharType="end"/>
            </w:r>
          </w:hyperlink>
        </w:p>
        <w:p w14:paraId="0CDCC94C" w14:textId="4D1D2D13" w:rsidR="00C640B0" w:rsidRDefault="000F3351" w:rsidP="00C04EFD">
          <w:pPr>
            <w:pStyle w:val="TOC1"/>
            <w:rPr>
              <w:rFonts w:asciiTheme="minorHAnsi" w:eastAsiaTheme="minorEastAsia" w:hAnsiTheme="minorHAnsi" w:cstheme="minorBidi"/>
              <w:kern w:val="2"/>
              <w:lang w:eastAsia="en-GB"/>
              <w14:ligatures w14:val="standardContextual"/>
            </w:rPr>
          </w:pPr>
          <w:hyperlink w:anchor="_Toc191384091" w:history="1">
            <w:r>
              <w:rPr>
                <w:rStyle w:val="Hyperlink"/>
                <w:rFonts w:ascii="Calibri" w:eastAsia="Calibri" w:hAnsi="Calibri" w:cs="Calibri"/>
              </w:rPr>
              <w:t>Annexe</w:t>
            </w:r>
            <w:r w:rsidR="00C640B0" w:rsidRPr="00DD3E61">
              <w:rPr>
                <w:rStyle w:val="Hyperlink"/>
                <w:rFonts w:ascii="Calibri" w:eastAsia="Calibri" w:hAnsi="Calibri" w:cs="Calibri"/>
              </w:rPr>
              <w:t xml:space="preserve"> 2: Workplan</w:t>
            </w:r>
            <w:r w:rsidR="00C640B0">
              <w:rPr>
                <w:webHidden/>
              </w:rPr>
              <w:tab/>
            </w:r>
            <w:r w:rsidR="00C640B0">
              <w:rPr>
                <w:webHidden/>
              </w:rPr>
              <w:fldChar w:fldCharType="begin"/>
            </w:r>
            <w:r w:rsidR="00C640B0">
              <w:rPr>
                <w:webHidden/>
              </w:rPr>
              <w:instrText xml:space="preserve"> PAGEREF _Toc191384091 \h </w:instrText>
            </w:r>
            <w:r w:rsidR="00C640B0">
              <w:rPr>
                <w:webHidden/>
              </w:rPr>
            </w:r>
            <w:r w:rsidR="00C640B0">
              <w:rPr>
                <w:webHidden/>
              </w:rPr>
              <w:fldChar w:fldCharType="separate"/>
            </w:r>
            <w:r w:rsidR="00FC67EE">
              <w:rPr>
                <w:b w:val="0"/>
                <w:bCs w:val="0"/>
                <w:webHidden/>
                <w:lang w:val="en-US"/>
              </w:rPr>
              <w:t>Error! Bookmark not defined.</w:t>
            </w:r>
            <w:r w:rsidR="00C640B0">
              <w:rPr>
                <w:webHidden/>
              </w:rPr>
              <w:fldChar w:fldCharType="end"/>
            </w:r>
          </w:hyperlink>
        </w:p>
        <w:p w14:paraId="0D231E30" w14:textId="2F8A6DFB" w:rsidR="00C640B0" w:rsidRDefault="000F3351" w:rsidP="00C04EFD">
          <w:pPr>
            <w:pStyle w:val="TOC1"/>
            <w:rPr>
              <w:rFonts w:asciiTheme="minorHAnsi" w:eastAsiaTheme="minorEastAsia" w:hAnsiTheme="minorHAnsi" w:cstheme="minorBidi"/>
              <w:kern w:val="2"/>
              <w:lang w:eastAsia="en-GB"/>
              <w14:ligatures w14:val="standardContextual"/>
            </w:rPr>
          </w:pPr>
          <w:hyperlink w:anchor="_Toc191384092" w:history="1">
            <w:r>
              <w:rPr>
                <w:rStyle w:val="Hyperlink"/>
                <w:rFonts w:ascii="Calibri" w:eastAsia="Calibri" w:hAnsi="Calibri" w:cs="Calibri"/>
              </w:rPr>
              <w:t>Annexe</w:t>
            </w:r>
            <w:r w:rsidR="00C640B0" w:rsidRPr="00DD3E61">
              <w:rPr>
                <w:rStyle w:val="Hyperlink"/>
                <w:rFonts w:ascii="Calibri" w:eastAsia="Calibri" w:hAnsi="Calibri" w:cs="Calibri"/>
              </w:rPr>
              <w:t xml:space="preserve"> 3: Ethical Considerations</w:t>
            </w:r>
            <w:r w:rsidR="00C640B0">
              <w:rPr>
                <w:webHidden/>
              </w:rPr>
              <w:tab/>
            </w:r>
            <w:r w:rsidR="00C640B0">
              <w:rPr>
                <w:webHidden/>
              </w:rPr>
              <w:fldChar w:fldCharType="begin"/>
            </w:r>
            <w:r w:rsidR="00C640B0">
              <w:rPr>
                <w:webHidden/>
              </w:rPr>
              <w:instrText xml:space="preserve"> PAGEREF _Toc191384092 \h </w:instrText>
            </w:r>
            <w:r w:rsidR="00C640B0">
              <w:rPr>
                <w:webHidden/>
              </w:rPr>
            </w:r>
            <w:r w:rsidR="00C640B0">
              <w:rPr>
                <w:webHidden/>
              </w:rPr>
              <w:fldChar w:fldCharType="separate"/>
            </w:r>
            <w:r w:rsidR="00FC67EE">
              <w:rPr>
                <w:b w:val="0"/>
                <w:bCs w:val="0"/>
                <w:webHidden/>
                <w:lang w:val="en-US"/>
              </w:rPr>
              <w:t>Error! Bookmark not defined.</w:t>
            </w:r>
            <w:r w:rsidR="00C640B0">
              <w:rPr>
                <w:webHidden/>
              </w:rPr>
              <w:fldChar w:fldCharType="end"/>
            </w:r>
          </w:hyperlink>
        </w:p>
        <w:p w14:paraId="1749C60C" w14:textId="16E7C825" w:rsidR="00C640B0" w:rsidRDefault="000F3351" w:rsidP="00C04EFD">
          <w:pPr>
            <w:pStyle w:val="TOC1"/>
            <w:rPr>
              <w:rFonts w:asciiTheme="minorHAnsi" w:eastAsiaTheme="minorEastAsia" w:hAnsiTheme="minorHAnsi" w:cstheme="minorBidi"/>
              <w:kern w:val="2"/>
              <w:lang w:eastAsia="en-GB"/>
              <w14:ligatures w14:val="standardContextual"/>
            </w:rPr>
          </w:pPr>
          <w:hyperlink w:anchor="_Toc191384093" w:history="1">
            <w:r>
              <w:rPr>
                <w:rStyle w:val="Hyperlink"/>
                <w:rFonts w:ascii="Calibri" w:eastAsia="Calibri" w:hAnsi="Calibri" w:cs="Calibri"/>
              </w:rPr>
              <w:t>Annexe</w:t>
            </w:r>
            <w:r w:rsidR="00C640B0" w:rsidRPr="00DD3E61">
              <w:rPr>
                <w:rStyle w:val="Hyperlink"/>
                <w:rFonts w:ascii="Calibri" w:eastAsia="Calibri" w:hAnsi="Calibri" w:cs="Calibri"/>
              </w:rPr>
              <w:t xml:space="preserve"> 4: Indicative List of Key Informants</w:t>
            </w:r>
            <w:r w:rsidR="00C640B0">
              <w:rPr>
                <w:webHidden/>
              </w:rPr>
              <w:tab/>
            </w:r>
            <w:r w:rsidR="00C640B0">
              <w:rPr>
                <w:webHidden/>
              </w:rPr>
              <w:fldChar w:fldCharType="begin"/>
            </w:r>
            <w:r w:rsidR="00C640B0">
              <w:rPr>
                <w:webHidden/>
              </w:rPr>
              <w:instrText xml:space="preserve"> PAGEREF _Toc191384093 \h </w:instrText>
            </w:r>
            <w:r w:rsidR="00C640B0">
              <w:rPr>
                <w:webHidden/>
              </w:rPr>
            </w:r>
            <w:r w:rsidR="00C640B0">
              <w:rPr>
                <w:webHidden/>
              </w:rPr>
              <w:fldChar w:fldCharType="separate"/>
            </w:r>
            <w:r w:rsidR="00FC67EE">
              <w:rPr>
                <w:b w:val="0"/>
                <w:bCs w:val="0"/>
                <w:webHidden/>
                <w:lang w:val="en-US"/>
              </w:rPr>
              <w:t>Error! Bookmark not defined.</w:t>
            </w:r>
            <w:r w:rsidR="00C640B0">
              <w:rPr>
                <w:webHidden/>
              </w:rPr>
              <w:fldChar w:fldCharType="end"/>
            </w:r>
          </w:hyperlink>
        </w:p>
        <w:p w14:paraId="043F6D17" w14:textId="04311F31" w:rsidR="00C640B0" w:rsidRDefault="000F3351" w:rsidP="00C04EFD">
          <w:pPr>
            <w:pStyle w:val="TOC1"/>
            <w:rPr>
              <w:rFonts w:asciiTheme="minorHAnsi" w:eastAsiaTheme="minorEastAsia" w:hAnsiTheme="minorHAnsi" w:cstheme="minorBidi"/>
              <w:kern w:val="2"/>
              <w:lang w:eastAsia="en-GB"/>
              <w14:ligatures w14:val="standardContextual"/>
            </w:rPr>
          </w:pPr>
          <w:hyperlink w:anchor="_Toc191384094" w:history="1">
            <w:r>
              <w:rPr>
                <w:rStyle w:val="Hyperlink"/>
                <w:rFonts w:ascii="Calibri" w:eastAsia="Calibri" w:hAnsi="Calibri" w:cs="Calibri"/>
              </w:rPr>
              <w:t>Annexe</w:t>
            </w:r>
            <w:r w:rsidR="00C640B0" w:rsidRPr="00DD3E61">
              <w:rPr>
                <w:rStyle w:val="Hyperlink"/>
                <w:rFonts w:ascii="Calibri" w:eastAsia="Calibri" w:hAnsi="Calibri" w:cs="Calibri"/>
              </w:rPr>
              <w:t xml:space="preserve"> 5: Bibliography</w:t>
            </w:r>
            <w:r w:rsidR="00C640B0">
              <w:rPr>
                <w:webHidden/>
              </w:rPr>
              <w:tab/>
            </w:r>
            <w:r w:rsidR="00C640B0">
              <w:rPr>
                <w:webHidden/>
              </w:rPr>
              <w:fldChar w:fldCharType="begin"/>
            </w:r>
            <w:r w:rsidR="00C640B0">
              <w:rPr>
                <w:webHidden/>
              </w:rPr>
              <w:instrText xml:space="preserve"> PAGEREF _Toc191384094 \h </w:instrText>
            </w:r>
            <w:r w:rsidR="00C640B0">
              <w:rPr>
                <w:webHidden/>
              </w:rPr>
            </w:r>
            <w:r w:rsidR="00C640B0">
              <w:rPr>
                <w:webHidden/>
              </w:rPr>
              <w:fldChar w:fldCharType="separate"/>
            </w:r>
            <w:r w:rsidR="00FC67EE">
              <w:rPr>
                <w:b w:val="0"/>
                <w:bCs w:val="0"/>
                <w:webHidden/>
                <w:lang w:val="en-US"/>
              </w:rPr>
              <w:t>Error! Bookmark not defined.</w:t>
            </w:r>
            <w:r w:rsidR="00C640B0">
              <w:rPr>
                <w:webHidden/>
              </w:rPr>
              <w:fldChar w:fldCharType="end"/>
            </w:r>
          </w:hyperlink>
        </w:p>
        <w:p w14:paraId="1048BDB6" w14:textId="3D7D83DF" w:rsidR="00C640B0" w:rsidRDefault="000F3351" w:rsidP="00C04EFD">
          <w:pPr>
            <w:pStyle w:val="TOC1"/>
            <w:rPr>
              <w:rFonts w:asciiTheme="minorHAnsi" w:eastAsiaTheme="minorEastAsia" w:hAnsiTheme="minorHAnsi" w:cstheme="minorBidi"/>
              <w:kern w:val="2"/>
              <w:lang w:eastAsia="en-GB"/>
              <w14:ligatures w14:val="standardContextual"/>
            </w:rPr>
          </w:pPr>
          <w:hyperlink w:anchor="_Toc191384095" w:history="1">
            <w:r>
              <w:rPr>
                <w:rStyle w:val="Hyperlink"/>
                <w:rFonts w:ascii="Calibri" w:eastAsia="Calibri" w:hAnsi="Calibri" w:cs="Calibri"/>
              </w:rPr>
              <w:t>Annexe</w:t>
            </w:r>
            <w:r w:rsidR="00C640B0" w:rsidRPr="00DD3E61">
              <w:rPr>
                <w:rStyle w:val="Hyperlink"/>
                <w:rFonts w:ascii="Calibri" w:eastAsia="Calibri" w:hAnsi="Calibri" w:cs="Calibri"/>
              </w:rPr>
              <w:t xml:space="preserve"> 6: The Risk Management Strategy</w:t>
            </w:r>
            <w:r w:rsidR="00C640B0">
              <w:rPr>
                <w:webHidden/>
              </w:rPr>
              <w:tab/>
            </w:r>
            <w:r w:rsidR="00C640B0">
              <w:rPr>
                <w:webHidden/>
              </w:rPr>
              <w:fldChar w:fldCharType="begin"/>
            </w:r>
            <w:r w:rsidR="00C640B0">
              <w:rPr>
                <w:webHidden/>
              </w:rPr>
              <w:instrText xml:space="preserve"> PAGEREF _Toc191384095 \h </w:instrText>
            </w:r>
            <w:r w:rsidR="00C640B0">
              <w:rPr>
                <w:webHidden/>
              </w:rPr>
            </w:r>
            <w:r w:rsidR="00C640B0">
              <w:rPr>
                <w:webHidden/>
              </w:rPr>
              <w:fldChar w:fldCharType="separate"/>
            </w:r>
            <w:r w:rsidR="00FC67EE">
              <w:rPr>
                <w:b w:val="0"/>
                <w:bCs w:val="0"/>
                <w:webHidden/>
                <w:lang w:val="en-US"/>
              </w:rPr>
              <w:t>Error! Bookmark not defined.</w:t>
            </w:r>
            <w:r w:rsidR="00C640B0">
              <w:rPr>
                <w:webHidden/>
              </w:rPr>
              <w:fldChar w:fldCharType="end"/>
            </w:r>
          </w:hyperlink>
        </w:p>
        <w:p w14:paraId="51A2A4FD" w14:textId="33A180FF" w:rsidR="00C640B0" w:rsidRDefault="000F3351" w:rsidP="00C04EFD">
          <w:pPr>
            <w:pStyle w:val="TOC1"/>
            <w:rPr>
              <w:rFonts w:asciiTheme="minorHAnsi" w:eastAsiaTheme="minorEastAsia" w:hAnsiTheme="minorHAnsi" w:cstheme="minorBidi"/>
              <w:kern w:val="2"/>
              <w:lang w:eastAsia="en-GB"/>
              <w14:ligatures w14:val="standardContextual"/>
            </w:rPr>
          </w:pPr>
          <w:hyperlink w:anchor="_Toc191384096" w:history="1">
            <w:r>
              <w:rPr>
                <w:rStyle w:val="Hyperlink"/>
                <w:rFonts w:ascii="Calibri" w:eastAsia="Calibri" w:hAnsi="Calibri" w:cs="Calibri"/>
              </w:rPr>
              <w:t>Annexe</w:t>
            </w:r>
            <w:r w:rsidR="00C640B0" w:rsidRPr="00DD3E61">
              <w:rPr>
                <w:rStyle w:val="Hyperlink"/>
                <w:rFonts w:ascii="Calibri" w:eastAsia="Calibri" w:hAnsi="Calibri" w:cs="Calibri"/>
              </w:rPr>
              <w:t xml:space="preserve"> 7: Portfolio Evaluation Rubric</w:t>
            </w:r>
            <w:r w:rsidR="00C640B0">
              <w:rPr>
                <w:webHidden/>
              </w:rPr>
              <w:tab/>
            </w:r>
            <w:r w:rsidR="00C640B0">
              <w:rPr>
                <w:webHidden/>
              </w:rPr>
              <w:fldChar w:fldCharType="begin"/>
            </w:r>
            <w:r w:rsidR="00C640B0">
              <w:rPr>
                <w:webHidden/>
              </w:rPr>
              <w:instrText xml:space="preserve"> PAGEREF _Toc191384096 \h </w:instrText>
            </w:r>
            <w:r w:rsidR="00C640B0">
              <w:rPr>
                <w:webHidden/>
              </w:rPr>
            </w:r>
            <w:r w:rsidR="00C640B0">
              <w:rPr>
                <w:webHidden/>
              </w:rPr>
              <w:fldChar w:fldCharType="separate"/>
            </w:r>
            <w:r w:rsidR="00FC67EE">
              <w:rPr>
                <w:b w:val="0"/>
                <w:bCs w:val="0"/>
                <w:webHidden/>
                <w:lang w:val="en-US"/>
              </w:rPr>
              <w:t>Error! Bookmark not defined.</w:t>
            </w:r>
            <w:r w:rsidR="00C640B0">
              <w:rPr>
                <w:webHidden/>
              </w:rPr>
              <w:fldChar w:fldCharType="end"/>
            </w:r>
          </w:hyperlink>
        </w:p>
        <w:p w14:paraId="67A06EC0" w14:textId="79824271" w:rsidR="00C640B0" w:rsidRDefault="000F3351" w:rsidP="00C04EFD">
          <w:pPr>
            <w:pStyle w:val="TOC1"/>
            <w:rPr>
              <w:rFonts w:asciiTheme="minorHAnsi" w:eastAsiaTheme="minorEastAsia" w:hAnsiTheme="minorHAnsi" w:cstheme="minorBidi"/>
              <w:kern w:val="2"/>
              <w:lang w:eastAsia="en-GB"/>
              <w14:ligatures w14:val="standardContextual"/>
            </w:rPr>
          </w:pPr>
          <w:hyperlink w:anchor="_Toc191384097" w:history="1">
            <w:r>
              <w:rPr>
                <w:rStyle w:val="Hyperlink"/>
                <w:rFonts w:ascii="Calibri" w:eastAsia="Calibri" w:hAnsi="Calibri" w:cs="Calibri"/>
              </w:rPr>
              <w:t>Annexe</w:t>
            </w:r>
            <w:r w:rsidR="00C640B0" w:rsidRPr="00DD3E61">
              <w:rPr>
                <w:rStyle w:val="Hyperlink"/>
                <w:rFonts w:ascii="Calibri" w:eastAsia="Calibri" w:hAnsi="Calibri" w:cs="Calibri"/>
              </w:rPr>
              <w:t xml:space="preserve"> 8: E-Survey for Pacific Partners</w:t>
            </w:r>
            <w:r w:rsidR="00C640B0">
              <w:rPr>
                <w:webHidden/>
              </w:rPr>
              <w:tab/>
            </w:r>
            <w:r w:rsidR="00C640B0">
              <w:rPr>
                <w:webHidden/>
              </w:rPr>
              <w:fldChar w:fldCharType="begin"/>
            </w:r>
            <w:r w:rsidR="00C640B0">
              <w:rPr>
                <w:webHidden/>
              </w:rPr>
              <w:instrText xml:space="preserve"> PAGEREF _Toc191384097 \h </w:instrText>
            </w:r>
            <w:r w:rsidR="00C640B0">
              <w:rPr>
                <w:webHidden/>
              </w:rPr>
            </w:r>
            <w:r w:rsidR="00C640B0">
              <w:rPr>
                <w:webHidden/>
              </w:rPr>
              <w:fldChar w:fldCharType="separate"/>
            </w:r>
            <w:r w:rsidR="00FC67EE">
              <w:rPr>
                <w:b w:val="0"/>
                <w:bCs w:val="0"/>
                <w:webHidden/>
                <w:lang w:val="en-US"/>
              </w:rPr>
              <w:t>Error! Bookmark not defined.</w:t>
            </w:r>
            <w:r w:rsidR="00C640B0">
              <w:rPr>
                <w:webHidden/>
              </w:rPr>
              <w:fldChar w:fldCharType="end"/>
            </w:r>
          </w:hyperlink>
        </w:p>
        <w:p w14:paraId="10C5AAB9" w14:textId="3C66F39D" w:rsidR="00C640B0" w:rsidRDefault="000F3351" w:rsidP="00C04EFD">
          <w:pPr>
            <w:pStyle w:val="TOC1"/>
            <w:rPr>
              <w:rFonts w:asciiTheme="minorHAnsi" w:eastAsiaTheme="minorEastAsia" w:hAnsiTheme="minorHAnsi" w:cstheme="minorBidi"/>
              <w:kern w:val="2"/>
              <w:lang w:eastAsia="en-GB"/>
              <w14:ligatures w14:val="standardContextual"/>
            </w:rPr>
          </w:pPr>
          <w:hyperlink w:anchor="_Toc191384098" w:history="1">
            <w:r>
              <w:rPr>
                <w:rStyle w:val="Hyperlink"/>
                <w:rFonts w:ascii="Calibri" w:eastAsia="Calibri" w:hAnsi="Calibri" w:cs="Calibri"/>
              </w:rPr>
              <w:t>Annexe</w:t>
            </w:r>
            <w:r w:rsidR="00C640B0" w:rsidRPr="00DD3E61">
              <w:rPr>
                <w:rStyle w:val="Hyperlink"/>
                <w:rFonts w:ascii="Calibri" w:eastAsia="Calibri" w:hAnsi="Calibri" w:cs="Calibri"/>
              </w:rPr>
              <w:t xml:space="preserve"> 9: Indicative Key Informant Interview Guidelines</w:t>
            </w:r>
            <w:r w:rsidR="00C640B0">
              <w:rPr>
                <w:webHidden/>
              </w:rPr>
              <w:tab/>
            </w:r>
            <w:r w:rsidR="00C640B0">
              <w:rPr>
                <w:webHidden/>
              </w:rPr>
              <w:fldChar w:fldCharType="begin"/>
            </w:r>
            <w:r w:rsidR="00C640B0">
              <w:rPr>
                <w:webHidden/>
              </w:rPr>
              <w:instrText xml:space="preserve"> PAGEREF _Toc191384098 \h </w:instrText>
            </w:r>
            <w:r w:rsidR="00C640B0">
              <w:rPr>
                <w:webHidden/>
              </w:rPr>
            </w:r>
            <w:r w:rsidR="00C640B0">
              <w:rPr>
                <w:webHidden/>
              </w:rPr>
              <w:fldChar w:fldCharType="separate"/>
            </w:r>
            <w:r w:rsidR="00FC67EE">
              <w:rPr>
                <w:b w:val="0"/>
                <w:bCs w:val="0"/>
                <w:webHidden/>
                <w:lang w:val="en-US"/>
              </w:rPr>
              <w:t>Error! Bookmark not defined.</w:t>
            </w:r>
            <w:r w:rsidR="00C640B0">
              <w:rPr>
                <w:webHidden/>
              </w:rPr>
              <w:fldChar w:fldCharType="end"/>
            </w:r>
          </w:hyperlink>
        </w:p>
        <w:p w14:paraId="073ABDE3" w14:textId="77777777" w:rsidR="00FA2BF4" w:rsidRDefault="00C640B0" w:rsidP="00FA2BF4">
          <w:pPr>
            <w:pBdr>
              <w:top w:val="nil"/>
              <w:left w:val="nil"/>
              <w:bottom w:val="nil"/>
              <w:right w:val="nil"/>
              <w:between w:val="nil"/>
            </w:pBdr>
            <w:tabs>
              <w:tab w:val="right" w:pos="9010"/>
            </w:tabs>
            <w:spacing w:before="360"/>
          </w:pPr>
          <w:r w:rsidRPr="001278F2">
            <w:fldChar w:fldCharType="end"/>
          </w:r>
        </w:p>
      </w:sdtContent>
    </w:sdt>
    <w:p w14:paraId="086C78BC" w14:textId="120B79DA" w:rsidR="00C640B0" w:rsidRPr="00FA2BF4" w:rsidRDefault="00C640B0" w:rsidP="00FA2BF4">
      <w:pPr>
        <w:pStyle w:val="Heading4"/>
      </w:pPr>
      <w:bookmarkStart w:id="105" w:name="_Toc191384071"/>
      <w:bookmarkStart w:id="106" w:name="_Toc205147382"/>
      <w:bookmarkStart w:id="107" w:name="_Toc205147535"/>
      <w:bookmarkStart w:id="108" w:name="_Toc205147837"/>
      <w:r w:rsidRPr="00FA2BF4">
        <w:lastRenderedPageBreak/>
        <w:t>The Subject of the Evaluation</w:t>
      </w:r>
      <w:bookmarkEnd w:id="105"/>
      <w:bookmarkEnd w:id="106"/>
      <w:bookmarkEnd w:id="107"/>
      <w:bookmarkEnd w:id="108"/>
    </w:p>
    <w:p w14:paraId="44606E08" w14:textId="77777777" w:rsidR="00C640B0" w:rsidRPr="001348B6" w:rsidRDefault="00C640B0" w:rsidP="00A744C0">
      <w:pPr>
        <w:rPr>
          <w:lang w:eastAsia="en-GB"/>
        </w:rPr>
      </w:pPr>
      <w:bookmarkStart w:id="109" w:name="_Toc205147383"/>
      <w:bookmarkStart w:id="110" w:name="_Toc205147536"/>
      <w:bookmarkStart w:id="111" w:name="_Toc205147838"/>
      <w:r w:rsidRPr="001348B6">
        <w:rPr>
          <w:lang w:eastAsia="en-GB"/>
        </w:rPr>
        <w:t>The subject of the evaluation is Australia’s Fisheries Development Assistance in the Pacific investment (INJ201, 2010-2026</w:t>
      </w:r>
      <w:r>
        <w:rPr>
          <w:lang w:eastAsia="en-GB"/>
        </w:rPr>
        <w:t>, total value $132 million</w:t>
      </w:r>
      <w:r w:rsidRPr="001348B6">
        <w:rPr>
          <w:lang w:eastAsia="en-GB"/>
        </w:rPr>
        <w:t>). Australia has supported sustainable fisheries management and economic development in the Pacific for several decades. As a founding member and partner of the Pacific Community (SPC) and the Forum Fisheries Agency (FFA), Australia has provided support to the region to address threats such as illegal, unreported, and unregulated (IUU) fishing, enhance regional coordination, and assist the Pacific in sustainably managing their fisheries and marine resources. The investment has also collaborated with Pacific Island countries and territories to establish their maritime boundaries in line with shared interests in security and prosperity sovereignty.</w:t>
      </w:r>
      <w:bookmarkEnd w:id="109"/>
      <w:bookmarkEnd w:id="110"/>
      <w:bookmarkEnd w:id="111"/>
    </w:p>
    <w:p w14:paraId="426A096A" w14:textId="77777777" w:rsidR="00C640B0" w:rsidRPr="001348B6" w:rsidRDefault="00C640B0" w:rsidP="00A744C0">
      <w:pPr>
        <w:rPr>
          <w:lang w:eastAsia="en-GB"/>
        </w:rPr>
      </w:pPr>
      <w:bookmarkStart w:id="112" w:name="_Toc188017768"/>
      <w:bookmarkStart w:id="113" w:name="_Toc190158527"/>
      <w:bookmarkStart w:id="114" w:name="_Toc191384073"/>
      <w:bookmarkStart w:id="115" w:name="_Toc205147384"/>
      <w:bookmarkStart w:id="116" w:name="_Toc205147537"/>
      <w:bookmarkStart w:id="117" w:name="_Toc205147839"/>
      <w:r w:rsidRPr="001348B6">
        <w:rPr>
          <w:lang w:eastAsia="en-GB"/>
        </w:rPr>
        <w:t>The aims of the investment at inception (as per the investment description) were to:</w:t>
      </w:r>
      <w:bookmarkEnd w:id="112"/>
      <w:bookmarkEnd w:id="113"/>
      <w:bookmarkEnd w:id="114"/>
      <w:bookmarkEnd w:id="115"/>
      <w:bookmarkEnd w:id="116"/>
      <w:bookmarkEnd w:id="117"/>
    </w:p>
    <w:p w14:paraId="78F7FF8C" w14:textId="77777777" w:rsidR="00C640B0" w:rsidRPr="001348B6" w:rsidRDefault="00C640B0" w:rsidP="00A744C0">
      <w:pPr>
        <w:rPr>
          <w:lang w:eastAsia="en-GB"/>
        </w:rPr>
      </w:pPr>
      <w:bookmarkStart w:id="118" w:name="_Toc188017769"/>
      <w:bookmarkStart w:id="119" w:name="_Toc190158528"/>
      <w:bookmarkStart w:id="120" w:name="_Toc191384074"/>
      <w:bookmarkStart w:id="121" w:name="_Toc205147385"/>
      <w:bookmarkStart w:id="122" w:name="_Toc205147538"/>
      <w:bookmarkStart w:id="123" w:name="_Toc205147840"/>
      <w:r w:rsidRPr="001348B6">
        <w:rPr>
          <w:lang w:eastAsia="en-GB"/>
        </w:rPr>
        <w:t>Increase the contribution of fisheries to reducing poverty and achieving sustainable development by strengthening institutional frameworks, policies and plans, and fostering partnerships</w:t>
      </w:r>
      <w:bookmarkEnd w:id="118"/>
      <w:bookmarkEnd w:id="119"/>
      <w:bookmarkEnd w:id="120"/>
      <w:bookmarkEnd w:id="121"/>
      <w:bookmarkEnd w:id="122"/>
      <w:bookmarkEnd w:id="123"/>
    </w:p>
    <w:p w14:paraId="5D13881B" w14:textId="77777777" w:rsidR="00C640B0" w:rsidRPr="001348B6" w:rsidRDefault="00C640B0" w:rsidP="00A744C0">
      <w:pPr>
        <w:rPr>
          <w:lang w:eastAsia="en-GB"/>
        </w:rPr>
      </w:pPr>
      <w:bookmarkStart w:id="124" w:name="_Toc188017770"/>
      <w:bookmarkStart w:id="125" w:name="_Toc190158529"/>
      <w:bookmarkStart w:id="126" w:name="_Toc191384075"/>
      <w:bookmarkStart w:id="127" w:name="_Toc205147386"/>
      <w:bookmarkStart w:id="128" w:name="_Toc205147539"/>
      <w:bookmarkStart w:id="129" w:name="_Toc205147841"/>
      <w:r w:rsidRPr="001348B6">
        <w:rPr>
          <w:lang w:eastAsia="en-GB"/>
        </w:rPr>
        <w:t>Establish jurisdictional rights and responsibilities over maritime zones by formalising maritime boundaries</w:t>
      </w:r>
      <w:bookmarkEnd w:id="124"/>
      <w:bookmarkEnd w:id="125"/>
      <w:bookmarkEnd w:id="126"/>
      <w:bookmarkEnd w:id="127"/>
      <w:bookmarkEnd w:id="128"/>
      <w:bookmarkEnd w:id="129"/>
    </w:p>
    <w:p w14:paraId="51596387" w14:textId="77777777" w:rsidR="00C640B0" w:rsidRPr="001348B6" w:rsidRDefault="00C640B0" w:rsidP="00A744C0">
      <w:pPr>
        <w:rPr>
          <w:lang w:eastAsia="en-GB"/>
        </w:rPr>
      </w:pPr>
      <w:bookmarkStart w:id="130" w:name="_Toc188017771"/>
      <w:bookmarkStart w:id="131" w:name="_Toc190158530"/>
      <w:bookmarkStart w:id="132" w:name="_Toc191384076"/>
      <w:bookmarkStart w:id="133" w:name="_Toc205147387"/>
      <w:bookmarkStart w:id="134" w:name="_Toc205147540"/>
      <w:bookmarkStart w:id="135" w:name="_Toc205147842"/>
      <w:r w:rsidRPr="001348B6">
        <w:rPr>
          <w:lang w:eastAsia="en-GB"/>
        </w:rPr>
        <w:t>Reclaim stewardship of the ocean as core to Pacific Island livelihoods through integrated coastal resource management, marine spatial planning, and managing high seas resources and deep</w:t>
      </w:r>
      <w:r>
        <w:rPr>
          <w:lang w:eastAsia="en-GB"/>
        </w:rPr>
        <w:t>-</w:t>
      </w:r>
      <w:r w:rsidRPr="001348B6">
        <w:rPr>
          <w:lang w:eastAsia="en-GB"/>
        </w:rPr>
        <w:t>sea ecosystems</w:t>
      </w:r>
      <w:bookmarkEnd w:id="130"/>
      <w:bookmarkEnd w:id="131"/>
      <w:bookmarkEnd w:id="132"/>
      <w:bookmarkEnd w:id="133"/>
      <w:bookmarkEnd w:id="134"/>
      <w:bookmarkEnd w:id="135"/>
    </w:p>
    <w:p w14:paraId="6D4C0536" w14:textId="77777777" w:rsidR="00C640B0" w:rsidRPr="00F2184D" w:rsidRDefault="00C640B0" w:rsidP="00A744C0">
      <w:pPr>
        <w:rPr>
          <w:lang w:eastAsia="en-GB"/>
        </w:rPr>
      </w:pPr>
      <w:bookmarkStart w:id="136" w:name="_Toc188017772"/>
      <w:bookmarkStart w:id="137" w:name="_Toc190158531"/>
      <w:bookmarkStart w:id="138" w:name="_Toc191384077"/>
      <w:bookmarkStart w:id="139" w:name="_Toc205147388"/>
      <w:bookmarkStart w:id="140" w:name="_Toc205147541"/>
      <w:bookmarkStart w:id="141" w:name="_Toc205147843"/>
      <w:r w:rsidRPr="001348B6">
        <w:rPr>
          <w:lang w:eastAsia="en-GB"/>
        </w:rPr>
        <w:t>Seek opportunities to adapt to and mitigate the impacts of climate change, climate variability, sea level rise, extreme events and environmental and economic change.</w:t>
      </w:r>
      <w:bookmarkEnd w:id="136"/>
      <w:bookmarkEnd w:id="137"/>
      <w:bookmarkEnd w:id="138"/>
      <w:bookmarkEnd w:id="139"/>
      <w:bookmarkEnd w:id="140"/>
      <w:bookmarkEnd w:id="141"/>
    </w:p>
    <w:p w14:paraId="1870DA49" w14:textId="77777777" w:rsidR="00C640B0" w:rsidRDefault="00C640B0" w:rsidP="00C640B0">
      <w:pPr>
        <w:rPr>
          <w:rFonts w:ascii="Calibri" w:eastAsia="Calibri" w:hAnsi="Calibri" w:cs="Calibri"/>
          <w:color w:val="000000"/>
        </w:rPr>
      </w:pPr>
    </w:p>
    <w:p w14:paraId="3C72EB20" w14:textId="77777777" w:rsidR="00C640B0" w:rsidRDefault="00C640B0" w:rsidP="00C640B0">
      <w:pPr>
        <w:rPr>
          <w:rFonts w:ascii="Calibri" w:eastAsia="Calibri" w:hAnsi="Calibri" w:cs="Calibri"/>
          <w:color w:val="000000"/>
        </w:rPr>
      </w:pPr>
      <w:r>
        <w:rPr>
          <w:rFonts w:ascii="Calibri" w:eastAsia="Calibri" w:hAnsi="Calibri" w:cs="Calibri"/>
          <w:color w:val="000000"/>
        </w:rPr>
        <w:t>These aims have evolved over time as outlined in the ‘Program Logic’ section below.</w:t>
      </w:r>
    </w:p>
    <w:p w14:paraId="1FB304D7" w14:textId="77777777" w:rsidR="00C640B0" w:rsidRDefault="00C640B0" w:rsidP="00C640B0">
      <w:pPr>
        <w:rPr>
          <w:rFonts w:ascii="Calibri" w:eastAsia="Calibri" w:hAnsi="Calibri" w:cs="Calibri"/>
          <w:color w:val="000000"/>
        </w:rPr>
      </w:pPr>
    </w:p>
    <w:p w14:paraId="31CD7A42" w14:textId="07B119F5" w:rsidR="00C640B0" w:rsidRDefault="00C640B0" w:rsidP="00C640B0">
      <w:pPr>
        <w:rPr>
          <w:rFonts w:ascii="Calibri" w:eastAsia="Calibri" w:hAnsi="Calibri" w:cs="Calibri"/>
          <w:color w:val="000000"/>
        </w:rPr>
      </w:pPr>
      <w:r w:rsidRPr="00C54DDF">
        <w:rPr>
          <w:rFonts w:ascii="Calibri" w:eastAsia="Calibri" w:hAnsi="Calibri" w:cs="Calibri"/>
          <w:color w:val="000000"/>
        </w:rPr>
        <w:t xml:space="preserve">Since 2010, the investment has funded 51 separate agreements related to Pacific fisheries (see </w:t>
      </w:r>
      <w:r w:rsidRPr="00C54DDF">
        <w:rPr>
          <w:rFonts w:asciiTheme="minorHAnsi" w:eastAsia="Calibri" w:hAnsiTheme="minorHAnsi"/>
          <w:color w:val="000000"/>
        </w:rPr>
        <w:t xml:space="preserve">themes in </w:t>
      </w:r>
      <w:r w:rsidRPr="00C54DDF">
        <w:rPr>
          <w:rFonts w:asciiTheme="minorHAnsi" w:eastAsia="Calibri" w:hAnsiTheme="minorHAnsi"/>
          <w:color w:val="000000"/>
        </w:rPr>
        <w:fldChar w:fldCharType="begin"/>
      </w:r>
      <w:r w:rsidRPr="00C54DDF">
        <w:rPr>
          <w:rFonts w:asciiTheme="minorHAnsi" w:eastAsia="Calibri" w:hAnsiTheme="minorHAnsi"/>
          <w:color w:val="000000"/>
        </w:rPr>
        <w:instrText xml:space="preserve"> REF _Ref187844117 \h  \* MERGEFORMAT </w:instrText>
      </w:r>
      <w:r w:rsidRPr="00C54DDF">
        <w:rPr>
          <w:rFonts w:asciiTheme="minorHAnsi" w:eastAsia="Calibri" w:hAnsiTheme="minorHAnsi"/>
          <w:color w:val="000000"/>
        </w:rPr>
      </w:r>
      <w:r w:rsidRPr="00C54DDF">
        <w:rPr>
          <w:rFonts w:asciiTheme="minorHAnsi" w:eastAsia="Calibri" w:hAnsiTheme="minorHAnsi"/>
          <w:color w:val="000000"/>
        </w:rPr>
        <w:fldChar w:fldCharType="separate"/>
      </w:r>
      <w:r w:rsidR="00FC67EE" w:rsidRPr="00FC67EE">
        <w:rPr>
          <w:rFonts w:asciiTheme="minorHAnsi" w:hAnsiTheme="minorHAnsi"/>
        </w:rPr>
        <w:t xml:space="preserve">Table </w:t>
      </w:r>
      <w:r w:rsidRPr="00C54DDF">
        <w:rPr>
          <w:rFonts w:asciiTheme="minorHAnsi" w:eastAsia="Calibri" w:hAnsiTheme="minorHAnsi"/>
          <w:color w:val="000000"/>
        </w:rPr>
        <w:fldChar w:fldCharType="end"/>
      </w:r>
      <w:r w:rsidRPr="00C54DDF">
        <w:rPr>
          <w:rFonts w:ascii="Calibri" w:eastAsia="Calibri" w:hAnsi="Calibri" w:cs="Calibri"/>
          <w:color w:val="000000"/>
        </w:rPr>
        <w:t xml:space="preserve">), with 70% of expenditure allocated to core and program funding for Pacific regional organisations (FFA and SPC </w:t>
      </w:r>
      <w:r w:rsidR="006B5558">
        <w:rPr>
          <w:rFonts w:ascii="Calibri" w:eastAsia="Calibri" w:hAnsi="Calibri" w:cs="Calibri"/>
          <w:color w:val="000000"/>
        </w:rPr>
        <w:t>FAME</w:t>
      </w:r>
      <w:r w:rsidRPr="00C54DDF">
        <w:rPr>
          <w:rFonts w:ascii="Calibri" w:eastAsia="Calibri" w:hAnsi="Calibri" w:cs="Calibri"/>
          <w:color w:val="000000"/>
        </w:rPr>
        <w:t xml:space="preserve">) and 30% for project funding concerning coastal fisheries, maritime boundaries, and IUU fishing. This approach and budget allocation have remained consistent throughout the duration of the </w:t>
      </w:r>
      <w:r w:rsidRPr="00650BFB">
        <w:rPr>
          <w:rFonts w:asciiTheme="minorHAnsi" w:eastAsia="Calibri" w:hAnsiTheme="minorHAnsi"/>
          <w:color w:val="000000"/>
        </w:rPr>
        <w:t>investment.</w:t>
      </w:r>
    </w:p>
    <w:p w14:paraId="32D7FAC3" w14:textId="77777777" w:rsidR="00C640B0" w:rsidRPr="00F2184D" w:rsidRDefault="00C640B0" w:rsidP="00C640B0"/>
    <w:p w14:paraId="22BBDAF1" w14:textId="529A63AC" w:rsidR="00C640B0" w:rsidRPr="009F2B83" w:rsidRDefault="00C640B0" w:rsidP="00C640B0">
      <w:pPr>
        <w:pStyle w:val="Caption"/>
      </w:pPr>
      <w:bookmarkStart w:id="142" w:name="_Ref187844117"/>
      <w:r>
        <w:t xml:space="preserve">Table </w:t>
      </w:r>
      <w:r>
        <w:fldChar w:fldCharType="begin"/>
      </w:r>
      <w:r>
        <w:instrText xml:space="preserve"> SEQ Table \* ARABIC </w:instrText>
      </w:r>
      <w:r>
        <w:fldChar w:fldCharType="separate"/>
      </w:r>
      <w:r w:rsidR="00FC67EE">
        <w:rPr>
          <w:noProof/>
        </w:rPr>
        <w:t>5</w:t>
      </w:r>
      <w:r>
        <w:fldChar w:fldCharType="end"/>
      </w:r>
      <w:bookmarkEnd w:id="142"/>
      <w:r>
        <w:t xml:space="preserve">: </w:t>
      </w:r>
      <w:r w:rsidRPr="00935FCB">
        <w:t>Investment activities by theme</w:t>
      </w:r>
    </w:p>
    <w:tbl>
      <w:tblPr>
        <w:tblStyle w:val="GridTable4-Accent5"/>
        <w:tblW w:w="0" w:type="auto"/>
        <w:jc w:val="center"/>
        <w:tblLook w:val="04A0" w:firstRow="1" w:lastRow="0" w:firstColumn="1" w:lastColumn="0" w:noHBand="0" w:noVBand="1"/>
      </w:tblPr>
      <w:tblGrid>
        <w:gridCol w:w="1413"/>
        <w:gridCol w:w="4819"/>
        <w:gridCol w:w="993"/>
        <w:gridCol w:w="1791"/>
      </w:tblGrid>
      <w:tr w:rsidR="00C640B0" w:rsidRPr="00C54DDF" w14:paraId="59947841" w14:textId="77777777" w:rsidTr="007343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1BCB09B3" w14:textId="77777777" w:rsidR="00C640B0" w:rsidRPr="00C54DDF" w:rsidRDefault="00C640B0" w:rsidP="0073437D">
            <w:pPr>
              <w:rPr>
                <w:rFonts w:asciiTheme="minorHAnsi" w:hAnsiTheme="minorHAnsi"/>
                <w:sz w:val="20"/>
                <w:szCs w:val="20"/>
              </w:rPr>
            </w:pPr>
            <w:r w:rsidRPr="00C54DDF">
              <w:rPr>
                <w:rFonts w:asciiTheme="minorHAnsi" w:hAnsiTheme="minorHAnsi"/>
                <w:sz w:val="20"/>
                <w:szCs w:val="20"/>
              </w:rPr>
              <w:t>Theme</w:t>
            </w:r>
          </w:p>
        </w:tc>
        <w:tc>
          <w:tcPr>
            <w:tcW w:w="4819" w:type="dxa"/>
          </w:tcPr>
          <w:p w14:paraId="573FC9B4" w14:textId="77777777" w:rsidR="00C640B0" w:rsidRPr="00C54DDF" w:rsidRDefault="00C640B0" w:rsidP="0073437D">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Description</w:t>
            </w:r>
          </w:p>
        </w:tc>
        <w:tc>
          <w:tcPr>
            <w:tcW w:w="993" w:type="dxa"/>
          </w:tcPr>
          <w:p w14:paraId="4529E8A4" w14:textId="77777777" w:rsidR="00C640B0" w:rsidRPr="00C54DDF" w:rsidRDefault="00C640B0" w:rsidP="0073437D">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Value (AUD)</w:t>
            </w:r>
          </w:p>
        </w:tc>
        <w:tc>
          <w:tcPr>
            <w:tcW w:w="1791" w:type="dxa"/>
          </w:tcPr>
          <w:p w14:paraId="73CEA4C8" w14:textId="77777777" w:rsidR="00C640B0" w:rsidRPr="00C54DDF" w:rsidRDefault="00C640B0" w:rsidP="0073437D">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 of investment value</w:t>
            </w:r>
          </w:p>
        </w:tc>
      </w:tr>
      <w:tr w:rsidR="00C640B0" w:rsidRPr="00C54DDF" w14:paraId="37020D69" w14:textId="77777777" w:rsidTr="007343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2FD62929" w14:textId="77777777" w:rsidR="00C640B0" w:rsidRPr="00C54DDF" w:rsidRDefault="00C640B0" w:rsidP="0073437D">
            <w:pPr>
              <w:rPr>
                <w:rFonts w:asciiTheme="minorHAnsi" w:hAnsiTheme="minorHAnsi"/>
                <w:sz w:val="20"/>
                <w:szCs w:val="20"/>
              </w:rPr>
            </w:pPr>
            <w:r w:rsidRPr="00C54DDF">
              <w:rPr>
                <w:rFonts w:asciiTheme="minorHAnsi" w:hAnsiTheme="minorHAnsi"/>
                <w:sz w:val="20"/>
                <w:szCs w:val="20"/>
              </w:rPr>
              <w:t>FFA</w:t>
            </w:r>
          </w:p>
        </w:tc>
        <w:tc>
          <w:tcPr>
            <w:tcW w:w="4819" w:type="dxa"/>
          </w:tcPr>
          <w:p w14:paraId="45F5D1AD"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Core funding and corporate support to the Pacific Islands Forum Fisheries Agency (FFA)</w:t>
            </w:r>
          </w:p>
        </w:tc>
        <w:tc>
          <w:tcPr>
            <w:tcW w:w="993" w:type="dxa"/>
          </w:tcPr>
          <w:p w14:paraId="0279B424"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$65.56m</w:t>
            </w:r>
          </w:p>
        </w:tc>
        <w:tc>
          <w:tcPr>
            <w:tcW w:w="1791" w:type="dxa"/>
          </w:tcPr>
          <w:p w14:paraId="120077D6"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51.28%</w:t>
            </w:r>
          </w:p>
        </w:tc>
      </w:tr>
      <w:tr w:rsidR="00C640B0" w:rsidRPr="00C54DDF" w14:paraId="599F8EAA" w14:textId="77777777" w:rsidTr="0073437D">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64C93641" w14:textId="6D517D0A" w:rsidR="00C640B0" w:rsidRPr="00C54DDF" w:rsidRDefault="00C640B0" w:rsidP="0073437D">
            <w:pPr>
              <w:rPr>
                <w:rFonts w:asciiTheme="minorHAnsi" w:hAnsiTheme="minorHAnsi"/>
                <w:sz w:val="20"/>
                <w:szCs w:val="20"/>
              </w:rPr>
            </w:pPr>
            <w:r w:rsidRPr="00C54DDF">
              <w:rPr>
                <w:rFonts w:asciiTheme="minorHAnsi" w:hAnsiTheme="minorHAnsi"/>
                <w:sz w:val="20"/>
                <w:szCs w:val="20"/>
              </w:rPr>
              <w:t xml:space="preserve">SPC </w:t>
            </w:r>
            <w:r w:rsidR="006B5558">
              <w:rPr>
                <w:rFonts w:asciiTheme="minorHAnsi" w:hAnsiTheme="minorHAnsi"/>
                <w:sz w:val="20"/>
                <w:szCs w:val="20"/>
              </w:rPr>
              <w:t>FAME</w:t>
            </w:r>
          </w:p>
        </w:tc>
        <w:tc>
          <w:tcPr>
            <w:tcW w:w="4819" w:type="dxa"/>
          </w:tcPr>
          <w:p w14:paraId="163355E6" w14:textId="5547A5AB" w:rsidR="00C640B0" w:rsidRPr="00C54DDF"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Program funding and corporate support to SPC’s Fisheries, Aquaculture and Marine Ecosystems Division (</w:t>
            </w:r>
            <w:r w:rsidR="006B5558">
              <w:rPr>
                <w:rFonts w:asciiTheme="minorHAnsi" w:hAnsiTheme="minorHAnsi"/>
                <w:sz w:val="20"/>
                <w:szCs w:val="20"/>
              </w:rPr>
              <w:t>FAME</w:t>
            </w:r>
            <w:r w:rsidRPr="00C54DDF">
              <w:rPr>
                <w:rFonts w:asciiTheme="minorHAnsi" w:hAnsiTheme="minorHAnsi"/>
                <w:sz w:val="20"/>
                <w:szCs w:val="20"/>
              </w:rPr>
              <w:t>)</w:t>
            </w:r>
          </w:p>
        </w:tc>
        <w:tc>
          <w:tcPr>
            <w:tcW w:w="993" w:type="dxa"/>
          </w:tcPr>
          <w:p w14:paraId="4A731CD0" w14:textId="77777777" w:rsidR="00C640B0" w:rsidRPr="00C54DDF"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$26.39m</w:t>
            </w:r>
          </w:p>
        </w:tc>
        <w:tc>
          <w:tcPr>
            <w:tcW w:w="1791" w:type="dxa"/>
          </w:tcPr>
          <w:p w14:paraId="3D25439C" w14:textId="77777777" w:rsidR="00C640B0" w:rsidRPr="00C54DDF"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19.74%</w:t>
            </w:r>
          </w:p>
        </w:tc>
      </w:tr>
      <w:tr w:rsidR="00C640B0" w:rsidRPr="00C54DDF" w14:paraId="6FCDF0D6" w14:textId="77777777" w:rsidTr="007343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5930E52D" w14:textId="77777777" w:rsidR="00C640B0" w:rsidRPr="00C54DDF" w:rsidRDefault="00C640B0" w:rsidP="0073437D">
            <w:pPr>
              <w:rPr>
                <w:rFonts w:asciiTheme="minorHAnsi" w:hAnsiTheme="minorHAnsi"/>
                <w:sz w:val="20"/>
                <w:szCs w:val="20"/>
              </w:rPr>
            </w:pPr>
            <w:r w:rsidRPr="00C54DDF">
              <w:rPr>
                <w:rFonts w:asciiTheme="minorHAnsi" w:hAnsiTheme="minorHAnsi"/>
                <w:sz w:val="20"/>
                <w:szCs w:val="20"/>
              </w:rPr>
              <w:t>Coastal Fisheries</w:t>
            </w:r>
          </w:p>
        </w:tc>
        <w:tc>
          <w:tcPr>
            <w:tcW w:w="4819" w:type="dxa"/>
          </w:tcPr>
          <w:p w14:paraId="43D4CBE2"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Community-Based Fisheries Management in the Pacific (project with ACIAR and ANCORS)</w:t>
            </w:r>
          </w:p>
        </w:tc>
        <w:tc>
          <w:tcPr>
            <w:tcW w:w="993" w:type="dxa"/>
          </w:tcPr>
          <w:p w14:paraId="559E8374"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$21.86m</w:t>
            </w:r>
          </w:p>
        </w:tc>
        <w:tc>
          <w:tcPr>
            <w:tcW w:w="1791" w:type="dxa"/>
          </w:tcPr>
          <w:p w14:paraId="3D25D7A0"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16.35%</w:t>
            </w:r>
          </w:p>
        </w:tc>
      </w:tr>
      <w:tr w:rsidR="00C640B0" w:rsidRPr="00C54DDF" w14:paraId="52AA6C89" w14:textId="77777777" w:rsidTr="0073437D">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4A9D282B" w14:textId="77777777" w:rsidR="00C640B0" w:rsidRPr="00C54DDF" w:rsidRDefault="00C640B0" w:rsidP="0073437D">
            <w:pPr>
              <w:rPr>
                <w:rFonts w:asciiTheme="minorHAnsi" w:hAnsiTheme="minorHAnsi"/>
                <w:sz w:val="20"/>
                <w:szCs w:val="20"/>
              </w:rPr>
            </w:pPr>
            <w:r w:rsidRPr="00C54DDF">
              <w:rPr>
                <w:rFonts w:asciiTheme="minorHAnsi" w:hAnsiTheme="minorHAnsi"/>
                <w:sz w:val="20"/>
                <w:szCs w:val="20"/>
              </w:rPr>
              <w:t>IUU Fishing</w:t>
            </w:r>
          </w:p>
        </w:tc>
        <w:tc>
          <w:tcPr>
            <w:tcW w:w="4819" w:type="dxa"/>
          </w:tcPr>
          <w:p w14:paraId="0A1ADF27" w14:textId="77777777" w:rsidR="00C640B0" w:rsidRPr="00C54DDF"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Support to address illegal, unreported and unregulated fishing through the FFA and Australian Fisheries Management Authority (AFMA)</w:t>
            </w:r>
          </w:p>
        </w:tc>
        <w:tc>
          <w:tcPr>
            <w:tcW w:w="993" w:type="dxa"/>
          </w:tcPr>
          <w:p w14:paraId="43EF935D" w14:textId="77777777" w:rsidR="00C640B0" w:rsidRPr="00C54DDF"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$7.84m</w:t>
            </w:r>
          </w:p>
        </w:tc>
        <w:tc>
          <w:tcPr>
            <w:tcW w:w="1791" w:type="dxa"/>
          </w:tcPr>
          <w:p w14:paraId="58F53977" w14:textId="77777777" w:rsidR="00C640B0" w:rsidRPr="00C54DDF"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5.86%</w:t>
            </w:r>
          </w:p>
        </w:tc>
      </w:tr>
      <w:tr w:rsidR="00C640B0" w:rsidRPr="00C54DDF" w14:paraId="6E842DE0" w14:textId="77777777" w:rsidTr="007343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6F12A998" w14:textId="77777777" w:rsidR="00C640B0" w:rsidRPr="00C54DDF" w:rsidRDefault="00C640B0" w:rsidP="0073437D">
            <w:pPr>
              <w:rPr>
                <w:rFonts w:asciiTheme="minorHAnsi" w:hAnsiTheme="minorHAnsi"/>
                <w:sz w:val="20"/>
                <w:szCs w:val="20"/>
              </w:rPr>
            </w:pPr>
            <w:r w:rsidRPr="00C54DDF">
              <w:rPr>
                <w:rFonts w:asciiTheme="minorHAnsi" w:hAnsiTheme="minorHAnsi"/>
                <w:sz w:val="20"/>
                <w:szCs w:val="20"/>
              </w:rPr>
              <w:t>Maritime Boundaries</w:t>
            </w:r>
          </w:p>
        </w:tc>
        <w:tc>
          <w:tcPr>
            <w:tcW w:w="4819" w:type="dxa"/>
          </w:tcPr>
          <w:p w14:paraId="3A0126A7"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Support for SPC’s maritime boundaries project (continued under investment INN614 from 2020)</w:t>
            </w:r>
          </w:p>
        </w:tc>
        <w:tc>
          <w:tcPr>
            <w:tcW w:w="993" w:type="dxa"/>
          </w:tcPr>
          <w:p w14:paraId="5934A703"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$5.09m</w:t>
            </w:r>
          </w:p>
        </w:tc>
        <w:tc>
          <w:tcPr>
            <w:tcW w:w="1791" w:type="dxa"/>
          </w:tcPr>
          <w:p w14:paraId="53F80FD5"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3.81%</w:t>
            </w:r>
          </w:p>
        </w:tc>
      </w:tr>
      <w:tr w:rsidR="00C640B0" w:rsidRPr="00C54DDF" w14:paraId="2DFD0FD6" w14:textId="77777777" w:rsidTr="0073437D">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5FE0DFDC" w14:textId="77777777" w:rsidR="00C640B0" w:rsidRPr="00C54DDF" w:rsidRDefault="00C640B0" w:rsidP="0073437D">
            <w:pPr>
              <w:rPr>
                <w:rFonts w:asciiTheme="minorHAnsi" w:hAnsiTheme="minorHAnsi"/>
                <w:sz w:val="20"/>
                <w:szCs w:val="20"/>
              </w:rPr>
            </w:pPr>
            <w:r w:rsidRPr="00C54DDF">
              <w:rPr>
                <w:rFonts w:asciiTheme="minorHAnsi" w:hAnsiTheme="minorHAnsi"/>
                <w:sz w:val="20"/>
                <w:szCs w:val="20"/>
              </w:rPr>
              <w:t>Oceans</w:t>
            </w:r>
          </w:p>
        </w:tc>
        <w:tc>
          <w:tcPr>
            <w:tcW w:w="4819" w:type="dxa"/>
          </w:tcPr>
          <w:p w14:paraId="50F8F3EE" w14:textId="77777777" w:rsidR="00C640B0" w:rsidRPr="00C54DDF"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Funding for the Office of the Pacific Ocean Commissioner and Pacific travel to UN meetings (work transferred to a different team from 2022)</w:t>
            </w:r>
          </w:p>
        </w:tc>
        <w:tc>
          <w:tcPr>
            <w:tcW w:w="993" w:type="dxa"/>
          </w:tcPr>
          <w:p w14:paraId="79B2D8B5" w14:textId="77777777" w:rsidR="00C640B0" w:rsidRPr="00C54DDF"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$2.74m</w:t>
            </w:r>
          </w:p>
        </w:tc>
        <w:tc>
          <w:tcPr>
            <w:tcW w:w="1791" w:type="dxa"/>
          </w:tcPr>
          <w:p w14:paraId="5D30A37E" w14:textId="77777777" w:rsidR="00C640B0" w:rsidRPr="00C54DDF"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2.05%</w:t>
            </w:r>
          </w:p>
        </w:tc>
      </w:tr>
      <w:tr w:rsidR="00C640B0" w:rsidRPr="00C54DDF" w14:paraId="4233C9DD" w14:textId="77777777" w:rsidTr="007343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60555045" w14:textId="77777777" w:rsidR="00C640B0" w:rsidRPr="00C54DDF" w:rsidRDefault="00C640B0" w:rsidP="0073437D">
            <w:pPr>
              <w:rPr>
                <w:rFonts w:asciiTheme="minorHAnsi" w:hAnsiTheme="minorHAnsi"/>
                <w:b w:val="0"/>
                <w:bCs w:val="0"/>
                <w:sz w:val="20"/>
                <w:szCs w:val="20"/>
              </w:rPr>
            </w:pPr>
            <w:r w:rsidRPr="00C54DDF">
              <w:rPr>
                <w:rFonts w:asciiTheme="minorHAnsi" w:hAnsiTheme="minorHAnsi"/>
                <w:sz w:val="20"/>
                <w:szCs w:val="20"/>
              </w:rPr>
              <w:t>Indian Ocean</w:t>
            </w:r>
          </w:p>
        </w:tc>
        <w:tc>
          <w:tcPr>
            <w:tcW w:w="4819" w:type="dxa"/>
          </w:tcPr>
          <w:p w14:paraId="43F54481"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i/>
                <w:iCs/>
                <w:sz w:val="20"/>
                <w:szCs w:val="20"/>
              </w:rPr>
            </w:pPr>
            <w:r w:rsidRPr="00C54DDF">
              <w:rPr>
                <w:rFonts w:asciiTheme="minorHAnsi" w:hAnsiTheme="minorHAnsi"/>
                <w:sz w:val="20"/>
                <w:szCs w:val="20"/>
              </w:rPr>
              <w:t>Funding for DAFF and CSIRO to undertake Indian Ocean work (until 2016)</w:t>
            </w:r>
            <w:r w:rsidRPr="00C54DDF">
              <w:rPr>
                <w:rFonts w:asciiTheme="minorHAnsi" w:hAnsiTheme="minorHAnsi"/>
                <w:i/>
                <w:iCs/>
                <w:sz w:val="20"/>
                <w:szCs w:val="20"/>
              </w:rPr>
              <w:t xml:space="preserve"> [out of scope for this evaluation]</w:t>
            </w:r>
          </w:p>
        </w:tc>
        <w:tc>
          <w:tcPr>
            <w:tcW w:w="993" w:type="dxa"/>
          </w:tcPr>
          <w:p w14:paraId="3351CFBF"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$0.45m</w:t>
            </w:r>
          </w:p>
        </w:tc>
        <w:tc>
          <w:tcPr>
            <w:tcW w:w="1791" w:type="dxa"/>
          </w:tcPr>
          <w:p w14:paraId="649BA5C8" w14:textId="77777777" w:rsidR="00C640B0" w:rsidRPr="00C54DDF" w:rsidRDefault="00C640B0" w:rsidP="0073437D">
            <w:pPr>
              <w:tabs>
                <w:tab w:val="center" w:pos="1019"/>
              </w:tabs>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0.34%</w:t>
            </w:r>
          </w:p>
        </w:tc>
      </w:tr>
      <w:tr w:rsidR="00C640B0" w:rsidRPr="00C54DDF" w14:paraId="54224C7F" w14:textId="77777777" w:rsidTr="0073437D">
        <w:trPr>
          <w:jc w:val="center"/>
        </w:trPr>
        <w:tc>
          <w:tcPr>
            <w:cnfStyle w:val="001000000000" w:firstRow="0" w:lastRow="0" w:firstColumn="1" w:lastColumn="0" w:oddVBand="0" w:evenVBand="0" w:oddHBand="0" w:evenHBand="0" w:firstRowFirstColumn="0" w:firstRowLastColumn="0" w:lastRowFirstColumn="0" w:lastRowLastColumn="0"/>
            <w:tcW w:w="1413" w:type="dxa"/>
          </w:tcPr>
          <w:p w14:paraId="57D405D1" w14:textId="77777777" w:rsidR="00C640B0" w:rsidRPr="00C54DDF" w:rsidRDefault="00C640B0" w:rsidP="0073437D">
            <w:pPr>
              <w:rPr>
                <w:rFonts w:asciiTheme="minorHAnsi" w:hAnsiTheme="minorHAnsi"/>
                <w:sz w:val="20"/>
                <w:szCs w:val="20"/>
              </w:rPr>
            </w:pPr>
            <w:r w:rsidRPr="00C54DDF">
              <w:rPr>
                <w:rFonts w:asciiTheme="minorHAnsi" w:hAnsiTheme="minorHAnsi"/>
                <w:sz w:val="20"/>
                <w:szCs w:val="20"/>
              </w:rPr>
              <w:t>WCPFC</w:t>
            </w:r>
          </w:p>
        </w:tc>
        <w:tc>
          <w:tcPr>
            <w:tcW w:w="4819" w:type="dxa"/>
          </w:tcPr>
          <w:p w14:paraId="7BEFF74B" w14:textId="77777777" w:rsidR="00C640B0" w:rsidRPr="00C54DDF"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 xml:space="preserve">Australia’s voluntary contributions towards the Western and Central Pacific Fisheries Commission </w:t>
            </w:r>
          </w:p>
        </w:tc>
        <w:tc>
          <w:tcPr>
            <w:tcW w:w="993" w:type="dxa"/>
          </w:tcPr>
          <w:p w14:paraId="3FEEE651" w14:textId="77777777" w:rsidR="00C640B0" w:rsidRPr="00C54DDF"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$0.32m</w:t>
            </w:r>
          </w:p>
        </w:tc>
        <w:tc>
          <w:tcPr>
            <w:tcW w:w="1791" w:type="dxa"/>
          </w:tcPr>
          <w:p w14:paraId="4B0684D2" w14:textId="77777777" w:rsidR="00C640B0" w:rsidRPr="00C54DDF"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0.24%</w:t>
            </w:r>
          </w:p>
        </w:tc>
      </w:tr>
      <w:tr w:rsidR="00C640B0" w:rsidRPr="00C54DDF" w14:paraId="01F9549B" w14:textId="77777777" w:rsidTr="007343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3" w:type="dxa"/>
          </w:tcPr>
          <w:p w14:paraId="42DD86AB" w14:textId="77777777" w:rsidR="00C640B0" w:rsidRPr="00C54DDF" w:rsidRDefault="00C640B0" w:rsidP="0073437D">
            <w:pPr>
              <w:rPr>
                <w:rFonts w:asciiTheme="minorHAnsi" w:hAnsiTheme="minorHAnsi"/>
                <w:sz w:val="20"/>
                <w:szCs w:val="20"/>
              </w:rPr>
            </w:pPr>
            <w:r w:rsidRPr="00C54DDF">
              <w:rPr>
                <w:rFonts w:asciiTheme="minorHAnsi" w:hAnsiTheme="minorHAnsi"/>
                <w:sz w:val="20"/>
                <w:szCs w:val="20"/>
              </w:rPr>
              <w:t>Other</w:t>
            </w:r>
          </w:p>
        </w:tc>
        <w:tc>
          <w:tcPr>
            <w:tcW w:w="4819" w:type="dxa"/>
          </w:tcPr>
          <w:p w14:paraId="4784227D"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Fisheries Graduate Certificate course and strengthening capacity to address modern slavery in Pacific fisheries</w:t>
            </w:r>
          </w:p>
        </w:tc>
        <w:tc>
          <w:tcPr>
            <w:tcW w:w="993" w:type="dxa"/>
          </w:tcPr>
          <w:p w14:paraId="332C037B"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$0.45m</w:t>
            </w:r>
          </w:p>
        </w:tc>
        <w:tc>
          <w:tcPr>
            <w:tcW w:w="1791" w:type="dxa"/>
          </w:tcPr>
          <w:p w14:paraId="3A8E5901" w14:textId="77777777" w:rsidR="00C640B0" w:rsidRPr="00C54DDF"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54DDF">
              <w:rPr>
                <w:rFonts w:asciiTheme="minorHAnsi" w:hAnsiTheme="minorHAnsi"/>
                <w:sz w:val="20"/>
                <w:szCs w:val="20"/>
              </w:rPr>
              <w:t>0.33%</w:t>
            </w:r>
          </w:p>
        </w:tc>
      </w:tr>
    </w:tbl>
    <w:p w14:paraId="552F7E99" w14:textId="22055E9F" w:rsidR="00C640B0" w:rsidRDefault="00C640B0" w:rsidP="00C640B0">
      <w:pPr>
        <w:rPr>
          <w:rFonts w:ascii="Calibri" w:eastAsia="Calibri" w:hAnsi="Calibri" w:cs="Calibri"/>
          <w:color w:val="000000"/>
        </w:rPr>
      </w:pPr>
      <w:r>
        <w:lastRenderedPageBreak/>
        <w:br/>
      </w:r>
      <w:r>
        <w:rPr>
          <w:rFonts w:ascii="Calibri" w:eastAsia="Calibri" w:hAnsi="Calibri" w:cs="Calibri"/>
          <w:color w:val="000000"/>
        </w:rPr>
        <w:t xml:space="preserve">The investment has generated a significant number of independent evaluations, having commissioned at least seven </w:t>
      </w:r>
      <w:r w:rsidRPr="00C54DDF">
        <w:rPr>
          <w:rFonts w:ascii="Calibri" w:eastAsia="Calibri" w:hAnsi="Calibri" w:cs="Calibri"/>
          <w:color w:val="000000"/>
        </w:rPr>
        <w:t xml:space="preserve">(see </w:t>
      </w:r>
      <w:r w:rsidRPr="00C54DDF">
        <w:rPr>
          <w:rFonts w:ascii="Calibri" w:eastAsia="Calibri" w:hAnsi="Calibri" w:cs="Calibri"/>
          <w:color w:val="000000"/>
        </w:rPr>
        <w:fldChar w:fldCharType="begin"/>
      </w:r>
      <w:r w:rsidRPr="00C54DDF">
        <w:rPr>
          <w:rFonts w:ascii="Calibri" w:eastAsia="Calibri" w:hAnsi="Calibri" w:cs="Calibri"/>
          <w:color w:val="000000"/>
        </w:rPr>
        <w:instrText xml:space="preserve"> REF _Ref187844495 \h  \* MERGEFORMAT </w:instrText>
      </w:r>
      <w:r w:rsidRPr="00C54DDF">
        <w:rPr>
          <w:rFonts w:ascii="Calibri" w:eastAsia="Calibri" w:hAnsi="Calibri" w:cs="Calibri"/>
          <w:color w:val="000000"/>
        </w:rPr>
      </w:r>
      <w:r w:rsidRPr="00C54DDF">
        <w:rPr>
          <w:rFonts w:ascii="Calibri" w:eastAsia="Calibri" w:hAnsi="Calibri" w:cs="Calibri"/>
          <w:color w:val="000000"/>
        </w:rPr>
        <w:fldChar w:fldCharType="separate"/>
      </w:r>
      <w:r w:rsidR="00FC67EE" w:rsidRPr="00FC67EE">
        <w:rPr>
          <w:rFonts w:ascii="Calibri" w:hAnsi="Calibri" w:cs="Calibri"/>
        </w:rPr>
        <w:t xml:space="preserve">Table </w:t>
      </w:r>
      <w:r w:rsidR="00FC67EE" w:rsidRPr="00FC67EE">
        <w:rPr>
          <w:rFonts w:ascii="Calibri" w:hAnsi="Calibri" w:cs="Calibri"/>
          <w:noProof/>
        </w:rPr>
        <w:t>2</w:t>
      </w:r>
      <w:r w:rsidRPr="00C54DDF">
        <w:rPr>
          <w:rFonts w:ascii="Calibri" w:eastAsia="Calibri" w:hAnsi="Calibri" w:cs="Calibri"/>
          <w:color w:val="000000"/>
        </w:rPr>
        <w:fldChar w:fldCharType="end"/>
      </w:r>
      <w:r w:rsidRPr="00C54DDF">
        <w:rPr>
          <w:rFonts w:ascii="Calibri" w:eastAsia="Calibri" w:hAnsi="Calibri" w:cs="Calibri"/>
          <w:color w:val="000000"/>
        </w:rPr>
        <w:t>).</w:t>
      </w:r>
      <w:r>
        <w:rPr>
          <w:rFonts w:ascii="Calibri" w:eastAsia="Calibri" w:hAnsi="Calibri" w:cs="Calibri"/>
          <w:color w:val="000000"/>
        </w:rPr>
        <w:t xml:space="preserve"> The extent to which the findings of these evaluations have been used to inform and enhance the quality of DFAT’s Pacific fisheries programs are outlined in the management responses (</w:t>
      </w:r>
      <w:r w:rsidRPr="00C54DDF">
        <w:rPr>
          <w:rFonts w:asciiTheme="minorHAnsi" w:eastAsia="Calibri" w:hAnsiTheme="minorHAnsi"/>
          <w:color w:val="000000"/>
        </w:rPr>
        <w:t>available at the links provided</w:t>
      </w:r>
      <w:r>
        <w:rPr>
          <w:rFonts w:asciiTheme="minorHAnsi" w:eastAsia="Calibri" w:hAnsiTheme="minorHAnsi"/>
          <w:color w:val="000000"/>
        </w:rPr>
        <w:t xml:space="preserve"> in</w:t>
      </w:r>
      <w:r w:rsidRPr="00C54DDF">
        <w:rPr>
          <w:rFonts w:asciiTheme="minorHAnsi" w:eastAsia="Calibri" w:hAnsiTheme="minorHAnsi"/>
          <w:color w:val="000000"/>
        </w:rPr>
        <w:t xml:space="preserve"> </w:t>
      </w:r>
      <w:r w:rsidRPr="00C54DDF">
        <w:rPr>
          <w:rFonts w:asciiTheme="minorHAnsi" w:eastAsia="Calibri" w:hAnsiTheme="minorHAnsi"/>
          <w:color w:val="000000"/>
        </w:rPr>
        <w:fldChar w:fldCharType="begin"/>
      </w:r>
      <w:r w:rsidRPr="00C54DDF">
        <w:rPr>
          <w:rFonts w:asciiTheme="minorHAnsi" w:eastAsia="Calibri" w:hAnsiTheme="minorHAnsi"/>
          <w:color w:val="000000"/>
        </w:rPr>
        <w:instrText xml:space="preserve"> REF _Ref187844495 \h  \* MERGEFORMAT </w:instrText>
      </w:r>
      <w:r w:rsidRPr="00C54DDF">
        <w:rPr>
          <w:rFonts w:asciiTheme="minorHAnsi" w:eastAsia="Calibri" w:hAnsiTheme="minorHAnsi"/>
          <w:color w:val="000000"/>
        </w:rPr>
      </w:r>
      <w:r w:rsidRPr="00C54DDF">
        <w:rPr>
          <w:rFonts w:asciiTheme="minorHAnsi" w:eastAsia="Calibri" w:hAnsiTheme="minorHAnsi"/>
          <w:color w:val="000000"/>
        </w:rPr>
        <w:fldChar w:fldCharType="separate"/>
      </w:r>
      <w:r w:rsidR="00FC67EE" w:rsidRPr="00FC67EE">
        <w:rPr>
          <w:rFonts w:asciiTheme="minorHAnsi" w:hAnsiTheme="minorHAnsi"/>
        </w:rPr>
        <w:t xml:space="preserve">Table </w:t>
      </w:r>
      <w:r w:rsidR="00FC67EE" w:rsidRPr="00FC67EE">
        <w:rPr>
          <w:rFonts w:asciiTheme="minorHAnsi" w:hAnsiTheme="minorHAnsi"/>
          <w:noProof/>
        </w:rPr>
        <w:t>2</w:t>
      </w:r>
      <w:r w:rsidRPr="00C54DDF">
        <w:rPr>
          <w:rFonts w:asciiTheme="minorHAnsi" w:eastAsia="Calibri" w:hAnsiTheme="minorHAnsi"/>
          <w:color w:val="000000"/>
        </w:rPr>
        <w:fldChar w:fldCharType="end"/>
      </w:r>
      <w:r>
        <w:rPr>
          <w:rFonts w:ascii="Calibri" w:eastAsia="Calibri" w:hAnsi="Calibri" w:cs="Calibri"/>
          <w:color w:val="000000"/>
        </w:rPr>
        <w:t xml:space="preserve">). While evaluations have been commissioned for DFAT’s support to SPC </w:t>
      </w:r>
      <w:r w:rsidR="006B5558">
        <w:rPr>
          <w:rFonts w:ascii="Calibri" w:eastAsia="Calibri" w:hAnsi="Calibri" w:cs="Calibri"/>
          <w:color w:val="000000"/>
        </w:rPr>
        <w:t>FAME</w:t>
      </w:r>
      <w:r>
        <w:rPr>
          <w:rFonts w:ascii="Calibri" w:eastAsia="Calibri" w:hAnsi="Calibri" w:cs="Calibri"/>
          <w:color w:val="000000"/>
        </w:rPr>
        <w:t>, community-based fisheries management, IUU fishing, and maritime boundaries, there has been no DFAT-commissioned review of funding to FFA over this period of time, and hence why the evaluation’s primary data collection will focus on FFA activities (which accounts for 51% of the total investment value)</w:t>
      </w:r>
      <w:r w:rsidRPr="00C54DDF">
        <w:rPr>
          <w:rFonts w:ascii="Calibri" w:eastAsia="Calibri" w:hAnsi="Calibri" w:cs="Calibri"/>
          <w:color w:val="000000"/>
        </w:rPr>
        <w:t>.</w:t>
      </w:r>
    </w:p>
    <w:p w14:paraId="1A188795" w14:textId="77777777" w:rsidR="00C640B0" w:rsidRPr="00C54DDF" w:rsidRDefault="00C640B0" w:rsidP="00C640B0">
      <w:pPr>
        <w:rPr>
          <w:rFonts w:ascii="Calibri" w:eastAsia="Calibri" w:hAnsi="Calibri" w:cs="Calibri"/>
          <w:color w:val="000000"/>
        </w:rPr>
      </w:pPr>
    </w:p>
    <w:p w14:paraId="3A161AFF" w14:textId="7F6C27D5" w:rsidR="00C640B0" w:rsidRDefault="00C640B0" w:rsidP="00C640B0">
      <w:pPr>
        <w:pStyle w:val="Caption"/>
        <w:rPr>
          <w:b/>
          <w:bCs/>
        </w:rPr>
      </w:pPr>
      <w:r>
        <w:t xml:space="preserve">Table </w:t>
      </w:r>
      <w:r>
        <w:fldChar w:fldCharType="begin"/>
      </w:r>
      <w:r>
        <w:instrText xml:space="preserve"> SEQ Table \* ARABIC </w:instrText>
      </w:r>
      <w:r>
        <w:fldChar w:fldCharType="separate"/>
      </w:r>
      <w:r w:rsidR="00FC67EE">
        <w:rPr>
          <w:noProof/>
        </w:rPr>
        <w:t>6</w:t>
      </w:r>
      <w:r>
        <w:fldChar w:fldCharType="end"/>
      </w:r>
      <w:r>
        <w:t xml:space="preserve">: </w:t>
      </w:r>
      <w:r w:rsidRPr="002F6EA8">
        <w:t xml:space="preserve">List of </w:t>
      </w:r>
      <w:r>
        <w:t xml:space="preserve">independent </w:t>
      </w:r>
      <w:r w:rsidRPr="002F6EA8">
        <w:t>evaluations</w:t>
      </w:r>
      <w:r>
        <w:t xml:space="preserve"> commissioned by DFAT</w:t>
      </w:r>
    </w:p>
    <w:tbl>
      <w:tblPr>
        <w:tblStyle w:val="GridTable4-Accent5"/>
        <w:tblW w:w="0" w:type="auto"/>
        <w:tblLook w:val="04A0" w:firstRow="1" w:lastRow="0" w:firstColumn="1" w:lastColumn="0" w:noHBand="0" w:noVBand="1"/>
      </w:tblPr>
      <w:tblGrid>
        <w:gridCol w:w="846"/>
        <w:gridCol w:w="7513"/>
        <w:gridCol w:w="657"/>
      </w:tblGrid>
      <w:tr w:rsidR="00C640B0" w:rsidRPr="00D22800" w14:paraId="7D16F570" w14:textId="77777777" w:rsidTr="007343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D16877E" w14:textId="77777777" w:rsidR="00C640B0" w:rsidRPr="00D22800" w:rsidRDefault="00C640B0" w:rsidP="0073437D">
            <w:pPr>
              <w:rPr>
                <w:rFonts w:asciiTheme="minorHAnsi" w:hAnsiTheme="minorHAnsi"/>
                <w:sz w:val="20"/>
                <w:szCs w:val="20"/>
              </w:rPr>
            </w:pPr>
            <w:r w:rsidRPr="00D22800">
              <w:rPr>
                <w:rFonts w:asciiTheme="minorHAnsi" w:hAnsiTheme="minorHAnsi"/>
                <w:sz w:val="20"/>
                <w:szCs w:val="20"/>
              </w:rPr>
              <w:t>Year</w:t>
            </w:r>
          </w:p>
        </w:tc>
        <w:tc>
          <w:tcPr>
            <w:tcW w:w="7513" w:type="dxa"/>
          </w:tcPr>
          <w:p w14:paraId="6458EB53" w14:textId="77777777" w:rsidR="00C640B0" w:rsidRPr="00D22800" w:rsidRDefault="00C640B0" w:rsidP="0073437D">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22800">
              <w:rPr>
                <w:rFonts w:asciiTheme="minorHAnsi" w:hAnsiTheme="minorHAnsi"/>
                <w:sz w:val="20"/>
                <w:szCs w:val="20"/>
              </w:rPr>
              <w:t>Title</w:t>
            </w:r>
          </w:p>
        </w:tc>
        <w:tc>
          <w:tcPr>
            <w:tcW w:w="657" w:type="dxa"/>
          </w:tcPr>
          <w:p w14:paraId="4248C76A" w14:textId="77777777" w:rsidR="00C640B0" w:rsidRPr="00D22800" w:rsidRDefault="00C640B0" w:rsidP="0073437D">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22800">
              <w:rPr>
                <w:rFonts w:asciiTheme="minorHAnsi" w:hAnsiTheme="minorHAnsi"/>
                <w:sz w:val="20"/>
                <w:szCs w:val="20"/>
              </w:rPr>
              <w:t>Link</w:t>
            </w:r>
          </w:p>
        </w:tc>
      </w:tr>
      <w:tr w:rsidR="00C640B0" w:rsidRPr="00D22800" w14:paraId="31D655EE"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4D2B1E9" w14:textId="77777777" w:rsidR="00C640B0" w:rsidRPr="00D22800" w:rsidRDefault="00C640B0" w:rsidP="0073437D">
            <w:pPr>
              <w:rPr>
                <w:rFonts w:asciiTheme="minorHAnsi" w:hAnsiTheme="minorHAnsi"/>
                <w:sz w:val="20"/>
                <w:szCs w:val="20"/>
              </w:rPr>
            </w:pPr>
            <w:r w:rsidRPr="00D22800">
              <w:rPr>
                <w:rFonts w:asciiTheme="minorHAnsi" w:hAnsiTheme="minorHAnsi"/>
                <w:sz w:val="20"/>
                <w:szCs w:val="20"/>
              </w:rPr>
              <w:t>2015</w:t>
            </w:r>
          </w:p>
        </w:tc>
        <w:tc>
          <w:tcPr>
            <w:tcW w:w="7513" w:type="dxa"/>
          </w:tcPr>
          <w:p w14:paraId="52002AF5" w14:textId="77777777" w:rsidR="00C640B0" w:rsidRPr="00D22800"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2800">
              <w:rPr>
                <w:rFonts w:asciiTheme="minorHAnsi" w:hAnsiTheme="minorHAnsi"/>
                <w:sz w:val="20"/>
                <w:szCs w:val="20"/>
              </w:rPr>
              <w:t>Improving Community-based Fisheries Management in Pacific Countries Program [Phase 1]: Mid-Term Review</w:t>
            </w:r>
          </w:p>
        </w:tc>
        <w:tc>
          <w:tcPr>
            <w:tcW w:w="657" w:type="dxa"/>
          </w:tcPr>
          <w:p w14:paraId="6B7CE7D2" w14:textId="77777777" w:rsidR="00C640B0" w:rsidRPr="00D22800"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76" w:history="1">
              <w:r w:rsidRPr="00D22800">
                <w:rPr>
                  <w:rStyle w:val="Hyperlink"/>
                  <w:rFonts w:asciiTheme="minorHAnsi" w:hAnsiTheme="minorHAnsi"/>
                  <w:sz w:val="20"/>
                  <w:szCs w:val="20"/>
                </w:rPr>
                <w:t>Link</w:t>
              </w:r>
            </w:hyperlink>
          </w:p>
        </w:tc>
      </w:tr>
      <w:tr w:rsidR="00C640B0" w:rsidRPr="00D22800" w14:paraId="68039541" w14:textId="77777777" w:rsidTr="0073437D">
        <w:tc>
          <w:tcPr>
            <w:cnfStyle w:val="001000000000" w:firstRow="0" w:lastRow="0" w:firstColumn="1" w:lastColumn="0" w:oddVBand="0" w:evenVBand="0" w:oddHBand="0" w:evenHBand="0" w:firstRowFirstColumn="0" w:firstRowLastColumn="0" w:lastRowFirstColumn="0" w:lastRowLastColumn="0"/>
            <w:tcW w:w="846" w:type="dxa"/>
          </w:tcPr>
          <w:p w14:paraId="06AB6202" w14:textId="77777777" w:rsidR="00C640B0" w:rsidRPr="00D22800" w:rsidRDefault="00C640B0" w:rsidP="0073437D">
            <w:pPr>
              <w:rPr>
                <w:rFonts w:asciiTheme="minorHAnsi" w:hAnsiTheme="minorHAnsi"/>
                <w:sz w:val="20"/>
                <w:szCs w:val="20"/>
              </w:rPr>
            </w:pPr>
            <w:r w:rsidRPr="00D22800">
              <w:rPr>
                <w:rFonts w:asciiTheme="minorHAnsi" w:hAnsiTheme="minorHAnsi"/>
                <w:sz w:val="20"/>
                <w:szCs w:val="20"/>
              </w:rPr>
              <w:t>2019</w:t>
            </w:r>
          </w:p>
        </w:tc>
        <w:tc>
          <w:tcPr>
            <w:tcW w:w="7513" w:type="dxa"/>
          </w:tcPr>
          <w:p w14:paraId="77DB9255" w14:textId="77777777" w:rsidR="00C640B0" w:rsidRPr="00D22800"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22800">
              <w:rPr>
                <w:rFonts w:asciiTheme="minorHAnsi" w:hAnsiTheme="minorHAnsi"/>
                <w:sz w:val="20"/>
                <w:szCs w:val="20"/>
              </w:rPr>
              <w:t>Improving Community-based Fisheries Management in the Pacific [Phase 2]: Mid-Term Review</w:t>
            </w:r>
          </w:p>
        </w:tc>
        <w:tc>
          <w:tcPr>
            <w:tcW w:w="657" w:type="dxa"/>
          </w:tcPr>
          <w:p w14:paraId="3D89BC24" w14:textId="77777777" w:rsidR="00C640B0" w:rsidRPr="00D22800"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77" w:history="1">
              <w:r w:rsidRPr="00D22800">
                <w:rPr>
                  <w:rStyle w:val="Hyperlink"/>
                  <w:rFonts w:asciiTheme="minorHAnsi" w:hAnsiTheme="minorHAnsi"/>
                  <w:sz w:val="20"/>
                  <w:szCs w:val="20"/>
                </w:rPr>
                <w:t>Link</w:t>
              </w:r>
            </w:hyperlink>
          </w:p>
        </w:tc>
      </w:tr>
      <w:tr w:rsidR="00C640B0" w:rsidRPr="00D22800" w14:paraId="65B43E58"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C81D932" w14:textId="77777777" w:rsidR="00C640B0" w:rsidRPr="00D22800" w:rsidRDefault="00C640B0" w:rsidP="0073437D">
            <w:pPr>
              <w:rPr>
                <w:rFonts w:asciiTheme="minorHAnsi" w:hAnsiTheme="minorHAnsi"/>
                <w:sz w:val="20"/>
                <w:szCs w:val="20"/>
              </w:rPr>
            </w:pPr>
            <w:r w:rsidRPr="00D22800">
              <w:rPr>
                <w:rFonts w:asciiTheme="minorHAnsi" w:hAnsiTheme="minorHAnsi"/>
                <w:sz w:val="20"/>
                <w:szCs w:val="20"/>
              </w:rPr>
              <w:t>2020</w:t>
            </w:r>
          </w:p>
        </w:tc>
        <w:tc>
          <w:tcPr>
            <w:tcW w:w="7513" w:type="dxa"/>
          </w:tcPr>
          <w:p w14:paraId="4C76334C" w14:textId="77777777" w:rsidR="00C640B0" w:rsidRPr="00D22800"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2800">
              <w:rPr>
                <w:rFonts w:asciiTheme="minorHAnsi" w:hAnsiTheme="minorHAnsi"/>
                <w:sz w:val="20"/>
                <w:szCs w:val="20"/>
              </w:rPr>
              <w:t>Office of the Pacific Ocean Commissioner Evaluation</w:t>
            </w:r>
          </w:p>
        </w:tc>
        <w:tc>
          <w:tcPr>
            <w:tcW w:w="657" w:type="dxa"/>
          </w:tcPr>
          <w:p w14:paraId="6D9AC63F" w14:textId="77777777" w:rsidR="00C640B0" w:rsidRPr="00D22800"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78" w:history="1">
              <w:r w:rsidRPr="00D22800">
                <w:rPr>
                  <w:rStyle w:val="Hyperlink"/>
                  <w:rFonts w:asciiTheme="minorHAnsi" w:hAnsiTheme="minorHAnsi"/>
                  <w:sz w:val="20"/>
                  <w:szCs w:val="20"/>
                </w:rPr>
                <w:t>Link</w:t>
              </w:r>
            </w:hyperlink>
          </w:p>
        </w:tc>
      </w:tr>
      <w:tr w:rsidR="00C640B0" w:rsidRPr="00D22800" w14:paraId="07412DA2" w14:textId="77777777" w:rsidTr="0073437D">
        <w:tc>
          <w:tcPr>
            <w:cnfStyle w:val="001000000000" w:firstRow="0" w:lastRow="0" w:firstColumn="1" w:lastColumn="0" w:oddVBand="0" w:evenVBand="0" w:oddHBand="0" w:evenHBand="0" w:firstRowFirstColumn="0" w:firstRowLastColumn="0" w:lastRowFirstColumn="0" w:lastRowLastColumn="0"/>
            <w:tcW w:w="846" w:type="dxa"/>
          </w:tcPr>
          <w:p w14:paraId="4EC89FB1" w14:textId="77777777" w:rsidR="00C640B0" w:rsidRPr="00D22800" w:rsidRDefault="00C640B0" w:rsidP="0073437D">
            <w:pPr>
              <w:rPr>
                <w:rFonts w:asciiTheme="minorHAnsi" w:hAnsiTheme="minorHAnsi"/>
                <w:sz w:val="20"/>
                <w:szCs w:val="20"/>
              </w:rPr>
            </w:pPr>
            <w:r w:rsidRPr="00D22800">
              <w:rPr>
                <w:rFonts w:asciiTheme="minorHAnsi" w:hAnsiTheme="minorHAnsi"/>
                <w:sz w:val="20"/>
                <w:szCs w:val="20"/>
              </w:rPr>
              <w:t>2020</w:t>
            </w:r>
          </w:p>
        </w:tc>
        <w:tc>
          <w:tcPr>
            <w:tcW w:w="7513" w:type="dxa"/>
          </w:tcPr>
          <w:p w14:paraId="01A32E75" w14:textId="77777777" w:rsidR="00C640B0" w:rsidRPr="00D22800"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22800">
              <w:rPr>
                <w:rFonts w:asciiTheme="minorHAnsi" w:hAnsiTheme="minorHAnsi"/>
                <w:sz w:val="20"/>
                <w:szCs w:val="20"/>
              </w:rPr>
              <w:t>Pacific Maritime Boundaries – End of Investment Evaluation</w:t>
            </w:r>
          </w:p>
        </w:tc>
        <w:tc>
          <w:tcPr>
            <w:tcW w:w="657" w:type="dxa"/>
          </w:tcPr>
          <w:p w14:paraId="6C39FA38" w14:textId="77777777" w:rsidR="00C640B0" w:rsidRPr="00D22800"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79" w:history="1">
              <w:r w:rsidRPr="00D22800">
                <w:rPr>
                  <w:rStyle w:val="Hyperlink"/>
                  <w:rFonts w:asciiTheme="minorHAnsi" w:hAnsiTheme="minorHAnsi"/>
                  <w:sz w:val="20"/>
                  <w:szCs w:val="20"/>
                </w:rPr>
                <w:t>Link</w:t>
              </w:r>
            </w:hyperlink>
          </w:p>
        </w:tc>
      </w:tr>
      <w:tr w:rsidR="00C640B0" w:rsidRPr="00D22800" w14:paraId="68284D4F"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6A806575" w14:textId="77777777" w:rsidR="00C640B0" w:rsidRPr="00D22800" w:rsidRDefault="00C640B0" w:rsidP="0073437D">
            <w:pPr>
              <w:rPr>
                <w:rFonts w:asciiTheme="minorHAnsi" w:hAnsiTheme="minorHAnsi"/>
                <w:sz w:val="20"/>
                <w:szCs w:val="20"/>
              </w:rPr>
            </w:pPr>
            <w:r w:rsidRPr="00D22800">
              <w:rPr>
                <w:rFonts w:asciiTheme="minorHAnsi" w:hAnsiTheme="minorHAnsi"/>
                <w:sz w:val="20"/>
                <w:szCs w:val="20"/>
              </w:rPr>
              <w:t>2022</w:t>
            </w:r>
          </w:p>
        </w:tc>
        <w:tc>
          <w:tcPr>
            <w:tcW w:w="7513" w:type="dxa"/>
          </w:tcPr>
          <w:p w14:paraId="5AC12FE4" w14:textId="77777777" w:rsidR="00C640B0" w:rsidRPr="00D22800"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2800">
              <w:rPr>
                <w:rFonts w:asciiTheme="minorHAnsi" w:hAnsiTheme="minorHAnsi"/>
                <w:sz w:val="20"/>
                <w:szCs w:val="20"/>
              </w:rPr>
              <w:t>Pacific Illegal, Unreported and Unregulated (IUU) Fishing: End of Investment Evaluation</w:t>
            </w:r>
          </w:p>
        </w:tc>
        <w:tc>
          <w:tcPr>
            <w:tcW w:w="657" w:type="dxa"/>
          </w:tcPr>
          <w:p w14:paraId="4057175E" w14:textId="77777777" w:rsidR="00C640B0" w:rsidRPr="00D22800"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hyperlink r:id="rId80" w:history="1">
              <w:r w:rsidRPr="00D22800">
                <w:rPr>
                  <w:rStyle w:val="Hyperlink"/>
                  <w:rFonts w:asciiTheme="minorHAnsi" w:hAnsiTheme="minorHAnsi"/>
                  <w:sz w:val="20"/>
                  <w:szCs w:val="20"/>
                </w:rPr>
                <w:t>Link</w:t>
              </w:r>
            </w:hyperlink>
          </w:p>
        </w:tc>
      </w:tr>
      <w:tr w:rsidR="00C640B0" w:rsidRPr="00D22800" w14:paraId="42FF66B0" w14:textId="77777777" w:rsidTr="0073437D">
        <w:tc>
          <w:tcPr>
            <w:cnfStyle w:val="001000000000" w:firstRow="0" w:lastRow="0" w:firstColumn="1" w:lastColumn="0" w:oddVBand="0" w:evenVBand="0" w:oddHBand="0" w:evenHBand="0" w:firstRowFirstColumn="0" w:firstRowLastColumn="0" w:lastRowFirstColumn="0" w:lastRowLastColumn="0"/>
            <w:tcW w:w="846" w:type="dxa"/>
          </w:tcPr>
          <w:p w14:paraId="6D2AB992" w14:textId="77777777" w:rsidR="00C640B0" w:rsidRPr="00D22800" w:rsidRDefault="00C640B0" w:rsidP="0073437D">
            <w:pPr>
              <w:rPr>
                <w:rFonts w:asciiTheme="minorHAnsi" w:hAnsiTheme="minorHAnsi"/>
                <w:sz w:val="20"/>
                <w:szCs w:val="20"/>
              </w:rPr>
            </w:pPr>
            <w:r w:rsidRPr="00D22800">
              <w:rPr>
                <w:rFonts w:asciiTheme="minorHAnsi" w:hAnsiTheme="minorHAnsi"/>
                <w:sz w:val="20"/>
                <w:szCs w:val="20"/>
              </w:rPr>
              <w:t>2023</w:t>
            </w:r>
          </w:p>
        </w:tc>
        <w:tc>
          <w:tcPr>
            <w:tcW w:w="7513" w:type="dxa"/>
          </w:tcPr>
          <w:p w14:paraId="1B1E0922" w14:textId="338B9D1E" w:rsidR="00C640B0" w:rsidRPr="00D22800"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22800">
              <w:rPr>
                <w:rFonts w:asciiTheme="minorHAnsi" w:hAnsiTheme="minorHAnsi"/>
                <w:sz w:val="20"/>
                <w:szCs w:val="20"/>
              </w:rPr>
              <w:t xml:space="preserve">Pacific Community’s Fisheries, Aquaculture and Marine Ecosystems Division (SPC </w:t>
            </w:r>
            <w:r w:rsidR="006B5558">
              <w:rPr>
                <w:rFonts w:asciiTheme="minorHAnsi" w:hAnsiTheme="minorHAnsi"/>
                <w:sz w:val="20"/>
                <w:szCs w:val="20"/>
              </w:rPr>
              <w:t>FAME</w:t>
            </w:r>
            <w:r w:rsidRPr="00D22800">
              <w:rPr>
                <w:rFonts w:asciiTheme="minorHAnsi" w:hAnsiTheme="minorHAnsi"/>
                <w:sz w:val="20"/>
                <w:szCs w:val="20"/>
              </w:rPr>
              <w:t>): Evaluation of DFAT Funding Support</w:t>
            </w:r>
          </w:p>
        </w:tc>
        <w:tc>
          <w:tcPr>
            <w:tcW w:w="657" w:type="dxa"/>
          </w:tcPr>
          <w:p w14:paraId="6A5110D3" w14:textId="77777777" w:rsidR="00C640B0" w:rsidRPr="00D22800"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hyperlink r:id="rId81" w:history="1">
              <w:r w:rsidRPr="00D22800">
                <w:rPr>
                  <w:rStyle w:val="Hyperlink"/>
                  <w:rFonts w:asciiTheme="minorHAnsi" w:hAnsiTheme="minorHAnsi"/>
                  <w:sz w:val="20"/>
                  <w:szCs w:val="20"/>
                </w:rPr>
                <w:t>Link</w:t>
              </w:r>
            </w:hyperlink>
          </w:p>
        </w:tc>
      </w:tr>
      <w:tr w:rsidR="00C640B0" w:rsidRPr="00D22800" w14:paraId="16DC3946"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B134753" w14:textId="77777777" w:rsidR="00C640B0" w:rsidRPr="00D22800" w:rsidRDefault="00C640B0" w:rsidP="0073437D">
            <w:pPr>
              <w:rPr>
                <w:rFonts w:asciiTheme="minorHAnsi" w:hAnsiTheme="minorHAnsi"/>
                <w:sz w:val="20"/>
                <w:szCs w:val="20"/>
              </w:rPr>
            </w:pPr>
            <w:r w:rsidRPr="00D22800">
              <w:rPr>
                <w:rFonts w:asciiTheme="minorHAnsi" w:hAnsiTheme="minorHAnsi"/>
                <w:sz w:val="20"/>
                <w:szCs w:val="20"/>
              </w:rPr>
              <w:t>2024</w:t>
            </w:r>
          </w:p>
        </w:tc>
        <w:tc>
          <w:tcPr>
            <w:tcW w:w="7513" w:type="dxa"/>
          </w:tcPr>
          <w:p w14:paraId="0DA42FBF" w14:textId="77777777" w:rsidR="00C640B0" w:rsidRPr="00D22800"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2800">
              <w:rPr>
                <w:rFonts w:asciiTheme="minorHAnsi" w:hAnsiTheme="minorHAnsi"/>
                <w:sz w:val="20"/>
                <w:szCs w:val="20"/>
              </w:rPr>
              <w:t>Coalitions for change in sustainable national CBFM programs in the Pacific [CBFM Phase 2]: Mid-term review report</w:t>
            </w:r>
          </w:p>
        </w:tc>
        <w:tc>
          <w:tcPr>
            <w:tcW w:w="657" w:type="dxa"/>
          </w:tcPr>
          <w:p w14:paraId="6EC857C6" w14:textId="77777777" w:rsidR="00C640B0" w:rsidRPr="00D22800"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22800">
              <w:rPr>
                <w:rFonts w:asciiTheme="minorHAnsi" w:hAnsiTheme="minorHAnsi"/>
                <w:sz w:val="20"/>
                <w:szCs w:val="20"/>
              </w:rPr>
              <w:t>N/A</w:t>
            </w:r>
          </w:p>
        </w:tc>
      </w:tr>
    </w:tbl>
    <w:p w14:paraId="306D927B" w14:textId="77777777" w:rsidR="00A744C0" w:rsidRDefault="00A744C0" w:rsidP="00A744C0">
      <w:pPr>
        <w:rPr>
          <w:rFonts w:asciiTheme="minorHAnsi" w:eastAsia="Calibri" w:hAnsiTheme="minorHAnsi"/>
          <w:color w:val="2F5496" w:themeColor="accent1" w:themeShade="BF"/>
          <w:sz w:val="32"/>
          <w:szCs w:val="32"/>
        </w:rPr>
      </w:pPr>
      <w:bookmarkStart w:id="143" w:name="_Toc191384078"/>
      <w:bookmarkStart w:id="144" w:name="_Toc205147389"/>
      <w:bookmarkStart w:id="145" w:name="_Toc205147542"/>
      <w:bookmarkStart w:id="146" w:name="_Toc205147844"/>
    </w:p>
    <w:p w14:paraId="198DED1A" w14:textId="60E0F03F" w:rsidR="00C640B0" w:rsidRPr="00FA2BF4" w:rsidRDefault="00C640B0" w:rsidP="00FA2BF4">
      <w:pPr>
        <w:pStyle w:val="Heading4"/>
      </w:pPr>
      <w:r w:rsidRPr="00FA2BF4">
        <w:t>The Purpose of the Evaluation</w:t>
      </w:r>
      <w:bookmarkEnd w:id="143"/>
      <w:bookmarkEnd w:id="144"/>
      <w:bookmarkEnd w:id="145"/>
      <w:bookmarkEnd w:id="146"/>
    </w:p>
    <w:p w14:paraId="74CDBA89" w14:textId="77777777" w:rsidR="00C640B0" w:rsidRDefault="00C640B0" w:rsidP="00C640B0">
      <w:pPr>
        <w:rPr>
          <w:rFonts w:ascii="Calibri" w:eastAsia="Calibri" w:hAnsi="Calibri" w:cs="Calibri"/>
          <w:color w:val="000000"/>
        </w:rPr>
      </w:pPr>
    </w:p>
    <w:p w14:paraId="137A0D89" w14:textId="77777777" w:rsidR="00C640B0" w:rsidRPr="00A64579" w:rsidRDefault="00C640B0" w:rsidP="00C640B0">
      <w:pPr>
        <w:rPr>
          <w:rFonts w:ascii="Calibri" w:eastAsia="Calibri" w:hAnsi="Calibri" w:cs="Calibri"/>
          <w:color w:val="000000"/>
        </w:rPr>
      </w:pPr>
      <w:r w:rsidRPr="00A64579">
        <w:rPr>
          <w:rFonts w:ascii="Calibri" w:eastAsia="Calibri" w:hAnsi="Calibri" w:cs="Calibri"/>
          <w:color w:val="000000"/>
        </w:rPr>
        <w:t>The two-fold purpose of the end-of-investment evaluation is: </w:t>
      </w:r>
    </w:p>
    <w:p w14:paraId="4C660CAC" w14:textId="77777777" w:rsidR="00C640B0" w:rsidRPr="00A64579" w:rsidRDefault="00C640B0" w:rsidP="00C640B0">
      <w:pPr>
        <w:rPr>
          <w:rFonts w:ascii="Calibri" w:eastAsia="Calibri" w:hAnsi="Calibri" w:cs="Calibri"/>
          <w:color w:val="000000"/>
        </w:rPr>
      </w:pPr>
      <w:r w:rsidRPr="00A64579">
        <w:rPr>
          <w:rFonts w:ascii="Calibri" w:eastAsia="Calibri" w:hAnsi="Calibri" w:cs="Calibri"/>
          <w:color w:val="000000"/>
        </w:rPr>
        <w:t> </w:t>
      </w:r>
    </w:p>
    <w:p w14:paraId="0200FC67" w14:textId="77777777" w:rsidR="00C640B0" w:rsidRPr="00A64579" w:rsidRDefault="00C640B0" w:rsidP="00821BD8">
      <w:pPr>
        <w:pStyle w:val="ListParagraph"/>
        <w:numPr>
          <w:ilvl w:val="0"/>
          <w:numId w:val="62"/>
        </w:numPr>
        <w:tabs>
          <w:tab w:val="clear" w:pos="7780"/>
        </w:tabs>
        <w:rPr>
          <w:rFonts w:eastAsia="Calibri"/>
          <w:color w:val="000000"/>
        </w:rPr>
      </w:pPr>
      <w:r w:rsidRPr="00A64579">
        <w:rPr>
          <w:rFonts w:eastAsia="Calibri"/>
          <w:color w:val="000000"/>
        </w:rPr>
        <w:t xml:space="preserve">To inform the final investment monitoring report (FIMR) for Australia’s Fisheries Development Assistance in the Pacific investment (INJ201, 2010-2026); and </w:t>
      </w:r>
    </w:p>
    <w:p w14:paraId="7ADFADB1" w14:textId="77777777" w:rsidR="00C640B0" w:rsidRPr="00AC6CC7" w:rsidRDefault="00C640B0" w:rsidP="00821BD8">
      <w:pPr>
        <w:pStyle w:val="ListParagraph"/>
        <w:numPr>
          <w:ilvl w:val="0"/>
          <w:numId w:val="62"/>
        </w:numPr>
        <w:tabs>
          <w:tab w:val="clear" w:pos="7780"/>
        </w:tabs>
        <w:rPr>
          <w:rFonts w:eastAsia="Calibri"/>
          <w:color w:val="000000"/>
        </w:rPr>
      </w:pPr>
      <w:r w:rsidRPr="00A64579">
        <w:rPr>
          <w:rFonts w:eastAsia="Calibri"/>
          <w:color w:val="000000"/>
        </w:rPr>
        <w:t>To identify lessons that will shape DFAT’s current and future Pacific fisheries programs (noting that new investments have already commenced for some elements, including core funding to the Pacific Community (SPC) and program funding for maritime boundaries support). </w:t>
      </w:r>
    </w:p>
    <w:p w14:paraId="72175AEF" w14:textId="77777777" w:rsidR="00C640B0" w:rsidRDefault="00C640B0" w:rsidP="00C640B0">
      <w:pPr>
        <w:pBdr>
          <w:top w:val="nil"/>
          <w:left w:val="nil"/>
          <w:bottom w:val="nil"/>
          <w:right w:val="nil"/>
          <w:between w:val="nil"/>
        </w:pBdr>
        <w:spacing w:before="120" w:after="280"/>
        <w:rPr>
          <w:rFonts w:ascii="Calibri" w:eastAsia="Calibri" w:hAnsi="Calibri" w:cs="Calibri"/>
          <w:color w:val="000000"/>
        </w:rPr>
      </w:pPr>
      <w:r w:rsidRPr="00A64579">
        <w:rPr>
          <w:rFonts w:ascii="Calibri" w:eastAsia="Calibri" w:hAnsi="Calibri" w:cs="Calibri"/>
          <w:color w:val="000000"/>
        </w:rPr>
        <w:t xml:space="preserve">The evaluation will assess the extent to which the investment was effective and efficient, as well as the outcomes it has contributed to in the Pacific region. As noted above, a primary focus of the evaluation will be on the activities that supported the FFA; however, it will also build on existing evidence from other independent evaluations conducted by DFAT, </w:t>
      </w:r>
      <w:r w:rsidRPr="00A64579">
        <w:rPr>
          <w:rFonts w:asciiTheme="minorHAnsi" w:eastAsia="Calibri" w:hAnsiTheme="minorHAnsi"/>
          <w:color w:val="000000"/>
        </w:rPr>
        <w:t xml:space="preserve">as listed in </w:t>
      </w:r>
      <w:r w:rsidRPr="00A64579">
        <w:rPr>
          <w:rFonts w:asciiTheme="minorHAnsi" w:eastAsia="Calibri" w:hAnsiTheme="minorHAnsi"/>
          <w:color w:val="000000"/>
        </w:rPr>
        <w:fldChar w:fldCharType="begin"/>
      </w:r>
      <w:r w:rsidRPr="00A64579">
        <w:rPr>
          <w:rFonts w:asciiTheme="minorHAnsi" w:eastAsia="Calibri" w:hAnsiTheme="minorHAnsi"/>
          <w:color w:val="000000"/>
        </w:rPr>
        <w:instrText xml:space="preserve"> REF _Ref187844495 \h  \* MERGEFORMAT </w:instrText>
      </w:r>
      <w:r w:rsidRPr="00A64579">
        <w:rPr>
          <w:rFonts w:asciiTheme="minorHAnsi" w:eastAsia="Calibri" w:hAnsiTheme="minorHAnsi"/>
          <w:color w:val="000000"/>
        </w:rPr>
      </w:r>
      <w:r w:rsidRPr="00A64579">
        <w:rPr>
          <w:rFonts w:asciiTheme="minorHAnsi" w:eastAsia="Calibri" w:hAnsiTheme="minorHAnsi"/>
          <w:color w:val="000000"/>
        </w:rPr>
        <w:fldChar w:fldCharType="separate"/>
      </w:r>
      <w:r w:rsidR="00FC67EE" w:rsidRPr="00FC67EE">
        <w:rPr>
          <w:rFonts w:asciiTheme="minorHAnsi" w:hAnsiTheme="minorHAnsi"/>
        </w:rPr>
        <w:t xml:space="preserve">Table </w:t>
      </w:r>
      <w:r w:rsidR="00FC67EE" w:rsidRPr="00FC67EE">
        <w:rPr>
          <w:rFonts w:asciiTheme="minorHAnsi" w:hAnsiTheme="minorHAnsi"/>
          <w:noProof/>
        </w:rPr>
        <w:t>2</w:t>
      </w:r>
      <w:r w:rsidRPr="00A64579">
        <w:rPr>
          <w:rFonts w:asciiTheme="minorHAnsi" w:eastAsia="Calibri" w:hAnsiTheme="minorHAnsi"/>
          <w:color w:val="000000"/>
        </w:rPr>
        <w:fldChar w:fldCharType="end"/>
      </w:r>
      <w:r w:rsidRPr="00B32E86">
        <w:rPr>
          <w:rFonts w:ascii="Calibri" w:eastAsia="Calibri" w:hAnsi="Calibri" w:cs="Calibri"/>
          <w:color w:val="000000"/>
        </w:rPr>
        <w:t>.</w:t>
      </w:r>
    </w:p>
    <w:p w14:paraId="05086881" w14:textId="77777777" w:rsidR="00C640B0" w:rsidRDefault="00C640B0" w:rsidP="00C640B0">
      <w:pPr>
        <w:pBdr>
          <w:top w:val="nil"/>
          <w:left w:val="nil"/>
          <w:bottom w:val="nil"/>
          <w:right w:val="nil"/>
          <w:between w:val="nil"/>
        </w:pBdr>
        <w:spacing w:before="120" w:after="280"/>
        <w:rPr>
          <w:rFonts w:ascii="Calibri" w:eastAsia="Calibri" w:hAnsi="Calibri" w:cs="Calibri"/>
          <w:color w:val="000000"/>
        </w:rPr>
      </w:pPr>
      <w:r>
        <w:rPr>
          <w:rFonts w:ascii="Calibri" w:eastAsia="Calibri" w:hAnsi="Calibri" w:cs="Calibri"/>
          <w:color w:val="000000"/>
        </w:rPr>
        <w:t>The three key evaluation questions (EQs) provided in the Terms of Reference (</w:t>
      </w:r>
      <w:proofErr w:type="spellStart"/>
      <w:r>
        <w:rPr>
          <w:rFonts w:ascii="Calibri" w:eastAsia="Calibri" w:hAnsi="Calibri" w:cs="Calibri"/>
          <w:color w:val="000000"/>
        </w:rPr>
        <w:t>ToRs</w:t>
      </w:r>
      <w:proofErr w:type="spellEnd"/>
      <w:r>
        <w:rPr>
          <w:rFonts w:ascii="Calibri" w:eastAsia="Calibri" w:hAnsi="Calibri" w:cs="Calibri"/>
          <w:color w:val="000000"/>
        </w:rPr>
        <w:t>) are as follows:</w:t>
      </w:r>
    </w:p>
    <w:p w14:paraId="2E9DE313" w14:textId="77777777" w:rsidR="00C640B0" w:rsidRPr="002E5056" w:rsidRDefault="00C640B0" w:rsidP="00C640B0">
      <w:pPr>
        <w:pStyle w:val="ListParagraph"/>
        <w:numPr>
          <w:ilvl w:val="0"/>
          <w:numId w:val="6"/>
        </w:numPr>
        <w:tabs>
          <w:tab w:val="clear" w:pos="7780"/>
        </w:tabs>
        <w:spacing w:after="120" w:line="259" w:lineRule="auto"/>
        <w:ind w:left="714" w:hanging="357"/>
        <w:contextualSpacing/>
      </w:pPr>
      <w:r w:rsidRPr="00B141C3">
        <w:t xml:space="preserve">To what </w:t>
      </w:r>
      <w:r w:rsidRPr="002E5056">
        <w:t xml:space="preserve">extent was the investment effective in achieving </w:t>
      </w:r>
      <w:r>
        <w:t>its intended</w:t>
      </w:r>
      <w:r w:rsidRPr="002E5056">
        <w:t xml:space="preserve"> outcomes </w:t>
      </w:r>
      <w:r>
        <w:t>(as specified in the program logic</w:t>
      </w:r>
      <w:r w:rsidRPr="002E5056">
        <w:t>)?</w:t>
      </w:r>
    </w:p>
    <w:p w14:paraId="7A1D0AF1" w14:textId="77777777" w:rsidR="00C640B0" w:rsidRPr="002E5056" w:rsidRDefault="00C640B0" w:rsidP="00C640B0">
      <w:pPr>
        <w:pStyle w:val="ListParagraph"/>
        <w:numPr>
          <w:ilvl w:val="1"/>
          <w:numId w:val="6"/>
        </w:numPr>
        <w:tabs>
          <w:tab w:val="clear" w:pos="7780"/>
        </w:tabs>
        <w:spacing w:line="259" w:lineRule="auto"/>
        <w:ind w:left="1434" w:hanging="357"/>
      </w:pPr>
      <w:r w:rsidRPr="002E5056">
        <w:rPr>
          <w:rStyle w:val="ui-provider"/>
        </w:rPr>
        <w:t xml:space="preserve">How effectively does DFAT’s support to the FFA Secretariat </w:t>
      </w:r>
      <w:r>
        <w:rPr>
          <w:rStyle w:val="ui-provider"/>
        </w:rPr>
        <w:t xml:space="preserve">enable the FFA to support its members </w:t>
      </w:r>
      <w:r w:rsidRPr="00495E0E">
        <w:rPr>
          <w:rStyle w:val="ui-provider"/>
        </w:rPr>
        <w:t xml:space="preserve">to </w:t>
      </w:r>
      <w:r>
        <w:rPr>
          <w:rStyle w:val="ui-provider"/>
        </w:rPr>
        <w:t xml:space="preserve">sustainably </w:t>
      </w:r>
      <w:r w:rsidRPr="00495E0E">
        <w:rPr>
          <w:rStyle w:val="ui-provider"/>
        </w:rPr>
        <w:t>manage and develop their fisheries</w:t>
      </w:r>
      <w:r>
        <w:rPr>
          <w:rStyle w:val="ui-provider"/>
        </w:rPr>
        <w:t xml:space="preserve">, and achieve outcomes of </w:t>
      </w:r>
      <w:r w:rsidRPr="002E5056">
        <w:rPr>
          <w:rStyle w:val="ui-provider"/>
        </w:rPr>
        <w:t>FFA's Strategic Plan?</w:t>
      </w:r>
    </w:p>
    <w:p w14:paraId="4739C4D9" w14:textId="77777777" w:rsidR="00C640B0" w:rsidRPr="002E5056" w:rsidRDefault="00C640B0" w:rsidP="00C640B0">
      <w:pPr>
        <w:pStyle w:val="ListParagraph"/>
        <w:numPr>
          <w:ilvl w:val="1"/>
          <w:numId w:val="6"/>
        </w:numPr>
        <w:tabs>
          <w:tab w:val="clear" w:pos="7780"/>
        </w:tabs>
        <w:spacing w:after="120" w:line="259" w:lineRule="auto"/>
        <w:ind w:left="1434" w:hanging="357"/>
      </w:pPr>
      <w:r w:rsidRPr="002E5056">
        <w:t xml:space="preserve">How effectively has DFAT coordinated </w:t>
      </w:r>
      <w:proofErr w:type="gramStart"/>
      <w:r w:rsidRPr="002E5056">
        <w:t>with</w:t>
      </w:r>
      <w:proofErr w:type="gramEnd"/>
      <w:r w:rsidRPr="002E5056">
        <w:t xml:space="preserve"> and leveraged support provided by other donors, government and non-government organisations (including private sector)?</w:t>
      </w:r>
    </w:p>
    <w:p w14:paraId="0E419812" w14:textId="77777777" w:rsidR="00C640B0" w:rsidRPr="00B141C3" w:rsidRDefault="00C640B0" w:rsidP="00C640B0">
      <w:pPr>
        <w:pStyle w:val="ListParagraph"/>
        <w:numPr>
          <w:ilvl w:val="0"/>
          <w:numId w:val="6"/>
        </w:numPr>
        <w:tabs>
          <w:tab w:val="clear" w:pos="7780"/>
        </w:tabs>
        <w:spacing w:after="160" w:line="259" w:lineRule="auto"/>
        <w:contextualSpacing/>
      </w:pPr>
      <w:r w:rsidRPr="002E5056">
        <w:t>To what extent was the investment (including partner selection and modalities</w:t>
      </w:r>
      <w:r>
        <w:t xml:space="preserve">) </w:t>
      </w:r>
      <w:r w:rsidRPr="00B141C3">
        <w:t xml:space="preserve">efficient in achieving </w:t>
      </w:r>
      <w:r>
        <w:t xml:space="preserve">its intended </w:t>
      </w:r>
      <w:r w:rsidRPr="00B141C3">
        <w:t>outcomes (</w:t>
      </w:r>
      <w:r>
        <w:t>as spelt out in the program logic</w:t>
      </w:r>
      <w:r w:rsidRPr="00B141C3">
        <w:t>)?</w:t>
      </w:r>
    </w:p>
    <w:p w14:paraId="057398D9" w14:textId="77777777" w:rsidR="00C640B0" w:rsidRPr="00B141C3" w:rsidRDefault="00C640B0" w:rsidP="00C640B0">
      <w:pPr>
        <w:pStyle w:val="ListParagraph"/>
        <w:numPr>
          <w:ilvl w:val="1"/>
          <w:numId w:val="6"/>
        </w:numPr>
        <w:tabs>
          <w:tab w:val="clear" w:pos="7780"/>
        </w:tabs>
        <w:spacing w:line="259" w:lineRule="auto"/>
        <w:ind w:left="1434" w:hanging="357"/>
      </w:pPr>
      <w:r w:rsidRPr="00B141C3">
        <w:lastRenderedPageBreak/>
        <w:t>How effectively did DFAT identify and manage risk?</w:t>
      </w:r>
    </w:p>
    <w:p w14:paraId="3EBB7A0D" w14:textId="77777777" w:rsidR="00C640B0" w:rsidRPr="003E0EFA" w:rsidRDefault="00C640B0" w:rsidP="00C640B0">
      <w:pPr>
        <w:pStyle w:val="ListParagraph"/>
        <w:numPr>
          <w:ilvl w:val="1"/>
          <w:numId w:val="6"/>
        </w:numPr>
        <w:tabs>
          <w:tab w:val="clear" w:pos="7780"/>
        </w:tabs>
        <w:spacing w:line="259" w:lineRule="auto"/>
        <w:ind w:left="1434" w:hanging="357"/>
      </w:pPr>
      <w:r w:rsidRPr="00B141C3">
        <w:t xml:space="preserve">How </w:t>
      </w:r>
      <w:r w:rsidRPr="003E0EFA">
        <w:t>effective were DFAT’s and partners’ monitoring, evaluation and learning systems to inform decision-making, learning and accountability?</w:t>
      </w:r>
    </w:p>
    <w:p w14:paraId="3946078F" w14:textId="77777777" w:rsidR="00C640B0" w:rsidRPr="003E0EFA" w:rsidRDefault="00C640B0" w:rsidP="00C640B0">
      <w:pPr>
        <w:pStyle w:val="ListParagraph"/>
        <w:numPr>
          <w:ilvl w:val="1"/>
          <w:numId w:val="6"/>
        </w:numPr>
        <w:tabs>
          <w:tab w:val="clear" w:pos="7780"/>
        </w:tabs>
        <w:spacing w:after="120" w:line="259" w:lineRule="auto"/>
        <w:ind w:left="1434" w:hanging="357"/>
      </w:pPr>
      <w:r w:rsidRPr="003E0EFA">
        <w:t>What lessons and approaches for monitoring, evaluation and learning should be applied to DFAT’s future Pacific fisheries investments?</w:t>
      </w:r>
    </w:p>
    <w:p w14:paraId="4E9CD3B0" w14:textId="77777777" w:rsidR="00C640B0" w:rsidRPr="003E0EFA" w:rsidRDefault="00C640B0" w:rsidP="00C640B0">
      <w:pPr>
        <w:pStyle w:val="ListParagraph"/>
        <w:numPr>
          <w:ilvl w:val="0"/>
          <w:numId w:val="6"/>
        </w:numPr>
        <w:tabs>
          <w:tab w:val="clear" w:pos="7780"/>
        </w:tabs>
        <w:spacing w:after="160" w:line="259" w:lineRule="auto"/>
        <w:contextualSpacing/>
      </w:pPr>
      <w:r w:rsidRPr="003E0EFA">
        <w:t>What other outcomes (intended, unintended, positive and negative) has the investment contributed to in the Pacific region?</w:t>
      </w:r>
    </w:p>
    <w:p w14:paraId="7171DF80" w14:textId="77777777" w:rsidR="00C640B0" w:rsidRDefault="00C640B0" w:rsidP="00C640B0">
      <w:pPr>
        <w:pStyle w:val="ListParagraph"/>
        <w:numPr>
          <w:ilvl w:val="1"/>
          <w:numId w:val="6"/>
        </w:numPr>
        <w:tabs>
          <w:tab w:val="clear" w:pos="7780"/>
        </w:tabs>
        <w:spacing w:after="160" w:line="259" w:lineRule="auto"/>
        <w:contextualSpacing/>
      </w:pPr>
      <w:r>
        <w:t xml:space="preserve">How effectively has the investment contributed to fostering inclusion among marginalised groups and gender equality </w:t>
      </w:r>
      <w:r w:rsidRPr="004E40DF">
        <w:t>including empowering women, youth and people with disability in the fisheries sector?</w:t>
      </w:r>
    </w:p>
    <w:p w14:paraId="3898262A" w14:textId="77777777" w:rsidR="00C640B0" w:rsidRDefault="00C640B0" w:rsidP="00C640B0">
      <w:pPr>
        <w:pStyle w:val="ListParagraph"/>
        <w:numPr>
          <w:ilvl w:val="1"/>
          <w:numId w:val="6"/>
        </w:numPr>
        <w:tabs>
          <w:tab w:val="clear" w:pos="7780"/>
        </w:tabs>
        <w:spacing w:after="160" w:line="259" w:lineRule="auto"/>
        <w:contextualSpacing/>
      </w:pPr>
      <w:r>
        <w:t>How has the investment been effective in adapting to or mitigating the impacts of climate change?</w:t>
      </w:r>
      <w:r w:rsidRPr="004535E4">
        <w:t xml:space="preserve"> </w:t>
      </w:r>
    </w:p>
    <w:p w14:paraId="3FFCEC0E" w14:textId="77777777" w:rsidR="00C640B0" w:rsidRDefault="00C640B0" w:rsidP="00C640B0">
      <w:pPr>
        <w:pStyle w:val="ListParagraph"/>
        <w:numPr>
          <w:ilvl w:val="1"/>
          <w:numId w:val="6"/>
        </w:numPr>
        <w:tabs>
          <w:tab w:val="clear" w:pos="7780"/>
        </w:tabs>
        <w:spacing w:after="160" w:line="259" w:lineRule="auto"/>
        <w:contextualSpacing/>
      </w:pPr>
      <w:r>
        <w:t>How has the investment impacted how Australia is seen in and by the region?</w:t>
      </w:r>
    </w:p>
    <w:p w14:paraId="64F8A3E9" w14:textId="77777777" w:rsidR="00C640B0" w:rsidRDefault="00C640B0" w:rsidP="00C640B0">
      <w:pPr>
        <w:pStyle w:val="ListParagraph"/>
        <w:numPr>
          <w:ilvl w:val="1"/>
          <w:numId w:val="6"/>
        </w:numPr>
        <w:tabs>
          <w:tab w:val="clear" w:pos="7780"/>
        </w:tabs>
        <w:spacing w:after="160" w:line="259" w:lineRule="auto"/>
        <w:contextualSpacing/>
      </w:pPr>
      <w:r>
        <w:t>How sustainable are the benefits of the investment and what actions/strategies have contributed to this?</w:t>
      </w:r>
    </w:p>
    <w:p w14:paraId="31B4FEC8" w14:textId="77777777" w:rsidR="00C640B0" w:rsidRPr="00A64579" w:rsidRDefault="00C640B0" w:rsidP="00C640B0">
      <w:pPr>
        <w:pStyle w:val="ListParagraph"/>
        <w:numPr>
          <w:ilvl w:val="1"/>
          <w:numId w:val="6"/>
        </w:numPr>
        <w:tabs>
          <w:tab w:val="clear" w:pos="7780"/>
        </w:tabs>
        <w:spacing w:after="160" w:line="259" w:lineRule="auto"/>
        <w:contextualSpacing/>
      </w:pPr>
      <w:r>
        <w:t xml:space="preserve">What lessons should be learned to apply to future </w:t>
      </w:r>
      <w:r w:rsidRPr="007B5CAD">
        <w:t>Pacific fisheries investments, including any gaps and opportunities in response to Pacific partners’ needs?</w:t>
      </w:r>
      <w:r w:rsidRPr="00A64579">
        <w:rPr>
          <w:rFonts w:eastAsia="Calibri"/>
          <w:color w:val="000000"/>
        </w:rPr>
        <w:t xml:space="preserve"> </w:t>
      </w:r>
    </w:p>
    <w:p w14:paraId="079F1008" w14:textId="77777777" w:rsidR="00C640B0" w:rsidRPr="00FA2BF4" w:rsidRDefault="00C640B0" w:rsidP="00FA2BF4">
      <w:pPr>
        <w:pStyle w:val="Heading4"/>
      </w:pPr>
      <w:bookmarkStart w:id="147" w:name="_Toc191384079"/>
      <w:bookmarkStart w:id="148" w:name="_Toc205147390"/>
      <w:bookmarkStart w:id="149" w:name="_Toc205147543"/>
      <w:bookmarkStart w:id="150" w:name="_Toc205147845"/>
      <w:r w:rsidRPr="00FA2BF4">
        <w:t>Primary Users of the Evaluation</w:t>
      </w:r>
      <w:bookmarkEnd w:id="147"/>
      <w:bookmarkEnd w:id="148"/>
      <w:bookmarkEnd w:id="149"/>
      <w:bookmarkEnd w:id="150"/>
    </w:p>
    <w:p w14:paraId="7C36C06B" w14:textId="77777777" w:rsidR="00C640B0" w:rsidRPr="00041ADF" w:rsidRDefault="00C640B0" w:rsidP="00C640B0">
      <w:pPr>
        <w:rPr>
          <w:rFonts w:eastAsia="Calibri"/>
        </w:rPr>
      </w:pPr>
    </w:p>
    <w:p w14:paraId="5B80CDF1" w14:textId="77777777" w:rsidR="00C640B0" w:rsidRDefault="00C640B0" w:rsidP="00C640B0">
      <w:pPr>
        <w:autoSpaceDE w:val="0"/>
        <w:autoSpaceDN w:val="0"/>
        <w:adjustRightInd w:val="0"/>
        <w:rPr>
          <w:rFonts w:ascii="Calibri" w:eastAsia="Calibri" w:hAnsi="Calibri" w:cs="Calibri"/>
        </w:rPr>
      </w:pPr>
      <w:r w:rsidRPr="0023698D">
        <w:rPr>
          <w:rFonts w:ascii="Calibri" w:eastAsia="Calibri" w:hAnsi="Calibri" w:cs="Calibri"/>
        </w:rPr>
        <w:t xml:space="preserve">The primary users of the evaluation are </w:t>
      </w:r>
      <w:r>
        <w:rPr>
          <w:rFonts w:ascii="Calibri" w:eastAsia="Calibri" w:hAnsi="Calibri" w:cs="Calibri"/>
        </w:rPr>
        <w:t xml:space="preserve">the </w:t>
      </w:r>
      <w:r w:rsidRPr="0023698D">
        <w:rPr>
          <w:rFonts w:ascii="Calibri" w:eastAsia="Calibri" w:hAnsi="Calibri" w:cs="Calibri"/>
        </w:rPr>
        <w:t xml:space="preserve">Pacific Fisheries and Maritime Section (PFO) and </w:t>
      </w:r>
      <w:r>
        <w:rPr>
          <w:rFonts w:ascii="Calibri" w:eastAsia="Calibri" w:hAnsi="Calibri" w:cs="Calibri"/>
        </w:rPr>
        <w:t xml:space="preserve">the </w:t>
      </w:r>
      <w:r w:rsidRPr="0023698D">
        <w:rPr>
          <w:rFonts w:ascii="Calibri" w:eastAsia="Calibri" w:hAnsi="Calibri" w:cs="Calibri"/>
        </w:rPr>
        <w:t>Assistant</w:t>
      </w:r>
      <w:r>
        <w:rPr>
          <w:rFonts w:ascii="Calibri" w:eastAsia="Calibri" w:hAnsi="Calibri" w:cs="Calibri"/>
        </w:rPr>
        <w:t xml:space="preserve"> </w:t>
      </w:r>
      <w:r w:rsidRPr="0023698D">
        <w:rPr>
          <w:rFonts w:ascii="Calibri" w:eastAsia="Calibri" w:hAnsi="Calibri" w:cs="Calibri"/>
        </w:rPr>
        <w:t>Secretary, Pacific Security Branch, Office of the Pacific, who will use the evaluation to inform decisions on</w:t>
      </w:r>
      <w:r>
        <w:rPr>
          <w:rFonts w:ascii="Calibri" w:eastAsia="Calibri" w:hAnsi="Calibri" w:cs="Calibri"/>
        </w:rPr>
        <w:t xml:space="preserve"> </w:t>
      </w:r>
      <w:r w:rsidRPr="0023698D">
        <w:rPr>
          <w:rFonts w:ascii="Calibri" w:eastAsia="Calibri" w:hAnsi="Calibri" w:cs="Calibri"/>
        </w:rPr>
        <w:t xml:space="preserve">future investments in the region. </w:t>
      </w:r>
    </w:p>
    <w:p w14:paraId="7769872A" w14:textId="77777777" w:rsidR="00C640B0" w:rsidRDefault="00C640B0" w:rsidP="00C640B0">
      <w:pPr>
        <w:autoSpaceDE w:val="0"/>
        <w:autoSpaceDN w:val="0"/>
        <w:adjustRightInd w:val="0"/>
        <w:rPr>
          <w:rFonts w:ascii="Calibri" w:eastAsia="Calibri" w:hAnsi="Calibri" w:cs="Calibri"/>
        </w:rPr>
      </w:pPr>
    </w:p>
    <w:p w14:paraId="267356B0" w14:textId="77777777" w:rsidR="00C640B0" w:rsidRDefault="00C640B0" w:rsidP="00C640B0">
      <w:pPr>
        <w:autoSpaceDE w:val="0"/>
        <w:autoSpaceDN w:val="0"/>
        <w:adjustRightInd w:val="0"/>
        <w:rPr>
          <w:rFonts w:ascii="Calibri" w:eastAsia="Calibri" w:hAnsi="Calibri" w:cs="Calibri"/>
        </w:rPr>
      </w:pPr>
      <w:r w:rsidRPr="0023698D">
        <w:rPr>
          <w:rFonts w:ascii="Calibri" w:eastAsia="Calibri" w:hAnsi="Calibri" w:cs="Calibri"/>
        </w:rPr>
        <w:t>Secondary users include other Australian Government agencies such as</w:t>
      </w:r>
      <w:r>
        <w:rPr>
          <w:rFonts w:ascii="Calibri" w:eastAsia="Calibri" w:hAnsi="Calibri" w:cs="Calibri"/>
        </w:rPr>
        <w:t xml:space="preserve"> </w:t>
      </w:r>
      <w:r w:rsidRPr="0023698D">
        <w:rPr>
          <w:rFonts w:ascii="Calibri" w:eastAsia="Calibri" w:hAnsi="Calibri" w:cs="Calibri"/>
        </w:rPr>
        <w:t>the Department of Agriculture, Fisheries and Forestry and Australian Fisheries Management Authority,</w:t>
      </w:r>
      <w:r>
        <w:rPr>
          <w:rFonts w:ascii="Calibri" w:eastAsia="Calibri" w:hAnsi="Calibri" w:cs="Calibri"/>
        </w:rPr>
        <w:t xml:space="preserve"> </w:t>
      </w:r>
      <w:r w:rsidRPr="0023698D">
        <w:rPr>
          <w:rFonts w:ascii="Calibri" w:eastAsia="Calibri" w:hAnsi="Calibri" w:cs="Calibri"/>
        </w:rPr>
        <w:t>FFA, SPC and other donors such as New Zealand).</w:t>
      </w:r>
    </w:p>
    <w:p w14:paraId="31D15E4D" w14:textId="77777777" w:rsidR="00C640B0" w:rsidRDefault="00C640B0" w:rsidP="00C640B0">
      <w:pPr>
        <w:autoSpaceDE w:val="0"/>
        <w:autoSpaceDN w:val="0"/>
        <w:adjustRightInd w:val="0"/>
        <w:rPr>
          <w:rFonts w:ascii="Calibri" w:eastAsia="Calibri" w:hAnsi="Calibri" w:cs="Calibri"/>
        </w:rPr>
      </w:pPr>
    </w:p>
    <w:p w14:paraId="481B8AEF" w14:textId="77777777" w:rsidR="00C640B0" w:rsidRDefault="00C640B0" w:rsidP="00C640B0">
      <w:pPr>
        <w:autoSpaceDE w:val="0"/>
        <w:autoSpaceDN w:val="0"/>
        <w:adjustRightInd w:val="0"/>
        <w:rPr>
          <w:rFonts w:ascii="Calibri" w:eastAsia="Calibri" w:hAnsi="Calibri" w:cs="Calibri"/>
        </w:rPr>
      </w:pPr>
      <w:r>
        <w:rPr>
          <w:rFonts w:ascii="Calibri" w:eastAsia="Calibri" w:hAnsi="Calibri" w:cs="Calibri"/>
        </w:rPr>
        <w:t xml:space="preserve">The final evaluation report and DFAT management response will be published on the </w:t>
      </w:r>
      <w:hyperlink r:id="rId82" w:history="1">
        <w:r w:rsidRPr="005678E9">
          <w:rPr>
            <w:rFonts w:ascii="Calibri" w:eastAsia="Calibri" w:hAnsi="Calibri" w:cs="Arial"/>
            <w:color w:val="0563C1"/>
            <w:kern w:val="2"/>
            <w:u w:val="single"/>
            <w:lang w:val="en-AU"/>
            <w14:ligatures w14:val="standardContextual"/>
          </w:rPr>
          <w:t>DFAT website</w:t>
        </w:r>
      </w:hyperlink>
      <w:r w:rsidRPr="005678E9">
        <w:rPr>
          <w:rFonts w:ascii="Calibri" w:eastAsia="Calibri" w:hAnsi="Calibri" w:cs="Arial"/>
          <w:kern w:val="2"/>
          <w:lang w:val="en-AU"/>
          <w14:ligatures w14:val="standardContextual"/>
        </w:rPr>
        <w:t xml:space="preserve"> in line with DFAT’s Development Evaluation Policy</w:t>
      </w:r>
      <w:r>
        <w:rPr>
          <w:rFonts w:ascii="Calibri" w:eastAsia="Calibri" w:hAnsi="Calibri" w:cs="Arial"/>
          <w:kern w:val="2"/>
          <w:lang w:val="en-AU"/>
          <w14:ligatures w14:val="standardContextual"/>
        </w:rPr>
        <w:t xml:space="preserve"> and Transparency Requirements.</w:t>
      </w:r>
    </w:p>
    <w:p w14:paraId="6FF0F839" w14:textId="77777777" w:rsidR="00A744C0" w:rsidRDefault="00A744C0" w:rsidP="00A744C0">
      <w:pPr>
        <w:rPr>
          <w:rFonts w:asciiTheme="minorHAnsi" w:eastAsia="Calibri" w:hAnsiTheme="minorHAnsi"/>
          <w:color w:val="2F5496" w:themeColor="accent1" w:themeShade="BF"/>
          <w:sz w:val="32"/>
          <w:szCs w:val="32"/>
        </w:rPr>
      </w:pPr>
      <w:bookmarkStart w:id="151" w:name="_Toc191384080"/>
      <w:bookmarkStart w:id="152" w:name="_Toc205147391"/>
      <w:bookmarkStart w:id="153" w:name="_Toc205147544"/>
      <w:bookmarkStart w:id="154" w:name="_Toc205147846"/>
    </w:p>
    <w:p w14:paraId="63ADE04B" w14:textId="357F4E70" w:rsidR="00C640B0" w:rsidRPr="00FA2BF4" w:rsidRDefault="00C640B0" w:rsidP="00FA2BF4">
      <w:pPr>
        <w:pStyle w:val="Heading4"/>
      </w:pPr>
      <w:r w:rsidRPr="00FA2BF4">
        <w:t>Program Logic</w:t>
      </w:r>
      <w:bookmarkEnd w:id="151"/>
      <w:bookmarkEnd w:id="152"/>
      <w:bookmarkEnd w:id="153"/>
      <w:bookmarkEnd w:id="154"/>
    </w:p>
    <w:p w14:paraId="36B91845" w14:textId="77777777" w:rsidR="00C640B0" w:rsidRDefault="00C640B0" w:rsidP="00C640B0">
      <w:pPr>
        <w:pBdr>
          <w:top w:val="nil"/>
          <w:left w:val="nil"/>
          <w:bottom w:val="nil"/>
          <w:right w:val="nil"/>
          <w:between w:val="nil"/>
        </w:pBdr>
        <w:rPr>
          <w:rFonts w:ascii="Calibri" w:eastAsia="Calibri" w:hAnsi="Calibri" w:cs="Calibri"/>
        </w:rPr>
      </w:pPr>
      <w:bookmarkStart w:id="155" w:name="_Toc188017776"/>
      <w:bookmarkStart w:id="156" w:name="_Toc190158535"/>
      <w:bookmarkStart w:id="157" w:name="_Toc191384081"/>
    </w:p>
    <w:p w14:paraId="2082858C" w14:textId="6B35758C" w:rsidR="00C640B0" w:rsidRPr="00C640B0" w:rsidRDefault="00C640B0" w:rsidP="00A744C0">
      <w:r w:rsidRPr="00C640B0">
        <w:t xml:space="preserve">Since 2010, the investment has grown substantially in response to the needs of the Pacific. Although a formal program logic was not established at inception, a logic model (see </w:t>
      </w:r>
      <w:r w:rsidR="000F3351">
        <w:t>Annexe</w:t>
      </w:r>
      <w:r w:rsidRPr="00C640B0">
        <w:t xml:space="preserve"> 1) has been employed for investment monitoring reporting since 2022. This model identifies the investment goal that ‘the Pacific has secure access to sustainably managed ocean resources’, which is achieved through four end-of-program outcomes (</w:t>
      </w:r>
      <w:proofErr w:type="spellStart"/>
      <w:r w:rsidRPr="00C640B0">
        <w:t>EoPOs</w:t>
      </w:r>
      <w:proofErr w:type="spellEnd"/>
      <w:r w:rsidRPr="00C640B0">
        <w:t>):</w:t>
      </w:r>
      <w:bookmarkEnd w:id="155"/>
      <w:bookmarkEnd w:id="156"/>
      <w:bookmarkEnd w:id="157"/>
    </w:p>
    <w:p w14:paraId="4A4A1FB4" w14:textId="77777777" w:rsidR="00C640B0" w:rsidRPr="001348B6" w:rsidRDefault="00C640B0" w:rsidP="002D0BEC">
      <w:pPr>
        <w:pStyle w:val="ListParagraph"/>
        <w:numPr>
          <w:ilvl w:val="0"/>
          <w:numId w:val="68"/>
        </w:numPr>
        <w:rPr>
          <w:lang w:eastAsia="en-GB"/>
        </w:rPr>
      </w:pPr>
      <w:bookmarkStart w:id="158" w:name="_Toc205147392"/>
      <w:bookmarkStart w:id="159" w:name="_Toc205147545"/>
      <w:bookmarkStart w:id="160" w:name="_Toc205147847"/>
      <w:r w:rsidRPr="001348B6">
        <w:rPr>
          <w:lang w:eastAsia="en-GB"/>
        </w:rPr>
        <w:t>Pacific regional organisations provide adequate support to PICs to manage and develop their fisheries sustainably and cooperatively</w:t>
      </w:r>
      <w:bookmarkEnd w:id="158"/>
      <w:bookmarkEnd w:id="159"/>
      <w:bookmarkEnd w:id="160"/>
    </w:p>
    <w:p w14:paraId="18AF200C" w14:textId="77777777" w:rsidR="00C640B0" w:rsidRPr="001348B6" w:rsidRDefault="00C640B0" w:rsidP="002D0BEC">
      <w:pPr>
        <w:pStyle w:val="ListParagraph"/>
        <w:numPr>
          <w:ilvl w:val="0"/>
          <w:numId w:val="68"/>
        </w:numPr>
        <w:rPr>
          <w:lang w:eastAsia="en-GB"/>
        </w:rPr>
      </w:pPr>
      <w:bookmarkStart w:id="161" w:name="_Toc205147393"/>
      <w:bookmarkStart w:id="162" w:name="_Toc205147546"/>
      <w:bookmarkStart w:id="163" w:name="_Toc205147848"/>
      <w:r w:rsidRPr="001348B6">
        <w:rPr>
          <w:lang w:eastAsia="en-GB"/>
        </w:rPr>
        <w:t>Pacific livelihoods are improved through access to sustainable coastal fisheries resources</w:t>
      </w:r>
      <w:bookmarkEnd w:id="161"/>
      <w:bookmarkEnd w:id="162"/>
      <w:bookmarkEnd w:id="163"/>
    </w:p>
    <w:p w14:paraId="116D362B" w14:textId="77777777" w:rsidR="00C640B0" w:rsidRPr="001348B6" w:rsidRDefault="00C640B0" w:rsidP="002D0BEC">
      <w:pPr>
        <w:pStyle w:val="ListParagraph"/>
        <w:numPr>
          <w:ilvl w:val="0"/>
          <w:numId w:val="68"/>
        </w:numPr>
        <w:rPr>
          <w:lang w:eastAsia="en-GB"/>
        </w:rPr>
      </w:pPr>
      <w:bookmarkStart w:id="164" w:name="_Toc205147394"/>
      <w:bookmarkStart w:id="165" w:name="_Toc205147547"/>
      <w:bookmarkStart w:id="166" w:name="_Toc205147849"/>
      <w:r w:rsidRPr="001348B6">
        <w:rPr>
          <w:lang w:eastAsia="en-GB"/>
        </w:rPr>
        <w:t>IUU fishing is reduced through coordinated fisheries monitoring, control and surveillance activities</w:t>
      </w:r>
      <w:bookmarkEnd w:id="164"/>
      <w:bookmarkEnd w:id="165"/>
      <w:bookmarkEnd w:id="166"/>
    </w:p>
    <w:p w14:paraId="25C3BFE0" w14:textId="77777777" w:rsidR="00C640B0" w:rsidRPr="001348B6" w:rsidRDefault="00C640B0" w:rsidP="002D0BEC">
      <w:pPr>
        <w:pStyle w:val="ListParagraph"/>
        <w:numPr>
          <w:ilvl w:val="0"/>
          <w:numId w:val="68"/>
        </w:numPr>
        <w:rPr>
          <w:lang w:eastAsia="en-GB"/>
        </w:rPr>
      </w:pPr>
      <w:bookmarkStart w:id="167" w:name="_Toc205147395"/>
      <w:bookmarkStart w:id="168" w:name="_Toc205147548"/>
      <w:bookmarkStart w:id="169" w:name="_Toc205147850"/>
      <w:r w:rsidRPr="001348B6">
        <w:rPr>
          <w:lang w:eastAsia="en-GB"/>
        </w:rPr>
        <w:t>Maritime boundaries are secured and resilient to the effects of climate change</w:t>
      </w:r>
      <w:bookmarkEnd w:id="167"/>
      <w:bookmarkEnd w:id="168"/>
      <w:bookmarkEnd w:id="169"/>
      <w:r w:rsidRPr="001348B6">
        <w:rPr>
          <w:lang w:eastAsia="en-GB"/>
        </w:rPr>
        <w:t xml:space="preserve"> </w:t>
      </w:r>
    </w:p>
    <w:p w14:paraId="61A4CD50" w14:textId="77777777" w:rsidR="00C640B0" w:rsidRPr="00B32E86" w:rsidRDefault="00C640B0" w:rsidP="00A744C0">
      <w:pPr>
        <w:rPr>
          <w:color w:val="000000"/>
        </w:rPr>
      </w:pPr>
    </w:p>
    <w:p w14:paraId="0A656735" w14:textId="77777777" w:rsidR="00C640B0" w:rsidRPr="00B32E86" w:rsidRDefault="00C640B0" w:rsidP="00A744C0">
      <w:pPr>
        <w:rPr>
          <w:color w:val="000000"/>
        </w:rPr>
      </w:pPr>
      <w:r w:rsidRPr="00B32E86">
        <w:rPr>
          <w:color w:val="000000"/>
        </w:rPr>
        <w:t>For the purposes of this evaluation</w:t>
      </w:r>
      <w:r>
        <w:rPr>
          <w:color w:val="000000"/>
        </w:rPr>
        <w:t>,</w:t>
      </w:r>
      <w:r w:rsidRPr="00B32E86">
        <w:rPr>
          <w:color w:val="000000"/>
        </w:rPr>
        <w:t xml:space="preserve"> the </w:t>
      </w:r>
      <w:r>
        <w:rPr>
          <w:color w:val="000000"/>
        </w:rPr>
        <w:t>program logic</w:t>
      </w:r>
      <w:r w:rsidRPr="00B32E86">
        <w:rPr>
          <w:color w:val="000000"/>
        </w:rPr>
        <w:t xml:space="preserve"> serves multiple functions:</w:t>
      </w:r>
    </w:p>
    <w:p w14:paraId="6F351A5E" w14:textId="77777777" w:rsidR="00C640B0" w:rsidRPr="002D0BEC" w:rsidRDefault="00C640B0" w:rsidP="002D0BEC">
      <w:pPr>
        <w:pStyle w:val="ListParagraph"/>
        <w:numPr>
          <w:ilvl w:val="0"/>
          <w:numId w:val="30"/>
        </w:numPr>
        <w:rPr>
          <w:color w:val="000000"/>
        </w:rPr>
      </w:pPr>
      <w:r w:rsidRPr="002D0BEC">
        <w:rPr>
          <w:color w:val="000000"/>
        </w:rPr>
        <w:t xml:space="preserve">It outlines the logical chain of how the interventions implemented lead to the specific change that the investments are intended to contribute to; </w:t>
      </w:r>
    </w:p>
    <w:p w14:paraId="6341783D" w14:textId="77777777" w:rsidR="00C640B0" w:rsidRPr="002D0BEC" w:rsidRDefault="00C640B0" w:rsidP="002D0BEC">
      <w:pPr>
        <w:pStyle w:val="ListParagraph"/>
        <w:numPr>
          <w:ilvl w:val="0"/>
          <w:numId w:val="30"/>
        </w:numPr>
        <w:rPr>
          <w:color w:val="000000"/>
        </w:rPr>
      </w:pPr>
      <w:r w:rsidRPr="002D0BEC">
        <w:rPr>
          <w:color w:val="000000"/>
        </w:rPr>
        <w:lastRenderedPageBreak/>
        <w:t xml:space="preserve">The PFO has adopted these </w:t>
      </w:r>
      <w:proofErr w:type="spellStart"/>
      <w:r w:rsidRPr="002D0BEC">
        <w:rPr>
          <w:color w:val="000000"/>
        </w:rPr>
        <w:t>EoPOs</w:t>
      </w:r>
      <w:proofErr w:type="spellEnd"/>
      <w:r w:rsidRPr="002D0BEC">
        <w:rPr>
          <w:color w:val="000000"/>
        </w:rPr>
        <w:t xml:space="preserve"> for this investment in relation to the FIMR process; </w:t>
      </w:r>
    </w:p>
    <w:p w14:paraId="61AEB22C" w14:textId="77777777" w:rsidR="00C640B0" w:rsidRPr="001348B6" w:rsidRDefault="00C640B0" w:rsidP="002D0BEC">
      <w:pPr>
        <w:pStyle w:val="ListParagraph"/>
        <w:numPr>
          <w:ilvl w:val="0"/>
          <w:numId w:val="30"/>
        </w:numPr>
        <w:pBdr>
          <w:top w:val="nil"/>
          <w:left w:val="nil"/>
          <w:bottom w:val="nil"/>
          <w:right w:val="nil"/>
          <w:between w:val="nil"/>
        </w:pBdr>
        <w:tabs>
          <w:tab w:val="clear" w:pos="7780"/>
        </w:tabs>
        <w:rPr>
          <w:rFonts w:eastAsia="Calibri"/>
          <w:color w:val="000000"/>
        </w:rPr>
      </w:pPr>
      <w:r>
        <w:rPr>
          <w:rFonts w:eastAsia="Calibri"/>
          <w:color w:val="000000"/>
        </w:rPr>
        <w:t>Thus, it assists in identifying the subset of issues on which the evaluation can effectively focus</w:t>
      </w:r>
      <w:r w:rsidRPr="001348B6">
        <w:rPr>
          <w:rFonts w:eastAsia="Calibri"/>
          <w:color w:val="000000"/>
        </w:rPr>
        <w:t>.</w:t>
      </w:r>
    </w:p>
    <w:p w14:paraId="2BE17464" w14:textId="77777777" w:rsidR="002D0BEC" w:rsidRDefault="002D0BEC" w:rsidP="002D0BEC">
      <w:pPr>
        <w:rPr>
          <w:rFonts w:asciiTheme="minorHAnsi" w:eastAsia="Calibri" w:hAnsiTheme="minorHAnsi"/>
          <w:color w:val="2F5496" w:themeColor="accent1" w:themeShade="BF"/>
          <w:sz w:val="32"/>
          <w:szCs w:val="32"/>
        </w:rPr>
      </w:pPr>
      <w:bookmarkStart w:id="170" w:name="_Toc191384086"/>
      <w:bookmarkStart w:id="171" w:name="_Toc205147396"/>
      <w:bookmarkStart w:id="172" w:name="_Toc205147549"/>
      <w:bookmarkStart w:id="173" w:name="_Toc205147851"/>
    </w:p>
    <w:p w14:paraId="05F61F0D" w14:textId="159C6528" w:rsidR="00C640B0" w:rsidRPr="00FA2BF4" w:rsidRDefault="00C640B0" w:rsidP="00FA2BF4">
      <w:pPr>
        <w:pStyle w:val="Heading4"/>
      </w:pPr>
      <w:r w:rsidRPr="00FA2BF4">
        <w:t>Our Approach</w:t>
      </w:r>
      <w:bookmarkEnd w:id="170"/>
      <w:bookmarkEnd w:id="171"/>
      <w:bookmarkEnd w:id="172"/>
      <w:bookmarkEnd w:id="173"/>
    </w:p>
    <w:p w14:paraId="4E11D9C3" w14:textId="3B4AAF30" w:rsidR="00C640B0" w:rsidRPr="00B32E86" w:rsidRDefault="00C640B0" w:rsidP="00C640B0">
      <w:pPr>
        <w:spacing w:before="240" w:after="280"/>
      </w:pPr>
      <w:proofErr w:type="spellStart"/>
      <w:r w:rsidRPr="00B32E86">
        <w:rPr>
          <w:rFonts w:ascii="Calibri" w:eastAsia="Calibri" w:hAnsi="Calibri" w:cs="Calibri"/>
        </w:rPr>
        <w:t>Strategic’s</w:t>
      </w:r>
      <w:proofErr w:type="spellEnd"/>
      <w:r w:rsidRPr="00B32E86">
        <w:rPr>
          <w:rFonts w:ascii="Calibri" w:eastAsia="Calibri" w:hAnsi="Calibri" w:cs="Calibri"/>
        </w:rPr>
        <w:t xml:space="preserve"> overall approach is to always seek to be utilisation-focused, emphasising the forward-</w:t>
      </w:r>
      <w:r w:rsidRPr="008A7C54">
        <w:rPr>
          <w:rFonts w:ascii="Calibri" w:eastAsia="Calibri" w:hAnsi="Calibri" w:cs="Calibri"/>
        </w:rPr>
        <w:t xml:space="preserve">looking objectives of this evaluation, underpinned by strong ethical considerations that guide all our work (see </w:t>
      </w:r>
      <w:r w:rsidR="000F3351">
        <w:rPr>
          <w:rFonts w:ascii="Calibri" w:eastAsia="Calibri" w:hAnsi="Calibri" w:cs="Calibri"/>
          <w:b/>
          <w:bCs/>
        </w:rPr>
        <w:t>Annexe</w:t>
      </w:r>
      <w:r w:rsidRPr="008A7C54">
        <w:rPr>
          <w:rFonts w:ascii="Calibri" w:eastAsia="Calibri" w:hAnsi="Calibri" w:cs="Calibri"/>
          <w:b/>
          <w:bCs/>
        </w:rPr>
        <w:t xml:space="preserve"> 3</w:t>
      </w:r>
      <w:r w:rsidRPr="008A7C54">
        <w:rPr>
          <w:rFonts w:ascii="Calibri" w:eastAsia="Calibri" w:hAnsi="Calibri" w:cs="Calibri"/>
        </w:rPr>
        <w:t xml:space="preserve"> for more detail</w:t>
      </w:r>
      <w:r>
        <w:rPr>
          <w:rFonts w:ascii="Calibri" w:eastAsia="Calibri" w:hAnsi="Calibri" w:cs="Calibri"/>
        </w:rPr>
        <w:t>)</w:t>
      </w:r>
      <w:r w:rsidRPr="00B32E86">
        <w:rPr>
          <w:rFonts w:ascii="Calibri" w:eastAsia="Calibri" w:hAnsi="Calibri" w:cs="Calibri"/>
        </w:rPr>
        <w:t xml:space="preserve">. Our approach combines impartial rigour, a commitment to accuracy, and a constructive commitment to making a positive contribution. Our values mean that while neutral and confidential in our engagement with the client and our informants, we aim to be good colleagues whose work supports the client’s efforts towards sustainable, equitable development. Our approach will include regular, consultative interaction with </w:t>
      </w:r>
      <w:r>
        <w:rPr>
          <w:rFonts w:ascii="Calibri" w:eastAsia="Calibri" w:hAnsi="Calibri" w:cs="Calibri"/>
        </w:rPr>
        <w:t>the PFO</w:t>
      </w:r>
      <w:r w:rsidRPr="00B32E86">
        <w:rPr>
          <w:rFonts w:ascii="Calibri" w:eastAsia="Calibri" w:hAnsi="Calibri" w:cs="Calibri"/>
        </w:rPr>
        <w:t xml:space="preserve">: sharing ideas as the evaluation progresses, while maintaining the independence and neutrality of the process. </w:t>
      </w:r>
    </w:p>
    <w:p w14:paraId="1DDBF5D8" w14:textId="77777777" w:rsidR="00C640B0" w:rsidRPr="00B32E86" w:rsidRDefault="00C640B0" w:rsidP="00C640B0">
      <w:pPr>
        <w:pBdr>
          <w:top w:val="nil"/>
          <w:left w:val="nil"/>
          <w:bottom w:val="nil"/>
          <w:right w:val="nil"/>
          <w:between w:val="nil"/>
        </w:pBdr>
        <w:rPr>
          <w:rFonts w:ascii="Calibri" w:eastAsia="Calibri" w:hAnsi="Calibri" w:cs="Calibri"/>
          <w:color w:val="000000"/>
        </w:rPr>
      </w:pPr>
      <w:r w:rsidRPr="00EAD60C">
        <w:rPr>
          <w:rFonts w:ascii="Calibri" w:eastAsia="Calibri" w:hAnsi="Calibri" w:cs="Calibri"/>
        </w:rPr>
        <w:t xml:space="preserve">As set out systematically in the Evaluation Matrix on the following pages, we will be conducting a mixed methods approach to meet the requirements of the evaluation.  The EQs listed below, which help frame the Evaluation Matrix, were prescribed in the original </w:t>
      </w:r>
      <w:proofErr w:type="spellStart"/>
      <w:r w:rsidRPr="00EAD60C">
        <w:rPr>
          <w:rFonts w:ascii="Calibri" w:eastAsia="Calibri" w:hAnsi="Calibri" w:cs="Calibri"/>
        </w:rPr>
        <w:t>ToR</w:t>
      </w:r>
      <w:r>
        <w:rPr>
          <w:rFonts w:ascii="Calibri" w:eastAsia="Calibri" w:hAnsi="Calibri" w:cs="Calibri"/>
        </w:rPr>
        <w:t>s</w:t>
      </w:r>
      <w:proofErr w:type="spellEnd"/>
      <w:r>
        <w:rPr>
          <w:rFonts w:ascii="Calibri" w:eastAsia="Calibri" w:hAnsi="Calibri" w:cs="Calibri"/>
        </w:rPr>
        <w:t>.</w:t>
      </w:r>
    </w:p>
    <w:p w14:paraId="1A731771" w14:textId="77777777" w:rsidR="00C640B0" w:rsidRPr="00B32E86" w:rsidRDefault="00C640B0" w:rsidP="00C640B0">
      <w:pPr>
        <w:pBdr>
          <w:top w:val="nil"/>
          <w:left w:val="nil"/>
          <w:bottom w:val="nil"/>
          <w:right w:val="nil"/>
          <w:between w:val="nil"/>
        </w:pBdr>
        <w:rPr>
          <w:rFonts w:ascii="Calibri" w:eastAsia="Calibri" w:hAnsi="Calibri" w:cs="Calibri"/>
        </w:rPr>
        <w:sectPr w:rsidR="00C640B0" w:rsidRPr="00B32E86" w:rsidSect="000C15A8">
          <w:headerReference w:type="first" r:id="rId83"/>
          <w:type w:val="continuous"/>
          <w:pgSz w:w="11900" w:h="16840"/>
          <w:pgMar w:top="1440" w:right="1080" w:bottom="1440" w:left="1080" w:header="709" w:footer="709" w:gutter="0"/>
          <w:cols w:space="720"/>
          <w:titlePg/>
        </w:sectPr>
      </w:pPr>
    </w:p>
    <w:p w14:paraId="4C5717D3" w14:textId="77777777" w:rsidR="00C640B0" w:rsidRDefault="00C640B0" w:rsidP="00FA2BF4">
      <w:pPr>
        <w:pStyle w:val="Heading4"/>
      </w:pPr>
      <w:r w:rsidRPr="00B32E86">
        <w:lastRenderedPageBreak/>
        <w:t>Evaluation Matrix</w:t>
      </w:r>
    </w:p>
    <w:p w14:paraId="4439E852" w14:textId="7FA3B5AC" w:rsidR="00C640B0" w:rsidRPr="001F2A47" w:rsidRDefault="001F2A47" w:rsidP="008E1333">
      <w:pPr>
        <w:pStyle w:val="Subheading"/>
        <w:rPr>
          <w:rFonts w:asciiTheme="minorHAnsi" w:hAnsiTheme="minorHAnsi" w:cstheme="minorHAnsi"/>
          <w:b/>
          <w:bCs/>
          <w:color w:val="000000" w:themeColor="text1"/>
          <w:spacing w:val="0"/>
          <w:sz w:val="22"/>
          <w:szCs w:val="22"/>
        </w:rPr>
      </w:pPr>
      <w:r w:rsidRPr="001F2A47">
        <w:rPr>
          <w:rFonts w:asciiTheme="minorHAnsi" w:hAnsiTheme="minorHAnsi" w:cstheme="minorHAnsi"/>
          <w:b/>
          <w:bCs/>
          <w:color w:val="000000" w:themeColor="text1"/>
          <w:spacing w:val="0"/>
          <w:sz w:val="22"/>
          <w:szCs w:val="22"/>
        </w:rPr>
        <w:t>EQ 1: To what extent was the investment effective in achieving its intended outcomes?</w:t>
      </w:r>
    </w:p>
    <w:tbl>
      <w:tblPr>
        <w:tblStyle w:val="TableGrid"/>
        <w:tblW w:w="0" w:type="auto"/>
        <w:tblLook w:val="04A0" w:firstRow="1" w:lastRow="0" w:firstColumn="1" w:lastColumn="0" w:noHBand="0" w:noVBand="1"/>
      </w:tblPr>
      <w:tblGrid>
        <w:gridCol w:w="2934"/>
        <w:gridCol w:w="2934"/>
        <w:gridCol w:w="2934"/>
        <w:gridCol w:w="2934"/>
        <w:gridCol w:w="2934"/>
      </w:tblGrid>
      <w:tr w:rsidR="00DB4D0D" w14:paraId="16AF130E" w14:textId="77777777" w:rsidTr="001F2A47">
        <w:tc>
          <w:tcPr>
            <w:tcW w:w="2934" w:type="dxa"/>
            <w:shd w:val="clear" w:color="auto" w:fill="0070C0"/>
          </w:tcPr>
          <w:p w14:paraId="5A616F15" w14:textId="475147A9" w:rsidR="00DB4D0D" w:rsidRPr="001F2A47" w:rsidRDefault="00DB4D0D" w:rsidP="001F2A47">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Evaluation Question</w:t>
            </w:r>
          </w:p>
        </w:tc>
        <w:tc>
          <w:tcPr>
            <w:tcW w:w="2934" w:type="dxa"/>
            <w:shd w:val="clear" w:color="auto" w:fill="0070C0"/>
          </w:tcPr>
          <w:p w14:paraId="66EF4DAC" w14:textId="14370486" w:rsidR="00DB4D0D" w:rsidRPr="001F2A47" w:rsidRDefault="00DB4D0D" w:rsidP="001F2A47">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Judgement Criteria</w:t>
            </w:r>
          </w:p>
        </w:tc>
        <w:tc>
          <w:tcPr>
            <w:tcW w:w="2934" w:type="dxa"/>
            <w:shd w:val="clear" w:color="auto" w:fill="0070C0"/>
          </w:tcPr>
          <w:p w14:paraId="05839F8C" w14:textId="1DB55243" w:rsidR="00DB4D0D" w:rsidRPr="001F2A47" w:rsidRDefault="00DB4D0D" w:rsidP="001F2A47">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Indicator/‌measure of progress</w:t>
            </w:r>
          </w:p>
        </w:tc>
        <w:tc>
          <w:tcPr>
            <w:tcW w:w="2934" w:type="dxa"/>
            <w:shd w:val="clear" w:color="auto" w:fill="0070C0"/>
          </w:tcPr>
          <w:p w14:paraId="5021960D" w14:textId="77777777" w:rsidR="00DB4D0D" w:rsidRPr="001F2A47" w:rsidRDefault="00DB4D0D" w:rsidP="001F2A47">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Data sources</w:t>
            </w:r>
          </w:p>
          <w:p w14:paraId="258C6C18" w14:textId="77777777" w:rsidR="00DB4D0D" w:rsidRPr="001F2A47" w:rsidRDefault="00DB4D0D" w:rsidP="001F2A47">
            <w:pPr>
              <w:rPr>
                <w:rFonts w:asciiTheme="minorHAnsi" w:hAnsiTheme="minorHAnsi"/>
                <w:b/>
                <w:color w:val="FFFFFF" w:themeColor="background1"/>
                <w:sz w:val="20"/>
                <w:szCs w:val="20"/>
                <w:lang w:val="en-GB"/>
              </w:rPr>
            </w:pPr>
          </w:p>
        </w:tc>
        <w:tc>
          <w:tcPr>
            <w:tcW w:w="2934" w:type="dxa"/>
            <w:shd w:val="clear" w:color="auto" w:fill="0070C0"/>
          </w:tcPr>
          <w:p w14:paraId="171B8AF8" w14:textId="33865607" w:rsidR="00DB4D0D" w:rsidRPr="001F2A47" w:rsidRDefault="00DB4D0D" w:rsidP="001F2A47">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Data analysis &amp; ‌triangulation</w:t>
            </w:r>
          </w:p>
        </w:tc>
      </w:tr>
      <w:tr w:rsidR="001F2A47" w14:paraId="327DC5AA" w14:textId="77777777" w:rsidTr="00DB4D0D">
        <w:tc>
          <w:tcPr>
            <w:tcW w:w="2934" w:type="dxa"/>
          </w:tcPr>
          <w:p w14:paraId="557AB416" w14:textId="0F6B3DEC" w:rsidR="001F2A47" w:rsidRPr="00102A1C" w:rsidRDefault="001F2A47" w:rsidP="00102A1C">
            <w:pPr>
              <w:pStyle w:val="ListParagraph"/>
              <w:numPr>
                <w:ilvl w:val="2"/>
                <w:numId w:val="34"/>
              </w:numPr>
              <w:tabs>
                <w:tab w:val="clear" w:pos="7780"/>
              </w:tabs>
              <w:rPr>
                <w:rFonts w:asciiTheme="minorHAnsi" w:hAnsiTheme="minorHAnsi"/>
                <w:sz w:val="20"/>
                <w:szCs w:val="20"/>
              </w:rPr>
            </w:pPr>
            <w:r w:rsidRPr="00102A1C">
              <w:rPr>
                <w:rFonts w:asciiTheme="minorHAnsi" w:hAnsiTheme="minorHAnsi"/>
                <w:sz w:val="20"/>
                <w:szCs w:val="20"/>
              </w:rPr>
              <w:t>To what extent was the investment effective in achieving its intended outcomes?</w:t>
            </w:r>
          </w:p>
        </w:tc>
        <w:tc>
          <w:tcPr>
            <w:tcW w:w="2934" w:type="dxa"/>
          </w:tcPr>
          <w:p w14:paraId="5F5B8C14" w14:textId="6B5CCB5C" w:rsidR="001F2A47" w:rsidRPr="00AA0D31" w:rsidRDefault="001F2A47" w:rsidP="00AA0D31">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Progress towards the four expected outcomes</w:t>
            </w:r>
          </w:p>
        </w:tc>
        <w:tc>
          <w:tcPr>
            <w:tcW w:w="2934" w:type="dxa"/>
          </w:tcPr>
          <w:p w14:paraId="61F274B1" w14:textId="77777777" w:rsidR="001F2A47" w:rsidRPr="00AA0D31" w:rsidRDefault="001F2A47" w:rsidP="00AA0D31">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Extent to which there is clear evidence that different investments made good progress towards achieving expected outcomes</w:t>
            </w:r>
          </w:p>
          <w:p w14:paraId="5619BE2C" w14:textId="2D739646" w:rsidR="001F2A47" w:rsidRPr="00AA0D31" w:rsidRDefault="001F2A47" w:rsidP="00AA0D31">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Extent to which planned activities were implemented</w:t>
            </w:r>
          </w:p>
        </w:tc>
        <w:tc>
          <w:tcPr>
            <w:tcW w:w="2934" w:type="dxa"/>
          </w:tcPr>
          <w:p w14:paraId="4658CB74" w14:textId="77777777" w:rsidR="001F2A47" w:rsidRPr="00AA0D31" w:rsidRDefault="001F2A47" w:rsidP="00AA0D31">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Synthesis of Evaluation Reports</w:t>
            </w:r>
          </w:p>
          <w:p w14:paraId="5781FAAE" w14:textId="77777777" w:rsidR="001F2A47" w:rsidRPr="00AA0D31" w:rsidRDefault="001F2A47" w:rsidP="00AA0D31">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Interviews with partners</w:t>
            </w:r>
          </w:p>
          <w:p w14:paraId="34A16ED5" w14:textId="307AC160" w:rsidR="001F2A47" w:rsidRPr="00AA0D31" w:rsidRDefault="001F2A47" w:rsidP="00AA0D31">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Survey data</w:t>
            </w:r>
          </w:p>
        </w:tc>
        <w:tc>
          <w:tcPr>
            <w:tcW w:w="2934" w:type="dxa"/>
          </w:tcPr>
          <w:p w14:paraId="3025BAD8" w14:textId="70594362" w:rsidR="001F2A47" w:rsidRPr="00AA0D31" w:rsidRDefault="001F2A47" w:rsidP="00AA0D31">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Triangulation across document sources and checked against interviews and survey data.</w:t>
            </w:r>
          </w:p>
        </w:tc>
      </w:tr>
      <w:tr w:rsidR="001F2A47" w14:paraId="0E807063" w14:textId="77777777" w:rsidTr="00DB4D0D">
        <w:tc>
          <w:tcPr>
            <w:tcW w:w="2934" w:type="dxa"/>
          </w:tcPr>
          <w:p w14:paraId="1E14D264" w14:textId="4449FE68" w:rsidR="001F2A47" w:rsidRPr="00C20B58" w:rsidRDefault="001F2A47" w:rsidP="00C20B58">
            <w:pPr>
              <w:pStyle w:val="ListParagraph"/>
              <w:numPr>
                <w:ilvl w:val="1"/>
                <w:numId w:val="76"/>
              </w:numPr>
              <w:tabs>
                <w:tab w:val="clear" w:pos="7780"/>
              </w:tabs>
              <w:rPr>
                <w:rFonts w:asciiTheme="minorHAnsi" w:hAnsiTheme="minorHAnsi"/>
                <w:sz w:val="20"/>
                <w:szCs w:val="20"/>
              </w:rPr>
            </w:pPr>
            <w:r w:rsidRPr="00C20B58">
              <w:rPr>
                <w:rFonts w:asciiTheme="minorHAnsi" w:hAnsiTheme="minorHAnsi"/>
                <w:sz w:val="20"/>
                <w:szCs w:val="20"/>
              </w:rPr>
              <w:t>How effectively does DFAT’s support to the FFA Secretariat enable the FFA to support its members to sustainably manage and develop their fisheries, and achieve outcomes of FFA's Strategic Plan?</w:t>
            </w:r>
          </w:p>
        </w:tc>
        <w:tc>
          <w:tcPr>
            <w:tcW w:w="2934" w:type="dxa"/>
          </w:tcPr>
          <w:p w14:paraId="1FD812AF" w14:textId="27C9D524"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Extent to which FFA is effective in its support to members and its delivery of its Strategic and/or Business Plan</w:t>
            </w:r>
          </w:p>
        </w:tc>
        <w:tc>
          <w:tcPr>
            <w:tcW w:w="2934" w:type="dxa"/>
          </w:tcPr>
          <w:p w14:paraId="050297C1" w14:textId="77777777"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Evidence of Secretariat performance strengthening regional unity and fisheries development</w:t>
            </w:r>
          </w:p>
          <w:p w14:paraId="4F847A24" w14:textId="77777777"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 of Strategic and/or Business Plan targets achieved</w:t>
            </w:r>
          </w:p>
          <w:p w14:paraId="284E854E" w14:textId="77777777"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Evidence of effective service delivery to members</w:t>
            </w:r>
          </w:p>
          <w:p w14:paraId="3F517A92" w14:textId="675CCD16"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Evidence of FFA delivering on its commitments to members</w:t>
            </w:r>
          </w:p>
        </w:tc>
        <w:tc>
          <w:tcPr>
            <w:tcW w:w="2934" w:type="dxa"/>
          </w:tcPr>
          <w:p w14:paraId="6E34B755" w14:textId="77777777"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FFA Strategic Plan Reports</w:t>
            </w:r>
          </w:p>
          <w:p w14:paraId="776A18C2" w14:textId="77777777"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Interviews with FFA and select members</w:t>
            </w:r>
          </w:p>
          <w:p w14:paraId="33D81951" w14:textId="3C44C56F"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Survey of Partners</w:t>
            </w:r>
          </w:p>
        </w:tc>
        <w:tc>
          <w:tcPr>
            <w:tcW w:w="2934" w:type="dxa"/>
          </w:tcPr>
          <w:p w14:paraId="04500FF2" w14:textId="35571003"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Triangulation between quantitative performance data and members feedback</w:t>
            </w:r>
          </w:p>
        </w:tc>
      </w:tr>
      <w:tr w:rsidR="001F2A47" w14:paraId="5C8B0892" w14:textId="77777777" w:rsidTr="00DB4D0D">
        <w:tc>
          <w:tcPr>
            <w:tcW w:w="2934" w:type="dxa"/>
          </w:tcPr>
          <w:p w14:paraId="706445A7" w14:textId="4A944B77" w:rsidR="001F2A47" w:rsidRPr="00C20B58" w:rsidRDefault="001F2A47" w:rsidP="00C20B58">
            <w:pPr>
              <w:pStyle w:val="ListParagraph"/>
              <w:numPr>
                <w:ilvl w:val="1"/>
                <w:numId w:val="76"/>
              </w:numPr>
              <w:tabs>
                <w:tab w:val="clear" w:pos="7780"/>
              </w:tabs>
              <w:rPr>
                <w:rFonts w:asciiTheme="minorHAnsi" w:hAnsiTheme="minorHAnsi"/>
                <w:sz w:val="20"/>
                <w:szCs w:val="20"/>
              </w:rPr>
            </w:pPr>
            <w:r w:rsidRPr="00C20B58">
              <w:rPr>
                <w:rFonts w:asciiTheme="minorHAnsi" w:hAnsiTheme="minorHAnsi"/>
                <w:sz w:val="20"/>
                <w:szCs w:val="20"/>
              </w:rPr>
              <w:t xml:space="preserve">How effectively has DFAT coordinated </w:t>
            </w:r>
            <w:proofErr w:type="gramStart"/>
            <w:r w:rsidRPr="00C20B58">
              <w:rPr>
                <w:rFonts w:asciiTheme="minorHAnsi" w:hAnsiTheme="minorHAnsi"/>
                <w:sz w:val="20"/>
                <w:szCs w:val="20"/>
              </w:rPr>
              <w:t>with</w:t>
            </w:r>
            <w:proofErr w:type="gramEnd"/>
            <w:r w:rsidRPr="00C20B58">
              <w:rPr>
                <w:rFonts w:asciiTheme="minorHAnsi" w:hAnsiTheme="minorHAnsi"/>
                <w:sz w:val="20"/>
                <w:szCs w:val="20"/>
              </w:rPr>
              <w:t xml:space="preserve"> and leveraged support provided by other donors, government and non-government organisations (including private sector)?</w:t>
            </w:r>
          </w:p>
        </w:tc>
        <w:tc>
          <w:tcPr>
            <w:tcW w:w="2934" w:type="dxa"/>
          </w:tcPr>
          <w:p w14:paraId="51D100A4" w14:textId="7EAF9CB1"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Level of stakeholder coordination</w:t>
            </w:r>
          </w:p>
        </w:tc>
        <w:tc>
          <w:tcPr>
            <w:tcW w:w="2934" w:type="dxa"/>
          </w:tcPr>
          <w:p w14:paraId="321B3520" w14:textId="77777777"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Evidence of complementary programming</w:t>
            </w:r>
          </w:p>
          <w:p w14:paraId="58D1EC28" w14:textId="77777777"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Number of joint initiatives/ co-delivery of programs</w:t>
            </w:r>
          </w:p>
          <w:p w14:paraId="5A127FD9" w14:textId="085DAB14"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Evidence of support being leveraged</w:t>
            </w:r>
          </w:p>
        </w:tc>
        <w:tc>
          <w:tcPr>
            <w:tcW w:w="2934" w:type="dxa"/>
          </w:tcPr>
          <w:p w14:paraId="0C78CB00" w14:textId="77777777"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Interviews with donors, NGOs and representatives from the private sector</w:t>
            </w:r>
          </w:p>
          <w:p w14:paraId="12BF93BB" w14:textId="11108356"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Joint program documents</w:t>
            </w:r>
          </w:p>
        </w:tc>
        <w:tc>
          <w:tcPr>
            <w:tcW w:w="2934" w:type="dxa"/>
          </w:tcPr>
          <w:p w14:paraId="5A9335FD" w14:textId="418B46E5" w:rsidR="001F2A47" w:rsidRPr="00AA0D31" w:rsidRDefault="001F2A47"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Triangulation between program documents and interviews with donors</w:t>
            </w:r>
          </w:p>
        </w:tc>
      </w:tr>
    </w:tbl>
    <w:p w14:paraId="27E7DF3C" w14:textId="77777777" w:rsidR="00AA0D31" w:rsidRDefault="00AA0D31">
      <w:pPr>
        <w:tabs>
          <w:tab w:val="clear" w:pos="7780"/>
        </w:tabs>
        <w:rPr>
          <w:rFonts w:cstheme="majorHAnsi"/>
          <w:color w:val="2E74B5" w:themeColor="accent5" w:themeShade="BF"/>
          <w:spacing w:val="30"/>
          <w:sz w:val="24"/>
          <w:szCs w:val="24"/>
        </w:rPr>
      </w:pPr>
      <w:r>
        <w:br w:type="page"/>
      </w:r>
    </w:p>
    <w:p w14:paraId="7659C11B" w14:textId="58266EBE" w:rsidR="00DB4D0D" w:rsidRDefault="00AA0D31" w:rsidP="008E1333">
      <w:pPr>
        <w:pStyle w:val="Subheading"/>
        <w:rPr>
          <w:rFonts w:asciiTheme="minorHAnsi" w:hAnsiTheme="minorHAnsi" w:cstheme="minorHAnsi"/>
          <w:b/>
          <w:bCs/>
          <w:color w:val="000000" w:themeColor="text1"/>
          <w:spacing w:val="0"/>
          <w:sz w:val="22"/>
          <w:szCs w:val="22"/>
        </w:rPr>
      </w:pPr>
      <w:r w:rsidRPr="00AA0D31">
        <w:rPr>
          <w:rFonts w:asciiTheme="minorHAnsi" w:hAnsiTheme="minorHAnsi" w:cstheme="minorHAnsi"/>
          <w:b/>
          <w:bCs/>
          <w:color w:val="000000" w:themeColor="text1"/>
          <w:spacing w:val="0"/>
          <w:sz w:val="22"/>
          <w:szCs w:val="22"/>
        </w:rPr>
        <w:lastRenderedPageBreak/>
        <w:t>EQ 2: To what extent was the investment (including partner selection and modalities) efficient in achieving its intended outcomes?</w:t>
      </w:r>
    </w:p>
    <w:tbl>
      <w:tblPr>
        <w:tblStyle w:val="TableGrid"/>
        <w:tblW w:w="0" w:type="auto"/>
        <w:tblLook w:val="04A0" w:firstRow="1" w:lastRow="0" w:firstColumn="1" w:lastColumn="0" w:noHBand="0" w:noVBand="1"/>
      </w:tblPr>
      <w:tblGrid>
        <w:gridCol w:w="2934"/>
        <w:gridCol w:w="2934"/>
        <w:gridCol w:w="2934"/>
        <w:gridCol w:w="2934"/>
        <w:gridCol w:w="2934"/>
      </w:tblGrid>
      <w:tr w:rsidR="00AA0D31" w14:paraId="36F898FA" w14:textId="77777777" w:rsidTr="00AA0D31">
        <w:tc>
          <w:tcPr>
            <w:tcW w:w="2934" w:type="dxa"/>
            <w:shd w:val="clear" w:color="auto" w:fill="0070C0"/>
          </w:tcPr>
          <w:p w14:paraId="6370ECF6" w14:textId="3BD935C6" w:rsidR="00AA0D31" w:rsidRPr="00AA0D31" w:rsidRDefault="00AA0D31" w:rsidP="00AA0D31">
            <w:pPr>
              <w:rPr>
                <w:rFonts w:asciiTheme="minorHAnsi" w:hAnsiTheme="minorHAnsi"/>
                <w:b/>
                <w:color w:val="FFFFFF" w:themeColor="background1"/>
                <w:sz w:val="20"/>
                <w:szCs w:val="20"/>
                <w:lang w:val="en-GB"/>
              </w:rPr>
            </w:pPr>
            <w:bookmarkStart w:id="174" w:name="_Hlk220422619"/>
            <w:r w:rsidRPr="001F2A47">
              <w:rPr>
                <w:rFonts w:asciiTheme="minorHAnsi" w:hAnsiTheme="minorHAnsi"/>
                <w:b/>
                <w:color w:val="FFFFFF" w:themeColor="background1"/>
                <w:sz w:val="20"/>
                <w:szCs w:val="20"/>
                <w:lang w:val="en-GB"/>
              </w:rPr>
              <w:t>Evaluation Question</w:t>
            </w:r>
          </w:p>
        </w:tc>
        <w:tc>
          <w:tcPr>
            <w:tcW w:w="2934" w:type="dxa"/>
            <w:shd w:val="clear" w:color="auto" w:fill="0070C0"/>
          </w:tcPr>
          <w:p w14:paraId="7E3F8928" w14:textId="16F0ADE5" w:rsidR="00AA0D31" w:rsidRPr="00AA0D31" w:rsidRDefault="00AA0D31" w:rsidP="00AA0D31">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Judgement Criteria</w:t>
            </w:r>
          </w:p>
        </w:tc>
        <w:tc>
          <w:tcPr>
            <w:tcW w:w="2934" w:type="dxa"/>
            <w:shd w:val="clear" w:color="auto" w:fill="0070C0"/>
          </w:tcPr>
          <w:p w14:paraId="667DC408" w14:textId="2A4BF02D" w:rsidR="00AA0D31" w:rsidRPr="00AA0D31" w:rsidRDefault="00AA0D31" w:rsidP="00AA0D31">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Indicator/‌measure of progress</w:t>
            </w:r>
          </w:p>
        </w:tc>
        <w:tc>
          <w:tcPr>
            <w:tcW w:w="2934" w:type="dxa"/>
            <w:shd w:val="clear" w:color="auto" w:fill="0070C0"/>
          </w:tcPr>
          <w:p w14:paraId="3E49BADA" w14:textId="77777777" w:rsidR="00AA0D31" w:rsidRPr="001F2A47" w:rsidRDefault="00AA0D31" w:rsidP="00AA0D31">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Data sources</w:t>
            </w:r>
          </w:p>
          <w:p w14:paraId="01D65488" w14:textId="77777777" w:rsidR="00AA0D31" w:rsidRPr="00AA0D31" w:rsidRDefault="00AA0D31" w:rsidP="00AA0D31">
            <w:pPr>
              <w:rPr>
                <w:rFonts w:asciiTheme="minorHAnsi" w:hAnsiTheme="minorHAnsi"/>
                <w:b/>
                <w:color w:val="FFFFFF" w:themeColor="background1"/>
                <w:sz w:val="20"/>
                <w:szCs w:val="20"/>
                <w:lang w:val="en-GB"/>
              </w:rPr>
            </w:pPr>
          </w:p>
        </w:tc>
        <w:tc>
          <w:tcPr>
            <w:tcW w:w="2934" w:type="dxa"/>
            <w:shd w:val="clear" w:color="auto" w:fill="0070C0"/>
          </w:tcPr>
          <w:p w14:paraId="16758EEB" w14:textId="2D920221" w:rsidR="00AA0D31" w:rsidRPr="00AA0D31" w:rsidRDefault="00AA0D31" w:rsidP="00AA0D31">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Data analysis &amp; ‌triangulation</w:t>
            </w:r>
          </w:p>
        </w:tc>
      </w:tr>
      <w:bookmarkEnd w:id="174"/>
      <w:tr w:rsidR="00AA0D31" w14:paraId="78D97BDA" w14:textId="77777777" w:rsidTr="00AA0D31">
        <w:tc>
          <w:tcPr>
            <w:tcW w:w="2934" w:type="dxa"/>
          </w:tcPr>
          <w:p w14:paraId="7A1183DC" w14:textId="79227DEE" w:rsidR="00AA0D31" w:rsidRPr="00C20B58" w:rsidRDefault="00AA0D31" w:rsidP="00C20B58">
            <w:pPr>
              <w:pStyle w:val="ListParagraph"/>
              <w:numPr>
                <w:ilvl w:val="2"/>
                <w:numId w:val="34"/>
              </w:numPr>
              <w:tabs>
                <w:tab w:val="clear" w:pos="7780"/>
              </w:tabs>
              <w:rPr>
                <w:rFonts w:asciiTheme="minorHAnsi" w:hAnsiTheme="minorHAnsi"/>
                <w:sz w:val="20"/>
                <w:szCs w:val="20"/>
              </w:rPr>
            </w:pPr>
            <w:r w:rsidRPr="00C20B58">
              <w:rPr>
                <w:rFonts w:asciiTheme="minorHAnsi" w:hAnsiTheme="minorHAnsi"/>
                <w:sz w:val="20"/>
                <w:szCs w:val="20"/>
              </w:rPr>
              <w:t>To what extent was the investment (including partner selection and modalities) efficient in achieving its intended outcomes?</w:t>
            </w:r>
          </w:p>
        </w:tc>
        <w:tc>
          <w:tcPr>
            <w:tcW w:w="2934" w:type="dxa"/>
          </w:tcPr>
          <w:p w14:paraId="0CFC9559" w14:textId="16B52299"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 xml:space="preserve">Resources used in the most economic and timely manner </w:t>
            </w:r>
          </w:p>
        </w:tc>
        <w:tc>
          <w:tcPr>
            <w:tcW w:w="2934" w:type="dxa"/>
          </w:tcPr>
          <w:p w14:paraId="3DFD1788" w14:textId="77777777"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Evidence of resources being used cost-effectively/ informed by cost-conscious decision making</w:t>
            </w:r>
          </w:p>
          <w:p w14:paraId="317C8EFA" w14:textId="77777777"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 xml:space="preserve">Evidence of consideration of alternative modalities/approaches during implementation </w:t>
            </w:r>
          </w:p>
          <w:p w14:paraId="1285ED1B" w14:textId="77777777"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Evidence of consideration of alternative partners were considered by the investment</w:t>
            </w:r>
          </w:p>
          <w:p w14:paraId="36E5E7F2" w14:textId="77777777"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 of outcomes achieved in the intended timeframe</w:t>
            </w:r>
          </w:p>
          <w:p w14:paraId="50FA25B6" w14:textId="2CFFFF2A"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Pace of financial execution across the Portfolio</w:t>
            </w:r>
          </w:p>
        </w:tc>
        <w:tc>
          <w:tcPr>
            <w:tcW w:w="2934" w:type="dxa"/>
          </w:tcPr>
          <w:p w14:paraId="73ECB656" w14:textId="77777777"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Review of budgets</w:t>
            </w:r>
          </w:p>
          <w:p w14:paraId="5B1BF767" w14:textId="77777777"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Reports</w:t>
            </w:r>
          </w:p>
          <w:p w14:paraId="5AEF157D" w14:textId="77777777"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Evaluations</w:t>
            </w:r>
          </w:p>
          <w:p w14:paraId="21184BE8" w14:textId="77777777"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Survey</w:t>
            </w:r>
          </w:p>
          <w:p w14:paraId="2785A1AB" w14:textId="3C24C18C"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Interviews</w:t>
            </w:r>
          </w:p>
        </w:tc>
        <w:tc>
          <w:tcPr>
            <w:tcW w:w="2934" w:type="dxa"/>
          </w:tcPr>
          <w:p w14:paraId="4C97DBD6" w14:textId="6921EF86"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Triangulation with between budgets, financial reports, and interviews and survey of key stakeholders</w:t>
            </w:r>
          </w:p>
        </w:tc>
      </w:tr>
      <w:tr w:rsidR="00AA0D31" w14:paraId="27A07E93" w14:textId="77777777" w:rsidTr="00AA0D31">
        <w:tc>
          <w:tcPr>
            <w:tcW w:w="2934" w:type="dxa"/>
          </w:tcPr>
          <w:p w14:paraId="4A71559A" w14:textId="23137B5F" w:rsidR="00AA0D31" w:rsidRPr="00102A1C" w:rsidRDefault="00AA0D31" w:rsidP="00102A1C">
            <w:pPr>
              <w:pStyle w:val="ListParagraph"/>
              <w:numPr>
                <w:ilvl w:val="1"/>
                <w:numId w:val="74"/>
              </w:numPr>
              <w:tabs>
                <w:tab w:val="clear" w:pos="7780"/>
              </w:tabs>
              <w:rPr>
                <w:rFonts w:asciiTheme="minorHAnsi" w:hAnsiTheme="minorHAnsi" w:cstheme="minorHAnsi"/>
                <w:sz w:val="20"/>
                <w:szCs w:val="20"/>
              </w:rPr>
            </w:pPr>
            <w:r w:rsidRPr="00102A1C">
              <w:rPr>
                <w:rFonts w:asciiTheme="minorHAnsi" w:hAnsiTheme="minorHAnsi"/>
                <w:sz w:val="20"/>
                <w:szCs w:val="20"/>
              </w:rPr>
              <w:t>How effectively did DFAT identify and manage risk?</w:t>
            </w:r>
          </w:p>
        </w:tc>
        <w:tc>
          <w:tcPr>
            <w:tcW w:w="2934" w:type="dxa"/>
          </w:tcPr>
          <w:p w14:paraId="78EDD513" w14:textId="467F7A96"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Quality of the risk assessment</w:t>
            </w:r>
          </w:p>
        </w:tc>
        <w:tc>
          <w:tcPr>
            <w:tcW w:w="2934" w:type="dxa"/>
          </w:tcPr>
          <w:p w14:paraId="238EB638" w14:textId="77777777"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Extent to which risks were identified and mitigated</w:t>
            </w:r>
          </w:p>
          <w:p w14:paraId="34F14122" w14:textId="77777777"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Demonstrable examples of adaptiveness to risk management</w:t>
            </w:r>
          </w:p>
          <w:p w14:paraId="57143BD4" w14:textId="265C976F"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Extent risk was proactively managed over the lifetime of the investment</w:t>
            </w:r>
          </w:p>
        </w:tc>
        <w:tc>
          <w:tcPr>
            <w:tcW w:w="2934" w:type="dxa"/>
          </w:tcPr>
          <w:p w14:paraId="492A4E3F" w14:textId="77777777"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Risk matrix updates/ Risk register</w:t>
            </w:r>
          </w:p>
          <w:p w14:paraId="7708A751" w14:textId="77777777"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Interviews with PFO and partners</w:t>
            </w:r>
          </w:p>
          <w:p w14:paraId="2207C5DD" w14:textId="77777777"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Audit reports</w:t>
            </w:r>
          </w:p>
          <w:p w14:paraId="3E480CA8" w14:textId="77777777" w:rsidR="00AA0D31" w:rsidRPr="00AA0D31" w:rsidRDefault="00AA0D31" w:rsidP="00102A1C">
            <w:pPr>
              <w:numPr>
                <w:ilvl w:val="0"/>
                <w:numId w:val="51"/>
              </w:numPr>
              <w:tabs>
                <w:tab w:val="clear" w:pos="7780"/>
              </w:tabs>
              <w:rPr>
                <w:rFonts w:asciiTheme="minorHAnsi" w:hAnsiTheme="minorHAnsi"/>
                <w:sz w:val="20"/>
                <w:szCs w:val="20"/>
                <w:lang w:val="en-GB"/>
              </w:rPr>
            </w:pPr>
          </w:p>
        </w:tc>
        <w:tc>
          <w:tcPr>
            <w:tcW w:w="2934" w:type="dxa"/>
          </w:tcPr>
          <w:p w14:paraId="6D1A5E4C" w14:textId="1F3E7772" w:rsidR="00AA0D31" w:rsidRPr="00AA0D31" w:rsidRDefault="00AA0D31" w:rsidP="00102A1C">
            <w:pPr>
              <w:numPr>
                <w:ilvl w:val="0"/>
                <w:numId w:val="51"/>
              </w:numPr>
              <w:tabs>
                <w:tab w:val="clear" w:pos="7780"/>
              </w:tabs>
              <w:rPr>
                <w:rFonts w:asciiTheme="minorHAnsi" w:hAnsiTheme="minorHAnsi"/>
                <w:sz w:val="20"/>
                <w:szCs w:val="20"/>
                <w:lang w:val="en-GB"/>
              </w:rPr>
            </w:pPr>
            <w:r w:rsidRPr="00AA0D31">
              <w:rPr>
                <w:rFonts w:asciiTheme="minorHAnsi" w:hAnsiTheme="minorHAnsi"/>
                <w:sz w:val="20"/>
                <w:szCs w:val="20"/>
                <w:lang w:val="en-GB"/>
              </w:rPr>
              <w:t>Review of mitigation strategies triangulated with interviews</w:t>
            </w:r>
          </w:p>
        </w:tc>
      </w:tr>
      <w:tr w:rsidR="00283EDA" w14:paraId="7DC7294B" w14:textId="77777777" w:rsidTr="00AA0D31">
        <w:tc>
          <w:tcPr>
            <w:tcW w:w="2934" w:type="dxa"/>
          </w:tcPr>
          <w:p w14:paraId="10F250C9" w14:textId="1692A492" w:rsidR="00283EDA" w:rsidRPr="004C1847" w:rsidRDefault="00283EDA" w:rsidP="004C1847">
            <w:pPr>
              <w:pStyle w:val="ListParagraph"/>
              <w:numPr>
                <w:ilvl w:val="1"/>
                <w:numId w:val="74"/>
              </w:numPr>
              <w:pBdr>
                <w:top w:val="nil"/>
                <w:left w:val="nil"/>
                <w:bottom w:val="nil"/>
                <w:right w:val="nil"/>
                <w:between w:val="nil"/>
              </w:pBdr>
              <w:tabs>
                <w:tab w:val="clear" w:pos="7780"/>
              </w:tabs>
              <w:rPr>
                <w:rFonts w:asciiTheme="minorHAnsi" w:hAnsiTheme="minorHAnsi"/>
                <w:sz w:val="20"/>
                <w:szCs w:val="20"/>
              </w:rPr>
            </w:pPr>
            <w:r w:rsidRPr="004C1847">
              <w:rPr>
                <w:rFonts w:asciiTheme="minorHAnsi" w:hAnsiTheme="minorHAnsi"/>
                <w:sz w:val="20"/>
                <w:szCs w:val="20"/>
              </w:rPr>
              <w:t xml:space="preserve">How effective were DFAT’s and partners’ monitoring, evaluation and learning systems to inform decision-making, learning and accountability? </w:t>
            </w:r>
          </w:p>
          <w:p w14:paraId="532495B5" w14:textId="77777777" w:rsidR="00283EDA" w:rsidRDefault="00283EDA" w:rsidP="00283EDA">
            <w:pPr>
              <w:pStyle w:val="Subheading"/>
              <w:rPr>
                <w:rFonts w:asciiTheme="minorHAnsi" w:hAnsiTheme="minorHAnsi" w:cstheme="minorHAnsi"/>
                <w:b/>
                <w:bCs/>
                <w:color w:val="000000" w:themeColor="text1"/>
                <w:spacing w:val="0"/>
                <w:sz w:val="22"/>
                <w:szCs w:val="22"/>
              </w:rPr>
            </w:pPr>
          </w:p>
        </w:tc>
        <w:tc>
          <w:tcPr>
            <w:tcW w:w="2934" w:type="dxa"/>
          </w:tcPr>
          <w:p w14:paraId="3B11F1C8" w14:textId="77777777" w:rsidR="00283EDA" w:rsidRPr="00102A1C" w:rsidRDefault="00283EDA" w:rsidP="00102A1C">
            <w:pPr>
              <w:numPr>
                <w:ilvl w:val="0"/>
                <w:numId w:val="51"/>
              </w:numPr>
              <w:pBdr>
                <w:top w:val="nil"/>
                <w:left w:val="nil"/>
                <w:bottom w:val="nil"/>
                <w:right w:val="nil"/>
                <w:between w:val="nil"/>
              </w:pBdr>
              <w:tabs>
                <w:tab w:val="clear" w:pos="7780"/>
              </w:tabs>
              <w:rPr>
                <w:rFonts w:asciiTheme="minorHAnsi" w:hAnsiTheme="minorHAnsi"/>
                <w:sz w:val="20"/>
                <w:szCs w:val="20"/>
                <w:lang w:val="en-GB"/>
              </w:rPr>
            </w:pPr>
            <w:r w:rsidRPr="00102A1C">
              <w:rPr>
                <w:rFonts w:asciiTheme="minorHAnsi" w:hAnsiTheme="minorHAnsi"/>
                <w:sz w:val="20"/>
                <w:szCs w:val="20"/>
                <w:lang w:val="en-GB"/>
              </w:rPr>
              <w:t>DFAT and Partners’ monitoring and evaluation is appropriate to assess progress towards outcomes</w:t>
            </w:r>
          </w:p>
          <w:p w14:paraId="3A75596D" w14:textId="77777777" w:rsidR="00283EDA" w:rsidRPr="00102A1C" w:rsidRDefault="00283EDA" w:rsidP="00102A1C">
            <w:pPr>
              <w:numPr>
                <w:ilvl w:val="0"/>
                <w:numId w:val="51"/>
              </w:numPr>
              <w:pBdr>
                <w:top w:val="nil"/>
                <w:left w:val="nil"/>
                <w:bottom w:val="nil"/>
                <w:right w:val="nil"/>
                <w:between w:val="nil"/>
              </w:pBdr>
              <w:tabs>
                <w:tab w:val="clear" w:pos="7780"/>
              </w:tabs>
              <w:rPr>
                <w:rFonts w:asciiTheme="minorHAnsi" w:hAnsiTheme="minorHAnsi"/>
                <w:sz w:val="20"/>
                <w:szCs w:val="20"/>
                <w:lang w:val="en-GB"/>
              </w:rPr>
            </w:pPr>
          </w:p>
          <w:p w14:paraId="3D902575" w14:textId="42F48749" w:rsidR="00283EDA" w:rsidRPr="00102A1C" w:rsidRDefault="00283EDA" w:rsidP="00102A1C">
            <w:pPr>
              <w:pStyle w:val="Subheading"/>
              <w:numPr>
                <w:ilvl w:val="0"/>
                <w:numId w:val="51"/>
              </w:numPr>
              <w:tabs>
                <w:tab w:val="clear" w:pos="7780"/>
              </w:tabs>
              <w:rPr>
                <w:rFonts w:asciiTheme="minorHAnsi" w:hAnsiTheme="minorHAnsi" w:cstheme="minorHAnsi"/>
                <w:color w:val="000000" w:themeColor="text1"/>
                <w:spacing w:val="0"/>
                <w:sz w:val="20"/>
                <w:szCs w:val="20"/>
                <w:lang w:val="en-GB"/>
              </w:rPr>
            </w:pPr>
            <w:r w:rsidRPr="00102A1C">
              <w:rPr>
                <w:rFonts w:asciiTheme="minorHAnsi" w:hAnsiTheme="minorHAnsi" w:cstheme="minorHAnsi"/>
                <w:color w:val="000000" w:themeColor="text1"/>
                <w:spacing w:val="0"/>
                <w:sz w:val="20"/>
                <w:szCs w:val="20"/>
                <w:lang w:val="en-GB"/>
              </w:rPr>
              <w:t xml:space="preserve">DFAT and Partners’ monitoring and evaluation </w:t>
            </w:r>
            <w:r w:rsidRPr="00102A1C">
              <w:rPr>
                <w:rFonts w:asciiTheme="minorHAnsi" w:hAnsiTheme="minorHAnsi" w:cstheme="minorHAnsi"/>
                <w:color w:val="000000" w:themeColor="text1"/>
                <w:spacing w:val="0"/>
                <w:sz w:val="20"/>
                <w:szCs w:val="20"/>
                <w:lang w:val="en-GB"/>
              </w:rPr>
              <w:lastRenderedPageBreak/>
              <w:t xml:space="preserve">underpins evidence – based decision making </w:t>
            </w:r>
          </w:p>
        </w:tc>
        <w:tc>
          <w:tcPr>
            <w:tcW w:w="2934" w:type="dxa"/>
          </w:tcPr>
          <w:p w14:paraId="39F6C972" w14:textId="77777777" w:rsidR="00283EDA" w:rsidRPr="00102A1C" w:rsidRDefault="00283EDA" w:rsidP="00102A1C">
            <w:pPr>
              <w:numPr>
                <w:ilvl w:val="0"/>
                <w:numId w:val="51"/>
              </w:numPr>
              <w:pBdr>
                <w:top w:val="nil"/>
                <w:left w:val="nil"/>
                <w:bottom w:val="nil"/>
                <w:right w:val="nil"/>
                <w:between w:val="nil"/>
              </w:pBdr>
              <w:tabs>
                <w:tab w:val="clear" w:pos="7780"/>
              </w:tabs>
              <w:rPr>
                <w:rFonts w:asciiTheme="minorHAnsi" w:hAnsiTheme="minorHAnsi"/>
                <w:sz w:val="20"/>
                <w:szCs w:val="20"/>
                <w:lang w:val="en-GB"/>
              </w:rPr>
            </w:pPr>
            <w:r w:rsidRPr="00102A1C">
              <w:rPr>
                <w:rFonts w:asciiTheme="minorHAnsi" w:hAnsiTheme="minorHAnsi"/>
                <w:sz w:val="20"/>
                <w:szCs w:val="20"/>
                <w:lang w:val="en-GB"/>
              </w:rPr>
              <w:lastRenderedPageBreak/>
              <w:t>Quality of M&amp;E frameworks</w:t>
            </w:r>
          </w:p>
          <w:p w14:paraId="4B9AF0A8" w14:textId="77777777" w:rsidR="00283EDA" w:rsidRPr="00102A1C" w:rsidRDefault="00283EDA" w:rsidP="00102A1C">
            <w:pPr>
              <w:numPr>
                <w:ilvl w:val="0"/>
                <w:numId w:val="51"/>
              </w:numPr>
              <w:pBdr>
                <w:top w:val="nil"/>
                <w:left w:val="nil"/>
                <w:bottom w:val="nil"/>
                <w:right w:val="nil"/>
                <w:between w:val="nil"/>
              </w:pBdr>
              <w:tabs>
                <w:tab w:val="clear" w:pos="7780"/>
              </w:tabs>
              <w:rPr>
                <w:rFonts w:asciiTheme="minorHAnsi" w:hAnsiTheme="minorHAnsi"/>
                <w:sz w:val="20"/>
                <w:szCs w:val="20"/>
                <w:lang w:val="en-GB"/>
              </w:rPr>
            </w:pPr>
            <w:r w:rsidRPr="00102A1C">
              <w:rPr>
                <w:rFonts w:asciiTheme="minorHAnsi" w:hAnsiTheme="minorHAnsi"/>
                <w:sz w:val="20"/>
                <w:szCs w:val="20"/>
                <w:lang w:val="en-GB"/>
              </w:rPr>
              <w:t>Extent to which M&amp;E system is appropriate to track progress against outcomes</w:t>
            </w:r>
          </w:p>
          <w:p w14:paraId="5DF9D823" w14:textId="120F397F" w:rsidR="00283EDA" w:rsidRPr="00102A1C" w:rsidRDefault="00283EDA" w:rsidP="00102A1C">
            <w:pPr>
              <w:pStyle w:val="Subheading"/>
              <w:numPr>
                <w:ilvl w:val="0"/>
                <w:numId w:val="51"/>
              </w:numPr>
              <w:tabs>
                <w:tab w:val="clear" w:pos="7780"/>
              </w:tabs>
              <w:rPr>
                <w:rFonts w:asciiTheme="minorHAnsi" w:hAnsiTheme="minorHAnsi" w:cstheme="minorHAnsi"/>
                <w:color w:val="000000" w:themeColor="text1"/>
                <w:spacing w:val="0"/>
                <w:sz w:val="20"/>
                <w:szCs w:val="20"/>
                <w:lang w:val="en-GB"/>
              </w:rPr>
            </w:pPr>
            <w:r w:rsidRPr="00102A1C">
              <w:rPr>
                <w:rFonts w:asciiTheme="minorHAnsi" w:hAnsiTheme="minorHAnsi" w:cstheme="minorHAnsi"/>
                <w:color w:val="000000" w:themeColor="text1"/>
                <w:spacing w:val="0"/>
                <w:sz w:val="20"/>
                <w:szCs w:val="20"/>
                <w:lang w:val="en-GB"/>
              </w:rPr>
              <w:t xml:space="preserve">Extent to which evidence – based decisions are made </w:t>
            </w:r>
            <w:r w:rsidRPr="00102A1C">
              <w:rPr>
                <w:rFonts w:asciiTheme="minorHAnsi" w:hAnsiTheme="minorHAnsi" w:cstheme="minorHAnsi"/>
                <w:color w:val="000000" w:themeColor="text1"/>
                <w:spacing w:val="0"/>
                <w:sz w:val="20"/>
                <w:szCs w:val="20"/>
                <w:lang w:val="en-GB"/>
              </w:rPr>
              <w:lastRenderedPageBreak/>
              <w:t>using data generated by M&amp;E systems</w:t>
            </w:r>
          </w:p>
        </w:tc>
        <w:tc>
          <w:tcPr>
            <w:tcW w:w="2934" w:type="dxa"/>
          </w:tcPr>
          <w:p w14:paraId="6D1D7628" w14:textId="77777777" w:rsidR="00283EDA" w:rsidRPr="00102A1C" w:rsidRDefault="00283EDA" w:rsidP="00102A1C">
            <w:pPr>
              <w:numPr>
                <w:ilvl w:val="0"/>
                <w:numId w:val="51"/>
              </w:numPr>
              <w:pBdr>
                <w:top w:val="nil"/>
                <w:left w:val="nil"/>
                <w:bottom w:val="nil"/>
                <w:right w:val="nil"/>
                <w:between w:val="nil"/>
              </w:pBdr>
              <w:tabs>
                <w:tab w:val="clear" w:pos="7780"/>
              </w:tabs>
              <w:rPr>
                <w:rFonts w:asciiTheme="minorHAnsi" w:hAnsiTheme="minorHAnsi"/>
                <w:sz w:val="20"/>
                <w:szCs w:val="20"/>
                <w:lang w:val="en-GB"/>
              </w:rPr>
            </w:pPr>
            <w:r w:rsidRPr="00102A1C">
              <w:rPr>
                <w:rFonts w:asciiTheme="minorHAnsi" w:hAnsiTheme="minorHAnsi"/>
                <w:sz w:val="20"/>
                <w:szCs w:val="20"/>
                <w:lang w:val="en-GB"/>
              </w:rPr>
              <w:lastRenderedPageBreak/>
              <w:t>M&amp;E Frameworks</w:t>
            </w:r>
          </w:p>
          <w:p w14:paraId="1E4ABF24" w14:textId="77777777" w:rsidR="00283EDA" w:rsidRPr="00102A1C" w:rsidRDefault="00283EDA" w:rsidP="00102A1C">
            <w:pPr>
              <w:numPr>
                <w:ilvl w:val="0"/>
                <w:numId w:val="51"/>
              </w:numPr>
              <w:pBdr>
                <w:top w:val="nil"/>
                <w:left w:val="nil"/>
                <w:bottom w:val="nil"/>
                <w:right w:val="nil"/>
                <w:between w:val="nil"/>
              </w:pBdr>
              <w:tabs>
                <w:tab w:val="clear" w:pos="7780"/>
              </w:tabs>
              <w:rPr>
                <w:rFonts w:asciiTheme="minorHAnsi" w:hAnsiTheme="minorHAnsi"/>
                <w:sz w:val="20"/>
                <w:szCs w:val="20"/>
                <w:lang w:val="en-GB"/>
              </w:rPr>
            </w:pPr>
            <w:r w:rsidRPr="00102A1C">
              <w:rPr>
                <w:rFonts w:asciiTheme="minorHAnsi" w:hAnsiTheme="minorHAnsi"/>
                <w:sz w:val="20"/>
                <w:szCs w:val="20"/>
                <w:lang w:val="en-GB"/>
              </w:rPr>
              <w:t>M&amp;E Budgets</w:t>
            </w:r>
          </w:p>
          <w:p w14:paraId="34937D0E" w14:textId="77777777" w:rsidR="00283EDA" w:rsidRPr="00102A1C" w:rsidRDefault="00283EDA" w:rsidP="00102A1C">
            <w:pPr>
              <w:numPr>
                <w:ilvl w:val="0"/>
                <w:numId w:val="51"/>
              </w:numPr>
              <w:pBdr>
                <w:top w:val="nil"/>
                <w:left w:val="nil"/>
                <w:bottom w:val="nil"/>
                <w:right w:val="nil"/>
                <w:between w:val="nil"/>
              </w:pBdr>
              <w:tabs>
                <w:tab w:val="clear" w:pos="7780"/>
              </w:tabs>
              <w:rPr>
                <w:rFonts w:asciiTheme="minorHAnsi" w:hAnsiTheme="minorHAnsi"/>
                <w:sz w:val="20"/>
                <w:szCs w:val="20"/>
                <w:lang w:val="en-GB"/>
              </w:rPr>
            </w:pPr>
            <w:r w:rsidRPr="00102A1C">
              <w:rPr>
                <w:rFonts w:asciiTheme="minorHAnsi" w:hAnsiTheme="minorHAnsi"/>
                <w:sz w:val="20"/>
                <w:szCs w:val="20"/>
                <w:lang w:val="en-GB"/>
              </w:rPr>
              <w:t>Synthesis of evaluation reports</w:t>
            </w:r>
          </w:p>
          <w:p w14:paraId="193145AD" w14:textId="77777777" w:rsidR="00283EDA" w:rsidRPr="00102A1C" w:rsidRDefault="00283EDA" w:rsidP="00102A1C">
            <w:pPr>
              <w:numPr>
                <w:ilvl w:val="0"/>
                <w:numId w:val="51"/>
              </w:numPr>
              <w:pBdr>
                <w:top w:val="nil"/>
                <w:left w:val="nil"/>
                <w:bottom w:val="nil"/>
                <w:right w:val="nil"/>
                <w:between w:val="nil"/>
              </w:pBdr>
              <w:tabs>
                <w:tab w:val="clear" w:pos="7780"/>
              </w:tabs>
              <w:rPr>
                <w:rFonts w:asciiTheme="minorHAnsi" w:hAnsiTheme="minorHAnsi"/>
                <w:sz w:val="20"/>
                <w:szCs w:val="20"/>
                <w:lang w:val="en-GB"/>
              </w:rPr>
            </w:pPr>
            <w:r w:rsidRPr="00102A1C">
              <w:rPr>
                <w:rFonts w:asciiTheme="minorHAnsi" w:hAnsiTheme="minorHAnsi"/>
                <w:sz w:val="20"/>
                <w:szCs w:val="20"/>
                <w:lang w:val="en-GB"/>
              </w:rPr>
              <w:t>Interviews with Post, Partners and PFO</w:t>
            </w:r>
          </w:p>
          <w:p w14:paraId="54E5A05D" w14:textId="77777777" w:rsidR="00283EDA" w:rsidRPr="00102A1C" w:rsidRDefault="00283EDA" w:rsidP="00102A1C">
            <w:pPr>
              <w:pStyle w:val="Subheading"/>
              <w:numPr>
                <w:ilvl w:val="0"/>
                <w:numId w:val="51"/>
              </w:numPr>
              <w:tabs>
                <w:tab w:val="clear" w:pos="7780"/>
              </w:tabs>
              <w:rPr>
                <w:rFonts w:asciiTheme="minorHAnsi" w:hAnsiTheme="minorHAnsi" w:cstheme="minorHAnsi"/>
                <w:color w:val="000000" w:themeColor="text1"/>
                <w:spacing w:val="0"/>
                <w:sz w:val="20"/>
                <w:szCs w:val="20"/>
                <w:lang w:val="en-GB"/>
              </w:rPr>
            </w:pPr>
          </w:p>
        </w:tc>
        <w:tc>
          <w:tcPr>
            <w:tcW w:w="2934" w:type="dxa"/>
          </w:tcPr>
          <w:p w14:paraId="0845EDF9" w14:textId="124AAB2F" w:rsidR="00283EDA" w:rsidRPr="00102A1C" w:rsidRDefault="00283EDA" w:rsidP="00102A1C">
            <w:pPr>
              <w:pStyle w:val="Subheading"/>
              <w:numPr>
                <w:ilvl w:val="0"/>
                <w:numId w:val="51"/>
              </w:numPr>
              <w:tabs>
                <w:tab w:val="clear" w:pos="7780"/>
              </w:tabs>
              <w:rPr>
                <w:rFonts w:asciiTheme="minorHAnsi" w:hAnsiTheme="minorHAnsi" w:cstheme="minorHAnsi"/>
                <w:color w:val="000000" w:themeColor="text1"/>
                <w:spacing w:val="0"/>
                <w:sz w:val="20"/>
                <w:szCs w:val="20"/>
                <w:lang w:val="en-GB"/>
              </w:rPr>
            </w:pPr>
            <w:r w:rsidRPr="00102A1C">
              <w:rPr>
                <w:rFonts w:asciiTheme="minorHAnsi" w:hAnsiTheme="minorHAnsi" w:cstheme="minorHAnsi"/>
                <w:color w:val="000000" w:themeColor="text1"/>
                <w:spacing w:val="0"/>
                <w:sz w:val="20"/>
                <w:szCs w:val="20"/>
                <w:lang w:val="en-GB"/>
              </w:rPr>
              <w:t xml:space="preserve">Triangulation across an assessment of the quality of M&amp;E approaches, a synthesis of relevant M&amp;E findings in evaluation reports and checked in </w:t>
            </w:r>
            <w:r w:rsidRPr="00102A1C">
              <w:rPr>
                <w:rFonts w:asciiTheme="minorHAnsi" w:hAnsiTheme="minorHAnsi" w:cstheme="minorHAnsi"/>
                <w:color w:val="000000" w:themeColor="text1"/>
                <w:spacing w:val="0"/>
                <w:sz w:val="20"/>
                <w:szCs w:val="20"/>
                <w:lang w:val="en-GB"/>
              </w:rPr>
              <w:lastRenderedPageBreak/>
              <w:t xml:space="preserve">interviews with Post, Partners and the PFO </w:t>
            </w:r>
          </w:p>
        </w:tc>
      </w:tr>
      <w:tr w:rsidR="00BD019F" w14:paraId="6BDB1680" w14:textId="77777777" w:rsidTr="00AA0D31">
        <w:tc>
          <w:tcPr>
            <w:tcW w:w="2934" w:type="dxa"/>
          </w:tcPr>
          <w:p w14:paraId="554F28F9" w14:textId="08616C14" w:rsidR="00BD019F" w:rsidRDefault="00BD019F" w:rsidP="00BD019F">
            <w:pPr>
              <w:pStyle w:val="ListParagraph"/>
              <w:numPr>
                <w:ilvl w:val="1"/>
                <w:numId w:val="74"/>
              </w:numPr>
              <w:pBdr>
                <w:top w:val="nil"/>
                <w:left w:val="nil"/>
                <w:bottom w:val="nil"/>
                <w:right w:val="nil"/>
                <w:between w:val="nil"/>
              </w:pBdr>
              <w:tabs>
                <w:tab w:val="clear" w:pos="7780"/>
              </w:tabs>
              <w:rPr>
                <w:rFonts w:asciiTheme="minorHAnsi" w:eastAsia="Arial" w:hAnsiTheme="minorHAnsi"/>
                <w:sz w:val="20"/>
                <w:szCs w:val="20"/>
              </w:rPr>
            </w:pPr>
            <w:r w:rsidRPr="004C1847">
              <w:rPr>
                <w:rFonts w:asciiTheme="minorHAnsi" w:hAnsiTheme="minorHAnsi"/>
                <w:sz w:val="20"/>
                <w:szCs w:val="20"/>
              </w:rPr>
              <w:lastRenderedPageBreak/>
              <w:t>What lessons and approaches for monitoring, evaluation and learning should be applied to DFAT’s future Pacific fisheries investments?</w:t>
            </w:r>
          </w:p>
        </w:tc>
        <w:tc>
          <w:tcPr>
            <w:tcW w:w="2934" w:type="dxa"/>
          </w:tcPr>
          <w:p w14:paraId="58E3C999" w14:textId="689FDACD" w:rsidR="00BD019F" w:rsidRPr="00102A1C" w:rsidRDefault="00BD019F" w:rsidP="00BD019F">
            <w:p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In effect this sub-question requires a synthesis of the findings from the two previous sub-questions, and a synthesis of lessons learnt identified in evaluation reports, and then discussed and validated with the PFO during the presentation of headline findings from this evaluation</w:t>
            </w:r>
          </w:p>
        </w:tc>
        <w:tc>
          <w:tcPr>
            <w:tcW w:w="2934" w:type="dxa"/>
          </w:tcPr>
          <w:p w14:paraId="35B9D710" w14:textId="46B8A16D" w:rsidR="00BD019F" w:rsidRPr="00102A1C" w:rsidRDefault="00BD019F" w:rsidP="00BD019F">
            <w:p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In effect this sub-question requires a synthesis of the findings from the two previous sub-questions, and a synthesis of lessons learnt identified in evaluation reports, and then discussed and validated with the PFO during the presentation of headline findings from this evaluation</w:t>
            </w:r>
          </w:p>
        </w:tc>
        <w:tc>
          <w:tcPr>
            <w:tcW w:w="2934" w:type="dxa"/>
          </w:tcPr>
          <w:p w14:paraId="3DAD84B7" w14:textId="77777777" w:rsidR="00BD019F" w:rsidRPr="00C64933" w:rsidRDefault="00BD019F" w:rsidP="00BD019F">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Synthesis of evaluation reports</w:t>
            </w:r>
          </w:p>
          <w:p w14:paraId="44C92DCE" w14:textId="77777777" w:rsidR="00BD019F" w:rsidRPr="00C64933" w:rsidRDefault="00BD019F" w:rsidP="00BD019F">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Synthesis of findings drawn from the EQs 2.1 &amp; 2.2.</w:t>
            </w:r>
          </w:p>
          <w:p w14:paraId="357C4A8B" w14:textId="74EF230E" w:rsidR="00BD019F" w:rsidRPr="00102A1C" w:rsidRDefault="00BD019F" w:rsidP="00BD019F">
            <w:pPr>
              <w:numPr>
                <w:ilvl w:val="0"/>
                <w:numId w:val="51"/>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Workshop with PFO to sense check lessons learnt and ideas for shaping M&amp;E in the future</w:t>
            </w:r>
          </w:p>
        </w:tc>
        <w:tc>
          <w:tcPr>
            <w:tcW w:w="2934" w:type="dxa"/>
          </w:tcPr>
          <w:p w14:paraId="7C448624" w14:textId="1520CD85" w:rsidR="00BD019F" w:rsidRPr="00102A1C" w:rsidRDefault="00BD019F" w:rsidP="00BD019F">
            <w:pPr>
              <w:pStyle w:val="Subheading"/>
              <w:tabs>
                <w:tab w:val="clear" w:pos="7780"/>
              </w:tabs>
              <w:rPr>
                <w:rFonts w:asciiTheme="minorHAnsi" w:hAnsiTheme="minorHAnsi" w:cstheme="minorHAnsi"/>
                <w:color w:val="000000" w:themeColor="text1"/>
                <w:spacing w:val="0"/>
                <w:sz w:val="20"/>
                <w:szCs w:val="20"/>
              </w:rPr>
            </w:pPr>
            <w:r w:rsidRPr="00BD019F">
              <w:rPr>
                <w:rFonts w:asciiTheme="minorHAnsi" w:hAnsiTheme="minorHAnsi" w:cstheme="minorHAnsi"/>
                <w:color w:val="000000" w:themeColor="text1"/>
                <w:spacing w:val="0"/>
                <w:sz w:val="20"/>
                <w:szCs w:val="20"/>
              </w:rPr>
              <w:t>Triangulation across different interviews, and the synthesis of evaluation reports, and sense checked with the PFO during workshop</w:t>
            </w:r>
          </w:p>
        </w:tc>
      </w:tr>
    </w:tbl>
    <w:p w14:paraId="74A7188E" w14:textId="0E16845A" w:rsidR="00BD019F" w:rsidRDefault="00BD019F">
      <w:pPr>
        <w:tabs>
          <w:tab w:val="clear" w:pos="7780"/>
        </w:tabs>
        <w:rPr>
          <w:rFonts w:asciiTheme="minorHAnsi" w:hAnsiTheme="minorHAnsi"/>
          <w:b/>
          <w:bCs/>
        </w:rPr>
      </w:pPr>
    </w:p>
    <w:p w14:paraId="5CC5F0B8" w14:textId="6E2C246B" w:rsidR="00BD019F" w:rsidRDefault="00BD019F" w:rsidP="00BD019F">
      <w:pPr>
        <w:pStyle w:val="Subheading"/>
        <w:rPr>
          <w:rFonts w:asciiTheme="minorHAnsi" w:hAnsiTheme="minorHAnsi" w:cstheme="minorHAnsi"/>
          <w:b/>
          <w:bCs/>
          <w:color w:val="000000" w:themeColor="text1"/>
          <w:spacing w:val="0"/>
          <w:sz w:val="22"/>
          <w:szCs w:val="22"/>
        </w:rPr>
      </w:pPr>
      <w:r w:rsidRPr="00AA0D31">
        <w:rPr>
          <w:rFonts w:asciiTheme="minorHAnsi" w:hAnsiTheme="minorHAnsi" w:cstheme="minorHAnsi"/>
          <w:b/>
          <w:bCs/>
          <w:color w:val="000000" w:themeColor="text1"/>
          <w:spacing w:val="0"/>
          <w:sz w:val="22"/>
          <w:szCs w:val="22"/>
        </w:rPr>
        <w:t xml:space="preserve">EQ </w:t>
      </w:r>
      <w:r>
        <w:rPr>
          <w:rFonts w:asciiTheme="minorHAnsi" w:hAnsiTheme="minorHAnsi" w:cstheme="minorHAnsi"/>
          <w:b/>
          <w:bCs/>
          <w:color w:val="000000" w:themeColor="text1"/>
          <w:spacing w:val="0"/>
          <w:sz w:val="22"/>
          <w:szCs w:val="22"/>
        </w:rPr>
        <w:t>3</w:t>
      </w:r>
      <w:r w:rsidRPr="00AA0D31">
        <w:rPr>
          <w:rFonts w:asciiTheme="minorHAnsi" w:hAnsiTheme="minorHAnsi" w:cstheme="minorHAnsi"/>
          <w:b/>
          <w:bCs/>
          <w:color w:val="000000" w:themeColor="text1"/>
          <w:spacing w:val="0"/>
          <w:sz w:val="22"/>
          <w:szCs w:val="22"/>
        </w:rPr>
        <w:t xml:space="preserve">: </w:t>
      </w:r>
      <w:r w:rsidRPr="00BD019F">
        <w:rPr>
          <w:rFonts w:asciiTheme="minorHAnsi" w:hAnsiTheme="minorHAnsi" w:cstheme="minorHAnsi"/>
          <w:b/>
          <w:bCs/>
          <w:color w:val="000000" w:themeColor="text1"/>
          <w:spacing w:val="0"/>
          <w:sz w:val="22"/>
          <w:szCs w:val="22"/>
        </w:rPr>
        <w:t>What other outcomes (intended, unintended, positive and negative) has the investment contributed to in the Pacific region?</w:t>
      </w:r>
    </w:p>
    <w:tbl>
      <w:tblPr>
        <w:tblStyle w:val="TableGrid"/>
        <w:tblW w:w="0" w:type="auto"/>
        <w:tblLook w:val="04A0" w:firstRow="1" w:lastRow="0" w:firstColumn="1" w:lastColumn="0" w:noHBand="0" w:noVBand="1"/>
      </w:tblPr>
      <w:tblGrid>
        <w:gridCol w:w="2934"/>
        <w:gridCol w:w="2934"/>
        <w:gridCol w:w="2934"/>
        <w:gridCol w:w="2934"/>
        <w:gridCol w:w="2934"/>
      </w:tblGrid>
      <w:tr w:rsidR="00F4352A" w:rsidRPr="00AA0D31" w14:paraId="00E197B8" w14:textId="77777777" w:rsidTr="00F4352A">
        <w:tc>
          <w:tcPr>
            <w:tcW w:w="2934" w:type="dxa"/>
            <w:shd w:val="clear" w:color="auto" w:fill="0070C0"/>
          </w:tcPr>
          <w:p w14:paraId="642E6DEA" w14:textId="77777777" w:rsidR="00F4352A" w:rsidRPr="00AA0D31" w:rsidRDefault="00F4352A" w:rsidP="00B8025F">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Evaluation Question</w:t>
            </w:r>
          </w:p>
        </w:tc>
        <w:tc>
          <w:tcPr>
            <w:tcW w:w="2934" w:type="dxa"/>
            <w:shd w:val="clear" w:color="auto" w:fill="0070C0"/>
          </w:tcPr>
          <w:p w14:paraId="643B90CF" w14:textId="77777777" w:rsidR="00F4352A" w:rsidRPr="00AA0D31" w:rsidRDefault="00F4352A" w:rsidP="00B8025F">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Judgement Criteria</w:t>
            </w:r>
          </w:p>
        </w:tc>
        <w:tc>
          <w:tcPr>
            <w:tcW w:w="2934" w:type="dxa"/>
            <w:shd w:val="clear" w:color="auto" w:fill="0070C0"/>
          </w:tcPr>
          <w:p w14:paraId="5C2F3721" w14:textId="77777777" w:rsidR="00F4352A" w:rsidRPr="00AA0D31" w:rsidRDefault="00F4352A" w:rsidP="00B8025F">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Indicator/‌measure of progress</w:t>
            </w:r>
          </w:p>
        </w:tc>
        <w:tc>
          <w:tcPr>
            <w:tcW w:w="2934" w:type="dxa"/>
            <w:shd w:val="clear" w:color="auto" w:fill="0070C0"/>
          </w:tcPr>
          <w:p w14:paraId="1A62D657" w14:textId="77777777" w:rsidR="00F4352A" w:rsidRPr="001F2A47" w:rsidRDefault="00F4352A" w:rsidP="00B8025F">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Data sources</w:t>
            </w:r>
          </w:p>
          <w:p w14:paraId="5CC589EA" w14:textId="77777777" w:rsidR="00F4352A" w:rsidRPr="00AA0D31" w:rsidRDefault="00F4352A" w:rsidP="00B8025F">
            <w:pPr>
              <w:rPr>
                <w:rFonts w:asciiTheme="minorHAnsi" w:hAnsiTheme="minorHAnsi"/>
                <w:b/>
                <w:color w:val="FFFFFF" w:themeColor="background1"/>
                <w:sz w:val="20"/>
                <w:szCs w:val="20"/>
                <w:lang w:val="en-GB"/>
              </w:rPr>
            </w:pPr>
          </w:p>
        </w:tc>
        <w:tc>
          <w:tcPr>
            <w:tcW w:w="2934" w:type="dxa"/>
            <w:shd w:val="clear" w:color="auto" w:fill="0070C0"/>
          </w:tcPr>
          <w:p w14:paraId="2148CCB2" w14:textId="77777777" w:rsidR="00F4352A" w:rsidRPr="00AA0D31" w:rsidRDefault="00F4352A" w:rsidP="00B8025F">
            <w:pPr>
              <w:rPr>
                <w:rFonts w:asciiTheme="minorHAnsi" w:hAnsiTheme="minorHAnsi"/>
                <w:b/>
                <w:color w:val="FFFFFF" w:themeColor="background1"/>
                <w:sz w:val="20"/>
                <w:szCs w:val="20"/>
                <w:lang w:val="en-GB"/>
              </w:rPr>
            </w:pPr>
            <w:r w:rsidRPr="001F2A47">
              <w:rPr>
                <w:rFonts w:asciiTheme="minorHAnsi" w:hAnsiTheme="minorHAnsi"/>
                <w:b/>
                <w:color w:val="FFFFFF" w:themeColor="background1"/>
                <w:sz w:val="20"/>
                <w:szCs w:val="20"/>
                <w:lang w:val="en-GB"/>
              </w:rPr>
              <w:t>Data analysis &amp; ‌triangulation</w:t>
            </w:r>
          </w:p>
        </w:tc>
      </w:tr>
      <w:tr w:rsidR="00F4352A" w14:paraId="3CD31368" w14:textId="191E85A5" w:rsidTr="00F4352A">
        <w:tc>
          <w:tcPr>
            <w:tcW w:w="2934" w:type="dxa"/>
          </w:tcPr>
          <w:p w14:paraId="0FC99745" w14:textId="628F63D3" w:rsidR="00F4352A" w:rsidRPr="00327FF9" w:rsidRDefault="00F4352A" w:rsidP="00327FF9">
            <w:pPr>
              <w:pStyle w:val="ListParagraph"/>
              <w:numPr>
                <w:ilvl w:val="2"/>
                <w:numId w:val="34"/>
              </w:numPr>
              <w:tabs>
                <w:tab w:val="clear" w:pos="7780"/>
              </w:tabs>
              <w:rPr>
                <w:rFonts w:asciiTheme="minorHAnsi" w:hAnsiTheme="minorHAnsi"/>
                <w:sz w:val="20"/>
                <w:szCs w:val="20"/>
              </w:rPr>
            </w:pPr>
            <w:r w:rsidRPr="00327FF9">
              <w:rPr>
                <w:rFonts w:asciiTheme="minorHAnsi" w:hAnsiTheme="minorHAnsi"/>
                <w:sz w:val="20"/>
                <w:szCs w:val="20"/>
              </w:rPr>
              <w:t>What other outcomes (intended, unintended, positive and negative) has the investment contributed to in the Pacific</w:t>
            </w:r>
          </w:p>
        </w:tc>
        <w:tc>
          <w:tcPr>
            <w:tcW w:w="2934" w:type="dxa"/>
          </w:tcPr>
          <w:p w14:paraId="43BCF2E1" w14:textId="1A52471B" w:rsidR="00F4352A" w:rsidRPr="00F4352A" w:rsidRDefault="00F4352A" w:rsidP="00F4352A">
            <w:pPr>
              <w:rPr>
                <w:rFonts w:asciiTheme="minorHAnsi" w:hAnsiTheme="minorHAnsi"/>
                <w:sz w:val="20"/>
                <w:szCs w:val="20"/>
                <w:lang w:val="en-GB"/>
              </w:rPr>
            </w:pPr>
            <w:r w:rsidRPr="00F4352A">
              <w:rPr>
                <w:rFonts w:asciiTheme="minorHAnsi" w:hAnsiTheme="minorHAnsi"/>
                <w:sz w:val="20"/>
                <w:szCs w:val="20"/>
                <w:lang w:val="en-GB"/>
              </w:rPr>
              <w:t>In effect the answer to EQ 3 will be a synthesis of the responses to the sub-questions below, in addition to unexpected outcomes that emerge during the fieldwork</w:t>
            </w:r>
          </w:p>
        </w:tc>
        <w:tc>
          <w:tcPr>
            <w:tcW w:w="2934" w:type="dxa"/>
          </w:tcPr>
          <w:p w14:paraId="42BE8026" w14:textId="617EA22F" w:rsidR="00F4352A" w:rsidRPr="00F4352A" w:rsidRDefault="00F4352A" w:rsidP="00F4352A">
            <w:pPr>
              <w:rPr>
                <w:rFonts w:asciiTheme="minorHAnsi" w:hAnsiTheme="minorHAnsi"/>
                <w:sz w:val="20"/>
                <w:szCs w:val="20"/>
                <w:lang w:val="en-GB"/>
              </w:rPr>
            </w:pPr>
            <w:r w:rsidRPr="00F4352A">
              <w:rPr>
                <w:rFonts w:asciiTheme="minorHAnsi" w:hAnsiTheme="minorHAnsi"/>
                <w:sz w:val="20"/>
                <w:szCs w:val="20"/>
                <w:lang w:val="en-GB"/>
              </w:rPr>
              <w:t>In effect the answer to EQ 3 will be a synthesis of the responses to the sub-questions below, in addition to unexpected outcomes that emerge during the fieldwork</w:t>
            </w:r>
          </w:p>
        </w:tc>
        <w:tc>
          <w:tcPr>
            <w:tcW w:w="2934" w:type="dxa"/>
          </w:tcPr>
          <w:p w14:paraId="576C345C" w14:textId="77777777" w:rsidR="00F4352A" w:rsidRPr="00C64933" w:rsidRDefault="00F4352A" w:rsidP="00F4352A">
            <w:pPr>
              <w:numPr>
                <w:ilvl w:val="0"/>
                <w:numId w:val="50"/>
              </w:numPr>
              <w:tabs>
                <w:tab w:val="clear" w:pos="7780"/>
              </w:tabs>
              <w:rPr>
                <w:rFonts w:asciiTheme="minorHAnsi" w:hAnsiTheme="minorHAnsi"/>
                <w:sz w:val="20"/>
                <w:szCs w:val="20"/>
              </w:rPr>
            </w:pPr>
            <w:r w:rsidRPr="00C64933">
              <w:rPr>
                <w:rFonts w:asciiTheme="minorHAnsi" w:hAnsiTheme="minorHAnsi"/>
                <w:sz w:val="20"/>
                <w:szCs w:val="20"/>
              </w:rPr>
              <w:t>Synthesis of the responses to EQs 3.1 – 3.4</w:t>
            </w:r>
          </w:p>
          <w:p w14:paraId="6D21950C" w14:textId="77777777" w:rsidR="00F4352A" w:rsidRPr="00C64933" w:rsidRDefault="00F4352A" w:rsidP="00F4352A">
            <w:pPr>
              <w:numPr>
                <w:ilvl w:val="0"/>
                <w:numId w:val="50"/>
              </w:numPr>
              <w:tabs>
                <w:tab w:val="clear" w:pos="7780"/>
              </w:tabs>
              <w:rPr>
                <w:rFonts w:asciiTheme="minorHAnsi" w:hAnsiTheme="minorHAnsi"/>
                <w:sz w:val="20"/>
                <w:szCs w:val="20"/>
              </w:rPr>
            </w:pPr>
            <w:r w:rsidRPr="00C64933">
              <w:rPr>
                <w:rFonts w:asciiTheme="minorHAnsi" w:hAnsiTheme="minorHAnsi"/>
                <w:sz w:val="20"/>
                <w:szCs w:val="20"/>
              </w:rPr>
              <w:t>Synthesis of evaluation reports</w:t>
            </w:r>
          </w:p>
          <w:p w14:paraId="061D2311" w14:textId="77777777" w:rsidR="00F4352A" w:rsidRDefault="00F4352A" w:rsidP="00F4352A">
            <w:pPr>
              <w:numPr>
                <w:ilvl w:val="0"/>
                <w:numId w:val="50"/>
              </w:numPr>
              <w:tabs>
                <w:tab w:val="clear" w:pos="7780"/>
              </w:tabs>
              <w:rPr>
                <w:rFonts w:asciiTheme="minorHAnsi" w:hAnsiTheme="minorHAnsi"/>
                <w:sz w:val="20"/>
                <w:szCs w:val="20"/>
              </w:rPr>
            </w:pPr>
            <w:r w:rsidRPr="00C64933">
              <w:rPr>
                <w:rFonts w:asciiTheme="minorHAnsi" w:hAnsiTheme="minorHAnsi"/>
                <w:sz w:val="20"/>
                <w:szCs w:val="20"/>
              </w:rPr>
              <w:t>Interviews with Stakeholders</w:t>
            </w:r>
          </w:p>
          <w:p w14:paraId="2147068D" w14:textId="1266A037" w:rsidR="00F4352A" w:rsidRPr="00F4352A" w:rsidRDefault="00F4352A" w:rsidP="00F4352A">
            <w:pPr>
              <w:numPr>
                <w:ilvl w:val="0"/>
                <w:numId w:val="50"/>
              </w:numPr>
              <w:tabs>
                <w:tab w:val="clear" w:pos="7780"/>
              </w:tabs>
              <w:rPr>
                <w:rFonts w:asciiTheme="minorHAnsi" w:hAnsiTheme="minorHAnsi" w:cs="Calibri"/>
                <w:sz w:val="20"/>
                <w:szCs w:val="20"/>
              </w:rPr>
            </w:pPr>
            <w:r w:rsidRPr="00F4352A">
              <w:rPr>
                <w:rFonts w:asciiTheme="minorHAnsi" w:hAnsiTheme="minorHAnsi"/>
                <w:sz w:val="20"/>
                <w:szCs w:val="20"/>
              </w:rPr>
              <w:t>Survey data</w:t>
            </w:r>
          </w:p>
        </w:tc>
        <w:tc>
          <w:tcPr>
            <w:tcW w:w="2934" w:type="dxa"/>
          </w:tcPr>
          <w:p w14:paraId="42F9CC81" w14:textId="4BBE1323" w:rsidR="00F4352A" w:rsidRPr="00F4352A" w:rsidRDefault="00F4352A" w:rsidP="00F4352A">
            <w:pPr>
              <w:rPr>
                <w:rFonts w:asciiTheme="minorHAnsi" w:hAnsiTheme="minorHAnsi"/>
                <w:sz w:val="20"/>
                <w:szCs w:val="20"/>
                <w:lang w:val="en-GB"/>
              </w:rPr>
            </w:pPr>
            <w:r w:rsidRPr="00F4352A">
              <w:rPr>
                <w:rFonts w:asciiTheme="minorHAnsi" w:hAnsiTheme="minorHAnsi"/>
                <w:sz w:val="20"/>
                <w:szCs w:val="20"/>
                <w:lang w:val="en-GB"/>
              </w:rPr>
              <w:t>Fieldwork findings triangulated with the synthesis of evaluation reports</w:t>
            </w:r>
          </w:p>
        </w:tc>
      </w:tr>
      <w:tr w:rsidR="001F53B9" w14:paraId="7C7210B9" w14:textId="240D71D0" w:rsidTr="00F4352A">
        <w:tc>
          <w:tcPr>
            <w:tcW w:w="2934" w:type="dxa"/>
          </w:tcPr>
          <w:p w14:paraId="089C61DD" w14:textId="61EFE14D" w:rsidR="001F53B9" w:rsidRPr="001F53B9" w:rsidRDefault="001F53B9" w:rsidP="001F53B9">
            <w:pPr>
              <w:pStyle w:val="ListParagraph"/>
              <w:numPr>
                <w:ilvl w:val="1"/>
                <w:numId w:val="77"/>
              </w:numPr>
              <w:tabs>
                <w:tab w:val="clear" w:pos="7780"/>
              </w:tabs>
              <w:rPr>
                <w:rFonts w:asciiTheme="minorHAnsi" w:hAnsiTheme="minorHAnsi" w:cstheme="minorHAnsi"/>
                <w:b/>
                <w:bCs/>
              </w:rPr>
            </w:pPr>
            <w:r w:rsidRPr="001F53B9">
              <w:rPr>
                <w:rFonts w:asciiTheme="minorHAnsi" w:hAnsiTheme="minorHAnsi"/>
                <w:sz w:val="20"/>
                <w:szCs w:val="20"/>
              </w:rPr>
              <w:t xml:space="preserve">How effectively has the investment contributed to fostering inclusion among marginalised groups and gender equality including empowering women, youth and people with disability in the fisheries sector? </w:t>
            </w:r>
          </w:p>
        </w:tc>
        <w:tc>
          <w:tcPr>
            <w:tcW w:w="2934" w:type="dxa"/>
          </w:tcPr>
          <w:p w14:paraId="72631008" w14:textId="3A7683DB" w:rsidR="001F53B9" w:rsidRDefault="001F53B9" w:rsidP="00D6412B">
            <w:pPr>
              <w:rPr>
                <w:rFonts w:asciiTheme="minorHAnsi" w:hAnsiTheme="minorHAnsi"/>
                <w:b/>
                <w:bCs/>
              </w:rPr>
            </w:pPr>
            <w:r w:rsidRPr="00D6412B">
              <w:rPr>
                <w:rFonts w:asciiTheme="minorHAnsi" w:hAnsiTheme="minorHAnsi"/>
                <w:sz w:val="20"/>
                <w:szCs w:val="20"/>
                <w:lang w:val="en-GB"/>
              </w:rPr>
              <w:t>The investment can demonstrate the extent to which it fostered gender equity and inclusion in the fisheries sector</w:t>
            </w:r>
            <w:r w:rsidRPr="00C64933">
              <w:rPr>
                <w:rFonts w:asciiTheme="minorHAnsi" w:hAnsiTheme="minorHAnsi"/>
                <w:sz w:val="20"/>
                <w:szCs w:val="20"/>
              </w:rPr>
              <w:t xml:space="preserve"> </w:t>
            </w:r>
          </w:p>
        </w:tc>
        <w:tc>
          <w:tcPr>
            <w:tcW w:w="2934" w:type="dxa"/>
          </w:tcPr>
          <w:p w14:paraId="6FAD435E" w14:textId="77777777" w:rsidR="001F53B9" w:rsidRPr="00C64933" w:rsidRDefault="001F53B9" w:rsidP="00D6412B">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Extent to which the investment considered gender equity and disability in all areas</w:t>
            </w:r>
          </w:p>
          <w:p w14:paraId="64FE730B" w14:textId="77777777" w:rsidR="001F53B9" w:rsidRPr="00C64933" w:rsidRDefault="001F53B9" w:rsidP="00D6412B">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Impact of the investment on participation and representation in decision-making in the sector by women and marginalised groups</w:t>
            </w:r>
          </w:p>
          <w:p w14:paraId="10905D9E" w14:textId="77777777" w:rsidR="001F53B9" w:rsidRPr="00C64933" w:rsidRDefault="001F53B9" w:rsidP="00D6412B">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 xml:space="preserve">Extent to which People with disabilities or OPDs were </w:t>
            </w:r>
            <w:r w:rsidRPr="00C64933">
              <w:rPr>
                <w:rFonts w:asciiTheme="minorHAnsi" w:hAnsiTheme="minorHAnsi"/>
                <w:sz w:val="20"/>
                <w:szCs w:val="20"/>
              </w:rPr>
              <w:lastRenderedPageBreak/>
              <w:t>meaningfully engaged in all aspects of the investment</w:t>
            </w:r>
          </w:p>
          <w:p w14:paraId="5D6AFE50" w14:textId="0D642A1A" w:rsidR="001F53B9" w:rsidRPr="00D6412B" w:rsidRDefault="001F53B9" w:rsidP="00D6412B">
            <w:pPr>
              <w:pStyle w:val="Subheading"/>
              <w:numPr>
                <w:ilvl w:val="0"/>
                <w:numId w:val="50"/>
              </w:numPr>
              <w:rPr>
                <w:rFonts w:asciiTheme="minorHAnsi" w:hAnsiTheme="minorHAnsi" w:cstheme="minorHAnsi"/>
                <w:color w:val="000000" w:themeColor="text1"/>
                <w:spacing w:val="0"/>
                <w:sz w:val="20"/>
                <w:szCs w:val="20"/>
              </w:rPr>
            </w:pPr>
            <w:r w:rsidRPr="00D6412B">
              <w:rPr>
                <w:rFonts w:asciiTheme="minorHAnsi" w:hAnsiTheme="minorHAnsi" w:cstheme="minorHAnsi"/>
                <w:color w:val="000000" w:themeColor="text1"/>
                <w:spacing w:val="0"/>
                <w:sz w:val="20"/>
                <w:szCs w:val="20"/>
              </w:rPr>
              <w:t>Extent to which sex- and disability - disaggregated data informed implementation</w:t>
            </w:r>
          </w:p>
        </w:tc>
        <w:tc>
          <w:tcPr>
            <w:tcW w:w="2934" w:type="dxa"/>
          </w:tcPr>
          <w:p w14:paraId="56AFE7A8" w14:textId="77777777" w:rsidR="001F53B9" w:rsidRPr="00C64933" w:rsidRDefault="001F53B9" w:rsidP="00D6412B">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lastRenderedPageBreak/>
              <w:t>Synthesis of evaluation reports</w:t>
            </w:r>
          </w:p>
          <w:p w14:paraId="35570B6C" w14:textId="77777777" w:rsidR="001F53B9" w:rsidRPr="00C64933" w:rsidRDefault="001F53B9" w:rsidP="00D6412B">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GEDSI analysis reports</w:t>
            </w:r>
          </w:p>
          <w:p w14:paraId="675DFD95" w14:textId="77777777" w:rsidR="001F53B9" w:rsidRPr="00C64933" w:rsidRDefault="001F53B9" w:rsidP="00D6412B">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Interviews with Stakeholders</w:t>
            </w:r>
          </w:p>
          <w:p w14:paraId="1BD624AF" w14:textId="77777777" w:rsidR="001F53B9" w:rsidRPr="00C64933" w:rsidRDefault="001F53B9" w:rsidP="00D6412B">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Survey data</w:t>
            </w:r>
          </w:p>
          <w:p w14:paraId="6CAB2331" w14:textId="014A021A" w:rsidR="001F53B9" w:rsidRPr="00D6412B" w:rsidRDefault="001F53B9" w:rsidP="00D6412B">
            <w:pPr>
              <w:pStyle w:val="Subheading"/>
              <w:numPr>
                <w:ilvl w:val="0"/>
                <w:numId w:val="50"/>
              </w:numPr>
              <w:rPr>
                <w:rFonts w:asciiTheme="minorHAnsi" w:hAnsiTheme="minorHAnsi" w:cstheme="minorHAnsi"/>
                <w:color w:val="000000" w:themeColor="text1"/>
                <w:spacing w:val="0"/>
                <w:sz w:val="20"/>
                <w:szCs w:val="20"/>
              </w:rPr>
            </w:pPr>
            <w:r w:rsidRPr="00D6412B">
              <w:rPr>
                <w:rFonts w:asciiTheme="minorHAnsi" w:hAnsiTheme="minorHAnsi" w:cstheme="minorHAnsi"/>
                <w:color w:val="000000" w:themeColor="text1"/>
                <w:spacing w:val="0"/>
                <w:sz w:val="20"/>
                <w:szCs w:val="20"/>
              </w:rPr>
              <w:t>Budgets signalling allocation of resources to GEDSI</w:t>
            </w:r>
          </w:p>
        </w:tc>
        <w:tc>
          <w:tcPr>
            <w:tcW w:w="2934" w:type="dxa"/>
          </w:tcPr>
          <w:p w14:paraId="32D3FA6D" w14:textId="0F3F5F96" w:rsidR="001F53B9" w:rsidRDefault="001F53B9" w:rsidP="00D6412B">
            <w:pPr>
              <w:rPr>
                <w:rFonts w:asciiTheme="minorHAnsi" w:hAnsiTheme="minorHAnsi"/>
                <w:b/>
                <w:bCs/>
              </w:rPr>
            </w:pPr>
            <w:r w:rsidRPr="00D6412B">
              <w:rPr>
                <w:rFonts w:asciiTheme="minorHAnsi" w:hAnsiTheme="minorHAnsi"/>
                <w:sz w:val="20"/>
                <w:szCs w:val="20"/>
                <w:lang w:val="en-GB"/>
              </w:rPr>
              <w:t>Triangulation across documents, interviews and survey data</w:t>
            </w:r>
          </w:p>
        </w:tc>
      </w:tr>
      <w:tr w:rsidR="004F3C09" w14:paraId="5B6496CB" w14:textId="6232CEBA" w:rsidTr="00F4352A">
        <w:tc>
          <w:tcPr>
            <w:tcW w:w="2934" w:type="dxa"/>
          </w:tcPr>
          <w:p w14:paraId="3EF88836" w14:textId="0ACA93E4" w:rsidR="004F3C09" w:rsidRDefault="004F3C09" w:rsidP="004F3C09">
            <w:pPr>
              <w:pStyle w:val="ListParagraph"/>
              <w:numPr>
                <w:ilvl w:val="1"/>
                <w:numId w:val="77"/>
              </w:numPr>
              <w:tabs>
                <w:tab w:val="clear" w:pos="7780"/>
              </w:tabs>
              <w:rPr>
                <w:rFonts w:asciiTheme="minorHAnsi" w:hAnsiTheme="minorHAnsi" w:cstheme="minorHAnsi"/>
                <w:b/>
                <w:bCs/>
              </w:rPr>
            </w:pPr>
            <w:r w:rsidRPr="00C64933">
              <w:rPr>
                <w:rFonts w:asciiTheme="minorHAnsi" w:hAnsiTheme="minorHAnsi"/>
                <w:sz w:val="20"/>
                <w:szCs w:val="20"/>
              </w:rPr>
              <w:t>How has the investment been effective in adapting or mitigating to the impacts of climate change?</w:t>
            </w:r>
          </w:p>
        </w:tc>
        <w:tc>
          <w:tcPr>
            <w:tcW w:w="2934" w:type="dxa"/>
          </w:tcPr>
          <w:p w14:paraId="5F8E54F5" w14:textId="002AD750" w:rsidR="004F3C09" w:rsidRDefault="004F3C09" w:rsidP="004F3C09">
            <w:pPr>
              <w:rPr>
                <w:rFonts w:asciiTheme="minorHAnsi" w:hAnsiTheme="minorHAnsi"/>
                <w:b/>
                <w:bCs/>
              </w:rPr>
            </w:pPr>
            <w:r w:rsidRPr="004F3C09">
              <w:rPr>
                <w:rFonts w:asciiTheme="minorHAnsi" w:hAnsiTheme="minorHAnsi"/>
                <w:sz w:val="20"/>
                <w:szCs w:val="20"/>
                <w:lang w:val="en-GB"/>
              </w:rPr>
              <w:t>The investment supported partners in adapting to the changes of climate change</w:t>
            </w:r>
          </w:p>
        </w:tc>
        <w:tc>
          <w:tcPr>
            <w:tcW w:w="2934" w:type="dxa"/>
          </w:tcPr>
          <w:p w14:paraId="0692C6AC" w14:textId="77777777" w:rsidR="004F3C09" w:rsidRPr="00C64933" w:rsidRDefault="004F3C09" w:rsidP="004F3C09">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Extent to which the investment was informed by climate change analysis</w:t>
            </w:r>
          </w:p>
          <w:p w14:paraId="725E36EF" w14:textId="47DC6736" w:rsidR="004F3C09" w:rsidRDefault="004F3C09" w:rsidP="004F3C09">
            <w:pPr>
              <w:numPr>
                <w:ilvl w:val="0"/>
                <w:numId w:val="50"/>
              </w:numPr>
              <w:tabs>
                <w:tab w:val="clear" w:pos="7780"/>
              </w:tabs>
              <w:rPr>
                <w:rFonts w:asciiTheme="minorHAnsi" w:hAnsiTheme="minorHAnsi"/>
                <w:b/>
                <w:bCs/>
              </w:rPr>
            </w:pPr>
            <w:r w:rsidRPr="00C64933">
              <w:rPr>
                <w:rFonts w:asciiTheme="minorHAnsi" w:hAnsiTheme="minorHAnsi"/>
                <w:sz w:val="20"/>
                <w:szCs w:val="20"/>
              </w:rPr>
              <w:t>Demonstrable examples of the investment helping partners adapt to the impact of climate change</w:t>
            </w:r>
          </w:p>
        </w:tc>
        <w:tc>
          <w:tcPr>
            <w:tcW w:w="2934" w:type="dxa"/>
          </w:tcPr>
          <w:p w14:paraId="6D7069B4" w14:textId="77777777" w:rsidR="004F3C09" w:rsidRPr="00C64933" w:rsidRDefault="004F3C09" w:rsidP="004F3C09">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Synthesis of evaluation reports</w:t>
            </w:r>
          </w:p>
          <w:p w14:paraId="0C940558" w14:textId="77777777" w:rsidR="004F3C09" w:rsidRPr="00C64933" w:rsidRDefault="004F3C09" w:rsidP="004F3C09">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Interviews with Stakeholders</w:t>
            </w:r>
          </w:p>
          <w:p w14:paraId="259DCAA0" w14:textId="77777777" w:rsidR="004F3C09" w:rsidRPr="00C64933" w:rsidRDefault="004F3C09" w:rsidP="004F3C09">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Survey data</w:t>
            </w:r>
          </w:p>
          <w:p w14:paraId="236E594D" w14:textId="317324CF" w:rsidR="004F3C09" w:rsidRPr="004F3C09" w:rsidRDefault="004F3C09" w:rsidP="004F3C09">
            <w:pPr>
              <w:pStyle w:val="Subheading"/>
              <w:numPr>
                <w:ilvl w:val="0"/>
                <w:numId w:val="50"/>
              </w:numPr>
              <w:rPr>
                <w:rFonts w:asciiTheme="minorHAnsi" w:hAnsiTheme="minorHAnsi" w:cstheme="minorHAnsi"/>
                <w:color w:val="000000" w:themeColor="text1"/>
                <w:spacing w:val="0"/>
                <w:sz w:val="20"/>
                <w:szCs w:val="20"/>
              </w:rPr>
            </w:pPr>
            <w:r w:rsidRPr="004F3C09">
              <w:rPr>
                <w:rFonts w:asciiTheme="minorHAnsi" w:hAnsiTheme="minorHAnsi" w:cstheme="minorHAnsi"/>
                <w:color w:val="000000" w:themeColor="text1"/>
                <w:spacing w:val="0"/>
                <w:sz w:val="20"/>
                <w:szCs w:val="20"/>
              </w:rPr>
              <w:t>Budgets signalling allocation of resources to Climate Change</w:t>
            </w:r>
          </w:p>
        </w:tc>
        <w:tc>
          <w:tcPr>
            <w:tcW w:w="2934" w:type="dxa"/>
          </w:tcPr>
          <w:p w14:paraId="52318FB5" w14:textId="2957D405" w:rsidR="004F3C09" w:rsidRDefault="004F3C09" w:rsidP="004F3C09">
            <w:pPr>
              <w:pStyle w:val="Subheading"/>
              <w:rPr>
                <w:rFonts w:asciiTheme="minorHAnsi" w:hAnsiTheme="minorHAnsi" w:cstheme="minorHAnsi"/>
                <w:b/>
                <w:bCs/>
                <w:color w:val="000000" w:themeColor="text1"/>
                <w:spacing w:val="0"/>
                <w:sz w:val="22"/>
                <w:szCs w:val="22"/>
              </w:rPr>
            </w:pPr>
            <w:r w:rsidRPr="004F3C09">
              <w:rPr>
                <w:rFonts w:asciiTheme="minorHAnsi" w:hAnsiTheme="minorHAnsi" w:cstheme="minorHAnsi"/>
                <w:color w:val="000000" w:themeColor="text1"/>
                <w:spacing w:val="0"/>
                <w:sz w:val="20"/>
                <w:szCs w:val="20"/>
                <w:lang w:val="en-GB"/>
              </w:rPr>
              <w:t>Triangulation across documents, interviews (internal and external), and survey data</w:t>
            </w:r>
          </w:p>
        </w:tc>
      </w:tr>
      <w:tr w:rsidR="002774E7" w14:paraId="7959260A" w14:textId="55EB5176" w:rsidTr="00F4352A">
        <w:tc>
          <w:tcPr>
            <w:tcW w:w="2934" w:type="dxa"/>
          </w:tcPr>
          <w:p w14:paraId="3CF9CFF3" w14:textId="77B35A08" w:rsidR="002774E7" w:rsidRDefault="002774E7" w:rsidP="002774E7">
            <w:pPr>
              <w:pStyle w:val="ListParagraph"/>
              <w:numPr>
                <w:ilvl w:val="1"/>
                <w:numId w:val="77"/>
              </w:numPr>
              <w:tabs>
                <w:tab w:val="clear" w:pos="7780"/>
              </w:tabs>
              <w:rPr>
                <w:rFonts w:asciiTheme="minorHAnsi" w:hAnsiTheme="minorHAnsi" w:cstheme="minorHAnsi"/>
                <w:b/>
                <w:bCs/>
              </w:rPr>
            </w:pPr>
            <w:r w:rsidRPr="00C64933">
              <w:rPr>
                <w:rFonts w:asciiTheme="minorHAnsi" w:hAnsiTheme="minorHAnsi"/>
                <w:sz w:val="20"/>
                <w:szCs w:val="20"/>
              </w:rPr>
              <w:t>How has the investment impacted how Australia is seen in and by the region?</w:t>
            </w:r>
          </w:p>
        </w:tc>
        <w:tc>
          <w:tcPr>
            <w:tcW w:w="2934" w:type="dxa"/>
          </w:tcPr>
          <w:p w14:paraId="56AB6DD3" w14:textId="021273F3" w:rsidR="002774E7" w:rsidRDefault="002774E7" w:rsidP="002774E7">
            <w:pPr>
              <w:rPr>
                <w:rFonts w:asciiTheme="minorHAnsi" w:hAnsiTheme="minorHAnsi"/>
                <w:b/>
                <w:bCs/>
              </w:rPr>
            </w:pPr>
            <w:r w:rsidRPr="002774E7">
              <w:rPr>
                <w:rFonts w:asciiTheme="minorHAnsi" w:hAnsiTheme="minorHAnsi"/>
                <w:sz w:val="20"/>
                <w:szCs w:val="20"/>
                <w:lang w:val="en-GB"/>
              </w:rPr>
              <w:t>The investment has brought noticeable benefits for the Government of Australia</w:t>
            </w:r>
          </w:p>
        </w:tc>
        <w:tc>
          <w:tcPr>
            <w:tcW w:w="2934" w:type="dxa"/>
          </w:tcPr>
          <w:p w14:paraId="18F6E80D" w14:textId="77777777" w:rsidR="002774E7" w:rsidRPr="00C64933" w:rsidRDefault="002774E7" w:rsidP="002774E7">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Extent to which the investment has enhanced Australia’s standing in the region</w:t>
            </w:r>
          </w:p>
          <w:p w14:paraId="09A11B9C" w14:textId="53310C19" w:rsidR="002774E7" w:rsidRPr="002774E7" w:rsidRDefault="002774E7" w:rsidP="002774E7">
            <w:pPr>
              <w:pStyle w:val="Subheading"/>
              <w:numPr>
                <w:ilvl w:val="0"/>
                <w:numId w:val="50"/>
              </w:numPr>
              <w:rPr>
                <w:rFonts w:asciiTheme="minorHAnsi" w:hAnsiTheme="minorHAnsi" w:cstheme="minorHAnsi"/>
                <w:color w:val="000000" w:themeColor="text1"/>
                <w:spacing w:val="0"/>
                <w:sz w:val="20"/>
                <w:szCs w:val="20"/>
              </w:rPr>
            </w:pPr>
            <w:r w:rsidRPr="002774E7">
              <w:rPr>
                <w:rFonts w:asciiTheme="minorHAnsi" w:hAnsiTheme="minorHAnsi" w:cstheme="minorHAnsi"/>
                <w:color w:val="000000" w:themeColor="text1"/>
                <w:spacing w:val="0"/>
                <w:sz w:val="20"/>
                <w:szCs w:val="20"/>
              </w:rPr>
              <w:t>Extent to which stakeholders value Australia’s support</w:t>
            </w:r>
          </w:p>
        </w:tc>
        <w:tc>
          <w:tcPr>
            <w:tcW w:w="2934" w:type="dxa"/>
          </w:tcPr>
          <w:p w14:paraId="1BA9EF9B" w14:textId="77777777" w:rsidR="002774E7" w:rsidRPr="00C64933" w:rsidRDefault="002774E7" w:rsidP="002774E7">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Survey data</w:t>
            </w:r>
          </w:p>
          <w:p w14:paraId="6159BC96" w14:textId="77777777" w:rsidR="002774E7" w:rsidRPr="00C64933" w:rsidRDefault="002774E7" w:rsidP="002774E7">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Interviews with stakeholders</w:t>
            </w:r>
          </w:p>
          <w:p w14:paraId="4AA4B7EF" w14:textId="77777777" w:rsidR="002774E7" w:rsidRPr="00C64933" w:rsidRDefault="002774E7" w:rsidP="002774E7">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Interviews with Post</w:t>
            </w:r>
          </w:p>
          <w:p w14:paraId="04ACEEFD" w14:textId="2C3125D1" w:rsidR="002774E7" w:rsidRPr="002774E7" w:rsidRDefault="002774E7" w:rsidP="002774E7">
            <w:pPr>
              <w:pStyle w:val="Subheading"/>
              <w:numPr>
                <w:ilvl w:val="0"/>
                <w:numId w:val="50"/>
              </w:numPr>
              <w:rPr>
                <w:rFonts w:asciiTheme="minorHAnsi" w:hAnsiTheme="minorHAnsi" w:cstheme="minorHAnsi"/>
                <w:color w:val="000000" w:themeColor="text1"/>
                <w:spacing w:val="0"/>
                <w:sz w:val="20"/>
                <w:szCs w:val="20"/>
              </w:rPr>
            </w:pPr>
            <w:r w:rsidRPr="002774E7">
              <w:rPr>
                <w:rFonts w:asciiTheme="minorHAnsi" w:hAnsiTheme="minorHAnsi" w:cstheme="minorHAnsi"/>
                <w:color w:val="000000" w:themeColor="text1"/>
                <w:spacing w:val="0"/>
                <w:sz w:val="20"/>
                <w:szCs w:val="20"/>
              </w:rPr>
              <w:t>Synthesis of evaluation reports</w:t>
            </w:r>
          </w:p>
        </w:tc>
        <w:tc>
          <w:tcPr>
            <w:tcW w:w="2934" w:type="dxa"/>
          </w:tcPr>
          <w:p w14:paraId="3FA0FFE6" w14:textId="74847C2B" w:rsidR="002774E7" w:rsidRPr="002774E7" w:rsidRDefault="002774E7" w:rsidP="002774E7">
            <w:pPr>
              <w:rPr>
                <w:rFonts w:asciiTheme="minorHAnsi" w:hAnsiTheme="minorHAnsi"/>
                <w:sz w:val="20"/>
                <w:szCs w:val="20"/>
                <w:lang w:val="en-GB"/>
              </w:rPr>
            </w:pPr>
            <w:r w:rsidRPr="002774E7">
              <w:rPr>
                <w:rFonts w:asciiTheme="minorHAnsi" w:hAnsiTheme="minorHAnsi"/>
                <w:sz w:val="20"/>
                <w:szCs w:val="20"/>
                <w:lang w:val="en-GB"/>
              </w:rPr>
              <w:t>Triangulation across interviews, and checked with evaluation reports</w:t>
            </w:r>
          </w:p>
        </w:tc>
      </w:tr>
      <w:tr w:rsidR="006F7085" w14:paraId="4C636974" w14:textId="15010BB7" w:rsidTr="00F4352A">
        <w:tc>
          <w:tcPr>
            <w:tcW w:w="2934" w:type="dxa"/>
          </w:tcPr>
          <w:p w14:paraId="6C154E6F" w14:textId="68DA54A8" w:rsidR="006F7085" w:rsidRDefault="006F7085" w:rsidP="006F7085">
            <w:pPr>
              <w:pStyle w:val="ListParagraph"/>
              <w:numPr>
                <w:ilvl w:val="1"/>
                <w:numId w:val="77"/>
              </w:numPr>
              <w:tabs>
                <w:tab w:val="clear" w:pos="7780"/>
              </w:tabs>
              <w:rPr>
                <w:rFonts w:asciiTheme="minorHAnsi" w:hAnsiTheme="minorHAnsi" w:cstheme="minorHAnsi"/>
                <w:b/>
                <w:bCs/>
              </w:rPr>
            </w:pPr>
            <w:r w:rsidRPr="006F7085">
              <w:rPr>
                <w:rFonts w:asciiTheme="minorHAnsi" w:hAnsiTheme="minorHAnsi"/>
                <w:sz w:val="20"/>
                <w:szCs w:val="20"/>
              </w:rPr>
              <w:t>How sustainable are the benefits of the investment and what actions/strategies have contributed to thi</w:t>
            </w:r>
            <w:r>
              <w:rPr>
                <w:rFonts w:asciiTheme="minorHAnsi" w:hAnsiTheme="minorHAnsi"/>
                <w:sz w:val="20"/>
                <w:szCs w:val="20"/>
              </w:rPr>
              <w:t>s?</w:t>
            </w:r>
          </w:p>
        </w:tc>
        <w:tc>
          <w:tcPr>
            <w:tcW w:w="2934" w:type="dxa"/>
          </w:tcPr>
          <w:p w14:paraId="086EDB75" w14:textId="24E22193" w:rsidR="006F7085" w:rsidRDefault="006F7085" w:rsidP="006F7085">
            <w:pPr>
              <w:rPr>
                <w:rFonts w:asciiTheme="minorHAnsi" w:hAnsiTheme="minorHAnsi"/>
                <w:b/>
                <w:bCs/>
              </w:rPr>
            </w:pPr>
            <w:r w:rsidRPr="006F7085">
              <w:rPr>
                <w:rFonts w:asciiTheme="minorHAnsi" w:hAnsiTheme="minorHAnsi"/>
                <w:sz w:val="20"/>
                <w:szCs w:val="20"/>
                <w:lang w:val="en-GB"/>
              </w:rPr>
              <w:t xml:space="preserve">The investment can demonstrate that initiatives are fully owned and managed by partners in the Pacific, and have viable </w:t>
            </w:r>
            <w:proofErr w:type="gramStart"/>
            <w:r w:rsidRPr="006F7085">
              <w:rPr>
                <w:rFonts w:asciiTheme="minorHAnsi" w:hAnsiTheme="minorHAnsi"/>
                <w:sz w:val="20"/>
                <w:szCs w:val="20"/>
                <w:lang w:val="en-GB"/>
              </w:rPr>
              <w:t>plans for the future</w:t>
            </w:r>
            <w:proofErr w:type="gramEnd"/>
          </w:p>
        </w:tc>
        <w:tc>
          <w:tcPr>
            <w:tcW w:w="2934" w:type="dxa"/>
          </w:tcPr>
          <w:p w14:paraId="122ECA2A" w14:textId="77777777" w:rsidR="006F7085" w:rsidRPr="00C64933" w:rsidRDefault="006F7085" w:rsidP="006F7085">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Extent to which local partners have taken up strategies and approaches supported by the investment</w:t>
            </w:r>
          </w:p>
          <w:p w14:paraId="280E64DB" w14:textId="77777777" w:rsidR="006F7085" w:rsidRPr="00C64933" w:rsidRDefault="006F7085" w:rsidP="006F7085">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Extent to which local partners have further advanced and led key strategies and approaches supported by the investment</w:t>
            </w:r>
          </w:p>
          <w:p w14:paraId="1FE5D6F8" w14:textId="4B3FF6DB" w:rsidR="006F7085" w:rsidRPr="006F7085" w:rsidRDefault="006F7085" w:rsidP="006F7085">
            <w:pPr>
              <w:pStyle w:val="Subheading"/>
              <w:numPr>
                <w:ilvl w:val="0"/>
                <w:numId w:val="50"/>
              </w:numPr>
              <w:rPr>
                <w:rFonts w:asciiTheme="minorHAnsi" w:hAnsiTheme="minorHAnsi" w:cstheme="minorHAnsi"/>
                <w:color w:val="000000" w:themeColor="text1"/>
                <w:spacing w:val="0"/>
                <w:sz w:val="20"/>
                <w:szCs w:val="20"/>
              </w:rPr>
            </w:pPr>
            <w:r w:rsidRPr="006F7085">
              <w:rPr>
                <w:rFonts w:asciiTheme="minorHAnsi" w:hAnsiTheme="minorHAnsi" w:cstheme="minorHAnsi"/>
                <w:color w:val="000000" w:themeColor="text1"/>
                <w:spacing w:val="0"/>
                <w:sz w:val="20"/>
                <w:szCs w:val="20"/>
              </w:rPr>
              <w:t xml:space="preserve">Evidence of decision-making and concrete steps by partners to maintain and / </w:t>
            </w:r>
            <w:r w:rsidRPr="006F7085">
              <w:rPr>
                <w:rFonts w:asciiTheme="minorHAnsi" w:hAnsiTheme="minorHAnsi" w:cstheme="minorHAnsi"/>
                <w:color w:val="000000" w:themeColor="text1"/>
                <w:spacing w:val="0"/>
                <w:sz w:val="20"/>
                <w:szCs w:val="20"/>
              </w:rPr>
              <w:lastRenderedPageBreak/>
              <w:t>or replicate activities supported by the investment</w:t>
            </w:r>
          </w:p>
        </w:tc>
        <w:tc>
          <w:tcPr>
            <w:tcW w:w="2934" w:type="dxa"/>
          </w:tcPr>
          <w:p w14:paraId="6FEE0C78" w14:textId="77777777" w:rsidR="006F7085" w:rsidRPr="00C64933" w:rsidRDefault="006F7085" w:rsidP="006F7085">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lastRenderedPageBreak/>
              <w:t>Survey data</w:t>
            </w:r>
          </w:p>
          <w:p w14:paraId="1A613A6D" w14:textId="77777777" w:rsidR="006F7085" w:rsidRPr="00C64933" w:rsidRDefault="006F7085" w:rsidP="006F7085">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Interviews with stakeholders</w:t>
            </w:r>
          </w:p>
          <w:p w14:paraId="4F74BC2A" w14:textId="1F0B318E" w:rsidR="006F7085" w:rsidRPr="006F7085" w:rsidRDefault="006F7085" w:rsidP="006F7085">
            <w:pPr>
              <w:pStyle w:val="Subheading"/>
              <w:numPr>
                <w:ilvl w:val="0"/>
                <w:numId w:val="50"/>
              </w:numPr>
              <w:rPr>
                <w:rFonts w:asciiTheme="minorHAnsi" w:hAnsiTheme="minorHAnsi" w:cstheme="minorHAnsi"/>
                <w:color w:val="000000" w:themeColor="text1"/>
                <w:spacing w:val="0"/>
                <w:sz w:val="20"/>
                <w:szCs w:val="20"/>
              </w:rPr>
            </w:pPr>
            <w:r w:rsidRPr="006F7085">
              <w:rPr>
                <w:rFonts w:asciiTheme="minorHAnsi" w:hAnsiTheme="minorHAnsi" w:cstheme="minorHAnsi"/>
                <w:color w:val="000000" w:themeColor="text1"/>
                <w:spacing w:val="0"/>
                <w:sz w:val="20"/>
                <w:szCs w:val="20"/>
              </w:rPr>
              <w:t>Synthesis of evaluation reports and other program reports</w:t>
            </w:r>
          </w:p>
        </w:tc>
        <w:tc>
          <w:tcPr>
            <w:tcW w:w="2934" w:type="dxa"/>
          </w:tcPr>
          <w:p w14:paraId="642B24A6" w14:textId="0B78D2C8" w:rsidR="006F7085" w:rsidRDefault="006F7085" w:rsidP="006F7085">
            <w:pPr>
              <w:rPr>
                <w:rFonts w:asciiTheme="minorHAnsi" w:hAnsiTheme="minorHAnsi"/>
                <w:b/>
                <w:bCs/>
              </w:rPr>
            </w:pPr>
            <w:r w:rsidRPr="00C64933">
              <w:rPr>
                <w:rFonts w:asciiTheme="minorHAnsi" w:hAnsiTheme="minorHAnsi"/>
                <w:sz w:val="20"/>
                <w:szCs w:val="20"/>
              </w:rPr>
              <w:t>Triangulation across interviews, survey data, and checked with evaluation reports and other program reports</w:t>
            </w:r>
          </w:p>
        </w:tc>
      </w:tr>
      <w:tr w:rsidR="00630359" w14:paraId="7BB95CB0" w14:textId="75CB0DCB" w:rsidTr="00F4352A">
        <w:tc>
          <w:tcPr>
            <w:tcW w:w="2934" w:type="dxa"/>
          </w:tcPr>
          <w:p w14:paraId="1CD16AF3" w14:textId="06C04F04" w:rsidR="00630359" w:rsidRDefault="00630359" w:rsidP="00630359">
            <w:pPr>
              <w:pStyle w:val="ListParagraph"/>
              <w:numPr>
                <w:ilvl w:val="1"/>
                <w:numId w:val="77"/>
              </w:numPr>
              <w:tabs>
                <w:tab w:val="clear" w:pos="7780"/>
              </w:tabs>
              <w:rPr>
                <w:rFonts w:asciiTheme="minorHAnsi" w:hAnsiTheme="minorHAnsi" w:cstheme="minorHAnsi"/>
                <w:b/>
                <w:bCs/>
              </w:rPr>
            </w:pPr>
            <w:r w:rsidRPr="00C64933">
              <w:rPr>
                <w:rFonts w:asciiTheme="minorHAnsi" w:hAnsiTheme="minorHAnsi"/>
                <w:sz w:val="20"/>
                <w:szCs w:val="20"/>
              </w:rPr>
              <w:t>What lessons should be learned to apply to future Pacific fisheries investments, including any gaps and opportunities in response to Pacific partners’ needs?</w:t>
            </w:r>
          </w:p>
        </w:tc>
        <w:tc>
          <w:tcPr>
            <w:tcW w:w="2934" w:type="dxa"/>
          </w:tcPr>
          <w:p w14:paraId="29009DA8" w14:textId="4B22C38F" w:rsidR="00630359" w:rsidRPr="00630359" w:rsidRDefault="00630359" w:rsidP="00630359">
            <w:pPr>
              <w:rPr>
                <w:rFonts w:asciiTheme="minorHAnsi" w:hAnsiTheme="minorHAnsi"/>
                <w:sz w:val="20"/>
                <w:szCs w:val="20"/>
              </w:rPr>
            </w:pPr>
            <w:r w:rsidRPr="00C64933">
              <w:rPr>
                <w:rFonts w:asciiTheme="minorHAnsi" w:hAnsiTheme="minorHAnsi"/>
                <w:sz w:val="20"/>
                <w:szCs w:val="20"/>
              </w:rPr>
              <w:t>In effect this sub-question requires conclusions to be drawn from the findings against previous EQs to provide forward looking strategic recommendations to guide future programming and to determine the extent, if any, gaps and opportunities in response to Pacific partners’ needs</w:t>
            </w:r>
          </w:p>
        </w:tc>
        <w:tc>
          <w:tcPr>
            <w:tcW w:w="2934" w:type="dxa"/>
          </w:tcPr>
          <w:p w14:paraId="17AD0469" w14:textId="6B50CA12" w:rsidR="00630359" w:rsidRPr="00630359" w:rsidRDefault="00630359" w:rsidP="00630359">
            <w:pPr>
              <w:rPr>
                <w:rFonts w:asciiTheme="minorHAnsi" w:hAnsiTheme="minorHAnsi"/>
                <w:sz w:val="20"/>
                <w:szCs w:val="20"/>
              </w:rPr>
            </w:pPr>
            <w:r w:rsidRPr="00C64933">
              <w:rPr>
                <w:rFonts w:asciiTheme="minorHAnsi" w:hAnsiTheme="minorHAnsi"/>
                <w:sz w:val="20"/>
                <w:szCs w:val="20"/>
              </w:rPr>
              <w:t>In effect this sub-question requires conclusions to be drawn from the findings against previous EQs to provide forward looking strategic recommendations to guide future programming and to determine the extent, if any, gaps and opportunities in response to Pacific partners’ needs</w:t>
            </w:r>
          </w:p>
        </w:tc>
        <w:tc>
          <w:tcPr>
            <w:tcW w:w="2934" w:type="dxa"/>
          </w:tcPr>
          <w:p w14:paraId="4F5548CA" w14:textId="77777777" w:rsidR="00630359" w:rsidRPr="00C64933" w:rsidRDefault="00630359" w:rsidP="00630359">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Synthesis of findings drawn from the previous EQs</w:t>
            </w:r>
          </w:p>
          <w:p w14:paraId="15D65CBB" w14:textId="77777777" w:rsidR="00630359" w:rsidRPr="00C64933" w:rsidRDefault="00630359" w:rsidP="00630359">
            <w:pPr>
              <w:numPr>
                <w:ilvl w:val="0"/>
                <w:numId w:val="50"/>
              </w:numPr>
              <w:pBdr>
                <w:top w:val="nil"/>
                <w:left w:val="nil"/>
                <w:bottom w:val="nil"/>
                <w:right w:val="nil"/>
                <w:between w:val="nil"/>
              </w:pBdr>
              <w:tabs>
                <w:tab w:val="clear" w:pos="7780"/>
              </w:tabs>
              <w:rPr>
                <w:rFonts w:asciiTheme="minorHAnsi" w:hAnsiTheme="minorHAnsi"/>
                <w:sz w:val="20"/>
                <w:szCs w:val="20"/>
              </w:rPr>
            </w:pPr>
            <w:r w:rsidRPr="00C64933">
              <w:rPr>
                <w:rFonts w:asciiTheme="minorHAnsi" w:hAnsiTheme="minorHAnsi"/>
                <w:sz w:val="20"/>
                <w:szCs w:val="20"/>
              </w:rPr>
              <w:t>Findings generated from the application of the Rubric</w:t>
            </w:r>
          </w:p>
          <w:p w14:paraId="638EE378" w14:textId="5BB02243" w:rsidR="00630359" w:rsidRDefault="00630359" w:rsidP="00630359">
            <w:pPr>
              <w:numPr>
                <w:ilvl w:val="0"/>
                <w:numId w:val="50"/>
              </w:numPr>
              <w:tabs>
                <w:tab w:val="clear" w:pos="7780"/>
              </w:tabs>
              <w:rPr>
                <w:rFonts w:asciiTheme="minorHAnsi" w:hAnsiTheme="minorHAnsi"/>
                <w:b/>
                <w:bCs/>
              </w:rPr>
            </w:pPr>
            <w:r w:rsidRPr="00C64933">
              <w:rPr>
                <w:rFonts w:asciiTheme="minorHAnsi" w:hAnsiTheme="minorHAnsi"/>
                <w:sz w:val="20"/>
                <w:szCs w:val="20"/>
              </w:rPr>
              <w:t>Workshop with the PFO to sense check findings and proposed recommendations</w:t>
            </w:r>
          </w:p>
        </w:tc>
        <w:tc>
          <w:tcPr>
            <w:tcW w:w="2934" w:type="dxa"/>
          </w:tcPr>
          <w:p w14:paraId="09DD17C4" w14:textId="0F1F4440" w:rsidR="00630359" w:rsidRDefault="00630359" w:rsidP="00630359">
            <w:pPr>
              <w:rPr>
                <w:rFonts w:asciiTheme="minorHAnsi" w:hAnsiTheme="minorHAnsi"/>
                <w:b/>
                <w:bCs/>
              </w:rPr>
            </w:pPr>
            <w:r w:rsidRPr="00C64933">
              <w:rPr>
                <w:rFonts w:asciiTheme="minorHAnsi" w:hAnsiTheme="minorHAnsi"/>
                <w:sz w:val="20"/>
                <w:szCs w:val="20"/>
              </w:rPr>
              <w:t>Triangulation across different interviews, and the synthesis of evaluation reports, and the application of the rubric, checked with the PFO during workshop</w:t>
            </w:r>
          </w:p>
        </w:tc>
      </w:tr>
    </w:tbl>
    <w:p w14:paraId="21F22E69" w14:textId="64F354BE" w:rsidR="00BD019F" w:rsidRDefault="00BD019F" w:rsidP="008E1333">
      <w:pPr>
        <w:pStyle w:val="Subheading"/>
        <w:rPr>
          <w:rFonts w:asciiTheme="minorHAnsi" w:hAnsiTheme="minorHAnsi" w:cstheme="minorHAnsi"/>
          <w:b/>
          <w:bCs/>
          <w:color w:val="000000" w:themeColor="text1"/>
          <w:spacing w:val="0"/>
          <w:sz w:val="22"/>
          <w:szCs w:val="22"/>
        </w:rPr>
      </w:pPr>
    </w:p>
    <w:p w14:paraId="6606EC97" w14:textId="77777777" w:rsidR="00BD019F" w:rsidRDefault="00BD019F">
      <w:pPr>
        <w:tabs>
          <w:tab w:val="clear" w:pos="7780"/>
        </w:tabs>
        <w:rPr>
          <w:rFonts w:asciiTheme="minorHAnsi" w:hAnsiTheme="minorHAnsi"/>
          <w:b/>
          <w:bCs/>
        </w:rPr>
      </w:pPr>
      <w:r>
        <w:rPr>
          <w:rFonts w:asciiTheme="minorHAnsi" w:hAnsiTheme="minorHAnsi"/>
          <w:b/>
          <w:bCs/>
        </w:rPr>
        <w:br w:type="page"/>
      </w:r>
    </w:p>
    <w:p w14:paraId="67E05DB4" w14:textId="77777777" w:rsidR="00C640B0" w:rsidRPr="00B32E86" w:rsidRDefault="00C640B0" w:rsidP="00C640B0">
      <w:pPr>
        <w:rPr>
          <w:rFonts w:ascii="Calibri" w:eastAsia="Calibri" w:hAnsi="Calibri" w:cs="Calibri"/>
        </w:rPr>
        <w:sectPr w:rsidR="00C640B0" w:rsidRPr="00B32E86" w:rsidSect="000C15A8">
          <w:headerReference w:type="default" r:id="rId84"/>
          <w:headerReference w:type="first" r:id="rId85"/>
          <w:pgSz w:w="16840" w:h="11900" w:orient="landscape"/>
          <w:pgMar w:top="1440" w:right="1080" w:bottom="1440" w:left="1080" w:header="709" w:footer="709" w:gutter="0"/>
          <w:cols w:space="720"/>
          <w:titlePg/>
        </w:sectPr>
      </w:pPr>
    </w:p>
    <w:p w14:paraId="2577B5DB" w14:textId="303D6DCC" w:rsidR="00C640B0" w:rsidRPr="00B32E86" w:rsidRDefault="00C640B0" w:rsidP="00C640B0">
      <w:pPr>
        <w:pBdr>
          <w:top w:val="nil"/>
          <w:left w:val="nil"/>
          <w:bottom w:val="nil"/>
          <w:right w:val="nil"/>
          <w:between w:val="nil"/>
        </w:pBdr>
        <w:jc w:val="both"/>
        <w:rPr>
          <w:rFonts w:ascii="Calibri" w:eastAsia="Calibri" w:hAnsi="Calibri" w:cs="Calibri"/>
          <w:color w:val="000000"/>
        </w:rPr>
      </w:pPr>
      <w:r w:rsidRPr="525DF3C9">
        <w:rPr>
          <w:rFonts w:ascii="Calibri" w:eastAsia="Calibri" w:hAnsi="Calibri" w:cs="Calibri"/>
        </w:rPr>
        <w:lastRenderedPageBreak/>
        <w:t xml:space="preserve">The main methods of data collection are </w:t>
      </w:r>
      <w:r w:rsidRPr="008B19C2">
        <w:rPr>
          <w:rFonts w:asciiTheme="minorHAnsi" w:eastAsia="Calibri" w:hAnsiTheme="minorHAnsi"/>
        </w:rPr>
        <w:t xml:space="preserve">outlined in </w:t>
      </w:r>
      <w:r w:rsidRPr="008B19C2">
        <w:rPr>
          <w:rFonts w:asciiTheme="minorHAnsi" w:eastAsia="Calibri" w:hAnsiTheme="minorHAnsi"/>
        </w:rPr>
        <w:fldChar w:fldCharType="begin"/>
      </w:r>
      <w:r w:rsidRPr="008B19C2">
        <w:rPr>
          <w:rFonts w:asciiTheme="minorHAnsi" w:eastAsia="Calibri" w:hAnsiTheme="minorHAnsi"/>
        </w:rPr>
        <w:instrText xml:space="preserve"> REF _Ref145599001 \h  \* MERGEFORMAT </w:instrText>
      </w:r>
      <w:r w:rsidRPr="008B19C2">
        <w:rPr>
          <w:rFonts w:asciiTheme="minorHAnsi" w:eastAsia="Calibri" w:hAnsiTheme="minorHAnsi"/>
        </w:rPr>
      </w:r>
      <w:r w:rsidRPr="008B19C2">
        <w:rPr>
          <w:rFonts w:asciiTheme="minorHAnsi" w:eastAsia="Calibri" w:hAnsiTheme="minorHAnsi"/>
        </w:rPr>
        <w:fldChar w:fldCharType="separate"/>
      </w:r>
      <w:r w:rsidR="00FC67EE" w:rsidRPr="00FC67EE">
        <w:rPr>
          <w:rFonts w:asciiTheme="minorHAnsi" w:hAnsiTheme="minorHAnsi"/>
        </w:rPr>
        <w:t xml:space="preserve">Table </w:t>
      </w:r>
      <w:r w:rsidRPr="008B19C2">
        <w:rPr>
          <w:rFonts w:asciiTheme="minorHAnsi" w:eastAsia="Calibri" w:hAnsiTheme="minorHAnsi"/>
        </w:rPr>
        <w:fldChar w:fldCharType="end"/>
      </w:r>
      <w:r w:rsidRPr="008B19C2">
        <w:rPr>
          <w:rFonts w:asciiTheme="minorHAnsi" w:eastAsia="Calibri" w:hAnsiTheme="minorHAnsi"/>
        </w:rPr>
        <w:t>.</w:t>
      </w:r>
      <w:r w:rsidRPr="525DF3C9">
        <w:rPr>
          <w:rFonts w:ascii="Calibri" w:eastAsia="Calibri" w:hAnsi="Calibri" w:cs="Calibri"/>
        </w:rPr>
        <w:t xml:space="preserve"> The choice of data collection methods and some of the detailed approaches have been guided by the strategic nature of the evaluation, the priority areas highlighted in the </w:t>
      </w:r>
      <w:proofErr w:type="spellStart"/>
      <w:r>
        <w:rPr>
          <w:rFonts w:ascii="Calibri" w:eastAsia="Calibri" w:hAnsi="Calibri" w:cs="Calibri"/>
        </w:rPr>
        <w:t>ToRs</w:t>
      </w:r>
      <w:proofErr w:type="spellEnd"/>
      <w:r w:rsidRPr="525DF3C9">
        <w:rPr>
          <w:rFonts w:ascii="Calibri" w:eastAsia="Calibri" w:hAnsi="Calibri" w:cs="Calibri"/>
        </w:rPr>
        <w:t>, and the extent to which data is readily available.</w:t>
      </w:r>
    </w:p>
    <w:p w14:paraId="7C8868DF" w14:textId="77777777" w:rsidR="00C640B0" w:rsidRPr="00B32E86" w:rsidRDefault="00C640B0" w:rsidP="00C640B0">
      <w:pPr>
        <w:pBdr>
          <w:top w:val="nil"/>
          <w:left w:val="nil"/>
          <w:bottom w:val="nil"/>
          <w:right w:val="nil"/>
          <w:between w:val="nil"/>
        </w:pBdr>
        <w:jc w:val="both"/>
        <w:rPr>
          <w:rFonts w:ascii="Calibri" w:eastAsia="Calibri" w:hAnsi="Calibri" w:cs="Calibri"/>
          <w:color w:val="000000"/>
        </w:rPr>
      </w:pPr>
    </w:p>
    <w:p w14:paraId="182C3CCF" w14:textId="296F172A" w:rsidR="00C640B0" w:rsidRPr="004202A9" w:rsidRDefault="00C640B0" w:rsidP="00C640B0">
      <w:pPr>
        <w:pStyle w:val="Caption"/>
      </w:pPr>
      <w:bookmarkStart w:id="175" w:name="_Ref145599001"/>
      <w:r w:rsidRPr="004202A9">
        <w:t xml:space="preserve">Table </w:t>
      </w:r>
      <w:r w:rsidRPr="004202A9">
        <w:fldChar w:fldCharType="begin"/>
      </w:r>
      <w:r w:rsidRPr="004202A9">
        <w:instrText xml:space="preserve"> SEQ Table \* ARABIC </w:instrText>
      </w:r>
      <w:r w:rsidRPr="004202A9">
        <w:fldChar w:fldCharType="separate"/>
      </w:r>
      <w:r w:rsidR="00FC67EE">
        <w:rPr>
          <w:noProof/>
        </w:rPr>
        <w:t>7</w:t>
      </w:r>
      <w:r w:rsidRPr="004202A9">
        <w:fldChar w:fldCharType="end"/>
      </w:r>
      <w:bookmarkEnd w:id="175"/>
      <w:r w:rsidRPr="004202A9">
        <w:t>: Overview of different methods and instruments</w:t>
      </w:r>
    </w:p>
    <w:tbl>
      <w:tblPr>
        <w:tblStyle w:val="GridTable4-Accent1"/>
        <w:tblW w:w="0" w:type="auto"/>
        <w:tblLayout w:type="fixed"/>
        <w:tblLook w:val="04A0" w:firstRow="1" w:lastRow="0" w:firstColumn="1" w:lastColumn="0" w:noHBand="0" w:noVBand="1"/>
      </w:tblPr>
      <w:tblGrid>
        <w:gridCol w:w="1695"/>
        <w:gridCol w:w="4958"/>
        <w:gridCol w:w="2347"/>
      </w:tblGrid>
      <w:tr w:rsidR="00C640B0" w:rsidRPr="004202A9" w14:paraId="2322FEC7" w14:textId="77777777" w:rsidTr="0073437D">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4472C4" w:themeColor="accent1"/>
              <w:left w:val="single" w:sz="8" w:space="0" w:color="4472C4" w:themeColor="accent1"/>
              <w:bottom w:val="single" w:sz="8" w:space="0" w:color="4472C4" w:themeColor="accent1"/>
            </w:tcBorders>
            <w:tcMar>
              <w:left w:w="108" w:type="dxa"/>
              <w:right w:w="108" w:type="dxa"/>
            </w:tcMar>
          </w:tcPr>
          <w:p w14:paraId="7425862C" w14:textId="77777777" w:rsidR="00C640B0" w:rsidRPr="004202A9" w:rsidRDefault="00C640B0" w:rsidP="0073437D">
            <w:pPr>
              <w:rPr>
                <w:rFonts w:asciiTheme="minorHAnsi" w:hAnsiTheme="minorHAnsi"/>
                <w:b w:val="0"/>
                <w:bCs w:val="0"/>
                <w:sz w:val="20"/>
                <w:szCs w:val="20"/>
              </w:rPr>
            </w:pPr>
            <w:r w:rsidRPr="004202A9">
              <w:rPr>
                <w:rFonts w:asciiTheme="minorHAnsi" w:eastAsia="Arial Narrow" w:hAnsiTheme="minorHAnsi"/>
                <w:b w:val="0"/>
                <w:bCs w:val="0"/>
                <w:sz w:val="20"/>
                <w:szCs w:val="20"/>
              </w:rPr>
              <w:t>Instrument</w:t>
            </w:r>
          </w:p>
        </w:tc>
        <w:tc>
          <w:tcPr>
            <w:tcW w:w="4958" w:type="dxa"/>
            <w:tcBorders>
              <w:top w:val="single" w:sz="8" w:space="0" w:color="4472C4" w:themeColor="accent1"/>
              <w:bottom w:val="single" w:sz="8" w:space="0" w:color="4472C4" w:themeColor="accent1"/>
            </w:tcBorders>
            <w:tcMar>
              <w:left w:w="108" w:type="dxa"/>
              <w:right w:w="108" w:type="dxa"/>
            </w:tcMar>
          </w:tcPr>
          <w:p w14:paraId="5E992FEE" w14:textId="77777777" w:rsidR="00C640B0" w:rsidRPr="004202A9" w:rsidRDefault="00C640B0" w:rsidP="0073437D">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sidRPr="004202A9">
              <w:rPr>
                <w:rFonts w:asciiTheme="minorHAnsi" w:eastAsia="Arial Narrow" w:hAnsiTheme="minorHAnsi"/>
                <w:b w:val="0"/>
                <w:bCs w:val="0"/>
                <w:sz w:val="20"/>
                <w:szCs w:val="20"/>
              </w:rPr>
              <w:t>Purpose</w:t>
            </w:r>
          </w:p>
        </w:tc>
        <w:tc>
          <w:tcPr>
            <w:tcW w:w="2347" w:type="dxa"/>
            <w:tcBorders>
              <w:top w:val="single" w:sz="8" w:space="0" w:color="4472C4" w:themeColor="accent1"/>
              <w:bottom w:val="single" w:sz="8" w:space="0" w:color="4472C4" w:themeColor="accent1"/>
              <w:right w:val="single" w:sz="8" w:space="0" w:color="4472C4" w:themeColor="accent1"/>
            </w:tcBorders>
            <w:tcMar>
              <w:left w:w="108" w:type="dxa"/>
              <w:right w:w="108" w:type="dxa"/>
            </w:tcMar>
          </w:tcPr>
          <w:p w14:paraId="35D0B7AC" w14:textId="77777777" w:rsidR="00C640B0" w:rsidRPr="004202A9" w:rsidRDefault="00C640B0" w:rsidP="0073437D">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sidRPr="004202A9">
              <w:rPr>
                <w:rFonts w:asciiTheme="minorHAnsi" w:eastAsia="Arial Narrow" w:hAnsiTheme="minorHAnsi"/>
                <w:b w:val="0"/>
                <w:bCs w:val="0"/>
                <w:sz w:val="20"/>
                <w:szCs w:val="20"/>
              </w:rPr>
              <w:t>Description</w:t>
            </w:r>
          </w:p>
        </w:tc>
      </w:tr>
      <w:tr w:rsidR="00C640B0" w:rsidRPr="004202A9" w14:paraId="48B6E852" w14:textId="77777777" w:rsidTr="007343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1094E21A" w14:textId="77777777" w:rsidR="00C640B0" w:rsidRPr="004202A9" w:rsidRDefault="00C640B0" w:rsidP="0073437D">
            <w:pPr>
              <w:rPr>
                <w:rFonts w:asciiTheme="minorHAnsi" w:hAnsiTheme="minorHAnsi"/>
                <w:b w:val="0"/>
                <w:bCs w:val="0"/>
                <w:sz w:val="20"/>
                <w:szCs w:val="20"/>
              </w:rPr>
            </w:pPr>
            <w:r w:rsidRPr="004202A9">
              <w:rPr>
                <w:rFonts w:asciiTheme="minorHAnsi" w:eastAsia="Arial Narrow" w:hAnsiTheme="minorHAnsi"/>
                <w:b w:val="0"/>
                <w:bCs w:val="0"/>
                <w:sz w:val="20"/>
                <w:szCs w:val="20"/>
              </w:rPr>
              <w:t>Document review and synthesis</w:t>
            </w:r>
          </w:p>
        </w:tc>
        <w:tc>
          <w:tcPr>
            <w:tcW w:w="4958"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3AB2AFB3" w14:textId="77777777"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202A9">
              <w:rPr>
                <w:rFonts w:asciiTheme="minorHAnsi" w:eastAsia="Arial Narrow" w:hAnsiTheme="minorHAnsi"/>
                <w:sz w:val="20"/>
                <w:szCs w:val="20"/>
              </w:rPr>
              <w:t xml:space="preserve">The evaluation will use existing documents and data as a starting point, so that other methods, including interviews and the survey can focus on adding to what is already known. </w:t>
            </w:r>
          </w:p>
          <w:p w14:paraId="740B3EF7" w14:textId="77777777"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202A9">
              <w:rPr>
                <w:rFonts w:asciiTheme="minorHAnsi" w:eastAsia="Arial Narrow" w:hAnsiTheme="minorHAnsi"/>
                <w:sz w:val="20"/>
                <w:szCs w:val="20"/>
              </w:rPr>
              <w:t xml:space="preserve"> </w:t>
            </w:r>
          </w:p>
          <w:p w14:paraId="6E7B7ADF" w14:textId="77777777"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202A9">
              <w:rPr>
                <w:rFonts w:asciiTheme="minorHAnsi" w:eastAsia="Arial Narrow" w:hAnsiTheme="minorHAnsi"/>
                <w:sz w:val="20"/>
                <w:szCs w:val="20"/>
              </w:rPr>
              <w:t xml:space="preserve">The synthesis of relevant documentation is a key element of this approach and has been started during the inception phase </w:t>
            </w:r>
            <w:proofErr w:type="gramStart"/>
            <w:r w:rsidRPr="004202A9">
              <w:rPr>
                <w:rFonts w:asciiTheme="minorHAnsi" w:eastAsia="Arial Narrow" w:hAnsiTheme="minorHAnsi"/>
                <w:sz w:val="20"/>
                <w:szCs w:val="20"/>
              </w:rPr>
              <w:t>so as to</w:t>
            </w:r>
            <w:proofErr w:type="gramEnd"/>
            <w:r w:rsidRPr="004202A9">
              <w:rPr>
                <w:rFonts w:asciiTheme="minorHAnsi" w:eastAsia="Arial Narrow" w:hAnsiTheme="minorHAnsi"/>
                <w:sz w:val="20"/>
                <w:szCs w:val="20"/>
              </w:rPr>
              <w:t xml:space="preserve"> inform all the main aspects of this evaluation design.</w:t>
            </w:r>
          </w:p>
        </w:tc>
        <w:tc>
          <w:tcPr>
            <w:tcW w:w="2347" w:type="dxa"/>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1225A1A5" w14:textId="29AA6011"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202A9">
              <w:rPr>
                <w:rFonts w:asciiTheme="minorHAnsi" w:eastAsia="Arial Narrow" w:hAnsiTheme="minorHAnsi"/>
                <w:sz w:val="20"/>
                <w:szCs w:val="20"/>
              </w:rPr>
              <w:t xml:space="preserve">See </w:t>
            </w:r>
            <w:r w:rsidR="000F3351">
              <w:rPr>
                <w:rFonts w:asciiTheme="minorHAnsi" w:eastAsia="Arial Narrow" w:hAnsiTheme="minorHAnsi"/>
                <w:b/>
                <w:bCs/>
                <w:sz w:val="20"/>
                <w:szCs w:val="20"/>
              </w:rPr>
              <w:t>Annexe</w:t>
            </w:r>
            <w:r w:rsidRPr="004202A9">
              <w:rPr>
                <w:rFonts w:asciiTheme="minorHAnsi" w:eastAsia="Arial Narrow" w:hAnsiTheme="minorHAnsi"/>
                <w:b/>
                <w:bCs/>
                <w:sz w:val="20"/>
                <w:szCs w:val="20"/>
              </w:rPr>
              <w:t xml:space="preserve"> 5 f</w:t>
            </w:r>
            <w:r w:rsidRPr="004202A9">
              <w:rPr>
                <w:rFonts w:asciiTheme="minorHAnsi" w:eastAsia="Arial Narrow" w:hAnsiTheme="minorHAnsi"/>
                <w:sz w:val="20"/>
                <w:szCs w:val="20"/>
              </w:rPr>
              <w:t>or a list of documents already received</w:t>
            </w:r>
          </w:p>
        </w:tc>
      </w:tr>
      <w:tr w:rsidR="00C640B0" w:rsidRPr="004202A9" w14:paraId="1ED410EF" w14:textId="77777777" w:rsidTr="0073437D">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2BFB602A" w14:textId="77777777" w:rsidR="00C640B0" w:rsidRPr="004202A9" w:rsidRDefault="00C640B0" w:rsidP="0073437D">
            <w:pPr>
              <w:rPr>
                <w:rFonts w:asciiTheme="minorHAnsi" w:eastAsia="Arial Narrow" w:hAnsiTheme="minorHAnsi"/>
                <w:sz w:val="20"/>
                <w:szCs w:val="20"/>
              </w:rPr>
            </w:pPr>
            <w:r w:rsidRPr="004202A9">
              <w:rPr>
                <w:rFonts w:asciiTheme="minorHAnsi" w:eastAsia="Arial Narrow" w:hAnsiTheme="minorHAnsi"/>
                <w:b w:val="0"/>
                <w:bCs w:val="0"/>
                <w:sz w:val="20"/>
                <w:szCs w:val="20"/>
              </w:rPr>
              <w:t>Rubric</w:t>
            </w:r>
          </w:p>
        </w:tc>
        <w:tc>
          <w:tcPr>
            <w:tcW w:w="4958"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65A504F2" w14:textId="77777777" w:rsidR="00C640B0" w:rsidRPr="004202A9"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080AC63D">
              <w:rPr>
                <w:rFonts w:asciiTheme="minorHAnsi" w:eastAsia="Arial Narrow" w:hAnsiTheme="minorHAnsi" w:cstheme="minorBidi"/>
                <w:sz w:val="20"/>
                <w:szCs w:val="20"/>
              </w:rPr>
              <w:t xml:space="preserve">The rubric will identify the key facets of the Portfolio Evaluation the PFO consider important for the evaluation to consider when reviewing the portfolio. </w:t>
            </w:r>
          </w:p>
          <w:p w14:paraId="06BBA204" w14:textId="77777777" w:rsidR="00C640B0" w:rsidRPr="004202A9"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202A9">
              <w:rPr>
                <w:rFonts w:asciiTheme="minorHAnsi" w:eastAsia="Arial Narrow" w:hAnsiTheme="minorHAnsi"/>
                <w:sz w:val="20"/>
                <w:szCs w:val="20"/>
              </w:rPr>
              <w:t xml:space="preserve"> </w:t>
            </w:r>
          </w:p>
          <w:p w14:paraId="67432EB8" w14:textId="77777777" w:rsidR="00C640B0" w:rsidRPr="004202A9"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0"/>
                <w:szCs w:val="20"/>
              </w:rPr>
            </w:pPr>
            <w:r w:rsidRPr="080AC63D">
              <w:rPr>
                <w:rFonts w:asciiTheme="minorHAnsi" w:eastAsia="Arial Narrow" w:hAnsiTheme="minorHAnsi" w:cstheme="minorBidi"/>
                <w:sz w:val="20"/>
                <w:szCs w:val="20"/>
              </w:rPr>
              <w:t>Essentially the rubrics provide a qualitative scale that will include:</w:t>
            </w:r>
          </w:p>
          <w:p w14:paraId="17643CB0" w14:textId="77777777" w:rsidR="00C640B0" w:rsidRPr="004202A9" w:rsidRDefault="00C640B0" w:rsidP="00821BD8">
            <w:pPr>
              <w:pStyle w:val="ListParagraph"/>
              <w:numPr>
                <w:ilvl w:val="0"/>
                <w:numId w:val="49"/>
              </w:numPr>
              <w:tabs>
                <w:tab w:val="clear" w:pos="7780"/>
              </w:tabs>
              <w:cnfStyle w:val="000000000000" w:firstRow="0" w:lastRow="0" w:firstColumn="0" w:lastColumn="0" w:oddVBand="0" w:evenVBand="0" w:oddHBand="0" w:evenHBand="0" w:firstRowFirstColumn="0" w:firstRowLastColumn="0" w:lastRowFirstColumn="0" w:lastRowLastColumn="0"/>
              <w:rPr>
                <w:rFonts w:asciiTheme="minorHAnsi" w:eastAsia="Arial Narrow" w:hAnsiTheme="minorHAnsi" w:cstheme="minorHAnsi"/>
                <w:sz w:val="20"/>
                <w:szCs w:val="20"/>
              </w:rPr>
            </w:pPr>
            <w:r w:rsidRPr="004202A9">
              <w:rPr>
                <w:rFonts w:asciiTheme="minorHAnsi" w:eastAsia="Arial Narrow" w:hAnsiTheme="minorHAnsi" w:cstheme="minorHAnsi"/>
                <w:sz w:val="20"/>
                <w:szCs w:val="20"/>
              </w:rPr>
              <w:t>Criteria – the aspects of quality or performance that are of interest</w:t>
            </w:r>
          </w:p>
          <w:p w14:paraId="7B78D85E" w14:textId="77777777" w:rsidR="00C640B0" w:rsidRPr="004202A9" w:rsidRDefault="00C640B0" w:rsidP="00821BD8">
            <w:pPr>
              <w:pStyle w:val="ListParagraph"/>
              <w:numPr>
                <w:ilvl w:val="0"/>
                <w:numId w:val="49"/>
              </w:numPr>
              <w:tabs>
                <w:tab w:val="clear" w:pos="7780"/>
              </w:tabs>
              <w:cnfStyle w:val="000000000000" w:firstRow="0" w:lastRow="0" w:firstColumn="0" w:lastColumn="0" w:oddVBand="0" w:evenVBand="0" w:oddHBand="0" w:evenHBand="0" w:firstRowFirstColumn="0" w:firstRowLastColumn="0" w:lastRowFirstColumn="0" w:lastRowLastColumn="0"/>
              <w:rPr>
                <w:rFonts w:asciiTheme="minorHAnsi" w:eastAsia="Arial Narrow" w:hAnsiTheme="minorHAnsi" w:cstheme="minorHAnsi"/>
                <w:sz w:val="20"/>
                <w:szCs w:val="20"/>
              </w:rPr>
            </w:pPr>
            <w:r w:rsidRPr="004202A9">
              <w:rPr>
                <w:rFonts w:asciiTheme="minorHAnsi" w:eastAsia="Arial Narrow" w:hAnsiTheme="minorHAnsi" w:cstheme="minorHAnsi"/>
                <w:sz w:val="20"/>
                <w:szCs w:val="20"/>
              </w:rPr>
              <w:t>Standards – the levels of performance or quality for each criterion</w:t>
            </w:r>
          </w:p>
          <w:p w14:paraId="66118356" w14:textId="77777777" w:rsidR="00C640B0" w:rsidRPr="004202A9" w:rsidRDefault="00C640B0" w:rsidP="00821BD8">
            <w:pPr>
              <w:pStyle w:val="ListParagraph"/>
              <w:numPr>
                <w:ilvl w:val="0"/>
                <w:numId w:val="49"/>
              </w:numPr>
              <w:tabs>
                <w:tab w:val="clear" w:pos="7780"/>
              </w:tabs>
              <w:cnfStyle w:val="000000000000" w:firstRow="0" w:lastRow="0" w:firstColumn="0" w:lastColumn="0" w:oddVBand="0" w:evenVBand="0" w:oddHBand="0" w:evenHBand="0" w:firstRowFirstColumn="0" w:firstRowLastColumn="0" w:lastRowFirstColumn="0" w:lastRowLastColumn="0"/>
              <w:rPr>
                <w:rFonts w:asciiTheme="minorHAnsi" w:eastAsia="Arial Narrow" w:hAnsiTheme="minorHAnsi" w:cstheme="minorHAnsi"/>
                <w:sz w:val="20"/>
                <w:szCs w:val="20"/>
              </w:rPr>
            </w:pPr>
            <w:r w:rsidRPr="004202A9">
              <w:rPr>
                <w:rFonts w:asciiTheme="minorHAnsi" w:eastAsia="Arial Narrow" w:hAnsiTheme="minorHAnsi" w:cstheme="minorHAnsi"/>
                <w:sz w:val="20"/>
                <w:szCs w:val="20"/>
              </w:rPr>
              <w:t>Descriptors – description of what each standard looks like for each criterion in the rubric</w:t>
            </w:r>
          </w:p>
          <w:p w14:paraId="48E85761" w14:textId="77777777" w:rsidR="00C640B0" w:rsidRPr="004202A9"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202A9">
              <w:rPr>
                <w:rFonts w:asciiTheme="minorHAnsi" w:eastAsia="Arial Narrow" w:hAnsiTheme="minorHAnsi"/>
                <w:sz w:val="20"/>
                <w:szCs w:val="20"/>
              </w:rPr>
              <w:t xml:space="preserve"> </w:t>
            </w:r>
          </w:p>
          <w:p w14:paraId="146CF59D" w14:textId="77777777" w:rsidR="00C640B0" w:rsidRPr="004202A9"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eastAsia="Arial Narrow" w:hAnsiTheme="minorHAnsi"/>
                <w:sz w:val="20"/>
                <w:szCs w:val="20"/>
              </w:rPr>
            </w:pPr>
            <w:r w:rsidRPr="004202A9">
              <w:rPr>
                <w:rFonts w:asciiTheme="minorHAnsi" w:eastAsia="Arial Narrow" w:hAnsiTheme="minorHAnsi"/>
                <w:sz w:val="20"/>
                <w:szCs w:val="20"/>
              </w:rPr>
              <w:t xml:space="preserve">The rubric will ensure a consistent approach to assessing the achievements across the Portfolio, in line with the EQs spelt out above in the Evaluation Matrix. </w:t>
            </w:r>
          </w:p>
        </w:tc>
        <w:tc>
          <w:tcPr>
            <w:tcW w:w="2347"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3317458D" w14:textId="54EB219A" w:rsidR="00C640B0" w:rsidRPr="004202A9"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202A9">
              <w:rPr>
                <w:rFonts w:asciiTheme="minorHAnsi" w:eastAsia="Arial Narrow" w:hAnsiTheme="minorHAnsi"/>
                <w:sz w:val="20"/>
                <w:szCs w:val="20"/>
              </w:rPr>
              <w:t xml:space="preserve">The draft rubric has been co-created with the PFO and can be found in </w:t>
            </w:r>
            <w:r w:rsidR="000F3351">
              <w:rPr>
                <w:rFonts w:asciiTheme="minorHAnsi" w:eastAsia="Arial Narrow" w:hAnsiTheme="minorHAnsi"/>
                <w:b/>
                <w:bCs/>
                <w:sz w:val="20"/>
                <w:szCs w:val="20"/>
              </w:rPr>
              <w:t>Annexe</w:t>
            </w:r>
            <w:r w:rsidRPr="004202A9">
              <w:rPr>
                <w:rFonts w:asciiTheme="minorHAnsi" w:eastAsia="Arial Narrow" w:hAnsiTheme="minorHAnsi"/>
                <w:b/>
                <w:bCs/>
                <w:sz w:val="20"/>
                <w:szCs w:val="20"/>
              </w:rPr>
              <w:t xml:space="preserve"> 7</w:t>
            </w:r>
          </w:p>
        </w:tc>
      </w:tr>
      <w:tr w:rsidR="00C640B0" w:rsidRPr="004202A9" w14:paraId="5F6C79ED" w14:textId="77777777" w:rsidTr="007343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489A6B14" w14:textId="77777777" w:rsidR="00C640B0" w:rsidRPr="004202A9" w:rsidRDefault="00C640B0" w:rsidP="0073437D">
            <w:pPr>
              <w:rPr>
                <w:rFonts w:asciiTheme="minorHAnsi" w:hAnsiTheme="minorHAnsi"/>
                <w:b w:val="0"/>
                <w:bCs w:val="0"/>
                <w:sz w:val="20"/>
                <w:szCs w:val="20"/>
              </w:rPr>
            </w:pPr>
            <w:r w:rsidRPr="004202A9">
              <w:rPr>
                <w:rFonts w:asciiTheme="minorHAnsi" w:eastAsia="Arial Narrow" w:hAnsiTheme="minorHAnsi"/>
                <w:b w:val="0"/>
                <w:bCs w:val="0"/>
                <w:sz w:val="20"/>
                <w:szCs w:val="20"/>
              </w:rPr>
              <w:t>Interviews</w:t>
            </w:r>
          </w:p>
        </w:tc>
        <w:tc>
          <w:tcPr>
            <w:tcW w:w="4958"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670AB854" w14:textId="77777777"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202A9">
              <w:rPr>
                <w:rFonts w:asciiTheme="minorHAnsi" w:eastAsia="Arial Narrow" w:hAnsiTheme="minorHAnsi"/>
                <w:sz w:val="20"/>
                <w:szCs w:val="20"/>
              </w:rPr>
              <w:t xml:space="preserve">Key informant interviews (KII) are an important way of deepening the understanding derived from documentary sources, triangulating findings, and understanding partnership dynamics. </w:t>
            </w:r>
          </w:p>
          <w:p w14:paraId="214E5518" w14:textId="77777777"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202A9">
              <w:rPr>
                <w:rFonts w:asciiTheme="minorHAnsi" w:eastAsia="Arial Narrow" w:hAnsiTheme="minorHAnsi"/>
                <w:sz w:val="20"/>
                <w:szCs w:val="20"/>
              </w:rPr>
              <w:t xml:space="preserve"> </w:t>
            </w:r>
          </w:p>
          <w:p w14:paraId="552346BE" w14:textId="77777777"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eastAsia="Arial Narrow" w:hAnsiTheme="minorHAnsi" w:cstheme="minorBidi"/>
                <w:sz w:val="20"/>
                <w:szCs w:val="20"/>
              </w:rPr>
            </w:pPr>
            <w:r w:rsidRPr="080AC63D">
              <w:rPr>
                <w:rFonts w:asciiTheme="minorHAnsi" w:eastAsia="Arial Narrow" w:hAnsiTheme="minorHAnsi" w:cstheme="minorBidi"/>
                <w:sz w:val="20"/>
                <w:szCs w:val="20"/>
              </w:rPr>
              <w:t>Interviews will be held with key individuals from DFAT, relevant Australian agencies, the FFA and other relevant informants who have been in the sector a long time and will have forward looking views on Australia’s fisheries development assistance in the Pacific</w:t>
            </w:r>
          </w:p>
          <w:p w14:paraId="455DDCBC" w14:textId="77777777"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202A9">
              <w:rPr>
                <w:rFonts w:asciiTheme="minorHAnsi" w:eastAsia="Arial Narrow" w:hAnsiTheme="minorHAnsi"/>
                <w:sz w:val="20"/>
                <w:szCs w:val="20"/>
              </w:rPr>
              <w:t xml:space="preserve"> </w:t>
            </w:r>
          </w:p>
          <w:p w14:paraId="3CE9FFD9" w14:textId="77777777"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eastAsia="Arial Narrow" w:hAnsiTheme="minorHAnsi" w:cstheme="minorBidi"/>
                <w:sz w:val="20"/>
                <w:szCs w:val="20"/>
              </w:rPr>
            </w:pPr>
            <w:r w:rsidRPr="080AC63D">
              <w:rPr>
                <w:rFonts w:asciiTheme="minorHAnsi" w:eastAsia="Arial Narrow" w:hAnsiTheme="minorHAnsi" w:cstheme="minorBidi"/>
                <w:sz w:val="20"/>
                <w:szCs w:val="20"/>
              </w:rPr>
              <w:t>Wherever possible interviews will be done in person. Remote interviews will also be deployed for other stakeholders outside Canberra and Honiara, which are to be visited by the evaluation team.</w:t>
            </w:r>
          </w:p>
          <w:p w14:paraId="780902B8" w14:textId="77777777"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eastAsia="Arial Narrow" w:hAnsiTheme="minorHAnsi"/>
                <w:sz w:val="20"/>
                <w:szCs w:val="20"/>
              </w:rPr>
            </w:pPr>
          </w:p>
          <w:p w14:paraId="0CBA3359" w14:textId="77777777"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202A9">
              <w:rPr>
                <w:rFonts w:asciiTheme="minorHAnsi" w:eastAsia="Arial Narrow" w:hAnsiTheme="minorHAnsi"/>
                <w:sz w:val="20"/>
                <w:szCs w:val="20"/>
              </w:rPr>
              <w:t xml:space="preserve">Consultations will take the form of semi-structured interviews. A set of questions will be shared with partners prior to consultations, and these will be used as a guide to the interviews   </w:t>
            </w:r>
          </w:p>
        </w:tc>
        <w:tc>
          <w:tcPr>
            <w:tcW w:w="2347"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5E50A363" w14:textId="32E3AA37"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eastAsia="Arial Narrow" w:hAnsiTheme="minorHAnsi"/>
                <w:sz w:val="20"/>
                <w:szCs w:val="20"/>
              </w:rPr>
            </w:pPr>
            <w:r w:rsidRPr="004202A9">
              <w:rPr>
                <w:rFonts w:asciiTheme="minorHAnsi" w:hAnsiTheme="minorHAnsi"/>
                <w:sz w:val="20"/>
                <w:szCs w:val="20"/>
              </w:rPr>
              <w:t xml:space="preserve">See </w:t>
            </w:r>
            <w:r w:rsidR="000F3351">
              <w:rPr>
                <w:rFonts w:asciiTheme="minorHAnsi" w:hAnsiTheme="minorHAnsi"/>
                <w:b/>
                <w:bCs/>
                <w:sz w:val="20"/>
                <w:szCs w:val="20"/>
              </w:rPr>
              <w:t>Annexe</w:t>
            </w:r>
            <w:r w:rsidRPr="004202A9">
              <w:rPr>
                <w:rFonts w:asciiTheme="minorHAnsi" w:hAnsiTheme="minorHAnsi"/>
                <w:b/>
                <w:bCs/>
                <w:sz w:val="20"/>
                <w:szCs w:val="20"/>
              </w:rPr>
              <w:t xml:space="preserve"> 4</w:t>
            </w:r>
            <w:r w:rsidRPr="004202A9">
              <w:rPr>
                <w:rFonts w:asciiTheme="minorHAnsi" w:hAnsiTheme="minorHAnsi"/>
                <w:sz w:val="20"/>
                <w:szCs w:val="20"/>
              </w:rPr>
              <w:t xml:space="preserve"> for a provisional list of key informants.</w:t>
            </w:r>
            <w:r w:rsidRPr="004202A9">
              <w:rPr>
                <w:rFonts w:asciiTheme="minorHAnsi" w:eastAsia="Arial Narrow" w:hAnsiTheme="minorHAnsi"/>
                <w:sz w:val="20"/>
                <w:szCs w:val="20"/>
              </w:rPr>
              <w:t xml:space="preserve"> </w:t>
            </w:r>
          </w:p>
          <w:p w14:paraId="569906CC" w14:textId="77777777"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eastAsia="Arial Narrow" w:hAnsiTheme="minorHAnsi"/>
                <w:sz w:val="20"/>
                <w:szCs w:val="20"/>
              </w:rPr>
            </w:pPr>
          </w:p>
          <w:p w14:paraId="47A6A749" w14:textId="6EDBE8FD" w:rsidR="00C640B0" w:rsidRPr="004202A9"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0"/>
                <w:szCs w:val="20"/>
              </w:rPr>
            </w:pPr>
            <w:r w:rsidRPr="080AC63D">
              <w:rPr>
                <w:rFonts w:asciiTheme="minorHAnsi" w:eastAsia="Arial Narrow" w:hAnsiTheme="minorHAnsi" w:cstheme="minorBidi"/>
                <w:sz w:val="20"/>
                <w:szCs w:val="20"/>
              </w:rPr>
              <w:t xml:space="preserve">Indicative key informant guidelines can be found in </w:t>
            </w:r>
            <w:r w:rsidR="000F3351">
              <w:rPr>
                <w:rFonts w:asciiTheme="minorHAnsi" w:eastAsia="Arial Narrow" w:hAnsiTheme="minorHAnsi" w:cstheme="minorBidi"/>
                <w:b/>
                <w:sz w:val="20"/>
                <w:szCs w:val="20"/>
              </w:rPr>
              <w:t>Annexe</w:t>
            </w:r>
            <w:r w:rsidRPr="080AC63D">
              <w:rPr>
                <w:rFonts w:asciiTheme="minorHAnsi" w:eastAsia="Arial Narrow" w:hAnsiTheme="minorHAnsi" w:cstheme="minorBidi"/>
                <w:b/>
                <w:sz w:val="20"/>
                <w:szCs w:val="20"/>
              </w:rPr>
              <w:t xml:space="preserve"> 9.</w:t>
            </w:r>
            <w:r w:rsidRPr="080AC63D">
              <w:rPr>
                <w:rFonts w:asciiTheme="minorHAnsi" w:eastAsia="Arial Narrow" w:hAnsiTheme="minorHAnsi" w:cstheme="minorBidi"/>
                <w:sz w:val="20"/>
                <w:szCs w:val="20"/>
              </w:rPr>
              <w:t xml:space="preserve"> The guidelines will be adapted in response to issues that emerge from the E- Survey, other issues of interest that emerge out of the document review.</w:t>
            </w:r>
          </w:p>
        </w:tc>
      </w:tr>
      <w:tr w:rsidR="00C640B0" w:rsidRPr="004202A9" w14:paraId="2BA194D1" w14:textId="77777777" w:rsidTr="0073437D">
        <w:trPr>
          <w:trHeight w:val="300"/>
        </w:trPr>
        <w:tc>
          <w:tcPr>
            <w:cnfStyle w:val="001000000000" w:firstRow="0" w:lastRow="0" w:firstColumn="1" w:lastColumn="0" w:oddVBand="0" w:evenVBand="0" w:oddHBand="0" w:evenHBand="0" w:firstRowFirstColumn="0" w:firstRowLastColumn="0" w:lastRowFirstColumn="0" w:lastRowLastColumn="0"/>
            <w:tcW w:w="1695"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5F8E7434" w14:textId="77777777" w:rsidR="00C640B0" w:rsidRPr="004202A9" w:rsidRDefault="00C640B0" w:rsidP="0073437D">
            <w:pPr>
              <w:rPr>
                <w:rFonts w:asciiTheme="minorHAnsi" w:hAnsiTheme="minorHAnsi"/>
                <w:b w:val="0"/>
                <w:bCs w:val="0"/>
                <w:sz w:val="20"/>
                <w:szCs w:val="20"/>
              </w:rPr>
            </w:pPr>
            <w:r w:rsidRPr="004202A9">
              <w:rPr>
                <w:rFonts w:asciiTheme="minorHAnsi" w:eastAsia="Arial Narrow" w:hAnsiTheme="minorHAnsi"/>
                <w:b w:val="0"/>
                <w:bCs w:val="0"/>
                <w:sz w:val="20"/>
                <w:szCs w:val="20"/>
              </w:rPr>
              <w:t>E-Survey</w:t>
            </w:r>
          </w:p>
        </w:tc>
        <w:tc>
          <w:tcPr>
            <w:tcW w:w="4958"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770CD970" w14:textId="77777777" w:rsidR="00C640B0" w:rsidRPr="004202A9"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eastAsia="Arial Narrow" w:hAnsiTheme="minorHAnsi"/>
                <w:sz w:val="20"/>
                <w:szCs w:val="20"/>
              </w:rPr>
            </w:pPr>
            <w:r w:rsidRPr="004202A9">
              <w:rPr>
                <w:rFonts w:asciiTheme="minorHAnsi" w:eastAsia="Arial Narrow" w:hAnsiTheme="minorHAnsi"/>
                <w:sz w:val="20"/>
                <w:szCs w:val="20"/>
              </w:rPr>
              <w:t xml:space="preserve">Using the rubric as the basis, the evaluation team will conduct a short E-Survey remotely with all fisheries agencies in the Pacific. The purpose of the E-survey is to </w:t>
            </w:r>
            <w:r w:rsidRPr="004202A9">
              <w:rPr>
                <w:rFonts w:asciiTheme="minorHAnsi" w:eastAsia="Arial Narrow" w:hAnsiTheme="minorHAnsi"/>
                <w:sz w:val="20"/>
                <w:szCs w:val="20"/>
              </w:rPr>
              <w:lastRenderedPageBreak/>
              <w:t>obtain stakeholders’ perspectives on the key focus areas of the evaluation.</w:t>
            </w:r>
          </w:p>
          <w:p w14:paraId="42FE82C4" w14:textId="77777777" w:rsidR="00C640B0" w:rsidRPr="004202A9"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eastAsia="Arial Narrow" w:hAnsiTheme="minorHAnsi"/>
                <w:sz w:val="20"/>
                <w:szCs w:val="20"/>
              </w:rPr>
            </w:pPr>
            <w:r w:rsidRPr="004202A9">
              <w:rPr>
                <w:rFonts w:asciiTheme="minorHAnsi" w:eastAsia="Arial Narrow" w:hAnsiTheme="minorHAnsi"/>
                <w:sz w:val="20"/>
                <w:szCs w:val="20"/>
              </w:rPr>
              <w:t xml:space="preserve"> </w:t>
            </w:r>
          </w:p>
          <w:p w14:paraId="38EB7464" w14:textId="77777777" w:rsidR="00C640B0" w:rsidRPr="004202A9"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eastAsia="Arial Narrow" w:hAnsiTheme="minorHAnsi"/>
                <w:sz w:val="20"/>
                <w:szCs w:val="20"/>
              </w:rPr>
            </w:pPr>
            <w:r w:rsidRPr="004202A9">
              <w:rPr>
                <w:rFonts w:asciiTheme="minorHAnsi" w:eastAsia="Arial Narrow" w:hAnsiTheme="minorHAnsi"/>
                <w:sz w:val="20"/>
                <w:szCs w:val="20"/>
              </w:rPr>
              <w:t>The survey will complement the other methods of data collection used in the evaluation (interviews, documentation review, and data analysis). In particular, the survey:</w:t>
            </w:r>
          </w:p>
          <w:p w14:paraId="3BDCFC57" w14:textId="77777777" w:rsidR="00C640B0" w:rsidRPr="004202A9" w:rsidRDefault="00C640B0" w:rsidP="00821BD8">
            <w:pPr>
              <w:pStyle w:val="ListParagraph"/>
              <w:numPr>
                <w:ilvl w:val="0"/>
                <w:numId w:val="66"/>
              </w:numPr>
              <w:tabs>
                <w:tab w:val="clear" w:pos="7780"/>
              </w:tabs>
              <w:cnfStyle w:val="000000000000" w:firstRow="0" w:lastRow="0" w:firstColumn="0" w:lastColumn="0" w:oddVBand="0" w:evenVBand="0" w:oddHBand="0" w:evenHBand="0" w:firstRowFirstColumn="0" w:firstRowLastColumn="0" w:lastRowFirstColumn="0" w:lastRowLastColumn="0"/>
              <w:rPr>
                <w:rFonts w:asciiTheme="minorHAnsi" w:eastAsia="Arial Narrow" w:hAnsiTheme="minorHAnsi" w:cstheme="minorHAnsi"/>
                <w:sz w:val="20"/>
                <w:szCs w:val="20"/>
              </w:rPr>
            </w:pPr>
            <w:r w:rsidRPr="004202A9">
              <w:rPr>
                <w:rFonts w:asciiTheme="minorHAnsi" w:eastAsia="Arial Narrow" w:hAnsiTheme="minorHAnsi" w:cstheme="minorHAnsi"/>
                <w:sz w:val="20"/>
                <w:szCs w:val="20"/>
              </w:rPr>
              <w:t>enables the evaluation to reach a wider number of informants;</w:t>
            </w:r>
          </w:p>
          <w:p w14:paraId="27C9718B" w14:textId="77777777" w:rsidR="00C640B0" w:rsidRPr="004202A9" w:rsidRDefault="00C640B0" w:rsidP="00821BD8">
            <w:pPr>
              <w:pStyle w:val="ListParagraph"/>
              <w:numPr>
                <w:ilvl w:val="0"/>
                <w:numId w:val="65"/>
              </w:numPr>
              <w:tabs>
                <w:tab w:val="clear" w:pos="7780"/>
              </w:tabs>
              <w:cnfStyle w:val="000000000000" w:firstRow="0" w:lastRow="0" w:firstColumn="0" w:lastColumn="0" w:oddVBand="0" w:evenVBand="0" w:oddHBand="0" w:evenHBand="0" w:firstRowFirstColumn="0" w:firstRowLastColumn="0" w:lastRowFirstColumn="0" w:lastRowLastColumn="0"/>
              <w:rPr>
                <w:rFonts w:asciiTheme="minorHAnsi" w:eastAsia="Arial Narrow" w:hAnsiTheme="minorHAnsi" w:cstheme="minorHAnsi"/>
                <w:sz w:val="20"/>
                <w:szCs w:val="20"/>
              </w:rPr>
            </w:pPr>
            <w:r w:rsidRPr="004202A9">
              <w:rPr>
                <w:rFonts w:asciiTheme="minorHAnsi" w:eastAsia="Arial Narrow" w:hAnsiTheme="minorHAnsi" w:cstheme="minorHAnsi"/>
                <w:sz w:val="20"/>
                <w:szCs w:val="20"/>
              </w:rPr>
              <w:t>collects information in a consistent manner across different stakeholder groups and allow for aggregation and quantification where appropriate;</w:t>
            </w:r>
          </w:p>
          <w:p w14:paraId="7615B676" w14:textId="77777777" w:rsidR="00C640B0" w:rsidRPr="004202A9" w:rsidRDefault="00C640B0" w:rsidP="00821BD8">
            <w:pPr>
              <w:pStyle w:val="ListParagraph"/>
              <w:numPr>
                <w:ilvl w:val="0"/>
                <w:numId w:val="65"/>
              </w:numPr>
              <w:tabs>
                <w:tab w:val="clear" w:pos="7780"/>
              </w:tabs>
              <w:cnfStyle w:val="000000000000" w:firstRow="0" w:lastRow="0" w:firstColumn="0" w:lastColumn="0" w:oddVBand="0" w:evenVBand="0" w:oddHBand="0" w:evenHBand="0" w:firstRowFirstColumn="0" w:firstRowLastColumn="0" w:lastRowFirstColumn="0" w:lastRowLastColumn="0"/>
              <w:rPr>
                <w:rFonts w:asciiTheme="minorHAnsi" w:eastAsia="Arial Narrow" w:hAnsiTheme="minorHAnsi" w:cstheme="minorHAnsi"/>
                <w:sz w:val="20"/>
                <w:szCs w:val="20"/>
              </w:rPr>
            </w:pPr>
            <w:r w:rsidRPr="004202A9">
              <w:rPr>
                <w:rFonts w:asciiTheme="minorHAnsi" w:eastAsia="Arial Narrow" w:hAnsiTheme="minorHAnsi" w:cstheme="minorHAnsi"/>
                <w:sz w:val="20"/>
                <w:szCs w:val="20"/>
              </w:rPr>
              <w:t>increases opportunities for triangulation of evidence and emerging findings; and</w:t>
            </w:r>
          </w:p>
          <w:p w14:paraId="3A05CC52" w14:textId="77777777" w:rsidR="00C640B0" w:rsidRPr="004202A9" w:rsidRDefault="00C640B0" w:rsidP="00821BD8">
            <w:pPr>
              <w:pStyle w:val="ListParagraph"/>
              <w:numPr>
                <w:ilvl w:val="0"/>
                <w:numId w:val="65"/>
              </w:numPr>
              <w:tabs>
                <w:tab w:val="clear" w:pos="7780"/>
              </w:tabs>
              <w:cnfStyle w:val="000000000000" w:firstRow="0" w:lastRow="0" w:firstColumn="0" w:lastColumn="0" w:oddVBand="0" w:evenVBand="0" w:oddHBand="0" w:evenHBand="0" w:firstRowFirstColumn="0" w:firstRowLastColumn="0" w:lastRowFirstColumn="0" w:lastRowLastColumn="0"/>
              <w:rPr>
                <w:rFonts w:asciiTheme="minorHAnsi" w:eastAsia="Arial Narrow" w:hAnsiTheme="minorHAnsi" w:cstheme="minorHAnsi"/>
                <w:sz w:val="20"/>
                <w:szCs w:val="20"/>
              </w:rPr>
            </w:pPr>
            <w:r w:rsidRPr="004202A9">
              <w:rPr>
                <w:rFonts w:asciiTheme="minorHAnsi" w:eastAsia="Arial Narrow" w:hAnsiTheme="minorHAnsi" w:cstheme="minorHAnsi"/>
                <w:sz w:val="20"/>
                <w:szCs w:val="20"/>
              </w:rPr>
              <w:t>gives respondents an opportunity to contribute to the evaluation in a confidential manner.</w:t>
            </w:r>
          </w:p>
          <w:p w14:paraId="0B7C3E95" w14:textId="77777777" w:rsidR="00C640B0" w:rsidRPr="004202A9"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202A9">
              <w:rPr>
                <w:rFonts w:asciiTheme="minorHAnsi" w:eastAsia="Arial Narrow" w:hAnsiTheme="minorHAnsi"/>
                <w:sz w:val="20"/>
                <w:szCs w:val="20"/>
              </w:rPr>
              <w:t xml:space="preserve"> </w:t>
            </w:r>
          </w:p>
        </w:tc>
        <w:tc>
          <w:tcPr>
            <w:tcW w:w="2347" w:type="dxa"/>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387996F9" w14:textId="07AABACE" w:rsidR="00C640B0" w:rsidRPr="004202A9"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202A9">
              <w:rPr>
                <w:rFonts w:asciiTheme="minorHAnsi" w:eastAsia="Arial Narrow" w:hAnsiTheme="minorHAnsi"/>
                <w:sz w:val="20"/>
                <w:szCs w:val="20"/>
              </w:rPr>
              <w:lastRenderedPageBreak/>
              <w:t xml:space="preserve">The draft survey tool can be found in </w:t>
            </w:r>
            <w:r w:rsidR="000F3351">
              <w:rPr>
                <w:rFonts w:asciiTheme="minorHAnsi" w:eastAsia="Arial Narrow" w:hAnsiTheme="minorHAnsi"/>
                <w:b/>
                <w:bCs/>
                <w:sz w:val="20"/>
                <w:szCs w:val="20"/>
              </w:rPr>
              <w:t>Annexe</w:t>
            </w:r>
            <w:r w:rsidRPr="004202A9">
              <w:rPr>
                <w:rFonts w:asciiTheme="minorHAnsi" w:eastAsia="Arial Narrow" w:hAnsiTheme="minorHAnsi"/>
                <w:b/>
                <w:bCs/>
                <w:sz w:val="20"/>
                <w:szCs w:val="20"/>
              </w:rPr>
              <w:t xml:space="preserve"> 8</w:t>
            </w:r>
          </w:p>
        </w:tc>
      </w:tr>
    </w:tbl>
    <w:p w14:paraId="70D6DEE7" w14:textId="77777777" w:rsidR="00C640B0" w:rsidRPr="00B32E86" w:rsidRDefault="00C640B0" w:rsidP="00C640B0">
      <w:pPr>
        <w:spacing w:line="259" w:lineRule="auto"/>
        <w:rPr>
          <w:rFonts w:ascii="Oswald Light" w:eastAsia="Oswald Light" w:hAnsi="Oswald Light" w:cs="Oswald Light"/>
          <w:color w:val="B7432A"/>
        </w:rPr>
      </w:pPr>
    </w:p>
    <w:p w14:paraId="7E3240F8" w14:textId="77777777" w:rsidR="00C640B0" w:rsidRPr="004202A9" w:rsidRDefault="00C640B0" w:rsidP="00FA2BF4">
      <w:pPr>
        <w:pStyle w:val="Heading4"/>
      </w:pPr>
      <w:r w:rsidRPr="004202A9">
        <w:t>Data analysis</w:t>
      </w:r>
    </w:p>
    <w:p w14:paraId="68F37070" w14:textId="3FAA01E0" w:rsidR="00C640B0" w:rsidRPr="00EB6523" w:rsidRDefault="00C640B0" w:rsidP="00C640B0">
      <w:pPr>
        <w:spacing w:before="280" w:after="280"/>
        <w:rPr>
          <w:rFonts w:asciiTheme="minorHAnsi" w:eastAsia="Calibri" w:hAnsiTheme="minorHAnsi" w:cstheme="minorBidi"/>
        </w:rPr>
      </w:pPr>
      <w:r w:rsidRPr="080AC63D">
        <w:rPr>
          <w:rFonts w:asciiTheme="minorHAnsi" w:eastAsia="Calibri" w:hAnsiTheme="minorHAnsi" w:cstheme="minorBidi"/>
        </w:rPr>
        <w:t>The evaluation will triangulate different sources of information to verify and substantiate judgements and assessments (</w:t>
      </w:r>
      <w:r w:rsidRPr="080AC63D">
        <w:rPr>
          <w:rFonts w:asciiTheme="minorHAnsi" w:eastAsia="Calibri" w:hAnsiTheme="minorHAnsi" w:cstheme="minorBidi"/>
        </w:rPr>
        <w:fldChar w:fldCharType="begin"/>
      </w:r>
      <w:r w:rsidRPr="080AC63D">
        <w:rPr>
          <w:rFonts w:asciiTheme="minorHAnsi" w:eastAsia="Calibri" w:hAnsiTheme="minorHAnsi" w:cstheme="minorBidi"/>
        </w:rPr>
        <w:instrText xml:space="preserve"> REF _Ref145599125 \h  \* MERGEFORMAT </w:instrText>
      </w:r>
      <w:r w:rsidRPr="080AC63D">
        <w:rPr>
          <w:rFonts w:asciiTheme="minorHAnsi" w:eastAsia="Calibri" w:hAnsiTheme="minorHAnsi" w:cstheme="minorBidi"/>
        </w:rPr>
      </w:r>
      <w:r w:rsidRPr="080AC63D">
        <w:rPr>
          <w:rFonts w:asciiTheme="minorHAnsi" w:eastAsia="Calibri" w:hAnsiTheme="minorHAnsi" w:cstheme="minorBidi"/>
        </w:rPr>
        <w:fldChar w:fldCharType="separate"/>
      </w:r>
      <w:r w:rsidR="00FC67EE" w:rsidRPr="00FC67EE">
        <w:rPr>
          <w:rFonts w:asciiTheme="minorHAnsi" w:hAnsiTheme="minorHAnsi" w:cstheme="minorBidi"/>
        </w:rPr>
        <w:t xml:space="preserve">Figure </w:t>
      </w:r>
      <w:r w:rsidRPr="080AC63D">
        <w:rPr>
          <w:rFonts w:asciiTheme="minorHAnsi" w:eastAsia="Calibri" w:hAnsiTheme="minorHAnsi" w:cstheme="minorBidi"/>
        </w:rPr>
        <w:fldChar w:fldCharType="end"/>
      </w:r>
      <w:r w:rsidRPr="080AC63D">
        <w:rPr>
          <w:rFonts w:asciiTheme="minorHAnsi" w:eastAsia="Calibri" w:hAnsiTheme="minorHAnsi" w:cstheme="minorBidi"/>
        </w:rPr>
        <w:t>). Triangulation is also integrated into both the E-survey and interview questions/guidelines. The use of a framework of common questions to identify questions/topics will make it easier to triangulate interview evidence from different partners.</w:t>
      </w:r>
    </w:p>
    <w:p w14:paraId="5E2D6CC0" w14:textId="10789C10" w:rsidR="00C640B0" w:rsidRPr="00B32E86" w:rsidRDefault="00C640B0" w:rsidP="00C640B0">
      <w:pPr>
        <w:pStyle w:val="Caption"/>
        <w:rPr>
          <w:rFonts w:ascii="Calibri" w:eastAsia="Calibri" w:hAnsi="Calibri" w:cs="Calibri"/>
          <w:sz w:val="22"/>
          <w:szCs w:val="22"/>
        </w:rPr>
      </w:pPr>
      <w:bookmarkStart w:id="176" w:name="_Ref145599125"/>
      <w:r>
        <w:t xml:space="preserve">Figure </w:t>
      </w:r>
      <w:r>
        <w:fldChar w:fldCharType="begin"/>
      </w:r>
      <w:r>
        <w:instrText xml:space="preserve"> SEQ Figure \* ARABIC </w:instrText>
      </w:r>
      <w:r>
        <w:fldChar w:fldCharType="separate"/>
      </w:r>
      <w:r w:rsidR="00FC67EE">
        <w:rPr>
          <w:noProof/>
        </w:rPr>
        <w:t>6</w:t>
      </w:r>
      <w:r>
        <w:fldChar w:fldCharType="end"/>
      </w:r>
      <w:bookmarkEnd w:id="176"/>
      <w:r>
        <w:t xml:space="preserve">: </w:t>
      </w:r>
      <w:r w:rsidR="00883C48" w:rsidRPr="00883C48">
        <w:t>The evaluation applied triangulation at every stage to strengthen the reliability of findings. In the inception phase, triangulation was built into the evaluation design through the evaluation matrix, methodology, tools, and selection of data sources and indicators. During the data collection phase, evidence was gathered from multiple sources to enable triangulation across interviews, documents, and quantitative data. In the analysis and reporting phase, triangulation was applied through systematic processing and comparison of data using qualitative analysis tools. Together, these steps ensured consistent validation and strengthened the credibility of the evaluation results.</w:t>
      </w:r>
    </w:p>
    <w:p w14:paraId="0FB1E974" w14:textId="77777777" w:rsidR="00C640B0" w:rsidRPr="00B32E86" w:rsidRDefault="00C640B0" w:rsidP="00C640B0">
      <w:pPr>
        <w:spacing w:before="280" w:after="280"/>
      </w:pPr>
      <w:r>
        <w:rPr>
          <w:noProof/>
        </w:rPr>
        <w:drawing>
          <wp:inline distT="0" distB="0" distL="0" distR="0" wp14:anchorId="74EA010C" wp14:editId="6F468DA7">
            <wp:extent cx="5581650" cy="1238250"/>
            <wp:effectExtent l="0" t="0" r="0" b="0"/>
            <wp:docPr id="2048569" name="Picture 2048569" descr="See text above for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569" name="Picture 2048569" descr="See text above for image description"/>
                    <pic:cNvPicPr/>
                  </pic:nvPicPr>
                  <pic:blipFill>
                    <a:blip r:embed="rId86">
                      <a:extLst>
                        <a:ext uri="{28A0092B-C50C-407E-A947-70E740481C1C}">
                          <a14:useLocalDpi xmlns:a14="http://schemas.microsoft.com/office/drawing/2010/main" val="0"/>
                        </a:ext>
                      </a:extLst>
                    </a:blip>
                    <a:stretch>
                      <a:fillRect/>
                    </a:stretch>
                  </pic:blipFill>
                  <pic:spPr>
                    <a:xfrm>
                      <a:off x="0" y="0"/>
                      <a:ext cx="5581650" cy="1238250"/>
                    </a:xfrm>
                    <a:prstGeom prst="rect">
                      <a:avLst/>
                    </a:prstGeom>
                  </pic:spPr>
                </pic:pic>
              </a:graphicData>
            </a:graphic>
          </wp:inline>
        </w:drawing>
      </w:r>
    </w:p>
    <w:p w14:paraId="3755C99A" w14:textId="77777777" w:rsidR="00C640B0" w:rsidRDefault="00C640B0" w:rsidP="00C640B0">
      <w:pPr>
        <w:spacing w:before="280" w:after="280" w:line="259" w:lineRule="auto"/>
        <w:rPr>
          <w:rFonts w:ascii="Calibri" w:eastAsia="Calibri" w:hAnsi="Calibri" w:cs="Calibri"/>
        </w:rPr>
      </w:pPr>
      <w:r w:rsidRPr="001278F2">
        <w:rPr>
          <w:rFonts w:ascii="Calibri" w:eastAsia="Calibri" w:hAnsi="Calibri" w:cs="Calibri"/>
        </w:rPr>
        <w:t>Quantitative data analysis will be utilised specifically to examine financial and survey results, providing insights that facilitate responses to the evaluation question, which will typically be reported using descriptive statistics. Where applicable, quantitative data analysis will be disaggregated by gender. Moreover, quantitative data analysis will be triangulated with evidence gathered from semi-structured interviews, and the review of documentation to ensure accurate interpretation of results.</w:t>
      </w:r>
    </w:p>
    <w:p w14:paraId="7123F734" w14:textId="77777777" w:rsidR="00C640B0" w:rsidRDefault="00C640B0" w:rsidP="00C640B0">
      <w:pPr>
        <w:spacing w:before="280" w:after="280" w:line="259" w:lineRule="auto"/>
        <w:rPr>
          <w:rFonts w:ascii="Calibri" w:eastAsia="Calibri" w:hAnsi="Calibri" w:cs="Calibri"/>
        </w:rPr>
      </w:pPr>
      <w:r w:rsidRPr="0077570A">
        <w:rPr>
          <w:rFonts w:ascii="Calibri" w:eastAsia="Calibri" w:hAnsi="Calibri" w:cs="Calibri"/>
        </w:rPr>
        <w:t>Qualitative analysis will be utilised to gather insights from the interviews (in addition to findings reported in the document review). The descriptive data will be systematically coded and then analysed to identify recurring themes, patterns, and relationships. Qualitative findings will be triangulated with other data-gathering approaches as identified in the Evaluation Matrix.</w:t>
      </w:r>
    </w:p>
    <w:p w14:paraId="0BCF7311" w14:textId="77777777" w:rsidR="00C640B0" w:rsidRPr="00B32E86" w:rsidRDefault="00C640B0" w:rsidP="00C640B0">
      <w:pPr>
        <w:spacing w:before="280" w:after="280" w:line="259" w:lineRule="auto"/>
        <w:rPr>
          <w:rFonts w:ascii="Calibri" w:eastAsia="Calibri" w:hAnsi="Calibri" w:cs="Calibri"/>
        </w:rPr>
      </w:pPr>
      <w:r w:rsidRPr="53AEA9E3">
        <w:rPr>
          <w:rFonts w:ascii="Calibri" w:eastAsia="Calibri" w:hAnsi="Calibri" w:cs="Calibri"/>
        </w:rPr>
        <w:lastRenderedPageBreak/>
        <w:t>During the data collection phase, evidence generated from different sources will be systematically recorded against the questions and sub-questions of the evaluation matrix. This ensures that all evidence will be duly considered when synthesi</w:t>
      </w:r>
      <w:r>
        <w:rPr>
          <w:rFonts w:ascii="Calibri" w:eastAsia="Calibri" w:hAnsi="Calibri" w:cs="Calibri"/>
        </w:rPr>
        <w:t>si</w:t>
      </w:r>
      <w:r w:rsidRPr="53AEA9E3">
        <w:rPr>
          <w:rFonts w:ascii="Calibri" w:eastAsia="Calibri" w:hAnsi="Calibri" w:cs="Calibri"/>
        </w:rPr>
        <w:t>ng the responses to evaluation questions and sub-questions. Validation will be integrated throughout the evaluation process. It will take place through dialogue with key partners, with findings tested, nuanced and discussed with them throughout the evaluative process, and particularly through the</w:t>
      </w:r>
      <w:r>
        <w:rPr>
          <w:rFonts w:ascii="Calibri" w:eastAsia="Calibri" w:hAnsi="Calibri" w:cs="Calibri"/>
        </w:rPr>
        <w:t xml:space="preserve"> presentation of headline findings and the aide memoire</w:t>
      </w:r>
      <w:r w:rsidRPr="53AEA9E3">
        <w:rPr>
          <w:rFonts w:ascii="Calibri" w:eastAsia="Calibri" w:hAnsi="Calibri" w:cs="Calibri"/>
        </w:rPr>
        <w:t xml:space="preserve"> signalled in the workplan (below).</w:t>
      </w:r>
      <w:r>
        <w:rPr>
          <w:rFonts w:ascii="Calibri" w:eastAsia="Calibri" w:hAnsi="Calibri" w:cs="Calibri"/>
        </w:rPr>
        <w:t xml:space="preserve"> </w:t>
      </w:r>
      <w:r w:rsidRPr="53AEA9E3">
        <w:rPr>
          <w:rFonts w:ascii="Calibri" w:eastAsia="Calibri" w:hAnsi="Calibri" w:cs="Calibri"/>
        </w:rPr>
        <w:t xml:space="preserve">The strategic objective validation meetings at </w:t>
      </w:r>
      <w:r>
        <w:rPr>
          <w:rFonts w:ascii="Calibri" w:eastAsia="Calibri" w:hAnsi="Calibri" w:cs="Calibri"/>
        </w:rPr>
        <w:t xml:space="preserve">the </w:t>
      </w:r>
      <w:r w:rsidRPr="53AEA9E3">
        <w:rPr>
          <w:rFonts w:ascii="Calibri" w:eastAsia="Calibri" w:hAnsi="Calibri" w:cs="Calibri"/>
        </w:rPr>
        <w:t>end of data collection, the debriefing and the remote presentation of findings will further allow for triangulation and validation of findings.</w:t>
      </w:r>
    </w:p>
    <w:p w14:paraId="307DF951" w14:textId="4AA5E3D3" w:rsidR="00C640B0" w:rsidRDefault="00C640B0" w:rsidP="00C640B0">
      <w:pPr>
        <w:spacing w:before="280" w:after="280" w:line="259" w:lineRule="auto"/>
        <w:rPr>
          <w:rFonts w:ascii="Calibri" w:eastAsia="Calibri" w:hAnsi="Calibri" w:cs="Calibri"/>
        </w:rPr>
      </w:pPr>
      <w:r>
        <w:rPr>
          <w:rFonts w:ascii="Calibri" w:eastAsia="Calibri" w:hAnsi="Calibri" w:cs="Calibri"/>
        </w:rPr>
        <w:t>Following the data collection phase, an evidence matrix will be compiled to provide a cross-referenced analysis of the various sub-questions and indicators, drawing on the evaluation matrix (listed above) and framed by the rubric (</w:t>
      </w:r>
      <w:r w:rsidR="000F3351">
        <w:rPr>
          <w:rFonts w:ascii="Calibri" w:eastAsia="Calibri" w:hAnsi="Calibri" w:cs="Calibri"/>
        </w:rPr>
        <w:t>Annexe</w:t>
      </w:r>
      <w:r>
        <w:rPr>
          <w:rFonts w:ascii="Calibri" w:eastAsia="Calibri" w:hAnsi="Calibri" w:cs="Calibri"/>
        </w:rPr>
        <w:t xml:space="preserve"> 7). The rubric will assist in organising the evidence and ensuring that evidence is assessed in accordance with the criteria co-created by the evaluation team and the PFO. Additionally, the rubric also underpins the process of making evaluative judgements from the evidence</w:t>
      </w:r>
      <w:r w:rsidRPr="53AEA9E3">
        <w:rPr>
          <w:rFonts w:ascii="Calibri" w:eastAsia="Calibri" w:hAnsi="Calibri" w:cs="Calibri"/>
        </w:rPr>
        <w:t xml:space="preserve">.  </w:t>
      </w:r>
    </w:p>
    <w:p w14:paraId="2A1A4E62" w14:textId="3730157E" w:rsidR="00C640B0" w:rsidRDefault="00C640B0" w:rsidP="00E47B86">
      <w:pPr>
        <w:spacing w:before="280" w:after="280" w:line="259" w:lineRule="auto"/>
        <w:rPr>
          <w:rFonts w:ascii="Calibri" w:eastAsia="Calibri" w:hAnsi="Calibri" w:cs="Calibri"/>
        </w:rPr>
      </w:pPr>
      <w:r>
        <w:rPr>
          <w:rFonts w:ascii="Calibri" w:eastAsia="Calibri" w:hAnsi="Calibri" w:cs="Calibri"/>
        </w:rPr>
        <w:t>The compilation of an evidence matrix</w:t>
      </w:r>
      <w:r w:rsidRPr="53AEA9E3">
        <w:rPr>
          <w:rFonts w:ascii="Calibri" w:eastAsia="Calibri" w:hAnsi="Calibri" w:cs="Calibri"/>
        </w:rPr>
        <w:t xml:space="preserve"> will ensure that the information is collected</w:t>
      </w:r>
      <w:r>
        <w:rPr>
          <w:rFonts w:ascii="Calibri" w:eastAsia="Calibri" w:hAnsi="Calibri" w:cs="Calibri"/>
        </w:rPr>
        <w:t>,</w:t>
      </w:r>
      <w:r w:rsidRPr="53AEA9E3">
        <w:rPr>
          <w:rFonts w:ascii="Calibri" w:eastAsia="Calibri" w:hAnsi="Calibri" w:cs="Calibri"/>
        </w:rPr>
        <w:t xml:space="preserve"> cross-checked and triangulated (i.e. the cross-confirmation of findings and conclusions through the various sources – documentary review, interviews, focus groups, survey, etc.).  A summary for each evaluation question will form the basis for the drafting of the evaluation results section of the final report. All team members will be involved in the verification of data and in the articulation of main findings, conclusions and recommendations. Remote team meetings will focus on data analysis sharing. This will also facilitate the triangulation of sources and enhance the analytical process by ensuring that it can benefit from the different expertise brought by each team member.</w:t>
      </w:r>
      <w:r w:rsidRPr="00DA0EBF">
        <w:rPr>
          <w:rFonts w:ascii="Calibri" w:eastAsia="Calibri" w:hAnsi="Calibri" w:cs="Calibri"/>
        </w:rPr>
        <w:t xml:space="preserve"> </w:t>
      </w:r>
    </w:p>
    <w:p w14:paraId="2858DF9C" w14:textId="4E19191F" w:rsidR="00E47B86" w:rsidRDefault="00E47B86" w:rsidP="00E47B86">
      <w:pPr>
        <w:spacing w:before="280" w:after="280" w:line="259" w:lineRule="auto"/>
        <w:rPr>
          <w:rFonts w:ascii="Calibri" w:eastAsia="Calibri" w:hAnsi="Calibri" w:cs="Calibri"/>
        </w:rPr>
      </w:pPr>
    </w:p>
    <w:p w14:paraId="7F78887D" w14:textId="6C320393" w:rsidR="00E47B86" w:rsidRDefault="00E47B86" w:rsidP="00E47B86">
      <w:pPr>
        <w:tabs>
          <w:tab w:val="clear" w:pos="7780"/>
        </w:tabs>
        <w:rPr>
          <w:rFonts w:ascii="Calibri" w:eastAsia="Calibri" w:hAnsi="Calibri" w:cs="Calibri"/>
        </w:rPr>
      </w:pPr>
    </w:p>
    <w:p w14:paraId="213379D2" w14:textId="77777777" w:rsidR="00E47B86" w:rsidRDefault="00E47B86">
      <w:pPr>
        <w:tabs>
          <w:tab w:val="clear" w:pos="7780"/>
        </w:tabs>
        <w:rPr>
          <w:rFonts w:ascii="Calibri" w:eastAsia="Calibri" w:hAnsi="Calibri" w:cs="Calibri"/>
        </w:rPr>
      </w:pPr>
      <w:r>
        <w:rPr>
          <w:rFonts w:ascii="Calibri" w:eastAsia="Calibri" w:hAnsi="Calibri" w:cs="Calibri"/>
        </w:rPr>
        <w:br w:type="page"/>
      </w:r>
    </w:p>
    <w:p w14:paraId="426B10D8" w14:textId="383B6F9B" w:rsidR="00C640B0" w:rsidRPr="00FA2BF4" w:rsidRDefault="00C640B0" w:rsidP="00FA2BF4">
      <w:pPr>
        <w:pStyle w:val="Heading4"/>
      </w:pPr>
      <w:r w:rsidRPr="00DA0EBF">
        <w:lastRenderedPageBreak/>
        <w:t>Timing</w:t>
      </w:r>
    </w:p>
    <w:p w14:paraId="20720E3B" w14:textId="7816D540" w:rsidR="00C640B0" w:rsidRPr="0079000E" w:rsidRDefault="00C640B0" w:rsidP="00C640B0">
      <w:pPr>
        <w:pBdr>
          <w:top w:val="nil"/>
          <w:left w:val="nil"/>
          <w:bottom w:val="nil"/>
          <w:right w:val="nil"/>
          <w:between w:val="nil"/>
        </w:pBdr>
        <w:rPr>
          <w:rFonts w:asciiTheme="minorHAnsi" w:eastAsia="Calibri" w:hAnsiTheme="minorHAnsi" w:cstheme="minorBidi"/>
        </w:rPr>
      </w:pPr>
      <w:r w:rsidRPr="080AC63D">
        <w:rPr>
          <w:rFonts w:asciiTheme="minorHAnsi" w:eastAsia="Calibri" w:hAnsiTheme="minorHAnsi" w:cstheme="minorBidi"/>
        </w:rPr>
        <w:fldChar w:fldCharType="begin"/>
      </w:r>
      <w:r w:rsidRPr="080AC63D">
        <w:rPr>
          <w:rFonts w:asciiTheme="minorHAnsi" w:eastAsia="Calibri" w:hAnsiTheme="minorHAnsi" w:cstheme="minorBidi"/>
        </w:rPr>
        <w:instrText xml:space="preserve"> REF _Ref145596344 \h  \* MERGEFORMAT </w:instrText>
      </w:r>
      <w:r w:rsidRPr="080AC63D">
        <w:rPr>
          <w:rFonts w:asciiTheme="minorHAnsi" w:eastAsia="Calibri" w:hAnsiTheme="minorHAnsi" w:cstheme="minorBidi"/>
        </w:rPr>
      </w:r>
      <w:r w:rsidRPr="080AC63D">
        <w:rPr>
          <w:rFonts w:asciiTheme="minorHAnsi" w:eastAsia="Calibri" w:hAnsiTheme="minorHAnsi" w:cstheme="minorBidi"/>
        </w:rPr>
        <w:fldChar w:fldCharType="separate"/>
      </w:r>
      <w:r w:rsidR="00FC67EE" w:rsidRPr="00FC67EE">
        <w:rPr>
          <w:rFonts w:asciiTheme="minorHAnsi" w:hAnsiTheme="minorHAnsi" w:cstheme="minorBidi"/>
        </w:rPr>
        <w:t xml:space="preserve">Figure </w:t>
      </w:r>
      <w:r w:rsidRPr="080AC63D">
        <w:rPr>
          <w:rFonts w:asciiTheme="minorHAnsi" w:eastAsia="Calibri" w:hAnsiTheme="minorHAnsi" w:cstheme="minorBidi"/>
        </w:rPr>
        <w:fldChar w:fldCharType="end"/>
      </w:r>
      <w:r w:rsidRPr="080AC63D">
        <w:rPr>
          <w:rFonts w:asciiTheme="minorHAnsi" w:eastAsia="Calibri" w:hAnsiTheme="minorHAnsi" w:cstheme="minorBidi"/>
        </w:rPr>
        <w:t xml:space="preserve"> provides an illustration of the sequencing and interlinkages between the different aspects of the evaluation (</w:t>
      </w:r>
      <w:r w:rsidR="000F3351">
        <w:rPr>
          <w:rFonts w:asciiTheme="minorHAnsi" w:eastAsia="Calibri" w:hAnsiTheme="minorHAnsi" w:cstheme="minorBidi"/>
          <w:b/>
        </w:rPr>
        <w:t>Annexe</w:t>
      </w:r>
      <w:r w:rsidRPr="080AC63D">
        <w:rPr>
          <w:rFonts w:asciiTheme="minorHAnsi" w:eastAsia="Calibri" w:hAnsiTheme="minorHAnsi" w:cstheme="minorBidi"/>
          <w:b/>
        </w:rPr>
        <w:t xml:space="preserve"> 2</w:t>
      </w:r>
      <w:r w:rsidRPr="080AC63D">
        <w:rPr>
          <w:rFonts w:asciiTheme="minorHAnsi" w:eastAsia="Calibri" w:hAnsiTheme="minorHAnsi" w:cstheme="minorBidi"/>
        </w:rPr>
        <w:t xml:space="preserve"> provides a more detailed workplan).</w:t>
      </w:r>
    </w:p>
    <w:p w14:paraId="5298B48A" w14:textId="77777777" w:rsidR="00C640B0" w:rsidRDefault="00C640B0" w:rsidP="00C640B0">
      <w:pPr>
        <w:pBdr>
          <w:top w:val="nil"/>
          <w:left w:val="nil"/>
          <w:bottom w:val="nil"/>
          <w:right w:val="nil"/>
          <w:between w:val="nil"/>
        </w:pBdr>
        <w:rPr>
          <w:rFonts w:ascii="Calibri" w:eastAsia="Calibri" w:hAnsi="Calibri" w:cs="Calibri"/>
        </w:rPr>
      </w:pPr>
    </w:p>
    <w:p w14:paraId="4752FA6F" w14:textId="7A4EDA48" w:rsidR="00C640B0" w:rsidRDefault="00C640B0" w:rsidP="00C640B0">
      <w:pPr>
        <w:pStyle w:val="Caption"/>
      </w:pPr>
      <w:bookmarkStart w:id="177" w:name="_Ref145596344"/>
      <w:r>
        <w:t xml:space="preserve">Figure </w:t>
      </w:r>
      <w:r>
        <w:fldChar w:fldCharType="begin"/>
      </w:r>
      <w:r>
        <w:instrText xml:space="preserve"> SEQ Figure \* ARABIC </w:instrText>
      </w:r>
      <w:r>
        <w:fldChar w:fldCharType="separate"/>
      </w:r>
      <w:r w:rsidR="00FC67EE">
        <w:rPr>
          <w:noProof/>
        </w:rPr>
        <w:t>7</w:t>
      </w:r>
      <w:r>
        <w:fldChar w:fldCharType="end"/>
      </w:r>
      <w:bookmarkEnd w:id="177"/>
      <w:r>
        <w:t xml:space="preserve">: </w:t>
      </w:r>
      <w:r w:rsidR="00E47B86" w:rsidRPr="00E47B86">
        <w:t>The evaluation process ran from Jan 25 to Jun 25, beginning with desk</w:t>
      </w:r>
      <w:r w:rsidR="00E47B86" w:rsidRPr="00E47B86">
        <w:rPr>
          <w:rFonts w:ascii="Cambria Math" w:hAnsi="Cambria Math" w:cs="Cambria Math"/>
        </w:rPr>
        <w:t>‑</w:t>
      </w:r>
      <w:r w:rsidR="00E47B86" w:rsidRPr="00E47B86">
        <w:t>based work including preparation of the Draft Evaluation Plan (Jan</w:t>
      </w:r>
      <w:r w:rsidR="00E47B86" w:rsidRPr="00E47B86">
        <w:rPr>
          <w:rFonts w:ascii="Calibri" w:hAnsi="Calibri" w:cs="Calibri"/>
        </w:rPr>
        <w:t> </w:t>
      </w:r>
      <w:r w:rsidR="00E47B86" w:rsidRPr="00E47B86">
        <w:t>25), plan revision (Feb</w:t>
      </w:r>
      <w:r w:rsidR="00E47B86" w:rsidRPr="00E47B86">
        <w:rPr>
          <w:rFonts w:ascii="Calibri" w:hAnsi="Calibri" w:cs="Calibri"/>
        </w:rPr>
        <w:t> </w:t>
      </w:r>
      <w:r w:rsidR="00E47B86" w:rsidRPr="00E47B86">
        <w:t>25), and co</w:t>
      </w:r>
      <w:r w:rsidR="00E47B86" w:rsidRPr="00E47B86">
        <w:rPr>
          <w:rFonts w:ascii="Cambria Math" w:hAnsi="Cambria Math" w:cs="Cambria Math"/>
        </w:rPr>
        <w:t>‑</w:t>
      </w:r>
      <w:r w:rsidR="00E47B86" w:rsidRPr="00E47B86">
        <w:t>creation of the evaluation rubric. This was followed by field</w:t>
      </w:r>
      <w:r w:rsidR="00E47B86" w:rsidRPr="00E47B86">
        <w:rPr>
          <w:rFonts w:ascii="Cambria Math" w:hAnsi="Cambria Math" w:cs="Cambria Math"/>
        </w:rPr>
        <w:t>‑</w:t>
      </w:r>
      <w:r w:rsidR="00E47B86" w:rsidRPr="00E47B86">
        <w:t>based activities, including consultations with DFAT Canberra and FFA Honiara (Mar</w:t>
      </w:r>
      <w:r w:rsidR="00E47B86" w:rsidRPr="00E47B86">
        <w:rPr>
          <w:rFonts w:ascii="Calibri" w:hAnsi="Calibri" w:cs="Calibri"/>
        </w:rPr>
        <w:t> </w:t>
      </w:r>
      <w:r w:rsidR="00E47B86" w:rsidRPr="00E47B86">
        <w:t>25), preparation and distribution of the partner e</w:t>
      </w:r>
      <w:r w:rsidR="00E47B86" w:rsidRPr="00E47B86">
        <w:rPr>
          <w:rFonts w:ascii="Cambria Math" w:hAnsi="Cambria Math" w:cs="Cambria Math"/>
        </w:rPr>
        <w:t>‑</w:t>
      </w:r>
      <w:r w:rsidR="00E47B86" w:rsidRPr="00E47B86">
        <w:t>survey, and structured online interviews. Key milestones included submission of the draft Evaluation Plan (Feb</w:t>
      </w:r>
      <w:r w:rsidR="00E47B86" w:rsidRPr="00E47B86">
        <w:rPr>
          <w:rFonts w:ascii="Calibri" w:hAnsi="Calibri" w:cs="Calibri"/>
        </w:rPr>
        <w:t> </w:t>
      </w:r>
      <w:r w:rsidR="00E47B86" w:rsidRPr="00E47B86">
        <w:t>25), finalisation of the evaluation plan (Mar 25), and headline findings presented to PFO in Apr 25. The process concluded with reporting, including the Draft Evaluation Report in May 25, revisions in Jun 25, and final submission and stakeholder presentation in late Jun 25.</w:t>
      </w:r>
    </w:p>
    <w:p w14:paraId="555E482B" w14:textId="77777777" w:rsidR="00C640B0" w:rsidRDefault="00C640B0" w:rsidP="00C640B0">
      <w:pPr>
        <w:pStyle w:val="Caption"/>
        <w:jc w:val="center"/>
      </w:pPr>
      <w:r>
        <w:rPr>
          <w:noProof/>
        </w:rPr>
        <w:drawing>
          <wp:inline distT="0" distB="0" distL="0" distR="0" wp14:anchorId="6CFDA52E" wp14:editId="05EBCD2C">
            <wp:extent cx="5727700" cy="3243580"/>
            <wp:effectExtent l="0" t="0" r="0" b="0"/>
            <wp:docPr id="1165682418" name="Picture 7" descr="See text above for image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682418" name="Picture 7" descr="See text above for image description"/>
                    <pic:cNvPicPr/>
                  </pic:nvPicPr>
                  <pic:blipFill>
                    <a:blip r:embed="rId87">
                      <a:extLst>
                        <a:ext uri="{28A0092B-C50C-407E-A947-70E740481C1C}">
                          <a14:useLocalDpi xmlns:a14="http://schemas.microsoft.com/office/drawing/2010/main" val="0"/>
                        </a:ext>
                      </a:extLst>
                    </a:blip>
                    <a:stretch>
                      <a:fillRect/>
                    </a:stretch>
                  </pic:blipFill>
                  <pic:spPr>
                    <a:xfrm>
                      <a:off x="0" y="0"/>
                      <a:ext cx="5727700" cy="3243580"/>
                    </a:xfrm>
                    <a:prstGeom prst="rect">
                      <a:avLst/>
                    </a:prstGeom>
                  </pic:spPr>
                </pic:pic>
              </a:graphicData>
            </a:graphic>
          </wp:inline>
        </w:drawing>
      </w:r>
    </w:p>
    <w:p w14:paraId="1D037D47" w14:textId="77777777" w:rsidR="00C640B0" w:rsidRDefault="00C640B0" w:rsidP="00FA2BF4">
      <w:pPr>
        <w:pStyle w:val="Heading4"/>
      </w:pPr>
      <w:r w:rsidRPr="009D2CE1">
        <w:t>GEDSI</w:t>
      </w:r>
    </w:p>
    <w:p w14:paraId="29E9D699" w14:textId="77777777" w:rsidR="00C640B0" w:rsidRPr="009D2CE1" w:rsidRDefault="00C640B0" w:rsidP="008E1333">
      <w:pPr>
        <w:pStyle w:val="Subheading"/>
      </w:pPr>
    </w:p>
    <w:p w14:paraId="0ADA8234" w14:textId="77777777" w:rsidR="00C640B0" w:rsidRPr="00B32E86" w:rsidRDefault="00C640B0" w:rsidP="00C640B0">
      <w:pPr>
        <w:spacing w:after="182"/>
        <w:rPr>
          <w:rFonts w:ascii="Calibri" w:eastAsia="Calibri" w:hAnsi="Calibri" w:cs="Calibri"/>
          <w:color w:val="000000"/>
        </w:rPr>
      </w:pPr>
      <w:r w:rsidRPr="080AC63D">
        <w:rPr>
          <w:rFonts w:ascii="Calibri" w:eastAsia="Calibri" w:hAnsi="Calibri" w:cs="Calibri"/>
        </w:rPr>
        <w:t>We note the importance of paying attention and analysis to GEDSI as a component of this evaluation. As signalled in the evaluation matrix we will ensure a focus on GEDSI in our approach across the evaluation, including:</w:t>
      </w:r>
    </w:p>
    <w:p w14:paraId="7BC1B777" w14:textId="77777777" w:rsidR="00C640B0" w:rsidRPr="00B32E86" w:rsidRDefault="00C640B0" w:rsidP="00821BD8">
      <w:pPr>
        <w:numPr>
          <w:ilvl w:val="0"/>
          <w:numId w:val="54"/>
        </w:numPr>
        <w:pBdr>
          <w:top w:val="nil"/>
          <w:left w:val="nil"/>
          <w:bottom w:val="nil"/>
          <w:right w:val="nil"/>
          <w:between w:val="nil"/>
        </w:pBdr>
        <w:tabs>
          <w:tab w:val="clear" w:pos="7780"/>
        </w:tabs>
        <w:spacing w:after="182"/>
        <w:rPr>
          <w:rFonts w:ascii="Calibri" w:eastAsia="Calibri" w:hAnsi="Calibri" w:cs="Calibri"/>
          <w:color w:val="000000"/>
        </w:rPr>
      </w:pPr>
      <w:r w:rsidRPr="00B32E86">
        <w:rPr>
          <w:rFonts w:ascii="Calibri" w:eastAsia="Calibri" w:hAnsi="Calibri" w:cs="Calibri"/>
          <w:color w:val="000000"/>
        </w:rPr>
        <w:t>Systematic inclusion of diversity and inclusion in data collection tools</w:t>
      </w:r>
      <w:r>
        <w:rPr>
          <w:rStyle w:val="FootnoteReference"/>
          <w:rFonts w:ascii="Calibri" w:eastAsia="Calibri" w:hAnsi="Calibri" w:cs="Calibri"/>
          <w:color w:val="000000"/>
        </w:rPr>
        <w:footnoteReference w:id="21"/>
      </w:r>
      <w:r w:rsidRPr="00B32E86">
        <w:rPr>
          <w:rFonts w:ascii="Calibri" w:eastAsia="Calibri" w:hAnsi="Calibri" w:cs="Calibri"/>
          <w:color w:val="000000"/>
        </w:rPr>
        <w:t>. Data collection techniques such as interviews and the rubric will include targeted questions on GEDSI. The team will also ensure that our interlocut</w:t>
      </w:r>
      <w:r>
        <w:rPr>
          <w:rFonts w:ascii="Calibri" w:eastAsia="Calibri" w:hAnsi="Calibri" w:cs="Calibri"/>
          <w:color w:val="000000"/>
        </w:rPr>
        <w:t>o</w:t>
      </w:r>
      <w:r w:rsidRPr="00B32E86">
        <w:rPr>
          <w:rFonts w:ascii="Calibri" w:eastAsia="Calibri" w:hAnsi="Calibri" w:cs="Calibri"/>
          <w:color w:val="000000"/>
        </w:rPr>
        <w:t xml:space="preserve">rs reflect on </w:t>
      </w:r>
      <w:r>
        <w:rPr>
          <w:rFonts w:ascii="Calibri" w:eastAsia="Calibri" w:hAnsi="Calibri" w:cs="Calibri"/>
          <w:color w:val="000000"/>
        </w:rPr>
        <w:t>the investment</w:t>
      </w:r>
      <w:r w:rsidRPr="00B32E86">
        <w:rPr>
          <w:rFonts w:ascii="Calibri" w:eastAsia="Calibri" w:hAnsi="Calibri" w:cs="Calibri"/>
          <w:color w:val="000000"/>
        </w:rPr>
        <w:t>’s focus on gender, and social and disability inclusion, throughout our</w:t>
      </w:r>
      <w:r>
        <w:rPr>
          <w:rFonts w:ascii="Calibri" w:eastAsia="Calibri" w:hAnsi="Calibri" w:cs="Calibri"/>
          <w:color w:val="000000"/>
        </w:rPr>
        <w:t xml:space="preserve"> review of documentation and the</w:t>
      </w:r>
      <w:r w:rsidRPr="00B32E86">
        <w:rPr>
          <w:rFonts w:ascii="Calibri" w:eastAsia="Calibri" w:hAnsi="Calibri" w:cs="Calibri"/>
          <w:color w:val="000000"/>
        </w:rPr>
        <w:t xml:space="preserve"> field work.</w:t>
      </w:r>
    </w:p>
    <w:p w14:paraId="51A8415F" w14:textId="77777777" w:rsidR="00C640B0" w:rsidRPr="00B32E86" w:rsidRDefault="00C640B0" w:rsidP="00821BD8">
      <w:pPr>
        <w:numPr>
          <w:ilvl w:val="0"/>
          <w:numId w:val="54"/>
        </w:numPr>
        <w:pBdr>
          <w:top w:val="nil"/>
          <w:left w:val="nil"/>
          <w:bottom w:val="nil"/>
          <w:right w:val="nil"/>
          <w:between w:val="nil"/>
        </w:pBdr>
        <w:tabs>
          <w:tab w:val="clear" w:pos="7780"/>
        </w:tabs>
        <w:spacing w:after="182"/>
        <w:rPr>
          <w:rFonts w:ascii="Calibri" w:eastAsia="Calibri" w:hAnsi="Calibri" w:cs="Calibri"/>
          <w:color w:val="000000"/>
        </w:rPr>
      </w:pPr>
      <w:r w:rsidRPr="00B32E86">
        <w:rPr>
          <w:rFonts w:ascii="Calibri" w:eastAsia="Calibri" w:hAnsi="Calibri" w:cs="Calibri"/>
          <w:color w:val="000000"/>
        </w:rPr>
        <w:lastRenderedPageBreak/>
        <w:t xml:space="preserve">The analysis of quantitative and qualitative data will be disaggregated by diversity and equity whenever </w:t>
      </w:r>
      <w:proofErr w:type="gramStart"/>
      <w:r w:rsidRPr="00B32E86">
        <w:rPr>
          <w:rFonts w:ascii="Calibri" w:eastAsia="Calibri" w:hAnsi="Calibri" w:cs="Calibri"/>
          <w:color w:val="000000"/>
        </w:rPr>
        <w:t>possible;</w:t>
      </w:r>
      <w:proofErr w:type="gramEnd"/>
    </w:p>
    <w:p w14:paraId="3EE0BE24" w14:textId="77777777" w:rsidR="00C640B0" w:rsidRPr="00B32E86" w:rsidRDefault="00C640B0" w:rsidP="00821BD8">
      <w:pPr>
        <w:numPr>
          <w:ilvl w:val="0"/>
          <w:numId w:val="54"/>
        </w:numPr>
        <w:pBdr>
          <w:top w:val="nil"/>
          <w:left w:val="nil"/>
          <w:bottom w:val="nil"/>
          <w:right w:val="nil"/>
          <w:between w:val="nil"/>
        </w:pBdr>
        <w:tabs>
          <w:tab w:val="clear" w:pos="7780"/>
        </w:tabs>
        <w:spacing w:after="182"/>
        <w:rPr>
          <w:rFonts w:ascii="Calibri" w:eastAsia="Calibri" w:hAnsi="Calibri" w:cs="Calibri"/>
          <w:color w:val="000000"/>
        </w:rPr>
      </w:pPr>
      <w:r w:rsidRPr="00B32E86">
        <w:rPr>
          <w:rFonts w:ascii="Calibri" w:eastAsia="Calibri" w:hAnsi="Calibri" w:cs="Calibri"/>
          <w:color w:val="000000"/>
        </w:rPr>
        <w:t xml:space="preserve">Inclusion of informants that can speak authoritatively to GEDSI dimensions of </w:t>
      </w:r>
      <w:r>
        <w:rPr>
          <w:rFonts w:ascii="Calibri" w:eastAsia="Calibri" w:hAnsi="Calibri" w:cs="Calibri"/>
          <w:color w:val="000000"/>
        </w:rPr>
        <w:t xml:space="preserve">the different initiatives supported in the </w:t>
      </w:r>
      <w:proofErr w:type="gramStart"/>
      <w:r>
        <w:rPr>
          <w:rFonts w:ascii="Calibri" w:eastAsia="Calibri" w:hAnsi="Calibri" w:cs="Calibri"/>
          <w:color w:val="000000"/>
        </w:rPr>
        <w:t>Pacific</w:t>
      </w:r>
      <w:r w:rsidRPr="00B32E86">
        <w:rPr>
          <w:rFonts w:ascii="Calibri" w:eastAsia="Calibri" w:hAnsi="Calibri" w:cs="Calibri"/>
          <w:color w:val="000000"/>
        </w:rPr>
        <w:t>;</w:t>
      </w:r>
      <w:proofErr w:type="gramEnd"/>
    </w:p>
    <w:p w14:paraId="4EEB42BE" w14:textId="77777777" w:rsidR="00C640B0" w:rsidRPr="00B32E86" w:rsidRDefault="00C640B0" w:rsidP="00821BD8">
      <w:pPr>
        <w:numPr>
          <w:ilvl w:val="0"/>
          <w:numId w:val="54"/>
        </w:numPr>
        <w:pBdr>
          <w:top w:val="nil"/>
          <w:left w:val="nil"/>
          <w:bottom w:val="nil"/>
          <w:right w:val="nil"/>
          <w:between w:val="nil"/>
        </w:pBdr>
        <w:tabs>
          <w:tab w:val="clear" w:pos="7780"/>
        </w:tabs>
        <w:spacing w:after="182"/>
        <w:rPr>
          <w:rFonts w:ascii="Calibri" w:eastAsia="Calibri" w:hAnsi="Calibri" w:cs="Calibri"/>
          <w:color w:val="000000"/>
        </w:rPr>
      </w:pPr>
      <w:r w:rsidRPr="00B32E86">
        <w:rPr>
          <w:rFonts w:ascii="Calibri" w:eastAsia="Calibri" w:hAnsi="Calibri" w:cs="Calibri"/>
          <w:color w:val="000000"/>
        </w:rPr>
        <w:t>Analysis of documentation for GEDSI in design</w:t>
      </w:r>
      <w:r>
        <w:rPr>
          <w:rFonts w:ascii="Calibri" w:eastAsia="Calibri" w:hAnsi="Calibri" w:cs="Calibri"/>
          <w:color w:val="000000"/>
        </w:rPr>
        <w:t>,</w:t>
      </w:r>
      <w:r w:rsidRPr="00B32E86">
        <w:rPr>
          <w:rFonts w:ascii="Calibri" w:eastAsia="Calibri" w:hAnsi="Calibri" w:cs="Calibri"/>
          <w:color w:val="000000"/>
        </w:rPr>
        <w:t xml:space="preserve"> implementation,</w:t>
      </w:r>
      <w:r>
        <w:rPr>
          <w:rFonts w:ascii="Calibri" w:eastAsia="Calibri" w:hAnsi="Calibri" w:cs="Calibri"/>
          <w:color w:val="000000"/>
        </w:rPr>
        <w:t xml:space="preserve"> and evaluation</w:t>
      </w:r>
      <w:r w:rsidRPr="00B32E86">
        <w:rPr>
          <w:rFonts w:ascii="Calibri" w:eastAsia="Calibri" w:hAnsi="Calibri" w:cs="Calibri"/>
          <w:color w:val="000000"/>
        </w:rPr>
        <w:t xml:space="preserve"> of different activities; and</w:t>
      </w:r>
    </w:p>
    <w:p w14:paraId="326C60CB" w14:textId="77777777" w:rsidR="00C640B0" w:rsidRPr="00B32E86" w:rsidRDefault="00C640B0" w:rsidP="00821BD8">
      <w:pPr>
        <w:numPr>
          <w:ilvl w:val="0"/>
          <w:numId w:val="54"/>
        </w:numPr>
        <w:pBdr>
          <w:top w:val="nil"/>
          <w:left w:val="nil"/>
          <w:bottom w:val="nil"/>
          <w:right w:val="nil"/>
          <w:between w:val="nil"/>
        </w:pBdr>
        <w:tabs>
          <w:tab w:val="clear" w:pos="7780"/>
        </w:tabs>
        <w:spacing w:after="182"/>
        <w:rPr>
          <w:rFonts w:ascii="Calibri" w:eastAsia="Calibri" w:hAnsi="Calibri" w:cs="Calibri"/>
          <w:color w:val="000000"/>
        </w:rPr>
      </w:pPr>
      <w:r w:rsidRPr="080AC63D">
        <w:rPr>
          <w:rFonts w:ascii="Calibri" w:eastAsia="Calibri" w:hAnsi="Calibri" w:cs="Calibri"/>
        </w:rPr>
        <w:t>Data triangulation during the synthesis phase will seek to identify and compare the voices of a broad representation of participants to reflect on GEDSI.</w:t>
      </w:r>
    </w:p>
    <w:p w14:paraId="02CA298F" w14:textId="77777777" w:rsidR="00C640B0" w:rsidRPr="00FA2BF4" w:rsidRDefault="00C640B0" w:rsidP="00FA2BF4">
      <w:pPr>
        <w:pStyle w:val="Heading4"/>
      </w:pPr>
      <w:bookmarkStart w:id="178" w:name="_Toc191384087"/>
      <w:bookmarkStart w:id="179" w:name="_Toc205147397"/>
      <w:bookmarkStart w:id="180" w:name="_Toc205147550"/>
      <w:bookmarkStart w:id="181" w:name="_Toc205147852"/>
      <w:r w:rsidRPr="00FA2BF4">
        <w:t>Assumptions, Risks and Limitations</w:t>
      </w:r>
      <w:bookmarkEnd w:id="178"/>
      <w:bookmarkEnd w:id="179"/>
      <w:bookmarkEnd w:id="180"/>
      <w:bookmarkEnd w:id="181"/>
    </w:p>
    <w:p w14:paraId="20A91650" w14:textId="77777777" w:rsidR="00C640B0" w:rsidRPr="00B32E86" w:rsidRDefault="00C640B0" w:rsidP="00C640B0">
      <w:pPr>
        <w:rPr>
          <w:rFonts w:ascii="Calibri" w:eastAsia="Calibri" w:hAnsi="Calibri" w:cs="Calibri"/>
        </w:rPr>
      </w:pPr>
    </w:p>
    <w:p w14:paraId="11C9B9DC" w14:textId="77777777" w:rsidR="00C640B0" w:rsidRPr="00B32E86" w:rsidRDefault="00C640B0" w:rsidP="00C640B0">
      <w:pPr>
        <w:pBdr>
          <w:top w:val="nil"/>
          <w:left w:val="nil"/>
          <w:bottom w:val="nil"/>
          <w:right w:val="nil"/>
          <w:between w:val="nil"/>
        </w:pBdr>
        <w:jc w:val="both"/>
        <w:rPr>
          <w:rFonts w:ascii="Calibri" w:eastAsia="Calibri" w:hAnsi="Calibri" w:cs="Calibri"/>
          <w:color w:val="000000"/>
        </w:rPr>
      </w:pPr>
      <w:r w:rsidRPr="080AC63D">
        <w:rPr>
          <w:rFonts w:ascii="Calibri" w:eastAsia="Calibri" w:hAnsi="Calibri" w:cs="Calibri"/>
        </w:rPr>
        <w:t xml:space="preserve">The evaluation team have made the following assumptions </w:t>
      </w:r>
      <w:proofErr w:type="gramStart"/>
      <w:r w:rsidRPr="080AC63D">
        <w:rPr>
          <w:rFonts w:ascii="Calibri" w:eastAsia="Calibri" w:hAnsi="Calibri" w:cs="Calibri"/>
        </w:rPr>
        <w:t>with regard to</w:t>
      </w:r>
      <w:proofErr w:type="gramEnd"/>
      <w:r w:rsidRPr="080AC63D">
        <w:rPr>
          <w:rFonts w:ascii="Calibri" w:eastAsia="Calibri" w:hAnsi="Calibri" w:cs="Calibri"/>
        </w:rPr>
        <w:t xml:space="preserve"> this mission:</w:t>
      </w:r>
    </w:p>
    <w:p w14:paraId="02EBD949" w14:textId="77777777" w:rsidR="00C640B0" w:rsidRPr="00B32E86" w:rsidRDefault="00C640B0" w:rsidP="00C640B0">
      <w:pPr>
        <w:pBdr>
          <w:top w:val="nil"/>
          <w:left w:val="nil"/>
          <w:bottom w:val="nil"/>
          <w:right w:val="nil"/>
          <w:between w:val="nil"/>
        </w:pBdr>
        <w:jc w:val="both"/>
        <w:rPr>
          <w:rFonts w:ascii="Calibri" w:eastAsia="Calibri" w:hAnsi="Calibri" w:cs="Calibri"/>
          <w:color w:val="000000"/>
        </w:rPr>
      </w:pPr>
    </w:p>
    <w:p w14:paraId="2CFB6704" w14:textId="77777777" w:rsidR="00C640B0" w:rsidRPr="00B32E86" w:rsidRDefault="00C640B0" w:rsidP="00821BD8">
      <w:pPr>
        <w:numPr>
          <w:ilvl w:val="0"/>
          <w:numId w:val="53"/>
        </w:numPr>
        <w:pBdr>
          <w:top w:val="nil"/>
          <w:left w:val="nil"/>
          <w:bottom w:val="nil"/>
          <w:right w:val="nil"/>
          <w:between w:val="nil"/>
        </w:pBdr>
        <w:tabs>
          <w:tab w:val="clear" w:pos="7780"/>
        </w:tabs>
        <w:ind w:left="357" w:hanging="357"/>
        <w:jc w:val="both"/>
        <w:rPr>
          <w:rFonts w:ascii="Calibri" w:eastAsia="Calibri" w:hAnsi="Calibri" w:cs="Calibri"/>
          <w:color w:val="000000"/>
        </w:rPr>
      </w:pPr>
      <w:r w:rsidRPr="00B32E86">
        <w:rPr>
          <w:rFonts w:ascii="Calibri" w:eastAsia="Calibri" w:hAnsi="Calibri" w:cs="Calibri"/>
          <w:b/>
          <w:color w:val="000000"/>
        </w:rPr>
        <w:t>Assumption 1:</w:t>
      </w:r>
      <w:r w:rsidRPr="00B32E86">
        <w:rPr>
          <w:rFonts w:ascii="Calibri" w:eastAsia="Calibri" w:hAnsi="Calibri" w:cs="Calibri"/>
          <w:color w:val="000000"/>
        </w:rPr>
        <w:t xml:space="preserve"> Sufficient documentation is available on all initiatives financed to date</w:t>
      </w:r>
      <w:r>
        <w:rPr>
          <w:rFonts w:ascii="Calibri" w:eastAsia="Calibri" w:hAnsi="Calibri" w:cs="Calibri"/>
          <w:color w:val="000000"/>
        </w:rPr>
        <w:t xml:space="preserve">, </w:t>
      </w:r>
      <w:r>
        <w:rPr>
          <w:rFonts w:ascii="Calibri" w:eastAsia="Calibri" w:hAnsi="Calibri" w:cs="Calibri"/>
          <w:color w:val="000000"/>
        </w:rPr>
        <w:pgNum/>
      </w:r>
      <w:r>
        <w:rPr>
          <w:rFonts w:ascii="Calibri" w:eastAsia="Calibri" w:hAnsi="Calibri" w:cs="Calibri"/>
          <w:color w:val="000000"/>
        </w:rPr>
        <w:t>supplemented by information collected from stakeholders,</w:t>
      </w:r>
      <w:r w:rsidRPr="00B32E86">
        <w:rPr>
          <w:rFonts w:ascii="Calibri" w:eastAsia="Calibri" w:hAnsi="Calibri" w:cs="Calibri"/>
          <w:color w:val="000000"/>
        </w:rPr>
        <w:t xml:space="preserve"> to allow for meaningful review of activity progress to date.</w:t>
      </w:r>
    </w:p>
    <w:p w14:paraId="43ABBF59" w14:textId="77777777" w:rsidR="00C640B0" w:rsidRPr="00B32E86" w:rsidRDefault="00C640B0" w:rsidP="00C640B0">
      <w:pPr>
        <w:pBdr>
          <w:top w:val="nil"/>
          <w:left w:val="nil"/>
          <w:bottom w:val="nil"/>
          <w:right w:val="nil"/>
          <w:between w:val="nil"/>
        </w:pBdr>
        <w:jc w:val="both"/>
        <w:rPr>
          <w:rFonts w:ascii="Calibri" w:eastAsia="Calibri" w:hAnsi="Calibri" w:cs="Calibri"/>
          <w:color w:val="000000"/>
        </w:rPr>
      </w:pPr>
    </w:p>
    <w:p w14:paraId="2ED8A155" w14:textId="77777777" w:rsidR="00C640B0" w:rsidRPr="00B32E86" w:rsidRDefault="00C640B0" w:rsidP="00821BD8">
      <w:pPr>
        <w:numPr>
          <w:ilvl w:val="0"/>
          <w:numId w:val="53"/>
        </w:numPr>
        <w:pBdr>
          <w:top w:val="nil"/>
          <w:left w:val="nil"/>
          <w:bottom w:val="nil"/>
          <w:right w:val="nil"/>
          <w:between w:val="nil"/>
        </w:pBdr>
        <w:tabs>
          <w:tab w:val="clear" w:pos="7780"/>
        </w:tabs>
        <w:ind w:left="357" w:hanging="357"/>
        <w:jc w:val="both"/>
        <w:rPr>
          <w:rFonts w:ascii="Calibri" w:eastAsia="Calibri" w:hAnsi="Calibri" w:cs="Calibri"/>
          <w:color w:val="000000"/>
        </w:rPr>
      </w:pPr>
      <w:r w:rsidRPr="00B32E86">
        <w:rPr>
          <w:rFonts w:ascii="Calibri" w:eastAsia="Calibri" w:hAnsi="Calibri" w:cs="Calibri"/>
          <w:b/>
          <w:color w:val="000000"/>
        </w:rPr>
        <w:t>Assumption 2:</w:t>
      </w:r>
      <w:r w:rsidRPr="00B32E86">
        <w:rPr>
          <w:rFonts w:ascii="Calibri" w:eastAsia="Calibri" w:hAnsi="Calibri" w:cs="Calibri"/>
          <w:color w:val="000000"/>
        </w:rPr>
        <w:t xml:space="preserve"> Sufficient key informants will be available both in Australia</w:t>
      </w:r>
      <w:r>
        <w:rPr>
          <w:rFonts w:ascii="Calibri" w:eastAsia="Calibri" w:hAnsi="Calibri" w:cs="Calibri"/>
          <w:color w:val="000000"/>
        </w:rPr>
        <w:t xml:space="preserve"> and within the FFA in Honiara,</w:t>
      </w:r>
      <w:r w:rsidRPr="00B32E86">
        <w:rPr>
          <w:rFonts w:ascii="Calibri" w:eastAsia="Calibri" w:hAnsi="Calibri" w:cs="Calibri"/>
          <w:color w:val="000000"/>
        </w:rPr>
        <w:t xml:space="preserve"> and </w:t>
      </w:r>
      <w:r>
        <w:rPr>
          <w:rFonts w:ascii="Calibri" w:eastAsia="Calibri" w:hAnsi="Calibri" w:cs="Calibri"/>
          <w:color w:val="000000"/>
        </w:rPr>
        <w:t>other targeted stakeholders</w:t>
      </w:r>
      <w:r w:rsidRPr="00B32E86">
        <w:rPr>
          <w:rFonts w:ascii="Calibri" w:eastAsia="Calibri" w:hAnsi="Calibri" w:cs="Calibri"/>
          <w:color w:val="000000"/>
        </w:rPr>
        <w:t xml:space="preserve"> to ensure a valid body of evidence is collected.</w:t>
      </w:r>
    </w:p>
    <w:p w14:paraId="47B21837" w14:textId="77777777" w:rsidR="00C640B0" w:rsidRPr="00B32E86" w:rsidRDefault="00C640B0" w:rsidP="00C640B0">
      <w:pPr>
        <w:pBdr>
          <w:top w:val="nil"/>
          <w:left w:val="nil"/>
          <w:bottom w:val="nil"/>
          <w:right w:val="nil"/>
          <w:between w:val="nil"/>
        </w:pBdr>
        <w:jc w:val="both"/>
        <w:rPr>
          <w:rFonts w:ascii="Calibri" w:eastAsia="Calibri" w:hAnsi="Calibri" w:cs="Calibri"/>
          <w:color w:val="000000"/>
        </w:rPr>
      </w:pPr>
    </w:p>
    <w:p w14:paraId="1657C3C2" w14:textId="77777777" w:rsidR="00C640B0" w:rsidRPr="00B32E86" w:rsidRDefault="00C640B0" w:rsidP="00821BD8">
      <w:pPr>
        <w:numPr>
          <w:ilvl w:val="0"/>
          <w:numId w:val="53"/>
        </w:numPr>
        <w:pBdr>
          <w:top w:val="nil"/>
          <w:left w:val="nil"/>
          <w:bottom w:val="nil"/>
          <w:right w:val="nil"/>
          <w:between w:val="nil"/>
        </w:pBdr>
        <w:tabs>
          <w:tab w:val="clear" w:pos="7780"/>
        </w:tabs>
        <w:ind w:left="357" w:hanging="357"/>
        <w:jc w:val="both"/>
        <w:rPr>
          <w:rFonts w:ascii="Calibri" w:eastAsia="Calibri" w:hAnsi="Calibri" w:cs="Calibri"/>
          <w:color w:val="000000"/>
        </w:rPr>
      </w:pPr>
      <w:r w:rsidRPr="080AC63D">
        <w:rPr>
          <w:rFonts w:ascii="Calibri" w:eastAsia="Calibri" w:hAnsi="Calibri" w:cs="Calibri"/>
          <w:b/>
        </w:rPr>
        <w:t>Assumption 3:</w:t>
      </w:r>
      <w:r w:rsidRPr="080AC63D">
        <w:rPr>
          <w:rFonts w:ascii="Calibri" w:eastAsia="Calibri" w:hAnsi="Calibri" w:cs="Calibri"/>
        </w:rPr>
        <w:t xml:space="preserve"> The PFO will assist where possible in introducing the consultants conducting the evaluation to relevant officials, key partners and other key stakeholders.</w:t>
      </w:r>
    </w:p>
    <w:p w14:paraId="3FFDB1C8" w14:textId="77777777" w:rsidR="00C640B0" w:rsidRPr="00B32E86" w:rsidRDefault="00C640B0" w:rsidP="00C640B0">
      <w:pPr>
        <w:rPr>
          <w:rFonts w:ascii="Calibri" w:eastAsia="Calibri" w:hAnsi="Calibri" w:cs="Calibri"/>
        </w:rPr>
      </w:pPr>
    </w:p>
    <w:p w14:paraId="029A2A5D" w14:textId="76C9C9B4" w:rsidR="00C640B0" w:rsidRDefault="00C640B0" w:rsidP="00C640B0">
      <w:pPr>
        <w:rPr>
          <w:rFonts w:ascii="Calibri" w:eastAsia="Calibri" w:hAnsi="Calibri" w:cs="Calibri"/>
        </w:rPr>
      </w:pPr>
      <w:r w:rsidRPr="00B32E86">
        <w:rPr>
          <w:rFonts w:ascii="Calibri" w:eastAsia="Calibri" w:hAnsi="Calibri" w:cs="Calibri"/>
        </w:rPr>
        <w:t>As is often the case with such complex reviews which involve several stakeholders, covering many different countries, there are several risks that should be considered</w:t>
      </w:r>
      <w:r>
        <w:rPr>
          <w:rFonts w:ascii="Calibri" w:eastAsia="Calibri" w:hAnsi="Calibri" w:cs="Calibri"/>
        </w:rPr>
        <w:t xml:space="preserve"> and are spelt out in the </w:t>
      </w:r>
      <w:r w:rsidRPr="00B32E86">
        <w:rPr>
          <w:rFonts w:ascii="Calibri" w:eastAsia="Calibri" w:hAnsi="Calibri" w:cs="Calibri"/>
        </w:rPr>
        <w:t>Risk Management Strategy (RMS)</w:t>
      </w:r>
      <w:r>
        <w:rPr>
          <w:rFonts w:ascii="Calibri" w:eastAsia="Calibri" w:hAnsi="Calibri" w:cs="Calibri"/>
        </w:rPr>
        <w:t xml:space="preserve"> (see </w:t>
      </w:r>
      <w:r w:rsidR="000F3351">
        <w:rPr>
          <w:rFonts w:ascii="Calibri" w:eastAsia="Calibri" w:hAnsi="Calibri" w:cs="Calibri"/>
          <w:b/>
          <w:bCs/>
        </w:rPr>
        <w:t>Annexe</w:t>
      </w:r>
      <w:r w:rsidRPr="000E0A82">
        <w:rPr>
          <w:rFonts w:ascii="Calibri" w:eastAsia="Calibri" w:hAnsi="Calibri" w:cs="Calibri"/>
          <w:b/>
          <w:bCs/>
        </w:rPr>
        <w:t xml:space="preserve"> </w:t>
      </w:r>
      <w:r>
        <w:rPr>
          <w:rFonts w:ascii="Calibri" w:eastAsia="Calibri" w:hAnsi="Calibri" w:cs="Calibri"/>
          <w:b/>
          <w:bCs/>
        </w:rPr>
        <w:t>6</w:t>
      </w:r>
      <w:r>
        <w:rPr>
          <w:rFonts w:ascii="Calibri" w:eastAsia="Calibri" w:hAnsi="Calibri" w:cs="Calibri"/>
        </w:rPr>
        <w:t xml:space="preserve"> for details).</w:t>
      </w:r>
    </w:p>
    <w:p w14:paraId="6F57EA0E" w14:textId="77777777" w:rsidR="00C640B0" w:rsidRDefault="00C640B0" w:rsidP="00C640B0">
      <w:pPr>
        <w:rPr>
          <w:rFonts w:ascii="Calibri" w:eastAsia="Calibri" w:hAnsi="Calibri" w:cs="Calibri"/>
          <w:color w:val="2F5496"/>
        </w:rPr>
      </w:pPr>
    </w:p>
    <w:p w14:paraId="1ABB04BD" w14:textId="77777777" w:rsidR="00C640B0" w:rsidRPr="0022667E" w:rsidRDefault="00C640B0" w:rsidP="00C640B0">
      <w:pPr>
        <w:pBdr>
          <w:top w:val="nil"/>
          <w:left w:val="nil"/>
          <w:bottom w:val="nil"/>
          <w:right w:val="nil"/>
          <w:between w:val="nil"/>
        </w:pBdr>
        <w:jc w:val="both"/>
        <w:rPr>
          <w:rFonts w:ascii="Calibri" w:eastAsia="Calibri" w:hAnsi="Calibri" w:cs="Calibri"/>
        </w:rPr>
      </w:pPr>
      <w:r w:rsidRPr="0022667E">
        <w:rPr>
          <w:rFonts w:ascii="Calibri" w:eastAsia="Calibri" w:hAnsi="Calibri" w:cs="Calibri"/>
        </w:rPr>
        <w:t>The team has noted several limitations during the drafting of the Evaluation Plan:</w:t>
      </w:r>
    </w:p>
    <w:p w14:paraId="13B19590" w14:textId="77777777" w:rsidR="00C640B0" w:rsidRPr="0022667E" w:rsidRDefault="00C640B0" w:rsidP="00C640B0">
      <w:pPr>
        <w:pBdr>
          <w:top w:val="nil"/>
          <w:left w:val="nil"/>
          <w:bottom w:val="nil"/>
          <w:right w:val="nil"/>
          <w:between w:val="nil"/>
        </w:pBdr>
        <w:jc w:val="both"/>
        <w:rPr>
          <w:rFonts w:ascii="Calibri" w:eastAsia="Calibri" w:hAnsi="Calibri" w:cs="Calibri"/>
        </w:rPr>
      </w:pPr>
    </w:p>
    <w:p w14:paraId="1EC3730E" w14:textId="77777777" w:rsidR="00C640B0" w:rsidRPr="0022667E" w:rsidRDefault="00C640B0" w:rsidP="00C640B0">
      <w:pPr>
        <w:pBdr>
          <w:top w:val="nil"/>
          <w:left w:val="nil"/>
          <w:bottom w:val="nil"/>
          <w:right w:val="nil"/>
          <w:between w:val="nil"/>
        </w:pBdr>
        <w:rPr>
          <w:rFonts w:ascii="Calibri" w:eastAsia="Calibri" w:hAnsi="Calibri" w:cs="Calibri"/>
        </w:rPr>
      </w:pPr>
      <w:r w:rsidRPr="0022667E">
        <w:rPr>
          <w:rFonts w:ascii="Calibri" w:eastAsia="Calibri" w:hAnsi="Calibri" w:cs="Calibri"/>
        </w:rPr>
        <w:t xml:space="preserve">Firstly, as noted in the </w:t>
      </w:r>
      <w:proofErr w:type="spellStart"/>
      <w:r w:rsidRPr="0022667E">
        <w:rPr>
          <w:rFonts w:ascii="Calibri" w:eastAsia="Calibri" w:hAnsi="Calibri" w:cs="Calibri"/>
        </w:rPr>
        <w:t>ToR</w:t>
      </w:r>
      <w:proofErr w:type="spellEnd"/>
      <w:r w:rsidRPr="0022667E">
        <w:rPr>
          <w:rFonts w:ascii="Calibri" w:eastAsia="Calibri" w:hAnsi="Calibri" w:cs="Calibri"/>
        </w:rPr>
        <w:t xml:space="preserve">, a formal program logic was not established at inception, and since 2010, the activities have grown substantially in response to the needs of the Pacific. However, this has been addressed by applying a logic model since 2022. The logic model outlines the causal chain of the investment, demonstrating how it is expected to achieve the four </w:t>
      </w:r>
      <w:proofErr w:type="spellStart"/>
      <w:r w:rsidRPr="0022667E">
        <w:rPr>
          <w:rFonts w:ascii="Calibri" w:eastAsia="Calibri" w:hAnsi="Calibri" w:cs="Calibri"/>
        </w:rPr>
        <w:t>EoPOs</w:t>
      </w:r>
      <w:proofErr w:type="spellEnd"/>
      <w:r w:rsidRPr="0022667E">
        <w:rPr>
          <w:rFonts w:ascii="Calibri" w:eastAsia="Calibri" w:hAnsi="Calibri" w:cs="Calibri"/>
        </w:rPr>
        <w:t>, and has helped shape both the Evaluation Matrix and the rubric being used in this evaluation.</w:t>
      </w:r>
    </w:p>
    <w:p w14:paraId="4B21AD56" w14:textId="77777777" w:rsidR="00C640B0" w:rsidRPr="0022667E" w:rsidRDefault="00C640B0" w:rsidP="00C640B0">
      <w:pPr>
        <w:pBdr>
          <w:top w:val="nil"/>
          <w:left w:val="nil"/>
          <w:bottom w:val="nil"/>
          <w:right w:val="nil"/>
          <w:between w:val="nil"/>
        </w:pBdr>
        <w:rPr>
          <w:rFonts w:ascii="Calibri" w:eastAsia="Calibri" w:hAnsi="Calibri" w:cs="Calibri"/>
        </w:rPr>
      </w:pPr>
    </w:p>
    <w:p w14:paraId="6603A07F" w14:textId="77777777" w:rsidR="00C640B0" w:rsidRPr="0022667E" w:rsidRDefault="00C640B0" w:rsidP="00C640B0">
      <w:pPr>
        <w:pBdr>
          <w:top w:val="nil"/>
          <w:left w:val="nil"/>
          <w:bottom w:val="nil"/>
          <w:right w:val="nil"/>
          <w:between w:val="nil"/>
        </w:pBdr>
        <w:rPr>
          <w:rFonts w:ascii="Calibri" w:eastAsia="Calibri" w:hAnsi="Calibri" w:cs="Calibri"/>
        </w:rPr>
      </w:pPr>
      <w:r w:rsidRPr="0022667E">
        <w:rPr>
          <w:rFonts w:ascii="Calibri" w:eastAsia="Calibri" w:hAnsi="Calibri" w:cs="Calibri"/>
        </w:rPr>
        <w:t xml:space="preserve">Secondly, stakeholder analysis indicates that there are certain constraints in accessing key informants – either due to staff turnover at key agencies or the availability of key informants due to other commitments. </w:t>
      </w:r>
      <w:r>
        <w:rPr>
          <w:rFonts w:ascii="Calibri" w:eastAsia="Calibri" w:hAnsi="Calibri" w:cs="Calibri"/>
        </w:rPr>
        <w:t>This may imply that there could be some gaps in the perspectives of agency staff involved in the early stages of the investment. However, the extensive, reliable, and validated secondary evidence, including detailed program reports and independent evaluations, will ensure that the evaluation team has sufficient evidence to address the early implementation of the investment activities.</w:t>
      </w:r>
      <w:r w:rsidRPr="0022667E">
        <w:rPr>
          <w:rFonts w:ascii="Calibri" w:eastAsia="Calibri" w:hAnsi="Calibri" w:cs="Calibri"/>
        </w:rPr>
        <w:t xml:space="preserve"> To secure participation, interviews will be made well in advance, and provision will be made for rescheduling meetings if the need arises. In addition, agency staff will have the opportunity to respond to questions through the E-Survey, should there be any difficulty in speaking directly to key informants.</w:t>
      </w:r>
    </w:p>
    <w:p w14:paraId="34310353" w14:textId="77777777" w:rsidR="00C640B0" w:rsidRPr="0022667E" w:rsidRDefault="00C640B0" w:rsidP="00C640B0">
      <w:pPr>
        <w:pBdr>
          <w:top w:val="nil"/>
          <w:left w:val="nil"/>
          <w:bottom w:val="nil"/>
          <w:right w:val="nil"/>
          <w:between w:val="nil"/>
        </w:pBdr>
        <w:rPr>
          <w:rFonts w:ascii="Calibri" w:eastAsia="Calibri" w:hAnsi="Calibri" w:cs="Calibri"/>
        </w:rPr>
      </w:pPr>
    </w:p>
    <w:p w14:paraId="5759632A" w14:textId="77777777" w:rsidR="00C640B0" w:rsidRPr="0022667E" w:rsidRDefault="00C640B0" w:rsidP="00C640B0">
      <w:pPr>
        <w:pBdr>
          <w:top w:val="nil"/>
          <w:left w:val="nil"/>
          <w:bottom w:val="nil"/>
          <w:right w:val="nil"/>
          <w:between w:val="nil"/>
        </w:pBdr>
        <w:rPr>
          <w:rFonts w:ascii="Calibri" w:eastAsia="Calibri" w:hAnsi="Calibri" w:cs="Calibri"/>
        </w:rPr>
      </w:pPr>
      <w:r w:rsidRPr="0022667E">
        <w:rPr>
          <w:rFonts w:ascii="Calibri" w:eastAsia="Calibri" w:hAnsi="Calibri" w:cs="Calibri"/>
        </w:rPr>
        <w:t>Thirdly, and related to the previous point, not all informants will be interviewed in person. The remote nature of the interviews will be addressed by employing multiple approaches to gather evidence (typically, respondents will have the chance to receive the questions in advance, partake in an interview at a convenient time, and/or complete the E-Survey in their own time).</w:t>
      </w:r>
    </w:p>
    <w:p w14:paraId="1B3E1E33" w14:textId="77777777" w:rsidR="00C640B0" w:rsidRPr="0022667E" w:rsidRDefault="00C640B0" w:rsidP="00C640B0">
      <w:pPr>
        <w:pBdr>
          <w:top w:val="nil"/>
          <w:left w:val="nil"/>
          <w:bottom w:val="nil"/>
          <w:right w:val="nil"/>
          <w:between w:val="nil"/>
        </w:pBdr>
        <w:rPr>
          <w:rFonts w:ascii="Calibri" w:eastAsia="Calibri" w:hAnsi="Calibri" w:cs="Calibri"/>
        </w:rPr>
      </w:pPr>
    </w:p>
    <w:p w14:paraId="39193922" w14:textId="1B9B4898" w:rsidR="00C640B0" w:rsidRPr="0022667E" w:rsidRDefault="00C640B0" w:rsidP="00C640B0">
      <w:pPr>
        <w:pBdr>
          <w:top w:val="nil"/>
          <w:left w:val="nil"/>
          <w:bottom w:val="nil"/>
          <w:right w:val="nil"/>
          <w:between w:val="nil"/>
        </w:pBdr>
        <w:rPr>
          <w:rFonts w:ascii="Calibri" w:eastAsia="Calibri" w:hAnsi="Calibri" w:cs="Calibri"/>
        </w:rPr>
      </w:pPr>
      <w:r w:rsidRPr="0022667E">
        <w:rPr>
          <w:rFonts w:ascii="Calibri" w:eastAsia="Calibri" w:hAnsi="Calibri" w:cs="Calibri"/>
        </w:rPr>
        <w:lastRenderedPageBreak/>
        <w:t xml:space="preserve">Overall, based on the points raised above and the risk and mitigation strategy outlined in </w:t>
      </w:r>
      <w:r w:rsidR="000F3351">
        <w:rPr>
          <w:rFonts w:ascii="Calibri" w:eastAsia="Calibri" w:hAnsi="Calibri" w:cs="Calibri"/>
          <w:b/>
          <w:bCs/>
        </w:rPr>
        <w:t>Annexe</w:t>
      </w:r>
      <w:r w:rsidRPr="0022667E">
        <w:rPr>
          <w:rFonts w:ascii="Calibri" w:eastAsia="Calibri" w:hAnsi="Calibri" w:cs="Calibri"/>
          <w:b/>
          <w:bCs/>
        </w:rPr>
        <w:t xml:space="preserve"> 6</w:t>
      </w:r>
      <w:r w:rsidRPr="0022667E">
        <w:rPr>
          <w:rFonts w:ascii="Calibri" w:eastAsia="Calibri" w:hAnsi="Calibri" w:cs="Calibri"/>
        </w:rPr>
        <w:t>, the evaluation team is confident that, with careful attention to mitigation measures, systematic and triangulated analysis, and the approach outlined in the evaluation matrix, the investment can be evaluated credibly and reliably, making its results useful for the PFO and other key stakeholders.</w:t>
      </w:r>
    </w:p>
    <w:p w14:paraId="17B1A672" w14:textId="77777777" w:rsidR="00C640B0" w:rsidRDefault="00C640B0" w:rsidP="00C640B0">
      <w:pPr>
        <w:rPr>
          <w:rFonts w:ascii="Calibri" w:eastAsia="Calibri" w:hAnsi="Calibri" w:cs="Calibri"/>
          <w:color w:val="2F5496"/>
          <w:sz w:val="32"/>
          <w:szCs w:val="32"/>
        </w:rPr>
      </w:pPr>
      <w:r>
        <w:rPr>
          <w:rFonts w:ascii="Calibri" w:eastAsia="Calibri" w:hAnsi="Calibri" w:cs="Calibri"/>
          <w:color w:val="2F5496"/>
        </w:rPr>
        <w:br w:type="page"/>
      </w:r>
    </w:p>
    <w:p w14:paraId="7C8EDC70" w14:textId="528B7A9A" w:rsidR="00C640B0" w:rsidRPr="00FA2BF4" w:rsidRDefault="00C640B0" w:rsidP="00FA2BF4">
      <w:pPr>
        <w:pStyle w:val="Heading4"/>
      </w:pPr>
      <w:bookmarkStart w:id="182" w:name="_Toc191384088"/>
      <w:bookmarkStart w:id="183" w:name="_Toc205147398"/>
      <w:bookmarkStart w:id="184" w:name="_Toc205147551"/>
      <w:bookmarkStart w:id="185" w:name="_Toc205147853"/>
      <w:r w:rsidRPr="00FA2BF4">
        <w:lastRenderedPageBreak/>
        <w:t>Key Personnel</w:t>
      </w:r>
      <w:bookmarkEnd w:id="182"/>
      <w:bookmarkEnd w:id="183"/>
      <w:bookmarkEnd w:id="184"/>
      <w:bookmarkEnd w:id="185"/>
    </w:p>
    <w:p w14:paraId="0FABA588" w14:textId="1EFFE127" w:rsidR="00C640B0" w:rsidRPr="001278F2" w:rsidRDefault="00C640B0" w:rsidP="00C640B0">
      <w:pPr>
        <w:pBdr>
          <w:top w:val="nil"/>
          <w:left w:val="nil"/>
          <w:bottom w:val="nil"/>
          <w:right w:val="nil"/>
          <w:between w:val="nil"/>
        </w:pBdr>
        <w:rPr>
          <w:rFonts w:asciiTheme="minorHAnsi" w:eastAsia="Calibri" w:hAnsiTheme="minorHAnsi" w:cstheme="minorBidi"/>
          <w:color w:val="000000"/>
        </w:rPr>
      </w:pPr>
      <w:r w:rsidRPr="080AC63D">
        <w:rPr>
          <w:rFonts w:asciiTheme="minorHAnsi" w:eastAsia="Calibri" w:hAnsiTheme="minorHAnsi" w:cstheme="minorBidi"/>
          <w:color w:val="000000"/>
        </w:rPr>
        <w:t xml:space="preserve">DFAT has contracted Strategic to carry out the evaluation. The evaluation team is composed of four independent experts as shown in </w:t>
      </w:r>
      <w:r w:rsidRPr="080AC63D">
        <w:rPr>
          <w:rFonts w:asciiTheme="minorHAnsi" w:eastAsia="Calibri" w:hAnsiTheme="minorHAnsi" w:cstheme="minorBidi"/>
          <w:color w:val="000000"/>
        </w:rPr>
        <w:fldChar w:fldCharType="begin"/>
      </w:r>
      <w:r w:rsidRPr="080AC63D">
        <w:rPr>
          <w:rFonts w:asciiTheme="minorHAnsi" w:eastAsia="Calibri" w:hAnsiTheme="minorHAnsi" w:cstheme="minorBidi"/>
          <w:color w:val="000000"/>
        </w:rPr>
        <w:instrText xml:space="preserve"> REF _Ref190173610 \h  \* MERGEFORMAT </w:instrText>
      </w:r>
      <w:r w:rsidRPr="080AC63D">
        <w:rPr>
          <w:rFonts w:asciiTheme="minorHAnsi" w:eastAsia="Calibri" w:hAnsiTheme="minorHAnsi" w:cstheme="minorBidi"/>
          <w:color w:val="000000"/>
        </w:rPr>
      </w:r>
      <w:r w:rsidRPr="080AC63D">
        <w:rPr>
          <w:rFonts w:asciiTheme="minorHAnsi" w:eastAsia="Calibri" w:hAnsiTheme="minorHAnsi" w:cstheme="minorBidi"/>
          <w:color w:val="000000"/>
        </w:rPr>
        <w:fldChar w:fldCharType="separate"/>
      </w:r>
      <w:r w:rsidR="00FC67EE" w:rsidRPr="00FC67EE">
        <w:rPr>
          <w:rFonts w:asciiTheme="minorHAnsi" w:hAnsiTheme="minorHAnsi" w:cstheme="minorBidi"/>
        </w:rPr>
        <w:t xml:space="preserve">Table </w:t>
      </w:r>
      <w:r w:rsidRPr="080AC63D">
        <w:rPr>
          <w:rFonts w:asciiTheme="minorHAnsi" w:eastAsia="Calibri" w:hAnsiTheme="minorHAnsi" w:cstheme="minorBidi"/>
          <w:color w:val="000000"/>
        </w:rPr>
        <w:fldChar w:fldCharType="end"/>
      </w:r>
      <w:r w:rsidRPr="080AC63D">
        <w:rPr>
          <w:rFonts w:asciiTheme="minorHAnsi" w:eastAsia="Calibri" w:hAnsiTheme="minorHAnsi" w:cstheme="minorBidi"/>
          <w:color w:val="000000"/>
        </w:rPr>
        <w:t>. Specific areas of the evaluation have been assigned to different team members based on their experience and specific expertise.</w:t>
      </w:r>
    </w:p>
    <w:p w14:paraId="46FA1B29" w14:textId="77777777" w:rsidR="00C640B0" w:rsidRDefault="00C640B0" w:rsidP="00C640B0">
      <w:pPr>
        <w:pBdr>
          <w:top w:val="nil"/>
          <w:left w:val="nil"/>
          <w:bottom w:val="nil"/>
          <w:right w:val="nil"/>
          <w:between w:val="nil"/>
        </w:pBdr>
        <w:rPr>
          <w:rFonts w:ascii="Calibri" w:eastAsia="Calibri" w:hAnsi="Calibri" w:cs="Calibri"/>
          <w:color w:val="000000"/>
        </w:rPr>
      </w:pPr>
    </w:p>
    <w:p w14:paraId="03F0DC0D" w14:textId="717DA3C1" w:rsidR="00C640B0" w:rsidRPr="00B90068" w:rsidRDefault="00C640B0" w:rsidP="00C640B0">
      <w:pPr>
        <w:pStyle w:val="Caption"/>
        <w:rPr>
          <w:rFonts w:ascii="Calibri" w:eastAsia="Calibri" w:hAnsi="Calibri" w:cs="Calibri"/>
          <w:color w:val="000000"/>
          <w:sz w:val="22"/>
          <w:szCs w:val="22"/>
        </w:rPr>
      </w:pPr>
      <w:bookmarkStart w:id="186" w:name="_Ref190173610"/>
      <w:r>
        <w:t xml:space="preserve">Table </w:t>
      </w:r>
      <w:r>
        <w:fldChar w:fldCharType="begin"/>
      </w:r>
      <w:r>
        <w:instrText xml:space="preserve"> SEQ Table \* ARABIC </w:instrText>
      </w:r>
      <w:r>
        <w:fldChar w:fldCharType="separate"/>
      </w:r>
      <w:r w:rsidR="00FC67EE">
        <w:rPr>
          <w:noProof/>
        </w:rPr>
        <w:t>8</w:t>
      </w:r>
      <w:r>
        <w:fldChar w:fldCharType="end"/>
      </w:r>
      <w:bookmarkEnd w:id="186"/>
      <w:r>
        <w:t>: Roles and responsibilities</w:t>
      </w:r>
    </w:p>
    <w:tbl>
      <w:tblPr>
        <w:tblStyle w:val="GridTable4-Accent1"/>
        <w:tblW w:w="0" w:type="auto"/>
        <w:tblLook w:val="04A0" w:firstRow="1" w:lastRow="0" w:firstColumn="1" w:lastColumn="0" w:noHBand="0" w:noVBand="1"/>
      </w:tblPr>
      <w:tblGrid>
        <w:gridCol w:w="1980"/>
        <w:gridCol w:w="7030"/>
      </w:tblGrid>
      <w:tr w:rsidR="00C640B0" w:rsidRPr="00522EA3" w14:paraId="627FF700" w14:textId="77777777" w:rsidTr="0073437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Pr>
          <w:p w14:paraId="4A367E44" w14:textId="77777777" w:rsidR="00C640B0" w:rsidRPr="00522EA3" w:rsidRDefault="00C640B0" w:rsidP="0073437D">
            <w:pPr>
              <w:rPr>
                <w:rFonts w:asciiTheme="minorHAnsi" w:hAnsiTheme="minorHAnsi"/>
                <w:sz w:val="20"/>
                <w:szCs w:val="20"/>
              </w:rPr>
            </w:pPr>
            <w:r w:rsidRPr="00522EA3">
              <w:rPr>
                <w:rFonts w:asciiTheme="minorHAnsi" w:hAnsiTheme="minorHAnsi"/>
                <w:sz w:val="20"/>
                <w:szCs w:val="20"/>
              </w:rPr>
              <w:t>Team member and role</w:t>
            </w:r>
          </w:p>
        </w:tc>
        <w:tc>
          <w:tcPr>
            <w:tcW w:w="7030" w:type="dxa"/>
          </w:tcPr>
          <w:p w14:paraId="2796E29A" w14:textId="77777777" w:rsidR="00C640B0" w:rsidRPr="00522EA3" w:rsidRDefault="00C640B0" w:rsidP="0073437D">
            <w:pP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22EA3">
              <w:rPr>
                <w:rFonts w:asciiTheme="minorHAnsi" w:hAnsiTheme="minorHAnsi"/>
                <w:sz w:val="20"/>
                <w:szCs w:val="20"/>
              </w:rPr>
              <w:t>Responsibilities/ Coverage</w:t>
            </w:r>
          </w:p>
        </w:tc>
      </w:tr>
      <w:tr w:rsidR="00C640B0" w:rsidRPr="00522EA3" w14:paraId="6DD5451E"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23398A9" w14:textId="77777777" w:rsidR="00C640B0" w:rsidRPr="00522EA3" w:rsidRDefault="00C640B0" w:rsidP="0073437D">
            <w:pPr>
              <w:rPr>
                <w:rFonts w:asciiTheme="minorHAnsi" w:hAnsiTheme="minorHAnsi"/>
                <w:sz w:val="20"/>
                <w:szCs w:val="20"/>
              </w:rPr>
            </w:pPr>
            <w:r w:rsidRPr="00522EA3">
              <w:rPr>
                <w:rFonts w:asciiTheme="minorHAnsi" w:hAnsiTheme="minorHAnsi"/>
                <w:sz w:val="20"/>
                <w:szCs w:val="20"/>
              </w:rPr>
              <w:t>Matt Smith</w:t>
            </w:r>
          </w:p>
          <w:p w14:paraId="7074672E" w14:textId="77777777" w:rsidR="00C640B0" w:rsidRPr="00522EA3" w:rsidRDefault="00C640B0" w:rsidP="0073437D">
            <w:pPr>
              <w:rPr>
                <w:rFonts w:asciiTheme="minorHAnsi" w:hAnsiTheme="minorHAnsi"/>
                <w:sz w:val="20"/>
                <w:szCs w:val="20"/>
              </w:rPr>
            </w:pPr>
            <w:r w:rsidRPr="00522EA3">
              <w:rPr>
                <w:rFonts w:asciiTheme="minorHAnsi" w:hAnsiTheme="minorHAnsi"/>
                <w:sz w:val="20"/>
                <w:szCs w:val="20"/>
              </w:rPr>
              <w:t>Team Leader</w:t>
            </w:r>
          </w:p>
        </w:tc>
        <w:tc>
          <w:tcPr>
            <w:tcW w:w="7030" w:type="dxa"/>
          </w:tcPr>
          <w:p w14:paraId="3CA73D1B"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kern w:val="28"/>
                <w:sz w:val="20"/>
                <w:szCs w:val="20"/>
              </w:rPr>
            </w:pPr>
            <w:r w:rsidRPr="00522EA3">
              <w:rPr>
                <w:rFonts w:asciiTheme="minorHAnsi" w:hAnsiTheme="minorHAnsi"/>
                <w:kern w:val="28"/>
                <w:sz w:val="20"/>
                <w:szCs w:val="20"/>
              </w:rPr>
              <w:t>Team Leader with overall responsibility for all aspects of the evaluation</w:t>
            </w:r>
          </w:p>
          <w:p w14:paraId="76E01623"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kern w:val="28"/>
                <w:sz w:val="20"/>
                <w:szCs w:val="20"/>
              </w:rPr>
            </w:pPr>
            <w:r w:rsidRPr="00522EA3">
              <w:rPr>
                <w:rFonts w:asciiTheme="minorHAnsi" w:hAnsiTheme="minorHAnsi"/>
                <w:kern w:val="28"/>
                <w:sz w:val="20"/>
                <w:szCs w:val="20"/>
              </w:rPr>
              <w:t>Primary responsibility for supervision of evaluation team members</w:t>
            </w:r>
          </w:p>
          <w:p w14:paraId="0DBE3B0C"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kern w:val="28"/>
                <w:sz w:val="20"/>
                <w:szCs w:val="20"/>
              </w:rPr>
            </w:pPr>
            <w:r w:rsidRPr="00522EA3">
              <w:rPr>
                <w:rFonts w:asciiTheme="minorHAnsi" w:hAnsiTheme="minorHAnsi"/>
                <w:kern w:val="28"/>
                <w:sz w:val="20"/>
                <w:szCs w:val="20"/>
              </w:rPr>
              <w:t>Key role on liaison with the PFO</w:t>
            </w:r>
          </w:p>
          <w:p w14:paraId="55EBF86D"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kern w:val="28"/>
                <w:sz w:val="20"/>
                <w:szCs w:val="20"/>
              </w:rPr>
            </w:pPr>
            <w:r w:rsidRPr="080AC63D">
              <w:rPr>
                <w:rFonts w:asciiTheme="minorHAnsi" w:hAnsiTheme="minorHAnsi" w:cstheme="minorBidi"/>
                <w:kern w:val="28"/>
                <w:sz w:val="20"/>
                <w:szCs w:val="20"/>
              </w:rPr>
              <w:t>Responsible for overall design, implementation, reporting and timely delivery of the evaluation products.</w:t>
            </w:r>
          </w:p>
          <w:p w14:paraId="58A648DC" w14:textId="77777777" w:rsidR="00C640B0" w:rsidRPr="00522EA3" w:rsidRDefault="00C640B0" w:rsidP="00821BD8">
            <w:pPr>
              <w:pStyle w:val="ListParagraph"/>
              <w:numPr>
                <w:ilvl w:val="0"/>
                <w:numId w:val="56"/>
              </w:numPr>
              <w:tabs>
                <w:tab w:val="clear" w:pos="7780"/>
              </w:tabs>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kern w:val="28"/>
                <w:sz w:val="20"/>
                <w:szCs w:val="20"/>
              </w:rPr>
            </w:pPr>
            <w:r w:rsidRPr="00522EA3">
              <w:rPr>
                <w:rFonts w:asciiTheme="minorHAnsi" w:eastAsia="Times New Roman" w:hAnsiTheme="minorHAnsi" w:cstheme="minorHAnsi"/>
                <w:kern w:val="28"/>
                <w:sz w:val="20"/>
                <w:szCs w:val="20"/>
              </w:rPr>
              <w:t>Leads on the design of the Portfolio Investment rubric, and other evaluation instruments</w:t>
            </w:r>
          </w:p>
          <w:p w14:paraId="7E4602E6" w14:textId="77777777" w:rsidR="00C640B0" w:rsidRPr="00522EA3" w:rsidRDefault="00C640B0" w:rsidP="00821BD8">
            <w:pPr>
              <w:pStyle w:val="ListParagraph"/>
              <w:numPr>
                <w:ilvl w:val="0"/>
                <w:numId w:val="56"/>
              </w:numPr>
              <w:tabs>
                <w:tab w:val="clear" w:pos="7780"/>
              </w:tabs>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kern w:val="28"/>
                <w:sz w:val="20"/>
                <w:szCs w:val="20"/>
              </w:rPr>
            </w:pPr>
            <w:r w:rsidRPr="00522EA3">
              <w:rPr>
                <w:rFonts w:asciiTheme="minorHAnsi" w:eastAsia="Times New Roman" w:hAnsiTheme="minorHAnsi" w:cstheme="minorHAnsi"/>
                <w:kern w:val="28"/>
                <w:sz w:val="20"/>
                <w:szCs w:val="20"/>
              </w:rPr>
              <w:t>Will lead on the co-facilitation workshops/ presentations with the PFO</w:t>
            </w:r>
          </w:p>
          <w:p w14:paraId="5EEA2FBB" w14:textId="77777777" w:rsidR="00C640B0" w:rsidRPr="00522EA3" w:rsidRDefault="00C640B0" w:rsidP="00821BD8">
            <w:pPr>
              <w:pStyle w:val="ListParagraph"/>
              <w:numPr>
                <w:ilvl w:val="0"/>
                <w:numId w:val="56"/>
              </w:numPr>
              <w:tabs>
                <w:tab w:val="clear" w:pos="7780"/>
              </w:tabs>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kern w:val="28"/>
                <w:sz w:val="20"/>
                <w:szCs w:val="20"/>
              </w:rPr>
            </w:pPr>
            <w:r w:rsidRPr="00522EA3">
              <w:rPr>
                <w:rFonts w:asciiTheme="minorHAnsi" w:eastAsia="Times New Roman" w:hAnsiTheme="minorHAnsi" w:cstheme="minorHAnsi"/>
                <w:kern w:val="28"/>
                <w:sz w:val="20"/>
                <w:szCs w:val="20"/>
              </w:rPr>
              <w:t>Leads on the consultations in Canberra and Honiara</w:t>
            </w:r>
          </w:p>
          <w:p w14:paraId="593614A4" w14:textId="77777777" w:rsidR="00C640B0" w:rsidRPr="00522EA3" w:rsidRDefault="00C640B0" w:rsidP="00821BD8">
            <w:pPr>
              <w:widowControl w:val="0"/>
              <w:numPr>
                <w:ilvl w:val="0"/>
                <w:numId w:val="57"/>
              </w:numPr>
              <w:tabs>
                <w:tab w:val="clear" w:pos="7780"/>
              </w:tabs>
              <w:overflowPunct w:val="0"/>
              <w:autoSpaceDE w:val="0"/>
              <w:autoSpaceDN w:val="0"/>
              <w:adjustRightInd w:val="0"/>
              <w:ind w:left="357" w:hanging="357"/>
              <w:contextualSpacing/>
              <w:textAlignment w:val="baseline"/>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kern w:val="28"/>
                <w:sz w:val="20"/>
                <w:szCs w:val="20"/>
              </w:rPr>
            </w:pPr>
            <w:r w:rsidRPr="080AC63D">
              <w:rPr>
                <w:rFonts w:asciiTheme="minorHAnsi" w:hAnsiTheme="minorHAnsi" w:cstheme="minorBidi"/>
                <w:kern w:val="28"/>
                <w:sz w:val="20"/>
                <w:szCs w:val="20"/>
              </w:rPr>
              <w:t>Leads on team analysis and synthesis following data collection phase and provides key advice on data analysis and processing as well as on synthesizing the key findings.</w:t>
            </w:r>
          </w:p>
          <w:p w14:paraId="0AC2AD26" w14:textId="77777777" w:rsidR="00C640B0" w:rsidRPr="00522EA3" w:rsidRDefault="00C640B0" w:rsidP="00821BD8">
            <w:pPr>
              <w:pStyle w:val="ListParagraph"/>
              <w:numPr>
                <w:ilvl w:val="0"/>
                <w:numId w:val="56"/>
              </w:numPr>
              <w:tabs>
                <w:tab w:val="clear" w:pos="7780"/>
              </w:tabs>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kern w:val="28"/>
                <w:sz w:val="20"/>
                <w:szCs w:val="20"/>
              </w:rPr>
            </w:pPr>
            <w:r w:rsidRPr="00522EA3">
              <w:rPr>
                <w:rFonts w:asciiTheme="minorHAnsi" w:eastAsia="Times New Roman" w:hAnsiTheme="minorHAnsi" w:cstheme="minorHAnsi"/>
                <w:kern w:val="28"/>
                <w:sz w:val="20"/>
                <w:szCs w:val="20"/>
              </w:rPr>
              <w:t>Lead author on the FIMR Aide Memoire</w:t>
            </w:r>
          </w:p>
          <w:p w14:paraId="69794EEA" w14:textId="77777777" w:rsidR="00C640B0" w:rsidRPr="00522EA3" w:rsidRDefault="00C640B0" w:rsidP="00821BD8">
            <w:pPr>
              <w:pStyle w:val="ListParagraph"/>
              <w:numPr>
                <w:ilvl w:val="0"/>
                <w:numId w:val="56"/>
              </w:numPr>
              <w:tabs>
                <w:tab w:val="clear" w:pos="7780"/>
              </w:tabs>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stheme="minorHAnsi"/>
                <w:kern w:val="28"/>
                <w:sz w:val="20"/>
                <w:szCs w:val="20"/>
              </w:rPr>
            </w:pPr>
            <w:r w:rsidRPr="00522EA3">
              <w:rPr>
                <w:rFonts w:asciiTheme="minorHAnsi" w:eastAsia="Times New Roman" w:hAnsiTheme="minorHAnsi" w:cstheme="minorHAnsi"/>
                <w:kern w:val="28"/>
                <w:sz w:val="20"/>
                <w:szCs w:val="20"/>
              </w:rPr>
              <w:t>Lead author of the Final Evaluation Report</w:t>
            </w:r>
          </w:p>
        </w:tc>
      </w:tr>
      <w:tr w:rsidR="00C640B0" w:rsidRPr="00522EA3" w14:paraId="3837A56E" w14:textId="77777777" w:rsidTr="0073437D">
        <w:tc>
          <w:tcPr>
            <w:cnfStyle w:val="001000000000" w:firstRow="0" w:lastRow="0" w:firstColumn="1" w:lastColumn="0" w:oddVBand="0" w:evenVBand="0" w:oddHBand="0" w:evenHBand="0" w:firstRowFirstColumn="0" w:firstRowLastColumn="0" w:lastRowFirstColumn="0" w:lastRowLastColumn="0"/>
            <w:tcW w:w="1980" w:type="dxa"/>
          </w:tcPr>
          <w:p w14:paraId="29C96F22" w14:textId="77777777" w:rsidR="00C640B0" w:rsidRPr="00522EA3" w:rsidRDefault="00C640B0" w:rsidP="0073437D">
            <w:pPr>
              <w:rPr>
                <w:rFonts w:asciiTheme="minorHAnsi" w:hAnsiTheme="minorHAnsi"/>
                <w:sz w:val="20"/>
                <w:szCs w:val="20"/>
              </w:rPr>
            </w:pPr>
            <w:r w:rsidRPr="00522EA3">
              <w:rPr>
                <w:rFonts w:asciiTheme="minorHAnsi" w:hAnsiTheme="minorHAnsi"/>
                <w:sz w:val="20"/>
                <w:szCs w:val="20"/>
              </w:rPr>
              <w:t>Cat Renshaw</w:t>
            </w:r>
          </w:p>
          <w:p w14:paraId="2FB94019" w14:textId="77777777" w:rsidR="00C640B0" w:rsidRPr="00522EA3" w:rsidRDefault="00C640B0" w:rsidP="0073437D">
            <w:pPr>
              <w:rPr>
                <w:rFonts w:asciiTheme="minorHAnsi" w:hAnsiTheme="minorHAnsi"/>
                <w:sz w:val="20"/>
                <w:szCs w:val="20"/>
              </w:rPr>
            </w:pPr>
            <w:r w:rsidRPr="00522EA3">
              <w:rPr>
                <w:rFonts w:asciiTheme="minorHAnsi" w:hAnsiTheme="minorHAnsi"/>
                <w:sz w:val="20"/>
                <w:szCs w:val="20"/>
              </w:rPr>
              <w:t xml:space="preserve">Senior Evaluator </w:t>
            </w:r>
          </w:p>
        </w:tc>
        <w:tc>
          <w:tcPr>
            <w:tcW w:w="7030" w:type="dxa"/>
          </w:tcPr>
          <w:p w14:paraId="70DCC344"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kern w:val="28"/>
                <w:sz w:val="20"/>
                <w:szCs w:val="20"/>
              </w:rPr>
            </w:pPr>
            <w:r w:rsidRPr="080AC63D">
              <w:rPr>
                <w:rFonts w:asciiTheme="minorHAnsi" w:hAnsiTheme="minorHAnsi" w:cstheme="minorBidi"/>
                <w:kern w:val="28"/>
                <w:sz w:val="20"/>
                <w:szCs w:val="20"/>
              </w:rPr>
              <w:t>Key role in helping to shape the design implementation, reporting and timely delivery of the evaluation products.</w:t>
            </w:r>
          </w:p>
          <w:p w14:paraId="603BECC8"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kern w:val="28"/>
                <w:sz w:val="20"/>
                <w:szCs w:val="20"/>
              </w:rPr>
            </w:pPr>
            <w:r w:rsidRPr="00522EA3">
              <w:rPr>
                <w:rFonts w:asciiTheme="minorHAnsi" w:hAnsiTheme="minorHAnsi"/>
                <w:kern w:val="28"/>
                <w:sz w:val="20"/>
                <w:szCs w:val="20"/>
              </w:rPr>
              <w:t>Participates in all the co-creation events, including the design of the rubric, and other evaluation instruments</w:t>
            </w:r>
          </w:p>
          <w:p w14:paraId="75F78FD7"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kern w:val="28"/>
                <w:sz w:val="20"/>
                <w:szCs w:val="20"/>
              </w:rPr>
            </w:pPr>
            <w:r w:rsidRPr="00522EA3">
              <w:rPr>
                <w:rFonts w:asciiTheme="minorHAnsi" w:hAnsiTheme="minorHAnsi"/>
                <w:kern w:val="28"/>
                <w:sz w:val="20"/>
                <w:szCs w:val="20"/>
              </w:rPr>
              <w:t>Supports the TL to ensure that the evaluation is delivered to the highest quality and in line with the agreement between DFAT and Strategic</w:t>
            </w:r>
          </w:p>
          <w:p w14:paraId="35562D7B"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kern w:val="28"/>
                <w:sz w:val="20"/>
                <w:szCs w:val="20"/>
              </w:rPr>
            </w:pPr>
            <w:r w:rsidRPr="00522EA3">
              <w:rPr>
                <w:rFonts w:asciiTheme="minorHAnsi" w:hAnsiTheme="minorHAnsi"/>
                <w:kern w:val="28"/>
                <w:sz w:val="20"/>
                <w:szCs w:val="20"/>
              </w:rPr>
              <w:t>Leads on the consultations with Australian partners</w:t>
            </w:r>
          </w:p>
          <w:p w14:paraId="461BA39F"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kern w:val="28"/>
                <w:sz w:val="20"/>
                <w:szCs w:val="20"/>
              </w:rPr>
            </w:pPr>
            <w:r w:rsidRPr="080AC63D">
              <w:rPr>
                <w:rFonts w:asciiTheme="minorHAnsi" w:hAnsiTheme="minorHAnsi" w:cstheme="minorBidi"/>
                <w:kern w:val="28"/>
                <w:sz w:val="20"/>
                <w:szCs w:val="20"/>
              </w:rPr>
              <w:t>Key role in supporting team analysis and synthesis following data collection phase and provides key advice on data analysis and processing as well as on synthesizing the key findings.</w:t>
            </w:r>
          </w:p>
          <w:p w14:paraId="2D60DFBB"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kern w:val="28"/>
                <w:sz w:val="20"/>
                <w:szCs w:val="20"/>
              </w:rPr>
            </w:pPr>
            <w:r w:rsidRPr="00522EA3">
              <w:rPr>
                <w:rFonts w:asciiTheme="minorHAnsi" w:hAnsiTheme="minorHAnsi"/>
                <w:kern w:val="28"/>
                <w:sz w:val="20"/>
                <w:szCs w:val="20"/>
              </w:rPr>
              <w:t>Supports the TL in presentation of findings to the PFO</w:t>
            </w:r>
          </w:p>
          <w:p w14:paraId="7873E205"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kern w:val="28"/>
                <w:sz w:val="20"/>
                <w:szCs w:val="20"/>
              </w:rPr>
            </w:pPr>
            <w:r w:rsidRPr="00522EA3">
              <w:rPr>
                <w:rFonts w:asciiTheme="minorHAnsi" w:hAnsiTheme="minorHAnsi"/>
                <w:kern w:val="28"/>
                <w:sz w:val="20"/>
                <w:szCs w:val="20"/>
              </w:rPr>
              <w:t>Supports the TL in preparation of the FIMR Aide Memoire</w:t>
            </w:r>
          </w:p>
          <w:p w14:paraId="10B2D8E6"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kern w:val="28"/>
                <w:sz w:val="20"/>
                <w:szCs w:val="20"/>
              </w:rPr>
            </w:pPr>
            <w:r w:rsidRPr="00522EA3">
              <w:rPr>
                <w:rFonts w:asciiTheme="minorHAnsi" w:hAnsiTheme="minorHAnsi"/>
                <w:kern w:val="28"/>
                <w:sz w:val="20"/>
                <w:szCs w:val="20"/>
              </w:rPr>
              <w:t xml:space="preserve">Supports the TL in preparation of the Final Evaluation Report </w:t>
            </w:r>
          </w:p>
        </w:tc>
      </w:tr>
      <w:tr w:rsidR="00C640B0" w:rsidRPr="00522EA3" w14:paraId="34E73ECC" w14:textId="77777777" w:rsidTr="007343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9D23770" w14:textId="77777777" w:rsidR="00C640B0" w:rsidRPr="00522EA3" w:rsidRDefault="00C640B0" w:rsidP="0073437D">
            <w:pPr>
              <w:rPr>
                <w:rFonts w:asciiTheme="minorHAnsi" w:hAnsiTheme="minorHAnsi" w:cstheme="minorBidi"/>
                <w:sz w:val="20"/>
                <w:szCs w:val="20"/>
              </w:rPr>
            </w:pPr>
            <w:r w:rsidRPr="080AC63D">
              <w:rPr>
                <w:rFonts w:asciiTheme="minorHAnsi" w:hAnsiTheme="minorHAnsi" w:cstheme="minorBidi"/>
                <w:sz w:val="20"/>
                <w:szCs w:val="20"/>
              </w:rPr>
              <w:t>Kenneth Katafono</w:t>
            </w:r>
          </w:p>
          <w:p w14:paraId="20A5B2A9" w14:textId="77777777" w:rsidR="00C640B0" w:rsidRPr="00522EA3" w:rsidRDefault="00C640B0" w:rsidP="0073437D">
            <w:pPr>
              <w:rPr>
                <w:rFonts w:asciiTheme="minorHAnsi" w:hAnsiTheme="minorHAnsi"/>
                <w:sz w:val="20"/>
                <w:szCs w:val="20"/>
              </w:rPr>
            </w:pPr>
            <w:r w:rsidRPr="00522EA3">
              <w:rPr>
                <w:rFonts w:asciiTheme="minorHAnsi" w:hAnsiTheme="minorHAnsi"/>
                <w:sz w:val="20"/>
                <w:szCs w:val="20"/>
              </w:rPr>
              <w:t>Pacific Fisheries Expert</w:t>
            </w:r>
          </w:p>
        </w:tc>
        <w:tc>
          <w:tcPr>
            <w:tcW w:w="7030" w:type="dxa"/>
          </w:tcPr>
          <w:p w14:paraId="0FC3B140" w14:textId="77777777" w:rsidR="00C640B0" w:rsidRPr="00522EA3" w:rsidRDefault="00C640B0" w:rsidP="00821BD8">
            <w:pPr>
              <w:pStyle w:val="ListParagraph"/>
              <w:numPr>
                <w:ilvl w:val="0"/>
                <w:numId w:val="58"/>
              </w:numPr>
              <w:tabs>
                <w:tab w:val="clear" w:pos="7780"/>
              </w:tabs>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22EA3">
              <w:rPr>
                <w:rFonts w:asciiTheme="minorHAnsi" w:hAnsiTheme="minorHAnsi" w:cstheme="minorHAnsi"/>
                <w:sz w:val="20"/>
                <w:szCs w:val="20"/>
              </w:rPr>
              <w:t>Key role in helping to engage with partners in the Pacific, including helping to arrange meetings with relevant FFA officials in Honiara</w:t>
            </w:r>
          </w:p>
          <w:p w14:paraId="61738C09" w14:textId="77777777" w:rsidR="00C640B0" w:rsidRPr="00522EA3" w:rsidRDefault="00C640B0" w:rsidP="00821BD8">
            <w:pPr>
              <w:pStyle w:val="ListParagraph"/>
              <w:numPr>
                <w:ilvl w:val="0"/>
                <w:numId w:val="58"/>
              </w:numPr>
              <w:tabs>
                <w:tab w:val="clear" w:pos="7780"/>
              </w:tabs>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22EA3">
              <w:rPr>
                <w:rFonts w:asciiTheme="minorHAnsi" w:hAnsiTheme="minorHAnsi" w:cstheme="minorHAnsi"/>
                <w:sz w:val="20"/>
                <w:szCs w:val="20"/>
              </w:rPr>
              <w:t>Leads on consultations with Pacific Partners</w:t>
            </w:r>
          </w:p>
          <w:p w14:paraId="28D0206B" w14:textId="77777777" w:rsidR="00C640B0" w:rsidRPr="00522EA3" w:rsidRDefault="00C640B0" w:rsidP="00821BD8">
            <w:pPr>
              <w:widowControl w:val="0"/>
              <w:numPr>
                <w:ilvl w:val="0"/>
                <w:numId w:val="58"/>
              </w:numPr>
              <w:tabs>
                <w:tab w:val="clear" w:pos="7780"/>
              </w:tabs>
              <w:overflowPunct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kern w:val="28"/>
                <w:sz w:val="20"/>
                <w:szCs w:val="20"/>
              </w:rPr>
            </w:pPr>
            <w:r w:rsidRPr="00522EA3">
              <w:rPr>
                <w:rFonts w:asciiTheme="minorHAnsi" w:hAnsiTheme="minorHAnsi"/>
                <w:kern w:val="28"/>
                <w:sz w:val="20"/>
                <w:szCs w:val="20"/>
              </w:rPr>
              <w:t>Participates in all the co-creation events, including the design of the rubric, and other evaluation instruments</w:t>
            </w:r>
          </w:p>
          <w:p w14:paraId="537878F8" w14:textId="77777777" w:rsidR="00C640B0" w:rsidRPr="00522EA3" w:rsidRDefault="00C640B0" w:rsidP="00821BD8">
            <w:pPr>
              <w:widowControl w:val="0"/>
              <w:numPr>
                <w:ilvl w:val="0"/>
                <w:numId w:val="58"/>
              </w:numPr>
              <w:tabs>
                <w:tab w:val="clear" w:pos="7780"/>
              </w:tabs>
              <w:overflowPunct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kern w:val="28"/>
                <w:sz w:val="20"/>
                <w:szCs w:val="20"/>
              </w:rPr>
            </w:pPr>
            <w:r w:rsidRPr="00522EA3">
              <w:rPr>
                <w:rFonts w:asciiTheme="minorHAnsi" w:hAnsiTheme="minorHAnsi"/>
                <w:kern w:val="28"/>
                <w:sz w:val="20"/>
                <w:szCs w:val="20"/>
              </w:rPr>
              <w:t>Supports the TL to ensure that the evaluation is delivered to the highest quality and in line with the agreement between DFAT and Strategic</w:t>
            </w:r>
          </w:p>
          <w:p w14:paraId="4FC5A29A" w14:textId="77777777" w:rsidR="00C640B0" w:rsidRPr="00522EA3" w:rsidRDefault="00C640B0" w:rsidP="00821BD8">
            <w:pPr>
              <w:widowControl w:val="0"/>
              <w:numPr>
                <w:ilvl w:val="0"/>
                <w:numId w:val="58"/>
              </w:numPr>
              <w:tabs>
                <w:tab w:val="clear" w:pos="7780"/>
              </w:tabs>
              <w:overflowPunct w:val="0"/>
              <w:autoSpaceDE w:val="0"/>
              <w:autoSpaceDN w:val="0"/>
              <w:adjustRightInd w:val="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kern w:val="28"/>
                <w:sz w:val="20"/>
                <w:szCs w:val="20"/>
              </w:rPr>
            </w:pPr>
            <w:r w:rsidRPr="080AC63D">
              <w:rPr>
                <w:rFonts w:asciiTheme="minorHAnsi" w:hAnsiTheme="minorHAnsi" w:cstheme="minorBidi"/>
                <w:sz w:val="20"/>
                <w:szCs w:val="20"/>
              </w:rPr>
              <w:t xml:space="preserve">Contributes to </w:t>
            </w:r>
            <w:r w:rsidRPr="080AC63D">
              <w:rPr>
                <w:rFonts w:asciiTheme="minorHAnsi" w:hAnsiTheme="minorHAnsi" w:cstheme="minorBidi"/>
                <w:kern w:val="28"/>
                <w:sz w:val="20"/>
                <w:szCs w:val="20"/>
              </w:rPr>
              <w:t>supporting team analysis and synthesis following data collection phase and provides key advice on data analysis and processing as well as on synthesizing the key findings.</w:t>
            </w:r>
          </w:p>
          <w:p w14:paraId="6BFBC5FC" w14:textId="77777777" w:rsidR="00C640B0" w:rsidRPr="00522EA3" w:rsidRDefault="00C640B0" w:rsidP="00821BD8">
            <w:pPr>
              <w:pStyle w:val="ListParagraph"/>
              <w:numPr>
                <w:ilvl w:val="0"/>
                <w:numId w:val="58"/>
              </w:numPr>
              <w:tabs>
                <w:tab w:val="clear" w:pos="7780"/>
              </w:tabs>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22EA3">
              <w:rPr>
                <w:rFonts w:asciiTheme="minorHAnsi" w:hAnsiTheme="minorHAnsi" w:cstheme="minorHAnsi"/>
                <w:sz w:val="20"/>
                <w:szCs w:val="20"/>
              </w:rPr>
              <w:t xml:space="preserve">Contributes to all the evaluation outputs including presentations and reports </w:t>
            </w:r>
            <w:r w:rsidRPr="00522EA3">
              <w:rPr>
                <w:rFonts w:asciiTheme="minorHAnsi" w:hAnsiTheme="minorHAnsi" w:cstheme="minorHAnsi"/>
                <w:kern w:val="28"/>
                <w:sz w:val="20"/>
                <w:szCs w:val="20"/>
              </w:rPr>
              <w:t>Supports the TL in preparation of the Final Evaluation Report</w:t>
            </w:r>
          </w:p>
        </w:tc>
      </w:tr>
      <w:tr w:rsidR="00C640B0" w:rsidRPr="00522EA3" w14:paraId="54363FC6" w14:textId="77777777" w:rsidTr="0073437D">
        <w:tc>
          <w:tcPr>
            <w:cnfStyle w:val="001000000000" w:firstRow="0" w:lastRow="0" w:firstColumn="1" w:lastColumn="0" w:oddVBand="0" w:evenVBand="0" w:oddHBand="0" w:evenHBand="0" w:firstRowFirstColumn="0" w:firstRowLastColumn="0" w:lastRowFirstColumn="0" w:lastRowLastColumn="0"/>
            <w:tcW w:w="1980" w:type="dxa"/>
          </w:tcPr>
          <w:p w14:paraId="2660E177" w14:textId="77777777" w:rsidR="00C640B0" w:rsidRPr="00522EA3" w:rsidRDefault="00C640B0" w:rsidP="0073437D">
            <w:pPr>
              <w:rPr>
                <w:rFonts w:asciiTheme="minorHAnsi" w:hAnsiTheme="minorHAnsi" w:cstheme="minorBidi"/>
                <w:sz w:val="20"/>
                <w:szCs w:val="20"/>
              </w:rPr>
            </w:pPr>
            <w:r w:rsidRPr="080AC63D">
              <w:rPr>
                <w:rFonts w:asciiTheme="minorHAnsi" w:hAnsiTheme="minorHAnsi" w:cstheme="minorBidi"/>
                <w:sz w:val="20"/>
                <w:szCs w:val="20"/>
              </w:rPr>
              <w:t>Melissa Bungcaras</w:t>
            </w:r>
          </w:p>
          <w:p w14:paraId="6DB66566" w14:textId="77777777" w:rsidR="00C640B0" w:rsidRPr="00522EA3" w:rsidRDefault="00C640B0" w:rsidP="0073437D">
            <w:pPr>
              <w:rPr>
                <w:rFonts w:asciiTheme="minorHAnsi" w:hAnsiTheme="minorHAnsi"/>
                <w:sz w:val="20"/>
                <w:szCs w:val="20"/>
              </w:rPr>
            </w:pPr>
            <w:r w:rsidRPr="00522EA3">
              <w:rPr>
                <w:rFonts w:asciiTheme="minorHAnsi" w:hAnsiTheme="minorHAnsi"/>
                <w:sz w:val="20"/>
                <w:szCs w:val="20"/>
              </w:rPr>
              <w:t>GEDSI Advisor</w:t>
            </w:r>
          </w:p>
        </w:tc>
        <w:tc>
          <w:tcPr>
            <w:tcW w:w="7030" w:type="dxa"/>
          </w:tcPr>
          <w:p w14:paraId="095CEBB9" w14:textId="77777777" w:rsidR="00C640B0" w:rsidRPr="00522EA3" w:rsidRDefault="00C640B0" w:rsidP="00821BD8">
            <w:pPr>
              <w:pStyle w:val="ListParagraph"/>
              <w:numPr>
                <w:ilvl w:val="0"/>
                <w:numId w:val="58"/>
              </w:numPr>
              <w:tabs>
                <w:tab w:val="clear" w:pos="7780"/>
              </w:tabs>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22EA3">
              <w:rPr>
                <w:rFonts w:asciiTheme="minorHAnsi" w:hAnsiTheme="minorHAnsi" w:cstheme="minorHAnsi"/>
                <w:sz w:val="20"/>
                <w:szCs w:val="20"/>
              </w:rPr>
              <w:t>Primary responsibility for guiding the focus on GEDSI as a key part of the evaluation</w:t>
            </w:r>
          </w:p>
          <w:p w14:paraId="4CCBE0D0"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kern w:val="28"/>
                <w:sz w:val="20"/>
                <w:szCs w:val="20"/>
              </w:rPr>
            </w:pPr>
            <w:r w:rsidRPr="00522EA3">
              <w:rPr>
                <w:rFonts w:asciiTheme="minorHAnsi" w:hAnsiTheme="minorHAnsi"/>
                <w:sz w:val="20"/>
                <w:szCs w:val="20"/>
              </w:rPr>
              <w:t xml:space="preserve">Contributes to the co-creation events including the </w:t>
            </w:r>
            <w:r w:rsidRPr="00522EA3">
              <w:rPr>
                <w:rFonts w:asciiTheme="minorHAnsi" w:hAnsiTheme="minorHAnsi"/>
                <w:kern w:val="28"/>
                <w:sz w:val="20"/>
                <w:szCs w:val="20"/>
              </w:rPr>
              <w:t>design of the rubric, and other evaluation instruments</w:t>
            </w:r>
          </w:p>
          <w:p w14:paraId="447C65C7" w14:textId="77777777" w:rsidR="00C640B0" w:rsidRPr="00522EA3" w:rsidRDefault="00C640B0" w:rsidP="00821BD8">
            <w:pPr>
              <w:pStyle w:val="ListParagraph"/>
              <w:numPr>
                <w:ilvl w:val="0"/>
                <w:numId w:val="58"/>
              </w:numPr>
              <w:tabs>
                <w:tab w:val="clear" w:pos="7780"/>
              </w:tabs>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22EA3">
              <w:rPr>
                <w:rFonts w:asciiTheme="minorHAnsi" w:hAnsiTheme="minorHAnsi" w:cstheme="minorHAnsi"/>
                <w:sz w:val="20"/>
                <w:szCs w:val="20"/>
              </w:rPr>
              <w:t>(Co) Leads on the consultations with Australian partners</w:t>
            </w:r>
          </w:p>
          <w:p w14:paraId="73595171" w14:textId="77777777" w:rsidR="00C640B0" w:rsidRPr="00522EA3" w:rsidRDefault="00C640B0" w:rsidP="00821BD8">
            <w:pPr>
              <w:widowControl w:val="0"/>
              <w:numPr>
                <w:ilvl w:val="0"/>
                <w:numId w:val="56"/>
              </w:numPr>
              <w:tabs>
                <w:tab w:val="clear" w:pos="7780"/>
              </w:tabs>
              <w:overflowPunct w:val="0"/>
              <w:autoSpaceDE w:val="0"/>
              <w:autoSpaceDN w:val="0"/>
              <w:adjustRightInd w:val="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kern w:val="28"/>
                <w:sz w:val="20"/>
                <w:szCs w:val="20"/>
              </w:rPr>
            </w:pPr>
            <w:r w:rsidRPr="080AC63D">
              <w:rPr>
                <w:rFonts w:asciiTheme="minorHAnsi" w:hAnsiTheme="minorHAnsi" w:cstheme="minorBidi"/>
                <w:sz w:val="20"/>
                <w:szCs w:val="20"/>
              </w:rPr>
              <w:t xml:space="preserve">Contributes to </w:t>
            </w:r>
            <w:r w:rsidRPr="080AC63D">
              <w:rPr>
                <w:rFonts w:asciiTheme="minorHAnsi" w:hAnsiTheme="minorHAnsi" w:cstheme="minorBidi"/>
                <w:kern w:val="28"/>
                <w:sz w:val="20"/>
                <w:szCs w:val="20"/>
              </w:rPr>
              <w:t xml:space="preserve">supporting team analysis and synthesis following data collection </w:t>
            </w:r>
            <w:r w:rsidRPr="080AC63D">
              <w:rPr>
                <w:rFonts w:asciiTheme="minorHAnsi" w:hAnsiTheme="minorHAnsi" w:cstheme="minorBidi"/>
                <w:kern w:val="28"/>
                <w:sz w:val="20"/>
                <w:szCs w:val="20"/>
              </w:rPr>
              <w:lastRenderedPageBreak/>
              <w:t>phase and provides key advice on data analysis and processing as well as on synthesizing the key findings.</w:t>
            </w:r>
          </w:p>
          <w:p w14:paraId="44964733" w14:textId="77777777" w:rsidR="00C640B0" w:rsidRPr="00522EA3" w:rsidRDefault="00C640B0" w:rsidP="00821BD8">
            <w:pPr>
              <w:pStyle w:val="ListParagraph"/>
              <w:numPr>
                <w:ilvl w:val="0"/>
                <w:numId w:val="58"/>
              </w:numPr>
              <w:tabs>
                <w:tab w:val="clear" w:pos="7780"/>
              </w:tabs>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22EA3">
              <w:rPr>
                <w:rFonts w:asciiTheme="minorHAnsi" w:hAnsiTheme="minorHAnsi" w:cstheme="minorHAnsi"/>
                <w:sz w:val="20"/>
                <w:szCs w:val="20"/>
              </w:rPr>
              <w:t xml:space="preserve">Contributes to all the evaluation outputs including presentations and reports </w:t>
            </w:r>
          </w:p>
        </w:tc>
      </w:tr>
    </w:tbl>
    <w:p w14:paraId="5A0DB048" w14:textId="77777777" w:rsidR="002D0BEC" w:rsidRDefault="002D0BEC" w:rsidP="002D0BEC">
      <w:pPr>
        <w:rPr>
          <w:rFonts w:asciiTheme="minorHAnsi" w:eastAsia="Calibri" w:hAnsiTheme="minorHAnsi"/>
          <w:color w:val="2F5496" w:themeColor="accent1" w:themeShade="BF"/>
          <w:sz w:val="32"/>
          <w:szCs w:val="32"/>
        </w:rPr>
      </w:pPr>
      <w:bookmarkStart w:id="187" w:name="_Toc191384089"/>
      <w:bookmarkStart w:id="188" w:name="_Toc205147399"/>
      <w:bookmarkStart w:id="189" w:name="_Toc205147552"/>
      <w:bookmarkStart w:id="190" w:name="_Toc205147854"/>
    </w:p>
    <w:p w14:paraId="40397D60" w14:textId="3BD0F32C" w:rsidR="00C640B0" w:rsidRPr="00FA2BF4" w:rsidRDefault="00C640B0" w:rsidP="00FA2BF4">
      <w:pPr>
        <w:pStyle w:val="Heading4"/>
      </w:pPr>
      <w:r w:rsidRPr="00FA2BF4">
        <w:t>Outputs</w:t>
      </w:r>
      <w:bookmarkEnd w:id="187"/>
      <w:bookmarkEnd w:id="188"/>
      <w:bookmarkEnd w:id="189"/>
      <w:bookmarkEnd w:id="190"/>
    </w:p>
    <w:p w14:paraId="788B9BAC" w14:textId="77777777" w:rsidR="00C640B0" w:rsidRPr="0057389B" w:rsidRDefault="00C640B0" w:rsidP="00C640B0">
      <w:pPr>
        <w:rPr>
          <w:rFonts w:eastAsia="Calibri"/>
          <w:lang w:val="en-AU"/>
        </w:rPr>
      </w:pPr>
    </w:p>
    <w:p w14:paraId="1EE0007C" w14:textId="77777777" w:rsidR="00C640B0" w:rsidRPr="00B32E86" w:rsidRDefault="00C640B0" w:rsidP="00C640B0">
      <w:pPr>
        <w:spacing w:after="182"/>
        <w:rPr>
          <w:rFonts w:ascii="Calibri" w:eastAsia="Calibri" w:hAnsi="Calibri" w:cs="Calibri"/>
        </w:rPr>
      </w:pPr>
      <w:r w:rsidRPr="23B70BE2">
        <w:rPr>
          <w:rFonts w:ascii="Calibri" w:eastAsia="Calibri" w:hAnsi="Calibri" w:cs="Calibri"/>
        </w:rPr>
        <w:t>As per the contract</w:t>
      </w:r>
      <w:r>
        <w:rPr>
          <w:rFonts w:ascii="Calibri" w:eastAsia="Calibri" w:hAnsi="Calibri" w:cs="Calibri"/>
        </w:rPr>
        <w:t>,</w:t>
      </w:r>
      <w:r w:rsidRPr="23B70BE2">
        <w:rPr>
          <w:rFonts w:ascii="Calibri" w:eastAsia="Calibri" w:hAnsi="Calibri" w:cs="Calibri"/>
        </w:rPr>
        <w:t xml:space="preserve"> the evaluation will deliver the following outputs</w:t>
      </w:r>
      <w:r>
        <w:rPr>
          <w:rFonts w:ascii="Calibri" w:eastAsia="Calibri" w:hAnsi="Calibri" w:cs="Calibri"/>
        </w:rPr>
        <w:t>:</w:t>
      </w:r>
    </w:p>
    <w:tbl>
      <w:tblPr>
        <w:tblStyle w:val="GridTable4-Accent1"/>
        <w:tblW w:w="5000" w:type="pct"/>
        <w:tblLook w:val="04A0" w:firstRow="1" w:lastRow="0" w:firstColumn="1" w:lastColumn="0" w:noHBand="0" w:noVBand="1"/>
      </w:tblPr>
      <w:tblGrid>
        <w:gridCol w:w="894"/>
        <w:gridCol w:w="2463"/>
        <w:gridCol w:w="4621"/>
        <w:gridCol w:w="1742"/>
      </w:tblGrid>
      <w:tr w:rsidR="00C640B0" w:rsidRPr="00522EA3" w14:paraId="3831BDF6" w14:textId="77777777" w:rsidTr="0073437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727" w:type="pct"/>
            <w:gridSpan w:val="2"/>
            <w:tcBorders>
              <w:top w:val="single" w:sz="8" w:space="0" w:color="4472C4" w:themeColor="accent1"/>
              <w:left w:val="single" w:sz="8" w:space="0" w:color="4472C4" w:themeColor="accent1"/>
              <w:bottom w:val="single" w:sz="8" w:space="0" w:color="4472C4" w:themeColor="accent1"/>
            </w:tcBorders>
            <w:tcMar>
              <w:left w:w="108" w:type="dxa"/>
              <w:right w:w="108" w:type="dxa"/>
            </w:tcMar>
          </w:tcPr>
          <w:p w14:paraId="127F5736" w14:textId="77777777" w:rsidR="00C640B0" w:rsidRPr="00522EA3" w:rsidRDefault="00C640B0" w:rsidP="0073437D">
            <w:pPr>
              <w:rPr>
                <w:rFonts w:asciiTheme="minorHAnsi" w:hAnsiTheme="minorHAnsi"/>
                <w:b w:val="0"/>
                <w:bCs w:val="0"/>
                <w:sz w:val="20"/>
                <w:szCs w:val="20"/>
              </w:rPr>
            </w:pPr>
            <w:r w:rsidRPr="00522EA3">
              <w:rPr>
                <w:rFonts w:asciiTheme="minorHAnsi" w:eastAsia="Arial Narrow" w:hAnsiTheme="minorHAnsi"/>
                <w:b w:val="0"/>
                <w:bCs w:val="0"/>
                <w:sz w:val="20"/>
                <w:szCs w:val="20"/>
              </w:rPr>
              <w:t>Deliverable/ Milestone</w:t>
            </w:r>
          </w:p>
        </w:tc>
        <w:tc>
          <w:tcPr>
            <w:tcW w:w="2377" w:type="pct"/>
            <w:tcBorders>
              <w:top w:val="single" w:sz="8" w:space="0" w:color="4472C4" w:themeColor="accent1"/>
              <w:bottom w:val="single" w:sz="8" w:space="0" w:color="4472C4" w:themeColor="accent1"/>
            </w:tcBorders>
            <w:tcMar>
              <w:left w:w="108" w:type="dxa"/>
              <w:right w:w="108" w:type="dxa"/>
            </w:tcMar>
          </w:tcPr>
          <w:p w14:paraId="3A417501" w14:textId="77777777" w:rsidR="00C640B0" w:rsidRPr="00522EA3" w:rsidRDefault="00C640B0" w:rsidP="0073437D">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sidRPr="00522EA3">
              <w:rPr>
                <w:rFonts w:asciiTheme="minorHAnsi" w:eastAsia="Arial Narrow" w:hAnsiTheme="minorHAnsi"/>
                <w:b w:val="0"/>
                <w:bCs w:val="0"/>
                <w:sz w:val="20"/>
                <w:szCs w:val="20"/>
              </w:rPr>
              <w:t>Description</w:t>
            </w:r>
          </w:p>
        </w:tc>
        <w:tc>
          <w:tcPr>
            <w:tcW w:w="896" w:type="pct"/>
            <w:tcBorders>
              <w:top w:val="single" w:sz="8" w:space="0" w:color="4472C4" w:themeColor="accent1"/>
              <w:bottom w:val="single" w:sz="8" w:space="0" w:color="4472C4" w:themeColor="accent1"/>
              <w:right w:val="single" w:sz="8" w:space="0" w:color="4472C4" w:themeColor="accent1"/>
            </w:tcBorders>
            <w:tcMar>
              <w:left w:w="108" w:type="dxa"/>
              <w:right w:w="108" w:type="dxa"/>
            </w:tcMar>
          </w:tcPr>
          <w:p w14:paraId="7C327EA7" w14:textId="77777777" w:rsidR="00C640B0" w:rsidRPr="00522EA3" w:rsidRDefault="00C640B0" w:rsidP="0073437D">
            <w:pP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sidRPr="00522EA3">
              <w:rPr>
                <w:rFonts w:asciiTheme="minorHAnsi" w:eastAsia="Arial Narrow" w:hAnsiTheme="minorHAnsi"/>
                <w:b w:val="0"/>
                <w:bCs w:val="0"/>
                <w:sz w:val="20"/>
                <w:szCs w:val="20"/>
              </w:rPr>
              <w:t>Due Date</w:t>
            </w:r>
          </w:p>
        </w:tc>
      </w:tr>
      <w:tr w:rsidR="00C640B0" w:rsidRPr="00522EA3" w14:paraId="15DEDB4A" w14:textId="77777777" w:rsidTr="007343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 w:type="pct"/>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6751526B" w14:textId="77777777" w:rsidR="00C640B0" w:rsidRPr="00522EA3" w:rsidRDefault="00C640B0" w:rsidP="0073437D">
            <w:pPr>
              <w:rPr>
                <w:rFonts w:asciiTheme="minorHAnsi" w:hAnsiTheme="minorHAnsi"/>
                <w:b w:val="0"/>
                <w:bCs w:val="0"/>
                <w:sz w:val="20"/>
                <w:szCs w:val="20"/>
              </w:rPr>
            </w:pPr>
            <w:r w:rsidRPr="00522EA3">
              <w:rPr>
                <w:rFonts w:asciiTheme="minorHAnsi" w:eastAsia="Arial Narrow" w:hAnsiTheme="minorHAnsi"/>
                <w:b w:val="0"/>
                <w:bCs w:val="0"/>
                <w:sz w:val="20"/>
                <w:szCs w:val="20"/>
              </w:rPr>
              <w:t>1</w:t>
            </w:r>
          </w:p>
        </w:tc>
        <w:tc>
          <w:tcPr>
            <w:tcW w:w="1267" w:type="pct"/>
            <w:tcBorders>
              <w:top w:val="nil"/>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35D3BAB9" w14:textId="77777777" w:rsidR="00C640B0" w:rsidRPr="00522EA3"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Draft Evaluation Plan</w:t>
            </w:r>
          </w:p>
        </w:tc>
        <w:tc>
          <w:tcPr>
            <w:tcW w:w="2377" w:type="pct"/>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16AF1B9C" w14:textId="77777777" w:rsidR="00C640B0" w:rsidRPr="00522EA3" w:rsidRDefault="00C640B0" w:rsidP="00821BD8">
            <w:pPr>
              <w:pStyle w:val="ListParagraph"/>
              <w:numPr>
                <w:ilvl w:val="0"/>
                <w:numId w:val="67"/>
              </w:numPr>
              <w:tabs>
                <w:tab w:val="clear" w:pos="7780"/>
              </w:tabs>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522EA3">
              <w:rPr>
                <w:rFonts w:asciiTheme="minorHAnsi" w:hAnsiTheme="minorHAnsi" w:cstheme="minorHAnsi"/>
                <w:sz w:val="20"/>
                <w:szCs w:val="20"/>
              </w:rPr>
              <w:t xml:space="preserve">Complies with DFAT’s Monitoring, Evaluation and Learning Standards (Standard 9) </w:t>
            </w:r>
          </w:p>
          <w:p w14:paraId="56C2DF53" w14:textId="77777777" w:rsidR="00C640B0" w:rsidRPr="00522EA3" w:rsidRDefault="00C640B0" w:rsidP="00821BD8">
            <w:pPr>
              <w:pStyle w:val="ListParagraph"/>
              <w:numPr>
                <w:ilvl w:val="0"/>
                <w:numId w:val="67"/>
              </w:numPr>
              <w:tabs>
                <w:tab w:val="clear" w:pos="7780"/>
              </w:tabs>
              <w:cnfStyle w:val="000000100000" w:firstRow="0" w:lastRow="0" w:firstColumn="0" w:lastColumn="0" w:oddVBand="0" w:evenVBand="0" w:oddHBand="1" w:evenHBand="0" w:firstRowFirstColumn="0" w:firstRowLastColumn="0" w:lastRowFirstColumn="0" w:lastRowLastColumn="0"/>
              <w:rPr>
                <w:rFonts w:asciiTheme="minorHAnsi" w:eastAsia="Arial Narrow" w:hAnsiTheme="minorHAnsi" w:cstheme="minorHAnsi"/>
                <w:sz w:val="20"/>
                <w:szCs w:val="20"/>
              </w:rPr>
            </w:pPr>
            <w:r w:rsidRPr="00522EA3">
              <w:rPr>
                <w:rFonts w:asciiTheme="minorHAnsi" w:hAnsiTheme="minorHAnsi" w:cstheme="minorHAnsi"/>
                <w:sz w:val="20"/>
                <w:szCs w:val="20"/>
              </w:rPr>
              <w:t>Describes the appropriate methodology proposed to answer the key evaluation questions and sub-questions within the allocated timeline and resources</w:t>
            </w:r>
          </w:p>
        </w:tc>
        <w:tc>
          <w:tcPr>
            <w:tcW w:w="896" w:type="pct"/>
            <w:tcBorders>
              <w:top w:val="single" w:sz="8" w:space="0" w:color="4472C4" w:themeColor="accent1"/>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0CFE6113" w14:textId="77777777" w:rsidR="00C640B0" w:rsidRPr="00522EA3"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14 February 2025</w:t>
            </w:r>
          </w:p>
        </w:tc>
      </w:tr>
      <w:tr w:rsidR="00C640B0" w:rsidRPr="00522EA3" w14:paraId="50E61698" w14:textId="77777777" w:rsidTr="0073437D">
        <w:trPr>
          <w:trHeight w:val="300"/>
        </w:trPr>
        <w:tc>
          <w:tcPr>
            <w:cnfStyle w:val="001000000000" w:firstRow="0" w:lastRow="0" w:firstColumn="1" w:lastColumn="0" w:oddVBand="0" w:evenVBand="0" w:oddHBand="0" w:evenHBand="0" w:firstRowFirstColumn="0" w:firstRowLastColumn="0" w:lastRowFirstColumn="0" w:lastRowLastColumn="0"/>
            <w:tcW w:w="460"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218F6101" w14:textId="77777777" w:rsidR="00C640B0" w:rsidRPr="00522EA3" w:rsidRDefault="00C640B0" w:rsidP="0073437D">
            <w:pPr>
              <w:rPr>
                <w:rFonts w:asciiTheme="minorHAnsi" w:hAnsiTheme="minorHAnsi"/>
                <w:b w:val="0"/>
                <w:bCs w:val="0"/>
                <w:sz w:val="20"/>
                <w:szCs w:val="20"/>
              </w:rPr>
            </w:pPr>
            <w:r w:rsidRPr="00522EA3">
              <w:rPr>
                <w:rFonts w:asciiTheme="minorHAnsi" w:eastAsia="Arial Narrow" w:hAnsiTheme="minorHAnsi"/>
                <w:b w:val="0"/>
                <w:bCs w:val="0"/>
                <w:sz w:val="20"/>
                <w:szCs w:val="20"/>
              </w:rPr>
              <w:t>2</w:t>
            </w:r>
          </w:p>
        </w:tc>
        <w:tc>
          <w:tcPr>
            <w:tcW w:w="1267"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148922E8" w14:textId="77777777" w:rsidR="00C640B0" w:rsidRPr="00522EA3"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Final Evaluation Plan</w:t>
            </w:r>
          </w:p>
        </w:tc>
        <w:tc>
          <w:tcPr>
            <w:tcW w:w="2377"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6C0CD2F4" w14:textId="77777777" w:rsidR="00C640B0" w:rsidRPr="00522EA3" w:rsidRDefault="00C640B0" w:rsidP="00821BD8">
            <w:pPr>
              <w:pStyle w:val="ListParagraph"/>
              <w:numPr>
                <w:ilvl w:val="0"/>
                <w:numId w:val="48"/>
              </w:numPr>
              <w:tabs>
                <w:tab w:val="clear" w:pos="7780"/>
              </w:tabs>
              <w:cnfStyle w:val="000000000000" w:firstRow="0" w:lastRow="0" w:firstColumn="0" w:lastColumn="0" w:oddVBand="0" w:evenVBand="0" w:oddHBand="0" w:evenHBand="0" w:firstRowFirstColumn="0" w:firstRowLastColumn="0" w:lastRowFirstColumn="0" w:lastRowLastColumn="0"/>
              <w:rPr>
                <w:rFonts w:asciiTheme="minorHAnsi" w:eastAsia="Arial Narrow" w:hAnsiTheme="minorHAnsi" w:cstheme="minorHAnsi"/>
                <w:sz w:val="20"/>
                <w:szCs w:val="20"/>
              </w:rPr>
            </w:pPr>
            <w:r w:rsidRPr="00522EA3">
              <w:rPr>
                <w:rFonts w:asciiTheme="minorHAnsi" w:eastAsia="Arial Narrow" w:hAnsiTheme="minorHAnsi" w:cstheme="minorHAnsi"/>
                <w:sz w:val="20"/>
                <w:szCs w:val="20"/>
              </w:rPr>
              <w:t>Revisions to draft evaluation plan based on feedback from PFO</w:t>
            </w:r>
          </w:p>
        </w:tc>
        <w:tc>
          <w:tcPr>
            <w:tcW w:w="896"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4305CF14" w14:textId="77777777" w:rsidR="00C640B0" w:rsidRPr="00522EA3"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28 February 2025</w:t>
            </w:r>
          </w:p>
        </w:tc>
      </w:tr>
      <w:tr w:rsidR="00C640B0" w:rsidRPr="00522EA3" w14:paraId="607F94E7" w14:textId="77777777" w:rsidTr="007343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25FDA760" w14:textId="77777777" w:rsidR="00C640B0" w:rsidRPr="00522EA3" w:rsidRDefault="00C640B0" w:rsidP="0073437D">
            <w:pPr>
              <w:rPr>
                <w:rFonts w:asciiTheme="minorHAnsi" w:hAnsiTheme="minorHAnsi"/>
                <w:b w:val="0"/>
                <w:bCs w:val="0"/>
                <w:sz w:val="20"/>
                <w:szCs w:val="20"/>
              </w:rPr>
            </w:pPr>
            <w:r w:rsidRPr="00522EA3">
              <w:rPr>
                <w:rFonts w:asciiTheme="minorHAnsi" w:eastAsia="Arial Narrow" w:hAnsiTheme="minorHAnsi"/>
                <w:b w:val="0"/>
                <w:bCs w:val="0"/>
                <w:sz w:val="20"/>
                <w:szCs w:val="20"/>
              </w:rPr>
              <w:t>3</w:t>
            </w:r>
          </w:p>
        </w:tc>
        <w:tc>
          <w:tcPr>
            <w:tcW w:w="1267"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0F0AE5C5" w14:textId="77777777" w:rsidR="00C640B0" w:rsidRPr="00522EA3"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Headline Findings Presentation</w:t>
            </w:r>
          </w:p>
        </w:tc>
        <w:tc>
          <w:tcPr>
            <w:tcW w:w="2377"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301D6C84" w14:textId="77777777" w:rsidR="00C640B0" w:rsidRPr="00522EA3" w:rsidRDefault="00C640B0" w:rsidP="00821BD8">
            <w:pPr>
              <w:pStyle w:val="ListParagraph"/>
              <w:numPr>
                <w:ilvl w:val="0"/>
                <w:numId w:val="48"/>
              </w:numPr>
              <w:tabs>
                <w:tab w:val="clear" w:pos="7780"/>
              </w:tabs>
              <w:cnfStyle w:val="000000100000" w:firstRow="0" w:lastRow="0" w:firstColumn="0" w:lastColumn="0" w:oddVBand="0" w:evenVBand="0" w:oddHBand="1" w:evenHBand="0" w:firstRowFirstColumn="0" w:firstRowLastColumn="0" w:lastRowFirstColumn="0" w:lastRowLastColumn="0"/>
              <w:rPr>
                <w:rFonts w:asciiTheme="minorHAnsi" w:eastAsia="Arial Narrow" w:hAnsiTheme="minorHAnsi" w:cstheme="minorHAnsi"/>
                <w:sz w:val="20"/>
                <w:szCs w:val="20"/>
              </w:rPr>
            </w:pPr>
            <w:r w:rsidRPr="00522EA3">
              <w:rPr>
                <w:rFonts w:asciiTheme="minorHAnsi" w:eastAsia="Arial Narrow" w:hAnsiTheme="minorHAnsi" w:cstheme="minorHAnsi"/>
                <w:sz w:val="20"/>
                <w:szCs w:val="20"/>
              </w:rPr>
              <w:t>Present initial findings, seek verification of facts and assumptions, and discuss the feasibility of initial recommendations with DFAT</w:t>
            </w:r>
          </w:p>
        </w:tc>
        <w:tc>
          <w:tcPr>
            <w:tcW w:w="896"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73D8D566" w14:textId="77777777" w:rsidR="00C640B0" w:rsidRPr="00522EA3"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23 April 2025</w:t>
            </w:r>
          </w:p>
        </w:tc>
      </w:tr>
      <w:tr w:rsidR="00C640B0" w:rsidRPr="00522EA3" w14:paraId="699CE27B" w14:textId="77777777" w:rsidTr="0073437D">
        <w:trPr>
          <w:trHeight w:val="300"/>
        </w:trPr>
        <w:tc>
          <w:tcPr>
            <w:cnfStyle w:val="001000000000" w:firstRow="0" w:lastRow="0" w:firstColumn="1" w:lastColumn="0" w:oddVBand="0" w:evenVBand="0" w:oddHBand="0" w:evenHBand="0" w:firstRowFirstColumn="0" w:firstRowLastColumn="0" w:lastRowFirstColumn="0" w:lastRowLastColumn="0"/>
            <w:tcW w:w="460"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19803CA9" w14:textId="77777777" w:rsidR="00C640B0" w:rsidRPr="00522EA3" w:rsidRDefault="00C640B0" w:rsidP="0073437D">
            <w:pPr>
              <w:rPr>
                <w:rFonts w:asciiTheme="minorHAnsi" w:hAnsiTheme="minorHAnsi"/>
                <w:b w:val="0"/>
                <w:bCs w:val="0"/>
                <w:sz w:val="20"/>
                <w:szCs w:val="20"/>
              </w:rPr>
            </w:pPr>
            <w:r w:rsidRPr="00522EA3">
              <w:rPr>
                <w:rFonts w:asciiTheme="minorHAnsi" w:eastAsia="Arial Narrow" w:hAnsiTheme="minorHAnsi"/>
                <w:b w:val="0"/>
                <w:bCs w:val="0"/>
                <w:sz w:val="20"/>
                <w:szCs w:val="20"/>
              </w:rPr>
              <w:t>4</w:t>
            </w:r>
          </w:p>
        </w:tc>
        <w:tc>
          <w:tcPr>
            <w:tcW w:w="1267"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67A3D198" w14:textId="77777777" w:rsidR="00C640B0" w:rsidRPr="00522EA3"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FIMR Aid Memoire</w:t>
            </w:r>
          </w:p>
        </w:tc>
        <w:tc>
          <w:tcPr>
            <w:tcW w:w="2377"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12ACA8E3" w14:textId="77777777" w:rsidR="00C640B0" w:rsidRPr="00522EA3" w:rsidRDefault="00C640B0" w:rsidP="00821BD8">
            <w:pPr>
              <w:pStyle w:val="ListParagraph"/>
              <w:numPr>
                <w:ilvl w:val="0"/>
                <w:numId w:val="67"/>
              </w:numPr>
              <w:tabs>
                <w:tab w:val="clear" w:pos="778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22EA3">
              <w:rPr>
                <w:rFonts w:asciiTheme="minorHAnsi" w:hAnsiTheme="minorHAnsi" w:cstheme="minorHAnsi"/>
                <w:sz w:val="20"/>
                <w:szCs w:val="20"/>
              </w:rPr>
              <w:t>Essentially a written version of the headline findings presentation to feed into DFAT’s FIMR process and summarise the findings to date.</w:t>
            </w:r>
          </w:p>
          <w:p w14:paraId="04D7B8D4" w14:textId="77777777" w:rsidR="00C640B0" w:rsidRPr="00522EA3" w:rsidRDefault="00C640B0" w:rsidP="00821BD8">
            <w:pPr>
              <w:pStyle w:val="ListParagraph"/>
              <w:numPr>
                <w:ilvl w:val="0"/>
                <w:numId w:val="67"/>
              </w:numPr>
              <w:tabs>
                <w:tab w:val="clear" w:pos="7780"/>
              </w:tabs>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522EA3">
              <w:rPr>
                <w:rFonts w:asciiTheme="minorHAnsi" w:hAnsiTheme="minorHAnsi" w:cstheme="minorHAnsi"/>
                <w:sz w:val="20"/>
                <w:szCs w:val="20"/>
              </w:rPr>
              <w:t>A brief document (up to 5-10 pages) with a summary of findings, an assessment against each of the FIMR criteria with supporting evidence, and any early forward-looking recommendations.</w:t>
            </w:r>
          </w:p>
        </w:tc>
        <w:tc>
          <w:tcPr>
            <w:tcW w:w="896"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62DA3E82" w14:textId="77777777" w:rsidR="00C640B0" w:rsidRPr="00522EA3"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23 April 2025</w:t>
            </w:r>
          </w:p>
        </w:tc>
      </w:tr>
      <w:tr w:rsidR="00C640B0" w:rsidRPr="00522EA3" w14:paraId="37449464" w14:textId="77777777" w:rsidTr="007343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42A9800B" w14:textId="77777777" w:rsidR="00C640B0" w:rsidRPr="00522EA3" w:rsidRDefault="00C640B0" w:rsidP="0073437D">
            <w:pPr>
              <w:rPr>
                <w:rFonts w:asciiTheme="minorHAnsi" w:hAnsiTheme="minorHAnsi"/>
                <w:b w:val="0"/>
                <w:bCs w:val="0"/>
                <w:sz w:val="20"/>
                <w:szCs w:val="20"/>
              </w:rPr>
            </w:pPr>
            <w:r w:rsidRPr="00522EA3">
              <w:rPr>
                <w:rFonts w:asciiTheme="minorHAnsi" w:eastAsia="Arial Narrow" w:hAnsiTheme="minorHAnsi"/>
                <w:b w:val="0"/>
                <w:bCs w:val="0"/>
                <w:sz w:val="20"/>
                <w:szCs w:val="20"/>
              </w:rPr>
              <w:t>5</w:t>
            </w:r>
          </w:p>
        </w:tc>
        <w:tc>
          <w:tcPr>
            <w:tcW w:w="1267"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7BA20D65" w14:textId="77777777" w:rsidR="00C640B0" w:rsidRPr="00522EA3"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Draft Report</w:t>
            </w:r>
          </w:p>
        </w:tc>
        <w:tc>
          <w:tcPr>
            <w:tcW w:w="2377"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12E8CF02" w14:textId="77777777" w:rsidR="00C640B0" w:rsidRPr="00522EA3" w:rsidRDefault="00C640B0" w:rsidP="00821BD8">
            <w:pPr>
              <w:pStyle w:val="ListParagraph"/>
              <w:numPr>
                <w:ilvl w:val="0"/>
                <w:numId w:val="48"/>
              </w:numPr>
              <w:tabs>
                <w:tab w:val="clear" w:pos="7780"/>
              </w:tabs>
              <w:cnfStyle w:val="000000100000" w:firstRow="0" w:lastRow="0" w:firstColumn="0" w:lastColumn="0" w:oddVBand="0" w:evenVBand="0" w:oddHBand="1" w:evenHBand="0" w:firstRowFirstColumn="0" w:firstRowLastColumn="0" w:lastRowFirstColumn="0" w:lastRowLastColumn="0"/>
              <w:rPr>
                <w:rFonts w:asciiTheme="minorHAnsi" w:eastAsia="Arial Narrow" w:hAnsiTheme="minorHAnsi" w:cstheme="minorHAnsi"/>
                <w:sz w:val="20"/>
                <w:szCs w:val="20"/>
              </w:rPr>
            </w:pPr>
            <w:r w:rsidRPr="00522EA3">
              <w:rPr>
                <w:rFonts w:asciiTheme="minorHAnsi" w:eastAsia="Arial Narrow" w:hAnsiTheme="minorHAnsi" w:cstheme="minorHAnsi"/>
                <w:sz w:val="20"/>
                <w:szCs w:val="20"/>
              </w:rPr>
              <w:t>Complies with DFAT’s Monitoring, Evaluation and Learning Standards (Standard 10)</w:t>
            </w:r>
          </w:p>
          <w:p w14:paraId="085A4830" w14:textId="77777777" w:rsidR="00C640B0" w:rsidRPr="00522EA3" w:rsidRDefault="00C640B0" w:rsidP="00821BD8">
            <w:pPr>
              <w:pStyle w:val="ListParagraph"/>
              <w:numPr>
                <w:ilvl w:val="0"/>
                <w:numId w:val="48"/>
              </w:numPr>
              <w:tabs>
                <w:tab w:val="clear" w:pos="7780"/>
              </w:tabs>
              <w:cnfStyle w:val="000000100000" w:firstRow="0" w:lastRow="0" w:firstColumn="0" w:lastColumn="0" w:oddVBand="0" w:evenVBand="0" w:oddHBand="1" w:evenHBand="0" w:firstRowFirstColumn="0" w:firstRowLastColumn="0" w:lastRowFirstColumn="0" w:lastRowLastColumn="0"/>
              <w:rPr>
                <w:rFonts w:asciiTheme="minorHAnsi" w:eastAsia="Arial Narrow" w:hAnsiTheme="minorHAnsi" w:cstheme="minorHAnsi"/>
                <w:sz w:val="20"/>
                <w:szCs w:val="20"/>
              </w:rPr>
            </w:pPr>
            <w:r w:rsidRPr="00522EA3">
              <w:rPr>
                <w:rFonts w:asciiTheme="minorHAnsi" w:eastAsia="Arial Narrow" w:hAnsiTheme="minorHAnsi" w:cstheme="minorHAnsi"/>
                <w:sz w:val="20"/>
                <w:szCs w:val="20"/>
              </w:rPr>
              <w:t>Answers the key evaluation questions and sub-questions</w:t>
            </w:r>
          </w:p>
          <w:p w14:paraId="0A8FFF5B" w14:textId="77777777" w:rsidR="00C640B0" w:rsidRPr="00522EA3" w:rsidRDefault="00C640B0" w:rsidP="00821BD8">
            <w:pPr>
              <w:pStyle w:val="ListParagraph"/>
              <w:numPr>
                <w:ilvl w:val="0"/>
                <w:numId w:val="48"/>
              </w:numPr>
              <w:tabs>
                <w:tab w:val="clear" w:pos="7780"/>
              </w:tabs>
              <w:cnfStyle w:val="000000100000" w:firstRow="0" w:lastRow="0" w:firstColumn="0" w:lastColumn="0" w:oddVBand="0" w:evenVBand="0" w:oddHBand="1" w:evenHBand="0" w:firstRowFirstColumn="0" w:firstRowLastColumn="0" w:lastRowFirstColumn="0" w:lastRowLastColumn="0"/>
              <w:rPr>
                <w:rFonts w:asciiTheme="minorHAnsi" w:eastAsia="Arial Narrow" w:hAnsiTheme="minorHAnsi" w:cstheme="minorHAnsi"/>
                <w:sz w:val="20"/>
                <w:szCs w:val="20"/>
              </w:rPr>
            </w:pPr>
            <w:r w:rsidRPr="00522EA3">
              <w:rPr>
                <w:rFonts w:asciiTheme="minorHAnsi" w:eastAsia="Arial Narrow" w:hAnsiTheme="minorHAnsi" w:cstheme="minorHAnsi"/>
                <w:sz w:val="20"/>
                <w:szCs w:val="20"/>
              </w:rPr>
              <w:t>Stand-alone document, no-more than 25 – 30 pages</w:t>
            </w:r>
          </w:p>
        </w:tc>
        <w:tc>
          <w:tcPr>
            <w:tcW w:w="896"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5143F616" w14:textId="77777777" w:rsidR="00C640B0" w:rsidRPr="00522EA3"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6 June 2025</w:t>
            </w:r>
          </w:p>
        </w:tc>
      </w:tr>
      <w:tr w:rsidR="00C640B0" w:rsidRPr="00522EA3" w14:paraId="08A82F86" w14:textId="77777777" w:rsidTr="0073437D">
        <w:trPr>
          <w:trHeight w:val="300"/>
        </w:trPr>
        <w:tc>
          <w:tcPr>
            <w:cnfStyle w:val="001000000000" w:firstRow="0" w:lastRow="0" w:firstColumn="1" w:lastColumn="0" w:oddVBand="0" w:evenVBand="0" w:oddHBand="0" w:evenHBand="0" w:firstRowFirstColumn="0" w:firstRowLastColumn="0" w:lastRowFirstColumn="0" w:lastRowLastColumn="0"/>
            <w:tcW w:w="460"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5CFD9778" w14:textId="77777777" w:rsidR="00C640B0" w:rsidRPr="00522EA3" w:rsidRDefault="00C640B0" w:rsidP="0073437D">
            <w:pPr>
              <w:rPr>
                <w:rFonts w:asciiTheme="minorHAnsi" w:hAnsiTheme="minorHAnsi"/>
                <w:b w:val="0"/>
                <w:bCs w:val="0"/>
                <w:sz w:val="20"/>
                <w:szCs w:val="20"/>
              </w:rPr>
            </w:pPr>
            <w:r w:rsidRPr="00522EA3">
              <w:rPr>
                <w:rFonts w:asciiTheme="minorHAnsi" w:eastAsia="Arial Narrow" w:hAnsiTheme="minorHAnsi"/>
                <w:b w:val="0"/>
                <w:bCs w:val="0"/>
                <w:sz w:val="20"/>
                <w:szCs w:val="20"/>
              </w:rPr>
              <w:t>6</w:t>
            </w:r>
          </w:p>
        </w:tc>
        <w:tc>
          <w:tcPr>
            <w:tcW w:w="1267"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07A8B9F4" w14:textId="77777777" w:rsidR="00C640B0" w:rsidRPr="00522EA3"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Final Report</w:t>
            </w:r>
          </w:p>
        </w:tc>
        <w:tc>
          <w:tcPr>
            <w:tcW w:w="2377"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6EF27392" w14:textId="77777777" w:rsidR="00C640B0" w:rsidRPr="00522EA3" w:rsidRDefault="00C640B0" w:rsidP="00821BD8">
            <w:pPr>
              <w:pStyle w:val="ListParagraph"/>
              <w:numPr>
                <w:ilvl w:val="0"/>
                <w:numId w:val="48"/>
              </w:numPr>
              <w:tabs>
                <w:tab w:val="clear" w:pos="7780"/>
              </w:tabs>
              <w:cnfStyle w:val="000000000000" w:firstRow="0" w:lastRow="0" w:firstColumn="0" w:lastColumn="0" w:oddVBand="0" w:evenVBand="0" w:oddHBand="0" w:evenHBand="0" w:firstRowFirstColumn="0" w:firstRowLastColumn="0" w:lastRowFirstColumn="0" w:lastRowLastColumn="0"/>
              <w:rPr>
                <w:rFonts w:asciiTheme="minorHAnsi" w:eastAsia="Arial Narrow" w:hAnsiTheme="minorHAnsi" w:cstheme="minorHAnsi"/>
                <w:sz w:val="20"/>
                <w:szCs w:val="20"/>
              </w:rPr>
            </w:pPr>
            <w:r w:rsidRPr="00522EA3">
              <w:rPr>
                <w:rFonts w:asciiTheme="minorHAnsi" w:eastAsia="Arial Narrow" w:hAnsiTheme="minorHAnsi" w:cstheme="minorHAnsi"/>
                <w:sz w:val="20"/>
                <w:szCs w:val="20"/>
              </w:rPr>
              <w:t>Revisions to draft evaluation report based on feedback from PFO</w:t>
            </w:r>
          </w:p>
        </w:tc>
        <w:tc>
          <w:tcPr>
            <w:tcW w:w="896"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66488F23" w14:textId="77777777" w:rsidR="00C640B0" w:rsidRPr="00522EA3" w:rsidRDefault="00C640B0" w:rsidP="0073437D">
            <w:pP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30 June 2025</w:t>
            </w:r>
          </w:p>
        </w:tc>
      </w:tr>
      <w:tr w:rsidR="00C640B0" w:rsidRPr="00522EA3" w14:paraId="71AC628E" w14:textId="77777777" w:rsidTr="0073437D">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0"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3733DA2F" w14:textId="77777777" w:rsidR="00C640B0" w:rsidRPr="00522EA3" w:rsidRDefault="00C640B0" w:rsidP="0073437D">
            <w:pPr>
              <w:rPr>
                <w:rFonts w:asciiTheme="minorHAnsi" w:eastAsia="Arial Narrow" w:hAnsiTheme="minorHAnsi"/>
                <w:sz w:val="20"/>
                <w:szCs w:val="20"/>
              </w:rPr>
            </w:pPr>
            <w:r w:rsidRPr="00522EA3">
              <w:rPr>
                <w:rFonts w:asciiTheme="minorHAnsi" w:eastAsia="Arial Narrow" w:hAnsiTheme="minorHAnsi"/>
                <w:sz w:val="20"/>
                <w:szCs w:val="20"/>
              </w:rPr>
              <w:t>7</w:t>
            </w:r>
          </w:p>
        </w:tc>
        <w:tc>
          <w:tcPr>
            <w:tcW w:w="1267"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5B4600E2" w14:textId="77777777" w:rsidR="00C640B0" w:rsidRPr="00522EA3"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Presentation to key stakeholders</w:t>
            </w:r>
          </w:p>
        </w:tc>
        <w:tc>
          <w:tcPr>
            <w:tcW w:w="2377"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279CC6B4" w14:textId="77777777" w:rsidR="00C640B0" w:rsidRPr="00522EA3" w:rsidRDefault="00C640B0" w:rsidP="00821BD8">
            <w:pPr>
              <w:pStyle w:val="ListParagraph"/>
              <w:numPr>
                <w:ilvl w:val="0"/>
                <w:numId w:val="48"/>
              </w:numPr>
              <w:tabs>
                <w:tab w:val="clear" w:pos="7780"/>
              </w:tabs>
              <w:cnfStyle w:val="000000100000" w:firstRow="0" w:lastRow="0" w:firstColumn="0" w:lastColumn="0" w:oddVBand="0" w:evenVBand="0" w:oddHBand="1" w:evenHBand="0" w:firstRowFirstColumn="0" w:firstRowLastColumn="0" w:lastRowFirstColumn="0" w:lastRowLastColumn="0"/>
              <w:rPr>
                <w:rFonts w:asciiTheme="minorHAnsi" w:eastAsia="Arial Narrow" w:hAnsiTheme="minorHAnsi" w:cstheme="minorHAnsi"/>
                <w:sz w:val="20"/>
                <w:szCs w:val="20"/>
              </w:rPr>
            </w:pPr>
            <w:r w:rsidRPr="00522EA3">
              <w:rPr>
                <w:rFonts w:asciiTheme="minorHAnsi" w:eastAsia="Arial Narrow" w:hAnsiTheme="minorHAnsi" w:cstheme="minorHAnsi"/>
                <w:sz w:val="20"/>
                <w:szCs w:val="20"/>
              </w:rPr>
              <w:t>Present key findings, conclusions and recommendations to DFAT and key partners</w:t>
            </w:r>
          </w:p>
        </w:tc>
        <w:tc>
          <w:tcPr>
            <w:tcW w:w="896" w:type="pct"/>
            <w:tcBorders>
              <w:top w:val="single" w:sz="8" w:space="0" w:color="8EAADB" w:themeColor="accent1" w:themeTint="99"/>
              <w:left w:val="single" w:sz="8" w:space="0" w:color="8EAADB" w:themeColor="accent1" w:themeTint="99"/>
              <w:bottom w:val="single" w:sz="8" w:space="0" w:color="8EAADB" w:themeColor="accent1" w:themeTint="99"/>
              <w:right w:val="single" w:sz="8" w:space="0" w:color="8EAADB" w:themeColor="accent1" w:themeTint="99"/>
            </w:tcBorders>
            <w:tcMar>
              <w:left w:w="108" w:type="dxa"/>
              <w:right w:w="108" w:type="dxa"/>
            </w:tcMar>
          </w:tcPr>
          <w:p w14:paraId="447FB0BF" w14:textId="77777777" w:rsidR="00C640B0" w:rsidRPr="00522EA3" w:rsidRDefault="00C640B0" w:rsidP="0073437D">
            <w:pP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522EA3">
              <w:rPr>
                <w:rFonts w:asciiTheme="minorHAnsi" w:hAnsiTheme="minorHAnsi"/>
                <w:b/>
                <w:bCs/>
                <w:sz w:val="20"/>
                <w:szCs w:val="20"/>
              </w:rPr>
              <w:t>30 June 2025</w:t>
            </w:r>
          </w:p>
        </w:tc>
      </w:tr>
    </w:tbl>
    <w:p w14:paraId="7D4DD340" w14:textId="77777777" w:rsidR="00C640B0" w:rsidRPr="00B32E86" w:rsidRDefault="00C640B0" w:rsidP="00C640B0">
      <w:pPr>
        <w:spacing w:after="182"/>
        <w:rPr>
          <w:rFonts w:ascii="Calibri" w:eastAsia="Calibri" w:hAnsi="Calibri" w:cs="Calibri"/>
          <w:color w:val="000000"/>
        </w:rPr>
      </w:pPr>
    </w:p>
    <w:p w14:paraId="2DAE2D38" w14:textId="77777777" w:rsidR="00C640B0" w:rsidRDefault="00C640B0" w:rsidP="00C640B0"/>
    <w:p w14:paraId="1994D55E" w14:textId="77777777" w:rsidR="00E37930" w:rsidRPr="006A01EF" w:rsidRDefault="00E37930" w:rsidP="00D41C65">
      <w:pPr>
        <w:pStyle w:val="NormalWeb"/>
      </w:pPr>
    </w:p>
    <w:p w14:paraId="1C79019E" w14:textId="26944F19" w:rsidR="00E37930" w:rsidRPr="00581C11" w:rsidRDefault="00E37930" w:rsidP="00D41C65"/>
    <w:sectPr w:rsidR="00E37930" w:rsidRPr="00581C11" w:rsidSect="000C15A8">
      <w:pgSz w:w="11900" w:h="16840"/>
      <w:pgMar w:top="1440" w:right="1080" w:bottom="1440" w:left="1080"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D1515E" w14:textId="77777777" w:rsidR="00483653" w:rsidRDefault="00483653" w:rsidP="00D41C65">
      <w:r>
        <w:separator/>
      </w:r>
    </w:p>
  </w:endnote>
  <w:endnote w:type="continuationSeparator" w:id="0">
    <w:p w14:paraId="4AF163B4" w14:textId="77777777" w:rsidR="00483653" w:rsidRDefault="00483653" w:rsidP="00D41C65">
      <w:r>
        <w:continuationSeparator/>
      </w:r>
    </w:p>
  </w:endnote>
  <w:endnote w:type="continuationNotice" w:id="1">
    <w:p w14:paraId="4B241AA0" w14:textId="77777777" w:rsidR="00483653" w:rsidRDefault="00483653" w:rsidP="00D41C6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quot;Courier New&quot;">
    <w:altName w:val="Cambria"/>
    <w:charset w:val="00"/>
    <w:family w:val="roman"/>
    <w:pitch w:val="default"/>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ngXian Light">
    <w:charset w:val="86"/>
    <w:family w:val="auto"/>
    <w:pitch w:val="variable"/>
    <w:sig w:usb0="A00002BF" w:usb1="38CF7CFA" w:usb2="00000016" w:usb3="00000000" w:csb0="0004000F" w:csb1="00000000"/>
  </w:font>
  <w:font w:name="Open Sans">
    <w:charset w:val="00"/>
    <w:family w:val="swiss"/>
    <w:pitch w:val="variable"/>
    <w:sig w:usb0="E00002EF" w:usb1="4000205B" w:usb2="00000028"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imes New Roman (Body CS)">
    <w:altName w:val="Times New Roman"/>
    <w:charset w:val="00"/>
    <w:family w:val="roman"/>
    <w:pitch w:val="variable"/>
    <w:sig w:usb0="E0002AEF" w:usb1="C0007841"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Roboto Light">
    <w:charset w:val="00"/>
    <w:family w:val="auto"/>
    <w:pitch w:val="variable"/>
    <w:sig w:usb0="E0000AFF" w:usb1="5000217F" w:usb2="00000021" w:usb3="00000000" w:csb0="0000019F" w:csb1="00000000"/>
  </w:font>
  <w:font w:name="Gill Sans MT">
    <w:panose1 w:val="020B0502020104020203"/>
    <w:charset w:val="00"/>
    <w:family w:val="swiss"/>
    <w:pitch w:val="variable"/>
    <w:sig w:usb0="00000007" w:usb1="00000000" w:usb2="00000000" w:usb3="00000000" w:csb0="00000003" w:csb1="00000000"/>
  </w:font>
  <w:font w:name="Bahnschrift Light SemiCondensed">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dobe Garamond Pro">
    <w:charset w:val="4D"/>
    <w:family w:val="roman"/>
    <w:pitch w:val="variable"/>
    <w:sig w:usb0="00000007" w:usb1="00000001" w:usb2="00000000" w:usb3="00000000" w:csb0="00000093" w:csb1="00000000"/>
  </w:font>
  <w:font w:name="Franklin Gothic Book">
    <w:panose1 w:val="020B0503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sans-serif">
    <w:altName w:val="Calibri"/>
    <w:charset w:val="00"/>
    <w:family w:val="roman"/>
    <w:pitch w:val="default"/>
  </w:font>
  <w:font w:name="Cambria Math">
    <w:panose1 w:val="02040503050406030204"/>
    <w:charset w:val="00"/>
    <w:family w:val="roman"/>
    <w:pitch w:val="variable"/>
    <w:sig w:usb0="E00006FF" w:usb1="420024FF" w:usb2="02000000" w:usb3="00000000" w:csb0="0000019F" w:csb1="00000000"/>
  </w:font>
  <w:font w:name="Oswald">
    <w:charset w:val="00"/>
    <w:family w:val="auto"/>
    <w:pitch w:val="variable"/>
    <w:sig w:usb0="2000020F" w:usb1="00000000" w:usb2="00000000" w:usb3="00000000" w:csb0="00000197" w:csb1="00000000"/>
  </w:font>
  <w:font w:name="Arial Narrow">
    <w:panose1 w:val="020B0606020202030204"/>
    <w:charset w:val="00"/>
    <w:family w:val="swiss"/>
    <w:pitch w:val="variable"/>
    <w:sig w:usb0="00000287" w:usb1="00000800" w:usb2="00000000" w:usb3="00000000" w:csb0="0000009F" w:csb1="00000000"/>
  </w:font>
  <w:font w:name="Oswald Light">
    <w:charset w:val="00"/>
    <w:family w:val="auto"/>
    <w:pitch w:val="variable"/>
    <w:sig w:usb0="2000020F" w:usb1="00000000"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73330969"/>
      <w:docPartObj>
        <w:docPartGallery w:val="Page Numbers (Bottom of Page)"/>
        <w:docPartUnique/>
      </w:docPartObj>
    </w:sdtPr>
    <w:sdtEndPr>
      <w:rPr>
        <w:rStyle w:val="PageNumber"/>
      </w:rPr>
    </w:sdtEndPr>
    <w:sdtContent>
      <w:p w14:paraId="04C1C2B2" w14:textId="57FE341A" w:rsidR="00B47F4B" w:rsidRDefault="00B47F4B" w:rsidP="005763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1B35EF9" w14:textId="025B5468" w:rsidR="00CA4FF8" w:rsidRDefault="00CA4FF8" w:rsidP="00B47F4B">
    <w:pPr>
      <w:pStyle w:val="Footer"/>
      <w:ind w:right="360"/>
      <w:rPr>
        <w:rStyle w:val="PageNumber"/>
      </w:rPr>
    </w:pPr>
  </w:p>
  <w:p w14:paraId="694F5517" w14:textId="53EA8817" w:rsidR="00CA4FF8" w:rsidRDefault="00FD30F3" w:rsidP="00D41C65">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sidR="002C376D">
      <w:rPr>
        <w:rStyle w:val="PageNumber"/>
        <w:noProof/>
      </w:rPr>
      <w:t>2</w:t>
    </w:r>
    <w:r>
      <w:rPr>
        <w:rStyle w:val="PageNumber"/>
      </w:rPr>
      <w:fldChar w:fldCharType="end"/>
    </w:r>
  </w:p>
  <w:p w14:paraId="23803D02" w14:textId="77777777" w:rsidR="00CA4FF8" w:rsidRDefault="00CA4FF8" w:rsidP="00D41C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49943309"/>
      <w:docPartObj>
        <w:docPartGallery w:val="Page Numbers (Bottom of Page)"/>
        <w:docPartUnique/>
      </w:docPartObj>
    </w:sdtPr>
    <w:sdtEndPr>
      <w:rPr>
        <w:rStyle w:val="PageNumber"/>
      </w:rPr>
    </w:sdtEndPr>
    <w:sdtContent>
      <w:p w14:paraId="3F606EAF" w14:textId="73235AE7" w:rsidR="00B47F4B" w:rsidRDefault="00B47F4B" w:rsidP="0057630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4553EAB8" w14:textId="77777777" w:rsidR="00B47F4B" w:rsidRDefault="00B47F4B" w:rsidP="00B47F4B">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5A22" w14:textId="77777777" w:rsidR="005B0617" w:rsidRDefault="005B0617">
    <w:pPr>
      <w:pStyle w:val="Footer"/>
    </w:pPr>
    <w:r>
      <w:rPr>
        <w:noProof/>
      </w:rPr>
      <w:drawing>
        <wp:anchor distT="0" distB="0" distL="114300" distR="114300" simplePos="0" relativeHeight="251658245" behindDoc="1" locked="0" layoutInCell="1" allowOverlap="1" wp14:anchorId="358C8732" wp14:editId="5B603B96">
          <wp:simplePos x="0" y="0"/>
          <wp:positionH relativeFrom="column">
            <wp:posOffset>-726690</wp:posOffset>
          </wp:positionH>
          <wp:positionV relativeFrom="page">
            <wp:posOffset>6659880</wp:posOffset>
          </wp:positionV>
          <wp:extent cx="7595870" cy="4116070"/>
          <wp:effectExtent l="0" t="0" r="0" b="0"/>
          <wp:wrapNone/>
          <wp:docPr id="702633680" name="Picture 46" descr="A blue and white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241393" name="Picture 46" descr="A blue and white wav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95870" cy="411607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5DBB7" w14:textId="475F0AA0" w:rsidR="00D023DF" w:rsidRDefault="00DB5274">
    <w:pPr>
      <w:pStyle w:val="Footer"/>
    </w:pPr>
    <w:r>
      <w:rPr>
        <w:noProof/>
      </w:rPr>
      <w:drawing>
        <wp:anchor distT="0" distB="0" distL="114300" distR="114300" simplePos="0" relativeHeight="251658243" behindDoc="1" locked="0" layoutInCell="1" allowOverlap="1" wp14:anchorId="1E8A9F86" wp14:editId="7272ED3D">
          <wp:simplePos x="0" y="0"/>
          <wp:positionH relativeFrom="column">
            <wp:posOffset>-826614</wp:posOffset>
          </wp:positionH>
          <wp:positionV relativeFrom="page">
            <wp:posOffset>5919470</wp:posOffset>
          </wp:positionV>
          <wp:extent cx="7739380" cy="4974590"/>
          <wp:effectExtent l="0" t="0" r="0" b="3810"/>
          <wp:wrapNone/>
          <wp:docPr id="16868419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31406" name="Picture 46"/>
                  <pic:cNvPicPr/>
                </pic:nvPicPr>
                <pic:blipFill>
                  <a:blip r:embed="rId1">
                    <a:extLst>
                      <a:ext uri="{28A0092B-C50C-407E-A947-70E740481C1C}">
                        <a14:useLocalDpi xmlns:a14="http://schemas.microsoft.com/office/drawing/2010/main" val="0"/>
                      </a:ext>
                    </a:extLst>
                  </a:blip>
                  <a:stretch>
                    <a:fillRect/>
                  </a:stretch>
                </pic:blipFill>
                <pic:spPr>
                  <a:xfrm>
                    <a:off x="0" y="0"/>
                    <a:ext cx="7739380" cy="4974590"/>
                  </a:xfrm>
                  <a:prstGeom prst="rect">
                    <a:avLst/>
                  </a:prstGeom>
                </pic:spPr>
              </pic:pic>
            </a:graphicData>
          </a:graphic>
          <wp14:sizeRelH relativeFrom="margin">
            <wp14:pctWidth>0</wp14:pctWidth>
          </wp14:sizeRelH>
          <wp14:sizeRelV relativeFrom="margin">
            <wp14:pctHeight>0</wp14:pctHeight>
          </wp14:sizeRelV>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B8BD6" w14:textId="13BD0F13" w:rsidR="00A63828" w:rsidRPr="00A1634E" w:rsidRDefault="00A63828" w:rsidP="00A1634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44304086"/>
      <w:docPartObj>
        <w:docPartGallery w:val="Page Numbers (Bottom of Page)"/>
        <w:docPartUnique/>
      </w:docPartObj>
    </w:sdtPr>
    <w:sdtEndPr>
      <w:rPr>
        <w:rStyle w:val="PageNumber"/>
      </w:rPr>
    </w:sdtEndPr>
    <w:sdtContent>
      <w:p w14:paraId="728E9822" w14:textId="77777777" w:rsidR="00C640B0" w:rsidRDefault="00C640B0" w:rsidP="007343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6F3414" w14:textId="77777777" w:rsidR="00C640B0" w:rsidRDefault="00C640B0" w:rsidP="0073437D">
    <w:pPr>
      <w:pBdr>
        <w:top w:val="nil"/>
        <w:left w:val="nil"/>
        <w:bottom w:val="nil"/>
        <w:right w:val="nil"/>
        <w:between w:val="nil"/>
      </w:pBdr>
      <w:tabs>
        <w:tab w:val="center" w:pos="4680"/>
        <w:tab w:val="right" w:pos="9360"/>
      </w:tabs>
      <w:ind w:right="360"/>
      <w:jc w:val="right"/>
      <w:rPr>
        <w:rFonts w:ascii="Calibri" w:eastAsia="Calibri" w:hAnsi="Calibri" w:cs="Calibri"/>
        <w:color w:val="000000"/>
      </w:rPr>
    </w:pPr>
  </w:p>
  <w:p w14:paraId="3C2DDA7A" w14:textId="77777777" w:rsidR="00C640B0" w:rsidRDefault="00C640B0">
    <w:pPr>
      <w:pBdr>
        <w:top w:val="nil"/>
        <w:left w:val="nil"/>
        <w:bottom w:val="nil"/>
        <w:right w:val="nil"/>
        <w:between w:val="nil"/>
      </w:pBdr>
      <w:tabs>
        <w:tab w:val="center" w:pos="4680"/>
        <w:tab w:val="right" w:pos="9360"/>
      </w:tabs>
      <w:ind w:right="360"/>
      <w:jc w:val="right"/>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Pr>
        <w:rFonts w:ascii="Calibri" w:eastAsia="Calibri" w:hAnsi="Calibri" w:cs="Calibri"/>
        <w:noProof/>
        <w:color w:val="000000"/>
      </w:rPr>
      <w:t>1</w:t>
    </w:r>
    <w:r>
      <w:rPr>
        <w:rFonts w:ascii="Calibri" w:eastAsia="Calibri" w:hAnsi="Calibri" w:cs="Calibri"/>
        <w:color w:val="000000"/>
      </w:rPr>
      <w:fldChar w:fldCharType="end"/>
    </w:r>
  </w:p>
  <w:p w14:paraId="462353C9" w14:textId="77777777" w:rsidR="00C640B0" w:rsidRDefault="00C640B0">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67358452"/>
      <w:docPartObj>
        <w:docPartGallery w:val="Page Numbers (Bottom of Page)"/>
        <w:docPartUnique/>
      </w:docPartObj>
    </w:sdtPr>
    <w:sdtEndPr>
      <w:rPr>
        <w:rStyle w:val="PageNumber"/>
      </w:rPr>
    </w:sdtEndPr>
    <w:sdtContent>
      <w:p w14:paraId="6CEAD49C" w14:textId="77777777" w:rsidR="00C640B0" w:rsidRDefault="00C640B0" w:rsidP="0073437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7EB5764" w14:textId="0DD333EF" w:rsidR="00C640B0" w:rsidRDefault="00C640B0">
    <w:pPr>
      <w:pBdr>
        <w:top w:val="nil"/>
        <w:left w:val="nil"/>
        <w:bottom w:val="nil"/>
        <w:right w:val="nil"/>
        <w:between w:val="nil"/>
      </w:pBdr>
      <w:tabs>
        <w:tab w:val="center" w:pos="4680"/>
        <w:tab w:val="right" w:pos="9360"/>
      </w:tabs>
      <w:ind w:right="360"/>
      <w:rPr>
        <w:rFonts w:ascii="Calibri" w:eastAsia="Calibri" w:hAnsi="Calibri" w:cs="Calibri"/>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C08C4C" w14:textId="32E5B2C3" w:rsidR="00C640B0" w:rsidRDefault="00C640B0">
    <w:pPr>
      <w:pBdr>
        <w:top w:val="nil"/>
        <w:left w:val="nil"/>
        <w:bottom w:val="nil"/>
        <w:right w:val="nil"/>
        <w:between w:val="nil"/>
      </w:pBdr>
      <w:tabs>
        <w:tab w:val="center" w:pos="4680"/>
        <w:tab w:val="right" w:pos="9360"/>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2FC4B" w14:textId="77777777" w:rsidR="00483653" w:rsidRDefault="00483653" w:rsidP="00D41C65">
      <w:r>
        <w:separator/>
      </w:r>
    </w:p>
  </w:footnote>
  <w:footnote w:type="continuationSeparator" w:id="0">
    <w:p w14:paraId="1AEC6767" w14:textId="77777777" w:rsidR="00483653" w:rsidRDefault="00483653" w:rsidP="00D41C65">
      <w:r>
        <w:continuationSeparator/>
      </w:r>
    </w:p>
  </w:footnote>
  <w:footnote w:type="continuationNotice" w:id="1">
    <w:p w14:paraId="285A4200" w14:textId="77777777" w:rsidR="00483653" w:rsidRDefault="00483653" w:rsidP="00D41C65"/>
  </w:footnote>
  <w:footnote w:id="2">
    <w:p w14:paraId="124CF5F5" w14:textId="4C8DB785" w:rsidR="00210548" w:rsidRPr="00656919" w:rsidRDefault="00210548" w:rsidP="00210548">
      <w:pPr>
        <w:pStyle w:val="FootnoteText"/>
        <w:rPr>
          <w:lang w:val="en-GB"/>
        </w:rPr>
      </w:pPr>
      <w:r>
        <w:rPr>
          <w:rStyle w:val="FootnoteReference"/>
        </w:rPr>
        <w:footnoteRef/>
      </w:r>
      <w:r>
        <w:t xml:space="preserve"> </w:t>
      </w:r>
      <w:r>
        <w:rPr>
          <w:lang w:val="en-GB"/>
        </w:rPr>
        <w:t xml:space="preserve">The Global Partnership for Education, for example, provides countries with education sector program implementation grants, which are divided into a fixed part (making up no more than 70% of the grant) and a variable part (no less than 30% of the grant). The fixed part is typically core funding, and variable part is based on funding-linked targets, and includes a detailed plan for measuring and verifying results, and a clearly described and agreed upon mechanism for disbursing the variable part of the grant (for more details of the success of this modality see - </w:t>
      </w:r>
      <w:hyperlink r:id="rId1" w:history="1">
        <w:r w:rsidRPr="00E7255D">
          <w:rPr>
            <w:rStyle w:val="Hyperlink"/>
            <w:lang w:val="en-GB"/>
          </w:rPr>
          <w:t>https://www.globalpartnership.org/node/document/download?file=sites/default/files/2019-03-gpe-guidance-note-variable-part.pdf</w:t>
        </w:r>
      </w:hyperlink>
      <w:r>
        <w:rPr>
          <w:lang w:val="en-GB"/>
        </w:rPr>
        <w:t xml:space="preserve">, and </w:t>
      </w:r>
      <w:hyperlink r:id="rId2" w:history="1">
        <w:r w:rsidR="00F542D3" w:rsidRPr="00BB30FC">
          <w:rPr>
            <w:rStyle w:val="Hyperlink"/>
            <w:lang w:val="en-GB"/>
          </w:rPr>
          <w:t>https://www.globalpartnership.org/node/document/download?file=document/file/2020-05-review-of-design-and-implementation-experiences-of-gpe-variable-part-financing.pdf</w:t>
        </w:r>
      </w:hyperlink>
      <w:r w:rsidR="00F542D3">
        <w:rPr>
          <w:lang w:val="en-GB"/>
        </w:rPr>
        <w:t xml:space="preserve">. </w:t>
      </w:r>
    </w:p>
  </w:footnote>
  <w:footnote w:id="3">
    <w:p w14:paraId="0E811F72" w14:textId="2A53E67E" w:rsidR="00797CBB" w:rsidRPr="00AC33B7" w:rsidRDefault="00797CBB">
      <w:pPr>
        <w:pStyle w:val="FootnoteText"/>
        <w:rPr>
          <w:rFonts w:asciiTheme="majorHAnsi" w:hAnsiTheme="majorHAnsi" w:cstheme="majorHAnsi"/>
          <w:lang w:val="en-GB"/>
        </w:rPr>
      </w:pPr>
      <w:r>
        <w:rPr>
          <w:rStyle w:val="FootnoteReference"/>
        </w:rPr>
        <w:footnoteRef/>
      </w:r>
      <w:r>
        <w:t xml:space="preserve"> </w:t>
      </w:r>
      <w:r w:rsidRPr="00AC33B7">
        <w:rPr>
          <w:rFonts w:asciiTheme="majorHAnsi" w:hAnsiTheme="majorHAnsi" w:cstheme="majorHAnsi"/>
          <w:lang w:val="en-GB"/>
        </w:rPr>
        <w:t>Noting that about</w:t>
      </w:r>
      <w:r w:rsidRPr="00AC33B7">
        <w:rPr>
          <w:rFonts w:asciiTheme="majorHAnsi" w:hAnsiTheme="majorHAnsi" w:cstheme="majorHAnsi"/>
          <w:color w:val="000000"/>
        </w:rPr>
        <w:t xml:space="preserve"> ~4.1% of the remaining total </w:t>
      </w:r>
      <w:r w:rsidR="00B41DE6">
        <w:rPr>
          <w:rFonts w:asciiTheme="majorHAnsi" w:hAnsiTheme="majorHAnsi" w:cstheme="majorHAnsi"/>
          <w:color w:val="000000"/>
        </w:rPr>
        <w:t>I</w:t>
      </w:r>
      <w:r w:rsidRPr="00AC33B7">
        <w:rPr>
          <w:rFonts w:asciiTheme="majorHAnsi" w:hAnsiTheme="majorHAnsi" w:cstheme="majorHAnsi"/>
          <w:color w:val="000000"/>
        </w:rPr>
        <w:t>nvestment was allocated to minor oceans programs and program/project support, including evaluations</w:t>
      </w:r>
    </w:p>
  </w:footnote>
  <w:footnote w:id="4">
    <w:p w14:paraId="0B5D324A" w14:textId="1272E7F1" w:rsidR="003F3CA6" w:rsidRPr="003F3CA6" w:rsidRDefault="003F3CA6">
      <w:pPr>
        <w:pStyle w:val="FootnoteText"/>
        <w:rPr>
          <w:lang w:val="en-GB"/>
        </w:rPr>
      </w:pPr>
      <w:r>
        <w:rPr>
          <w:rStyle w:val="FootnoteReference"/>
        </w:rPr>
        <w:footnoteRef/>
      </w:r>
      <w:r>
        <w:t xml:space="preserve"> </w:t>
      </w:r>
      <w:r>
        <w:rPr>
          <w:lang w:val="en-GB"/>
        </w:rPr>
        <w:t>The Government of the United States of America committed to paying US$60 million annually over the next 10 years under the Economic Assistance Agreement associated with the Treaty on Fisheries between the FFA and the USA (</w:t>
      </w:r>
      <w:hyperlink r:id="rId3" w:history="1">
        <w:r w:rsidRPr="002E241D">
          <w:rPr>
            <w:rStyle w:val="Hyperlink"/>
            <w:lang w:val="en-GB"/>
          </w:rPr>
          <w:t>https://www.ffa.int/2025/08/ffa-receives-us60-million-from-the-us-under-economic-assistance-agreement/</w:t>
        </w:r>
      </w:hyperlink>
      <w:r>
        <w:rPr>
          <w:lang w:val="en-GB"/>
        </w:rPr>
        <w:t xml:space="preserve"> ).</w:t>
      </w:r>
    </w:p>
  </w:footnote>
  <w:footnote w:id="5">
    <w:p w14:paraId="7D8C078D" w14:textId="0605B9FF" w:rsidR="00455EED" w:rsidRPr="00455EED" w:rsidRDefault="00455EED">
      <w:pPr>
        <w:pStyle w:val="FootnoteText"/>
        <w:rPr>
          <w:lang w:val="en-GB"/>
        </w:rPr>
      </w:pPr>
      <w:r>
        <w:rPr>
          <w:rStyle w:val="FootnoteReference"/>
        </w:rPr>
        <w:footnoteRef/>
      </w:r>
      <w:r>
        <w:t xml:space="preserve"> </w:t>
      </w:r>
      <w:r>
        <w:rPr>
          <w:rFonts w:asciiTheme="majorHAnsi" w:hAnsiTheme="majorHAnsi" w:cstheme="majorHAnsi"/>
        </w:rPr>
        <w:t>Similar to the findings of the</w:t>
      </w:r>
      <w:r w:rsidRPr="00455EED">
        <w:rPr>
          <w:rFonts w:asciiTheme="majorHAnsi" w:hAnsiTheme="majorHAnsi" w:cstheme="majorHAnsi"/>
        </w:rPr>
        <w:t xml:space="preserve"> FFA’s own recently commissioned study</w:t>
      </w:r>
      <w:r>
        <w:t xml:space="preserve"> - </w:t>
      </w:r>
      <w:r>
        <w:rPr>
          <w:rFonts w:asciiTheme="majorHAnsi" w:hAnsiTheme="majorHAnsi" w:cstheme="majorHAnsi"/>
        </w:rPr>
        <w:t>FFA, 2025 ‘</w:t>
      </w:r>
      <w:r w:rsidRPr="00DE18E6">
        <w:rPr>
          <w:rFonts w:asciiTheme="majorHAnsi" w:hAnsiTheme="majorHAnsi" w:cstheme="majorHAnsi"/>
          <w:i/>
          <w:iCs/>
        </w:rPr>
        <w:t>Independent Refresh and Performance Report</w:t>
      </w:r>
      <w:r>
        <w:rPr>
          <w:rFonts w:asciiTheme="majorHAnsi" w:hAnsiTheme="majorHAnsi" w:cstheme="majorHAnsi"/>
        </w:rPr>
        <w:t>’, prepared by KPMG.</w:t>
      </w:r>
    </w:p>
  </w:footnote>
  <w:footnote w:id="6">
    <w:p w14:paraId="2D55159F" w14:textId="5163A581" w:rsidR="00ED3FF9" w:rsidRPr="00ED3FF9" w:rsidRDefault="00ED3FF9" w:rsidP="00ED3FF9">
      <w:pPr>
        <w:pStyle w:val="FootnoteText"/>
        <w:rPr>
          <w:rFonts w:asciiTheme="majorHAnsi" w:hAnsiTheme="majorHAnsi" w:cstheme="majorHAnsi"/>
          <w:lang w:val="en-GB"/>
        </w:rPr>
      </w:pPr>
      <w:r>
        <w:rPr>
          <w:rStyle w:val="FootnoteReference"/>
        </w:rPr>
        <w:footnoteRef/>
      </w:r>
      <w:r>
        <w:t xml:space="preserve"> </w:t>
      </w:r>
      <w:r w:rsidRPr="00ED3FF9">
        <w:rPr>
          <w:rFonts w:asciiTheme="majorHAnsi" w:hAnsiTheme="majorHAnsi" w:cstheme="majorHAnsi"/>
          <w:lang w:val="en-GB"/>
        </w:rPr>
        <w:t>See also</w:t>
      </w:r>
      <w:r w:rsidRPr="00ED3FF9">
        <w:rPr>
          <w:rFonts w:asciiTheme="majorHAnsi" w:hAnsiTheme="majorHAnsi" w:cstheme="majorHAnsi"/>
        </w:rPr>
        <w:t xml:space="preserve"> </w:t>
      </w:r>
      <w:r w:rsidRPr="00ED3FF9">
        <w:rPr>
          <w:rFonts w:asciiTheme="majorHAnsi" w:hAnsiTheme="majorHAnsi" w:cstheme="majorHAnsi"/>
          <w:lang w:val="en-GB"/>
        </w:rPr>
        <w:t xml:space="preserve">D.J. Steenbergen, P.T. Neihapi, D. Koran, A. Sami, V. Malverus, R. Ephraim, N. Andrew, ‘COVID-19 restrictions amidst cyclones and volcanoes: A rapid assessment of early impacts on livelihoods and food security in coastal communities in Vanuatu’, Marine Policy, Volume 121, 2020, </w:t>
      </w:r>
      <w:hyperlink r:id="rId4" w:history="1">
        <w:r w:rsidRPr="00ED3FF9">
          <w:rPr>
            <w:rStyle w:val="Hyperlink"/>
            <w:rFonts w:asciiTheme="majorHAnsi" w:hAnsiTheme="majorHAnsi" w:cstheme="majorHAnsi"/>
            <w:lang w:val="en-GB"/>
          </w:rPr>
          <w:t>https://www.sciencedirect.com/science/article/abs/pii/S0308597X20306898</w:t>
        </w:r>
      </w:hyperlink>
      <w:r w:rsidRPr="00ED3FF9">
        <w:rPr>
          <w:rFonts w:asciiTheme="majorHAnsi" w:hAnsiTheme="majorHAnsi" w:cstheme="majorHAnsi"/>
          <w:lang w:val="en-GB"/>
        </w:rPr>
        <w:t xml:space="preserve"> </w:t>
      </w:r>
    </w:p>
  </w:footnote>
  <w:footnote w:id="7">
    <w:p w14:paraId="5B54F996" w14:textId="3C8E9263" w:rsidR="00221A98" w:rsidRPr="00AC33B7" w:rsidRDefault="00221A98">
      <w:pPr>
        <w:pStyle w:val="FootnoteText"/>
        <w:rPr>
          <w:rFonts w:asciiTheme="majorHAnsi" w:hAnsiTheme="majorHAnsi" w:cstheme="majorHAnsi"/>
          <w:lang w:val="en-GB"/>
        </w:rPr>
      </w:pPr>
      <w:r>
        <w:rPr>
          <w:rStyle w:val="FootnoteReference"/>
        </w:rPr>
        <w:footnoteRef/>
      </w:r>
      <w:r>
        <w:t xml:space="preserve"> </w:t>
      </w:r>
      <w:r w:rsidR="00C24534" w:rsidRPr="00C24534">
        <w:rPr>
          <w:rFonts w:asciiTheme="majorHAnsi" w:hAnsiTheme="majorHAnsi" w:cstheme="majorHAnsi"/>
          <w:lang w:val="en-GB"/>
        </w:rPr>
        <w:t xml:space="preserve">It is important to note that </w:t>
      </w:r>
      <w:r w:rsidR="00C24534" w:rsidRPr="00AC33B7">
        <w:rPr>
          <w:rFonts w:asciiTheme="majorHAnsi" w:hAnsiTheme="majorHAnsi" w:cstheme="majorHAnsi"/>
          <w:lang w:eastAsia="en-GB"/>
        </w:rPr>
        <w:t xml:space="preserve">that Australia, through agencies such as Defence, </w:t>
      </w:r>
      <w:r w:rsidR="00C24534">
        <w:rPr>
          <w:rFonts w:asciiTheme="majorHAnsi" w:hAnsiTheme="majorHAnsi" w:cstheme="majorHAnsi"/>
          <w:lang w:eastAsia="en-GB"/>
        </w:rPr>
        <w:t>provides</w:t>
      </w:r>
      <w:r w:rsidR="00C24534" w:rsidRPr="00AC33B7">
        <w:rPr>
          <w:rFonts w:asciiTheme="majorHAnsi" w:hAnsiTheme="majorHAnsi" w:cstheme="majorHAnsi"/>
          <w:lang w:eastAsia="en-GB"/>
        </w:rPr>
        <w:t xml:space="preserve"> substantial </w:t>
      </w:r>
      <w:r w:rsidR="00C24534">
        <w:rPr>
          <w:rFonts w:asciiTheme="majorHAnsi" w:hAnsiTheme="majorHAnsi" w:cstheme="majorHAnsi"/>
          <w:lang w:eastAsia="en-GB"/>
        </w:rPr>
        <w:t xml:space="preserve">other </w:t>
      </w:r>
      <w:r w:rsidR="00C24534" w:rsidRPr="00AC33B7">
        <w:rPr>
          <w:rFonts w:asciiTheme="majorHAnsi" w:hAnsiTheme="majorHAnsi" w:cstheme="majorHAnsi"/>
          <w:lang w:eastAsia="en-GB"/>
        </w:rPr>
        <w:t>support to different aspects of combatting IUU Fishing under the broader remit of maritime security in the Pacific</w:t>
      </w:r>
      <w:r w:rsidR="00C24534">
        <w:rPr>
          <w:rFonts w:asciiTheme="majorHAnsi" w:hAnsiTheme="majorHAnsi" w:cstheme="majorHAnsi"/>
          <w:lang w:val="en-GB"/>
        </w:rPr>
        <w:t xml:space="preserve">. An </w:t>
      </w:r>
      <w:r w:rsidRPr="00AC33B7">
        <w:rPr>
          <w:rFonts w:asciiTheme="majorHAnsi" w:hAnsiTheme="majorHAnsi" w:cstheme="majorHAnsi"/>
          <w:lang w:val="en-GB"/>
        </w:rPr>
        <w:t xml:space="preserve">example </w:t>
      </w:r>
      <w:r w:rsidR="00C24534">
        <w:rPr>
          <w:rFonts w:asciiTheme="majorHAnsi" w:hAnsiTheme="majorHAnsi" w:cstheme="majorHAnsi"/>
          <w:lang w:val="en-GB"/>
        </w:rPr>
        <w:t>is the</w:t>
      </w:r>
      <w:r w:rsidRPr="00AC33B7">
        <w:rPr>
          <w:rFonts w:asciiTheme="majorHAnsi" w:hAnsiTheme="majorHAnsi" w:cstheme="majorHAnsi"/>
          <w:lang w:val="en-GB"/>
        </w:rPr>
        <w:t xml:space="preserve"> $2 billion </w:t>
      </w:r>
      <w:hyperlink r:id="rId5" w:history="1">
        <w:r w:rsidR="00C24534" w:rsidRPr="00C24534">
          <w:rPr>
            <w:rStyle w:val="Hyperlink"/>
            <w:rFonts w:asciiTheme="majorHAnsi" w:hAnsiTheme="majorHAnsi" w:cstheme="majorHAnsi"/>
            <w:lang w:val="en-GB"/>
          </w:rPr>
          <w:t>Pacific Maritime Security Program</w:t>
        </w:r>
      </w:hyperlink>
      <w:r w:rsidR="00C24534">
        <w:rPr>
          <w:rFonts w:asciiTheme="majorHAnsi" w:hAnsiTheme="majorHAnsi" w:cstheme="majorHAnsi"/>
          <w:lang w:val="en-GB"/>
        </w:rPr>
        <w:t xml:space="preserve"> </w:t>
      </w:r>
      <w:r w:rsidRPr="00AC33B7">
        <w:rPr>
          <w:rFonts w:asciiTheme="majorHAnsi" w:hAnsiTheme="majorHAnsi" w:cstheme="majorHAnsi"/>
          <w:lang w:val="en-GB"/>
        </w:rPr>
        <w:t>which includes boosting aerial surveillance, replacing patrol boa</w:t>
      </w:r>
      <w:r>
        <w:rPr>
          <w:rFonts w:asciiTheme="majorHAnsi" w:hAnsiTheme="majorHAnsi" w:cstheme="majorHAnsi"/>
          <w:lang w:val="en-GB"/>
        </w:rPr>
        <w:t>t</w:t>
      </w:r>
      <w:r w:rsidRPr="00AC33B7">
        <w:rPr>
          <w:rFonts w:asciiTheme="majorHAnsi" w:hAnsiTheme="majorHAnsi" w:cstheme="majorHAnsi"/>
          <w:lang w:val="en-GB"/>
        </w:rPr>
        <w:t xml:space="preserve">s, </w:t>
      </w:r>
      <w:r w:rsidR="008020CE">
        <w:rPr>
          <w:rFonts w:asciiTheme="majorHAnsi" w:hAnsiTheme="majorHAnsi" w:cstheme="majorHAnsi"/>
          <w:lang w:val="en-GB"/>
        </w:rPr>
        <w:t xml:space="preserve">and </w:t>
      </w:r>
      <w:r w:rsidRPr="00AC33B7">
        <w:rPr>
          <w:rFonts w:asciiTheme="majorHAnsi" w:hAnsiTheme="majorHAnsi" w:cstheme="majorHAnsi"/>
          <w:lang w:val="en-GB"/>
        </w:rPr>
        <w:t>providing in-country advisors</w:t>
      </w:r>
      <w:r w:rsidR="00C24534">
        <w:rPr>
          <w:rFonts w:asciiTheme="majorHAnsi" w:hAnsiTheme="majorHAnsi" w:cstheme="majorHAnsi"/>
          <w:lang w:val="en-GB"/>
        </w:rPr>
        <w:t xml:space="preserve"> to Australia’s 16 partner nations in the Pacific</w:t>
      </w:r>
      <w:r w:rsidRPr="00AC33B7">
        <w:rPr>
          <w:rFonts w:asciiTheme="majorHAnsi" w:hAnsiTheme="majorHAnsi" w:cstheme="majorHAnsi"/>
          <w:lang w:val="en-GB"/>
        </w:rPr>
        <w:t>.</w:t>
      </w:r>
    </w:p>
  </w:footnote>
  <w:footnote w:id="8">
    <w:p w14:paraId="31A67DA9" w14:textId="1175A507" w:rsidR="00D6350C" w:rsidRPr="00D6350C" w:rsidRDefault="00D6350C">
      <w:pPr>
        <w:pStyle w:val="FootnoteText"/>
        <w:rPr>
          <w:lang w:val="en-GB"/>
        </w:rPr>
      </w:pPr>
      <w:r>
        <w:rPr>
          <w:rStyle w:val="FootnoteReference"/>
        </w:rPr>
        <w:footnoteRef/>
      </w:r>
      <w:r w:rsidR="008A180C">
        <w:t>Four other FFA Members (Fiji, Kiribati, Papua New Guinea, and Tokelau) are yet to ratify the NTSA (</w:t>
      </w:r>
      <w:hyperlink r:id="rId6" w:history="1">
        <w:r w:rsidR="008A180C" w:rsidRPr="002E241D">
          <w:rPr>
            <w:rStyle w:val="Hyperlink"/>
          </w:rPr>
          <w:t>https://www.ffa.int/2025/05/ten-years-together-celebrating-regional-solidarity-through-the-ntsa/</w:t>
        </w:r>
      </w:hyperlink>
      <w:r w:rsidR="008A180C">
        <w:t>).</w:t>
      </w:r>
    </w:p>
  </w:footnote>
  <w:footnote w:id="9">
    <w:p w14:paraId="624CD33A" w14:textId="226129CA" w:rsidR="00726222" w:rsidRPr="00AC33B7" w:rsidRDefault="00726222">
      <w:pPr>
        <w:pStyle w:val="FootnoteText"/>
        <w:rPr>
          <w:lang w:val="en-GB"/>
        </w:rPr>
      </w:pPr>
      <w:r>
        <w:rPr>
          <w:rStyle w:val="FootnoteReference"/>
        </w:rPr>
        <w:footnoteRef/>
      </w:r>
      <w:r>
        <w:t xml:space="preserve"> </w:t>
      </w:r>
      <w:r w:rsidRPr="00AC33B7">
        <w:rPr>
          <w:rFonts w:asciiTheme="majorHAnsi" w:hAnsiTheme="majorHAnsi" w:cstheme="majorHAnsi"/>
        </w:rPr>
        <w:t xml:space="preserve">The investment also facilitates coordination with the newly established </w:t>
      </w:r>
      <w:r w:rsidRPr="00AC33B7">
        <w:rPr>
          <w:rFonts w:asciiTheme="majorHAnsi" w:hAnsiTheme="majorHAnsi" w:cstheme="majorHAnsi"/>
          <w:i/>
          <w:iCs/>
        </w:rPr>
        <w:t>Forum Officials Committee (FOC) Specialist Sub-Committee on Sea Level Rise in relation to International Law,</w:t>
      </w:r>
      <w:r w:rsidRPr="00AC33B7">
        <w:rPr>
          <w:rFonts w:asciiTheme="majorHAnsi" w:hAnsiTheme="majorHAnsi" w:cstheme="majorHAnsi"/>
        </w:rPr>
        <w:t xml:space="preserve"> directly linking the technical work to the key regional political forum addressing the climate resilience of boundaries</w:t>
      </w:r>
    </w:p>
  </w:footnote>
  <w:footnote w:id="10">
    <w:p w14:paraId="3D7C2BB1" w14:textId="7DD49A10" w:rsidR="00726222" w:rsidRPr="00AC33B7" w:rsidRDefault="00726222">
      <w:pPr>
        <w:pStyle w:val="FootnoteText"/>
        <w:rPr>
          <w:lang w:val="en-GB"/>
        </w:rPr>
      </w:pPr>
      <w:r>
        <w:rPr>
          <w:rStyle w:val="FootnoteReference"/>
        </w:rPr>
        <w:footnoteRef/>
      </w:r>
      <w:r>
        <w:t xml:space="preserve"> </w:t>
      </w:r>
      <w:r w:rsidRPr="00AC33B7">
        <w:rPr>
          <w:rFonts w:asciiTheme="majorHAnsi" w:hAnsiTheme="majorHAnsi" w:cstheme="majorHAnsi"/>
          <w:color w:val="000000"/>
        </w:rPr>
        <w:t>The ILC adopted the final report of the Study Group at the 76th session of the ILC on 26 May 2025, which acknowledged the large body of practice now supporting preservation of maritime zones in line with the PIF position</w:t>
      </w:r>
    </w:p>
  </w:footnote>
  <w:footnote w:id="11">
    <w:p w14:paraId="7D9A06C8" w14:textId="77777777" w:rsidR="00A22B64" w:rsidRPr="008532B4" w:rsidRDefault="00A22B64" w:rsidP="00A22B64">
      <w:pPr>
        <w:pStyle w:val="FootnoteText"/>
        <w:rPr>
          <w:rFonts w:asciiTheme="majorHAnsi" w:hAnsiTheme="majorHAnsi" w:cstheme="majorHAnsi"/>
        </w:rPr>
      </w:pPr>
      <w:r>
        <w:rPr>
          <w:rStyle w:val="FootnoteReference"/>
        </w:rPr>
        <w:footnoteRef/>
      </w:r>
      <w:r>
        <w:t xml:space="preserve"> </w:t>
      </w:r>
      <w:r w:rsidRPr="008532B4">
        <w:rPr>
          <w:rFonts w:asciiTheme="majorHAnsi" w:hAnsiTheme="majorHAnsi" w:cstheme="majorHAnsi"/>
        </w:rPr>
        <w:t>New Zealand is the other major donor to the FFA, providing roughly similar annual financial support to the FFA</w:t>
      </w:r>
      <w:r>
        <w:rPr>
          <w:rFonts w:asciiTheme="majorHAnsi" w:hAnsiTheme="majorHAnsi" w:cstheme="majorHAnsi"/>
        </w:rPr>
        <w:t xml:space="preserve"> as Australia,</w:t>
      </w:r>
      <w:r w:rsidRPr="008532B4">
        <w:rPr>
          <w:rFonts w:asciiTheme="majorHAnsi" w:hAnsiTheme="majorHAnsi" w:cstheme="majorHAnsi"/>
        </w:rPr>
        <w:t xml:space="preserve"> although the support has fluctuated over time. For instance, in the 2019/2020 Financial </w:t>
      </w:r>
      <w:r>
        <w:rPr>
          <w:rFonts w:asciiTheme="majorHAnsi" w:hAnsiTheme="majorHAnsi" w:cstheme="majorHAnsi"/>
        </w:rPr>
        <w:t>Y</w:t>
      </w:r>
      <w:r w:rsidRPr="008532B4">
        <w:rPr>
          <w:rFonts w:asciiTheme="majorHAnsi" w:hAnsiTheme="majorHAnsi" w:cstheme="majorHAnsi"/>
        </w:rPr>
        <w:t xml:space="preserve">ear NZMFAT provided US$9,114,587, in the 2020/2021 </w:t>
      </w:r>
      <w:r>
        <w:rPr>
          <w:rFonts w:asciiTheme="majorHAnsi" w:hAnsiTheme="majorHAnsi" w:cstheme="majorHAnsi"/>
        </w:rPr>
        <w:t>FY</w:t>
      </w:r>
      <w:r w:rsidRPr="008532B4">
        <w:rPr>
          <w:rFonts w:asciiTheme="majorHAnsi" w:hAnsiTheme="majorHAnsi" w:cstheme="majorHAnsi"/>
        </w:rPr>
        <w:t xml:space="preserve"> New Zealand’s funding amounted to $US3,652,653.</w:t>
      </w:r>
    </w:p>
  </w:footnote>
  <w:footnote w:id="12">
    <w:p w14:paraId="65790B37" w14:textId="1EC7FAE1" w:rsidR="00F44853" w:rsidRDefault="00F44853" w:rsidP="00F44853">
      <w:pPr>
        <w:pStyle w:val="FootnoteText"/>
      </w:pPr>
      <w:r>
        <w:rPr>
          <w:rStyle w:val="FootnoteReference"/>
        </w:rPr>
        <w:footnoteRef/>
      </w:r>
      <w:r>
        <w:t xml:space="preserve"> </w:t>
      </w:r>
      <w:r w:rsidRPr="007A5BEE">
        <w:rPr>
          <w:rFonts w:asciiTheme="majorHAnsi" w:hAnsiTheme="majorHAnsi" w:cstheme="majorHAnsi"/>
        </w:rPr>
        <w:t xml:space="preserve">According to the FFA as of March/April 2025: Four (4) deliverables (4.4%) have been completed of the 2021–2025 Business Plan. Eighty (80) deliverables (87.9%) are identified as ongoing, with two expected to be completed by the end of the </w:t>
      </w:r>
      <w:r>
        <w:rPr>
          <w:rFonts w:asciiTheme="majorHAnsi" w:hAnsiTheme="majorHAnsi" w:cstheme="majorHAnsi"/>
        </w:rPr>
        <w:t xml:space="preserve">current </w:t>
      </w:r>
      <w:r w:rsidRPr="007A5BEE">
        <w:rPr>
          <w:rFonts w:asciiTheme="majorHAnsi" w:hAnsiTheme="majorHAnsi" w:cstheme="majorHAnsi"/>
        </w:rPr>
        <w:t>financial year</w:t>
      </w:r>
      <w:r w:rsidR="00DE18E6">
        <w:rPr>
          <w:rFonts w:asciiTheme="majorHAnsi" w:hAnsiTheme="majorHAnsi" w:cstheme="majorHAnsi"/>
        </w:rPr>
        <w:t xml:space="preserve"> (FFA, 2025 ‘</w:t>
      </w:r>
      <w:r w:rsidR="00DE18E6" w:rsidRPr="00DE18E6">
        <w:rPr>
          <w:rFonts w:asciiTheme="majorHAnsi" w:hAnsiTheme="majorHAnsi" w:cstheme="majorHAnsi"/>
          <w:i/>
          <w:iCs/>
        </w:rPr>
        <w:t>Independent Refresh and Performance Report</w:t>
      </w:r>
      <w:r w:rsidR="00DE18E6">
        <w:rPr>
          <w:rFonts w:asciiTheme="majorHAnsi" w:hAnsiTheme="majorHAnsi" w:cstheme="majorHAnsi"/>
        </w:rPr>
        <w:t>’, prepared by KPMG).</w:t>
      </w:r>
    </w:p>
  </w:footnote>
  <w:footnote w:id="13">
    <w:p w14:paraId="6A456BC0" w14:textId="5DCD56F2" w:rsidR="00B51359" w:rsidRPr="00B51359" w:rsidRDefault="00B51359">
      <w:pPr>
        <w:pStyle w:val="FootnoteText"/>
        <w:rPr>
          <w:lang w:val="en-GB"/>
        </w:rPr>
      </w:pPr>
      <w:r>
        <w:rPr>
          <w:rStyle w:val="FootnoteReference"/>
        </w:rPr>
        <w:footnoteRef/>
      </w:r>
      <w:r>
        <w:t xml:space="preserve"> </w:t>
      </w:r>
      <w:r w:rsidRPr="00B51359">
        <w:rPr>
          <w:rFonts w:asciiTheme="majorHAnsi" w:hAnsiTheme="majorHAnsi" w:cstheme="majorHAnsi"/>
        </w:rPr>
        <w:t xml:space="preserve">Such as the </w:t>
      </w:r>
      <w:r>
        <w:rPr>
          <w:rFonts w:asciiTheme="majorHAnsi" w:hAnsiTheme="majorHAnsi" w:cstheme="majorHAnsi"/>
        </w:rPr>
        <w:t>FFA’s ‘</w:t>
      </w:r>
      <w:r w:rsidRPr="00DE18E6">
        <w:rPr>
          <w:rFonts w:asciiTheme="majorHAnsi" w:hAnsiTheme="majorHAnsi" w:cstheme="majorHAnsi"/>
          <w:i/>
          <w:iCs/>
        </w:rPr>
        <w:t>Independent Refresh and Performance Report</w:t>
      </w:r>
      <w:r>
        <w:rPr>
          <w:rFonts w:asciiTheme="majorHAnsi" w:hAnsiTheme="majorHAnsi" w:cstheme="majorHAnsi"/>
        </w:rPr>
        <w:t>’, prepared by KPMG in 2025.</w:t>
      </w:r>
    </w:p>
  </w:footnote>
  <w:footnote w:id="14">
    <w:p w14:paraId="6621B1B3" w14:textId="3C97ACA5" w:rsidR="00B51359" w:rsidRPr="00B51359" w:rsidRDefault="00B51359">
      <w:pPr>
        <w:pStyle w:val="FootnoteText"/>
        <w:rPr>
          <w:lang w:val="en-GB"/>
        </w:rPr>
      </w:pPr>
      <w:r>
        <w:rPr>
          <w:rStyle w:val="FootnoteReference"/>
        </w:rPr>
        <w:footnoteRef/>
      </w:r>
      <w:r>
        <w:t xml:space="preserve"> </w:t>
      </w:r>
      <w:r>
        <w:rPr>
          <w:rFonts w:asciiTheme="majorHAnsi" w:hAnsiTheme="majorHAnsi" w:cstheme="majorHAnsi"/>
        </w:rPr>
        <w:t>These</w:t>
      </w:r>
      <w:r w:rsidRPr="00B51359">
        <w:rPr>
          <w:rFonts w:asciiTheme="majorHAnsi" w:hAnsiTheme="majorHAnsi" w:cstheme="majorHAnsi"/>
        </w:rPr>
        <w:t xml:space="preserve"> points on MEL are also echoed in the </w:t>
      </w:r>
      <w:r>
        <w:rPr>
          <w:rFonts w:asciiTheme="majorHAnsi" w:hAnsiTheme="majorHAnsi" w:cstheme="majorHAnsi"/>
        </w:rPr>
        <w:t>FFA’s ‘</w:t>
      </w:r>
      <w:r w:rsidRPr="00DE18E6">
        <w:rPr>
          <w:rFonts w:asciiTheme="majorHAnsi" w:hAnsiTheme="majorHAnsi" w:cstheme="majorHAnsi"/>
          <w:i/>
          <w:iCs/>
        </w:rPr>
        <w:t>Independent Refresh and Performance Report</w:t>
      </w:r>
      <w:r>
        <w:rPr>
          <w:rFonts w:asciiTheme="majorHAnsi" w:hAnsiTheme="majorHAnsi" w:cstheme="majorHAnsi"/>
        </w:rPr>
        <w:t>’, prepared by KPMG in 2025.</w:t>
      </w:r>
    </w:p>
  </w:footnote>
  <w:footnote w:id="15">
    <w:p w14:paraId="1D2B6DFE" w14:textId="75B1A26F" w:rsidR="00FC4937" w:rsidRPr="00A43B6B" w:rsidRDefault="00FC4937" w:rsidP="00CB7BC5">
      <w:pPr>
        <w:pStyle w:val="FootnoteText"/>
        <w:rPr>
          <w:lang w:val="en-GB"/>
        </w:rPr>
      </w:pPr>
      <w:r>
        <w:rPr>
          <w:rStyle w:val="FootnoteReference"/>
        </w:rPr>
        <w:footnoteRef/>
      </w:r>
      <w:r>
        <w:t xml:space="preserve"> </w:t>
      </w:r>
      <w:r w:rsidR="00491B5F" w:rsidRPr="00FC0B01">
        <w:rPr>
          <w:rStyle w:val="hgkelc"/>
          <w:rFonts w:ascii="Calibri Light" w:hAnsi="Calibri Light" w:cs="Calibri Light"/>
          <w:lang w:val="en"/>
        </w:rPr>
        <w:t>11th European Development Fund</w:t>
      </w:r>
      <w:r w:rsidR="00A43B6B" w:rsidRPr="00FC0B01">
        <w:rPr>
          <w:rFonts w:ascii="Calibri Light" w:hAnsi="Calibri Light" w:cs="Calibri Light"/>
        </w:rPr>
        <w:t xml:space="preserve">’s </w:t>
      </w:r>
      <w:r w:rsidRPr="00FC0B01">
        <w:rPr>
          <w:rFonts w:ascii="Calibri Light" w:hAnsi="Calibri Light" w:cs="Calibri Light"/>
        </w:rPr>
        <w:t>Pacific-</w:t>
      </w:r>
      <w:r w:rsidRPr="00FC0B01">
        <w:rPr>
          <w:rStyle w:val="Emphasis"/>
          <w:rFonts w:ascii="Calibri Light" w:hAnsi="Calibri Light" w:cs="Calibri Light"/>
        </w:rPr>
        <w:t>European Union</w:t>
      </w:r>
      <w:r w:rsidRPr="00FC0B01">
        <w:rPr>
          <w:rFonts w:ascii="Calibri Light" w:hAnsi="Calibri Light" w:cs="Calibri Light"/>
        </w:rPr>
        <w:t xml:space="preserve"> Marine Partnership</w:t>
      </w:r>
      <w:r w:rsidR="00A43B6B" w:rsidRPr="00FC0B01">
        <w:rPr>
          <w:rFonts w:ascii="Calibri Light" w:hAnsi="Calibri Light" w:cs="Calibri Light"/>
        </w:rPr>
        <w:t>.</w:t>
      </w:r>
    </w:p>
  </w:footnote>
  <w:footnote w:id="16">
    <w:p w14:paraId="6A8CA70D" w14:textId="7BA04764" w:rsidR="00656919" w:rsidRPr="00656919" w:rsidRDefault="00656919">
      <w:pPr>
        <w:pStyle w:val="FootnoteText"/>
        <w:rPr>
          <w:lang w:val="en-GB"/>
        </w:rPr>
      </w:pPr>
      <w:r>
        <w:rPr>
          <w:rStyle w:val="FootnoteReference"/>
        </w:rPr>
        <w:footnoteRef/>
      </w:r>
      <w:r>
        <w:t xml:space="preserve"> </w:t>
      </w:r>
      <w:r>
        <w:rPr>
          <w:lang w:val="en-GB"/>
        </w:rPr>
        <w:t xml:space="preserve">The Global Partnership for Education, for example, provides countries with education sector program implementation grants, which are divided into a fixed part (making up no more than 70% of the grant) and a variable part (no less than 30% of the grant). The fixed part is typically core funding, and variable part is based on funding-linked targets, and includes a detailed plan for measuring and verifying results, and a clearly described and agreed upon mechanism for disbursing the variable part of the grant (for more details of the success of this modality see - </w:t>
      </w:r>
      <w:hyperlink r:id="rId7" w:history="1">
        <w:r w:rsidRPr="00E7255D">
          <w:rPr>
            <w:rStyle w:val="Hyperlink"/>
            <w:lang w:val="en-GB"/>
          </w:rPr>
          <w:t>https://www.globalpartnership.org/node/document/download?file=sites/default/files/2019-03-gpe-guidance-note-variable-part.pdf</w:t>
        </w:r>
      </w:hyperlink>
      <w:r>
        <w:rPr>
          <w:lang w:val="en-GB"/>
        </w:rPr>
        <w:t xml:space="preserve">, and </w:t>
      </w:r>
      <w:hyperlink r:id="rId8" w:history="1">
        <w:r w:rsidR="009D09A7" w:rsidRPr="00E7255D">
          <w:rPr>
            <w:rStyle w:val="Hyperlink"/>
            <w:lang w:val="en-GB"/>
          </w:rPr>
          <w:t>https://www.globalpartnership.org/node/document/download?file=document/file/2020-05-review-of-design-and-implementation-experiences-of-gpe-variable-part-financing.pdf</w:t>
        </w:r>
      </w:hyperlink>
      <w:r>
        <w:rPr>
          <w:lang w:val="en-GB"/>
        </w:rPr>
        <w:t>.</w:t>
      </w:r>
    </w:p>
  </w:footnote>
  <w:footnote w:id="17">
    <w:p w14:paraId="46BBA888" w14:textId="77777777" w:rsidR="00EC0EA5" w:rsidRPr="0013213B" w:rsidRDefault="00EC0EA5" w:rsidP="00EC0EA5">
      <w:pPr>
        <w:rPr>
          <w:sz w:val="18"/>
          <w:szCs w:val="18"/>
        </w:rPr>
      </w:pPr>
      <w:r>
        <w:rPr>
          <w:rStyle w:val="FootnoteReference"/>
        </w:rPr>
        <w:footnoteRef/>
      </w:r>
      <w:r>
        <w:t xml:space="preserve"> </w:t>
      </w:r>
      <w:r w:rsidRPr="00B6589C">
        <w:rPr>
          <w:sz w:val="18"/>
          <w:szCs w:val="18"/>
        </w:rPr>
        <w:t xml:space="preserve">Drawing on recent Tuna Fishery Cards, with information supplemented by the FFA’s ‘Quantification of IUU Fishing in the Pacific Islands Region – a 2020 update’ (October 2021), and </w:t>
      </w:r>
      <w:r w:rsidRPr="00B6589C">
        <w:rPr>
          <w:rStyle w:val="A02"/>
          <w:sz w:val="18"/>
          <w:szCs w:val="18"/>
        </w:rPr>
        <w:t>Gillett R. and Fong M. 2023. Fisheries in the economies of Pacific Island countries and territories (Benefish Study 4). Noumea, New Caledonia: Pacific Community. 704 p. https:// purl.org/spc/digilib/doc/ppizh</w:t>
      </w:r>
      <w:r w:rsidRPr="00B6589C">
        <w:rPr>
          <w:sz w:val="18"/>
          <w:szCs w:val="18"/>
        </w:rPr>
        <w:t xml:space="preserve">. See also the 2024 EDIS report: </w:t>
      </w:r>
      <w:r w:rsidRPr="00B6589C">
        <w:rPr>
          <w:rStyle w:val="break-words"/>
          <w:sz w:val="18"/>
          <w:szCs w:val="18"/>
        </w:rPr>
        <w:t>Economic and Development Indicators and Statistics: Tuna Fisheries of the Western and Central Pacific Ocean 2024”</w:t>
      </w:r>
      <w:r w:rsidRPr="0013213B">
        <w:rPr>
          <w:rStyle w:val="break-words"/>
        </w:rPr>
        <w:t xml:space="preserve"> (</w:t>
      </w:r>
      <w:hyperlink r:id="rId9" w:history="1">
        <w:r w:rsidRPr="0013213B">
          <w:rPr>
            <w:rStyle w:val="Hyperlink"/>
            <w:sz w:val="18"/>
            <w:szCs w:val="18"/>
          </w:rPr>
          <w:t>https://www.ffa.int/download/economic-development-indicators-and-statistics/</w:t>
        </w:r>
      </w:hyperlink>
      <w:r w:rsidRPr="0013213B">
        <w:rPr>
          <w:rStyle w:val="break-words"/>
        </w:rPr>
        <w:t>)</w:t>
      </w:r>
    </w:p>
  </w:footnote>
  <w:footnote w:id="18">
    <w:p w14:paraId="283D524F" w14:textId="77777777" w:rsidR="00EC0EA5" w:rsidRPr="00BC4393" w:rsidRDefault="00EC0EA5" w:rsidP="00EC0EA5">
      <w:pPr>
        <w:rPr>
          <w:sz w:val="18"/>
          <w:szCs w:val="18"/>
        </w:rPr>
      </w:pPr>
      <w:r>
        <w:rPr>
          <w:rStyle w:val="FootnoteReference"/>
        </w:rPr>
        <w:footnoteRef/>
      </w:r>
      <w:r>
        <w:t xml:space="preserve"> </w:t>
      </w:r>
      <w:r w:rsidRPr="00B6589C">
        <w:rPr>
          <w:sz w:val="18"/>
          <w:szCs w:val="18"/>
        </w:rPr>
        <w:t xml:space="preserve">2024 EDIS report: </w:t>
      </w:r>
      <w:r w:rsidRPr="00B6589C">
        <w:rPr>
          <w:rStyle w:val="break-words"/>
          <w:sz w:val="18"/>
          <w:szCs w:val="18"/>
        </w:rPr>
        <w:t>Economic and Development Indicators and Statistics: Tuna Fisheries of the Western and Central Pacific Ocean 2024”</w:t>
      </w:r>
      <w:r w:rsidRPr="0013213B">
        <w:rPr>
          <w:rStyle w:val="break-words"/>
        </w:rPr>
        <w:t xml:space="preserve"> (</w:t>
      </w:r>
      <w:hyperlink r:id="rId10" w:history="1">
        <w:r w:rsidRPr="0013213B">
          <w:rPr>
            <w:rStyle w:val="Hyperlink"/>
            <w:sz w:val="18"/>
            <w:szCs w:val="18"/>
          </w:rPr>
          <w:t>https://www.ffa.int/download/economic-development-indicators-and-statistics/</w:t>
        </w:r>
      </w:hyperlink>
      <w:r w:rsidRPr="0013213B">
        <w:rPr>
          <w:rStyle w:val="break-words"/>
        </w:rPr>
        <w:t>)</w:t>
      </w:r>
      <w:r>
        <w:rPr>
          <w:rStyle w:val="break-words"/>
        </w:rPr>
        <w:t>.</w:t>
      </w:r>
    </w:p>
  </w:footnote>
  <w:footnote w:id="19">
    <w:p w14:paraId="538B5F90" w14:textId="77777777" w:rsidR="00EC0EA5" w:rsidRDefault="00EC0EA5" w:rsidP="00EC0EA5">
      <w:pPr>
        <w:pStyle w:val="FootnoteText"/>
      </w:pPr>
      <w:r>
        <w:rPr>
          <w:rStyle w:val="FootnoteReference"/>
        </w:rPr>
        <w:footnoteRef/>
      </w:r>
      <w:r>
        <w:t xml:space="preserve"> </w:t>
      </w:r>
      <w:r w:rsidRPr="0013213B">
        <w:t>FFA’s ‘Quantification of IUU Fishing in the Pacific Islands Region – a 2020 update’ (October 2021)</w:t>
      </w:r>
      <w:r>
        <w:t>.</w:t>
      </w:r>
    </w:p>
  </w:footnote>
  <w:footnote w:id="20">
    <w:p w14:paraId="64D281E1" w14:textId="5EAAB6B3" w:rsidR="00EC0EA5" w:rsidRPr="00EC0EA5" w:rsidRDefault="00EC0EA5">
      <w:pPr>
        <w:pStyle w:val="FootnoteText"/>
        <w:rPr>
          <w:rFonts w:asciiTheme="majorHAnsi" w:hAnsiTheme="majorHAnsi" w:cstheme="majorHAnsi"/>
          <w:lang w:val="en-GB"/>
        </w:rPr>
      </w:pPr>
      <w:r>
        <w:rPr>
          <w:rStyle w:val="FootnoteReference"/>
        </w:rPr>
        <w:footnoteRef/>
      </w:r>
      <w:r>
        <w:t xml:space="preserve"> </w:t>
      </w:r>
      <w:r w:rsidRPr="00EC0EA5">
        <w:rPr>
          <w:rFonts w:asciiTheme="majorHAnsi" w:hAnsiTheme="majorHAnsi" w:cstheme="majorHAnsi"/>
          <w:color w:val="000000"/>
        </w:rPr>
        <w:t xml:space="preserve">Through the PMB Project, Australia’s investment funds SPC to support PICs to put forward submissions for areas of </w:t>
      </w:r>
      <w:r w:rsidRPr="00BB60C7">
        <w:rPr>
          <w:i/>
          <w:iCs/>
        </w:rPr>
        <w:t>Support for Extended Continental Shelf (ECS) Claims</w:t>
      </w:r>
      <w:r>
        <w:rPr>
          <w:rFonts w:asciiTheme="majorHAnsi" w:hAnsiTheme="majorHAnsi" w:cstheme="majorHAnsi"/>
          <w:color w:val="000000"/>
        </w:rPr>
        <w:t xml:space="preserve"> </w:t>
      </w:r>
      <w:r w:rsidRPr="00EC0EA5">
        <w:rPr>
          <w:rFonts w:asciiTheme="majorHAnsi" w:hAnsiTheme="majorHAnsi" w:cstheme="majorHAnsi"/>
          <w:color w:val="000000"/>
        </w:rPr>
        <w:t xml:space="preserve">to the </w:t>
      </w:r>
      <w:r w:rsidR="00BB60C7">
        <w:rPr>
          <w:rStyle w:val="hgkelc"/>
          <w:b/>
          <w:bCs/>
          <w:lang w:val="en"/>
        </w:rPr>
        <w:t xml:space="preserve">Commission on the Limits of the </w:t>
      </w:r>
      <w:r w:rsidR="00BB60C7">
        <w:rPr>
          <w:rStyle w:val="jpfdse"/>
          <w:b/>
          <w:bCs/>
          <w:lang w:val="en"/>
        </w:rPr>
        <w:t>Continental Shelf</w:t>
      </w:r>
      <w:r w:rsidRPr="00EC0EA5">
        <w:rPr>
          <w:rFonts w:asciiTheme="majorHAnsi" w:hAnsiTheme="majorHAnsi" w:cstheme="majorHAnsi"/>
          <w:color w:val="000000"/>
        </w:rPr>
        <w:t xml:space="preserve"> and provides legal support to PICs to establish continental shelf limits in national maritime zones legislation and deposit with the UN Secretary-General in accordance with </w:t>
      </w:r>
      <w:r w:rsidR="00BB60C7">
        <w:rPr>
          <w:rFonts w:asciiTheme="majorHAnsi" w:hAnsiTheme="majorHAnsi" w:cstheme="majorHAnsi"/>
          <w:color w:val="000000"/>
        </w:rPr>
        <w:t xml:space="preserve">the </w:t>
      </w:r>
      <w:r w:rsidR="00BB60C7" w:rsidRPr="00BB60C7">
        <w:rPr>
          <w:rStyle w:val="hgkelc"/>
          <w:b/>
          <w:bCs/>
          <w:lang w:val="en"/>
        </w:rPr>
        <w:t>United Nations Convention on the Law of the Sea</w:t>
      </w:r>
      <w:r w:rsidR="00BB60C7">
        <w:t>.</w:t>
      </w:r>
    </w:p>
  </w:footnote>
  <w:footnote w:id="21">
    <w:p w14:paraId="5578AC58" w14:textId="77777777" w:rsidR="00C640B0" w:rsidRPr="001278F2" w:rsidRDefault="00C640B0" w:rsidP="00C640B0">
      <w:pPr>
        <w:pStyle w:val="FootnoteText"/>
        <w:rPr>
          <w:lang w:val="en-GB"/>
        </w:rPr>
      </w:pPr>
      <w:r>
        <w:rPr>
          <w:rStyle w:val="FootnoteReference"/>
        </w:rPr>
        <w:footnoteRef/>
      </w:r>
      <w:r>
        <w:t xml:space="preserve"> </w:t>
      </w:r>
      <w:r w:rsidRPr="001278F2">
        <w:t>Ensuring that reasonable accommodation principles are applied to eliminate barriers that may limit or prevent fair and equitable participation and contribution—including language, access to technology and connectivity, timing and duration of the interview, the number and makeup of participants in the discussion, and the interview location—is essential for all engagement. Advice will be sought at the planning stage of the interviews and discussions regarding suitable and reasonable adjustments needed. Guidance on specific preferences and needs will be requested when individuals are invited, and at the start of each interview, the appropriateness of accessibility and adjustments will be verified. Should any challenges arise, adjustments will be made, or if this is not feasible, an alternative option for conducting the interview will be offered to facilitate the necessary modifications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078F6" w14:textId="26C8CA8D" w:rsidR="00681A57" w:rsidRDefault="004E4730">
    <w:pPr>
      <w:pStyle w:val="Header"/>
    </w:pPr>
    <w:r>
      <w:rPr>
        <w:noProof/>
      </w:rPr>
      <mc:AlternateContent>
        <mc:Choice Requires="wps">
          <w:drawing>
            <wp:anchor distT="0" distB="0" distL="114300" distR="114300" simplePos="0" relativeHeight="251658240" behindDoc="1" locked="0" layoutInCell="0" allowOverlap="1" wp14:anchorId="3A5AB914" wp14:editId="701C3CFC">
              <wp:simplePos x="0" y="0"/>
              <wp:positionH relativeFrom="margin">
                <wp:align>center</wp:align>
              </wp:positionH>
              <wp:positionV relativeFrom="margin">
                <wp:align>center</wp:align>
              </wp:positionV>
              <wp:extent cx="5615940" cy="2456815"/>
              <wp:effectExtent l="0" t="0" r="0" b="0"/>
              <wp:wrapNone/>
              <wp:docPr id="626571578" name="PowerPlusWaterMarkObject11005674"/>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615940" cy="2456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6143E4" w14:textId="77777777" w:rsidR="004E4730" w:rsidRDefault="004E4730" w:rsidP="004E4730">
                          <w:pPr>
                            <w:jc w:val="center"/>
                            <w:rPr>
                              <w:rFonts w:cs="Calibri Light"/>
                              <w:color w:val="C0C0C0"/>
                              <w:sz w:val="72"/>
                              <w:szCs w:val="72"/>
                              <w:lang w:val="en-US"/>
                              <w14:textFill>
                                <w14:solidFill>
                                  <w14:srgbClr w14:val="C0C0C0">
                                    <w14:alpha w14:val="60000"/>
                                  </w14:srgbClr>
                                </w14:solidFill>
                              </w14:textFill>
                            </w:rPr>
                          </w:pPr>
                          <w:r>
                            <w:rPr>
                              <w:rFonts w:cs="Calibri Light"/>
                              <w:color w:val="C0C0C0"/>
                              <w:sz w:val="72"/>
                              <w:szCs w:val="72"/>
                              <w:lang w:val="en-US"/>
                              <w14:textFill>
                                <w14:solidFill>
                                  <w14:srgbClr w14:val="C0C0C0">
                                    <w14:alpha w14:val="6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A5AB914" id="_x0000_t202" coordsize="21600,21600" o:spt="202" path="m,l,21600r21600,l21600,xe">
              <v:stroke joinstyle="miter"/>
              <v:path gradientshapeok="t" o:connecttype="rect"/>
            </v:shapetype>
            <v:shape id="PowerPlusWaterMarkObject11005674" o:spid="_x0000_s1032" type="#_x0000_t202" style="position:absolute;margin-left:0;margin-top:0;width:442.2pt;height:193.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" o:allowincell="f" filled="f" stroked="f">
              <v:stroke joinstyle="round"/>
              <o:lock v:ext="edit" rotation="t" aspectratio="t" verticies="t" adjusthandles="t" grouping="t" shapetype="t"/>
              <v:textbox>
                <w:txbxContent>
                  <w:p w14:paraId="566143E4" w14:textId="77777777" w:rsidR="004E4730" w:rsidRDefault="004E4730" w:rsidP="004E4730">
                    <w:pPr>
                      <w:jc w:val="center"/>
                      <w:rPr>
                        <w:rFonts w:cs="Calibri Light"/>
                        <w:color w:val="C0C0C0"/>
                        <w:sz w:val="72"/>
                        <w:szCs w:val="72"/>
                        <w:lang w:val="en-US"/>
                        <w14:textFill>
                          <w14:solidFill>
                            <w14:srgbClr w14:val="C0C0C0">
                              <w14:alpha w14:val="60000"/>
                            </w14:srgbClr>
                          </w14:solidFill>
                        </w14:textFill>
                      </w:rPr>
                    </w:pPr>
                    <w:r>
                      <w:rPr>
                        <w:rFonts w:cs="Calibri Light"/>
                        <w:color w:val="C0C0C0"/>
                        <w:sz w:val="72"/>
                        <w:szCs w:val="72"/>
                        <w:lang w:val="en-US"/>
                        <w14:textFill>
                          <w14:solidFill>
                            <w14:srgbClr w14:val="C0C0C0">
                              <w14:alpha w14:val="6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B731D" w14:textId="008DA589" w:rsidR="00C640B0" w:rsidRDefault="00C640B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125FB" w14:textId="2E4DFA72" w:rsidR="00C640B0" w:rsidRDefault="00C640B0">
    <w:pPr>
      <w:pBdr>
        <w:top w:val="nil"/>
        <w:left w:val="nil"/>
        <w:bottom w:val="nil"/>
        <w:right w:val="nil"/>
        <w:between w:val="nil"/>
      </w:pBdr>
      <w:tabs>
        <w:tab w:val="center" w:pos="4680"/>
        <w:tab w:val="right" w:pos="9360"/>
      </w:tabs>
      <w:rPr>
        <w:rFonts w:ascii="Calibri" w:eastAsia="Calibri" w:hAnsi="Calibri"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8AFFA" w14:textId="192BCA28" w:rsidR="00681A57" w:rsidRDefault="004E4730">
    <w:pPr>
      <w:pStyle w:val="Header"/>
    </w:pPr>
    <w:r>
      <w:rPr>
        <w:noProof/>
      </w:rPr>
      <mc:AlternateContent>
        <mc:Choice Requires="wps">
          <w:drawing>
            <wp:anchor distT="0" distB="0" distL="114300" distR="114300" simplePos="0" relativeHeight="251658241" behindDoc="1" locked="0" layoutInCell="0" allowOverlap="1" wp14:anchorId="1C0A271D" wp14:editId="25D3A655">
              <wp:simplePos x="0" y="0"/>
              <wp:positionH relativeFrom="margin">
                <wp:align>center</wp:align>
              </wp:positionH>
              <wp:positionV relativeFrom="margin">
                <wp:align>center</wp:align>
              </wp:positionV>
              <wp:extent cx="5615940" cy="2456815"/>
              <wp:effectExtent l="0" t="0" r="0" b="0"/>
              <wp:wrapNone/>
              <wp:docPr id="1352957380" name="PowerPlusWaterMarkObject11005675"/>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615940" cy="2456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A7711AA" w14:textId="77777777" w:rsidR="004E4730" w:rsidRDefault="004E4730" w:rsidP="004E4730">
                          <w:pPr>
                            <w:jc w:val="center"/>
                            <w:rPr>
                              <w:rFonts w:cs="Calibri Light"/>
                              <w:color w:val="C0C0C0"/>
                              <w:sz w:val="72"/>
                              <w:szCs w:val="72"/>
                              <w:lang w:val="en-US"/>
                              <w14:textFill>
                                <w14:solidFill>
                                  <w14:srgbClr w14:val="C0C0C0">
                                    <w14:alpha w14:val="60000"/>
                                  </w14:srgbClr>
                                </w14:solidFill>
                              </w14:textFill>
                            </w:rPr>
                          </w:pPr>
                          <w:r>
                            <w:rPr>
                              <w:rFonts w:cs="Calibri Light"/>
                              <w:color w:val="C0C0C0"/>
                              <w:sz w:val="72"/>
                              <w:szCs w:val="72"/>
                              <w:lang w:val="en-US"/>
                              <w14:textFill>
                                <w14:solidFill>
                                  <w14:srgbClr w14:val="C0C0C0">
                                    <w14:alpha w14:val="6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1C0A271D" id="_x0000_t202" coordsize="21600,21600" o:spt="202" path="m,l,21600r21600,l21600,xe">
              <v:stroke joinstyle="miter"/>
              <v:path gradientshapeok="t" o:connecttype="rect"/>
            </v:shapetype>
            <v:shape id="PowerPlusWaterMarkObject11005675" o:spid="_x0000_s1033" type="#_x0000_t202" style="position:absolute;margin-left:0;margin-top:0;width:442.2pt;height:193.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" o:allowincell="f" filled="f" stroked="f">
              <v:stroke joinstyle="round"/>
              <o:lock v:ext="edit" rotation="t" aspectratio="t" verticies="t" adjusthandles="t" grouping="t" shapetype="t"/>
              <v:textbox>
                <w:txbxContent>
                  <w:p w14:paraId="0A7711AA" w14:textId="77777777" w:rsidR="004E4730" w:rsidRDefault="004E4730" w:rsidP="004E4730">
                    <w:pPr>
                      <w:jc w:val="center"/>
                      <w:rPr>
                        <w:rFonts w:cs="Calibri Light"/>
                        <w:color w:val="C0C0C0"/>
                        <w:sz w:val="72"/>
                        <w:szCs w:val="72"/>
                        <w:lang w:val="en-US"/>
                        <w14:textFill>
                          <w14:solidFill>
                            <w14:srgbClr w14:val="C0C0C0">
                              <w14:alpha w14:val="60000"/>
                            </w14:srgbClr>
                          </w14:solidFill>
                        </w14:textFill>
                      </w:rPr>
                    </w:pPr>
                    <w:r>
                      <w:rPr>
                        <w:rFonts w:cs="Calibri Light"/>
                        <w:color w:val="C0C0C0"/>
                        <w:sz w:val="72"/>
                        <w:szCs w:val="72"/>
                        <w:lang w:val="en-US"/>
                        <w14:textFill>
                          <w14:solidFill>
                            <w14:srgbClr w14:val="C0C0C0">
                              <w14:alpha w14:val="60000"/>
                            </w14:srgbClr>
                          </w14:solidFill>
                        </w14:textFill>
                      </w:rPr>
                      <w:t>DRAFT</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194D6" w14:textId="0514950A" w:rsidR="00681A57" w:rsidRDefault="004E4730">
    <w:pPr>
      <w:pStyle w:val="Header"/>
    </w:pPr>
    <w:r>
      <w:rPr>
        <w:noProof/>
      </w:rPr>
      <mc:AlternateContent>
        <mc:Choice Requires="wps">
          <w:drawing>
            <wp:anchor distT="0" distB="0" distL="114300" distR="114300" simplePos="0" relativeHeight="251658242" behindDoc="1" locked="0" layoutInCell="0" allowOverlap="1" wp14:anchorId="57F86665" wp14:editId="52342CB7">
              <wp:simplePos x="0" y="0"/>
              <wp:positionH relativeFrom="margin">
                <wp:align>center</wp:align>
              </wp:positionH>
              <wp:positionV relativeFrom="margin">
                <wp:align>center</wp:align>
              </wp:positionV>
              <wp:extent cx="5615940" cy="2456815"/>
              <wp:effectExtent l="0" t="0" r="0" b="0"/>
              <wp:wrapNone/>
              <wp:docPr id="1630417143" name="PowerPlusWaterMarkObject11005677"/>
              <wp:cNvGraphicFramePr>
                <a:graphicFrameLocks xmlns:a="http://schemas.openxmlformats.org/drawingml/2006/main" noGrp="1" noChangeAspect="1" noResize="1"/>
              </wp:cNvGraphicFramePr>
              <a:graphic xmlns:a="http://schemas.openxmlformats.org/drawingml/2006/main">
                <a:graphicData uri="http://schemas.microsoft.com/office/word/2010/wordprocessingShape">
                  <wps:wsp>
                    <wps:cNvSpPr txBox="1">
                      <a:spLocks noGrp="1" noRot="1" noChangeAspect="1" noResize="1" noEditPoints="1" noAdjustHandles="1" noChangeArrowheads="1" noChangeShapeType="1" noTextEdit="1"/>
                    </wps:cNvSpPr>
                    <wps:spPr bwMode="auto">
                      <a:xfrm rot="18900000">
                        <a:off x="0" y="0"/>
                        <a:ext cx="5615940" cy="24568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DFB886" w14:textId="77777777" w:rsidR="004E4730" w:rsidRDefault="004E4730" w:rsidP="004E4730">
                          <w:pPr>
                            <w:jc w:val="center"/>
                            <w:rPr>
                              <w:rFonts w:cs="Calibri Light"/>
                              <w:color w:val="C0C0C0"/>
                              <w:sz w:val="72"/>
                              <w:szCs w:val="72"/>
                              <w:lang w:val="en-US"/>
                              <w14:textFill>
                                <w14:solidFill>
                                  <w14:srgbClr w14:val="C0C0C0">
                                    <w14:alpha w14:val="60000"/>
                                  </w14:srgbClr>
                                </w14:solidFill>
                              </w14:textFill>
                            </w:rPr>
                          </w:pPr>
                          <w:r>
                            <w:rPr>
                              <w:rFonts w:cs="Calibri Light"/>
                              <w:color w:val="C0C0C0"/>
                              <w:sz w:val="72"/>
                              <w:szCs w:val="72"/>
                              <w:lang w:val="en-US"/>
                              <w14:textFill>
                                <w14:solidFill>
                                  <w14:srgbClr w14:val="C0C0C0">
                                    <w14:alpha w14:val="60000"/>
                                  </w14:srgbClr>
                                </w14:solidFill>
                              </w14:textFill>
                            </w:rPr>
                            <w:t>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7F86665" id="_x0000_t202" coordsize="21600,21600" o:spt="202" path="m,l,21600r21600,l21600,xe">
              <v:stroke joinstyle="miter"/>
              <v:path gradientshapeok="t" o:connecttype="rect"/>
            </v:shapetype>
            <v:shape id="PowerPlusWaterMarkObject11005677" o:spid="_x0000_s1034" type="#_x0000_t202" style="position:absolute;margin-left:0;margin-top:0;width:442.2pt;height:193.4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" o:allowincell="f" filled="f" stroked="f">
              <v:stroke joinstyle="round"/>
              <o:lock v:ext="edit" rotation="t" aspectratio="t" verticies="t" adjusthandles="t" grouping="t" shapetype="t"/>
              <v:textbox>
                <w:txbxContent>
                  <w:p w14:paraId="07DFB886" w14:textId="77777777" w:rsidR="004E4730" w:rsidRDefault="004E4730" w:rsidP="004E4730">
                    <w:pPr>
                      <w:jc w:val="center"/>
                      <w:rPr>
                        <w:rFonts w:cs="Calibri Light"/>
                        <w:color w:val="C0C0C0"/>
                        <w:sz w:val="72"/>
                        <w:szCs w:val="72"/>
                        <w:lang w:val="en-US"/>
                        <w14:textFill>
                          <w14:solidFill>
                            <w14:srgbClr w14:val="C0C0C0">
                              <w14:alpha w14:val="60000"/>
                            </w14:srgbClr>
                          </w14:solidFill>
                        </w14:textFill>
                      </w:rPr>
                    </w:pPr>
                    <w:r>
                      <w:rPr>
                        <w:rFonts w:cs="Calibri Light"/>
                        <w:color w:val="C0C0C0"/>
                        <w:sz w:val="72"/>
                        <w:szCs w:val="72"/>
                        <w:lang w:val="en-US"/>
                        <w14:textFill>
                          <w14:solidFill>
                            <w14:srgbClr w14:val="C0C0C0">
                              <w14:alpha w14:val="60000"/>
                            </w14:srgbClr>
                          </w14:solidFill>
                        </w14:textFill>
                      </w:rPr>
                      <w:t>DRAFT</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B067B8" w14:textId="1CAEB819" w:rsidR="00681A57" w:rsidRDefault="00681A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9B5E23" w14:textId="4E944D2B" w:rsidR="00C73CEA" w:rsidRDefault="00031A4E" w:rsidP="00D41C65">
    <w:pPr>
      <w:pStyle w:val="Header"/>
    </w:pPr>
    <w:r>
      <w:rPr>
        <w:noProof/>
      </w:rPr>
      <w:drawing>
        <wp:anchor distT="0" distB="0" distL="114300" distR="114300" simplePos="0" relativeHeight="251658244" behindDoc="1" locked="0" layoutInCell="1" allowOverlap="1" wp14:anchorId="2A614EA7" wp14:editId="40D5EB6F">
          <wp:simplePos x="0" y="0"/>
          <wp:positionH relativeFrom="column">
            <wp:posOffset>-874202</wp:posOffset>
          </wp:positionH>
          <wp:positionV relativeFrom="page">
            <wp:posOffset>-635</wp:posOffset>
          </wp:positionV>
          <wp:extent cx="7739380" cy="3682365"/>
          <wp:effectExtent l="0" t="0" r="0" b="635"/>
          <wp:wrapNone/>
          <wp:docPr id="1721117213" name="Picture 48" descr="A blue and white wav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9953" name="Picture 48" descr="A blue and white wav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39380" cy="3682365"/>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936034" w14:textId="5EDC6016" w:rsidR="00031A4E" w:rsidRDefault="00031A4E" w:rsidP="00D41C6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4ECBE" w14:textId="3BCB8DB7" w:rsidR="00472801" w:rsidRDefault="00472801" w:rsidP="00D41C6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FC1BF" w14:textId="3107A860" w:rsidR="00C640B0" w:rsidRDefault="00C640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4CAB6F" w14:textId="77777777" w:rsidR="00C640B0" w:rsidRDefault="00C640B0">
    <w:pPr>
      <w:pBdr>
        <w:top w:val="nil"/>
        <w:left w:val="nil"/>
        <w:bottom w:val="nil"/>
        <w:right w:val="nil"/>
        <w:between w:val="nil"/>
      </w:pBdr>
      <w:tabs>
        <w:tab w:val="center" w:pos="4680"/>
        <w:tab w:val="right" w:pos="9360"/>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1BB7"/>
    <w:multiLevelType w:val="multilevel"/>
    <w:tmpl w:val="B2F2844C"/>
    <w:lvl w:ilvl="0">
      <w:start w:val="1"/>
      <w:numFmt w:val="bullet"/>
      <w:pStyle w:val="WFPKBullet"/>
      <w:lvlText w:val=""/>
      <w:lvlJc w:val="left"/>
      <w:pPr>
        <w:ind w:left="927" w:hanging="360"/>
      </w:pPr>
      <w:rPr>
        <w:rFonts w:ascii="Symbol" w:hAnsi="Symbol" w:hint="default"/>
        <w:b w:val="0"/>
        <w:i w:val="0"/>
      </w:rPr>
    </w:lvl>
    <w:lvl w:ilvl="1">
      <w:start w:val="1"/>
      <w:numFmt w:val="decimal"/>
      <w:lvlText w:val="%1.%2."/>
      <w:lvlJc w:val="left"/>
      <w:pPr>
        <w:ind w:left="1359" w:hanging="432"/>
      </w:pPr>
      <w:rPr>
        <w:b/>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1" w15:restartNumberingAfterBreak="0">
    <w:nsid w:val="012A5A8E"/>
    <w:multiLevelType w:val="hybridMultilevel"/>
    <w:tmpl w:val="6E089240"/>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13D41F7"/>
    <w:multiLevelType w:val="multilevel"/>
    <w:tmpl w:val="C60095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1259D4"/>
    <w:multiLevelType w:val="multilevel"/>
    <w:tmpl w:val="D780E17A"/>
    <w:styleLink w:val="CurrentList3"/>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04CD60EB"/>
    <w:multiLevelType w:val="hybridMultilevel"/>
    <w:tmpl w:val="A0685B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72844A1"/>
    <w:multiLevelType w:val="multilevel"/>
    <w:tmpl w:val="2EB2AC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0A187209"/>
    <w:multiLevelType w:val="hybridMultilevel"/>
    <w:tmpl w:val="2E1444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C606AB"/>
    <w:multiLevelType w:val="hybridMultilevel"/>
    <w:tmpl w:val="11506A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210400"/>
    <w:multiLevelType w:val="hybridMultilevel"/>
    <w:tmpl w:val="5CFA52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176127C"/>
    <w:multiLevelType w:val="hybridMultilevel"/>
    <w:tmpl w:val="8F5A030A"/>
    <w:lvl w:ilvl="0" w:tplc="08090001">
      <w:start w:val="1"/>
      <w:numFmt w:val="bullet"/>
      <w:lvlText w:val=""/>
      <w:lvlJc w:val="left"/>
      <w:pPr>
        <w:ind w:left="720" w:hanging="360"/>
      </w:pPr>
      <w:rPr>
        <w:rFonts w:ascii="Symbol" w:hAnsi="Symbol" w:hint="default"/>
      </w:rPr>
    </w:lvl>
    <w:lvl w:ilvl="1" w:tplc="FFFFFFFF">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4D562C3"/>
    <w:multiLevelType w:val="multilevel"/>
    <w:tmpl w:val="AD541936"/>
    <w:lvl w:ilvl="0">
      <w:start w:val="1"/>
      <w:numFmt w:val="decimal"/>
      <w:lvlText w:val="%1."/>
      <w:lvlJc w:val="left"/>
      <w:pPr>
        <w:ind w:left="360" w:hanging="360"/>
      </w:pPr>
      <w:rPr>
        <w:b w:val="0"/>
        <w:i w:val="0"/>
      </w:rPr>
    </w:lvl>
    <w:lvl w:ilvl="1">
      <w:start w:val="1"/>
      <w:numFmt w:val="bullet"/>
      <w:lvlText w:val="●"/>
      <w:lvlJc w:val="left"/>
      <w:pPr>
        <w:ind w:left="720" w:hanging="360"/>
      </w:pPr>
      <w:rPr>
        <w:rFonts w:ascii="Noto Sans Symbols" w:eastAsia="Noto Sans Symbols" w:hAnsi="Noto Sans Symbols" w:cs="Noto Sans Symbols"/>
        <w:b/>
      </w:rPr>
    </w:lvl>
    <w:lvl w:ilvl="2">
      <w:start w:val="1"/>
      <w:numFmt w:val="bullet"/>
      <w:lvlText w:val=""/>
      <w:lvlJc w:val="left"/>
      <w:pPr>
        <w:ind w:left="1080" w:hanging="360"/>
      </w:pPr>
      <w:rPr>
        <w:rFonts w:ascii="Symbol" w:hAnsi="Symbol" w:hint="default"/>
      </w:r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4"/>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11" w15:restartNumberingAfterBreak="0">
    <w:nsid w:val="14ED72D7"/>
    <w:multiLevelType w:val="multilevel"/>
    <w:tmpl w:val="C93A74A2"/>
    <w:styleLink w:val="CurrentList4"/>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2" w15:restartNumberingAfterBreak="0">
    <w:nsid w:val="161726A6"/>
    <w:multiLevelType w:val="hybridMultilevel"/>
    <w:tmpl w:val="CE02AA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F56579F"/>
    <w:multiLevelType w:val="hybridMultilevel"/>
    <w:tmpl w:val="67D6DD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0175CED"/>
    <w:multiLevelType w:val="hybridMultilevel"/>
    <w:tmpl w:val="79B8EF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426774F"/>
    <w:multiLevelType w:val="hybridMultilevel"/>
    <w:tmpl w:val="E17CFD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D65075"/>
    <w:multiLevelType w:val="hybridMultilevel"/>
    <w:tmpl w:val="8C1C9A94"/>
    <w:lvl w:ilvl="0" w:tplc="0409000F">
      <w:start w:val="1"/>
      <w:numFmt w:val="decimal"/>
      <w:lvlText w:val="%1."/>
      <w:lvlJc w:val="left"/>
      <w:pPr>
        <w:ind w:left="216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7274D9E"/>
    <w:multiLevelType w:val="hybridMultilevel"/>
    <w:tmpl w:val="5C62972E"/>
    <w:lvl w:ilvl="0" w:tplc="0C090001">
      <w:start w:val="1"/>
      <w:numFmt w:val="bullet"/>
      <w:lvlText w:val=""/>
      <w:lvlJc w:val="left"/>
      <w:pPr>
        <w:ind w:left="720" w:hanging="360"/>
      </w:pPr>
      <w:rPr>
        <w:rFonts w:ascii="Symbol" w:hAnsi="Symbol" w:hint="default"/>
      </w:rPr>
    </w:lvl>
    <w:lvl w:ilvl="1" w:tplc="2F789470">
      <w:start w:val="1"/>
      <w:numFmt w:val="bullet"/>
      <w:lvlText w:val="o"/>
      <w:lvlJc w:val="left"/>
      <w:pPr>
        <w:ind w:left="1440" w:hanging="360"/>
      </w:pPr>
      <w:rPr>
        <w:rFonts w:ascii="Courier New" w:hAnsi="Courier New" w:cs="Courier New" w:hint="default"/>
        <w:color w:val="auto"/>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930474F"/>
    <w:multiLevelType w:val="multilevel"/>
    <w:tmpl w:val="2E889F0C"/>
    <w:styleLink w:val="CurrentList5"/>
    <w:lvl w:ilvl="0">
      <w:start w:val="1"/>
      <w:numFmt w:val="decimal"/>
      <w:lvlText w:val="%1."/>
      <w:lvlJc w:val="lef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9972E72"/>
    <w:multiLevelType w:val="hybridMultilevel"/>
    <w:tmpl w:val="2480C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A33345A"/>
    <w:multiLevelType w:val="hybridMultilevel"/>
    <w:tmpl w:val="175EC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775034"/>
    <w:multiLevelType w:val="hybridMultilevel"/>
    <w:tmpl w:val="3D207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AAE02EE"/>
    <w:multiLevelType w:val="hybridMultilevel"/>
    <w:tmpl w:val="289AF0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BFE6CFF"/>
    <w:multiLevelType w:val="hybridMultilevel"/>
    <w:tmpl w:val="88D27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5724D3"/>
    <w:multiLevelType w:val="multilevel"/>
    <w:tmpl w:val="DE061642"/>
    <w:lvl w:ilvl="0">
      <w:start w:val="1"/>
      <w:numFmt w:val="bullet"/>
      <w:lvlText w:val="●"/>
      <w:lvlJc w:val="left"/>
      <w:pPr>
        <w:ind w:left="720" w:hanging="360"/>
      </w:pPr>
      <w:rPr>
        <w:rFonts w:ascii="Noto Sans Symbols" w:eastAsia="Noto Sans Symbols" w:hAnsi="Noto Sans Symbols" w:cs="Noto Sans Symbols"/>
        <w:color w:val="006DB6"/>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0D5201F"/>
    <w:multiLevelType w:val="hybridMultilevel"/>
    <w:tmpl w:val="FD7AD0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23C615A"/>
    <w:multiLevelType w:val="hybridMultilevel"/>
    <w:tmpl w:val="BC5824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36202C7"/>
    <w:multiLevelType w:val="multilevel"/>
    <w:tmpl w:val="5A200924"/>
    <w:lvl w:ilvl="0">
      <w:start w:val="1"/>
      <w:numFmt w:val="bullet"/>
      <w:lvlText w:val="●"/>
      <w:lvlJc w:val="left"/>
      <w:pPr>
        <w:ind w:left="360" w:hanging="360"/>
      </w:pPr>
      <w:rPr>
        <w:rFonts w:ascii="Noto Sans Symbols" w:eastAsia="Noto Sans Symbols" w:hAnsi="Noto Sans Symbols" w:cs="Noto Sans Symbols"/>
        <w:color w:val="006DB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8" w15:restartNumberingAfterBreak="0">
    <w:nsid w:val="363E1695"/>
    <w:multiLevelType w:val="hybridMultilevel"/>
    <w:tmpl w:val="E0BC4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7F1541F"/>
    <w:multiLevelType w:val="hybridMultilevel"/>
    <w:tmpl w:val="D7C643B6"/>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3A494FC8"/>
    <w:multiLevelType w:val="hybridMultilevel"/>
    <w:tmpl w:val="E654C7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3C332540"/>
    <w:multiLevelType w:val="hybridMultilevel"/>
    <w:tmpl w:val="436CF9F2"/>
    <w:lvl w:ilvl="0" w:tplc="0C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3C874529"/>
    <w:multiLevelType w:val="multilevel"/>
    <w:tmpl w:val="E6EC7BF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3EAE6B65"/>
    <w:multiLevelType w:val="multilevel"/>
    <w:tmpl w:val="038A024A"/>
    <w:name w:val="list-bullet-color-table2"/>
    <w:lvl w:ilvl="0">
      <w:start w:val="1"/>
      <w:numFmt w:val="bullet"/>
      <w:lvlRestart w:val="0"/>
      <w:pStyle w:val="list-bullet-color-table"/>
      <w:lvlText w:val=""/>
      <w:lvlJc w:val="left"/>
      <w:pPr>
        <w:ind w:left="284" w:hanging="284"/>
      </w:pPr>
      <w:rPr>
        <w:rFonts w:ascii="Symbol" w:hAnsi="Symbol" w:hint="default"/>
        <w:color w:val="006DB6"/>
        <w:sz w:val="16"/>
      </w:rPr>
    </w:lvl>
    <w:lvl w:ilvl="1">
      <w:start w:val="1"/>
      <w:numFmt w:val="bullet"/>
      <w:lvlText w:val="-"/>
      <w:lvlJc w:val="left"/>
      <w:pPr>
        <w:ind w:left="568" w:hanging="284"/>
      </w:pPr>
      <w:rPr>
        <w:rFonts w:ascii="Arial" w:hAnsi="Arial" w:cs="Arial"/>
        <w:color w:val="006DB6"/>
        <w:sz w:val="16"/>
      </w:rPr>
    </w:lvl>
    <w:lvl w:ilvl="2">
      <w:start w:val="1"/>
      <w:numFmt w:val="bullet"/>
      <w:lvlText w:val=""/>
      <w:lvlJc w:val="left"/>
      <w:pPr>
        <w:ind w:left="852" w:hanging="284"/>
      </w:pPr>
      <w:rPr>
        <w:rFonts w:ascii="Symbol" w:hAnsi="Symbol" w:hint="default"/>
        <w:color w:val="006DB6"/>
        <w:sz w:val="16"/>
      </w:rPr>
    </w:lvl>
    <w:lvl w:ilvl="3">
      <w:start w:val="1"/>
      <w:numFmt w:val="bullet"/>
      <w:lvlText w:val="-"/>
      <w:lvlJc w:val="left"/>
      <w:pPr>
        <w:ind w:left="1136" w:hanging="284"/>
      </w:pPr>
      <w:rPr>
        <w:rFonts w:ascii="Arial" w:hAnsi="Arial" w:cs="Arial"/>
        <w:color w:val="006DB6"/>
        <w:sz w:val="16"/>
      </w:rPr>
    </w:lvl>
    <w:lvl w:ilvl="4">
      <w:start w:val="1"/>
      <w:numFmt w:val="bullet"/>
      <w:lvlText w:val=""/>
      <w:lvlJc w:val="left"/>
      <w:pPr>
        <w:ind w:left="1420" w:hanging="284"/>
      </w:pPr>
      <w:rPr>
        <w:rFonts w:ascii="Symbol" w:hAnsi="Symbol" w:hint="default"/>
        <w:color w:val="006DB6"/>
        <w:sz w:val="16"/>
      </w:rPr>
    </w:lvl>
    <w:lvl w:ilvl="5">
      <w:start w:val="1"/>
      <w:numFmt w:val="bullet"/>
      <w:lvlText w:val="-"/>
      <w:lvlJc w:val="left"/>
      <w:pPr>
        <w:ind w:left="1704" w:hanging="284"/>
      </w:pPr>
      <w:rPr>
        <w:rFonts w:ascii="Arial" w:hAnsi="Arial" w:cs="Arial"/>
        <w:color w:val="006DB6"/>
        <w:sz w:val="16"/>
      </w:rPr>
    </w:lvl>
    <w:lvl w:ilvl="6">
      <w:start w:val="1"/>
      <w:numFmt w:val="bullet"/>
      <w:lvlText w:val=""/>
      <w:lvlJc w:val="left"/>
      <w:pPr>
        <w:ind w:left="1988" w:hanging="284"/>
      </w:pPr>
      <w:rPr>
        <w:rFonts w:ascii="Symbol" w:hAnsi="Symbol" w:hint="default"/>
        <w:color w:val="006DB6"/>
        <w:sz w:val="16"/>
      </w:rPr>
    </w:lvl>
    <w:lvl w:ilvl="7">
      <w:start w:val="1"/>
      <w:numFmt w:val="bullet"/>
      <w:lvlText w:val="-"/>
      <w:lvlJc w:val="left"/>
      <w:pPr>
        <w:ind w:left="2272" w:hanging="284"/>
      </w:pPr>
      <w:rPr>
        <w:rFonts w:ascii="Arial" w:hAnsi="Arial" w:cs="Arial"/>
        <w:color w:val="006DB6"/>
        <w:sz w:val="16"/>
      </w:rPr>
    </w:lvl>
    <w:lvl w:ilvl="8">
      <w:start w:val="1"/>
      <w:numFmt w:val="bullet"/>
      <w:lvlText w:val=""/>
      <w:lvlJc w:val="left"/>
      <w:pPr>
        <w:ind w:left="2556" w:hanging="284"/>
      </w:pPr>
      <w:rPr>
        <w:rFonts w:ascii="Symbol" w:hAnsi="Symbol" w:hint="default"/>
        <w:color w:val="006DB6"/>
        <w:sz w:val="16"/>
      </w:rPr>
    </w:lvl>
  </w:abstractNum>
  <w:abstractNum w:abstractNumId="34" w15:restartNumberingAfterBreak="0">
    <w:nsid w:val="439F6A27"/>
    <w:multiLevelType w:val="multilevel"/>
    <w:tmpl w:val="6FDCDB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5BB5900"/>
    <w:multiLevelType w:val="hybridMultilevel"/>
    <w:tmpl w:val="441076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4795638E"/>
    <w:multiLevelType w:val="multilevel"/>
    <w:tmpl w:val="2BC8E9DA"/>
    <w:lvl w:ilvl="0">
      <w:start w:val="1"/>
      <w:numFmt w:val="decimal"/>
      <w:pStyle w:val="WFPKparno"/>
      <w:lvlText w:val="%1."/>
      <w:lvlJc w:val="left"/>
      <w:pPr>
        <w:ind w:left="360" w:hanging="360"/>
      </w:pPr>
      <w:rPr>
        <w:rFonts w:hint="default"/>
        <w:b w:val="0"/>
        <w:i w:val="0"/>
      </w:rPr>
    </w:lvl>
    <w:lvl w:ilvl="1">
      <w:start w:val="1"/>
      <w:numFmt w:val="bullet"/>
      <w:lvlText w:val=""/>
      <w:lvlJc w:val="left"/>
      <w:pPr>
        <w:ind w:left="720" w:hanging="360"/>
      </w:pPr>
      <w:rPr>
        <w:rFonts w:ascii="Symbol" w:hAnsi="Symbol"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483145DD"/>
    <w:multiLevelType w:val="multilevel"/>
    <w:tmpl w:val="FE50D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3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9A5158"/>
    <w:multiLevelType w:val="multilevel"/>
    <w:tmpl w:val="B0E276C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4F3A1B05"/>
    <w:multiLevelType w:val="hybridMultilevel"/>
    <w:tmpl w:val="406E29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0ED63D4"/>
    <w:multiLevelType w:val="hybridMultilevel"/>
    <w:tmpl w:val="2DF6A34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54C014D9"/>
    <w:multiLevelType w:val="hybridMultilevel"/>
    <w:tmpl w:val="F8B278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55F6CB1"/>
    <w:multiLevelType w:val="multilevel"/>
    <w:tmpl w:val="0DCA6B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596C6070"/>
    <w:multiLevelType w:val="multilevel"/>
    <w:tmpl w:val="4D94BE10"/>
    <w:styleLink w:val="CurrentList2"/>
    <w:lvl w:ilvl="0">
      <w:start w:val="1"/>
      <w:numFmt w:val="decimal"/>
      <w:lvlText w:val="%1."/>
      <w:lvlJc w:val="left"/>
      <w:pPr>
        <w:ind w:left="36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59C069F7"/>
    <w:multiLevelType w:val="multilevel"/>
    <w:tmpl w:val="022A6E40"/>
    <w:lvl w:ilvl="0">
      <w:start w:val="1"/>
      <w:numFmt w:val="decimal"/>
      <w:lvlText w:val="%1."/>
      <w:lvlJc w:val="left"/>
      <w:pPr>
        <w:ind w:left="360" w:hanging="360"/>
      </w:pPr>
      <w:rPr>
        <w:b w:val="0"/>
        <w:i w:val="0"/>
      </w:rPr>
    </w:lvl>
    <w:lvl w:ilvl="1">
      <w:start w:val="1"/>
      <w:numFmt w:val="bullet"/>
      <w:lvlText w:val="●"/>
      <w:lvlJc w:val="left"/>
      <w:pPr>
        <w:ind w:left="720" w:hanging="360"/>
      </w:pPr>
      <w:rPr>
        <w:rFonts w:ascii="Noto Sans Symbols" w:eastAsia="Noto Sans Symbols" w:hAnsi="Noto Sans Symbols" w:cs="Noto Sans Symbols"/>
        <w:b/>
      </w:rPr>
    </w:lvl>
    <w:lvl w:ilvl="2">
      <w:start w:val="1"/>
      <w:numFmt w:val="decimal"/>
      <w:lvlText w:val="%1.●.%3."/>
      <w:lvlJc w:val="left"/>
      <w:pPr>
        <w:ind w:left="1224" w:hanging="504"/>
      </w:pPr>
    </w:lvl>
    <w:lvl w:ilvl="3">
      <w:start w:val="1"/>
      <w:numFmt w:val="decimal"/>
      <w:lvlText w:val="%1.●.%3.%4."/>
      <w:lvlJc w:val="left"/>
      <w:pPr>
        <w:ind w:left="1728" w:hanging="647"/>
      </w:pPr>
    </w:lvl>
    <w:lvl w:ilvl="4">
      <w:start w:val="1"/>
      <w:numFmt w:val="decimal"/>
      <w:lvlText w:val="%1.●.%3.%4.%5."/>
      <w:lvlJc w:val="left"/>
      <w:pPr>
        <w:ind w:left="2232" w:hanging="792"/>
      </w:pPr>
    </w:lvl>
    <w:lvl w:ilvl="5">
      <w:start w:val="1"/>
      <w:numFmt w:val="decimal"/>
      <w:lvlText w:val="%1.●.%3.%4.%5.%6."/>
      <w:lvlJc w:val="left"/>
      <w:pPr>
        <w:ind w:left="2736" w:hanging="934"/>
      </w:pPr>
    </w:lvl>
    <w:lvl w:ilvl="6">
      <w:start w:val="1"/>
      <w:numFmt w:val="decimal"/>
      <w:lvlText w:val="%1.●.%3.%4.%5.%6.%7."/>
      <w:lvlJc w:val="left"/>
      <w:pPr>
        <w:ind w:left="3240" w:hanging="1080"/>
      </w:pPr>
    </w:lvl>
    <w:lvl w:ilvl="7">
      <w:start w:val="1"/>
      <w:numFmt w:val="decimal"/>
      <w:lvlText w:val="%1.●.%3.%4.%5.%6.%7.%8."/>
      <w:lvlJc w:val="left"/>
      <w:pPr>
        <w:ind w:left="3744" w:hanging="1224"/>
      </w:pPr>
    </w:lvl>
    <w:lvl w:ilvl="8">
      <w:start w:val="1"/>
      <w:numFmt w:val="decimal"/>
      <w:lvlText w:val="%1.●.%3.%4.%5.%6.%7.%8.%9."/>
      <w:lvlJc w:val="left"/>
      <w:pPr>
        <w:ind w:left="4320" w:hanging="1440"/>
      </w:pPr>
    </w:lvl>
  </w:abstractNum>
  <w:abstractNum w:abstractNumId="45" w15:restartNumberingAfterBreak="0">
    <w:nsid w:val="5A0B1D58"/>
    <w:multiLevelType w:val="hybridMultilevel"/>
    <w:tmpl w:val="2E1EB1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A17728F"/>
    <w:multiLevelType w:val="hybridMultilevel"/>
    <w:tmpl w:val="04488B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B256477"/>
    <w:multiLevelType w:val="hybridMultilevel"/>
    <w:tmpl w:val="F940BDCC"/>
    <w:lvl w:ilvl="0" w:tplc="0C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CAF6D8D"/>
    <w:multiLevelType w:val="hybridMultilevel"/>
    <w:tmpl w:val="F496CD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036552A"/>
    <w:multiLevelType w:val="hybridMultilevel"/>
    <w:tmpl w:val="F6C80B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09D2D44"/>
    <w:multiLevelType w:val="hybridMultilevel"/>
    <w:tmpl w:val="99584A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CA3CE2"/>
    <w:multiLevelType w:val="hybridMultilevel"/>
    <w:tmpl w:val="D0D64BB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2A401AD"/>
    <w:multiLevelType w:val="hybridMultilevel"/>
    <w:tmpl w:val="EE6640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2B15D71"/>
    <w:multiLevelType w:val="hybridMultilevel"/>
    <w:tmpl w:val="2118EF4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49617F8"/>
    <w:multiLevelType w:val="hybridMultilevel"/>
    <w:tmpl w:val="29CE2860"/>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4CC32DE"/>
    <w:multiLevelType w:val="hybridMultilevel"/>
    <w:tmpl w:val="7F7C1CCE"/>
    <w:lvl w:ilvl="0" w:tplc="FFFFFFFF">
      <w:start w:val="1"/>
      <w:numFmt w:val="decimal"/>
      <w:lvlText w:val="%1)"/>
      <w:lvlJc w:val="left"/>
      <w:pPr>
        <w:ind w:left="360" w:hanging="360"/>
      </w:pPr>
    </w:lvl>
    <w:lvl w:ilvl="1" w:tplc="FFFFFFFF">
      <w:start w:val="1"/>
      <w:numFmt w:val="lowerLetter"/>
      <w:lvlText w:val="%2."/>
      <w:lvlJc w:val="left"/>
      <w:pPr>
        <w:ind w:left="1080" w:hanging="360"/>
      </w:pPr>
    </w:lvl>
    <w:lvl w:ilvl="2" w:tplc="6B96C9D8">
      <w:start w:val="1"/>
      <w:numFmt w:val="decimal"/>
      <w:lvlText w:val="%3."/>
      <w:lvlJc w:val="left"/>
      <w:pPr>
        <w:ind w:left="360" w:hanging="360"/>
      </w:pPr>
      <w:rPr>
        <w:rFonts w:hint="default"/>
      </w:r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6" w15:restartNumberingAfterBreak="0">
    <w:nsid w:val="669B1A72"/>
    <w:multiLevelType w:val="hybridMultilevel"/>
    <w:tmpl w:val="8610A69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66F80007"/>
    <w:multiLevelType w:val="hybridMultilevel"/>
    <w:tmpl w:val="8B7226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80D0878"/>
    <w:multiLevelType w:val="multilevel"/>
    <w:tmpl w:val="22C089DA"/>
    <w:lvl w:ilvl="0">
      <w:start w:val="1"/>
      <w:numFmt w:val="bullet"/>
      <w:lvlText w:val="●"/>
      <w:lvlJc w:val="left"/>
      <w:pPr>
        <w:ind w:left="360" w:hanging="360"/>
      </w:pPr>
      <w:rPr>
        <w:rFonts w:ascii="Noto Sans Symbols" w:eastAsia="Noto Sans Symbols" w:hAnsi="Noto Sans Symbols" w:cs="Noto Sans Symbols"/>
        <w:color w:val="006DB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9" w15:restartNumberingAfterBreak="0">
    <w:nsid w:val="6B27027C"/>
    <w:multiLevelType w:val="multilevel"/>
    <w:tmpl w:val="C8E6A112"/>
    <w:lvl w:ilvl="0">
      <w:start w:val="1"/>
      <w:numFmt w:val="decimal"/>
      <w:lvlText w:val="%1)"/>
      <w:lvlJc w:val="left"/>
      <w:pPr>
        <w:ind w:left="720" w:hanging="360"/>
      </w:pPr>
      <w:rPr>
        <w:rFonts w:hint="default"/>
        <w:sz w:val="20"/>
      </w:rPr>
    </w:lvl>
    <w:lvl w:ilvl="1">
      <w:start w:val="1"/>
      <w:numFmt w:val="decimal"/>
      <w:lvlText w:val="%2)"/>
      <w:lvlJc w:val="left"/>
      <w:pPr>
        <w:ind w:left="1440" w:hanging="360"/>
      </w:pPr>
      <w:rPr>
        <w:rFonts w:hint="default"/>
      </w:rPr>
    </w:lvl>
    <w:lvl w:ilvl="2">
      <w:start w:val="1"/>
      <w:numFmt w:val="decimal"/>
      <w:lvlText w:val="%3."/>
      <w:lvlJc w:val="left"/>
      <w:pPr>
        <w:ind w:left="360" w:hanging="360"/>
      </w:pPr>
      <w:rPr>
        <w:rFonts w:hint="default"/>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0" w15:restartNumberingAfterBreak="0">
    <w:nsid w:val="6BD80074"/>
    <w:multiLevelType w:val="multilevel"/>
    <w:tmpl w:val="3A6E0CC0"/>
    <w:lvl w:ilvl="0">
      <w:start w:val="1"/>
      <w:numFmt w:val="bullet"/>
      <w:lvlText w:val="●"/>
      <w:lvlJc w:val="left"/>
      <w:pPr>
        <w:ind w:left="360" w:hanging="360"/>
      </w:pPr>
      <w:rPr>
        <w:rFonts w:ascii="Noto Sans Symbols" w:eastAsia="Noto Sans Symbols" w:hAnsi="Noto Sans Symbols" w:cs="Noto Sans Symbols"/>
        <w:color w:val="006DB6"/>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6C9D222A"/>
    <w:multiLevelType w:val="hybridMultilevel"/>
    <w:tmpl w:val="212877F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6D6E548B"/>
    <w:multiLevelType w:val="hybridMultilevel"/>
    <w:tmpl w:val="642E9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6EEE0315"/>
    <w:multiLevelType w:val="hybridMultilevel"/>
    <w:tmpl w:val="FC9471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4" w15:restartNumberingAfterBreak="0">
    <w:nsid w:val="70C63486"/>
    <w:multiLevelType w:val="hybridMultilevel"/>
    <w:tmpl w:val="FFE49358"/>
    <w:lvl w:ilvl="0" w:tplc="0C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5" w15:restartNumberingAfterBreak="0">
    <w:nsid w:val="71BF7A57"/>
    <w:multiLevelType w:val="hybridMultilevel"/>
    <w:tmpl w:val="799CB3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2284787"/>
    <w:multiLevelType w:val="hybridMultilevel"/>
    <w:tmpl w:val="ED0211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7" w15:restartNumberingAfterBreak="0">
    <w:nsid w:val="74320564"/>
    <w:multiLevelType w:val="hybridMultilevel"/>
    <w:tmpl w:val="698461F2"/>
    <w:lvl w:ilvl="0" w:tplc="05A83A62">
      <w:start w:val="1"/>
      <w:numFmt w:val="decimal"/>
      <w:pStyle w:val="Heading8"/>
      <w:lvlText w:val="Table %1"/>
      <w:lvlJc w:val="left"/>
      <w:pPr>
        <w:ind w:left="3053" w:hanging="360"/>
      </w:pPr>
      <w:rPr>
        <w:rFonts w:hint="default"/>
      </w:rPr>
    </w:lvl>
    <w:lvl w:ilvl="1" w:tplc="08090019" w:tentative="1">
      <w:start w:val="1"/>
      <w:numFmt w:val="lowerLetter"/>
      <w:lvlText w:val="%2."/>
      <w:lvlJc w:val="left"/>
      <w:pPr>
        <w:ind w:left="3773" w:hanging="360"/>
      </w:pPr>
    </w:lvl>
    <w:lvl w:ilvl="2" w:tplc="0809001B" w:tentative="1">
      <w:start w:val="1"/>
      <w:numFmt w:val="lowerRoman"/>
      <w:lvlText w:val="%3."/>
      <w:lvlJc w:val="right"/>
      <w:pPr>
        <w:ind w:left="4493" w:hanging="180"/>
      </w:pPr>
    </w:lvl>
    <w:lvl w:ilvl="3" w:tplc="0809000F" w:tentative="1">
      <w:start w:val="1"/>
      <w:numFmt w:val="decimal"/>
      <w:lvlText w:val="%4."/>
      <w:lvlJc w:val="left"/>
      <w:pPr>
        <w:ind w:left="5213" w:hanging="360"/>
      </w:pPr>
    </w:lvl>
    <w:lvl w:ilvl="4" w:tplc="08090019" w:tentative="1">
      <w:start w:val="1"/>
      <w:numFmt w:val="lowerLetter"/>
      <w:lvlText w:val="%5."/>
      <w:lvlJc w:val="left"/>
      <w:pPr>
        <w:ind w:left="5933" w:hanging="360"/>
      </w:pPr>
    </w:lvl>
    <w:lvl w:ilvl="5" w:tplc="0809001B" w:tentative="1">
      <w:start w:val="1"/>
      <w:numFmt w:val="lowerRoman"/>
      <w:lvlText w:val="%6."/>
      <w:lvlJc w:val="right"/>
      <w:pPr>
        <w:ind w:left="6653" w:hanging="180"/>
      </w:pPr>
    </w:lvl>
    <w:lvl w:ilvl="6" w:tplc="0809000F" w:tentative="1">
      <w:start w:val="1"/>
      <w:numFmt w:val="decimal"/>
      <w:lvlText w:val="%7."/>
      <w:lvlJc w:val="left"/>
      <w:pPr>
        <w:ind w:left="7373" w:hanging="360"/>
      </w:pPr>
    </w:lvl>
    <w:lvl w:ilvl="7" w:tplc="08090019" w:tentative="1">
      <w:start w:val="1"/>
      <w:numFmt w:val="lowerLetter"/>
      <w:lvlText w:val="%8."/>
      <w:lvlJc w:val="left"/>
      <w:pPr>
        <w:ind w:left="8093" w:hanging="360"/>
      </w:pPr>
    </w:lvl>
    <w:lvl w:ilvl="8" w:tplc="0809001B" w:tentative="1">
      <w:start w:val="1"/>
      <w:numFmt w:val="lowerRoman"/>
      <w:lvlText w:val="%9."/>
      <w:lvlJc w:val="right"/>
      <w:pPr>
        <w:ind w:left="8813" w:hanging="180"/>
      </w:pPr>
    </w:lvl>
  </w:abstractNum>
  <w:abstractNum w:abstractNumId="68" w15:restartNumberingAfterBreak="0">
    <w:nsid w:val="74CB4F24"/>
    <w:multiLevelType w:val="hybridMultilevel"/>
    <w:tmpl w:val="AF807876"/>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8A86F95"/>
    <w:multiLevelType w:val="hybridMultilevel"/>
    <w:tmpl w:val="36EC8302"/>
    <w:lvl w:ilvl="0" w:tplc="47EED0B8">
      <w:start w:val="1"/>
      <w:numFmt w:val="bullet"/>
      <w:lvlText w:val="o"/>
      <w:lvlJc w:val="left"/>
      <w:pPr>
        <w:ind w:left="360" w:hanging="360"/>
      </w:pPr>
      <w:rPr>
        <w:rFonts w:ascii="&quot;Courier New&quot;" w:hAnsi="&quot;Courier New&quot;" w:hint="default"/>
      </w:rPr>
    </w:lvl>
    <w:lvl w:ilvl="1" w:tplc="BCF2282C">
      <w:start w:val="1"/>
      <w:numFmt w:val="bullet"/>
      <w:lvlText w:val="o"/>
      <w:lvlJc w:val="left"/>
      <w:pPr>
        <w:ind w:left="1080" w:hanging="360"/>
      </w:pPr>
      <w:rPr>
        <w:rFonts w:ascii="Courier New" w:hAnsi="Courier New" w:hint="default"/>
      </w:rPr>
    </w:lvl>
    <w:lvl w:ilvl="2" w:tplc="A5D8CBA4">
      <w:start w:val="1"/>
      <w:numFmt w:val="bullet"/>
      <w:lvlText w:val=""/>
      <w:lvlJc w:val="left"/>
      <w:pPr>
        <w:ind w:left="1800" w:hanging="360"/>
      </w:pPr>
      <w:rPr>
        <w:rFonts w:ascii="Wingdings" w:hAnsi="Wingdings" w:hint="default"/>
      </w:rPr>
    </w:lvl>
    <w:lvl w:ilvl="3" w:tplc="F9DAE55C">
      <w:start w:val="1"/>
      <w:numFmt w:val="bullet"/>
      <w:lvlText w:val=""/>
      <w:lvlJc w:val="left"/>
      <w:pPr>
        <w:ind w:left="2520" w:hanging="360"/>
      </w:pPr>
      <w:rPr>
        <w:rFonts w:ascii="Symbol" w:hAnsi="Symbol" w:hint="default"/>
      </w:rPr>
    </w:lvl>
    <w:lvl w:ilvl="4" w:tplc="A3B29434">
      <w:start w:val="1"/>
      <w:numFmt w:val="bullet"/>
      <w:lvlText w:val="o"/>
      <w:lvlJc w:val="left"/>
      <w:pPr>
        <w:ind w:left="3240" w:hanging="360"/>
      </w:pPr>
      <w:rPr>
        <w:rFonts w:ascii="Courier New" w:hAnsi="Courier New" w:hint="default"/>
      </w:rPr>
    </w:lvl>
    <w:lvl w:ilvl="5" w:tplc="FD705E44">
      <w:start w:val="1"/>
      <w:numFmt w:val="bullet"/>
      <w:lvlText w:val=""/>
      <w:lvlJc w:val="left"/>
      <w:pPr>
        <w:ind w:left="3960" w:hanging="360"/>
      </w:pPr>
      <w:rPr>
        <w:rFonts w:ascii="Wingdings" w:hAnsi="Wingdings" w:hint="default"/>
      </w:rPr>
    </w:lvl>
    <w:lvl w:ilvl="6" w:tplc="ED30F1C2">
      <w:start w:val="1"/>
      <w:numFmt w:val="bullet"/>
      <w:lvlText w:val=""/>
      <w:lvlJc w:val="left"/>
      <w:pPr>
        <w:ind w:left="4680" w:hanging="360"/>
      </w:pPr>
      <w:rPr>
        <w:rFonts w:ascii="Symbol" w:hAnsi="Symbol" w:hint="default"/>
      </w:rPr>
    </w:lvl>
    <w:lvl w:ilvl="7" w:tplc="58E4785C">
      <w:start w:val="1"/>
      <w:numFmt w:val="bullet"/>
      <w:lvlText w:val="o"/>
      <w:lvlJc w:val="left"/>
      <w:pPr>
        <w:ind w:left="5400" w:hanging="360"/>
      </w:pPr>
      <w:rPr>
        <w:rFonts w:ascii="Courier New" w:hAnsi="Courier New" w:hint="default"/>
      </w:rPr>
    </w:lvl>
    <w:lvl w:ilvl="8" w:tplc="01264952">
      <w:start w:val="1"/>
      <w:numFmt w:val="bullet"/>
      <w:lvlText w:val=""/>
      <w:lvlJc w:val="left"/>
      <w:pPr>
        <w:ind w:left="6120" w:hanging="360"/>
      </w:pPr>
      <w:rPr>
        <w:rFonts w:ascii="Wingdings" w:hAnsi="Wingdings" w:hint="default"/>
      </w:rPr>
    </w:lvl>
  </w:abstractNum>
  <w:abstractNum w:abstractNumId="70" w15:restartNumberingAfterBreak="0">
    <w:nsid w:val="78D83F9C"/>
    <w:multiLevelType w:val="multilevel"/>
    <w:tmpl w:val="2EBE7BC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1" w15:restartNumberingAfterBreak="0">
    <w:nsid w:val="79C7130C"/>
    <w:multiLevelType w:val="multilevel"/>
    <w:tmpl w:val="CCDC9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9E6A448"/>
    <w:multiLevelType w:val="hybridMultilevel"/>
    <w:tmpl w:val="FFFFFFFF"/>
    <w:lvl w:ilvl="0" w:tplc="9EF22E08">
      <w:start w:val="1"/>
      <w:numFmt w:val="bullet"/>
      <w:lvlText w:val="·"/>
      <w:lvlJc w:val="left"/>
      <w:pPr>
        <w:ind w:left="720" w:hanging="360"/>
      </w:pPr>
      <w:rPr>
        <w:rFonts w:ascii="Symbol" w:hAnsi="Symbol" w:hint="default"/>
      </w:rPr>
    </w:lvl>
    <w:lvl w:ilvl="1" w:tplc="36826F8A">
      <w:start w:val="1"/>
      <w:numFmt w:val="bullet"/>
      <w:lvlText w:val="o"/>
      <w:lvlJc w:val="left"/>
      <w:pPr>
        <w:ind w:left="1440" w:hanging="360"/>
      </w:pPr>
      <w:rPr>
        <w:rFonts w:ascii="Courier New" w:hAnsi="Courier New" w:hint="default"/>
      </w:rPr>
    </w:lvl>
    <w:lvl w:ilvl="2" w:tplc="9E5CA9BE">
      <w:start w:val="1"/>
      <w:numFmt w:val="bullet"/>
      <w:lvlText w:val=""/>
      <w:lvlJc w:val="left"/>
      <w:pPr>
        <w:ind w:left="2160" w:hanging="360"/>
      </w:pPr>
      <w:rPr>
        <w:rFonts w:ascii="Wingdings" w:hAnsi="Wingdings" w:hint="default"/>
      </w:rPr>
    </w:lvl>
    <w:lvl w:ilvl="3" w:tplc="5C3CFDD6">
      <w:start w:val="1"/>
      <w:numFmt w:val="bullet"/>
      <w:lvlText w:val=""/>
      <w:lvlJc w:val="left"/>
      <w:pPr>
        <w:ind w:left="2880" w:hanging="360"/>
      </w:pPr>
      <w:rPr>
        <w:rFonts w:ascii="Symbol" w:hAnsi="Symbol" w:hint="default"/>
      </w:rPr>
    </w:lvl>
    <w:lvl w:ilvl="4" w:tplc="958E069A">
      <w:start w:val="1"/>
      <w:numFmt w:val="bullet"/>
      <w:lvlText w:val="o"/>
      <w:lvlJc w:val="left"/>
      <w:pPr>
        <w:ind w:left="3600" w:hanging="360"/>
      </w:pPr>
      <w:rPr>
        <w:rFonts w:ascii="Courier New" w:hAnsi="Courier New" w:hint="default"/>
      </w:rPr>
    </w:lvl>
    <w:lvl w:ilvl="5" w:tplc="C27236B4">
      <w:start w:val="1"/>
      <w:numFmt w:val="bullet"/>
      <w:lvlText w:val=""/>
      <w:lvlJc w:val="left"/>
      <w:pPr>
        <w:ind w:left="4320" w:hanging="360"/>
      </w:pPr>
      <w:rPr>
        <w:rFonts w:ascii="Wingdings" w:hAnsi="Wingdings" w:hint="default"/>
      </w:rPr>
    </w:lvl>
    <w:lvl w:ilvl="6" w:tplc="1D244600">
      <w:start w:val="1"/>
      <w:numFmt w:val="bullet"/>
      <w:lvlText w:val=""/>
      <w:lvlJc w:val="left"/>
      <w:pPr>
        <w:ind w:left="5040" w:hanging="360"/>
      </w:pPr>
      <w:rPr>
        <w:rFonts w:ascii="Symbol" w:hAnsi="Symbol" w:hint="default"/>
      </w:rPr>
    </w:lvl>
    <w:lvl w:ilvl="7" w:tplc="BD666836">
      <w:start w:val="1"/>
      <w:numFmt w:val="bullet"/>
      <w:lvlText w:val="o"/>
      <w:lvlJc w:val="left"/>
      <w:pPr>
        <w:ind w:left="5760" w:hanging="360"/>
      </w:pPr>
      <w:rPr>
        <w:rFonts w:ascii="Courier New" w:hAnsi="Courier New" w:hint="default"/>
      </w:rPr>
    </w:lvl>
    <w:lvl w:ilvl="8" w:tplc="6DDE3F6C">
      <w:start w:val="1"/>
      <w:numFmt w:val="bullet"/>
      <w:lvlText w:val=""/>
      <w:lvlJc w:val="left"/>
      <w:pPr>
        <w:ind w:left="6480" w:hanging="360"/>
      </w:pPr>
      <w:rPr>
        <w:rFonts w:ascii="Wingdings" w:hAnsi="Wingdings" w:hint="default"/>
      </w:rPr>
    </w:lvl>
  </w:abstractNum>
  <w:abstractNum w:abstractNumId="73" w15:restartNumberingAfterBreak="0">
    <w:nsid w:val="7C8F4FB6"/>
    <w:multiLevelType w:val="multilevel"/>
    <w:tmpl w:val="84984B44"/>
    <w:styleLink w:val="CurrentList1"/>
    <w:lvl w:ilvl="0">
      <w:start w:val="1"/>
      <w:numFmt w:val="decimal"/>
      <w:lvlText w:val="%1."/>
      <w:lvlJc w:val="left"/>
      <w:pPr>
        <w:ind w:left="360" w:hanging="360"/>
      </w:pPr>
    </w:lvl>
    <w:lvl w:ilvl="1">
      <w:start w:val="1"/>
      <w:numFmt w:val="bullet"/>
      <w:lvlText w:val=""/>
      <w:lvlJc w:val="left"/>
      <w:pPr>
        <w:ind w:left="1080" w:hanging="360"/>
      </w:pPr>
      <w:rPr>
        <w:rFonts w:ascii="Symbol" w:hAnsi="Symbol"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4" w15:restartNumberingAfterBreak="0">
    <w:nsid w:val="7C9C2D73"/>
    <w:multiLevelType w:val="hybridMultilevel"/>
    <w:tmpl w:val="7D92E2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5" w15:restartNumberingAfterBreak="0">
    <w:nsid w:val="7F7164AB"/>
    <w:multiLevelType w:val="multilevel"/>
    <w:tmpl w:val="68645D56"/>
    <w:lvl w:ilvl="0">
      <w:start w:val="3"/>
      <w:numFmt w:val="decimal"/>
      <w:lvlText w:val="%1"/>
      <w:lvlJc w:val="left"/>
      <w:pPr>
        <w:ind w:left="360" w:hanging="360"/>
      </w:pPr>
      <w:rPr>
        <w:rFonts w:hint="default"/>
        <w:b w:val="0"/>
        <w:sz w:val="20"/>
      </w:rPr>
    </w:lvl>
    <w:lvl w:ilvl="1">
      <w:start w:val="1"/>
      <w:numFmt w:val="decimal"/>
      <w:lvlText w:val="%1.%2"/>
      <w:lvlJc w:val="left"/>
      <w:pPr>
        <w:ind w:left="360" w:hanging="360"/>
      </w:pPr>
      <w:rPr>
        <w:rFonts w:hint="default"/>
        <w:b w:val="0"/>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720" w:hanging="72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080" w:hanging="108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440" w:hanging="1440"/>
      </w:pPr>
      <w:rPr>
        <w:rFonts w:hint="default"/>
        <w:b w:val="0"/>
        <w:sz w:val="20"/>
      </w:rPr>
    </w:lvl>
    <w:lvl w:ilvl="8">
      <w:start w:val="1"/>
      <w:numFmt w:val="decimal"/>
      <w:lvlText w:val="%1.%2.%3.%4.%5.%6.%7.%8.%9"/>
      <w:lvlJc w:val="left"/>
      <w:pPr>
        <w:ind w:left="1800" w:hanging="1800"/>
      </w:pPr>
      <w:rPr>
        <w:rFonts w:hint="default"/>
        <w:b w:val="0"/>
        <w:sz w:val="20"/>
      </w:rPr>
    </w:lvl>
  </w:abstractNum>
  <w:abstractNum w:abstractNumId="76" w15:restartNumberingAfterBreak="0">
    <w:nsid w:val="7FB46489"/>
    <w:multiLevelType w:val="multilevel"/>
    <w:tmpl w:val="6B60C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34079176">
    <w:abstractNumId w:val="36"/>
  </w:num>
  <w:num w:numId="2" w16cid:durableId="529801636">
    <w:abstractNumId w:val="67"/>
  </w:num>
  <w:num w:numId="3" w16cid:durableId="737091314">
    <w:abstractNumId w:val="33"/>
  </w:num>
  <w:num w:numId="4" w16cid:durableId="1752197540">
    <w:abstractNumId w:val="44"/>
  </w:num>
  <w:num w:numId="5" w16cid:durableId="1311785193">
    <w:abstractNumId w:val="73"/>
  </w:num>
  <w:num w:numId="6" w16cid:durableId="1478716702">
    <w:abstractNumId w:val="54"/>
  </w:num>
  <w:num w:numId="7" w16cid:durableId="28454273">
    <w:abstractNumId w:val="45"/>
  </w:num>
  <w:num w:numId="8" w16cid:durableId="459879641">
    <w:abstractNumId w:val="12"/>
  </w:num>
  <w:num w:numId="9" w16cid:durableId="335619658">
    <w:abstractNumId w:val="23"/>
  </w:num>
  <w:num w:numId="10" w16cid:durableId="1242527690">
    <w:abstractNumId w:val="9"/>
  </w:num>
  <w:num w:numId="11" w16cid:durableId="1788352180">
    <w:abstractNumId w:val="13"/>
  </w:num>
  <w:num w:numId="12" w16cid:durableId="1516574076">
    <w:abstractNumId w:val="65"/>
  </w:num>
  <w:num w:numId="13" w16cid:durableId="961033551">
    <w:abstractNumId w:val="41"/>
  </w:num>
  <w:num w:numId="14" w16cid:durableId="1350718412">
    <w:abstractNumId w:val="62"/>
  </w:num>
  <w:num w:numId="15" w16cid:durableId="1052343070">
    <w:abstractNumId w:val="66"/>
  </w:num>
  <w:num w:numId="16" w16cid:durableId="1959723328">
    <w:abstractNumId w:val="25"/>
  </w:num>
  <w:num w:numId="17" w16cid:durableId="285233895">
    <w:abstractNumId w:val="30"/>
  </w:num>
  <w:num w:numId="18" w16cid:durableId="773592125">
    <w:abstractNumId w:val="10"/>
  </w:num>
  <w:num w:numId="19" w16cid:durableId="1990866659">
    <w:abstractNumId w:val="59"/>
  </w:num>
  <w:num w:numId="20" w16cid:durableId="1329207192">
    <w:abstractNumId w:val="38"/>
  </w:num>
  <w:num w:numId="21" w16cid:durableId="2071227259">
    <w:abstractNumId w:val="43"/>
  </w:num>
  <w:num w:numId="22" w16cid:durableId="1762336400">
    <w:abstractNumId w:val="3"/>
  </w:num>
  <w:num w:numId="23" w16cid:durableId="708259388">
    <w:abstractNumId w:val="1"/>
  </w:num>
  <w:num w:numId="24" w16cid:durableId="794563676">
    <w:abstractNumId w:val="55"/>
  </w:num>
  <w:num w:numId="25" w16cid:durableId="115027364">
    <w:abstractNumId w:val="22"/>
  </w:num>
  <w:num w:numId="26" w16cid:durableId="1294209765">
    <w:abstractNumId w:val="7"/>
  </w:num>
  <w:num w:numId="27" w16cid:durableId="1374886104">
    <w:abstractNumId w:val="16"/>
  </w:num>
  <w:num w:numId="28" w16cid:durableId="1124739131">
    <w:abstractNumId w:val="6"/>
  </w:num>
  <w:num w:numId="29" w16cid:durableId="81420183">
    <w:abstractNumId w:val="57"/>
  </w:num>
  <w:num w:numId="30" w16cid:durableId="1482306517">
    <w:abstractNumId w:val="20"/>
  </w:num>
  <w:num w:numId="31" w16cid:durableId="1535969462">
    <w:abstractNumId w:val="47"/>
  </w:num>
  <w:num w:numId="32" w16cid:durableId="2008940576">
    <w:abstractNumId w:val="11"/>
  </w:num>
  <w:num w:numId="33" w16cid:durableId="1515027794">
    <w:abstractNumId w:val="18"/>
  </w:num>
  <w:num w:numId="34" w16cid:durableId="280232619">
    <w:abstractNumId w:val="37"/>
  </w:num>
  <w:num w:numId="35" w16cid:durableId="675615610">
    <w:abstractNumId w:val="76"/>
  </w:num>
  <w:num w:numId="36" w16cid:durableId="1247420397">
    <w:abstractNumId w:val="71"/>
  </w:num>
  <w:num w:numId="37" w16cid:durableId="1942184205">
    <w:abstractNumId w:val="2"/>
  </w:num>
  <w:num w:numId="38" w16cid:durableId="1704750945">
    <w:abstractNumId w:val="15"/>
  </w:num>
  <w:num w:numId="39" w16cid:durableId="488787857">
    <w:abstractNumId w:val="28"/>
  </w:num>
  <w:num w:numId="40" w16cid:durableId="78410553">
    <w:abstractNumId w:val="14"/>
  </w:num>
  <w:num w:numId="41" w16cid:durableId="331568518">
    <w:abstractNumId w:val="35"/>
  </w:num>
  <w:num w:numId="42" w16cid:durableId="1877230018">
    <w:abstractNumId w:val="52"/>
  </w:num>
  <w:num w:numId="43" w16cid:durableId="1473672673">
    <w:abstractNumId w:val="74"/>
  </w:num>
  <w:num w:numId="44" w16cid:durableId="1400902160">
    <w:abstractNumId w:val="61"/>
  </w:num>
  <w:num w:numId="45" w16cid:durableId="1551529258">
    <w:abstractNumId w:val="17"/>
  </w:num>
  <w:num w:numId="46" w16cid:durableId="1433627329">
    <w:abstractNumId w:val="19"/>
  </w:num>
  <w:num w:numId="47" w16cid:durableId="690230242">
    <w:abstractNumId w:val="64"/>
  </w:num>
  <w:num w:numId="48" w16cid:durableId="447969609">
    <w:abstractNumId w:val="69"/>
  </w:num>
  <w:num w:numId="49" w16cid:durableId="999650150">
    <w:abstractNumId w:val="72"/>
  </w:num>
  <w:num w:numId="50" w16cid:durableId="2020234498">
    <w:abstractNumId w:val="58"/>
  </w:num>
  <w:num w:numId="51" w16cid:durableId="1821657533">
    <w:abstractNumId w:val="60"/>
  </w:num>
  <w:num w:numId="52" w16cid:durableId="182330738">
    <w:abstractNumId w:val="27"/>
  </w:num>
  <w:num w:numId="53" w16cid:durableId="1569463395">
    <w:abstractNumId w:val="24"/>
  </w:num>
  <w:num w:numId="54" w16cid:durableId="1125655848">
    <w:abstractNumId w:val="42"/>
  </w:num>
  <w:num w:numId="55" w16cid:durableId="178734887">
    <w:abstractNumId w:val="5"/>
  </w:num>
  <w:num w:numId="56" w16cid:durableId="1707832340">
    <w:abstractNumId w:val="63"/>
  </w:num>
  <w:num w:numId="57" w16cid:durableId="1661957098">
    <w:abstractNumId w:val="40"/>
  </w:num>
  <w:num w:numId="58" w16cid:durableId="355424583">
    <w:abstractNumId w:val="26"/>
  </w:num>
  <w:num w:numId="59" w16cid:durableId="2063865596">
    <w:abstractNumId w:val="4"/>
  </w:num>
  <w:num w:numId="60" w16cid:durableId="246576585">
    <w:abstractNumId w:val="49"/>
  </w:num>
  <w:num w:numId="61" w16cid:durableId="1185022125">
    <w:abstractNumId w:val="21"/>
  </w:num>
  <w:num w:numId="62" w16cid:durableId="1329215390">
    <w:abstractNumId w:val="68"/>
  </w:num>
  <w:num w:numId="63" w16cid:durableId="741805">
    <w:abstractNumId w:val="39"/>
  </w:num>
  <w:num w:numId="64" w16cid:durableId="243682723">
    <w:abstractNumId w:val="0"/>
  </w:num>
  <w:num w:numId="65" w16cid:durableId="516652943">
    <w:abstractNumId w:val="46"/>
  </w:num>
  <w:num w:numId="66" w16cid:durableId="1216232727">
    <w:abstractNumId w:val="50"/>
  </w:num>
  <w:num w:numId="67" w16cid:durableId="1098797379">
    <w:abstractNumId w:val="29"/>
  </w:num>
  <w:num w:numId="68" w16cid:durableId="1794053751">
    <w:abstractNumId w:val="8"/>
  </w:num>
  <w:num w:numId="69" w16cid:durableId="1204168959">
    <w:abstractNumId w:val="51"/>
  </w:num>
  <w:num w:numId="70" w16cid:durableId="70978769">
    <w:abstractNumId w:val="53"/>
  </w:num>
  <w:num w:numId="71" w16cid:durableId="2062970920">
    <w:abstractNumId w:val="48"/>
  </w:num>
  <w:num w:numId="72" w16cid:durableId="846015377">
    <w:abstractNumId w:val="31"/>
  </w:num>
  <w:num w:numId="73" w16cid:durableId="893660761">
    <w:abstractNumId w:val="32"/>
  </w:num>
  <w:num w:numId="74" w16cid:durableId="441193156">
    <w:abstractNumId w:val="70"/>
  </w:num>
  <w:num w:numId="75" w16cid:durableId="482547250">
    <w:abstractNumId w:val="56"/>
  </w:num>
  <w:num w:numId="76" w16cid:durableId="226960288">
    <w:abstractNumId w:val="34"/>
  </w:num>
  <w:num w:numId="77" w16cid:durableId="333151463">
    <w:abstractNumId w:val="75"/>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CEA"/>
    <w:rsid w:val="00002005"/>
    <w:rsid w:val="00002CBC"/>
    <w:rsid w:val="00004024"/>
    <w:rsid w:val="0000456B"/>
    <w:rsid w:val="000057CE"/>
    <w:rsid w:val="00005986"/>
    <w:rsid w:val="00005BC5"/>
    <w:rsid w:val="00005EA2"/>
    <w:rsid w:val="00006358"/>
    <w:rsid w:val="00006E14"/>
    <w:rsid w:val="00006FBE"/>
    <w:rsid w:val="00007713"/>
    <w:rsid w:val="000077E3"/>
    <w:rsid w:val="00007C69"/>
    <w:rsid w:val="0001113F"/>
    <w:rsid w:val="00011A68"/>
    <w:rsid w:val="00011B5C"/>
    <w:rsid w:val="00011DD4"/>
    <w:rsid w:val="00011F83"/>
    <w:rsid w:val="00012408"/>
    <w:rsid w:val="00012752"/>
    <w:rsid w:val="00013644"/>
    <w:rsid w:val="0001427F"/>
    <w:rsid w:val="00014B09"/>
    <w:rsid w:val="00015E2E"/>
    <w:rsid w:val="00016EA1"/>
    <w:rsid w:val="00017C3B"/>
    <w:rsid w:val="00017FA4"/>
    <w:rsid w:val="0002021A"/>
    <w:rsid w:val="00020D9E"/>
    <w:rsid w:val="00021BAA"/>
    <w:rsid w:val="000230F9"/>
    <w:rsid w:val="000238B2"/>
    <w:rsid w:val="00023EAB"/>
    <w:rsid w:val="00024007"/>
    <w:rsid w:val="000240AB"/>
    <w:rsid w:val="000240B8"/>
    <w:rsid w:val="00025887"/>
    <w:rsid w:val="000263DF"/>
    <w:rsid w:val="00026773"/>
    <w:rsid w:val="00026A07"/>
    <w:rsid w:val="00026AA9"/>
    <w:rsid w:val="00027350"/>
    <w:rsid w:val="0002780B"/>
    <w:rsid w:val="000302D2"/>
    <w:rsid w:val="000303F9"/>
    <w:rsid w:val="00031587"/>
    <w:rsid w:val="00031A4E"/>
    <w:rsid w:val="00031EF0"/>
    <w:rsid w:val="00032088"/>
    <w:rsid w:val="0003402E"/>
    <w:rsid w:val="0003520B"/>
    <w:rsid w:val="0003552E"/>
    <w:rsid w:val="000357D3"/>
    <w:rsid w:val="00035B83"/>
    <w:rsid w:val="00036604"/>
    <w:rsid w:val="0003667A"/>
    <w:rsid w:val="00037540"/>
    <w:rsid w:val="0004109F"/>
    <w:rsid w:val="0004133D"/>
    <w:rsid w:val="000413DA"/>
    <w:rsid w:val="000424AF"/>
    <w:rsid w:val="00043B13"/>
    <w:rsid w:val="00043BE9"/>
    <w:rsid w:val="00044903"/>
    <w:rsid w:val="000454DB"/>
    <w:rsid w:val="000455B0"/>
    <w:rsid w:val="0004592C"/>
    <w:rsid w:val="0004595A"/>
    <w:rsid w:val="00045CDC"/>
    <w:rsid w:val="00046824"/>
    <w:rsid w:val="00051E56"/>
    <w:rsid w:val="000525C0"/>
    <w:rsid w:val="0005295C"/>
    <w:rsid w:val="00052B4B"/>
    <w:rsid w:val="00052DA6"/>
    <w:rsid w:val="00053080"/>
    <w:rsid w:val="0005389E"/>
    <w:rsid w:val="00053C06"/>
    <w:rsid w:val="000560AE"/>
    <w:rsid w:val="0005673D"/>
    <w:rsid w:val="0005675E"/>
    <w:rsid w:val="00057321"/>
    <w:rsid w:val="00057783"/>
    <w:rsid w:val="00057AE2"/>
    <w:rsid w:val="00057EF4"/>
    <w:rsid w:val="00060697"/>
    <w:rsid w:val="00060E93"/>
    <w:rsid w:val="00063081"/>
    <w:rsid w:val="0006332F"/>
    <w:rsid w:val="000634C1"/>
    <w:rsid w:val="0006389D"/>
    <w:rsid w:val="000649C0"/>
    <w:rsid w:val="000653F2"/>
    <w:rsid w:val="0006635C"/>
    <w:rsid w:val="00067560"/>
    <w:rsid w:val="00071578"/>
    <w:rsid w:val="00072601"/>
    <w:rsid w:val="00073D7C"/>
    <w:rsid w:val="00073FEA"/>
    <w:rsid w:val="000746E2"/>
    <w:rsid w:val="000751A5"/>
    <w:rsid w:val="00076133"/>
    <w:rsid w:val="00076FC9"/>
    <w:rsid w:val="00080B20"/>
    <w:rsid w:val="00080CAF"/>
    <w:rsid w:val="0008185C"/>
    <w:rsid w:val="00081E9D"/>
    <w:rsid w:val="000826CD"/>
    <w:rsid w:val="0008298B"/>
    <w:rsid w:val="0008327B"/>
    <w:rsid w:val="000832A6"/>
    <w:rsid w:val="000842B7"/>
    <w:rsid w:val="00084F21"/>
    <w:rsid w:val="0008500E"/>
    <w:rsid w:val="00086124"/>
    <w:rsid w:val="00086509"/>
    <w:rsid w:val="00086538"/>
    <w:rsid w:val="000870C6"/>
    <w:rsid w:val="000872E6"/>
    <w:rsid w:val="00090116"/>
    <w:rsid w:val="000926AA"/>
    <w:rsid w:val="00092D7D"/>
    <w:rsid w:val="00093380"/>
    <w:rsid w:val="00093489"/>
    <w:rsid w:val="0009383A"/>
    <w:rsid w:val="00094273"/>
    <w:rsid w:val="00094BA9"/>
    <w:rsid w:val="00096975"/>
    <w:rsid w:val="00097866"/>
    <w:rsid w:val="000A0267"/>
    <w:rsid w:val="000A1AE6"/>
    <w:rsid w:val="000A3212"/>
    <w:rsid w:val="000A48AC"/>
    <w:rsid w:val="000A4F9F"/>
    <w:rsid w:val="000A6E53"/>
    <w:rsid w:val="000A6FBA"/>
    <w:rsid w:val="000A760E"/>
    <w:rsid w:val="000A79DE"/>
    <w:rsid w:val="000A7AF2"/>
    <w:rsid w:val="000B0A03"/>
    <w:rsid w:val="000B34C8"/>
    <w:rsid w:val="000B3556"/>
    <w:rsid w:val="000B4AC4"/>
    <w:rsid w:val="000B5E64"/>
    <w:rsid w:val="000B5F10"/>
    <w:rsid w:val="000B5F80"/>
    <w:rsid w:val="000B6EB5"/>
    <w:rsid w:val="000B7160"/>
    <w:rsid w:val="000C094D"/>
    <w:rsid w:val="000C0B9C"/>
    <w:rsid w:val="000C15A8"/>
    <w:rsid w:val="000C1CB4"/>
    <w:rsid w:val="000C1E9C"/>
    <w:rsid w:val="000C21C3"/>
    <w:rsid w:val="000C2B66"/>
    <w:rsid w:val="000C2E85"/>
    <w:rsid w:val="000C3915"/>
    <w:rsid w:val="000C42FA"/>
    <w:rsid w:val="000C5CB3"/>
    <w:rsid w:val="000C696A"/>
    <w:rsid w:val="000C742D"/>
    <w:rsid w:val="000D037A"/>
    <w:rsid w:val="000D2423"/>
    <w:rsid w:val="000D277D"/>
    <w:rsid w:val="000D2E8E"/>
    <w:rsid w:val="000D30D1"/>
    <w:rsid w:val="000D330C"/>
    <w:rsid w:val="000D3CD1"/>
    <w:rsid w:val="000D49A9"/>
    <w:rsid w:val="000D5082"/>
    <w:rsid w:val="000D50DF"/>
    <w:rsid w:val="000D655A"/>
    <w:rsid w:val="000D676D"/>
    <w:rsid w:val="000D6B30"/>
    <w:rsid w:val="000D72BB"/>
    <w:rsid w:val="000D7CAD"/>
    <w:rsid w:val="000D7E18"/>
    <w:rsid w:val="000E00B3"/>
    <w:rsid w:val="000E13A0"/>
    <w:rsid w:val="000E1635"/>
    <w:rsid w:val="000E2464"/>
    <w:rsid w:val="000E253A"/>
    <w:rsid w:val="000E2778"/>
    <w:rsid w:val="000E2EED"/>
    <w:rsid w:val="000E3B58"/>
    <w:rsid w:val="000E4E35"/>
    <w:rsid w:val="000E515A"/>
    <w:rsid w:val="000E6A08"/>
    <w:rsid w:val="000E6D9F"/>
    <w:rsid w:val="000E6DAF"/>
    <w:rsid w:val="000E7A66"/>
    <w:rsid w:val="000F046C"/>
    <w:rsid w:val="000F04B1"/>
    <w:rsid w:val="000F0CA6"/>
    <w:rsid w:val="000F1696"/>
    <w:rsid w:val="000F1F2E"/>
    <w:rsid w:val="000F203F"/>
    <w:rsid w:val="000F21B6"/>
    <w:rsid w:val="000F31B8"/>
    <w:rsid w:val="000F3351"/>
    <w:rsid w:val="000F33F4"/>
    <w:rsid w:val="000F44C0"/>
    <w:rsid w:val="000F50D4"/>
    <w:rsid w:val="000F5704"/>
    <w:rsid w:val="000F646E"/>
    <w:rsid w:val="000F6D2B"/>
    <w:rsid w:val="00100250"/>
    <w:rsid w:val="001009DC"/>
    <w:rsid w:val="00100B4D"/>
    <w:rsid w:val="001017D5"/>
    <w:rsid w:val="00102A1C"/>
    <w:rsid w:val="0010351A"/>
    <w:rsid w:val="00103CC1"/>
    <w:rsid w:val="00103F80"/>
    <w:rsid w:val="00103F90"/>
    <w:rsid w:val="001047A3"/>
    <w:rsid w:val="00104A13"/>
    <w:rsid w:val="00104F16"/>
    <w:rsid w:val="0010539C"/>
    <w:rsid w:val="0010555B"/>
    <w:rsid w:val="00105563"/>
    <w:rsid w:val="00113202"/>
    <w:rsid w:val="00114D2A"/>
    <w:rsid w:val="001150D5"/>
    <w:rsid w:val="001164EE"/>
    <w:rsid w:val="00116989"/>
    <w:rsid w:val="00116C46"/>
    <w:rsid w:val="00117F97"/>
    <w:rsid w:val="00120D70"/>
    <w:rsid w:val="00120DCB"/>
    <w:rsid w:val="001218BE"/>
    <w:rsid w:val="00122F2D"/>
    <w:rsid w:val="00124FF1"/>
    <w:rsid w:val="00125206"/>
    <w:rsid w:val="001260A0"/>
    <w:rsid w:val="001264B9"/>
    <w:rsid w:val="00126F38"/>
    <w:rsid w:val="00130811"/>
    <w:rsid w:val="00131A4A"/>
    <w:rsid w:val="00131BD1"/>
    <w:rsid w:val="0013213B"/>
    <w:rsid w:val="00133AE3"/>
    <w:rsid w:val="00133FD8"/>
    <w:rsid w:val="00134547"/>
    <w:rsid w:val="00134EAA"/>
    <w:rsid w:val="0013591C"/>
    <w:rsid w:val="0013639A"/>
    <w:rsid w:val="00136E29"/>
    <w:rsid w:val="00137387"/>
    <w:rsid w:val="0013751F"/>
    <w:rsid w:val="00141328"/>
    <w:rsid w:val="00141431"/>
    <w:rsid w:val="00141D70"/>
    <w:rsid w:val="00141DC1"/>
    <w:rsid w:val="001421FD"/>
    <w:rsid w:val="0014220D"/>
    <w:rsid w:val="00143228"/>
    <w:rsid w:val="001435CD"/>
    <w:rsid w:val="001437D4"/>
    <w:rsid w:val="00143816"/>
    <w:rsid w:val="00144397"/>
    <w:rsid w:val="00144E7A"/>
    <w:rsid w:val="00145C0E"/>
    <w:rsid w:val="00147800"/>
    <w:rsid w:val="001504C3"/>
    <w:rsid w:val="00150C49"/>
    <w:rsid w:val="00150F17"/>
    <w:rsid w:val="00151354"/>
    <w:rsid w:val="00151D38"/>
    <w:rsid w:val="00152207"/>
    <w:rsid w:val="00152292"/>
    <w:rsid w:val="00152BE0"/>
    <w:rsid w:val="00153F3B"/>
    <w:rsid w:val="00154722"/>
    <w:rsid w:val="00154B58"/>
    <w:rsid w:val="00154E28"/>
    <w:rsid w:val="0015542C"/>
    <w:rsid w:val="001554FF"/>
    <w:rsid w:val="00155FEA"/>
    <w:rsid w:val="00156467"/>
    <w:rsid w:val="001568F7"/>
    <w:rsid w:val="00157381"/>
    <w:rsid w:val="0015757E"/>
    <w:rsid w:val="00160F27"/>
    <w:rsid w:val="00161E74"/>
    <w:rsid w:val="0016227B"/>
    <w:rsid w:val="001635BB"/>
    <w:rsid w:val="00164A59"/>
    <w:rsid w:val="00164CB3"/>
    <w:rsid w:val="00165B10"/>
    <w:rsid w:val="00167D3E"/>
    <w:rsid w:val="00167D9A"/>
    <w:rsid w:val="00170D03"/>
    <w:rsid w:val="00170F24"/>
    <w:rsid w:val="001712D6"/>
    <w:rsid w:val="001712F4"/>
    <w:rsid w:val="001715B4"/>
    <w:rsid w:val="00171622"/>
    <w:rsid w:val="00171862"/>
    <w:rsid w:val="00173EED"/>
    <w:rsid w:val="001745F5"/>
    <w:rsid w:val="001747E2"/>
    <w:rsid w:val="00174B8C"/>
    <w:rsid w:val="00174C60"/>
    <w:rsid w:val="00174F74"/>
    <w:rsid w:val="00176E23"/>
    <w:rsid w:val="00176FC8"/>
    <w:rsid w:val="001779C2"/>
    <w:rsid w:val="00177F6E"/>
    <w:rsid w:val="00180F27"/>
    <w:rsid w:val="001821AC"/>
    <w:rsid w:val="001826BE"/>
    <w:rsid w:val="001826C3"/>
    <w:rsid w:val="00183147"/>
    <w:rsid w:val="001838EB"/>
    <w:rsid w:val="00184339"/>
    <w:rsid w:val="00184958"/>
    <w:rsid w:val="00185458"/>
    <w:rsid w:val="00185BC3"/>
    <w:rsid w:val="00185CC3"/>
    <w:rsid w:val="00186200"/>
    <w:rsid w:val="00186675"/>
    <w:rsid w:val="00186990"/>
    <w:rsid w:val="00187348"/>
    <w:rsid w:val="0018787D"/>
    <w:rsid w:val="00190816"/>
    <w:rsid w:val="00190F1E"/>
    <w:rsid w:val="001911DA"/>
    <w:rsid w:val="00191C55"/>
    <w:rsid w:val="001935AD"/>
    <w:rsid w:val="00193E31"/>
    <w:rsid w:val="00193F70"/>
    <w:rsid w:val="001948D3"/>
    <w:rsid w:val="00195334"/>
    <w:rsid w:val="0019551E"/>
    <w:rsid w:val="00195C85"/>
    <w:rsid w:val="00196301"/>
    <w:rsid w:val="0019753D"/>
    <w:rsid w:val="00197910"/>
    <w:rsid w:val="00197ED8"/>
    <w:rsid w:val="001A0C7C"/>
    <w:rsid w:val="001A105E"/>
    <w:rsid w:val="001A19C6"/>
    <w:rsid w:val="001A1BA8"/>
    <w:rsid w:val="001A1C93"/>
    <w:rsid w:val="001A1FF4"/>
    <w:rsid w:val="001A2EAE"/>
    <w:rsid w:val="001A39BE"/>
    <w:rsid w:val="001A3BE5"/>
    <w:rsid w:val="001A3C45"/>
    <w:rsid w:val="001A3FC1"/>
    <w:rsid w:val="001A591B"/>
    <w:rsid w:val="001A6227"/>
    <w:rsid w:val="001A6BD6"/>
    <w:rsid w:val="001A750C"/>
    <w:rsid w:val="001A7929"/>
    <w:rsid w:val="001B00F7"/>
    <w:rsid w:val="001B0562"/>
    <w:rsid w:val="001B0A0F"/>
    <w:rsid w:val="001B11C7"/>
    <w:rsid w:val="001B1C6A"/>
    <w:rsid w:val="001B1D2F"/>
    <w:rsid w:val="001B2460"/>
    <w:rsid w:val="001B31C8"/>
    <w:rsid w:val="001B33EF"/>
    <w:rsid w:val="001B3829"/>
    <w:rsid w:val="001B400E"/>
    <w:rsid w:val="001B5603"/>
    <w:rsid w:val="001B62B6"/>
    <w:rsid w:val="001B6674"/>
    <w:rsid w:val="001B69DA"/>
    <w:rsid w:val="001B6CB1"/>
    <w:rsid w:val="001B7573"/>
    <w:rsid w:val="001C0219"/>
    <w:rsid w:val="001C0B37"/>
    <w:rsid w:val="001C1DD2"/>
    <w:rsid w:val="001C34D3"/>
    <w:rsid w:val="001C3555"/>
    <w:rsid w:val="001C42F3"/>
    <w:rsid w:val="001C4941"/>
    <w:rsid w:val="001C5832"/>
    <w:rsid w:val="001C5D80"/>
    <w:rsid w:val="001C7451"/>
    <w:rsid w:val="001C79B9"/>
    <w:rsid w:val="001C7A72"/>
    <w:rsid w:val="001D0456"/>
    <w:rsid w:val="001D0A99"/>
    <w:rsid w:val="001D0D78"/>
    <w:rsid w:val="001D114C"/>
    <w:rsid w:val="001D19A6"/>
    <w:rsid w:val="001D1A4A"/>
    <w:rsid w:val="001D1EFE"/>
    <w:rsid w:val="001D2CFB"/>
    <w:rsid w:val="001D3442"/>
    <w:rsid w:val="001D37EE"/>
    <w:rsid w:val="001D3974"/>
    <w:rsid w:val="001D420D"/>
    <w:rsid w:val="001D4CB9"/>
    <w:rsid w:val="001D60F2"/>
    <w:rsid w:val="001D6811"/>
    <w:rsid w:val="001D7A83"/>
    <w:rsid w:val="001E03A7"/>
    <w:rsid w:val="001E0623"/>
    <w:rsid w:val="001E0933"/>
    <w:rsid w:val="001E0F8D"/>
    <w:rsid w:val="001E10D8"/>
    <w:rsid w:val="001E32A3"/>
    <w:rsid w:val="001E38CB"/>
    <w:rsid w:val="001E3C60"/>
    <w:rsid w:val="001E43A5"/>
    <w:rsid w:val="001E4419"/>
    <w:rsid w:val="001E4678"/>
    <w:rsid w:val="001E4FD7"/>
    <w:rsid w:val="001E552F"/>
    <w:rsid w:val="001E654B"/>
    <w:rsid w:val="001E7589"/>
    <w:rsid w:val="001E7D22"/>
    <w:rsid w:val="001F06AB"/>
    <w:rsid w:val="001F0B5C"/>
    <w:rsid w:val="001F1F0E"/>
    <w:rsid w:val="001F2A47"/>
    <w:rsid w:val="001F32EF"/>
    <w:rsid w:val="001F33C0"/>
    <w:rsid w:val="001F51D7"/>
    <w:rsid w:val="001F530D"/>
    <w:rsid w:val="001F53B9"/>
    <w:rsid w:val="001F598C"/>
    <w:rsid w:val="001F6187"/>
    <w:rsid w:val="001F7B65"/>
    <w:rsid w:val="00200C6A"/>
    <w:rsid w:val="002011A7"/>
    <w:rsid w:val="002012EC"/>
    <w:rsid w:val="0020138B"/>
    <w:rsid w:val="00201ED9"/>
    <w:rsid w:val="002021C4"/>
    <w:rsid w:val="002022DD"/>
    <w:rsid w:val="0020276B"/>
    <w:rsid w:val="00203E8E"/>
    <w:rsid w:val="0020400E"/>
    <w:rsid w:val="0020418D"/>
    <w:rsid w:val="002052C7"/>
    <w:rsid w:val="0020539C"/>
    <w:rsid w:val="00205812"/>
    <w:rsid w:val="00206DC4"/>
    <w:rsid w:val="002071FC"/>
    <w:rsid w:val="00210461"/>
    <w:rsid w:val="00210548"/>
    <w:rsid w:val="00210689"/>
    <w:rsid w:val="0021356C"/>
    <w:rsid w:val="002141BC"/>
    <w:rsid w:val="00215078"/>
    <w:rsid w:val="00216100"/>
    <w:rsid w:val="00216236"/>
    <w:rsid w:val="002171E7"/>
    <w:rsid w:val="002175A0"/>
    <w:rsid w:val="00217921"/>
    <w:rsid w:val="00217E1C"/>
    <w:rsid w:val="00217FF0"/>
    <w:rsid w:val="002204A4"/>
    <w:rsid w:val="00221A98"/>
    <w:rsid w:val="00221FF9"/>
    <w:rsid w:val="0022219B"/>
    <w:rsid w:val="0022268C"/>
    <w:rsid w:val="0022398B"/>
    <w:rsid w:val="00225475"/>
    <w:rsid w:val="00225AD4"/>
    <w:rsid w:val="00225D8D"/>
    <w:rsid w:val="00227106"/>
    <w:rsid w:val="002271C0"/>
    <w:rsid w:val="00227744"/>
    <w:rsid w:val="0023142C"/>
    <w:rsid w:val="002326B2"/>
    <w:rsid w:val="00233270"/>
    <w:rsid w:val="00233513"/>
    <w:rsid w:val="00233972"/>
    <w:rsid w:val="00235C70"/>
    <w:rsid w:val="0023691B"/>
    <w:rsid w:val="0023699D"/>
    <w:rsid w:val="00237506"/>
    <w:rsid w:val="002376D1"/>
    <w:rsid w:val="00240C30"/>
    <w:rsid w:val="002410AE"/>
    <w:rsid w:val="0024161D"/>
    <w:rsid w:val="00241B54"/>
    <w:rsid w:val="00241E7D"/>
    <w:rsid w:val="002422B9"/>
    <w:rsid w:val="00242408"/>
    <w:rsid w:val="00242983"/>
    <w:rsid w:val="00242F75"/>
    <w:rsid w:val="0024355E"/>
    <w:rsid w:val="002435AF"/>
    <w:rsid w:val="0024478C"/>
    <w:rsid w:val="00244B7B"/>
    <w:rsid w:val="002450A1"/>
    <w:rsid w:val="002462BF"/>
    <w:rsid w:val="00250D61"/>
    <w:rsid w:val="0025154C"/>
    <w:rsid w:val="002515C5"/>
    <w:rsid w:val="00251961"/>
    <w:rsid w:val="00251DDA"/>
    <w:rsid w:val="00251E06"/>
    <w:rsid w:val="00252746"/>
    <w:rsid w:val="00252BC6"/>
    <w:rsid w:val="00253751"/>
    <w:rsid w:val="002537DB"/>
    <w:rsid w:val="002540B4"/>
    <w:rsid w:val="0025469B"/>
    <w:rsid w:val="0025472E"/>
    <w:rsid w:val="00254A8A"/>
    <w:rsid w:val="0025586C"/>
    <w:rsid w:val="0025594D"/>
    <w:rsid w:val="00256205"/>
    <w:rsid w:val="0025717F"/>
    <w:rsid w:val="00257A9F"/>
    <w:rsid w:val="002603DE"/>
    <w:rsid w:val="00261D56"/>
    <w:rsid w:val="00262C91"/>
    <w:rsid w:val="00262E48"/>
    <w:rsid w:val="00263400"/>
    <w:rsid w:val="002635F5"/>
    <w:rsid w:val="00266633"/>
    <w:rsid w:val="00266858"/>
    <w:rsid w:val="0026686B"/>
    <w:rsid w:val="00267C4A"/>
    <w:rsid w:val="002705F1"/>
    <w:rsid w:val="00271342"/>
    <w:rsid w:val="00271414"/>
    <w:rsid w:val="0027167A"/>
    <w:rsid w:val="002716AC"/>
    <w:rsid w:val="002718A3"/>
    <w:rsid w:val="00272CEB"/>
    <w:rsid w:val="00273004"/>
    <w:rsid w:val="002731AB"/>
    <w:rsid w:val="00273AF5"/>
    <w:rsid w:val="00275C56"/>
    <w:rsid w:val="00275E3A"/>
    <w:rsid w:val="00276819"/>
    <w:rsid w:val="0027682A"/>
    <w:rsid w:val="00276B6E"/>
    <w:rsid w:val="002774E7"/>
    <w:rsid w:val="00280179"/>
    <w:rsid w:val="0028083E"/>
    <w:rsid w:val="0028236C"/>
    <w:rsid w:val="00283EDA"/>
    <w:rsid w:val="002845DF"/>
    <w:rsid w:val="002848B6"/>
    <w:rsid w:val="00284E12"/>
    <w:rsid w:val="00284F90"/>
    <w:rsid w:val="00285025"/>
    <w:rsid w:val="00285B7F"/>
    <w:rsid w:val="00286625"/>
    <w:rsid w:val="0028692A"/>
    <w:rsid w:val="00287B21"/>
    <w:rsid w:val="00287BFC"/>
    <w:rsid w:val="00287D1D"/>
    <w:rsid w:val="002908B7"/>
    <w:rsid w:val="00290B50"/>
    <w:rsid w:val="00290FAE"/>
    <w:rsid w:val="002910C4"/>
    <w:rsid w:val="00291693"/>
    <w:rsid w:val="00291E67"/>
    <w:rsid w:val="00292339"/>
    <w:rsid w:val="002931F5"/>
    <w:rsid w:val="002933E1"/>
    <w:rsid w:val="00294024"/>
    <w:rsid w:val="0029445A"/>
    <w:rsid w:val="002945C3"/>
    <w:rsid w:val="00294DAD"/>
    <w:rsid w:val="0029501B"/>
    <w:rsid w:val="002954E2"/>
    <w:rsid w:val="002964F4"/>
    <w:rsid w:val="00297244"/>
    <w:rsid w:val="00297D5E"/>
    <w:rsid w:val="002A069C"/>
    <w:rsid w:val="002A0C0D"/>
    <w:rsid w:val="002A0D12"/>
    <w:rsid w:val="002A126C"/>
    <w:rsid w:val="002A17D7"/>
    <w:rsid w:val="002A20FB"/>
    <w:rsid w:val="002A2F7F"/>
    <w:rsid w:val="002A4C32"/>
    <w:rsid w:val="002A61CD"/>
    <w:rsid w:val="002A641E"/>
    <w:rsid w:val="002A6F3E"/>
    <w:rsid w:val="002B016A"/>
    <w:rsid w:val="002B0392"/>
    <w:rsid w:val="002B054D"/>
    <w:rsid w:val="002B0837"/>
    <w:rsid w:val="002B0A40"/>
    <w:rsid w:val="002B0BC9"/>
    <w:rsid w:val="002B1073"/>
    <w:rsid w:val="002B145B"/>
    <w:rsid w:val="002B3572"/>
    <w:rsid w:val="002B39A2"/>
    <w:rsid w:val="002B4D4C"/>
    <w:rsid w:val="002B57E3"/>
    <w:rsid w:val="002B6923"/>
    <w:rsid w:val="002B69B9"/>
    <w:rsid w:val="002B7695"/>
    <w:rsid w:val="002B76DE"/>
    <w:rsid w:val="002C11C6"/>
    <w:rsid w:val="002C20AD"/>
    <w:rsid w:val="002C2BE0"/>
    <w:rsid w:val="002C376D"/>
    <w:rsid w:val="002C4399"/>
    <w:rsid w:val="002C49FA"/>
    <w:rsid w:val="002C52A9"/>
    <w:rsid w:val="002C56DD"/>
    <w:rsid w:val="002C60CB"/>
    <w:rsid w:val="002C6798"/>
    <w:rsid w:val="002C7579"/>
    <w:rsid w:val="002C7FD4"/>
    <w:rsid w:val="002D06F6"/>
    <w:rsid w:val="002D0BEC"/>
    <w:rsid w:val="002D1616"/>
    <w:rsid w:val="002D1CCA"/>
    <w:rsid w:val="002D2084"/>
    <w:rsid w:val="002D2519"/>
    <w:rsid w:val="002D2980"/>
    <w:rsid w:val="002D2CF6"/>
    <w:rsid w:val="002D3ED3"/>
    <w:rsid w:val="002D40EF"/>
    <w:rsid w:val="002D43CF"/>
    <w:rsid w:val="002D4F24"/>
    <w:rsid w:val="002D5787"/>
    <w:rsid w:val="002D59AD"/>
    <w:rsid w:val="002D5ACA"/>
    <w:rsid w:val="002D5B78"/>
    <w:rsid w:val="002D672A"/>
    <w:rsid w:val="002D6A1C"/>
    <w:rsid w:val="002D6CE1"/>
    <w:rsid w:val="002D6DF2"/>
    <w:rsid w:val="002D7BD2"/>
    <w:rsid w:val="002E00B2"/>
    <w:rsid w:val="002E05ED"/>
    <w:rsid w:val="002E14AD"/>
    <w:rsid w:val="002E16BC"/>
    <w:rsid w:val="002E1B3A"/>
    <w:rsid w:val="002E5164"/>
    <w:rsid w:val="002E54A2"/>
    <w:rsid w:val="002E66A0"/>
    <w:rsid w:val="002E6FD0"/>
    <w:rsid w:val="002E752B"/>
    <w:rsid w:val="002E7FAB"/>
    <w:rsid w:val="002F08F0"/>
    <w:rsid w:val="002F11A4"/>
    <w:rsid w:val="002F123C"/>
    <w:rsid w:val="002F1A8F"/>
    <w:rsid w:val="002F5F7C"/>
    <w:rsid w:val="002F6173"/>
    <w:rsid w:val="002F6266"/>
    <w:rsid w:val="002F6938"/>
    <w:rsid w:val="002F6EB4"/>
    <w:rsid w:val="002F77D3"/>
    <w:rsid w:val="003000B6"/>
    <w:rsid w:val="00300B23"/>
    <w:rsid w:val="00300EBC"/>
    <w:rsid w:val="00300FEB"/>
    <w:rsid w:val="00301C2C"/>
    <w:rsid w:val="00301FE0"/>
    <w:rsid w:val="00302115"/>
    <w:rsid w:val="00302E7E"/>
    <w:rsid w:val="00302EB7"/>
    <w:rsid w:val="00303465"/>
    <w:rsid w:val="0030448B"/>
    <w:rsid w:val="00304F92"/>
    <w:rsid w:val="003056B6"/>
    <w:rsid w:val="00305BF3"/>
    <w:rsid w:val="00306412"/>
    <w:rsid w:val="003065FA"/>
    <w:rsid w:val="0030689F"/>
    <w:rsid w:val="00306F2B"/>
    <w:rsid w:val="00306F98"/>
    <w:rsid w:val="00307430"/>
    <w:rsid w:val="003105B0"/>
    <w:rsid w:val="00310D72"/>
    <w:rsid w:val="00310E54"/>
    <w:rsid w:val="003120A9"/>
    <w:rsid w:val="003120D0"/>
    <w:rsid w:val="00312463"/>
    <w:rsid w:val="0031306C"/>
    <w:rsid w:val="00313282"/>
    <w:rsid w:val="00314052"/>
    <w:rsid w:val="00315328"/>
    <w:rsid w:val="00315519"/>
    <w:rsid w:val="00316395"/>
    <w:rsid w:val="00317309"/>
    <w:rsid w:val="00317CBD"/>
    <w:rsid w:val="00320E0F"/>
    <w:rsid w:val="00321614"/>
    <w:rsid w:val="003219A6"/>
    <w:rsid w:val="003227DC"/>
    <w:rsid w:val="0032378C"/>
    <w:rsid w:val="00325B7F"/>
    <w:rsid w:val="00326A4A"/>
    <w:rsid w:val="00327872"/>
    <w:rsid w:val="00327F23"/>
    <w:rsid w:val="00327FF9"/>
    <w:rsid w:val="003301D4"/>
    <w:rsid w:val="003311AA"/>
    <w:rsid w:val="003311C6"/>
    <w:rsid w:val="00332362"/>
    <w:rsid w:val="0033294F"/>
    <w:rsid w:val="00333221"/>
    <w:rsid w:val="003343A8"/>
    <w:rsid w:val="00334ADA"/>
    <w:rsid w:val="003354AF"/>
    <w:rsid w:val="003358FC"/>
    <w:rsid w:val="00335C12"/>
    <w:rsid w:val="003365CE"/>
    <w:rsid w:val="00336BD0"/>
    <w:rsid w:val="00337481"/>
    <w:rsid w:val="003376BF"/>
    <w:rsid w:val="0034090D"/>
    <w:rsid w:val="0034212E"/>
    <w:rsid w:val="0034299C"/>
    <w:rsid w:val="00345119"/>
    <w:rsid w:val="003459C9"/>
    <w:rsid w:val="00345BD4"/>
    <w:rsid w:val="00345BEB"/>
    <w:rsid w:val="00346B43"/>
    <w:rsid w:val="0034777D"/>
    <w:rsid w:val="0035003F"/>
    <w:rsid w:val="00350F36"/>
    <w:rsid w:val="0035150D"/>
    <w:rsid w:val="00351EA4"/>
    <w:rsid w:val="00352685"/>
    <w:rsid w:val="003542C7"/>
    <w:rsid w:val="0035505F"/>
    <w:rsid w:val="00356876"/>
    <w:rsid w:val="00356E04"/>
    <w:rsid w:val="00357015"/>
    <w:rsid w:val="00357F6C"/>
    <w:rsid w:val="0036001F"/>
    <w:rsid w:val="00360330"/>
    <w:rsid w:val="003607F8"/>
    <w:rsid w:val="00360DF2"/>
    <w:rsid w:val="00360FEF"/>
    <w:rsid w:val="00361889"/>
    <w:rsid w:val="003618DB"/>
    <w:rsid w:val="003620D5"/>
    <w:rsid w:val="00364119"/>
    <w:rsid w:val="0036456B"/>
    <w:rsid w:val="0036529F"/>
    <w:rsid w:val="0036562D"/>
    <w:rsid w:val="00365F4F"/>
    <w:rsid w:val="00366260"/>
    <w:rsid w:val="00366526"/>
    <w:rsid w:val="00366C9B"/>
    <w:rsid w:val="003678E8"/>
    <w:rsid w:val="00367B5D"/>
    <w:rsid w:val="00370C6C"/>
    <w:rsid w:val="00370CAA"/>
    <w:rsid w:val="00370D9B"/>
    <w:rsid w:val="003720CA"/>
    <w:rsid w:val="00373635"/>
    <w:rsid w:val="003739DA"/>
    <w:rsid w:val="0037417E"/>
    <w:rsid w:val="0037419A"/>
    <w:rsid w:val="0037474F"/>
    <w:rsid w:val="0037531E"/>
    <w:rsid w:val="00375B50"/>
    <w:rsid w:val="003765E7"/>
    <w:rsid w:val="00376B04"/>
    <w:rsid w:val="00376CF7"/>
    <w:rsid w:val="0037744B"/>
    <w:rsid w:val="00380A4E"/>
    <w:rsid w:val="003826DD"/>
    <w:rsid w:val="003827E3"/>
    <w:rsid w:val="00382EF2"/>
    <w:rsid w:val="003867CF"/>
    <w:rsid w:val="00386847"/>
    <w:rsid w:val="00386E98"/>
    <w:rsid w:val="0038730C"/>
    <w:rsid w:val="00392267"/>
    <w:rsid w:val="0039252B"/>
    <w:rsid w:val="00392820"/>
    <w:rsid w:val="00393844"/>
    <w:rsid w:val="0039415D"/>
    <w:rsid w:val="00394694"/>
    <w:rsid w:val="00394AD7"/>
    <w:rsid w:val="00394D4E"/>
    <w:rsid w:val="00394D85"/>
    <w:rsid w:val="003953BA"/>
    <w:rsid w:val="003A1EB7"/>
    <w:rsid w:val="003A268C"/>
    <w:rsid w:val="003A288B"/>
    <w:rsid w:val="003A31FE"/>
    <w:rsid w:val="003A3A9D"/>
    <w:rsid w:val="003A3DB2"/>
    <w:rsid w:val="003A3FA3"/>
    <w:rsid w:val="003A3FE9"/>
    <w:rsid w:val="003A4A0C"/>
    <w:rsid w:val="003A5144"/>
    <w:rsid w:val="003A566E"/>
    <w:rsid w:val="003A5BFA"/>
    <w:rsid w:val="003A5F87"/>
    <w:rsid w:val="003A6C31"/>
    <w:rsid w:val="003A748A"/>
    <w:rsid w:val="003B02D8"/>
    <w:rsid w:val="003B0CC8"/>
    <w:rsid w:val="003B1593"/>
    <w:rsid w:val="003B16DD"/>
    <w:rsid w:val="003B18C2"/>
    <w:rsid w:val="003B1C22"/>
    <w:rsid w:val="003B1CA4"/>
    <w:rsid w:val="003B32A3"/>
    <w:rsid w:val="003B456E"/>
    <w:rsid w:val="003B4690"/>
    <w:rsid w:val="003B60D9"/>
    <w:rsid w:val="003B6F1E"/>
    <w:rsid w:val="003B7776"/>
    <w:rsid w:val="003C0506"/>
    <w:rsid w:val="003C0A4E"/>
    <w:rsid w:val="003C0B62"/>
    <w:rsid w:val="003C1862"/>
    <w:rsid w:val="003C18D7"/>
    <w:rsid w:val="003C1D5B"/>
    <w:rsid w:val="003C23CB"/>
    <w:rsid w:val="003C3E5D"/>
    <w:rsid w:val="003C3FE0"/>
    <w:rsid w:val="003C5C5D"/>
    <w:rsid w:val="003C5F89"/>
    <w:rsid w:val="003C6549"/>
    <w:rsid w:val="003C72D4"/>
    <w:rsid w:val="003D11F5"/>
    <w:rsid w:val="003D16E4"/>
    <w:rsid w:val="003D1FFE"/>
    <w:rsid w:val="003D24B2"/>
    <w:rsid w:val="003D39B3"/>
    <w:rsid w:val="003D4745"/>
    <w:rsid w:val="003D5C0B"/>
    <w:rsid w:val="003D6560"/>
    <w:rsid w:val="003D6A95"/>
    <w:rsid w:val="003E0473"/>
    <w:rsid w:val="003E0EA7"/>
    <w:rsid w:val="003E2C0A"/>
    <w:rsid w:val="003E3BD2"/>
    <w:rsid w:val="003E46E5"/>
    <w:rsid w:val="003E4E2F"/>
    <w:rsid w:val="003E5361"/>
    <w:rsid w:val="003E6050"/>
    <w:rsid w:val="003F19D0"/>
    <w:rsid w:val="003F1E09"/>
    <w:rsid w:val="003F3225"/>
    <w:rsid w:val="003F3CA6"/>
    <w:rsid w:val="003F415F"/>
    <w:rsid w:val="003F5156"/>
    <w:rsid w:val="003F59A5"/>
    <w:rsid w:val="003F5C82"/>
    <w:rsid w:val="003F6579"/>
    <w:rsid w:val="003F6A3A"/>
    <w:rsid w:val="003F6B90"/>
    <w:rsid w:val="003F76DB"/>
    <w:rsid w:val="00400316"/>
    <w:rsid w:val="0040069E"/>
    <w:rsid w:val="0040076E"/>
    <w:rsid w:val="00400F20"/>
    <w:rsid w:val="00400FC9"/>
    <w:rsid w:val="00400FDD"/>
    <w:rsid w:val="0040147B"/>
    <w:rsid w:val="00401609"/>
    <w:rsid w:val="00401DA1"/>
    <w:rsid w:val="004022D7"/>
    <w:rsid w:val="00402309"/>
    <w:rsid w:val="00402436"/>
    <w:rsid w:val="00402C1E"/>
    <w:rsid w:val="00403735"/>
    <w:rsid w:val="00403C3B"/>
    <w:rsid w:val="00403FD5"/>
    <w:rsid w:val="004055DC"/>
    <w:rsid w:val="00405BFF"/>
    <w:rsid w:val="004065F1"/>
    <w:rsid w:val="0040674F"/>
    <w:rsid w:val="00407345"/>
    <w:rsid w:val="004075FF"/>
    <w:rsid w:val="00407C7C"/>
    <w:rsid w:val="004112D3"/>
    <w:rsid w:val="00413D5E"/>
    <w:rsid w:val="00414179"/>
    <w:rsid w:val="00416AD8"/>
    <w:rsid w:val="00416B64"/>
    <w:rsid w:val="00417BE0"/>
    <w:rsid w:val="004200C4"/>
    <w:rsid w:val="004205D7"/>
    <w:rsid w:val="0042111B"/>
    <w:rsid w:val="0042162D"/>
    <w:rsid w:val="00422E06"/>
    <w:rsid w:val="004235C7"/>
    <w:rsid w:val="00423CF7"/>
    <w:rsid w:val="00425831"/>
    <w:rsid w:val="00426238"/>
    <w:rsid w:val="004266C9"/>
    <w:rsid w:val="00426D4B"/>
    <w:rsid w:val="00427AC6"/>
    <w:rsid w:val="00427D9E"/>
    <w:rsid w:val="00427F38"/>
    <w:rsid w:val="00427F3D"/>
    <w:rsid w:val="00430476"/>
    <w:rsid w:val="00430489"/>
    <w:rsid w:val="00430795"/>
    <w:rsid w:val="004329FF"/>
    <w:rsid w:val="00432F4F"/>
    <w:rsid w:val="004331BE"/>
    <w:rsid w:val="0043399A"/>
    <w:rsid w:val="00433B05"/>
    <w:rsid w:val="00434301"/>
    <w:rsid w:val="00435B37"/>
    <w:rsid w:val="00435D84"/>
    <w:rsid w:val="00436A62"/>
    <w:rsid w:val="00436B73"/>
    <w:rsid w:val="00436BCF"/>
    <w:rsid w:val="00437116"/>
    <w:rsid w:val="00437F06"/>
    <w:rsid w:val="00440630"/>
    <w:rsid w:val="004409F8"/>
    <w:rsid w:val="00440C8B"/>
    <w:rsid w:val="0044125C"/>
    <w:rsid w:val="0044125D"/>
    <w:rsid w:val="00441BDA"/>
    <w:rsid w:val="004428EF"/>
    <w:rsid w:val="00442B2E"/>
    <w:rsid w:val="00442E67"/>
    <w:rsid w:val="00443453"/>
    <w:rsid w:val="00443469"/>
    <w:rsid w:val="004439D8"/>
    <w:rsid w:val="00444114"/>
    <w:rsid w:val="004445CD"/>
    <w:rsid w:val="00444A9D"/>
    <w:rsid w:val="00444B32"/>
    <w:rsid w:val="004452C0"/>
    <w:rsid w:val="00445927"/>
    <w:rsid w:val="00445AEF"/>
    <w:rsid w:val="00445E98"/>
    <w:rsid w:val="00446906"/>
    <w:rsid w:val="0044691E"/>
    <w:rsid w:val="00447546"/>
    <w:rsid w:val="004476F8"/>
    <w:rsid w:val="00447818"/>
    <w:rsid w:val="00447AD0"/>
    <w:rsid w:val="00450640"/>
    <w:rsid w:val="00450BBC"/>
    <w:rsid w:val="00450DC3"/>
    <w:rsid w:val="00451349"/>
    <w:rsid w:val="004517F4"/>
    <w:rsid w:val="00452556"/>
    <w:rsid w:val="00452AAF"/>
    <w:rsid w:val="00452DEA"/>
    <w:rsid w:val="00453C84"/>
    <w:rsid w:val="00454809"/>
    <w:rsid w:val="00454EBF"/>
    <w:rsid w:val="00454EDE"/>
    <w:rsid w:val="004553F8"/>
    <w:rsid w:val="004558B2"/>
    <w:rsid w:val="00455EED"/>
    <w:rsid w:val="004572C0"/>
    <w:rsid w:val="00457442"/>
    <w:rsid w:val="004575D5"/>
    <w:rsid w:val="004576AC"/>
    <w:rsid w:val="00457898"/>
    <w:rsid w:val="00460DAB"/>
    <w:rsid w:val="00461121"/>
    <w:rsid w:val="00461DF0"/>
    <w:rsid w:val="00462541"/>
    <w:rsid w:val="00463816"/>
    <w:rsid w:val="0046389E"/>
    <w:rsid w:val="00463B10"/>
    <w:rsid w:val="00463CBE"/>
    <w:rsid w:val="00466019"/>
    <w:rsid w:val="004663FD"/>
    <w:rsid w:val="00466867"/>
    <w:rsid w:val="00466941"/>
    <w:rsid w:val="00466B83"/>
    <w:rsid w:val="0046754A"/>
    <w:rsid w:val="00467D2C"/>
    <w:rsid w:val="00470138"/>
    <w:rsid w:val="004703B3"/>
    <w:rsid w:val="0047156B"/>
    <w:rsid w:val="004718E7"/>
    <w:rsid w:val="00471F58"/>
    <w:rsid w:val="0047276F"/>
    <w:rsid w:val="00472801"/>
    <w:rsid w:val="00472A69"/>
    <w:rsid w:val="00472B70"/>
    <w:rsid w:val="00472D6B"/>
    <w:rsid w:val="00473E64"/>
    <w:rsid w:val="00475F2C"/>
    <w:rsid w:val="00477250"/>
    <w:rsid w:val="00481292"/>
    <w:rsid w:val="004815D2"/>
    <w:rsid w:val="0048254A"/>
    <w:rsid w:val="0048308C"/>
    <w:rsid w:val="00483259"/>
    <w:rsid w:val="00483330"/>
    <w:rsid w:val="00483653"/>
    <w:rsid w:val="004839A0"/>
    <w:rsid w:val="004844FB"/>
    <w:rsid w:val="004847B0"/>
    <w:rsid w:val="00484FF8"/>
    <w:rsid w:val="004854A8"/>
    <w:rsid w:val="00485907"/>
    <w:rsid w:val="00485CC1"/>
    <w:rsid w:val="00485FF0"/>
    <w:rsid w:val="00486327"/>
    <w:rsid w:val="00486EFA"/>
    <w:rsid w:val="00491B5F"/>
    <w:rsid w:val="0049298C"/>
    <w:rsid w:val="00492A85"/>
    <w:rsid w:val="0049334D"/>
    <w:rsid w:val="00493A1A"/>
    <w:rsid w:val="00493DAB"/>
    <w:rsid w:val="004948AC"/>
    <w:rsid w:val="004957DC"/>
    <w:rsid w:val="00495862"/>
    <w:rsid w:val="0049637B"/>
    <w:rsid w:val="004966C3"/>
    <w:rsid w:val="004968CE"/>
    <w:rsid w:val="00496C33"/>
    <w:rsid w:val="004970F2"/>
    <w:rsid w:val="00497689"/>
    <w:rsid w:val="004A0439"/>
    <w:rsid w:val="004A0D10"/>
    <w:rsid w:val="004A3541"/>
    <w:rsid w:val="004A3AC4"/>
    <w:rsid w:val="004A570A"/>
    <w:rsid w:val="004A5915"/>
    <w:rsid w:val="004A5B5D"/>
    <w:rsid w:val="004A6264"/>
    <w:rsid w:val="004A6859"/>
    <w:rsid w:val="004B0207"/>
    <w:rsid w:val="004B02BD"/>
    <w:rsid w:val="004B0FAF"/>
    <w:rsid w:val="004B104B"/>
    <w:rsid w:val="004B1742"/>
    <w:rsid w:val="004B1D72"/>
    <w:rsid w:val="004B29A2"/>
    <w:rsid w:val="004B2F3E"/>
    <w:rsid w:val="004B490F"/>
    <w:rsid w:val="004B49E7"/>
    <w:rsid w:val="004B60BF"/>
    <w:rsid w:val="004B629F"/>
    <w:rsid w:val="004B72C0"/>
    <w:rsid w:val="004C0764"/>
    <w:rsid w:val="004C0875"/>
    <w:rsid w:val="004C087C"/>
    <w:rsid w:val="004C0A1D"/>
    <w:rsid w:val="004C1020"/>
    <w:rsid w:val="004C16E9"/>
    <w:rsid w:val="004C1847"/>
    <w:rsid w:val="004C1F22"/>
    <w:rsid w:val="004C2AF4"/>
    <w:rsid w:val="004C304E"/>
    <w:rsid w:val="004C3334"/>
    <w:rsid w:val="004C4952"/>
    <w:rsid w:val="004C4E70"/>
    <w:rsid w:val="004C53E3"/>
    <w:rsid w:val="004C5728"/>
    <w:rsid w:val="004C5745"/>
    <w:rsid w:val="004C748E"/>
    <w:rsid w:val="004C7696"/>
    <w:rsid w:val="004D03A9"/>
    <w:rsid w:val="004D0751"/>
    <w:rsid w:val="004D0933"/>
    <w:rsid w:val="004D0A8F"/>
    <w:rsid w:val="004D1954"/>
    <w:rsid w:val="004D1B94"/>
    <w:rsid w:val="004D1F3E"/>
    <w:rsid w:val="004D260B"/>
    <w:rsid w:val="004D28F8"/>
    <w:rsid w:val="004D2F72"/>
    <w:rsid w:val="004D3423"/>
    <w:rsid w:val="004D3D1F"/>
    <w:rsid w:val="004D4221"/>
    <w:rsid w:val="004D4238"/>
    <w:rsid w:val="004D51E4"/>
    <w:rsid w:val="004D600A"/>
    <w:rsid w:val="004D6E1D"/>
    <w:rsid w:val="004E0903"/>
    <w:rsid w:val="004E0E1A"/>
    <w:rsid w:val="004E194D"/>
    <w:rsid w:val="004E1DF4"/>
    <w:rsid w:val="004E2873"/>
    <w:rsid w:val="004E35E0"/>
    <w:rsid w:val="004E37BB"/>
    <w:rsid w:val="004E394A"/>
    <w:rsid w:val="004E3AE2"/>
    <w:rsid w:val="004E40F9"/>
    <w:rsid w:val="004E44DD"/>
    <w:rsid w:val="004E4730"/>
    <w:rsid w:val="004E515D"/>
    <w:rsid w:val="004E5397"/>
    <w:rsid w:val="004E56B3"/>
    <w:rsid w:val="004E5793"/>
    <w:rsid w:val="004E6442"/>
    <w:rsid w:val="004E7090"/>
    <w:rsid w:val="004F090C"/>
    <w:rsid w:val="004F10FC"/>
    <w:rsid w:val="004F18DB"/>
    <w:rsid w:val="004F1CA1"/>
    <w:rsid w:val="004F2995"/>
    <w:rsid w:val="004F34AF"/>
    <w:rsid w:val="004F359D"/>
    <w:rsid w:val="004F3978"/>
    <w:rsid w:val="004F3C09"/>
    <w:rsid w:val="004F3C65"/>
    <w:rsid w:val="004F40E0"/>
    <w:rsid w:val="004F4A59"/>
    <w:rsid w:val="004F4AFE"/>
    <w:rsid w:val="004F6641"/>
    <w:rsid w:val="00500C54"/>
    <w:rsid w:val="0050183B"/>
    <w:rsid w:val="00501C7A"/>
    <w:rsid w:val="005021C2"/>
    <w:rsid w:val="00502642"/>
    <w:rsid w:val="00502AFA"/>
    <w:rsid w:val="00502EBF"/>
    <w:rsid w:val="00502EE9"/>
    <w:rsid w:val="00503638"/>
    <w:rsid w:val="00503F4F"/>
    <w:rsid w:val="00503F78"/>
    <w:rsid w:val="0050405E"/>
    <w:rsid w:val="005044D2"/>
    <w:rsid w:val="005065A1"/>
    <w:rsid w:val="0050706C"/>
    <w:rsid w:val="00507140"/>
    <w:rsid w:val="005075E9"/>
    <w:rsid w:val="00511822"/>
    <w:rsid w:val="00511B8D"/>
    <w:rsid w:val="00512C2E"/>
    <w:rsid w:val="00512F08"/>
    <w:rsid w:val="00513007"/>
    <w:rsid w:val="005135FF"/>
    <w:rsid w:val="00513BAC"/>
    <w:rsid w:val="00514652"/>
    <w:rsid w:val="00515C81"/>
    <w:rsid w:val="00515E55"/>
    <w:rsid w:val="00516959"/>
    <w:rsid w:val="00516EB5"/>
    <w:rsid w:val="00517652"/>
    <w:rsid w:val="00517B61"/>
    <w:rsid w:val="005200D3"/>
    <w:rsid w:val="0052098F"/>
    <w:rsid w:val="00524CC8"/>
    <w:rsid w:val="00526276"/>
    <w:rsid w:val="0052791A"/>
    <w:rsid w:val="00530A91"/>
    <w:rsid w:val="005326EC"/>
    <w:rsid w:val="005327E1"/>
    <w:rsid w:val="00532882"/>
    <w:rsid w:val="00532A53"/>
    <w:rsid w:val="00534D13"/>
    <w:rsid w:val="00535ACB"/>
    <w:rsid w:val="00535F46"/>
    <w:rsid w:val="00536325"/>
    <w:rsid w:val="00537EA0"/>
    <w:rsid w:val="005403B0"/>
    <w:rsid w:val="00541090"/>
    <w:rsid w:val="0054168F"/>
    <w:rsid w:val="00542855"/>
    <w:rsid w:val="00542862"/>
    <w:rsid w:val="00542B45"/>
    <w:rsid w:val="00542E34"/>
    <w:rsid w:val="005431AB"/>
    <w:rsid w:val="0054446C"/>
    <w:rsid w:val="00544C10"/>
    <w:rsid w:val="00545F4B"/>
    <w:rsid w:val="00546215"/>
    <w:rsid w:val="00546313"/>
    <w:rsid w:val="005472CF"/>
    <w:rsid w:val="005476BA"/>
    <w:rsid w:val="00547E3D"/>
    <w:rsid w:val="005507D1"/>
    <w:rsid w:val="00550850"/>
    <w:rsid w:val="00550915"/>
    <w:rsid w:val="005511F4"/>
    <w:rsid w:val="00551BD0"/>
    <w:rsid w:val="005536F7"/>
    <w:rsid w:val="00553BE6"/>
    <w:rsid w:val="005548D7"/>
    <w:rsid w:val="005552F4"/>
    <w:rsid w:val="00555B64"/>
    <w:rsid w:val="00556584"/>
    <w:rsid w:val="005572CD"/>
    <w:rsid w:val="0055742A"/>
    <w:rsid w:val="00557CCA"/>
    <w:rsid w:val="005606BD"/>
    <w:rsid w:val="005613AE"/>
    <w:rsid w:val="005617BA"/>
    <w:rsid w:val="0056255F"/>
    <w:rsid w:val="00562B40"/>
    <w:rsid w:val="00563062"/>
    <w:rsid w:val="005630C3"/>
    <w:rsid w:val="00563E8D"/>
    <w:rsid w:val="00563F83"/>
    <w:rsid w:val="0056401C"/>
    <w:rsid w:val="005640D6"/>
    <w:rsid w:val="0056546E"/>
    <w:rsid w:val="005654F6"/>
    <w:rsid w:val="00570A88"/>
    <w:rsid w:val="00571CB1"/>
    <w:rsid w:val="00572302"/>
    <w:rsid w:val="00572328"/>
    <w:rsid w:val="00572828"/>
    <w:rsid w:val="005735AF"/>
    <w:rsid w:val="005738E8"/>
    <w:rsid w:val="0057453C"/>
    <w:rsid w:val="00574EBF"/>
    <w:rsid w:val="005757E5"/>
    <w:rsid w:val="00576303"/>
    <w:rsid w:val="00576329"/>
    <w:rsid w:val="00576CF0"/>
    <w:rsid w:val="005775F4"/>
    <w:rsid w:val="0057762C"/>
    <w:rsid w:val="00577DB3"/>
    <w:rsid w:val="00580144"/>
    <w:rsid w:val="0058053E"/>
    <w:rsid w:val="0058095C"/>
    <w:rsid w:val="00581C11"/>
    <w:rsid w:val="00582028"/>
    <w:rsid w:val="00582777"/>
    <w:rsid w:val="005839FE"/>
    <w:rsid w:val="00583B0D"/>
    <w:rsid w:val="00584C4D"/>
    <w:rsid w:val="00584D04"/>
    <w:rsid w:val="00584D28"/>
    <w:rsid w:val="00585AC7"/>
    <w:rsid w:val="00586232"/>
    <w:rsid w:val="005871DB"/>
    <w:rsid w:val="005871F3"/>
    <w:rsid w:val="00587F66"/>
    <w:rsid w:val="0059077A"/>
    <w:rsid w:val="0059234D"/>
    <w:rsid w:val="0059244B"/>
    <w:rsid w:val="00592ACD"/>
    <w:rsid w:val="005943B6"/>
    <w:rsid w:val="00595493"/>
    <w:rsid w:val="00595CF1"/>
    <w:rsid w:val="005963D1"/>
    <w:rsid w:val="0059702F"/>
    <w:rsid w:val="00597289"/>
    <w:rsid w:val="00597976"/>
    <w:rsid w:val="00597CE4"/>
    <w:rsid w:val="005A0079"/>
    <w:rsid w:val="005A0CEA"/>
    <w:rsid w:val="005A2870"/>
    <w:rsid w:val="005A3066"/>
    <w:rsid w:val="005A3638"/>
    <w:rsid w:val="005A55C9"/>
    <w:rsid w:val="005A59B7"/>
    <w:rsid w:val="005A7ADA"/>
    <w:rsid w:val="005B01C3"/>
    <w:rsid w:val="005B0617"/>
    <w:rsid w:val="005B0878"/>
    <w:rsid w:val="005B0F00"/>
    <w:rsid w:val="005B108F"/>
    <w:rsid w:val="005B1117"/>
    <w:rsid w:val="005B233D"/>
    <w:rsid w:val="005B2872"/>
    <w:rsid w:val="005B2B90"/>
    <w:rsid w:val="005B2D93"/>
    <w:rsid w:val="005B3658"/>
    <w:rsid w:val="005B48BF"/>
    <w:rsid w:val="005B51D3"/>
    <w:rsid w:val="005B742D"/>
    <w:rsid w:val="005C0297"/>
    <w:rsid w:val="005C111B"/>
    <w:rsid w:val="005C1A97"/>
    <w:rsid w:val="005C1E09"/>
    <w:rsid w:val="005C37A1"/>
    <w:rsid w:val="005C3AC9"/>
    <w:rsid w:val="005C43B6"/>
    <w:rsid w:val="005C46F5"/>
    <w:rsid w:val="005C52F4"/>
    <w:rsid w:val="005C5E6C"/>
    <w:rsid w:val="005C6175"/>
    <w:rsid w:val="005C7B6C"/>
    <w:rsid w:val="005D0230"/>
    <w:rsid w:val="005D0B1E"/>
    <w:rsid w:val="005D0D97"/>
    <w:rsid w:val="005D0FFE"/>
    <w:rsid w:val="005D221C"/>
    <w:rsid w:val="005D239D"/>
    <w:rsid w:val="005D265C"/>
    <w:rsid w:val="005D4ABC"/>
    <w:rsid w:val="005D5183"/>
    <w:rsid w:val="005D5878"/>
    <w:rsid w:val="005D64ED"/>
    <w:rsid w:val="005D6551"/>
    <w:rsid w:val="005D74FC"/>
    <w:rsid w:val="005D77AF"/>
    <w:rsid w:val="005E05C8"/>
    <w:rsid w:val="005E14A2"/>
    <w:rsid w:val="005E18E2"/>
    <w:rsid w:val="005E28C3"/>
    <w:rsid w:val="005E2977"/>
    <w:rsid w:val="005E40CA"/>
    <w:rsid w:val="005E7284"/>
    <w:rsid w:val="005F03C6"/>
    <w:rsid w:val="005F0A3B"/>
    <w:rsid w:val="005F19A2"/>
    <w:rsid w:val="005F19A5"/>
    <w:rsid w:val="005F1CE0"/>
    <w:rsid w:val="005F2317"/>
    <w:rsid w:val="005F2E29"/>
    <w:rsid w:val="005F3C50"/>
    <w:rsid w:val="005F4173"/>
    <w:rsid w:val="005F495B"/>
    <w:rsid w:val="005F532D"/>
    <w:rsid w:val="005F5E93"/>
    <w:rsid w:val="005F6EEF"/>
    <w:rsid w:val="005F6F41"/>
    <w:rsid w:val="005F7C39"/>
    <w:rsid w:val="006001C4"/>
    <w:rsid w:val="006004CE"/>
    <w:rsid w:val="00600880"/>
    <w:rsid w:val="00600D38"/>
    <w:rsid w:val="006018AC"/>
    <w:rsid w:val="00602A34"/>
    <w:rsid w:val="00603815"/>
    <w:rsid w:val="00603F28"/>
    <w:rsid w:val="0060465C"/>
    <w:rsid w:val="00605AD1"/>
    <w:rsid w:val="00605C03"/>
    <w:rsid w:val="006063D5"/>
    <w:rsid w:val="0060680E"/>
    <w:rsid w:val="00606A89"/>
    <w:rsid w:val="00607A53"/>
    <w:rsid w:val="00607F56"/>
    <w:rsid w:val="00610E71"/>
    <w:rsid w:val="00611D76"/>
    <w:rsid w:val="00612DBA"/>
    <w:rsid w:val="0061351E"/>
    <w:rsid w:val="00615CCD"/>
    <w:rsid w:val="0061614D"/>
    <w:rsid w:val="0061652B"/>
    <w:rsid w:val="00617A21"/>
    <w:rsid w:val="006200A9"/>
    <w:rsid w:val="00620D23"/>
    <w:rsid w:val="00621931"/>
    <w:rsid w:val="00621B1D"/>
    <w:rsid w:val="00621B39"/>
    <w:rsid w:val="00624F69"/>
    <w:rsid w:val="0062661A"/>
    <w:rsid w:val="00626EFD"/>
    <w:rsid w:val="00627A57"/>
    <w:rsid w:val="006302B5"/>
    <w:rsid w:val="00630359"/>
    <w:rsid w:val="00631220"/>
    <w:rsid w:val="006314D3"/>
    <w:rsid w:val="006325E7"/>
    <w:rsid w:val="006327E7"/>
    <w:rsid w:val="00632C3D"/>
    <w:rsid w:val="00632E27"/>
    <w:rsid w:val="00633DE5"/>
    <w:rsid w:val="006341BE"/>
    <w:rsid w:val="00634D46"/>
    <w:rsid w:val="00635D37"/>
    <w:rsid w:val="00636B9D"/>
    <w:rsid w:val="00637D19"/>
    <w:rsid w:val="0064064D"/>
    <w:rsid w:val="006409B5"/>
    <w:rsid w:val="00640E7E"/>
    <w:rsid w:val="006410D8"/>
    <w:rsid w:val="006410E5"/>
    <w:rsid w:val="006420EC"/>
    <w:rsid w:val="00642D5B"/>
    <w:rsid w:val="006439CD"/>
    <w:rsid w:val="00643A0D"/>
    <w:rsid w:val="006442A8"/>
    <w:rsid w:val="006460C8"/>
    <w:rsid w:val="00647128"/>
    <w:rsid w:val="0064750B"/>
    <w:rsid w:val="00650678"/>
    <w:rsid w:val="00650C8E"/>
    <w:rsid w:val="0065139C"/>
    <w:rsid w:val="00651744"/>
    <w:rsid w:val="006528A9"/>
    <w:rsid w:val="00652990"/>
    <w:rsid w:val="00652AB8"/>
    <w:rsid w:val="00653D07"/>
    <w:rsid w:val="00654FEE"/>
    <w:rsid w:val="00655896"/>
    <w:rsid w:val="006566BE"/>
    <w:rsid w:val="00656919"/>
    <w:rsid w:val="00656D53"/>
    <w:rsid w:val="0065767B"/>
    <w:rsid w:val="00657C68"/>
    <w:rsid w:val="0066020B"/>
    <w:rsid w:val="0066174B"/>
    <w:rsid w:val="00661813"/>
    <w:rsid w:val="00661EE6"/>
    <w:rsid w:val="0066430A"/>
    <w:rsid w:val="00664911"/>
    <w:rsid w:val="00665EF5"/>
    <w:rsid w:val="00665F92"/>
    <w:rsid w:val="00666DED"/>
    <w:rsid w:val="006671B8"/>
    <w:rsid w:val="0066726A"/>
    <w:rsid w:val="0067071B"/>
    <w:rsid w:val="00670BE8"/>
    <w:rsid w:val="00670E45"/>
    <w:rsid w:val="00672385"/>
    <w:rsid w:val="006729B2"/>
    <w:rsid w:val="00672D12"/>
    <w:rsid w:val="0067360E"/>
    <w:rsid w:val="00673909"/>
    <w:rsid w:val="00673E3D"/>
    <w:rsid w:val="00675402"/>
    <w:rsid w:val="00676EDE"/>
    <w:rsid w:val="0067745B"/>
    <w:rsid w:val="006804D3"/>
    <w:rsid w:val="006811E0"/>
    <w:rsid w:val="0068151E"/>
    <w:rsid w:val="0068161A"/>
    <w:rsid w:val="00681A20"/>
    <w:rsid w:val="00681A57"/>
    <w:rsid w:val="006847EE"/>
    <w:rsid w:val="00684E2F"/>
    <w:rsid w:val="006855BD"/>
    <w:rsid w:val="00686B1C"/>
    <w:rsid w:val="00687700"/>
    <w:rsid w:val="00687987"/>
    <w:rsid w:val="00691390"/>
    <w:rsid w:val="006913EB"/>
    <w:rsid w:val="00693516"/>
    <w:rsid w:val="00693856"/>
    <w:rsid w:val="00694BD2"/>
    <w:rsid w:val="00694C3A"/>
    <w:rsid w:val="00694F95"/>
    <w:rsid w:val="00695436"/>
    <w:rsid w:val="00696124"/>
    <w:rsid w:val="0069628B"/>
    <w:rsid w:val="00696AD9"/>
    <w:rsid w:val="00696F79"/>
    <w:rsid w:val="006976B3"/>
    <w:rsid w:val="006A01EF"/>
    <w:rsid w:val="006A08EC"/>
    <w:rsid w:val="006A175D"/>
    <w:rsid w:val="006A1A83"/>
    <w:rsid w:val="006A3002"/>
    <w:rsid w:val="006A3271"/>
    <w:rsid w:val="006A335B"/>
    <w:rsid w:val="006A3847"/>
    <w:rsid w:val="006A3C88"/>
    <w:rsid w:val="006A4DA5"/>
    <w:rsid w:val="006A5337"/>
    <w:rsid w:val="006A5672"/>
    <w:rsid w:val="006A5B0D"/>
    <w:rsid w:val="006A5C63"/>
    <w:rsid w:val="006A5CEB"/>
    <w:rsid w:val="006A6023"/>
    <w:rsid w:val="006A6665"/>
    <w:rsid w:val="006A67B0"/>
    <w:rsid w:val="006B0424"/>
    <w:rsid w:val="006B22A3"/>
    <w:rsid w:val="006B2925"/>
    <w:rsid w:val="006B2D62"/>
    <w:rsid w:val="006B2F6E"/>
    <w:rsid w:val="006B3317"/>
    <w:rsid w:val="006B36D9"/>
    <w:rsid w:val="006B495F"/>
    <w:rsid w:val="006B5558"/>
    <w:rsid w:val="006B5693"/>
    <w:rsid w:val="006B5DEE"/>
    <w:rsid w:val="006B6698"/>
    <w:rsid w:val="006B69AF"/>
    <w:rsid w:val="006B7348"/>
    <w:rsid w:val="006C0A39"/>
    <w:rsid w:val="006C200A"/>
    <w:rsid w:val="006C2E3E"/>
    <w:rsid w:val="006C319F"/>
    <w:rsid w:val="006C3D1B"/>
    <w:rsid w:val="006C5648"/>
    <w:rsid w:val="006C5ADA"/>
    <w:rsid w:val="006C5F28"/>
    <w:rsid w:val="006C62F9"/>
    <w:rsid w:val="006C64E7"/>
    <w:rsid w:val="006C669B"/>
    <w:rsid w:val="006D02D7"/>
    <w:rsid w:val="006D0451"/>
    <w:rsid w:val="006D07C3"/>
    <w:rsid w:val="006D0D4F"/>
    <w:rsid w:val="006D3684"/>
    <w:rsid w:val="006D3EC2"/>
    <w:rsid w:val="006D4B04"/>
    <w:rsid w:val="006D59F2"/>
    <w:rsid w:val="006D5D71"/>
    <w:rsid w:val="006D6510"/>
    <w:rsid w:val="006D6D6A"/>
    <w:rsid w:val="006D7BC7"/>
    <w:rsid w:val="006E0750"/>
    <w:rsid w:val="006E0FA6"/>
    <w:rsid w:val="006E101D"/>
    <w:rsid w:val="006E1045"/>
    <w:rsid w:val="006E1583"/>
    <w:rsid w:val="006E18F9"/>
    <w:rsid w:val="006E1C22"/>
    <w:rsid w:val="006E203E"/>
    <w:rsid w:val="006E2EA5"/>
    <w:rsid w:val="006E3172"/>
    <w:rsid w:val="006E318A"/>
    <w:rsid w:val="006E4361"/>
    <w:rsid w:val="006E4614"/>
    <w:rsid w:val="006E4AFF"/>
    <w:rsid w:val="006E4CCA"/>
    <w:rsid w:val="006E5C4A"/>
    <w:rsid w:val="006E5D9F"/>
    <w:rsid w:val="006E60A7"/>
    <w:rsid w:val="006E620C"/>
    <w:rsid w:val="006E68EE"/>
    <w:rsid w:val="006E693D"/>
    <w:rsid w:val="006E725C"/>
    <w:rsid w:val="006E7BAA"/>
    <w:rsid w:val="006E7C83"/>
    <w:rsid w:val="006F0682"/>
    <w:rsid w:val="006F06FA"/>
    <w:rsid w:val="006F0C8F"/>
    <w:rsid w:val="006F114C"/>
    <w:rsid w:val="006F1D87"/>
    <w:rsid w:val="006F21BD"/>
    <w:rsid w:val="006F3482"/>
    <w:rsid w:val="006F38BA"/>
    <w:rsid w:val="006F4604"/>
    <w:rsid w:val="006F4735"/>
    <w:rsid w:val="006F4AC2"/>
    <w:rsid w:val="006F4D2F"/>
    <w:rsid w:val="006F5621"/>
    <w:rsid w:val="006F5716"/>
    <w:rsid w:val="006F6A64"/>
    <w:rsid w:val="006F7085"/>
    <w:rsid w:val="006F7100"/>
    <w:rsid w:val="006F7E02"/>
    <w:rsid w:val="006F7FC9"/>
    <w:rsid w:val="00701A74"/>
    <w:rsid w:val="00701AE7"/>
    <w:rsid w:val="00701B86"/>
    <w:rsid w:val="00701EC6"/>
    <w:rsid w:val="00702760"/>
    <w:rsid w:val="007042EB"/>
    <w:rsid w:val="007047D8"/>
    <w:rsid w:val="00704A2E"/>
    <w:rsid w:val="00704D46"/>
    <w:rsid w:val="00706C31"/>
    <w:rsid w:val="00707551"/>
    <w:rsid w:val="0071087F"/>
    <w:rsid w:val="00710BA0"/>
    <w:rsid w:val="00711245"/>
    <w:rsid w:val="007126AD"/>
    <w:rsid w:val="007131CF"/>
    <w:rsid w:val="0071459F"/>
    <w:rsid w:val="007145C3"/>
    <w:rsid w:val="00714A76"/>
    <w:rsid w:val="00714E66"/>
    <w:rsid w:val="007151BF"/>
    <w:rsid w:val="00715A38"/>
    <w:rsid w:val="007164AC"/>
    <w:rsid w:val="00716B49"/>
    <w:rsid w:val="0071764C"/>
    <w:rsid w:val="00720491"/>
    <w:rsid w:val="007207CE"/>
    <w:rsid w:val="00721320"/>
    <w:rsid w:val="007217BA"/>
    <w:rsid w:val="00721C03"/>
    <w:rsid w:val="00722422"/>
    <w:rsid w:val="00723C63"/>
    <w:rsid w:val="00723CD0"/>
    <w:rsid w:val="0072504D"/>
    <w:rsid w:val="00725BED"/>
    <w:rsid w:val="00725D51"/>
    <w:rsid w:val="00726222"/>
    <w:rsid w:val="0072669F"/>
    <w:rsid w:val="00726D6E"/>
    <w:rsid w:val="00726E76"/>
    <w:rsid w:val="007279F4"/>
    <w:rsid w:val="00730558"/>
    <w:rsid w:val="00731A42"/>
    <w:rsid w:val="007324FB"/>
    <w:rsid w:val="0073437D"/>
    <w:rsid w:val="0073589D"/>
    <w:rsid w:val="0073773F"/>
    <w:rsid w:val="00740414"/>
    <w:rsid w:val="007414DC"/>
    <w:rsid w:val="00742AD7"/>
    <w:rsid w:val="00742DAD"/>
    <w:rsid w:val="00743571"/>
    <w:rsid w:val="0074395E"/>
    <w:rsid w:val="00744323"/>
    <w:rsid w:val="00744462"/>
    <w:rsid w:val="00744A8D"/>
    <w:rsid w:val="00745721"/>
    <w:rsid w:val="007462D2"/>
    <w:rsid w:val="007472C4"/>
    <w:rsid w:val="00747C9D"/>
    <w:rsid w:val="007503E0"/>
    <w:rsid w:val="00750927"/>
    <w:rsid w:val="00750CE7"/>
    <w:rsid w:val="00751224"/>
    <w:rsid w:val="00752F00"/>
    <w:rsid w:val="00752F80"/>
    <w:rsid w:val="007535BF"/>
    <w:rsid w:val="007547D2"/>
    <w:rsid w:val="00754E24"/>
    <w:rsid w:val="007565EF"/>
    <w:rsid w:val="00756929"/>
    <w:rsid w:val="00756E16"/>
    <w:rsid w:val="00756E5D"/>
    <w:rsid w:val="0075730D"/>
    <w:rsid w:val="00757B82"/>
    <w:rsid w:val="0076059A"/>
    <w:rsid w:val="00760714"/>
    <w:rsid w:val="0076107E"/>
    <w:rsid w:val="00762466"/>
    <w:rsid w:val="00765E35"/>
    <w:rsid w:val="00766A38"/>
    <w:rsid w:val="00766B67"/>
    <w:rsid w:val="007672E0"/>
    <w:rsid w:val="00767A96"/>
    <w:rsid w:val="00767ACF"/>
    <w:rsid w:val="0077183C"/>
    <w:rsid w:val="00773307"/>
    <w:rsid w:val="00775C48"/>
    <w:rsid w:val="00777B94"/>
    <w:rsid w:val="007807D2"/>
    <w:rsid w:val="007813E6"/>
    <w:rsid w:val="0078223C"/>
    <w:rsid w:val="0078360D"/>
    <w:rsid w:val="00783B44"/>
    <w:rsid w:val="00784179"/>
    <w:rsid w:val="007841E2"/>
    <w:rsid w:val="00785848"/>
    <w:rsid w:val="00786A6F"/>
    <w:rsid w:val="00787D0B"/>
    <w:rsid w:val="00790285"/>
    <w:rsid w:val="00790340"/>
    <w:rsid w:val="0079039C"/>
    <w:rsid w:val="00790667"/>
    <w:rsid w:val="00792F60"/>
    <w:rsid w:val="00793F3D"/>
    <w:rsid w:val="00794010"/>
    <w:rsid w:val="007943D1"/>
    <w:rsid w:val="007948B2"/>
    <w:rsid w:val="00794BFA"/>
    <w:rsid w:val="007956BC"/>
    <w:rsid w:val="00795C52"/>
    <w:rsid w:val="00795F7A"/>
    <w:rsid w:val="00796D3B"/>
    <w:rsid w:val="00796F2D"/>
    <w:rsid w:val="00797A89"/>
    <w:rsid w:val="00797CBB"/>
    <w:rsid w:val="007A0243"/>
    <w:rsid w:val="007A068D"/>
    <w:rsid w:val="007A11C3"/>
    <w:rsid w:val="007A1970"/>
    <w:rsid w:val="007A28AF"/>
    <w:rsid w:val="007A2E9A"/>
    <w:rsid w:val="007A312B"/>
    <w:rsid w:val="007A31DC"/>
    <w:rsid w:val="007A4A85"/>
    <w:rsid w:val="007A4F0C"/>
    <w:rsid w:val="007A510C"/>
    <w:rsid w:val="007A539C"/>
    <w:rsid w:val="007A552D"/>
    <w:rsid w:val="007A562E"/>
    <w:rsid w:val="007A5EBB"/>
    <w:rsid w:val="007A6082"/>
    <w:rsid w:val="007A6659"/>
    <w:rsid w:val="007A70F2"/>
    <w:rsid w:val="007B008F"/>
    <w:rsid w:val="007B0441"/>
    <w:rsid w:val="007B1B32"/>
    <w:rsid w:val="007B1BF8"/>
    <w:rsid w:val="007B2661"/>
    <w:rsid w:val="007B2690"/>
    <w:rsid w:val="007B3F5D"/>
    <w:rsid w:val="007B5468"/>
    <w:rsid w:val="007B604A"/>
    <w:rsid w:val="007B7B0E"/>
    <w:rsid w:val="007C064A"/>
    <w:rsid w:val="007C0B07"/>
    <w:rsid w:val="007C2A30"/>
    <w:rsid w:val="007C2E65"/>
    <w:rsid w:val="007C419F"/>
    <w:rsid w:val="007C4645"/>
    <w:rsid w:val="007C48E2"/>
    <w:rsid w:val="007C57FA"/>
    <w:rsid w:val="007C7FC4"/>
    <w:rsid w:val="007D00CE"/>
    <w:rsid w:val="007D1330"/>
    <w:rsid w:val="007D272F"/>
    <w:rsid w:val="007D2A6F"/>
    <w:rsid w:val="007D2F89"/>
    <w:rsid w:val="007D3765"/>
    <w:rsid w:val="007D39D8"/>
    <w:rsid w:val="007D5420"/>
    <w:rsid w:val="007D5522"/>
    <w:rsid w:val="007D5BAE"/>
    <w:rsid w:val="007D6BC8"/>
    <w:rsid w:val="007E05C4"/>
    <w:rsid w:val="007E09FA"/>
    <w:rsid w:val="007E0DCD"/>
    <w:rsid w:val="007E1AE7"/>
    <w:rsid w:val="007E1BE4"/>
    <w:rsid w:val="007E1EA9"/>
    <w:rsid w:val="007E315B"/>
    <w:rsid w:val="007E3947"/>
    <w:rsid w:val="007E3F6D"/>
    <w:rsid w:val="007E4348"/>
    <w:rsid w:val="007E4457"/>
    <w:rsid w:val="007E4504"/>
    <w:rsid w:val="007E469F"/>
    <w:rsid w:val="007E5DF6"/>
    <w:rsid w:val="007E5EC6"/>
    <w:rsid w:val="007E66B1"/>
    <w:rsid w:val="007E7093"/>
    <w:rsid w:val="007E73FD"/>
    <w:rsid w:val="007F12E2"/>
    <w:rsid w:val="007F3392"/>
    <w:rsid w:val="007F4228"/>
    <w:rsid w:val="007F4363"/>
    <w:rsid w:val="007F4C94"/>
    <w:rsid w:val="007F4EAC"/>
    <w:rsid w:val="007F5BE5"/>
    <w:rsid w:val="007F69E2"/>
    <w:rsid w:val="007F749C"/>
    <w:rsid w:val="007F7A59"/>
    <w:rsid w:val="00800686"/>
    <w:rsid w:val="0080108F"/>
    <w:rsid w:val="00801AC0"/>
    <w:rsid w:val="00801ECD"/>
    <w:rsid w:val="008020CE"/>
    <w:rsid w:val="00803306"/>
    <w:rsid w:val="0080406C"/>
    <w:rsid w:val="008045DD"/>
    <w:rsid w:val="00806C2E"/>
    <w:rsid w:val="00810540"/>
    <w:rsid w:val="00810FCA"/>
    <w:rsid w:val="00811E3F"/>
    <w:rsid w:val="00812198"/>
    <w:rsid w:val="00812F2E"/>
    <w:rsid w:val="00815217"/>
    <w:rsid w:val="00815C9B"/>
    <w:rsid w:val="008160B4"/>
    <w:rsid w:val="00821BD8"/>
    <w:rsid w:val="008222DC"/>
    <w:rsid w:val="00822839"/>
    <w:rsid w:val="00822CB0"/>
    <w:rsid w:val="00822D23"/>
    <w:rsid w:val="00822E8F"/>
    <w:rsid w:val="00824DCA"/>
    <w:rsid w:val="00826B8E"/>
    <w:rsid w:val="00826C19"/>
    <w:rsid w:val="00827490"/>
    <w:rsid w:val="0082794C"/>
    <w:rsid w:val="0082795D"/>
    <w:rsid w:val="008310F9"/>
    <w:rsid w:val="00831E4E"/>
    <w:rsid w:val="00831EE5"/>
    <w:rsid w:val="0083223B"/>
    <w:rsid w:val="00832ABD"/>
    <w:rsid w:val="0083328B"/>
    <w:rsid w:val="0083329F"/>
    <w:rsid w:val="00833338"/>
    <w:rsid w:val="00834468"/>
    <w:rsid w:val="00834D54"/>
    <w:rsid w:val="00834F6B"/>
    <w:rsid w:val="0083531C"/>
    <w:rsid w:val="00835965"/>
    <w:rsid w:val="008359F1"/>
    <w:rsid w:val="00835AD0"/>
    <w:rsid w:val="0083669B"/>
    <w:rsid w:val="00836AB4"/>
    <w:rsid w:val="00836AC1"/>
    <w:rsid w:val="00840BB6"/>
    <w:rsid w:val="00840FC4"/>
    <w:rsid w:val="0084116A"/>
    <w:rsid w:val="00843439"/>
    <w:rsid w:val="00843A71"/>
    <w:rsid w:val="00844B63"/>
    <w:rsid w:val="00844CC1"/>
    <w:rsid w:val="00844D8A"/>
    <w:rsid w:val="00845D73"/>
    <w:rsid w:val="008462BA"/>
    <w:rsid w:val="008475DF"/>
    <w:rsid w:val="008479B8"/>
    <w:rsid w:val="00847DDE"/>
    <w:rsid w:val="00850092"/>
    <w:rsid w:val="00850246"/>
    <w:rsid w:val="008508BD"/>
    <w:rsid w:val="00850B30"/>
    <w:rsid w:val="008511BB"/>
    <w:rsid w:val="008523C8"/>
    <w:rsid w:val="008526B8"/>
    <w:rsid w:val="00853993"/>
    <w:rsid w:val="00854398"/>
    <w:rsid w:val="008545C4"/>
    <w:rsid w:val="00854936"/>
    <w:rsid w:val="00854F21"/>
    <w:rsid w:val="00856470"/>
    <w:rsid w:val="00856E59"/>
    <w:rsid w:val="0086097A"/>
    <w:rsid w:val="00861056"/>
    <w:rsid w:val="00861941"/>
    <w:rsid w:val="0086212F"/>
    <w:rsid w:val="00862BF5"/>
    <w:rsid w:val="00862CB7"/>
    <w:rsid w:val="008635AD"/>
    <w:rsid w:val="0086382C"/>
    <w:rsid w:val="00864C54"/>
    <w:rsid w:val="00867084"/>
    <w:rsid w:val="008677D5"/>
    <w:rsid w:val="0087054C"/>
    <w:rsid w:val="0087073A"/>
    <w:rsid w:val="00870791"/>
    <w:rsid w:val="008711EC"/>
    <w:rsid w:val="00871D7C"/>
    <w:rsid w:val="00873122"/>
    <w:rsid w:val="00873636"/>
    <w:rsid w:val="00873D1A"/>
    <w:rsid w:val="00873D36"/>
    <w:rsid w:val="008742E3"/>
    <w:rsid w:val="00874918"/>
    <w:rsid w:val="00874C19"/>
    <w:rsid w:val="00874C89"/>
    <w:rsid w:val="00874EB9"/>
    <w:rsid w:val="008750CA"/>
    <w:rsid w:val="0087558A"/>
    <w:rsid w:val="00875EE6"/>
    <w:rsid w:val="0088004D"/>
    <w:rsid w:val="00881CE1"/>
    <w:rsid w:val="00882DC4"/>
    <w:rsid w:val="008833D0"/>
    <w:rsid w:val="00883C48"/>
    <w:rsid w:val="00883D85"/>
    <w:rsid w:val="008845D3"/>
    <w:rsid w:val="008847D7"/>
    <w:rsid w:val="00884938"/>
    <w:rsid w:val="008854DE"/>
    <w:rsid w:val="00885DB1"/>
    <w:rsid w:val="008868D9"/>
    <w:rsid w:val="008875B0"/>
    <w:rsid w:val="0088775E"/>
    <w:rsid w:val="00890092"/>
    <w:rsid w:val="00892295"/>
    <w:rsid w:val="0089369C"/>
    <w:rsid w:val="008941AA"/>
    <w:rsid w:val="0089511B"/>
    <w:rsid w:val="00895FF5"/>
    <w:rsid w:val="00896B4E"/>
    <w:rsid w:val="00896D82"/>
    <w:rsid w:val="008971F5"/>
    <w:rsid w:val="00897B68"/>
    <w:rsid w:val="008A180C"/>
    <w:rsid w:val="008A1CE5"/>
    <w:rsid w:val="008A1E7F"/>
    <w:rsid w:val="008A27D2"/>
    <w:rsid w:val="008A3D16"/>
    <w:rsid w:val="008A3FB1"/>
    <w:rsid w:val="008A42D9"/>
    <w:rsid w:val="008A4A07"/>
    <w:rsid w:val="008A4FF6"/>
    <w:rsid w:val="008A563E"/>
    <w:rsid w:val="008A60AD"/>
    <w:rsid w:val="008A6D57"/>
    <w:rsid w:val="008A7351"/>
    <w:rsid w:val="008A79EA"/>
    <w:rsid w:val="008B0A54"/>
    <w:rsid w:val="008B121A"/>
    <w:rsid w:val="008B1D67"/>
    <w:rsid w:val="008B1F65"/>
    <w:rsid w:val="008B235A"/>
    <w:rsid w:val="008B3100"/>
    <w:rsid w:val="008B340B"/>
    <w:rsid w:val="008B3932"/>
    <w:rsid w:val="008B528E"/>
    <w:rsid w:val="008B58A7"/>
    <w:rsid w:val="008B6991"/>
    <w:rsid w:val="008B796D"/>
    <w:rsid w:val="008C1E6C"/>
    <w:rsid w:val="008C457A"/>
    <w:rsid w:val="008C5478"/>
    <w:rsid w:val="008C5D8C"/>
    <w:rsid w:val="008C6D3E"/>
    <w:rsid w:val="008C6E61"/>
    <w:rsid w:val="008D043F"/>
    <w:rsid w:val="008D1E3B"/>
    <w:rsid w:val="008D1EFF"/>
    <w:rsid w:val="008D25CE"/>
    <w:rsid w:val="008D2A78"/>
    <w:rsid w:val="008D3510"/>
    <w:rsid w:val="008D3A98"/>
    <w:rsid w:val="008D3C08"/>
    <w:rsid w:val="008D3EF9"/>
    <w:rsid w:val="008D5114"/>
    <w:rsid w:val="008D5258"/>
    <w:rsid w:val="008D598F"/>
    <w:rsid w:val="008D6ADB"/>
    <w:rsid w:val="008D6F92"/>
    <w:rsid w:val="008D75F9"/>
    <w:rsid w:val="008D784F"/>
    <w:rsid w:val="008E014B"/>
    <w:rsid w:val="008E1333"/>
    <w:rsid w:val="008E1393"/>
    <w:rsid w:val="008E22A9"/>
    <w:rsid w:val="008E22D3"/>
    <w:rsid w:val="008E26FD"/>
    <w:rsid w:val="008E2BDC"/>
    <w:rsid w:val="008E457A"/>
    <w:rsid w:val="008E5543"/>
    <w:rsid w:val="008E5A42"/>
    <w:rsid w:val="008E72D5"/>
    <w:rsid w:val="008E7E2B"/>
    <w:rsid w:val="008E7FA2"/>
    <w:rsid w:val="008F00F4"/>
    <w:rsid w:val="008F0437"/>
    <w:rsid w:val="008F7868"/>
    <w:rsid w:val="009002FA"/>
    <w:rsid w:val="00900E37"/>
    <w:rsid w:val="00900F91"/>
    <w:rsid w:val="00900FEA"/>
    <w:rsid w:val="00901460"/>
    <w:rsid w:val="00902519"/>
    <w:rsid w:val="00902C46"/>
    <w:rsid w:val="00903221"/>
    <w:rsid w:val="00903C70"/>
    <w:rsid w:val="00904C45"/>
    <w:rsid w:val="009061E6"/>
    <w:rsid w:val="00907DBD"/>
    <w:rsid w:val="00910EBF"/>
    <w:rsid w:val="00911328"/>
    <w:rsid w:val="00912274"/>
    <w:rsid w:val="00912730"/>
    <w:rsid w:val="00914125"/>
    <w:rsid w:val="00914A29"/>
    <w:rsid w:val="00914B79"/>
    <w:rsid w:val="00914F71"/>
    <w:rsid w:val="0091507E"/>
    <w:rsid w:val="00916006"/>
    <w:rsid w:val="00916072"/>
    <w:rsid w:val="00916168"/>
    <w:rsid w:val="0091690E"/>
    <w:rsid w:val="00916A91"/>
    <w:rsid w:val="00916CF7"/>
    <w:rsid w:val="00917293"/>
    <w:rsid w:val="009215C4"/>
    <w:rsid w:val="0092189C"/>
    <w:rsid w:val="00922FBD"/>
    <w:rsid w:val="009232AE"/>
    <w:rsid w:val="00923E0A"/>
    <w:rsid w:val="00924448"/>
    <w:rsid w:val="0092455E"/>
    <w:rsid w:val="0092578C"/>
    <w:rsid w:val="00927B0C"/>
    <w:rsid w:val="00927FD8"/>
    <w:rsid w:val="009311A5"/>
    <w:rsid w:val="00932259"/>
    <w:rsid w:val="0093246F"/>
    <w:rsid w:val="0093269B"/>
    <w:rsid w:val="00932A8D"/>
    <w:rsid w:val="009339A6"/>
    <w:rsid w:val="00933D4D"/>
    <w:rsid w:val="0093667B"/>
    <w:rsid w:val="009368BA"/>
    <w:rsid w:val="00936E95"/>
    <w:rsid w:val="0093796B"/>
    <w:rsid w:val="0094183F"/>
    <w:rsid w:val="00941A5E"/>
    <w:rsid w:val="0094247E"/>
    <w:rsid w:val="009434DB"/>
    <w:rsid w:val="0094361A"/>
    <w:rsid w:val="00944318"/>
    <w:rsid w:val="009448B2"/>
    <w:rsid w:val="00944C2E"/>
    <w:rsid w:val="009453AD"/>
    <w:rsid w:val="00945EF1"/>
    <w:rsid w:val="009468F0"/>
    <w:rsid w:val="00946A15"/>
    <w:rsid w:val="009470F1"/>
    <w:rsid w:val="009472CA"/>
    <w:rsid w:val="00950012"/>
    <w:rsid w:val="0095129F"/>
    <w:rsid w:val="0095162B"/>
    <w:rsid w:val="00952107"/>
    <w:rsid w:val="00953D27"/>
    <w:rsid w:val="0095407F"/>
    <w:rsid w:val="009542A9"/>
    <w:rsid w:val="00954738"/>
    <w:rsid w:val="00954FA1"/>
    <w:rsid w:val="00955808"/>
    <w:rsid w:val="009566B7"/>
    <w:rsid w:val="009578FB"/>
    <w:rsid w:val="0095798C"/>
    <w:rsid w:val="00957DB4"/>
    <w:rsid w:val="00960AEC"/>
    <w:rsid w:val="009611BB"/>
    <w:rsid w:val="009612D0"/>
    <w:rsid w:val="00961838"/>
    <w:rsid w:val="00962026"/>
    <w:rsid w:val="00962A64"/>
    <w:rsid w:val="00963C0F"/>
    <w:rsid w:val="00964C1B"/>
    <w:rsid w:val="00966E93"/>
    <w:rsid w:val="00967514"/>
    <w:rsid w:val="00967B6C"/>
    <w:rsid w:val="0097058C"/>
    <w:rsid w:val="00971DE6"/>
    <w:rsid w:val="009727B6"/>
    <w:rsid w:val="00972DE4"/>
    <w:rsid w:val="0097449F"/>
    <w:rsid w:val="0097482B"/>
    <w:rsid w:val="00974945"/>
    <w:rsid w:val="00974EFC"/>
    <w:rsid w:val="00975BF8"/>
    <w:rsid w:val="009761D7"/>
    <w:rsid w:val="0097625D"/>
    <w:rsid w:val="00976415"/>
    <w:rsid w:val="00976C29"/>
    <w:rsid w:val="009775DD"/>
    <w:rsid w:val="0097765C"/>
    <w:rsid w:val="00980610"/>
    <w:rsid w:val="00980680"/>
    <w:rsid w:val="009809F0"/>
    <w:rsid w:val="00980C9B"/>
    <w:rsid w:val="0098132F"/>
    <w:rsid w:val="00981A48"/>
    <w:rsid w:val="00981D3B"/>
    <w:rsid w:val="009822A1"/>
    <w:rsid w:val="009833DA"/>
    <w:rsid w:val="00983459"/>
    <w:rsid w:val="009836C3"/>
    <w:rsid w:val="00984379"/>
    <w:rsid w:val="0098447D"/>
    <w:rsid w:val="009844E1"/>
    <w:rsid w:val="00985069"/>
    <w:rsid w:val="009852B9"/>
    <w:rsid w:val="00986431"/>
    <w:rsid w:val="0098651F"/>
    <w:rsid w:val="009865B3"/>
    <w:rsid w:val="00986AA1"/>
    <w:rsid w:val="00986D84"/>
    <w:rsid w:val="009925EE"/>
    <w:rsid w:val="00992636"/>
    <w:rsid w:val="00992FA0"/>
    <w:rsid w:val="00993048"/>
    <w:rsid w:val="00993D88"/>
    <w:rsid w:val="00993E6A"/>
    <w:rsid w:val="0099421B"/>
    <w:rsid w:val="00994EEC"/>
    <w:rsid w:val="00995FD3"/>
    <w:rsid w:val="0099679F"/>
    <w:rsid w:val="0099688D"/>
    <w:rsid w:val="00997571"/>
    <w:rsid w:val="009A02F1"/>
    <w:rsid w:val="009A2EE4"/>
    <w:rsid w:val="009A31E8"/>
    <w:rsid w:val="009A3510"/>
    <w:rsid w:val="009A4016"/>
    <w:rsid w:val="009A4642"/>
    <w:rsid w:val="009A481E"/>
    <w:rsid w:val="009A4B33"/>
    <w:rsid w:val="009A5472"/>
    <w:rsid w:val="009A5875"/>
    <w:rsid w:val="009A67BE"/>
    <w:rsid w:val="009A71A0"/>
    <w:rsid w:val="009A7266"/>
    <w:rsid w:val="009A7E77"/>
    <w:rsid w:val="009B0443"/>
    <w:rsid w:val="009B1AD1"/>
    <w:rsid w:val="009B1CC6"/>
    <w:rsid w:val="009B1EA0"/>
    <w:rsid w:val="009B2BEF"/>
    <w:rsid w:val="009B3F5C"/>
    <w:rsid w:val="009B4387"/>
    <w:rsid w:val="009B4C0D"/>
    <w:rsid w:val="009B600F"/>
    <w:rsid w:val="009B7070"/>
    <w:rsid w:val="009B7E81"/>
    <w:rsid w:val="009B7FD5"/>
    <w:rsid w:val="009C0E69"/>
    <w:rsid w:val="009C1443"/>
    <w:rsid w:val="009C1D72"/>
    <w:rsid w:val="009C1F98"/>
    <w:rsid w:val="009C57D9"/>
    <w:rsid w:val="009C6334"/>
    <w:rsid w:val="009C6854"/>
    <w:rsid w:val="009C75DF"/>
    <w:rsid w:val="009D09A7"/>
    <w:rsid w:val="009D0ACD"/>
    <w:rsid w:val="009D1299"/>
    <w:rsid w:val="009D2B31"/>
    <w:rsid w:val="009D2B76"/>
    <w:rsid w:val="009D3C18"/>
    <w:rsid w:val="009D408F"/>
    <w:rsid w:val="009D46C6"/>
    <w:rsid w:val="009D537B"/>
    <w:rsid w:val="009D53B4"/>
    <w:rsid w:val="009D5BF5"/>
    <w:rsid w:val="009D5E48"/>
    <w:rsid w:val="009D6427"/>
    <w:rsid w:val="009D65ED"/>
    <w:rsid w:val="009D69CC"/>
    <w:rsid w:val="009D6F13"/>
    <w:rsid w:val="009D6F1C"/>
    <w:rsid w:val="009D75D4"/>
    <w:rsid w:val="009E052A"/>
    <w:rsid w:val="009E1212"/>
    <w:rsid w:val="009E18B8"/>
    <w:rsid w:val="009E1BB6"/>
    <w:rsid w:val="009E1D36"/>
    <w:rsid w:val="009E1FC7"/>
    <w:rsid w:val="009E2B8E"/>
    <w:rsid w:val="009E33DB"/>
    <w:rsid w:val="009E38C5"/>
    <w:rsid w:val="009E39E5"/>
    <w:rsid w:val="009E417F"/>
    <w:rsid w:val="009E4239"/>
    <w:rsid w:val="009E498D"/>
    <w:rsid w:val="009E56A3"/>
    <w:rsid w:val="009E5882"/>
    <w:rsid w:val="009E6492"/>
    <w:rsid w:val="009E681A"/>
    <w:rsid w:val="009E69E3"/>
    <w:rsid w:val="009E7C19"/>
    <w:rsid w:val="009F1192"/>
    <w:rsid w:val="009F1B37"/>
    <w:rsid w:val="009F27D3"/>
    <w:rsid w:val="009F28B0"/>
    <w:rsid w:val="009F2B74"/>
    <w:rsid w:val="009F37FB"/>
    <w:rsid w:val="009F38F0"/>
    <w:rsid w:val="009F448E"/>
    <w:rsid w:val="009F5556"/>
    <w:rsid w:val="009F5CBA"/>
    <w:rsid w:val="009F65A1"/>
    <w:rsid w:val="009F7C25"/>
    <w:rsid w:val="00A0024F"/>
    <w:rsid w:val="00A00A65"/>
    <w:rsid w:val="00A0155E"/>
    <w:rsid w:val="00A02459"/>
    <w:rsid w:val="00A027A9"/>
    <w:rsid w:val="00A02EFA"/>
    <w:rsid w:val="00A0384F"/>
    <w:rsid w:val="00A0391C"/>
    <w:rsid w:val="00A043B4"/>
    <w:rsid w:val="00A047FA"/>
    <w:rsid w:val="00A0493E"/>
    <w:rsid w:val="00A052FC"/>
    <w:rsid w:val="00A06226"/>
    <w:rsid w:val="00A06677"/>
    <w:rsid w:val="00A068D8"/>
    <w:rsid w:val="00A07661"/>
    <w:rsid w:val="00A10160"/>
    <w:rsid w:val="00A105EE"/>
    <w:rsid w:val="00A10FFB"/>
    <w:rsid w:val="00A11FAD"/>
    <w:rsid w:val="00A12287"/>
    <w:rsid w:val="00A1256B"/>
    <w:rsid w:val="00A126DE"/>
    <w:rsid w:val="00A12733"/>
    <w:rsid w:val="00A1305E"/>
    <w:rsid w:val="00A1373B"/>
    <w:rsid w:val="00A153F7"/>
    <w:rsid w:val="00A15B21"/>
    <w:rsid w:val="00A1634E"/>
    <w:rsid w:val="00A16E33"/>
    <w:rsid w:val="00A20382"/>
    <w:rsid w:val="00A204AE"/>
    <w:rsid w:val="00A20A71"/>
    <w:rsid w:val="00A2105F"/>
    <w:rsid w:val="00A224E9"/>
    <w:rsid w:val="00A22ADD"/>
    <w:rsid w:val="00A22B64"/>
    <w:rsid w:val="00A23468"/>
    <w:rsid w:val="00A23535"/>
    <w:rsid w:val="00A23593"/>
    <w:rsid w:val="00A2437B"/>
    <w:rsid w:val="00A27D10"/>
    <w:rsid w:val="00A30B34"/>
    <w:rsid w:val="00A30E64"/>
    <w:rsid w:val="00A31A49"/>
    <w:rsid w:val="00A324B4"/>
    <w:rsid w:val="00A33A3C"/>
    <w:rsid w:val="00A343CD"/>
    <w:rsid w:val="00A34B99"/>
    <w:rsid w:val="00A34D59"/>
    <w:rsid w:val="00A35DFC"/>
    <w:rsid w:val="00A35F60"/>
    <w:rsid w:val="00A3699B"/>
    <w:rsid w:val="00A36D3B"/>
    <w:rsid w:val="00A372F5"/>
    <w:rsid w:val="00A37664"/>
    <w:rsid w:val="00A3789F"/>
    <w:rsid w:val="00A378EF"/>
    <w:rsid w:val="00A405C6"/>
    <w:rsid w:val="00A41D42"/>
    <w:rsid w:val="00A42039"/>
    <w:rsid w:val="00A42504"/>
    <w:rsid w:val="00A42669"/>
    <w:rsid w:val="00A42A89"/>
    <w:rsid w:val="00A42D1B"/>
    <w:rsid w:val="00A43B6B"/>
    <w:rsid w:val="00A440B1"/>
    <w:rsid w:val="00A44710"/>
    <w:rsid w:val="00A44C6B"/>
    <w:rsid w:val="00A450F0"/>
    <w:rsid w:val="00A455F6"/>
    <w:rsid w:val="00A45C6D"/>
    <w:rsid w:val="00A4771E"/>
    <w:rsid w:val="00A47945"/>
    <w:rsid w:val="00A50311"/>
    <w:rsid w:val="00A503D5"/>
    <w:rsid w:val="00A50C75"/>
    <w:rsid w:val="00A52313"/>
    <w:rsid w:val="00A52541"/>
    <w:rsid w:val="00A52E8F"/>
    <w:rsid w:val="00A54801"/>
    <w:rsid w:val="00A54A87"/>
    <w:rsid w:val="00A55793"/>
    <w:rsid w:val="00A55E7F"/>
    <w:rsid w:val="00A56171"/>
    <w:rsid w:val="00A56443"/>
    <w:rsid w:val="00A569A4"/>
    <w:rsid w:val="00A573C7"/>
    <w:rsid w:val="00A577A9"/>
    <w:rsid w:val="00A577AB"/>
    <w:rsid w:val="00A60B28"/>
    <w:rsid w:val="00A616D0"/>
    <w:rsid w:val="00A618AD"/>
    <w:rsid w:val="00A61E92"/>
    <w:rsid w:val="00A62E0E"/>
    <w:rsid w:val="00A635F6"/>
    <w:rsid w:val="00A63828"/>
    <w:rsid w:val="00A63A2C"/>
    <w:rsid w:val="00A63B92"/>
    <w:rsid w:val="00A63D07"/>
    <w:rsid w:val="00A643FD"/>
    <w:rsid w:val="00A648AD"/>
    <w:rsid w:val="00A652D2"/>
    <w:rsid w:val="00A6549F"/>
    <w:rsid w:val="00A66238"/>
    <w:rsid w:val="00A6712E"/>
    <w:rsid w:val="00A67686"/>
    <w:rsid w:val="00A67A0F"/>
    <w:rsid w:val="00A67AB4"/>
    <w:rsid w:val="00A70204"/>
    <w:rsid w:val="00A703EF"/>
    <w:rsid w:val="00A713F0"/>
    <w:rsid w:val="00A72803"/>
    <w:rsid w:val="00A72B8D"/>
    <w:rsid w:val="00A730D9"/>
    <w:rsid w:val="00A733FE"/>
    <w:rsid w:val="00A7380C"/>
    <w:rsid w:val="00A744C0"/>
    <w:rsid w:val="00A745C8"/>
    <w:rsid w:val="00A75428"/>
    <w:rsid w:val="00A754E1"/>
    <w:rsid w:val="00A76245"/>
    <w:rsid w:val="00A80B32"/>
    <w:rsid w:val="00A8103F"/>
    <w:rsid w:val="00A81E20"/>
    <w:rsid w:val="00A81E2B"/>
    <w:rsid w:val="00A820C4"/>
    <w:rsid w:val="00A824C3"/>
    <w:rsid w:val="00A8278F"/>
    <w:rsid w:val="00A8324C"/>
    <w:rsid w:val="00A837B3"/>
    <w:rsid w:val="00A83A20"/>
    <w:rsid w:val="00A83F24"/>
    <w:rsid w:val="00A85773"/>
    <w:rsid w:val="00A86053"/>
    <w:rsid w:val="00A86AAC"/>
    <w:rsid w:val="00A87300"/>
    <w:rsid w:val="00A878D1"/>
    <w:rsid w:val="00A87F4C"/>
    <w:rsid w:val="00A9088B"/>
    <w:rsid w:val="00A927FD"/>
    <w:rsid w:val="00A92CA9"/>
    <w:rsid w:val="00A9322C"/>
    <w:rsid w:val="00A93516"/>
    <w:rsid w:val="00A946B4"/>
    <w:rsid w:val="00A94771"/>
    <w:rsid w:val="00A94BAC"/>
    <w:rsid w:val="00A95896"/>
    <w:rsid w:val="00A95EB2"/>
    <w:rsid w:val="00A96CC3"/>
    <w:rsid w:val="00A96F06"/>
    <w:rsid w:val="00A973D1"/>
    <w:rsid w:val="00A97451"/>
    <w:rsid w:val="00A97905"/>
    <w:rsid w:val="00AA0D31"/>
    <w:rsid w:val="00AA1149"/>
    <w:rsid w:val="00AA364A"/>
    <w:rsid w:val="00AA41D7"/>
    <w:rsid w:val="00AA41DC"/>
    <w:rsid w:val="00AA4816"/>
    <w:rsid w:val="00AA4853"/>
    <w:rsid w:val="00AA48F6"/>
    <w:rsid w:val="00AA4918"/>
    <w:rsid w:val="00AA49D8"/>
    <w:rsid w:val="00AA4ECC"/>
    <w:rsid w:val="00AA511C"/>
    <w:rsid w:val="00AA5A7E"/>
    <w:rsid w:val="00AA62C5"/>
    <w:rsid w:val="00AA6309"/>
    <w:rsid w:val="00AA74DF"/>
    <w:rsid w:val="00AA776C"/>
    <w:rsid w:val="00AA793C"/>
    <w:rsid w:val="00AA799C"/>
    <w:rsid w:val="00AA7A3D"/>
    <w:rsid w:val="00AA7CE0"/>
    <w:rsid w:val="00AB1805"/>
    <w:rsid w:val="00AB25CC"/>
    <w:rsid w:val="00AB3543"/>
    <w:rsid w:val="00AB4574"/>
    <w:rsid w:val="00AB57D2"/>
    <w:rsid w:val="00AB6CCE"/>
    <w:rsid w:val="00AB6F67"/>
    <w:rsid w:val="00AC0B41"/>
    <w:rsid w:val="00AC0FD7"/>
    <w:rsid w:val="00AC1097"/>
    <w:rsid w:val="00AC12D8"/>
    <w:rsid w:val="00AC22B2"/>
    <w:rsid w:val="00AC28A0"/>
    <w:rsid w:val="00AC33B7"/>
    <w:rsid w:val="00AC4328"/>
    <w:rsid w:val="00AC4E22"/>
    <w:rsid w:val="00AC7584"/>
    <w:rsid w:val="00AD0C7E"/>
    <w:rsid w:val="00AD12E3"/>
    <w:rsid w:val="00AD19F6"/>
    <w:rsid w:val="00AD2634"/>
    <w:rsid w:val="00AD29FA"/>
    <w:rsid w:val="00AD50BE"/>
    <w:rsid w:val="00AD5C4D"/>
    <w:rsid w:val="00AD604B"/>
    <w:rsid w:val="00AD6BC8"/>
    <w:rsid w:val="00AD6EA9"/>
    <w:rsid w:val="00AE080B"/>
    <w:rsid w:val="00AE1046"/>
    <w:rsid w:val="00AE13F9"/>
    <w:rsid w:val="00AE390B"/>
    <w:rsid w:val="00AE4CBA"/>
    <w:rsid w:val="00AE5085"/>
    <w:rsid w:val="00AE50C4"/>
    <w:rsid w:val="00AE56BF"/>
    <w:rsid w:val="00AE56CA"/>
    <w:rsid w:val="00AE587C"/>
    <w:rsid w:val="00AE5C72"/>
    <w:rsid w:val="00AE6B4F"/>
    <w:rsid w:val="00AE6E9C"/>
    <w:rsid w:val="00AE709A"/>
    <w:rsid w:val="00AF095E"/>
    <w:rsid w:val="00AF0D99"/>
    <w:rsid w:val="00AF392A"/>
    <w:rsid w:val="00AF3BD1"/>
    <w:rsid w:val="00AF4F47"/>
    <w:rsid w:val="00AF5069"/>
    <w:rsid w:val="00AF62A9"/>
    <w:rsid w:val="00AF69AE"/>
    <w:rsid w:val="00B00A2A"/>
    <w:rsid w:val="00B025A0"/>
    <w:rsid w:val="00B02CE9"/>
    <w:rsid w:val="00B03739"/>
    <w:rsid w:val="00B043D3"/>
    <w:rsid w:val="00B045A4"/>
    <w:rsid w:val="00B045AA"/>
    <w:rsid w:val="00B0468E"/>
    <w:rsid w:val="00B0499F"/>
    <w:rsid w:val="00B04A64"/>
    <w:rsid w:val="00B04D3C"/>
    <w:rsid w:val="00B04F0B"/>
    <w:rsid w:val="00B06F52"/>
    <w:rsid w:val="00B07119"/>
    <w:rsid w:val="00B10FF9"/>
    <w:rsid w:val="00B113F8"/>
    <w:rsid w:val="00B115AF"/>
    <w:rsid w:val="00B12502"/>
    <w:rsid w:val="00B13732"/>
    <w:rsid w:val="00B13894"/>
    <w:rsid w:val="00B14121"/>
    <w:rsid w:val="00B14274"/>
    <w:rsid w:val="00B143CC"/>
    <w:rsid w:val="00B1449F"/>
    <w:rsid w:val="00B146A3"/>
    <w:rsid w:val="00B15E11"/>
    <w:rsid w:val="00B16774"/>
    <w:rsid w:val="00B16991"/>
    <w:rsid w:val="00B177D4"/>
    <w:rsid w:val="00B17901"/>
    <w:rsid w:val="00B209D5"/>
    <w:rsid w:val="00B220C8"/>
    <w:rsid w:val="00B23EAC"/>
    <w:rsid w:val="00B24323"/>
    <w:rsid w:val="00B243C3"/>
    <w:rsid w:val="00B2481B"/>
    <w:rsid w:val="00B25379"/>
    <w:rsid w:val="00B25739"/>
    <w:rsid w:val="00B264CB"/>
    <w:rsid w:val="00B26D81"/>
    <w:rsid w:val="00B27239"/>
    <w:rsid w:val="00B30773"/>
    <w:rsid w:val="00B308A9"/>
    <w:rsid w:val="00B30E70"/>
    <w:rsid w:val="00B31103"/>
    <w:rsid w:val="00B32960"/>
    <w:rsid w:val="00B33608"/>
    <w:rsid w:val="00B33FFB"/>
    <w:rsid w:val="00B34360"/>
    <w:rsid w:val="00B34402"/>
    <w:rsid w:val="00B34849"/>
    <w:rsid w:val="00B358CE"/>
    <w:rsid w:val="00B36043"/>
    <w:rsid w:val="00B363F4"/>
    <w:rsid w:val="00B36BBA"/>
    <w:rsid w:val="00B36C1F"/>
    <w:rsid w:val="00B4047A"/>
    <w:rsid w:val="00B4113F"/>
    <w:rsid w:val="00B41859"/>
    <w:rsid w:val="00B418E5"/>
    <w:rsid w:val="00B41DE6"/>
    <w:rsid w:val="00B4331F"/>
    <w:rsid w:val="00B43AEC"/>
    <w:rsid w:val="00B44075"/>
    <w:rsid w:val="00B46924"/>
    <w:rsid w:val="00B46B7A"/>
    <w:rsid w:val="00B47610"/>
    <w:rsid w:val="00B47BFD"/>
    <w:rsid w:val="00B47C5B"/>
    <w:rsid w:val="00B47D26"/>
    <w:rsid w:val="00B47F4B"/>
    <w:rsid w:val="00B5090B"/>
    <w:rsid w:val="00B50C39"/>
    <w:rsid w:val="00B51133"/>
    <w:rsid w:val="00B51359"/>
    <w:rsid w:val="00B5221F"/>
    <w:rsid w:val="00B53033"/>
    <w:rsid w:val="00B530B8"/>
    <w:rsid w:val="00B538FC"/>
    <w:rsid w:val="00B54CA5"/>
    <w:rsid w:val="00B54EA9"/>
    <w:rsid w:val="00B551C1"/>
    <w:rsid w:val="00B55849"/>
    <w:rsid w:val="00B56528"/>
    <w:rsid w:val="00B56F30"/>
    <w:rsid w:val="00B6045A"/>
    <w:rsid w:val="00B61072"/>
    <w:rsid w:val="00B6108F"/>
    <w:rsid w:val="00B62C71"/>
    <w:rsid w:val="00B6532F"/>
    <w:rsid w:val="00B6589C"/>
    <w:rsid w:val="00B65A49"/>
    <w:rsid w:val="00B65D3F"/>
    <w:rsid w:val="00B665C4"/>
    <w:rsid w:val="00B676C8"/>
    <w:rsid w:val="00B7030D"/>
    <w:rsid w:val="00B70688"/>
    <w:rsid w:val="00B71226"/>
    <w:rsid w:val="00B712A8"/>
    <w:rsid w:val="00B727BC"/>
    <w:rsid w:val="00B72C04"/>
    <w:rsid w:val="00B72C83"/>
    <w:rsid w:val="00B735BB"/>
    <w:rsid w:val="00B7375F"/>
    <w:rsid w:val="00B73A3C"/>
    <w:rsid w:val="00B7602C"/>
    <w:rsid w:val="00B7678B"/>
    <w:rsid w:val="00B76834"/>
    <w:rsid w:val="00B769A1"/>
    <w:rsid w:val="00B7725C"/>
    <w:rsid w:val="00B77959"/>
    <w:rsid w:val="00B80C35"/>
    <w:rsid w:val="00B818B2"/>
    <w:rsid w:val="00B82516"/>
    <w:rsid w:val="00B84157"/>
    <w:rsid w:val="00B84609"/>
    <w:rsid w:val="00B85417"/>
    <w:rsid w:val="00B86152"/>
    <w:rsid w:val="00B901D1"/>
    <w:rsid w:val="00B922D5"/>
    <w:rsid w:val="00B927D0"/>
    <w:rsid w:val="00B93BB1"/>
    <w:rsid w:val="00B9419F"/>
    <w:rsid w:val="00B94321"/>
    <w:rsid w:val="00B94DDA"/>
    <w:rsid w:val="00B94F9A"/>
    <w:rsid w:val="00B96086"/>
    <w:rsid w:val="00B966A6"/>
    <w:rsid w:val="00B96910"/>
    <w:rsid w:val="00B9785B"/>
    <w:rsid w:val="00BA12BF"/>
    <w:rsid w:val="00BA12ED"/>
    <w:rsid w:val="00BA435C"/>
    <w:rsid w:val="00BA454F"/>
    <w:rsid w:val="00BA7054"/>
    <w:rsid w:val="00BA761D"/>
    <w:rsid w:val="00BA7846"/>
    <w:rsid w:val="00BA79FF"/>
    <w:rsid w:val="00BA7E09"/>
    <w:rsid w:val="00BB042E"/>
    <w:rsid w:val="00BB3157"/>
    <w:rsid w:val="00BB3296"/>
    <w:rsid w:val="00BB37DE"/>
    <w:rsid w:val="00BB3C6C"/>
    <w:rsid w:val="00BB4462"/>
    <w:rsid w:val="00BB4ECE"/>
    <w:rsid w:val="00BB60C7"/>
    <w:rsid w:val="00BB74CB"/>
    <w:rsid w:val="00BB7E7F"/>
    <w:rsid w:val="00BC10AB"/>
    <w:rsid w:val="00BC1A34"/>
    <w:rsid w:val="00BC1E2D"/>
    <w:rsid w:val="00BC2899"/>
    <w:rsid w:val="00BC2901"/>
    <w:rsid w:val="00BC3AFE"/>
    <w:rsid w:val="00BC424C"/>
    <w:rsid w:val="00BC45AA"/>
    <w:rsid w:val="00BC5A90"/>
    <w:rsid w:val="00BC68FA"/>
    <w:rsid w:val="00BD00A3"/>
    <w:rsid w:val="00BD019F"/>
    <w:rsid w:val="00BD0C5D"/>
    <w:rsid w:val="00BD1321"/>
    <w:rsid w:val="00BD5B0A"/>
    <w:rsid w:val="00BD5BE4"/>
    <w:rsid w:val="00BD683C"/>
    <w:rsid w:val="00BD69F3"/>
    <w:rsid w:val="00BD6F37"/>
    <w:rsid w:val="00BD6F6F"/>
    <w:rsid w:val="00BD74E2"/>
    <w:rsid w:val="00BD797C"/>
    <w:rsid w:val="00BD7A2F"/>
    <w:rsid w:val="00BE0D5E"/>
    <w:rsid w:val="00BE1BA1"/>
    <w:rsid w:val="00BE210D"/>
    <w:rsid w:val="00BE2375"/>
    <w:rsid w:val="00BE29A3"/>
    <w:rsid w:val="00BE4399"/>
    <w:rsid w:val="00BE4928"/>
    <w:rsid w:val="00BE64E2"/>
    <w:rsid w:val="00BE6915"/>
    <w:rsid w:val="00BE6CF2"/>
    <w:rsid w:val="00BE71ED"/>
    <w:rsid w:val="00BF000B"/>
    <w:rsid w:val="00BF0649"/>
    <w:rsid w:val="00BF13EE"/>
    <w:rsid w:val="00BF190E"/>
    <w:rsid w:val="00BF335B"/>
    <w:rsid w:val="00BF3651"/>
    <w:rsid w:val="00BF3836"/>
    <w:rsid w:val="00BF430E"/>
    <w:rsid w:val="00BF436E"/>
    <w:rsid w:val="00BF45BC"/>
    <w:rsid w:val="00BF54D7"/>
    <w:rsid w:val="00BF5D9A"/>
    <w:rsid w:val="00BF5F07"/>
    <w:rsid w:val="00BF7DE7"/>
    <w:rsid w:val="00C0082E"/>
    <w:rsid w:val="00C01127"/>
    <w:rsid w:val="00C0114D"/>
    <w:rsid w:val="00C03409"/>
    <w:rsid w:val="00C036F7"/>
    <w:rsid w:val="00C04EFD"/>
    <w:rsid w:val="00C05D37"/>
    <w:rsid w:val="00C0667D"/>
    <w:rsid w:val="00C06F74"/>
    <w:rsid w:val="00C11778"/>
    <w:rsid w:val="00C11913"/>
    <w:rsid w:val="00C120F5"/>
    <w:rsid w:val="00C12425"/>
    <w:rsid w:val="00C12CAE"/>
    <w:rsid w:val="00C134A7"/>
    <w:rsid w:val="00C1390A"/>
    <w:rsid w:val="00C14253"/>
    <w:rsid w:val="00C14C78"/>
    <w:rsid w:val="00C155A1"/>
    <w:rsid w:val="00C15829"/>
    <w:rsid w:val="00C15F57"/>
    <w:rsid w:val="00C16E28"/>
    <w:rsid w:val="00C17943"/>
    <w:rsid w:val="00C20371"/>
    <w:rsid w:val="00C20B58"/>
    <w:rsid w:val="00C20DCC"/>
    <w:rsid w:val="00C2126D"/>
    <w:rsid w:val="00C212C5"/>
    <w:rsid w:val="00C2142E"/>
    <w:rsid w:val="00C22F29"/>
    <w:rsid w:val="00C22F65"/>
    <w:rsid w:val="00C23211"/>
    <w:rsid w:val="00C23E07"/>
    <w:rsid w:val="00C24534"/>
    <w:rsid w:val="00C24C94"/>
    <w:rsid w:val="00C25BBA"/>
    <w:rsid w:val="00C25EA1"/>
    <w:rsid w:val="00C2653C"/>
    <w:rsid w:val="00C27173"/>
    <w:rsid w:val="00C27EC6"/>
    <w:rsid w:val="00C3077E"/>
    <w:rsid w:val="00C30A84"/>
    <w:rsid w:val="00C317B9"/>
    <w:rsid w:val="00C31F48"/>
    <w:rsid w:val="00C32ABC"/>
    <w:rsid w:val="00C32B1B"/>
    <w:rsid w:val="00C33478"/>
    <w:rsid w:val="00C335C0"/>
    <w:rsid w:val="00C338E9"/>
    <w:rsid w:val="00C34641"/>
    <w:rsid w:val="00C3474D"/>
    <w:rsid w:val="00C350BE"/>
    <w:rsid w:val="00C3543D"/>
    <w:rsid w:val="00C360C3"/>
    <w:rsid w:val="00C361B1"/>
    <w:rsid w:val="00C4040C"/>
    <w:rsid w:val="00C40765"/>
    <w:rsid w:val="00C40912"/>
    <w:rsid w:val="00C40FFA"/>
    <w:rsid w:val="00C4115B"/>
    <w:rsid w:val="00C4292E"/>
    <w:rsid w:val="00C435B6"/>
    <w:rsid w:val="00C43810"/>
    <w:rsid w:val="00C43DC2"/>
    <w:rsid w:val="00C454F1"/>
    <w:rsid w:val="00C45D27"/>
    <w:rsid w:val="00C45EB2"/>
    <w:rsid w:val="00C46FC2"/>
    <w:rsid w:val="00C4715D"/>
    <w:rsid w:val="00C47346"/>
    <w:rsid w:val="00C47D23"/>
    <w:rsid w:val="00C5028E"/>
    <w:rsid w:val="00C5031E"/>
    <w:rsid w:val="00C50C41"/>
    <w:rsid w:val="00C5196B"/>
    <w:rsid w:val="00C51F2E"/>
    <w:rsid w:val="00C52048"/>
    <w:rsid w:val="00C52C2B"/>
    <w:rsid w:val="00C533C7"/>
    <w:rsid w:val="00C534DE"/>
    <w:rsid w:val="00C53697"/>
    <w:rsid w:val="00C53B5A"/>
    <w:rsid w:val="00C53FE5"/>
    <w:rsid w:val="00C548B8"/>
    <w:rsid w:val="00C548C1"/>
    <w:rsid w:val="00C55BB7"/>
    <w:rsid w:val="00C56575"/>
    <w:rsid w:val="00C567ED"/>
    <w:rsid w:val="00C56B26"/>
    <w:rsid w:val="00C56C29"/>
    <w:rsid w:val="00C57942"/>
    <w:rsid w:val="00C6014E"/>
    <w:rsid w:val="00C60277"/>
    <w:rsid w:val="00C603EC"/>
    <w:rsid w:val="00C6045C"/>
    <w:rsid w:val="00C60838"/>
    <w:rsid w:val="00C6119F"/>
    <w:rsid w:val="00C61779"/>
    <w:rsid w:val="00C6256B"/>
    <w:rsid w:val="00C62B7D"/>
    <w:rsid w:val="00C640B0"/>
    <w:rsid w:val="00C64AF2"/>
    <w:rsid w:val="00C64C0E"/>
    <w:rsid w:val="00C65091"/>
    <w:rsid w:val="00C66630"/>
    <w:rsid w:val="00C67BB1"/>
    <w:rsid w:val="00C7089B"/>
    <w:rsid w:val="00C70ED4"/>
    <w:rsid w:val="00C71700"/>
    <w:rsid w:val="00C72072"/>
    <w:rsid w:val="00C726E8"/>
    <w:rsid w:val="00C72DC8"/>
    <w:rsid w:val="00C733C3"/>
    <w:rsid w:val="00C73CEA"/>
    <w:rsid w:val="00C7426E"/>
    <w:rsid w:val="00C742AD"/>
    <w:rsid w:val="00C74A07"/>
    <w:rsid w:val="00C74D91"/>
    <w:rsid w:val="00C74E7A"/>
    <w:rsid w:val="00C751CF"/>
    <w:rsid w:val="00C75995"/>
    <w:rsid w:val="00C75D22"/>
    <w:rsid w:val="00C75F44"/>
    <w:rsid w:val="00C761A6"/>
    <w:rsid w:val="00C76792"/>
    <w:rsid w:val="00C76C45"/>
    <w:rsid w:val="00C813AB"/>
    <w:rsid w:val="00C820B0"/>
    <w:rsid w:val="00C8429E"/>
    <w:rsid w:val="00C846CE"/>
    <w:rsid w:val="00C84851"/>
    <w:rsid w:val="00C8486A"/>
    <w:rsid w:val="00C85F74"/>
    <w:rsid w:val="00C8623C"/>
    <w:rsid w:val="00C862F3"/>
    <w:rsid w:val="00C86A60"/>
    <w:rsid w:val="00C86A6C"/>
    <w:rsid w:val="00C87839"/>
    <w:rsid w:val="00C902AB"/>
    <w:rsid w:val="00C904C8"/>
    <w:rsid w:val="00C91009"/>
    <w:rsid w:val="00C921B4"/>
    <w:rsid w:val="00C9314A"/>
    <w:rsid w:val="00C936F8"/>
    <w:rsid w:val="00C93742"/>
    <w:rsid w:val="00C948D3"/>
    <w:rsid w:val="00C94BCC"/>
    <w:rsid w:val="00C94C47"/>
    <w:rsid w:val="00C95090"/>
    <w:rsid w:val="00C96BB9"/>
    <w:rsid w:val="00C97B0A"/>
    <w:rsid w:val="00CA0702"/>
    <w:rsid w:val="00CA0DB2"/>
    <w:rsid w:val="00CA0DCD"/>
    <w:rsid w:val="00CA143F"/>
    <w:rsid w:val="00CA167D"/>
    <w:rsid w:val="00CA1DC7"/>
    <w:rsid w:val="00CA2CFB"/>
    <w:rsid w:val="00CA3007"/>
    <w:rsid w:val="00CA3857"/>
    <w:rsid w:val="00CA40D8"/>
    <w:rsid w:val="00CA4543"/>
    <w:rsid w:val="00CA4FF8"/>
    <w:rsid w:val="00CA5642"/>
    <w:rsid w:val="00CA5882"/>
    <w:rsid w:val="00CA6500"/>
    <w:rsid w:val="00CA68CD"/>
    <w:rsid w:val="00CA699B"/>
    <w:rsid w:val="00CA6F21"/>
    <w:rsid w:val="00CA782B"/>
    <w:rsid w:val="00CA7D98"/>
    <w:rsid w:val="00CB05B5"/>
    <w:rsid w:val="00CB079F"/>
    <w:rsid w:val="00CB1501"/>
    <w:rsid w:val="00CB1F4E"/>
    <w:rsid w:val="00CB1F87"/>
    <w:rsid w:val="00CB2295"/>
    <w:rsid w:val="00CB28C4"/>
    <w:rsid w:val="00CB30F8"/>
    <w:rsid w:val="00CB4E3F"/>
    <w:rsid w:val="00CB51B5"/>
    <w:rsid w:val="00CB522D"/>
    <w:rsid w:val="00CB59D0"/>
    <w:rsid w:val="00CB5DF6"/>
    <w:rsid w:val="00CB6B9F"/>
    <w:rsid w:val="00CB7414"/>
    <w:rsid w:val="00CB7BC5"/>
    <w:rsid w:val="00CB7DDF"/>
    <w:rsid w:val="00CB7E1E"/>
    <w:rsid w:val="00CC0D47"/>
    <w:rsid w:val="00CC0E10"/>
    <w:rsid w:val="00CC1852"/>
    <w:rsid w:val="00CC2140"/>
    <w:rsid w:val="00CC21FC"/>
    <w:rsid w:val="00CC241F"/>
    <w:rsid w:val="00CC2F3F"/>
    <w:rsid w:val="00CC471B"/>
    <w:rsid w:val="00CC4D7C"/>
    <w:rsid w:val="00CC62F0"/>
    <w:rsid w:val="00CC643D"/>
    <w:rsid w:val="00CC6D26"/>
    <w:rsid w:val="00CC7536"/>
    <w:rsid w:val="00CD0155"/>
    <w:rsid w:val="00CD0547"/>
    <w:rsid w:val="00CD0822"/>
    <w:rsid w:val="00CD121E"/>
    <w:rsid w:val="00CD14A4"/>
    <w:rsid w:val="00CD256A"/>
    <w:rsid w:val="00CD3ADA"/>
    <w:rsid w:val="00CD3C69"/>
    <w:rsid w:val="00CD3D14"/>
    <w:rsid w:val="00CD47C7"/>
    <w:rsid w:val="00CD48B7"/>
    <w:rsid w:val="00CD4A5A"/>
    <w:rsid w:val="00CD4A88"/>
    <w:rsid w:val="00CD5881"/>
    <w:rsid w:val="00CD615E"/>
    <w:rsid w:val="00CD764F"/>
    <w:rsid w:val="00CD7A26"/>
    <w:rsid w:val="00CE0B4F"/>
    <w:rsid w:val="00CE0F34"/>
    <w:rsid w:val="00CE1543"/>
    <w:rsid w:val="00CE1ED7"/>
    <w:rsid w:val="00CE2330"/>
    <w:rsid w:val="00CE245D"/>
    <w:rsid w:val="00CE2F5B"/>
    <w:rsid w:val="00CE301B"/>
    <w:rsid w:val="00CE5FD2"/>
    <w:rsid w:val="00CE61E1"/>
    <w:rsid w:val="00CE740C"/>
    <w:rsid w:val="00CE78DA"/>
    <w:rsid w:val="00CE7B11"/>
    <w:rsid w:val="00CE7E6B"/>
    <w:rsid w:val="00CE7E78"/>
    <w:rsid w:val="00CF1F15"/>
    <w:rsid w:val="00CF341C"/>
    <w:rsid w:val="00CF3BAE"/>
    <w:rsid w:val="00CF3D93"/>
    <w:rsid w:val="00CF43C9"/>
    <w:rsid w:val="00CF4526"/>
    <w:rsid w:val="00CF4BE7"/>
    <w:rsid w:val="00CF65D0"/>
    <w:rsid w:val="00CF6E5C"/>
    <w:rsid w:val="00CF7041"/>
    <w:rsid w:val="00CF7E8A"/>
    <w:rsid w:val="00D00257"/>
    <w:rsid w:val="00D00646"/>
    <w:rsid w:val="00D0099F"/>
    <w:rsid w:val="00D01227"/>
    <w:rsid w:val="00D016CD"/>
    <w:rsid w:val="00D023DF"/>
    <w:rsid w:val="00D0266A"/>
    <w:rsid w:val="00D02C94"/>
    <w:rsid w:val="00D02DAA"/>
    <w:rsid w:val="00D03599"/>
    <w:rsid w:val="00D039D0"/>
    <w:rsid w:val="00D047FD"/>
    <w:rsid w:val="00D048FA"/>
    <w:rsid w:val="00D04D33"/>
    <w:rsid w:val="00D055A0"/>
    <w:rsid w:val="00D1076A"/>
    <w:rsid w:val="00D121EF"/>
    <w:rsid w:val="00D135A5"/>
    <w:rsid w:val="00D13C1F"/>
    <w:rsid w:val="00D13FE2"/>
    <w:rsid w:val="00D14BFD"/>
    <w:rsid w:val="00D15F2B"/>
    <w:rsid w:val="00D201A3"/>
    <w:rsid w:val="00D21B80"/>
    <w:rsid w:val="00D224DA"/>
    <w:rsid w:val="00D22DBF"/>
    <w:rsid w:val="00D257EB"/>
    <w:rsid w:val="00D270D2"/>
    <w:rsid w:val="00D275B7"/>
    <w:rsid w:val="00D27F44"/>
    <w:rsid w:val="00D30346"/>
    <w:rsid w:val="00D30EA8"/>
    <w:rsid w:val="00D312C5"/>
    <w:rsid w:val="00D3159D"/>
    <w:rsid w:val="00D3197F"/>
    <w:rsid w:val="00D32091"/>
    <w:rsid w:val="00D333F7"/>
    <w:rsid w:val="00D3402A"/>
    <w:rsid w:val="00D34666"/>
    <w:rsid w:val="00D34A61"/>
    <w:rsid w:val="00D34A6B"/>
    <w:rsid w:val="00D35265"/>
    <w:rsid w:val="00D36209"/>
    <w:rsid w:val="00D3701D"/>
    <w:rsid w:val="00D3711D"/>
    <w:rsid w:val="00D37B08"/>
    <w:rsid w:val="00D41C65"/>
    <w:rsid w:val="00D42398"/>
    <w:rsid w:val="00D4384F"/>
    <w:rsid w:val="00D4387C"/>
    <w:rsid w:val="00D43DC8"/>
    <w:rsid w:val="00D441D4"/>
    <w:rsid w:val="00D4593A"/>
    <w:rsid w:val="00D462F4"/>
    <w:rsid w:val="00D46702"/>
    <w:rsid w:val="00D46DF3"/>
    <w:rsid w:val="00D47177"/>
    <w:rsid w:val="00D50469"/>
    <w:rsid w:val="00D5119C"/>
    <w:rsid w:val="00D51B22"/>
    <w:rsid w:val="00D51D7B"/>
    <w:rsid w:val="00D5290B"/>
    <w:rsid w:val="00D52F00"/>
    <w:rsid w:val="00D53B7B"/>
    <w:rsid w:val="00D547E5"/>
    <w:rsid w:val="00D55F28"/>
    <w:rsid w:val="00D56613"/>
    <w:rsid w:val="00D60571"/>
    <w:rsid w:val="00D60840"/>
    <w:rsid w:val="00D61BBA"/>
    <w:rsid w:val="00D61F35"/>
    <w:rsid w:val="00D61F4D"/>
    <w:rsid w:val="00D62851"/>
    <w:rsid w:val="00D628DC"/>
    <w:rsid w:val="00D62C9C"/>
    <w:rsid w:val="00D62FFB"/>
    <w:rsid w:val="00D63437"/>
    <w:rsid w:val="00D6350C"/>
    <w:rsid w:val="00D63F8B"/>
    <w:rsid w:val="00D6412B"/>
    <w:rsid w:val="00D64C10"/>
    <w:rsid w:val="00D64E14"/>
    <w:rsid w:val="00D65159"/>
    <w:rsid w:val="00D657A2"/>
    <w:rsid w:val="00D665C4"/>
    <w:rsid w:val="00D67B79"/>
    <w:rsid w:val="00D67FA7"/>
    <w:rsid w:val="00D70BB7"/>
    <w:rsid w:val="00D71409"/>
    <w:rsid w:val="00D72485"/>
    <w:rsid w:val="00D725E1"/>
    <w:rsid w:val="00D736BD"/>
    <w:rsid w:val="00D737B4"/>
    <w:rsid w:val="00D73ACF"/>
    <w:rsid w:val="00D74AF9"/>
    <w:rsid w:val="00D75AAB"/>
    <w:rsid w:val="00D76592"/>
    <w:rsid w:val="00D76D10"/>
    <w:rsid w:val="00D7758B"/>
    <w:rsid w:val="00D779B5"/>
    <w:rsid w:val="00D817A4"/>
    <w:rsid w:val="00D81BCD"/>
    <w:rsid w:val="00D8233A"/>
    <w:rsid w:val="00D82899"/>
    <w:rsid w:val="00D83004"/>
    <w:rsid w:val="00D83CE5"/>
    <w:rsid w:val="00D84C74"/>
    <w:rsid w:val="00D84E47"/>
    <w:rsid w:val="00D85919"/>
    <w:rsid w:val="00D862AE"/>
    <w:rsid w:val="00D87365"/>
    <w:rsid w:val="00D90473"/>
    <w:rsid w:val="00D90D13"/>
    <w:rsid w:val="00D92099"/>
    <w:rsid w:val="00D936F1"/>
    <w:rsid w:val="00D93813"/>
    <w:rsid w:val="00D93A2B"/>
    <w:rsid w:val="00D93DE7"/>
    <w:rsid w:val="00D94B5B"/>
    <w:rsid w:val="00D9547E"/>
    <w:rsid w:val="00D95DBA"/>
    <w:rsid w:val="00D96DF6"/>
    <w:rsid w:val="00DA0E1B"/>
    <w:rsid w:val="00DA2588"/>
    <w:rsid w:val="00DA2D33"/>
    <w:rsid w:val="00DA3003"/>
    <w:rsid w:val="00DA33D7"/>
    <w:rsid w:val="00DA3D70"/>
    <w:rsid w:val="00DA50EB"/>
    <w:rsid w:val="00DA5827"/>
    <w:rsid w:val="00DA5BEF"/>
    <w:rsid w:val="00DA61EC"/>
    <w:rsid w:val="00DA689A"/>
    <w:rsid w:val="00DA6A49"/>
    <w:rsid w:val="00DA7231"/>
    <w:rsid w:val="00DA7C9C"/>
    <w:rsid w:val="00DA7DA6"/>
    <w:rsid w:val="00DB0955"/>
    <w:rsid w:val="00DB1F12"/>
    <w:rsid w:val="00DB2FEA"/>
    <w:rsid w:val="00DB4D0D"/>
    <w:rsid w:val="00DB4D43"/>
    <w:rsid w:val="00DB5274"/>
    <w:rsid w:val="00DB53EC"/>
    <w:rsid w:val="00DB615E"/>
    <w:rsid w:val="00DB6426"/>
    <w:rsid w:val="00DC037F"/>
    <w:rsid w:val="00DC09BD"/>
    <w:rsid w:val="00DC0D92"/>
    <w:rsid w:val="00DC0E07"/>
    <w:rsid w:val="00DC1146"/>
    <w:rsid w:val="00DC1F22"/>
    <w:rsid w:val="00DC223E"/>
    <w:rsid w:val="00DC2B2A"/>
    <w:rsid w:val="00DC34DE"/>
    <w:rsid w:val="00DC3B12"/>
    <w:rsid w:val="00DC4641"/>
    <w:rsid w:val="00DC6092"/>
    <w:rsid w:val="00DC63F3"/>
    <w:rsid w:val="00DC6E91"/>
    <w:rsid w:val="00DC6ECE"/>
    <w:rsid w:val="00DC7DAD"/>
    <w:rsid w:val="00DC7E46"/>
    <w:rsid w:val="00DD00CA"/>
    <w:rsid w:val="00DD0D03"/>
    <w:rsid w:val="00DD0D6F"/>
    <w:rsid w:val="00DD25EF"/>
    <w:rsid w:val="00DD3104"/>
    <w:rsid w:val="00DD49F7"/>
    <w:rsid w:val="00DD513E"/>
    <w:rsid w:val="00DD53CB"/>
    <w:rsid w:val="00DD5A02"/>
    <w:rsid w:val="00DD6859"/>
    <w:rsid w:val="00DD6BA0"/>
    <w:rsid w:val="00DD75DB"/>
    <w:rsid w:val="00DE010C"/>
    <w:rsid w:val="00DE05F8"/>
    <w:rsid w:val="00DE0667"/>
    <w:rsid w:val="00DE07FB"/>
    <w:rsid w:val="00DE1666"/>
    <w:rsid w:val="00DE1834"/>
    <w:rsid w:val="00DE18E6"/>
    <w:rsid w:val="00DE1F83"/>
    <w:rsid w:val="00DE2429"/>
    <w:rsid w:val="00DE3668"/>
    <w:rsid w:val="00DE40FC"/>
    <w:rsid w:val="00DE56C8"/>
    <w:rsid w:val="00DE5F39"/>
    <w:rsid w:val="00DE726E"/>
    <w:rsid w:val="00DE74CB"/>
    <w:rsid w:val="00DE7B01"/>
    <w:rsid w:val="00DE7E47"/>
    <w:rsid w:val="00DF0088"/>
    <w:rsid w:val="00DF082D"/>
    <w:rsid w:val="00DF10F6"/>
    <w:rsid w:val="00DF1422"/>
    <w:rsid w:val="00DF1944"/>
    <w:rsid w:val="00DF1C2B"/>
    <w:rsid w:val="00DF1D95"/>
    <w:rsid w:val="00DF25C6"/>
    <w:rsid w:val="00DF2B92"/>
    <w:rsid w:val="00DF4AAA"/>
    <w:rsid w:val="00DF52EC"/>
    <w:rsid w:val="00DF627A"/>
    <w:rsid w:val="00DF6BAB"/>
    <w:rsid w:val="00DF7B4F"/>
    <w:rsid w:val="00E00CF9"/>
    <w:rsid w:val="00E00E3F"/>
    <w:rsid w:val="00E014C8"/>
    <w:rsid w:val="00E0153B"/>
    <w:rsid w:val="00E01CC3"/>
    <w:rsid w:val="00E02266"/>
    <w:rsid w:val="00E04A6A"/>
    <w:rsid w:val="00E04B9B"/>
    <w:rsid w:val="00E06137"/>
    <w:rsid w:val="00E06BDC"/>
    <w:rsid w:val="00E128F1"/>
    <w:rsid w:val="00E130B6"/>
    <w:rsid w:val="00E136D0"/>
    <w:rsid w:val="00E13B88"/>
    <w:rsid w:val="00E13E07"/>
    <w:rsid w:val="00E14166"/>
    <w:rsid w:val="00E14632"/>
    <w:rsid w:val="00E15306"/>
    <w:rsid w:val="00E15A17"/>
    <w:rsid w:val="00E15BAE"/>
    <w:rsid w:val="00E16970"/>
    <w:rsid w:val="00E17ABB"/>
    <w:rsid w:val="00E20FA0"/>
    <w:rsid w:val="00E211C5"/>
    <w:rsid w:val="00E21399"/>
    <w:rsid w:val="00E2150B"/>
    <w:rsid w:val="00E2253E"/>
    <w:rsid w:val="00E24EE4"/>
    <w:rsid w:val="00E2606F"/>
    <w:rsid w:val="00E2683B"/>
    <w:rsid w:val="00E26E57"/>
    <w:rsid w:val="00E2793C"/>
    <w:rsid w:val="00E27A86"/>
    <w:rsid w:val="00E3004D"/>
    <w:rsid w:val="00E3038C"/>
    <w:rsid w:val="00E306E6"/>
    <w:rsid w:val="00E320C8"/>
    <w:rsid w:val="00E3271A"/>
    <w:rsid w:val="00E351E1"/>
    <w:rsid w:val="00E35201"/>
    <w:rsid w:val="00E361D7"/>
    <w:rsid w:val="00E37930"/>
    <w:rsid w:val="00E37C87"/>
    <w:rsid w:val="00E4053E"/>
    <w:rsid w:val="00E40D60"/>
    <w:rsid w:val="00E4204E"/>
    <w:rsid w:val="00E432FF"/>
    <w:rsid w:val="00E43346"/>
    <w:rsid w:val="00E434BC"/>
    <w:rsid w:val="00E43E94"/>
    <w:rsid w:val="00E4414D"/>
    <w:rsid w:val="00E44BC2"/>
    <w:rsid w:val="00E45403"/>
    <w:rsid w:val="00E45412"/>
    <w:rsid w:val="00E45CB9"/>
    <w:rsid w:val="00E45EA3"/>
    <w:rsid w:val="00E47538"/>
    <w:rsid w:val="00E47591"/>
    <w:rsid w:val="00E47B86"/>
    <w:rsid w:val="00E5019C"/>
    <w:rsid w:val="00E50AB0"/>
    <w:rsid w:val="00E5151C"/>
    <w:rsid w:val="00E515EB"/>
    <w:rsid w:val="00E51687"/>
    <w:rsid w:val="00E51B54"/>
    <w:rsid w:val="00E52267"/>
    <w:rsid w:val="00E52CD9"/>
    <w:rsid w:val="00E53A22"/>
    <w:rsid w:val="00E5410F"/>
    <w:rsid w:val="00E55916"/>
    <w:rsid w:val="00E562DC"/>
    <w:rsid w:val="00E56663"/>
    <w:rsid w:val="00E56D54"/>
    <w:rsid w:val="00E5769B"/>
    <w:rsid w:val="00E57A5C"/>
    <w:rsid w:val="00E60B5F"/>
    <w:rsid w:val="00E61DD3"/>
    <w:rsid w:val="00E63766"/>
    <w:rsid w:val="00E6384A"/>
    <w:rsid w:val="00E63F0D"/>
    <w:rsid w:val="00E644F6"/>
    <w:rsid w:val="00E64B50"/>
    <w:rsid w:val="00E64C8A"/>
    <w:rsid w:val="00E64D4F"/>
    <w:rsid w:val="00E65D6F"/>
    <w:rsid w:val="00E665DC"/>
    <w:rsid w:val="00E66AB6"/>
    <w:rsid w:val="00E673B3"/>
    <w:rsid w:val="00E67404"/>
    <w:rsid w:val="00E67586"/>
    <w:rsid w:val="00E675DC"/>
    <w:rsid w:val="00E67801"/>
    <w:rsid w:val="00E70310"/>
    <w:rsid w:val="00E70FB0"/>
    <w:rsid w:val="00E71FDB"/>
    <w:rsid w:val="00E725E6"/>
    <w:rsid w:val="00E73F27"/>
    <w:rsid w:val="00E743A8"/>
    <w:rsid w:val="00E74DD6"/>
    <w:rsid w:val="00E74E3D"/>
    <w:rsid w:val="00E74E6C"/>
    <w:rsid w:val="00E769AD"/>
    <w:rsid w:val="00E770CB"/>
    <w:rsid w:val="00E80147"/>
    <w:rsid w:val="00E80326"/>
    <w:rsid w:val="00E80F7A"/>
    <w:rsid w:val="00E82559"/>
    <w:rsid w:val="00E82EFE"/>
    <w:rsid w:val="00E832DC"/>
    <w:rsid w:val="00E8361F"/>
    <w:rsid w:val="00E83C36"/>
    <w:rsid w:val="00E84DB4"/>
    <w:rsid w:val="00E85955"/>
    <w:rsid w:val="00E8618A"/>
    <w:rsid w:val="00E8656A"/>
    <w:rsid w:val="00E86B21"/>
    <w:rsid w:val="00E86CF0"/>
    <w:rsid w:val="00E8714F"/>
    <w:rsid w:val="00E875A1"/>
    <w:rsid w:val="00E87678"/>
    <w:rsid w:val="00E87C7E"/>
    <w:rsid w:val="00E902D2"/>
    <w:rsid w:val="00E90872"/>
    <w:rsid w:val="00E90BD1"/>
    <w:rsid w:val="00E913C8"/>
    <w:rsid w:val="00E91F25"/>
    <w:rsid w:val="00E924EF"/>
    <w:rsid w:val="00E926DB"/>
    <w:rsid w:val="00E934D5"/>
    <w:rsid w:val="00E96F9C"/>
    <w:rsid w:val="00EA070C"/>
    <w:rsid w:val="00EA07C2"/>
    <w:rsid w:val="00EA0952"/>
    <w:rsid w:val="00EA1092"/>
    <w:rsid w:val="00EA1694"/>
    <w:rsid w:val="00EA2170"/>
    <w:rsid w:val="00EA2495"/>
    <w:rsid w:val="00EA27E0"/>
    <w:rsid w:val="00EA2897"/>
    <w:rsid w:val="00EA2ED8"/>
    <w:rsid w:val="00EA358E"/>
    <w:rsid w:val="00EA42D1"/>
    <w:rsid w:val="00EA434A"/>
    <w:rsid w:val="00EA454F"/>
    <w:rsid w:val="00EA494A"/>
    <w:rsid w:val="00EA4C90"/>
    <w:rsid w:val="00EA506B"/>
    <w:rsid w:val="00EA560D"/>
    <w:rsid w:val="00EA58FD"/>
    <w:rsid w:val="00EA5F27"/>
    <w:rsid w:val="00EA760D"/>
    <w:rsid w:val="00EB159B"/>
    <w:rsid w:val="00EB18D8"/>
    <w:rsid w:val="00EB2599"/>
    <w:rsid w:val="00EB408A"/>
    <w:rsid w:val="00EB5586"/>
    <w:rsid w:val="00EB5BDF"/>
    <w:rsid w:val="00EB63E9"/>
    <w:rsid w:val="00EC060F"/>
    <w:rsid w:val="00EC0CB3"/>
    <w:rsid w:val="00EC0EA5"/>
    <w:rsid w:val="00EC13B8"/>
    <w:rsid w:val="00EC14EE"/>
    <w:rsid w:val="00EC22FF"/>
    <w:rsid w:val="00EC4538"/>
    <w:rsid w:val="00EC5AFB"/>
    <w:rsid w:val="00EC6373"/>
    <w:rsid w:val="00EC6C4E"/>
    <w:rsid w:val="00EC6CB0"/>
    <w:rsid w:val="00ED0174"/>
    <w:rsid w:val="00ED0B67"/>
    <w:rsid w:val="00ED0D40"/>
    <w:rsid w:val="00ED1FC4"/>
    <w:rsid w:val="00ED26B1"/>
    <w:rsid w:val="00ED3022"/>
    <w:rsid w:val="00ED3B46"/>
    <w:rsid w:val="00ED3EC5"/>
    <w:rsid w:val="00ED3FF9"/>
    <w:rsid w:val="00ED4508"/>
    <w:rsid w:val="00ED4A7B"/>
    <w:rsid w:val="00ED5637"/>
    <w:rsid w:val="00ED5AB5"/>
    <w:rsid w:val="00ED5CB6"/>
    <w:rsid w:val="00ED612C"/>
    <w:rsid w:val="00ED74A6"/>
    <w:rsid w:val="00ED755A"/>
    <w:rsid w:val="00ED7A97"/>
    <w:rsid w:val="00EE000B"/>
    <w:rsid w:val="00EE0028"/>
    <w:rsid w:val="00EE0F25"/>
    <w:rsid w:val="00EE186B"/>
    <w:rsid w:val="00EE197A"/>
    <w:rsid w:val="00EE2236"/>
    <w:rsid w:val="00EE3CEF"/>
    <w:rsid w:val="00EE42B3"/>
    <w:rsid w:val="00EE4982"/>
    <w:rsid w:val="00EE52C0"/>
    <w:rsid w:val="00EE5462"/>
    <w:rsid w:val="00EE598B"/>
    <w:rsid w:val="00EE65E7"/>
    <w:rsid w:val="00EE6CCB"/>
    <w:rsid w:val="00EE71BA"/>
    <w:rsid w:val="00EE7606"/>
    <w:rsid w:val="00EE7881"/>
    <w:rsid w:val="00EF0092"/>
    <w:rsid w:val="00EF0F9E"/>
    <w:rsid w:val="00EF249C"/>
    <w:rsid w:val="00EF280F"/>
    <w:rsid w:val="00EF2A1D"/>
    <w:rsid w:val="00EF2B67"/>
    <w:rsid w:val="00EF2D1A"/>
    <w:rsid w:val="00EF36A4"/>
    <w:rsid w:val="00EF36C2"/>
    <w:rsid w:val="00EF4A6F"/>
    <w:rsid w:val="00EF6C39"/>
    <w:rsid w:val="00EF7A13"/>
    <w:rsid w:val="00EF7B74"/>
    <w:rsid w:val="00EF7C5B"/>
    <w:rsid w:val="00F01473"/>
    <w:rsid w:val="00F014F0"/>
    <w:rsid w:val="00F01596"/>
    <w:rsid w:val="00F01982"/>
    <w:rsid w:val="00F01AF2"/>
    <w:rsid w:val="00F024ED"/>
    <w:rsid w:val="00F02A42"/>
    <w:rsid w:val="00F04822"/>
    <w:rsid w:val="00F04A63"/>
    <w:rsid w:val="00F04BBB"/>
    <w:rsid w:val="00F052A2"/>
    <w:rsid w:val="00F05C22"/>
    <w:rsid w:val="00F06763"/>
    <w:rsid w:val="00F06E60"/>
    <w:rsid w:val="00F07319"/>
    <w:rsid w:val="00F077C0"/>
    <w:rsid w:val="00F10077"/>
    <w:rsid w:val="00F101A6"/>
    <w:rsid w:val="00F114F9"/>
    <w:rsid w:val="00F12336"/>
    <w:rsid w:val="00F12B5B"/>
    <w:rsid w:val="00F136BA"/>
    <w:rsid w:val="00F13A47"/>
    <w:rsid w:val="00F14040"/>
    <w:rsid w:val="00F1471C"/>
    <w:rsid w:val="00F1552E"/>
    <w:rsid w:val="00F15A87"/>
    <w:rsid w:val="00F15BB3"/>
    <w:rsid w:val="00F15F81"/>
    <w:rsid w:val="00F16736"/>
    <w:rsid w:val="00F16761"/>
    <w:rsid w:val="00F16ED2"/>
    <w:rsid w:val="00F17311"/>
    <w:rsid w:val="00F21875"/>
    <w:rsid w:val="00F22A73"/>
    <w:rsid w:val="00F22ACB"/>
    <w:rsid w:val="00F232BC"/>
    <w:rsid w:val="00F23590"/>
    <w:rsid w:val="00F23DBF"/>
    <w:rsid w:val="00F24EE9"/>
    <w:rsid w:val="00F24FBF"/>
    <w:rsid w:val="00F2562E"/>
    <w:rsid w:val="00F25749"/>
    <w:rsid w:val="00F26514"/>
    <w:rsid w:val="00F270DC"/>
    <w:rsid w:val="00F3009E"/>
    <w:rsid w:val="00F3016F"/>
    <w:rsid w:val="00F3215B"/>
    <w:rsid w:val="00F323F6"/>
    <w:rsid w:val="00F32D39"/>
    <w:rsid w:val="00F32D53"/>
    <w:rsid w:val="00F337F0"/>
    <w:rsid w:val="00F34526"/>
    <w:rsid w:val="00F34BAB"/>
    <w:rsid w:val="00F35CD8"/>
    <w:rsid w:val="00F36581"/>
    <w:rsid w:val="00F36FFE"/>
    <w:rsid w:val="00F37B03"/>
    <w:rsid w:val="00F409E4"/>
    <w:rsid w:val="00F41ECA"/>
    <w:rsid w:val="00F41F09"/>
    <w:rsid w:val="00F43011"/>
    <w:rsid w:val="00F4352A"/>
    <w:rsid w:val="00F446F5"/>
    <w:rsid w:val="00F44853"/>
    <w:rsid w:val="00F44DEA"/>
    <w:rsid w:val="00F4567A"/>
    <w:rsid w:val="00F4594B"/>
    <w:rsid w:val="00F460A0"/>
    <w:rsid w:val="00F4655D"/>
    <w:rsid w:val="00F46648"/>
    <w:rsid w:val="00F46E32"/>
    <w:rsid w:val="00F470AF"/>
    <w:rsid w:val="00F479E7"/>
    <w:rsid w:val="00F50F1C"/>
    <w:rsid w:val="00F50F65"/>
    <w:rsid w:val="00F512B7"/>
    <w:rsid w:val="00F539A4"/>
    <w:rsid w:val="00F542D3"/>
    <w:rsid w:val="00F54908"/>
    <w:rsid w:val="00F60FFE"/>
    <w:rsid w:val="00F61058"/>
    <w:rsid w:val="00F61CEB"/>
    <w:rsid w:val="00F62959"/>
    <w:rsid w:val="00F62AE7"/>
    <w:rsid w:val="00F630FF"/>
    <w:rsid w:val="00F6335D"/>
    <w:rsid w:val="00F6402D"/>
    <w:rsid w:val="00F65408"/>
    <w:rsid w:val="00F6558E"/>
    <w:rsid w:val="00F659C9"/>
    <w:rsid w:val="00F65D73"/>
    <w:rsid w:val="00F65DCB"/>
    <w:rsid w:val="00F6631C"/>
    <w:rsid w:val="00F66516"/>
    <w:rsid w:val="00F672CA"/>
    <w:rsid w:val="00F67469"/>
    <w:rsid w:val="00F6746E"/>
    <w:rsid w:val="00F7003E"/>
    <w:rsid w:val="00F70680"/>
    <w:rsid w:val="00F70706"/>
    <w:rsid w:val="00F70884"/>
    <w:rsid w:val="00F711B0"/>
    <w:rsid w:val="00F72AAC"/>
    <w:rsid w:val="00F743D0"/>
    <w:rsid w:val="00F746AD"/>
    <w:rsid w:val="00F763EE"/>
    <w:rsid w:val="00F76883"/>
    <w:rsid w:val="00F77644"/>
    <w:rsid w:val="00F80CAD"/>
    <w:rsid w:val="00F81D67"/>
    <w:rsid w:val="00F81E61"/>
    <w:rsid w:val="00F826C2"/>
    <w:rsid w:val="00F829F2"/>
    <w:rsid w:val="00F832F3"/>
    <w:rsid w:val="00F83A6C"/>
    <w:rsid w:val="00F851BD"/>
    <w:rsid w:val="00F875EA"/>
    <w:rsid w:val="00F8763A"/>
    <w:rsid w:val="00F905B8"/>
    <w:rsid w:val="00F905EF"/>
    <w:rsid w:val="00F90BF8"/>
    <w:rsid w:val="00F90D99"/>
    <w:rsid w:val="00F90EC3"/>
    <w:rsid w:val="00F92D67"/>
    <w:rsid w:val="00F93E48"/>
    <w:rsid w:val="00F94104"/>
    <w:rsid w:val="00F94502"/>
    <w:rsid w:val="00F94F36"/>
    <w:rsid w:val="00F95D0C"/>
    <w:rsid w:val="00F96440"/>
    <w:rsid w:val="00F96461"/>
    <w:rsid w:val="00FA08B5"/>
    <w:rsid w:val="00FA15E9"/>
    <w:rsid w:val="00FA1AB4"/>
    <w:rsid w:val="00FA21E9"/>
    <w:rsid w:val="00FA2BF4"/>
    <w:rsid w:val="00FA3C49"/>
    <w:rsid w:val="00FA49E3"/>
    <w:rsid w:val="00FA4BE1"/>
    <w:rsid w:val="00FA5628"/>
    <w:rsid w:val="00FA583F"/>
    <w:rsid w:val="00FA5BB7"/>
    <w:rsid w:val="00FA61D4"/>
    <w:rsid w:val="00FA64DA"/>
    <w:rsid w:val="00FA6823"/>
    <w:rsid w:val="00FA7CB4"/>
    <w:rsid w:val="00FB0B7E"/>
    <w:rsid w:val="00FB125B"/>
    <w:rsid w:val="00FB15D6"/>
    <w:rsid w:val="00FB2C6D"/>
    <w:rsid w:val="00FB449A"/>
    <w:rsid w:val="00FB571A"/>
    <w:rsid w:val="00FB59A4"/>
    <w:rsid w:val="00FB5A2D"/>
    <w:rsid w:val="00FB6368"/>
    <w:rsid w:val="00FB6760"/>
    <w:rsid w:val="00FB703E"/>
    <w:rsid w:val="00FB7517"/>
    <w:rsid w:val="00FC0B01"/>
    <w:rsid w:val="00FC288A"/>
    <w:rsid w:val="00FC2A20"/>
    <w:rsid w:val="00FC4250"/>
    <w:rsid w:val="00FC4358"/>
    <w:rsid w:val="00FC4937"/>
    <w:rsid w:val="00FC5E11"/>
    <w:rsid w:val="00FC6419"/>
    <w:rsid w:val="00FC6667"/>
    <w:rsid w:val="00FC67EE"/>
    <w:rsid w:val="00FC6DA4"/>
    <w:rsid w:val="00FC7866"/>
    <w:rsid w:val="00FC78C2"/>
    <w:rsid w:val="00FD029A"/>
    <w:rsid w:val="00FD06E1"/>
    <w:rsid w:val="00FD1E4F"/>
    <w:rsid w:val="00FD287C"/>
    <w:rsid w:val="00FD2D70"/>
    <w:rsid w:val="00FD2E26"/>
    <w:rsid w:val="00FD30F3"/>
    <w:rsid w:val="00FD32DF"/>
    <w:rsid w:val="00FD3346"/>
    <w:rsid w:val="00FD3B5A"/>
    <w:rsid w:val="00FD3F3B"/>
    <w:rsid w:val="00FD3FCD"/>
    <w:rsid w:val="00FD4479"/>
    <w:rsid w:val="00FD49B5"/>
    <w:rsid w:val="00FD5588"/>
    <w:rsid w:val="00FD6864"/>
    <w:rsid w:val="00FD68DE"/>
    <w:rsid w:val="00FD6ECD"/>
    <w:rsid w:val="00FD6FFF"/>
    <w:rsid w:val="00FD7610"/>
    <w:rsid w:val="00FE0178"/>
    <w:rsid w:val="00FE1439"/>
    <w:rsid w:val="00FE1519"/>
    <w:rsid w:val="00FE1576"/>
    <w:rsid w:val="00FE2356"/>
    <w:rsid w:val="00FE4ADF"/>
    <w:rsid w:val="00FE5A0C"/>
    <w:rsid w:val="00FE6D51"/>
    <w:rsid w:val="00FE6E43"/>
    <w:rsid w:val="00FE7B47"/>
    <w:rsid w:val="00FF0C9D"/>
    <w:rsid w:val="00FF200C"/>
    <w:rsid w:val="00FF3A19"/>
    <w:rsid w:val="00FF44A8"/>
    <w:rsid w:val="00FF4E0F"/>
    <w:rsid w:val="00FF4F27"/>
    <w:rsid w:val="00FF5CFF"/>
    <w:rsid w:val="00FF64FA"/>
    <w:rsid w:val="00FF6C41"/>
    <w:rsid w:val="00FF71CD"/>
    <w:rsid w:val="0144100F"/>
    <w:rsid w:val="01D7A13B"/>
    <w:rsid w:val="054782CE"/>
    <w:rsid w:val="06574E1D"/>
    <w:rsid w:val="069C2B81"/>
    <w:rsid w:val="07769C73"/>
    <w:rsid w:val="07F31E7E"/>
    <w:rsid w:val="0833C308"/>
    <w:rsid w:val="0A2D1763"/>
    <w:rsid w:val="0A90A217"/>
    <w:rsid w:val="0BA5CF2C"/>
    <w:rsid w:val="0BDE1346"/>
    <w:rsid w:val="0CB9120C"/>
    <w:rsid w:val="0D0A1DE6"/>
    <w:rsid w:val="0D314DD7"/>
    <w:rsid w:val="0D792255"/>
    <w:rsid w:val="0DF1AD72"/>
    <w:rsid w:val="0EB079FA"/>
    <w:rsid w:val="0EC5E0B4"/>
    <w:rsid w:val="0F34C560"/>
    <w:rsid w:val="0F3ED258"/>
    <w:rsid w:val="0FC744A7"/>
    <w:rsid w:val="0FD3594B"/>
    <w:rsid w:val="1124EFDE"/>
    <w:rsid w:val="112E831E"/>
    <w:rsid w:val="1299DAAA"/>
    <w:rsid w:val="12A54D5D"/>
    <w:rsid w:val="138CE5F9"/>
    <w:rsid w:val="157F8BDD"/>
    <w:rsid w:val="16DB9958"/>
    <w:rsid w:val="17D162E3"/>
    <w:rsid w:val="18151BF8"/>
    <w:rsid w:val="18435847"/>
    <w:rsid w:val="1902C552"/>
    <w:rsid w:val="1BAF1D32"/>
    <w:rsid w:val="1C569E38"/>
    <w:rsid w:val="1C857C5F"/>
    <w:rsid w:val="1E277C0A"/>
    <w:rsid w:val="1E2CECE7"/>
    <w:rsid w:val="1FB7E6BC"/>
    <w:rsid w:val="1FDFA95C"/>
    <w:rsid w:val="21565757"/>
    <w:rsid w:val="21A18632"/>
    <w:rsid w:val="21EAAE91"/>
    <w:rsid w:val="222BA0A4"/>
    <w:rsid w:val="239D6A8B"/>
    <w:rsid w:val="23CD6D21"/>
    <w:rsid w:val="25519A65"/>
    <w:rsid w:val="25A498FC"/>
    <w:rsid w:val="25D2C7E7"/>
    <w:rsid w:val="25FB42A7"/>
    <w:rsid w:val="280F3988"/>
    <w:rsid w:val="285FF0C4"/>
    <w:rsid w:val="297BBC63"/>
    <w:rsid w:val="29F59D52"/>
    <w:rsid w:val="2A08D8F4"/>
    <w:rsid w:val="2A141417"/>
    <w:rsid w:val="2A2CD327"/>
    <w:rsid w:val="2A61C4BC"/>
    <w:rsid w:val="2A771A01"/>
    <w:rsid w:val="2AF87066"/>
    <w:rsid w:val="2B50CB18"/>
    <w:rsid w:val="2C2C9FF8"/>
    <w:rsid w:val="2C7531DC"/>
    <w:rsid w:val="2CE59772"/>
    <w:rsid w:val="2D314897"/>
    <w:rsid w:val="2D513BDC"/>
    <w:rsid w:val="2D8A76EF"/>
    <w:rsid w:val="2D959266"/>
    <w:rsid w:val="2EF87CAB"/>
    <w:rsid w:val="2FDB768B"/>
    <w:rsid w:val="302EF4BB"/>
    <w:rsid w:val="3051CD07"/>
    <w:rsid w:val="30CA11E1"/>
    <w:rsid w:val="31708CB9"/>
    <w:rsid w:val="3211E34A"/>
    <w:rsid w:val="32690389"/>
    <w:rsid w:val="32AE908B"/>
    <w:rsid w:val="3311A1E9"/>
    <w:rsid w:val="3331D03E"/>
    <w:rsid w:val="33B69E1C"/>
    <w:rsid w:val="33BB9577"/>
    <w:rsid w:val="3416802E"/>
    <w:rsid w:val="34965919"/>
    <w:rsid w:val="349AA060"/>
    <w:rsid w:val="35174DE5"/>
    <w:rsid w:val="352F4714"/>
    <w:rsid w:val="35A40C45"/>
    <w:rsid w:val="36B9CDF3"/>
    <w:rsid w:val="379489C6"/>
    <w:rsid w:val="38863694"/>
    <w:rsid w:val="39015F9E"/>
    <w:rsid w:val="39F53B6D"/>
    <w:rsid w:val="3A0F9EF0"/>
    <w:rsid w:val="3B822258"/>
    <w:rsid w:val="3BBDD756"/>
    <w:rsid w:val="3C0DEDFF"/>
    <w:rsid w:val="3C13D746"/>
    <w:rsid w:val="3C68B69E"/>
    <w:rsid w:val="3D419893"/>
    <w:rsid w:val="3D59A7B7"/>
    <w:rsid w:val="3EBE302B"/>
    <w:rsid w:val="3EF31A85"/>
    <w:rsid w:val="3F59D6B0"/>
    <w:rsid w:val="3FFD474E"/>
    <w:rsid w:val="402FAB5F"/>
    <w:rsid w:val="406FDE57"/>
    <w:rsid w:val="4102B0D8"/>
    <w:rsid w:val="415D6ADF"/>
    <w:rsid w:val="4280F332"/>
    <w:rsid w:val="43FA35CB"/>
    <w:rsid w:val="45FAA881"/>
    <w:rsid w:val="460696AD"/>
    <w:rsid w:val="466BD363"/>
    <w:rsid w:val="47F7464F"/>
    <w:rsid w:val="4A79F91B"/>
    <w:rsid w:val="4C22A6AD"/>
    <w:rsid w:val="4C39ACD0"/>
    <w:rsid w:val="4CBEA4D5"/>
    <w:rsid w:val="4DD35EAA"/>
    <w:rsid w:val="4DE76DFB"/>
    <w:rsid w:val="4DF80C66"/>
    <w:rsid w:val="4F5CECE9"/>
    <w:rsid w:val="5189BE15"/>
    <w:rsid w:val="51976394"/>
    <w:rsid w:val="52FD2907"/>
    <w:rsid w:val="53015C17"/>
    <w:rsid w:val="550FCB71"/>
    <w:rsid w:val="556CDB6E"/>
    <w:rsid w:val="557B3979"/>
    <w:rsid w:val="55A4B4E9"/>
    <w:rsid w:val="55DA6D84"/>
    <w:rsid w:val="57ADDF87"/>
    <w:rsid w:val="57DABF2A"/>
    <w:rsid w:val="58A1AB58"/>
    <w:rsid w:val="5A55C2A0"/>
    <w:rsid w:val="5B78E947"/>
    <w:rsid w:val="5BEE420F"/>
    <w:rsid w:val="5D3D6C87"/>
    <w:rsid w:val="5E4F35AE"/>
    <w:rsid w:val="5E5017EE"/>
    <w:rsid w:val="5F1D6293"/>
    <w:rsid w:val="5FF9784F"/>
    <w:rsid w:val="6039A396"/>
    <w:rsid w:val="60874C6A"/>
    <w:rsid w:val="646632A2"/>
    <w:rsid w:val="6547E2CE"/>
    <w:rsid w:val="656A6BF7"/>
    <w:rsid w:val="6574B962"/>
    <w:rsid w:val="65EE9E19"/>
    <w:rsid w:val="66310947"/>
    <w:rsid w:val="667A4310"/>
    <w:rsid w:val="670B012F"/>
    <w:rsid w:val="673BD6E0"/>
    <w:rsid w:val="67DEBD8C"/>
    <w:rsid w:val="68AB8A61"/>
    <w:rsid w:val="6904B1C4"/>
    <w:rsid w:val="6ABECE03"/>
    <w:rsid w:val="6B701B9A"/>
    <w:rsid w:val="6C635800"/>
    <w:rsid w:val="6CE2CAD0"/>
    <w:rsid w:val="6F5C3281"/>
    <w:rsid w:val="6F8F0252"/>
    <w:rsid w:val="7009F99F"/>
    <w:rsid w:val="71E0DB95"/>
    <w:rsid w:val="72C15EAE"/>
    <w:rsid w:val="738E4F17"/>
    <w:rsid w:val="749D6C6B"/>
    <w:rsid w:val="7639712C"/>
    <w:rsid w:val="767D04CB"/>
    <w:rsid w:val="767E5E61"/>
    <w:rsid w:val="771BC4C3"/>
    <w:rsid w:val="78C1398C"/>
    <w:rsid w:val="7970DD8E"/>
    <w:rsid w:val="79B4D707"/>
    <w:rsid w:val="7A9BE86E"/>
    <w:rsid w:val="7B0CADEF"/>
    <w:rsid w:val="7B50609A"/>
    <w:rsid w:val="7B7BA65F"/>
    <w:rsid w:val="7C37B8CF"/>
    <w:rsid w:val="7CE4B1D9"/>
    <w:rsid w:val="7D3D7B77"/>
    <w:rsid w:val="7D980D94"/>
    <w:rsid w:val="7F33EDD3"/>
    <w:rsid w:val="7F61B0C3"/>
    <w:rsid w:val="7F969432"/>
    <w:rsid w:val="7FE50A98"/>
    <w:rsid w:val="7FF3B114"/>
    <w:rsid w:val="7FFA445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90152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77250"/>
    <w:pPr>
      <w:tabs>
        <w:tab w:val="left" w:pos="7780"/>
      </w:tabs>
    </w:pPr>
    <w:rPr>
      <w:rFonts w:ascii="Calibri Light" w:hAnsi="Calibri Light" w:cstheme="minorHAnsi"/>
      <w:color w:val="000000" w:themeColor="text1"/>
      <w:sz w:val="22"/>
      <w:szCs w:val="22"/>
    </w:rPr>
  </w:style>
  <w:style w:type="paragraph" w:styleId="Heading1">
    <w:name w:val="heading 1"/>
    <w:basedOn w:val="Normal"/>
    <w:next w:val="Normal"/>
    <w:link w:val="Heading1Char"/>
    <w:uiPriority w:val="9"/>
    <w:qFormat/>
    <w:rsid w:val="00357F6C"/>
    <w:pPr>
      <w:keepNext/>
      <w:keepLines/>
      <w:spacing w:before="240"/>
      <w:outlineLvl w:val="0"/>
    </w:pPr>
    <w:rPr>
      <w:rFonts w:ascii="Verdana" w:eastAsiaTheme="majorEastAsia" w:hAnsi="Verdana" w:cstheme="majorBidi"/>
      <w:b/>
      <w:bCs/>
      <w:color w:val="002060"/>
      <w:sz w:val="40"/>
      <w:szCs w:val="40"/>
      <w:lang w:val="en-AU"/>
    </w:rPr>
  </w:style>
  <w:style w:type="paragraph" w:styleId="Heading2">
    <w:name w:val="heading 2"/>
    <w:basedOn w:val="Normal"/>
    <w:next w:val="Normal"/>
    <w:link w:val="Heading2Char"/>
    <w:uiPriority w:val="9"/>
    <w:unhideWhenUsed/>
    <w:qFormat/>
    <w:rsid w:val="00D5290B"/>
    <w:pPr>
      <w:keepNext/>
      <w:keepLines/>
      <w:spacing w:after="120"/>
      <w:outlineLvl w:val="1"/>
    </w:pPr>
    <w:rPr>
      <w:rFonts w:ascii="Verdana" w:eastAsiaTheme="majorEastAsia" w:hAnsi="Verdana" w:cs="Calibri"/>
      <w:b/>
      <w:bCs/>
      <w:color w:val="2F5496" w:themeColor="accent1" w:themeShade="BF"/>
      <w:kern w:val="2"/>
      <w:sz w:val="28"/>
      <w:szCs w:val="28"/>
      <w14:ligatures w14:val="standardContextual"/>
    </w:rPr>
  </w:style>
  <w:style w:type="paragraph" w:styleId="Heading3">
    <w:name w:val="heading 3"/>
    <w:basedOn w:val="Normal"/>
    <w:next w:val="Normal"/>
    <w:link w:val="Heading3Char"/>
    <w:uiPriority w:val="9"/>
    <w:unhideWhenUsed/>
    <w:qFormat/>
    <w:rsid w:val="00E87678"/>
    <w:pPr>
      <w:spacing w:after="240"/>
      <w:outlineLvl w:val="2"/>
    </w:pPr>
    <w:rPr>
      <w:rFonts w:asciiTheme="majorHAnsi" w:hAnsiTheme="majorHAnsi" w:cstheme="majorBidi"/>
      <w:color w:val="2F5496" w:themeColor="accent1" w:themeShade="BF"/>
      <w:sz w:val="28"/>
      <w:szCs w:val="28"/>
    </w:rPr>
  </w:style>
  <w:style w:type="paragraph" w:styleId="Heading4">
    <w:name w:val="heading 4"/>
    <w:basedOn w:val="Heading3"/>
    <w:next w:val="Normal"/>
    <w:link w:val="Heading4Char"/>
    <w:uiPriority w:val="9"/>
    <w:unhideWhenUsed/>
    <w:qFormat/>
    <w:rsid w:val="00DA5BEF"/>
    <w:pPr>
      <w:outlineLvl w:val="3"/>
    </w:pPr>
  </w:style>
  <w:style w:type="paragraph" w:styleId="Heading5">
    <w:name w:val="heading 5"/>
    <w:basedOn w:val="Normal"/>
    <w:next w:val="Normal"/>
    <w:link w:val="Heading5Char"/>
    <w:uiPriority w:val="9"/>
    <w:semiHidden/>
    <w:unhideWhenUsed/>
    <w:qFormat/>
    <w:rsid w:val="00C640B0"/>
    <w:pPr>
      <w:keepNext/>
      <w:keepLines/>
      <w:tabs>
        <w:tab w:val="clear" w:pos="7780"/>
      </w:tabs>
      <w:spacing w:before="220" w:after="40"/>
      <w:outlineLvl w:val="4"/>
    </w:pPr>
    <w:rPr>
      <w:rFonts w:ascii="Times New Roman" w:eastAsia="Times New Roman" w:hAnsi="Times New Roman" w:cs="Times New Roman"/>
      <w:b/>
      <w:color w:val="auto"/>
      <w:lang w:eastAsia="en-GB"/>
    </w:rPr>
  </w:style>
  <w:style w:type="paragraph" w:styleId="Heading6">
    <w:name w:val="heading 6"/>
    <w:basedOn w:val="Normal"/>
    <w:next w:val="Normal"/>
    <w:link w:val="Heading6Char"/>
    <w:uiPriority w:val="9"/>
    <w:semiHidden/>
    <w:unhideWhenUsed/>
    <w:qFormat/>
    <w:rsid w:val="00C640B0"/>
    <w:pPr>
      <w:keepNext/>
      <w:keepLines/>
      <w:tabs>
        <w:tab w:val="clear" w:pos="7780"/>
      </w:tabs>
      <w:spacing w:before="200" w:after="40"/>
      <w:outlineLvl w:val="5"/>
    </w:pPr>
    <w:rPr>
      <w:rFonts w:ascii="Times New Roman" w:eastAsia="Times New Roman" w:hAnsi="Times New Roman" w:cs="Times New Roman"/>
      <w:b/>
      <w:color w:val="auto"/>
      <w:sz w:val="20"/>
      <w:szCs w:val="20"/>
      <w:lang w:eastAsia="en-GB"/>
    </w:rPr>
  </w:style>
  <w:style w:type="paragraph" w:styleId="Heading8">
    <w:name w:val="heading 8"/>
    <w:aliases w:val="Table"/>
    <w:basedOn w:val="Normal"/>
    <w:next w:val="Normal"/>
    <w:link w:val="Heading8Char"/>
    <w:uiPriority w:val="9"/>
    <w:unhideWhenUsed/>
    <w:qFormat/>
    <w:rsid w:val="00FC5E11"/>
    <w:pPr>
      <w:keepNext/>
      <w:keepLines/>
      <w:numPr>
        <w:numId w:val="2"/>
      </w:numPr>
      <w:spacing w:before="240" w:after="60"/>
      <w:ind w:left="0" w:firstLine="0"/>
      <w:jc w:val="center"/>
      <w:outlineLvl w:val="7"/>
    </w:pPr>
    <w:rPr>
      <w:rFonts w:ascii="Open Sans" w:eastAsiaTheme="majorEastAsia" w:hAnsi="Open Sans" w:cstheme="majorBidi"/>
      <w:b/>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aliases w:val="WFP #para,Numebred"/>
    <w:link w:val="NoSpacingChar"/>
    <w:uiPriority w:val="1"/>
    <w:qFormat/>
    <w:rsid w:val="00C73CEA"/>
    <w:rPr>
      <w:rFonts w:eastAsiaTheme="minorEastAsia"/>
      <w:sz w:val="22"/>
      <w:szCs w:val="22"/>
      <w:lang w:val="en-US" w:eastAsia="zh-CN"/>
    </w:rPr>
  </w:style>
  <w:style w:type="character" w:customStyle="1" w:styleId="NoSpacingChar">
    <w:name w:val="No Spacing Char"/>
    <w:aliases w:val="WFP #para Char,Numebred Char"/>
    <w:basedOn w:val="DefaultParagraphFont"/>
    <w:link w:val="NoSpacing"/>
    <w:uiPriority w:val="1"/>
    <w:rsid w:val="00C73CEA"/>
    <w:rPr>
      <w:rFonts w:eastAsiaTheme="minorEastAsia"/>
      <w:sz w:val="22"/>
      <w:szCs w:val="22"/>
      <w:lang w:val="en-US" w:eastAsia="zh-CN"/>
    </w:rPr>
  </w:style>
  <w:style w:type="paragraph" w:customStyle="1" w:styleId="Subheading">
    <w:name w:val="Subheading"/>
    <w:basedOn w:val="Normal"/>
    <w:qFormat/>
    <w:rsid w:val="008E1333"/>
    <w:pPr>
      <w:spacing w:after="240"/>
    </w:pPr>
    <w:rPr>
      <w:rFonts w:cstheme="majorHAnsi"/>
      <w:color w:val="2E74B5" w:themeColor="accent5" w:themeShade="BF"/>
      <w:spacing w:val="30"/>
      <w:sz w:val="24"/>
      <w:szCs w:val="24"/>
    </w:rPr>
  </w:style>
  <w:style w:type="character" w:customStyle="1" w:styleId="MajorHeading">
    <w:name w:val="Major Heading"/>
    <w:basedOn w:val="DefaultParagraphFont"/>
    <w:uiPriority w:val="1"/>
    <w:qFormat/>
    <w:rsid w:val="00184958"/>
    <w:rPr>
      <w:rFonts w:ascii="Verdana" w:hAnsi="Verdana"/>
      <w:b/>
      <w:bCs/>
    </w:rPr>
  </w:style>
  <w:style w:type="character" w:customStyle="1" w:styleId="Heading">
    <w:name w:val="Heading"/>
    <w:basedOn w:val="DefaultParagraphFont"/>
    <w:uiPriority w:val="1"/>
    <w:qFormat/>
    <w:rsid w:val="00E6384A"/>
    <w:rPr>
      <w:rFonts w:asciiTheme="minorHAnsi" w:hAnsiTheme="minorHAnsi" w:cs="Times New Roman (Body CS)"/>
      <w:color w:val="0E1428"/>
      <w:sz w:val="36"/>
      <w:szCs w:val="36"/>
    </w:rPr>
  </w:style>
  <w:style w:type="paragraph" w:styleId="Header">
    <w:name w:val="header"/>
    <w:basedOn w:val="Normal"/>
    <w:link w:val="HeaderChar"/>
    <w:uiPriority w:val="99"/>
    <w:unhideWhenUsed/>
    <w:rsid w:val="00C73CEA"/>
    <w:pPr>
      <w:tabs>
        <w:tab w:val="center" w:pos="4680"/>
        <w:tab w:val="right" w:pos="9360"/>
      </w:tabs>
    </w:pPr>
    <w:rPr>
      <w:rFonts w:asciiTheme="minorHAnsi" w:hAnsiTheme="minorHAnsi" w:cstheme="minorBidi"/>
      <w:lang w:val="en-AU"/>
    </w:rPr>
  </w:style>
  <w:style w:type="character" w:customStyle="1" w:styleId="HeaderChar">
    <w:name w:val="Header Char"/>
    <w:basedOn w:val="DefaultParagraphFont"/>
    <w:link w:val="Header"/>
    <w:uiPriority w:val="99"/>
    <w:rsid w:val="00C73CEA"/>
    <w:rPr>
      <w:lang w:val="en-AU"/>
    </w:rPr>
  </w:style>
  <w:style w:type="paragraph" w:styleId="Footer">
    <w:name w:val="footer"/>
    <w:basedOn w:val="Normal"/>
    <w:link w:val="FooterChar"/>
    <w:uiPriority w:val="99"/>
    <w:unhideWhenUsed/>
    <w:rsid w:val="00C73CEA"/>
    <w:pPr>
      <w:tabs>
        <w:tab w:val="center" w:pos="4680"/>
        <w:tab w:val="right" w:pos="9360"/>
      </w:tabs>
    </w:pPr>
    <w:rPr>
      <w:rFonts w:asciiTheme="minorHAnsi" w:hAnsiTheme="minorHAnsi" w:cstheme="minorBidi"/>
      <w:lang w:val="en-AU"/>
    </w:rPr>
  </w:style>
  <w:style w:type="character" w:customStyle="1" w:styleId="FooterChar">
    <w:name w:val="Footer Char"/>
    <w:basedOn w:val="DefaultParagraphFont"/>
    <w:link w:val="Footer"/>
    <w:uiPriority w:val="99"/>
    <w:rsid w:val="00C73CEA"/>
    <w:rPr>
      <w:lang w:val="en-AU"/>
    </w:rPr>
  </w:style>
  <w:style w:type="character" w:styleId="PageNumber">
    <w:name w:val="page number"/>
    <w:basedOn w:val="DefaultParagraphFont"/>
    <w:uiPriority w:val="99"/>
    <w:semiHidden/>
    <w:unhideWhenUsed/>
    <w:rsid w:val="00C73CEA"/>
  </w:style>
  <w:style w:type="paragraph" w:customStyle="1" w:styleId="BasicParagraph">
    <w:name w:val="[Basic Paragraph]"/>
    <w:basedOn w:val="Normal"/>
    <w:uiPriority w:val="99"/>
    <w:rsid w:val="00C73CEA"/>
    <w:pPr>
      <w:autoSpaceDE w:val="0"/>
      <w:autoSpaceDN w:val="0"/>
      <w:adjustRightInd w:val="0"/>
      <w:spacing w:line="288" w:lineRule="auto"/>
      <w:textAlignment w:val="center"/>
    </w:pPr>
    <w:rPr>
      <w:rFonts w:ascii="Minion Pro" w:hAnsi="Minion Pro" w:cs="Minion Pro"/>
      <w:color w:val="000000"/>
      <w:lang w:val="en-US"/>
    </w:rPr>
  </w:style>
  <w:style w:type="paragraph" w:customStyle="1" w:styleId="Bodycopy">
    <w:name w:val="Body copy"/>
    <w:basedOn w:val="BasicParagraph"/>
    <w:qFormat/>
    <w:rsid w:val="00C73CEA"/>
    <w:pPr>
      <w:tabs>
        <w:tab w:val="left" w:pos="454"/>
      </w:tabs>
      <w:suppressAutoHyphens/>
    </w:pPr>
    <w:rPr>
      <w:rFonts w:ascii="Roboto Light" w:hAnsi="Roboto Light" w:cs="Roboto Light"/>
      <w:color w:val="0E1428"/>
      <w:sz w:val="18"/>
      <w:szCs w:val="18"/>
    </w:rPr>
  </w:style>
  <w:style w:type="paragraph" w:styleId="NormalWeb">
    <w:name w:val="Normal (Web)"/>
    <w:basedOn w:val="Normal"/>
    <w:uiPriority w:val="99"/>
    <w:unhideWhenUsed/>
    <w:rsid w:val="00C73CEA"/>
    <w:pPr>
      <w:spacing w:before="100" w:beforeAutospacing="1" w:after="100" w:afterAutospacing="1"/>
    </w:pPr>
  </w:style>
  <w:style w:type="paragraph" w:styleId="ListParagraph">
    <w:name w:val="List Paragraph"/>
    <w:aliases w:val="Bullet1,List Paragraph1,Recommendation,List Paragraph11,List Paragraph2,Bulit List -  Paragraph,Colorful Shading - Accent 31,AusAID List Paragraph,Bullets,Bullet paras,Numbered Paragraph,Main numbered paragraph,123 List Paragraph,L,lp1,3"/>
    <w:basedOn w:val="Normal"/>
    <w:link w:val="ListParagraphChar"/>
    <w:uiPriority w:val="34"/>
    <w:qFormat/>
    <w:rsid w:val="004022D7"/>
    <w:pPr>
      <w:ind w:left="720"/>
    </w:pPr>
    <w:rPr>
      <w:rFonts w:asciiTheme="majorHAnsi" w:hAnsiTheme="majorHAnsi" w:cs="Calibri"/>
      <w:lang w:val="en-AU"/>
    </w:rPr>
  </w:style>
  <w:style w:type="table" w:styleId="TableGrid">
    <w:name w:val="Table Grid"/>
    <w:basedOn w:val="TableNormal"/>
    <w:uiPriority w:val="39"/>
    <w:rsid w:val="00C73CEA"/>
    <w:rPr>
      <w:lang w:val="en-A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Bullet1 Char,List Paragraph1 Char,Recommendation Char,List Paragraph11 Char,List Paragraph2 Char,Bulit List -  Paragraph Char,Colorful Shading - Accent 31 Char,AusAID List Paragraph Char,Bullets Char,Bullet paras Char,L Char,lp1 Char"/>
    <w:basedOn w:val="DefaultParagraphFont"/>
    <w:link w:val="ListParagraph"/>
    <w:uiPriority w:val="34"/>
    <w:qFormat/>
    <w:locked/>
    <w:rsid w:val="004022D7"/>
    <w:rPr>
      <w:rFonts w:asciiTheme="majorHAnsi" w:hAnsiTheme="majorHAnsi" w:cs="Calibri"/>
      <w:color w:val="000000" w:themeColor="text1"/>
      <w:sz w:val="22"/>
      <w:szCs w:val="22"/>
      <w:lang w:val="en-AU"/>
    </w:rPr>
  </w:style>
  <w:style w:type="character" w:styleId="CommentReference">
    <w:name w:val="annotation reference"/>
    <w:basedOn w:val="DefaultParagraphFont"/>
    <w:uiPriority w:val="99"/>
    <w:semiHidden/>
    <w:unhideWhenUsed/>
    <w:rsid w:val="00C73CEA"/>
    <w:rPr>
      <w:sz w:val="16"/>
      <w:szCs w:val="16"/>
    </w:rPr>
  </w:style>
  <w:style w:type="paragraph" w:styleId="CommentText">
    <w:name w:val="annotation text"/>
    <w:basedOn w:val="Normal"/>
    <w:link w:val="CommentTextChar"/>
    <w:uiPriority w:val="99"/>
    <w:unhideWhenUsed/>
    <w:rsid w:val="00C73CEA"/>
    <w:rPr>
      <w:rFonts w:ascii="Gill Sans MT" w:hAnsi="Gill Sans MT" w:cstheme="minorBidi"/>
      <w:sz w:val="20"/>
      <w:szCs w:val="20"/>
      <w:lang w:val="en-US"/>
    </w:rPr>
  </w:style>
  <w:style w:type="character" w:customStyle="1" w:styleId="CommentTextChar">
    <w:name w:val="Comment Text Char"/>
    <w:basedOn w:val="DefaultParagraphFont"/>
    <w:link w:val="CommentText"/>
    <w:uiPriority w:val="99"/>
    <w:rsid w:val="00C73CEA"/>
    <w:rPr>
      <w:rFonts w:ascii="Gill Sans MT" w:hAnsi="Gill Sans MT"/>
      <w:sz w:val="20"/>
      <w:szCs w:val="20"/>
      <w:lang w:val="en-US"/>
    </w:rPr>
  </w:style>
  <w:style w:type="character" w:styleId="Hyperlink">
    <w:name w:val="Hyperlink"/>
    <w:basedOn w:val="DefaultParagraphFont"/>
    <w:uiPriority w:val="99"/>
    <w:unhideWhenUsed/>
    <w:rsid w:val="00C73CEA"/>
    <w:rPr>
      <w:color w:val="0563C1" w:themeColor="hyperlink"/>
      <w:u w:val="single"/>
    </w:rPr>
  </w:style>
  <w:style w:type="paragraph" w:styleId="FootnoteText">
    <w:name w:val="footnote text"/>
    <w:aliases w:val="Footnote Text1,FOOTNOTES,fn,single space Char,single space,ft,Fußnote,ft Char Char,Footnote Text Char Char Char Char,Footnote Text Char Char Char Char Char,Footnote Text Char Char Char Char Char Char Char Char Char,footnote text,f,A"/>
    <w:basedOn w:val="Normal"/>
    <w:link w:val="FootnoteTextChar"/>
    <w:uiPriority w:val="99"/>
    <w:unhideWhenUsed/>
    <w:qFormat/>
    <w:rsid w:val="00CB7BC5"/>
    <w:rPr>
      <w:rFonts w:asciiTheme="minorHAnsi" w:hAnsiTheme="minorHAnsi" w:cstheme="minorBidi"/>
      <w:sz w:val="18"/>
      <w:szCs w:val="18"/>
      <w:lang w:val="en-AU"/>
    </w:rPr>
  </w:style>
  <w:style w:type="character" w:customStyle="1" w:styleId="FootnoteTextChar">
    <w:name w:val="Footnote Text Char"/>
    <w:aliases w:val="Footnote Text1 Char,FOOTNOTES Char,fn Char,single space Char Char,single space Char1,ft Char,Fußnote Char,ft Char Char Char,Footnote Text Char Char Char Char Char1,Footnote Text Char Char Char Char Char Char,footnote text Char,f Char"/>
    <w:basedOn w:val="DefaultParagraphFont"/>
    <w:link w:val="FootnoteText"/>
    <w:uiPriority w:val="99"/>
    <w:rsid w:val="00CB7BC5"/>
    <w:rPr>
      <w:color w:val="000000" w:themeColor="text1"/>
      <w:sz w:val="18"/>
      <w:szCs w:val="18"/>
      <w:lang w:val="en-AU"/>
    </w:rPr>
  </w:style>
  <w:style w:type="character" w:styleId="FootnoteReference">
    <w:name w:val="footnote reference"/>
    <w:aliases w:val="Footnote text,Footnotes refss,Ref,de nota al pie,ftref,16 Point,Superscript 6 Point,BVI fnr,SBN footnote,Normal + Font:9 Point,Superscript 3 Point Times,Footnote,Footnote Reference Number,Footnote Reference_LVL6,Знак сноски 1,fr,10 pt"/>
    <w:basedOn w:val="DefaultParagraphFont"/>
    <w:link w:val="SBNFootnote"/>
    <w:uiPriority w:val="99"/>
    <w:unhideWhenUsed/>
    <w:qFormat/>
    <w:rsid w:val="00C73CEA"/>
    <w:rPr>
      <w:vertAlign w:val="superscript"/>
    </w:rPr>
  </w:style>
  <w:style w:type="paragraph" w:styleId="CommentSubject">
    <w:name w:val="annotation subject"/>
    <w:basedOn w:val="CommentText"/>
    <w:next w:val="CommentText"/>
    <w:link w:val="CommentSubjectChar"/>
    <w:uiPriority w:val="99"/>
    <w:semiHidden/>
    <w:unhideWhenUsed/>
    <w:rsid w:val="00210689"/>
    <w:rPr>
      <w:rFonts w:asciiTheme="minorHAnsi" w:hAnsiTheme="minorHAnsi"/>
      <w:b/>
      <w:bCs/>
      <w:lang w:val="en-AU"/>
    </w:rPr>
  </w:style>
  <w:style w:type="character" w:customStyle="1" w:styleId="CommentSubjectChar">
    <w:name w:val="Comment Subject Char"/>
    <w:basedOn w:val="CommentTextChar"/>
    <w:link w:val="CommentSubject"/>
    <w:uiPriority w:val="99"/>
    <w:semiHidden/>
    <w:rsid w:val="00210689"/>
    <w:rPr>
      <w:rFonts w:ascii="Gill Sans MT" w:hAnsi="Gill Sans MT"/>
      <w:b/>
      <w:bCs/>
      <w:sz w:val="20"/>
      <w:szCs w:val="20"/>
      <w:lang w:val="en-AU"/>
    </w:rPr>
  </w:style>
  <w:style w:type="paragraph" w:styleId="BalloonText">
    <w:name w:val="Balloon Text"/>
    <w:basedOn w:val="Normal"/>
    <w:link w:val="BalloonTextChar"/>
    <w:uiPriority w:val="99"/>
    <w:semiHidden/>
    <w:unhideWhenUsed/>
    <w:rsid w:val="006302B5"/>
    <w:rPr>
      <w:sz w:val="18"/>
      <w:szCs w:val="18"/>
      <w:lang w:val="en-AU"/>
    </w:rPr>
  </w:style>
  <w:style w:type="character" w:customStyle="1" w:styleId="BalloonTextChar">
    <w:name w:val="Balloon Text Char"/>
    <w:basedOn w:val="DefaultParagraphFont"/>
    <w:link w:val="BalloonText"/>
    <w:uiPriority w:val="99"/>
    <w:semiHidden/>
    <w:rsid w:val="006302B5"/>
    <w:rPr>
      <w:rFonts w:ascii="Calibri Light" w:hAnsi="Calibri Light" w:cstheme="minorHAnsi"/>
      <w:color w:val="000000" w:themeColor="text1"/>
      <w:sz w:val="18"/>
      <w:szCs w:val="18"/>
      <w:lang w:val="en-AU"/>
    </w:rPr>
  </w:style>
  <w:style w:type="paragraph" w:styleId="Revision">
    <w:name w:val="Revision"/>
    <w:hidden/>
    <w:uiPriority w:val="99"/>
    <w:semiHidden/>
    <w:rsid w:val="00BB4ECE"/>
    <w:rPr>
      <w:lang w:val="en-AU"/>
    </w:rPr>
  </w:style>
  <w:style w:type="character" w:styleId="Mention">
    <w:name w:val="Mention"/>
    <w:basedOn w:val="DefaultParagraphFont"/>
    <w:uiPriority w:val="99"/>
    <w:unhideWhenUsed/>
    <w:rsid w:val="004C3334"/>
    <w:rPr>
      <w:color w:val="2B579A"/>
      <w:shd w:val="clear" w:color="auto" w:fill="E1DFDD"/>
    </w:rPr>
  </w:style>
  <w:style w:type="character" w:customStyle="1" w:styleId="apple-converted-space">
    <w:name w:val="apple-converted-space"/>
    <w:basedOn w:val="DefaultParagraphFont"/>
    <w:rsid w:val="007807D2"/>
  </w:style>
  <w:style w:type="character" w:customStyle="1" w:styleId="Heading8Char">
    <w:name w:val="Heading 8 Char"/>
    <w:aliases w:val="Table Char"/>
    <w:basedOn w:val="DefaultParagraphFont"/>
    <w:link w:val="Heading8"/>
    <w:uiPriority w:val="9"/>
    <w:rsid w:val="00FC5E11"/>
    <w:rPr>
      <w:rFonts w:ascii="Open Sans" w:eastAsiaTheme="majorEastAsia" w:hAnsi="Open Sans" w:cstheme="majorBidi"/>
      <w:b/>
      <w:color w:val="000000" w:themeColor="text1"/>
      <w:sz w:val="20"/>
      <w:szCs w:val="22"/>
    </w:rPr>
  </w:style>
  <w:style w:type="paragraph" w:customStyle="1" w:styleId="WFPKparno">
    <w:name w:val="WFP K par no."/>
    <w:basedOn w:val="Normal"/>
    <w:link w:val="WFPKparnoChar"/>
    <w:qFormat/>
    <w:rsid w:val="00FC5E11"/>
    <w:pPr>
      <w:numPr>
        <w:numId w:val="1"/>
      </w:numPr>
      <w:spacing w:before="120" w:after="120"/>
      <w:jc w:val="both"/>
    </w:pPr>
    <w:rPr>
      <w:rFonts w:ascii="Open Sans" w:hAnsi="Open Sans" w:cs="Open Sans"/>
      <w:sz w:val="20"/>
    </w:rPr>
  </w:style>
  <w:style w:type="character" w:customStyle="1" w:styleId="WFPKparnoChar">
    <w:name w:val="WFP K par no. Char"/>
    <w:basedOn w:val="DefaultParagraphFont"/>
    <w:link w:val="WFPKparno"/>
    <w:rsid w:val="00FC5E11"/>
    <w:rPr>
      <w:rFonts w:ascii="Open Sans" w:hAnsi="Open Sans" w:cs="Open Sans"/>
      <w:color w:val="000000" w:themeColor="text1"/>
      <w:sz w:val="20"/>
      <w:szCs w:val="22"/>
    </w:rPr>
  </w:style>
  <w:style w:type="table" w:customStyle="1" w:styleId="0000TableStyle1">
    <w:name w:val="0000 Table Style 1"/>
    <w:basedOn w:val="TableNormal"/>
    <w:uiPriority w:val="99"/>
    <w:rsid w:val="00FC5E11"/>
    <w:rPr>
      <w:sz w:val="22"/>
      <w:szCs w:val="22"/>
    </w:rPr>
    <w:tblPr>
      <w:tblBorders>
        <w:top w:val="single" w:sz="4" w:space="0" w:color="E0684B"/>
        <w:left w:val="single" w:sz="4" w:space="0" w:color="E0684B"/>
        <w:bottom w:val="single" w:sz="4" w:space="0" w:color="E0684B"/>
        <w:right w:val="single" w:sz="4" w:space="0" w:color="E0684B"/>
        <w:insideH w:val="single" w:sz="4" w:space="0" w:color="E0684B"/>
        <w:insideV w:val="single" w:sz="4" w:space="0" w:color="E0684B"/>
      </w:tblBorders>
    </w:tblPr>
    <w:tcPr>
      <w:shd w:val="clear" w:color="auto" w:fill="auto"/>
    </w:tcPr>
    <w:tblStylePr w:type="firstRow">
      <w:rPr>
        <w:rFonts w:ascii="Bahnschrift Light SemiCondensed" w:hAnsi="Bahnschrift Light SemiCondensed"/>
        <w:b/>
        <w:color w:val="FFFFFF"/>
        <w:sz w:val="22"/>
      </w:rPr>
      <w:tblPr/>
      <w:tcPr>
        <w:shd w:val="clear" w:color="auto" w:fill="3B4A6A"/>
      </w:tcPr>
    </w:tblStylePr>
  </w:style>
  <w:style w:type="paragraph" w:customStyle="1" w:styleId="Default">
    <w:name w:val="Default"/>
    <w:rsid w:val="0039252B"/>
    <w:pPr>
      <w:autoSpaceDE w:val="0"/>
      <w:autoSpaceDN w:val="0"/>
      <w:adjustRightInd w:val="0"/>
    </w:pPr>
    <w:rPr>
      <w:rFonts w:ascii="Calibri" w:hAnsi="Calibri" w:cs="Calibri"/>
      <w:color w:val="000000"/>
      <w:lang w:val="en-AU"/>
    </w:rPr>
  </w:style>
  <w:style w:type="paragraph" w:customStyle="1" w:styleId="SBNNumberedListParagraph">
    <w:name w:val="SBN Numbered List Paragraph"/>
    <w:basedOn w:val="ListParagraph"/>
    <w:link w:val="SBNNumberedListParagraphChar"/>
    <w:qFormat/>
    <w:rsid w:val="0039252B"/>
    <w:pPr>
      <w:spacing w:after="120" w:line="276" w:lineRule="auto"/>
      <w:ind w:left="0"/>
    </w:pPr>
    <w:rPr>
      <w:rFonts w:ascii="Tahoma" w:eastAsia="Calibri" w:hAnsi="Tahoma" w:cs="Tahoma"/>
      <w:lang w:val="en-GB"/>
    </w:rPr>
  </w:style>
  <w:style w:type="character" w:customStyle="1" w:styleId="SBNNumberedListParagraphChar">
    <w:name w:val="SBN Numbered List Paragraph Char"/>
    <w:basedOn w:val="DefaultParagraphFont"/>
    <w:link w:val="SBNNumberedListParagraph"/>
    <w:rsid w:val="0039252B"/>
    <w:rPr>
      <w:rFonts w:ascii="Tahoma" w:eastAsia="Calibri" w:hAnsi="Tahoma" w:cs="Tahoma"/>
      <w:sz w:val="22"/>
      <w:szCs w:val="22"/>
    </w:rPr>
  </w:style>
  <w:style w:type="paragraph" w:customStyle="1" w:styleId="SBNFootnote">
    <w:name w:val="SBN Footnote"/>
    <w:basedOn w:val="Normal"/>
    <w:link w:val="FootnoteReference"/>
    <w:uiPriority w:val="99"/>
    <w:rsid w:val="0039252B"/>
    <w:pPr>
      <w:spacing w:after="60"/>
      <w:jc w:val="both"/>
    </w:pPr>
    <w:rPr>
      <w:rFonts w:asciiTheme="minorHAnsi" w:hAnsiTheme="minorHAnsi" w:cstheme="minorBidi"/>
      <w:vertAlign w:val="superscript"/>
    </w:rPr>
  </w:style>
  <w:style w:type="paragraph" w:customStyle="1" w:styleId="table-text">
    <w:name w:val="table-text"/>
    <w:basedOn w:val="Normal"/>
    <w:qFormat/>
    <w:rsid w:val="003618DB"/>
    <w:pPr>
      <w:spacing w:line="280" w:lineRule="atLeast"/>
    </w:pPr>
    <w:rPr>
      <w:rFonts w:ascii="Arial" w:hAnsi="Arial"/>
      <w:sz w:val="16"/>
      <w:lang w:eastAsia="nl-NL"/>
    </w:rPr>
  </w:style>
  <w:style w:type="paragraph" w:customStyle="1" w:styleId="list-bullet-color-table">
    <w:name w:val="list-bullet-color-table"/>
    <w:basedOn w:val="Normal"/>
    <w:link w:val="list-bullet-color-tableChar"/>
    <w:rsid w:val="003618DB"/>
    <w:pPr>
      <w:numPr>
        <w:numId w:val="3"/>
      </w:numPr>
      <w:spacing w:line="280" w:lineRule="atLeast"/>
    </w:pPr>
    <w:rPr>
      <w:rFonts w:ascii="Arial" w:hAnsi="Arial"/>
      <w:sz w:val="16"/>
      <w:lang w:eastAsia="nl-NL"/>
    </w:rPr>
  </w:style>
  <w:style w:type="character" w:customStyle="1" w:styleId="list-bullet-color-tableChar">
    <w:name w:val="list-bullet-color-table Char"/>
    <w:basedOn w:val="DefaultParagraphFont"/>
    <w:link w:val="list-bullet-color-table"/>
    <w:rsid w:val="003618DB"/>
    <w:rPr>
      <w:rFonts w:ascii="Arial" w:hAnsi="Arial" w:cstheme="minorHAnsi"/>
      <w:color w:val="000000" w:themeColor="text1"/>
      <w:sz w:val="16"/>
      <w:szCs w:val="22"/>
      <w:lang w:eastAsia="nl-NL"/>
    </w:rPr>
  </w:style>
  <w:style w:type="table" w:customStyle="1" w:styleId="table-style-blauw-100-outline101">
    <w:name w:val="table-style-blauw-100-outline101"/>
    <w:basedOn w:val="TableNormal"/>
    <w:rsid w:val="003618DB"/>
    <w:pPr>
      <w:spacing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paragraph" w:styleId="TOC1">
    <w:name w:val="toc 1"/>
    <w:basedOn w:val="Normal"/>
    <w:next w:val="Normal"/>
    <w:autoRedefine/>
    <w:uiPriority w:val="39"/>
    <w:unhideWhenUsed/>
    <w:rsid w:val="00C04EFD"/>
    <w:pPr>
      <w:tabs>
        <w:tab w:val="clear" w:pos="7780"/>
        <w:tab w:val="right" w:pos="9730"/>
      </w:tabs>
      <w:spacing w:before="360"/>
    </w:pPr>
    <w:rPr>
      <w:rFonts w:asciiTheme="majorHAnsi" w:hAnsiTheme="majorHAnsi" w:cstheme="majorHAnsi"/>
      <w:b/>
      <w:bCs/>
      <w:caps/>
      <w:noProof/>
      <w:sz w:val="24"/>
      <w:szCs w:val="28"/>
    </w:rPr>
  </w:style>
  <w:style w:type="paragraph" w:styleId="TOC2">
    <w:name w:val="toc 2"/>
    <w:basedOn w:val="Normal"/>
    <w:next w:val="Normal"/>
    <w:autoRedefine/>
    <w:uiPriority w:val="39"/>
    <w:unhideWhenUsed/>
    <w:rsid w:val="00C04EFD"/>
    <w:pPr>
      <w:tabs>
        <w:tab w:val="clear" w:pos="7780"/>
        <w:tab w:val="right" w:pos="9730"/>
      </w:tabs>
      <w:spacing w:before="240"/>
    </w:pPr>
    <w:rPr>
      <w:rFonts w:asciiTheme="minorHAnsi" w:hAnsiTheme="minorHAnsi"/>
      <w:noProof/>
      <w:sz w:val="20"/>
      <w:szCs w:val="24"/>
    </w:rPr>
  </w:style>
  <w:style w:type="paragraph" w:styleId="TOC3">
    <w:name w:val="toc 3"/>
    <w:basedOn w:val="Normal"/>
    <w:next w:val="Normal"/>
    <w:autoRedefine/>
    <w:uiPriority w:val="39"/>
    <w:unhideWhenUsed/>
    <w:rsid w:val="00B86152"/>
    <w:pPr>
      <w:tabs>
        <w:tab w:val="clear" w:pos="7780"/>
      </w:tabs>
      <w:ind w:left="220"/>
    </w:pPr>
    <w:rPr>
      <w:rFonts w:asciiTheme="minorHAnsi" w:hAnsiTheme="minorHAnsi"/>
      <w:sz w:val="20"/>
      <w:szCs w:val="24"/>
    </w:rPr>
  </w:style>
  <w:style w:type="paragraph" w:styleId="TOC4">
    <w:name w:val="toc 4"/>
    <w:basedOn w:val="Normal"/>
    <w:next w:val="Normal"/>
    <w:autoRedefine/>
    <w:uiPriority w:val="39"/>
    <w:unhideWhenUsed/>
    <w:rsid w:val="00B86152"/>
    <w:pPr>
      <w:tabs>
        <w:tab w:val="clear" w:pos="7780"/>
      </w:tabs>
      <w:ind w:left="440"/>
    </w:pPr>
    <w:rPr>
      <w:rFonts w:asciiTheme="minorHAnsi" w:hAnsiTheme="minorHAnsi"/>
      <w:sz w:val="20"/>
      <w:szCs w:val="24"/>
    </w:rPr>
  </w:style>
  <w:style w:type="paragraph" w:styleId="TOC5">
    <w:name w:val="toc 5"/>
    <w:basedOn w:val="Normal"/>
    <w:next w:val="Normal"/>
    <w:autoRedefine/>
    <w:uiPriority w:val="39"/>
    <w:unhideWhenUsed/>
    <w:rsid w:val="00B86152"/>
    <w:pPr>
      <w:tabs>
        <w:tab w:val="clear" w:pos="7780"/>
      </w:tabs>
      <w:ind w:left="660"/>
    </w:pPr>
    <w:rPr>
      <w:rFonts w:asciiTheme="minorHAnsi" w:hAnsiTheme="minorHAnsi"/>
      <w:sz w:val="20"/>
      <w:szCs w:val="24"/>
    </w:rPr>
  </w:style>
  <w:style w:type="paragraph" w:styleId="TOC6">
    <w:name w:val="toc 6"/>
    <w:basedOn w:val="Normal"/>
    <w:next w:val="Normal"/>
    <w:autoRedefine/>
    <w:uiPriority w:val="39"/>
    <w:unhideWhenUsed/>
    <w:rsid w:val="00B86152"/>
    <w:pPr>
      <w:tabs>
        <w:tab w:val="clear" w:pos="7780"/>
      </w:tabs>
      <w:ind w:left="880"/>
    </w:pPr>
    <w:rPr>
      <w:rFonts w:asciiTheme="minorHAnsi" w:hAnsiTheme="minorHAnsi"/>
      <w:sz w:val="20"/>
      <w:szCs w:val="24"/>
    </w:rPr>
  </w:style>
  <w:style w:type="paragraph" w:styleId="TOC7">
    <w:name w:val="toc 7"/>
    <w:basedOn w:val="Normal"/>
    <w:next w:val="Normal"/>
    <w:autoRedefine/>
    <w:uiPriority w:val="39"/>
    <w:unhideWhenUsed/>
    <w:rsid w:val="00B86152"/>
    <w:pPr>
      <w:tabs>
        <w:tab w:val="clear" w:pos="7780"/>
      </w:tabs>
      <w:ind w:left="1100"/>
    </w:pPr>
    <w:rPr>
      <w:rFonts w:asciiTheme="minorHAnsi" w:hAnsiTheme="minorHAnsi"/>
      <w:sz w:val="20"/>
      <w:szCs w:val="24"/>
    </w:rPr>
  </w:style>
  <w:style w:type="paragraph" w:styleId="TOC8">
    <w:name w:val="toc 8"/>
    <w:basedOn w:val="Normal"/>
    <w:next w:val="Normal"/>
    <w:autoRedefine/>
    <w:uiPriority w:val="39"/>
    <w:unhideWhenUsed/>
    <w:rsid w:val="00B86152"/>
    <w:pPr>
      <w:tabs>
        <w:tab w:val="clear" w:pos="7780"/>
      </w:tabs>
      <w:ind w:left="1320"/>
    </w:pPr>
    <w:rPr>
      <w:rFonts w:asciiTheme="minorHAnsi" w:hAnsiTheme="minorHAnsi"/>
      <w:sz w:val="20"/>
      <w:szCs w:val="24"/>
    </w:rPr>
  </w:style>
  <w:style w:type="paragraph" w:styleId="TOC9">
    <w:name w:val="toc 9"/>
    <w:basedOn w:val="Normal"/>
    <w:next w:val="Normal"/>
    <w:autoRedefine/>
    <w:uiPriority w:val="39"/>
    <w:unhideWhenUsed/>
    <w:rsid w:val="00B86152"/>
    <w:pPr>
      <w:tabs>
        <w:tab w:val="clear" w:pos="7780"/>
      </w:tabs>
      <w:ind w:left="1540"/>
    </w:pPr>
    <w:rPr>
      <w:rFonts w:asciiTheme="minorHAnsi" w:hAnsiTheme="minorHAnsi"/>
      <w:sz w:val="20"/>
      <w:szCs w:val="24"/>
    </w:rPr>
  </w:style>
  <w:style w:type="character" w:customStyle="1" w:styleId="Heading1Char">
    <w:name w:val="Heading 1 Char"/>
    <w:basedOn w:val="DefaultParagraphFont"/>
    <w:link w:val="Heading1"/>
    <w:uiPriority w:val="9"/>
    <w:rsid w:val="00357F6C"/>
    <w:rPr>
      <w:rFonts w:ascii="Verdana" w:eastAsiaTheme="majorEastAsia" w:hAnsi="Verdana" w:cstheme="majorBidi"/>
      <w:b/>
      <w:bCs/>
      <w:color w:val="002060"/>
      <w:sz w:val="40"/>
      <w:szCs w:val="40"/>
      <w:lang w:val="en-AU"/>
    </w:rPr>
  </w:style>
  <w:style w:type="paragraph" w:styleId="Caption">
    <w:name w:val="caption"/>
    <w:basedOn w:val="Normal"/>
    <w:next w:val="Normal"/>
    <w:uiPriority w:val="35"/>
    <w:unhideWhenUsed/>
    <w:qFormat/>
    <w:rsid w:val="00FA583F"/>
    <w:pPr>
      <w:spacing w:after="200"/>
    </w:pPr>
    <w:rPr>
      <w:rFonts w:asciiTheme="minorHAnsi" w:hAnsiTheme="minorHAnsi" w:cstheme="minorBidi"/>
      <w:i/>
      <w:iCs/>
      <w:color w:val="44546A" w:themeColor="text2"/>
      <w:sz w:val="18"/>
      <w:szCs w:val="18"/>
      <w:lang w:val="en-AU"/>
    </w:rPr>
  </w:style>
  <w:style w:type="paragraph" w:customStyle="1" w:styleId="PacificWomenstyle-body">
    <w:name w:val="Pacific Women style - body"/>
    <w:basedOn w:val="Normal"/>
    <w:link w:val="PacificWomenstyle-bodyChar"/>
    <w:qFormat/>
    <w:rsid w:val="00CA3007"/>
    <w:pPr>
      <w:spacing w:before="120" w:after="120" w:line="240" w:lineRule="atLeast"/>
      <w:jc w:val="both"/>
    </w:pPr>
    <w:rPr>
      <w:rFonts w:asciiTheme="minorHAnsi" w:eastAsiaTheme="minorEastAsia" w:hAnsiTheme="minorHAnsi"/>
      <w:lang w:val="en-AU" w:eastAsia="en-AU"/>
    </w:rPr>
  </w:style>
  <w:style w:type="character" w:customStyle="1" w:styleId="PacificWomenstyle-bodyChar">
    <w:name w:val="Pacific Women style - body Char"/>
    <w:basedOn w:val="DefaultParagraphFont"/>
    <w:link w:val="PacificWomenstyle-body"/>
    <w:rsid w:val="00CA3007"/>
    <w:rPr>
      <w:rFonts w:eastAsiaTheme="minorEastAsia" w:cstheme="minorHAnsi"/>
      <w:color w:val="000000" w:themeColor="text1"/>
      <w:sz w:val="22"/>
      <w:szCs w:val="22"/>
      <w:lang w:val="en-AU" w:eastAsia="en-AU"/>
    </w:rPr>
  </w:style>
  <w:style w:type="table" w:styleId="GridTable4-Accent1">
    <w:name w:val="Grid Table 4 Accent 1"/>
    <w:basedOn w:val="TableNormal"/>
    <w:uiPriority w:val="49"/>
    <w:rsid w:val="00310E5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UnresolvedMention">
    <w:name w:val="Unresolved Mention"/>
    <w:basedOn w:val="DefaultParagraphFont"/>
    <w:uiPriority w:val="99"/>
    <w:rsid w:val="00D84C74"/>
    <w:rPr>
      <w:color w:val="605E5C"/>
      <w:shd w:val="clear" w:color="auto" w:fill="E1DFDD"/>
    </w:rPr>
  </w:style>
  <w:style w:type="paragraph" w:customStyle="1" w:styleId="paragraph">
    <w:name w:val="paragraph"/>
    <w:basedOn w:val="Normal"/>
    <w:rsid w:val="00832ABD"/>
    <w:pPr>
      <w:spacing w:before="100" w:beforeAutospacing="1" w:after="100" w:afterAutospacing="1"/>
    </w:pPr>
    <w:rPr>
      <w:lang w:val="fr-FR" w:eastAsia="fr-FR"/>
    </w:rPr>
  </w:style>
  <w:style w:type="character" w:customStyle="1" w:styleId="normaltextrun">
    <w:name w:val="normaltextrun"/>
    <w:basedOn w:val="DefaultParagraphFont"/>
    <w:rsid w:val="00832ABD"/>
  </w:style>
  <w:style w:type="character" w:customStyle="1" w:styleId="eop">
    <w:name w:val="eop"/>
    <w:basedOn w:val="DefaultParagraphFont"/>
    <w:rsid w:val="00832ABD"/>
  </w:style>
  <w:style w:type="paragraph" w:customStyle="1" w:styleId="DefaultText">
    <w:name w:val="Default Text"/>
    <w:basedOn w:val="Normal"/>
    <w:link w:val="DefaultTextChar"/>
    <w:qFormat/>
    <w:rsid w:val="00B00A2A"/>
    <w:pPr>
      <w:spacing w:line="280" w:lineRule="atLeast"/>
      <w:jc w:val="both"/>
    </w:pPr>
    <w:rPr>
      <w:rFonts w:ascii="Arial" w:hAnsi="Arial"/>
      <w:sz w:val="18"/>
      <w:lang w:eastAsia="nl-NL"/>
    </w:rPr>
  </w:style>
  <w:style w:type="table" w:customStyle="1" w:styleId="table-style-blauw-100-outline">
    <w:name w:val="table-style-blauw-100-outline"/>
    <w:basedOn w:val="TableNormal"/>
    <w:rsid w:val="00B00A2A"/>
    <w:pPr>
      <w:spacing w:line="280" w:lineRule="atLeast"/>
    </w:pPr>
    <w:rPr>
      <w:rFonts w:ascii="Arial" w:eastAsia="Times New Roman" w:hAnsi="Arial" w:cs="Times New Roman"/>
      <w:color w:val="000000"/>
      <w:sz w:val="16"/>
      <w:szCs w:val="20"/>
      <w:lang w:val="nl-NL" w:eastAsia="nl-NL"/>
    </w:rPr>
    <w:tblPr>
      <w:tblStyleRowBandSize w:val="1"/>
      <w:tblBorders>
        <w:top w:val="single" w:sz="6" w:space="0" w:color="006DB6"/>
        <w:left w:val="single" w:sz="6" w:space="0" w:color="006DB6"/>
        <w:bottom w:val="single" w:sz="6" w:space="0" w:color="006DB6"/>
        <w:right w:val="single" w:sz="6" w:space="0" w:color="006DB6"/>
        <w:insideV w:val="single" w:sz="6" w:space="0" w:color="006DB6"/>
      </w:tblBorders>
    </w:tblPr>
    <w:tblStylePr w:type="firstRow">
      <w:pPr>
        <w:keepNext/>
        <w:keepLines/>
        <w:wordWrap/>
      </w:pPr>
      <w:rPr>
        <w:rFonts w:ascii="Arial" w:hAnsi="Arial"/>
        <w:b/>
        <w:i w:val="0"/>
        <w:color w:val="FFFFFF"/>
        <w:sz w:val="16"/>
      </w:rPr>
      <w:tblPr/>
      <w:tcPr>
        <w:tcBorders>
          <w:top w:val="single" w:sz="6" w:space="0" w:color="006DB6"/>
          <w:left w:val="single" w:sz="6" w:space="0" w:color="006DB6"/>
          <w:bottom w:val="single" w:sz="6" w:space="0" w:color="006DB6"/>
          <w:right w:val="single" w:sz="6" w:space="0" w:color="006DB6"/>
          <w:insideH w:val="nil"/>
          <w:insideV w:val="nil"/>
          <w:tl2br w:val="nil"/>
          <w:tr2bl w:val="nil"/>
        </w:tcBorders>
        <w:shd w:val="solid" w:color="006DB6" w:fill="006DB6"/>
      </w:tcPr>
    </w:tblStylePr>
    <w:tblStylePr w:type="band1Horz">
      <w:tblPr/>
      <w:tcPr>
        <w:tcBorders>
          <w:top w:val="single" w:sz="4" w:space="0" w:color="A6A6A6" w:themeColor="background1" w:themeShade="A6"/>
        </w:tcBorders>
      </w:tcPr>
    </w:tblStylePr>
    <w:tblStylePr w:type="band2Horz">
      <w:tblPr/>
      <w:tcPr>
        <w:tcBorders>
          <w:top w:val="single" w:sz="4" w:space="0" w:color="A6A6A6" w:themeColor="background1" w:themeShade="A6"/>
        </w:tcBorders>
      </w:tcPr>
    </w:tblStylePr>
  </w:style>
  <w:style w:type="character" w:customStyle="1" w:styleId="DefaultTextChar">
    <w:name w:val="Default Text Char"/>
    <w:basedOn w:val="DefaultParagraphFont"/>
    <w:link w:val="DefaultText"/>
    <w:rsid w:val="00B00A2A"/>
    <w:rPr>
      <w:rFonts w:ascii="Arial" w:eastAsia="Times New Roman" w:hAnsi="Arial" w:cs="Times New Roman"/>
      <w:sz w:val="18"/>
      <w:lang w:eastAsia="nl-NL"/>
    </w:rPr>
  </w:style>
  <w:style w:type="paragraph" w:customStyle="1" w:styleId="SingleTxt">
    <w:name w:val="__Single Txt"/>
    <w:basedOn w:val="Normal"/>
    <w:rsid w:val="00E4204E"/>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spacing w:val="4"/>
      <w:w w:val="103"/>
      <w:kern w:val="14"/>
      <w:sz w:val="20"/>
      <w:szCs w:val="20"/>
    </w:rPr>
  </w:style>
  <w:style w:type="paragraph" w:customStyle="1" w:styleId="Tabletext">
    <w:name w:val="Table text"/>
    <w:basedOn w:val="Normal"/>
    <w:qFormat/>
    <w:rsid w:val="003A748A"/>
    <w:pPr>
      <w:suppressAutoHyphens/>
      <w:spacing w:after="60" w:line="240" w:lineRule="atLeast"/>
    </w:pPr>
    <w:rPr>
      <w:rFonts w:ascii="Arial" w:hAnsi="Arial" w:cs="Arial"/>
      <w:sz w:val="16"/>
      <w:szCs w:val="20"/>
    </w:rPr>
  </w:style>
  <w:style w:type="table" w:styleId="GridTable2-Accent5">
    <w:name w:val="Grid Table 2 Accent 5"/>
    <w:basedOn w:val="TableNormal"/>
    <w:uiPriority w:val="47"/>
    <w:rsid w:val="003A748A"/>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FollowedHyperlink">
    <w:name w:val="FollowedHyperlink"/>
    <w:basedOn w:val="DefaultParagraphFont"/>
    <w:uiPriority w:val="99"/>
    <w:semiHidden/>
    <w:unhideWhenUsed/>
    <w:rsid w:val="007B008F"/>
    <w:rPr>
      <w:color w:val="954F72" w:themeColor="followedHyperlink"/>
      <w:u w:val="single"/>
    </w:rPr>
  </w:style>
  <w:style w:type="character" w:customStyle="1" w:styleId="Heading2Char">
    <w:name w:val="Heading 2 Char"/>
    <w:basedOn w:val="DefaultParagraphFont"/>
    <w:link w:val="Heading2"/>
    <w:uiPriority w:val="9"/>
    <w:rsid w:val="00D5290B"/>
    <w:rPr>
      <w:rFonts w:ascii="Verdana" w:eastAsiaTheme="majorEastAsia" w:hAnsi="Verdana" w:cs="Calibri"/>
      <w:b/>
      <w:bCs/>
      <w:color w:val="2F5496" w:themeColor="accent1" w:themeShade="BF"/>
      <w:kern w:val="2"/>
      <w:sz w:val="28"/>
      <w:szCs w:val="28"/>
      <w14:ligatures w14:val="standardContextual"/>
    </w:rPr>
  </w:style>
  <w:style w:type="character" w:customStyle="1" w:styleId="Heading3Char">
    <w:name w:val="Heading 3 Char"/>
    <w:basedOn w:val="DefaultParagraphFont"/>
    <w:link w:val="Heading3"/>
    <w:uiPriority w:val="9"/>
    <w:rsid w:val="00E87678"/>
    <w:rPr>
      <w:rFonts w:asciiTheme="majorHAnsi" w:hAnsiTheme="majorHAnsi" w:cstheme="majorBidi"/>
      <w:color w:val="2F5496" w:themeColor="accent1" w:themeShade="BF"/>
      <w:sz w:val="28"/>
      <w:szCs w:val="28"/>
    </w:rPr>
  </w:style>
  <w:style w:type="character" w:styleId="Strong">
    <w:name w:val="Strong"/>
    <w:basedOn w:val="DefaultParagraphFont"/>
    <w:uiPriority w:val="22"/>
    <w:qFormat/>
    <w:rsid w:val="005B1117"/>
    <w:rPr>
      <w:rFonts w:eastAsiaTheme="majorEastAsia" w:cs="Calibri Light"/>
      <w:b/>
      <w:bCs/>
    </w:rPr>
  </w:style>
  <w:style w:type="character" w:styleId="Emphasis">
    <w:name w:val="Emphasis"/>
    <w:basedOn w:val="DefaultParagraphFont"/>
    <w:uiPriority w:val="20"/>
    <w:qFormat/>
    <w:rsid w:val="00E37930"/>
    <w:rPr>
      <w:i/>
      <w:iCs/>
    </w:rPr>
  </w:style>
  <w:style w:type="character" w:customStyle="1" w:styleId="Heading4Char">
    <w:name w:val="Heading 4 Char"/>
    <w:basedOn w:val="DefaultParagraphFont"/>
    <w:link w:val="Heading4"/>
    <w:uiPriority w:val="9"/>
    <w:rsid w:val="00DA5BEF"/>
    <w:rPr>
      <w:rFonts w:asciiTheme="majorHAnsi" w:hAnsiTheme="majorHAnsi" w:cstheme="majorBidi"/>
      <w:color w:val="2F5496" w:themeColor="accent1" w:themeShade="BF"/>
      <w:sz w:val="32"/>
      <w:szCs w:val="32"/>
    </w:rPr>
  </w:style>
  <w:style w:type="paragraph" w:customStyle="1" w:styleId="task-list-item">
    <w:name w:val="task-list-item"/>
    <w:basedOn w:val="Normal"/>
    <w:rsid w:val="00E37930"/>
    <w:pPr>
      <w:spacing w:before="100" w:beforeAutospacing="1" w:after="100" w:afterAutospacing="1"/>
    </w:pPr>
  </w:style>
  <w:style w:type="numbering" w:customStyle="1" w:styleId="CurrentList1">
    <w:name w:val="Current List1"/>
    <w:uiPriority w:val="99"/>
    <w:rsid w:val="00C51F2E"/>
    <w:pPr>
      <w:numPr>
        <w:numId w:val="5"/>
      </w:numPr>
    </w:pPr>
  </w:style>
  <w:style w:type="table" w:styleId="GridTable4-Accent5">
    <w:name w:val="Grid Table 4 Accent 5"/>
    <w:basedOn w:val="TableNormal"/>
    <w:uiPriority w:val="49"/>
    <w:rsid w:val="00E3271A"/>
    <w:rPr>
      <w:rFonts w:ascii="Times New Roman" w:eastAsia="Times New Roman" w:hAnsi="Times New Roman" w:cs="Times New Roman"/>
      <w:lang w:eastAsia="en-GB"/>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i-provider">
    <w:name w:val="ui-provider"/>
    <w:basedOn w:val="DefaultParagraphFont"/>
    <w:rsid w:val="00C05D37"/>
  </w:style>
  <w:style w:type="character" w:customStyle="1" w:styleId="cf11">
    <w:name w:val="cf11"/>
    <w:basedOn w:val="DefaultParagraphFont"/>
    <w:rsid w:val="000F31B8"/>
    <w:rPr>
      <w:rFonts w:ascii="Segoe UI" w:hAnsi="Segoe UI" w:cs="Segoe UI" w:hint="default"/>
      <w:sz w:val="18"/>
      <w:szCs w:val="18"/>
    </w:rPr>
  </w:style>
  <w:style w:type="character" w:customStyle="1" w:styleId="wtbs9">
    <w:name w:val="wtbs9"/>
    <w:basedOn w:val="DefaultParagraphFont"/>
    <w:rsid w:val="00454EDE"/>
  </w:style>
  <w:style w:type="character" w:customStyle="1" w:styleId="hgkelc">
    <w:name w:val="hgkelc"/>
    <w:basedOn w:val="DefaultParagraphFont"/>
    <w:rsid w:val="00491B5F"/>
  </w:style>
  <w:style w:type="character" w:customStyle="1" w:styleId="A02">
    <w:name w:val="A0_2"/>
    <w:uiPriority w:val="99"/>
    <w:rsid w:val="006E4AFF"/>
    <w:rPr>
      <w:rFonts w:cs="Adobe Garamond Pro"/>
      <w:color w:val="000000"/>
      <w:sz w:val="16"/>
      <w:szCs w:val="16"/>
    </w:rPr>
  </w:style>
  <w:style w:type="table" w:styleId="PlainTable4">
    <w:name w:val="Plain Table 4"/>
    <w:basedOn w:val="TableNormal"/>
    <w:uiPriority w:val="44"/>
    <w:rsid w:val="00242983"/>
    <w:rPr>
      <w:lang w:val="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2">
    <w:name w:val="Current List2"/>
    <w:uiPriority w:val="99"/>
    <w:rsid w:val="00DE1834"/>
    <w:pPr>
      <w:numPr>
        <w:numId w:val="21"/>
      </w:numPr>
    </w:pPr>
  </w:style>
  <w:style w:type="numbering" w:customStyle="1" w:styleId="CurrentList3">
    <w:name w:val="Current List3"/>
    <w:uiPriority w:val="99"/>
    <w:rsid w:val="00DE1834"/>
    <w:pPr>
      <w:numPr>
        <w:numId w:val="22"/>
      </w:numPr>
    </w:pPr>
  </w:style>
  <w:style w:type="table" w:styleId="GridTable1Light-Accent1">
    <w:name w:val="Grid Table 1 Light Accent 1"/>
    <w:basedOn w:val="TableNormal"/>
    <w:uiPriority w:val="46"/>
    <w:rsid w:val="00EA494A"/>
    <w:rPr>
      <w:kern w:val="2"/>
      <w:sz w:val="22"/>
      <w:szCs w:val="22"/>
      <w:lang w:val="en-AU"/>
      <w14:ligatures w14:val="standardContextual"/>
    </w:r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Heading">
    <w:name w:val="TOC Heading"/>
    <w:basedOn w:val="Heading3"/>
    <w:next w:val="Normal"/>
    <w:uiPriority w:val="39"/>
    <w:unhideWhenUsed/>
    <w:qFormat/>
    <w:rsid w:val="0024161D"/>
  </w:style>
  <w:style w:type="numbering" w:customStyle="1" w:styleId="CurrentList4">
    <w:name w:val="Current List4"/>
    <w:uiPriority w:val="99"/>
    <w:rsid w:val="00CC1852"/>
    <w:pPr>
      <w:numPr>
        <w:numId w:val="32"/>
      </w:numPr>
    </w:pPr>
  </w:style>
  <w:style w:type="numbering" w:customStyle="1" w:styleId="CurrentList5">
    <w:name w:val="Current List5"/>
    <w:uiPriority w:val="99"/>
    <w:rsid w:val="00F832F3"/>
    <w:pPr>
      <w:numPr>
        <w:numId w:val="33"/>
      </w:numPr>
    </w:pPr>
  </w:style>
  <w:style w:type="character" w:customStyle="1" w:styleId="break-words">
    <w:name w:val="break-words"/>
    <w:basedOn w:val="DefaultParagraphFont"/>
    <w:rsid w:val="003A5144"/>
  </w:style>
  <w:style w:type="table" w:styleId="GridTable1Light-Accent5">
    <w:name w:val="Grid Table 1 Light Accent 5"/>
    <w:basedOn w:val="TableNormal"/>
    <w:uiPriority w:val="46"/>
    <w:rsid w:val="00C846CE"/>
    <w:rPr>
      <w:kern w:val="2"/>
      <w:sz w:val="22"/>
      <w:szCs w:val="22"/>
      <w:lang w:val="en-AU"/>
      <w14:ligatures w14:val="standardContextual"/>
    </w:r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character" w:customStyle="1" w:styleId="jpfdse">
    <w:name w:val="jpfdse"/>
    <w:basedOn w:val="DefaultParagraphFont"/>
    <w:rsid w:val="00BB60C7"/>
  </w:style>
  <w:style w:type="character" w:customStyle="1" w:styleId="Heading5Char">
    <w:name w:val="Heading 5 Char"/>
    <w:basedOn w:val="DefaultParagraphFont"/>
    <w:link w:val="Heading5"/>
    <w:uiPriority w:val="9"/>
    <w:semiHidden/>
    <w:rsid w:val="00C640B0"/>
    <w:rPr>
      <w:rFonts w:ascii="Times New Roman" w:eastAsia="Times New Roman" w:hAnsi="Times New Roman" w:cs="Times New Roman"/>
      <w:b/>
      <w:sz w:val="22"/>
      <w:szCs w:val="22"/>
      <w:lang w:eastAsia="en-GB"/>
    </w:rPr>
  </w:style>
  <w:style w:type="character" w:customStyle="1" w:styleId="Heading6Char">
    <w:name w:val="Heading 6 Char"/>
    <w:basedOn w:val="DefaultParagraphFont"/>
    <w:link w:val="Heading6"/>
    <w:uiPriority w:val="9"/>
    <w:semiHidden/>
    <w:rsid w:val="00C640B0"/>
    <w:rPr>
      <w:rFonts w:ascii="Times New Roman" w:eastAsia="Times New Roman" w:hAnsi="Times New Roman" w:cs="Times New Roman"/>
      <w:b/>
      <w:sz w:val="20"/>
      <w:szCs w:val="20"/>
      <w:lang w:eastAsia="en-GB"/>
    </w:rPr>
  </w:style>
  <w:style w:type="paragraph" w:styleId="Title">
    <w:name w:val="Title"/>
    <w:basedOn w:val="Normal"/>
    <w:next w:val="Normal"/>
    <w:link w:val="TitleChar"/>
    <w:uiPriority w:val="10"/>
    <w:qFormat/>
    <w:rsid w:val="00C640B0"/>
    <w:pPr>
      <w:keepNext/>
      <w:keepLines/>
      <w:tabs>
        <w:tab w:val="clear" w:pos="7780"/>
      </w:tabs>
      <w:spacing w:before="480" w:after="120"/>
    </w:pPr>
    <w:rPr>
      <w:rFonts w:ascii="Times New Roman" w:eastAsia="Times New Roman" w:hAnsi="Times New Roman" w:cs="Times New Roman"/>
      <w:b/>
      <w:color w:val="auto"/>
      <w:sz w:val="72"/>
      <w:szCs w:val="72"/>
      <w:lang w:eastAsia="en-GB"/>
    </w:rPr>
  </w:style>
  <w:style w:type="character" w:customStyle="1" w:styleId="TitleChar">
    <w:name w:val="Title Char"/>
    <w:basedOn w:val="DefaultParagraphFont"/>
    <w:link w:val="Title"/>
    <w:uiPriority w:val="10"/>
    <w:rsid w:val="00C640B0"/>
    <w:rPr>
      <w:rFonts w:ascii="Times New Roman" w:eastAsia="Times New Roman" w:hAnsi="Times New Roman" w:cs="Times New Roman"/>
      <w:b/>
      <w:sz w:val="72"/>
      <w:szCs w:val="72"/>
      <w:lang w:eastAsia="en-GB"/>
    </w:rPr>
  </w:style>
  <w:style w:type="paragraph" w:customStyle="1" w:styleId="msonormal0">
    <w:name w:val="msonormal"/>
    <w:basedOn w:val="Normal"/>
    <w:rsid w:val="00C640B0"/>
    <w:pPr>
      <w:tabs>
        <w:tab w:val="clear" w:pos="7780"/>
      </w:tabs>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xl65">
    <w:name w:val="xl65"/>
    <w:basedOn w:val="Normal"/>
    <w:rsid w:val="00C640B0"/>
    <w:pPr>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customStyle="1" w:styleId="xl66">
    <w:name w:val="xl66"/>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xl67">
    <w:name w:val="xl67"/>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8"/>
      <w:szCs w:val="28"/>
      <w:lang w:eastAsia="en-GB"/>
    </w:rPr>
  </w:style>
  <w:style w:type="paragraph" w:customStyle="1" w:styleId="xl68">
    <w:name w:val="xl68"/>
    <w:basedOn w:val="Normal"/>
    <w:rsid w:val="00C640B0"/>
    <w:pPr>
      <w:pBdr>
        <w:top w:val="single" w:sz="4" w:space="0" w:color="auto"/>
        <w:left w:val="single" w:sz="4" w:space="0" w:color="auto"/>
        <w:bottom w:val="single" w:sz="4" w:space="0" w:color="auto"/>
        <w:right w:val="single" w:sz="4" w:space="0" w:color="auto"/>
      </w:pBdr>
      <w:shd w:val="clear" w:color="000000" w:fill="FFC000"/>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8"/>
      <w:szCs w:val="28"/>
      <w:lang w:eastAsia="en-GB"/>
    </w:rPr>
  </w:style>
  <w:style w:type="paragraph" w:customStyle="1" w:styleId="xl69">
    <w:name w:val="xl69"/>
    <w:basedOn w:val="Normal"/>
    <w:rsid w:val="00C640B0"/>
    <w:pPr>
      <w:pBdr>
        <w:top w:val="single" w:sz="4" w:space="0" w:color="auto"/>
        <w:left w:val="single" w:sz="4" w:space="0" w:color="auto"/>
        <w:bottom w:val="single" w:sz="4" w:space="0" w:color="auto"/>
        <w:right w:val="single" w:sz="4" w:space="0" w:color="auto"/>
      </w:pBdr>
      <w:shd w:val="clear" w:color="000000" w:fill="FFD966"/>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8"/>
      <w:szCs w:val="28"/>
      <w:lang w:eastAsia="en-GB"/>
    </w:rPr>
  </w:style>
  <w:style w:type="paragraph" w:customStyle="1" w:styleId="xl70">
    <w:name w:val="xl70"/>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customStyle="1" w:styleId="xl71">
    <w:name w:val="xl71"/>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xl72">
    <w:name w:val="xl72"/>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xl73">
    <w:name w:val="xl73"/>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74">
    <w:name w:val="xl74"/>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textAlignment w:val="center"/>
    </w:pPr>
    <w:rPr>
      <w:rFonts w:ascii="Franklin Gothic Book" w:eastAsia="Times New Roman" w:hAnsi="Franklin Gothic Book" w:cs="Times New Roman"/>
      <w:color w:val="auto"/>
      <w:sz w:val="24"/>
      <w:szCs w:val="24"/>
      <w:lang w:eastAsia="en-GB"/>
    </w:rPr>
  </w:style>
  <w:style w:type="paragraph" w:customStyle="1" w:styleId="xl75">
    <w:name w:val="xl75"/>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textAlignment w:val="center"/>
    </w:pPr>
    <w:rPr>
      <w:rFonts w:ascii="Franklin Gothic Book" w:eastAsia="Times New Roman" w:hAnsi="Franklin Gothic Book" w:cs="Times New Roman"/>
      <w:color w:val="auto"/>
      <w:sz w:val="24"/>
      <w:szCs w:val="24"/>
      <w:lang w:eastAsia="en-GB"/>
    </w:rPr>
  </w:style>
  <w:style w:type="paragraph" w:customStyle="1" w:styleId="xl76">
    <w:name w:val="xl76"/>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xl77">
    <w:name w:val="xl77"/>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textAlignment w:val="center"/>
    </w:pPr>
    <w:rPr>
      <w:rFonts w:ascii="Times New Roman" w:eastAsia="Times New Roman" w:hAnsi="Times New Roman" w:cs="Times New Roman"/>
      <w:color w:val="auto"/>
      <w:sz w:val="20"/>
      <w:szCs w:val="20"/>
      <w:lang w:eastAsia="en-GB"/>
    </w:rPr>
  </w:style>
  <w:style w:type="paragraph" w:customStyle="1" w:styleId="xl78">
    <w:name w:val="xl78"/>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79">
    <w:name w:val="xl79"/>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80">
    <w:name w:val="xl80"/>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textAlignment w:val="center"/>
    </w:pPr>
    <w:rPr>
      <w:rFonts w:ascii="Times New Roman" w:eastAsia="Times New Roman" w:hAnsi="Times New Roman" w:cs="Times New Roman"/>
      <w:color w:val="auto"/>
      <w:sz w:val="20"/>
      <w:szCs w:val="20"/>
      <w:lang w:eastAsia="en-GB"/>
    </w:rPr>
  </w:style>
  <w:style w:type="paragraph" w:customStyle="1" w:styleId="xl81">
    <w:name w:val="xl81"/>
    <w:basedOn w:val="Normal"/>
    <w:rsid w:val="00C640B0"/>
    <w:pPr>
      <w:pBdr>
        <w:top w:val="single" w:sz="4" w:space="0" w:color="auto"/>
        <w:left w:val="single" w:sz="4" w:space="0" w:color="auto"/>
        <w:bottom w:val="single" w:sz="4" w:space="0" w:color="auto"/>
        <w:right w:val="single" w:sz="4" w:space="0" w:color="auto"/>
      </w:pBdr>
      <w:shd w:val="clear" w:color="FFFFFF" w:fill="FFFFFF"/>
      <w:tabs>
        <w:tab w:val="clear" w:pos="7780"/>
      </w:tabs>
      <w:spacing w:before="100" w:beforeAutospacing="1" w:after="100" w:afterAutospacing="1"/>
      <w:textAlignment w:val="center"/>
    </w:pPr>
    <w:rPr>
      <w:rFonts w:ascii="Times New Roman" w:eastAsia="Times New Roman" w:hAnsi="Times New Roman" w:cs="Times New Roman"/>
      <w:color w:val="auto"/>
      <w:sz w:val="20"/>
      <w:szCs w:val="20"/>
      <w:lang w:eastAsia="en-GB"/>
    </w:rPr>
  </w:style>
  <w:style w:type="paragraph" w:customStyle="1" w:styleId="xl82">
    <w:name w:val="xl82"/>
    <w:basedOn w:val="Normal"/>
    <w:rsid w:val="00C640B0"/>
    <w:pPr>
      <w:pBdr>
        <w:left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customStyle="1" w:styleId="xl83">
    <w:name w:val="xl83"/>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textAlignment w:val="center"/>
    </w:pPr>
    <w:rPr>
      <w:rFonts w:ascii="Franklin Gothic Book" w:eastAsia="Times New Roman" w:hAnsi="Franklin Gothic Book" w:cs="Times New Roman"/>
      <w:color w:val="auto"/>
      <w:sz w:val="24"/>
      <w:szCs w:val="24"/>
      <w:lang w:eastAsia="en-GB"/>
    </w:rPr>
  </w:style>
  <w:style w:type="paragraph" w:customStyle="1" w:styleId="xl84">
    <w:name w:val="xl84"/>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xl85">
    <w:name w:val="xl85"/>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xl86">
    <w:name w:val="xl86"/>
    <w:basedOn w:val="Normal"/>
    <w:rsid w:val="00C640B0"/>
    <w:pPr>
      <w:pBdr>
        <w:left w:val="single" w:sz="4" w:space="0" w:color="auto"/>
        <w:right w:val="single" w:sz="4" w:space="0" w:color="auto"/>
      </w:pBdr>
      <w:shd w:val="clear" w:color="000000" w:fill="FFFFFF"/>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customStyle="1" w:styleId="xl87">
    <w:name w:val="xl87"/>
    <w:basedOn w:val="Normal"/>
    <w:rsid w:val="00C640B0"/>
    <w:pPr>
      <w:pBdr>
        <w:top w:val="single" w:sz="4" w:space="0" w:color="auto"/>
        <w:left w:val="single" w:sz="4" w:space="0" w:color="auto"/>
        <w:bottom w:val="single" w:sz="4" w:space="0" w:color="auto"/>
        <w:right w:val="single" w:sz="4" w:space="0" w:color="auto"/>
      </w:pBdr>
      <w:shd w:val="clear" w:color="000000" w:fill="FFFFFF"/>
      <w:tabs>
        <w:tab w:val="clear" w:pos="7780"/>
      </w:tabs>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xl88">
    <w:name w:val="xl88"/>
    <w:basedOn w:val="Normal"/>
    <w:rsid w:val="00C640B0"/>
    <w:pPr>
      <w:pBdr>
        <w:top w:val="single" w:sz="4" w:space="0" w:color="auto"/>
        <w:left w:val="single" w:sz="4" w:space="0" w:color="auto"/>
        <w:bottom w:val="single" w:sz="4" w:space="0" w:color="auto"/>
        <w:right w:val="single" w:sz="4" w:space="0" w:color="auto"/>
      </w:pBdr>
      <w:shd w:val="clear" w:color="000000" w:fill="FFFFFF"/>
      <w:tabs>
        <w:tab w:val="clear" w:pos="7780"/>
      </w:tabs>
      <w:spacing w:before="100" w:beforeAutospacing="1" w:after="100" w:afterAutospacing="1"/>
    </w:pPr>
    <w:rPr>
      <w:rFonts w:ascii="Times New Roman" w:eastAsia="Times New Roman" w:hAnsi="Times New Roman" w:cs="Times New Roman"/>
      <w:color w:val="auto"/>
      <w:sz w:val="24"/>
      <w:szCs w:val="24"/>
      <w:lang w:eastAsia="en-GB"/>
    </w:rPr>
  </w:style>
  <w:style w:type="paragraph" w:customStyle="1" w:styleId="xl89">
    <w:name w:val="xl89"/>
    <w:basedOn w:val="Normal"/>
    <w:rsid w:val="00C640B0"/>
    <w:pPr>
      <w:pBdr>
        <w:top w:val="single" w:sz="4" w:space="0" w:color="auto"/>
        <w:left w:val="single" w:sz="4" w:space="0" w:color="auto"/>
        <w:bottom w:val="single" w:sz="4" w:space="0" w:color="auto"/>
        <w:right w:val="single" w:sz="4" w:space="0" w:color="auto"/>
      </w:pBdr>
      <w:shd w:val="clear" w:color="000000" w:fill="FFF2CC"/>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0"/>
      <w:szCs w:val="20"/>
      <w:lang w:eastAsia="en-GB"/>
    </w:rPr>
  </w:style>
  <w:style w:type="paragraph" w:customStyle="1" w:styleId="xl90">
    <w:name w:val="xl90"/>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Franklin Gothic Book" w:eastAsia="Times New Roman" w:hAnsi="Franklin Gothic Book" w:cs="Times New Roman"/>
      <w:color w:val="000000"/>
      <w:sz w:val="20"/>
      <w:szCs w:val="20"/>
      <w:lang w:eastAsia="en-GB"/>
    </w:rPr>
  </w:style>
  <w:style w:type="paragraph" w:customStyle="1" w:styleId="xl91">
    <w:name w:val="xl91"/>
    <w:basedOn w:val="Normal"/>
    <w:rsid w:val="00C640B0"/>
    <w:pPr>
      <w:pBdr>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000000"/>
      <w:sz w:val="20"/>
      <w:szCs w:val="20"/>
      <w:lang w:eastAsia="en-GB"/>
    </w:rPr>
  </w:style>
  <w:style w:type="paragraph" w:customStyle="1" w:styleId="xl92">
    <w:name w:val="xl92"/>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000000"/>
      <w:sz w:val="20"/>
      <w:szCs w:val="20"/>
      <w:lang w:eastAsia="en-GB"/>
    </w:rPr>
  </w:style>
  <w:style w:type="paragraph" w:customStyle="1" w:styleId="xl93">
    <w:name w:val="xl93"/>
    <w:basedOn w:val="Normal"/>
    <w:rsid w:val="00C640B0"/>
    <w:pPr>
      <w:pBdr>
        <w:top w:val="single" w:sz="4" w:space="0" w:color="auto"/>
        <w:left w:val="single" w:sz="4" w:space="0" w:color="auto"/>
        <w:bottom w:val="single" w:sz="4" w:space="0" w:color="auto"/>
        <w:right w:val="single" w:sz="4" w:space="0" w:color="auto"/>
      </w:pBdr>
      <w:shd w:val="clear" w:color="000000" w:fill="FFFFFF"/>
      <w:tabs>
        <w:tab w:val="clear" w:pos="7780"/>
      </w:tabs>
      <w:spacing w:before="100" w:beforeAutospacing="1" w:after="100" w:afterAutospacing="1"/>
      <w:jc w:val="center"/>
      <w:textAlignment w:val="center"/>
    </w:pPr>
    <w:rPr>
      <w:rFonts w:ascii="Franklin Gothic Book" w:eastAsia="Times New Roman" w:hAnsi="Franklin Gothic Book" w:cs="Times New Roman"/>
      <w:color w:val="000000"/>
      <w:sz w:val="20"/>
      <w:szCs w:val="20"/>
      <w:lang w:eastAsia="en-GB"/>
    </w:rPr>
  </w:style>
  <w:style w:type="paragraph" w:customStyle="1" w:styleId="xl94">
    <w:name w:val="xl94"/>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95">
    <w:name w:val="xl95"/>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textAlignment w:val="center"/>
    </w:pPr>
    <w:rPr>
      <w:rFonts w:ascii="Franklin Gothic Book" w:eastAsia="Times New Roman" w:hAnsi="Franklin Gothic Book" w:cs="Times New Roman"/>
      <w:color w:val="000000"/>
      <w:sz w:val="20"/>
      <w:szCs w:val="20"/>
      <w:lang w:eastAsia="en-GB"/>
    </w:rPr>
  </w:style>
  <w:style w:type="paragraph" w:customStyle="1" w:styleId="xl96">
    <w:name w:val="xl96"/>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textAlignment w:val="center"/>
    </w:pPr>
    <w:rPr>
      <w:rFonts w:ascii="Franklin Gothic Book" w:eastAsia="Times New Roman" w:hAnsi="Franklin Gothic Book" w:cs="Times New Roman"/>
      <w:color w:val="auto"/>
      <w:sz w:val="20"/>
      <w:szCs w:val="20"/>
      <w:lang w:eastAsia="en-GB"/>
    </w:rPr>
  </w:style>
  <w:style w:type="paragraph" w:customStyle="1" w:styleId="xl97">
    <w:name w:val="xl97"/>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000000"/>
      <w:sz w:val="20"/>
      <w:szCs w:val="20"/>
      <w:lang w:eastAsia="en-GB"/>
    </w:rPr>
  </w:style>
  <w:style w:type="paragraph" w:customStyle="1" w:styleId="xl98">
    <w:name w:val="xl98"/>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000000"/>
      <w:sz w:val="20"/>
      <w:szCs w:val="20"/>
      <w:lang w:eastAsia="en-GB"/>
    </w:rPr>
  </w:style>
  <w:style w:type="paragraph" w:customStyle="1" w:styleId="xl99">
    <w:name w:val="xl99"/>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00">
    <w:name w:val="xl100"/>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01">
    <w:name w:val="xl101"/>
    <w:basedOn w:val="Normal"/>
    <w:rsid w:val="00C640B0"/>
    <w:pPr>
      <w:pBdr>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customStyle="1" w:styleId="xl102">
    <w:name w:val="xl102"/>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103">
    <w:name w:val="xl103"/>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customStyle="1" w:styleId="xl104">
    <w:name w:val="xl104"/>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textAlignment w:val="center"/>
    </w:pPr>
    <w:rPr>
      <w:rFonts w:ascii="Times New Roman" w:eastAsia="Times New Roman" w:hAnsi="Times New Roman" w:cs="Times New Roman"/>
      <w:color w:val="1D2228"/>
      <w:sz w:val="20"/>
      <w:szCs w:val="20"/>
      <w:lang w:eastAsia="en-GB"/>
    </w:rPr>
  </w:style>
  <w:style w:type="paragraph" w:customStyle="1" w:styleId="xl105">
    <w:name w:val="xl105"/>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textAlignment w:val="center"/>
    </w:pPr>
    <w:rPr>
      <w:rFonts w:ascii="Times New Roman" w:eastAsia="Times New Roman" w:hAnsi="Times New Roman" w:cs="Times New Roman"/>
      <w:color w:val="auto"/>
      <w:sz w:val="20"/>
      <w:szCs w:val="20"/>
      <w:lang w:eastAsia="en-GB"/>
    </w:rPr>
  </w:style>
  <w:style w:type="paragraph" w:customStyle="1" w:styleId="xl106">
    <w:name w:val="xl106"/>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textAlignment w:val="center"/>
    </w:pPr>
    <w:rPr>
      <w:rFonts w:ascii="Times New Roman" w:eastAsia="Times New Roman" w:hAnsi="Times New Roman" w:cs="Times New Roman"/>
      <w:color w:val="auto"/>
      <w:sz w:val="20"/>
      <w:szCs w:val="20"/>
      <w:lang w:eastAsia="en-GB"/>
    </w:rPr>
  </w:style>
  <w:style w:type="paragraph" w:customStyle="1" w:styleId="xl107">
    <w:name w:val="xl107"/>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right"/>
      <w:textAlignment w:val="center"/>
    </w:pPr>
    <w:rPr>
      <w:rFonts w:ascii="Times New Roman" w:eastAsia="Times New Roman" w:hAnsi="Times New Roman" w:cs="Times New Roman"/>
      <w:color w:val="auto"/>
      <w:sz w:val="20"/>
      <w:szCs w:val="20"/>
      <w:lang w:eastAsia="en-GB"/>
    </w:rPr>
  </w:style>
  <w:style w:type="paragraph" w:customStyle="1" w:styleId="xl108">
    <w:name w:val="xl108"/>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right"/>
      <w:textAlignment w:val="center"/>
    </w:pPr>
    <w:rPr>
      <w:rFonts w:ascii="Times New Roman" w:eastAsia="Times New Roman" w:hAnsi="Times New Roman" w:cs="Times New Roman"/>
      <w:color w:val="auto"/>
      <w:sz w:val="20"/>
      <w:szCs w:val="20"/>
      <w:lang w:eastAsia="en-GB"/>
    </w:rPr>
  </w:style>
  <w:style w:type="paragraph" w:customStyle="1" w:styleId="xl109">
    <w:name w:val="xl109"/>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10">
    <w:name w:val="xl110"/>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11">
    <w:name w:val="xl111"/>
    <w:basedOn w:val="Normal"/>
    <w:rsid w:val="00C640B0"/>
    <w:pPr>
      <w:pBdr>
        <w:top w:val="single" w:sz="4" w:space="0" w:color="auto"/>
        <w:left w:val="single" w:sz="4" w:space="0" w:color="auto"/>
        <w:bottom w:val="single" w:sz="4" w:space="0" w:color="auto"/>
        <w:right w:val="single" w:sz="4" w:space="0" w:color="auto"/>
      </w:pBdr>
      <w:shd w:val="clear" w:color="000000" w:fill="FFFFFF"/>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112">
    <w:name w:val="xl112"/>
    <w:basedOn w:val="Normal"/>
    <w:rsid w:val="00C640B0"/>
    <w:pPr>
      <w:pBdr>
        <w:top w:val="single" w:sz="4" w:space="0" w:color="auto"/>
        <w:left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customStyle="1" w:styleId="xl113">
    <w:name w:val="xl113"/>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textAlignment w:val="center"/>
    </w:pPr>
    <w:rPr>
      <w:rFonts w:ascii="Times New Roman" w:eastAsia="Times New Roman" w:hAnsi="Times New Roman" w:cs="Times New Roman"/>
      <w:color w:val="000000"/>
      <w:sz w:val="20"/>
      <w:szCs w:val="20"/>
      <w:lang w:eastAsia="en-GB"/>
    </w:rPr>
  </w:style>
  <w:style w:type="paragraph" w:customStyle="1" w:styleId="xl114">
    <w:name w:val="xl114"/>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right"/>
      <w:textAlignment w:val="center"/>
    </w:pPr>
    <w:rPr>
      <w:rFonts w:ascii="Times New Roman" w:eastAsia="Times New Roman" w:hAnsi="Times New Roman" w:cs="Times New Roman"/>
      <w:color w:val="auto"/>
      <w:sz w:val="20"/>
      <w:szCs w:val="20"/>
      <w:lang w:eastAsia="en-GB"/>
    </w:rPr>
  </w:style>
  <w:style w:type="paragraph" w:customStyle="1" w:styleId="xl115">
    <w:name w:val="xl115"/>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pPr>
    <w:rPr>
      <w:rFonts w:ascii="Franklin Gothic Book" w:eastAsia="Times New Roman" w:hAnsi="Franklin Gothic Book" w:cs="Times New Roman"/>
      <w:color w:val="auto"/>
      <w:sz w:val="24"/>
      <w:szCs w:val="24"/>
      <w:lang w:eastAsia="en-GB"/>
    </w:rPr>
  </w:style>
  <w:style w:type="paragraph" w:customStyle="1" w:styleId="xl116">
    <w:name w:val="xl116"/>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17">
    <w:name w:val="xl117"/>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18">
    <w:name w:val="xl118"/>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19">
    <w:name w:val="xl119"/>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textAlignment w:val="center"/>
    </w:pPr>
    <w:rPr>
      <w:rFonts w:ascii="Franklin Gothic Book" w:eastAsia="Times New Roman" w:hAnsi="Franklin Gothic Book" w:cs="Times New Roman"/>
      <w:color w:val="auto"/>
      <w:sz w:val="20"/>
      <w:szCs w:val="20"/>
      <w:lang w:eastAsia="en-GB"/>
    </w:rPr>
  </w:style>
  <w:style w:type="paragraph" w:customStyle="1" w:styleId="xl120">
    <w:name w:val="xl120"/>
    <w:basedOn w:val="Normal"/>
    <w:rsid w:val="00C640B0"/>
    <w:pPr>
      <w:pBdr>
        <w:top w:val="single" w:sz="4" w:space="0" w:color="auto"/>
        <w:left w:val="single" w:sz="4" w:space="0" w:color="auto"/>
        <w:bottom w:val="single" w:sz="4" w:space="0" w:color="auto"/>
        <w:right w:val="single" w:sz="4" w:space="0" w:color="auto"/>
      </w:pBdr>
      <w:shd w:val="clear" w:color="000000" w:fill="FFC000"/>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0"/>
      <w:szCs w:val="20"/>
      <w:lang w:eastAsia="en-GB"/>
    </w:rPr>
  </w:style>
  <w:style w:type="paragraph" w:customStyle="1" w:styleId="xl121">
    <w:name w:val="xl121"/>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22">
    <w:name w:val="xl122"/>
    <w:basedOn w:val="Normal"/>
    <w:rsid w:val="00C640B0"/>
    <w:pPr>
      <w:pBdr>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23">
    <w:name w:val="xl123"/>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textAlignment w:val="center"/>
    </w:pPr>
    <w:rPr>
      <w:rFonts w:ascii="Franklin Gothic Book" w:eastAsia="Times New Roman" w:hAnsi="Franklin Gothic Book" w:cs="Times New Roman"/>
      <w:color w:val="auto"/>
      <w:sz w:val="20"/>
      <w:szCs w:val="20"/>
      <w:lang w:eastAsia="en-GB"/>
    </w:rPr>
  </w:style>
  <w:style w:type="paragraph" w:customStyle="1" w:styleId="xl124">
    <w:name w:val="xl124"/>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25">
    <w:name w:val="xl125"/>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pPr>
    <w:rPr>
      <w:rFonts w:ascii="Times New Roman" w:eastAsia="Times New Roman" w:hAnsi="Times New Roman" w:cs="Times New Roman"/>
      <w:color w:val="auto"/>
      <w:sz w:val="20"/>
      <w:szCs w:val="20"/>
      <w:lang w:eastAsia="en-GB"/>
    </w:rPr>
  </w:style>
  <w:style w:type="paragraph" w:customStyle="1" w:styleId="xl126">
    <w:name w:val="xl126"/>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pPr>
    <w:rPr>
      <w:rFonts w:ascii="Times New Roman" w:eastAsia="Times New Roman" w:hAnsi="Times New Roman" w:cs="Times New Roman"/>
      <w:color w:val="auto"/>
      <w:sz w:val="20"/>
      <w:szCs w:val="20"/>
      <w:lang w:eastAsia="en-GB"/>
    </w:rPr>
  </w:style>
  <w:style w:type="paragraph" w:customStyle="1" w:styleId="xl127">
    <w:name w:val="xl127"/>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pPr>
    <w:rPr>
      <w:rFonts w:ascii="Times New Roman" w:eastAsia="Times New Roman" w:hAnsi="Times New Roman" w:cs="Times New Roman"/>
      <w:color w:val="auto"/>
      <w:sz w:val="20"/>
      <w:szCs w:val="20"/>
      <w:lang w:eastAsia="en-GB"/>
    </w:rPr>
  </w:style>
  <w:style w:type="paragraph" w:customStyle="1" w:styleId="xl128">
    <w:name w:val="xl128"/>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pPr>
    <w:rPr>
      <w:rFonts w:ascii="Times New Roman" w:eastAsia="Times New Roman" w:hAnsi="Times New Roman" w:cs="Times New Roman"/>
      <w:color w:val="auto"/>
      <w:sz w:val="20"/>
      <w:szCs w:val="20"/>
      <w:lang w:eastAsia="en-GB"/>
    </w:rPr>
  </w:style>
  <w:style w:type="paragraph" w:customStyle="1" w:styleId="xl129">
    <w:name w:val="xl129"/>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30">
    <w:name w:val="xl130"/>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pPr>
    <w:rPr>
      <w:rFonts w:ascii="Franklin Gothic Book" w:eastAsia="Times New Roman" w:hAnsi="Franklin Gothic Book" w:cs="Times New Roman"/>
      <w:color w:val="auto"/>
      <w:sz w:val="20"/>
      <w:szCs w:val="20"/>
      <w:lang w:eastAsia="en-GB"/>
    </w:rPr>
  </w:style>
  <w:style w:type="paragraph" w:customStyle="1" w:styleId="xl131">
    <w:name w:val="xl131"/>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132">
    <w:name w:val="xl132"/>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33">
    <w:name w:val="xl133"/>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color w:val="000000"/>
      <w:sz w:val="20"/>
      <w:szCs w:val="20"/>
      <w:lang w:eastAsia="en-GB"/>
    </w:rPr>
  </w:style>
  <w:style w:type="paragraph" w:customStyle="1" w:styleId="xl134">
    <w:name w:val="xl134"/>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135">
    <w:name w:val="xl135"/>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136">
    <w:name w:val="xl136"/>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137">
    <w:name w:val="xl137"/>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000000"/>
      <w:sz w:val="20"/>
      <w:szCs w:val="20"/>
      <w:lang w:eastAsia="en-GB"/>
    </w:rPr>
  </w:style>
  <w:style w:type="paragraph" w:customStyle="1" w:styleId="xl138">
    <w:name w:val="xl138"/>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139">
    <w:name w:val="xl139"/>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Times New Roman" w:eastAsia="Times New Roman" w:hAnsi="Times New Roman" w:cs="Times New Roman"/>
      <w:color w:val="000000"/>
      <w:sz w:val="20"/>
      <w:szCs w:val="20"/>
      <w:lang w:eastAsia="en-GB"/>
    </w:rPr>
  </w:style>
  <w:style w:type="paragraph" w:customStyle="1" w:styleId="xl140">
    <w:name w:val="xl140"/>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color w:val="1D2228"/>
      <w:sz w:val="20"/>
      <w:szCs w:val="20"/>
      <w:lang w:eastAsia="en-GB"/>
    </w:rPr>
  </w:style>
  <w:style w:type="paragraph" w:customStyle="1" w:styleId="xl141">
    <w:name w:val="xl141"/>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color w:val="000000"/>
      <w:sz w:val="20"/>
      <w:szCs w:val="20"/>
      <w:lang w:eastAsia="en-GB"/>
    </w:rPr>
  </w:style>
  <w:style w:type="paragraph" w:customStyle="1" w:styleId="xl142">
    <w:name w:val="xl142"/>
    <w:basedOn w:val="Normal"/>
    <w:rsid w:val="00C640B0"/>
    <w:pPr>
      <w:pBdr>
        <w:top w:val="single" w:sz="4" w:space="0" w:color="auto"/>
        <w:left w:val="single" w:sz="4" w:space="0" w:color="auto"/>
        <w:bottom w:val="single" w:sz="4" w:space="0" w:color="auto"/>
        <w:right w:val="single" w:sz="4" w:space="0" w:color="auto"/>
      </w:pBdr>
      <w:shd w:val="clear" w:color="000000" w:fill="FFFFFF"/>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43">
    <w:name w:val="xl143"/>
    <w:basedOn w:val="Normal"/>
    <w:rsid w:val="00C640B0"/>
    <w:pPr>
      <w:pBdr>
        <w:top w:val="single" w:sz="4" w:space="0" w:color="auto"/>
        <w:left w:val="single" w:sz="4" w:space="0" w:color="auto"/>
        <w:bottom w:val="single" w:sz="4" w:space="0" w:color="auto"/>
        <w:right w:val="single" w:sz="4" w:space="0" w:color="auto"/>
      </w:pBdr>
      <w:shd w:val="clear" w:color="000000" w:fill="FFC000"/>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0"/>
      <w:szCs w:val="20"/>
      <w:lang w:eastAsia="en-GB"/>
    </w:rPr>
  </w:style>
  <w:style w:type="paragraph" w:customStyle="1" w:styleId="xl144">
    <w:name w:val="xl144"/>
    <w:basedOn w:val="Normal"/>
    <w:rsid w:val="00C640B0"/>
    <w:pPr>
      <w:pBdr>
        <w:top w:val="single" w:sz="4" w:space="0" w:color="auto"/>
        <w:left w:val="single" w:sz="4" w:space="0" w:color="auto"/>
        <w:bottom w:val="single" w:sz="4" w:space="0" w:color="auto"/>
        <w:right w:val="single" w:sz="4" w:space="0" w:color="auto"/>
      </w:pBdr>
      <w:shd w:val="clear" w:color="FFFFFF" w:fill="FFFFFF"/>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145">
    <w:name w:val="xl145"/>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146">
    <w:name w:val="xl146"/>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47">
    <w:name w:val="xl147"/>
    <w:basedOn w:val="Normal"/>
    <w:rsid w:val="00C640B0"/>
    <w:pPr>
      <w:pBdr>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48">
    <w:name w:val="xl148"/>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49">
    <w:name w:val="xl149"/>
    <w:basedOn w:val="Normal"/>
    <w:rsid w:val="00C640B0"/>
    <w:pPr>
      <w:pBdr>
        <w:top w:val="single" w:sz="4" w:space="0" w:color="auto"/>
        <w:left w:val="single" w:sz="4" w:space="0" w:color="auto"/>
        <w:bottom w:val="single" w:sz="4" w:space="0" w:color="auto"/>
        <w:right w:val="single" w:sz="4" w:space="0" w:color="auto"/>
      </w:pBdr>
      <w:shd w:val="clear" w:color="000000" w:fill="FFFFFF"/>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50">
    <w:name w:val="xl150"/>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51">
    <w:name w:val="xl151"/>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152">
    <w:name w:val="xl152"/>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53">
    <w:name w:val="xl153"/>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54">
    <w:name w:val="xl154"/>
    <w:basedOn w:val="Normal"/>
    <w:rsid w:val="00C640B0"/>
    <w:pPr>
      <w:pBdr>
        <w:top w:val="single" w:sz="4" w:space="0" w:color="auto"/>
        <w:left w:val="single" w:sz="4" w:space="0" w:color="auto"/>
        <w:bottom w:val="single" w:sz="4" w:space="0" w:color="auto"/>
        <w:right w:val="single" w:sz="4" w:space="0" w:color="auto"/>
      </w:pBdr>
      <w:shd w:val="clear" w:color="000000" w:fill="FFF2CC"/>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0"/>
      <w:szCs w:val="20"/>
      <w:lang w:eastAsia="en-GB"/>
    </w:rPr>
  </w:style>
  <w:style w:type="paragraph" w:customStyle="1" w:styleId="xl155">
    <w:name w:val="xl155"/>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textAlignment w:val="center"/>
    </w:pPr>
    <w:rPr>
      <w:rFonts w:ascii="Franklin Gothic Book" w:eastAsia="Times New Roman" w:hAnsi="Franklin Gothic Book" w:cs="Times New Roman"/>
      <w:color w:val="0070C0"/>
      <w:sz w:val="20"/>
      <w:szCs w:val="20"/>
      <w:lang w:eastAsia="en-GB"/>
    </w:rPr>
  </w:style>
  <w:style w:type="paragraph" w:customStyle="1" w:styleId="xl156">
    <w:name w:val="xl156"/>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pPr>
    <w:rPr>
      <w:rFonts w:ascii="Franklin Gothic Book" w:eastAsia="Times New Roman" w:hAnsi="Franklin Gothic Book" w:cs="Times New Roman"/>
      <w:color w:val="auto"/>
      <w:sz w:val="20"/>
      <w:szCs w:val="20"/>
      <w:lang w:eastAsia="en-GB"/>
    </w:rPr>
  </w:style>
  <w:style w:type="paragraph" w:customStyle="1" w:styleId="xl157">
    <w:name w:val="xl157"/>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0563C1"/>
      <w:sz w:val="20"/>
      <w:szCs w:val="20"/>
      <w:u w:val="single"/>
      <w:lang w:eastAsia="en-GB"/>
    </w:rPr>
  </w:style>
  <w:style w:type="paragraph" w:customStyle="1" w:styleId="xl158">
    <w:name w:val="xl158"/>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0070C0"/>
      <w:sz w:val="20"/>
      <w:szCs w:val="20"/>
      <w:u w:val="single"/>
      <w:lang w:eastAsia="en-GB"/>
    </w:rPr>
  </w:style>
  <w:style w:type="paragraph" w:customStyle="1" w:styleId="xl159">
    <w:name w:val="xl159"/>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u w:val="single"/>
      <w:lang w:eastAsia="en-GB"/>
    </w:rPr>
  </w:style>
  <w:style w:type="paragraph" w:customStyle="1" w:styleId="xl160">
    <w:name w:val="xl160"/>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u w:val="single"/>
      <w:lang w:eastAsia="en-GB"/>
    </w:rPr>
  </w:style>
  <w:style w:type="paragraph" w:customStyle="1" w:styleId="xl161">
    <w:name w:val="xl161"/>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color w:val="0070C0"/>
      <w:sz w:val="20"/>
      <w:szCs w:val="20"/>
      <w:u w:val="single"/>
      <w:lang w:eastAsia="en-GB"/>
    </w:rPr>
  </w:style>
  <w:style w:type="paragraph" w:customStyle="1" w:styleId="xl162">
    <w:name w:val="xl162"/>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color w:val="0070C0"/>
      <w:sz w:val="20"/>
      <w:szCs w:val="20"/>
      <w:u w:val="single"/>
      <w:lang w:eastAsia="en-GB"/>
    </w:rPr>
  </w:style>
  <w:style w:type="paragraph" w:customStyle="1" w:styleId="xl163">
    <w:name w:val="xl163"/>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8"/>
      <w:szCs w:val="28"/>
      <w:lang w:eastAsia="en-GB"/>
    </w:rPr>
  </w:style>
  <w:style w:type="paragraph" w:customStyle="1" w:styleId="xl164">
    <w:name w:val="xl164"/>
    <w:basedOn w:val="Normal"/>
    <w:rsid w:val="00C640B0"/>
    <w:pPr>
      <w:pBdr>
        <w:left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4"/>
      <w:szCs w:val="24"/>
      <w:lang w:eastAsia="en-GB"/>
    </w:rPr>
  </w:style>
  <w:style w:type="paragraph" w:customStyle="1" w:styleId="xl165">
    <w:name w:val="xl165"/>
    <w:basedOn w:val="Normal"/>
    <w:rsid w:val="00C640B0"/>
    <w:pPr>
      <w:pBdr>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4"/>
      <w:szCs w:val="24"/>
      <w:lang w:eastAsia="en-GB"/>
    </w:rPr>
  </w:style>
  <w:style w:type="paragraph" w:customStyle="1" w:styleId="xl166">
    <w:name w:val="xl166"/>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pPr>
    <w:rPr>
      <w:rFonts w:ascii="Times New Roman" w:eastAsia="Times New Roman" w:hAnsi="Times New Roman" w:cs="Times New Roman"/>
      <w:b/>
      <w:bCs/>
      <w:color w:val="auto"/>
      <w:sz w:val="24"/>
      <w:szCs w:val="24"/>
      <w:lang w:eastAsia="en-GB"/>
    </w:rPr>
  </w:style>
  <w:style w:type="paragraph" w:customStyle="1" w:styleId="xl167">
    <w:name w:val="xl167"/>
    <w:basedOn w:val="Normal"/>
    <w:rsid w:val="00C640B0"/>
    <w:pPr>
      <w:pBdr>
        <w:top w:val="single" w:sz="4" w:space="0" w:color="auto"/>
        <w:left w:val="single" w:sz="4" w:space="0" w:color="auto"/>
        <w:right w:val="single" w:sz="4" w:space="0" w:color="auto"/>
      </w:pBdr>
      <w:shd w:val="clear" w:color="000000" w:fill="375623"/>
      <w:tabs>
        <w:tab w:val="clear" w:pos="7780"/>
      </w:tabs>
      <w:spacing w:before="100" w:beforeAutospacing="1" w:after="100" w:afterAutospacing="1"/>
      <w:jc w:val="center"/>
    </w:pPr>
    <w:rPr>
      <w:rFonts w:ascii="Times New Roman" w:eastAsia="Times New Roman" w:hAnsi="Times New Roman" w:cs="Times New Roman"/>
      <w:b/>
      <w:bCs/>
      <w:color w:val="auto"/>
      <w:sz w:val="24"/>
      <w:szCs w:val="24"/>
      <w:lang w:eastAsia="en-GB"/>
    </w:rPr>
  </w:style>
  <w:style w:type="paragraph" w:customStyle="1" w:styleId="xl168">
    <w:name w:val="xl168"/>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pPr>
    <w:rPr>
      <w:rFonts w:ascii="Times New Roman" w:eastAsia="Times New Roman" w:hAnsi="Times New Roman" w:cs="Times New Roman"/>
      <w:b/>
      <w:bCs/>
      <w:color w:val="auto"/>
      <w:sz w:val="24"/>
      <w:szCs w:val="24"/>
      <w:lang w:eastAsia="en-GB"/>
    </w:rPr>
  </w:style>
  <w:style w:type="paragraph" w:customStyle="1" w:styleId="xl169">
    <w:name w:val="xl169"/>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textAlignment w:val="center"/>
    </w:pPr>
    <w:rPr>
      <w:rFonts w:ascii="Franklin Gothic Book" w:eastAsia="Times New Roman" w:hAnsi="Franklin Gothic Book" w:cs="Times New Roman"/>
      <w:color w:val="auto"/>
      <w:sz w:val="24"/>
      <w:szCs w:val="24"/>
      <w:lang w:eastAsia="en-GB"/>
    </w:rPr>
  </w:style>
  <w:style w:type="paragraph" w:customStyle="1" w:styleId="xl170">
    <w:name w:val="xl170"/>
    <w:basedOn w:val="Normal"/>
    <w:rsid w:val="00C640B0"/>
    <w:pPr>
      <w:tabs>
        <w:tab w:val="clear" w:pos="7780"/>
      </w:tabs>
      <w:spacing w:before="100" w:beforeAutospacing="1" w:after="100" w:afterAutospacing="1"/>
    </w:pPr>
    <w:rPr>
      <w:rFonts w:ascii="Franklin Gothic Book" w:eastAsia="Times New Roman" w:hAnsi="Franklin Gothic Book" w:cs="Times New Roman"/>
      <w:color w:val="auto"/>
      <w:sz w:val="24"/>
      <w:szCs w:val="24"/>
      <w:lang w:eastAsia="en-GB"/>
    </w:rPr>
  </w:style>
  <w:style w:type="paragraph" w:customStyle="1" w:styleId="xl171">
    <w:name w:val="xl171"/>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textAlignment w:val="center"/>
    </w:pPr>
    <w:rPr>
      <w:rFonts w:ascii="Franklin Gothic Book" w:eastAsia="Times New Roman" w:hAnsi="Franklin Gothic Book" w:cs="Times New Roman"/>
      <w:color w:val="auto"/>
      <w:sz w:val="24"/>
      <w:szCs w:val="24"/>
      <w:lang w:eastAsia="en-GB"/>
    </w:rPr>
  </w:style>
  <w:style w:type="paragraph" w:customStyle="1" w:styleId="xl172">
    <w:name w:val="xl172"/>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textAlignment w:val="center"/>
    </w:pPr>
    <w:rPr>
      <w:rFonts w:ascii="Franklin Gothic Book" w:eastAsia="Times New Roman" w:hAnsi="Franklin Gothic Book" w:cs="Times New Roman"/>
      <w:color w:val="auto"/>
      <w:sz w:val="20"/>
      <w:szCs w:val="20"/>
      <w:lang w:eastAsia="en-GB"/>
    </w:rPr>
  </w:style>
  <w:style w:type="paragraph" w:customStyle="1" w:styleId="xl173">
    <w:name w:val="xl173"/>
    <w:basedOn w:val="Normal"/>
    <w:rsid w:val="00C640B0"/>
    <w:pPr>
      <w:pBdr>
        <w:top w:val="single" w:sz="4" w:space="0" w:color="auto"/>
        <w:left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74">
    <w:name w:val="xl174"/>
    <w:basedOn w:val="Normal"/>
    <w:rsid w:val="00C640B0"/>
    <w:pPr>
      <w:pBdr>
        <w:top w:val="single" w:sz="4" w:space="0" w:color="auto"/>
        <w:left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75">
    <w:name w:val="xl175"/>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0563C1"/>
      <w:sz w:val="20"/>
      <w:szCs w:val="20"/>
      <w:u w:val="single"/>
      <w:lang w:eastAsia="en-GB"/>
    </w:rPr>
  </w:style>
  <w:style w:type="paragraph" w:customStyle="1" w:styleId="xl176">
    <w:name w:val="xl176"/>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textAlignment w:val="center"/>
    </w:pPr>
    <w:rPr>
      <w:rFonts w:ascii="Franklin Gothic Book" w:eastAsia="Times New Roman" w:hAnsi="Franklin Gothic Book" w:cs="Times New Roman"/>
      <w:color w:val="auto"/>
      <w:sz w:val="20"/>
      <w:szCs w:val="20"/>
      <w:lang w:eastAsia="en-GB"/>
    </w:rPr>
  </w:style>
  <w:style w:type="paragraph" w:customStyle="1" w:styleId="xl177">
    <w:name w:val="xl177"/>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000000"/>
      <w:sz w:val="20"/>
      <w:szCs w:val="20"/>
      <w:lang w:eastAsia="en-GB"/>
    </w:rPr>
  </w:style>
  <w:style w:type="paragraph" w:customStyle="1" w:styleId="xl178">
    <w:name w:val="xl178"/>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0070C0"/>
      <w:sz w:val="20"/>
      <w:szCs w:val="20"/>
      <w:lang w:eastAsia="en-GB"/>
    </w:rPr>
  </w:style>
  <w:style w:type="paragraph" w:customStyle="1" w:styleId="xl179">
    <w:name w:val="xl179"/>
    <w:basedOn w:val="Normal"/>
    <w:rsid w:val="00C640B0"/>
    <w:pP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0563C1"/>
      <w:sz w:val="20"/>
      <w:szCs w:val="20"/>
      <w:u w:val="single"/>
      <w:lang w:eastAsia="en-GB"/>
    </w:rPr>
  </w:style>
  <w:style w:type="paragraph" w:customStyle="1" w:styleId="xl180">
    <w:name w:val="xl180"/>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0070C0"/>
      <w:sz w:val="20"/>
      <w:szCs w:val="20"/>
      <w:u w:val="single"/>
      <w:lang w:eastAsia="en-GB"/>
    </w:rPr>
  </w:style>
  <w:style w:type="paragraph" w:customStyle="1" w:styleId="xl181">
    <w:name w:val="xl181"/>
    <w:basedOn w:val="Normal"/>
    <w:rsid w:val="00C640B0"/>
    <w:pPr>
      <w:pBdr>
        <w:top w:val="single" w:sz="4" w:space="0" w:color="auto"/>
        <w:left w:val="single" w:sz="4" w:space="0" w:color="auto"/>
        <w:bottom w:val="single" w:sz="4" w:space="0" w:color="auto"/>
        <w:right w:val="single" w:sz="4" w:space="0" w:color="auto"/>
      </w:pBdr>
      <w:shd w:val="clear" w:color="FFFFFF" w:fill="FFFFFF"/>
      <w:tabs>
        <w:tab w:val="clear" w:pos="7780"/>
      </w:tabs>
      <w:spacing w:before="100" w:beforeAutospacing="1" w:after="100" w:afterAutospacing="1"/>
      <w:jc w:val="center"/>
      <w:textAlignment w:val="center"/>
    </w:pPr>
    <w:rPr>
      <w:rFonts w:ascii="Times New Roman" w:eastAsia="Times New Roman" w:hAnsi="Times New Roman" w:cs="Times New Roman"/>
      <w:color w:val="0070C0"/>
      <w:sz w:val="20"/>
      <w:szCs w:val="20"/>
      <w:u w:val="single"/>
      <w:lang w:eastAsia="en-GB"/>
    </w:rPr>
  </w:style>
  <w:style w:type="paragraph" w:customStyle="1" w:styleId="xl182">
    <w:name w:val="xl182"/>
    <w:basedOn w:val="Normal"/>
    <w:rsid w:val="00C640B0"/>
    <w:pPr>
      <w:pBdr>
        <w:top w:val="single" w:sz="4" w:space="0" w:color="auto"/>
        <w:left w:val="single" w:sz="4" w:space="0" w:color="auto"/>
        <w:bottom w:val="single" w:sz="4" w:space="0" w:color="auto"/>
        <w:right w:val="single" w:sz="4" w:space="0" w:color="auto"/>
      </w:pBdr>
      <w:shd w:val="clear" w:color="FFFFFF" w:fill="FFFFFF"/>
      <w:tabs>
        <w:tab w:val="clear" w:pos="7780"/>
      </w:tabs>
      <w:spacing w:before="100" w:beforeAutospacing="1" w:after="100" w:afterAutospacing="1"/>
      <w:jc w:val="center"/>
      <w:textAlignment w:val="center"/>
    </w:pPr>
    <w:rPr>
      <w:rFonts w:ascii="Times New Roman" w:eastAsia="Times New Roman" w:hAnsi="Times New Roman" w:cs="Times New Roman"/>
      <w:color w:val="0070C0"/>
      <w:sz w:val="20"/>
      <w:szCs w:val="20"/>
      <w:u w:val="single"/>
      <w:lang w:eastAsia="en-GB"/>
    </w:rPr>
  </w:style>
  <w:style w:type="paragraph" w:customStyle="1" w:styleId="xl183">
    <w:name w:val="xl183"/>
    <w:basedOn w:val="Normal"/>
    <w:rsid w:val="00C640B0"/>
    <w:pPr>
      <w:pBdr>
        <w:top w:val="single" w:sz="4" w:space="0" w:color="auto"/>
        <w:left w:val="single" w:sz="4" w:space="0" w:color="auto"/>
        <w:bottom w:val="single" w:sz="4" w:space="0" w:color="auto"/>
        <w:right w:val="single" w:sz="4" w:space="0" w:color="auto"/>
      </w:pBdr>
      <w:shd w:val="clear" w:color="000000" w:fill="375623"/>
      <w:tabs>
        <w:tab w:val="clear" w:pos="7780"/>
      </w:tabs>
      <w:spacing w:before="100" w:beforeAutospacing="1" w:after="100" w:afterAutospacing="1"/>
      <w:jc w:val="center"/>
      <w:textAlignment w:val="center"/>
    </w:pPr>
    <w:rPr>
      <w:rFonts w:ascii="Franklin Gothic Book" w:eastAsia="Times New Roman" w:hAnsi="Franklin Gothic Book" w:cs="Times New Roman"/>
      <w:color w:val="0070C0"/>
      <w:sz w:val="20"/>
      <w:szCs w:val="20"/>
      <w:lang w:eastAsia="en-GB"/>
    </w:rPr>
  </w:style>
  <w:style w:type="paragraph" w:customStyle="1" w:styleId="xl184">
    <w:name w:val="xl184"/>
    <w:basedOn w:val="Normal"/>
    <w:rsid w:val="00C640B0"/>
    <w:pPr>
      <w:pBdr>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0070C0"/>
      <w:sz w:val="20"/>
      <w:szCs w:val="20"/>
      <w:u w:val="single"/>
      <w:lang w:eastAsia="en-GB"/>
    </w:rPr>
  </w:style>
  <w:style w:type="paragraph" w:customStyle="1" w:styleId="xl185">
    <w:name w:val="xl185"/>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0070C0"/>
      <w:sz w:val="20"/>
      <w:szCs w:val="20"/>
      <w:lang w:eastAsia="en-GB"/>
    </w:rPr>
  </w:style>
  <w:style w:type="paragraph" w:customStyle="1" w:styleId="xl186">
    <w:name w:val="xl186"/>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pPr>
    <w:rPr>
      <w:rFonts w:ascii="Franklin Gothic Book" w:eastAsia="Times New Roman" w:hAnsi="Franklin Gothic Book" w:cs="Times New Roman"/>
      <w:color w:val="0563C1"/>
      <w:sz w:val="20"/>
      <w:szCs w:val="20"/>
      <w:u w:val="single"/>
      <w:lang w:eastAsia="en-GB"/>
    </w:rPr>
  </w:style>
  <w:style w:type="paragraph" w:customStyle="1" w:styleId="xl187">
    <w:name w:val="xl187"/>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0563C1"/>
      <w:sz w:val="20"/>
      <w:szCs w:val="20"/>
      <w:u w:val="single"/>
      <w:lang w:eastAsia="en-GB"/>
    </w:rPr>
  </w:style>
  <w:style w:type="paragraph" w:customStyle="1" w:styleId="xl188">
    <w:name w:val="xl188"/>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0563C1"/>
      <w:sz w:val="20"/>
      <w:szCs w:val="20"/>
      <w:u w:val="single"/>
      <w:lang w:eastAsia="en-GB"/>
    </w:rPr>
  </w:style>
  <w:style w:type="paragraph" w:customStyle="1" w:styleId="xl189">
    <w:name w:val="xl189"/>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0070C0"/>
      <w:sz w:val="20"/>
      <w:szCs w:val="20"/>
      <w:u w:val="single"/>
      <w:lang w:eastAsia="en-GB"/>
    </w:rPr>
  </w:style>
  <w:style w:type="paragraph" w:customStyle="1" w:styleId="xl190">
    <w:name w:val="xl190"/>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0070C0"/>
      <w:sz w:val="24"/>
      <w:szCs w:val="24"/>
      <w:u w:val="single"/>
      <w:lang w:eastAsia="en-GB"/>
    </w:rPr>
  </w:style>
  <w:style w:type="paragraph" w:customStyle="1" w:styleId="xl191">
    <w:name w:val="xl191"/>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0070C0"/>
      <w:sz w:val="24"/>
      <w:szCs w:val="24"/>
      <w:lang w:eastAsia="en-GB"/>
    </w:rPr>
  </w:style>
  <w:style w:type="paragraph" w:customStyle="1" w:styleId="xl192">
    <w:name w:val="xl192"/>
    <w:basedOn w:val="Normal"/>
    <w:rsid w:val="00C640B0"/>
    <w:pPr>
      <w:pBdr>
        <w:left w:val="single" w:sz="4" w:space="0" w:color="auto"/>
        <w:right w:val="single" w:sz="4" w:space="0" w:color="auto"/>
      </w:pBdr>
      <w:shd w:val="clear" w:color="000000" w:fill="375623"/>
      <w:tabs>
        <w:tab w:val="clear" w:pos="7780"/>
      </w:tabs>
      <w:spacing w:before="100" w:beforeAutospacing="1" w:after="100" w:afterAutospacing="1"/>
      <w:textAlignment w:val="center"/>
    </w:pPr>
    <w:rPr>
      <w:rFonts w:ascii="Times New Roman" w:eastAsia="Times New Roman" w:hAnsi="Times New Roman" w:cs="Times New Roman"/>
      <w:b/>
      <w:bCs/>
      <w:color w:val="auto"/>
      <w:sz w:val="24"/>
      <w:szCs w:val="24"/>
      <w:lang w:eastAsia="en-GB"/>
    </w:rPr>
  </w:style>
  <w:style w:type="paragraph" w:customStyle="1" w:styleId="xl193">
    <w:name w:val="xl193"/>
    <w:basedOn w:val="Normal"/>
    <w:rsid w:val="00C640B0"/>
    <w:pPr>
      <w:pBdr>
        <w:left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94">
    <w:name w:val="xl194"/>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444444"/>
      <w:sz w:val="20"/>
      <w:szCs w:val="20"/>
      <w:lang w:eastAsia="en-GB"/>
    </w:rPr>
  </w:style>
  <w:style w:type="paragraph" w:customStyle="1" w:styleId="xl195">
    <w:name w:val="xl195"/>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color w:val="auto"/>
      <w:sz w:val="20"/>
      <w:szCs w:val="20"/>
      <w:lang w:eastAsia="en-GB"/>
    </w:rPr>
  </w:style>
  <w:style w:type="paragraph" w:customStyle="1" w:styleId="xl196">
    <w:name w:val="xl196"/>
    <w:basedOn w:val="Normal"/>
    <w:rsid w:val="00C640B0"/>
    <w:pPr>
      <w:pBdr>
        <w:top w:val="single" w:sz="4" w:space="0" w:color="auto"/>
        <w:left w:val="single" w:sz="4" w:space="0" w:color="auto"/>
        <w:bottom w:val="single" w:sz="4" w:space="0" w:color="auto"/>
        <w:right w:val="single" w:sz="4" w:space="0" w:color="auto"/>
      </w:pBdr>
      <w:shd w:val="clear" w:color="000000" w:fill="FFE699"/>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97">
    <w:name w:val="xl197"/>
    <w:basedOn w:val="Normal"/>
    <w:rsid w:val="00C640B0"/>
    <w:pPr>
      <w:pBdr>
        <w:top w:val="single" w:sz="4" w:space="0" w:color="auto"/>
        <w:left w:val="single" w:sz="4" w:space="0" w:color="auto"/>
        <w:bottom w:val="single" w:sz="4" w:space="0" w:color="auto"/>
        <w:right w:val="single" w:sz="4" w:space="0" w:color="auto"/>
      </w:pBdr>
      <w:shd w:val="clear" w:color="000000" w:fill="FFFFFF"/>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98">
    <w:name w:val="xl198"/>
    <w:basedOn w:val="Normal"/>
    <w:rsid w:val="00C640B0"/>
    <w:pPr>
      <w:pBdr>
        <w:top w:val="single" w:sz="4" w:space="0" w:color="auto"/>
        <w:left w:val="single" w:sz="4" w:space="0" w:color="auto"/>
        <w:bottom w:val="single" w:sz="4" w:space="0" w:color="auto"/>
        <w:right w:val="single" w:sz="4" w:space="0" w:color="auto"/>
      </w:pBdr>
      <w:shd w:val="clear" w:color="000000" w:fill="FFFFFF"/>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199">
    <w:name w:val="xl199"/>
    <w:basedOn w:val="Normal"/>
    <w:rsid w:val="00C640B0"/>
    <w:pPr>
      <w:pBdr>
        <w:top w:val="single" w:sz="4" w:space="0" w:color="auto"/>
        <w:left w:val="single" w:sz="4" w:space="0" w:color="auto"/>
        <w:bottom w:val="single" w:sz="4" w:space="0" w:color="auto"/>
        <w:right w:val="single" w:sz="4" w:space="0" w:color="auto"/>
      </w:pBdr>
      <w:shd w:val="clear" w:color="000000" w:fill="FFE699"/>
      <w:tabs>
        <w:tab w:val="clear" w:pos="7780"/>
      </w:tabs>
      <w:spacing w:before="100" w:beforeAutospacing="1" w:after="100" w:afterAutospacing="1"/>
    </w:pPr>
    <w:rPr>
      <w:rFonts w:ascii="Franklin Gothic Book" w:eastAsia="Times New Roman" w:hAnsi="Franklin Gothic Book" w:cs="Times New Roman"/>
      <w:color w:val="auto"/>
      <w:sz w:val="24"/>
      <w:szCs w:val="24"/>
      <w:lang w:eastAsia="en-GB"/>
    </w:rPr>
  </w:style>
  <w:style w:type="paragraph" w:customStyle="1" w:styleId="xl200">
    <w:name w:val="xl200"/>
    <w:basedOn w:val="Normal"/>
    <w:rsid w:val="00C640B0"/>
    <w:pPr>
      <w:pBdr>
        <w:top w:val="single" w:sz="4" w:space="0" w:color="auto"/>
        <w:left w:val="single" w:sz="4" w:space="0" w:color="auto"/>
        <w:bottom w:val="single" w:sz="4" w:space="0" w:color="auto"/>
        <w:right w:val="single" w:sz="4" w:space="0" w:color="auto"/>
      </w:pBdr>
      <w:shd w:val="clear" w:color="000000" w:fill="FFFFFF"/>
      <w:tabs>
        <w:tab w:val="clear" w:pos="7780"/>
      </w:tabs>
      <w:spacing w:before="100" w:beforeAutospacing="1" w:after="100" w:afterAutospacing="1"/>
    </w:pPr>
    <w:rPr>
      <w:rFonts w:ascii="Franklin Gothic Book" w:eastAsia="Times New Roman" w:hAnsi="Franklin Gothic Book" w:cs="Times New Roman"/>
      <w:color w:val="auto"/>
      <w:sz w:val="20"/>
      <w:szCs w:val="20"/>
      <w:lang w:eastAsia="en-GB"/>
    </w:rPr>
  </w:style>
  <w:style w:type="paragraph" w:customStyle="1" w:styleId="xl201">
    <w:name w:val="xl201"/>
    <w:basedOn w:val="Normal"/>
    <w:rsid w:val="00C640B0"/>
    <w:pPr>
      <w:pBdr>
        <w:top w:val="single" w:sz="4" w:space="0" w:color="auto"/>
        <w:left w:val="single" w:sz="4" w:space="0" w:color="auto"/>
        <w:bottom w:val="single" w:sz="4" w:space="0" w:color="auto"/>
        <w:right w:val="single" w:sz="4" w:space="0" w:color="auto"/>
      </w:pBdr>
      <w:shd w:val="clear" w:color="000000" w:fill="FFFFFF"/>
      <w:tabs>
        <w:tab w:val="clear" w:pos="7780"/>
      </w:tabs>
      <w:spacing w:before="100" w:beforeAutospacing="1" w:after="100" w:afterAutospacing="1"/>
      <w:jc w:val="center"/>
      <w:textAlignment w:val="center"/>
    </w:pPr>
    <w:rPr>
      <w:rFonts w:ascii="Franklin Gothic Book" w:eastAsia="Times New Roman" w:hAnsi="Franklin Gothic Book" w:cs="Times New Roman"/>
      <w:color w:val="000000"/>
      <w:sz w:val="20"/>
      <w:szCs w:val="20"/>
      <w:lang w:eastAsia="en-GB"/>
    </w:rPr>
  </w:style>
  <w:style w:type="paragraph" w:customStyle="1" w:styleId="xl202">
    <w:name w:val="xl202"/>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pPr>
    <w:rPr>
      <w:rFonts w:ascii="Franklin Gothic Book" w:eastAsia="Times New Roman" w:hAnsi="Franklin Gothic Book" w:cs="Times New Roman"/>
      <w:color w:val="000000"/>
      <w:sz w:val="20"/>
      <w:szCs w:val="20"/>
      <w:lang w:eastAsia="en-GB"/>
    </w:rPr>
  </w:style>
  <w:style w:type="paragraph" w:customStyle="1" w:styleId="xl203">
    <w:name w:val="xl203"/>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pPr>
    <w:rPr>
      <w:rFonts w:ascii="Times New Roman" w:eastAsia="Times New Roman" w:hAnsi="Times New Roman" w:cs="Times New Roman"/>
      <w:color w:val="auto"/>
      <w:sz w:val="20"/>
      <w:szCs w:val="20"/>
      <w:lang w:eastAsia="en-GB"/>
    </w:rPr>
  </w:style>
  <w:style w:type="paragraph" w:customStyle="1" w:styleId="xl204">
    <w:name w:val="xl204"/>
    <w:basedOn w:val="Normal"/>
    <w:rsid w:val="00C640B0"/>
    <w:pPr>
      <w:pBdr>
        <w:top w:val="single" w:sz="4" w:space="0" w:color="auto"/>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pPr>
    <w:rPr>
      <w:rFonts w:ascii="Franklin Gothic Book" w:eastAsia="Times New Roman" w:hAnsi="Franklin Gothic Book" w:cs="Times New Roman"/>
      <w:color w:val="000000"/>
      <w:sz w:val="20"/>
      <w:szCs w:val="20"/>
      <w:u w:val="single"/>
      <w:lang w:eastAsia="en-GB"/>
    </w:rPr>
  </w:style>
  <w:style w:type="paragraph" w:customStyle="1" w:styleId="xl205">
    <w:name w:val="xl205"/>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206">
    <w:name w:val="xl206"/>
    <w:basedOn w:val="Normal"/>
    <w:rsid w:val="00C640B0"/>
    <w:pPr>
      <w:pBdr>
        <w:top w:val="single" w:sz="4" w:space="0" w:color="auto"/>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207">
    <w:name w:val="xl207"/>
    <w:basedOn w:val="Normal"/>
    <w:rsid w:val="00C640B0"/>
    <w:pPr>
      <w:pBdr>
        <w:top w:val="single" w:sz="4" w:space="0" w:color="auto"/>
        <w:left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lang w:eastAsia="en-GB"/>
    </w:rPr>
  </w:style>
  <w:style w:type="paragraph" w:customStyle="1" w:styleId="xl208">
    <w:name w:val="xl208"/>
    <w:basedOn w:val="Normal"/>
    <w:rsid w:val="00C640B0"/>
    <w:pPr>
      <w:tabs>
        <w:tab w:val="clear" w:pos="7780"/>
      </w:tabs>
      <w:spacing w:before="100" w:beforeAutospacing="1" w:after="100" w:afterAutospacing="1"/>
      <w:jc w:val="center"/>
      <w:textAlignment w:val="center"/>
    </w:pPr>
    <w:rPr>
      <w:rFonts w:ascii="Calibri" w:eastAsia="Times New Roman" w:hAnsi="Calibri" w:cs="Calibri"/>
      <w:color w:val="444444"/>
      <w:sz w:val="24"/>
      <w:szCs w:val="24"/>
      <w:lang w:eastAsia="en-GB"/>
    </w:rPr>
  </w:style>
  <w:style w:type="paragraph" w:customStyle="1" w:styleId="xl209">
    <w:name w:val="xl209"/>
    <w:basedOn w:val="Normal"/>
    <w:rsid w:val="00C640B0"/>
    <w:pPr>
      <w:pBdr>
        <w:top w:val="single" w:sz="4" w:space="0" w:color="auto"/>
        <w:left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Franklin Gothic Book" w:eastAsia="Times New Roman" w:hAnsi="Franklin Gothic Book" w:cs="Times New Roman"/>
      <w:color w:val="auto"/>
      <w:sz w:val="20"/>
      <w:szCs w:val="20"/>
      <w:u w:val="single"/>
      <w:lang w:eastAsia="en-GB"/>
    </w:rPr>
  </w:style>
  <w:style w:type="paragraph" w:customStyle="1" w:styleId="xl210">
    <w:name w:val="xl210"/>
    <w:basedOn w:val="Normal"/>
    <w:rsid w:val="00C640B0"/>
    <w:pPr>
      <w:pBdr>
        <w:top w:val="single" w:sz="4" w:space="0" w:color="auto"/>
        <w:left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customStyle="1" w:styleId="xl211">
    <w:name w:val="xl211"/>
    <w:basedOn w:val="Normal"/>
    <w:rsid w:val="00C640B0"/>
    <w:pPr>
      <w:pBdr>
        <w:left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customStyle="1" w:styleId="xl212">
    <w:name w:val="xl212"/>
    <w:basedOn w:val="Normal"/>
    <w:rsid w:val="00C640B0"/>
    <w:pPr>
      <w:pBdr>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customStyle="1" w:styleId="xl213">
    <w:name w:val="xl213"/>
    <w:basedOn w:val="Normal"/>
    <w:rsid w:val="00C640B0"/>
    <w:pPr>
      <w:pBdr>
        <w:top w:val="single" w:sz="4" w:space="0" w:color="auto"/>
        <w:left w:val="single" w:sz="4" w:space="0" w:color="auto"/>
        <w:bottom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auto"/>
      <w:sz w:val="36"/>
      <w:szCs w:val="36"/>
      <w:lang w:eastAsia="en-GB"/>
    </w:rPr>
  </w:style>
  <w:style w:type="paragraph" w:customStyle="1" w:styleId="xl214">
    <w:name w:val="xl214"/>
    <w:basedOn w:val="Normal"/>
    <w:rsid w:val="00C640B0"/>
    <w:pPr>
      <w:pBdr>
        <w:top w:val="single" w:sz="4" w:space="0" w:color="auto"/>
        <w:bottom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auto"/>
      <w:sz w:val="36"/>
      <w:szCs w:val="36"/>
      <w:lang w:eastAsia="en-GB"/>
    </w:rPr>
  </w:style>
  <w:style w:type="paragraph" w:customStyle="1" w:styleId="xl215">
    <w:name w:val="xl215"/>
    <w:basedOn w:val="Normal"/>
    <w:rsid w:val="00C640B0"/>
    <w:pPr>
      <w:pBdr>
        <w:top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color w:val="auto"/>
      <w:sz w:val="36"/>
      <w:szCs w:val="36"/>
      <w:lang w:eastAsia="en-GB"/>
    </w:rPr>
  </w:style>
  <w:style w:type="paragraph" w:customStyle="1" w:styleId="xl216">
    <w:name w:val="xl216"/>
    <w:basedOn w:val="Normal"/>
    <w:rsid w:val="00C640B0"/>
    <w:pPr>
      <w:pBdr>
        <w:top w:val="single" w:sz="4" w:space="0" w:color="auto"/>
        <w:left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4"/>
      <w:szCs w:val="24"/>
      <w:lang w:eastAsia="en-GB"/>
    </w:rPr>
  </w:style>
  <w:style w:type="paragraph" w:customStyle="1" w:styleId="xl217">
    <w:name w:val="xl217"/>
    <w:basedOn w:val="Normal"/>
    <w:rsid w:val="00C640B0"/>
    <w:pPr>
      <w:pBdr>
        <w:left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4"/>
      <w:szCs w:val="24"/>
      <w:lang w:eastAsia="en-GB"/>
    </w:rPr>
  </w:style>
  <w:style w:type="paragraph" w:customStyle="1" w:styleId="xl218">
    <w:name w:val="xl218"/>
    <w:basedOn w:val="Normal"/>
    <w:rsid w:val="00C640B0"/>
    <w:pPr>
      <w:pBdr>
        <w:left w:val="single" w:sz="4" w:space="0" w:color="auto"/>
        <w:bottom w:val="single" w:sz="4" w:space="0" w:color="auto"/>
        <w:right w:val="single" w:sz="4" w:space="0" w:color="auto"/>
      </w:pBdr>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4"/>
      <w:szCs w:val="24"/>
      <w:lang w:eastAsia="en-GB"/>
    </w:rPr>
  </w:style>
  <w:style w:type="paragraph" w:customStyle="1" w:styleId="xl219">
    <w:name w:val="xl219"/>
    <w:basedOn w:val="Normal"/>
    <w:rsid w:val="00C640B0"/>
    <w:pPr>
      <w:pBdr>
        <w:left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customStyle="1" w:styleId="xl220">
    <w:name w:val="xl220"/>
    <w:basedOn w:val="Normal"/>
    <w:rsid w:val="00C640B0"/>
    <w:pPr>
      <w:pBdr>
        <w:left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4"/>
      <w:szCs w:val="24"/>
      <w:lang w:eastAsia="en-GB"/>
    </w:rPr>
  </w:style>
  <w:style w:type="paragraph" w:customStyle="1" w:styleId="xl221">
    <w:name w:val="xl221"/>
    <w:basedOn w:val="Normal"/>
    <w:rsid w:val="00C640B0"/>
    <w:pPr>
      <w:pBdr>
        <w:top w:val="single" w:sz="4" w:space="0" w:color="auto"/>
        <w:left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customStyle="1" w:styleId="xl222">
    <w:name w:val="xl222"/>
    <w:basedOn w:val="Normal"/>
    <w:rsid w:val="00C640B0"/>
    <w:pPr>
      <w:pBdr>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customStyle="1" w:styleId="xl223">
    <w:name w:val="xl223"/>
    <w:basedOn w:val="Normal"/>
    <w:rsid w:val="00C640B0"/>
    <w:pPr>
      <w:pBdr>
        <w:top w:val="single" w:sz="4" w:space="0" w:color="auto"/>
        <w:left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4"/>
      <w:szCs w:val="24"/>
      <w:lang w:eastAsia="en-GB"/>
    </w:rPr>
  </w:style>
  <w:style w:type="paragraph" w:customStyle="1" w:styleId="xl224">
    <w:name w:val="xl224"/>
    <w:basedOn w:val="Normal"/>
    <w:rsid w:val="00C640B0"/>
    <w:pPr>
      <w:pBdr>
        <w:left w:val="single" w:sz="4" w:space="0" w:color="auto"/>
        <w:bottom w:val="single" w:sz="4" w:space="0" w:color="auto"/>
        <w:right w:val="single" w:sz="4" w:space="0" w:color="auto"/>
      </w:pBdr>
      <w:shd w:val="clear" w:color="000000" w:fill="C6E0B4"/>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4"/>
      <w:szCs w:val="24"/>
      <w:lang w:eastAsia="en-GB"/>
    </w:rPr>
  </w:style>
  <w:style w:type="paragraph" w:customStyle="1" w:styleId="xl225">
    <w:name w:val="xl225"/>
    <w:basedOn w:val="Normal"/>
    <w:rsid w:val="00C640B0"/>
    <w:pPr>
      <w:pBdr>
        <w:top w:val="single" w:sz="4" w:space="0" w:color="auto"/>
        <w:left w:val="single" w:sz="4" w:space="0" w:color="auto"/>
        <w:right w:val="single" w:sz="4" w:space="0" w:color="auto"/>
      </w:pBdr>
      <w:shd w:val="clear" w:color="000000" w:fill="FFFFFF"/>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4"/>
      <w:szCs w:val="24"/>
      <w:lang w:eastAsia="en-GB"/>
    </w:rPr>
  </w:style>
  <w:style w:type="paragraph" w:customStyle="1" w:styleId="xl226">
    <w:name w:val="xl226"/>
    <w:basedOn w:val="Normal"/>
    <w:rsid w:val="00C640B0"/>
    <w:pPr>
      <w:pBdr>
        <w:left w:val="single" w:sz="4" w:space="0" w:color="auto"/>
        <w:right w:val="single" w:sz="4" w:space="0" w:color="auto"/>
      </w:pBdr>
      <w:shd w:val="clear" w:color="000000" w:fill="FFFFFF"/>
      <w:tabs>
        <w:tab w:val="clear" w:pos="7780"/>
      </w:tabs>
      <w:spacing w:before="100" w:beforeAutospacing="1" w:after="100" w:afterAutospacing="1"/>
      <w:jc w:val="center"/>
      <w:textAlignment w:val="center"/>
    </w:pPr>
    <w:rPr>
      <w:rFonts w:ascii="Times New Roman" w:eastAsia="Times New Roman" w:hAnsi="Times New Roman" w:cs="Times New Roman"/>
      <w:b/>
      <w:bCs/>
      <w:color w:val="auto"/>
      <w:sz w:val="24"/>
      <w:szCs w:val="24"/>
      <w:lang w:eastAsia="en-GB"/>
    </w:rPr>
  </w:style>
  <w:style w:type="paragraph" w:customStyle="1" w:styleId="xl227">
    <w:name w:val="xl227"/>
    <w:basedOn w:val="Normal"/>
    <w:rsid w:val="00C640B0"/>
    <w:pPr>
      <w:pBdr>
        <w:top w:val="single" w:sz="4" w:space="0" w:color="auto"/>
        <w:left w:val="single" w:sz="4" w:space="0" w:color="auto"/>
        <w:right w:val="single" w:sz="4" w:space="0" w:color="auto"/>
      </w:pBdr>
      <w:shd w:val="clear" w:color="000000" w:fill="FFFFFF"/>
      <w:tabs>
        <w:tab w:val="clear" w:pos="7780"/>
      </w:tabs>
      <w:spacing w:before="100" w:beforeAutospacing="1" w:after="100" w:afterAutospacing="1"/>
      <w:jc w:val="center"/>
      <w:textAlignment w:val="center"/>
    </w:pPr>
    <w:rPr>
      <w:rFonts w:ascii="Times New Roman" w:eastAsia="Times New Roman" w:hAnsi="Times New Roman" w:cs="Times New Roman"/>
      <w:color w:val="auto"/>
      <w:sz w:val="24"/>
      <w:szCs w:val="24"/>
      <w:lang w:eastAsia="en-GB"/>
    </w:rPr>
  </w:style>
  <w:style w:type="paragraph" w:styleId="Subtitle">
    <w:name w:val="Subtitle"/>
    <w:basedOn w:val="Normal"/>
    <w:next w:val="Normal"/>
    <w:link w:val="SubtitleChar"/>
    <w:uiPriority w:val="11"/>
    <w:qFormat/>
    <w:rsid w:val="00C640B0"/>
    <w:pPr>
      <w:keepNext/>
      <w:keepLines/>
      <w:tabs>
        <w:tab w:val="clear" w:pos="7780"/>
      </w:tabs>
      <w:spacing w:before="360" w:after="80"/>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C640B0"/>
    <w:rPr>
      <w:rFonts w:ascii="Georgia" w:eastAsia="Georgia" w:hAnsi="Georgia" w:cs="Georgia"/>
      <w:i/>
      <w:color w:val="666666"/>
      <w:sz w:val="48"/>
      <w:szCs w:val="48"/>
      <w:lang w:eastAsia="en-GB"/>
    </w:rPr>
  </w:style>
  <w:style w:type="paragraph" w:customStyle="1" w:styleId="Char2">
    <w:name w:val="Char2"/>
    <w:basedOn w:val="Normal"/>
    <w:uiPriority w:val="99"/>
    <w:rsid w:val="00C640B0"/>
    <w:pPr>
      <w:tabs>
        <w:tab w:val="clear" w:pos="7780"/>
      </w:tabs>
      <w:spacing w:after="160" w:line="240" w:lineRule="exact"/>
    </w:pPr>
    <w:rPr>
      <w:rFonts w:asciiTheme="minorHAnsi" w:hAnsiTheme="minorHAnsi" w:cstheme="minorBidi"/>
      <w:color w:val="auto"/>
      <w:vertAlign w:val="superscript"/>
      <w:lang w:val="en-AU"/>
    </w:rPr>
  </w:style>
  <w:style w:type="table" w:customStyle="1" w:styleId="PlainTable311">
    <w:name w:val="Plain Table 311"/>
    <w:basedOn w:val="TableNormal"/>
    <w:uiPriority w:val="99"/>
    <w:rsid w:val="00C640B0"/>
    <w:pPr>
      <w:spacing w:after="120"/>
    </w:pPr>
    <w:rPr>
      <w:rFonts w:ascii="Calibri" w:hAnsi="Calibri"/>
      <w:sz w:val="22"/>
      <w:szCs w:val="22"/>
      <w:lang w:val="en-AU"/>
    </w:rPr>
    <w:tblPr>
      <w:tblStyleRowBandSize w:val="1"/>
      <w:tblStyleColBandSize w:val="1"/>
      <w:tblBorders>
        <w:top w:val="single" w:sz="18" w:space="0" w:color="4472C4" w:themeColor="accent1"/>
        <w:bottom w:val="single" w:sz="18" w:space="0" w:color="4472C4" w:themeColor="accent1"/>
        <w:insideH w:val="single" w:sz="4" w:space="0" w:color="FFFFFF" w:themeColor="background1"/>
        <w:insideV w:val="single" w:sz="4" w:space="0" w:color="FFFFFF" w:themeColor="background1"/>
      </w:tblBorders>
    </w:tblPr>
    <w:tcPr>
      <w:shd w:val="clear" w:color="auto" w:fill="ECE9E4"/>
    </w:tcPr>
    <w:tblStylePr w:type="firstRow">
      <w:rPr>
        <w:rFonts w:ascii="Arial" w:hAnsi="Arial"/>
        <w:b/>
        <w:bCs/>
        <w:i w:val="0"/>
        <w:caps w:val="0"/>
        <w:sz w:val="20"/>
      </w:rPr>
      <w:tblPr/>
      <w:tcPr>
        <w:tcBorders>
          <w:top w:val="single" w:sz="18" w:space="0" w:color="4472C4" w:themeColor="accent1"/>
          <w:left w:val="nil"/>
          <w:bottom w:val="single" w:sz="18" w:space="0" w:color="FFFFFF" w:themeColor="background1"/>
          <w:right w:val="nil"/>
          <w:insideH w:val="nil"/>
          <w:insideV w:val="single" w:sz="4" w:space="0" w:color="FFFFFF" w:themeColor="background1"/>
          <w:tl2br w:val="nil"/>
          <w:tr2bl w:val="nil"/>
        </w:tcBorders>
        <w:shd w:val="clear" w:color="auto" w:fill="E8E3DC"/>
      </w:tcPr>
    </w:tblStylePr>
    <w:tblStylePr w:type="lastRow">
      <w:rPr>
        <w:b/>
        <w:bCs/>
        <w:caps w:val="0"/>
      </w:rPr>
      <w:tblPr/>
      <w:tcPr>
        <w:tcBorders>
          <w:top w:val="single" w:sz="18" w:space="0" w:color="FFFFFF" w:themeColor="background1"/>
          <w:left w:val="nil"/>
          <w:bottom w:val="single" w:sz="18" w:space="0" w:color="4472C4" w:themeColor="accent1"/>
          <w:right w:val="nil"/>
          <w:insideH w:val="nil"/>
          <w:insideV w:val="single" w:sz="4" w:space="0" w:color="FFFFFF" w:themeColor="background1"/>
          <w:tl2br w:val="nil"/>
          <w:tr2bl w:val="nil"/>
        </w:tcBorders>
        <w:shd w:val="clear" w:color="auto" w:fill="E8E3DC"/>
      </w:tcPr>
    </w:tblStylePr>
    <w:tblStylePr w:type="firstCol">
      <w:rPr>
        <w:rFonts w:ascii="Arial" w:hAnsi="Arial"/>
        <w:b/>
        <w:bCs/>
        <w:i w:val="0"/>
        <w:caps w:val="0"/>
      </w:rPr>
      <w:tblPr/>
      <w:tcPr>
        <w:tcBorders>
          <w:top w:val="single" w:sz="18" w:space="0" w:color="4472C4" w:themeColor="accent1"/>
          <w:left w:val="nil"/>
          <w:bottom w:val="single" w:sz="18" w:space="0" w:color="4472C4" w:themeColor="accent1"/>
          <w:right w:val="single" w:sz="18" w:space="0" w:color="FFFFFF" w:themeColor="background1"/>
          <w:insideH w:val="single" w:sz="4" w:space="0" w:color="FFFFFF" w:themeColor="background1"/>
          <w:insideV w:val="single" w:sz="4" w:space="0" w:color="FFFFFF" w:themeColor="background1"/>
          <w:tl2br w:val="nil"/>
        </w:tcBorders>
        <w:shd w:val="clear" w:color="auto" w:fill="E8E3DC"/>
      </w:tcPr>
    </w:tblStylePr>
    <w:tblStylePr w:type="lastCol">
      <w:rPr>
        <w:b/>
        <w:bCs/>
        <w:caps w:val="0"/>
      </w:rPr>
      <w:tblPr/>
      <w:tcPr>
        <w:tcBorders>
          <w:top w:val="single" w:sz="18" w:space="0" w:color="4472C4" w:themeColor="accent1"/>
          <w:left w:val="nil"/>
          <w:bottom w:val="single" w:sz="18" w:space="0" w:color="4472C4" w:themeColor="accent1"/>
          <w:right w:val="nil"/>
          <w:insideH w:val="single" w:sz="4" w:space="0" w:color="FFFFFF" w:themeColor="background1"/>
          <w:insideV w:val="nil"/>
          <w:tl2br w:val="nil"/>
          <w:tr2bl w:val="nil"/>
        </w:tcBorders>
        <w:shd w:val="clear" w:color="auto" w:fill="E8E3DC"/>
      </w:tcPr>
    </w:tblStylePr>
    <w:tblStylePr w:type="neCell">
      <w:tblPr/>
      <w:tcPr>
        <w:tcBorders>
          <w:left w:val="nil"/>
        </w:tcBorders>
      </w:tcPr>
    </w:tblStylePr>
    <w:tblStylePr w:type="nwCell">
      <w:tblPr/>
      <w:tcPr>
        <w:tcBorders>
          <w:right w:val="nil"/>
        </w:tcBorders>
      </w:tcPr>
    </w:tblStylePr>
    <w:tblStylePr w:type="seCell">
      <w:tblPr/>
      <w:tcPr>
        <w:tcBorders>
          <w:top w:val="single" w:sz="18" w:space="0" w:color="FFFFFF" w:themeColor="background1"/>
          <w:left w:val="single" w:sz="18" w:space="0" w:color="FFFFFF" w:themeColor="background1"/>
          <w:bottom w:val="single" w:sz="18" w:space="0" w:color="4472C4" w:themeColor="accent1"/>
          <w:right w:val="nil"/>
          <w:insideH w:val="nil"/>
          <w:insideV w:val="nil"/>
          <w:tl2br w:val="nil"/>
          <w:tr2bl w:val="nil"/>
        </w:tcBorders>
        <w:shd w:val="clear" w:color="auto" w:fill="EEEBE6"/>
      </w:tcPr>
    </w:tblStylePr>
    <w:tblStylePr w:type="swCell">
      <w:tblPr/>
      <w:tcPr>
        <w:tcBorders>
          <w:top w:val="single" w:sz="18" w:space="0" w:color="FFFFFF" w:themeColor="background1"/>
          <w:left w:val="nil"/>
          <w:bottom w:val="single" w:sz="18" w:space="0" w:color="4472C4" w:themeColor="accent1"/>
          <w:right w:val="single" w:sz="18" w:space="0" w:color="FFFFFF" w:themeColor="background1"/>
          <w:insideH w:val="nil"/>
          <w:insideV w:val="nil"/>
          <w:tl2br w:val="nil"/>
          <w:tr2bl w:val="nil"/>
        </w:tcBorders>
        <w:shd w:val="clear" w:color="auto" w:fill="EEEBE6"/>
      </w:tcPr>
    </w:tblStylePr>
  </w:style>
  <w:style w:type="paragraph" w:customStyle="1" w:styleId="WFPKBullet">
    <w:name w:val="WFP K Bullet"/>
    <w:basedOn w:val="WFPKparno"/>
    <w:link w:val="WFPKBulletChar"/>
    <w:rsid w:val="00C640B0"/>
    <w:pPr>
      <w:numPr>
        <w:numId w:val="64"/>
      </w:numPr>
      <w:tabs>
        <w:tab w:val="clear" w:pos="7780"/>
      </w:tabs>
    </w:pPr>
    <w:rPr>
      <w:rFonts w:eastAsia="Times New Roman"/>
      <w:lang w:eastAsia="en-GB"/>
    </w:rPr>
  </w:style>
  <w:style w:type="character" w:customStyle="1" w:styleId="WFPKBulletChar">
    <w:name w:val="WFP K Bullet Char"/>
    <w:basedOn w:val="WFPKparnoChar"/>
    <w:link w:val="WFPKBullet"/>
    <w:rsid w:val="00C640B0"/>
    <w:rPr>
      <w:rFonts w:ascii="Open Sans" w:eastAsia="Times New Roman" w:hAnsi="Open Sans" w:cs="Open Sans"/>
      <w:color w:val="000000" w:themeColor="text1"/>
      <w:sz w:val="20"/>
      <w:szCs w:val="22"/>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731169">
      <w:bodyDiv w:val="1"/>
      <w:marLeft w:val="0"/>
      <w:marRight w:val="0"/>
      <w:marTop w:val="0"/>
      <w:marBottom w:val="0"/>
      <w:divBdr>
        <w:top w:val="none" w:sz="0" w:space="0" w:color="auto"/>
        <w:left w:val="none" w:sz="0" w:space="0" w:color="auto"/>
        <w:bottom w:val="none" w:sz="0" w:space="0" w:color="auto"/>
        <w:right w:val="none" w:sz="0" w:space="0" w:color="auto"/>
      </w:divBdr>
      <w:divsChild>
        <w:div w:id="228998232">
          <w:marLeft w:val="0"/>
          <w:marRight w:val="0"/>
          <w:marTop w:val="0"/>
          <w:marBottom w:val="0"/>
          <w:divBdr>
            <w:top w:val="none" w:sz="0" w:space="0" w:color="auto"/>
            <w:left w:val="none" w:sz="0" w:space="0" w:color="auto"/>
            <w:bottom w:val="none" w:sz="0" w:space="0" w:color="auto"/>
            <w:right w:val="none" w:sz="0" w:space="0" w:color="auto"/>
          </w:divBdr>
        </w:div>
        <w:div w:id="313804193">
          <w:marLeft w:val="0"/>
          <w:marRight w:val="0"/>
          <w:marTop w:val="0"/>
          <w:marBottom w:val="0"/>
          <w:divBdr>
            <w:top w:val="none" w:sz="0" w:space="0" w:color="auto"/>
            <w:left w:val="none" w:sz="0" w:space="0" w:color="auto"/>
            <w:bottom w:val="none" w:sz="0" w:space="0" w:color="auto"/>
            <w:right w:val="none" w:sz="0" w:space="0" w:color="auto"/>
          </w:divBdr>
        </w:div>
        <w:div w:id="1332099726">
          <w:marLeft w:val="0"/>
          <w:marRight w:val="0"/>
          <w:marTop w:val="0"/>
          <w:marBottom w:val="0"/>
          <w:divBdr>
            <w:top w:val="none" w:sz="0" w:space="0" w:color="auto"/>
            <w:left w:val="none" w:sz="0" w:space="0" w:color="auto"/>
            <w:bottom w:val="none" w:sz="0" w:space="0" w:color="auto"/>
            <w:right w:val="none" w:sz="0" w:space="0" w:color="auto"/>
          </w:divBdr>
        </w:div>
      </w:divsChild>
    </w:div>
    <w:div w:id="32506709">
      <w:bodyDiv w:val="1"/>
      <w:marLeft w:val="0"/>
      <w:marRight w:val="0"/>
      <w:marTop w:val="0"/>
      <w:marBottom w:val="0"/>
      <w:divBdr>
        <w:top w:val="none" w:sz="0" w:space="0" w:color="auto"/>
        <w:left w:val="none" w:sz="0" w:space="0" w:color="auto"/>
        <w:bottom w:val="none" w:sz="0" w:space="0" w:color="auto"/>
        <w:right w:val="none" w:sz="0" w:space="0" w:color="auto"/>
      </w:divBdr>
      <w:divsChild>
        <w:div w:id="1614510065">
          <w:marLeft w:val="0"/>
          <w:marRight w:val="0"/>
          <w:marTop w:val="0"/>
          <w:marBottom w:val="0"/>
          <w:divBdr>
            <w:top w:val="none" w:sz="0" w:space="0" w:color="auto"/>
            <w:left w:val="none" w:sz="0" w:space="0" w:color="auto"/>
            <w:bottom w:val="none" w:sz="0" w:space="0" w:color="auto"/>
            <w:right w:val="none" w:sz="0" w:space="0" w:color="auto"/>
          </w:divBdr>
          <w:divsChild>
            <w:div w:id="689767293">
              <w:marLeft w:val="0"/>
              <w:marRight w:val="0"/>
              <w:marTop w:val="0"/>
              <w:marBottom w:val="0"/>
              <w:divBdr>
                <w:top w:val="none" w:sz="0" w:space="0" w:color="auto"/>
                <w:left w:val="none" w:sz="0" w:space="0" w:color="auto"/>
                <w:bottom w:val="none" w:sz="0" w:space="0" w:color="auto"/>
                <w:right w:val="none" w:sz="0" w:space="0" w:color="auto"/>
              </w:divBdr>
              <w:divsChild>
                <w:div w:id="166154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126709">
      <w:bodyDiv w:val="1"/>
      <w:marLeft w:val="0"/>
      <w:marRight w:val="0"/>
      <w:marTop w:val="0"/>
      <w:marBottom w:val="0"/>
      <w:divBdr>
        <w:top w:val="none" w:sz="0" w:space="0" w:color="auto"/>
        <w:left w:val="none" w:sz="0" w:space="0" w:color="auto"/>
        <w:bottom w:val="none" w:sz="0" w:space="0" w:color="auto"/>
        <w:right w:val="none" w:sz="0" w:space="0" w:color="auto"/>
      </w:divBdr>
    </w:div>
    <w:div w:id="160660941">
      <w:bodyDiv w:val="1"/>
      <w:marLeft w:val="0"/>
      <w:marRight w:val="0"/>
      <w:marTop w:val="0"/>
      <w:marBottom w:val="0"/>
      <w:divBdr>
        <w:top w:val="none" w:sz="0" w:space="0" w:color="auto"/>
        <w:left w:val="none" w:sz="0" w:space="0" w:color="auto"/>
        <w:bottom w:val="none" w:sz="0" w:space="0" w:color="auto"/>
        <w:right w:val="none" w:sz="0" w:space="0" w:color="auto"/>
      </w:divBdr>
      <w:divsChild>
        <w:div w:id="1278414112">
          <w:marLeft w:val="0"/>
          <w:marRight w:val="0"/>
          <w:marTop w:val="0"/>
          <w:marBottom w:val="0"/>
          <w:divBdr>
            <w:top w:val="none" w:sz="0" w:space="0" w:color="auto"/>
            <w:left w:val="none" w:sz="0" w:space="0" w:color="auto"/>
            <w:bottom w:val="none" w:sz="0" w:space="0" w:color="auto"/>
            <w:right w:val="none" w:sz="0" w:space="0" w:color="auto"/>
          </w:divBdr>
          <w:divsChild>
            <w:div w:id="584728339">
              <w:marLeft w:val="0"/>
              <w:marRight w:val="0"/>
              <w:marTop w:val="0"/>
              <w:marBottom w:val="0"/>
              <w:divBdr>
                <w:top w:val="none" w:sz="0" w:space="0" w:color="auto"/>
                <w:left w:val="none" w:sz="0" w:space="0" w:color="auto"/>
                <w:bottom w:val="none" w:sz="0" w:space="0" w:color="auto"/>
                <w:right w:val="none" w:sz="0" w:space="0" w:color="auto"/>
              </w:divBdr>
              <w:divsChild>
                <w:div w:id="84366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99720">
      <w:bodyDiv w:val="1"/>
      <w:marLeft w:val="0"/>
      <w:marRight w:val="0"/>
      <w:marTop w:val="0"/>
      <w:marBottom w:val="0"/>
      <w:divBdr>
        <w:top w:val="none" w:sz="0" w:space="0" w:color="auto"/>
        <w:left w:val="none" w:sz="0" w:space="0" w:color="auto"/>
        <w:bottom w:val="none" w:sz="0" w:space="0" w:color="auto"/>
        <w:right w:val="none" w:sz="0" w:space="0" w:color="auto"/>
      </w:divBdr>
      <w:divsChild>
        <w:div w:id="564072696">
          <w:marLeft w:val="0"/>
          <w:marRight w:val="0"/>
          <w:marTop w:val="0"/>
          <w:marBottom w:val="0"/>
          <w:divBdr>
            <w:top w:val="none" w:sz="0" w:space="0" w:color="auto"/>
            <w:left w:val="none" w:sz="0" w:space="0" w:color="auto"/>
            <w:bottom w:val="none" w:sz="0" w:space="0" w:color="auto"/>
            <w:right w:val="none" w:sz="0" w:space="0" w:color="auto"/>
          </w:divBdr>
          <w:divsChild>
            <w:div w:id="1005012561">
              <w:marLeft w:val="0"/>
              <w:marRight w:val="0"/>
              <w:marTop w:val="0"/>
              <w:marBottom w:val="0"/>
              <w:divBdr>
                <w:top w:val="none" w:sz="0" w:space="0" w:color="auto"/>
                <w:left w:val="none" w:sz="0" w:space="0" w:color="auto"/>
                <w:bottom w:val="none" w:sz="0" w:space="0" w:color="auto"/>
                <w:right w:val="none" w:sz="0" w:space="0" w:color="auto"/>
              </w:divBdr>
              <w:divsChild>
                <w:div w:id="45903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17439">
      <w:bodyDiv w:val="1"/>
      <w:marLeft w:val="0"/>
      <w:marRight w:val="0"/>
      <w:marTop w:val="0"/>
      <w:marBottom w:val="0"/>
      <w:divBdr>
        <w:top w:val="none" w:sz="0" w:space="0" w:color="auto"/>
        <w:left w:val="none" w:sz="0" w:space="0" w:color="auto"/>
        <w:bottom w:val="none" w:sz="0" w:space="0" w:color="auto"/>
        <w:right w:val="none" w:sz="0" w:space="0" w:color="auto"/>
      </w:divBdr>
      <w:divsChild>
        <w:div w:id="1065180934">
          <w:marLeft w:val="0"/>
          <w:marRight w:val="0"/>
          <w:marTop w:val="0"/>
          <w:marBottom w:val="0"/>
          <w:divBdr>
            <w:top w:val="none" w:sz="0" w:space="0" w:color="auto"/>
            <w:left w:val="none" w:sz="0" w:space="0" w:color="auto"/>
            <w:bottom w:val="none" w:sz="0" w:space="0" w:color="auto"/>
            <w:right w:val="none" w:sz="0" w:space="0" w:color="auto"/>
          </w:divBdr>
          <w:divsChild>
            <w:div w:id="1355618254">
              <w:marLeft w:val="0"/>
              <w:marRight w:val="0"/>
              <w:marTop w:val="0"/>
              <w:marBottom w:val="0"/>
              <w:divBdr>
                <w:top w:val="none" w:sz="0" w:space="0" w:color="auto"/>
                <w:left w:val="none" w:sz="0" w:space="0" w:color="auto"/>
                <w:bottom w:val="none" w:sz="0" w:space="0" w:color="auto"/>
                <w:right w:val="none" w:sz="0" w:space="0" w:color="auto"/>
              </w:divBdr>
              <w:divsChild>
                <w:div w:id="65156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97572">
      <w:bodyDiv w:val="1"/>
      <w:marLeft w:val="0"/>
      <w:marRight w:val="0"/>
      <w:marTop w:val="0"/>
      <w:marBottom w:val="0"/>
      <w:divBdr>
        <w:top w:val="none" w:sz="0" w:space="0" w:color="auto"/>
        <w:left w:val="none" w:sz="0" w:space="0" w:color="auto"/>
        <w:bottom w:val="none" w:sz="0" w:space="0" w:color="auto"/>
        <w:right w:val="none" w:sz="0" w:space="0" w:color="auto"/>
      </w:divBdr>
    </w:div>
    <w:div w:id="209390147">
      <w:bodyDiv w:val="1"/>
      <w:marLeft w:val="0"/>
      <w:marRight w:val="0"/>
      <w:marTop w:val="0"/>
      <w:marBottom w:val="0"/>
      <w:divBdr>
        <w:top w:val="none" w:sz="0" w:space="0" w:color="auto"/>
        <w:left w:val="none" w:sz="0" w:space="0" w:color="auto"/>
        <w:bottom w:val="none" w:sz="0" w:space="0" w:color="auto"/>
        <w:right w:val="none" w:sz="0" w:space="0" w:color="auto"/>
      </w:divBdr>
    </w:div>
    <w:div w:id="218588981">
      <w:bodyDiv w:val="1"/>
      <w:marLeft w:val="0"/>
      <w:marRight w:val="0"/>
      <w:marTop w:val="0"/>
      <w:marBottom w:val="0"/>
      <w:divBdr>
        <w:top w:val="none" w:sz="0" w:space="0" w:color="auto"/>
        <w:left w:val="none" w:sz="0" w:space="0" w:color="auto"/>
        <w:bottom w:val="none" w:sz="0" w:space="0" w:color="auto"/>
        <w:right w:val="none" w:sz="0" w:space="0" w:color="auto"/>
      </w:divBdr>
    </w:div>
    <w:div w:id="230819908">
      <w:bodyDiv w:val="1"/>
      <w:marLeft w:val="0"/>
      <w:marRight w:val="0"/>
      <w:marTop w:val="0"/>
      <w:marBottom w:val="0"/>
      <w:divBdr>
        <w:top w:val="none" w:sz="0" w:space="0" w:color="auto"/>
        <w:left w:val="none" w:sz="0" w:space="0" w:color="auto"/>
        <w:bottom w:val="none" w:sz="0" w:space="0" w:color="auto"/>
        <w:right w:val="none" w:sz="0" w:space="0" w:color="auto"/>
      </w:divBdr>
      <w:divsChild>
        <w:div w:id="1625963134">
          <w:marLeft w:val="0"/>
          <w:marRight w:val="0"/>
          <w:marTop w:val="0"/>
          <w:marBottom w:val="0"/>
          <w:divBdr>
            <w:top w:val="none" w:sz="0" w:space="0" w:color="auto"/>
            <w:left w:val="none" w:sz="0" w:space="0" w:color="auto"/>
            <w:bottom w:val="none" w:sz="0" w:space="0" w:color="auto"/>
            <w:right w:val="none" w:sz="0" w:space="0" w:color="auto"/>
          </w:divBdr>
          <w:divsChild>
            <w:div w:id="355690489">
              <w:marLeft w:val="0"/>
              <w:marRight w:val="0"/>
              <w:marTop w:val="0"/>
              <w:marBottom w:val="0"/>
              <w:divBdr>
                <w:top w:val="none" w:sz="0" w:space="0" w:color="auto"/>
                <w:left w:val="none" w:sz="0" w:space="0" w:color="auto"/>
                <w:bottom w:val="none" w:sz="0" w:space="0" w:color="auto"/>
                <w:right w:val="none" w:sz="0" w:space="0" w:color="auto"/>
              </w:divBdr>
              <w:divsChild>
                <w:div w:id="70772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017815">
      <w:bodyDiv w:val="1"/>
      <w:marLeft w:val="0"/>
      <w:marRight w:val="0"/>
      <w:marTop w:val="0"/>
      <w:marBottom w:val="0"/>
      <w:divBdr>
        <w:top w:val="none" w:sz="0" w:space="0" w:color="auto"/>
        <w:left w:val="none" w:sz="0" w:space="0" w:color="auto"/>
        <w:bottom w:val="none" w:sz="0" w:space="0" w:color="auto"/>
        <w:right w:val="none" w:sz="0" w:space="0" w:color="auto"/>
      </w:divBdr>
    </w:div>
    <w:div w:id="336923740">
      <w:bodyDiv w:val="1"/>
      <w:marLeft w:val="0"/>
      <w:marRight w:val="0"/>
      <w:marTop w:val="0"/>
      <w:marBottom w:val="0"/>
      <w:divBdr>
        <w:top w:val="none" w:sz="0" w:space="0" w:color="auto"/>
        <w:left w:val="none" w:sz="0" w:space="0" w:color="auto"/>
        <w:bottom w:val="none" w:sz="0" w:space="0" w:color="auto"/>
        <w:right w:val="none" w:sz="0" w:space="0" w:color="auto"/>
      </w:divBdr>
      <w:divsChild>
        <w:div w:id="270747910">
          <w:marLeft w:val="0"/>
          <w:marRight w:val="0"/>
          <w:marTop w:val="0"/>
          <w:marBottom w:val="0"/>
          <w:divBdr>
            <w:top w:val="none" w:sz="0" w:space="0" w:color="auto"/>
            <w:left w:val="none" w:sz="0" w:space="0" w:color="auto"/>
            <w:bottom w:val="none" w:sz="0" w:space="0" w:color="auto"/>
            <w:right w:val="none" w:sz="0" w:space="0" w:color="auto"/>
          </w:divBdr>
          <w:divsChild>
            <w:div w:id="2013484375">
              <w:marLeft w:val="0"/>
              <w:marRight w:val="0"/>
              <w:marTop w:val="0"/>
              <w:marBottom w:val="0"/>
              <w:divBdr>
                <w:top w:val="none" w:sz="0" w:space="0" w:color="auto"/>
                <w:left w:val="none" w:sz="0" w:space="0" w:color="auto"/>
                <w:bottom w:val="none" w:sz="0" w:space="0" w:color="auto"/>
                <w:right w:val="none" w:sz="0" w:space="0" w:color="auto"/>
              </w:divBdr>
              <w:divsChild>
                <w:div w:id="1224875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075565">
          <w:marLeft w:val="0"/>
          <w:marRight w:val="0"/>
          <w:marTop w:val="0"/>
          <w:marBottom w:val="0"/>
          <w:divBdr>
            <w:top w:val="none" w:sz="0" w:space="0" w:color="auto"/>
            <w:left w:val="none" w:sz="0" w:space="0" w:color="auto"/>
            <w:bottom w:val="none" w:sz="0" w:space="0" w:color="auto"/>
            <w:right w:val="none" w:sz="0" w:space="0" w:color="auto"/>
          </w:divBdr>
          <w:divsChild>
            <w:div w:id="1188327435">
              <w:marLeft w:val="0"/>
              <w:marRight w:val="0"/>
              <w:marTop w:val="0"/>
              <w:marBottom w:val="0"/>
              <w:divBdr>
                <w:top w:val="none" w:sz="0" w:space="0" w:color="auto"/>
                <w:left w:val="none" w:sz="0" w:space="0" w:color="auto"/>
                <w:bottom w:val="none" w:sz="0" w:space="0" w:color="auto"/>
                <w:right w:val="none" w:sz="0" w:space="0" w:color="auto"/>
              </w:divBdr>
              <w:divsChild>
                <w:div w:id="6418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779447">
      <w:bodyDiv w:val="1"/>
      <w:marLeft w:val="0"/>
      <w:marRight w:val="0"/>
      <w:marTop w:val="0"/>
      <w:marBottom w:val="0"/>
      <w:divBdr>
        <w:top w:val="none" w:sz="0" w:space="0" w:color="auto"/>
        <w:left w:val="none" w:sz="0" w:space="0" w:color="auto"/>
        <w:bottom w:val="none" w:sz="0" w:space="0" w:color="auto"/>
        <w:right w:val="none" w:sz="0" w:space="0" w:color="auto"/>
      </w:divBdr>
    </w:div>
    <w:div w:id="348524900">
      <w:bodyDiv w:val="1"/>
      <w:marLeft w:val="0"/>
      <w:marRight w:val="0"/>
      <w:marTop w:val="0"/>
      <w:marBottom w:val="0"/>
      <w:divBdr>
        <w:top w:val="none" w:sz="0" w:space="0" w:color="auto"/>
        <w:left w:val="none" w:sz="0" w:space="0" w:color="auto"/>
        <w:bottom w:val="none" w:sz="0" w:space="0" w:color="auto"/>
        <w:right w:val="none" w:sz="0" w:space="0" w:color="auto"/>
      </w:divBdr>
      <w:divsChild>
        <w:div w:id="1794711061">
          <w:marLeft w:val="0"/>
          <w:marRight w:val="0"/>
          <w:marTop w:val="0"/>
          <w:marBottom w:val="0"/>
          <w:divBdr>
            <w:top w:val="none" w:sz="0" w:space="0" w:color="auto"/>
            <w:left w:val="none" w:sz="0" w:space="0" w:color="auto"/>
            <w:bottom w:val="none" w:sz="0" w:space="0" w:color="auto"/>
            <w:right w:val="none" w:sz="0" w:space="0" w:color="auto"/>
          </w:divBdr>
          <w:divsChild>
            <w:div w:id="133791115">
              <w:marLeft w:val="0"/>
              <w:marRight w:val="0"/>
              <w:marTop w:val="0"/>
              <w:marBottom w:val="0"/>
              <w:divBdr>
                <w:top w:val="none" w:sz="0" w:space="0" w:color="auto"/>
                <w:left w:val="none" w:sz="0" w:space="0" w:color="auto"/>
                <w:bottom w:val="none" w:sz="0" w:space="0" w:color="auto"/>
                <w:right w:val="none" w:sz="0" w:space="0" w:color="auto"/>
              </w:divBdr>
              <w:divsChild>
                <w:div w:id="142268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9421363">
      <w:bodyDiv w:val="1"/>
      <w:marLeft w:val="0"/>
      <w:marRight w:val="0"/>
      <w:marTop w:val="0"/>
      <w:marBottom w:val="0"/>
      <w:divBdr>
        <w:top w:val="none" w:sz="0" w:space="0" w:color="auto"/>
        <w:left w:val="none" w:sz="0" w:space="0" w:color="auto"/>
        <w:bottom w:val="none" w:sz="0" w:space="0" w:color="auto"/>
        <w:right w:val="none" w:sz="0" w:space="0" w:color="auto"/>
      </w:divBdr>
      <w:divsChild>
        <w:div w:id="1148858412">
          <w:marLeft w:val="0"/>
          <w:marRight w:val="0"/>
          <w:marTop w:val="0"/>
          <w:marBottom w:val="0"/>
          <w:divBdr>
            <w:top w:val="none" w:sz="0" w:space="0" w:color="auto"/>
            <w:left w:val="none" w:sz="0" w:space="0" w:color="auto"/>
            <w:bottom w:val="none" w:sz="0" w:space="0" w:color="auto"/>
            <w:right w:val="none" w:sz="0" w:space="0" w:color="auto"/>
          </w:divBdr>
          <w:divsChild>
            <w:div w:id="953829466">
              <w:marLeft w:val="0"/>
              <w:marRight w:val="0"/>
              <w:marTop w:val="0"/>
              <w:marBottom w:val="0"/>
              <w:divBdr>
                <w:top w:val="none" w:sz="0" w:space="0" w:color="auto"/>
                <w:left w:val="none" w:sz="0" w:space="0" w:color="auto"/>
                <w:bottom w:val="none" w:sz="0" w:space="0" w:color="auto"/>
                <w:right w:val="none" w:sz="0" w:space="0" w:color="auto"/>
              </w:divBdr>
              <w:divsChild>
                <w:div w:id="85835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856357">
      <w:bodyDiv w:val="1"/>
      <w:marLeft w:val="0"/>
      <w:marRight w:val="0"/>
      <w:marTop w:val="0"/>
      <w:marBottom w:val="0"/>
      <w:divBdr>
        <w:top w:val="none" w:sz="0" w:space="0" w:color="auto"/>
        <w:left w:val="none" w:sz="0" w:space="0" w:color="auto"/>
        <w:bottom w:val="none" w:sz="0" w:space="0" w:color="auto"/>
        <w:right w:val="none" w:sz="0" w:space="0" w:color="auto"/>
      </w:divBdr>
    </w:div>
    <w:div w:id="424108371">
      <w:bodyDiv w:val="1"/>
      <w:marLeft w:val="0"/>
      <w:marRight w:val="0"/>
      <w:marTop w:val="0"/>
      <w:marBottom w:val="0"/>
      <w:divBdr>
        <w:top w:val="none" w:sz="0" w:space="0" w:color="auto"/>
        <w:left w:val="none" w:sz="0" w:space="0" w:color="auto"/>
        <w:bottom w:val="none" w:sz="0" w:space="0" w:color="auto"/>
        <w:right w:val="none" w:sz="0" w:space="0" w:color="auto"/>
      </w:divBdr>
      <w:divsChild>
        <w:div w:id="372772068">
          <w:marLeft w:val="0"/>
          <w:marRight w:val="0"/>
          <w:marTop w:val="0"/>
          <w:marBottom w:val="0"/>
          <w:divBdr>
            <w:top w:val="none" w:sz="0" w:space="0" w:color="auto"/>
            <w:left w:val="none" w:sz="0" w:space="0" w:color="auto"/>
            <w:bottom w:val="none" w:sz="0" w:space="0" w:color="auto"/>
            <w:right w:val="none" w:sz="0" w:space="0" w:color="auto"/>
          </w:divBdr>
          <w:divsChild>
            <w:div w:id="988362099">
              <w:marLeft w:val="0"/>
              <w:marRight w:val="0"/>
              <w:marTop w:val="0"/>
              <w:marBottom w:val="0"/>
              <w:divBdr>
                <w:top w:val="none" w:sz="0" w:space="0" w:color="auto"/>
                <w:left w:val="none" w:sz="0" w:space="0" w:color="auto"/>
                <w:bottom w:val="none" w:sz="0" w:space="0" w:color="auto"/>
                <w:right w:val="none" w:sz="0" w:space="0" w:color="auto"/>
              </w:divBdr>
              <w:divsChild>
                <w:div w:id="205403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45895">
      <w:bodyDiv w:val="1"/>
      <w:marLeft w:val="0"/>
      <w:marRight w:val="0"/>
      <w:marTop w:val="0"/>
      <w:marBottom w:val="0"/>
      <w:divBdr>
        <w:top w:val="none" w:sz="0" w:space="0" w:color="auto"/>
        <w:left w:val="none" w:sz="0" w:space="0" w:color="auto"/>
        <w:bottom w:val="none" w:sz="0" w:space="0" w:color="auto"/>
        <w:right w:val="none" w:sz="0" w:space="0" w:color="auto"/>
      </w:divBdr>
    </w:div>
    <w:div w:id="457721070">
      <w:bodyDiv w:val="1"/>
      <w:marLeft w:val="0"/>
      <w:marRight w:val="0"/>
      <w:marTop w:val="0"/>
      <w:marBottom w:val="0"/>
      <w:divBdr>
        <w:top w:val="none" w:sz="0" w:space="0" w:color="auto"/>
        <w:left w:val="none" w:sz="0" w:space="0" w:color="auto"/>
        <w:bottom w:val="none" w:sz="0" w:space="0" w:color="auto"/>
        <w:right w:val="none" w:sz="0" w:space="0" w:color="auto"/>
      </w:divBdr>
      <w:divsChild>
        <w:div w:id="688260831">
          <w:marLeft w:val="0"/>
          <w:marRight w:val="0"/>
          <w:marTop w:val="0"/>
          <w:marBottom w:val="0"/>
          <w:divBdr>
            <w:top w:val="none" w:sz="0" w:space="0" w:color="auto"/>
            <w:left w:val="none" w:sz="0" w:space="0" w:color="auto"/>
            <w:bottom w:val="none" w:sz="0" w:space="0" w:color="auto"/>
            <w:right w:val="none" w:sz="0" w:space="0" w:color="auto"/>
          </w:divBdr>
          <w:divsChild>
            <w:div w:id="1733307803">
              <w:marLeft w:val="0"/>
              <w:marRight w:val="0"/>
              <w:marTop w:val="0"/>
              <w:marBottom w:val="0"/>
              <w:divBdr>
                <w:top w:val="none" w:sz="0" w:space="0" w:color="auto"/>
                <w:left w:val="none" w:sz="0" w:space="0" w:color="auto"/>
                <w:bottom w:val="none" w:sz="0" w:space="0" w:color="auto"/>
                <w:right w:val="none" w:sz="0" w:space="0" w:color="auto"/>
              </w:divBdr>
              <w:divsChild>
                <w:div w:id="73015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102545">
      <w:bodyDiv w:val="1"/>
      <w:marLeft w:val="0"/>
      <w:marRight w:val="0"/>
      <w:marTop w:val="0"/>
      <w:marBottom w:val="0"/>
      <w:divBdr>
        <w:top w:val="none" w:sz="0" w:space="0" w:color="auto"/>
        <w:left w:val="none" w:sz="0" w:space="0" w:color="auto"/>
        <w:bottom w:val="none" w:sz="0" w:space="0" w:color="auto"/>
        <w:right w:val="none" w:sz="0" w:space="0" w:color="auto"/>
      </w:divBdr>
      <w:divsChild>
        <w:div w:id="345910469">
          <w:marLeft w:val="0"/>
          <w:marRight w:val="0"/>
          <w:marTop w:val="0"/>
          <w:marBottom w:val="0"/>
          <w:divBdr>
            <w:top w:val="none" w:sz="0" w:space="0" w:color="auto"/>
            <w:left w:val="none" w:sz="0" w:space="0" w:color="auto"/>
            <w:bottom w:val="none" w:sz="0" w:space="0" w:color="auto"/>
            <w:right w:val="none" w:sz="0" w:space="0" w:color="auto"/>
          </w:divBdr>
          <w:divsChild>
            <w:div w:id="1705590969">
              <w:marLeft w:val="0"/>
              <w:marRight w:val="0"/>
              <w:marTop w:val="0"/>
              <w:marBottom w:val="0"/>
              <w:divBdr>
                <w:top w:val="none" w:sz="0" w:space="0" w:color="auto"/>
                <w:left w:val="none" w:sz="0" w:space="0" w:color="auto"/>
                <w:bottom w:val="none" w:sz="0" w:space="0" w:color="auto"/>
                <w:right w:val="none" w:sz="0" w:space="0" w:color="auto"/>
              </w:divBdr>
              <w:divsChild>
                <w:div w:id="18706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1937608">
      <w:bodyDiv w:val="1"/>
      <w:marLeft w:val="0"/>
      <w:marRight w:val="0"/>
      <w:marTop w:val="0"/>
      <w:marBottom w:val="0"/>
      <w:divBdr>
        <w:top w:val="none" w:sz="0" w:space="0" w:color="auto"/>
        <w:left w:val="none" w:sz="0" w:space="0" w:color="auto"/>
        <w:bottom w:val="none" w:sz="0" w:space="0" w:color="auto"/>
        <w:right w:val="none" w:sz="0" w:space="0" w:color="auto"/>
      </w:divBdr>
      <w:divsChild>
        <w:div w:id="70156024">
          <w:marLeft w:val="0"/>
          <w:marRight w:val="0"/>
          <w:marTop w:val="0"/>
          <w:marBottom w:val="0"/>
          <w:divBdr>
            <w:top w:val="none" w:sz="0" w:space="0" w:color="auto"/>
            <w:left w:val="none" w:sz="0" w:space="0" w:color="auto"/>
            <w:bottom w:val="none" w:sz="0" w:space="0" w:color="auto"/>
            <w:right w:val="none" w:sz="0" w:space="0" w:color="auto"/>
          </w:divBdr>
          <w:divsChild>
            <w:div w:id="1972401617">
              <w:marLeft w:val="0"/>
              <w:marRight w:val="0"/>
              <w:marTop w:val="0"/>
              <w:marBottom w:val="0"/>
              <w:divBdr>
                <w:top w:val="none" w:sz="0" w:space="0" w:color="auto"/>
                <w:left w:val="none" w:sz="0" w:space="0" w:color="auto"/>
                <w:bottom w:val="none" w:sz="0" w:space="0" w:color="auto"/>
                <w:right w:val="none" w:sz="0" w:space="0" w:color="auto"/>
              </w:divBdr>
              <w:divsChild>
                <w:div w:id="145648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569761">
      <w:bodyDiv w:val="1"/>
      <w:marLeft w:val="0"/>
      <w:marRight w:val="0"/>
      <w:marTop w:val="0"/>
      <w:marBottom w:val="0"/>
      <w:divBdr>
        <w:top w:val="none" w:sz="0" w:space="0" w:color="auto"/>
        <w:left w:val="none" w:sz="0" w:space="0" w:color="auto"/>
        <w:bottom w:val="none" w:sz="0" w:space="0" w:color="auto"/>
        <w:right w:val="none" w:sz="0" w:space="0" w:color="auto"/>
      </w:divBdr>
    </w:div>
    <w:div w:id="562831276">
      <w:bodyDiv w:val="1"/>
      <w:marLeft w:val="0"/>
      <w:marRight w:val="0"/>
      <w:marTop w:val="0"/>
      <w:marBottom w:val="0"/>
      <w:divBdr>
        <w:top w:val="none" w:sz="0" w:space="0" w:color="auto"/>
        <w:left w:val="none" w:sz="0" w:space="0" w:color="auto"/>
        <w:bottom w:val="none" w:sz="0" w:space="0" w:color="auto"/>
        <w:right w:val="none" w:sz="0" w:space="0" w:color="auto"/>
      </w:divBdr>
      <w:divsChild>
        <w:div w:id="158928591">
          <w:marLeft w:val="0"/>
          <w:marRight w:val="0"/>
          <w:marTop w:val="0"/>
          <w:marBottom w:val="0"/>
          <w:divBdr>
            <w:top w:val="none" w:sz="0" w:space="0" w:color="auto"/>
            <w:left w:val="none" w:sz="0" w:space="0" w:color="auto"/>
            <w:bottom w:val="none" w:sz="0" w:space="0" w:color="auto"/>
            <w:right w:val="none" w:sz="0" w:space="0" w:color="auto"/>
          </w:divBdr>
          <w:divsChild>
            <w:div w:id="85733176">
              <w:marLeft w:val="0"/>
              <w:marRight w:val="0"/>
              <w:marTop w:val="0"/>
              <w:marBottom w:val="0"/>
              <w:divBdr>
                <w:top w:val="none" w:sz="0" w:space="0" w:color="auto"/>
                <w:left w:val="none" w:sz="0" w:space="0" w:color="auto"/>
                <w:bottom w:val="none" w:sz="0" w:space="0" w:color="auto"/>
                <w:right w:val="none" w:sz="0" w:space="0" w:color="auto"/>
              </w:divBdr>
              <w:divsChild>
                <w:div w:id="78311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286515">
      <w:bodyDiv w:val="1"/>
      <w:marLeft w:val="0"/>
      <w:marRight w:val="0"/>
      <w:marTop w:val="0"/>
      <w:marBottom w:val="0"/>
      <w:divBdr>
        <w:top w:val="none" w:sz="0" w:space="0" w:color="auto"/>
        <w:left w:val="none" w:sz="0" w:space="0" w:color="auto"/>
        <w:bottom w:val="none" w:sz="0" w:space="0" w:color="auto"/>
        <w:right w:val="none" w:sz="0" w:space="0" w:color="auto"/>
      </w:divBdr>
    </w:div>
    <w:div w:id="589850769">
      <w:bodyDiv w:val="1"/>
      <w:marLeft w:val="0"/>
      <w:marRight w:val="0"/>
      <w:marTop w:val="0"/>
      <w:marBottom w:val="0"/>
      <w:divBdr>
        <w:top w:val="none" w:sz="0" w:space="0" w:color="auto"/>
        <w:left w:val="none" w:sz="0" w:space="0" w:color="auto"/>
        <w:bottom w:val="none" w:sz="0" w:space="0" w:color="auto"/>
        <w:right w:val="none" w:sz="0" w:space="0" w:color="auto"/>
      </w:divBdr>
      <w:divsChild>
        <w:div w:id="258682460">
          <w:marLeft w:val="0"/>
          <w:marRight w:val="0"/>
          <w:marTop w:val="0"/>
          <w:marBottom w:val="0"/>
          <w:divBdr>
            <w:top w:val="none" w:sz="0" w:space="0" w:color="auto"/>
            <w:left w:val="none" w:sz="0" w:space="0" w:color="auto"/>
            <w:bottom w:val="none" w:sz="0" w:space="0" w:color="auto"/>
            <w:right w:val="none" w:sz="0" w:space="0" w:color="auto"/>
          </w:divBdr>
          <w:divsChild>
            <w:div w:id="2099399502">
              <w:marLeft w:val="0"/>
              <w:marRight w:val="0"/>
              <w:marTop w:val="0"/>
              <w:marBottom w:val="0"/>
              <w:divBdr>
                <w:top w:val="none" w:sz="0" w:space="0" w:color="auto"/>
                <w:left w:val="none" w:sz="0" w:space="0" w:color="auto"/>
                <w:bottom w:val="none" w:sz="0" w:space="0" w:color="auto"/>
                <w:right w:val="none" w:sz="0" w:space="0" w:color="auto"/>
              </w:divBdr>
              <w:divsChild>
                <w:div w:id="139928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8780008">
      <w:bodyDiv w:val="1"/>
      <w:marLeft w:val="0"/>
      <w:marRight w:val="0"/>
      <w:marTop w:val="0"/>
      <w:marBottom w:val="0"/>
      <w:divBdr>
        <w:top w:val="none" w:sz="0" w:space="0" w:color="auto"/>
        <w:left w:val="none" w:sz="0" w:space="0" w:color="auto"/>
        <w:bottom w:val="none" w:sz="0" w:space="0" w:color="auto"/>
        <w:right w:val="none" w:sz="0" w:space="0" w:color="auto"/>
      </w:divBdr>
    </w:div>
    <w:div w:id="658465520">
      <w:bodyDiv w:val="1"/>
      <w:marLeft w:val="0"/>
      <w:marRight w:val="0"/>
      <w:marTop w:val="0"/>
      <w:marBottom w:val="0"/>
      <w:divBdr>
        <w:top w:val="none" w:sz="0" w:space="0" w:color="auto"/>
        <w:left w:val="none" w:sz="0" w:space="0" w:color="auto"/>
        <w:bottom w:val="none" w:sz="0" w:space="0" w:color="auto"/>
        <w:right w:val="none" w:sz="0" w:space="0" w:color="auto"/>
      </w:divBdr>
    </w:div>
    <w:div w:id="665212131">
      <w:bodyDiv w:val="1"/>
      <w:marLeft w:val="0"/>
      <w:marRight w:val="0"/>
      <w:marTop w:val="0"/>
      <w:marBottom w:val="0"/>
      <w:divBdr>
        <w:top w:val="none" w:sz="0" w:space="0" w:color="auto"/>
        <w:left w:val="none" w:sz="0" w:space="0" w:color="auto"/>
        <w:bottom w:val="none" w:sz="0" w:space="0" w:color="auto"/>
        <w:right w:val="none" w:sz="0" w:space="0" w:color="auto"/>
      </w:divBdr>
    </w:div>
    <w:div w:id="683944078">
      <w:bodyDiv w:val="1"/>
      <w:marLeft w:val="0"/>
      <w:marRight w:val="0"/>
      <w:marTop w:val="0"/>
      <w:marBottom w:val="0"/>
      <w:divBdr>
        <w:top w:val="none" w:sz="0" w:space="0" w:color="auto"/>
        <w:left w:val="none" w:sz="0" w:space="0" w:color="auto"/>
        <w:bottom w:val="none" w:sz="0" w:space="0" w:color="auto"/>
        <w:right w:val="none" w:sz="0" w:space="0" w:color="auto"/>
      </w:divBdr>
    </w:div>
    <w:div w:id="690450441">
      <w:bodyDiv w:val="1"/>
      <w:marLeft w:val="0"/>
      <w:marRight w:val="0"/>
      <w:marTop w:val="0"/>
      <w:marBottom w:val="0"/>
      <w:divBdr>
        <w:top w:val="none" w:sz="0" w:space="0" w:color="auto"/>
        <w:left w:val="none" w:sz="0" w:space="0" w:color="auto"/>
        <w:bottom w:val="none" w:sz="0" w:space="0" w:color="auto"/>
        <w:right w:val="none" w:sz="0" w:space="0" w:color="auto"/>
      </w:divBdr>
      <w:divsChild>
        <w:div w:id="1091043866">
          <w:marLeft w:val="0"/>
          <w:marRight w:val="0"/>
          <w:marTop w:val="0"/>
          <w:marBottom w:val="0"/>
          <w:divBdr>
            <w:top w:val="none" w:sz="0" w:space="0" w:color="auto"/>
            <w:left w:val="none" w:sz="0" w:space="0" w:color="auto"/>
            <w:bottom w:val="none" w:sz="0" w:space="0" w:color="auto"/>
            <w:right w:val="none" w:sz="0" w:space="0" w:color="auto"/>
          </w:divBdr>
          <w:divsChild>
            <w:div w:id="47727159">
              <w:marLeft w:val="0"/>
              <w:marRight w:val="0"/>
              <w:marTop w:val="0"/>
              <w:marBottom w:val="0"/>
              <w:divBdr>
                <w:top w:val="none" w:sz="0" w:space="0" w:color="auto"/>
                <w:left w:val="none" w:sz="0" w:space="0" w:color="auto"/>
                <w:bottom w:val="none" w:sz="0" w:space="0" w:color="auto"/>
                <w:right w:val="none" w:sz="0" w:space="0" w:color="auto"/>
              </w:divBdr>
              <w:divsChild>
                <w:div w:id="44003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867750">
      <w:bodyDiv w:val="1"/>
      <w:marLeft w:val="0"/>
      <w:marRight w:val="0"/>
      <w:marTop w:val="0"/>
      <w:marBottom w:val="0"/>
      <w:divBdr>
        <w:top w:val="none" w:sz="0" w:space="0" w:color="auto"/>
        <w:left w:val="none" w:sz="0" w:space="0" w:color="auto"/>
        <w:bottom w:val="none" w:sz="0" w:space="0" w:color="auto"/>
        <w:right w:val="none" w:sz="0" w:space="0" w:color="auto"/>
      </w:divBdr>
    </w:div>
    <w:div w:id="736782239">
      <w:bodyDiv w:val="1"/>
      <w:marLeft w:val="0"/>
      <w:marRight w:val="0"/>
      <w:marTop w:val="0"/>
      <w:marBottom w:val="0"/>
      <w:divBdr>
        <w:top w:val="none" w:sz="0" w:space="0" w:color="auto"/>
        <w:left w:val="none" w:sz="0" w:space="0" w:color="auto"/>
        <w:bottom w:val="none" w:sz="0" w:space="0" w:color="auto"/>
        <w:right w:val="none" w:sz="0" w:space="0" w:color="auto"/>
      </w:divBdr>
    </w:div>
    <w:div w:id="793132542">
      <w:bodyDiv w:val="1"/>
      <w:marLeft w:val="0"/>
      <w:marRight w:val="0"/>
      <w:marTop w:val="0"/>
      <w:marBottom w:val="0"/>
      <w:divBdr>
        <w:top w:val="none" w:sz="0" w:space="0" w:color="auto"/>
        <w:left w:val="none" w:sz="0" w:space="0" w:color="auto"/>
        <w:bottom w:val="none" w:sz="0" w:space="0" w:color="auto"/>
        <w:right w:val="none" w:sz="0" w:space="0" w:color="auto"/>
      </w:divBdr>
      <w:divsChild>
        <w:div w:id="1436706411">
          <w:marLeft w:val="0"/>
          <w:marRight w:val="0"/>
          <w:marTop w:val="0"/>
          <w:marBottom w:val="0"/>
          <w:divBdr>
            <w:top w:val="none" w:sz="0" w:space="0" w:color="auto"/>
            <w:left w:val="none" w:sz="0" w:space="0" w:color="auto"/>
            <w:bottom w:val="none" w:sz="0" w:space="0" w:color="auto"/>
            <w:right w:val="none" w:sz="0" w:space="0" w:color="auto"/>
          </w:divBdr>
          <w:divsChild>
            <w:div w:id="1499036986">
              <w:marLeft w:val="0"/>
              <w:marRight w:val="0"/>
              <w:marTop w:val="0"/>
              <w:marBottom w:val="0"/>
              <w:divBdr>
                <w:top w:val="none" w:sz="0" w:space="0" w:color="auto"/>
                <w:left w:val="none" w:sz="0" w:space="0" w:color="auto"/>
                <w:bottom w:val="none" w:sz="0" w:space="0" w:color="auto"/>
                <w:right w:val="none" w:sz="0" w:space="0" w:color="auto"/>
              </w:divBdr>
              <w:divsChild>
                <w:div w:id="91909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3859">
      <w:bodyDiv w:val="1"/>
      <w:marLeft w:val="0"/>
      <w:marRight w:val="0"/>
      <w:marTop w:val="0"/>
      <w:marBottom w:val="0"/>
      <w:divBdr>
        <w:top w:val="none" w:sz="0" w:space="0" w:color="auto"/>
        <w:left w:val="none" w:sz="0" w:space="0" w:color="auto"/>
        <w:bottom w:val="none" w:sz="0" w:space="0" w:color="auto"/>
        <w:right w:val="none" w:sz="0" w:space="0" w:color="auto"/>
      </w:divBdr>
      <w:divsChild>
        <w:div w:id="275871760">
          <w:marLeft w:val="0"/>
          <w:marRight w:val="0"/>
          <w:marTop w:val="0"/>
          <w:marBottom w:val="0"/>
          <w:divBdr>
            <w:top w:val="none" w:sz="0" w:space="0" w:color="auto"/>
            <w:left w:val="none" w:sz="0" w:space="0" w:color="auto"/>
            <w:bottom w:val="none" w:sz="0" w:space="0" w:color="auto"/>
            <w:right w:val="none" w:sz="0" w:space="0" w:color="auto"/>
          </w:divBdr>
          <w:divsChild>
            <w:div w:id="1110466016">
              <w:marLeft w:val="0"/>
              <w:marRight w:val="0"/>
              <w:marTop w:val="0"/>
              <w:marBottom w:val="0"/>
              <w:divBdr>
                <w:top w:val="none" w:sz="0" w:space="0" w:color="auto"/>
                <w:left w:val="none" w:sz="0" w:space="0" w:color="auto"/>
                <w:bottom w:val="none" w:sz="0" w:space="0" w:color="auto"/>
                <w:right w:val="none" w:sz="0" w:space="0" w:color="auto"/>
              </w:divBdr>
              <w:divsChild>
                <w:div w:id="233705355">
                  <w:marLeft w:val="0"/>
                  <w:marRight w:val="0"/>
                  <w:marTop w:val="0"/>
                  <w:marBottom w:val="0"/>
                  <w:divBdr>
                    <w:top w:val="none" w:sz="0" w:space="0" w:color="auto"/>
                    <w:left w:val="none" w:sz="0" w:space="0" w:color="auto"/>
                    <w:bottom w:val="none" w:sz="0" w:space="0" w:color="auto"/>
                    <w:right w:val="none" w:sz="0" w:space="0" w:color="auto"/>
                  </w:divBdr>
                </w:div>
                <w:div w:id="330765054">
                  <w:marLeft w:val="0"/>
                  <w:marRight w:val="0"/>
                  <w:marTop w:val="0"/>
                  <w:marBottom w:val="0"/>
                  <w:divBdr>
                    <w:top w:val="none" w:sz="0" w:space="0" w:color="auto"/>
                    <w:left w:val="none" w:sz="0" w:space="0" w:color="auto"/>
                    <w:bottom w:val="none" w:sz="0" w:space="0" w:color="auto"/>
                    <w:right w:val="none" w:sz="0" w:space="0" w:color="auto"/>
                  </w:divBdr>
                </w:div>
                <w:div w:id="468476481">
                  <w:marLeft w:val="0"/>
                  <w:marRight w:val="0"/>
                  <w:marTop w:val="0"/>
                  <w:marBottom w:val="0"/>
                  <w:divBdr>
                    <w:top w:val="none" w:sz="0" w:space="0" w:color="auto"/>
                    <w:left w:val="none" w:sz="0" w:space="0" w:color="auto"/>
                    <w:bottom w:val="none" w:sz="0" w:space="0" w:color="auto"/>
                    <w:right w:val="none" w:sz="0" w:space="0" w:color="auto"/>
                  </w:divBdr>
                </w:div>
                <w:div w:id="490366455">
                  <w:marLeft w:val="0"/>
                  <w:marRight w:val="0"/>
                  <w:marTop w:val="0"/>
                  <w:marBottom w:val="0"/>
                  <w:divBdr>
                    <w:top w:val="none" w:sz="0" w:space="0" w:color="auto"/>
                    <w:left w:val="none" w:sz="0" w:space="0" w:color="auto"/>
                    <w:bottom w:val="none" w:sz="0" w:space="0" w:color="auto"/>
                    <w:right w:val="none" w:sz="0" w:space="0" w:color="auto"/>
                  </w:divBdr>
                </w:div>
                <w:div w:id="536281262">
                  <w:marLeft w:val="0"/>
                  <w:marRight w:val="0"/>
                  <w:marTop w:val="0"/>
                  <w:marBottom w:val="0"/>
                  <w:divBdr>
                    <w:top w:val="none" w:sz="0" w:space="0" w:color="auto"/>
                    <w:left w:val="none" w:sz="0" w:space="0" w:color="auto"/>
                    <w:bottom w:val="none" w:sz="0" w:space="0" w:color="auto"/>
                    <w:right w:val="none" w:sz="0" w:space="0" w:color="auto"/>
                  </w:divBdr>
                </w:div>
                <w:div w:id="545531762">
                  <w:marLeft w:val="0"/>
                  <w:marRight w:val="0"/>
                  <w:marTop w:val="0"/>
                  <w:marBottom w:val="0"/>
                  <w:divBdr>
                    <w:top w:val="none" w:sz="0" w:space="0" w:color="auto"/>
                    <w:left w:val="none" w:sz="0" w:space="0" w:color="auto"/>
                    <w:bottom w:val="none" w:sz="0" w:space="0" w:color="auto"/>
                    <w:right w:val="none" w:sz="0" w:space="0" w:color="auto"/>
                  </w:divBdr>
                </w:div>
                <w:div w:id="795106656">
                  <w:marLeft w:val="0"/>
                  <w:marRight w:val="0"/>
                  <w:marTop w:val="0"/>
                  <w:marBottom w:val="0"/>
                  <w:divBdr>
                    <w:top w:val="none" w:sz="0" w:space="0" w:color="auto"/>
                    <w:left w:val="none" w:sz="0" w:space="0" w:color="auto"/>
                    <w:bottom w:val="none" w:sz="0" w:space="0" w:color="auto"/>
                    <w:right w:val="none" w:sz="0" w:space="0" w:color="auto"/>
                  </w:divBdr>
                </w:div>
                <w:div w:id="881281842">
                  <w:marLeft w:val="0"/>
                  <w:marRight w:val="0"/>
                  <w:marTop w:val="0"/>
                  <w:marBottom w:val="0"/>
                  <w:divBdr>
                    <w:top w:val="none" w:sz="0" w:space="0" w:color="auto"/>
                    <w:left w:val="none" w:sz="0" w:space="0" w:color="auto"/>
                    <w:bottom w:val="none" w:sz="0" w:space="0" w:color="auto"/>
                    <w:right w:val="none" w:sz="0" w:space="0" w:color="auto"/>
                  </w:divBdr>
                </w:div>
                <w:div w:id="907763055">
                  <w:marLeft w:val="0"/>
                  <w:marRight w:val="0"/>
                  <w:marTop w:val="0"/>
                  <w:marBottom w:val="0"/>
                  <w:divBdr>
                    <w:top w:val="none" w:sz="0" w:space="0" w:color="auto"/>
                    <w:left w:val="none" w:sz="0" w:space="0" w:color="auto"/>
                    <w:bottom w:val="none" w:sz="0" w:space="0" w:color="auto"/>
                    <w:right w:val="none" w:sz="0" w:space="0" w:color="auto"/>
                  </w:divBdr>
                </w:div>
                <w:div w:id="920145020">
                  <w:marLeft w:val="0"/>
                  <w:marRight w:val="0"/>
                  <w:marTop w:val="0"/>
                  <w:marBottom w:val="0"/>
                  <w:divBdr>
                    <w:top w:val="none" w:sz="0" w:space="0" w:color="auto"/>
                    <w:left w:val="none" w:sz="0" w:space="0" w:color="auto"/>
                    <w:bottom w:val="none" w:sz="0" w:space="0" w:color="auto"/>
                    <w:right w:val="none" w:sz="0" w:space="0" w:color="auto"/>
                  </w:divBdr>
                </w:div>
                <w:div w:id="1149398598">
                  <w:marLeft w:val="0"/>
                  <w:marRight w:val="0"/>
                  <w:marTop w:val="0"/>
                  <w:marBottom w:val="0"/>
                  <w:divBdr>
                    <w:top w:val="none" w:sz="0" w:space="0" w:color="auto"/>
                    <w:left w:val="none" w:sz="0" w:space="0" w:color="auto"/>
                    <w:bottom w:val="none" w:sz="0" w:space="0" w:color="auto"/>
                    <w:right w:val="none" w:sz="0" w:space="0" w:color="auto"/>
                  </w:divBdr>
                </w:div>
                <w:div w:id="1344894741">
                  <w:marLeft w:val="0"/>
                  <w:marRight w:val="0"/>
                  <w:marTop w:val="0"/>
                  <w:marBottom w:val="0"/>
                  <w:divBdr>
                    <w:top w:val="none" w:sz="0" w:space="0" w:color="auto"/>
                    <w:left w:val="none" w:sz="0" w:space="0" w:color="auto"/>
                    <w:bottom w:val="none" w:sz="0" w:space="0" w:color="auto"/>
                    <w:right w:val="none" w:sz="0" w:space="0" w:color="auto"/>
                  </w:divBdr>
                </w:div>
                <w:div w:id="1511067205">
                  <w:marLeft w:val="0"/>
                  <w:marRight w:val="0"/>
                  <w:marTop w:val="0"/>
                  <w:marBottom w:val="0"/>
                  <w:divBdr>
                    <w:top w:val="none" w:sz="0" w:space="0" w:color="auto"/>
                    <w:left w:val="none" w:sz="0" w:space="0" w:color="auto"/>
                    <w:bottom w:val="none" w:sz="0" w:space="0" w:color="auto"/>
                    <w:right w:val="none" w:sz="0" w:space="0" w:color="auto"/>
                  </w:divBdr>
                </w:div>
                <w:div w:id="1540045941">
                  <w:marLeft w:val="0"/>
                  <w:marRight w:val="0"/>
                  <w:marTop w:val="0"/>
                  <w:marBottom w:val="0"/>
                  <w:divBdr>
                    <w:top w:val="none" w:sz="0" w:space="0" w:color="auto"/>
                    <w:left w:val="none" w:sz="0" w:space="0" w:color="auto"/>
                    <w:bottom w:val="none" w:sz="0" w:space="0" w:color="auto"/>
                    <w:right w:val="none" w:sz="0" w:space="0" w:color="auto"/>
                  </w:divBdr>
                </w:div>
                <w:div w:id="1648852899">
                  <w:marLeft w:val="0"/>
                  <w:marRight w:val="0"/>
                  <w:marTop w:val="0"/>
                  <w:marBottom w:val="0"/>
                  <w:divBdr>
                    <w:top w:val="none" w:sz="0" w:space="0" w:color="auto"/>
                    <w:left w:val="none" w:sz="0" w:space="0" w:color="auto"/>
                    <w:bottom w:val="none" w:sz="0" w:space="0" w:color="auto"/>
                    <w:right w:val="none" w:sz="0" w:space="0" w:color="auto"/>
                  </w:divBdr>
                </w:div>
                <w:div w:id="1728072219">
                  <w:marLeft w:val="0"/>
                  <w:marRight w:val="0"/>
                  <w:marTop w:val="0"/>
                  <w:marBottom w:val="0"/>
                  <w:divBdr>
                    <w:top w:val="none" w:sz="0" w:space="0" w:color="auto"/>
                    <w:left w:val="none" w:sz="0" w:space="0" w:color="auto"/>
                    <w:bottom w:val="none" w:sz="0" w:space="0" w:color="auto"/>
                    <w:right w:val="none" w:sz="0" w:space="0" w:color="auto"/>
                  </w:divBdr>
                </w:div>
                <w:div w:id="1790775372">
                  <w:marLeft w:val="0"/>
                  <w:marRight w:val="0"/>
                  <w:marTop w:val="0"/>
                  <w:marBottom w:val="0"/>
                  <w:divBdr>
                    <w:top w:val="none" w:sz="0" w:space="0" w:color="auto"/>
                    <w:left w:val="none" w:sz="0" w:space="0" w:color="auto"/>
                    <w:bottom w:val="none" w:sz="0" w:space="0" w:color="auto"/>
                    <w:right w:val="none" w:sz="0" w:space="0" w:color="auto"/>
                  </w:divBdr>
                </w:div>
                <w:div w:id="1838885508">
                  <w:marLeft w:val="0"/>
                  <w:marRight w:val="0"/>
                  <w:marTop w:val="0"/>
                  <w:marBottom w:val="0"/>
                  <w:divBdr>
                    <w:top w:val="none" w:sz="0" w:space="0" w:color="auto"/>
                    <w:left w:val="none" w:sz="0" w:space="0" w:color="auto"/>
                    <w:bottom w:val="none" w:sz="0" w:space="0" w:color="auto"/>
                    <w:right w:val="none" w:sz="0" w:space="0" w:color="auto"/>
                  </w:divBdr>
                </w:div>
                <w:div w:id="1904439201">
                  <w:marLeft w:val="0"/>
                  <w:marRight w:val="0"/>
                  <w:marTop w:val="0"/>
                  <w:marBottom w:val="0"/>
                  <w:divBdr>
                    <w:top w:val="none" w:sz="0" w:space="0" w:color="auto"/>
                    <w:left w:val="none" w:sz="0" w:space="0" w:color="auto"/>
                    <w:bottom w:val="none" w:sz="0" w:space="0" w:color="auto"/>
                    <w:right w:val="none" w:sz="0" w:space="0" w:color="auto"/>
                  </w:divBdr>
                </w:div>
                <w:div w:id="2020159447">
                  <w:marLeft w:val="0"/>
                  <w:marRight w:val="0"/>
                  <w:marTop w:val="0"/>
                  <w:marBottom w:val="0"/>
                  <w:divBdr>
                    <w:top w:val="none" w:sz="0" w:space="0" w:color="auto"/>
                    <w:left w:val="none" w:sz="0" w:space="0" w:color="auto"/>
                    <w:bottom w:val="none" w:sz="0" w:space="0" w:color="auto"/>
                    <w:right w:val="none" w:sz="0" w:space="0" w:color="auto"/>
                  </w:divBdr>
                </w:div>
              </w:divsChild>
            </w:div>
            <w:div w:id="1882396190">
              <w:marLeft w:val="0"/>
              <w:marRight w:val="0"/>
              <w:marTop w:val="0"/>
              <w:marBottom w:val="0"/>
              <w:divBdr>
                <w:top w:val="none" w:sz="0" w:space="0" w:color="auto"/>
                <w:left w:val="none" w:sz="0" w:space="0" w:color="auto"/>
                <w:bottom w:val="none" w:sz="0" w:space="0" w:color="auto"/>
                <w:right w:val="none" w:sz="0" w:space="0" w:color="auto"/>
              </w:divBdr>
              <w:divsChild>
                <w:div w:id="695156498">
                  <w:marLeft w:val="0"/>
                  <w:marRight w:val="0"/>
                  <w:marTop w:val="0"/>
                  <w:marBottom w:val="0"/>
                  <w:divBdr>
                    <w:top w:val="none" w:sz="0" w:space="0" w:color="auto"/>
                    <w:left w:val="none" w:sz="0" w:space="0" w:color="auto"/>
                    <w:bottom w:val="none" w:sz="0" w:space="0" w:color="auto"/>
                    <w:right w:val="none" w:sz="0" w:space="0" w:color="auto"/>
                  </w:divBdr>
                </w:div>
                <w:div w:id="1222670514">
                  <w:marLeft w:val="0"/>
                  <w:marRight w:val="0"/>
                  <w:marTop w:val="0"/>
                  <w:marBottom w:val="0"/>
                  <w:divBdr>
                    <w:top w:val="none" w:sz="0" w:space="0" w:color="auto"/>
                    <w:left w:val="none" w:sz="0" w:space="0" w:color="auto"/>
                    <w:bottom w:val="none" w:sz="0" w:space="0" w:color="auto"/>
                    <w:right w:val="none" w:sz="0" w:space="0" w:color="auto"/>
                  </w:divBdr>
                </w:div>
              </w:divsChild>
            </w:div>
            <w:div w:id="2055348867">
              <w:marLeft w:val="0"/>
              <w:marRight w:val="0"/>
              <w:marTop w:val="0"/>
              <w:marBottom w:val="0"/>
              <w:divBdr>
                <w:top w:val="none" w:sz="0" w:space="0" w:color="auto"/>
                <w:left w:val="none" w:sz="0" w:space="0" w:color="auto"/>
                <w:bottom w:val="none" w:sz="0" w:space="0" w:color="auto"/>
                <w:right w:val="none" w:sz="0" w:space="0" w:color="auto"/>
              </w:divBdr>
              <w:divsChild>
                <w:div w:id="498692667">
                  <w:marLeft w:val="0"/>
                  <w:marRight w:val="0"/>
                  <w:marTop w:val="0"/>
                  <w:marBottom w:val="0"/>
                  <w:divBdr>
                    <w:top w:val="none" w:sz="0" w:space="0" w:color="auto"/>
                    <w:left w:val="none" w:sz="0" w:space="0" w:color="auto"/>
                    <w:bottom w:val="none" w:sz="0" w:space="0" w:color="auto"/>
                    <w:right w:val="none" w:sz="0" w:space="0" w:color="auto"/>
                  </w:divBdr>
                  <w:divsChild>
                    <w:div w:id="14961305">
                      <w:marLeft w:val="0"/>
                      <w:marRight w:val="0"/>
                      <w:marTop w:val="0"/>
                      <w:marBottom w:val="0"/>
                      <w:divBdr>
                        <w:top w:val="none" w:sz="0" w:space="0" w:color="auto"/>
                        <w:left w:val="none" w:sz="0" w:space="0" w:color="auto"/>
                        <w:bottom w:val="none" w:sz="0" w:space="0" w:color="auto"/>
                        <w:right w:val="none" w:sz="0" w:space="0" w:color="auto"/>
                      </w:divBdr>
                      <w:divsChild>
                        <w:div w:id="1651061547">
                          <w:marLeft w:val="0"/>
                          <w:marRight w:val="0"/>
                          <w:marTop w:val="0"/>
                          <w:marBottom w:val="0"/>
                          <w:divBdr>
                            <w:top w:val="none" w:sz="0" w:space="0" w:color="auto"/>
                            <w:left w:val="none" w:sz="0" w:space="0" w:color="auto"/>
                            <w:bottom w:val="none" w:sz="0" w:space="0" w:color="auto"/>
                            <w:right w:val="none" w:sz="0" w:space="0" w:color="auto"/>
                          </w:divBdr>
                        </w:div>
                      </w:divsChild>
                    </w:div>
                    <w:div w:id="65540459">
                      <w:marLeft w:val="0"/>
                      <w:marRight w:val="0"/>
                      <w:marTop w:val="0"/>
                      <w:marBottom w:val="0"/>
                      <w:divBdr>
                        <w:top w:val="none" w:sz="0" w:space="0" w:color="auto"/>
                        <w:left w:val="none" w:sz="0" w:space="0" w:color="auto"/>
                        <w:bottom w:val="none" w:sz="0" w:space="0" w:color="auto"/>
                        <w:right w:val="none" w:sz="0" w:space="0" w:color="auto"/>
                      </w:divBdr>
                      <w:divsChild>
                        <w:div w:id="1533759150">
                          <w:marLeft w:val="0"/>
                          <w:marRight w:val="0"/>
                          <w:marTop w:val="0"/>
                          <w:marBottom w:val="0"/>
                          <w:divBdr>
                            <w:top w:val="none" w:sz="0" w:space="0" w:color="auto"/>
                            <w:left w:val="none" w:sz="0" w:space="0" w:color="auto"/>
                            <w:bottom w:val="none" w:sz="0" w:space="0" w:color="auto"/>
                            <w:right w:val="none" w:sz="0" w:space="0" w:color="auto"/>
                          </w:divBdr>
                        </w:div>
                      </w:divsChild>
                    </w:div>
                    <w:div w:id="68237883">
                      <w:marLeft w:val="0"/>
                      <w:marRight w:val="0"/>
                      <w:marTop w:val="0"/>
                      <w:marBottom w:val="0"/>
                      <w:divBdr>
                        <w:top w:val="none" w:sz="0" w:space="0" w:color="auto"/>
                        <w:left w:val="none" w:sz="0" w:space="0" w:color="auto"/>
                        <w:bottom w:val="none" w:sz="0" w:space="0" w:color="auto"/>
                        <w:right w:val="none" w:sz="0" w:space="0" w:color="auto"/>
                      </w:divBdr>
                      <w:divsChild>
                        <w:div w:id="250890392">
                          <w:marLeft w:val="0"/>
                          <w:marRight w:val="0"/>
                          <w:marTop w:val="0"/>
                          <w:marBottom w:val="0"/>
                          <w:divBdr>
                            <w:top w:val="none" w:sz="0" w:space="0" w:color="auto"/>
                            <w:left w:val="none" w:sz="0" w:space="0" w:color="auto"/>
                            <w:bottom w:val="none" w:sz="0" w:space="0" w:color="auto"/>
                            <w:right w:val="none" w:sz="0" w:space="0" w:color="auto"/>
                          </w:divBdr>
                        </w:div>
                      </w:divsChild>
                    </w:div>
                    <w:div w:id="102847385">
                      <w:marLeft w:val="0"/>
                      <w:marRight w:val="0"/>
                      <w:marTop w:val="0"/>
                      <w:marBottom w:val="0"/>
                      <w:divBdr>
                        <w:top w:val="none" w:sz="0" w:space="0" w:color="auto"/>
                        <w:left w:val="none" w:sz="0" w:space="0" w:color="auto"/>
                        <w:bottom w:val="none" w:sz="0" w:space="0" w:color="auto"/>
                        <w:right w:val="none" w:sz="0" w:space="0" w:color="auto"/>
                      </w:divBdr>
                      <w:divsChild>
                        <w:div w:id="221328518">
                          <w:marLeft w:val="0"/>
                          <w:marRight w:val="0"/>
                          <w:marTop w:val="0"/>
                          <w:marBottom w:val="0"/>
                          <w:divBdr>
                            <w:top w:val="none" w:sz="0" w:space="0" w:color="auto"/>
                            <w:left w:val="none" w:sz="0" w:space="0" w:color="auto"/>
                            <w:bottom w:val="none" w:sz="0" w:space="0" w:color="auto"/>
                            <w:right w:val="none" w:sz="0" w:space="0" w:color="auto"/>
                          </w:divBdr>
                        </w:div>
                      </w:divsChild>
                    </w:div>
                    <w:div w:id="133567302">
                      <w:marLeft w:val="0"/>
                      <w:marRight w:val="0"/>
                      <w:marTop w:val="0"/>
                      <w:marBottom w:val="0"/>
                      <w:divBdr>
                        <w:top w:val="none" w:sz="0" w:space="0" w:color="auto"/>
                        <w:left w:val="none" w:sz="0" w:space="0" w:color="auto"/>
                        <w:bottom w:val="none" w:sz="0" w:space="0" w:color="auto"/>
                        <w:right w:val="none" w:sz="0" w:space="0" w:color="auto"/>
                      </w:divBdr>
                      <w:divsChild>
                        <w:div w:id="1288508518">
                          <w:marLeft w:val="0"/>
                          <w:marRight w:val="0"/>
                          <w:marTop w:val="0"/>
                          <w:marBottom w:val="0"/>
                          <w:divBdr>
                            <w:top w:val="none" w:sz="0" w:space="0" w:color="auto"/>
                            <w:left w:val="none" w:sz="0" w:space="0" w:color="auto"/>
                            <w:bottom w:val="none" w:sz="0" w:space="0" w:color="auto"/>
                            <w:right w:val="none" w:sz="0" w:space="0" w:color="auto"/>
                          </w:divBdr>
                        </w:div>
                      </w:divsChild>
                    </w:div>
                    <w:div w:id="171459604">
                      <w:marLeft w:val="0"/>
                      <w:marRight w:val="0"/>
                      <w:marTop w:val="0"/>
                      <w:marBottom w:val="0"/>
                      <w:divBdr>
                        <w:top w:val="none" w:sz="0" w:space="0" w:color="auto"/>
                        <w:left w:val="none" w:sz="0" w:space="0" w:color="auto"/>
                        <w:bottom w:val="none" w:sz="0" w:space="0" w:color="auto"/>
                        <w:right w:val="none" w:sz="0" w:space="0" w:color="auto"/>
                      </w:divBdr>
                      <w:divsChild>
                        <w:div w:id="2023124429">
                          <w:marLeft w:val="0"/>
                          <w:marRight w:val="0"/>
                          <w:marTop w:val="0"/>
                          <w:marBottom w:val="0"/>
                          <w:divBdr>
                            <w:top w:val="none" w:sz="0" w:space="0" w:color="auto"/>
                            <w:left w:val="none" w:sz="0" w:space="0" w:color="auto"/>
                            <w:bottom w:val="none" w:sz="0" w:space="0" w:color="auto"/>
                            <w:right w:val="none" w:sz="0" w:space="0" w:color="auto"/>
                          </w:divBdr>
                        </w:div>
                      </w:divsChild>
                    </w:div>
                    <w:div w:id="233590703">
                      <w:marLeft w:val="0"/>
                      <w:marRight w:val="0"/>
                      <w:marTop w:val="0"/>
                      <w:marBottom w:val="0"/>
                      <w:divBdr>
                        <w:top w:val="none" w:sz="0" w:space="0" w:color="auto"/>
                        <w:left w:val="none" w:sz="0" w:space="0" w:color="auto"/>
                        <w:bottom w:val="none" w:sz="0" w:space="0" w:color="auto"/>
                        <w:right w:val="none" w:sz="0" w:space="0" w:color="auto"/>
                      </w:divBdr>
                      <w:divsChild>
                        <w:div w:id="805011145">
                          <w:marLeft w:val="0"/>
                          <w:marRight w:val="0"/>
                          <w:marTop w:val="0"/>
                          <w:marBottom w:val="0"/>
                          <w:divBdr>
                            <w:top w:val="none" w:sz="0" w:space="0" w:color="auto"/>
                            <w:left w:val="none" w:sz="0" w:space="0" w:color="auto"/>
                            <w:bottom w:val="none" w:sz="0" w:space="0" w:color="auto"/>
                            <w:right w:val="none" w:sz="0" w:space="0" w:color="auto"/>
                          </w:divBdr>
                        </w:div>
                        <w:div w:id="1359088665">
                          <w:marLeft w:val="0"/>
                          <w:marRight w:val="0"/>
                          <w:marTop w:val="0"/>
                          <w:marBottom w:val="0"/>
                          <w:divBdr>
                            <w:top w:val="none" w:sz="0" w:space="0" w:color="auto"/>
                            <w:left w:val="none" w:sz="0" w:space="0" w:color="auto"/>
                            <w:bottom w:val="none" w:sz="0" w:space="0" w:color="auto"/>
                            <w:right w:val="none" w:sz="0" w:space="0" w:color="auto"/>
                          </w:divBdr>
                        </w:div>
                      </w:divsChild>
                    </w:div>
                    <w:div w:id="279461442">
                      <w:marLeft w:val="0"/>
                      <w:marRight w:val="0"/>
                      <w:marTop w:val="0"/>
                      <w:marBottom w:val="0"/>
                      <w:divBdr>
                        <w:top w:val="none" w:sz="0" w:space="0" w:color="auto"/>
                        <w:left w:val="none" w:sz="0" w:space="0" w:color="auto"/>
                        <w:bottom w:val="none" w:sz="0" w:space="0" w:color="auto"/>
                        <w:right w:val="none" w:sz="0" w:space="0" w:color="auto"/>
                      </w:divBdr>
                      <w:divsChild>
                        <w:div w:id="1658460432">
                          <w:marLeft w:val="0"/>
                          <w:marRight w:val="0"/>
                          <w:marTop w:val="0"/>
                          <w:marBottom w:val="0"/>
                          <w:divBdr>
                            <w:top w:val="none" w:sz="0" w:space="0" w:color="auto"/>
                            <w:left w:val="none" w:sz="0" w:space="0" w:color="auto"/>
                            <w:bottom w:val="none" w:sz="0" w:space="0" w:color="auto"/>
                            <w:right w:val="none" w:sz="0" w:space="0" w:color="auto"/>
                          </w:divBdr>
                        </w:div>
                      </w:divsChild>
                    </w:div>
                    <w:div w:id="285738667">
                      <w:marLeft w:val="0"/>
                      <w:marRight w:val="0"/>
                      <w:marTop w:val="0"/>
                      <w:marBottom w:val="0"/>
                      <w:divBdr>
                        <w:top w:val="none" w:sz="0" w:space="0" w:color="auto"/>
                        <w:left w:val="none" w:sz="0" w:space="0" w:color="auto"/>
                        <w:bottom w:val="none" w:sz="0" w:space="0" w:color="auto"/>
                        <w:right w:val="none" w:sz="0" w:space="0" w:color="auto"/>
                      </w:divBdr>
                      <w:divsChild>
                        <w:div w:id="395588779">
                          <w:marLeft w:val="0"/>
                          <w:marRight w:val="0"/>
                          <w:marTop w:val="0"/>
                          <w:marBottom w:val="0"/>
                          <w:divBdr>
                            <w:top w:val="none" w:sz="0" w:space="0" w:color="auto"/>
                            <w:left w:val="none" w:sz="0" w:space="0" w:color="auto"/>
                            <w:bottom w:val="none" w:sz="0" w:space="0" w:color="auto"/>
                            <w:right w:val="none" w:sz="0" w:space="0" w:color="auto"/>
                          </w:divBdr>
                        </w:div>
                      </w:divsChild>
                    </w:div>
                    <w:div w:id="300161155">
                      <w:marLeft w:val="0"/>
                      <w:marRight w:val="0"/>
                      <w:marTop w:val="0"/>
                      <w:marBottom w:val="0"/>
                      <w:divBdr>
                        <w:top w:val="none" w:sz="0" w:space="0" w:color="auto"/>
                        <w:left w:val="none" w:sz="0" w:space="0" w:color="auto"/>
                        <w:bottom w:val="none" w:sz="0" w:space="0" w:color="auto"/>
                        <w:right w:val="none" w:sz="0" w:space="0" w:color="auto"/>
                      </w:divBdr>
                      <w:divsChild>
                        <w:div w:id="2106000081">
                          <w:marLeft w:val="0"/>
                          <w:marRight w:val="0"/>
                          <w:marTop w:val="0"/>
                          <w:marBottom w:val="0"/>
                          <w:divBdr>
                            <w:top w:val="none" w:sz="0" w:space="0" w:color="auto"/>
                            <w:left w:val="none" w:sz="0" w:space="0" w:color="auto"/>
                            <w:bottom w:val="none" w:sz="0" w:space="0" w:color="auto"/>
                            <w:right w:val="none" w:sz="0" w:space="0" w:color="auto"/>
                          </w:divBdr>
                        </w:div>
                      </w:divsChild>
                    </w:div>
                    <w:div w:id="311328249">
                      <w:marLeft w:val="0"/>
                      <w:marRight w:val="0"/>
                      <w:marTop w:val="0"/>
                      <w:marBottom w:val="0"/>
                      <w:divBdr>
                        <w:top w:val="none" w:sz="0" w:space="0" w:color="auto"/>
                        <w:left w:val="none" w:sz="0" w:space="0" w:color="auto"/>
                        <w:bottom w:val="none" w:sz="0" w:space="0" w:color="auto"/>
                        <w:right w:val="none" w:sz="0" w:space="0" w:color="auto"/>
                      </w:divBdr>
                      <w:divsChild>
                        <w:div w:id="1810511936">
                          <w:marLeft w:val="0"/>
                          <w:marRight w:val="0"/>
                          <w:marTop w:val="0"/>
                          <w:marBottom w:val="0"/>
                          <w:divBdr>
                            <w:top w:val="none" w:sz="0" w:space="0" w:color="auto"/>
                            <w:left w:val="none" w:sz="0" w:space="0" w:color="auto"/>
                            <w:bottom w:val="none" w:sz="0" w:space="0" w:color="auto"/>
                            <w:right w:val="none" w:sz="0" w:space="0" w:color="auto"/>
                          </w:divBdr>
                        </w:div>
                      </w:divsChild>
                    </w:div>
                    <w:div w:id="344481847">
                      <w:marLeft w:val="0"/>
                      <w:marRight w:val="0"/>
                      <w:marTop w:val="0"/>
                      <w:marBottom w:val="0"/>
                      <w:divBdr>
                        <w:top w:val="none" w:sz="0" w:space="0" w:color="auto"/>
                        <w:left w:val="none" w:sz="0" w:space="0" w:color="auto"/>
                        <w:bottom w:val="none" w:sz="0" w:space="0" w:color="auto"/>
                        <w:right w:val="none" w:sz="0" w:space="0" w:color="auto"/>
                      </w:divBdr>
                      <w:divsChild>
                        <w:div w:id="541525984">
                          <w:marLeft w:val="0"/>
                          <w:marRight w:val="0"/>
                          <w:marTop w:val="0"/>
                          <w:marBottom w:val="0"/>
                          <w:divBdr>
                            <w:top w:val="none" w:sz="0" w:space="0" w:color="auto"/>
                            <w:left w:val="none" w:sz="0" w:space="0" w:color="auto"/>
                            <w:bottom w:val="none" w:sz="0" w:space="0" w:color="auto"/>
                            <w:right w:val="none" w:sz="0" w:space="0" w:color="auto"/>
                          </w:divBdr>
                        </w:div>
                      </w:divsChild>
                    </w:div>
                    <w:div w:id="362219751">
                      <w:marLeft w:val="0"/>
                      <w:marRight w:val="0"/>
                      <w:marTop w:val="0"/>
                      <w:marBottom w:val="0"/>
                      <w:divBdr>
                        <w:top w:val="none" w:sz="0" w:space="0" w:color="auto"/>
                        <w:left w:val="none" w:sz="0" w:space="0" w:color="auto"/>
                        <w:bottom w:val="none" w:sz="0" w:space="0" w:color="auto"/>
                        <w:right w:val="none" w:sz="0" w:space="0" w:color="auto"/>
                      </w:divBdr>
                      <w:divsChild>
                        <w:div w:id="1774782428">
                          <w:marLeft w:val="0"/>
                          <w:marRight w:val="0"/>
                          <w:marTop w:val="0"/>
                          <w:marBottom w:val="0"/>
                          <w:divBdr>
                            <w:top w:val="none" w:sz="0" w:space="0" w:color="auto"/>
                            <w:left w:val="none" w:sz="0" w:space="0" w:color="auto"/>
                            <w:bottom w:val="none" w:sz="0" w:space="0" w:color="auto"/>
                            <w:right w:val="none" w:sz="0" w:space="0" w:color="auto"/>
                          </w:divBdr>
                        </w:div>
                      </w:divsChild>
                    </w:div>
                    <w:div w:id="415395388">
                      <w:marLeft w:val="0"/>
                      <w:marRight w:val="0"/>
                      <w:marTop w:val="0"/>
                      <w:marBottom w:val="0"/>
                      <w:divBdr>
                        <w:top w:val="none" w:sz="0" w:space="0" w:color="auto"/>
                        <w:left w:val="none" w:sz="0" w:space="0" w:color="auto"/>
                        <w:bottom w:val="none" w:sz="0" w:space="0" w:color="auto"/>
                        <w:right w:val="none" w:sz="0" w:space="0" w:color="auto"/>
                      </w:divBdr>
                      <w:divsChild>
                        <w:div w:id="1491403203">
                          <w:marLeft w:val="0"/>
                          <w:marRight w:val="0"/>
                          <w:marTop w:val="0"/>
                          <w:marBottom w:val="0"/>
                          <w:divBdr>
                            <w:top w:val="none" w:sz="0" w:space="0" w:color="auto"/>
                            <w:left w:val="none" w:sz="0" w:space="0" w:color="auto"/>
                            <w:bottom w:val="none" w:sz="0" w:space="0" w:color="auto"/>
                            <w:right w:val="none" w:sz="0" w:space="0" w:color="auto"/>
                          </w:divBdr>
                        </w:div>
                      </w:divsChild>
                    </w:div>
                    <w:div w:id="415594090">
                      <w:marLeft w:val="0"/>
                      <w:marRight w:val="0"/>
                      <w:marTop w:val="0"/>
                      <w:marBottom w:val="0"/>
                      <w:divBdr>
                        <w:top w:val="none" w:sz="0" w:space="0" w:color="auto"/>
                        <w:left w:val="none" w:sz="0" w:space="0" w:color="auto"/>
                        <w:bottom w:val="none" w:sz="0" w:space="0" w:color="auto"/>
                        <w:right w:val="none" w:sz="0" w:space="0" w:color="auto"/>
                      </w:divBdr>
                      <w:divsChild>
                        <w:div w:id="243422812">
                          <w:marLeft w:val="0"/>
                          <w:marRight w:val="0"/>
                          <w:marTop w:val="0"/>
                          <w:marBottom w:val="0"/>
                          <w:divBdr>
                            <w:top w:val="none" w:sz="0" w:space="0" w:color="auto"/>
                            <w:left w:val="none" w:sz="0" w:space="0" w:color="auto"/>
                            <w:bottom w:val="none" w:sz="0" w:space="0" w:color="auto"/>
                            <w:right w:val="none" w:sz="0" w:space="0" w:color="auto"/>
                          </w:divBdr>
                        </w:div>
                      </w:divsChild>
                    </w:div>
                    <w:div w:id="443156387">
                      <w:marLeft w:val="0"/>
                      <w:marRight w:val="0"/>
                      <w:marTop w:val="0"/>
                      <w:marBottom w:val="0"/>
                      <w:divBdr>
                        <w:top w:val="none" w:sz="0" w:space="0" w:color="auto"/>
                        <w:left w:val="none" w:sz="0" w:space="0" w:color="auto"/>
                        <w:bottom w:val="none" w:sz="0" w:space="0" w:color="auto"/>
                        <w:right w:val="none" w:sz="0" w:space="0" w:color="auto"/>
                      </w:divBdr>
                      <w:divsChild>
                        <w:div w:id="274142230">
                          <w:marLeft w:val="0"/>
                          <w:marRight w:val="0"/>
                          <w:marTop w:val="0"/>
                          <w:marBottom w:val="0"/>
                          <w:divBdr>
                            <w:top w:val="none" w:sz="0" w:space="0" w:color="auto"/>
                            <w:left w:val="none" w:sz="0" w:space="0" w:color="auto"/>
                            <w:bottom w:val="none" w:sz="0" w:space="0" w:color="auto"/>
                            <w:right w:val="none" w:sz="0" w:space="0" w:color="auto"/>
                          </w:divBdr>
                        </w:div>
                      </w:divsChild>
                    </w:div>
                    <w:div w:id="523448397">
                      <w:marLeft w:val="0"/>
                      <w:marRight w:val="0"/>
                      <w:marTop w:val="0"/>
                      <w:marBottom w:val="0"/>
                      <w:divBdr>
                        <w:top w:val="none" w:sz="0" w:space="0" w:color="auto"/>
                        <w:left w:val="none" w:sz="0" w:space="0" w:color="auto"/>
                        <w:bottom w:val="none" w:sz="0" w:space="0" w:color="auto"/>
                        <w:right w:val="none" w:sz="0" w:space="0" w:color="auto"/>
                      </w:divBdr>
                      <w:divsChild>
                        <w:div w:id="138227202">
                          <w:marLeft w:val="0"/>
                          <w:marRight w:val="0"/>
                          <w:marTop w:val="0"/>
                          <w:marBottom w:val="0"/>
                          <w:divBdr>
                            <w:top w:val="none" w:sz="0" w:space="0" w:color="auto"/>
                            <w:left w:val="none" w:sz="0" w:space="0" w:color="auto"/>
                            <w:bottom w:val="none" w:sz="0" w:space="0" w:color="auto"/>
                            <w:right w:val="none" w:sz="0" w:space="0" w:color="auto"/>
                          </w:divBdr>
                        </w:div>
                      </w:divsChild>
                    </w:div>
                    <w:div w:id="526869039">
                      <w:marLeft w:val="0"/>
                      <w:marRight w:val="0"/>
                      <w:marTop w:val="0"/>
                      <w:marBottom w:val="0"/>
                      <w:divBdr>
                        <w:top w:val="none" w:sz="0" w:space="0" w:color="auto"/>
                        <w:left w:val="none" w:sz="0" w:space="0" w:color="auto"/>
                        <w:bottom w:val="none" w:sz="0" w:space="0" w:color="auto"/>
                        <w:right w:val="none" w:sz="0" w:space="0" w:color="auto"/>
                      </w:divBdr>
                      <w:divsChild>
                        <w:div w:id="466047973">
                          <w:marLeft w:val="0"/>
                          <w:marRight w:val="0"/>
                          <w:marTop w:val="0"/>
                          <w:marBottom w:val="0"/>
                          <w:divBdr>
                            <w:top w:val="none" w:sz="0" w:space="0" w:color="auto"/>
                            <w:left w:val="none" w:sz="0" w:space="0" w:color="auto"/>
                            <w:bottom w:val="none" w:sz="0" w:space="0" w:color="auto"/>
                            <w:right w:val="none" w:sz="0" w:space="0" w:color="auto"/>
                          </w:divBdr>
                        </w:div>
                      </w:divsChild>
                    </w:div>
                    <w:div w:id="534777941">
                      <w:marLeft w:val="0"/>
                      <w:marRight w:val="0"/>
                      <w:marTop w:val="0"/>
                      <w:marBottom w:val="0"/>
                      <w:divBdr>
                        <w:top w:val="none" w:sz="0" w:space="0" w:color="auto"/>
                        <w:left w:val="none" w:sz="0" w:space="0" w:color="auto"/>
                        <w:bottom w:val="none" w:sz="0" w:space="0" w:color="auto"/>
                        <w:right w:val="none" w:sz="0" w:space="0" w:color="auto"/>
                      </w:divBdr>
                      <w:divsChild>
                        <w:div w:id="1638413303">
                          <w:marLeft w:val="0"/>
                          <w:marRight w:val="0"/>
                          <w:marTop w:val="0"/>
                          <w:marBottom w:val="0"/>
                          <w:divBdr>
                            <w:top w:val="none" w:sz="0" w:space="0" w:color="auto"/>
                            <w:left w:val="none" w:sz="0" w:space="0" w:color="auto"/>
                            <w:bottom w:val="none" w:sz="0" w:space="0" w:color="auto"/>
                            <w:right w:val="none" w:sz="0" w:space="0" w:color="auto"/>
                          </w:divBdr>
                        </w:div>
                      </w:divsChild>
                    </w:div>
                    <w:div w:id="536507998">
                      <w:marLeft w:val="0"/>
                      <w:marRight w:val="0"/>
                      <w:marTop w:val="0"/>
                      <w:marBottom w:val="0"/>
                      <w:divBdr>
                        <w:top w:val="none" w:sz="0" w:space="0" w:color="auto"/>
                        <w:left w:val="none" w:sz="0" w:space="0" w:color="auto"/>
                        <w:bottom w:val="none" w:sz="0" w:space="0" w:color="auto"/>
                        <w:right w:val="none" w:sz="0" w:space="0" w:color="auto"/>
                      </w:divBdr>
                      <w:divsChild>
                        <w:div w:id="559561740">
                          <w:marLeft w:val="0"/>
                          <w:marRight w:val="0"/>
                          <w:marTop w:val="0"/>
                          <w:marBottom w:val="0"/>
                          <w:divBdr>
                            <w:top w:val="none" w:sz="0" w:space="0" w:color="auto"/>
                            <w:left w:val="none" w:sz="0" w:space="0" w:color="auto"/>
                            <w:bottom w:val="none" w:sz="0" w:space="0" w:color="auto"/>
                            <w:right w:val="none" w:sz="0" w:space="0" w:color="auto"/>
                          </w:divBdr>
                        </w:div>
                      </w:divsChild>
                    </w:div>
                    <w:div w:id="537545649">
                      <w:marLeft w:val="0"/>
                      <w:marRight w:val="0"/>
                      <w:marTop w:val="0"/>
                      <w:marBottom w:val="0"/>
                      <w:divBdr>
                        <w:top w:val="none" w:sz="0" w:space="0" w:color="auto"/>
                        <w:left w:val="none" w:sz="0" w:space="0" w:color="auto"/>
                        <w:bottom w:val="none" w:sz="0" w:space="0" w:color="auto"/>
                        <w:right w:val="none" w:sz="0" w:space="0" w:color="auto"/>
                      </w:divBdr>
                      <w:divsChild>
                        <w:div w:id="2052269776">
                          <w:marLeft w:val="0"/>
                          <w:marRight w:val="0"/>
                          <w:marTop w:val="0"/>
                          <w:marBottom w:val="0"/>
                          <w:divBdr>
                            <w:top w:val="none" w:sz="0" w:space="0" w:color="auto"/>
                            <w:left w:val="none" w:sz="0" w:space="0" w:color="auto"/>
                            <w:bottom w:val="none" w:sz="0" w:space="0" w:color="auto"/>
                            <w:right w:val="none" w:sz="0" w:space="0" w:color="auto"/>
                          </w:divBdr>
                        </w:div>
                      </w:divsChild>
                    </w:div>
                    <w:div w:id="546452055">
                      <w:marLeft w:val="0"/>
                      <w:marRight w:val="0"/>
                      <w:marTop w:val="0"/>
                      <w:marBottom w:val="0"/>
                      <w:divBdr>
                        <w:top w:val="none" w:sz="0" w:space="0" w:color="auto"/>
                        <w:left w:val="none" w:sz="0" w:space="0" w:color="auto"/>
                        <w:bottom w:val="none" w:sz="0" w:space="0" w:color="auto"/>
                        <w:right w:val="none" w:sz="0" w:space="0" w:color="auto"/>
                      </w:divBdr>
                      <w:divsChild>
                        <w:div w:id="587202854">
                          <w:marLeft w:val="0"/>
                          <w:marRight w:val="0"/>
                          <w:marTop w:val="0"/>
                          <w:marBottom w:val="0"/>
                          <w:divBdr>
                            <w:top w:val="none" w:sz="0" w:space="0" w:color="auto"/>
                            <w:left w:val="none" w:sz="0" w:space="0" w:color="auto"/>
                            <w:bottom w:val="none" w:sz="0" w:space="0" w:color="auto"/>
                            <w:right w:val="none" w:sz="0" w:space="0" w:color="auto"/>
                          </w:divBdr>
                        </w:div>
                      </w:divsChild>
                    </w:div>
                    <w:div w:id="562103446">
                      <w:marLeft w:val="0"/>
                      <w:marRight w:val="0"/>
                      <w:marTop w:val="0"/>
                      <w:marBottom w:val="0"/>
                      <w:divBdr>
                        <w:top w:val="none" w:sz="0" w:space="0" w:color="auto"/>
                        <w:left w:val="none" w:sz="0" w:space="0" w:color="auto"/>
                        <w:bottom w:val="none" w:sz="0" w:space="0" w:color="auto"/>
                        <w:right w:val="none" w:sz="0" w:space="0" w:color="auto"/>
                      </w:divBdr>
                      <w:divsChild>
                        <w:div w:id="297345898">
                          <w:marLeft w:val="0"/>
                          <w:marRight w:val="0"/>
                          <w:marTop w:val="0"/>
                          <w:marBottom w:val="0"/>
                          <w:divBdr>
                            <w:top w:val="none" w:sz="0" w:space="0" w:color="auto"/>
                            <w:left w:val="none" w:sz="0" w:space="0" w:color="auto"/>
                            <w:bottom w:val="none" w:sz="0" w:space="0" w:color="auto"/>
                            <w:right w:val="none" w:sz="0" w:space="0" w:color="auto"/>
                          </w:divBdr>
                        </w:div>
                      </w:divsChild>
                    </w:div>
                    <w:div w:id="610472576">
                      <w:marLeft w:val="0"/>
                      <w:marRight w:val="0"/>
                      <w:marTop w:val="0"/>
                      <w:marBottom w:val="0"/>
                      <w:divBdr>
                        <w:top w:val="none" w:sz="0" w:space="0" w:color="auto"/>
                        <w:left w:val="none" w:sz="0" w:space="0" w:color="auto"/>
                        <w:bottom w:val="none" w:sz="0" w:space="0" w:color="auto"/>
                        <w:right w:val="none" w:sz="0" w:space="0" w:color="auto"/>
                      </w:divBdr>
                      <w:divsChild>
                        <w:div w:id="1950890115">
                          <w:marLeft w:val="0"/>
                          <w:marRight w:val="0"/>
                          <w:marTop w:val="0"/>
                          <w:marBottom w:val="0"/>
                          <w:divBdr>
                            <w:top w:val="none" w:sz="0" w:space="0" w:color="auto"/>
                            <w:left w:val="none" w:sz="0" w:space="0" w:color="auto"/>
                            <w:bottom w:val="none" w:sz="0" w:space="0" w:color="auto"/>
                            <w:right w:val="none" w:sz="0" w:space="0" w:color="auto"/>
                          </w:divBdr>
                        </w:div>
                      </w:divsChild>
                    </w:div>
                    <w:div w:id="716129239">
                      <w:marLeft w:val="0"/>
                      <w:marRight w:val="0"/>
                      <w:marTop w:val="0"/>
                      <w:marBottom w:val="0"/>
                      <w:divBdr>
                        <w:top w:val="none" w:sz="0" w:space="0" w:color="auto"/>
                        <w:left w:val="none" w:sz="0" w:space="0" w:color="auto"/>
                        <w:bottom w:val="none" w:sz="0" w:space="0" w:color="auto"/>
                        <w:right w:val="none" w:sz="0" w:space="0" w:color="auto"/>
                      </w:divBdr>
                      <w:divsChild>
                        <w:div w:id="1125394199">
                          <w:marLeft w:val="0"/>
                          <w:marRight w:val="0"/>
                          <w:marTop w:val="0"/>
                          <w:marBottom w:val="0"/>
                          <w:divBdr>
                            <w:top w:val="none" w:sz="0" w:space="0" w:color="auto"/>
                            <w:left w:val="none" w:sz="0" w:space="0" w:color="auto"/>
                            <w:bottom w:val="none" w:sz="0" w:space="0" w:color="auto"/>
                            <w:right w:val="none" w:sz="0" w:space="0" w:color="auto"/>
                          </w:divBdr>
                        </w:div>
                      </w:divsChild>
                    </w:div>
                    <w:div w:id="716205268">
                      <w:marLeft w:val="0"/>
                      <w:marRight w:val="0"/>
                      <w:marTop w:val="0"/>
                      <w:marBottom w:val="0"/>
                      <w:divBdr>
                        <w:top w:val="none" w:sz="0" w:space="0" w:color="auto"/>
                        <w:left w:val="none" w:sz="0" w:space="0" w:color="auto"/>
                        <w:bottom w:val="none" w:sz="0" w:space="0" w:color="auto"/>
                        <w:right w:val="none" w:sz="0" w:space="0" w:color="auto"/>
                      </w:divBdr>
                      <w:divsChild>
                        <w:div w:id="1538660288">
                          <w:marLeft w:val="0"/>
                          <w:marRight w:val="0"/>
                          <w:marTop w:val="0"/>
                          <w:marBottom w:val="0"/>
                          <w:divBdr>
                            <w:top w:val="none" w:sz="0" w:space="0" w:color="auto"/>
                            <w:left w:val="none" w:sz="0" w:space="0" w:color="auto"/>
                            <w:bottom w:val="none" w:sz="0" w:space="0" w:color="auto"/>
                            <w:right w:val="none" w:sz="0" w:space="0" w:color="auto"/>
                          </w:divBdr>
                        </w:div>
                      </w:divsChild>
                    </w:div>
                    <w:div w:id="716323898">
                      <w:marLeft w:val="0"/>
                      <w:marRight w:val="0"/>
                      <w:marTop w:val="0"/>
                      <w:marBottom w:val="0"/>
                      <w:divBdr>
                        <w:top w:val="none" w:sz="0" w:space="0" w:color="auto"/>
                        <w:left w:val="none" w:sz="0" w:space="0" w:color="auto"/>
                        <w:bottom w:val="none" w:sz="0" w:space="0" w:color="auto"/>
                        <w:right w:val="none" w:sz="0" w:space="0" w:color="auto"/>
                      </w:divBdr>
                      <w:divsChild>
                        <w:div w:id="778572976">
                          <w:marLeft w:val="0"/>
                          <w:marRight w:val="0"/>
                          <w:marTop w:val="0"/>
                          <w:marBottom w:val="0"/>
                          <w:divBdr>
                            <w:top w:val="none" w:sz="0" w:space="0" w:color="auto"/>
                            <w:left w:val="none" w:sz="0" w:space="0" w:color="auto"/>
                            <w:bottom w:val="none" w:sz="0" w:space="0" w:color="auto"/>
                            <w:right w:val="none" w:sz="0" w:space="0" w:color="auto"/>
                          </w:divBdr>
                        </w:div>
                      </w:divsChild>
                    </w:div>
                    <w:div w:id="717240416">
                      <w:marLeft w:val="0"/>
                      <w:marRight w:val="0"/>
                      <w:marTop w:val="0"/>
                      <w:marBottom w:val="0"/>
                      <w:divBdr>
                        <w:top w:val="none" w:sz="0" w:space="0" w:color="auto"/>
                        <w:left w:val="none" w:sz="0" w:space="0" w:color="auto"/>
                        <w:bottom w:val="none" w:sz="0" w:space="0" w:color="auto"/>
                        <w:right w:val="none" w:sz="0" w:space="0" w:color="auto"/>
                      </w:divBdr>
                      <w:divsChild>
                        <w:div w:id="1844467686">
                          <w:marLeft w:val="0"/>
                          <w:marRight w:val="0"/>
                          <w:marTop w:val="0"/>
                          <w:marBottom w:val="0"/>
                          <w:divBdr>
                            <w:top w:val="none" w:sz="0" w:space="0" w:color="auto"/>
                            <w:left w:val="none" w:sz="0" w:space="0" w:color="auto"/>
                            <w:bottom w:val="none" w:sz="0" w:space="0" w:color="auto"/>
                            <w:right w:val="none" w:sz="0" w:space="0" w:color="auto"/>
                          </w:divBdr>
                        </w:div>
                      </w:divsChild>
                    </w:div>
                    <w:div w:id="728383740">
                      <w:marLeft w:val="0"/>
                      <w:marRight w:val="0"/>
                      <w:marTop w:val="0"/>
                      <w:marBottom w:val="0"/>
                      <w:divBdr>
                        <w:top w:val="none" w:sz="0" w:space="0" w:color="auto"/>
                        <w:left w:val="none" w:sz="0" w:space="0" w:color="auto"/>
                        <w:bottom w:val="none" w:sz="0" w:space="0" w:color="auto"/>
                        <w:right w:val="none" w:sz="0" w:space="0" w:color="auto"/>
                      </w:divBdr>
                      <w:divsChild>
                        <w:div w:id="1281187140">
                          <w:marLeft w:val="0"/>
                          <w:marRight w:val="0"/>
                          <w:marTop w:val="0"/>
                          <w:marBottom w:val="0"/>
                          <w:divBdr>
                            <w:top w:val="none" w:sz="0" w:space="0" w:color="auto"/>
                            <w:left w:val="none" w:sz="0" w:space="0" w:color="auto"/>
                            <w:bottom w:val="none" w:sz="0" w:space="0" w:color="auto"/>
                            <w:right w:val="none" w:sz="0" w:space="0" w:color="auto"/>
                          </w:divBdr>
                        </w:div>
                      </w:divsChild>
                    </w:div>
                    <w:div w:id="816456326">
                      <w:marLeft w:val="0"/>
                      <w:marRight w:val="0"/>
                      <w:marTop w:val="0"/>
                      <w:marBottom w:val="0"/>
                      <w:divBdr>
                        <w:top w:val="none" w:sz="0" w:space="0" w:color="auto"/>
                        <w:left w:val="none" w:sz="0" w:space="0" w:color="auto"/>
                        <w:bottom w:val="none" w:sz="0" w:space="0" w:color="auto"/>
                        <w:right w:val="none" w:sz="0" w:space="0" w:color="auto"/>
                      </w:divBdr>
                      <w:divsChild>
                        <w:div w:id="1099983107">
                          <w:marLeft w:val="0"/>
                          <w:marRight w:val="0"/>
                          <w:marTop w:val="0"/>
                          <w:marBottom w:val="0"/>
                          <w:divBdr>
                            <w:top w:val="none" w:sz="0" w:space="0" w:color="auto"/>
                            <w:left w:val="none" w:sz="0" w:space="0" w:color="auto"/>
                            <w:bottom w:val="none" w:sz="0" w:space="0" w:color="auto"/>
                            <w:right w:val="none" w:sz="0" w:space="0" w:color="auto"/>
                          </w:divBdr>
                        </w:div>
                      </w:divsChild>
                    </w:div>
                    <w:div w:id="847409061">
                      <w:marLeft w:val="0"/>
                      <w:marRight w:val="0"/>
                      <w:marTop w:val="0"/>
                      <w:marBottom w:val="0"/>
                      <w:divBdr>
                        <w:top w:val="none" w:sz="0" w:space="0" w:color="auto"/>
                        <w:left w:val="none" w:sz="0" w:space="0" w:color="auto"/>
                        <w:bottom w:val="none" w:sz="0" w:space="0" w:color="auto"/>
                        <w:right w:val="none" w:sz="0" w:space="0" w:color="auto"/>
                      </w:divBdr>
                      <w:divsChild>
                        <w:div w:id="497385352">
                          <w:marLeft w:val="0"/>
                          <w:marRight w:val="0"/>
                          <w:marTop w:val="0"/>
                          <w:marBottom w:val="0"/>
                          <w:divBdr>
                            <w:top w:val="none" w:sz="0" w:space="0" w:color="auto"/>
                            <w:left w:val="none" w:sz="0" w:space="0" w:color="auto"/>
                            <w:bottom w:val="none" w:sz="0" w:space="0" w:color="auto"/>
                            <w:right w:val="none" w:sz="0" w:space="0" w:color="auto"/>
                          </w:divBdr>
                        </w:div>
                      </w:divsChild>
                    </w:div>
                    <w:div w:id="860313595">
                      <w:marLeft w:val="0"/>
                      <w:marRight w:val="0"/>
                      <w:marTop w:val="0"/>
                      <w:marBottom w:val="0"/>
                      <w:divBdr>
                        <w:top w:val="none" w:sz="0" w:space="0" w:color="auto"/>
                        <w:left w:val="none" w:sz="0" w:space="0" w:color="auto"/>
                        <w:bottom w:val="none" w:sz="0" w:space="0" w:color="auto"/>
                        <w:right w:val="none" w:sz="0" w:space="0" w:color="auto"/>
                      </w:divBdr>
                      <w:divsChild>
                        <w:div w:id="1176384227">
                          <w:marLeft w:val="0"/>
                          <w:marRight w:val="0"/>
                          <w:marTop w:val="0"/>
                          <w:marBottom w:val="0"/>
                          <w:divBdr>
                            <w:top w:val="none" w:sz="0" w:space="0" w:color="auto"/>
                            <w:left w:val="none" w:sz="0" w:space="0" w:color="auto"/>
                            <w:bottom w:val="none" w:sz="0" w:space="0" w:color="auto"/>
                            <w:right w:val="none" w:sz="0" w:space="0" w:color="auto"/>
                          </w:divBdr>
                        </w:div>
                      </w:divsChild>
                    </w:div>
                    <w:div w:id="874544273">
                      <w:marLeft w:val="0"/>
                      <w:marRight w:val="0"/>
                      <w:marTop w:val="0"/>
                      <w:marBottom w:val="0"/>
                      <w:divBdr>
                        <w:top w:val="none" w:sz="0" w:space="0" w:color="auto"/>
                        <w:left w:val="none" w:sz="0" w:space="0" w:color="auto"/>
                        <w:bottom w:val="none" w:sz="0" w:space="0" w:color="auto"/>
                        <w:right w:val="none" w:sz="0" w:space="0" w:color="auto"/>
                      </w:divBdr>
                      <w:divsChild>
                        <w:div w:id="1352797116">
                          <w:marLeft w:val="0"/>
                          <w:marRight w:val="0"/>
                          <w:marTop w:val="0"/>
                          <w:marBottom w:val="0"/>
                          <w:divBdr>
                            <w:top w:val="none" w:sz="0" w:space="0" w:color="auto"/>
                            <w:left w:val="none" w:sz="0" w:space="0" w:color="auto"/>
                            <w:bottom w:val="none" w:sz="0" w:space="0" w:color="auto"/>
                            <w:right w:val="none" w:sz="0" w:space="0" w:color="auto"/>
                          </w:divBdr>
                        </w:div>
                      </w:divsChild>
                    </w:div>
                    <w:div w:id="943414590">
                      <w:marLeft w:val="0"/>
                      <w:marRight w:val="0"/>
                      <w:marTop w:val="0"/>
                      <w:marBottom w:val="0"/>
                      <w:divBdr>
                        <w:top w:val="none" w:sz="0" w:space="0" w:color="auto"/>
                        <w:left w:val="none" w:sz="0" w:space="0" w:color="auto"/>
                        <w:bottom w:val="none" w:sz="0" w:space="0" w:color="auto"/>
                        <w:right w:val="none" w:sz="0" w:space="0" w:color="auto"/>
                      </w:divBdr>
                      <w:divsChild>
                        <w:div w:id="1644771950">
                          <w:marLeft w:val="0"/>
                          <w:marRight w:val="0"/>
                          <w:marTop w:val="0"/>
                          <w:marBottom w:val="0"/>
                          <w:divBdr>
                            <w:top w:val="none" w:sz="0" w:space="0" w:color="auto"/>
                            <w:left w:val="none" w:sz="0" w:space="0" w:color="auto"/>
                            <w:bottom w:val="none" w:sz="0" w:space="0" w:color="auto"/>
                            <w:right w:val="none" w:sz="0" w:space="0" w:color="auto"/>
                          </w:divBdr>
                        </w:div>
                      </w:divsChild>
                    </w:div>
                    <w:div w:id="952520745">
                      <w:marLeft w:val="0"/>
                      <w:marRight w:val="0"/>
                      <w:marTop w:val="0"/>
                      <w:marBottom w:val="0"/>
                      <w:divBdr>
                        <w:top w:val="none" w:sz="0" w:space="0" w:color="auto"/>
                        <w:left w:val="none" w:sz="0" w:space="0" w:color="auto"/>
                        <w:bottom w:val="none" w:sz="0" w:space="0" w:color="auto"/>
                        <w:right w:val="none" w:sz="0" w:space="0" w:color="auto"/>
                      </w:divBdr>
                      <w:divsChild>
                        <w:div w:id="1514344601">
                          <w:marLeft w:val="0"/>
                          <w:marRight w:val="0"/>
                          <w:marTop w:val="0"/>
                          <w:marBottom w:val="0"/>
                          <w:divBdr>
                            <w:top w:val="none" w:sz="0" w:space="0" w:color="auto"/>
                            <w:left w:val="none" w:sz="0" w:space="0" w:color="auto"/>
                            <w:bottom w:val="none" w:sz="0" w:space="0" w:color="auto"/>
                            <w:right w:val="none" w:sz="0" w:space="0" w:color="auto"/>
                          </w:divBdr>
                        </w:div>
                      </w:divsChild>
                    </w:div>
                    <w:div w:id="963383471">
                      <w:marLeft w:val="0"/>
                      <w:marRight w:val="0"/>
                      <w:marTop w:val="0"/>
                      <w:marBottom w:val="0"/>
                      <w:divBdr>
                        <w:top w:val="none" w:sz="0" w:space="0" w:color="auto"/>
                        <w:left w:val="none" w:sz="0" w:space="0" w:color="auto"/>
                        <w:bottom w:val="none" w:sz="0" w:space="0" w:color="auto"/>
                        <w:right w:val="none" w:sz="0" w:space="0" w:color="auto"/>
                      </w:divBdr>
                      <w:divsChild>
                        <w:div w:id="1823159441">
                          <w:marLeft w:val="0"/>
                          <w:marRight w:val="0"/>
                          <w:marTop w:val="0"/>
                          <w:marBottom w:val="0"/>
                          <w:divBdr>
                            <w:top w:val="none" w:sz="0" w:space="0" w:color="auto"/>
                            <w:left w:val="none" w:sz="0" w:space="0" w:color="auto"/>
                            <w:bottom w:val="none" w:sz="0" w:space="0" w:color="auto"/>
                            <w:right w:val="none" w:sz="0" w:space="0" w:color="auto"/>
                          </w:divBdr>
                        </w:div>
                      </w:divsChild>
                    </w:div>
                    <w:div w:id="967052778">
                      <w:marLeft w:val="0"/>
                      <w:marRight w:val="0"/>
                      <w:marTop w:val="0"/>
                      <w:marBottom w:val="0"/>
                      <w:divBdr>
                        <w:top w:val="none" w:sz="0" w:space="0" w:color="auto"/>
                        <w:left w:val="none" w:sz="0" w:space="0" w:color="auto"/>
                        <w:bottom w:val="none" w:sz="0" w:space="0" w:color="auto"/>
                        <w:right w:val="none" w:sz="0" w:space="0" w:color="auto"/>
                      </w:divBdr>
                      <w:divsChild>
                        <w:div w:id="49424248">
                          <w:marLeft w:val="0"/>
                          <w:marRight w:val="0"/>
                          <w:marTop w:val="0"/>
                          <w:marBottom w:val="0"/>
                          <w:divBdr>
                            <w:top w:val="none" w:sz="0" w:space="0" w:color="auto"/>
                            <w:left w:val="none" w:sz="0" w:space="0" w:color="auto"/>
                            <w:bottom w:val="none" w:sz="0" w:space="0" w:color="auto"/>
                            <w:right w:val="none" w:sz="0" w:space="0" w:color="auto"/>
                          </w:divBdr>
                        </w:div>
                      </w:divsChild>
                    </w:div>
                    <w:div w:id="1025131372">
                      <w:marLeft w:val="0"/>
                      <w:marRight w:val="0"/>
                      <w:marTop w:val="0"/>
                      <w:marBottom w:val="0"/>
                      <w:divBdr>
                        <w:top w:val="none" w:sz="0" w:space="0" w:color="auto"/>
                        <w:left w:val="none" w:sz="0" w:space="0" w:color="auto"/>
                        <w:bottom w:val="none" w:sz="0" w:space="0" w:color="auto"/>
                        <w:right w:val="none" w:sz="0" w:space="0" w:color="auto"/>
                      </w:divBdr>
                      <w:divsChild>
                        <w:div w:id="990057969">
                          <w:marLeft w:val="0"/>
                          <w:marRight w:val="0"/>
                          <w:marTop w:val="0"/>
                          <w:marBottom w:val="0"/>
                          <w:divBdr>
                            <w:top w:val="none" w:sz="0" w:space="0" w:color="auto"/>
                            <w:left w:val="none" w:sz="0" w:space="0" w:color="auto"/>
                            <w:bottom w:val="none" w:sz="0" w:space="0" w:color="auto"/>
                            <w:right w:val="none" w:sz="0" w:space="0" w:color="auto"/>
                          </w:divBdr>
                        </w:div>
                      </w:divsChild>
                    </w:div>
                    <w:div w:id="1045561677">
                      <w:marLeft w:val="0"/>
                      <w:marRight w:val="0"/>
                      <w:marTop w:val="0"/>
                      <w:marBottom w:val="0"/>
                      <w:divBdr>
                        <w:top w:val="none" w:sz="0" w:space="0" w:color="auto"/>
                        <w:left w:val="none" w:sz="0" w:space="0" w:color="auto"/>
                        <w:bottom w:val="none" w:sz="0" w:space="0" w:color="auto"/>
                        <w:right w:val="none" w:sz="0" w:space="0" w:color="auto"/>
                      </w:divBdr>
                      <w:divsChild>
                        <w:div w:id="653029422">
                          <w:marLeft w:val="0"/>
                          <w:marRight w:val="0"/>
                          <w:marTop w:val="0"/>
                          <w:marBottom w:val="0"/>
                          <w:divBdr>
                            <w:top w:val="none" w:sz="0" w:space="0" w:color="auto"/>
                            <w:left w:val="none" w:sz="0" w:space="0" w:color="auto"/>
                            <w:bottom w:val="none" w:sz="0" w:space="0" w:color="auto"/>
                            <w:right w:val="none" w:sz="0" w:space="0" w:color="auto"/>
                          </w:divBdr>
                        </w:div>
                      </w:divsChild>
                    </w:div>
                    <w:div w:id="1051688067">
                      <w:marLeft w:val="0"/>
                      <w:marRight w:val="0"/>
                      <w:marTop w:val="0"/>
                      <w:marBottom w:val="0"/>
                      <w:divBdr>
                        <w:top w:val="none" w:sz="0" w:space="0" w:color="auto"/>
                        <w:left w:val="none" w:sz="0" w:space="0" w:color="auto"/>
                        <w:bottom w:val="none" w:sz="0" w:space="0" w:color="auto"/>
                        <w:right w:val="none" w:sz="0" w:space="0" w:color="auto"/>
                      </w:divBdr>
                      <w:divsChild>
                        <w:div w:id="2030372769">
                          <w:marLeft w:val="0"/>
                          <w:marRight w:val="0"/>
                          <w:marTop w:val="0"/>
                          <w:marBottom w:val="0"/>
                          <w:divBdr>
                            <w:top w:val="none" w:sz="0" w:space="0" w:color="auto"/>
                            <w:left w:val="none" w:sz="0" w:space="0" w:color="auto"/>
                            <w:bottom w:val="none" w:sz="0" w:space="0" w:color="auto"/>
                            <w:right w:val="none" w:sz="0" w:space="0" w:color="auto"/>
                          </w:divBdr>
                        </w:div>
                      </w:divsChild>
                    </w:div>
                    <w:div w:id="1082722996">
                      <w:marLeft w:val="0"/>
                      <w:marRight w:val="0"/>
                      <w:marTop w:val="0"/>
                      <w:marBottom w:val="0"/>
                      <w:divBdr>
                        <w:top w:val="none" w:sz="0" w:space="0" w:color="auto"/>
                        <w:left w:val="none" w:sz="0" w:space="0" w:color="auto"/>
                        <w:bottom w:val="none" w:sz="0" w:space="0" w:color="auto"/>
                        <w:right w:val="none" w:sz="0" w:space="0" w:color="auto"/>
                      </w:divBdr>
                      <w:divsChild>
                        <w:div w:id="931357274">
                          <w:marLeft w:val="0"/>
                          <w:marRight w:val="0"/>
                          <w:marTop w:val="0"/>
                          <w:marBottom w:val="0"/>
                          <w:divBdr>
                            <w:top w:val="none" w:sz="0" w:space="0" w:color="auto"/>
                            <w:left w:val="none" w:sz="0" w:space="0" w:color="auto"/>
                            <w:bottom w:val="none" w:sz="0" w:space="0" w:color="auto"/>
                            <w:right w:val="none" w:sz="0" w:space="0" w:color="auto"/>
                          </w:divBdr>
                        </w:div>
                      </w:divsChild>
                    </w:div>
                    <w:div w:id="1094593841">
                      <w:marLeft w:val="0"/>
                      <w:marRight w:val="0"/>
                      <w:marTop w:val="0"/>
                      <w:marBottom w:val="0"/>
                      <w:divBdr>
                        <w:top w:val="none" w:sz="0" w:space="0" w:color="auto"/>
                        <w:left w:val="none" w:sz="0" w:space="0" w:color="auto"/>
                        <w:bottom w:val="none" w:sz="0" w:space="0" w:color="auto"/>
                        <w:right w:val="none" w:sz="0" w:space="0" w:color="auto"/>
                      </w:divBdr>
                      <w:divsChild>
                        <w:div w:id="1260408963">
                          <w:marLeft w:val="0"/>
                          <w:marRight w:val="0"/>
                          <w:marTop w:val="0"/>
                          <w:marBottom w:val="0"/>
                          <w:divBdr>
                            <w:top w:val="none" w:sz="0" w:space="0" w:color="auto"/>
                            <w:left w:val="none" w:sz="0" w:space="0" w:color="auto"/>
                            <w:bottom w:val="none" w:sz="0" w:space="0" w:color="auto"/>
                            <w:right w:val="none" w:sz="0" w:space="0" w:color="auto"/>
                          </w:divBdr>
                        </w:div>
                      </w:divsChild>
                    </w:div>
                    <w:div w:id="1108238248">
                      <w:marLeft w:val="0"/>
                      <w:marRight w:val="0"/>
                      <w:marTop w:val="0"/>
                      <w:marBottom w:val="0"/>
                      <w:divBdr>
                        <w:top w:val="none" w:sz="0" w:space="0" w:color="auto"/>
                        <w:left w:val="none" w:sz="0" w:space="0" w:color="auto"/>
                        <w:bottom w:val="none" w:sz="0" w:space="0" w:color="auto"/>
                        <w:right w:val="none" w:sz="0" w:space="0" w:color="auto"/>
                      </w:divBdr>
                      <w:divsChild>
                        <w:div w:id="589121062">
                          <w:marLeft w:val="0"/>
                          <w:marRight w:val="0"/>
                          <w:marTop w:val="0"/>
                          <w:marBottom w:val="0"/>
                          <w:divBdr>
                            <w:top w:val="none" w:sz="0" w:space="0" w:color="auto"/>
                            <w:left w:val="none" w:sz="0" w:space="0" w:color="auto"/>
                            <w:bottom w:val="none" w:sz="0" w:space="0" w:color="auto"/>
                            <w:right w:val="none" w:sz="0" w:space="0" w:color="auto"/>
                          </w:divBdr>
                        </w:div>
                      </w:divsChild>
                    </w:div>
                    <w:div w:id="1139572119">
                      <w:marLeft w:val="0"/>
                      <w:marRight w:val="0"/>
                      <w:marTop w:val="0"/>
                      <w:marBottom w:val="0"/>
                      <w:divBdr>
                        <w:top w:val="none" w:sz="0" w:space="0" w:color="auto"/>
                        <w:left w:val="none" w:sz="0" w:space="0" w:color="auto"/>
                        <w:bottom w:val="none" w:sz="0" w:space="0" w:color="auto"/>
                        <w:right w:val="none" w:sz="0" w:space="0" w:color="auto"/>
                      </w:divBdr>
                      <w:divsChild>
                        <w:div w:id="66851733">
                          <w:marLeft w:val="0"/>
                          <w:marRight w:val="0"/>
                          <w:marTop w:val="0"/>
                          <w:marBottom w:val="0"/>
                          <w:divBdr>
                            <w:top w:val="none" w:sz="0" w:space="0" w:color="auto"/>
                            <w:left w:val="none" w:sz="0" w:space="0" w:color="auto"/>
                            <w:bottom w:val="none" w:sz="0" w:space="0" w:color="auto"/>
                            <w:right w:val="none" w:sz="0" w:space="0" w:color="auto"/>
                          </w:divBdr>
                        </w:div>
                      </w:divsChild>
                    </w:div>
                    <w:div w:id="1142389201">
                      <w:marLeft w:val="0"/>
                      <w:marRight w:val="0"/>
                      <w:marTop w:val="0"/>
                      <w:marBottom w:val="0"/>
                      <w:divBdr>
                        <w:top w:val="none" w:sz="0" w:space="0" w:color="auto"/>
                        <w:left w:val="none" w:sz="0" w:space="0" w:color="auto"/>
                        <w:bottom w:val="none" w:sz="0" w:space="0" w:color="auto"/>
                        <w:right w:val="none" w:sz="0" w:space="0" w:color="auto"/>
                      </w:divBdr>
                      <w:divsChild>
                        <w:div w:id="401371075">
                          <w:marLeft w:val="0"/>
                          <w:marRight w:val="0"/>
                          <w:marTop w:val="0"/>
                          <w:marBottom w:val="0"/>
                          <w:divBdr>
                            <w:top w:val="none" w:sz="0" w:space="0" w:color="auto"/>
                            <w:left w:val="none" w:sz="0" w:space="0" w:color="auto"/>
                            <w:bottom w:val="none" w:sz="0" w:space="0" w:color="auto"/>
                            <w:right w:val="none" w:sz="0" w:space="0" w:color="auto"/>
                          </w:divBdr>
                        </w:div>
                      </w:divsChild>
                    </w:div>
                    <w:div w:id="1161888731">
                      <w:marLeft w:val="0"/>
                      <w:marRight w:val="0"/>
                      <w:marTop w:val="0"/>
                      <w:marBottom w:val="0"/>
                      <w:divBdr>
                        <w:top w:val="none" w:sz="0" w:space="0" w:color="auto"/>
                        <w:left w:val="none" w:sz="0" w:space="0" w:color="auto"/>
                        <w:bottom w:val="none" w:sz="0" w:space="0" w:color="auto"/>
                        <w:right w:val="none" w:sz="0" w:space="0" w:color="auto"/>
                      </w:divBdr>
                      <w:divsChild>
                        <w:div w:id="825435227">
                          <w:marLeft w:val="0"/>
                          <w:marRight w:val="0"/>
                          <w:marTop w:val="0"/>
                          <w:marBottom w:val="0"/>
                          <w:divBdr>
                            <w:top w:val="none" w:sz="0" w:space="0" w:color="auto"/>
                            <w:left w:val="none" w:sz="0" w:space="0" w:color="auto"/>
                            <w:bottom w:val="none" w:sz="0" w:space="0" w:color="auto"/>
                            <w:right w:val="none" w:sz="0" w:space="0" w:color="auto"/>
                          </w:divBdr>
                        </w:div>
                      </w:divsChild>
                    </w:div>
                    <w:div w:id="1299728634">
                      <w:marLeft w:val="0"/>
                      <w:marRight w:val="0"/>
                      <w:marTop w:val="0"/>
                      <w:marBottom w:val="0"/>
                      <w:divBdr>
                        <w:top w:val="none" w:sz="0" w:space="0" w:color="auto"/>
                        <w:left w:val="none" w:sz="0" w:space="0" w:color="auto"/>
                        <w:bottom w:val="none" w:sz="0" w:space="0" w:color="auto"/>
                        <w:right w:val="none" w:sz="0" w:space="0" w:color="auto"/>
                      </w:divBdr>
                      <w:divsChild>
                        <w:div w:id="822233382">
                          <w:marLeft w:val="0"/>
                          <w:marRight w:val="0"/>
                          <w:marTop w:val="0"/>
                          <w:marBottom w:val="0"/>
                          <w:divBdr>
                            <w:top w:val="none" w:sz="0" w:space="0" w:color="auto"/>
                            <w:left w:val="none" w:sz="0" w:space="0" w:color="auto"/>
                            <w:bottom w:val="none" w:sz="0" w:space="0" w:color="auto"/>
                            <w:right w:val="none" w:sz="0" w:space="0" w:color="auto"/>
                          </w:divBdr>
                        </w:div>
                      </w:divsChild>
                    </w:div>
                    <w:div w:id="1364752066">
                      <w:marLeft w:val="0"/>
                      <w:marRight w:val="0"/>
                      <w:marTop w:val="0"/>
                      <w:marBottom w:val="0"/>
                      <w:divBdr>
                        <w:top w:val="none" w:sz="0" w:space="0" w:color="auto"/>
                        <w:left w:val="none" w:sz="0" w:space="0" w:color="auto"/>
                        <w:bottom w:val="none" w:sz="0" w:space="0" w:color="auto"/>
                        <w:right w:val="none" w:sz="0" w:space="0" w:color="auto"/>
                      </w:divBdr>
                      <w:divsChild>
                        <w:div w:id="1666083539">
                          <w:marLeft w:val="0"/>
                          <w:marRight w:val="0"/>
                          <w:marTop w:val="0"/>
                          <w:marBottom w:val="0"/>
                          <w:divBdr>
                            <w:top w:val="none" w:sz="0" w:space="0" w:color="auto"/>
                            <w:left w:val="none" w:sz="0" w:space="0" w:color="auto"/>
                            <w:bottom w:val="none" w:sz="0" w:space="0" w:color="auto"/>
                            <w:right w:val="none" w:sz="0" w:space="0" w:color="auto"/>
                          </w:divBdr>
                        </w:div>
                      </w:divsChild>
                    </w:div>
                    <w:div w:id="1410611653">
                      <w:marLeft w:val="0"/>
                      <w:marRight w:val="0"/>
                      <w:marTop w:val="0"/>
                      <w:marBottom w:val="0"/>
                      <w:divBdr>
                        <w:top w:val="none" w:sz="0" w:space="0" w:color="auto"/>
                        <w:left w:val="none" w:sz="0" w:space="0" w:color="auto"/>
                        <w:bottom w:val="none" w:sz="0" w:space="0" w:color="auto"/>
                        <w:right w:val="none" w:sz="0" w:space="0" w:color="auto"/>
                      </w:divBdr>
                      <w:divsChild>
                        <w:div w:id="429861743">
                          <w:marLeft w:val="0"/>
                          <w:marRight w:val="0"/>
                          <w:marTop w:val="0"/>
                          <w:marBottom w:val="0"/>
                          <w:divBdr>
                            <w:top w:val="none" w:sz="0" w:space="0" w:color="auto"/>
                            <w:left w:val="none" w:sz="0" w:space="0" w:color="auto"/>
                            <w:bottom w:val="none" w:sz="0" w:space="0" w:color="auto"/>
                            <w:right w:val="none" w:sz="0" w:space="0" w:color="auto"/>
                          </w:divBdr>
                        </w:div>
                      </w:divsChild>
                    </w:div>
                    <w:div w:id="1428649266">
                      <w:marLeft w:val="0"/>
                      <w:marRight w:val="0"/>
                      <w:marTop w:val="0"/>
                      <w:marBottom w:val="0"/>
                      <w:divBdr>
                        <w:top w:val="none" w:sz="0" w:space="0" w:color="auto"/>
                        <w:left w:val="none" w:sz="0" w:space="0" w:color="auto"/>
                        <w:bottom w:val="none" w:sz="0" w:space="0" w:color="auto"/>
                        <w:right w:val="none" w:sz="0" w:space="0" w:color="auto"/>
                      </w:divBdr>
                      <w:divsChild>
                        <w:div w:id="1727297203">
                          <w:marLeft w:val="0"/>
                          <w:marRight w:val="0"/>
                          <w:marTop w:val="0"/>
                          <w:marBottom w:val="0"/>
                          <w:divBdr>
                            <w:top w:val="none" w:sz="0" w:space="0" w:color="auto"/>
                            <w:left w:val="none" w:sz="0" w:space="0" w:color="auto"/>
                            <w:bottom w:val="none" w:sz="0" w:space="0" w:color="auto"/>
                            <w:right w:val="none" w:sz="0" w:space="0" w:color="auto"/>
                          </w:divBdr>
                        </w:div>
                      </w:divsChild>
                    </w:div>
                    <w:div w:id="1435712580">
                      <w:marLeft w:val="0"/>
                      <w:marRight w:val="0"/>
                      <w:marTop w:val="0"/>
                      <w:marBottom w:val="0"/>
                      <w:divBdr>
                        <w:top w:val="none" w:sz="0" w:space="0" w:color="auto"/>
                        <w:left w:val="none" w:sz="0" w:space="0" w:color="auto"/>
                        <w:bottom w:val="none" w:sz="0" w:space="0" w:color="auto"/>
                        <w:right w:val="none" w:sz="0" w:space="0" w:color="auto"/>
                      </w:divBdr>
                      <w:divsChild>
                        <w:div w:id="1726642827">
                          <w:marLeft w:val="0"/>
                          <w:marRight w:val="0"/>
                          <w:marTop w:val="0"/>
                          <w:marBottom w:val="0"/>
                          <w:divBdr>
                            <w:top w:val="none" w:sz="0" w:space="0" w:color="auto"/>
                            <w:left w:val="none" w:sz="0" w:space="0" w:color="auto"/>
                            <w:bottom w:val="none" w:sz="0" w:space="0" w:color="auto"/>
                            <w:right w:val="none" w:sz="0" w:space="0" w:color="auto"/>
                          </w:divBdr>
                        </w:div>
                      </w:divsChild>
                    </w:div>
                    <w:div w:id="1439907610">
                      <w:marLeft w:val="0"/>
                      <w:marRight w:val="0"/>
                      <w:marTop w:val="0"/>
                      <w:marBottom w:val="0"/>
                      <w:divBdr>
                        <w:top w:val="none" w:sz="0" w:space="0" w:color="auto"/>
                        <w:left w:val="none" w:sz="0" w:space="0" w:color="auto"/>
                        <w:bottom w:val="none" w:sz="0" w:space="0" w:color="auto"/>
                        <w:right w:val="none" w:sz="0" w:space="0" w:color="auto"/>
                      </w:divBdr>
                      <w:divsChild>
                        <w:div w:id="1139148035">
                          <w:marLeft w:val="0"/>
                          <w:marRight w:val="0"/>
                          <w:marTop w:val="0"/>
                          <w:marBottom w:val="0"/>
                          <w:divBdr>
                            <w:top w:val="none" w:sz="0" w:space="0" w:color="auto"/>
                            <w:left w:val="none" w:sz="0" w:space="0" w:color="auto"/>
                            <w:bottom w:val="none" w:sz="0" w:space="0" w:color="auto"/>
                            <w:right w:val="none" w:sz="0" w:space="0" w:color="auto"/>
                          </w:divBdr>
                        </w:div>
                        <w:div w:id="1402023154">
                          <w:marLeft w:val="0"/>
                          <w:marRight w:val="0"/>
                          <w:marTop w:val="0"/>
                          <w:marBottom w:val="0"/>
                          <w:divBdr>
                            <w:top w:val="none" w:sz="0" w:space="0" w:color="auto"/>
                            <w:left w:val="none" w:sz="0" w:space="0" w:color="auto"/>
                            <w:bottom w:val="none" w:sz="0" w:space="0" w:color="auto"/>
                            <w:right w:val="none" w:sz="0" w:space="0" w:color="auto"/>
                          </w:divBdr>
                        </w:div>
                      </w:divsChild>
                    </w:div>
                    <w:div w:id="1464735512">
                      <w:marLeft w:val="0"/>
                      <w:marRight w:val="0"/>
                      <w:marTop w:val="0"/>
                      <w:marBottom w:val="0"/>
                      <w:divBdr>
                        <w:top w:val="none" w:sz="0" w:space="0" w:color="auto"/>
                        <w:left w:val="none" w:sz="0" w:space="0" w:color="auto"/>
                        <w:bottom w:val="none" w:sz="0" w:space="0" w:color="auto"/>
                        <w:right w:val="none" w:sz="0" w:space="0" w:color="auto"/>
                      </w:divBdr>
                      <w:divsChild>
                        <w:div w:id="971668758">
                          <w:marLeft w:val="0"/>
                          <w:marRight w:val="0"/>
                          <w:marTop w:val="0"/>
                          <w:marBottom w:val="0"/>
                          <w:divBdr>
                            <w:top w:val="none" w:sz="0" w:space="0" w:color="auto"/>
                            <w:left w:val="none" w:sz="0" w:space="0" w:color="auto"/>
                            <w:bottom w:val="none" w:sz="0" w:space="0" w:color="auto"/>
                            <w:right w:val="none" w:sz="0" w:space="0" w:color="auto"/>
                          </w:divBdr>
                        </w:div>
                      </w:divsChild>
                    </w:div>
                    <w:div w:id="1498836505">
                      <w:marLeft w:val="0"/>
                      <w:marRight w:val="0"/>
                      <w:marTop w:val="0"/>
                      <w:marBottom w:val="0"/>
                      <w:divBdr>
                        <w:top w:val="none" w:sz="0" w:space="0" w:color="auto"/>
                        <w:left w:val="none" w:sz="0" w:space="0" w:color="auto"/>
                        <w:bottom w:val="none" w:sz="0" w:space="0" w:color="auto"/>
                        <w:right w:val="none" w:sz="0" w:space="0" w:color="auto"/>
                      </w:divBdr>
                      <w:divsChild>
                        <w:div w:id="599795674">
                          <w:marLeft w:val="0"/>
                          <w:marRight w:val="0"/>
                          <w:marTop w:val="0"/>
                          <w:marBottom w:val="0"/>
                          <w:divBdr>
                            <w:top w:val="none" w:sz="0" w:space="0" w:color="auto"/>
                            <w:left w:val="none" w:sz="0" w:space="0" w:color="auto"/>
                            <w:bottom w:val="none" w:sz="0" w:space="0" w:color="auto"/>
                            <w:right w:val="none" w:sz="0" w:space="0" w:color="auto"/>
                          </w:divBdr>
                        </w:div>
                      </w:divsChild>
                    </w:div>
                    <w:div w:id="1541354185">
                      <w:marLeft w:val="0"/>
                      <w:marRight w:val="0"/>
                      <w:marTop w:val="0"/>
                      <w:marBottom w:val="0"/>
                      <w:divBdr>
                        <w:top w:val="none" w:sz="0" w:space="0" w:color="auto"/>
                        <w:left w:val="none" w:sz="0" w:space="0" w:color="auto"/>
                        <w:bottom w:val="none" w:sz="0" w:space="0" w:color="auto"/>
                        <w:right w:val="none" w:sz="0" w:space="0" w:color="auto"/>
                      </w:divBdr>
                      <w:divsChild>
                        <w:div w:id="98531956">
                          <w:marLeft w:val="0"/>
                          <w:marRight w:val="0"/>
                          <w:marTop w:val="0"/>
                          <w:marBottom w:val="0"/>
                          <w:divBdr>
                            <w:top w:val="none" w:sz="0" w:space="0" w:color="auto"/>
                            <w:left w:val="none" w:sz="0" w:space="0" w:color="auto"/>
                            <w:bottom w:val="none" w:sz="0" w:space="0" w:color="auto"/>
                            <w:right w:val="none" w:sz="0" w:space="0" w:color="auto"/>
                          </w:divBdr>
                        </w:div>
                      </w:divsChild>
                    </w:div>
                    <w:div w:id="1544756271">
                      <w:marLeft w:val="0"/>
                      <w:marRight w:val="0"/>
                      <w:marTop w:val="0"/>
                      <w:marBottom w:val="0"/>
                      <w:divBdr>
                        <w:top w:val="none" w:sz="0" w:space="0" w:color="auto"/>
                        <w:left w:val="none" w:sz="0" w:space="0" w:color="auto"/>
                        <w:bottom w:val="none" w:sz="0" w:space="0" w:color="auto"/>
                        <w:right w:val="none" w:sz="0" w:space="0" w:color="auto"/>
                      </w:divBdr>
                      <w:divsChild>
                        <w:div w:id="1495101954">
                          <w:marLeft w:val="0"/>
                          <w:marRight w:val="0"/>
                          <w:marTop w:val="0"/>
                          <w:marBottom w:val="0"/>
                          <w:divBdr>
                            <w:top w:val="none" w:sz="0" w:space="0" w:color="auto"/>
                            <w:left w:val="none" w:sz="0" w:space="0" w:color="auto"/>
                            <w:bottom w:val="none" w:sz="0" w:space="0" w:color="auto"/>
                            <w:right w:val="none" w:sz="0" w:space="0" w:color="auto"/>
                          </w:divBdr>
                        </w:div>
                      </w:divsChild>
                    </w:div>
                    <w:div w:id="1594312966">
                      <w:marLeft w:val="0"/>
                      <w:marRight w:val="0"/>
                      <w:marTop w:val="0"/>
                      <w:marBottom w:val="0"/>
                      <w:divBdr>
                        <w:top w:val="none" w:sz="0" w:space="0" w:color="auto"/>
                        <w:left w:val="none" w:sz="0" w:space="0" w:color="auto"/>
                        <w:bottom w:val="none" w:sz="0" w:space="0" w:color="auto"/>
                        <w:right w:val="none" w:sz="0" w:space="0" w:color="auto"/>
                      </w:divBdr>
                      <w:divsChild>
                        <w:div w:id="694229156">
                          <w:marLeft w:val="0"/>
                          <w:marRight w:val="0"/>
                          <w:marTop w:val="0"/>
                          <w:marBottom w:val="0"/>
                          <w:divBdr>
                            <w:top w:val="none" w:sz="0" w:space="0" w:color="auto"/>
                            <w:left w:val="none" w:sz="0" w:space="0" w:color="auto"/>
                            <w:bottom w:val="none" w:sz="0" w:space="0" w:color="auto"/>
                            <w:right w:val="none" w:sz="0" w:space="0" w:color="auto"/>
                          </w:divBdr>
                        </w:div>
                      </w:divsChild>
                    </w:div>
                    <w:div w:id="1596133635">
                      <w:marLeft w:val="0"/>
                      <w:marRight w:val="0"/>
                      <w:marTop w:val="0"/>
                      <w:marBottom w:val="0"/>
                      <w:divBdr>
                        <w:top w:val="none" w:sz="0" w:space="0" w:color="auto"/>
                        <w:left w:val="none" w:sz="0" w:space="0" w:color="auto"/>
                        <w:bottom w:val="none" w:sz="0" w:space="0" w:color="auto"/>
                        <w:right w:val="none" w:sz="0" w:space="0" w:color="auto"/>
                      </w:divBdr>
                      <w:divsChild>
                        <w:div w:id="1649549560">
                          <w:marLeft w:val="0"/>
                          <w:marRight w:val="0"/>
                          <w:marTop w:val="0"/>
                          <w:marBottom w:val="0"/>
                          <w:divBdr>
                            <w:top w:val="none" w:sz="0" w:space="0" w:color="auto"/>
                            <w:left w:val="none" w:sz="0" w:space="0" w:color="auto"/>
                            <w:bottom w:val="none" w:sz="0" w:space="0" w:color="auto"/>
                            <w:right w:val="none" w:sz="0" w:space="0" w:color="auto"/>
                          </w:divBdr>
                        </w:div>
                      </w:divsChild>
                    </w:div>
                    <w:div w:id="1599173525">
                      <w:marLeft w:val="0"/>
                      <w:marRight w:val="0"/>
                      <w:marTop w:val="0"/>
                      <w:marBottom w:val="0"/>
                      <w:divBdr>
                        <w:top w:val="none" w:sz="0" w:space="0" w:color="auto"/>
                        <w:left w:val="none" w:sz="0" w:space="0" w:color="auto"/>
                        <w:bottom w:val="none" w:sz="0" w:space="0" w:color="auto"/>
                        <w:right w:val="none" w:sz="0" w:space="0" w:color="auto"/>
                      </w:divBdr>
                      <w:divsChild>
                        <w:div w:id="935795109">
                          <w:marLeft w:val="0"/>
                          <w:marRight w:val="0"/>
                          <w:marTop w:val="0"/>
                          <w:marBottom w:val="0"/>
                          <w:divBdr>
                            <w:top w:val="none" w:sz="0" w:space="0" w:color="auto"/>
                            <w:left w:val="none" w:sz="0" w:space="0" w:color="auto"/>
                            <w:bottom w:val="none" w:sz="0" w:space="0" w:color="auto"/>
                            <w:right w:val="none" w:sz="0" w:space="0" w:color="auto"/>
                          </w:divBdr>
                        </w:div>
                      </w:divsChild>
                    </w:div>
                    <w:div w:id="1642033835">
                      <w:marLeft w:val="0"/>
                      <w:marRight w:val="0"/>
                      <w:marTop w:val="0"/>
                      <w:marBottom w:val="0"/>
                      <w:divBdr>
                        <w:top w:val="none" w:sz="0" w:space="0" w:color="auto"/>
                        <w:left w:val="none" w:sz="0" w:space="0" w:color="auto"/>
                        <w:bottom w:val="none" w:sz="0" w:space="0" w:color="auto"/>
                        <w:right w:val="none" w:sz="0" w:space="0" w:color="auto"/>
                      </w:divBdr>
                      <w:divsChild>
                        <w:div w:id="772554422">
                          <w:marLeft w:val="0"/>
                          <w:marRight w:val="0"/>
                          <w:marTop w:val="0"/>
                          <w:marBottom w:val="0"/>
                          <w:divBdr>
                            <w:top w:val="none" w:sz="0" w:space="0" w:color="auto"/>
                            <w:left w:val="none" w:sz="0" w:space="0" w:color="auto"/>
                            <w:bottom w:val="none" w:sz="0" w:space="0" w:color="auto"/>
                            <w:right w:val="none" w:sz="0" w:space="0" w:color="auto"/>
                          </w:divBdr>
                        </w:div>
                      </w:divsChild>
                    </w:div>
                    <w:div w:id="1663698628">
                      <w:marLeft w:val="0"/>
                      <w:marRight w:val="0"/>
                      <w:marTop w:val="0"/>
                      <w:marBottom w:val="0"/>
                      <w:divBdr>
                        <w:top w:val="none" w:sz="0" w:space="0" w:color="auto"/>
                        <w:left w:val="none" w:sz="0" w:space="0" w:color="auto"/>
                        <w:bottom w:val="none" w:sz="0" w:space="0" w:color="auto"/>
                        <w:right w:val="none" w:sz="0" w:space="0" w:color="auto"/>
                      </w:divBdr>
                      <w:divsChild>
                        <w:div w:id="1249269789">
                          <w:marLeft w:val="0"/>
                          <w:marRight w:val="0"/>
                          <w:marTop w:val="0"/>
                          <w:marBottom w:val="0"/>
                          <w:divBdr>
                            <w:top w:val="none" w:sz="0" w:space="0" w:color="auto"/>
                            <w:left w:val="none" w:sz="0" w:space="0" w:color="auto"/>
                            <w:bottom w:val="none" w:sz="0" w:space="0" w:color="auto"/>
                            <w:right w:val="none" w:sz="0" w:space="0" w:color="auto"/>
                          </w:divBdr>
                        </w:div>
                      </w:divsChild>
                    </w:div>
                    <w:div w:id="1689746049">
                      <w:marLeft w:val="0"/>
                      <w:marRight w:val="0"/>
                      <w:marTop w:val="0"/>
                      <w:marBottom w:val="0"/>
                      <w:divBdr>
                        <w:top w:val="none" w:sz="0" w:space="0" w:color="auto"/>
                        <w:left w:val="none" w:sz="0" w:space="0" w:color="auto"/>
                        <w:bottom w:val="none" w:sz="0" w:space="0" w:color="auto"/>
                        <w:right w:val="none" w:sz="0" w:space="0" w:color="auto"/>
                      </w:divBdr>
                      <w:divsChild>
                        <w:div w:id="1527909886">
                          <w:marLeft w:val="0"/>
                          <w:marRight w:val="0"/>
                          <w:marTop w:val="0"/>
                          <w:marBottom w:val="0"/>
                          <w:divBdr>
                            <w:top w:val="none" w:sz="0" w:space="0" w:color="auto"/>
                            <w:left w:val="none" w:sz="0" w:space="0" w:color="auto"/>
                            <w:bottom w:val="none" w:sz="0" w:space="0" w:color="auto"/>
                            <w:right w:val="none" w:sz="0" w:space="0" w:color="auto"/>
                          </w:divBdr>
                        </w:div>
                      </w:divsChild>
                    </w:div>
                    <w:div w:id="1695037468">
                      <w:marLeft w:val="0"/>
                      <w:marRight w:val="0"/>
                      <w:marTop w:val="0"/>
                      <w:marBottom w:val="0"/>
                      <w:divBdr>
                        <w:top w:val="none" w:sz="0" w:space="0" w:color="auto"/>
                        <w:left w:val="none" w:sz="0" w:space="0" w:color="auto"/>
                        <w:bottom w:val="none" w:sz="0" w:space="0" w:color="auto"/>
                        <w:right w:val="none" w:sz="0" w:space="0" w:color="auto"/>
                      </w:divBdr>
                      <w:divsChild>
                        <w:div w:id="991831959">
                          <w:marLeft w:val="0"/>
                          <w:marRight w:val="0"/>
                          <w:marTop w:val="0"/>
                          <w:marBottom w:val="0"/>
                          <w:divBdr>
                            <w:top w:val="none" w:sz="0" w:space="0" w:color="auto"/>
                            <w:left w:val="none" w:sz="0" w:space="0" w:color="auto"/>
                            <w:bottom w:val="none" w:sz="0" w:space="0" w:color="auto"/>
                            <w:right w:val="none" w:sz="0" w:space="0" w:color="auto"/>
                          </w:divBdr>
                        </w:div>
                      </w:divsChild>
                    </w:div>
                    <w:div w:id="1701274045">
                      <w:marLeft w:val="0"/>
                      <w:marRight w:val="0"/>
                      <w:marTop w:val="0"/>
                      <w:marBottom w:val="0"/>
                      <w:divBdr>
                        <w:top w:val="none" w:sz="0" w:space="0" w:color="auto"/>
                        <w:left w:val="none" w:sz="0" w:space="0" w:color="auto"/>
                        <w:bottom w:val="none" w:sz="0" w:space="0" w:color="auto"/>
                        <w:right w:val="none" w:sz="0" w:space="0" w:color="auto"/>
                      </w:divBdr>
                      <w:divsChild>
                        <w:div w:id="1340428853">
                          <w:marLeft w:val="0"/>
                          <w:marRight w:val="0"/>
                          <w:marTop w:val="0"/>
                          <w:marBottom w:val="0"/>
                          <w:divBdr>
                            <w:top w:val="none" w:sz="0" w:space="0" w:color="auto"/>
                            <w:left w:val="none" w:sz="0" w:space="0" w:color="auto"/>
                            <w:bottom w:val="none" w:sz="0" w:space="0" w:color="auto"/>
                            <w:right w:val="none" w:sz="0" w:space="0" w:color="auto"/>
                          </w:divBdr>
                        </w:div>
                      </w:divsChild>
                    </w:div>
                    <w:div w:id="1708674921">
                      <w:marLeft w:val="0"/>
                      <w:marRight w:val="0"/>
                      <w:marTop w:val="0"/>
                      <w:marBottom w:val="0"/>
                      <w:divBdr>
                        <w:top w:val="none" w:sz="0" w:space="0" w:color="auto"/>
                        <w:left w:val="none" w:sz="0" w:space="0" w:color="auto"/>
                        <w:bottom w:val="none" w:sz="0" w:space="0" w:color="auto"/>
                        <w:right w:val="none" w:sz="0" w:space="0" w:color="auto"/>
                      </w:divBdr>
                      <w:divsChild>
                        <w:div w:id="1411267064">
                          <w:marLeft w:val="0"/>
                          <w:marRight w:val="0"/>
                          <w:marTop w:val="0"/>
                          <w:marBottom w:val="0"/>
                          <w:divBdr>
                            <w:top w:val="none" w:sz="0" w:space="0" w:color="auto"/>
                            <w:left w:val="none" w:sz="0" w:space="0" w:color="auto"/>
                            <w:bottom w:val="none" w:sz="0" w:space="0" w:color="auto"/>
                            <w:right w:val="none" w:sz="0" w:space="0" w:color="auto"/>
                          </w:divBdr>
                        </w:div>
                      </w:divsChild>
                    </w:div>
                    <w:div w:id="1765612071">
                      <w:marLeft w:val="0"/>
                      <w:marRight w:val="0"/>
                      <w:marTop w:val="0"/>
                      <w:marBottom w:val="0"/>
                      <w:divBdr>
                        <w:top w:val="none" w:sz="0" w:space="0" w:color="auto"/>
                        <w:left w:val="none" w:sz="0" w:space="0" w:color="auto"/>
                        <w:bottom w:val="none" w:sz="0" w:space="0" w:color="auto"/>
                        <w:right w:val="none" w:sz="0" w:space="0" w:color="auto"/>
                      </w:divBdr>
                      <w:divsChild>
                        <w:div w:id="519508622">
                          <w:marLeft w:val="0"/>
                          <w:marRight w:val="0"/>
                          <w:marTop w:val="0"/>
                          <w:marBottom w:val="0"/>
                          <w:divBdr>
                            <w:top w:val="none" w:sz="0" w:space="0" w:color="auto"/>
                            <w:left w:val="none" w:sz="0" w:space="0" w:color="auto"/>
                            <w:bottom w:val="none" w:sz="0" w:space="0" w:color="auto"/>
                            <w:right w:val="none" w:sz="0" w:space="0" w:color="auto"/>
                          </w:divBdr>
                        </w:div>
                      </w:divsChild>
                    </w:div>
                    <w:div w:id="1854106574">
                      <w:marLeft w:val="0"/>
                      <w:marRight w:val="0"/>
                      <w:marTop w:val="0"/>
                      <w:marBottom w:val="0"/>
                      <w:divBdr>
                        <w:top w:val="none" w:sz="0" w:space="0" w:color="auto"/>
                        <w:left w:val="none" w:sz="0" w:space="0" w:color="auto"/>
                        <w:bottom w:val="none" w:sz="0" w:space="0" w:color="auto"/>
                        <w:right w:val="none" w:sz="0" w:space="0" w:color="auto"/>
                      </w:divBdr>
                      <w:divsChild>
                        <w:div w:id="2135437999">
                          <w:marLeft w:val="0"/>
                          <w:marRight w:val="0"/>
                          <w:marTop w:val="0"/>
                          <w:marBottom w:val="0"/>
                          <w:divBdr>
                            <w:top w:val="none" w:sz="0" w:space="0" w:color="auto"/>
                            <w:left w:val="none" w:sz="0" w:space="0" w:color="auto"/>
                            <w:bottom w:val="none" w:sz="0" w:space="0" w:color="auto"/>
                            <w:right w:val="none" w:sz="0" w:space="0" w:color="auto"/>
                          </w:divBdr>
                        </w:div>
                      </w:divsChild>
                    </w:div>
                    <w:div w:id="1861551149">
                      <w:marLeft w:val="0"/>
                      <w:marRight w:val="0"/>
                      <w:marTop w:val="0"/>
                      <w:marBottom w:val="0"/>
                      <w:divBdr>
                        <w:top w:val="none" w:sz="0" w:space="0" w:color="auto"/>
                        <w:left w:val="none" w:sz="0" w:space="0" w:color="auto"/>
                        <w:bottom w:val="none" w:sz="0" w:space="0" w:color="auto"/>
                        <w:right w:val="none" w:sz="0" w:space="0" w:color="auto"/>
                      </w:divBdr>
                      <w:divsChild>
                        <w:div w:id="1493377953">
                          <w:marLeft w:val="0"/>
                          <w:marRight w:val="0"/>
                          <w:marTop w:val="0"/>
                          <w:marBottom w:val="0"/>
                          <w:divBdr>
                            <w:top w:val="none" w:sz="0" w:space="0" w:color="auto"/>
                            <w:left w:val="none" w:sz="0" w:space="0" w:color="auto"/>
                            <w:bottom w:val="none" w:sz="0" w:space="0" w:color="auto"/>
                            <w:right w:val="none" w:sz="0" w:space="0" w:color="auto"/>
                          </w:divBdr>
                        </w:div>
                      </w:divsChild>
                    </w:div>
                    <w:div w:id="1873416592">
                      <w:marLeft w:val="0"/>
                      <w:marRight w:val="0"/>
                      <w:marTop w:val="0"/>
                      <w:marBottom w:val="0"/>
                      <w:divBdr>
                        <w:top w:val="none" w:sz="0" w:space="0" w:color="auto"/>
                        <w:left w:val="none" w:sz="0" w:space="0" w:color="auto"/>
                        <w:bottom w:val="none" w:sz="0" w:space="0" w:color="auto"/>
                        <w:right w:val="none" w:sz="0" w:space="0" w:color="auto"/>
                      </w:divBdr>
                      <w:divsChild>
                        <w:div w:id="1412195258">
                          <w:marLeft w:val="0"/>
                          <w:marRight w:val="0"/>
                          <w:marTop w:val="0"/>
                          <w:marBottom w:val="0"/>
                          <w:divBdr>
                            <w:top w:val="none" w:sz="0" w:space="0" w:color="auto"/>
                            <w:left w:val="none" w:sz="0" w:space="0" w:color="auto"/>
                            <w:bottom w:val="none" w:sz="0" w:space="0" w:color="auto"/>
                            <w:right w:val="none" w:sz="0" w:space="0" w:color="auto"/>
                          </w:divBdr>
                        </w:div>
                      </w:divsChild>
                    </w:div>
                    <w:div w:id="1895847884">
                      <w:marLeft w:val="0"/>
                      <w:marRight w:val="0"/>
                      <w:marTop w:val="0"/>
                      <w:marBottom w:val="0"/>
                      <w:divBdr>
                        <w:top w:val="none" w:sz="0" w:space="0" w:color="auto"/>
                        <w:left w:val="none" w:sz="0" w:space="0" w:color="auto"/>
                        <w:bottom w:val="none" w:sz="0" w:space="0" w:color="auto"/>
                        <w:right w:val="none" w:sz="0" w:space="0" w:color="auto"/>
                      </w:divBdr>
                      <w:divsChild>
                        <w:div w:id="1049185261">
                          <w:marLeft w:val="0"/>
                          <w:marRight w:val="0"/>
                          <w:marTop w:val="0"/>
                          <w:marBottom w:val="0"/>
                          <w:divBdr>
                            <w:top w:val="none" w:sz="0" w:space="0" w:color="auto"/>
                            <w:left w:val="none" w:sz="0" w:space="0" w:color="auto"/>
                            <w:bottom w:val="none" w:sz="0" w:space="0" w:color="auto"/>
                            <w:right w:val="none" w:sz="0" w:space="0" w:color="auto"/>
                          </w:divBdr>
                        </w:div>
                      </w:divsChild>
                    </w:div>
                    <w:div w:id="1907446563">
                      <w:marLeft w:val="0"/>
                      <w:marRight w:val="0"/>
                      <w:marTop w:val="0"/>
                      <w:marBottom w:val="0"/>
                      <w:divBdr>
                        <w:top w:val="none" w:sz="0" w:space="0" w:color="auto"/>
                        <w:left w:val="none" w:sz="0" w:space="0" w:color="auto"/>
                        <w:bottom w:val="none" w:sz="0" w:space="0" w:color="auto"/>
                        <w:right w:val="none" w:sz="0" w:space="0" w:color="auto"/>
                      </w:divBdr>
                      <w:divsChild>
                        <w:div w:id="541524872">
                          <w:marLeft w:val="0"/>
                          <w:marRight w:val="0"/>
                          <w:marTop w:val="0"/>
                          <w:marBottom w:val="0"/>
                          <w:divBdr>
                            <w:top w:val="none" w:sz="0" w:space="0" w:color="auto"/>
                            <w:left w:val="none" w:sz="0" w:space="0" w:color="auto"/>
                            <w:bottom w:val="none" w:sz="0" w:space="0" w:color="auto"/>
                            <w:right w:val="none" w:sz="0" w:space="0" w:color="auto"/>
                          </w:divBdr>
                        </w:div>
                      </w:divsChild>
                    </w:div>
                    <w:div w:id="1938907769">
                      <w:marLeft w:val="0"/>
                      <w:marRight w:val="0"/>
                      <w:marTop w:val="0"/>
                      <w:marBottom w:val="0"/>
                      <w:divBdr>
                        <w:top w:val="none" w:sz="0" w:space="0" w:color="auto"/>
                        <w:left w:val="none" w:sz="0" w:space="0" w:color="auto"/>
                        <w:bottom w:val="none" w:sz="0" w:space="0" w:color="auto"/>
                        <w:right w:val="none" w:sz="0" w:space="0" w:color="auto"/>
                      </w:divBdr>
                      <w:divsChild>
                        <w:div w:id="1883832446">
                          <w:marLeft w:val="0"/>
                          <w:marRight w:val="0"/>
                          <w:marTop w:val="0"/>
                          <w:marBottom w:val="0"/>
                          <w:divBdr>
                            <w:top w:val="none" w:sz="0" w:space="0" w:color="auto"/>
                            <w:left w:val="none" w:sz="0" w:space="0" w:color="auto"/>
                            <w:bottom w:val="none" w:sz="0" w:space="0" w:color="auto"/>
                            <w:right w:val="none" w:sz="0" w:space="0" w:color="auto"/>
                          </w:divBdr>
                        </w:div>
                      </w:divsChild>
                    </w:div>
                    <w:div w:id="1971741654">
                      <w:marLeft w:val="0"/>
                      <w:marRight w:val="0"/>
                      <w:marTop w:val="0"/>
                      <w:marBottom w:val="0"/>
                      <w:divBdr>
                        <w:top w:val="none" w:sz="0" w:space="0" w:color="auto"/>
                        <w:left w:val="none" w:sz="0" w:space="0" w:color="auto"/>
                        <w:bottom w:val="none" w:sz="0" w:space="0" w:color="auto"/>
                        <w:right w:val="none" w:sz="0" w:space="0" w:color="auto"/>
                      </w:divBdr>
                      <w:divsChild>
                        <w:div w:id="1504734415">
                          <w:marLeft w:val="0"/>
                          <w:marRight w:val="0"/>
                          <w:marTop w:val="0"/>
                          <w:marBottom w:val="0"/>
                          <w:divBdr>
                            <w:top w:val="none" w:sz="0" w:space="0" w:color="auto"/>
                            <w:left w:val="none" w:sz="0" w:space="0" w:color="auto"/>
                            <w:bottom w:val="none" w:sz="0" w:space="0" w:color="auto"/>
                            <w:right w:val="none" w:sz="0" w:space="0" w:color="auto"/>
                          </w:divBdr>
                        </w:div>
                      </w:divsChild>
                    </w:div>
                    <w:div w:id="1973250688">
                      <w:marLeft w:val="0"/>
                      <w:marRight w:val="0"/>
                      <w:marTop w:val="0"/>
                      <w:marBottom w:val="0"/>
                      <w:divBdr>
                        <w:top w:val="none" w:sz="0" w:space="0" w:color="auto"/>
                        <w:left w:val="none" w:sz="0" w:space="0" w:color="auto"/>
                        <w:bottom w:val="none" w:sz="0" w:space="0" w:color="auto"/>
                        <w:right w:val="none" w:sz="0" w:space="0" w:color="auto"/>
                      </w:divBdr>
                      <w:divsChild>
                        <w:div w:id="773671434">
                          <w:marLeft w:val="0"/>
                          <w:marRight w:val="0"/>
                          <w:marTop w:val="0"/>
                          <w:marBottom w:val="0"/>
                          <w:divBdr>
                            <w:top w:val="none" w:sz="0" w:space="0" w:color="auto"/>
                            <w:left w:val="none" w:sz="0" w:space="0" w:color="auto"/>
                            <w:bottom w:val="none" w:sz="0" w:space="0" w:color="auto"/>
                            <w:right w:val="none" w:sz="0" w:space="0" w:color="auto"/>
                          </w:divBdr>
                        </w:div>
                      </w:divsChild>
                    </w:div>
                    <w:div w:id="1978533658">
                      <w:marLeft w:val="0"/>
                      <w:marRight w:val="0"/>
                      <w:marTop w:val="0"/>
                      <w:marBottom w:val="0"/>
                      <w:divBdr>
                        <w:top w:val="none" w:sz="0" w:space="0" w:color="auto"/>
                        <w:left w:val="none" w:sz="0" w:space="0" w:color="auto"/>
                        <w:bottom w:val="none" w:sz="0" w:space="0" w:color="auto"/>
                        <w:right w:val="none" w:sz="0" w:space="0" w:color="auto"/>
                      </w:divBdr>
                      <w:divsChild>
                        <w:div w:id="118760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401485">
      <w:bodyDiv w:val="1"/>
      <w:marLeft w:val="0"/>
      <w:marRight w:val="0"/>
      <w:marTop w:val="0"/>
      <w:marBottom w:val="0"/>
      <w:divBdr>
        <w:top w:val="none" w:sz="0" w:space="0" w:color="auto"/>
        <w:left w:val="none" w:sz="0" w:space="0" w:color="auto"/>
        <w:bottom w:val="none" w:sz="0" w:space="0" w:color="auto"/>
        <w:right w:val="none" w:sz="0" w:space="0" w:color="auto"/>
      </w:divBdr>
      <w:divsChild>
        <w:div w:id="894973894">
          <w:marLeft w:val="0"/>
          <w:marRight w:val="0"/>
          <w:marTop w:val="0"/>
          <w:marBottom w:val="0"/>
          <w:divBdr>
            <w:top w:val="none" w:sz="0" w:space="0" w:color="auto"/>
            <w:left w:val="none" w:sz="0" w:space="0" w:color="auto"/>
            <w:bottom w:val="none" w:sz="0" w:space="0" w:color="auto"/>
            <w:right w:val="none" w:sz="0" w:space="0" w:color="auto"/>
          </w:divBdr>
          <w:divsChild>
            <w:div w:id="452216154">
              <w:marLeft w:val="0"/>
              <w:marRight w:val="0"/>
              <w:marTop w:val="0"/>
              <w:marBottom w:val="0"/>
              <w:divBdr>
                <w:top w:val="none" w:sz="0" w:space="0" w:color="auto"/>
                <w:left w:val="none" w:sz="0" w:space="0" w:color="auto"/>
                <w:bottom w:val="none" w:sz="0" w:space="0" w:color="auto"/>
                <w:right w:val="none" w:sz="0" w:space="0" w:color="auto"/>
              </w:divBdr>
              <w:divsChild>
                <w:div w:id="2135051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183839">
      <w:bodyDiv w:val="1"/>
      <w:marLeft w:val="0"/>
      <w:marRight w:val="0"/>
      <w:marTop w:val="0"/>
      <w:marBottom w:val="0"/>
      <w:divBdr>
        <w:top w:val="none" w:sz="0" w:space="0" w:color="auto"/>
        <w:left w:val="none" w:sz="0" w:space="0" w:color="auto"/>
        <w:bottom w:val="none" w:sz="0" w:space="0" w:color="auto"/>
        <w:right w:val="none" w:sz="0" w:space="0" w:color="auto"/>
      </w:divBdr>
      <w:divsChild>
        <w:div w:id="576549704">
          <w:marLeft w:val="0"/>
          <w:marRight w:val="0"/>
          <w:marTop w:val="0"/>
          <w:marBottom w:val="0"/>
          <w:divBdr>
            <w:top w:val="none" w:sz="0" w:space="0" w:color="auto"/>
            <w:left w:val="none" w:sz="0" w:space="0" w:color="auto"/>
            <w:bottom w:val="none" w:sz="0" w:space="0" w:color="auto"/>
            <w:right w:val="none" w:sz="0" w:space="0" w:color="auto"/>
          </w:divBdr>
          <w:divsChild>
            <w:div w:id="1654866713">
              <w:marLeft w:val="0"/>
              <w:marRight w:val="0"/>
              <w:marTop w:val="0"/>
              <w:marBottom w:val="0"/>
              <w:divBdr>
                <w:top w:val="none" w:sz="0" w:space="0" w:color="auto"/>
                <w:left w:val="none" w:sz="0" w:space="0" w:color="auto"/>
                <w:bottom w:val="none" w:sz="0" w:space="0" w:color="auto"/>
                <w:right w:val="none" w:sz="0" w:space="0" w:color="auto"/>
              </w:divBdr>
              <w:divsChild>
                <w:div w:id="54545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307930">
      <w:bodyDiv w:val="1"/>
      <w:marLeft w:val="0"/>
      <w:marRight w:val="0"/>
      <w:marTop w:val="0"/>
      <w:marBottom w:val="0"/>
      <w:divBdr>
        <w:top w:val="none" w:sz="0" w:space="0" w:color="auto"/>
        <w:left w:val="none" w:sz="0" w:space="0" w:color="auto"/>
        <w:bottom w:val="none" w:sz="0" w:space="0" w:color="auto"/>
        <w:right w:val="none" w:sz="0" w:space="0" w:color="auto"/>
      </w:divBdr>
      <w:divsChild>
        <w:div w:id="691541388">
          <w:marLeft w:val="0"/>
          <w:marRight w:val="0"/>
          <w:marTop w:val="0"/>
          <w:marBottom w:val="0"/>
          <w:divBdr>
            <w:top w:val="none" w:sz="0" w:space="0" w:color="auto"/>
            <w:left w:val="none" w:sz="0" w:space="0" w:color="auto"/>
            <w:bottom w:val="none" w:sz="0" w:space="0" w:color="auto"/>
            <w:right w:val="none" w:sz="0" w:space="0" w:color="auto"/>
          </w:divBdr>
          <w:divsChild>
            <w:div w:id="1080759655">
              <w:marLeft w:val="0"/>
              <w:marRight w:val="0"/>
              <w:marTop w:val="0"/>
              <w:marBottom w:val="0"/>
              <w:divBdr>
                <w:top w:val="none" w:sz="0" w:space="0" w:color="auto"/>
                <w:left w:val="none" w:sz="0" w:space="0" w:color="auto"/>
                <w:bottom w:val="none" w:sz="0" w:space="0" w:color="auto"/>
                <w:right w:val="none" w:sz="0" w:space="0" w:color="auto"/>
              </w:divBdr>
            </w:div>
          </w:divsChild>
        </w:div>
        <w:div w:id="1984650347">
          <w:marLeft w:val="0"/>
          <w:marRight w:val="0"/>
          <w:marTop w:val="0"/>
          <w:marBottom w:val="0"/>
          <w:divBdr>
            <w:top w:val="none" w:sz="0" w:space="0" w:color="auto"/>
            <w:left w:val="none" w:sz="0" w:space="0" w:color="auto"/>
            <w:bottom w:val="none" w:sz="0" w:space="0" w:color="auto"/>
            <w:right w:val="none" w:sz="0" w:space="0" w:color="auto"/>
          </w:divBdr>
          <w:divsChild>
            <w:div w:id="987054250">
              <w:marLeft w:val="0"/>
              <w:marRight w:val="0"/>
              <w:marTop w:val="0"/>
              <w:marBottom w:val="0"/>
              <w:divBdr>
                <w:top w:val="none" w:sz="0" w:space="0" w:color="auto"/>
                <w:left w:val="none" w:sz="0" w:space="0" w:color="auto"/>
                <w:bottom w:val="none" w:sz="0" w:space="0" w:color="auto"/>
                <w:right w:val="none" w:sz="0" w:space="0" w:color="auto"/>
              </w:divBdr>
            </w:div>
            <w:div w:id="1174341387">
              <w:marLeft w:val="0"/>
              <w:marRight w:val="0"/>
              <w:marTop w:val="0"/>
              <w:marBottom w:val="0"/>
              <w:divBdr>
                <w:top w:val="none" w:sz="0" w:space="0" w:color="auto"/>
                <w:left w:val="none" w:sz="0" w:space="0" w:color="auto"/>
                <w:bottom w:val="none" w:sz="0" w:space="0" w:color="auto"/>
                <w:right w:val="none" w:sz="0" w:space="0" w:color="auto"/>
              </w:divBdr>
            </w:div>
            <w:div w:id="1391268961">
              <w:marLeft w:val="0"/>
              <w:marRight w:val="0"/>
              <w:marTop w:val="0"/>
              <w:marBottom w:val="0"/>
              <w:divBdr>
                <w:top w:val="none" w:sz="0" w:space="0" w:color="auto"/>
                <w:left w:val="none" w:sz="0" w:space="0" w:color="auto"/>
                <w:bottom w:val="none" w:sz="0" w:space="0" w:color="auto"/>
                <w:right w:val="none" w:sz="0" w:space="0" w:color="auto"/>
              </w:divBdr>
            </w:div>
            <w:div w:id="1587418599">
              <w:marLeft w:val="0"/>
              <w:marRight w:val="0"/>
              <w:marTop w:val="0"/>
              <w:marBottom w:val="0"/>
              <w:divBdr>
                <w:top w:val="none" w:sz="0" w:space="0" w:color="auto"/>
                <w:left w:val="none" w:sz="0" w:space="0" w:color="auto"/>
                <w:bottom w:val="none" w:sz="0" w:space="0" w:color="auto"/>
                <w:right w:val="none" w:sz="0" w:space="0" w:color="auto"/>
              </w:divBdr>
            </w:div>
            <w:div w:id="1673144539">
              <w:marLeft w:val="0"/>
              <w:marRight w:val="0"/>
              <w:marTop w:val="0"/>
              <w:marBottom w:val="0"/>
              <w:divBdr>
                <w:top w:val="none" w:sz="0" w:space="0" w:color="auto"/>
                <w:left w:val="none" w:sz="0" w:space="0" w:color="auto"/>
                <w:bottom w:val="none" w:sz="0" w:space="0" w:color="auto"/>
                <w:right w:val="none" w:sz="0" w:space="0" w:color="auto"/>
              </w:divBdr>
            </w:div>
            <w:div w:id="193635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217703">
      <w:bodyDiv w:val="1"/>
      <w:marLeft w:val="0"/>
      <w:marRight w:val="0"/>
      <w:marTop w:val="0"/>
      <w:marBottom w:val="0"/>
      <w:divBdr>
        <w:top w:val="none" w:sz="0" w:space="0" w:color="auto"/>
        <w:left w:val="none" w:sz="0" w:space="0" w:color="auto"/>
        <w:bottom w:val="none" w:sz="0" w:space="0" w:color="auto"/>
        <w:right w:val="none" w:sz="0" w:space="0" w:color="auto"/>
      </w:divBdr>
      <w:divsChild>
        <w:div w:id="1245992584">
          <w:marLeft w:val="0"/>
          <w:marRight w:val="0"/>
          <w:marTop w:val="0"/>
          <w:marBottom w:val="0"/>
          <w:divBdr>
            <w:top w:val="none" w:sz="0" w:space="0" w:color="auto"/>
            <w:left w:val="none" w:sz="0" w:space="0" w:color="auto"/>
            <w:bottom w:val="none" w:sz="0" w:space="0" w:color="auto"/>
            <w:right w:val="none" w:sz="0" w:space="0" w:color="auto"/>
          </w:divBdr>
          <w:divsChild>
            <w:div w:id="291257460">
              <w:marLeft w:val="0"/>
              <w:marRight w:val="0"/>
              <w:marTop w:val="0"/>
              <w:marBottom w:val="0"/>
              <w:divBdr>
                <w:top w:val="none" w:sz="0" w:space="0" w:color="auto"/>
                <w:left w:val="none" w:sz="0" w:space="0" w:color="auto"/>
                <w:bottom w:val="none" w:sz="0" w:space="0" w:color="auto"/>
                <w:right w:val="none" w:sz="0" w:space="0" w:color="auto"/>
              </w:divBdr>
              <w:divsChild>
                <w:div w:id="1511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6325767">
      <w:bodyDiv w:val="1"/>
      <w:marLeft w:val="0"/>
      <w:marRight w:val="0"/>
      <w:marTop w:val="0"/>
      <w:marBottom w:val="0"/>
      <w:divBdr>
        <w:top w:val="none" w:sz="0" w:space="0" w:color="auto"/>
        <w:left w:val="none" w:sz="0" w:space="0" w:color="auto"/>
        <w:bottom w:val="none" w:sz="0" w:space="0" w:color="auto"/>
        <w:right w:val="none" w:sz="0" w:space="0" w:color="auto"/>
      </w:divBdr>
    </w:div>
    <w:div w:id="932780710">
      <w:bodyDiv w:val="1"/>
      <w:marLeft w:val="0"/>
      <w:marRight w:val="0"/>
      <w:marTop w:val="0"/>
      <w:marBottom w:val="0"/>
      <w:divBdr>
        <w:top w:val="none" w:sz="0" w:space="0" w:color="auto"/>
        <w:left w:val="none" w:sz="0" w:space="0" w:color="auto"/>
        <w:bottom w:val="none" w:sz="0" w:space="0" w:color="auto"/>
        <w:right w:val="none" w:sz="0" w:space="0" w:color="auto"/>
      </w:divBdr>
    </w:div>
    <w:div w:id="957761508">
      <w:bodyDiv w:val="1"/>
      <w:marLeft w:val="0"/>
      <w:marRight w:val="0"/>
      <w:marTop w:val="0"/>
      <w:marBottom w:val="0"/>
      <w:divBdr>
        <w:top w:val="none" w:sz="0" w:space="0" w:color="auto"/>
        <w:left w:val="none" w:sz="0" w:space="0" w:color="auto"/>
        <w:bottom w:val="none" w:sz="0" w:space="0" w:color="auto"/>
        <w:right w:val="none" w:sz="0" w:space="0" w:color="auto"/>
      </w:divBdr>
    </w:div>
    <w:div w:id="1002397379">
      <w:bodyDiv w:val="1"/>
      <w:marLeft w:val="0"/>
      <w:marRight w:val="0"/>
      <w:marTop w:val="0"/>
      <w:marBottom w:val="0"/>
      <w:divBdr>
        <w:top w:val="none" w:sz="0" w:space="0" w:color="auto"/>
        <w:left w:val="none" w:sz="0" w:space="0" w:color="auto"/>
        <w:bottom w:val="none" w:sz="0" w:space="0" w:color="auto"/>
        <w:right w:val="none" w:sz="0" w:space="0" w:color="auto"/>
      </w:divBdr>
      <w:divsChild>
        <w:div w:id="1566792542">
          <w:marLeft w:val="0"/>
          <w:marRight w:val="0"/>
          <w:marTop w:val="0"/>
          <w:marBottom w:val="0"/>
          <w:divBdr>
            <w:top w:val="none" w:sz="0" w:space="0" w:color="auto"/>
            <w:left w:val="none" w:sz="0" w:space="0" w:color="auto"/>
            <w:bottom w:val="none" w:sz="0" w:space="0" w:color="auto"/>
            <w:right w:val="none" w:sz="0" w:space="0" w:color="auto"/>
          </w:divBdr>
          <w:divsChild>
            <w:div w:id="1900240605">
              <w:marLeft w:val="0"/>
              <w:marRight w:val="0"/>
              <w:marTop w:val="0"/>
              <w:marBottom w:val="0"/>
              <w:divBdr>
                <w:top w:val="none" w:sz="0" w:space="0" w:color="auto"/>
                <w:left w:val="none" w:sz="0" w:space="0" w:color="auto"/>
                <w:bottom w:val="none" w:sz="0" w:space="0" w:color="auto"/>
                <w:right w:val="none" w:sz="0" w:space="0" w:color="auto"/>
              </w:divBdr>
              <w:divsChild>
                <w:div w:id="1011224193">
                  <w:marLeft w:val="0"/>
                  <w:marRight w:val="0"/>
                  <w:marTop w:val="0"/>
                  <w:marBottom w:val="0"/>
                  <w:divBdr>
                    <w:top w:val="none" w:sz="0" w:space="0" w:color="auto"/>
                    <w:left w:val="none" w:sz="0" w:space="0" w:color="auto"/>
                    <w:bottom w:val="none" w:sz="0" w:space="0" w:color="auto"/>
                    <w:right w:val="none" w:sz="0" w:space="0" w:color="auto"/>
                  </w:divBdr>
                </w:div>
              </w:divsChild>
            </w:div>
            <w:div w:id="2040472810">
              <w:marLeft w:val="0"/>
              <w:marRight w:val="0"/>
              <w:marTop w:val="0"/>
              <w:marBottom w:val="0"/>
              <w:divBdr>
                <w:top w:val="none" w:sz="0" w:space="0" w:color="auto"/>
                <w:left w:val="none" w:sz="0" w:space="0" w:color="auto"/>
                <w:bottom w:val="none" w:sz="0" w:space="0" w:color="auto"/>
                <w:right w:val="none" w:sz="0" w:space="0" w:color="auto"/>
              </w:divBdr>
              <w:divsChild>
                <w:div w:id="71358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2779467">
      <w:bodyDiv w:val="1"/>
      <w:marLeft w:val="0"/>
      <w:marRight w:val="0"/>
      <w:marTop w:val="0"/>
      <w:marBottom w:val="0"/>
      <w:divBdr>
        <w:top w:val="none" w:sz="0" w:space="0" w:color="auto"/>
        <w:left w:val="none" w:sz="0" w:space="0" w:color="auto"/>
        <w:bottom w:val="none" w:sz="0" w:space="0" w:color="auto"/>
        <w:right w:val="none" w:sz="0" w:space="0" w:color="auto"/>
      </w:divBdr>
      <w:divsChild>
        <w:div w:id="1048336095">
          <w:marLeft w:val="0"/>
          <w:marRight w:val="0"/>
          <w:marTop w:val="0"/>
          <w:marBottom w:val="0"/>
          <w:divBdr>
            <w:top w:val="none" w:sz="0" w:space="0" w:color="auto"/>
            <w:left w:val="none" w:sz="0" w:space="0" w:color="auto"/>
            <w:bottom w:val="none" w:sz="0" w:space="0" w:color="auto"/>
            <w:right w:val="none" w:sz="0" w:space="0" w:color="auto"/>
          </w:divBdr>
          <w:divsChild>
            <w:div w:id="484704424">
              <w:marLeft w:val="0"/>
              <w:marRight w:val="0"/>
              <w:marTop w:val="0"/>
              <w:marBottom w:val="0"/>
              <w:divBdr>
                <w:top w:val="none" w:sz="0" w:space="0" w:color="auto"/>
                <w:left w:val="none" w:sz="0" w:space="0" w:color="auto"/>
                <w:bottom w:val="none" w:sz="0" w:space="0" w:color="auto"/>
                <w:right w:val="none" w:sz="0" w:space="0" w:color="auto"/>
              </w:divBdr>
              <w:divsChild>
                <w:div w:id="844512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495754">
      <w:bodyDiv w:val="1"/>
      <w:marLeft w:val="0"/>
      <w:marRight w:val="0"/>
      <w:marTop w:val="0"/>
      <w:marBottom w:val="0"/>
      <w:divBdr>
        <w:top w:val="none" w:sz="0" w:space="0" w:color="auto"/>
        <w:left w:val="none" w:sz="0" w:space="0" w:color="auto"/>
        <w:bottom w:val="none" w:sz="0" w:space="0" w:color="auto"/>
        <w:right w:val="none" w:sz="0" w:space="0" w:color="auto"/>
      </w:divBdr>
      <w:divsChild>
        <w:div w:id="992174058">
          <w:marLeft w:val="0"/>
          <w:marRight w:val="0"/>
          <w:marTop w:val="0"/>
          <w:marBottom w:val="0"/>
          <w:divBdr>
            <w:top w:val="none" w:sz="0" w:space="0" w:color="auto"/>
            <w:left w:val="none" w:sz="0" w:space="0" w:color="auto"/>
            <w:bottom w:val="none" w:sz="0" w:space="0" w:color="auto"/>
            <w:right w:val="none" w:sz="0" w:space="0" w:color="auto"/>
          </w:divBdr>
          <w:divsChild>
            <w:div w:id="2436374">
              <w:marLeft w:val="0"/>
              <w:marRight w:val="0"/>
              <w:marTop w:val="0"/>
              <w:marBottom w:val="0"/>
              <w:divBdr>
                <w:top w:val="none" w:sz="0" w:space="0" w:color="auto"/>
                <w:left w:val="none" w:sz="0" w:space="0" w:color="auto"/>
                <w:bottom w:val="none" w:sz="0" w:space="0" w:color="auto"/>
                <w:right w:val="none" w:sz="0" w:space="0" w:color="auto"/>
              </w:divBdr>
              <w:divsChild>
                <w:div w:id="55902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822351">
      <w:bodyDiv w:val="1"/>
      <w:marLeft w:val="0"/>
      <w:marRight w:val="0"/>
      <w:marTop w:val="0"/>
      <w:marBottom w:val="0"/>
      <w:divBdr>
        <w:top w:val="none" w:sz="0" w:space="0" w:color="auto"/>
        <w:left w:val="none" w:sz="0" w:space="0" w:color="auto"/>
        <w:bottom w:val="none" w:sz="0" w:space="0" w:color="auto"/>
        <w:right w:val="none" w:sz="0" w:space="0" w:color="auto"/>
      </w:divBdr>
    </w:div>
    <w:div w:id="1060860762">
      <w:bodyDiv w:val="1"/>
      <w:marLeft w:val="0"/>
      <w:marRight w:val="0"/>
      <w:marTop w:val="0"/>
      <w:marBottom w:val="0"/>
      <w:divBdr>
        <w:top w:val="none" w:sz="0" w:space="0" w:color="auto"/>
        <w:left w:val="none" w:sz="0" w:space="0" w:color="auto"/>
        <w:bottom w:val="none" w:sz="0" w:space="0" w:color="auto"/>
        <w:right w:val="none" w:sz="0" w:space="0" w:color="auto"/>
      </w:divBdr>
    </w:div>
    <w:div w:id="1068528555">
      <w:bodyDiv w:val="1"/>
      <w:marLeft w:val="0"/>
      <w:marRight w:val="0"/>
      <w:marTop w:val="0"/>
      <w:marBottom w:val="0"/>
      <w:divBdr>
        <w:top w:val="none" w:sz="0" w:space="0" w:color="auto"/>
        <w:left w:val="none" w:sz="0" w:space="0" w:color="auto"/>
        <w:bottom w:val="none" w:sz="0" w:space="0" w:color="auto"/>
        <w:right w:val="none" w:sz="0" w:space="0" w:color="auto"/>
      </w:divBdr>
      <w:divsChild>
        <w:div w:id="1197277282">
          <w:marLeft w:val="0"/>
          <w:marRight w:val="0"/>
          <w:marTop w:val="0"/>
          <w:marBottom w:val="0"/>
          <w:divBdr>
            <w:top w:val="none" w:sz="0" w:space="0" w:color="auto"/>
            <w:left w:val="none" w:sz="0" w:space="0" w:color="auto"/>
            <w:bottom w:val="none" w:sz="0" w:space="0" w:color="auto"/>
            <w:right w:val="none" w:sz="0" w:space="0" w:color="auto"/>
          </w:divBdr>
          <w:divsChild>
            <w:div w:id="181895035">
              <w:marLeft w:val="0"/>
              <w:marRight w:val="0"/>
              <w:marTop w:val="0"/>
              <w:marBottom w:val="0"/>
              <w:divBdr>
                <w:top w:val="none" w:sz="0" w:space="0" w:color="auto"/>
                <w:left w:val="none" w:sz="0" w:space="0" w:color="auto"/>
                <w:bottom w:val="none" w:sz="0" w:space="0" w:color="auto"/>
                <w:right w:val="none" w:sz="0" w:space="0" w:color="auto"/>
              </w:divBdr>
              <w:divsChild>
                <w:div w:id="185410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263632">
      <w:bodyDiv w:val="1"/>
      <w:marLeft w:val="0"/>
      <w:marRight w:val="0"/>
      <w:marTop w:val="0"/>
      <w:marBottom w:val="0"/>
      <w:divBdr>
        <w:top w:val="none" w:sz="0" w:space="0" w:color="auto"/>
        <w:left w:val="none" w:sz="0" w:space="0" w:color="auto"/>
        <w:bottom w:val="none" w:sz="0" w:space="0" w:color="auto"/>
        <w:right w:val="none" w:sz="0" w:space="0" w:color="auto"/>
      </w:divBdr>
    </w:div>
    <w:div w:id="1117603305">
      <w:bodyDiv w:val="1"/>
      <w:marLeft w:val="0"/>
      <w:marRight w:val="0"/>
      <w:marTop w:val="0"/>
      <w:marBottom w:val="0"/>
      <w:divBdr>
        <w:top w:val="none" w:sz="0" w:space="0" w:color="auto"/>
        <w:left w:val="none" w:sz="0" w:space="0" w:color="auto"/>
        <w:bottom w:val="none" w:sz="0" w:space="0" w:color="auto"/>
        <w:right w:val="none" w:sz="0" w:space="0" w:color="auto"/>
      </w:divBdr>
    </w:div>
    <w:div w:id="1130785601">
      <w:bodyDiv w:val="1"/>
      <w:marLeft w:val="0"/>
      <w:marRight w:val="0"/>
      <w:marTop w:val="0"/>
      <w:marBottom w:val="0"/>
      <w:divBdr>
        <w:top w:val="none" w:sz="0" w:space="0" w:color="auto"/>
        <w:left w:val="none" w:sz="0" w:space="0" w:color="auto"/>
        <w:bottom w:val="none" w:sz="0" w:space="0" w:color="auto"/>
        <w:right w:val="none" w:sz="0" w:space="0" w:color="auto"/>
      </w:divBdr>
      <w:divsChild>
        <w:div w:id="494297844">
          <w:marLeft w:val="0"/>
          <w:marRight w:val="0"/>
          <w:marTop w:val="0"/>
          <w:marBottom w:val="0"/>
          <w:divBdr>
            <w:top w:val="none" w:sz="0" w:space="0" w:color="auto"/>
            <w:left w:val="none" w:sz="0" w:space="0" w:color="auto"/>
            <w:bottom w:val="none" w:sz="0" w:space="0" w:color="auto"/>
            <w:right w:val="none" w:sz="0" w:space="0" w:color="auto"/>
          </w:divBdr>
          <w:divsChild>
            <w:div w:id="35812351">
              <w:marLeft w:val="0"/>
              <w:marRight w:val="0"/>
              <w:marTop w:val="0"/>
              <w:marBottom w:val="0"/>
              <w:divBdr>
                <w:top w:val="none" w:sz="0" w:space="0" w:color="auto"/>
                <w:left w:val="none" w:sz="0" w:space="0" w:color="auto"/>
                <w:bottom w:val="none" w:sz="0" w:space="0" w:color="auto"/>
                <w:right w:val="none" w:sz="0" w:space="0" w:color="auto"/>
              </w:divBdr>
              <w:divsChild>
                <w:div w:id="101229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179138">
      <w:bodyDiv w:val="1"/>
      <w:marLeft w:val="0"/>
      <w:marRight w:val="0"/>
      <w:marTop w:val="0"/>
      <w:marBottom w:val="0"/>
      <w:divBdr>
        <w:top w:val="none" w:sz="0" w:space="0" w:color="auto"/>
        <w:left w:val="none" w:sz="0" w:space="0" w:color="auto"/>
        <w:bottom w:val="none" w:sz="0" w:space="0" w:color="auto"/>
        <w:right w:val="none" w:sz="0" w:space="0" w:color="auto"/>
      </w:divBdr>
    </w:div>
    <w:div w:id="1155805647">
      <w:bodyDiv w:val="1"/>
      <w:marLeft w:val="0"/>
      <w:marRight w:val="0"/>
      <w:marTop w:val="0"/>
      <w:marBottom w:val="0"/>
      <w:divBdr>
        <w:top w:val="none" w:sz="0" w:space="0" w:color="auto"/>
        <w:left w:val="none" w:sz="0" w:space="0" w:color="auto"/>
        <w:bottom w:val="none" w:sz="0" w:space="0" w:color="auto"/>
        <w:right w:val="none" w:sz="0" w:space="0" w:color="auto"/>
      </w:divBdr>
    </w:div>
    <w:div w:id="1196040675">
      <w:bodyDiv w:val="1"/>
      <w:marLeft w:val="0"/>
      <w:marRight w:val="0"/>
      <w:marTop w:val="0"/>
      <w:marBottom w:val="0"/>
      <w:divBdr>
        <w:top w:val="none" w:sz="0" w:space="0" w:color="auto"/>
        <w:left w:val="none" w:sz="0" w:space="0" w:color="auto"/>
        <w:bottom w:val="none" w:sz="0" w:space="0" w:color="auto"/>
        <w:right w:val="none" w:sz="0" w:space="0" w:color="auto"/>
      </w:divBdr>
      <w:divsChild>
        <w:div w:id="40323983">
          <w:marLeft w:val="0"/>
          <w:marRight w:val="0"/>
          <w:marTop w:val="0"/>
          <w:marBottom w:val="0"/>
          <w:divBdr>
            <w:top w:val="none" w:sz="0" w:space="0" w:color="auto"/>
            <w:left w:val="none" w:sz="0" w:space="0" w:color="auto"/>
            <w:bottom w:val="none" w:sz="0" w:space="0" w:color="auto"/>
            <w:right w:val="none" w:sz="0" w:space="0" w:color="auto"/>
          </w:divBdr>
          <w:divsChild>
            <w:div w:id="344552266">
              <w:marLeft w:val="0"/>
              <w:marRight w:val="0"/>
              <w:marTop w:val="0"/>
              <w:marBottom w:val="0"/>
              <w:divBdr>
                <w:top w:val="none" w:sz="0" w:space="0" w:color="auto"/>
                <w:left w:val="none" w:sz="0" w:space="0" w:color="auto"/>
                <w:bottom w:val="none" w:sz="0" w:space="0" w:color="auto"/>
                <w:right w:val="none" w:sz="0" w:space="0" w:color="auto"/>
              </w:divBdr>
              <w:divsChild>
                <w:div w:id="131433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120606">
      <w:bodyDiv w:val="1"/>
      <w:marLeft w:val="0"/>
      <w:marRight w:val="0"/>
      <w:marTop w:val="0"/>
      <w:marBottom w:val="0"/>
      <w:divBdr>
        <w:top w:val="none" w:sz="0" w:space="0" w:color="auto"/>
        <w:left w:val="none" w:sz="0" w:space="0" w:color="auto"/>
        <w:bottom w:val="none" w:sz="0" w:space="0" w:color="auto"/>
        <w:right w:val="none" w:sz="0" w:space="0" w:color="auto"/>
      </w:divBdr>
      <w:divsChild>
        <w:div w:id="1294406879">
          <w:marLeft w:val="0"/>
          <w:marRight w:val="0"/>
          <w:marTop w:val="0"/>
          <w:marBottom w:val="0"/>
          <w:divBdr>
            <w:top w:val="none" w:sz="0" w:space="0" w:color="auto"/>
            <w:left w:val="none" w:sz="0" w:space="0" w:color="auto"/>
            <w:bottom w:val="none" w:sz="0" w:space="0" w:color="auto"/>
            <w:right w:val="none" w:sz="0" w:space="0" w:color="auto"/>
          </w:divBdr>
          <w:divsChild>
            <w:div w:id="242880448">
              <w:marLeft w:val="0"/>
              <w:marRight w:val="0"/>
              <w:marTop w:val="0"/>
              <w:marBottom w:val="0"/>
              <w:divBdr>
                <w:top w:val="none" w:sz="0" w:space="0" w:color="auto"/>
                <w:left w:val="none" w:sz="0" w:space="0" w:color="auto"/>
                <w:bottom w:val="none" w:sz="0" w:space="0" w:color="auto"/>
                <w:right w:val="none" w:sz="0" w:space="0" w:color="auto"/>
              </w:divBdr>
              <w:divsChild>
                <w:div w:id="119426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312405">
      <w:bodyDiv w:val="1"/>
      <w:marLeft w:val="0"/>
      <w:marRight w:val="0"/>
      <w:marTop w:val="0"/>
      <w:marBottom w:val="0"/>
      <w:divBdr>
        <w:top w:val="none" w:sz="0" w:space="0" w:color="auto"/>
        <w:left w:val="none" w:sz="0" w:space="0" w:color="auto"/>
        <w:bottom w:val="none" w:sz="0" w:space="0" w:color="auto"/>
        <w:right w:val="none" w:sz="0" w:space="0" w:color="auto"/>
      </w:divBdr>
    </w:div>
    <w:div w:id="1220828460">
      <w:bodyDiv w:val="1"/>
      <w:marLeft w:val="0"/>
      <w:marRight w:val="0"/>
      <w:marTop w:val="0"/>
      <w:marBottom w:val="0"/>
      <w:divBdr>
        <w:top w:val="none" w:sz="0" w:space="0" w:color="auto"/>
        <w:left w:val="none" w:sz="0" w:space="0" w:color="auto"/>
        <w:bottom w:val="none" w:sz="0" w:space="0" w:color="auto"/>
        <w:right w:val="none" w:sz="0" w:space="0" w:color="auto"/>
      </w:divBdr>
      <w:divsChild>
        <w:div w:id="497310344">
          <w:marLeft w:val="0"/>
          <w:marRight w:val="0"/>
          <w:marTop w:val="0"/>
          <w:marBottom w:val="0"/>
          <w:divBdr>
            <w:top w:val="none" w:sz="0" w:space="0" w:color="auto"/>
            <w:left w:val="none" w:sz="0" w:space="0" w:color="auto"/>
            <w:bottom w:val="none" w:sz="0" w:space="0" w:color="auto"/>
            <w:right w:val="none" w:sz="0" w:space="0" w:color="auto"/>
          </w:divBdr>
          <w:divsChild>
            <w:div w:id="152720864">
              <w:marLeft w:val="0"/>
              <w:marRight w:val="0"/>
              <w:marTop w:val="0"/>
              <w:marBottom w:val="0"/>
              <w:divBdr>
                <w:top w:val="none" w:sz="0" w:space="0" w:color="auto"/>
                <w:left w:val="none" w:sz="0" w:space="0" w:color="auto"/>
                <w:bottom w:val="none" w:sz="0" w:space="0" w:color="auto"/>
                <w:right w:val="none" w:sz="0" w:space="0" w:color="auto"/>
              </w:divBdr>
              <w:divsChild>
                <w:div w:id="201930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8417568">
      <w:bodyDiv w:val="1"/>
      <w:marLeft w:val="0"/>
      <w:marRight w:val="0"/>
      <w:marTop w:val="0"/>
      <w:marBottom w:val="0"/>
      <w:divBdr>
        <w:top w:val="none" w:sz="0" w:space="0" w:color="auto"/>
        <w:left w:val="none" w:sz="0" w:space="0" w:color="auto"/>
        <w:bottom w:val="none" w:sz="0" w:space="0" w:color="auto"/>
        <w:right w:val="none" w:sz="0" w:space="0" w:color="auto"/>
      </w:divBdr>
      <w:divsChild>
        <w:div w:id="440106778">
          <w:marLeft w:val="0"/>
          <w:marRight w:val="0"/>
          <w:marTop w:val="0"/>
          <w:marBottom w:val="0"/>
          <w:divBdr>
            <w:top w:val="none" w:sz="0" w:space="0" w:color="auto"/>
            <w:left w:val="none" w:sz="0" w:space="0" w:color="auto"/>
            <w:bottom w:val="none" w:sz="0" w:space="0" w:color="auto"/>
            <w:right w:val="none" w:sz="0" w:space="0" w:color="auto"/>
          </w:divBdr>
          <w:divsChild>
            <w:div w:id="1508641286">
              <w:marLeft w:val="0"/>
              <w:marRight w:val="0"/>
              <w:marTop w:val="0"/>
              <w:marBottom w:val="0"/>
              <w:divBdr>
                <w:top w:val="none" w:sz="0" w:space="0" w:color="auto"/>
                <w:left w:val="none" w:sz="0" w:space="0" w:color="auto"/>
                <w:bottom w:val="none" w:sz="0" w:space="0" w:color="auto"/>
                <w:right w:val="none" w:sz="0" w:space="0" w:color="auto"/>
              </w:divBdr>
              <w:divsChild>
                <w:div w:id="19493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262883">
      <w:bodyDiv w:val="1"/>
      <w:marLeft w:val="0"/>
      <w:marRight w:val="0"/>
      <w:marTop w:val="0"/>
      <w:marBottom w:val="0"/>
      <w:divBdr>
        <w:top w:val="none" w:sz="0" w:space="0" w:color="auto"/>
        <w:left w:val="none" w:sz="0" w:space="0" w:color="auto"/>
        <w:bottom w:val="none" w:sz="0" w:space="0" w:color="auto"/>
        <w:right w:val="none" w:sz="0" w:space="0" w:color="auto"/>
      </w:divBdr>
    </w:div>
    <w:div w:id="1255477226">
      <w:bodyDiv w:val="1"/>
      <w:marLeft w:val="0"/>
      <w:marRight w:val="0"/>
      <w:marTop w:val="0"/>
      <w:marBottom w:val="0"/>
      <w:divBdr>
        <w:top w:val="none" w:sz="0" w:space="0" w:color="auto"/>
        <w:left w:val="none" w:sz="0" w:space="0" w:color="auto"/>
        <w:bottom w:val="none" w:sz="0" w:space="0" w:color="auto"/>
        <w:right w:val="none" w:sz="0" w:space="0" w:color="auto"/>
      </w:divBdr>
    </w:div>
    <w:div w:id="1298994287">
      <w:bodyDiv w:val="1"/>
      <w:marLeft w:val="0"/>
      <w:marRight w:val="0"/>
      <w:marTop w:val="0"/>
      <w:marBottom w:val="0"/>
      <w:divBdr>
        <w:top w:val="none" w:sz="0" w:space="0" w:color="auto"/>
        <w:left w:val="none" w:sz="0" w:space="0" w:color="auto"/>
        <w:bottom w:val="none" w:sz="0" w:space="0" w:color="auto"/>
        <w:right w:val="none" w:sz="0" w:space="0" w:color="auto"/>
      </w:divBdr>
    </w:div>
    <w:div w:id="1306858840">
      <w:bodyDiv w:val="1"/>
      <w:marLeft w:val="0"/>
      <w:marRight w:val="0"/>
      <w:marTop w:val="0"/>
      <w:marBottom w:val="0"/>
      <w:divBdr>
        <w:top w:val="none" w:sz="0" w:space="0" w:color="auto"/>
        <w:left w:val="none" w:sz="0" w:space="0" w:color="auto"/>
        <w:bottom w:val="none" w:sz="0" w:space="0" w:color="auto"/>
        <w:right w:val="none" w:sz="0" w:space="0" w:color="auto"/>
      </w:divBdr>
    </w:div>
    <w:div w:id="1327244435">
      <w:bodyDiv w:val="1"/>
      <w:marLeft w:val="0"/>
      <w:marRight w:val="0"/>
      <w:marTop w:val="0"/>
      <w:marBottom w:val="0"/>
      <w:divBdr>
        <w:top w:val="none" w:sz="0" w:space="0" w:color="auto"/>
        <w:left w:val="none" w:sz="0" w:space="0" w:color="auto"/>
        <w:bottom w:val="none" w:sz="0" w:space="0" w:color="auto"/>
        <w:right w:val="none" w:sz="0" w:space="0" w:color="auto"/>
      </w:divBdr>
      <w:divsChild>
        <w:div w:id="1463764018">
          <w:marLeft w:val="0"/>
          <w:marRight w:val="0"/>
          <w:marTop w:val="0"/>
          <w:marBottom w:val="0"/>
          <w:divBdr>
            <w:top w:val="none" w:sz="0" w:space="0" w:color="auto"/>
            <w:left w:val="none" w:sz="0" w:space="0" w:color="auto"/>
            <w:bottom w:val="none" w:sz="0" w:space="0" w:color="auto"/>
            <w:right w:val="none" w:sz="0" w:space="0" w:color="auto"/>
          </w:divBdr>
          <w:divsChild>
            <w:div w:id="1601260658">
              <w:marLeft w:val="0"/>
              <w:marRight w:val="0"/>
              <w:marTop w:val="0"/>
              <w:marBottom w:val="0"/>
              <w:divBdr>
                <w:top w:val="none" w:sz="0" w:space="0" w:color="auto"/>
                <w:left w:val="none" w:sz="0" w:space="0" w:color="auto"/>
                <w:bottom w:val="none" w:sz="0" w:space="0" w:color="auto"/>
                <w:right w:val="none" w:sz="0" w:space="0" w:color="auto"/>
              </w:divBdr>
              <w:divsChild>
                <w:div w:id="1013188884">
                  <w:marLeft w:val="0"/>
                  <w:marRight w:val="0"/>
                  <w:marTop w:val="0"/>
                  <w:marBottom w:val="0"/>
                  <w:divBdr>
                    <w:top w:val="none" w:sz="0" w:space="0" w:color="auto"/>
                    <w:left w:val="none" w:sz="0" w:space="0" w:color="auto"/>
                    <w:bottom w:val="none" w:sz="0" w:space="0" w:color="auto"/>
                    <w:right w:val="none" w:sz="0" w:space="0" w:color="auto"/>
                  </w:divBdr>
                  <w:divsChild>
                    <w:div w:id="2042128633">
                      <w:marLeft w:val="0"/>
                      <w:marRight w:val="0"/>
                      <w:marTop w:val="0"/>
                      <w:marBottom w:val="0"/>
                      <w:divBdr>
                        <w:top w:val="none" w:sz="0" w:space="0" w:color="auto"/>
                        <w:left w:val="none" w:sz="0" w:space="0" w:color="auto"/>
                        <w:bottom w:val="none" w:sz="0" w:space="0" w:color="auto"/>
                        <w:right w:val="none" w:sz="0" w:space="0" w:color="auto"/>
                      </w:divBdr>
                    </w:div>
                  </w:divsChild>
                </w:div>
                <w:div w:id="1569151223">
                  <w:marLeft w:val="0"/>
                  <w:marRight w:val="0"/>
                  <w:marTop w:val="0"/>
                  <w:marBottom w:val="0"/>
                  <w:divBdr>
                    <w:top w:val="none" w:sz="0" w:space="0" w:color="auto"/>
                    <w:left w:val="none" w:sz="0" w:space="0" w:color="auto"/>
                    <w:bottom w:val="none" w:sz="0" w:space="0" w:color="auto"/>
                    <w:right w:val="none" w:sz="0" w:space="0" w:color="auto"/>
                  </w:divBdr>
                  <w:divsChild>
                    <w:div w:id="908659718">
                      <w:marLeft w:val="0"/>
                      <w:marRight w:val="0"/>
                      <w:marTop w:val="0"/>
                      <w:marBottom w:val="0"/>
                      <w:divBdr>
                        <w:top w:val="none" w:sz="0" w:space="0" w:color="auto"/>
                        <w:left w:val="none" w:sz="0" w:space="0" w:color="auto"/>
                        <w:bottom w:val="none" w:sz="0" w:space="0" w:color="auto"/>
                        <w:right w:val="none" w:sz="0" w:space="0" w:color="auto"/>
                      </w:divBdr>
                    </w:div>
                  </w:divsChild>
                </w:div>
                <w:div w:id="1630555109">
                  <w:marLeft w:val="0"/>
                  <w:marRight w:val="0"/>
                  <w:marTop w:val="0"/>
                  <w:marBottom w:val="0"/>
                  <w:divBdr>
                    <w:top w:val="none" w:sz="0" w:space="0" w:color="auto"/>
                    <w:left w:val="none" w:sz="0" w:space="0" w:color="auto"/>
                    <w:bottom w:val="none" w:sz="0" w:space="0" w:color="auto"/>
                    <w:right w:val="none" w:sz="0" w:space="0" w:color="auto"/>
                  </w:divBdr>
                  <w:divsChild>
                    <w:div w:id="1692294990">
                      <w:marLeft w:val="0"/>
                      <w:marRight w:val="0"/>
                      <w:marTop w:val="0"/>
                      <w:marBottom w:val="0"/>
                      <w:divBdr>
                        <w:top w:val="none" w:sz="0" w:space="0" w:color="auto"/>
                        <w:left w:val="none" w:sz="0" w:space="0" w:color="auto"/>
                        <w:bottom w:val="none" w:sz="0" w:space="0" w:color="auto"/>
                        <w:right w:val="none" w:sz="0" w:space="0" w:color="auto"/>
                      </w:divBdr>
                    </w:div>
                  </w:divsChild>
                </w:div>
                <w:div w:id="1936864833">
                  <w:marLeft w:val="0"/>
                  <w:marRight w:val="0"/>
                  <w:marTop w:val="0"/>
                  <w:marBottom w:val="0"/>
                  <w:divBdr>
                    <w:top w:val="none" w:sz="0" w:space="0" w:color="auto"/>
                    <w:left w:val="none" w:sz="0" w:space="0" w:color="auto"/>
                    <w:bottom w:val="none" w:sz="0" w:space="0" w:color="auto"/>
                    <w:right w:val="none" w:sz="0" w:space="0" w:color="auto"/>
                  </w:divBdr>
                  <w:divsChild>
                    <w:div w:id="516390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176878">
      <w:bodyDiv w:val="1"/>
      <w:marLeft w:val="0"/>
      <w:marRight w:val="0"/>
      <w:marTop w:val="0"/>
      <w:marBottom w:val="0"/>
      <w:divBdr>
        <w:top w:val="none" w:sz="0" w:space="0" w:color="auto"/>
        <w:left w:val="none" w:sz="0" w:space="0" w:color="auto"/>
        <w:bottom w:val="none" w:sz="0" w:space="0" w:color="auto"/>
        <w:right w:val="none" w:sz="0" w:space="0" w:color="auto"/>
      </w:divBdr>
    </w:div>
    <w:div w:id="1342470127">
      <w:bodyDiv w:val="1"/>
      <w:marLeft w:val="0"/>
      <w:marRight w:val="0"/>
      <w:marTop w:val="0"/>
      <w:marBottom w:val="0"/>
      <w:divBdr>
        <w:top w:val="none" w:sz="0" w:space="0" w:color="auto"/>
        <w:left w:val="none" w:sz="0" w:space="0" w:color="auto"/>
        <w:bottom w:val="none" w:sz="0" w:space="0" w:color="auto"/>
        <w:right w:val="none" w:sz="0" w:space="0" w:color="auto"/>
      </w:divBdr>
      <w:divsChild>
        <w:div w:id="1759714501">
          <w:marLeft w:val="0"/>
          <w:marRight w:val="0"/>
          <w:marTop w:val="0"/>
          <w:marBottom w:val="0"/>
          <w:divBdr>
            <w:top w:val="none" w:sz="0" w:space="0" w:color="auto"/>
            <w:left w:val="none" w:sz="0" w:space="0" w:color="auto"/>
            <w:bottom w:val="none" w:sz="0" w:space="0" w:color="auto"/>
            <w:right w:val="none" w:sz="0" w:space="0" w:color="auto"/>
          </w:divBdr>
          <w:divsChild>
            <w:div w:id="1190145503">
              <w:marLeft w:val="0"/>
              <w:marRight w:val="0"/>
              <w:marTop w:val="0"/>
              <w:marBottom w:val="0"/>
              <w:divBdr>
                <w:top w:val="none" w:sz="0" w:space="0" w:color="auto"/>
                <w:left w:val="none" w:sz="0" w:space="0" w:color="auto"/>
                <w:bottom w:val="none" w:sz="0" w:space="0" w:color="auto"/>
                <w:right w:val="none" w:sz="0" w:space="0" w:color="auto"/>
              </w:divBdr>
              <w:divsChild>
                <w:div w:id="7425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4112203">
      <w:bodyDiv w:val="1"/>
      <w:marLeft w:val="0"/>
      <w:marRight w:val="0"/>
      <w:marTop w:val="0"/>
      <w:marBottom w:val="0"/>
      <w:divBdr>
        <w:top w:val="none" w:sz="0" w:space="0" w:color="auto"/>
        <w:left w:val="none" w:sz="0" w:space="0" w:color="auto"/>
        <w:bottom w:val="none" w:sz="0" w:space="0" w:color="auto"/>
        <w:right w:val="none" w:sz="0" w:space="0" w:color="auto"/>
      </w:divBdr>
    </w:div>
    <w:div w:id="1356737733">
      <w:bodyDiv w:val="1"/>
      <w:marLeft w:val="0"/>
      <w:marRight w:val="0"/>
      <w:marTop w:val="0"/>
      <w:marBottom w:val="0"/>
      <w:divBdr>
        <w:top w:val="none" w:sz="0" w:space="0" w:color="auto"/>
        <w:left w:val="none" w:sz="0" w:space="0" w:color="auto"/>
        <w:bottom w:val="none" w:sz="0" w:space="0" w:color="auto"/>
        <w:right w:val="none" w:sz="0" w:space="0" w:color="auto"/>
      </w:divBdr>
    </w:div>
    <w:div w:id="1357385488">
      <w:bodyDiv w:val="1"/>
      <w:marLeft w:val="0"/>
      <w:marRight w:val="0"/>
      <w:marTop w:val="0"/>
      <w:marBottom w:val="0"/>
      <w:divBdr>
        <w:top w:val="none" w:sz="0" w:space="0" w:color="auto"/>
        <w:left w:val="none" w:sz="0" w:space="0" w:color="auto"/>
        <w:bottom w:val="none" w:sz="0" w:space="0" w:color="auto"/>
        <w:right w:val="none" w:sz="0" w:space="0" w:color="auto"/>
      </w:divBdr>
    </w:div>
    <w:div w:id="1359618580">
      <w:bodyDiv w:val="1"/>
      <w:marLeft w:val="0"/>
      <w:marRight w:val="0"/>
      <w:marTop w:val="0"/>
      <w:marBottom w:val="0"/>
      <w:divBdr>
        <w:top w:val="none" w:sz="0" w:space="0" w:color="auto"/>
        <w:left w:val="none" w:sz="0" w:space="0" w:color="auto"/>
        <w:bottom w:val="none" w:sz="0" w:space="0" w:color="auto"/>
        <w:right w:val="none" w:sz="0" w:space="0" w:color="auto"/>
      </w:divBdr>
      <w:divsChild>
        <w:div w:id="1210916671">
          <w:marLeft w:val="0"/>
          <w:marRight w:val="0"/>
          <w:marTop w:val="0"/>
          <w:marBottom w:val="0"/>
          <w:divBdr>
            <w:top w:val="none" w:sz="0" w:space="0" w:color="auto"/>
            <w:left w:val="none" w:sz="0" w:space="0" w:color="auto"/>
            <w:bottom w:val="none" w:sz="0" w:space="0" w:color="auto"/>
            <w:right w:val="none" w:sz="0" w:space="0" w:color="auto"/>
          </w:divBdr>
          <w:divsChild>
            <w:div w:id="1467163279">
              <w:marLeft w:val="0"/>
              <w:marRight w:val="0"/>
              <w:marTop w:val="0"/>
              <w:marBottom w:val="0"/>
              <w:divBdr>
                <w:top w:val="none" w:sz="0" w:space="0" w:color="auto"/>
                <w:left w:val="none" w:sz="0" w:space="0" w:color="auto"/>
                <w:bottom w:val="none" w:sz="0" w:space="0" w:color="auto"/>
                <w:right w:val="none" w:sz="0" w:space="0" w:color="auto"/>
              </w:divBdr>
              <w:divsChild>
                <w:div w:id="72425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705680">
      <w:bodyDiv w:val="1"/>
      <w:marLeft w:val="0"/>
      <w:marRight w:val="0"/>
      <w:marTop w:val="0"/>
      <w:marBottom w:val="0"/>
      <w:divBdr>
        <w:top w:val="none" w:sz="0" w:space="0" w:color="auto"/>
        <w:left w:val="none" w:sz="0" w:space="0" w:color="auto"/>
        <w:bottom w:val="none" w:sz="0" w:space="0" w:color="auto"/>
        <w:right w:val="none" w:sz="0" w:space="0" w:color="auto"/>
      </w:divBdr>
    </w:div>
    <w:div w:id="1453816902">
      <w:bodyDiv w:val="1"/>
      <w:marLeft w:val="0"/>
      <w:marRight w:val="0"/>
      <w:marTop w:val="0"/>
      <w:marBottom w:val="0"/>
      <w:divBdr>
        <w:top w:val="none" w:sz="0" w:space="0" w:color="auto"/>
        <w:left w:val="none" w:sz="0" w:space="0" w:color="auto"/>
        <w:bottom w:val="none" w:sz="0" w:space="0" w:color="auto"/>
        <w:right w:val="none" w:sz="0" w:space="0" w:color="auto"/>
      </w:divBdr>
      <w:divsChild>
        <w:div w:id="818426862">
          <w:marLeft w:val="0"/>
          <w:marRight w:val="0"/>
          <w:marTop w:val="0"/>
          <w:marBottom w:val="0"/>
          <w:divBdr>
            <w:top w:val="none" w:sz="0" w:space="0" w:color="auto"/>
            <w:left w:val="none" w:sz="0" w:space="0" w:color="auto"/>
            <w:bottom w:val="none" w:sz="0" w:space="0" w:color="auto"/>
            <w:right w:val="none" w:sz="0" w:space="0" w:color="auto"/>
          </w:divBdr>
          <w:divsChild>
            <w:div w:id="1569876400">
              <w:marLeft w:val="0"/>
              <w:marRight w:val="0"/>
              <w:marTop w:val="0"/>
              <w:marBottom w:val="0"/>
              <w:divBdr>
                <w:top w:val="none" w:sz="0" w:space="0" w:color="auto"/>
                <w:left w:val="none" w:sz="0" w:space="0" w:color="auto"/>
                <w:bottom w:val="none" w:sz="0" w:space="0" w:color="auto"/>
                <w:right w:val="none" w:sz="0" w:space="0" w:color="auto"/>
              </w:divBdr>
              <w:divsChild>
                <w:div w:id="1275212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065238">
      <w:bodyDiv w:val="1"/>
      <w:marLeft w:val="0"/>
      <w:marRight w:val="0"/>
      <w:marTop w:val="0"/>
      <w:marBottom w:val="0"/>
      <w:divBdr>
        <w:top w:val="none" w:sz="0" w:space="0" w:color="auto"/>
        <w:left w:val="none" w:sz="0" w:space="0" w:color="auto"/>
        <w:bottom w:val="none" w:sz="0" w:space="0" w:color="auto"/>
        <w:right w:val="none" w:sz="0" w:space="0" w:color="auto"/>
      </w:divBdr>
      <w:divsChild>
        <w:div w:id="1313564181">
          <w:marLeft w:val="0"/>
          <w:marRight w:val="0"/>
          <w:marTop w:val="0"/>
          <w:marBottom w:val="0"/>
          <w:divBdr>
            <w:top w:val="none" w:sz="0" w:space="0" w:color="auto"/>
            <w:left w:val="none" w:sz="0" w:space="0" w:color="auto"/>
            <w:bottom w:val="none" w:sz="0" w:space="0" w:color="auto"/>
            <w:right w:val="none" w:sz="0" w:space="0" w:color="auto"/>
          </w:divBdr>
          <w:divsChild>
            <w:div w:id="637034545">
              <w:marLeft w:val="0"/>
              <w:marRight w:val="0"/>
              <w:marTop w:val="0"/>
              <w:marBottom w:val="0"/>
              <w:divBdr>
                <w:top w:val="none" w:sz="0" w:space="0" w:color="auto"/>
                <w:left w:val="none" w:sz="0" w:space="0" w:color="auto"/>
                <w:bottom w:val="none" w:sz="0" w:space="0" w:color="auto"/>
                <w:right w:val="none" w:sz="0" w:space="0" w:color="auto"/>
              </w:divBdr>
              <w:divsChild>
                <w:div w:id="85846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457231">
      <w:bodyDiv w:val="1"/>
      <w:marLeft w:val="0"/>
      <w:marRight w:val="0"/>
      <w:marTop w:val="0"/>
      <w:marBottom w:val="0"/>
      <w:divBdr>
        <w:top w:val="none" w:sz="0" w:space="0" w:color="auto"/>
        <w:left w:val="none" w:sz="0" w:space="0" w:color="auto"/>
        <w:bottom w:val="none" w:sz="0" w:space="0" w:color="auto"/>
        <w:right w:val="none" w:sz="0" w:space="0" w:color="auto"/>
      </w:divBdr>
    </w:div>
    <w:div w:id="1514878504">
      <w:bodyDiv w:val="1"/>
      <w:marLeft w:val="0"/>
      <w:marRight w:val="0"/>
      <w:marTop w:val="0"/>
      <w:marBottom w:val="0"/>
      <w:divBdr>
        <w:top w:val="none" w:sz="0" w:space="0" w:color="auto"/>
        <w:left w:val="none" w:sz="0" w:space="0" w:color="auto"/>
        <w:bottom w:val="none" w:sz="0" w:space="0" w:color="auto"/>
        <w:right w:val="none" w:sz="0" w:space="0" w:color="auto"/>
      </w:divBdr>
      <w:divsChild>
        <w:div w:id="1625766181">
          <w:marLeft w:val="0"/>
          <w:marRight w:val="0"/>
          <w:marTop w:val="0"/>
          <w:marBottom w:val="0"/>
          <w:divBdr>
            <w:top w:val="none" w:sz="0" w:space="0" w:color="auto"/>
            <w:left w:val="none" w:sz="0" w:space="0" w:color="auto"/>
            <w:bottom w:val="none" w:sz="0" w:space="0" w:color="auto"/>
            <w:right w:val="none" w:sz="0" w:space="0" w:color="auto"/>
          </w:divBdr>
          <w:divsChild>
            <w:div w:id="415134570">
              <w:marLeft w:val="0"/>
              <w:marRight w:val="0"/>
              <w:marTop w:val="0"/>
              <w:marBottom w:val="0"/>
              <w:divBdr>
                <w:top w:val="none" w:sz="0" w:space="0" w:color="auto"/>
                <w:left w:val="none" w:sz="0" w:space="0" w:color="auto"/>
                <w:bottom w:val="none" w:sz="0" w:space="0" w:color="auto"/>
                <w:right w:val="none" w:sz="0" w:space="0" w:color="auto"/>
              </w:divBdr>
              <w:divsChild>
                <w:div w:id="8699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585646">
      <w:bodyDiv w:val="1"/>
      <w:marLeft w:val="0"/>
      <w:marRight w:val="0"/>
      <w:marTop w:val="0"/>
      <w:marBottom w:val="0"/>
      <w:divBdr>
        <w:top w:val="none" w:sz="0" w:space="0" w:color="auto"/>
        <w:left w:val="none" w:sz="0" w:space="0" w:color="auto"/>
        <w:bottom w:val="none" w:sz="0" w:space="0" w:color="auto"/>
        <w:right w:val="none" w:sz="0" w:space="0" w:color="auto"/>
      </w:divBdr>
    </w:div>
    <w:div w:id="1586767339">
      <w:bodyDiv w:val="1"/>
      <w:marLeft w:val="0"/>
      <w:marRight w:val="0"/>
      <w:marTop w:val="0"/>
      <w:marBottom w:val="0"/>
      <w:divBdr>
        <w:top w:val="none" w:sz="0" w:space="0" w:color="auto"/>
        <w:left w:val="none" w:sz="0" w:space="0" w:color="auto"/>
        <w:bottom w:val="none" w:sz="0" w:space="0" w:color="auto"/>
        <w:right w:val="none" w:sz="0" w:space="0" w:color="auto"/>
      </w:divBdr>
    </w:div>
    <w:div w:id="1598829144">
      <w:bodyDiv w:val="1"/>
      <w:marLeft w:val="0"/>
      <w:marRight w:val="0"/>
      <w:marTop w:val="0"/>
      <w:marBottom w:val="0"/>
      <w:divBdr>
        <w:top w:val="none" w:sz="0" w:space="0" w:color="auto"/>
        <w:left w:val="none" w:sz="0" w:space="0" w:color="auto"/>
        <w:bottom w:val="none" w:sz="0" w:space="0" w:color="auto"/>
        <w:right w:val="none" w:sz="0" w:space="0" w:color="auto"/>
      </w:divBdr>
      <w:divsChild>
        <w:div w:id="1120106543">
          <w:marLeft w:val="0"/>
          <w:marRight w:val="0"/>
          <w:marTop w:val="0"/>
          <w:marBottom w:val="0"/>
          <w:divBdr>
            <w:top w:val="none" w:sz="0" w:space="0" w:color="auto"/>
            <w:left w:val="none" w:sz="0" w:space="0" w:color="auto"/>
            <w:bottom w:val="none" w:sz="0" w:space="0" w:color="auto"/>
            <w:right w:val="none" w:sz="0" w:space="0" w:color="auto"/>
          </w:divBdr>
          <w:divsChild>
            <w:div w:id="1443259564">
              <w:marLeft w:val="0"/>
              <w:marRight w:val="0"/>
              <w:marTop w:val="0"/>
              <w:marBottom w:val="0"/>
              <w:divBdr>
                <w:top w:val="none" w:sz="0" w:space="0" w:color="auto"/>
                <w:left w:val="none" w:sz="0" w:space="0" w:color="auto"/>
                <w:bottom w:val="none" w:sz="0" w:space="0" w:color="auto"/>
                <w:right w:val="none" w:sz="0" w:space="0" w:color="auto"/>
              </w:divBdr>
              <w:divsChild>
                <w:div w:id="422264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272521">
      <w:bodyDiv w:val="1"/>
      <w:marLeft w:val="0"/>
      <w:marRight w:val="0"/>
      <w:marTop w:val="0"/>
      <w:marBottom w:val="0"/>
      <w:divBdr>
        <w:top w:val="none" w:sz="0" w:space="0" w:color="auto"/>
        <w:left w:val="none" w:sz="0" w:space="0" w:color="auto"/>
        <w:bottom w:val="none" w:sz="0" w:space="0" w:color="auto"/>
        <w:right w:val="none" w:sz="0" w:space="0" w:color="auto"/>
      </w:divBdr>
    </w:div>
    <w:div w:id="1635596539">
      <w:bodyDiv w:val="1"/>
      <w:marLeft w:val="0"/>
      <w:marRight w:val="0"/>
      <w:marTop w:val="0"/>
      <w:marBottom w:val="0"/>
      <w:divBdr>
        <w:top w:val="none" w:sz="0" w:space="0" w:color="auto"/>
        <w:left w:val="none" w:sz="0" w:space="0" w:color="auto"/>
        <w:bottom w:val="none" w:sz="0" w:space="0" w:color="auto"/>
        <w:right w:val="none" w:sz="0" w:space="0" w:color="auto"/>
      </w:divBdr>
      <w:divsChild>
        <w:div w:id="1865711290">
          <w:marLeft w:val="0"/>
          <w:marRight w:val="0"/>
          <w:marTop w:val="0"/>
          <w:marBottom w:val="0"/>
          <w:divBdr>
            <w:top w:val="none" w:sz="0" w:space="0" w:color="auto"/>
            <w:left w:val="none" w:sz="0" w:space="0" w:color="auto"/>
            <w:bottom w:val="none" w:sz="0" w:space="0" w:color="auto"/>
            <w:right w:val="none" w:sz="0" w:space="0" w:color="auto"/>
          </w:divBdr>
          <w:divsChild>
            <w:div w:id="480082028">
              <w:marLeft w:val="0"/>
              <w:marRight w:val="0"/>
              <w:marTop w:val="0"/>
              <w:marBottom w:val="0"/>
              <w:divBdr>
                <w:top w:val="none" w:sz="0" w:space="0" w:color="auto"/>
                <w:left w:val="none" w:sz="0" w:space="0" w:color="auto"/>
                <w:bottom w:val="none" w:sz="0" w:space="0" w:color="auto"/>
                <w:right w:val="none" w:sz="0" w:space="0" w:color="auto"/>
              </w:divBdr>
              <w:divsChild>
                <w:div w:id="17398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931403">
      <w:bodyDiv w:val="1"/>
      <w:marLeft w:val="0"/>
      <w:marRight w:val="0"/>
      <w:marTop w:val="0"/>
      <w:marBottom w:val="0"/>
      <w:divBdr>
        <w:top w:val="none" w:sz="0" w:space="0" w:color="auto"/>
        <w:left w:val="none" w:sz="0" w:space="0" w:color="auto"/>
        <w:bottom w:val="none" w:sz="0" w:space="0" w:color="auto"/>
        <w:right w:val="none" w:sz="0" w:space="0" w:color="auto"/>
      </w:divBdr>
      <w:divsChild>
        <w:div w:id="1775861541">
          <w:marLeft w:val="0"/>
          <w:marRight w:val="0"/>
          <w:marTop w:val="0"/>
          <w:marBottom w:val="0"/>
          <w:divBdr>
            <w:top w:val="none" w:sz="0" w:space="0" w:color="auto"/>
            <w:left w:val="none" w:sz="0" w:space="0" w:color="auto"/>
            <w:bottom w:val="none" w:sz="0" w:space="0" w:color="auto"/>
            <w:right w:val="none" w:sz="0" w:space="0" w:color="auto"/>
          </w:divBdr>
          <w:divsChild>
            <w:div w:id="1498616562">
              <w:marLeft w:val="0"/>
              <w:marRight w:val="0"/>
              <w:marTop w:val="0"/>
              <w:marBottom w:val="0"/>
              <w:divBdr>
                <w:top w:val="none" w:sz="0" w:space="0" w:color="auto"/>
                <w:left w:val="none" w:sz="0" w:space="0" w:color="auto"/>
                <w:bottom w:val="none" w:sz="0" w:space="0" w:color="auto"/>
                <w:right w:val="none" w:sz="0" w:space="0" w:color="auto"/>
              </w:divBdr>
              <w:divsChild>
                <w:div w:id="201506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283654">
      <w:bodyDiv w:val="1"/>
      <w:marLeft w:val="0"/>
      <w:marRight w:val="0"/>
      <w:marTop w:val="0"/>
      <w:marBottom w:val="0"/>
      <w:divBdr>
        <w:top w:val="none" w:sz="0" w:space="0" w:color="auto"/>
        <w:left w:val="none" w:sz="0" w:space="0" w:color="auto"/>
        <w:bottom w:val="none" w:sz="0" w:space="0" w:color="auto"/>
        <w:right w:val="none" w:sz="0" w:space="0" w:color="auto"/>
      </w:divBdr>
      <w:divsChild>
        <w:div w:id="406005028">
          <w:marLeft w:val="0"/>
          <w:marRight w:val="0"/>
          <w:marTop w:val="0"/>
          <w:marBottom w:val="0"/>
          <w:divBdr>
            <w:top w:val="none" w:sz="0" w:space="0" w:color="auto"/>
            <w:left w:val="none" w:sz="0" w:space="0" w:color="auto"/>
            <w:bottom w:val="none" w:sz="0" w:space="0" w:color="auto"/>
            <w:right w:val="none" w:sz="0" w:space="0" w:color="auto"/>
          </w:divBdr>
          <w:divsChild>
            <w:div w:id="959069983">
              <w:marLeft w:val="0"/>
              <w:marRight w:val="0"/>
              <w:marTop w:val="0"/>
              <w:marBottom w:val="0"/>
              <w:divBdr>
                <w:top w:val="none" w:sz="0" w:space="0" w:color="auto"/>
                <w:left w:val="none" w:sz="0" w:space="0" w:color="auto"/>
                <w:bottom w:val="none" w:sz="0" w:space="0" w:color="auto"/>
                <w:right w:val="none" w:sz="0" w:space="0" w:color="auto"/>
              </w:divBdr>
              <w:divsChild>
                <w:div w:id="8065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7894520">
      <w:bodyDiv w:val="1"/>
      <w:marLeft w:val="0"/>
      <w:marRight w:val="0"/>
      <w:marTop w:val="0"/>
      <w:marBottom w:val="0"/>
      <w:divBdr>
        <w:top w:val="none" w:sz="0" w:space="0" w:color="auto"/>
        <w:left w:val="none" w:sz="0" w:space="0" w:color="auto"/>
        <w:bottom w:val="none" w:sz="0" w:space="0" w:color="auto"/>
        <w:right w:val="none" w:sz="0" w:space="0" w:color="auto"/>
      </w:divBdr>
      <w:divsChild>
        <w:div w:id="1604653767">
          <w:marLeft w:val="0"/>
          <w:marRight w:val="0"/>
          <w:marTop w:val="0"/>
          <w:marBottom w:val="0"/>
          <w:divBdr>
            <w:top w:val="none" w:sz="0" w:space="0" w:color="auto"/>
            <w:left w:val="none" w:sz="0" w:space="0" w:color="auto"/>
            <w:bottom w:val="none" w:sz="0" w:space="0" w:color="auto"/>
            <w:right w:val="none" w:sz="0" w:space="0" w:color="auto"/>
          </w:divBdr>
          <w:divsChild>
            <w:div w:id="1796677156">
              <w:marLeft w:val="0"/>
              <w:marRight w:val="0"/>
              <w:marTop w:val="0"/>
              <w:marBottom w:val="0"/>
              <w:divBdr>
                <w:top w:val="none" w:sz="0" w:space="0" w:color="auto"/>
                <w:left w:val="none" w:sz="0" w:space="0" w:color="auto"/>
                <w:bottom w:val="none" w:sz="0" w:space="0" w:color="auto"/>
                <w:right w:val="none" w:sz="0" w:space="0" w:color="auto"/>
              </w:divBdr>
              <w:divsChild>
                <w:div w:id="80304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208654">
      <w:bodyDiv w:val="1"/>
      <w:marLeft w:val="0"/>
      <w:marRight w:val="0"/>
      <w:marTop w:val="0"/>
      <w:marBottom w:val="0"/>
      <w:divBdr>
        <w:top w:val="none" w:sz="0" w:space="0" w:color="auto"/>
        <w:left w:val="none" w:sz="0" w:space="0" w:color="auto"/>
        <w:bottom w:val="none" w:sz="0" w:space="0" w:color="auto"/>
        <w:right w:val="none" w:sz="0" w:space="0" w:color="auto"/>
      </w:divBdr>
    </w:div>
    <w:div w:id="1803841454">
      <w:bodyDiv w:val="1"/>
      <w:marLeft w:val="0"/>
      <w:marRight w:val="0"/>
      <w:marTop w:val="0"/>
      <w:marBottom w:val="0"/>
      <w:divBdr>
        <w:top w:val="none" w:sz="0" w:space="0" w:color="auto"/>
        <w:left w:val="none" w:sz="0" w:space="0" w:color="auto"/>
        <w:bottom w:val="none" w:sz="0" w:space="0" w:color="auto"/>
        <w:right w:val="none" w:sz="0" w:space="0" w:color="auto"/>
      </w:divBdr>
    </w:div>
    <w:div w:id="1841776306">
      <w:bodyDiv w:val="1"/>
      <w:marLeft w:val="0"/>
      <w:marRight w:val="0"/>
      <w:marTop w:val="0"/>
      <w:marBottom w:val="0"/>
      <w:divBdr>
        <w:top w:val="none" w:sz="0" w:space="0" w:color="auto"/>
        <w:left w:val="none" w:sz="0" w:space="0" w:color="auto"/>
        <w:bottom w:val="none" w:sz="0" w:space="0" w:color="auto"/>
        <w:right w:val="none" w:sz="0" w:space="0" w:color="auto"/>
      </w:divBdr>
    </w:div>
    <w:div w:id="1845508071">
      <w:bodyDiv w:val="1"/>
      <w:marLeft w:val="0"/>
      <w:marRight w:val="0"/>
      <w:marTop w:val="0"/>
      <w:marBottom w:val="0"/>
      <w:divBdr>
        <w:top w:val="none" w:sz="0" w:space="0" w:color="auto"/>
        <w:left w:val="none" w:sz="0" w:space="0" w:color="auto"/>
        <w:bottom w:val="none" w:sz="0" w:space="0" w:color="auto"/>
        <w:right w:val="none" w:sz="0" w:space="0" w:color="auto"/>
      </w:divBdr>
      <w:divsChild>
        <w:div w:id="577597794">
          <w:marLeft w:val="0"/>
          <w:marRight w:val="0"/>
          <w:marTop w:val="0"/>
          <w:marBottom w:val="0"/>
          <w:divBdr>
            <w:top w:val="none" w:sz="0" w:space="0" w:color="auto"/>
            <w:left w:val="none" w:sz="0" w:space="0" w:color="auto"/>
            <w:bottom w:val="none" w:sz="0" w:space="0" w:color="auto"/>
            <w:right w:val="none" w:sz="0" w:space="0" w:color="auto"/>
          </w:divBdr>
          <w:divsChild>
            <w:div w:id="1358896304">
              <w:marLeft w:val="0"/>
              <w:marRight w:val="0"/>
              <w:marTop w:val="0"/>
              <w:marBottom w:val="0"/>
              <w:divBdr>
                <w:top w:val="none" w:sz="0" w:space="0" w:color="auto"/>
                <w:left w:val="none" w:sz="0" w:space="0" w:color="auto"/>
                <w:bottom w:val="none" w:sz="0" w:space="0" w:color="auto"/>
                <w:right w:val="none" w:sz="0" w:space="0" w:color="auto"/>
              </w:divBdr>
              <w:divsChild>
                <w:div w:id="119761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019779">
      <w:bodyDiv w:val="1"/>
      <w:marLeft w:val="0"/>
      <w:marRight w:val="0"/>
      <w:marTop w:val="0"/>
      <w:marBottom w:val="0"/>
      <w:divBdr>
        <w:top w:val="none" w:sz="0" w:space="0" w:color="auto"/>
        <w:left w:val="none" w:sz="0" w:space="0" w:color="auto"/>
        <w:bottom w:val="none" w:sz="0" w:space="0" w:color="auto"/>
        <w:right w:val="none" w:sz="0" w:space="0" w:color="auto"/>
      </w:divBdr>
    </w:div>
    <w:div w:id="1859001726">
      <w:bodyDiv w:val="1"/>
      <w:marLeft w:val="0"/>
      <w:marRight w:val="0"/>
      <w:marTop w:val="0"/>
      <w:marBottom w:val="0"/>
      <w:divBdr>
        <w:top w:val="none" w:sz="0" w:space="0" w:color="auto"/>
        <w:left w:val="none" w:sz="0" w:space="0" w:color="auto"/>
        <w:bottom w:val="none" w:sz="0" w:space="0" w:color="auto"/>
        <w:right w:val="none" w:sz="0" w:space="0" w:color="auto"/>
      </w:divBdr>
      <w:divsChild>
        <w:div w:id="1376392423">
          <w:marLeft w:val="0"/>
          <w:marRight w:val="0"/>
          <w:marTop w:val="0"/>
          <w:marBottom w:val="0"/>
          <w:divBdr>
            <w:top w:val="none" w:sz="0" w:space="0" w:color="auto"/>
            <w:left w:val="none" w:sz="0" w:space="0" w:color="auto"/>
            <w:bottom w:val="none" w:sz="0" w:space="0" w:color="auto"/>
            <w:right w:val="none" w:sz="0" w:space="0" w:color="auto"/>
          </w:divBdr>
          <w:divsChild>
            <w:div w:id="1964842625">
              <w:marLeft w:val="0"/>
              <w:marRight w:val="0"/>
              <w:marTop w:val="0"/>
              <w:marBottom w:val="0"/>
              <w:divBdr>
                <w:top w:val="none" w:sz="0" w:space="0" w:color="auto"/>
                <w:left w:val="none" w:sz="0" w:space="0" w:color="auto"/>
                <w:bottom w:val="none" w:sz="0" w:space="0" w:color="auto"/>
                <w:right w:val="none" w:sz="0" w:space="0" w:color="auto"/>
              </w:divBdr>
              <w:divsChild>
                <w:div w:id="57450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2283199">
      <w:bodyDiv w:val="1"/>
      <w:marLeft w:val="0"/>
      <w:marRight w:val="0"/>
      <w:marTop w:val="0"/>
      <w:marBottom w:val="0"/>
      <w:divBdr>
        <w:top w:val="none" w:sz="0" w:space="0" w:color="auto"/>
        <w:left w:val="none" w:sz="0" w:space="0" w:color="auto"/>
        <w:bottom w:val="none" w:sz="0" w:space="0" w:color="auto"/>
        <w:right w:val="none" w:sz="0" w:space="0" w:color="auto"/>
      </w:divBdr>
    </w:div>
    <w:div w:id="1885825986">
      <w:bodyDiv w:val="1"/>
      <w:marLeft w:val="0"/>
      <w:marRight w:val="0"/>
      <w:marTop w:val="0"/>
      <w:marBottom w:val="0"/>
      <w:divBdr>
        <w:top w:val="none" w:sz="0" w:space="0" w:color="auto"/>
        <w:left w:val="none" w:sz="0" w:space="0" w:color="auto"/>
        <w:bottom w:val="none" w:sz="0" w:space="0" w:color="auto"/>
        <w:right w:val="none" w:sz="0" w:space="0" w:color="auto"/>
      </w:divBdr>
      <w:divsChild>
        <w:div w:id="622081447">
          <w:marLeft w:val="0"/>
          <w:marRight w:val="0"/>
          <w:marTop w:val="0"/>
          <w:marBottom w:val="0"/>
          <w:divBdr>
            <w:top w:val="none" w:sz="0" w:space="0" w:color="auto"/>
            <w:left w:val="none" w:sz="0" w:space="0" w:color="auto"/>
            <w:bottom w:val="none" w:sz="0" w:space="0" w:color="auto"/>
            <w:right w:val="none" w:sz="0" w:space="0" w:color="auto"/>
          </w:divBdr>
          <w:divsChild>
            <w:div w:id="375738138">
              <w:marLeft w:val="0"/>
              <w:marRight w:val="0"/>
              <w:marTop w:val="0"/>
              <w:marBottom w:val="0"/>
              <w:divBdr>
                <w:top w:val="none" w:sz="0" w:space="0" w:color="auto"/>
                <w:left w:val="none" w:sz="0" w:space="0" w:color="auto"/>
                <w:bottom w:val="none" w:sz="0" w:space="0" w:color="auto"/>
                <w:right w:val="none" w:sz="0" w:space="0" w:color="auto"/>
              </w:divBdr>
              <w:divsChild>
                <w:div w:id="124303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82511">
      <w:bodyDiv w:val="1"/>
      <w:marLeft w:val="0"/>
      <w:marRight w:val="0"/>
      <w:marTop w:val="0"/>
      <w:marBottom w:val="0"/>
      <w:divBdr>
        <w:top w:val="none" w:sz="0" w:space="0" w:color="auto"/>
        <w:left w:val="none" w:sz="0" w:space="0" w:color="auto"/>
        <w:bottom w:val="none" w:sz="0" w:space="0" w:color="auto"/>
        <w:right w:val="none" w:sz="0" w:space="0" w:color="auto"/>
      </w:divBdr>
      <w:divsChild>
        <w:div w:id="10882349">
          <w:marLeft w:val="0"/>
          <w:marRight w:val="0"/>
          <w:marTop w:val="0"/>
          <w:marBottom w:val="0"/>
          <w:divBdr>
            <w:top w:val="none" w:sz="0" w:space="0" w:color="auto"/>
            <w:left w:val="none" w:sz="0" w:space="0" w:color="auto"/>
            <w:bottom w:val="none" w:sz="0" w:space="0" w:color="auto"/>
            <w:right w:val="none" w:sz="0" w:space="0" w:color="auto"/>
          </w:divBdr>
          <w:divsChild>
            <w:div w:id="487602387">
              <w:marLeft w:val="0"/>
              <w:marRight w:val="0"/>
              <w:marTop w:val="0"/>
              <w:marBottom w:val="0"/>
              <w:divBdr>
                <w:top w:val="none" w:sz="0" w:space="0" w:color="auto"/>
                <w:left w:val="none" w:sz="0" w:space="0" w:color="auto"/>
                <w:bottom w:val="none" w:sz="0" w:space="0" w:color="auto"/>
                <w:right w:val="none" w:sz="0" w:space="0" w:color="auto"/>
              </w:divBdr>
              <w:divsChild>
                <w:div w:id="81072198">
                  <w:marLeft w:val="0"/>
                  <w:marRight w:val="0"/>
                  <w:marTop w:val="0"/>
                  <w:marBottom w:val="0"/>
                  <w:divBdr>
                    <w:top w:val="none" w:sz="0" w:space="0" w:color="auto"/>
                    <w:left w:val="none" w:sz="0" w:space="0" w:color="auto"/>
                    <w:bottom w:val="none" w:sz="0" w:space="0" w:color="auto"/>
                    <w:right w:val="none" w:sz="0" w:space="0" w:color="auto"/>
                  </w:divBdr>
                  <w:divsChild>
                    <w:div w:id="1542205280">
                      <w:marLeft w:val="0"/>
                      <w:marRight w:val="0"/>
                      <w:marTop w:val="0"/>
                      <w:marBottom w:val="0"/>
                      <w:divBdr>
                        <w:top w:val="none" w:sz="0" w:space="0" w:color="auto"/>
                        <w:left w:val="none" w:sz="0" w:space="0" w:color="auto"/>
                        <w:bottom w:val="none" w:sz="0" w:space="0" w:color="auto"/>
                        <w:right w:val="none" w:sz="0" w:space="0" w:color="auto"/>
                      </w:divBdr>
                    </w:div>
                  </w:divsChild>
                </w:div>
                <w:div w:id="248194874">
                  <w:marLeft w:val="0"/>
                  <w:marRight w:val="0"/>
                  <w:marTop w:val="0"/>
                  <w:marBottom w:val="0"/>
                  <w:divBdr>
                    <w:top w:val="none" w:sz="0" w:space="0" w:color="auto"/>
                    <w:left w:val="none" w:sz="0" w:space="0" w:color="auto"/>
                    <w:bottom w:val="none" w:sz="0" w:space="0" w:color="auto"/>
                    <w:right w:val="none" w:sz="0" w:space="0" w:color="auto"/>
                  </w:divBdr>
                  <w:divsChild>
                    <w:div w:id="1631592721">
                      <w:marLeft w:val="0"/>
                      <w:marRight w:val="0"/>
                      <w:marTop w:val="0"/>
                      <w:marBottom w:val="0"/>
                      <w:divBdr>
                        <w:top w:val="none" w:sz="0" w:space="0" w:color="auto"/>
                        <w:left w:val="none" w:sz="0" w:space="0" w:color="auto"/>
                        <w:bottom w:val="none" w:sz="0" w:space="0" w:color="auto"/>
                        <w:right w:val="none" w:sz="0" w:space="0" w:color="auto"/>
                      </w:divBdr>
                    </w:div>
                  </w:divsChild>
                </w:div>
                <w:div w:id="330262471">
                  <w:marLeft w:val="0"/>
                  <w:marRight w:val="0"/>
                  <w:marTop w:val="0"/>
                  <w:marBottom w:val="0"/>
                  <w:divBdr>
                    <w:top w:val="none" w:sz="0" w:space="0" w:color="auto"/>
                    <w:left w:val="none" w:sz="0" w:space="0" w:color="auto"/>
                    <w:bottom w:val="none" w:sz="0" w:space="0" w:color="auto"/>
                    <w:right w:val="none" w:sz="0" w:space="0" w:color="auto"/>
                  </w:divBdr>
                  <w:divsChild>
                    <w:div w:id="2081058340">
                      <w:marLeft w:val="0"/>
                      <w:marRight w:val="0"/>
                      <w:marTop w:val="0"/>
                      <w:marBottom w:val="0"/>
                      <w:divBdr>
                        <w:top w:val="none" w:sz="0" w:space="0" w:color="auto"/>
                        <w:left w:val="none" w:sz="0" w:space="0" w:color="auto"/>
                        <w:bottom w:val="none" w:sz="0" w:space="0" w:color="auto"/>
                        <w:right w:val="none" w:sz="0" w:space="0" w:color="auto"/>
                      </w:divBdr>
                    </w:div>
                  </w:divsChild>
                </w:div>
                <w:div w:id="390352715">
                  <w:marLeft w:val="0"/>
                  <w:marRight w:val="0"/>
                  <w:marTop w:val="0"/>
                  <w:marBottom w:val="0"/>
                  <w:divBdr>
                    <w:top w:val="none" w:sz="0" w:space="0" w:color="auto"/>
                    <w:left w:val="none" w:sz="0" w:space="0" w:color="auto"/>
                    <w:bottom w:val="none" w:sz="0" w:space="0" w:color="auto"/>
                    <w:right w:val="none" w:sz="0" w:space="0" w:color="auto"/>
                  </w:divBdr>
                  <w:divsChild>
                    <w:div w:id="1508054728">
                      <w:marLeft w:val="0"/>
                      <w:marRight w:val="0"/>
                      <w:marTop w:val="0"/>
                      <w:marBottom w:val="0"/>
                      <w:divBdr>
                        <w:top w:val="none" w:sz="0" w:space="0" w:color="auto"/>
                        <w:left w:val="none" w:sz="0" w:space="0" w:color="auto"/>
                        <w:bottom w:val="none" w:sz="0" w:space="0" w:color="auto"/>
                        <w:right w:val="none" w:sz="0" w:space="0" w:color="auto"/>
                      </w:divBdr>
                    </w:div>
                  </w:divsChild>
                </w:div>
                <w:div w:id="539174156">
                  <w:marLeft w:val="0"/>
                  <w:marRight w:val="0"/>
                  <w:marTop w:val="0"/>
                  <w:marBottom w:val="0"/>
                  <w:divBdr>
                    <w:top w:val="none" w:sz="0" w:space="0" w:color="auto"/>
                    <w:left w:val="none" w:sz="0" w:space="0" w:color="auto"/>
                    <w:bottom w:val="none" w:sz="0" w:space="0" w:color="auto"/>
                    <w:right w:val="none" w:sz="0" w:space="0" w:color="auto"/>
                  </w:divBdr>
                  <w:divsChild>
                    <w:div w:id="1962229492">
                      <w:marLeft w:val="0"/>
                      <w:marRight w:val="0"/>
                      <w:marTop w:val="0"/>
                      <w:marBottom w:val="0"/>
                      <w:divBdr>
                        <w:top w:val="none" w:sz="0" w:space="0" w:color="auto"/>
                        <w:left w:val="none" w:sz="0" w:space="0" w:color="auto"/>
                        <w:bottom w:val="none" w:sz="0" w:space="0" w:color="auto"/>
                        <w:right w:val="none" w:sz="0" w:space="0" w:color="auto"/>
                      </w:divBdr>
                    </w:div>
                  </w:divsChild>
                </w:div>
                <w:div w:id="543980324">
                  <w:marLeft w:val="0"/>
                  <w:marRight w:val="0"/>
                  <w:marTop w:val="0"/>
                  <w:marBottom w:val="0"/>
                  <w:divBdr>
                    <w:top w:val="none" w:sz="0" w:space="0" w:color="auto"/>
                    <w:left w:val="none" w:sz="0" w:space="0" w:color="auto"/>
                    <w:bottom w:val="none" w:sz="0" w:space="0" w:color="auto"/>
                    <w:right w:val="none" w:sz="0" w:space="0" w:color="auto"/>
                  </w:divBdr>
                  <w:divsChild>
                    <w:div w:id="1687051174">
                      <w:marLeft w:val="0"/>
                      <w:marRight w:val="0"/>
                      <w:marTop w:val="0"/>
                      <w:marBottom w:val="0"/>
                      <w:divBdr>
                        <w:top w:val="none" w:sz="0" w:space="0" w:color="auto"/>
                        <w:left w:val="none" w:sz="0" w:space="0" w:color="auto"/>
                        <w:bottom w:val="none" w:sz="0" w:space="0" w:color="auto"/>
                        <w:right w:val="none" w:sz="0" w:space="0" w:color="auto"/>
                      </w:divBdr>
                    </w:div>
                  </w:divsChild>
                </w:div>
                <w:div w:id="1554150731">
                  <w:marLeft w:val="0"/>
                  <w:marRight w:val="0"/>
                  <w:marTop w:val="0"/>
                  <w:marBottom w:val="0"/>
                  <w:divBdr>
                    <w:top w:val="none" w:sz="0" w:space="0" w:color="auto"/>
                    <w:left w:val="none" w:sz="0" w:space="0" w:color="auto"/>
                    <w:bottom w:val="none" w:sz="0" w:space="0" w:color="auto"/>
                    <w:right w:val="none" w:sz="0" w:space="0" w:color="auto"/>
                  </w:divBdr>
                  <w:divsChild>
                    <w:div w:id="1084759141">
                      <w:marLeft w:val="0"/>
                      <w:marRight w:val="0"/>
                      <w:marTop w:val="0"/>
                      <w:marBottom w:val="0"/>
                      <w:divBdr>
                        <w:top w:val="none" w:sz="0" w:space="0" w:color="auto"/>
                        <w:left w:val="none" w:sz="0" w:space="0" w:color="auto"/>
                        <w:bottom w:val="none" w:sz="0" w:space="0" w:color="auto"/>
                        <w:right w:val="none" w:sz="0" w:space="0" w:color="auto"/>
                      </w:divBdr>
                    </w:div>
                  </w:divsChild>
                </w:div>
                <w:div w:id="1602954844">
                  <w:marLeft w:val="0"/>
                  <w:marRight w:val="0"/>
                  <w:marTop w:val="0"/>
                  <w:marBottom w:val="0"/>
                  <w:divBdr>
                    <w:top w:val="none" w:sz="0" w:space="0" w:color="auto"/>
                    <w:left w:val="none" w:sz="0" w:space="0" w:color="auto"/>
                    <w:bottom w:val="none" w:sz="0" w:space="0" w:color="auto"/>
                    <w:right w:val="none" w:sz="0" w:space="0" w:color="auto"/>
                  </w:divBdr>
                  <w:divsChild>
                    <w:div w:id="155877007">
                      <w:marLeft w:val="0"/>
                      <w:marRight w:val="0"/>
                      <w:marTop w:val="0"/>
                      <w:marBottom w:val="0"/>
                      <w:divBdr>
                        <w:top w:val="none" w:sz="0" w:space="0" w:color="auto"/>
                        <w:left w:val="none" w:sz="0" w:space="0" w:color="auto"/>
                        <w:bottom w:val="none" w:sz="0" w:space="0" w:color="auto"/>
                        <w:right w:val="none" w:sz="0" w:space="0" w:color="auto"/>
                      </w:divBdr>
                    </w:div>
                  </w:divsChild>
                </w:div>
                <w:div w:id="1962422054">
                  <w:marLeft w:val="0"/>
                  <w:marRight w:val="0"/>
                  <w:marTop w:val="0"/>
                  <w:marBottom w:val="0"/>
                  <w:divBdr>
                    <w:top w:val="none" w:sz="0" w:space="0" w:color="auto"/>
                    <w:left w:val="none" w:sz="0" w:space="0" w:color="auto"/>
                    <w:bottom w:val="none" w:sz="0" w:space="0" w:color="auto"/>
                    <w:right w:val="none" w:sz="0" w:space="0" w:color="auto"/>
                  </w:divBdr>
                  <w:divsChild>
                    <w:div w:id="179247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9656974">
      <w:bodyDiv w:val="1"/>
      <w:marLeft w:val="0"/>
      <w:marRight w:val="0"/>
      <w:marTop w:val="0"/>
      <w:marBottom w:val="0"/>
      <w:divBdr>
        <w:top w:val="none" w:sz="0" w:space="0" w:color="auto"/>
        <w:left w:val="none" w:sz="0" w:space="0" w:color="auto"/>
        <w:bottom w:val="none" w:sz="0" w:space="0" w:color="auto"/>
        <w:right w:val="none" w:sz="0" w:space="0" w:color="auto"/>
      </w:divBdr>
      <w:divsChild>
        <w:div w:id="1205941144">
          <w:marLeft w:val="0"/>
          <w:marRight w:val="0"/>
          <w:marTop w:val="0"/>
          <w:marBottom w:val="0"/>
          <w:divBdr>
            <w:top w:val="none" w:sz="0" w:space="0" w:color="auto"/>
            <w:left w:val="none" w:sz="0" w:space="0" w:color="auto"/>
            <w:bottom w:val="none" w:sz="0" w:space="0" w:color="auto"/>
            <w:right w:val="none" w:sz="0" w:space="0" w:color="auto"/>
          </w:divBdr>
          <w:divsChild>
            <w:div w:id="1976522420">
              <w:marLeft w:val="0"/>
              <w:marRight w:val="0"/>
              <w:marTop w:val="0"/>
              <w:marBottom w:val="0"/>
              <w:divBdr>
                <w:top w:val="none" w:sz="0" w:space="0" w:color="auto"/>
                <w:left w:val="none" w:sz="0" w:space="0" w:color="auto"/>
                <w:bottom w:val="none" w:sz="0" w:space="0" w:color="auto"/>
                <w:right w:val="none" w:sz="0" w:space="0" w:color="auto"/>
              </w:divBdr>
              <w:divsChild>
                <w:div w:id="1266499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205502">
      <w:bodyDiv w:val="1"/>
      <w:marLeft w:val="0"/>
      <w:marRight w:val="0"/>
      <w:marTop w:val="0"/>
      <w:marBottom w:val="0"/>
      <w:divBdr>
        <w:top w:val="none" w:sz="0" w:space="0" w:color="auto"/>
        <w:left w:val="none" w:sz="0" w:space="0" w:color="auto"/>
        <w:bottom w:val="none" w:sz="0" w:space="0" w:color="auto"/>
        <w:right w:val="none" w:sz="0" w:space="0" w:color="auto"/>
      </w:divBdr>
      <w:divsChild>
        <w:div w:id="1063215744">
          <w:marLeft w:val="0"/>
          <w:marRight w:val="0"/>
          <w:marTop w:val="0"/>
          <w:marBottom w:val="0"/>
          <w:divBdr>
            <w:top w:val="none" w:sz="0" w:space="0" w:color="auto"/>
            <w:left w:val="none" w:sz="0" w:space="0" w:color="auto"/>
            <w:bottom w:val="none" w:sz="0" w:space="0" w:color="auto"/>
            <w:right w:val="none" w:sz="0" w:space="0" w:color="auto"/>
          </w:divBdr>
          <w:divsChild>
            <w:div w:id="2107724857">
              <w:marLeft w:val="0"/>
              <w:marRight w:val="0"/>
              <w:marTop w:val="0"/>
              <w:marBottom w:val="0"/>
              <w:divBdr>
                <w:top w:val="none" w:sz="0" w:space="0" w:color="auto"/>
                <w:left w:val="none" w:sz="0" w:space="0" w:color="auto"/>
                <w:bottom w:val="none" w:sz="0" w:space="0" w:color="auto"/>
                <w:right w:val="none" w:sz="0" w:space="0" w:color="auto"/>
              </w:divBdr>
              <w:divsChild>
                <w:div w:id="1984120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22281">
      <w:bodyDiv w:val="1"/>
      <w:marLeft w:val="0"/>
      <w:marRight w:val="0"/>
      <w:marTop w:val="0"/>
      <w:marBottom w:val="0"/>
      <w:divBdr>
        <w:top w:val="none" w:sz="0" w:space="0" w:color="auto"/>
        <w:left w:val="none" w:sz="0" w:space="0" w:color="auto"/>
        <w:bottom w:val="none" w:sz="0" w:space="0" w:color="auto"/>
        <w:right w:val="none" w:sz="0" w:space="0" w:color="auto"/>
      </w:divBdr>
    </w:div>
    <w:div w:id="1946158113">
      <w:bodyDiv w:val="1"/>
      <w:marLeft w:val="0"/>
      <w:marRight w:val="0"/>
      <w:marTop w:val="0"/>
      <w:marBottom w:val="0"/>
      <w:divBdr>
        <w:top w:val="none" w:sz="0" w:space="0" w:color="auto"/>
        <w:left w:val="none" w:sz="0" w:space="0" w:color="auto"/>
        <w:bottom w:val="none" w:sz="0" w:space="0" w:color="auto"/>
        <w:right w:val="none" w:sz="0" w:space="0" w:color="auto"/>
      </w:divBdr>
    </w:div>
    <w:div w:id="1946304503">
      <w:bodyDiv w:val="1"/>
      <w:marLeft w:val="0"/>
      <w:marRight w:val="0"/>
      <w:marTop w:val="0"/>
      <w:marBottom w:val="0"/>
      <w:divBdr>
        <w:top w:val="none" w:sz="0" w:space="0" w:color="auto"/>
        <w:left w:val="none" w:sz="0" w:space="0" w:color="auto"/>
        <w:bottom w:val="none" w:sz="0" w:space="0" w:color="auto"/>
        <w:right w:val="none" w:sz="0" w:space="0" w:color="auto"/>
      </w:divBdr>
    </w:div>
    <w:div w:id="1948078359">
      <w:bodyDiv w:val="1"/>
      <w:marLeft w:val="0"/>
      <w:marRight w:val="0"/>
      <w:marTop w:val="0"/>
      <w:marBottom w:val="0"/>
      <w:divBdr>
        <w:top w:val="none" w:sz="0" w:space="0" w:color="auto"/>
        <w:left w:val="none" w:sz="0" w:space="0" w:color="auto"/>
        <w:bottom w:val="none" w:sz="0" w:space="0" w:color="auto"/>
        <w:right w:val="none" w:sz="0" w:space="0" w:color="auto"/>
      </w:divBdr>
    </w:div>
    <w:div w:id="2001887903">
      <w:bodyDiv w:val="1"/>
      <w:marLeft w:val="0"/>
      <w:marRight w:val="0"/>
      <w:marTop w:val="0"/>
      <w:marBottom w:val="0"/>
      <w:divBdr>
        <w:top w:val="none" w:sz="0" w:space="0" w:color="auto"/>
        <w:left w:val="none" w:sz="0" w:space="0" w:color="auto"/>
        <w:bottom w:val="none" w:sz="0" w:space="0" w:color="auto"/>
        <w:right w:val="none" w:sz="0" w:space="0" w:color="auto"/>
      </w:divBdr>
      <w:divsChild>
        <w:div w:id="79763294">
          <w:marLeft w:val="0"/>
          <w:marRight w:val="0"/>
          <w:marTop w:val="0"/>
          <w:marBottom w:val="0"/>
          <w:divBdr>
            <w:top w:val="none" w:sz="0" w:space="0" w:color="auto"/>
            <w:left w:val="none" w:sz="0" w:space="0" w:color="auto"/>
            <w:bottom w:val="none" w:sz="0" w:space="0" w:color="auto"/>
            <w:right w:val="none" w:sz="0" w:space="0" w:color="auto"/>
          </w:divBdr>
          <w:divsChild>
            <w:div w:id="150147323">
              <w:marLeft w:val="0"/>
              <w:marRight w:val="0"/>
              <w:marTop w:val="0"/>
              <w:marBottom w:val="0"/>
              <w:divBdr>
                <w:top w:val="none" w:sz="0" w:space="0" w:color="auto"/>
                <w:left w:val="none" w:sz="0" w:space="0" w:color="auto"/>
                <w:bottom w:val="none" w:sz="0" w:space="0" w:color="auto"/>
                <w:right w:val="none" w:sz="0" w:space="0" w:color="auto"/>
              </w:divBdr>
              <w:divsChild>
                <w:div w:id="40595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415854">
      <w:bodyDiv w:val="1"/>
      <w:marLeft w:val="0"/>
      <w:marRight w:val="0"/>
      <w:marTop w:val="0"/>
      <w:marBottom w:val="0"/>
      <w:divBdr>
        <w:top w:val="none" w:sz="0" w:space="0" w:color="auto"/>
        <w:left w:val="none" w:sz="0" w:space="0" w:color="auto"/>
        <w:bottom w:val="none" w:sz="0" w:space="0" w:color="auto"/>
        <w:right w:val="none" w:sz="0" w:space="0" w:color="auto"/>
      </w:divBdr>
    </w:div>
    <w:div w:id="2046173876">
      <w:bodyDiv w:val="1"/>
      <w:marLeft w:val="0"/>
      <w:marRight w:val="0"/>
      <w:marTop w:val="0"/>
      <w:marBottom w:val="0"/>
      <w:divBdr>
        <w:top w:val="none" w:sz="0" w:space="0" w:color="auto"/>
        <w:left w:val="none" w:sz="0" w:space="0" w:color="auto"/>
        <w:bottom w:val="none" w:sz="0" w:space="0" w:color="auto"/>
        <w:right w:val="none" w:sz="0" w:space="0" w:color="auto"/>
      </w:divBdr>
    </w:div>
    <w:div w:id="2076968317">
      <w:bodyDiv w:val="1"/>
      <w:marLeft w:val="0"/>
      <w:marRight w:val="0"/>
      <w:marTop w:val="0"/>
      <w:marBottom w:val="0"/>
      <w:divBdr>
        <w:top w:val="none" w:sz="0" w:space="0" w:color="auto"/>
        <w:left w:val="none" w:sz="0" w:space="0" w:color="auto"/>
        <w:bottom w:val="none" w:sz="0" w:space="0" w:color="auto"/>
        <w:right w:val="none" w:sz="0" w:space="0" w:color="auto"/>
      </w:divBdr>
    </w:div>
    <w:div w:id="2085911594">
      <w:bodyDiv w:val="1"/>
      <w:marLeft w:val="0"/>
      <w:marRight w:val="0"/>
      <w:marTop w:val="0"/>
      <w:marBottom w:val="0"/>
      <w:divBdr>
        <w:top w:val="none" w:sz="0" w:space="0" w:color="auto"/>
        <w:left w:val="none" w:sz="0" w:space="0" w:color="auto"/>
        <w:bottom w:val="none" w:sz="0" w:space="0" w:color="auto"/>
        <w:right w:val="none" w:sz="0" w:space="0" w:color="auto"/>
      </w:divBdr>
    </w:div>
    <w:div w:id="2090155839">
      <w:bodyDiv w:val="1"/>
      <w:marLeft w:val="0"/>
      <w:marRight w:val="0"/>
      <w:marTop w:val="0"/>
      <w:marBottom w:val="0"/>
      <w:divBdr>
        <w:top w:val="none" w:sz="0" w:space="0" w:color="auto"/>
        <w:left w:val="none" w:sz="0" w:space="0" w:color="auto"/>
        <w:bottom w:val="none" w:sz="0" w:space="0" w:color="auto"/>
        <w:right w:val="none" w:sz="0" w:space="0" w:color="auto"/>
      </w:divBdr>
    </w:div>
    <w:div w:id="2099669514">
      <w:bodyDiv w:val="1"/>
      <w:marLeft w:val="0"/>
      <w:marRight w:val="0"/>
      <w:marTop w:val="0"/>
      <w:marBottom w:val="0"/>
      <w:divBdr>
        <w:top w:val="none" w:sz="0" w:space="0" w:color="auto"/>
        <w:left w:val="none" w:sz="0" w:space="0" w:color="auto"/>
        <w:bottom w:val="none" w:sz="0" w:space="0" w:color="auto"/>
        <w:right w:val="none" w:sz="0" w:space="0" w:color="auto"/>
      </w:divBdr>
    </w:div>
    <w:div w:id="2104645050">
      <w:bodyDiv w:val="1"/>
      <w:marLeft w:val="0"/>
      <w:marRight w:val="0"/>
      <w:marTop w:val="0"/>
      <w:marBottom w:val="0"/>
      <w:divBdr>
        <w:top w:val="none" w:sz="0" w:space="0" w:color="auto"/>
        <w:left w:val="none" w:sz="0" w:space="0" w:color="auto"/>
        <w:bottom w:val="none" w:sz="0" w:space="0" w:color="auto"/>
        <w:right w:val="none" w:sz="0" w:space="0" w:color="auto"/>
      </w:divBdr>
    </w:div>
    <w:div w:id="2116362144">
      <w:bodyDiv w:val="1"/>
      <w:marLeft w:val="0"/>
      <w:marRight w:val="0"/>
      <w:marTop w:val="0"/>
      <w:marBottom w:val="0"/>
      <w:divBdr>
        <w:top w:val="none" w:sz="0" w:space="0" w:color="auto"/>
        <w:left w:val="none" w:sz="0" w:space="0" w:color="auto"/>
        <w:bottom w:val="none" w:sz="0" w:space="0" w:color="auto"/>
        <w:right w:val="none" w:sz="0" w:space="0" w:color="auto"/>
      </w:divBdr>
      <w:divsChild>
        <w:div w:id="1681539774">
          <w:marLeft w:val="0"/>
          <w:marRight w:val="0"/>
          <w:marTop w:val="0"/>
          <w:marBottom w:val="0"/>
          <w:divBdr>
            <w:top w:val="none" w:sz="0" w:space="0" w:color="auto"/>
            <w:left w:val="none" w:sz="0" w:space="0" w:color="auto"/>
            <w:bottom w:val="none" w:sz="0" w:space="0" w:color="auto"/>
            <w:right w:val="none" w:sz="0" w:space="0" w:color="auto"/>
          </w:divBdr>
          <w:divsChild>
            <w:div w:id="2026402029">
              <w:marLeft w:val="0"/>
              <w:marRight w:val="0"/>
              <w:marTop w:val="0"/>
              <w:marBottom w:val="0"/>
              <w:divBdr>
                <w:top w:val="none" w:sz="0" w:space="0" w:color="auto"/>
                <w:left w:val="none" w:sz="0" w:space="0" w:color="auto"/>
                <w:bottom w:val="none" w:sz="0" w:space="0" w:color="auto"/>
                <w:right w:val="none" w:sz="0" w:space="0" w:color="auto"/>
              </w:divBdr>
              <w:divsChild>
                <w:div w:id="790320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org/depts/los/convention_agreements/texts/unclos/unclos_e.pdf" TargetMode="External"/><Relationship Id="rId21" Type="http://schemas.openxmlformats.org/officeDocument/2006/relationships/header" Target="header6.xml"/><Relationship Id="rId42" Type="http://schemas.openxmlformats.org/officeDocument/2006/relationships/hyperlink" Target="https://www.dfat.gov.au/publications/development/pacific-maritime-boundaries-end-investment-evaluation-report-and-management-response" TargetMode="External"/><Relationship Id="rId47" Type="http://schemas.openxmlformats.org/officeDocument/2006/relationships/hyperlink" Target="https://www.spc.int/digitallibrary/get/xnc9f" TargetMode="External"/><Relationship Id="rId63" Type="http://schemas.openxmlformats.org/officeDocument/2006/relationships/hyperlink" Target="https://www.sprep.org/att/publication/000937_684a.pdf" TargetMode="External"/><Relationship Id="rId68" Type="http://schemas.openxmlformats.org/officeDocument/2006/relationships/hyperlink" Target="https://www.ffa.int/download/2020-2025-pacific-islands-forum-fisheries-agency-strategic-plan/" TargetMode="External"/><Relationship Id="rId84" Type="http://schemas.openxmlformats.org/officeDocument/2006/relationships/header" Target="header10.xml"/><Relationship Id="rId89" Type="http://schemas.openxmlformats.org/officeDocument/2006/relationships/theme" Target="theme/theme1.xml"/><Relationship Id="rId16" Type="http://schemas.openxmlformats.org/officeDocument/2006/relationships/footer" Target="footer3.xml"/><Relationship Id="rId11" Type="http://schemas.openxmlformats.org/officeDocument/2006/relationships/footer" Target="footer1.xml"/><Relationship Id="rId32" Type="http://schemas.openxmlformats.org/officeDocument/2006/relationships/hyperlink" Target="https://www.spc.int/updates/blog/blog-post/2024/09/pioneer-milestone-in-the-pacific-regions-monitoring-and-evaluation" TargetMode="External"/><Relationship Id="rId37" Type="http://schemas.openxmlformats.org/officeDocument/2006/relationships/footer" Target="footer5.xml"/><Relationship Id="rId53" Type="http://schemas.openxmlformats.org/officeDocument/2006/relationships/hyperlink" Target="https://www.dfat.gov.au/about-us/publications/Pages/community-based-fisheries-management-pacific-countries-program-ipr" TargetMode="External"/><Relationship Id="rId58" Type="http://schemas.openxmlformats.org/officeDocument/2006/relationships/hyperlink" Target="https://www.dfat.gov.au/publications/development/pacific-communitys-fisheries-aquaculture-and-marine-ecosystems-division-spc-fame-final-report-and-management-response" TargetMode="External"/><Relationship Id="rId74" Type="http://schemas.openxmlformats.org/officeDocument/2006/relationships/footer" Target="footer7.xml"/><Relationship Id="rId79" Type="http://schemas.openxmlformats.org/officeDocument/2006/relationships/hyperlink" Target="https://www.dfat.gov.au/publications/development/pacific-maritime-boundaries-end-investment-evaluation-report-and-management-response" TargetMode="External"/><Relationship Id="rId5" Type="http://schemas.openxmlformats.org/officeDocument/2006/relationships/webSettings" Target="webSettings.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hyperlink" Target="https://forumsec.org/sites/default/files/2024-03/2021%20Declaration%20on%20Preserving%20Maritime%20Zones%20in%20the%20face%20of%20Climate%20Change-related%20Sea-level%20rise.pdf" TargetMode="External"/><Relationship Id="rId30" Type="http://schemas.openxmlformats.org/officeDocument/2006/relationships/hyperlink" Target="https://www.spc.int/updates/blog/blog-post/2024/09/pioneer-milestone-in-the-pacific-regions-monitoring-and-evaluation" TargetMode="External"/><Relationship Id="rId35" Type="http://schemas.openxmlformats.org/officeDocument/2006/relationships/image" Target="media/image6.png"/><Relationship Id="rId43" Type="http://schemas.openxmlformats.org/officeDocument/2006/relationships/hyperlink" Target="https://www.dfat.gov.au/publications/development/pacific-iuu-fishing-end-investment-evaluation" TargetMode="External"/><Relationship Id="rId48" Type="http://schemas.openxmlformats.org/officeDocument/2006/relationships/hyperlink" Target="https://www.spc.int/DigitalLibrary/Doc/FAME/Brochures/FFA_2023_Tuna_Fishery_Report_Card.pdf" TargetMode="External"/><Relationship Id="rId56" Type="http://schemas.openxmlformats.org/officeDocument/2006/relationships/hyperlink" Target="https://www.dfat.gov.au/publications/development/pacific-maritime-boundaries-end-investment-evaluation-report-and-management-response" TargetMode="External"/><Relationship Id="rId64" Type="http://schemas.openxmlformats.org/officeDocument/2006/relationships/hyperlink" Target="https://www.spc.int/DigitalLibrary/Doc/FAME/Brochures/FFA_SPC_2015_Roadmap.pdf" TargetMode="External"/><Relationship Id="rId69" Type="http://schemas.openxmlformats.org/officeDocument/2006/relationships/hyperlink" Target="https://www.ffa.int/download/ffa-business-plan-2021-2025/" TargetMode="External"/><Relationship Id="rId77" Type="http://schemas.openxmlformats.org/officeDocument/2006/relationships/hyperlink" Target="https://www.dfat.gov.au/publications/aid/mid-term-review-report-community-based-fisheries-management-phase-2-and-management-response" TargetMode="External"/><Relationship Id="rId8" Type="http://schemas.openxmlformats.org/officeDocument/2006/relationships/image" Target="media/image1.jpg"/><Relationship Id="rId51" Type="http://schemas.openxmlformats.org/officeDocument/2006/relationships/hyperlink" Target="https://www.spc.int/DigitalLibrary/Doc/FAME/Brochures/FFA_2023_Tuna_Fishery_Report_Card.pdf" TargetMode="External"/><Relationship Id="rId72" Type="http://schemas.openxmlformats.org/officeDocument/2006/relationships/header" Target="header8.xml"/><Relationship Id="rId80" Type="http://schemas.openxmlformats.org/officeDocument/2006/relationships/hyperlink" Target="https://www.dfat.gov.au/publications/development/pacific-iuu-fishing-end-investment-evaluation" TargetMode="External"/><Relationship Id="rId85" Type="http://schemas.openxmlformats.org/officeDocument/2006/relationships/header" Target="header1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4.jpg"/><Relationship Id="rId25" Type="http://schemas.openxmlformats.org/officeDocument/2006/relationships/hyperlink" Target="https://www.ffa.int/download/regional-monitoring-control-and-surveillance-mcs-strategy-2024-29/" TargetMode="External"/><Relationship Id="rId33" Type="http://schemas.openxmlformats.org/officeDocument/2006/relationships/hyperlink" Target="https://www.spc.int/DigitalLibrary/Doc/FAME/InfoBull/FishNews/174/FishNews174_28_House.pdf" TargetMode="External"/><Relationship Id="rId38" Type="http://schemas.openxmlformats.org/officeDocument/2006/relationships/header" Target="header7.xml"/><Relationship Id="rId46" Type="http://schemas.openxmlformats.org/officeDocument/2006/relationships/image" Target="media/image7.png"/><Relationship Id="rId59" Type="http://schemas.openxmlformats.org/officeDocument/2006/relationships/hyperlink" Target="https://www.dfat.gov.au/development/performance-assessment/development-evaluation/program-evaluations" TargetMode="External"/><Relationship Id="rId67" Type="http://schemas.openxmlformats.org/officeDocument/2006/relationships/hyperlink" Target="https://www.forumsec.org/2050strategy/" TargetMode="External"/><Relationship Id="rId20" Type="http://schemas.openxmlformats.org/officeDocument/2006/relationships/image" Target="media/image5.jpg"/><Relationship Id="rId41" Type="http://schemas.openxmlformats.org/officeDocument/2006/relationships/hyperlink" Target="https://www.dfat.gov.au/publications/development/office-pacific-ocean-commissioner-opoc-independent-evaluation-and-management-response" TargetMode="External"/><Relationship Id="rId54" Type="http://schemas.openxmlformats.org/officeDocument/2006/relationships/hyperlink" Target="https://www.dfat.gov.au/publications/aid/mid-term-review-report-community-based-fisheries-management-phase-2-and-management-response" TargetMode="External"/><Relationship Id="rId62" Type="http://schemas.openxmlformats.org/officeDocument/2006/relationships/hyperlink" Target="https://www.dfat.gov.au/international-relations/regional-architecture/pacific-islands/pacific-islands-regional-organisation/partnership-between-pacific-community-spc-and-government-australia-goa-2014-2023" TargetMode="External"/><Relationship Id="rId70" Type="http://schemas.openxmlformats.org/officeDocument/2006/relationships/hyperlink" Target="https://fame.spc.int/about/spc-fame-business-plan" TargetMode="External"/><Relationship Id="rId75" Type="http://schemas.openxmlformats.org/officeDocument/2006/relationships/footer" Target="footer8.xml"/><Relationship Id="rId83" Type="http://schemas.openxmlformats.org/officeDocument/2006/relationships/header" Target="header9.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yperlink" Target="https://www.spc.int/digitallibrary/get/xnc9f" TargetMode="External"/><Relationship Id="rId28" Type="http://schemas.openxmlformats.org/officeDocument/2006/relationships/hyperlink" Target="https://www.dfat.gov.au/about-us/publications/dfat-design-monitoring-evaluation-learning-standards" TargetMode="External"/><Relationship Id="rId36" Type="http://schemas.openxmlformats.org/officeDocument/2006/relationships/hyperlink" Target="https://www.dfat.gov.au/about-us/publications/dfat-design-monitoring-evaluation-learning-standards" TargetMode="External"/><Relationship Id="rId49" Type="http://schemas.openxmlformats.org/officeDocument/2006/relationships/hyperlink" Target="https://meetings.wcpfc.int/node/7345" TargetMode="External"/><Relationship Id="rId57" Type="http://schemas.openxmlformats.org/officeDocument/2006/relationships/hyperlink" Target="https://www.dfat.gov.au/publications/development/pacific-iuu-fishing-end-investment-evaluation" TargetMode="External"/><Relationship Id="rId10" Type="http://schemas.openxmlformats.org/officeDocument/2006/relationships/header" Target="header2.xml"/><Relationship Id="rId31" Type="http://schemas.openxmlformats.org/officeDocument/2006/relationships/hyperlink" Target="https://www.dfat.gov.au/about-us/publications/dfat-design-monitoring-evaluation-learning-standards" TargetMode="External"/><Relationship Id="rId44" Type="http://schemas.openxmlformats.org/officeDocument/2006/relationships/hyperlink" Target="https://www.dfat.gov.au/publications/development/pacific-communitys-fisheries-aquaculture-and-marine-ecosystems-division-spc-fame-final-report-and-management-response" TargetMode="External"/><Relationship Id="rId52" Type="http://schemas.openxmlformats.org/officeDocument/2006/relationships/image" Target="media/image9.png"/><Relationship Id="rId60" Type="http://schemas.openxmlformats.org/officeDocument/2006/relationships/hyperlink" Target="https://www.dfat.gov.au/about-us/publications/dfat-design-monitoring-evaluation-learning-standards" TargetMode="External"/><Relationship Id="rId65" Type="http://schemas.openxmlformats.org/officeDocument/2006/relationships/hyperlink" Target="https://www.spc.int/DigitalLibrary/Doc/FAME/Reports/Anon_2015_New_song_for_coastal_fisheries.pdf" TargetMode="External"/><Relationship Id="rId73" Type="http://schemas.openxmlformats.org/officeDocument/2006/relationships/footer" Target="footer6.xml"/><Relationship Id="rId78" Type="http://schemas.openxmlformats.org/officeDocument/2006/relationships/hyperlink" Target="https://www.dfat.gov.au/publications/development/office-pacific-ocean-commissioner-opoc-independent-evaluation-and-management-response" TargetMode="External"/><Relationship Id="rId81" Type="http://schemas.openxmlformats.org/officeDocument/2006/relationships/hyperlink" Target="https://www.dfat.gov.au/publications/development/pacific-communitys-fisheries-aquaculture-and-marine-ecosystems-division-spc-fame-final-report-and-management-response" TargetMode="External"/><Relationship Id="rId86"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spc.int/updates/blog/blog-post/2024/09/pioneer-milestone-in-the-pacific-regions-monitoring-and-evaluation" TargetMode="External"/><Relationship Id="rId39" Type="http://schemas.openxmlformats.org/officeDocument/2006/relationships/hyperlink" Target="https://www.dfat.gov.au/about-us/publications/Pages/community-based-fisheries-management-pacific-countries-program-ipr" TargetMode="External"/><Relationship Id="rId34" Type="http://schemas.openxmlformats.org/officeDocument/2006/relationships/hyperlink" Target="https://forumsec.org/sites/default/files/2024-03/2021%20Declaration%20on%20Preserving%20Maritime%20Zones%20in%20the%20face%20of%20Climate%20Change-related%20Sea-level%20rise.pdf" TargetMode="External"/><Relationship Id="rId50" Type="http://schemas.openxmlformats.org/officeDocument/2006/relationships/image" Target="media/image8.png"/><Relationship Id="rId55" Type="http://schemas.openxmlformats.org/officeDocument/2006/relationships/hyperlink" Target="https://www.dfat.gov.au/publications/development/office-pacific-ocean-commissioner-opoc-independent-evaluation-and-management-response" TargetMode="External"/><Relationship Id="rId76" Type="http://schemas.openxmlformats.org/officeDocument/2006/relationships/hyperlink" Target="https://www.dfat.gov.au/about-us/publications/Pages/community-based-fisheries-management-pacific-countries-program-ipr" TargetMode="External"/><Relationship Id="rId7" Type="http://schemas.openxmlformats.org/officeDocument/2006/relationships/endnotes" Target="endnotes.xml"/><Relationship Id="rId71" Type="http://schemas.openxmlformats.org/officeDocument/2006/relationships/image" Target="media/image10.png"/><Relationship Id="rId2" Type="http://schemas.openxmlformats.org/officeDocument/2006/relationships/numbering" Target="numbering.xml"/><Relationship Id="rId29" Type="http://schemas.openxmlformats.org/officeDocument/2006/relationships/hyperlink" Target="https://fameresults.org/" TargetMode="External"/><Relationship Id="rId24" Type="http://schemas.openxmlformats.org/officeDocument/2006/relationships/hyperlink" Target="https://www.researchgate.net/profile/Hugh-Govan/publication/367392153_The_Pacific_Way_of_coastal_fisheries_management_-_Status_and_progress_of_community-based_fisheries_management/links/63d109a6d7e5841e0bf763c1/The-Pacific-Way-of-coastal-fisheries-management-Status-and-progress-of-community-based-fisheries-management.pdf" TargetMode="External"/><Relationship Id="rId40" Type="http://schemas.openxmlformats.org/officeDocument/2006/relationships/hyperlink" Target="https://www.dfat.gov.au/publications/aid/mid-term-review-report-community-based-fisheries-management-phase-2-and-management-response" TargetMode="External"/><Relationship Id="rId45" Type="http://schemas.openxmlformats.org/officeDocument/2006/relationships/hyperlink" Target="https://www.dfat.gov.au/sites/default/files/ethical-research-evaluation-guidance-note.pdf" TargetMode="External"/><Relationship Id="rId66" Type="http://schemas.openxmlformats.org/officeDocument/2006/relationships/hyperlink" Target="https://www.spc.int/DigitalLibrary/Doc/FAME/Reports/SPC_24_Framework_2021_2030.pdf" TargetMode="External"/><Relationship Id="rId87" Type="http://schemas.openxmlformats.org/officeDocument/2006/relationships/image" Target="media/image12.png"/><Relationship Id="rId61" Type="http://schemas.openxmlformats.org/officeDocument/2006/relationships/hyperlink" Target="https://www.dfat.gov.au/international-relations/regional-architecture/pacific-islands/pacific-islands-regional-organisation/partnership-between-government-australia-goa-and-pacific-islands-forum-fisheries-agencies-ffa-2018-2028" TargetMode="External"/><Relationship Id="rId82" Type="http://schemas.openxmlformats.org/officeDocument/2006/relationships/hyperlink" Target="https://www.dfat.gov.au/development/performance-assessment/development-evaluation/program-evaluations" TargetMode="External"/><Relationship Id="rId19" Type="http://schemas.openxmlformats.org/officeDocument/2006/relationships/hyperlink" Target="https://www.dfat.gov.au/about-us/publications/dfat-design-monitoring-evaluation-learning-standard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footer4.xml.rels><?xml version="1.0" encoding="UTF-8" standalone="yes"?>
<Relationships xmlns="http://schemas.openxmlformats.org/package/2006/relationships"><Relationship Id="rId1" Type="http://schemas.openxmlformats.org/officeDocument/2006/relationships/image" Target="media/image5.jpg"/></Relationships>
</file>

<file path=word/_rels/footnotes.xml.rels><?xml version="1.0" encoding="UTF-8" standalone="yes"?>
<Relationships xmlns="http://schemas.openxmlformats.org/package/2006/relationships"><Relationship Id="rId8" Type="http://schemas.openxmlformats.org/officeDocument/2006/relationships/hyperlink" Target="https://www.globalpartnership.org/node/document/download?file=document/file/2020-05-review-of-design-and-implementation-experiences-of-gpe-variable-part-financing.pdf" TargetMode="External"/><Relationship Id="rId3" Type="http://schemas.openxmlformats.org/officeDocument/2006/relationships/hyperlink" Target="https://www.ffa.int/2025/08/ffa-receives-us60-million-from-the-us-under-economic-assistance-agreement/" TargetMode="External"/><Relationship Id="rId7" Type="http://schemas.openxmlformats.org/officeDocument/2006/relationships/hyperlink" Target="https://www.globalpartnership.org/node/document/download?file=sites/default/files/2019-03-gpe-guidance-note-variable-part.pdf" TargetMode="External"/><Relationship Id="rId2" Type="http://schemas.openxmlformats.org/officeDocument/2006/relationships/hyperlink" Target="https://www.globalpartnership.org/node/document/download?file=document/file/2020-05-review-of-design-and-implementation-experiences-of-gpe-variable-part-financing.pdf" TargetMode="External"/><Relationship Id="rId1" Type="http://schemas.openxmlformats.org/officeDocument/2006/relationships/hyperlink" Target="https://www.globalpartnership.org/node/document/download?file=sites/default/files/2019-03-gpe-guidance-note-variable-part.pdf" TargetMode="External"/><Relationship Id="rId6" Type="http://schemas.openxmlformats.org/officeDocument/2006/relationships/hyperlink" Target="https://www.ffa.int/2025/05/ten-years-together-celebrating-regional-solidarity-through-the-ntsa/" TargetMode="External"/><Relationship Id="rId5" Type="http://schemas.openxmlformats.org/officeDocument/2006/relationships/hyperlink" Target="https://www.defence.gov.au/defence-activities/programs-initiatives/pacific-engagement/maritime-capability" TargetMode="External"/><Relationship Id="rId10" Type="http://schemas.openxmlformats.org/officeDocument/2006/relationships/hyperlink" Target="https://www.ffa.int/download/economic-development-indicators-and-statistics/" TargetMode="External"/><Relationship Id="rId4" Type="http://schemas.openxmlformats.org/officeDocument/2006/relationships/hyperlink" Target="https://www.sciencedirect.com/science/article/abs/pii/S0308597X20306898" TargetMode="External"/><Relationship Id="rId9" Type="http://schemas.openxmlformats.org/officeDocument/2006/relationships/hyperlink" Target="https://www.ffa.int/download/economic-development-indicators-and-statistics/" TargetMode="External"/></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3A613-F773-F945-B167-5607B4B25445}">
  <ds:schemaRefs>
    <ds:schemaRef ds:uri="http://schemas.openxmlformats.org/officeDocument/2006/bibliography"/>
  </ds:schemaRefs>
</ds:datastoreItem>
</file>

<file path=docMetadata/LabelInfo.xml><?xml version="1.0" encoding="utf-8"?>
<clbl:labelList xmlns:clbl="http://schemas.microsoft.com/office/2020/mipLabelMetadata">
  <clbl:label id="{9b7f23b3-0e83-47a5-8a40-ffa8a6fea536}" enabled="0" method="" siteId="{9b7f23b3-0e83-47a5-8a40-ffa8a6fea536}"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102</Pages>
  <Words>39313</Words>
  <Characters>234072</Characters>
  <Application>Microsoft Office Word</Application>
  <DocSecurity>0</DocSecurity>
  <Lines>5127</Lines>
  <Paragraphs>1832</Paragraphs>
  <ScaleCrop>false</ScaleCrop>
  <HeadingPairs>
    <vt:vector size="2" baseType="variant">
      <vt:variant>
        <vt:lpstr>Title</vt:lpstr>
      </vt:variant>
      <vt:variant>
        <vt:i4>1</vt:i4>
      </vt:variant>
    </vt:vector>
  </HeadingPairs>
  <TitlesOfParts>
    <vt:vector size="1" baseType="lpstr">
      <vt:lpstr>Evaluation of Fisheries Development Assistance in the Pacific (INJ201)</vt:lpstr>
    </vt:vector>
  </TitlesOfParts>
  <Company/>
  <LinksUpToDate>false</LinksUpToDate>
  <CharactersWithSpaces>272086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Fisheries Development Assistance in the Pacific (INJ201)</dc:title>
  <dc:subject/>
  <dc:creator/>
  <cp:keywords>[SEC=OFFICIAL]</cp:keywords>
  <dc:description/>
  <cp:lastModifiedBy/>
  <cp:revision>1</cp:revision>
  <dcterms:created xsi:type="dcterms:W3CDTF">2026-02-05T23:39:00Z</dcterms:created>
  <dcterms:modified xsi:type="dcterms:W3CDTF">2026-02-05T23:43:00Z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OriginationTimeStamp">
    <vt:lpwstr>2025-06-27T02:52:07Z</vt:lpwstr>
  </property>
  <property fmtid="{D5CDD505-2E9C-101B-9397-08002B2CF9AE}" pid="3" name="PM_ProtectiveMarkingValue_Header">
    <vt:lpwstr>OFFICIAL</vt:lpwstr>
  </property>
  <property fmtid="{D5CDD505-2E9C-101B-9397-08002B2CF9AE}" pid="4" name="PM_InsertionValue">
    <vt:lpwstr>OFFICIAL</vt:lpwstr>
  </property>
  <property fmtid="{D5CDD505-2E9C-101B-9397-08002B2CF9AE}" pid="5" name="PM_Originator_Hash_SHA1">
    <vt:lpwstr>31FD3EAE4A251ABCF009A8ACCBAC4038715E6F10</vt:lpwstr>
  </property>
  <property fmtid="{D5CDD505-2E9C-101B-9397-08002B2CF9AE}" pid="6" name="PM_Expires">
    <vt:lpwstr/>
  </property>
  <property fmtid="{D5CDD505-2E9C-101B-9397-08002B2CF9AE}" pid="7" name="PM_DisplayValueSecClassificationWithQualifier">
    <vt:lpwstr>OFFICIAL</vt:lpwstr>
  </property>
  <property fmtid="{D5CDD505-2E9C-101B-9397-08002B2CF9AE}" pid="8" name="PM_ProtectiveMarkingValue_Footer">
    <vt:lpwstr>OFFICIAL</vt:lpwstr>
  </property>
  <property fmtid="{D5CDD505-2E9C-101B-9397-08002B2CF9AE}" pid="9" name="PM_Originating_FileId">
    <vt:lpwstr>3B3F97A893F6411880CCEC066E55A6C5</vt:lpwstr>
  </property>
  <property fmtid="{D5CDD505-2E9C-101B-9397-08002B2CF9AE}" pid="10" name="PM_ProtectiveMarkingImage_Header">
    <vt:lpwstr>C:\Program Files\Common Files\janusNET Shared\janusSEAL\Images\DocumentSlashBlue.png</vt:lpwstr>
  </property>
  <property fmtid="{D5CDD505-2E9C-101B-9397-08002B2CF9AE}" pid="11" name="PM_ProtectiveMarkingImage_Footer">
    <vt:lpwstr>C:\Program Files\Common Files\janusNET Shared\janusSEAL\Images\DocumentSlashBlue.png</vt:lpwstr>
  </property>
  <property fmtid="{D5CDD505-2E9C-101B-9397-08002B2CF9AE}" pid="12" name="PM_Display">
    <vt:lpwstr>OFFICIAL</vt:lpwstr>
  </property>
  <property fmtid="{D5CDD505-2E9C-101B-9397-08002B2CF9AE}" pid="13" name="PM_OriginatorUserAccountName_SHA256">
    <vt:lpwstr>91EA69836A306F65000D7711B40DDACB57150DAE7AC7FEFA95158BE89FCA2A6B</vt:lpwstr>
  </property>
  <property fmtid="{D5CDD505-2E9C-101B-9397-08002B2CF9AE}" pid="14" name="PM_OriginatorDomainName_SHA256">
    <vt:lpwstr>6F3591835F3B2A8A025B00B5BA6418010DA3A17C9C26EA9C049FFD28039489A2</vt:lpwstr>
  </property>
  <property fmtid="{D5CDD505-2E9C-101B-9397-08002B2CF9AE}" pid="15" name="PMUuid">
    <vt:lpwstr>v=2022.2;d=gov.au;g=46DD6D7C-8107-577B-BC6E-F348953B2E44</vt:lpwstr>
  </property>
  <property fmtid="{D5CDD505-2E9C-101B-9397-08002B2CF9AE}" pid="16" name="PM_Hash_Version">
    <vt:lpwstr>2022.1</vt:lpwstr>
  </property>
  <property fmtid="{D5CDD505-2E9C-101B-9397-08002B2CF9AE}" pid="17" name="PM_Hash_Salt_Prev">
    <vt:lpwstr>4A9F7A8BC156E6FD0AD8BE3E2F5C38A8</vt:lpwstr>
  </property>
  <property fmtid="{D5CDD505-2E9C-101B-9397-08002B2CF9AE}" pid="18" name="PM_Hash_Salt">
    <vt:lpwstr>7B1562B1937CE685B0BC3E91ABFE3C69</vt:lpwstr>
  </property>
  <property fmtid="{D5CDD505-2E9C-101B-9397-08002B2CF9AE}" pid="19" name="PM_Hash_SHA1">
    <vt:lpwstr>78BEB0226B9C1F5EF4A5A90767F7D970A21BF3CB</vt:lpwstr>
  </property>
  <property fmtid="{D5CDD505-2E9C-101B-9397-08002B2CF9AE}" pid="20" name="PM_SecurityClassification_Prev">
    <vt:lpwstr>OFFICIAL</vt:lpwstr>
  </property>
  <property fmtid="{D5CDD505-2E9C-101B-9397-08002B2CF9AE}" pid="21" name="PM_Qualifier_Prev">
    <vt:lpwstr/>
  </property>
  <property fmtid="{D5CDD505-2E9C-101B-9397-08002B2CF9AE}" pid="22" name="PM_Namespace">
    <vt:lpwstr>gov.au</vt:lpwstr>
  </property>
  <property fmtid="{D5CDD505-2E9C-101B-9397-08002B2CF9AE}" pid="23" name="PM_Version">
    <vt:lpwstr>2018.4</vt:lpwstr>
  </property>
  <property fmtid="{D5CDD505-2E9C-101B-9397-08002B2CF9AE}" pid="24" name="PM_SecurityClassification">
    <vt:lpwstr>OFFICIAL</vt:lpwstr>
  </property>
  <property fmtid="{D5CDD505-2E9C-101B-9397-08002B2CF9AE}" pid="25" name="PMHMAC">
    <vt:lpwstr>v=2022.1;a=SHA256;h=8E4B041F43487A41FEA570357A9D9E62761EEEF6FB89BDFA6AEB52FE24B51731</vt:lpwstr>
  </property>
  <property fmtid="{D5CDD505-2E9C-101B-9397-08002B2CF9AE}" pid="26" name="PM_Qualifier">
    <vt:lpwstr/>
  </property>
  <property fmtid="{D5CDD505-2E9C-101B-9397-08002B2CF9AE}" pid="27" name="PM_Note">
    <vt:lpwstr/>
  </property>
  <property fmtid="{D5CDD505-2E9C-101B-9397-08002B2CF9AE}" pid="28" name="PM_Markers">
    <vt:lpwstr/>
  </property>
  <property fmtid="{D5CDD505-2E9C-101B-9397-08002B2CF9AE}" pid="29" name="PM_Caveats_Count">
    <vt:lpwstr>0</vt:lpwstr>
  </property>
  <property fmtid="{D5CDD505-2E9C-101B-9397-08002B2CF9AE}" pid="30" name="PM_DownTo">
    <vt:lpwstr/>
  </property>
</Properties>
</file>