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4839E" w14:textId="77777777" w:rsidR="00573283" w:rsidRDefault="00573283" w:rsidP="00573283">
      <w:pPr>
        <w:pStyle w:val="DocName"/>
        <w:pBdr>
          <w:top w:val="single" w:sz="4" w:space="12" w:color="FF9900"/>
          <w:bottom w:val="single" w:sz="4" w:space="9" w:color="FF9900"/>
        </w:pBdr>
        <w:shd w:val="clear" w:color="auto" w:fill="FFFFCC"/>
        <w:spacing w:line="360" w:lineRule="auto"/>
        <w:jc w:val="left"/>
        <w:rPr>
          <w:sz w:val="24"/>
          <w:lang w:eastAsia="en-AU"/>
        </w:rPr>
      </w:pPr>
      <w:bookmarkStart w:id="0" w:name="_Toc387590485"/>
      <w:bookmarkStart w:id="1" w:name="_Toc399104601"/>
      <w:bookmarkStart w:id="2" w:name="_GoBack"/>
      <w:bookmarkEnd w:id="2"/>
      <w:r>
        <w:rPr>
          <w:b w:val="0"/>
          <w:bCs w:val="0"/>
          <w:noProof/>
          <w:lang w:eastAsia="en-AU"/>
        </w:rPr>
        <w:drawing>
          <wp:inline distT="0" distB="0" distL="0" distR="0" wp14:anchorId="059E40AD" wp14:editId="2323F0A9">
            <wp:extent cx="2513621" cy="440578"/>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usaid_logo-sm"/>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560643" cy="448820"/>
                    </a:xfrm>
                    <a:prstGeom prst="rect">
                      <a:avLst/>
                    </a:prstGeom>
                    <a:noFill/>
                    <a:ln>
                      <a:noFill/>
                    </a:ln>
                  </pic:spPr>
                </pic:pic>
              </a:graphicData>
            </a:graphic>
          </wp:inline>
        </w:drawing>
      </w:r>
    </w:p>
    <w:p w14:paraId="219A425B" w14:textId="77777777" w:rsidR="00573283" w:rsidRDefault="00573283" w:rsidP="00573283">
      <w:pPr>
        <w:pStyle w:val="DocName"/>
        <w:pBdr>
          <w:top w:val="single" w:sz="4" w:space="12" w:color="FF9900"/>
          <w:bottom w:val="single" w:sz="4" w:space="9" w:color="FF9900"/>
        </w:pBdr>
        <w:shd w:val="clear" w:color="auto" w:fill="FFFFCC"/>
        <w:spacing w:before="240" w:line="360" w:lineRule="auto"/>
        <w:rPr>
          <w:sz w:val="24"/>
          <w:lang w:eastAsia="en-AU"/>
        </w:rPr>
      </w:pPr>
      <w:r w:rsidRPr="004A17FE">
        <w:rPr>
          <w:sz w:val="24"/>
          <w:lang w:eastAsia="en-AU"/>
        </w:rPr>
        <w:t xml:space="preserve">Investment Design </w:t>
      </w:r>
      <w:r>
        <w:rPr>
          <w:sz w:val="24"/>
          <w:lang w:eastAsia="en-AU"/>
        </w:rPr>
        <w:t xml:space="preserve">Document </w:t>
      </w:r>
    </w:p>
    <w:p w14:paraId="35F05D7F" w14:textId="77777777" w:rsidR="008375F7" w:rsidRDefault="008375F7" w:rsidP="00573283">
      <w:pPr>
        <w:pStyle w:val="DocName"/>
        <w:pBdr>
          <w:top w:val="single" w:sz="4" w:space="12" w:color="FF9900"/>
          <w:bottom w:val="single" w:sz="4" w:space="9" w:color="FF9900"/>
        </w:pBdr>
        <w:shd w:val="clear" w:color="auto" w:fill="FFFFCC"/>
        <w:spacing w:line="360" w:lineRule="auto"/>
        <w:rPr>
          <w:sz w:val="24"/>
          <w:lang w:eastAsia="en-AU"/>
        </w:rPr>
      </w:pPr>
      <w:proofErr w:type="gramStart"/>
      <w:r>
        <w:rPr>
          <w:sz w:val="24"/>
          <w:lang w:eastAsia="en-AU"/>
        </w:rPr>
        <w:t>f</w:t>
      </w:r>
      <w:r w:rsidR="00573283" w:rsidRPr="004A17FE">
        <w:rPr>
          <w:sz w:val="24"/>
          <w:lang w:eastAsia="en-AU"/>
        </w:rPr>
        <w:t>or</w:t>
      </w:r>
      <w:proofErr w:type="gramEnd"/>
      <w:r>
        <w:rPr>
          <w:sz w:val="24"/>
          <w:lang w:eastAsia="en-AU"/>
        </w:rPr>
        <w:t xml:space="preserve"> </w:t>
      </w:r>
    </w:p>
    <w:p w14:paraId="613FB311" w14:textId="77777777" w:rsidR="008375F7" w:rsidRDefault="0051249A" w:rsidP="00573283">
      <w:pPr>
        <w:pStyle w:val="DocName"/>
        <w:pBdr>
          <w:top w:val="single" w:sz="4" w:space="12" w:color="FF9900"/>
          <w:bottom w:val="single" w:sz="4" w:space="9" w:color="FF9900"/>
        </w:pBdr>
        <w:shd w:val="clear" w:color="auto" w:fill="FFFFCC"/>
        <w:spacing w:line="360" w:lineRule="auto"/>
        <w:rPr>
          <w:sz w:val="24"/>
          <w:lang w:eastAsia="en-AU"/>
        </w:rPr>
      </w:pPr>
      <w:proofErr w:type="gramStart"/>
      <w:r>
        <w:rPr>
          <w:sz w:val="24"/>
          <w:lang w:eastAsia="en-AU"/>
        </w:rPr>
        <w:t>the</w:t>
      </w:r>
      <w:proofErr w:type="gramEnd"/>
      <w:r>
        <w:rPr>
          <w:sz w:val="24"/>
          <w:lang w:eastAsia="en-AU"/>
        </w:rPr>
        <w:t xml:space="preserve"> </w:t>
      </w:r>
      <w:r w:rsidR="0025246F">
        <w:rPr>
          <w:sz w:val="24"/>
          <w:lang w:eastAsia="en-AU"/>
        </w:rPr>
        <w:t>Extractive</w:t>
      </w:r>
      <w:r w:rsidR="00690CDA">
        <w:rPr>
          <w:sz w:val="24"/>
          <w:lang w:eastAsia="en-AU"/>
        </w:rPr>
        <w:t>s</w:t>
      </w:r>
      <w:r>
        <w:rPr>
          <w:sz w:val="24"/>
          <w:lang w:eastAsia="en-AU"/>
        </w:rPr>
        <w:t xml:space="preserve"> for Growth Component </w:t>
      </w:r>
    </w:p>
    <w:p w14:paraId="63C57C86" w14:textId="77777777" w:rsidR="0051249A" w:rsidRDefault="0051249A" w:rsidP="00573283">
      <w:pPr>
        <w:pStyle w:val="DocName"/>
        <w:pBdr>
          <w:top w:val="single" w:sz="4" w:space="12" w:color="FF9900"/>
          <w:bottom w:val="single" w:sz="4" w:space="9" w:color="FF9900"/>
        </w:pBdr>
        <w:shd w:val="clear" w:color="auto" w:fill="FFFFCC"/>
        <w:spacing w:line="360" w:lineRule="auto"/>
        <w:rPr>
          <w:sz w:val="24"/>
          <w:lang w:eastAsia="en-AU"/>
        </w:rPr>
      </w:pPr>
      <w:proofErr w:type="gramStart"/>
      <w:r>
        <w:rPr>
          <w:sz w:val="24"/>
          <w:lang w:eastAsia="en-AU"/>
        </w:rPr>
        <w:t>of</w:t>
      </w:r>
      <w:proofErr w:type="gramEnd"/>
      <w:r>
        <w:rPr>
          <w:sz w:val="24"/>
          <w:lang w:eastAsia="en-AU"/>
        </w:rPr>
        <w:t xml:space="preserve"> </w:t>
      </w:r>
    </w:p>
    <w:p w14:paraId="2A47095B" w14:textId="77777777" w:rsidR="00573283" w:rsidRPr="004A17FE" w:rsidRDefault="0051249A" w:rsidP="00573283">
      <w:pPr>
        <w:pStyle w:val="DocName"/>
        <w:pBdr>
          <w:top w:val="single" w:sz="4" w:space="12" w:color="FF9900"/>
          <w:bottom w:val="single" w:sz="4" w:space="9" w:color="FF9900"/>
        </w:pBdr>
        <w:shd w:val="clear" w:color="auto" w:fill="FFFFCC"/>
        <w:spacing w:line="360" w:lineRule="auto"/>
        <w:rPr>
          <w:sz w:val="24"/>
          <w:lang w:eastAsia="en-AU"/>
        </w:rPr>
      </w:pPr>
      <w:proofErr w:type="gramStart"/>
      <w:r>
        <w:rPr>
          <w:sz w:val="24"/>
          <w:lang w:eastAsia="en-AU"/>
        </w:rPr>
        <w:t>the</w:t>
      </w:r>
      <w:proofErr w:type="gramEnd"/>
      <w:r>
        <w:rPr>
          <w:sz w:val="24"/>
          <w:lang w:eastAsia="en-AU"/>
        </w:rPr>
        <w:t xml:space="preserve"> </w:t>
      </w:r>
      <w:r w:rsidR="00C97EF2">
        <w:rPr>
          <w:sz w:val="24"/>
          <w:lang w:eastAsia="en-AU"/>
        </w:rPr>
        <w:t>Australia–</w:t>
      </w:r>
      <w:r w:rsidR="00573283">
        <w:rPr>
          <w:sz w:val="24"/>
          <w:lang w:eastAsia="en-AU"/>
        </w:rPr>
        <w:t>Africa Development Program</w:t>
      </w:r>
    </w:p>
    <w:p w14:paraId="023EB863" w14:textId="77777777" w:rsidR="00573283" w:rsidRPr="004A17FE" w:rsidRDefault="00573283" w:rsidP="004E4D1C">
      <w:pPr>
        <w:pStyle w:val="BodyText"/>
      </w:pPr>
    </w:p>
    <w:tbl>
      <w:tblPr>
        <w:tblpPr w:leftFromText="180" w:rightFromText="180" w:vertAnchor="text" w:horzAnchor="margin" w:tblpXSpec="center" w:tblpY="225"/>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9286"/>
      </w:tblGrid>
      <w:tr w:rsidR="00573283" w:rsidRPr="00573283" w14:paraId="61ED1059" w14:textId="77777777" w:rsidTr="00573283">
        <w:trPr>
          <w:cantSplit/>
          <w:trHeight w:val="289"/>
        </w:trPr>
        <w:tc>
          <w:tcPr>
            <w:tcW w:w="5000" w:type="pct"/>
            <w:tcBorders>
              <w:bottom w:val="single" w:sz="4" w:space="0" w:color="808080"/>
            </w:tcBorders>
            <w:shd w:val="clear" w:color="auto" w:fill="FFFF99"/>
          </w:tcPr>
          <w:p w14:paraId="3B3456A7" w14:textId="77777777" w:rsidR="00573283" w:rsidRPr="00573283" w:rsidRDefault="0025246F" w:rsidP="0051249A">
            <w:pPr>
              <w:spacing w:before="60"/>
              <w:rPr>
                <w:b/>
                <w:i/>
              </w:rPr>
            </w:pPr>
            <w:r>
              <w:rPr>
                <w:b/>
                <w:szCs w:val="22"/>
              </w:rPr>
              <w:t>Extractive</w:t>
            </w:r>
            <w:r w:rsidR="00690CDA">
              <w:rPr>
                <w:b/>
                <w:szCs w:val="22"/>
              </w:rPr>
              <w:t>s</w:t>
            </w:r>
            <w:r w:rsidR="0051249A">
              <w:rPr>
                <w:b/>
                <w:szCs w:val="22"/>
              </w:rPr>
              <w:t xml:space="preserve"> for Growth</w:t>
            </w:r>
          </w:p>
        </w:tc>
      </w:tr>
      <w:tr w:rsidR="00573283" w:rsidRPr="00573283" w14:paraId="2EFBC5E8" w14:textId="77777777" w:rsidTr="00573283">
        <w:tblPrEx>
          <w:shd w:val="clear" w:color="auto" w:fill="FFFFFF"/>
          <w:tblCellMar>
            <w:top w:w="28" w:type="dxa"/>
            <w:bottom w:w="28" w:type="dxa"/>
          </w:tblCellMar>
        </w:tblPrEx>
        <w:trPr>
          <w:cantSplit/>
          <w:trHeight w:val="360"/>
        </w:trPr>
        <w:tc>
          <w:tcPr>
            <w:tcW w:w="5000" w:type="pct"/>
            <w:tcBorders>
              <w:top w:val="single" w:sz="4" w:space="0" w:color="808080"/>
              <w:left w:val="single" w:sz="4" w:space="0" w:color="808080"/>
              <w:bottom w:val="single" w:sz="4" w:space="0" w:color="808080"/>
              <w:right w:val="single" w:sz="4" w:space="0" w:color="808080"/>
            </w:tcBorders>
            <w:shd w:val="clear" w:color="auto" w:fill="FFFFCC"/>
          </w:tcPr>
          <w:p w14:paraId="5E990258" w14:textId="77777777" w:rsidR="00573283" w:rsidRPr="00573283" w:rsidRDefault="00573283" w:rsidP="00EB151B">
            <w:pPr>
              <w:spacing w:before="60"/>
              <w:rPr>
                <w:b/>
                <w:szCs w:val="22"/>
              </w:rPr>
            </w:pPr>
            <w:r w:rsidRPr="00573283">
              <w:rPr>
                <w:b/>
                <w:szCs w:val="22"/>
              </w:rPr>
              <w:t>Start date: &lt;Enter here&gt;</w:t>
            </w:r>
            <w:r w:rsidRPr="00573283">
              <w:rPr>
                <w:b/>
                <w:szCs w:val="22"/>
              </w:rPr>
              <w:tab/>
            </w:r>
            <w:r w:rsidRPr="00573283">
              <w:rPr>
                <w:b/>
                <w:szCs w:val="22"/>
              </w:rPr>
              <w:tab/>
              <w:t>End Date: &lt;Enter here&gt;</w:t>
            </w:r>
          </w:p>
        </w:tc>
      </w:tr>
      <w:tr w:rsidR="00573283" w:rsidRPr="00573283" w14:paraId="4B35B257" w14:textId="77777777" w:rsidTr="00573283">
        <w:tblPrEx>
          <w:shd w:val="clear" w:color="auto" w:fill="FFFFFF"/>
          <w:tblCellMar>
            <w:top w:w="28" w:type="dxa"/>
            <w:bottom w:w="28" w:type="dxa"/>
          </w:tblCellMar>
        </w:tblPrEx>
        <w:trPr>
          <w:cantSplit/>
          <w:trHeight w:val="360"/>
        </w:trPr>
        <w:tc>
          <w:tcPr>
            <w:tcW w:w="5000" w:type="pct"/>
            <w:tcBorders>
              <w:top w:val="single" w:sz="4" w:space="0" w:color="808080"/>
              <w:left w:val="single" w:sz="4" w:space="0" w:color="808080"/>
              <w:bottom w:val="single" w:sz="4" w:space="0" w:color="808080"/>
              <w:right w:val="single" w:sz="4" w:space="0" w:color="808080"/>
            </w:tcBorders>
            <w:shd w:val="clear" w:color="auto" w:fill="FFFFCC"/>
          </w:tcPr>
          <w:p w14:paraId="0BE42A41" w14:textId="77777777" w:rsidR="00573283" w:rsidRPr="00573283" w:rsidRDefault="00573283" w:rsidP="00C97EF2">
            <w:pPr>
              <w:spacing w:before="60"/>
              <w:rPr>
                <w:b/>
                <w:szCs w:val="22"/>
              </w:rPr>
            </w:pPr>
            <w:r w:rsidRPr="00573283">
              <w:rPr>
                <w:b/>
                <w:szCs w:val="22"/>
              </w:rPr>
              <w:t>Proposed funding allocation: AU$</w:t>
            </w:r>
            <w:r w:rsidR="00A74049">
              <w:rPr>
                <w:b/>
                <w:szCs w:val="22"/>
              </w:rPr>
              <w:t>62</w:t>
            </w:r>
            <w:r w:rsidR="00C97EF2">
              <w:rPr>
                <w:b/>
                <w:szCs w:val="22"/>
              </w:rPr>
              <w:t xml:space="preserve"> million over a four-</w:t>
            </w:r>
            <w:r w:rsidRPr="00573283">
              <w:rPr>
                <w:b/>
                <w:szCs w:val="22"/>
              </w:rPr>
              <w:t>year term</w:t>
            </w:r>
          </w:p>
        </w:tc>
      </w:tr>
      <w:tr w:rsidR="00573283" w:rsidRPr="00573283" w14:paraId="4A9F0207" w14:textId="77777777" w:rsidTr="00573283">
        <w:tblPrEx>
          <w:shd w:val="clear" w:color="auto" w:fill="FFFFFF"/>
          <w:tblCellMar>
            <w:top w:w="28" w:type="dxa"/>
            <w:bottom w:w="28" w:type="dxa"/>
          </w:tblCellMar>
        </w:tblPrEx>
        <w:trPr>
          <w:cantSplit/>
          <w:trHeight w:val="360"/>
        </w:trPr>
        <w:tc>
          <w:tcPr>
            <w:tcW w:w="5000" w:type="pct"/>
            <w:tcBorders>
              <w:top w:val="single" w:sz="4" w:space="0" w:color="808080"/>
              <w:left w:val="single" w:sz="4" w:space="0" w:color="808080"/>
              <w:bottom w:val="single" w:sz="4" w:space="0" w:color="808080"/>
              <w:right w:val="single" w:sz="4" w:space="0" w:color="808080"/>
            </w:tcBorders>
            <w:shd w:val="clear" w:color="auto" w:fill="FFFFCC"/>
          </w:tcPr>
          <w:p w14:paraId="66078C52" w14:textId="77777777" w:rsidR="00573283" w:rsidRPr="00573283" w:rsidRDefault="00573283" w:rsidP="00EB151B">
            <w:pPr>
              <w:spacing w:before="60"/>
              <w:rPr>
                <w:b/>
                <w:szCs w:val="22"/>
              </w:rPr>
            </w:pPr>
            <w:r w:rsidRPr="00573283">
              <w:rPr>
                <w:b/>
                <w:szCs w:val="22"/>
              </w:rPr>
              <w:t>Investment Concept (IC) approved by: &lt;FADG Name&gt;</w:t>
            </w:r>
            <w:r w:rsidRPr="00573283">
              <w:rPr>
                <w:b/>
                <w:szCs w:val="22"/>
              </w:rPr>
              <w:tab/>
              <w:t>IC Endorsed by SPC: Yes/No/NA</w:t>
            </w:r>
          </w:p>
        </w:tc>
      </w:tr>
      <w:tr w:rsidR="00573283" w:rsidRPr="00573283" w14:paraId="76515BC8" w14:textId="77777777" w:rsidTr="00573283">
        <w:tblPrEx>
          <w:shd w:val="clear" w:color="auto" w:fill="FFFFFF"/>
          <w:tblCellMar>
            <w:top w:w="28" w:type="dxa"/>
            <w:bottom w:w="28" w:type="dxa"/>
          </w:tblCellMar>
        </w:tblPrEx>
        <w:trPr>
          <w:cantSplit/>
          <w:trHeight w:val="360"/>
        </w:trPr>
        <w:tc>
          <w:tcPr>
            <w:tcW w:w="5000" w:type="pct"/>
            <w:tcBorders>
              <w:top w:val="single" w:sz="4" w:space="0" w:color="808080"/>
              <w:left w:val="single" w:sz="4" w:space="0" w:color="808080"/>
              <w:bottom w:val="single" w:sz="4" w:space="0" w:color="808080"/>
              <w:right w:val="single" w:sz="4" w:space="0" w:color="808080"/>
            </w:tcBorders>
            <w:shd w:val="clear" w:color="auto" w:fill="FFFFCC"/>
          </w:tcPr>
          <w:p w14:paraId="511D9105" w14:textId="77777777" w:rsidR="00573283" w:rsidRPr="00573283" w:rsidRDefault="00573283" w:rsidP="00EB151B">
            <w:pPr>
              <w:spacing w:before="60"/>
              <w:rPr>
                <w:b/>
                <w:szCs w:val="22"/>
              </w:rPr>
            </w:pPr>
            <w:r w:rsidRPr="00573283">
              <w:rPr>
                <w:b/>
                <w:szCs w:val="22"/>
              </w:rPr>
              <w:t>Quality Assurance (QA) Completed:</w:t>
            </w:r>
            <w:r w:rsidR="005B3032">
              <w:rPr>
                <w:b/>
                <w:szCs w:val="22"/>
              </w:rPr>
              <w:t xml:space="preserve"> </w:t>
            </w:r>
            <w:r w:rsidRPr="00573283">
              <w:rPr>
                <w:b/>
                <w:szCs w:val="22"/>
              </w:rPr>
              <w:t>&lt;Enter QA processes completed e.g. peer review&gt;</w:t>
            </w:r>
          </w:p>
        </w:tc>
      </w:tr>
    </w:tbl>
    <w:p w14:paraId="2A3B083C" w14:textId="77777777" w:rsidR="00573283" w:rsidRPr="00EC5B9F" w:rsidRDefault="00573283" w:rsidP="00573283">
      <w:pPr>
        <w:rPr>
          <w:lang w:eastAsia="en-AU"/>
        </w:rPr>
      </w:pPr>
    </w:p>
    <w:p w14:paraId="35B7B3F3" w14:textId="77777777" w:rsidR="00573283" w:rsidRPr="00EC5B9F" w:rsidRDefault="00573283" w:rsidP="00573283">
      <w:pPr>
        <w:pStyle w:val="List-number-1"/>
        <w:numPr>
          <w:ilvl w:val="0"/>
          <w:numId w:val="0"/>
        </w:numPr>
        <w:spacing w:before="80"/>
        <w:jc w:val="both"/>
      </w:pPr>
    </w:p>
    <w:p w14:paraId="637F360F" w14:textId="77777777" w:rsidR="000F5341" w:rsidRDefault="000F5341" w:rsidP="000F5341">
      <w:pPr>
        <w:pStyle w:val="BodyText"/>
      </w:pPr>
    </w:p>
    <w:p w14:paraId="2249D3EA" w14:textId="77777777" w:rsidR="007E43F1" w:rsidRDefault="007E43F1">
      <w:pPr>
        <w:spacing w:before="0"/>
        <w:rPr>
          <w:lang w:eastAsia="en-AU"/>
        </w:rPr>
        <w:sectPr w:rsidR="007E43F1" w:rsidSect="009C7197">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568" w:footer="430" w:gutter="0"/>
          <w:cols w:space="708"/>
          <w:docGrid w:linePitch="360"/>
        </w:sectPr>
      </w:pPr>
    </w:p>
    <w:p w14:paraId="05537228" w14:textId="77777777" w:rsidR="002E748B" w:rsidRDefault="002E748B" w:rsidP="00455992">
      <w:pPr>
        <w:pStyle w:val="TableofContents"/>
        <w:spacing w:before="0" w:after="240"/>
        <w:rPr>
          <w:lang w:eastAsia="en-AU"/>
        </w:rPr>
      </w:pPr>
      <w:r>
        <w:rPr>
          <w:lang w:eastAsia="en-AU"/>
        </w:rPr>
        <w:lastRenderedPageBreak/>
        <w:t>Table of Contents</w:t>
      </w:r>
    </w:p>
    <w:p w14:paraId="1028E4A1" w14:textId="77777777" w:rsidR="00767E76" w:rsidRDefault="00E71325">
      <w:pPr>
        <w:pStyle w:val="TOC1"/>
        <w:rPr>
          <w:rFonts w:asciiTheme="minorHAnsi" w:eastAsiaTheme="minorEastAsia" w:hAnsiTheme="minorHAnsi" w:cstheme="minorBidi"/>
          <w:b w:val="0"/>
          <w:noProof/>
          <w:sz w:val="22"/>
          <w:szCs w:val="22"/>
          <w:lang w:eastAsia="en-AU"/>
        </w:rPr>
      </w:pPr>
      <w:r>
        <w:rPr>
          <w:lang w:eastAsia="en-AU"/>
        </w:rPr>
        <w:fldChar w:fldCharType="begin"/>
      </w:r>
      <w:r>
        <w:rPr>
          <w:lang w:eastAsia="en-AU"/>
        </w:rPr>
        <w:instrText xml:space="preserve"> TOC \o "1-2" \h \z \u </w:instrText>
      </w:r>
      <w:r>
        <w:rPr>
          <w:lang w:eastAsia="en-AU"/>
        </w:rPr>
        <w:fldChar w:fldCharType="separate"/>
      </w:r>
      <w:hyperlink w:anchor="_Toc401578413" w:history="1">
        <w:r w:rsidR="00767E76" w:rsidRPr="00606ACE">
          <w:rPr>
            <w:rStyle w:val="Hyperlink"/>
            <w:noProof/>
          </w:rPr>
          <w:t>1</w:t>
        </w:r>
        <w:r w:rsidR="00767E76">
          <w:rPr>
            <w:rFonts w:asciiTheme="minorHAnsi" w:eastAsiaTheme="minorEastAsia" w:hAnsiTheme="minorHAnsi" w:cstheme="minorBidi"/>
            <w:b w:val="0"/>
            <w:noProof/>
            <w:sz w:val="22"/>
            <w:szCs w:val="22"/>
            <w:lang w:eastAsia="en-AU"/>
          </w:rPr>
          <w:tab/>
        </w:r>
        <w:r w:rsidR="00767E76" w:rsidRPr="00606ACE">
          <w:rPr>
            <w:rStyle w:val="Hyperlink"/>
            <w:noProof/>
          </w:rPr>
          <w:t>Executive Summary</w:t>
        </w:r>
        <w:r w:rsidR="00767E76">
          <w:rPr>
            <w:noProof/>
            <w:webHidden/>
          </w:rPr>
          <w:tab/>
        </w:r>
        <w:r w:rsidR="00767E76">
          <w:rPr>
            <w:noProof/>
            <w:webHidden/>
          </w:rPr>
          <w:fldChar w:fldCharType="begin"/>
        </w:r>
        <w:r w:rsidR="00767E76">
          <w:rPr>
            <w:noProof/>
            <w:webHidden/>
          </w:rPr>
          <w:instrText xml:space="preserve"> PAGEREF _Toc401578413 \h </w:instrText>
        </w:r>
        <w:r w:rsidR="00767E76">
          <w:rPr>
            <w:noProof/>
            <w:webHidden/>
          </w:rPr>
        </w:r>
        <w:r w:rsidR="00767E76">
          <w:rPr>
            <w:noProof/>
            <w:webHidden/>
          </w:rPr>
          <w:fldChar w:fldCharType="separate"/>
        </w:r>
        <w:r w:rsidR="00767E76">
          <w:rPr>
            <w:noProof/>
            <w:webHidden/>
          </w:rPr>
          <w:t>1</w:t>
        </w:r>
        <w:r w:rsidR="00767E76">
          <w:rPr>
            <w:noProof/>
            <w:webHidden/>
          </w:rPr>
          <w:fldChar w:fldCharType="end"/>
        </w:r>
      </w:hyperlink>
    </w:p>
    <w:p w14:paraId="0BD7A8F1" w14:textId="77777777" w:rsidR="00767E76" w:rsidRDefault="00940EEC">
      <w:pPr>
        <w:pStyle w:val="TOC1"/>
        <w:rPr>
          <w:rFonts w:asciiTheme="minorHAnsi" w:eastAsiaTheme="minorEastAsia" w:hAnsiTheme="minorHAnsi" w:cstheme="minorBidi"/>
          <w:b w:val="0"/>
          <w:noProof/>
          <w:sz w:val="22"/>
          <w:szCs w:val="22"/>
          <w:lang w:eastAsia="en-AU"/>
        </w:rPr>
      </w:pPr>
      <w:hyperlink w:anchor="_Toc401578414" w:history="1">
        <w:r w:rsidR="00767E76" w:rsidRPr="00606ACE">
          <w:rPr>
            <w:rStyle w:val="Hyperlink"/>
            <w:noProof/>
          </w:rPr>
          <w:t>2</w:t>
        </w:r>
        <w:r w:rsidR="00767E76">
          <w:rPr>
            <w:rFonts w:asciiTheme="minorHAnsi" w:eastAsiaTheme="minorEastAsia" w:hAnsiTheme="minorHAnsi" w:cstheme="minorBidi"/>
            <w:b w:val="0"/>
            <w:noProof/>
            <w:sz w:val="22"/>
            <w:szCs w:val="22"/>
            <w:lang w:eastAsia="en-AU"/>
          </w:rPr>
          <w:tab/>
        </w:r>
        <w:r w:rsidR="00767E76" w:rsidRPr="00606ACE">
          <w:rPr>
            <w:rStyle w:val="Hyperlink"/>
            <w:noProof/>
          </w:rPr>
          <w:t>Analysis and Strategic Context</w:t>
        </w:r>
        <w:r w:rsidR="00767E76">
          <w:rPr>
            <w:noProof/>
            <w:webHidden/>
          </w:rPr>
          <w:tab/>
        </w:r>
        <w:r w:rsidR="00767E76">
          <w:rPr>
            <w:noProof/>
            <w:webHidden/>
          </w:rPr>
          <w:fldChar w:fldCharType="begin"/>
        </w:r>
        <w:r w:rsidR="00767E76">
          <w:rPr>
            <w:noProof/>
            <w:webHidden/>
          </w:rPr>
          <w:instrText xml:space="preserve"> PAGEREF _Toc401578414 \h </w:instrText>
        </w:r>
        <w:r w:rsidR="00767E76">
          <w:rPr>
            <w:noProof/>
            <w:webHidden/>
          </w:rPr>
        </w:r>
        <w:r w:rsidR="00767E76">
          <w:rPr>
            <w:noProof/>
            <w:webHidden/>
          </w:rPr>
          <w:fldChar w:fldCharType="separate"/>
        </w:r>
        <w:r w:rsidR="00767E76">
          <w:rPr>
            <w:noProof/>
            <w:webHidden/>
          </w:rPr>
          <w:t>5</w:t>
        </w:r>
        <w:r w:rsidR="00767E76">
          <w:rPr>
            <w:noProof/>
            <w:webHidden/>
          </w:rPr>
          <w:fldChar w:fldCharType="end"/>
        </w:r>
      </w:hyperlink>
    </w:p>
    <w:p w14:paraId="6B78DEB8" w14:textId="77777777" w:rsidR="00767E76" w:rsidRDefault="00940EEC">
      <w:pPr>
        <w:pStyle w:val="TOC2"/>
        <w:rPr>
          <w:rFonts w:asciiTheme="minorHAnsi" w:eastAsiaTheme="minorEastAsia" w:hAnsiTheme="minorHAnsi" w:cstheme="minorBidi"/>
          <w:sz w:val="22"/>
          <w:szCs w:val="22"/>
          <w:lang w:eastAsia="en-AU"/>
        </w:rPr>
      </w:pPr>
      <w:hyperlink w:anchor="_Toc401578415" w:history="1">
        <w:r w:rsidR="00767E76" w:rsidRPr="00606ACE">
          <w:rPr>
            <w:rStyle w:val="Hyperlink"/>
          </w:rPr>
          <w:t>2.1</w:t>
        </w:r>
        <w:r w:rsidR="00767E76">
          <w:rPr>
            <w:rFonts w:asciiTheme="minorHAnsi" w:eastAsiaTheme="minorEastAsia" w:hAnsiTheme="minorHAnsi" w:cstheme="minorBidi"/>
            <w:sz w:val="22"/>
            <w:szCs w:val="22"/>
            <w:lang w:eastAsia="en-AU"/>
          </w:rPr>
          <w:tab/>
        </w:r>
        <w:r w:rsidR="00767E76" w:rsidRPr="00606ACE">
          <w:rPr>
            <w:rStyle w:val="Hyperlink"/>
          </w:rPr>
          <w:t>Development Problem / Issue Analysis</w:t>
        </w:r>
        <w:r w:rsidR="00767E76">
          <w:rPr>
            <w:webHidden/>
          </w:rPr>
          <w:tab/>
        </w:r>
        <w:r w:rsidR="00767E76">
          <w:rPr>
            <w:webHidden/>
          </w:rPr>
          <w:fldChar w:fldCharType="begin"/>
        </w:r>
        <w:r w:rsidR="00767E76">
          <w:rPr>
            <w:webHidden/>
          </w:rPr>
          <w:instrText xml:space="preserve"> PAGEREF _Toc401578415 \h </w:instrText>
        </w:r>
        <w:r w:rsidR="00767E76">
          <w:rPr>
            <w:webHidden/>
          </w:rPr>
        </w:r>
        <w:r w:rsidR="00767E76">
          <w:rPr>
            <w:webHidden/>
          </w:rPr>
          <w:fldChar w:fldCharType="separate"/>
        </w:r>
        <w:r w:rsidR="00767E76">
          <w:rPr>
            <w:webHidden/>
          </w:rPr>
          <w:t>5</w:t>
        </w:r>
        <w:r w:rsidR="00767E76">
          <w:rPr>
            <w:webHidden/>
          </w:rPr>
          <w:fldChar w:fldCharType="end"/>
        </w:r>
      </w:hyperlink>
    </w:p>
    <w:p w14:paraId="17052964" w14:textId="77777777" w:rsidR="00767E76" w:rsidRDefault="00940EEC">
      <w:pPr>
        <w:pStyle w:val="TOC2"/>
        <w:rPr>
          <w:rFonts w:asciiTheme="minorHAnsi" w:eastAsiaTheme="minorEastAsia" w:hAnsiTheme="minorHAnsi" w:cstheme="minorBidi"/>
          <w:sz w:val="22"/>
          <w:szCs w:val="22"/>
          <w:lang w:eastAsia="en-AU"/>
        </w:rPr>
      </w:pPr>
      <w:hyperlink w:anchor="_Toc401578416" w:history="1">
        <w:r w:rsidR="00767E76" w:rsidRPr="00606ACE">
          <w:rPr>
            <w:rStyle w:val="Hyperlink"/>
          </w:rPr>
          <w:t>2.2</w:t>
        </w:r>
        <w:r w:rsidR="00767E76">
          <w:rPr>
            <w:rFonts w:asciiTheme="minorHAnsi" w:eastAsiaTheme="minorEastAsia" w:hAnsiTheme="minorHAnsi" w:cstheme="minorBidi"/>
            <w:sz w:val="22"/>
            <w:szCs w:val="22"/>
            <w:lang w:eastAsia="en-AU"/>
          </w:rPr>
          <w:tab/>
        </w:r>
        <w:r w:rsidR="00767E76" w:rsidRPr="00606ACE">
          <w:rPr>
            <w:rStyle w:val="Hyperlink"/>
          </w:rPr>
          <w:t>What others are doing to address the problem</w:t>
        </w:r>
        <w:r w:rsidR="00767E76">
          <w:rPr>
            <w:webHidden/>
          </w:rPr>
          <w:tab/>
        </w:r>
        <w:r w:rsidR="00767E76">
          <w:rPr>
            <w:webHidden/>
          </w:rPr>
          <w:fldChar w:fldCharType="begin"/>
        </w:r>
        <w:r w:rsidR="00767E76">
          <w:rPr>
            <w:webHidden/>
          </w:rPr>
          <w:instrText xml:space="preserve"> PAGEREF _Toc401578416 \h </w:instrText>
        </w:r>
        <w:r w:rsidR="00767E76">
          <w:rPr>
            <w:webHidden/>
          </w:rPr>
        </w:r>
        <w:r w:rsidR="00767E76">
          <w:rPr>
            <w:webHidden/>
          </w:rPr>
          <w:fldChar w:fldCharType="separate"/>
        </w:r>
        <w:r w:rsidR="00767E76">
          <w:rPr>
            <w:webHidden/>
          </w:rPr>
          <w:t>7</w:t>
        </w:r>
        <w:r w:rsidR="00767E76">
          <w:rPr>
            <w:webHidden/>
          </w:rPr>
          <w:fldChar w:fldCharType="end"/>
        </w:r>
      </w:hyperlink>
    </w:p>
    <w:p w14:paraId="3C118E10" w14:textId="77777777" w:rsidR="00767E76" w:rsidRDefault="00940EEC">
      <w:pPr>
        <w:pStyle w:val="TOC2"/>
        <w:rPr>
          <w:rFonts w:asciiTheme="minorHAnsi" w:eastAsiaTheme="minorEastAsia" w:hAnsiTheme="minorHAnsi" w:cstheme="minorBidi"/>
          <w:sz w:val="22"/>
          <w:szCs w:val="22"/>
          <w:lang w:eastAsia="en-AU"/>
        </w:rPr>
      </w:pPr>
      <w:hyperlink w:anchor="_Toc401578417" w:history="1">
        <w:r w:rsidR="00767E76" w:rsidRPr="00606ACE">
          <w:rPr>
            <w:rStyle w:val="Hyperlink"/>
          </w:rPr>
          <w:t>2.3</w:t>
        </w:r>
        <w:r w:rsidR="00767E76">
          <w:rPr>
            <w:rFonts w:asciiTheme="minorHAnsi" w:eastAsiaTheme="minorEastAsia" w:hAnsiTheme="minorHAnsi" w:cstheme="minorBidi"/>
            <w:sz w:val="22"/>
            <w:szCs w:val="22"/>
            <w:lang w:eastAsia="en-AU"/>
          </w:rPr>
          <w:tab/>
        </w:r>
        <w:r w:rsidR="00767E76" w:rsidRPr="00606ACE">
          <w:rPr>
            <w:rStyle w:val="Hyperlink"/>
          </w:rPr>
          <w:t>Lessons Learned / Evidence Base</w:t>
        </w:r>
        <w:r w:rsidR="00767E76">
          <w:rPr>
            <w:webHidden/>
          </w:rPr>
          <w:tab/>
        </w:r>
        <w:r w:rsidR="00767E76">
          <w:rPr>
            <w:webHidden/>
          </w:rPr>
          <w:fldChar w:fldCharType="begin"/>
        </w:r>
        <w:r w:rsidR="00767E76">
          <w:rPr>
            <w:webHidden/>
          </w:rPr>
          <w:instrText xml:space="preserve"> PAGEREF _Toc401578417 \h </w:instrText>
        </w:r>
        <w:r w:rsidR="00767E76">
          <w:rPr>
            <w:webHidden/>
          </w:rPr>
        </w:r>
        <w:r w:rsidR="00767E76">
          <w:rPr>
            <w:webHidden/>
          </w:rPr>
          <w:fldChar w:fldCharType="separate"/>
        </w:r>
        <w:r w:rsidR="00767E76">
          <w:rPr>
            <w:webHidden/>
          </w:rPr>
          <w:t>7</w:t>
        </w:r>
        <w:r w:rsidR="00767E76">
          <w:rPr>
            <w:webHidden/>
          </w:rPr>
          <w:fldChar w:fldCharType="end"/>
        </w:r>
      </w:hyperlink>
    </w:p>
    <w:p w14:paraId="0883C027" w14:textId="77777777" w:rsidR="00767E76" w:rsidRDefault="00940EEC">
      <w:pPr>
        <w:pStyle w:val="TOC2"/>
        <w:rPr>
          <w:rFonts w:asciiTheme="minorHAnsi" w:eastAsiaTheme="minorEastAsia" w:hAnsiTheme="minorHAnsi" w:cstheme="minorBidi"/>
          <w:sz w:val="22"/>
          <w:szCs w:val="22"/>
          <w:lang w:eastAsia="en-AU"/>
        </w:rPr>
      </w:pPr>
      <w:hyperlink w:anchor="_Toc401578418" w:history="1">
        <w:r w:rsidR="00767E76" w:rsidRPr="00606ACE">
          <w:rPr>
            <w:rStyle w:val="Hyperlink"/>
          </w:rPr>
          <w:t>2.4</w:t>
        </w:r>
        <w:r w:rsidR="00767E76">
          <w:rPr>
            <w:rFonts w:asciiTheme="minorHAnsi" w:eastAsiaTheme="minorEastAsia" w:hAnsiTheme="minorHAnsi" w:cstheme="minorBidi"/>
            <w:sz w:val="22"/>
            <w:szCs w:val="22"/>
            <w:lang w:eastAsia="en-AU"/>
          </w:rPr>
          <w:tab/>
        </w:r>
        <w:r w:rsidR="00767E76" w:rsidRPr="00606ACE">
          <w:rPr>
            <w:rStyle w:val="Hyperlink"/>
          </w:rPr>
          <w:t>Why DFAT should focus on this problem at this time</w:t>
        </w:r>
        <w:r w:rsidR="00767E76">
          <w:rPr>
            <w:webHidden/>
          </w:rPr>
          <w:tab/>
        </w:r>
        <w:r w:rsidR="00767E76">
          <w:rPr>
            <w:webHidden/>
          </w:rPr>
          <w:fldChar w:fldCharType="begin"/>
        </w:r>
        <w:r w:rsidR="00767E76">
          <w:rPr>
            <w:webHidden/>
          </w:rPr>
          <w:instrText xml:space="preserve"> PAGEREF _Toc401578418 \h </w:instrText>
        </w:r>
        <w:r w:rsidR="00767E76">
          <w:rPr>
            <w:webHidden/>
          </w:rPr>
        </w:r>
        <w:r w:rsidR="00767E76">
          <w:rPr>
            <w:webHidden/>
          </w:rPr>
          <w:fldChar w:fldCharType="separate"/>
        </w:r>
        <w:r w:rsidR="00767E76">
          <w:rPr>
            <w:webHidden/>
          </w:rPr>
          <w:t>8</w:t>
        </w:r>
        <w:r w:rsidR="00767E76">
          <w:rPr>
            <w:webHidden/>
          </w:rPr>
          <w:fldChar w:fldCharType="end"/>
        </w:r>
      </w:hyperlink>
    </w:p>
    <w:p w14:paraId="416F3E75" w14:textId="77777777" w:rsidR="00767E76" w:rsidRDefault="00940EEC">
      <w:pPr>
        <w:pStyle w:val="TOC1"/>
        <w:rPr>
          <w:rFonts w:asciiTheme="minorHAnsi" w:eastAsiaTheme="minorEastAsia" w:hAnsiTheme="minorHAnsi" w:cstheme="minorBidi"/>
          <w:b w:val="0"/>
          <w:noProof/>
          <w:sz w:val="22"/>
          <w:szCs w:val="22"/>
          <w:lang w:eastAsia="en-AU"/>
        </w:rPr>
      </w:pPr>
      <w:hyperlink w:anchor="_Toc401578419" w:history="1">
        <w:r w:rsidR="00767E76" w:rsidRPr="00606ACE">
          <w:rPr>
            <w:rStyle w:val="Hyperlink"/>
            <w:noProof/>
          </w:rPr>
          <w:t>3</w:t>
        </w:r>
        <w:r w:rsidR="00767E76">
          <w:rPr>
            <w:rFonts w:asciiTheme="minorHAnsi" w:eastAsiaTheme="minorEastAsia" w:hAnsiTheme="minorHAnsi" w:cstheme="minorBidi"/>
            <w:b w:val="0"/>
            <w:noProof/>
            <w:sz w:val="22"/>
            <w:szCs w:val="22"/>
            <w:lang w:eastAsia="en-AU"/>
          </w:rPr>
          <w:tab/>
        </w:r>
        <w:r w:rsidR="00767E76" w:rsidRPr="00606ACE">
          <w:rPr>
            <w:rStyle w:val="Hyperlink"/>
            <w:noProof/>
          </w:rPr>
          <w:t>E4G Component Investment Description</w:t>
        </w:r>
        <w:r w:rsidR="00767E76">
          <w:rPr>
            <w:noProof/>
            <w:webHidden/>
          </w:rPr>
          <w:tab/>
        </w:r>
        <w:r w:rsidR="00767E76">
          <w:rPr>
            <w:noProof/>
            <w:webHidden/>
          </w:rPr>
          <w:fldChar w:fldCharType="begin"/>
        </w:r>
        <w:r w:rsidR="00767E76">
          <w:rPr>
            <w:noProof/>
            <w:webHidden/>
          </w:rPr>
          <w:instrText xml:space="preserve"> PAGEREF _Toc401578419 \h </w:instrText>
        </w:r>
        <w:r w:rsidR="00767E76">
          <w:rPr>
            <w:noProof/>
            <w:webHidden/>
          </w:rPr>
        </w:r>
        <w:r w:rsidR="00767E76">
          <w:rPr>
            <w:noProof/>
            <w:webHidden/>
          </w:rPr>
          <w:fldChar w:fldCharType="separate"/>
        </w:r>
        <w:r w:rsidR="00767E76">
          <w:rPr>
            <w:noProof/>
            <w:webHidden/>
          </w:rPr>
          <w:t>8</w:t>
        </w:r>
        <w:r w:rsidR="00767E76">
          <w:rPr>
            <w:noProof/>
            <w:webHidden/>
          </w:rPr>
          <w:fldChar w:fldCharType="end"/>
        </w:r>
      </w:hyperlink>
    </w:p>
    <w:p w14:paraId="63BBE15F" w14:textId="77777777" w:rsidR="00767E76" w:rsidRDefault="00940EEC">
      <w:pPr>
        <w:pStyle w:val="TOC2"/>
        <w:rPr>
          <w:rFonts w:asciiTheme="minorHAnsi" w:eastAsiaTheme="minorEastAsia" w:hAnsiTheme="minorHAnsi" w:cstheme="minorBidi"/>
          <w:sz w:val="22"/>
          <w:szCs w:val="22"/>
          <w:lang w:eastAsia="en-AU"/>
        </w:rPr>
      </w:pPr>
      <w:hyperlink w:anchor="_Toc401578420" w:history="1">
        <w:r w:rsidR="00767E76" w:rsidRPr="00606ACE">
          <w:rPr>
            <w:rStyle w:val="Hyperlink"/>
          </w:rPr>
          <w:t>3.1</w:t>
        </w:r>
        <w:r w:rsidR="00767E76">
          <w:rPr>
            <w:rFonts w:asciiTheme="minorHAnsi" w:eastAsiaTheme="minorEastAsia" w:hAnsiTheme="minorHAnsi" w:cstheme="minorBidi"/>
            <w:sz w:val="22"/>
            <w:szCs w:val="22"/>
            <w:lang w:eastAsia="en-AU"/>
          </w:rPr>
          <w:tab/>
        </w:r>
        <w:r w:rsidR="00767E76" w:rsidRPr="00606ACE">
          <w:rPr>
            <w:rStyle w:val="Hyperlink"/>
          </w:rPr>
          <w:t>Description</w:t>
        </w:r>
        <w:r w:rsidR="00767E76">
          <w:rPr>
            <w:webHidden/>
          </w:rPr>
          <w:tab/>
        </w:r>
        <w:r w:rsidR="00767E76">
          <w:rPr>
            <w:webHidden/>
          </w:rPr>
          <w:fldChar w:fldCharType="begin"/>
        </w:r>
        <w:r w:rsidR="00767E76">
          <w:rPr>
            <w:webHidden/>
          </w:rPr>
          <w:instrText xml:space="preserve"> PAGEREF _Toc401578420 \h </w:instrText>
        </w:r>
        <w:r w:rsidR="00767E76">
          <w:rPr>
            <w:webHidden/>
          </w:rPr>
        </w:r>
        <w:r w:rsidR="00767E76">
          <w:rPr>
            <w:webHidden/>
          </w:rPr>
          <w:fldChar w:fldCharType="separate"/>
        </w:r>
        <w:r w:rsidR="00767E76">
          <w:rPr>
            <w:webHidden/>
          </w:rPr>
          <w:t>8</w:t>
        </w:r>
        <w:r w:rsidR="00767E76">
          <w:rPr>
            <w:webHidden/>
          </w:rPr>
          <w:fldChar w:fldCharType="end"/>
        </w:r>
      </w:hyperlink>
    </w:p>
    <w:p w14:paraId="39C1F5AB" w14:textId="77777777" w:rsidR="00767E76" w:rsidRDefault="00940EEC">
      <w:pPr>
        <w:pStyle w:val="TOC2"/>
        <w:rPr>
          <w:rFonts w:asciiTheme="minorHAnsi" w:eastAsiaTheme="minorEastAsia" w:hAnsiTheme="minorHAnsi" w:cstheme="minorBidi"/>
          <w:sz w:val="22"/>
          <w:szCs w:val="22"/>
          <w:lang w:eastAsia="en-AU"/>
        </w:rPr>
      </w:pPr>
      <w:hyperlink w:anchor="_Toc401578421" w:history="1">
        <w:r w:rsidR="00767E76" w:rsidRPr="00606ACE">
          <w:rPr>
            <w:rStyle w:val="Hyperlink"/>
          </w:rPr>
          <w:t>3.2</w:t>
        </w:r>
        <w:r w:rsidR="00767E76">
          <w:rPr>
            <w:rFonts w:asciiTheme="minorHAnsi" w:eastAsiaTheme="minorEastAsia" w:hAnsiTheme="minorHAnsi" w:cstheme="minorBidi"/>
            <w:sz w:val="22"/>
            <w:szCs w:val="22"/>
            <w:lang w:eastAsia="en-AU"/>
          </w:rPr>
          <w:tab/>
        </w:r>
        <w:r w:rsidR="00767E76" w:rsidRPr="00606ACE">
          <w:rPr>
            <w:rStyle w:val="Hyperlink"/>
          </w:rPr>
          <w:t>Goal, Objective and Outcomes</w:t>
        </w:r>
        <w:r w:rsidR="00767E76">
          <w:rPr>
            <w:webHidden/>
          </w:rPr>
          <w:tab/>
        </w:r>
        <w:r w:rsidR="00767E76">
          <w:rPr>
            <w:webHidden/>
          </w:rPr>
          <w:fldChar w:fldCharType="begin"/>
        </w:r>
        <w:r w:rsidR="00767E76">
          <w:rPr>
            <w:webHidden/>
          </w:rPr>
          <w:instrText xml:space="preserve"> PAGEREF _Toc401578421 \h </w:instrText>
        </w:r>
        <w:r w:rsidR="00767E76">
          <w:rPr>
            <w:webHidden/>
          </w:rPr>
        </w:r>
        <w:r w:rsidR="00767E76">
          <w:rPr>
            <w:webHidden/>
          </w:rPr>
          <w:fldChar w:fldCharType="separate"/>
        </w:r>
        <w:r w:rsidR="00767E76">
          <w:rPr>
            <w:webHidden/>
          </w:rPr>
          <w:t>9</w:t>
        </w:r>
        <w:r w:rsidR="00767E76">
          <w:rPr>
            <w:webHidden/>
          </w:rPr>
          <w:fldChar w:fldCharType="end"/>
        </w:r>
      </w:hyperlink>
    </w:p>
    <w:p w14:paraId="60FA7A22" w14:textId="77777777" w:rsidR="00767E76" w:rsidRDefault="00940EEC">
      <w:pPr>
        <w:pStyle w:val="TOC2"/>
        <w:rPr>
          <w:rFonts w:asciiTheme="minorHAnsi" w:eastAsiaTheme="minorEastAsia" w:hAnsiTheme="minorHAnsi" w:cstheme="minorBidi"/>
          <w:sz w:val="22"/>
          <w:szCs w:val="22"/>
          <w:lang w:eastAsia="en-AU"/>
        </w:rPr>
      </w:pPr>
      <w:hyperlink w:anchor="_Toc401578422" w:history="1">
        <w:r w:rsidR="00767E76" w:rsidRPr="00606ACE">
          <w:rPr>
            <w:rStyle w:val="Hyperlink"/>
          </w:rPr>
          <w:t>3.3</w:t>
        </w:r>
        <w:r w:rsidR="00767E76">
          <w:rPr>
            <w:rFonts w:asciiTheme="minorHAnsi" w:eastAsiaTheme="minorEastAsia" w:hAnsiTheme="minorHAnsi" w:cstheme="minorBidi"/>
            <w:sz w:val="22"/>
            <w:szCs w:val="22"/>
            <w:lang w:eastAsia="en-AU"/>
          </w:rPr>
          <w:tab/>
        </w:r>
        <w:r w:rsidR="00767E76" w:rsidRPr="00606ACE">
          <w:rPr>
            <w:rStyle w:val="Hyperlink"/>
          </w:rPr>
          <w:t>Delivery Approach</w:t>
        </w:r>
        <w:r w:rsidR="00767E76">
          <w:rPr>
            <w:webHidden/>
          </w:rPr>
          <w:tab/>
        </w:r>
        <w:r w:rsidR="00767E76">
          <w:rPr>
            <w:webHidden/>
          </w:rPr>
          <w:fldChar w:fldCharType="begin"/>
        </w:r>
        <w:r w:rsidR="00767E76">
          <w:rPr>
            <w:webHidden/>
          </w:rPr>
          <w:instrText xml:space="preserve"> PAGEREF _Toc401578422 \h </w:instrText>
        </w:r>
        <w:r w:rsidR="00767E76">
          <w:rPr>
            <w:webHidden/>
          </w:rPr>
        </w:r>
        <w:r w:rsidR="00767E76">
          <w:rPr>
            <w:webHidden/>
          </w:rPr>
          <w:fldChar w:fldCharType="separate"/>
        </w:r>
        <w:r w:rsidR="00767E76">
          <w:rPr>
            <w:webHidden/>
          </w:rPr>
          <w:t>11</w:t>
        </w:r>
        <w:r w:rsidR="00767E76">
          <w:rPr>
            <w:webHidden/>
          </w:rPr>
          <w:fldChar w:fldCharType="end"/>
        </w:r>
      </w:hyperlink>
    </w:p>
    <w:p w14:paraId="042C6277" w14:textId="77777777" w:rsidR="00767E76" w:rsidRDefault="00940EEC">
      <w:pPr>
        <w:pStyle w:val="TOC2"/>
        <w:rPr>
          <w:rFonts w:asciiTheme="minorHAnsi" w:eastAsiaTheme="minorEastAsia" w:hAnsiTheme="minorHAnsi" w:cstheme="minorBidi"/>
          <w:sz w:val="22"/>
          <w:szCs w:val="22"/>
          <w:lang w:eastAsia="en-AU"/>
        </w:rPr>
      </w:pPr>
      <w:hyperlink w:anchor="_Toc401578423" w:history="1">
        <w:r w:rsidR="00767E76" w:rsidRPr="00606ACE">
          <w:rPr>
            <w:rStyle w:val="Hyperlink"/>
          </w:rPr>
          <w:t>3.4</w:t>
        </w:r>
        <w:r w:rsidR="00767E76">
          <w:rPr>
            <w:rFonts w:asciiTheme="minorHAnsi" w:eastAsiaTheme="minorEastAsia" w:hAnsiTheme="minorHAnsi" w:cstheme="minorBidi"/>
            <w:sz w:val="22"/>
            <w:szCs w:val="22"/>
            <w:lang w:eastAsia="en-AU"/>
          </w:rPr>
          <w:tab/>
        </w:r>
        <w:r w:rsidR="00767E76" w:rsidRPr="00606ACE">
          <w:rPr>
            <w:rStyle w:val="Hyperlink"/>
          </w:rPr>
          <w:t>Resources</w:t>
        </w:r>
        <w:r w:rsidR="00767E76">
          <w:rPr>
            <w:webHidden/>
          </w:rPr>
          <w:tab/>
        </w:r>
        <w:r w:rsidR="00767E76">
          <w:rPr>
            <w:webHidden/>
          </w:rPr>
          <w:fldChar w:fldCharType="begin"/>
        </w:r>
        <w:r w:rsidR="00767E76">
          <w:rPr>
            <w:webHidden/>
          </w:rPr>
          <w:instrText xml:space="preserve"> PAGEREF _Toc401578423 \h </w:instrText>
        </w:r>
        <w:r w:rsidR="00767E76">
          <w:rPr>
            <w:webHidden/>
          </w:rPr>
        </w:r>
        <w:r w:rsidR="00767E76">
          <w:rPr>
            <w:webHidden/>
          </w:rPr>
          <w:fldChar w:fldCharType="separate"/>
        </w:r>
        <w:r w:rsidR="00767E76">
          <w:rPr>
            <w:webHidden/>
          </w:rPr>
          <w:t>12</w:t>
        </w:r>
        <w:r w:rsidR="00767E76">
          <w:rPr>
            <w:webHidden/>
          </w:rPr>
          <w:fldChar w:fldCharType="end"/>
        </w:r>
      </w:hyperlink>
    </w:p>
    <w:p w14:paraId="35CA293A" w14:textId="77777777" w:rsidR="00767E76" w:rsidRDefault="00940EEC">
      <w:pPr>
        <w:pStyle w:val="TOC1"/>
        <w:rPr>
          <w:rFonts w:asciiTheme="minorHAnsi" w:eastAsiaTheme="minorEastAsia" w:hAnsiTheme="minorHAnsi" w:cstheme="minorBidi"/>
          <w:b w:val="0"/>
          <w:noProof/>
          <w:sz w:val="22"/>
          <w:szCs w:val="22"/>
          <w:lang w:eastAsia="en-AU"/>
        </w:rPr>
      </w:pPr>
      <w:hyperlink w:anchor="_Toc401578424" w:history="1">
        <w:r w:rsidR="00767E76" w:rsidRPr="00606ACE">
          <w:rPr>
            <w:rStyle w:val="Hyperlink"/>
            <w:noProof/>
          </w:rPr>
          <w:t>4</w:t>
        </w:r>
        <w:r w:rsidR="00767E76">
          <w:rPr>
            <w:rFonts w:asciiTheme="minorHAnsi" w:eastAsiaTheme="minorEastAsia" w:hAnsiTheme="minorHAnsi" w:cstheme="minorBidi"/>
            <w:b w:val="0"/>
            <w:noProof/>
            <w:sz w:val="22"/>
            <w:szCs w:val="22"/>
            <w:lang w:eastAsia="en-AU"/>
          </w:rPr>
          <w:tab/>
        </w:r>
        <w:r w:rsidR="00767E76" w:rsidRPr="00606ACE">
          <w:rPr>
            <w:rStyle w:val="Hyperlink"/>
            <w:noProof/>
          </w:rPr>
          <w:t>Implementation Arrangements</w:t>
        </w:r>
        <w:r w:rsidR="00767E76">
          <w:rPr>
            <w:noProof/>
            <w:webHidden/>
          </w:rPr>
          <w:tab/>
        </w:r>
        <w:r w:rsidR="00767E76">
          <w:rPr>
            <w:noProof/>
            <w:webHidden/>
          </w:rPr>
          <w:fldChar w:fldCharType="begin"/>
        </w:r>
        <w:r w:rsidR="00767E76">
          <w:rPr>
            <w:noProof/>
            <w:webHidden/>
          </w:rPr>
          <w:instrText xml:space="preserve"> PAGEREF _Toc401578424 \h </w:instrText>
        </w:r>
        <w:r w:rsidR="00767E76">
          <w:rPr>
            <w:noProof/>
            <w:webHidden/>
          </w:rPr>
        </w:r>
        <w:r w:rsidR="00767E76">
          <w:rPr>
            <w:noProof/>
            <w:webHidden/>
          </w:rPr>
          <w:fldChar w:fldCharType="separate"/>
        </w:r>
        <w:r w:rsidR="00767E76">
          <w:rPr>
            <w:noProof/>
            <w:webHidden/>
          </w:rPr>
          <w:t>13</w:t>
        </w:r>
        <w:r w:rsidR="00767E76">
          <w:rPr>
            <w:noProof/>
            <w:webHidden/>
          </w:rPr>
          <w:fldChar w:fldCharType="end"/>
        </w:r>
      </w:hyperlink>
    </w:p>
    <w:p w14:paraId="279C602D" w14:textId="77777777" w:rsidR="00767E76" w:rsidRDefault="00940EEC">
      <w:pPr>
        <w:pStyle w:val="TOC2"/>
        <w:rPr>
          <w:rFonts w:asciiTheme="minorHAnsi" w:eastAsiaTheme="minorEastAsia" w:hAnsiTheme="minorHAnsi" w:cstheme="minorBidi"/>
          <w:sz w:val="22"/>
          <w:szCs w:val="22"/>
          <w:lang w:eastAsia="en-AU"/>
        </w:rPr>
      </w:pPr>
      <w:hyperlink w:anchor="_Toc401578425" w:history="1">
        <w:r w:rsidR="00767E76" w:rsidRPr="00606ACE">
          <w:rPr>
            <w:rStyle w:val="Hyperlink"/>
          </w:rPr>
          <w:t>4.1</w:t>
        </w:r>
        <w:r w:rsidR="00767E76">
          <w:rPr>
            <w:rFonts w:asciiTheme="minorHAnsi" w:eastAsiaTheme="minorEastAsia" w:hAnsiTheme="minorHAnsi" w:cstheme="minorBidi"/>
            <w:sz w:val="22"/>
            <w:szCs w:val="22"/>
            <w:lang w:eastAsia="en-AU"/>
          </w:rPr>
          <w:tab/>
        </w:r>
        <w:r w:rsidR="00767E76" w:rsidRPr="00606ACE">
          <w:rPr>
            <w:rStyle w:val="Hyperlink"/>
          </w:rPr>
          <w:t>Principles of Engagement</w:t>
        </w:r>
        <w:r w:rsidR="00767E76">
          <w:rPr>
            <w:webHidden/>
          </w:rPr>
          <w:tab/>
        </w:r>
        <w:r w:rsidR="00767E76">
          <w:rPr>
            <w:webHidden/>
          </w:rPr>
          <w:fldChar w:fldCharType="begin"/>
        </w:r>
        <w:r w:rsidR="00767E76">
          <w:rPr>
            <w:webHidden/>
          </w:rPr>
          <w:instrText xml:space="preserve"> PAGEREF _Toc401578425 \h </w:instrText>
        </w:r>
        <w:r w:rsidR="00767E76">
          <w:rPr>
            <w:webHidden/>
          </w:rPr>
        </w:r>
        <w:r w:rsidR="00767E76">
          <w:rPr>
            <w:webHidden/>
          </w:rPr>
          <w:fldChar w:fldCharType="separate"/>
        </w:r>
        <w:r w:rsidR="00767E76">
          <w:rPr>
            <w:webHidden/>
          </w:rPr>
          <w:t>13</w:t>
        </w:r>
        <w:r w:rsidR="00767E76">
          <w:rPr>
            <w:webHidden/>
          </w:rPr>
          <w:fldChar w:fldCharType="end"/>
        </w:r>
      </w:hyperlink>
    </w:p>
    <w:p w14:paraId="35226A7A" w14:textId="77777777" w:rsidR="00767E76" w:rsidRDefault="00940EEC">
      <w:pPr>
        <w:pStyle w:val="TOC2"/>
        <w:rPr>
          <w:rFonts w:asciiTheme="minorHAnsi" w:eastAsiaTheme="minorEastAsia" w:hAnsiTheme="minorHAnsi" w:cstheme="minorBidi"/>
          <w:sz w:val="22"/>
          <w:szCs w:val="22"/>
          <w:lang w:eastAsia="en-AU"/>
        </w:rPr>
      </w:pPr>
      <w:hyperlink w:anchor="_Toc401578426" w:history="1">
        <w:r w:rsidR="00767E76" w:rsidRPr="00606ACE">
          <w:rPr>
            <w:rStyle w:val="Hyperlink"/>
          </w:rPr>
          <w:t>4.2</w:t>
        </w:r>
        <w:r w:rsidR="00767E76">
          <w:rPr>
            <w:rFonts w:asciiTheme="minorHAnsi" w:eastAsiaTheme="minorEastAsia" w:hAnsiTheme="minorHAnsi" w:cstheme="minorBidi"/>
            <w:sz w:val="22"/>
            <w:szCs w:val="22"/>
            <w:lang w:eastAsia="en-AU"/>
          </w:rPr>
          <w:tab/>
        </w:r>
        <w:r w:rsidR="00767E76" w:rsidRPr="00606ACE">
          <w:rPr>
            <w:rStyle w:val="Hyperlink"/>
          </w:rPr>
          <w:t>Management and Governance Arrangements and Structure</w:t>
        </w:r>
        <w:r w:rsidR="00767E76">
          <w:rPr>
            <w:webHidden/>
          </w:rPr>
          <w:tab/>
        </w:r>
        <w:r w:rsidR="00767E76">
          <w:rPr>
            <w:webHidden/>
          </w:rPr>
          <w:fldChar w:fldCharType="begin"/>
        </w:r>
        <w:r w:rsidR="00767E76">
          <w:rPr>
            <w:webHidden/>
          </w:rPr>
          <w:instrText xml:space="preserve"> PAGEREF _Toc401578426 \h </w:instrText>
        </w:r>
        <w:r w:rsidR="00767E76">
          <w:rPr>
            <w:webHidden/>
          </w:rPr>
        </w:r>
        <w:r w:rsidR="00767E76">
          <w:rPr>
            <w:webHidden/>
          </w:rPr>
          <w:fldChar w:fldCharType="separate"/>
        </w:r>
        <w:r w:rsidR="00767E76">
          <w:rPr>
            <w:webHidden/>
          </w:rPr>
          <w:t>14</w:t>
        </w:r>
        <w:r w:rsidR="00767E76">
          <w:rPr>
            <w:webHidden/>
          </w:rPr>
          <w:fldChar w:fldCharType="end"/>
        </w:r>
      </w:hyperlink>
    </w:p>
    <w:p w14:paraId="045B92C8" w14:textId="77777777" w:rsidR="00767E76" w:rsidRDefault="00940EEC">
      <w:pPr>
        <w:pStyle w:val="TOC2"/>
        <w:rPr>
          <w:rFonts w:asciiTheme="minorHAnsi" w:eastAsiaTheme="minorEastAsia" w:hAnsiTheme="minorHAnsi" w:cstheme="minorBidi"/>
          <w:sz w:val="22"/>
          <w:szCs w:val="22"/>
          <w:lang w:eastAsia="en-AU"/>
        </w:rPr>
      </w:pPr>
      <w:hyperlink w:anchor="_Toc401578427" w:history="1">
        <w:r w:rsidR="00767E76" w:rsidRPr="00606ACE">
          <w:rPr>
            <w:rStyle w:val="Hyperlink"/>
          </w:rPr>
          <w:t>4.3</w:t>
        </w:r>
        <w:r w:rsidR="00767E76">
          <w:rPr>
            <w:rFonts w:asciiTheme="minorHAnsi" w:eastAsiaTheme="minorEastAsia" w:hAnsiTheme="minorHAnsi" w:cstheme="minorBidi"/>
            <w:sz w:val="22"/>
            <w:szCs w:val="22"/>
            <w:lang w:eastAsia="en-AU"/>
          </w:rPr>
          <w:tab/>
        </w:r>
        <w:r w:rsidR="00767E76" w:rsidRPr="00606ACE">
          <w:rPr>
            <w:rStyle w:val="Hyperlink"/>
          </w:rPr>
          <w:t>Monitoring and Evaluation and Quality Assurance</w:t>
        </w:r>
        <w:r w:rsidR="00767E76">
          <w:rPr>
            <w:webHidden/>
          </w:rPr>
          <w:tab/>
        </w:r>
        <w:r w:rsidR="00767E76">
          <w:rPr>
            <w:webHidden/>
          </w:rPr>
          <w:fldChar w:fldCharType="begin"/>
        </w:r>
        <w:r w:rsidR="00767E76">
          <w:rPr>
            <w:webHidden/>
          </w:rPr>
          <w:instrText xml:space="preserve"> PAGEREF _Toc401578427 \h </w:instrText>
        </w:r>
        <w:r w:rsidR="00767E76">
          <w:rPr>
            <w:webHidden/>
          </w:rPr>
        </w:r>
        <w:r w:rsidR="00767E76">
          <w:rPr>
            <w:webHidden/>
          </w:rPr>
          <w:fldChar w:fldCharType="separate"/>
        </w:r>
        <w:r w:rsidR="00767E76">
          <w:rPr>
            <w:webHidden/>
          </w:rPr>
          <w:t>15</w:t>
        </w:r>
        <w:r w:rsidR="00767E76">
          <w:rPr>
            <w:webHidden/>
          </w:rPr>
          <w:fldChar w:fldCharType="end"/>
        </w:r>
      </w:hyperlink>
    </w:p>
    <w:p w14:paraId="481AA892" w14:textId="77777777" w:rsidR="00767E76" w:rsidRDefault="00940EEC">
      <w:pPr>
        <w:pStyle w:val="TOC2"/>
        <w:rPr>
          <w:rFonts w:asciiTheme="minorHAnsi" w:eastAsiaTheme="minorEastAsia" w:hAnsiTheme="minorHAnsi" w:cstheme="minorBidi"/>
          <w:sz w:val="22"/>
          <w:szCs w:val="22"/>
          <w:lang w:eastAsia="en-AU"/>
        </w:rPr>
      </w:pPr>
      <w:hyperlink w:anchor="_Toc401578428" w:history="1">
        <w:r w:rsidR="00767E76" w:rsidRPr="00606ACE">
          <w:rPr>
            <w:rStyle w:val="Hyperlink"/>
          </w:rPr>
          <w:t>4.4</w:t>
        </w:r>
        <w:r w:rsidR="00767E76">
          <w:rPr>
            <w:rFonts w:asciiTheme="minorHAnsi" w:eastAsiaTheme="minorEastAsia" w:hAnsiTheme="minorHAnsi" w:cstheme="minorBidi"/>
            <w:sz w:val="22"/>
            <w:szCs w:val="22"/>
            <w:lang w:eastAsia="en-AU"/>
          </w:rPr>
          <w:tab/>
        </w:r>
        <w:r w:rsidR="00767E76" w:rsidRPr="00606ACE">
          <w:rPr>
            <w:rStyle w:val="Hyperlink"/>
          </w:rPr>
          <w:t>Inclusiveness – Integrating Cross-Cutting Issues</w:t>
        </w:r>
        <w:r w:rsidR="00767E76">
          <w:rPr>
            <w:webHidden/>
          </w:rPr>
          <w:tab/>
        </w:r>
        <w:r w:rsidR="00767E76">
          <w:rPr>
            <w:webHidden/>
          </w:rPr>
          <w:fldChar w:fldCharType="begin"/>
        </w:r>
        <w:r w:rsidR="00767E76">
          <w:rPr>
            <w:webHidden/>
          </w:rPr>
          <w:instrText xml:space="preserve"> PAGEREF _Toc401578428 \h </w:instrText>
        </w:r>
        <w:r w:rsidR="00767E76">
          <w:rPr>
            <w:webHidden/>
          </w:rPr>
        </w:r>
        <w:r w:rsidR="00767E76">
          <w:rPr>
            <w:webHidden/>
          </w:rPr>
          <w:fldChar w:fldCharType="separate"/>
        </w:r>
        <w:r w:rsidR="00767E76">
          <w:rPr>
            <w:webHidden/>
          </w:rPr>
          <w:t>16</w:t>
        </w:r>
        <w:r w:rsidR="00767E76">
          <w:rPr>
            <w:webHidden/>
          </w:rPr>
          <w:fldChar w:fldCharType="end"/>
        </w:r>
      </w:hyperlink>
    </w:p>
    <w:p w14:paraId="41C1BF6E" w14:textId="77777777" w:rsidR="00767E76" w:rsidRDefault="00940EEC">
      <w:pPr>
        <w:pStyle w:val="TOC2"/>
        <w:rPr>
          <w:rFonts w:asciiTheme="minorHAnsi" w:eastAsiaTheme="minorEastAsia" w:hAnsiTheme="minorHAnsi" w:cstheme="minorBidi"/>
          <w:sz w:val="22"/>
          <w:szCs w:val="22"/>
          <w:lang w:eastAsia="en-AU"/>
        </w:rPr>
      </w:pPr>
      <w:hyperlink w:anchor="_Toc401578429" w:history="1">
        <w:r w:rsidR="00767E76" w:rsidRPr="00606ACE">
          <w:rPr>
            <w:rStyle w:val="Hyperlink"/>
          </w:rPr>
          <w:t>4.5</w:t>
        </w:r>
        <w:r w:rsidR="00767E76">
          <w:rPr>
            <w:rFonts w:asciiTheme="minorHAnsi" w:eastAsiaTheme="minorEastAsia" w:hAnsiTheme="minorHAnsi" w:cstheme="minorBidi"/>
            <w:sz w:val="22"/>
            <w:szCs w:val="22"/>
            <w:lang w:eastAsia="en-AU"/>
          </w:rPr>
          <w:tab/>
        </w:r>
        <w:r w:rsidR="00767E76" w:rsidRPr="00606ACE">
          <w:rPr>
            <w:rStyle w:val="Hyperlink"/>
          </w:rPr>
          <w:t>Sustainability</w:t>
        </w:r>
        <w:r w:rsidR="00767E76">
          <w:rPr>
            <w:webHidden/>
          </w:rPr>
          <w:tab/>
        </w:r>
        <w:r w:rsidR="00767E76">
          <w:rPr>
            <w:webHidden/>
          </w:rPr>
          <w:fldChar w:fldCharType="begin"/>
        </w:r>
        <w:r w:rsidR="00767E76">
          <w:rPr>
            <w:webHidden/>
          </w:rPr>
          <w:instrText xml:space="preserve"> PAGEREF _Toc401578429 \h </w:instrText>
        </w:r>
        <w:r w:rsidR="00767E76">
          <w:rPr>
            <w:webHidden/>
          </w:rPr>
        </w:r>
        <w:r w:rsidR="00767E76">
          <w:rPr>
            <w:webHidden/>
          </w:rPr>
          <w:fldChar w:fldCharType="separate"/>
        </w:r>
        <w:r w:rsidR="00767E76">
          <w:rPr>
            <w:webHidden/>
          </w:rPr>
          <w:t>18</w:t>
        </w:r>
        <w:r w:rsidR="00767E76">
          <w:rPr>
            <w:webHidden/>
          </w:rPr>
          <w:fldChar w:fldCharType="end"/>
        </w:r>
      </w:hyperlink>
    </w:p>
    <w:p w14:paraId="40D9C95C" w14:textId="77777777" w:rsidR="00767E76" w:rsidRDefault="00940EEC">
      <w:pPr>
        <w:pStyle w:val="TOC2"/>
        <w:rPr>
          <w:rFonts w:asciiTheme="minorHAnsi" w:eastAsiaTheme="minorEastAsia" w:hAnsiTheme="minorHAnsi" w:cstheme="minorBidi"/>
          <w:sz w:val="22"/>
          <w:szCs w:val="22"/>
          <w:lang w:eastAsia="en-AU"/>
        </w:rPr>
      </w:pPr>
      <w:hyperlink w:anchor="_Toc401578430" w:history="1">
        <w:r w:rsidR="00767E76" w:rsidRPr="00606ACE">
          <w:rPr>
            <w:rStyle w:val="Hyperlink"/>
          </w:rPr>
          <w:t>4.6</w:t>
        </w:r>
        <w:r w:rsidR="00767E76">
          <w:rPr>
            <w:rFonts w:asciiTheme="minorHAnsi" w:eastAsiaTheme="minorEastAsia" w:hAnsiTheme="minorHAnsi" w:cstheme="minorBidi"/>
            <w:sz w:val="22"/>
            <w:szCs w:val="22"/>
            <w:lang w:eastAsia="en-AU"/>
          </w:rPr>
          <w:tab/>
        </w:r>
        <w:r w:rsidR="00767E76" w:rsidRPr="00606ACE">
          <w:rPr>
            <w:rStyle w:val="Hyperlink"/>
          </w:rPr>
          <w:t>Risk Assessment and Management</w:t>
        </w:r>
        <w:r w:rsidR="00767E76">
          <w:rPr>
            <w:webHidden/>
          </w:rPr>
          <w:tab/>
        </w:r>
        <w:r w:rsidR="00767E76">
          <w:rPr>
            <w:webHidden/>
          </w:rPr>
          <w:fldChar w:fldCharType="begin"/>
        </w:r>
        <w:r w:rsidR="00767E76">
          <w:rPr>
            <w:webHidden/>
          </w:rPr>
          <w:instrText xml:space="preserve"> PAGEREF _Toc401578430 \h </w:instrText>
        </w:r>
        <w:r w:rsidR="00767E76">
          <w:rPr>
            <w:webHidden/>
          </w:rPr>
        </w:r>
        <w:r w:rsidR="00767E76">
          <w:rPr>
            <w:webHidden/>
          </w:rPr>
          <w:fldChar w:fldCharType="separate"/>
        </w:r>
        <w:r w:rsidR="00767E76">
          <w:rPr>
            <w:webHidden/>
          </w:rPr>
          <w:t>18</w:t>
        </w:r>
        <w:r w:rsidR="00767E76">
          <w:rPr>
            <w:webHidden/>
          </w:rPr>
          <w:fldChar w:fldCharType="end"/>
        </w:r>
      </w:hyperlink>
    </w:p>
    <w:p w14:paraId="7E0EA58F" w14:textId="77777777" w:rsidR="00767E76" w:rsidRDefault="00940EEC">
      <w:pPr>
        <w:pStyle w:val="TOC2"/>
        <w:rPr>
          <w:rFonts w:asciiTheme="minorHAnsi" w:eastAsiaTheme="minorEastAsia" w:hAnsiTheme="minorHAnsi" w:cstheme="minorBidi"/>
          <w:sz w:val="22"/>
          <w:szCs w:val="22"/>
          <w:lang w:eastAsia="en-AU"/>
        </w:rPr>
      </w:pPr>
      <w:hyperlink w:anchor="_Toc401578431" w:history="1">
        <w:r w:rsidR="00767E76" w:rsidRPr="00606ACE">
          <w:rPr>
            <w:rStyle w:val="Hyperlink"/>
          </w:rPr>
          <w:t>4.7</w:t>
        </w:r>
        <w:r w:rsidR="00767E76">
          <w:rPr>
            <w:rFonts w:asciiTheme="minorHAnsi" w:eastAsiaTheme="minorEastAsia" w:hAnsiTheme="minorHAnsi" w:cstheme="minorBidi"/>
            <w:sz w:val="22"/>
            <w:szCs w:val="22"/>
            <w:lang w:eastAsia="en-AU"/>
          </w:rPr>
          <w:tab/>
        </w:r>
        <w:r w:rsidR="00767E76" w:rsidRPr="00606ACE">
          <w:rPr>
            <w:rStyle w:val="Hyperlink"/>
          </w:rPr>
          <w:t>Steps in Contemplation of Transition to AADP</w:t>
        </w:r>
        <w:r w:rsidR="00767E76">
          <w:rPr>
            <w:webHidden/>
          </w:rPr>
          <w:tab/>
        </w:r>
        <w:r w:rsidR="00767E76">
          <w:rPr>
            <w:webHidden/>
          </w:rPr>
          <w:fldChar w:fldCharType="begin"/>
        </w:r>
        <w:r w:rsidR="00767E76">
          <w:rPr>
            <w:webHidden/>
          </w:rPr>
          <w:instrText xml:space="preserve"> PAGEREF _Toc401578431 \h </w:instrText>
        </w:r>
        <w:r w:rsidR="00767E76">
          <w:rPr>
            <w:webHidden/>
          </w:rPr>
        </w:r>
        <w:r w:rsidR="00767E76">
          <w:rPr>
            <w:webHidden/>
          </w:rPr>
          <w:fldChar w:fldCharType="separate"/>
        </w:r>
        <w:r w:rsidR="00767E76">
          <w:rPr>
            <w:webHidden/>
          </w:rPr>
          <w:t>19</w:t>
        </w:r>
        <w:r w:rsidR="00767E76">
          <w:rPr>
            <w:webHidden/>
          </w:rPr>
          <w:fldChar w:fldCharType="end"/>
        </w:r>
      </w:hyperlink>
    </w:p>
    <w:p w14:paraId="12F268AC" w14:textId="77777777" w:rsidR="00767E76" w:rsidRDefault="00940EEC">
      <w:pPr>
        <w:pStyle w:val="TOC1"/>
        <w:rPr>
          <w:rFonts w:asciiTheme="minorHAnsi" w:eastAsiaTheme="minorEastAsia" w:hAnsiTheme="minorHAnsi" w:cstheme="minorBidi"/>
          <w:b w:val="0"/>
          <w:noProof/>
          <w:sz w:val="22"/>
          <w:szCs w:val="22"/>
          <w:lang w:eastAsia="en-AU"/>
        </w:rPr>
      </w:pPr>
      <w:hyperlink w:anchor="_Toc401578432" w:history="1">
        <w:r w:rsidR="00767E76" w:rsidRPr="00606ACE">
          <w:rPr>
            <w:rStyle w:val="Hyperlink"/>
            <w:noProof/>
          </w:rPr>
          <w:t>Annex A: Problem Analysis</w:t>
        </w:r>
        <w:r w:rsidR="00767E76">
          <w:rPr>
            <w:noProof/>
            <w:webHidden/>
          </w:rPr>
          <w:tab/>
        </w:r>
        <w:r w:rsidR="00767E76">
          <w:rPr>
            <w:noProof/>
            <w:webHidden/>
          </w:rPr>
          <w:fldChar w:fldCharType="begin"/>
        </w:r>
        <w:r w:rsidR="00767E76">
          <w:rPr>
            <w:noProof/>
            <w:webHidden/>
          </w:rPr>
          <w:instrText xml:space="preserve"> PAGEREF _Toc401578432 \h </w:instrText>
        </w:r>
        <w:r w:rsidR="00767E76">
          <w:rPr>
            <w:noProof/>
            <w:webHidden/>
          </w:rPr>
        </w:r>
        <w:r w:rsidR="00767E76">
          <w:rPr>
            <w:noProof/>
            <w:webHidden/>
          </w:rPr>
          <w:fldChar w:fldCharType="separate"/>
        </w:r>
        <w:r w:rsidR="00767E76">
          <w:rPr>
            <w:noProof/>
            <w:webHidden/>
          </w:rPr>
          <w:t>20</w:t>
        </w:r>
        <w:r w:rsidR="00767E76">
          <w:rPr>
            <w:noProof/>
            <w:webHidden/>
          </w:rPr>
          <w:fldChar w:fldCharType="end"/>
        </w:r>
      </w:hyperlink>
    </w:p>
    <w:p w14:paraId="78A63C6A" w14:textId="77777777" w:rsidR="00767E76" w:rsidRDefault="00940EEC">
      <w:pPr>
        <w:pStyle w:val="TOC1"/>
        <w:rPr>
          <w:rFonts w:asciiTheme="minorHAnsi" w:eastAsiaTheme="minorEastAsia" w:hAnsiTheme="minorHAnsi" w:cstheme="minorBidi"/>
          <w:b w:val="0"/>
          <w:noProof/>
          <w:sz w:val="22"/>
          <w:szCs w:val="22"/>
          <w:lang w:eastAsia="en-AU"/>
        </w:rPr>
      </w:pPr>
      <w:hyperlink w:anchor="_Toc401578433" w:history="1">
        <w:r w:rsidR="00767E76" w:rsidRPr="00606ACE">
          <w:rPr>
            <w:rStyle w:val="Hyperlink"/>
            <w:noProof/>
          </w:rPr>
          <w:t>Annex B: Key Lessons Learned from Previous Activities</w:t>
        </w:r>
        <w:r w:rsidR="00767E76">
          <w:rPr>
            <w:noProof/>
            <w:webHidden/>
          </w:rPr>
          <w:tab/>
        </w:r>
        <w:r w:rsidR="00767E76">
          <w:rPr>
            <w:noProof/>
            <w:webHidden/>
          </w:rPr>
          <w:fldChar w:fldCharType="begin"/>
        </w:r>
        <w:r w:rsidR="00767E76">
          <w:rPr>
            <w:noProof/>
            <w:webHidden/>
          </w:rPr>
          <w:instrText xml:space="preserve"> PAGEREF _Toc401578433 \h </w:instrText>
        </w:r>
        <w:r w:rsidR="00767E76">
          <w:rPr>
            <w:noProof/>
            <w:webHidden/>
          </w:rPr>
        </w:r>
        <w:r w:rsidR="00767E76">
          <w:rPr>
            <w:noProof/>
            <w:webHidden/>
          </w:rPr>
          <w:fldChar w:fldCharType="separate"/>
        </w:r>
        <w:r w:rsidR="00767E76">
          <w:rPr>
            <w:noProof/>
            <w:webHidden/>
          </w:rPr>
          <w:t>24</w:t>
        </w:r>
        <w:r w:rsidR="00767E76">
          <w:rPr>
            <w:noProof/>
            <w:webHidden/>
          </w:rPr>
          <w:fldChar w:fldCharType="end"/>
        </w:r>
      </w:hyperlink>
    </w:p>
    <w:p w14:paraId="1C68959D" w14:textId="77777777" w:rsidR="00767E76" w:rsidRDefault="00940EEC">
      <w:pPr>
        <w:pStyle w:val="TOC1"/>
        <w:rPr>
          <w:rFonts w:asciiTheme="minorHAnsi" w:eastAsiaTheme="minorEastAsia" w:hAnsiTheme="minorHAnsi" w:cstheme="minorBidi"/>
          <w:b w:val="0"/>
          <w:noProof/>
          <w:sz w:val="22"/>
          <w:szCs w:val="22"/>
          <w:lang w:eastAsia="en-AU"/>
        </w:rPr>
      </w:pPr>
      <w:hyperlink w:anchor="_Toc401578434" w:history="1">
        <w:r w:rsidR="00767E76" w:rsidRPr="00606ACE">
          <w:rPr>
            <w:rStyle w:val="Hyperlink"/>
            <w:noProof/>
          </w:rPr>
          <w:t>Annex C: Stakeholder Analysis</w:t>
        </w:r>
        <w:r w:rsidR="00767E76">
          <w:rPr>
            <w:noProof/>
            <w:webHidden/>
          </w:rPr>
          <w:tab/>
        </w:r>
        <w:r w:rsidR="00767E76">
          <w:rPr>
            <w:noProof/>
            <w:webHidden/>
          </w:rPr>
          <w:fldChar w:fldCharType="begin"/>
        </w:r>
        <w:r w:rsidR="00767E76">
          <w:rPr>
            <w:noProof/>
            <w:webHidden/>
          </w:rPr>
          <w:instrText xml:space="preserve"> PAGEREF _Toc401578434 \h </w:instrText>
        </w:r>
        <w:r w:rsidR="00767E76">
          <w:rPr>
            <w:noProof/>
            <w:webHidden/>
          </w:rPr>
        </w:r>
        <w:r w:rsidR="00767E76">
          <w:rPr>
            <w:noProof/>
            <w:webHidden/>
          </w:rPr>
          <w:fldChar w:fldCharType="separate"/>
        </w:r>
        <w:r w:rsidR="00767E76">
          <w:rPr>
            <w:noProof/>
            <w:webHidden/>
          </w:rPr>
          <w:t>25</w:t>
        </w:r>
        <w:r w:rsidR="00767E76">
          <w:rPr>
            <w:noProof/>
            <w:webHidden/>
          </w:rPr>
          <w:fldChar w:fldCharType="end"/>
        </w:r>
      </w:hyperlink>
    </w:p>
    <w:p w14:paraId="7340591C" w14:textId="77777777" w:rsidR="00767E76" w:rsidRDefault="00940EEC">
      <w:pPr>
        <w:pStyle w:val="TOC1"/>
        <w:rPr>
          <w:rFonts w:asciiTheme="minorHAnsi" w:eastAsiaTheme="minorEastAsia" w:hAnsiTheme="minorHAnsi" w:cstheme="minorBidi"/>
          <w:b w:val="0"/>
          <w:noProof/>
          <w:sz w:val="22"/>
          <w:szCs w:val="22"/>
          <w:lang w:eastAsia="en-AU"/>
        </w:rPr>
      </w:pPr>
      <w:hyperlink w:anchor="_Toc401578435" w:history="1">
        <w:r w:rsidR="00767E76" w:rsidRPr="00606ACE">
          <w:rPr>
            <w:rStyle w:val="Hyperlink"/>
            <w:noProof/>
          </w:rPr>
          <w:t>Annex D: AADP Structure and Governance Organogram</w:t>
        </w:r>
        <w:r w:rsidR="00767E76">
          <w:rPr>
            <w:noProof/>
            <w:webHidden/>
          </w:rPr>
          <w:tab/>
        </w:r>
        <w:r w:rsidR="00767E76">
          <w:rPr>
            <w:noProof/>
            <w:webHidden/>
          </w:rPr>
          <w:fldChar w:fldCharType="begin"/>
        </w:r>
        <w:r w:rsidR="00767E76">
          <w:rPr>
            <w:noProof/>
            <w:webHidden/>
          </w:rPr>
          <w:instrText xml:space="preserve"> PAGEREF _Toc401578435 \h </w:instrText>
        </w:r>
        <w:r w:rsidR="00767E76">
          <w:rPr>
            <w:noProof/>
            <w:webHidden/>
          </w:rPr>
        </w:r>
        <w:r w:rsidR="00767E76">
          <w:rPr>
            <w:noProof/>
            <w:webHidden/>
          </w:rPr>
          <w:fldChar w:fldCharType="separate"/>
        </w:r>
        <w:r w:rsidR="00767E76">
          <w:rPr>
            <w:noProof/>
            <w:webHidden/>
          </w:rPr>
          <w:t>28</w:t>
        </w:r>
        <w:r w:rsidR="00767E76">
          <w:rPr>
            <w:noProof/>
            <w:webHidden/>
          </w:rPr>
          <w:fldChar w:fldCharType="end"/>
        </w:r>
      </w:hyperlink>
    </w:p>
    <w:p w14:paraId="06A78667" w14:textId="77777777" w:rsidR="00767E76" w:rsidRDefault="00940EEC">
      <w:pPr>
        <w:pStyle w:val="TOC1"/>
        <w:rPr>
          <w:rFonts w:asciiTheme="minorHAnsi" w:eastAsiaTheme="minorEastAsia" w:hAnsiTheme="minorHAnsi" w:cstheme="minorBidi"/>
          <w:b w:val="0"/>
          <w:noProof/>
          <w:sz w:val="22"/>
          <w:szCs w:val="22"/>
          <w:lang w:eastAsia="en-AU"/>
        </w:rPr>
      </w:pPr>
      <w:hyperlink w:anchor="_Toc401578436" w:history="1">
        <w:r w:rsidR="00767E76" w:rsidRPr="00606ACE">
          <w:rPr>
            <w:rStyle w:val="Hyperlink"/>
            <w:noProof/>
          </w:rPr>
          <w:t>Annex E: Gender and Social Inclusion Mainstreaming Strategy</w:t>
        </w:r>
        <w:r w:rsidR="00767E76">
          <w:rPr>
            <w:noProof/>
            <w:webHidden/>
          </w:rPr>
          <w:tab/>
        </w:r>
        <w:r w:rsidR="00767E76">
          <w:rPr>
            <w:noProof/>
            <w:webHidden/>
          </w:rPr>
          <w:fldChar w:fldCharType="begin"/>
        </w:r>
        <w:r w:rsidR="00767E76">
          <w:rPr>
            <w:noProof/>
            <w:webHidden/>
          </w:rPr>
          <w:instrText xml:space="preserve"> PAGEREF _Toc401578436 \h </w:instrText>
        </w:r>
        <w:r w:rsidR="00767E76">
          <w:rPr>
            <w:noProof/>
            <w:webHidden/>
          </w:rPr>
        </w:r>
        <w:r w:rsidR="00767E76">
          <w:rPr>
            <w:noProof/>
            <w:webHidden/>
          </w:rPr>
          <w:fldChar w:fldCharType="separate"/>
        </w:r>
        <w:r w:rsidR="00767E76">
          <w:rPr>
            <w:noProof/>
            <w:webHidden/>
          </w:rPr>
          <w:t>29</w:t>
        </w:r>
        <w:r w:rsidR="00767E76">
          <w:rPr>
            <w:noProof/>
            <w:webHidden/>
          </w:rPr>
          <w:fldChar w:fldCharType="end"/>
        </w:r>
      </w:hyperlink>
    </w:p>
    <w:p w14:paraId="63DBE13A" w14:textId="77777777" w:rsidR="00767E76" w:rsidRDefault="00940EEC">
      <w:pPr>
        <w:pStyle w:val="TOC1"/>
        <w:rPr>
          <w:rFonts w:asciiTheme="minorHAnsi" w:eastAsiaTheme="minorEastAsia" w:hAnsiTheme="minorHAnsi" w:cstheme="minorBidi"/>
          <w:b w:val="0"/>
          <w:noProof/>
          <w:sz w:val="22"/>
          <w:szCs w:val="22"/>
          <w:lang w:eastAsia="en-AU"/>
        </w:rPr>
      </w:pPr>
      <w:hyperlink w:anchor="_Toc401578437" w:history="1">
        <w:r w:rsidR="00767E76" w:rsidRPr="00606ACE">
          <w:rPr>
            <w:rStyle w:val="Hyperlink"/>
            <w:noProof/>
          </w:rPr>
          <w:t>Annex F: E4G Monitoring and Evaluation Framework</w:t>
        </w:r>
        <w:r w:rsidR="00767E76">
          <w:rPr>
            <w:noProof/>
            <w:webHidden/>
          </w:rPr>
          <w:tab/>
        </w:r>
        <w:r w:rsidR="00767E76">
          <w:rPr>
            <w:noProof/>
            <w:webHidden/>
          </w:rPr>
          <w:fldChar w:fldCharType="begin"/>
        </w:r>
        <w:r w:rsidR="00767E76">
          <w:rPr>
            <w:noProof/>
            <w:webHidden/>
          </w:rPr>
          <w:instrText xml:space="preserve"> PAGEREF _Toc401578437 \h </w:instrText>
        </w:r>
        <w:r w:rsidR="00767E76">
          <w:rPr>
            <w:noProof/>
            <w:webHidden/>
          </w:rPr>
        </w:r>
        <w:r w:rsidR="00767E76">
          <w:rPr>
            <w:noProof/>
            <w:webHidden/>
          </w:rPr>
          <w:fldChar w:fldCharType="separate"/>
        </w:r>
        <w:r w:rsidR="00767E76">
          <w:rPr>
            <w:noProof/>
            <w:webHidden/>
          </w:rPr>
          <w:t>31</w:t>
        </w:r>
        <w:r w:rsidR="00767E76">
          <w:rPr>
            <w:noProof/>
            <w:webHidden/>
          </w:rPr>
          <w:fldChar w:fldCharType="end"/>
        </w:r>
      </w:hyperlink>
    </w:p>
    <w:p w14:paraId="055C56AD" w14:textId="77777777" w:rsidR="00767E76" w:rsidRDefault="00940EEC">
      <w:pPr>
        <w:pStyle w:val="TOC1"/>
        <w:rPr>
          <w:rFonts w:asciiTheme="minorHAnsi" w:eastAsiaTheme="minorEastAsia" w:hAnsiTheme="minorHAnsi" w:cstheme="minorBidi"/>
          <w:b w:val="0"/>
          <w:noProof/>
          <w:sz w:val="22"/>
          <w:szCs w:val="22"/>
          <w:lang w:eastAsia="en-AU"/>
        </w:rPr>
      </w:pPr>
      <w:hyperlink w:anchor="_Toc401578438" w:history="1">
        <w:r w:rsidR="00767E76" w:rsidRPr="00606ACE">
          <w:rPr>
            <w:rStyle w:val="Hyperlink"/>
            <w:noProof/>
          </w:rPr>
          <w:t>Annex G: E4G Component Risk Matrix</w:t>
        </w:r>
        <w:r w:rsidR="00767E76">
          <w:rPr>
            <w:noProof/>
            <w:webHidden/>
          </w:rPr>
          <w:tab/>
        </w:r>
        <w:r w:rsidR="00767E76">
          <w:rPr>
            <w:noProof/>
            <w:webHidden/>
          </w:rPr>
          <w:fldChar w:fldCharType="begin"/>
        </w:r>
        <w:r w:rsidR="00767E76">
          <w:rPr>
            <w:noProof/>
            <w:webHidden/>
          </w:rPr>
          <w:instrText xml:space="preserve"> PAGEREF _Toc401578438 \h </w:instrText>
        </w:r>
        <w:r w:rsidR="00767E76">
          <w:rPr>
            <w:noProof/>
            <w:webHidden/>
          </w:rPr>
        </w:r>
        <w:r w:rsidR="00767E76">
          <w:rPr>
            <w:noProof/>
            <w:webHidden/>
          </w:rPr>
          <w:fldChar w:fldCharType="separate"/>
        </w:r>
        <w:r w:rsidR="00767E76">
          <w:rPr>
            <w:noProof/>
            <w:webHidden/>
          </w:rPr>
          <w:t>46</w:t>
        </w:r>
        <w:r w:rsidR="00767E76">
          <w:rPr>
            <w:noProof/>
            <w:webHidden/>
          </w:rPr>
          <w:fldChar w:fldCharType="end"/>
        </w:r>
      </w:hyperlink>
    </w:p>
    <w:p w14:paraId="4275CDD7" w14:textId="77777777" w:rsidR="00767E76" w:rsidRDefault="00940EEC">
      <w:pPr>
        <w:pStyle w:val="TOC1"/>
        <w:rPr>
          <w:rFonts w:asciiTheme="minorHAnsi" w:eastAsiaTheme="minorEastAsia" w:hAnsiTheme="minorHAnsi" w:cstheme="minorBidi"/>
          <w:b w:val="0"/>
          <w:noProof/>
          <w:sz w:val="22"/>
          <w:szCs w:val="22"/>
          <w:lang w:eastAsia="en-AU"/>
        </w:rPr>
      </w:pPr>
      <w:hyperlink w:anchor="_Toc401578439" w:history="1">
        <w:r w:rsidR="00767E76" w:rsidRPr="00606ACE">
          <w:rPr>
            <w:rStyle w:val="Hyperlink"/>
            <w:noProof/>
          </w:rPr>
          <w:t>Annex H: Indicative Budget and Cost Estimates</w:t>
        </w:r>
        <w:r w:rsidR="00767E76">
          <w:rPr>
            <w:noProof/>
            <w:webHidden/>
          </w:rPr>
          <w:tab/>
        </w:r>
        <w:r w:rsidR="00767E76">
          <w:rPr>
            <w:noProof/>
            <w:webHidden/>
          </w:rPr>
          <w:fldChar w:fldCharType="begin"/>
        </w:r>
        <w:r w:rsidR="00767E76">
          <w:rPr>
            <w:noProof/>
            <w:webHidden/>
          </w:rPr>
          <w:instrText xml:space="preserve"> PAGEREF _Toc401578439 \h </w:instrText>
        </w:r>
        <w:r w:rsidR="00767E76">
          <w:rPr>
            <w:noProof/>
            <w:webHidden/>
          </w:rPr>
        </w:r>
        <w:r w:rsidR="00767E76">
          <w:rPr>
            <w:noProof/>
            <w:webHidden/>
          </w:rPr>
          <w:fldChar w:fldCharType="separate"/>
        </w:r>
        <w:r w:rsidR="00767E76">
          <w:rPr>
            <w:noProof/>
            <w:webHidden/>
          </w:rPr>
          <w:t>50</w:t>
        </w:r>
        <w:r w:rsidR="00767E76">
          <w:rPr>
            <w:noProof/>
            <w:webHidden/>
          </w:rPr>
          <w:fldChar w:fldCharType="end"/>
        </w:r>
      </w:hyperlink>
    </w:p>
    <w:p w14:paraId="3C668447" w14:textId="77777777" w:rsidR="00767E76" w:rsidRDefault="00940EEC">
      <w:pPr>
        <w:pStyle w:val="TOC1"/>
        <w:rPr>
          <w:rFonts w:asciiTheme="minorHAnsi" w:eastAsiaTheme="minorEastAsia" w:hAnsiTheme="minorHAnsi" w:cstheme="minorBidi"/>
          <w:b w:val="0"/>
          <w:noProof/>
          <w:sz w:val="22"/>
          <w:szCs w:val="22"/>
          <w:lang w:eastAsia="en-AU"/>
        </w:rPr>
      </w:pPr>
      <w:hyperlink w:anchor="_Toc401578440" w:history="1">
        <w:r w:rsidR="00767E76" w:rsidRPr="00606ACE">
          <w:rPr>
            <w:rStyle w:val="Hyperlink"/>
            <w:noProof/>
          </w:rPr>
          <w:t>Annex I: List of Persons Consulted During Design</w:t>
        </w:r>
        <w:r w:rsidR="00767E76">
          <w:rPr>
            <w:noProof/>
            <w:webHidden/>
          </w:rPr>
          <w:tab/>
        </w:r>
        <w:r w:rsidR="00767E76">
          <w:rPr>
            <w:noProof/>
            <w:webHidden/>
          </w:rPr>
          <w:fldChar w:fldCharType="begin"/>
        </w:r>
        <w:r w:rsidR="00767E76">
          <w:rPr>
            <w:noProof/>
            <w:webHidden/>
          </w:rPr>
          <w:instrText xml:space="preserve"> PAGEREF _Toc401578440 \h </w:instrText>
        </w:r>
        <w:r w:rsidR="00767E76">
          <w:rPr>
            <w:noProof/>
            <w:webHidden/>
          </w:rPr>
        </w:r>
        <w:r w:rsidR="00767E76">
          <w:rPr>
            <w:noProof/>
            <w:webHidden/>
          </w:rPr>
          <w:fldChar w:fldCharType="separate"/>
        </w:r>
        <w:r w:rsidR="00767E76">
          <w:rPr>
            <w:noProof/>
            <w:webHidden/>
          </w:rPr>
          <w:t>52</w:t>
        </w:r>
        <w:r w:rsidR="00767E76">
          <w:rPr>
            <w:noProof/>
            <w:webHidden/>
          </w:rPr>
          <w:fldChar w:fldCharType="end"/>
        </w:r>
      </w:hyperlink>
    </w:p>
    <w:p w14:paraId="43ED6319" w14:textId="77777777" w:rsidR="00767E76" w:rsidRDefault="00940EEC">
      <w:pPr>
        <w:pStyle w:val="TOC1"/>
        <w:rPr>
          <w:rFonts w:asciiTheme="minorHAnsi" w:eastAsiaTheme="minorEastAsia" w:hAnsiTheme="minorHAnsi" w:cstheme="minorBidi"/>
          <w:b w:val="0"/>
          <w:noProof/>
          <w:sz w:val="22"/>
          <w:szCs w:val="22"/>
          <w:lang w:eastAsia="en-AU"/>
        </w:rPr>
      </w:pPr>
      <w:hyperlink w:anchor="_Toc401578441" w:history="1">
        <w:r w:rsidR="00767E76" w:rsidRPr="00606ACE">
          <w:rPr>
            <w:rStyle w:val="Hyperlink"/>
            <w:noProof/>
          </w:rPr>
          <w:t>Annex J: List of Reference Documents</w:t>
        </w:r>
        <w:r w:rsidR="00767E76">
          <w:rPr>
            <w:noProof/>
            <w:webHidden/>
          </w:rPr>
          <w:tab/>
        </w:r>
        <w:r w:rsidR="00767E76">
          <w:rPr>
            <w:noProof/>
            <w:webHidden/>
          </w:rPr>
          <w:fldChar w:fldCharType="begin"/>
        </w:r>
        <w:r w:rsidR="00767E76">
          <w:rPr>
            <w:noProof/>
            <w:webHidden/>
          </w:rPr>
          <w:instrText xml:space="preserve"> PAGEREF _Toc401578441 \h </w:instrText>
        </w:r>
        <w:r w:rsidR="00767E76">
          <w:rPr>
            <w:noProof/>
            <w:webHidden/>
          </w:rPr>
        </w:r>
        <w:r w:rsidR="00767E76">
          <w:rPr>
            <w:noProof/>
            <w:webHidden/>
          </w:rPr>
          <w:fldChar w:fldCharType="separate"/>
        </w:r>
        <w:r w:rsidR="00767E76">
          <w:rPr>
            <w:noProof/>
            <w:webHidden/>
          </w:rPr>
          <w:t>53</w:t>
        </w:r>
        <w:r w:rsidR="00767E76">
          <w:rPr>
            <w:noProof/>
            <w:webHidden/>
          </w:rPr>
          <w:fldChar w:fldCharType="end"/>
        </w:r>
      </w:hyperlink>
    </w:p>
    <w:p w14:paraId="6E7399A8" w14:textId="77777777" w:rsidR="002E748B" w:rsidRPr="002E748B" w:rsidRDefault="00E71325" w:rsidP="002E748B">
      <w:pPr>
        <w:rPr>
          <w:lang w:eastAsia="en-AU"/>
        </w:rPr>
      </w:pPr>
      <w:r>
        <w:rPr>
          <w:lang w:eastAsia="en-AU"/>
        </w:rPr>
        <w:fldChar w:fldCharType="end"/>
      </w:r>
    </w:p>
    <w:p w14:paraId="63DAA888" w14:textId="77777777" w:rsidR="000F5341" w:rsidRPr="00802A37" w:rsidRDefault="000F5341">
      <w:pPr>
        <w:spacing w:before="0"/>
        <w:rPr>
          <w:lang w:eastAsia="en-AU"/>
        </w:rPr>
      </w:pPr>
      <w:r w:rsidRPr="00802A37">
        <w:rPr>
          <w:lang w:eastAsia="en-AU"/>
        </w:rPr>
        <w:br w:type="page"/>
      </w:r>
    </w:p>
    <w:p w14:paraId="568055D4" w14:textId="77777777" w:rsidR="000F5341" w:rsidRPr="000C5544" w:rsidRDefault="000F5341" w:rsidP="007D4432">
      <w:pPr>
        <w:pStyle w:val="TableofContents"/>
        <w:spacing w:before="0" w:after="240"/>
      </w:pPr>
      <w:bookmarkStart w:id="3" w:name="_Toc399150489"/>
      <w:r w:rsidRPr="00802A37">
        <w:lastRenderedPageBreak/>
        <w:t>Acronyms</w:t>
      </w:r>
      <w:r>
        <w:t xml:space="preserve">, </w:t>
      </w:r>
      <w:r w:rsidRPr="00802A37">
        <w:t>Abbreviations</w:t>
      </w:r>
      <w:r>
        <w:t xml:space="preserve"> and Definitions</w:t>
      </w:r>
      <w:bookmarkEnd w:id="3"/>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4A0" w:firstRow="1" w:lastRow="0" w:firstColumn="1" w:lastColumn="0" w:noHBand="0" w:noVBand="1"/>
      </w:tblPr>
      <w:tblGrid>
        <w:gridCol w:w="1881"/>
        <w:gridCol w:w="538"/>
        <w:gridCol w:w="6823"/>
      </w:tblGrid>
      <w:tr w:rsidR="000F5341" w:rsidRPr="000B17E2" w14:paraId="354A31A5" w14:textId="77777777" w:rsidTr="00767E76">
        <w:tc>
          <w:tcPr>
            <w:tcW w:w="1881" w:type="dxa"/>
          </w:tcPr>
          <w:p w14:paraId="1469797D" w14:textId="77777777" w:rsidR="000F5341" w:rsidRPr="000B17E2" w:rsidRDefault="000F5341" w:rsidP="000F5341">
            <w:pPr>
              <w:pStyle w:val="BodyText"/>
              <w:spacing w:before="0" w:after="0"/>
              <w:rPr>
                <w:sz w:val="19"/>
                <w:szCs w:val="19"/>
              </w:rPr>
            </w:pPr>
            <w:r w:rsidRPr="000B17E2">
              <w:rPr>
                <w:sz w:val="19"/>
                <w:szCs w:val="19"/>
              </w:rPr>
              <w:t>AADP</w:t>
            </w:r>
          </w:p>
        </w:tc>
        <w:tc>
          <w:tcPr>
            <w:tcW w:w="538" w:type="dxa"/>
          </w:tcPr>
          <w:p w14:paraId="2D667139"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4E12761E" w14:textId="77777777" w:rsidR="000F5341" w:rsidRPr="000B17E2" w:rsidRDefault="000F5341" w:rsidP="002F30BC">
            <w:pPr>
              <w:pStyle w:val="BodyText"/>
              <w:spacing w:before="0" w:after="0"/>
              <w:rPr>
                <w:sz w:val="19"/>
                <w:szCs w:val="19"/>
              </w:rPr>
            </w:pPr>
            <w:r w:rsidRPr="000B17E2">
              <w:rPr>
                <w:sz w:val="19"/>
                <w:szCs w:val="19"/>
              </w:rPr>
              <w:t>Australia–Africa Development Program</w:t>
            </w:r>
          </w:p>
        </w:tc>
      </w:tr>
      <w:tr w:rsidR="000F5341" w:rsidRPr="000B17E2" w14:paraId="295AB4C7" w14:textId="77777777" w:rsidTr="00767E76">
        <w:tc>
          <w:tcPr>
            <w:tcW w:w="1881" w:type="dxa"/>
          </w:tcPr>
          <w:p w14:paraId="7A5F4B1F" w14:textId="77777777" w:rsidR="000F5341" w:rsidRPr="000B17E2" w:rsidRDefault="000F5341" w:rsidP="000F5341">
            <w:pPr>
              <w:pStyle w:val="BodyText"/>
              <w:spacing w:before="0" w:after="0"/>
              <w:rPr>
                <w:sz w:val="19"/>
                <w:szCs w:val="19"/>
              </w:rPr>
            </w:pPr>
            <w:r w:rsidRPr="000B17E2">
              <w:rPr>
                <w:sz w:val="19"/>
                <w:szCs w:val="19"/>
              </w:rPr>
              <w:t>AAPF</w:t>
            </w:r>
          </w:p>
        </w:tc>
        <w:tc>
          <w:tcPr>
            <w:tcW w:w="538" w:type="dxa"/>
          </w:tcPr>
          <w:p w14:paraId="34D1EFB4"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74E5A793" w14:textId="77777777" w:rsidR="000F5341" w:rsidRPr="000B17E2" w:rsidRDefault="002F30BC" w:rsidP="000F5341">
            <w:pPr>
              <w:pStyle w:val="BodyText"/>
              <w:spacing w:before="0" w:after="0"/>
              <w:rPr>
                <w:rFonts w:eastAsia="Calibri"/>
                <w:color w:val="000000"/>
                <w:sz w:val="19"/>
                <w:szCs w:val="19"/>
              </w:rPr>
            </w:pPr>
            <w:r w:rsidRPr="000B17E2">
              <w:rPr>
                <w:rFonts w:eastAsia="Calibri"/>
                <w:color w:val="000000"/>
                <w:sz w:val="19"/>
                <w:szCs w:val="19"/>
              </w:rPr>
              <w:t>Australia–</w:t>
            </w:r>
            <w:r w:rsidR="000F5341" w:rsidRPr="000B17E2">
              <w:rPr>
                <w:rFonts w:eastAsia="Calibri"/>
                <w:color w:val="000000"/>
                <w:sz w:val="19"/>
                <w:szCs w:val="19"/>
              </w:rPr>
              <w:t>Africa Partnerships Facility</w:t>
            </w:r>
          </w:p>
        </w:tc>
      </w:tr>
      <w:tr w:rsidR="000F5341" w:rsidRPr="000B17E2" w14:paraId="4A54E1F1" w14:textId="77777777" w:rsidTr="00767E76">
        <w:tc>
          <w:tcPr>
            <w:tcW w:w="1881" w:type="dxa"/>
          </w:tcPr>
          <w:p w14:paraId="17D6123C" w14:textId="77777777" w:rsidR="000F5341" w:rsidRPr="000B17E2" w:rsidRDefault="000F5341" w:rsidP="000F5341">
            <w:pPr>
              <w:pStyle w:val="BodyText"/>
              <w:spacing w:before="0" w:after="0"/>
              <w:rPr>
                <w:sz w:val="19"/>
                <w:szCs w:val="19"/>
              </w:rPr>
            </w:pPr>
            <w:r w:rsidRPr="000B17E2">
              <w:rPr>
                <w:sz w:val="19"/>
                <w:szCs w:val="19"/>
              </w:rPr>
              <w:t>AFB</w:t>
            </w:r>
          </w:p>
        </w:tc>
        <w:tc>
          <w:tcPr>
            <w:tcW w:w="538" w:type="dxa"/>
          </w:tcPr>
          <w:p w14:paraId="0A863668"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59E1E682" w14:textId="77777777" w:rsidR="000F5341" w:rsidRPr="000B17E2" w:rsidRDefault="000F5341" w:rsidP="000F5341">
            <w:pPr>
              <w:pStyle w:val="BodyText"/>
              <w:spacing w:before="0" w:after="0"/>
              <w:rPr>
                <w:sz w:val="19"/>
                <w:szCs w:val="19"/>
              </w:rPr>
            </w:pPr>
            <w:r w:rsidRPr="000B17E2">
              <w:rPr>
                <w:sz w:val="19"/>
                <w:szCs w:val="19"/>
              </w:rPr>
              <w:t>DFAT Africa Branch</w:t>
            </w:r>
          </w:p>
        </w:tc>
      </w:tr>
      <w:tr w:rsidR="000F5341" w:rsidRPr="000B17E2" w14:paraId="1630E80B" w14:textId="77777777" w:rsidTr="00767E76">
        <w:tc>
          <w:tcPr>
            <w:tcW w:w="1881" w:type="dxa"/>
          </w:tcPr>
          <w:p w14:paraId="356CB6CA" w14:textId="77777777" w:rsidR="000F5341" w:rsidRPr="000B17E2" w:rsidRDefault="000F5341" w:rsidP="000F5341">
            <w:pPr>
              <w:pStyle w:val="BodyText"/>
              <w:spacing w:before="0" w:after="0"/>
              <w:rPr>
                <w:sz w:val="19"/>
                <w:szCs w:val="19"/>
              </w:rPr>
            </w:pPr>
            <w:r w:rsidRPr="000B17E2">
              <w:rPr>
                <w:sz w:val="19"/>
                <w:szCs w:val="19"/>
              </w:rPr>
              <w:t>Alumni</w:t>
            </w:r>
          </w:p>
        </w:tc>
        <w:tc>
          <w:tcPr>
            <w:tcW w:w="538" w:type="dxa"/>
          </w:tcPr>
          <w:p w14:paraId="26AD2DDD"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5CC53FE4" w14:textId="77777777" w:rsidR="000F5341" w:rsidRPr="000B17E2" w:rsidRDefault="000F5341" w:rsidP="000F5341">
            <w:pPr>
              <w:pStyle w:val="BodyText"/>
              <w:spacing w:before="0" w:after="0"/>
              <w:rPr>
                <w:sz w:val="19"/>
                <w:szCs w:val="19"/>
              </w:rPr>
            </w:pPr>
            <w:r w:rsidRPr="000B17E2">
              <w:rPr>
                <w:sz w:val="19"/>
                <w:szCs w:val="19"/>
              </w:rPr>
              <w:t xml:space="preserve">recipients of Australia Awards or Australian Centre for International Agricultural Research </w:t>
            </w:r>
            <w:r w:rsidR="001B4E5C" w:rsidRPr="000B17E2">
              <w:rPr>
                <w:sz w:val="19"/>
                <w:szCs w:val="19"/>
              </w:rPr>
              <w:t>A</w:t>
            </w:r>
            <w:r w:rsidRPr="000B17E2">
              <w:rPr>
                <w:sz w:val="19"/>
                <w:szCs w:val="19"/>
              </w:rPr>
              <w:t>wards who have successfully completed their scholarship and returned home</w:t>
            </w:r>
          </w:p>
        </w:tc>
      </w:tr>
      <w:tr w:rsidR="000F5341" w:rsidRPr="000B17E2" w14:paraId="5F8132E3" w14:textId="77777777" w:rsidTr="00767E76">
        <w:tc>
          <w:tcPr>
            <w:tcW w:w="1881" w:type="dxa"/>
          </w:tcPr>
          <w:p w14:paraId="6D42BC25" w14:textId="77777777" w:rsidR="000F5341" w:rsidRPr="000B17E2" w:rsidRDefault="000F5341" w:rsidP="000F5341">
            <w:pPr>
              <w:pStyle w:val="BodyText"/>
              <w:spacing w:before="0" w:after="0"/>
              <w:rPr>
                <w:sz w:val="19"/>
                <w:szCs w:val="19"/>
              </w:rPr>
            </w:pPr>
            <w:r w:rsidRPr="000B17E2">
              <w:rPr>
                <w:sz w:val="19"/>
                <w:szCs w:val="19"/>
              </w:rPr>
              <w:t>AMDC</w:t>
            </w:r>
          </w:p>
        </w:tc>
        <w:tc>
          <w:tcPr>
            <w:tcW w:w="538" w:type="dxa"/>
          </w:tcPr>
          <w:p w14:paraId="3438C297"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008DEB1C" w14:textId="77777777" w:rsidR="000F5341" w:rsidRPr="000B17E2" w:rsidRDefault="000F5341" w:rsidP="000F5341">
            <w:pPr>
              <w:pStyle w:val="BodyText"/>
              <w:spacing w:before="0" w:after="0"/>
              <w:rPr>
                <w:sz w:val="19"/>
                <w:szCs w:val="19"/>
              </w:rPr>
            </w:pPr>
            <w:r w:rsidRPr="000B17E2">
              <w:rPr>
                <w:sz w:val="19"/>
                <w:szCs w:val="19"/>
              </w:rPr>
              <w:t>Africa Minerals Development Centre, United Nations Economic Commission for Africa</w:t>
            </w:r>
          </w:p>
        </w:tc>
      </w:tr>
      <w:tr w:rsidR="000F5341" w:rsidRPr="000B17E2" w14:paraId="586CEAE9" w14:textId="77777777" w:rsidTr="00767E76">
        <w:trPr>
          <w:trHeight w:val="74"/>
        </w:trPr>
        <w:tc>
          <w:tcPr>
            <w:tcW w:w="1881" w:type="dxa"/>
          </w:tcPr>
          <w:p w14:paraId="7A8A24A0" w14:textId="77777777" w:rsidR="000F5341" w:rsidRPr="000B17E2" w:rsidRDefault="000F5341" w:rsidP="000F5341">
            <w:pPr>
              <w:pStyle w:val="BodyText"/>
              <w:spacing w:before="0" w:after="0"/>
              <w:rPr>
                <w:sz w:val="19"/>
                <w:szCs w:val="19"/>
              </w:rPr>
            </w:pPr>
            <w:r w:rsidRPr="000B17E2">
              <w:rPr>
                <w:sz w:val="19"/>
                <w:szCs w:val="19"/>
              </w:rPr>
              <w:t>AMV</w:t>
            </w:r>
          </w:p>
        </w:tc>
        <w:tc>
          <w:tcPr>
            <w:tcW w:w="538" w:type="dxa"/>
          </w:tcPr>
          <w:p w14:paraId="20AC0497"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0238CF14" w14:textId="77777777" w:rsidR="000F5341" w:rsidRPr="000B17E2" w:rsidRDefault="000F5341" w:rsidP="000F5341">
            <w:pPr>
              <w:pStyle w:val="BodyText"/>
              <w:spacing w:before="0" w:after="0"/>
              <w:rPr>
                <w:sz w:val="19"/>
                <w:szCs w:val="19"/>
              </w:rPr>
            </w:pPr>
            <w:r w:rsidRPr="000B17E2">
              <w:rPr>
                <w:sz w:val="19"/>
                <w:szCs w:val="19"/>
              </w:rPr>
              <w:t>African Mining Vision</w:t>
            </w:r>
          </w:p>
        </w:tc>
      </w:tr>
      <w:tr w:rsidR="000F5341" w:rsidRPr="000B17E2" w14:paraId="103659B7" w14:textId="77777777" w:rsidTr="00767E76">
        <w:tc>
          <w:tcPr>
            <w:tcW w:w="1881" w:type="dxa"/>
            <w:shd w:val="clear" w:color="auto" w:fill="auto"/>
          </w:tcPr>
          <w:p w14:paraId="657CD2C6" w14:textId="77777777" w:rsidR="000F5341" w:rsidRPr="000B17E2" w:rsidRDefault="000F5341" w:rsidP="000F5341">
            <w:pPr>
              <w:pStyle w:val="BodyText"/>
              <w:spacing w:before="0" w:after="0"/>
              <w:rPr>
                <w:sz w:val="19"/>
                <w:szCs w:val="19"/>
              </w:rPr>
            </w:pPr>
            <w:r w:rsidRPr="000B17E2">
              <w:rPr>
                <w:sz w:val="19"/>
                <w:szCs w:val="19"/>
              </w:rPr>
              <w:t>APR</w:t>
            </w:r>
          </w:p>
        </w:tc>
        <w:tc>
          <w:tcPr>
            <w:tcW w:w="538" w:type="dxa"/>
            <w:shd w:val="clear" w:color="auto" w:fill="auto"/>
          </w:tcPr>
          <w:p w14:paraId="00AED684"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shd w:val="clear" w:color="auto" w:fill="auto"/>
          </w:tcPr>
          <w:p w14:paraId="4E683E99" w14:textId="77777777" w:rsidR="000F5341" w:rsidRPr="000B17E2" w:rsidRDefault="000F5341" w:rsidP="000F5341">
            <w:pPr>
              <w:pStyle w:val="BodyText"/>
              <w:spacing w:before="0" w:after="0"/>
              <w:rPr>
                <w:sz w:val="19"/>
                <w:szCs w:val="19"/>
              </w:rPr>
            </w:pPr>
            <w:r w:rsidRPr="000B17E2">
              <w:rPr>
                <w:sz w:val="19"/>
                <w:szCs w:val="19"/>
              </w:rPr>
              <w:t>Activity Proposal Request</w:t>
            </w:r>
          </w:p>
        </w:tc>
      </w:tr>
      <w:tr w:rsidR="000F5341" w:rsidRPr="000B17E2" w14:paraId="70F5DF68" w14:textId="77777777" w:rsidTr="00767E76">
        <w:tc>
          <w:tcPr>
            <w:tcW w:w="1881" w:type="dxa"/>
          </w:tcPr>
          <w:p w14:paraId="101C702A" w14:textId="77777777" w:rsidR="000F5341" w:rsidRPr="000B17E2" w:rsidRDefault="000F5341" w:rsidP="000F5341">
            <w:pPr>
              <w:pStyle w:val="BodyText"/>
              <w:spacing w:before="0" w:after="0"/>
              <w:rPr>
                <w:sz w:val="19"/>
                <w:szCs w:val="19"/>
              </w:rPr>
            </w:pPr>
            <w:r w:rsidRPr="000B17E2">
              <w:rPr>
                <w:sz w:val="19"/>
                <w:szCs w:val="19"/>
              </w:rPr>
              <w:t>Applicant</w:t>
            </w:r>
          </w:p>
        </w:tc>
        <w:tc>
          <w:tcPr>
            <w:tcW w:w="538" w:type="dxa"/>
          </w:tcPr>
          <w:p w14:paraId="2E07B4F4"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78B5C93B" w14:textId="77777777" w:rsidR="000F5341" w:rsidRPr="000B17E2" w:rsidRDefault="000F5341" w:rsidP="000F5341">
            <w:pPr>
              <w:pStyle w:val="BodyText"/>
              <w:spacing w:before="0" w:after="0"/>
              <w:rPr>
                <w:sz w:val="19"/>
                <w:szCs w:val="19"/>
              </w:rPr>
            </w:pPr>
            <w:r w:rsidRPr="000B17E2">
              <w:rPr>
                <w:sz w:val="19"/>
                <w:szCs w:val="19"/>
              </w:rPr>
              <w:t>a person who has applied for, b</w:t>
            </w:r>
            <w:r w:rsidR="002A7736" w:rsidRPr="000B17E2">
              <w:rPr>
                <w:sz w:val="19"/>
                <w:szCs w:val="19"/>
              </w:rPr>
              <w:t>ut has not yet received, a DFAT-</w:t>
            </w:r>
            <w:r w:rsidRPr="000B17E2">
              <w:rPr>
                <w:sz w:val="19"/>
                <w:szCs w:val="19"/>
              </w:rPr>
              <w:t>funded scholarship</w:t>
            </w:r>
          </w:p>
        </w:tc>
      </w:tr>
      <w:tr w:rsidR="000F5341" w:rsidRPr="000B17E2" w14:paraId="56388F51" w14:textId="77777777" w:rsidTr="00767E76">
        <w:tc>
          <w:tcPr>
            <w:tcW w:w="1881" w:type="dxa"/>
          </w:tcPr>
          <w:p w14:paraId="2388861B" w14:textId="77777777" w:rsidR="000F5341" w:rsidRPr="000B17E2" w:rsidRDefault="000F5341" w:rsidP="000F5341">
            <w:pPr>
              <w:pStyle w:val="BodyText"/>
              <w:spacing w:before="0" w:after="0"/>
              <w:rPr>
                <w:sz w:val="19"/>
                <w:szCs w:val="19"/>
              </w:rPr>
            </w:pPr>
            <w:r w:rsidRPr="000B17E2">
              <w:rPr>
                <w:sz w:val="19"/>
                <w:szCs w:val="19"/>
              </w:rPr>
              <w:t>AusAID</w:t>
            </w:r>
          </w:p>
        </w:tc>
        <w:tc>
          <w:tcPr>
            <w:tcW w:w="538" w:type="dxa"/>
          </w:tcPr>
          <w:p w14:paraId="478D6DE2"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17BD5A29" w14:textId="77777777" w:rsidR="000F5341" w:rsidRPr="000B17E2" w:rsidRDefault="000F5341" w:rsidP="000F5341">
            <w:pPr>
              <w:pStyle w:val="BodyText"/>
              <w:spacing w:before="0" w:after="0"/>
              <w:rPr>
                <w:sz w:val="19"/>
                <w:szCs w:val="19"/>
              </w:rPr>
            </w:pPr>
            <w:r w:rsidRPr="000B17E2">
              <w:rPr>
                <w:sz w:val="19"/>
                <w:szCs w:val="19"/>
              </w:rPr>
              <w:t>Australian Agency for International Development</w:t>
            </w:r>
          </w:p>
        </w:tc>
      </w:tr>
      <w:tr w:rsidR="000F5341" w:rsidRPr="000B17E2" w14:paraId="5D01059C" w14:textId="77777777" w:rsidTr="00767E76">
        <w:tc>
          <w:tcPr>
            <w:tcW w:w="1881" w:type="dxa"/>
          </w:tcPr>
          <w:p w14:paraId="52DEE7A6" w14:textId="77777777" w:rsidR="000F5341" w:rsidRPr="000B17E2" w:rsidRDefault="000F5341" w:rsidP="000F5341">
            <w:pPr>
              <w:pStyle w:val="BodyText"/>
              <w:spacing w:before="0" w:after="0"/>
              <w:rPr>
                <w:sz w:val="19"/>
                <w:szCs w:val="19"/>
              </w:rPr>
            </w:pPr>
            <w:proofErr w:type="spellStart"/>
            <w:r w:rsidRPr="000B17E2">
              <w:rPr>
                <w:sz w:val="19"/>
                <w:szCs w:val="19"/>
              </w:rPr>
              <w:t>AusTrade</w:t>
            </w:r>
            <w:proofErr w:type="spellEnd"/>
          </w:p>
        </w:tc>
        <w:tc>
          <w:tcPr>
            <w:tcW w:w="538" w:type="dxa"/>
          </w:tcPr>
          <w:p w14:paraId="4C69A13F"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0B5BD4D7" w14:textId="77777777" w:rsidR="000F5341" w:rsidRPr="000B17E2" w:rsidRDefault="000F5341" w:rsidP="000F5341">
            <w:pPr>
              <w:pStyle w:val="BodyText"/>
              <w:spacing w:before="0" w:after="0"/>
              <w:rPr>
                <w:sz w:val="19"/>
                <w:szCs w:val="19"/>
              </w:rPr>
            </w:pPr>
            <w:r w:rsidRPr="000B17E2">
              <w:rPr>
                <w:sz w:val="19"/>
                <w:szCs w:val="19"/>
              </w:rPr>
              <w:t>Australian Trade Commission</w:t>
            </w:r>
          </w:p>
        </w:tc>
      </w:tr>
      <w:tr w:rsidR="000F5341" w:rsidRPr="000B17E2" w14:paraId="405430D4" w14:textId="77777777" w:rsidTr="00767E76">
        <w:tc>
          <w:tcPr>
            <w:tcW w:w="1881" w:type="dxa"/>
          </w:tcPr>
          <w:p w14:paraId="0B4112C8" w14:textId="77777777" w:rsidR="000F5341" w:rsidRPr="000B17E2" w:rsidRDefault="000F5341" w:rsidP="000F5341">
            <w:pPr>
              <w:pStyle w:val="BodyText"/>
              <w:spacing w:before="0" w:after="0"/>
              <w:rPr>
                <w:sz w:val="19"/>
                <w:szCs w:val="19"/>
              </w:rPr>
            </w:pPr>
            <w:r w:rsidRPr="000B17E2">
              <w:rPr>
                <w:sz w:val="19"/>
                <w:szCs w:val="19"/>
              </w:rPr>
              <w:t>CSOs</w:t>
            </w:r>
          </w:p>
        </w:tc>
        <w:tc>
          <w:tcPr>
            <w:tcW w:w="538" w:type="dxa"/>
          </w:tcPr>
          <w:p w14:paraId="5A7A45B7"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1FD16D20" w14:textId="77777777" w:rsidR="000F5341" w:rsidRPr="000B17E2" w:rsidRDefault="000F5341" w:rsidP="000F5341">
            <w:pPr>
              <w:pStyle w:val="BodyText"/>
              <w:spacing w:before="0" w:after="0"/>
              <w:rPr>
                <w:sz w:val="19"/>
                <w:szCs w:val="19"/>
              </w:rPr>
            </w:pPr>
            <w:r w:rsidRPr="000B17E2">
              <w:rPr>
                <w:sz w:val="19"/>
                <w:szCs w:val="19"/>
              </w:rPr>
              <w:t>Civil Society Organisations</w:t>
            </w:r>
          </w:p>
        </w:tc>
      </w:tr>
      <w:tr w:rsidR="000F5341" w:rsidRPr="000B17E2" w14:paraId="0646F191" w14:textId="77777777" w:rsidTr="00767E76">
        <w:tc>
          <w:tcPr>
            <w:tcW w:w="1881" w:type="dxa"/>
          </w:tcPr>
          <w:p w14:paraId="78E20470" w14:textId="77777777" w:rsidR="000F5341" w:rsidRPr="000B17E2" w:rsidRDefault="000F5341" w:rsidP="000F5341">
            <w:pPr>
              <w:pStyle w:val="BodyText"/>
              <w:spacing w:before="0" w:after="0"/>
              <w:rPr>
                <w:rFonts w:eastAsia="Calibri"/>
                <w:color w:val="000000"/>
                <w:sz w:val="19"/>
                <w:szCs w:val="19"/>
              </w:rPr>
            </w:pPr>
            <w:r w:rsidRPr="000B17E2">
              <w:rPr>
                <w:rFonts w:eastAsia="Calibri"/>
                <w:color w:val="000000"/>
                <w:sz w:val="19"/>
                <w:szCs w:val="19"/>
              </w:rPr>
              <w:t>DFAT</w:t>
            </w:r>
          </w:p>
        </w:tc>
        <w:tc>
          <w:tcPr>
            <w:tcW w:w="538" w:type="dxa"/>
          </w:tcPr>
          <w:p w14:paraId="11D12B36"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20736719" w14:textId="77777777" w:rsidR="000F5341" w:rsidRPr="000B17E2" w:rsidRDefault="000F5341" w:rsidP="000F5341">
            <w:pPr>
              <w:pStyle w:val="BodyText"/>
              <w:spacing w:before="0" w:after="0"/>
              <w:rPr>
                <w:rFonts w:eastAsia="Calibri"/>
                <w:color w:val="000000"/>
                <w:sz w:val="19"/>
                <w:szCs w:val="19"/>
              </w:rPr>
            </w:pPr>
            <w:r w:rsidRPr="000B17E2">
              <w:rPr>
                <w:rFonts w:eastAsia="Calibri"/>
                <w:color w:val="000000"/>
                <w:sz w:val="19"/>
                <w:szCs w:val="19"/>
              </w:rPr>
              <w:t>Australian Department of Foreign Affairs and Trade</w:t>
            </w:r>
          </w:p>
        </w:tc>
      </w:tr>
      <w:tr w:rsidR="000F5341" w:rsidRPr="000B17E2" w14:paraId="0E7458F8" w14:textId="77777777" w:rsidTr="00767E76">
        <w:tc>
          <w:tcPr>
            <w:tcW w:w="1881" w:type="dxa"/>
          </w:tcPr>
          <w:p w14:paraId="6AAE0617" w14:textId="77777777" w:rsidR="000F5341" w:rsidRPr="000B17E2" w:rsidRDefault="000F5341" w:rsidP="000F5341">
            <w:pPr>
              <w:pStyle w:val="BodyText"/>
              <w:spacing w:before="0" w:after="0"/>
              <w:rPr>
                <w:rFonts w:eastAsia="Calibri"/>
                <w:color w:val="000000"/>
                <w:sz w:val="19"/>
                <w:szCs w:val="19"/>
              </w:rPr>
            </w:pPr>
            <w:r w:rsidRPr="000B17E2">
              <w:rPr>
                <w:rFonts w:eastAsia="Calibri"/>
                <w:color w:val="000000"/>
                <w:sz w:val="19"/>
                <w:szCs w:val="19"/>
              </w:rPr>
              <w:t>E4G</w:t>
            </w:r>
          </w:p>
        </w:tc>
        <w:tc>
          <w:tcPr>
            <w:tcW w:w="538" w:type="dxa"/>
          </w:tcPr>
          <w:p w14:paraId="312C85F6"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141BED89" w14:textId="77777777" w:rsidR="000F5341" w:rsidRPr="000B17E2" w:rsidRDefault="000F5341" w:rsidP="000F5341">
            <w:pPr>
              <w:pStyle w:val="BodyText"/>
              <w:spacing w:before="0" w:after="0"/>
              <w:rPr>
                <w:rFonts w:eastAsia="Calibri"/>
                <w:color w:val="000000"/>
                <w:sz w:val="19"/>
                <w:szCs w:val="19"/>
              </w:rPr>
            </w:pPr>
            <w:r w:rsidRPr="000B17E2">
              <w:rPr>
                <w:rFonts w:eastAsia="Calibri"/>
                <w:color w:val="000000"/>
                <w:sz w:val="19"/>
                <w:szCs w:val="19"/>
              </w:rPr>
              <w:t>Extractive for Growth</w:t>
            </w:r>
          </w:p>
        </w:tc>
      </w:tr>
      <w:tr w:rsidR="000F5341" w:rsidRPr="000B17E2" w14:paraId="6C276F60" w14:textId="77777777" w:rsidTr="00767E76">
        <w:tc>
          <w:tcPr>
            <w:tcW w:w="1881" w:type="dxa"/>
          </w:tcPr>
          <w:p w14:paraId="2085DE6A" w14:textId="45CCC5D4" w:rsidR="000F5341" w:rsidRPr="000B17E2" w:rsidRDefault="003560DE" w:rsidP="000F5341">
            <w:pPr>
              <w:pStyle w:val="BodyText"/>
              <w:spacing w:before="0" w:after="0"/>
              <w:rPr>
                <w:rFonts w:eastAsia="Calibri"/>
                <w:color w:val="000000"/>
                <w:sz w:val="19"/>
                <w:szCs w:val="19"/>
              </w:rPr>
            </w:pPr>
            <w:r>
              <w:rPr>
                <w:rFonts w:eastAsia="Calibri"/>
                <w:color w:val="000000"/>
                <w:sz w:val="19"/>
                <w:szCs w:val="19"/>
              </w:rPr>
              <w:t>EE Countries</w:t>
            </w:r>
          </w:p>
        </w:tc>
        <w:tc>
          <w:tcPr>
            <w:tcW w:w="538" w:type="dxa"/>
          </w:tcPr>
          <w:p w14:paraId="4AB24473"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33F8D59B" w14:textId="11A9C3BD" w:rsidR="000F5341" w:rsidRPr="000B17E2" w:rsidRDefault="003560DE" w:rsidP="000F5341">
            <w:pPr>
              <w:pStyle w:val="BodyText"/>
              <w:spacing w:before="0" w:after="0"/>
              <w:rPr>
                <w:rFonts w:eastAsia="Calibri"/>
                <w:color w:val="000000"/>
                <w:sz w:val="19"/>
                <w:szCs w:val="19"/>
              </w:rPr>
            </w:pPr>
            <w:r>
              <w:rPr>
                <w:rFonts w:eastAsia="Calibri"/>
                <w:color w:val="000000"/>
                <w:sz w:val="19"/>
                <w:szCs w:val="19"/>
              </w:rPr>
              <w:t>Enabling Environment Countries</w:t>
            </w:r>
            <w:r w:rsidR="004D1AA7">
              <w:rPr>
                <w:rFonts w:eastAsia="Calibri"/>
                <w:color w:val="000000"/>
                <w:sz w:val="19"/>
                <w:szCs w:val="19"/>
              </w:rPr>
              <w:t xml:space="preserve"> (a subset of the Target Countries, including </w:t>
            </w:r>
            <w:r w:rsidR="004D1AA7" w:rsidRPr="00767E76">
              <w:rPr>
                <w:rFonts w:eastAsia="Calibri"/>
                <w:color w:val="000000"/>
                <w:sz w:val="19"/>
                <w:szCs w:val="19"/>
              </w:rPr>
              <w:t>Madagascar, South Africa, Ethiopia, Ghana and Nigeria</w:t>
            </w:r>
            <w:r w:rsidR="004D1AA7">
              <w:rPr>
                <w:rFonts w:eastAsia="Calibri"/>
                <w:color w:val="000000"/>
                <w:sz w:val="19"/>
                <w:szCs w:val="19"/>
              </w:rPr>
              <w:t>)</w:t>
            </w:r>
          </w:p>
        </w:tc>
      </w:tr>
      <w:tr w:rsidR="003560DE" w:rsidRPr="000B17E2" w14:paraId="52E193C0" w14:textId="77777777" w:rsidTr="003560DE">
        <w:tc>
          <w:tcPr>
            <w:tcW w:w="1881" w:type="dxa"/>
          </w:tcPr>
          <w:p w14:paraId="3CDF55BD" w14:textId="58FF5D9A" w:rsidR="003560DE" w:rsidRPr="000B17E2" w:rsidRDefault="003560DE" w:rsidP="000F5341">
            <w:pPr>
              <w:pStyle w:val="BodyText"/>
              <w:spacing w:before="0" w:after="0"/>
              <w:rPr>
                <w:rFonts w:eastAsia="Calibri"/>
                <w:color w:val="000000"/>
                <w:sz w:val="19"/>
                <w:szCs w:val="19"/>
              </w:rPr>
            </w:pPr>
            <w:r w:rsidRPr="000B17E2">
              <w:rPr>
                <w:rFonts w:eastAsia="Calibri"/>
                <w:color w:val="000000"/>
                <w:sz w:val="19"/>
                <w:szCs w:val="19"/>
              </w:rPr>
              <w:t>EITI</w:t>
            </w:r>
          </w:p>
        </w:tc>
        <w:tc>
          <w:tcPr>
            <w:tcW w:w="538" w:type="dxa"/>
          </w:tcPr>
          <w:p w14:paraId="5EE90F4C" w14:textId="57B6BECD" w:rsidR="003560DE" w:rsidRPr="000B17E2" w:rsidRDefault="003560DE" w:rsidP="000F5341">
            <w:pPr>
              <w:pStyle w:val="BodyText"/>
              <w:spacing w:before="0" w:after="0"/>
              <w:rPr>
                <w:sz w:val="19"/>
                <w:szCs w:val="19"/>
              </w:rPr>
            </w:pPr>
            <w:r>
              <w:rPr>
                <w:sz w:val="19"/>
                <w:szCs w:val="19"/>
              </w:rPr>
              <w:t>-</w:t>
            </w:r>
          </w:p>
        </w:tc>
        <w:tc>
          <w:tcPr>
            <w:tcW w:w="6823" w:type="dxa"/>
          </w:tcPr>
          <w:p w14:paraId="2DFCB612" w14:textId="1AE46C5B" w:rsidR="003560DE" w:rsidRPr="000B17E2" w:rsidRDefault="003560DE" w:rsidP="000F5341">
            <w:pPr>
              <w:pStyle w:val="BodyText"/>
              <w:spacing w:before="0" w:after="0"/>
              <w:rPr>
                <w:rFonts w:eastAsia="Calibri"/>
                <w:color w:val="000000"/>
                <w:sz w:val="19"/>
                <w:szCs w:val="19"/>
              </w:rPr>
            </w:pPr>
            <w:r w:rsidRPr="000B17E2">
              <w:rPr>
                <w:rFonts w:eastAsia="Calibri"/>
                <w:color w:val="000000"/>
                <w:sz w:val="19"/>
                <w:szCs w:val="19"/>
              </w:rPr>
              <w:t>Extractive Industries Transparency Initiative (Transparency International)</w:t>
            </w:r>
          </w:p>
        </w:tc>
      </w:tr>
      <w:tr w:rsidR="00FB0292" w:rsidRPr="000B17E2" w14:paraId="0452DF34" w14:textId="77777777" w:rsidTr="00767E76">
        <w:tc>
          <w:tcPr>
            <w:tcW w:w="1881" w:type="dxa"/>
          </w:tcPr>
          <w:p w14:paraId="3FE8AE6F" w14:textId="411CC1DB" w:rsidR="00FB0292" w:rsidRPr="000B17E2" w:rsidRDefault="002A3434" w:rsidP="000F5341">
            <w:pPr>
              <w:pStyle w:val="BodyText"/>
              <w:spacing w:before="0" w:after="0"/>
              <w:rPr>
                <w:rFonts w:eastAsia="Calibri"/>
                <w:color w:val="000000"/>
                <w:sz w:val="19"/>
                <w:szCs w:val="19"/>
              </w:rPr>
            </w:pPr>
            <w:r>
              <w:rPr>
                <w:rFonts w:eastAsia="Calibri"/>
                <w:color w:val="000000"/>
                <w:sz w:val="19"/>
                <w:szCs w:val="19"/>
              </w:rPr>
              <w:t>FAS</w:t>
            </w:r>
          </w:p>
        </w:tc>
        <w:tc>
          <w:tcPr>
            <w:tcW w:w="538" w:type="dxa"/>
          </w:tcPr>
          <w:p w14:paraId="5C78BC34" w14:textId="77777777" w:rsidR="00FB0292" w:rsidRPr="000B17E2" w:rsidRDefault="00FB0292" w:rsidP="000F5341">
            <w:pPr>
              <w:pStyle w:val="BodyText"/>
              <w:spacing w:before="0" w:after="0"/>
              <w:rPr>
                <w:sz w:val="19"/>
                <w:szCs w:val="19"/>
              </w:rPr>
            </w:pPr>
            <w:r w:rsidRPr="000B17E2">
              <w:rPr>
                <w:sz w:val="19"/>
                <w:szCs w:val="19"/>
              </w:rPr>
              <w:t>-</w:t>
            </w:r>
          </w:p>
        </w:tc>
        <w:tc>
          <w:tcPr>
            <w:tcW w:w="6823" w:type="dxa"/>
          </w:tcPr>
          <w:p w14:paraId="1ED8F59A" w14:textId="0745B7C4" w:rsidR="00FB0292" w:rsidRPr="000B17E2" w:rsidRDefault="002A3434" w:rsidP="000F5341">
            <w:pPr>
              <w:pStyle w:val="BodyText"/>
              <w:spacing w:before="0" w:after="0"/>
              <w:rPr>
                <w:rFonts w:eastAsia="Calibri"/>
                <w:color w:val="000000"/>
                <w:sz w:val="19"/>
                <w:szCs w:val="19"/>
              </w:rPr>
            </w:pPr>
            <w:r>
              <w:rPr>
                <w:rFonts w:eastAsia="Calibri"/>
                <w:color w:val="000000"/>
                <w:sz w:val="19"/>
                <w:szCs w:val="19"/>
              </w:rPr>
              <w:t>First Assistant Secretary</w:t>
            </w:r>
          </w:p>
        </w:tc>
      </w:tr>
      <w:tr w:rsidR="000F5341" w:rsidRPr="000B17E2" w14:paraId="391002FE" w14:textId="77777777" w:rsidTr="00767E76">
        <w:tc>
          <w:tcPr>
            <w:tcW w:w="1881" w:type="dxa"/>
          </w:tcPr>
          <w:p w14:paraId="7A498197" w14:textId="77777777" w:rsidR="000F5341" w:rsidRPr="000B17E2" w:rsidRDefault="00EC38FF" w:rsidP="000F5341">
            <w:pPr>
              <w:pStyle w:val="BodyText"/>
              <w:spacing w:before="0" w:after="0"/>
              <w:rPr>
                <w:rFonts w:eastAsia="Calibri"/>
                <w:color w:val="000000"/>
                <w:sz w:val="19"/>
                <w:szCs w:val="19"/>
              </w:rPr>
            </w:pPr>
            <w:r>
              <w:rPr>
                <w:rFonts w:eastAsia="Calibri"/>
                <w:color w:val="000000"/>
                <w:sz w:val="19"/>
                <w:szCs w:val="19"/>
              </w:rPr>
              <w:t>Focus Countries</w:t>
            </w:r>
          </w:p>
        </w:tc>
        <w:tc>
          <w:tcPr>
            <w:tcW w:w="538" w:type="dxa"/>
          </w:tcPr>
          <w:p w14:paraId="70FD646E"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4402C36D" w14:textId="77777777" w:rsidR="000F5341" w:rsidRPr="000B17E2" w:rsidRDefault="000F5341" w:rsidP="000F5341">
            <w:pPr>
              <w:pStyle w:val="BodyText"/>
              <w:spacing w:before="0" w:after="0"/>
              <w:rPr>
                <w:rFonts w:eastAsia="Calibri"/>
                <w:color w:val="000000"/>
                <w:sz w:val="19"/>
                <w:szCs w:val="19"/>
              </w:rPr>
            </w:pPr>
            <w:r w:rsidRPr="000B17E2">
              <w:rPr>
                <w:rFonts w:eastAsia="Calibri"/>
                <w:color w:val="000000"/>
                <w:sz w:val="19"/>
                <w:szCs w:val="19"/>
              </w:rPr>
              <w:t>Mozambique, Tanzania, and Zambia</w:t>
            </w:r>
          </w:p>
        </w:tc>
      </w:tr>
      <w:tr w:rsidR="000F5341" w:rsidRPr="000B17E2" w14:paraId="7E19ED28" w14:textId="77777777" w:rsidTr="00767E76">
        <w:tc>
          <w:tcPr>
            <w:tcW w:w="1881" w:type="dxa"/>
          </w:tcPr>
          <w:p w14:paraId="364F8E4F" w14:textId="77777777" w:rsidR="000F5341" w:rsidRPr="000B17E2" w:rsidRDefault="000F5341" w:rsidP="000F5341">
            <w:pPr>
              <w:pStyle w:val="BodyText"/>
              <w:spacing w:before="0" w:after="0"/>
              <w:rPr>
                <w:sz w:val="19"/>
                <w:szCs w:val="19"/>
              </w:rPr>
            </w:pPr>
            <w:proofErr w:type="spellStart"/>
            <w:r w:rsidRPr="000B17E2">
              <w:rPr>
                <w:sz w:val="19"/>
                <w:szCs w:val="19"/>
              </w:rPr>
              <w:t>GoA</w:t>
            </w:r>
            <w:proofErr w:type="spellEnd"/>
          </w:p>
        </w:tc>
        <w:tc>
          <w:tcPr>
            <w:tcW w:w="538" w:type="dxa"/>
          </w:tcPr>
          <w:p w14:paraId="251343D8"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6F1E7275" w14:textId="77777777" w:rsidR="000F5341" w:rsidRPr="000B17E2" w:rsidRDefault="000F5341" w:rsidP="000F5341">
            <w:pPr>
              <w:pStyle w:val="BodyText"/>
              <w:spacing w:before="0" w:after="0"/>
              <w:rPr>
                <w:sz w:val="19"/>
                <w:szCs w:val="19"/>
              </w:rPr>
            </w:pPr>
            <w:r w:rsidRPr="000B17E2">
              <w:rPr>
                <w:sz w:val="19"/>
                <w:szCs w:val="19"/>
              </w:rPr>
              <w:t>Government of Australia</w:t>
            </w:r>
            <w:r w:rsidR="00BD5668" w:rsidRPr="000B17E2">
              <w:rPr>
                <w:sz w:val="19"/>
                <w:szCs w:val="19"/>
              </w:rPr>
              <w:t xml:space="preserve"> / Australian Government</w:t>
            </w:r>
          </w:p>
        </w:tc>
      </w:tr>
      <w:tr w:rsidR="000F5341" w:rsidRPr="000B17E2" w14:paraId="345EC042" w14:textId="77777777" w:rsidTr="00767E76">
        <w:tc>
          <w:tcPr>
            <w:tcW w:w="1881" w:type="dxa"/>
          </w:tcPr>
          <w:p w14:paraId="43AC2512" w14:textId="77777777" w:rsidR="000F5341" w:rsidRPr="000B17E2" w:rsidRDefault="000F5341" w:rsidP="000F5341">
            <w:pPr>
              <w:pStyle w:val="BodyText"/>
              <w:spacing w:before="0" w:after="0"/>
              <w:rPr>
                <w:sz w:val="19"/>
                <w:szCs w:val="19"/>
              </w:rPr>
            </w:pPr>
            <w:r w:rsidRPr="000B17E2">
              <w:rPr>
                <w:sz w:val="19"/>
                <w:szCs w:val="19"/>
              </w:rPr>
              <w:t>GDP</w:t>
            </w:r>
          </w:p>
        </w:tc>
        <w:tc>
          <w:tcPr>
            <w:tcW w:w="538" w:type="dxa"/>
          </w:tcPr>
          <w:p w14:paraId="3E170206"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13B57BE5" w14:textId="77777777" w:rsidR="000F5341" w:rsidRPr="000B17E2" w:rsidRDefault="000F5341" w:rsidP="000F5341">
            <w:pPr>
              <w:pStyle w:val="BodyText"/>
              <w:spacing w:before="0" w:after="0"/>
              <w:rPr>
                <w:sz w:val="19"/>
                <w:szCs w:val="19"/>
              </w:rPr>
            </w:pPr>
            <w:r w:rsidRPr="000B17E2">
              <w:rPr>
                <w:sz w:val="19"/>
                <w:szCs w:val="19"/>
              </w:rPr>
              <w:t>Gross Domestic Product</w:t>
            </w:r>
          </w:p>
        </w:tc>
      </w:tr>
      <w:tr w:rsidR="000F5341" w:rsidRPr="000B17E2" w14:paraId="285C204C" w14:textId="77777777" w:rsidTr="00767E76">
        <w:tc>
          <w:tcPr>
            <w:tcW w:w="1881" w:type="dxa"/>
          </w:tcPr>
          <w:p w14:paraId="32026311" w14:textId="77777777" w:rsidR="000F5341" w:rsidRPr="000B17E2" w:rsidRDefault="000F5341" w:rsidP="000F5341">
            <w:pPr>
              <w:pStyle w:val="BodyText"/>
              <w:spacing w:before="0" w:after="0"/>
              <w:rPr>
                <w:sz w:val="19"/>
                <w:szCs w:val="19"/>
              </w:rPr>
            </w:pPr>
            <w:r w:rsidRPr="000B17E2">
              <w:rPr>
                <w:sz w:val="19"/>
                <w:szCs w:val="19"/>
              </w:rPr>
              <w:t>GIZ</w:t>
            </w:r>
          </w:p>
        </w:tc>
        <w:tc>
          <w:tcPr>
            <w:tcW w:w="538" w:type="dxa"/>
          </w:tcPr>
          <w:p w14:paraId="209F5AC5" w14:textId="77777777" w:rsidR="000F5341" w:rsidRPr="000B17E2" w:rsidRDefault="000F5341" w:rsidP="000F5341">
            <w:pPr>
              <w:pStyle w:val="BodyText"/>
              <w:spacing w:before="0" w:after="0"/>
              <w:rPr>
                <w:sz w:val="19"/>
                <w:szCs w:val="19"/>
              </w:rPr>
            </w:pPr>
          </w:p>
        </w:tc>
        <w:tc>
          <w:tcPr>
            <w:tcW w:w="6823" w:type="dxa"/>
          </w:tcPr>
          <w:p w14:paraId="1C69F802" w14:textId="77777777" w:rsidR="000F5341" w:rsidRPr="000B17E2" w:rsidRDefault="000F5341" w:rsidP="000F5341">
            <w:pPr>
              <w:pStyle w:val="BodyText"/>
              <w:spacing w:before="0" w:after="0"/>
              <w:rPr>
                <w:sz w:val="19"/>
                <w:szCs w:val="19"/>
                <w:lang w:val="de-DE"/>
              </w:rPr>
            </w:pPr>
            <w:r w:rsidRPr="000B17E2">
              <w:rPr>
                <w:i/>
                <w:sz w:val="19"/>
                <w:szCs w:val="19"/>
                <w:lang w:val="de-DE"/>
              </w:rPr>
              <w:t>Deutche Gesellschaft fűr Internationale Zusammenarbeit GmbH</w:t>
            </w:r>
            <w:r w:rsidRPr="000B17E2">
              <w:rPr>
                <w:sz w:val="19"/>
                <w:szCs w:val="19"/>
                <w:lang w:val="de-DE"/>
              </w:rPr>
              <w:t xml:space="preserve"> (German Society for International Cooperation)</w:t>
            </w:r>
          </w:p>
        </w:tc>
      </w:tr>
      <w:tr w:rsidR="000F5341" w:rsidRPr="000B17E2" w14:paraId="6D9EB8DF" w14:textId="77777777" w:rsidTr="00767E76">
        <w:tc>
          <w:tcPr>
            <w:tcW w:w="1881" w:type="dxa"/>
          </w:tcPr>
          <w:p w14:paraId="714FC698" w14:textId="77777777" w:rsidR="000F5341" w:rsidRPr="000B17E2" w:rsidRDefault="000F5341" w:rsidP="000F5341">
            <w:pPr>
              <w:pStyle w:val="BodyText"/>
              <w:spacing w:before="0" w:after="0"/>
              <w:rPr>
                <w:sz w:val="19"/>
                <w:szCs w:val="19"/>
              </w:rPr>
            </w:pPr>
            <w:proofErr w:type="spellStart"/>
            <w:r w:rsidRPr="000B17E2">
              <w:rPr>
                <w:sz w:val="19"/>
                <w:szCs w:val="19"/>
              </w:rPr>
              <w:t>HoMs</w:t>
            </w:r>
            <w:proofErr w:type="spellEnd"/>
          </w:p>
        </w:tc>
        <w:tc>
          <w:tcPr>
            <w:tcW w:w="538" w:type="dxa"/>
          </w:tcPr>
          <w:p w14:paraId="1C829DE5"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59F02A97" w14:textId="77777777" w:rsidR="000F5341" w:rsidRPr="000B17E2" w:rsidRDefault="000F5341" w:rsidP="000F5341">
            <w:pPr>
              <w:pStyle w:val="BodyText"/>
              <w:spacing w:before="0" w:after="0"/>
              <w:rPr>
                <w:sz w:val="19"/>
                <w:szCs w:val="19"/>
              </w:rPr>
            </w:pPr>
            <w:r w:rsidRPr="000B17E2">
              <w:rPr>
                <w:sz w:val="19"/>
                <w:szCs w:val="19"/>
              </w:rPr>
              <w:t>DFAT Heads of Mission</w:t>
            </w:r>
          </w:p>
        </w:tc>
      </w:tr>
      <w:tr w:rsidR="00FB0292" w:rsidRPr="000B17E2" w14:paraId="38565BF6" w14:textId="77777777" w:rsidTr="00767E76">
        <w:tc>
          <w:tcPr>
            <w:tcW w:w="1881" w:type="dxa"/>
          </w:tcPr>
          <w:p w14:paraId="7D2730EE" w14:textId="77777777" w:rsidR="00FB0292" w:rsidRPr="000B17E2" w:rsidRDefault="00FB0292" w:rsidP="000F5341">
            <w:pPr>
              <w:pStyle w:val="BodyText"/>
              <w:spacing w:before="0" w:after="0"/>
              <w:rPr>
                <w:rFonts w:eastAsia="Calibri"/>
                <w:color w:val="000000"/>
                <w:sz w:val="19"/>
                <w:szCs w:val="19"/>
              </w:rPr>
            </w:pPr>
            <w:r w:rsidRPr="000B17E2">
              <w:rPr>
                <w:rFonts w:eastAsia="Calibri"/>
                <w:color w:val="000000"/>
                <w:sz w:val="19"/>
                <w:szCs w:val="19"/>
              </w:rPr>
              <w:t>IC</w:t>
            </w:r>
          </w:p>
        </w:tc>
        <w:tc>
          <w:tcPr>
            <w:tcW w:w="538" w:type="dxa"/>
          </w:tcPr>
          <w:p w14:paraId="638D0648" w14:textId="77777777" w:rsidR="00FB0292" w:rsidRPr="000B17E2" w:rsidRDefault="00FB0292" w:rsidP="000F5341">
            <w:pPr>
              <w:pStyle w:val="BodyText"/>
              <w:spacing w:before="0" w:after="0"/>
              <w:rPr>
                <w:sz w:val="19"/>
                <w:szCs w:val="19"/>
              </w:rPr>
            </w:pPr>
            <w:r w:rsidRPr="000B17E2">
              <w:rPr>
                <w:sz w:val="19"/>
                <w:szCs w:val="19"/>
              </w:rPr>
              <w:t>-</w:t>
            </w:r>
          </w:p>
        </w:tc>
        <w:tc>
          <w:tcPr>
            <w:tcW w:w="6823" w:type="dxa"/>
          </w:tcPr>
          <w:p w14:paraId="3436E0AF" w14:textId="77777777" w:rsidR="00FB0292" w:rsidRPr="000B17E2" w:rsidRDefault="00FB0292" w:rsidP="000F5341">
            <w:pPr>
              <w:pStyle w:val="BodyText"/>
              <w:spacing w:before="0" w:after="0"/>
              <w:rPr>
                <w:sz w:val="19"/>
                <w:szCs w:val="19"/>
                <w:lang w:val="en-US"/>
              </w:rPr>
            </w:pPr>
            <w:r w:rsidRPr="000B17E2">
              <w:rPr>
                <w:sz w:val="19"/>
                <w:szCs w:val="19"/>
                <w:lang w:val="en-US"/>
              </w:rPr>
              <w:t>Investment Concept</w:t>
            </w:r>
          </w:p>
        </w:tc>
      </w:tr>
      <w:tr w:rsidR="000F5341" w:rsidRPr="000B17E2" w14:paraId="5EF0DBBD" w14:textId="77777777" w:rsidTr="00767E76">
        <w:tc>
          <w:tcPr>
            <w:tcW w:w="1881" w:type="dxa"/>
          </w:tcPr>
          <w:p w14:paraId="6412C3A8" w14:textId="77777777" w:rsidR="000F5341" w:rsidRPr="000B17E2" w:rsidRDefault="000F5341" w:rsidP="000F5341">
            <w:pPr>
              <w:pStyle w:val="BodyText"/>
              <w:spacing w:before="0" w:after="0"/>
              <w:rPr>
                <w:rFonts w:eastAsia="Calibri"/>
                <w:color w:val="000000"/>
                <w:sz w:val="19"/>
                <w:szCs w:val="19"/>
              </w:rPr>
            </w:pPr>
            <w:r w:rsidRPr="000B17E2">
              <w:rPr>
                <w:rFonts w:eastAsia="Calibri"/>
                <w:color w:val="000000"/>
                <w:sz w:val="19"/>
                <w:szCs w:val="19"/>
              </w:rPr>
              <w:t>IDD</w:t>
            </w:r>
          </w:p>
        </w:tc>
        <w:tc>
          <w:tcPr>
            <w:tcW w:w="538" w:type="dxa"/>
          </w:tcPr>
          <w:p w14:paraId="3EE8F553"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0A183D35" w14:textId="77777777" w:rsidR="000F5341" w:rsidRPr="000B17E2" w:rsidRDefault="000F5341" w:rsidP="000F5341">
            <w:pPr>
              <w:pStyle w:val="BodyText"/>
              <w:spacing w:before="0" w:after="0"/>
              <w:rPr>
                <w:sz w:val="19"/>
                <w:szCs w:val="19"/>
                <w:lang w:val="en-US"/>
              </w:rPr>
            </w:pPr>
            <w:r w:rsidRPr="000B17E2">
              <w:rPr>
                <w:sz w:val="19"/>
                <w:szCs w:val="19"/>
                <w:lang w:val="en-US"/>
              </w:rPr>
              <w:t xml:space="preserve">Investment Design Document </w:t>
            </w:r>
          </w:p>
        </w:tc>
      </w:tr>
      <w:tr w:rsidR="000F5341" w:rsidRPr="000B17E2" w14:paraId="7A0FD35D" w14:textId="77777777" w:rsidTr="00767E76">
        <w:tc>
          <w:tcPr>
            <w:tcW w:w="1881" w:type="dxa"/>
          </w:tcPr>
          <w:p w14:paraId="592AD86C" w14:textId="77777777" w:rsidR="000F5341" w:rsidRPr="000B17E2" w:rsidRDefault="000F5341" w:rsidP="000F5341">
            <w:pPr>
              <w:pStyle w:val="BodyText"/>
              <w:spacing w:before="0" w:after="0"/>
              <w:rPr>
                <w:sz w:val="19"/>
                <w:szCs w:val="19"/>
              </w:rPr>
            </w:pPr>
            <w:r w:rsidRPr="000B17E2">
              <w:rPr>
                <w:sz w:val="19"/>
                <w:szCs w:val="19"/>
              </w:rPr>
              <w:t>IM4DC</w:t>
            </w:r>
          </w:p>
        </w:tc>
        <w:tc>
          <w:tcPr>
            <w:tcW w:w="538" w:type="dxa"/>
          </w:tcPr>
          <w:p w14:paraId="5BBD7D40"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0F7AEE2C" w14:textId="77777777" w:rsidR="000F5341" w:rsidRPr="000B17E2" w:rsidRDefault="000F5341" w:rsidP="000F5341">
            <w:pPr>
              <w:pStyle w:val="BodyText"/>
              <w:spacing w:before="0" w:after="0"/>
              <w:rPr>
                <w:rFonts w:eastAsia="Calibri"/>
                <w:color w:val="000000"/>
                <w:sz w:val="19"/>
                <w:szCs w:val="19"/>
              </w:rPr>
            </w:pPr>
            <w:r w:rsidRPr="000B17E2">
              <w:rPr>
                <w:sz w:val="19"/>
                <w:szCs w:val="19"/>
              </w:rPr>
              <w:t>International Mining for Development Centre</w:t>
            </w:r>
          </w:p>
        </w:tc>
      </w:tr>
      <w:tr w:rsidR="000F5341" w:rsidRPr="000B17E2" w14:paraId="3637351E" w14:textId="77777777" w:rsidTr="00767E76">
        <w:tc>
          <w:tcPr>
            <w:tcW w:w="1881" w:type="dxa"/>
          </w:tcPr>
          <w:p w14:paraId="4C2C9EA1" w14:textId="77777777" w:rsidR="000F5341" w:rsidRPr="000B17E2" w:rsidRDefault="000F5341" w:rsidP="000F5341">
            <w:pPr>
              <w:pStyle w:val="BodyText"/>
              <w:spacing w:before="0" w:after="0"/>
              <w:rPr>
                <w:sz w:val="19"/>
                <w:szCs w:val="19"/>
              </w:rPr>
            </w:pPr>
            <w:r w:rsidRPr="000B17E2">
              <w:rPr>
                <w:sz w:val="19"/>
                <w:szCs w:val="19"/>
              </w:rPr>
              <w:t>M&amp;E</w:t>
            </w:r>
          </w:p>
        </w:tc>
        <w:tc>
          <w:tcPr>
            <w:tcW w:w="538" w:type="dxa"/>
          </w:tcPr>
          <w:p w14:paraId="66CE6C77"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1823F33D" w14:textId="77777777" w:rsidR="000F5341" w:rsidRPr="000B17E2" w:rsidRDefault="000F5341" w:rsidP="000F5341">
            <w:pPr>
              <w:pStyle w:val="BodyText"/>
              <w:spacing w:before="0" w:after="0"/>
              <w:rPr>
                <w:sz w:val="19"/>
                <w:szCs w:val="19"/>
              </w:rPr>
            </w:pPr>
            <w:r w:rsidRPr="000B17E2">
              <w:rPr>
                <w:sz w:val="19"/>
                <w:szCs w:val="19"/>
              </w:rPr>
              <w:t>Monitoring and Evaluation</w:t>
            </w:r>
          </w:p>
        </w:tc>
      </w:tr>
      <w:tr w:rsidR="000F5341" w:rsidRPr="000B17E2" w14:paraId="43072957" w14:textId="77777777" w:rsidTr="00767E76">
        <w:tc>
          <w:tcPr>
            <w:tcW w:w="1881" w:type="dxa"/>
          </w:tcPr>
          <w:p w14:paraId="7EFD7E16" w14:textId="77777777" w:rsidR="000F5341" w:rsidRPr="000B17E2" w:rsidRDefault="000F5341" w:rsidP="000F5341">
            <w:pPr>
              <w:pStyle w:val="BodyText"/>
              <w:spacing w:before="0" w:after="0"/>
              <w:rPr>
                <w:sz w:val="19"/>
                <w:szCs w:val="19"/>
              </w:rPr>
            </w:pPr>
            <w:r w:rsidRPr="000B17E2">
              <w:rPr>
                <w:sz w:val="19"/>
                <w:szCs w:val="19"/>
              </w:rPr>
              <w:t>MC</w:t>
            </w:r>
          </w:p>
        </w:tc>
        <w:tc>
          <w:tcPr>
            <w:tcW w:w="538" w:type="dxa"/>
          </w:tcPr>
          <w:p w14:paraId="5DDB090D"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36F729B1" w14:textId="77777777" w:rsidR="000F5341" w:rsidRPr="000B17E2" w:rsidRDefault="000F5341" w:rsidP="000F5341">
            <w:pPr>
              <w:pStyle w:val="BodyText"/>
              <w:spacing w:before="0" w:after="0"/>
              <w:rPr>
                <w:sz w:val="19"/>
                <w:szCs w:val="19"/>
              </w:rPr>
            </w:pPr>
            <w:r w:rsidRPr="000B17E2">
              <w:rPr>
                <w:sz w:val="19"/>
                <w:szCs w:val="19"/>
              </w:rPr>
              <w:t>Managing Contractor</w:t>
            </w:r>
          </w:p>
        </w:tc>
      </w:tr>
      <w:tr w:rsidR="000F5341" w:rsidRPr="000B17E2" w14:paraId="417D1F31" w14:textId="77777777" w:rsidTr="00767E76">
        <w:tc>
          <w:tcPr>
            <w:tcW w:w="1881" w:type="dxa"/>
          </w:tcPr>
          <w:p w14:paraId="04C9D7BC" w14:textId="77777777" w:rsidR="000F5341" w:rsidRPr="000B17E2" w:rsidRDefault="000F5341" w:rsidP="000F5341">
            <w:pPr>
              <w:pStyle w:val="BodyText"/>
              <w:spacing w:before="0" w:after="0"/>
              <w:rPr>
                <w:sz w:val="19"/>
                <w:szCs w:val="19"/>
              </w:rPr>
            </w:pPr>
            <w:r w:rsidRPr="000B17E2">
              <w:rPr>
                <w:sz w:val="19"/>
                <w:szCs w:val="19"/>
              </w:rPr>
              <w:t>MEF</w:t>
            </w:r>
          </w:p>
        </w:tc>
        <w:tc>
          <w:tcPr>
            <w:tcW w:w="538" w:type="dxa"/>
          </w:tcPr>
          <w:p w14:paraId="4E65F4B4"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38697A14" w14:textId="77777777" w:rsidR="000F5341" w:rsidRPr="000B17E2" w:rsidRDefault="000F5341" w:rsidP="000F5341">
            <w:pPr>
              <w:pStyle w:val="BodyText"/>
              <w:spacing w:before="0" w:after="0"/>
              <w:rPr>
                <w:sz w:val="19"/>
                <w:szCs w:val="19"/>
              </w:rPr>
            </w:pPr>
            <w:r w:rsidRPr="000B17E2">
              <w:rPr>
                <w:sz w:val="19"/>
                <w:szCs w:val="19"/>
              </w:rPr>
              <w:t>Monitoring and Evaluation Framework</w:t>
            </w:r>
          </w:p>
        </w:tc>
      </w:tr>
      <w:tr w:rsidR="000F5341" w:rsidRPr="000B17E2" w14:paraId="4EDC58D0" w14:textId="77777777" w:rsidTr="00767E76">
        <w:tc>
          <w:tcPr>
            <w:tcW w:w="1881" w:type="dxa"/>
          </w:tcPr>
          <w:p w14:paraId="7822710A" w14:textId="77777777" w:rsidR="000F5341" w:rsidRPr="000B17E2" w:rsidRDefault="000F5341" w:rsidP="000F5341">
            <w:pPr>
              <w:pStyle w:val="BodyText"/>
              <w:spacing w:before="0" w:after="0"/>
              <w:rPr>
                <w:sz w:val="19"/>
                <w:szCs w:val="19"/>
              </w:rPr>
            </w:pPr>
            <w:r w:rsidRPr="000B17E2">
              <w:rPr>
                <w:sz w:val="19"/>
                <w:szCs w:val="19"/>
              </w:rPr>
              <w:t>MES</w:t>
            </w:r>
          </w:p>
        </w:tc>
        <w:tc>
          <w:tcPr>
            <w:tcW w:w="538" w:type="dxa"/>
          </w:tcPr>
          <w:p w14:paraId="5C578F75"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26275B0A" w14:textId="77777777" w:rsidR="000F5341" w:rsidRPr="000B17E2" w:rsidRDefault="000F5341" w:rsidP="000F5341">
            <w:pPr>
              <w:pStyle w:val="BodyText"/>
              <w:spacing w:before="0" w:after="0"/>
              <w:rPr>
                <w:sz w:val="19"/>
                <w:szCs w:val="19"/>
              </w:rPr>
            </w:pPr>
            <w:r w:rsidRPr="000B17E2">
              <w:rPr>
                <w:sz w:val="19"/>
                <w:szCs w:val="19"/>
              </w:rPr>
              <w:t>Monitoring and Evaluation System</w:t>
            </w:r>
          </w:p>
        </w:tc>
      </w:tr>
      <w:tr w:rsidR="000F5341" w:rsidRPr="000B17E2" w14:paraId="6A9E745C" w14:textId="77777777" w:rsidTr="00767E76">
        <w:tc>
          <w:tcPr>
            <w:tcW w:w="1881" w:type="dxa"/>
          </w:tcPr>
          <w:p w14:paraId="7647F6A8" w14:textId="77777777" w:rsidR="000F5341" w:rsidRPr="000B17E2" w:rsidRDefault="000F5341" w:rsidP="000F5341">
            <w:pPr>
              <w:pStyle w:val="BodyText"/>
              <w:spacing w:before="0" w:after="0"/>
              <w:rPr>
                <w:sz w:val="19"/>
                <w:szCs w:val="19"/>
              </w:rPr>
            </w:pPr>
            <w:r w:rsidRPr="000B17E2">
              <w:rPr>
                <w:sz w:val="19"/>
                <w:szCs w:val="19"/>
              </w:rPr>
              <w:t>NGO</w:t>
            </w:r>
          </w:p>
        </w:tc>
        <w:tc>
          <w:tcPr>
            <w:tcW w:w="538" w:type="dxa"/>
          </w:tcPr>
          <w:p w14:paraId="41CE75BB"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28875396" w14:textId="77777777" w:rsidR="000F5341" w:rsidRPr="000B17E2" w:rsidRDefault="000F5341" w:rsidP="000F5341">
            <w:pPr>
              <w:pStyle w:val="BodyText"/>
              <w:spacing w:before="0" w:after="0"/>
              <w:rPr>
                <w:sz w:val="19"/>
                <w:szCs w:val="19"/>
              </w:rPr>
            </w:pPr>
            <w:r w:rsidRPr="000B17E2">
              <w:rPr>
                <w:sz w:val="19"/>
                <w:szCs w:val="19"/>
              </w:rPr>
              <w:t>Non-Government Organisation</w:t>
            </w:r>
          </w:p>
        </w:tc>
      </w:tr>
      <w:tr w:rsidR="000F5341" w:rsidRPr="000B17E2" w14:paraId="1407F4C7" w14:textId="77777777" w:rsidTr="00767E76">
        <w:tc>
          <w:tcPr>
            <w:tcW w:w="1881" w:type="dxa"/>
          </w:tcPr>
          <w:p w14:paraId="5BE2E994" w14:textId="77777777" w:rsidR="000F5341" w:rsidRPr="000B17E2" w:rsidRDefault="000F5341" w:rsidP="000F5341">
            <w:pPr>
              <w:pStyle w:val="BodyText"/>
              <w:spacing w:before="0" w:after="0"/>
              <w:rPr>
                <w:sz w:val="19"/>
                <w:szCs w:val="19"/>
              </w:rPr>
            </w:pPr>
            <w:r w:rsidRPr="000B17E2">
              <w:rPr>
                <w:sz w:val="19"/>
                <w:szCs w:val="19"/>
              </w:rPr>
              <w:t>OECD</w:t>
            </w:r>
          </w:p>
        </w:tc>
        <w:tc>
          <w:tcPr>
            <w:tcW w:w="538" w:type="dxa"/>
          </w:tcPr>
          <w:p w14:paraId="2B27ABC8"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shd w:val="clear" w:color="auto" w:fill="auto"/>
          </w:tcPr>
          <w:p w14:paraId="2BF5E968" w14:textId="77777777" w:rsidR="000F5341" w:rsidRPr="000B17E2" w:rsidRDefault="000F5341" w:rsidP="000F5341">
            <w:pPr>
              <w:pStyle w:val="BodyText"/>
              <w:spacing w:before="0" w:after="0"/>
              <w:rPr>
                <w:sz w:val="19"/>
                <w:szCs w:val="19"/>
              </w:rPr>
            </w:pPr>
            <w:r w:rsidRPr="000B17E2">
              <w:rPr>
                <w:sz w:val="19"/>
                <w:szCs w:val="19"/>
              </w:rPr>
              <w:t>Organisation for Economic Co-operation and Development</w:t>
            </w:r>
          </w:p>
        </w:tc>
      </w:tr>
      <w:tr w:rsidR="000F5341" w:rsidRPr="000B17E2" w14:paraId="059391C3" w14:textId="77777777" w:rsidTr="00767E76">
        <w:tc>
          <w:tcPr>
            <w:tcW w:w="1881" w:type="dxa"/>
          </w:tcPr>
          <w:p w14:paraId="10464066" w14:textId="77777777" w:rsidR="000F5341" w:rsidRPr="000B17E2" w:rsidRDefault="000F5341" w:rsidP="000F5341">
            <w:pPr>
              <w:pStyle w:val="BodyText"/>
              <w:spacing w:before="0" w:after="0"/>
              <w:rPr>
                <w:rFonts w:eastAsia="Calibri"/>
                <w:color w:val="000000"/>
                <w:sz w:val="19"/>
                <w:szCs w:val="19"/>
              </w:rPr>
            </w:pPr>
            <w:r w:rsidRPr="000B17E2">
              <w:rPr>
                <w:rFonts w:eastAsia="Calibri"/>
                <w:color w:val="000000"/>
                <w:sz w:val="19"/>
                <w:szCs w:val="19"/>
              </w:rPr>
              <w:t>Post</w:t>
            </w:r>
          </w:p>
        </w:tc>
        <w:tc>
          <w:tcPr>
            <w:tcW w:w="538" w:type="dxa"/>
          </w:tcPr>
          <w:p w14:paraId="7221552E"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shd w:val="clear" w:color="auto" w:fill="auto"/>
          </w:tcPr>
          <w:p w14:paraId="03CDB489" w14:textId="77777777" w:rsidR="000F5341" w:rsidRPr="000B17E2" w:rsidRDefault="000F5341" w:rsidP="000F5341">
            <w:pPr>
              <w:pStyle w:val="BodyText"/>
              <w:spacing w:before="0" w:after="0"/>
              <w:rPr>
                <w:rFonts w:eastAsia="MS Mincho"/>
                <w:sz w:val="19"/>
                <w:szCs w:val="19"/>
                <w:lang w:val="fr-FR"/>
              </w:rPr>
            </w:pPr>
            <w:r w:rsidRPr="000B17E2">
              <w:rPr>
                <w:sz w:val="19"/>
                <w:szCs w:val="19"/>
              </w:rPr>
              <w:t>DFAT staff located outside Australia and usually at an Australian diplomatic mission (Embassy or High Commission)</w:t>
            </w:r>
          </w:p>
        </w:tc>
      </w:tr>
      <w:tr w:rsidR="000F5341" w:rsidRPr="000B17E2" w14:paraId="59343BB6" w14:textId="77777777" w:rsidTr="00767E76">
        <w:tc>
          <w:tcPr>
            <w:tcW w:w="1881" w:type="dxa"/>
          </w:tcPr>
          <w:p w14:paraId="094B9CD7" w14:textId="77777777" w:rsidR="000F5341" w:rsidRPr="000B17E2" w:rsidRDefault="000F5341" w:rsidP="000F5341">
            <w:pPr>
              <w:pStyle w:val="BodyText"/>
              <w:spacing w:before="0" w:after="0"/>
              <w:rPr>
                <w:sz w:val="19"/>
                <w:szCs w:val="19"/>
              </w:rPr>
            </w:pPr>
            <w:r w:rsidRPr="000B17E2">
              <w:rPr>
                <w:sz w:val="19"/>
                <w:szCs w:val="19"/>
              </w:rPr>
              <w:t>Program</w:t>
            </w:r>
          </w:p>
        </w:tc>
        <w:tc>
          <w:tcPr>
            <w:tcW w:w="538" w:type="dxa"/>
          </w:tcPr>
          <w:p w14:paraId="34CCA405"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shd w:val="clear" w:color="auto" w:fill="auto"/>
          </w:tcPr>
          <w:p w14:paraId="29BD2B56" w14:textId="77777777" w:rsidR="000F5341" w:rsidRPr="000B17E2" w:rsidRDefault="000F5341" w:rsidP="00F133FF">
            <w:pPr>
              <w:pStyle w:val="BodyText"/>
              <w:spacing w:before="0" w:after="0"/>
              <w:rPr>
                <w:sz w:val="19"/>
                <w:szCs w:val="19"/>
              </w:rPr>
            </w:pPr>
            <w:r w:rsidRPr="000B17E2">
              <w:rPr>
                <w:rFonts w:eastAsia="Calibri"/>
                <w:sz w:val="19"/>
                <w:szCs w:val="19"/>
              </w:rPr>
              <w:t>Australia–Africa Development Program</w:t>
            </w:r>
          </w:p>
        </w:tc>
      </w:tr>
      <w:tr w:rsidR="000F5341" w:rsidRPr="000B17E2" w14:paraId="5AD47F6F" w14:textId="77777777" w:rsidTr="00767E76">
        <w:tc>
          <w:tcPr>
            <w:tcW w:w="1881" w:type="dxa"/>
          </w:tcPr>
          <w:p w14:paraId="43E39B2B" w14:textId="77777777" w:rsidR="000F5341" w:rsidRPr="000B17E2" w:rsidRDefault="000F5341" w:rsidP="000F5341">
            <w:pPr>
              <w:pStyle w:val="BodyText"/>
              <w:spacing w:before="0" w:after="0"/>
              <w:rPr>
                <w:sz w:val="19"/>
                <w:szCs w:val="19"/>
              </w:rPr>
            </w:pPr>
            <w:r w:rsidRPr="000B17E2">
              <w:rPr>
                <w:sz w:val="19"/>
                <w:szCs w:val="19"/>
              </w:rPr>
              <w:t>PWD</w:t>
            </w:r>
          </w:p>
        </w:tc>
        <w:tc>
          <w:tcPr>
            <w:tcW w:w="538" w:type="dxa"/>
          </w:tcPr>
          <w:p w14:paraId="0DC4A999"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4CAB186A" w14:textId="77777777" w:rsidR="000F5341" w:rsidRPr="000B17E2" w:rsidRDefault="000F5341" w:rsidP="000F5341">
            <w:pPr>
              <w:pStyle w:val="BodyText"/>
              <w:spacing w:before="0" w:after="0"/>
              <w:rPr>
                <w:sz w:val="19"/>
                <w:szCs w:val="19"/>
              </w:rPr>
            </w:pPr>
            <w:r w:rsidRPr="000B17E2">
              <w:rPr>
                <w:sz w:val="19"/>
                <w:szCs w:val="19"/>
              </w:rPr>
              <w:t xml:space="preserve">People with </w:t>
            </w:r>
            <w:r w:rsidR="001B4E5C" w:rsidRPr="000B17E2">
              <w:rPr>
                <w:sz w:val="19"/>
                <w:szCs w:val="19"/>
              </w:rPr>
              <w:t>D</w:t>
            </w:r>
            <w:r w:rsidRPr="000B17E2">
              <w:rPr>
                <w:sz w:val="19"/>
                <w:szCs w:val="19"/>
              </w:rPr>
              <w:t>isabilities</w:t>
            </w:r>
          </w:p>
        </w:tc>
      </w:tr>
      <w:tr w:rsidR="000F5341" w:rsidRPr="000B17E2" w14:paraId="27339CF9" w14:textId="77777777" w:rsidTr="00767E76">
        <w:tc>
          <w:tcPr>
            <w:tcW w:w="1881" w:type="dxa"/>
          </w:tcPr>
          <w:p w14:paraId="2529B8DE" w14:textId="77777777" w:rsidR="000F5341" w:rsidRPr="000B17E2" w:rsidRDefault="000F5341" w:rsidP="000F5341">
            <w:pPr>
              <w:pStyle w:val="BodyText"/>
              <w:spacing w:before="0" w:after="0"/>
              <w:rPr>
                <w:sz w:val="19"/>
                <w:szCs w:val="19"/>
              </w:rPr>
            </w:pPr>
            <w:r w:rsidRPr="000B17E2">
              <w:rPr>
                <w:sz w:val="19"/>
                <w:szCs w:val="19"/>
              </w:rPr>
              <w:t>QA</w:t>
            </w:r>
          </w:p>
        </w:tc>
        <w:tc>
          <w:tcPr>
            <w:tcW w:w="538" w:type="dxa"/>
          </w:tcPr>
          <w:p w14:paraId="4CA5D392"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10B2675A" w14:textId="77777777" w:rsidR="000F5341" w:rsidRPr="000B17E2" w:rsidRDefault="000F5341" w:rsidP="000F5341">
            <w:pPr>
              <w:pStyle w:val="BodyText"/>
              <w:spacing w:before="0" w:after="0"/>
              <w:rPr>
                <w:sz w:val="19"/>
                <w:szCs w:val="19"/>
              </w:rPr>
            </w:pPr>
            <w:r w:rsidRPr="000B17E2">
              <w:rPr>
                <w:sz w:val="19"/>
                <w:szCs w:val="19"/>
              </w:rPr>
              <w:t>Quality Assurance</w:t>
            </w:r>
          </w:p>
        </w:tc>
      </w:tr>
      <w:tr w:rsidR="000F5341" w:rsidRPr="000B17E2" w14:paraId="1F78F97B" w14:textId="77777777" w:rsidTr="00767E76">
        <w:tc>
          <w:tcPr>
            <w:tcW w:w="1881" w:type="dxa"/>
          </w:tcPr>
          <w:p w14:paraId="0219B58E" w14:textId="77777777" w:rsidR="000F5341" w:rsidRPr="000B17E2" w:rsidRDefault="000F5341" w:rsidP="000F5341">
            <w:pPr>
              <w:pStyle w:val="BodyText"/>
              <w:spacing w:before="0" w:after="0"/>
              <w:rPr>
                <w:sz w:val="19"/>
                <w:szCs w:val="19"/>
              </w:rPr>
            </w:pPr>
            <w:r w:rsidRPr="000B17E2">
              <w:rPr>
                <w:sz w:val="19"/>
                <w:szCs w:val="19"/>
              </w:rPr>
              <w:t>REI</w:t>
            </w:r>
          </w:p>
        </w:tc>
        <w:tc>
          <w:tcPr>
            <w:tcW w:w="538" w:type="dxa"/>
          </w:tcPr>
          <w:p w14:paraId="2F56CBCC"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2FD52854" w14:textId="77777777" w:rsidR="000F5341" w:rsidRPr="000B17E2" w:rsidRDefault="000F5341" w:rsidP="000F5341">
            <w:pPr>
              <w:pStyle w:val="BodyText"/>
              <w:spacing w:before="0" w:after="0"/>
              <w:rPr>
                <w:sz w:val="19"/>
                <w:szCs w:val="19"/>
              </w:rPr>
            </w:pPr>
            <w:r w:rsidRPr="000B17E2">
              <w:rPr>
                <w:sz w:val="19"/>
                <w:szCs w:val="19"/>
              </w:rPr>
              <w:t xml:space="preserve">Regulatory </w:t>
            </w:r>
            <w:r w:rsidR="00FC25C4" w:rsidRPr="000B17E2">
              <w:rPr>
                <w:sz w:val="19"/>
                <w:szCs w:val="19"/>
              </w:rPr>
              <w:t>Environment</w:t>
            </w:r>
            <w:r w:rsidRPr="000B17E2">
              <w:rPr>
                <w:sz w:val="19"/>
                <w:szCs w:val="19"/>
              </w:rPr>
              <w:t xml:space="preserve"> for Investment</w:t>
            </w:r>
          </w:p>
        </w:tc>
      </w:tr>
      <w:tr w:rsidR="000F5341" w:rsidRPr="000B17E2" w14:paraId="22504C87" w14:textId="77777777" w:rsidTr="00767E76">
        <w:tc>
          <w:tcPr>
            <w:tcW w:w="1881" w:type="dxa"/>
          </w:tcPr>
          <w:p w14:paraId="7F07AAC9" w14:textId="77777777" w:rsidR="000F5341" w:rsidRPr="000B17E2" w:rsidRDefault="000F5341" w:rsidP="000F5341">
            <w:pPr>
              <w:pStyle w:val="BodyText"/>
              <w:spacing w:before="0" w:after="0"/>
              <w:rPr>
                <w:sz w:val="19"/>
                <w:szCs w:val="19"/>
              </w:rPr>
            </w:pPr>
            <w:r w:rsidRPr="000B17E2">
              <w:rPr>
                <w:sz w:val="19"/>
                <w:szCs w:val="19"/>
              </w:rPr>
              <w:t>RFT</w:t>
            </w:r>
          </w:p>
        </w:tc>
        <w:tc>
          <w:tcPr>
            <w:tcW w:w="538" w:type="dxa"/>
          </w:tcPr>
          <w:p w14:paraId="642FEFAE"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1E0AE06C" w14:textId="77777777" w:rsidR="000F5341" w:rsidRPr="000B17E2" w:rsidRDefault="000F5341" w:rsidP="000F5341">
            <w:pPr>
              <w:pStyle w:val="BodyText"/>
              <w:spacing w:before="0" w:after="0"/>
              <w:rPr>
                <w:sz w:val="19"/>
                <w:szCs w:val="19"/>
              </w:rPr>
            </w:pPr>
            <w:r w:rsidRPr="000B17E2">
              <w:rPr>
                <w:sz w:val="19"/>
                <w:szCs w:val="19"/>
              </w:rPr>
              <w:t>Request for Tender</w:t>
            </w:r>
          </w:p>
        </w:tc>
      </w:tr>
      <w:tr w:rsidR="000F5341" w:rsidRPr="000B17E2" w14:paraId="14C034A0" w14:textId="77777777" w:rsidTr="00767E76">
        <w:tc>
          <w:tcPr>
            <w:tcW w:w="1881" w:type="dxa"/>
          </w:tcPr>
          <w:p w14:paraId="7D94A0D8" w14:textId="77777777" w:rsidR="000F5341" w:rsidRPr="000B17E2" w:rsidRDefault="000F5341" w:rsidP="000F5341">
            <w:pPr>
              <w:pStyle w:val="BodyText"/>
              <w:spacing w:before="0" w:after="0"/>
              <w:rPr>
                <w:sz w:val="19"/>
                <w:szCs w:val="19"/>
              </w:rPr>
            </w:pPr>
            <w:r w:rsidRPr="000B17E2">
              <w:rPr>
                <w:sz w:val="19"/>
                <w:szCs w:val="19"/>
              </w:rPr>
              <w:t>Scholarship</w:t>
            </w:r>
          </w:p>
        </w:tc>
        <w:tc>
          <w:tcPr>
            <w:tcW w:w="538" w:type="dxa"/>
          </w:tcPr>
          <w:p w14:paraId="49EB7B73"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69EBC3B7" w14:textId="77777777" w:rsidR="000F5341" w:rsidRPr="000B17E2" w:rsidRDefault="000F5341" w:rsidP="000F5341">
            <w:pPr>
              <w:pStyle w:val="BodyText"/>
              <w:spacing w:before="0" w:after="0"/>
              <w:rPr>
                <w:sz w:val="19"/>
                <w:szCs w:val="19"/>
              </w:rPr>
            </w:pPr>
            <w:r w:rsidRPr="000B17E2">
              <w:rPr>
                <w:sz w:val="19"/>
                <w:szCs w:val="19"/>
              </w:rPr>
              <w:t>a long-term award (Australia Awards Scholarship) funded by DFAT</w:t>
            </w:r>
          </w:p>
        </w:tc>
      </w:tr>
      <w:tr w:rsidR="000F5341" w:rsidRPr="000B17E2" w14:paraId="6D9DE066" w14:textId="77777777" w:rsidTr="00767E76">
        <w:tc>
          <w:tcPr>
            <w:tcW w:w="1881" w:type="dxa"/>
          </w:tcPr>
          <w:p w14:paraId="2CAF9C3E" w14:textId="77777777" w:rsidR="000F5341" w:rsidRPr="000B17E2" w:rsidRDefault="000F5341" w:rsidP="000F5341">
            <w:pPr>
              <w:pStyle w:val="BodyText"/>
              <w:spacing w:before="0" w:after="0"/>
              <w:rPr>
                <w:sz w:val="19"/>
                <w:szCs w:val="19"/>
              </w:rPr>
            </w:pPr>
            <w:r w:rsidRPr="000B17E2">
              <w:rPr>
                <w:sz w:val="19"/>
                <w:szCs w:val="19"/>
              </w:rPr>
              <w:t>SEA</w:t>
            </w:r>
          </w:p>
        </w:tc>
        <w:tc>
          <w:tcPr>
            <w:tcW w:w="538" w:type="dxa"/>
          </w:tcPr>
          <w:p w14:paraId="6809C040"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59214D43" w14:textId="77777777" w:rsidR="000F5341" w:rsidRPr="000B17E2" w:rsidRDefault="000F5341" w:rsidP="000F5341">
            <w:pPr>
              <w:pStyle w:val="BodyText"/>
              <w:spacing w:before="0" w:after="0"/>
              <w:rPr>
                <w:sz w:val="19"/>
                <w:szCs w:val="19"/>
              </w:rPr>
            </w:pPr>
            <w:r w:rsidRPr="000B17E2">
              <w:rPr>
                <w:sz w:val="19"/>
                <w:szCs w:val="19"/>
              </w:rPr>
              <w:t>Strategic Environmental Assessment</w:t>
            </w:r>
          </w:p>
        </w:tc>
      </w:tr>
      <w:tr w:rsidR="000F5341" w:rsidRPr="000B17E2" w14:paraId="3A3DFA03" w14:textId="77777777" w:rsidTr="00767E76">
        <w:tc>
          <w:tcPr>
            <w:tcW w:w="1881" w:type="dxa"/>
          </w:tcPr>
          <w:p w14:paraId="5CB699D2" w14:textId="77777777" w:rsidR="000F5341" w:rsidRPr="000B17E2" w:rsidRDefault="000F5341" w:rsidP="000F5341">
            <w:pPr>
              <w:pStyle w:val="BodyText"/>
              <w:spacing w:before="0" w:after="0"/>
              <w:rPr>
                <w:sz w:val="19"/>
                <w:szCs w:val="19"/>
              </w:rPr>
            </w:pPr>
            <w:r w:rsidRPr="000B17E2">
              <w:rPr>
                <w:sz w:val="19"/>
                <w:szCs w:val="19"/>
              </w:rPr>
              <w:t>SME</w:t>
            </w:r>
          </w:p>
        </w:tc>
        <w:tc>
          <w:tcPr>
            <w:tcW w:w="538" w:type="dxa"/>
          </w:tcPr>
          <w:p w14:paraId="6437F55D"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51CCD616" w14:textId="77777777" w:rsidR="000F5341" w:rsidRPr="000B17E2" w:rsidRDefault="000F5341" w:rsidP="000F5341">
            <w:pPr>
              <w:pStyle w:val="BodyText"/>
              <w:spacing w:before="0" w:after="0"/>
              <w:rPr>
                <w:sz w:val="19"/>
                <w:szCs w:val="19"/>
              </w:rPr>
            </w:pPr>
            <w:r w:rsidRPr="000B17E2">
              <w:rPr>
                <w:sz w:val="19"/>
                <w:szCs w:val="19"/>
              </w:rPr>
              <w:t>Small and Medium Enterprise(s)</w:t>
            </w:r>
          </w:p>
        </w:tc>
      </w:tr>
      <w:tr w:rsidR="00FB0292" w:rsidRPr="000B17E2" w14:paraId="1AA1E7B0" w14:textId="77777777" w:rsidTr="00767E76">
        <w:tc>
          <w:tcPr>
            <w:tcW w:w="1881" w:type="dxa"/>
          </w:tcPr>
          <w:p w14:paraId="76AD0DC4" w14:textId="77777777" w:rsidR="00FB0292" w:rsidRPr="000B17E2" w:rsidRDefault="00FB0292" w:rsidP="000F5341">
            <w:pPr>
              <w:pStyle w:val="BodyText"/>
              <w:spacing w:before="0" w:after="0"/>
              <w:rPr>
                <w:sz w:val="19"/>
                <w:szCs w:val="19"/>
              </w:rPr>
            </w:pPr>
            <w:r w:rsidRPr="000B17E2">
              <w:rPr>
                <w:sz w:val="19"/>
                <w:szCs w:val="19"/>
              </w:rPr>
              <w:t>SPC</w:t>
            </w:r>
          </w:p>
        </w:tc>
        <w:tc>
          <w:tcPr>
            <w:tcW w:w="538" w:type="dxa"/>
          </w:tcPr>
          <w:p w14:paraId="67F61FBF" w14:textId="77777777" w:rsidR="00FB0292" w:rsidRPr="000B17E2" w:rsidRDefault="00FB0292" w:rsidP="000F5341">
            <w:pPr>
              <w:pStyle w:val="BodyText"/>
              <w:spacing w:before="0" w:after="0"/>
              <w:rPr>
                <w:sz w:val="19"/>
                <w:szCs w:val="19"/>
              </w:rPr>
            </w:pPr>
            <w:r w:rsidRPr="000B17E2">
              <w:rPr>
                <w:sz w:val="19"/>
                <w:szCs w:val="19"/>
              </w:rPr>
              <w:t>-</w:t>
            </w:r>
          </w:p>
        </w:tc>
        <w:tc>
          <w:tcPr>
            <w:tcW w:w="6823" w:type="dxa"/>
          </w:tcPr>
          <w:p w14:paraId="682CD2DA" w14:textId="77777777" w:rsidR="00FB0292" w:rsidRPr="000B17E2" w:rsidRDefault="00FB0292" w:rsidP="000F5341">
            <w:pPr>
              <w:pStyle w:val="BodyText"/>
              <w:spacing w:before="0" w:after="0"/>
              <w:rPr>
                <w:sz w:val="19"/>
                <w:szCs w:val="19"/>
              </w:rPr>
            </w:pPr>
          </w:p>
        </w:tc>
      </w:tr>
      <w:tr w:rsidR="000F5341" w:rsidRPr="000B17E2" w14:paraId="3B0FBC72" w14:textId="77777777" w:rsidTr="00767E76">
        <w:tc>
          <w:tcPr>
            <w:tcW w:w="1881" w:type="dxa"/>
          </w:tcPr>
          <w:p w14:paraId="50421364" w14:textId="77777777" w:rsidR="000F5341" w:rsidRPr="000B17E2" w:rsidRDefault="000F5341" w:rsidP="000F5341">
            <w:pPr>
              <w:pStyle w:val="BodyText"/>
              <w:spacing w:before="0" w:after="0"/>
              <w:rPr>
                <w:sz w:val="19"/>
                <w:szCs w:val="19"/>
              </w:rPr>
            </w:pPr>
            <w:r w:rsidRPr="000B17E2">
              <w:rPr>
                <w:sz w:val="19"/>
                <w:szCs w:val="19"/>
              </w:rPr>
              <w:t>SSAAP</w:t>
            </w:r>
          </w:p>
        </w:tc>
        <w:tc>
          <w:tcPr>
            <w:tcW w:w="538" w:type="dxa"/>
          </w:tcPr>
          <w:p w14:paraId="11EED5F9"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1293617D" w14:textId="77777777" w:rsidR="000F5341" w:rsidRPr="000B17E2" w:rsidRDefault="000F5341" w:rsidP="000F5341">
            <w:pPr>
              <w:pStyle w:val="BodyText"/>
              <w:spacing w:before="0" w:after="0"/>
              <w:rPr>
                <w:sz w:val="19"/>
                <w:szCs w:val="19"/>
              </w:rPr>
            </w:pPr>
            <w:r w:rsidRPr="000B17E2">
              <w:rPr>
                <w:sz w:val="19"/>
                <w:szCs w:val="19"/>
              </w:rPr>
              <w:t>Sub-Saharan Africa Aid Program (</w:t>
            </w:r>
            <w:proofErr w:type="spellStart"/>
            <w:r w:rsidRPr="000B17E2">
              <w:rPr>
                <w:sz w:val="19"/>
                <w:szCs w:val="19"/>
              </w:rPr>
              <w:t>GoA</w:t>
            </w:r>
            <w:proofErr w:type="spellEnd"/>
            <w:r w:rsidRPr="000B17E2">
              <w:rPr>
                <w:sz w:val="19"/>
                <w:szCs w:val="19"/>
              </w:rPr>
              <w:t>)</w:t>
            </w:r>
          </w:p>
        </w:tc>
      </w:tr>
      <w:tr w:rsidR="000F5341" w:rsidRPr="000B17E2" w14:paraId="1501E493" w14:textId="77777777" w:rsidTr="00767E76">
        <w:tc>
          <w:tcPr>
            <w:tcW w:w="1881" w:type="dxa"/>
          </w:tcPr>
          <w:p w14:paraId="65BD388E" w14:textId="77777777" w:rsidR="000F5341" w:rsidRPr="000B17E2" w:rsidRDefault="000F5341" w:rsidP="000F5341">
            <w:pPr>
              <w:pStyle w:val="BodyText"/>
              <w:spacing w:before="0" w:after="0"/>
              <w:rPr>
                <w:sz w:val="19"/>
                <w:szCs w:val="19"/>
              </w:rPr>
            </w:pPr>
            <w:r w:rsidRPr="000B17E2">
              <w:rPr>
                <w:sz w:val="19"/>
                <w:szCs w:val="19"/>
              </w:rPr>
              <w:t>TA</w:t>
            </w:r>
          </w:p>
        </w:tc>
        <w:tc>
          <w:tcPr>
            <w:tcW w:w="538" w:type="dxa"/>
          </w:tcPr>
          <w:p w14:paraId="272F82F1"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64BF2BD8" w14:textId="77777777" w:rsidR="000F5341" w:rsidRPr="000B17E2" w:rsidRDefault="000F5341" w:rsidP="000F5341">
            <w:pPr>
              <w:pStyle w:val="BodyText"/>
              <w:spacing w:before="0" w:after="0"/>
              <w:rPr>
                <w:sz w:val="19"/>
                <w:szCs w:val="19"/>
              </w:rPr>
            </w:pPr>
            <w:r w:rsidRPr="000B17E2">
              <w:rPr>
                <w:sz w:val="19"/>
                <w:szCs w:val="19"/>
              </w:rPr>
              <w:t>Technical Assistance</w:t>
            </w:r>
          </w:p>
        </w:tc>
      </w:tr>
      <w:tr w:rsidR="000F5341" w:rsidRPr="000B17E2" w14:paraId="130AC782" w14:textId="77777777" w:rsidTr="00767E76">
        <w:tc>
          <w:tcPr>
            <w:tcW w:w="1881" w:type="dxa"/>
          </w:tcPr>
          <w:p w14:paraId="04AA8C7C" w14:textId="77777777" w:rsidR="000F5341" w:rsidRPr="000B17E2" w:rsidRDefault="00EC38FF" w:rsidP="000F5341">
            <w:pPr>
              <w:pStyle w:val="BodyText"/>
              <w:spacing w:before="0" w:after="0"/>
              <w:rPr>
                <w:sz w:val="19"/>
                <w:szCs w:val="19"/>
              </w:rPr>
            </w:pPr>
            <w:r>
              <w:rPr>
                <w:sz w:val="19"/>
                <w:szCs w:val="19"/>
              </w:rPr>
              <w:t>Target Countries</w:t>
            </w:r>
          </w:p>
        </w:tc>
        <w:tc>
          <w:tcPr>
            <w:tcW w:w="538" w:type="dxa"/>
          </w:tcPr>
          <w:p w14:paraId="1DDC238D"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214C9C09" w14:textId="77777777" w:rsidR="000F5341" w:rsidRPr="000B17E2" w:rsidRDefault="000F5341" w:rsidP="00C97EF2">
            <w:pPr>
              <w:pStyle w:val="BodyText"/>
              <w:spacing w:before="0" w:after="0"/>
              <w:rPr>
                <w:sz w:val="19"/>
                <w:szCs w:val="19"/>
              </w:rPr>
            </w:pPr>
            <w:r w:rsidRPr="000B17E2">
              <w:rPr>
                <w:sz w:val="19"/>
                <w:szCs w:val="19"/>
              </w:rPr>
              <w:t xml:space="preserve">List of countries notified by DFAT AFB. The current list includes: Nigeria, Cameroon, Ghana, Cote d’Ivoire, Senegal, Ethiopia, Malawi, Zimbabwe, Zambia, Kenya, Tanzania, Rwanda, Uganda, Somalia, South Sudan, Botswana, Mozambique, Namibia, South Africa, Madagascar, Mauritius, </w:t>
            </w:r>
            <w:proofErr w:type="gramStart"/>
            <w:r w:rsidRPr="000B17E2">
              <w:rPr>
                <w:sz w:val="19"/>
                <w:szCs w:val="19"/>
              </w:rPr>
              <w:t>Seychelles</w:t>
            </w:r>
            <w:proofErr w:type="gramEnd"/>
            <w:r w:rsidRPr="000B17E2">
              <w:rPr>
                <w:sz w:val="19"/>
                <w:szCs w:val="19"/>
              </w:rPr>
              <w:t>.</w:t>
            </w:r>
          </w:p>
        </w:tc>
      </w:tr>
      <w:tr w:rsidR="000F5341" w:rsidRPr="000B17E2" w14:paraId="758FB752" w14:textId="77777777" w:rsidTr="00767E76">
        <w:tc>
          <w:tcPr>
            <w:tcW w:w="1881" w:type="dxa"/>
          </w:tcPr>
          <w:p w14:paraId="1F948F95" w14:textId="77777777" w:rsidR="000F5341" w:rsidRPr="000B17E2" w:rsidRDefault="000F5341" w:rsidP="000F5341">
            <w:pPr>
              <w:pStyle w:val="BodyText"/>
              <w:spacing w:before="0" w:after="0"/>
              <w:rPr>
                <w:sz w:val="19"/>
                <w:szCs w:val="19"/>
              </w:rPr>
            </w:pPr>
            <w:proofErr w:type="spellStart"/>
            <w:r w:rsidRPr="000B17E2">
              <w:rPr>
                <w:sz w:val="19"/>
                <w:szCs w:val="19"/>
              </w:rPr>
              <w:t>ToC</w:t>
            </w:r>
            <w:proofErr w:type="spellEnd"/>
          </w:p>
        </w:tc>
        <w:tc>
          <w:tcPr>
            <w:tcW w:w="538" w:type="dxa"/>
          </w:tcPr>
          <w:p w14:paraId="21551A4D"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58DEC746" w14:textId="77777777" w:rsidR="000F5341" w:rsidRPr="000B17E2" w:rsidRDefault="000F5341" w:rsidP="000F5341">
            <w:pPr>
              <w:pStyle w:val="BodyText"/>
              <w:spacing w:before="0" w:after="0"/>
              <w:rPr>
                <w:sz w:val="19"/>
                <w:szCs w:val="19"/>
              </w:rPr>
            </w:pPr>
            <w:r w:rsidRPr="000B17E2">
              <w:rPr>
                <w:sz w:val="19"/>
                <w:szCs w:val="19"/>
              </w:rPr>
              <w:t>Theory of Change</w:t>
            </w:r>
          </w:p>
        </w:tc>
      </w:tr>
      <w:tr w:rsidR="000F5341" w:rsidRPr="000B17E2" w14:paraId="7CD45C9B" w14:textId="77777777" w:rsidTr="00767E76">
        <w:tc>
          <w:tcPr>
            <w:tcW w:w="1881" w:type="dxa"/>
          </w:tcPr>
          <w:p w14:paraId="2578BE66" w14:textId="77777777" w:rsidR="000F5341" w:rsidRPr="000B17E2" w:rsidRDefault="000F5341" w:rsidP="000F5341">
            <w:pPr>
              <w:pStyle w:val="BodyText"/>
              <w:spacing w:before="0" w:after="0"/>
              <w:rPr>
                <w:sz w:val="19"/>
                <w:szCs w:val="19"/>
              </w:rPr>
            </w:pPr>
            <w:r w:rsidRPr="000B17E2">
              <w:rPr>
                <w:sz w:val="19"/>
                <w:szCs w:val="19"/>
              </w:rPr>
              <w:t>TVET</w:t>
            </w:r>
          </w:p>
        </w:tc>
        <w:tc>
          <w:tcPr>
            <w:tcW w:w="538" w:type="dxa"/>
          </w:tcPr>
          <w:p w14:paraId="242D2167" w14:textId="77777777" w:rsidR="000F5341" w:rsidRPr="000B17E2" w:rsidRDefault="000F5341" w:rsidP="000F5341">
            <w:pPr>
              <w:pStyle w:val="BodyText"/>
              <w:spacing w:before="0" w:after="0"/>
              <w:rPr>
                <w:sz w:val="19"/>
                <w:szCs w:val="19"/>
              </w:rPr>
            </w:pPr>
            <w:r w:rsidRPr="000B17E2">
              <w:rPr>
                <w:sz w:val="19"/>
                <w:szCs w:val="19"/>
              </w:rPr>
              <w:t>-</w:t>
            </w:r>
          </w:p>
        </w:tc>
        <w:tc>
          <w:tcPr>
            <w:tcW w:w="6823" w:type="dxa"/>
          </w:tcPr>
          <w:p w14:paraId="726737CB" w14:textId="77777777" w:rsidR="000F5341" w:rsidRPr="000B17E2" w:rsidRDefault="000F5341" w:rsidP="000F5341">
            <w:pPr>
              <w:pStyle w:val="BodyText"/>
              <w:spacing w:before="0" w:after="0"/>
              <w:rPr>
                <w:sz w:val="19"/>
                <w:szCs w:val="19"/>
              </w:rPr>
            </w:pPr>
            <w:r w:rsidRPr="000B17E2">
              <w:rPr>
                <w:sz w:val="19"/>
                <w:szCs w:val="19"/>
              </w:rPr>
              <w:t>Technical and Vocational Education and Training</w:t>
            </w:r>
          </w:p>
        </w:tc>
      </w:tr>
    </w:tbl>
    <w:p w14:paraId="79F19BDE" w14:textId="77777777" w:rsidR="0092207E" w:rsidRDefault="0092207E" w:rsidP="001121EC">
      <w:pPr>
        <w:rPr>
          <w:lang w:eastAsia="en-AU"/>
        </w:rPr>
        <w:sectPr w:rsidR="0092207E" w:rsidSect="00455992">
          <w:footerReference w:type="default" r:id="rId17"/>
          <w:pgSz w:w="11906" w:h="16838"/>
          <w:pgMar w:top="1418" w:right="1418" w:bottom="1418" w:left="1418" w:header="568" w:footer="430" w:gutter="0"/>
          <w:pgNumType w:fmt="lowerRoman" w:start="1"/>
          <w:cols w:space="708"/>
          <w:docGrid w:linePitch="360"/>
        </w:sectPr>
      </w:pPr>
    </w:p>
    <w:p w14:paraId="44F593B3" w14:textId="77777777" w:rsidR="000F5341" w:rsidRPr="004E4D1C" w:rsidRDefault="000F5341" w:rsidP="002B1210">
      <w:pPr>
        <w:pStyle w:val="Heading1"/>
        <w:jc w:val="both"/>
      </w:pPr>
      <w:bookmarkStart w:id="4" w:name="_Toc387590486"/>
      <w:bookmarkStart w:id="5" w:name="_Toc399150490"/>
      <w:bookmarkStart w:id="6" w:name="_Toc401578413"/>
      <w:r w:rsidRPr="004E4D1C">
        <w:t>Executive Summary</w:t>
      </w:r>
      <w:bookmarkEnd w:id="4"/>
      <w:bookmarkEnd w:id="5"/>
      <w:bookmarkEnd w:id="6"/>
      <w:r w:rsidRPr="004E4D1C">
        <w:t xml:space="preserve"> </w:t>
      </w:r>
    </w:p>
    <w:p w14:paraId="1C302434" w14:textId="77777777" w:rsidR="000F5341" w:rsidRPr="00B10454" w:rsidRDefault="00A83E07" w:rsidP="0025246F">
      <w:pPr>
        <w:pStyle w:val="BodyText"/>
        <w:rPr>
          <w:b/>
          <w:i/>
          <w:szCs w:val="20"/>
        </w:rPr>
      </w:pPr>
      <w:bookmarkStart w:id="7" w:name="_Toc399150491"/>
      <w:r w:rsidRPr="00B10454">
        <w:rPr>
          <w:b/>
          <w:i/>
          <w:szCs w:val="20"/>
        </w:rPr>
        <w:t>Introduction</w:t>
      </w:r>
      <w:bookmarkEnd w:id="7"/>
    </w:p>
    <w:p w14:paraId="7DE9A120" w14:textId="77777777" w:rsidR="001A5271" w:rsidRDefault="000F5341" w:rsidP="002B1210">
      <w:pPr>
        <w:pStyle w:val="BodyText"/>
      </w:pPr>
      <w:r w:rsidRPr="003C0DBE">
        <w:t>The goal of the Australian Government’s (</w:t>
      </w:r>
      <w:proofErr w:type="spellStart"/>
      <w:r w:rsidRPr="003C0DBE">
        <w:t>GoA</w:t>
      </w:r>
      <w:proofErr w:type="spellEnd"/>
      <w:r w:rsidRPr="003C0DBE">
        <w:t xml:space="preserve">) Sub-Saharan Africa Aid Program (SSAAP) is </w:t>
      </w:r>
      <w:r w:rsidRPr="003C0DBE">
        <w:rPr>
          <w:i/>
        </w:rPr>
        <w:t>to assist African people to achieve more equitable access to the benefits of economic growth</w:t>
      </w:r>
      <w:r w:rsidRPr="003C0DBE">
        <w:t>.</w:t>
      </w:r>
      <w:r>
        <w:t xml:space="preserve"> </w:t>
      </w:r>
      <w:r w:rsidR="00A83E07">
        <w:t xml:space="preserve"> </w:t>
      </w:r>
      <w:r w:rsidRPr="003C0DBE">
        <w:t>From 2014</w:t>
      </w:r>
      <w:r w:rsidR="001B7DCB">
        <w:t xml:space="preserve"> / </w:t>
      </w:r>
      <w:r w:rsidR="002A7736">
        <w:t>20</w:t>
      </w:r>
      <w:r w:rsidRPr="003C0DBE">
        <w:t>15</w:t>
      </w:r>
      <w:r w:rsidR="00F45BCC">
        <w:t>,</w:t>
      </w:r>
      <w:r w:rsidRPr="003C0DBE">
        <w:t xml:space="preserve"> the SSAAP </w:t>
      </w:r>
      <w:r w:rsidR="001A5271">
        <w:t xml:space="preserve">also </w:t>
      </w:r>
      <w:r w:rsidRPr="003C0DBE">
        <w:t xml:space="preserve">includes </w:t>
      </w:r>
      <w:r w:rsidR="001A5271">
        <w:t xml:space="preserve">four objectives, </w:t>
      </w:r>
      <w:r w:rsidR="0051249A">
        <w:t xml:space="preserve">one </w:t>
      </w:r>
      <w:r w:rsidR="001A5271">
        <w:t xml:space="preserve">of which </w:t>
      </w:r>
      <w:r w:rsidR="0051249A">
        <w:t xml:space="preserve">is </w:t>
      </w:r>
      <w:r w:rsidR="001A5271">
        <w:t xml:space="preserve">directly relevant to this design: </w:t>
      </w:r>
    </w:p>
    <w:p w14:paraId="06D73859" w14:textId="77777777" w:rsidR="001A5271" w:rsidRDefault="000F5341" w:rsidP="002B1210">
      <w:pPr>
        <w:pStyle w:val="BodyText"/>
        <w:ind w:left="720"/>
        <w:rPr>
          <w:i/>
        </w:rPr>
      </w:pPr>
      <w:proofErr w:type="gramStart"/>
      <w:r>
        <w:rPr>
          <w:i/>
        </w:rPr>
        <w:t>‘</w:t>
      </w:r>
      <w:r w:rsidR="00A83E07">
        <w:rPr>
          <w:i/>
        </w:rPr>
        <w:t>To i</w:t>
      </w:r>
      <w:r w:rsidRPr="003C0DBE">
        <w:rPr>
          <w:i/>
        </w:rPr>
        <w:t>mprove extractive sector management and its contribution to inclusive economic growth through developing skills, increasing government capacity and empowering local communities.</w:t>
      </w:r>
      <w:r w:rsidR="0043119B">
        <w:rPr>
          <w:i/>
        </w:rPr>
        <w:t>’</w:t>
      </w:r>
      <w:proofErr w:type="gramEnd"/>
    </w:p>
    <w:p w14:paraId="09995B38" w14:textId="77777777" w:rsidR="00BD091D" w:rsidRDefault="001A5271">
      <w:pPr>
        <w:pStyle w:val="BodyText"/>
      </w:pPr>
      <w:r w:rsidRPr="00BD091D">
        <w:t xml:space="preserve">The </w:t>
      </w:r>
      <w:r w:rsidR="00BB0DEC">
        <w:t xml:space="preserve">purpose </w:t>
      </w:r>
      <w:r w:rsidRPr="00BD091D">
        <w:t xml:space="preserve">of </w:t>
      </w:r>
      <w:r>
        <w:t xml:space="preserve">this </w:t>
      </w:r>
      <w:r w:rsidR="00A83E07">
        <w:t>investment design document (IDD)</w:t>
      </w:r>
      <w:r w:rsidR="000A2EF5">
        <w:t xml:space="preserve"> </w:t>
      </w:r>
      <w:r>
        <w:t xml:space="preserve">is to </w:t>
      </w:r>
      <w:r w:rsidR="0051249A" w:rsidRPr="00B10454">
        <w:rPr>
          <w:i/>
          <w:szCs w:val="20"/>
        </w:rPr>
        <w:t xml:space="preserve">outline </w:t>
      </w:r>
      <w:r w:rsidRPr="00B10454">
        <w:rPr>
          <w:i/>
          <w:szCs w:val="20"/>
        </w:rPr>
        <w:t>a</w:t>
      </w:r>
      <w:r w:rsidR="0051249A" w:rsidRPr="00B10454">
        <w:rPr>
          <w:i/>
          <w:szCs w:val="20"/>
        </w:rPr>
        <w:t>n</w:t>
      </w:r>
      <w:r w:rsidRPr="00B10454">
        <w:rPr>
          <w:i/>
          <w:szCs w:val="20"/>
        </w:rPr>
        <w:t xml:space="preserve"> </w:t>
      </w:r>
      <w:r w:rsidR="0025246F" w:rsidRPr="00B10454">
        <w:rPr>
          <w:i/>
          <w:szCs w:val="20"/>
        </w:rPr>
        <w:t>Extractive</w:t>
      </w:r>
      <w:r w:rsidR="0051249A" w:rsidRPr="00B10454">
        <w:rPr>
          <w:i/>
          <w:szCs w:val="20"/>
        </w:rPr>
        <w:t xml:space="preserve"> for Growth</w:t>
      </w:r>
      <w:r w:rsidR="00405863" w:rsidRPr="00B10454">
        <w:rPr>
          <w:i/>
          <w:szCs w:val="20"/>
        </w:rPr>
        <w:t xml:space="preserve"> (E4G)</w:t>
      </w:r>
      <w:r w:rsidR="0051249A" w:rsidRPr="00B10454">
        <w:rPr>
          <w:i/>
          <w:szCs w:val="20"/>
        </w:rPr>
        <w:t xml:space="preserve"> </w:t>
      </w:r>
      <w:r w:rsidR="00C40EEE" w:rsidRPr="00B10454">
        <w:rPr>
          <w:i/>
          <w:szCs w:val="20"/>
        </w:rPr>
        <w:t>C</w:t>
      </w:r>
      <w:r w:rsidR="0051249A" w:rsidRPr="00B10454">
        <w:rPr>
          <w:i/>
          <w:szCs w:val="20"/>
        </w:rPr>
        <w:t>omponent of the Australia</w:t>
      </w:r>
      <w:r w:rsidR="002A7736" w:rsidRPr="0003682B">
        <w:rPr>
          <w:i/>
          <w:szCs w:val="20"/>
        </w:rPr>
        <w:t>–</w:t>
      </w:r>
      <w:r w:rsidR="0051249A" w:rsidRPr="0003682B">
        <w:rPr>
          <w:i/>
          <w:szCs w:val="20"/>
        </w:rPr>
        <w:t xml:space="preserve">Africa Development Program (AADP) </w:t>
      </w:r>
      <w:r w:rsidR="00BD091D">
        <w:t>that will deliver on the above objective.</w:t>
      </w:r>
      <w:r w:rsidR="000A2EF5">
        <w:t xml:space="preserve">  This E4G </w:t>
      </w:r>
      <w:r w:rsidR="009753FD">
        <w:t xml:space="preserve">Component </w:t>
      </w:r>
      <w:r w:rsidR="000A2EF5">
        <w:t xml:space="preserve">IDD </w:t>
      </w:r>
      <w:r w:rsidR="009753FD">
        <w:t>is to</w:t>
      </w:r>
      <w:r w:rsidR="00BD091D">
        <w:t xml:space="preserve"> be read in conjunction with the separate </w:t>
      </w:r>
      <w:r w:rsidR="005D68FF">
        <w:t xml:space="preserve">IDDs </w:t>
      </w:r>
      <w:r w:rsidR="00BD091D">
        <w:t xml:space="preserve">for the </w:t>
      </w:r>
      <w:r w:rsidR="0051249A">
        <w:t xml:space="preserve">overall AADP and the </w:t>
      </w:r>
      <w:r w:rsidR="00BD091D" w:rsidRPr="003C0DBE">
        <w:t xml:space="preserve">Australia Awards </w:t>
      </w:r>
      <w:r w:rsidR="005D68FF">
        <w:t>C</w:t>
      </w:r>
      <w:r w:rsidR="0051249A">
        <w:t>omponent of the AADP</w:t>
      </w:r>
      <w:r w:rsidR="00BD091D">
        <w:t>.</w:t>
      </w:r>
    </w:p>
    <w:p w14:paraId="5B4D1F40" w14:textId="77777777" w:rsidR="00BB0DEC" w:rsidRPr="00B10454" w:rsidRDefault="000A2EF5" w:rsidP="0025246F">
      <w:pPr>
        <w:pStyle w:val="BodyText"/>
        <w:rPr>
          <w:b/>
          <w:i/>
          <w:szCs w:val="20"/>
        </w:rPr>
      </w:pPr>
      <w:r w:rsidRPr="00B10454">
        <w:rPr>
          <w:b/>
          <w:i/>
          <w:szCs w:val="20"/>
        </w:rPr>
        <w:t>Australia has made positive contributions to Extractive Sector Development in Africa</w:t>
      </w:r>
    </w:p>
    <w:p w14:paraId="38B4C506" w14:textId="77777777" w:rsidR="00A8346F" w:rsidRPr="009E0374" w:rsidRDefault="00A8346F" w:rsidP="002B1210">
      <w:pPr>
        <w:pStyle w:val="BodyText"/>
      </w:pPr>
      <w:r w:rsidRPr="002136A5">
        <w:t xml:space="preserve">A well-managed mining, oil and gas sector </w:t>
      </w:r>
      <w:r w:rsidR="000A2EF5">
        <w:t xml:space="preserve">(extractive sector) </w:t>
      </w:r>
      <w:r w:rsidRPr="002136A5">
        <w:t xml:space="preserve">can help drive sustainable growth and </w:t>
      </w:r>
      <w:r w:rsidRPr="0003682B">
        <w:rPr>
          <w:szCs w:val="20"/>
        </w:rPr>
        <w:t xml:space="preserve">poverty reduction in Africa. The McKinsey Global Institute estimates that </w:t>
      </w:r>
      <w:r w:rsidRPr="00B10454">
        <w:rPr>
          <w:i/>
          <w:szCs w:val="20"/>
        </w:rPr>
        <w:t>540 million people in resource-driven countries could be lifted out of poverty by effective development and use of extractive reserves.</w:t>
      </w:r>
      <w:r w:rsidR="005B3032" w:rsidRPr="00B10454">
        <w:rPr>
          <w:i/>
          <w:szCs w:val="20"/>
        </w:rPr>
        <w:t xml:space="preserve"> </w:t>
      </w:r>
      <w:r w:rsidRPr="0003682B">
        <w:rPr>
          <w:szCs w:val="20"/>
        </w:rPr>
        <w:t>However,</w:t>
      </w:r>
      <w:r w:rsidRPr="009E0374">
        <w:t xml:space="preserve"> the extent to which benefits are achieved depends heavily upon how countries meet the various economic, social and governance challenges that the </w:t>
      </w:r>
      <w:r w:rsidR="0025246F">
        <w:t>extractive</w:t>
      </w:r>
      <w:r w:rsidRPr="009E0374">
        <w:t xml:space="preserve"> sector can present.</w:t>
      </w:r>
    </w:p>
    <w:p w14:paraId="09F74ACE" w14:textId="77777777" w:rsidR="00A8346F" w:rsidRDefault="00A8346F" w:rsidP="002B1210">
      <w:pPr>
        <w:pStyle w:val="BodyText"/>
      </w:pPr>
      <w:r w:rsidRPr="009B11ED">
        <w:t xml:space="preserve">Australia has become a leader in mining practice, actively promoting sustainable development and industry self-regulation through proactive adoption of leading practice principles. </w:t>
      </w:r>
      <w:r w:rsidR="000A2EF5">
        <w:t xml:space="preserve"> </w:t>
      </w:r>
      <w:r w:rsidRPr="003C0DBE">
        <w:t xml:space="preserve">Australia, through </w:t>
      </w:r>
      <w:r>
        <w:t xml:space="preserve">this experience </w:t>
      </w:r>
      <w:r w:rsidRPr="003C0DBE">
        <w:t>and expertise, has a great deal to offer African countries seeking to develop their extractive sectors</w:t>
      </w:r>
      <w:r>
        <w:t>.</w:t>
      </w:r>
      <w:r w:rsidR="005B3032">
        <w:t xml:space="preserve"> </w:t>
      </w:r>
      <w:r>
        <w:t>For example</w:t>
      </w:r>
      <w:r w:rsidR="00F45BCC">
        <w:t>,</w:t>
      </w:r>
      <w:r w:rsidRPr="003C0DBE">
        <w:t xml:space="preserve"> Australia </w:t>
      </w:r>
      <w:r>
        <w:t>has</w:t>
      </w:r>
      <w:r w:rsidRPr="003C0DBE">
        <w:t xml:space="preserve"> a mature domestic extractive sector, effective institutions and structures in place to manage the sector and the wealth it creates.</w:t>
      </w:r>
      <w:r>
        <w:t xml:space="preserve"> </w:t>
      </w:r>
      <w:r w:rsidRPr="003C0DBE">
        <w:t>Australia also ha</w:t>
      </w:r>
      <w:r>
        <w:t>s</w:t>
      </w:r>
      <w:r w:rsidRPr="003C0DBE">
        <w:t xml:space="preserve"> significant development expertise and is well placed to assist developing countries overcome the challenges </w:t>
      </w:r>
      <w:r w:rsidR="00F45BCC">
        <w:t xml:space="preserve">presented by </w:t>
      </w:r>
      <w:r>
        <w:t xml:space="preserve">the </w:t>
      </w:r>
      <w:r w:rsidR="0025246F">
        <w:t>extractive</w:t>
      </w:r>
      <w:r w:rsidRPr="003C0DBE">
        <w:t xml:space="preserve"> sector.</w:t>
      </w:r>
      <w:r>
        <w:t xml:space="preserve"> </w:t>
      </w:r>
      <w:r w:rsidR="00872E00">
        <w:t xml:space="preserve">Australia has </w:t>
      </w:r>
      <w:r w:rsidR="009753FD">
        <w:t xml:space="preserve">also </w:t>
      </w:r>
      <w:r w:rsidR="00872E00">
        <w:t xml:space="preserve">been an active contributor to extractive sector development in Africa through its current Australia-Africa Partnerships Facility (AAPF). </w:t>
      </w:r>
      <w:r w:rsidR="00BD5668">
        <w:t xml:space="preserve">Successive </w:t>
      </w:r>
      <w:r w:rsidR="00017031">
        <w:t xml:space="preserve">Australian governments, the </w:t>
      </w:r>
      <w:r w:rsidR="0025246F">
        <w:t>extractive</w:t>
      </w:r>
      <w:r w:rsidR="00017031">
        <w:t xml:space="preserve"> industry</w:t>
      </w:r>
      <w:r w:rsidR="00FB5207">
        <w:t>,</w:t>
      </w:r>
      <w:r w:rsidR="00017031">
        <w:t xml:space="preserve"> and communities </w:t>
      </w:r>
      <w:r w:rsidR="00FB5207">
        <w:t xml:space="preserve">each </w:t>
      </w:r>
      <w:r w:rsidR="00017031">
        <w:t>have experience</w:t>
      </w:r>
      <w:r w:rsidR="00476274">
        <w:t xml:space="preserve"> of</w:t>
      </w:r>
      <w:r w:rsidR="00017031">
        <w:t xml:space="preserve"> both the good and bad of extracting resources and managing resource cycles. These lessons </w:t>
      </w:r>
      <w:r w:rsidR="00872E00">
        <w:t xml:space="preserve">and the lessons garnered from previous </w:t>
      </w:r>
      <w:proofErr w:type="spellStart"/>
      <w:r w:rsidR="00872E00">
        <w:t>GoA</w:t>
      </w:r>
      <w:proofErr w:type="spellEnd"/>
      <w:r w:rsidR="00872E00">
        <w:t xml:space="preserve">-funded assistance to extractive sector development </w:t>
      </w:r>
      <w:r w:rsidR="00017031">
        <w:t>have proven to be very useful to share with African Government</w:t>
      </w:r>
      <w:r w:rsidR="00476274">
        <w:t>s</w:t>
      </w:r>
      <w:r w:rsidR="00017031">
        <w:t xml:space="preserve"> and communities as they look at how to minimise the potential risks associated with </w:t>
      </w:r>
      <w:r w:rsidR="00FB5207">
        <w:t xml:space="preserve">the </w:t>
      </w:r>
      <w:r w:rsidR="0025246F">
        <w:t>extractive</w:t>
      </w:r>
      <w:r w:rsidR="00017031">
        <w:t xml:space="preserve"> </w:t>
      </w:r>
      <w:r w:rsidR="00FB5207">
        <w:t xml:space="preserve">sector and </w:t>
      </w:r>
      <w:r w:rsidR="00017031">
        <w:t>also maximise the economic</w:t>
      </w:r>
      <w:r w:rsidR="00476274">
        <w:t xml:space="preserve"> benefits</w:t>
      </w:r>
      <w:r w:rsidR="00017031">
        <w:t xml:space="preserve"> and employment opportunities from </w:t>
      </w:r>
      <w:r w:rsidR="00FB5207">
        <w:t xml:space="preserve">those </w:t>
      </w:r>
      <w:r w:rsidR="00017031">
        <w:t>resources.</w:t>
      </w:r>
    </w:p>
    <w:p w14:paraId="6EFD6938" w14:textId="77777777" w:rsidR="00B47614" w:rsidRDefault="000F5341">
      <w:pPr>
        <w:pStyle w:val="BodyText"/>
      </w:pPr>
      <w:r w:rsidRPr="00B10454">
        <w:rPr>
          <w:b/>
          <w:i/>
          <w:sz w:val="18"/>
          <w:szCs w:val="18"/>
        </w:rPr>
        <w:t>Key considerations</w:t>
      </w:r>
      <w:r w:rsidRPr="003C0DBE">
        <w:t xml:space="preserve"> </w:t>
      </w:r>
      <w:r w:rsidR="000B2F96">
        <w:t xml:space="preserve">in </w:t>
      </w:r>
      <w:r w:rsidR="00872E00">
        <w:t xml:space="preserve">identifying the shape of </w:t>
      </w:r>
      <w:r w:rsidR="000B2F96">
        <w:t xml:space="preserve">assistance </w:t>
      </w:r>
      <w:r w:rsidR="009753FD">
        <w:t>proposed for</w:t>
      </w:r>
      <w:r w:rsidR="00872E00">
        <w:t xml:space="preserve"> the </w:t>
      </w:r>
      <w:proofErr w:type="spellStart"/>
      <w:r w:rsidR="00872E00">
        <w:t>GoA</w:t>
      </w:r>
      <w:proofErr w:type="spellEnd"/>
      <w:r w:rsidR="00872E00">
        <w:t xml:space="preserve"> to provide </w:t>
      </w:r>
      <w:r w:rsidR="000B2F96">
        <w:t xml:space="preserve">through the AADP’s </w:t>
      </w:r>
      <w:r w:rsidR="00B47614">
        <w:t xml:space="preserve">E4G Component </w:t>
      </w:r>
      <w:r w:rsidRPr="003C0DBE">
        <w:t>include:</w:t>
      </w:r>
      <w:r>
        <w:t xml:space="preserve"> </w:t>
      </w:r>
    </w:p>
    <w:p w14:paraId="0ABA85E1" w14:textId="77777777" w:rsidR="00B47614" w:rsidRDefault="00985961" w:rsidP="00B10454">
      <w:pPr>
        <w:pStyle w:val="List-number-1"/>
        <w:jc w:val="both"/>
      </w:pPr>
      <w:r>
        <w:t xml:space="preserve">the desire to </w:t>
      </w:r>
      <w:r w:rsidRPr="00B10454">
        <w:rPr>
          <w:i/>
          <w:lang w:eastAsia="en-AU"/>
        </w:rPr>
        <w:t>build on</w:t>
      </w:r>
      <w:r w:rsidR="005B3032" w:rsidRPr="00B10454">
        <w:rPr>
          <w:i/>
          <w:lang w:eastAsia="en-AU"/>
        </w:rPr>
        <w:t xml:space="preserve"> </w:t>
      </w:r>
      <w:r w:rsidR="00765653" w:rsidRPr="00B10454">
        <w:rPr>
          <w:i/>
          <w:lang w:eastAsia="en-AU"/>
        </w:rPr>
        <w:t>existing successful activities</w:t>
      </w:r>
      <w:r w:rsidR="00765653" w:rsidRPr="003C0DBE">
        <w:t xml:space="preserve"> and partnerships</w:t>
      </w:r>
      <w:r w:rsidR="00765653">
        <w:t xml:space="preserve">, in particular on </w:t>
      </w:r>
      <w:r>
        <w:t xml:space="preserve">the already designed </w:t>
      </w:r>
      <w:r w:rsidR="000F5341" w:rsidRPr="003C0DBE">
        <w:t>mineral skills partnerships and ‘mining and communities’ pilot activit</w:t>
      </w:r>
      <w:r>
        <w:t xml:space="preserve">ies in </w:t>
      </w:r>
      <w:r w:rsidR="00765653" w:rsidRPr="00B10454">
        <w:rPr>
          <w:i/>
          <w:lang w:eastAsia="en-AU"/>
        </w:rPr>
        <w:t xml:space="preserve">three </w:t>
      </w:r>
      <w:r w:rsidR="00EC38FF">
        <w:rPr>
          <w:i/>
          <w:lang w:eastAsia="en-AU"/>
        </w:rPr>
        <w:t>Focus Countries</w:t>
      </w:r>
      <w:r w:rsidR="002A7736">
        <w:t xml:space="preserve"> </w:t>
      </w:r>
      <w:r>
        <w:t>(Mozambique, Tanzania and Zambia)</w:t>
      </w:r>
      <w:r w:rsidR="000F5341" w:rsidRPr="003C0DBE">
        <w:t>;</w:t>
      </w:r>
      <w:r w:rsidR="000F5341">
        <w:t xml:space="preserve"> </w:t>
      </w:r>
    </w:p>
    <w:p w14:paraId="30AEB805" w14:textId="77777777" w:rsidR="000A4BDA" w:rsidRDefault="000A4BDA" w:rsidP="00B10454">
      <w:pPr>
        <w:pStyle w:val="List-number-1"/>
        <w:jc w:val="both"/>
      </w:pPr>
      <w:r w:rsidRPr="00B10454">
        <w:rPr>
          <w:i/>
          <w:lang w:eastAsia="en-AU"/>
        </w:rPr>
        <w:t>aid effectiveness</w:t>
      </w:r>
      <w:r>
        <w:t xml:space="preserve"> considerations associated with the </w:t>
      </w:r>
      <w:proofErr w:type="spellStart"/>
      <w:r>
        <w:t>GoA</w:t>
      </w:r>
      <w:r w:rsidR="000B2F96">
        <w:t>’s</w:t>
      </w:r>
      <w:proofErr w:type="spellEnd"/>
      <w:r>
        <w:t xml:space="preserve"> development activities </w:t>
      </w:r>
      <w:r w:rsidR="000B2F96">
        <w:t xml:space="preserve">in </w:t>
      </w:r>
      <w:r>
        <w:t>the extractive sector, particularly the increased focus on results and private sector involvement</w:t>
      </w:r>
      <w:r w:rsidR="00765653">
        <w:t xml:space="preserve"> in building skills and </w:t>
      </w:r>
      <w:r w:rsidR="00ED2B41" w:rsidRPr="00ED2B41">
        <w:t xml:space="preserve">Small and Medium Enterprises </w:t>
      </w:r>
      <w:r w:rsidR="00ED2B41">
        <w:t>(</w:t>
      </w:r>
      <w:r w:rsidR="00765653">
        <w:t>SME</w:t>
      </w:r>
      <w:r w:rsidR="00ED2B41">
        <w:t>)</w:t>
      </w:r>
      <w:r w:rsidR="00765653">
        <w:t xml:space="preserve"> opportunities</w:t>
      </w:r>
      <w:r w:rsidRPr="003C0DBE">
        <w:t>;</w:t>
      </w:r>
      <w:r>
        <w:t xml:space="preserve"> </w:t>
      </w:r>
    </w:p>
    <w:p w14:paraId="39D662E5" w14:textId="42B96877" w:rsidR="000A4BDA" w:rsidRDefault="000A4BDA" w:rsidP="00B10454">
      <w:pPr>
        <w:pStyle w:val="List-number-1"/>
        <w:jc w:val="both"/>
      </w:pPr>
      <w:r>
        <w:t>the</w:t>
      </w:r>
      <w:r w:rsidR="00765653">
        <w:t xml:space="preserve"> </w:t>
      </w:r>
      <w:r w:rsidR="00765653" w:rsidRPr="00B10454">
        <w:rPr>
          <w:lang w:eastAsia="en-AU"/>
        </w:rPr>
        <w:t>implications</w:t>
      </w:r>
      <w:r w:rsidR="00765653" w:rsidRPr="00B10454">
        <w:rPr>
          <w:i/>
          <w:lang w:eastAsia="en-AU"/>
        </w:rPr>
        <w:t xml:space="preserve"> </w:t>
      </w:r>
      <w:r w:rsidR="00A60F7E">
        <w:t xml:space="preserve">of the potentially disparate locations of E4G Component activities across approximately </w:t>
      </w:r>
      <w:r w:rsidR="006137A0" w:rsidRPr="006137A0">
        <w:rPr>
          <w:i/>
        </w:rPr>
        <w:t>8-</w:t>
      </w:r>
      <w:r w:rsidR="00B42106">
        <w:rPr>
          <w:i/>
          <w:lang w:eastAsia="en-AU"/>
        </w:rPr>
        <w:t>10</w:t>
      </w:r>
      <w:r w:rsidR="00A60F7E" w:rsidRPr="003D2A46">
        <w:rPr>
          <w:i/>
          <w:lang w:eastAsia="en-AU"/>
        </w:rPr>
        <w:t xml:space="preserve"> </w:t>
      </w:r>
      <w:r w:rsidR="00EC38FF">
        <w:rPr>
          <w:i/>
          <w:lang w:eastAsia="en-AU"/>
        </w:rPr>
        <w:t>Target Countries</w:t>
      </w:r>
      <w:r w:rsidR="00A60F7E" w:rsidRPr="003D2A46">
        <w:rPr>
          <w:i/>
          <w:lang w:eastAsia="en-AU"/>
        </w:rPr>
        <w:t xml:space="preserve"> in </w:t>
      </w:r>
      <w:r w:rsidR="00A60F7E" w:rsidRPr="00A60F7E">
        <w:rPr>
          <w:i/>
          <w:lang w:eastAsia="en-AU"/>
        </w:rPr>
        <w:t>Africa</w:t>
      </w:r>
      <w:r w:rsidR="00A60F7E" w:rsidRPr="00B10454">
        <w:t xml:space="preserve"> for logistics</w:t>
      </w:r>
      <w:r w:rsidR="00765653">
        <w:t xml:space="preserve"> and </w:t>
      </w:r>
      <w:r w:rsidR="00A60F7E">
        <w:t xml:space="preserve">for engagement and performance of a </w:t>
      </w:r>
      <w:r w:rsidR="00B0381D">
        <w:t>M</w:t>
      </w:r>
      <w:r w:rsidR="00BD5668">
        <w:t xml:space="preserve">anaging </w:t>
      </w:r>
      <w:r w:rsidR="00B0381D">
        <w:t>C</w:t>
      </w:r>
      <w:r w:rsidR="00BD5668">
        <w:t>ontractor (</w:t>
      </w:r>
      <w:r w:rsidR="00765653">
        <w:t>MC</w:t>
      </w:r>
      <w:r w:rsidR="00BD5668">
        <w:t>)</w:t>
      </w:r>
      <w:r>
        <w:t>;</w:t>
      </w:r>
    </w:p>
    <w:p w14:paraId="709CC52D" w14:textId="77777777" w:rsidR="0019553E" w:rsidRDefault="0019553E" w:rsidP="00B10454">
      <w:pPr>
        <w:pStyle w:val="List-number-1"/>
        <w:jc w:val="both"/>
      </w:pPr>
      <w:r>
        <w:t xml:space="preserve">ensuring that </w:t>
      </w:r>
      <w:r w:rsidR="00765653">
        <w:t xml:space="preserve">DFAT </w:t>
      </w:r>
      <w:r w:rsidR="00ED2B41">
        <w:t>Heads of Mission (</w:t>
      </w:r>
      <w:proofErr w:type="spellStart"/>
      <w:r w:rsidR="00765653">
        <w:t>HoMs</w:t>
      </w:r>
      <w:proofErr w:type="spellEnd"/>
      <w:r w:rsidR="00ED2B41">
        <w:t>)</w:t>
      </w:r>
      <w:r w:rsidR="00765653">
        <w:t xml:space="preserve"> and DFAT staff with Aid Program management responsibility across the continent</w:t>
      </w:r>
      <w:r w:rsidR="000B2F96">
        <w:t xml:space="preserve">, including the </w:t>
      </w:r>
      <w:r w:rsidR="00765653">
        <w:t xml:space="preserve">responsibility </w:t>
      </w:r>
      <w:r>
        <w:t xml:space="preserve">to identify and propose </w:t>
      </w:r>
      <w:r w:rsidR="000B2F96">
        <w:t xml:space="preserve">activities to be funded under the </w:t>
      </w:r>
      <w:r>
        <w:t>E4G Component</w:t>
      </w:r>
      <w:r w:rsidR="000B2F96">
        <w:t xml:space="preserve">, </w:t>
      </w:r>
      <w:r w:rsidR="00765653">
        <w:t xml:space="preserve">have </w:t>
      </w:r>
      <w:r w:rsidR="00765653" w:rsidRPr="00B10454">
        <w:rPr>
          <w:i/>
          <w:lang w:eastAsia="en-AU"/>
        </w:rPr>
        <w:t xml:space="preserve">access to relevant information and </w:t>
      </w:r>
      <w:r w:rsidR="000B2F96" w:rsidRPr="00B10454">
        <w:rPr>
          <w:i/>
          <w:lang w:eastAsia="en-AU"/>
        </w:rPr>
        <w:t xml:space="preserve">technical </w:t>
      </w:r>
      <w:r w:rsidR="00765653" w:rsidRPr="00B10454">
        <w:rPr>
          <w:i/>
          <w:lang w:eastAsia="en-AU"/>
        </w:rPr>
        <w:t>assistance</w:t>
      </w:r>
      <w:r>
        <w:t>;</w:t>
      </w:r>
    </w:p>
    <w:p w14:paraId="49455552" w14:textId="4B35FAB8" w:rsidR="00B47614" w:rsidRDefault="00985961" w:rsidP="00B10454">
      <w:pPr>
        <w:pStyle w:val="List-number-1"/>
        <w:jc w:val="both"/>
      </w:pPr>
      <w:r>
        <w:t xml:space="preserve">identifying </w:t>
      </w:r>
      <w:r w:rsidR="00B0381D">
        <w:t>T</w:t>
      </w:r>
      <w:r w:rsidR="000F5341" w:rsidRPr="003C0DBE">
        <w:t xml:space="preserve">heory of </w:t>
      </w:r>
      <w:r w:rsidR="00B0381D">
        <w:t>C</w:t>
      </w:r>
      <w:r w:rsidR="000F5341" w:rsidRPr="003C0DBE">
        <w:t>hange</w:t>
      </w:r>
      <w:r w:rsidR="00B0381D">
        <w:t xml:space="preserve"> (</w:t>
      </w:r>
      <w:proofErr w:type="spellStart"/>
      <w:r w:rsidR="00B0381D">
        <w:t>ToC</w:t>
      </w:r>
      <w:proofErr w:type="spellEnd"/>
      <w:r w:rsidR="00B0381D">
        <w:t>)</w:t>
      </w:r>
      <w:r>
        <w:t xml:space="preserve"> </w:t>
      </w:r>
      <w:r w:rsidR="00765653">
        <w:t>and Monitoring and Evaluation</w:t>
      </w:r>
      <w:r w:rsidR="00B0381D">
        <w:t xml:space="preserve"> (M&amp;E)</w:t>
      </w:r>
      <w:r w:rsidR="00765653">
        <w:t xml:space="preserve"> requirements </w:t>
      </w:r>
      <w:r>
        <w:t xml:space="preserve">that </w:t>
      </w:r>
      <w:r w:rsidR="000B2F96">
        <w:t>enable</w:t>
      </w:r>
      <w:r>
        <w:t xml:space="preserve"> </w:t>
      </w:r>
      <w:r w:rsidR="000B2F96">
        <w:t xml:space="preserve">discrete </w:t>
      </w:r>
      <w:r w:rsidR="00ED44BC">
        <w:rPr>
          <w:i/>
          <w:lang w:eastAsia="en-AU"/>
        </w:rPr>
        <w:t>progress</w:t>
      </w:r>
      <w:r w:rsidR="00ED44BC" w:rsidRPr="00B10454">
        <w:rPr>
          <w:i/>
          <w:lang w:eastAsia="en-AU"/>
        </w:rPr>
        <w:t xml:space="preserve"> </w:t>
      </w:r>
      <w:r w:rsidRPr="00B10454">
        <w:rPr>
          <w:i/>
          <w:lang w:eastAsia="en-AU"/>
        </w:rPr>
        <w:t>measurement</w:t>
      </w:r>
      <w:r>
        <w:t xml:space="preserve"> of E4G Component activities and </w:t>
      </w:r>
      <w:r w:rsidR="000B2F96">
        <w:t xml:space="preserve">also </w:t>
      </w:r>
      <w:r w:rsidR="00765653">
        <w:t xml:space="preserve">contribute meaningfully to </w:t>
      </w:r>
      <w:r w:rsidR="00C817EA">
        <w:t xml:space="preserve">identification </w:t>
      </w:r>
      <w:r w:rsidR="00765653">
        <w:t>of the</w:t>
      </w:r>
      <w:r>
        <w:t xml:space="preserve"> overarching AADP</w:t>
      </w:r>
      <w:r w:rsidR="000B2F96">
        <w:t xml:space="preserve">’s </w:t>
      </w:r>
      <w:r w:rsidR="00ED44BC">
        <w:t>outcomes</w:t>
      </w:r>
      <w:r w:rsidR="000F5341" w:rsidRPr="003C0DBE">
        <w:t xml:space="preserve">; </w:t>
      </w:r>
    </w:p>
    <w:p w14:paraId="03E6FBF1" w14:textId="77777777" w:rsidR="00B47614" w:rsidRDefault="0006228E" w:rsidP="00B10454">
      <w:pPr>
        <w:pStyle w:val="List-number-1"/>
        <w:jc w:val="both"/>
      </w:pPr>
      <w:r>
        <w:t xml:space="preserve">ensuring that activities under the E4G Component </w:t>
      </w:r>
      <w:r w:rsidRPr="00B10454">
        <w:rPr>
          <w:i/>
          <w:lang w:eastAsia="en-AU"/>
        </w:rPr>
        <w:t>incorporate e</w:t>
      </w:r>
      <w:r w:rsidR="000F5341" w:rsidRPr="00B10454">
        <w:rPr>
          <w:i/>
          <w:lang w:eastAsia="en-AU"/>
        </w:rPr>
        <w:t>nabling themes</w:t>
      </w:r>
      <w:r>
        <w:t>,</w:t>
      </w:r>
      <w:r w:rsidR="000F5341" w:rsidRPr="003C0DBE">
        <w:t xml:space="preserve"> such as gender, disability, environment, </w:t>
      </w:r>
      <w:r w:rsidR="00690CDA">
        <w:t xml:space="preserve">and safe guards such as </w:t>
      </w:r>
      <w:r w:rsidR="000F5341" w:rsidRPr="003C0DBE">
        <w:t>anti-terrorism, anti-corruption and child protection</w:t>
      </w:r>
      <w:r w:rsidR="00985961">
        <w:t>;</w:t>
      </w:r>
      <w:r w:rsidR="005D6E98">
        <w:t xml:space="preserve"> </w:t>
      </w:r>
      <w:r w:rsidR="00765653">
        <w:t>and</w:t>
      </w:r>
    </w:p>
    <w:p w14:paraId="4F5BF529" w14:textId="77777777" w:rsidR="009753FD" w:rsidRPr="00B10454" w:rsidRDefault="00EA1F31" w:rsidP="00B10454">
      <w:pPr>
        <w:pStyle w:val="List-number-1"/>
        <w:jc w:val="both"/>
        <w:rPr>
          <w:b/>
          <w:i/>
          <w:szCs w:val="20"/>
        </w:rPr>
      </w:pPr>
      <w:proofErr w:type="gramStart"/>
      <w:r w:rsidRPr="00B10454">
        <w:rPr>
          <w:lang w:eastAsia="en-AU"/>
        </w:rPr>
        <w:t>identifying</w:t>
      </w:r>
      <w:proofErr w:type="gramEnd"/>
      <w:r w:rsidRPr="00B10454">
        <w:rPr>
          <w:lang w:eastAsia="en-AU"/>
        </w:rPr>
        <w:t xml:space="preserve"> </w:t>
      </w:r>
      <w:r w:rsidR="000A4BDA" w:rsidRPr="00B10454">
        <w:rPr>
          <w:lang w:eastAsia="en-AU"/>
        </w:rPr>
        <w:t>specific</w:t>
      </w:r>
      <w:r w:rsidR="000A4BDA">
        <w:t xml:space="preserve"> </w:t>
      </w:r>
      <w:r w:rsidR="000F5341" w:rsidRPr="00B10454">
        <w:rPr>
          <w:lang w:eastAsia="en-AU"/>
        </w:rPr>
        <w:t>risks</w:t>
      </w:r>
      <w:r w:rsidR="000A4BDA" w:rsidRPr="00B10454">
        <w:rPr>
          <w:lang w:eastAsia="en-AU"/>
        </w:rPr>
        <w:t xml:space="preserve"> </w:t>
      </w:r>
      <w:r w:rsidR="00765653">
        <w:t xml:space="preserve">(and their treatment options) </w:t>
      </w:r>
      <w:r>
        <w:t>of</w:t>
      </w:r>
      <w:r w:rsidR="000A4BDA">
        <w:t xml:space="preserve"> </w:t>
      </w:r>
      <w:r>
        <w:t xml:space="preserve">proposed </w:t>
      </w:r>
      <w:r w:rsidR="000A4BDA">
        <w:t>E4G Component activities</w:t>
      </w:r>
      <w:r w:rsidR="00765653">
        <w:t>.</w:t>
      </w:r>
      <w:r w:rsidR="007B1130">
        <w:t xml:space="preserve">  </w:t>
      </w:r>
      <w:r w:rsidR="007B1130" w:rsidRPr="00447896">
        <w:t xml:space="preserve">E4G Component activities overall are considered </w:t>
      </w:r>
      <w:r w:rsidR="007B1130" w:rsidRPr="00B10454">
        <w:rPr>
          <w:i/>
          <w:lang w:eastAsia="en-AU"/>
        </w:rPr>
        <w:t>moderate risk</w:t>
      </w:r>
      <w:r w:rsidR="007B1130" w:rsidRPr="00447896">
        <w:rPr>
          <w:b/>
          <w:bCs/>
        </w:rPr>
        <w:t xml:space="preserve"> </w:t>
      </w:r>
      <w:r w:rsidR="007B1130" w:rsidRPr="00B10454">
        <w:t>activities</w:t>
      </w:r>
      <w:r w:rsidR="007B1130" w:rsidRPr="00447896">
        <w:t>.</w:t>
      </w:r>
      <w:r w:rsidR="007B1130" w:rsidRPr="00447896">
        <w:rPr>
          <w:rStyle w:val="FootnoteReference"/>
        </w:rPr>
        <w:footnoteReference w:id="1"/>
      </w:r>
      <w:r w:rsidR="007B1130">
        <w:t xml:space="preserve">  </w:t>
      </w:r>
    </w:p>
    <w:p w14:paraId="15D910F8" w14:textId="77777777" w:rsidR="00EC3D5E" w:rsidRPr="00B10454" w:rsidRDefault="00EC3D5E" w:rsidP="00B10454">
      <w:pPr>
        <w:pStyle w:val="List-number-1"/>
        <w:numPr>
          <w:ilvl w:val="0"/>
          <w:numId w:val="0"/>
        </w:numPr>
        <w:jc w:val="both"/>
        <w:rPr>
          <w:b/>
          <w:i/>
          <w:szCs w:val="20"/>
        </w:rPr>
      </w:pPr>
      <w:r w:rsidRPr="003D2A46">
        <w:rPr>
          <w:b/>
          <w:i/>
          <w:szCs w:val="20"/>
        </w:rPr>
        <w:t>Australian assistance to African extractive sectors</w:t>
      </w:r>
      <w:r w:rsidRPr="0003682B">
        <w:rPr>
          <w:b/>
          <w:i/>
          <w:szCs w:val="20"/>
        </w:rPr>
        <w:t xml:space="preserve"> </w:t>
      </w:r>
      <w:r>
        <w:rPr>
          <w:b/>
          <w:i/>
          <w:szCs w:val="20"/>
        </w:rPr>
        <w:t>to focus on s</w:t>
      </w:r>
      <w:r w:rsidRPr="00B10454">
        <w:rPr>
          <w:b/>
          <w:i/>
          <w:szCs w:val="20"/>
        </w:rPr>
        <w:t xml:space="preserve">kills development, building extractive industry and community links, and enhancing enabling environments </w:t>
      </w:r>
    </w:p>
    <w:p w14:paraId="436CC339" w14:textId="77777777" w:rsidR="004472DB" w:rsidRDefault="00EC3D5E" w:rsidP="002F30BC">
      <w:pPr>
        <w:pStyle w:val="BodyText"/>
        <w:spacing w:after="80"/>
      </w:pPr>
      <w:r>
        <w:t xml:space="preserve">The </w:t>
      </w:r>
      <w:r w:rsidR="009C02E6">
        <w:t xml:space="preserve">proposed </w:t>
      </w:r>
      <w:bookmarkStart w:id="8" w:name="_Toc399150492"/>
      <w:r w:rsidR="004472DB" w:rsidRPr="00632E03">
        <w:t xml:space="preserve">E4G Component </w:t>
      </w:r>
      <w:r>
        <w:t>approach</w:t>
      </w:r>
      <w:r w:rsidR="004472DB" w:rsidRPr="00A12A07">
        <w:t xml:space="preserve"> </w:t>
      </w:r>
      <w:r>
        <w:t>includes</w:t>
      </w:r>
      <w:r w:rsidR="004472DB">
        <w:t>:</w:t>
      </w:r>
    </w:p>
    <w:p w14:paraId="3E8A4656" w14:textId="2F1162F8" w:rsidR="004472DB" w:rsidRDefault="00EC3D5E" w:rsidP="00473B0F">
      <w:pPr>
        <w:pStyle w:val="List-bullet-1"/>
        <w:tabs>
          <w:tab w:val="clear" w:pos="720"/>
        </w:tabs>
        <w:spacing w:after="80"/>
        <w:ind w:left="360"/>
      </w:pPr>
      <w:proofErr w:type="gramStart"/>
      <w:r>
        <w:t>activities</w:t>
      </w:r>
      <w:proofErr w:type="gramEnd"/>
      <w:r>
        <w:t xml:space="preserve"> </w:t>
      </w:r>
      <w:r w:rsidR="004472DB" w:rsidRPr="00A12A07">
        <w:t xml:space="preserve">in </w:t>
      </w:r>
      <w:r w:rsidR="004472DB" w:rsidRPr="00A328F8">
        <w:t xml:space="preserve">three </w:t>
      </w:r>
      <w:r w:rsidR="00EC38FF">
        <w:t>Focus Countries</w:t>
      </w:r>
      <w:r w:rsidR="004472DB" w:rsidRPr="00A328F8">
        <w:t xml:space="preserve"> </w:t>
      </w:r>
      <w:r w:rsidR="004472DB">
        <w:t>(</w:t>
      </w:r>
      <w:r w:rsidR="004472DB" w:rsidRPr="00A328F8">
        <w:t>Mozambique, Tanzania, and Zambia</w:t>
      </w:r>
      <w:r w:rsidR="004472DB">
        <w:t xml:space="preserve">) where </w:t>
      </w:r>
      <w:r>
        <w:t xml:space="preserve">Australia </w:t>
      </w:r>
      <w:r w:rsidR="004472DB">
        <w:t>will have a deeper, longer-term engagement</w:t>
      </w:r>
      <w:r w:rsidR="00093995">
        <w:t xml:space="preserve">.  Australia has decided that it will prioritise these three Indian Ocean rim countries over the next four years and it is in these three countries that the bulk of the E4G Component </w:t>
      </w:r>
      <w:r w:rsidR="005B0EBC">
        <w:t xml:space="preserve">investment and </w:t>
      </w:r>
      <w:r w:rsidR="00093995">
        <w:t>activities will take place in skills development</w:t>
      </w:r>
      <w:r w:rsidR="00D65079">
        <w:t xml:space="preserve"> and</w:t>
      </w:r>
      <w:r w:rsidR="005B0EBC">
        <w:t xml:space="preserve"> </w:t>
      </w:r>
      <w:r w:rsidR="00093995">
        <w:t>building links between extractive industries and communities</w:t>
      </w:r>
      <w:r w:rsidR="004472DB">
        <w:t>;</w:t>
      </w:r>
    </w:p>
    <w:p w14:paraId="59B928E8" w14:textId="31CE8C4A" w:rsidR="004472DB" w:rsidRDefault="004472DB" w:rsidP="00B10454">
      <w:pPr>
        <w:pStyle w:val="List-bullet-1"/>
        <w:tabs>
          <w:tab w:val="clear" w:pos="720"/>
        </w:tabs>
        <w:spacing w:after="80"/>
        <w:ind w:left="360"/>
      </w:pPr>
      <w:r>
        <w:t xml:space="preserve">shorter-term </w:t>
      </w:r>
      <w:r w:rsidRPr="00A328F8">
        <w:t>responsive acti</w:t>
      </w:r>
      <w:r w:rsidR="00FD7441">
        <w:t xml:space="preserve">vities </w:t>
      </w:r>
      <w:r w:rsidR="00D65079">
        <w:t xml:space="preserve">focused on enhancing the enabling environments </w:t>
      </w:r>
      <w:r w:rsidR="00B42106">
        <w:t xml:space="preserve">across a larger group of 8-10 </w:t>
      </w:r>
      <w:r w:rsidR="00EC38FF">
        <w:t>Target Countries</w:t>
      </w:r>
      <w:r w:rsidRPr="00A328F8">
        <w:t xml:space="preserve"> </w:t>
      </w:r>
      <w:r w:rsidR="00EC3D5E">
        <w:t>(</w:t>
      </w:r>
      <w:r w:rsidR="00FA0AAA">
        <w:t xml:space="preserve">beyond </w:t>
      </w:r>
      <w:r w:rsidR="00B42106">
        <w:t>the three</w:t>
      </w:r>
      <w:r w:rsidR="00D65079">
        <w:t xml:space="preserve"> focus countries</w:t>
      </w:r>
      <w:r w:rsidR="00FD7441">
        <w:t>,</w:t>
      </w:r>
      <w:r w:rsidR="00D65079">
        <w:t xml:space="preserve"> support will</w:t>
      </w:r>
      <w:r w:rsidR="00FD7441">
        <w:t xml:space="preserve"> extend to Madagascar, </w:t>
      </w:r>
      <w:r w:rsidR="00D65079">
        <w:t>Ghana, Nigeria</w:t>
      </w:r>
      <w:r w:rsidR="00FA0AAA">
        <w:t>,</w:t>
      </w:r>
      <w:r w:rsidR="00FD7441">
        <w:t xml:space="preserve"> as well as an additiona</w:t>
      </w:r>
      <w:r w:rsidR="00FA0AAA">
        <w:t xml:space="preserve">l number of countries that </w:t>
      </w:r>
      <w:r w:rsidR="00FD7441">
        <w:t>are being determined</w:t>
      </w:r>
      <w:r w:rsidR="00EC3D5E">
        <w:t xml:space="preserve">) </w:t>
      </w:r>
      <w:r w:rsidRPr="00A328F8">
        <w:t xml:space="preserve">where </w:t>
      </w:r>
      <w:r w:rsidR="00EC3D5E">
        <w:t>Australia</w:t>
      </w:r>
      <w:r w:rsidR="00EC3D5E" w:rsidRPr="00A328F8">
        <w:t xml:space="preserve"> </w:t>
      </w:r>
      <w:r w:rsidRPr="00A328F8">
        <w:t xml:space="preserve">can leverage </w:t>
      </w:r>
      <w:r>
        <w:t>existing partnerships, Australian expertise</w:t>
      </w:r>
      <w:r w:rsidR="00EC3D5E">
        <w:t>,</w:t>
      </w:r>
      <w:r>
        <w:t xml:space="preserve"> and Australian private sector engagement</w:t>
      </w:r>
      <w:r w:rsidR="008770F4">
        <w:t xml:space="preserve">.  </w:t>
      </w:r>
      <w:r w:rsidR="00093995">
        <w:t xml:space="preserve">Australia has </w:t>
      </w:r>
      <w:r w:rsidR="007955FD">
        <w:t xml:space="preserve">invested </w:t>
      </w:r>
      <w:r w:rsidR="008770F4">
        <w:t xml:space="preserve">significantly </w:t>
      </w:r>
      <w:r w:rsidR="007955FD">
        <w:t>in</w:t>
      </w:r>
      <w:r w:rsidR="00093995">
        <w:t xml:space="preserve"> buil</w:t>
      </w:r>
      <w:r w:rsidR="007955FD">
        <w:t>ding</w:t>
      </w:r>
      <w:r w:rsidR="00093995">
        <w:t xml:space="preserve"> relationships across </w:t>
      </w:r>
      <w:r w:rsidR="00093995" w:rsidRPr="007955FD">
        <w:t>African</w:t>
      </w:r>
      <w:r w:rsidR="00093995">
        <w:t xml:space="preserve"> </w:t>
      </w:r>
      <w:r w:rsidR="008770F4">
        <w:t>nations</w:t>
      </w:r>
      <w:r w:rsidR="00F60384">
        <w:t xml:space="preserve"> over the last decade. </w:t>
      </w:r>
      <w:r w:rsidR="00093995">
        <w:t>Shorter-term responsive activities</w:t>
      </w:r>
      <w:r w:rsidR="008770F4">
        <w:t xml:space="preserve"> under the E4G Com</w:t>
      </w:r>
      <w:r w:rsidR="005515C3">
        <w:t>p</w:t>
      </w:r>
      <w:r w:rsidR="008770F4">
        <w:t>onent</w:t>
      </w:r>
      <w:r w:rsidR="00093995">
        <w:t xml:space="preserve"> </w:t>
      </w:r>
      <w:r w:rsidR="009753FD" w:rsidRPr="00093995">
        <w:t xml:space="preserve">provide an opportunity </w:t>
      </w:r>
      <w:r w:rsidR="00093995" w:rsidRPr="00B10454">
        <w:t>for Australia to</w:t>
      </w:r>
      <w:r w:rsidR="009753FD" w:rsidRPr="00093995">
        <w:t xml:space="preserve"> build on and leverage </w:t>
      </w:r>
      <w:r w:rsidR="008770F4">
        <w:t xml:space="preserve">those </w:t>
      </w:r>
      <w:r w:rsidR="009753FD" w:rsidRPr="00093995">
        <w:t>relationships</w:t>
      </w:r>
      <w:r w:rsidR="00093995" w:rsidRPr="00B10454">
        <w:t>,</w:t>
      </w:r>
      <w:r w:rsidR="009753FD" w:rsidRPr="00093995">
        <w:t xml:space="preserve"> including </w:t>
      </w:r>
      <w:r w:rsidR="00093995" w:rsidRPr="00B10454">
        <w:t xml:space="preserve">by harnessing </w:t>
      </w:r>
      <w:r w:rsidR="009753FD" w:rsidRPr="00093995">
        <w:t xml:space="preserve">Australia Awards alumni </w:t>
      </w:r>
      <w:r w:rsidR="00093995" w:rsidRPr="00B10454">
        <w:t>and engaging them in</w:t>
      </w:r>
      <w:r w:rsidR="009753FD" w:rsidRPr="00093995">
        <w:t xml:space="preserve"> extractive-sector activities</w:t>
      </w:r>
      <w:r w:rsidR="008770F4">
        <w:t>;  and</w:t>
      </w:r>
    </w:p>
    <w:p w14:paraId="2F633A0D" w14:textId="77777777" w:rsidR="004472DB" w:rsidRDefault="004472DB" w:rsidP="00B10454">
      <w:pPr>
        <w:pStyle w:val="List-bullet-1"/>
        <w:tabs>
          <w:tab w:val="clear" w:pos="720"/>
        </w:tabs>
        <w:spacing w:after="80"/>
        <w:ind w:left="360"/>
      </w:pPr>
      <w:proofErr w:type="gramStart"/>
      <w:r w:rsidRPr="00A12A07">
        <w:t>regional</w:t>
      </w:r>
      <w:proofErr w:type="gramEnd"/>
      <w:r w:rsidRPr="00A12A07">
        <w:t xml:space="preserve"> level</w:t>
      </w:r>
      <w:r w:rsidR="00EC3D5E">
        <w:t xml:space="preserve"> extractive-sector related activities</w:t>
      </w:r>
      <w:r w:rsidR="000E2658">
        <w:t>,</w:t>
      </w:r>
      <w:r w:rsidR="000E2658" w:rsidRPr="000E2658">
        <w:rPr>
          <w:szCs w:val="20"/>
        </w:rPr>
        <w:t xml:space="preserve"> </w:t>
      </w:r>
      <w:r w:rsidR="000E2658" w:rsidRPr="00BB0DEC">
        <w:rPr>
          <w:szCs w:val="20"/>
        </w:rPr>
        <w:t>such as the</w:t>
      </w:r>
      <w:r w:rsidR="000E2658" w:rsidRPr="00BD43A9">
        <w:rPr>
          <w:szCs w:val="20"/>
        </w:rPr>
        <w:t xml:space="preserve"> Infrastructure Skills for </w:t>
      </w:r>
      <w:r w:rsidR="000E2658" w:rsidRPr="0003682B">
        <w:t>Development Program and Africa Minerals Development Centre (AMDC)</w:t>
      </w:r>
      <w:r w:rsidRPr="00A12A07">
        <w:t>.</w:t>
      </w:r>
      <w:r w:rsidR="009753FD">
        <w:t xml:space="preserve"> </w:t>
      </w:r>
      <w:r w:rsidR="00093995">
        <w:t xml:space="preserve">These activities will provide </w:t>
      </w:r>
      <w:r w:rsidR="009753FD" w:rsidRPr="00093995">
        <w:t xml:space="preserve">an opportunity for Australia to remain engaged in international efforts to support African nations’ </w:t>
      </w:r>
      <w:r w:rsidR="00093995" w:rsidRPr="00B10454">
        <w:t>implementation of</w:t>
      </w:r>
      <w:r w:rsidR="009753FD" w:rsidRPr="00093995">
        <w:t xml:space="preserve"> the African Mining Vision (AMV)</w:t>
      </w:r>
      <w:r w:rsidR="00093995" w:rsidRPr="00B10454">
        <w:t xml:space="preserve"> and for </w:t>
      </w:r>
      <w:r w:rsidR="00093995">
        <w:t>promotion of sustainable economic development initiatives.</w:t>
      </w:r>
      <w:r w:rsidR="000B17E2">
        <w:t xml:space="preserve">  E4G Component infrastructure skills for development activities will focus on building planning and project management skills within relevant African government institutions.</w:t>
      </w:r>
    </w:p>
    <w:p w14:paraId="0CB6E289" w14:textId="77777777" w:rsidR="00872E00" w:rsidRPr="009B11ED" w:rsidRDefault="00872E00" w:rsidP="00872E00">
      <w:pPr>
        <w:pStyle w:val="BodyText"/>
      </w:pPr>
      <w:r w:rsidRPr="009B11ED">
        <w:t>Australia</w:t>
      </w:r>
      <w:r w:rsidR="006E0622">
        <w:t>n assistance</w:t>
      </w:r>
      <w:r w:rsidRPr="009B11ED">
        <w:t xml:space="preserve"> </w:t>
      </w:r>
      <w:r>
        <w:t xml:space="preserve">will </w:t>
      </w:r>
      <w:r w:rsidRPr="009B11ED">
        <w:t xml:space="preserve">focus </w:t>
      </w:r>
      <w:r w:rsidR="006E0622">
        <w:t>o</w:t>
      </w:r>
      <w:r w:rsidRPr="009B11ED">
        <w:t xml:space="preserve">n three areas </w:t>
      </w:r>
      <w:r w:rsidR="006E0622">
        <w:t>where</w:t>
      </w:r>
      <w:r w:rsidRPr="009B11ED">
        <w:t xml:space="preserve"> the greatest potential for generating shared value between governments, communities and industry</w:t>
      </w:r>
      <w:r>
        <w:t xml:space="preserve"> exists</w:t>
      </w:r>
      <w:r w:rsidRPr="009B11ED">
        <w:t>:</w:t>
      </w:r>
      <w:r>
        <w:t xml:space="preserve"> </w:t>
      </w:r>
      <w:r w:rsidRPr="00B10454">
        <w:rPr>
          <w:i/>
        </w:rPr>
        <w:t>skills development; extractive industries and communities</w:t>
      </w:r>
      <w:r>
        <w:t xml:space="preserve">; and </w:t>
      </w:r>
      <w:r w:rsidRPr="00B10454">
        <w:rPr>
          <w:i/>
        </w:rPr>
        <w:t>enabling environments</w:t>
      </w:r>
      <w:r>
        <w:t xml:space="preserve">. </w:t>
      </w:r>
      <w:r w:rsidRPr="009B11ED">
        <w:t xml:space="preserve">These are areas that:; are key to governments leveraging maximum development value from their </w:t>
      </w:r>
      <w:r>
        <w:t>extractive</w:t>
      </w:r>
      <w:r w:rsidRPr="009B11ED">
        <w:t xml:space="preserve"> resources; will determine the employment and livelihood benefits that flow to communities; require (and provide opportunities for) partnerships between governments, industr</w:t>
      </w:r>
      <w:r>
        <w:t>ies</w:t>
      </w:r>
      <w:r w:rsidRPr="009B11ED">
        <w:t xml:space="preserve"> and communities to find solutions</w:t>
      </w:r>
      <w:r w:rsidR="00690CDA">
        <w:t xml:space="preserve">; and </w:t>
      </w:r>
      <w:r w:rsidR="00690CDA" w:rsidRPr="009B11ED">
        <w:t>represent major risks for the private sector</w:t>
      </w:r>
      <w:r w:rsidRPr="009B11ED">
        <w:t xml:space="preserve">. </w:t>
      </w:r>
    </w:p>
    <w:p w14:paraId="5F1D6521" w14:textId="77777777" w:rsidR="004328D9" w:rsidRPr="004328D9" w:rsidRDefault="00405863">
      <w:pPr>
        <w:spacing w:after="120"/>
        <w:jc w:val="both"/>
        <w:rPr>
          <w:rFonts w:cs="Arial"/>
          <w:szCs w:val="20"/>
        </w:rPr>
      </w:pPr>
      <w:r>
        <w:rPr>
          <w:rFonts w:cs="Arial"/>
          <w:szCs w:val="20"/>
        </w:rPr>
        <w:t xml:space="preserve">E4G </w:t>
      </w:r>
      <w:r w:rsidR="00B47614">
        <w:rPr>
          <w:rFonts w:cs="Arial"/>
          <w:szCs w:val="20"/>
        </w:rPr>
        <w:t>C</w:t>
      </w:r>
      <w:r>
        <w:rPr>
          <w:rFonts w:cs="Arial"/>
          <w:szCs w:val="20"/>
        </w:rPr>
        <w:t xml:space="preserve">omponent </w:t>
      </w:r>
      <w:r w:rsidR="006E0622">
        <w:rPr>
          <w:rFonts w:cs="Arial"/>
          <w:szCs w:val="20"/>
        </w:rPr>
        <w:t xml:space="preserve">activities </w:t>
      </w:r>
      <w:r w:rsidR="000E4A3D" w:rsidRPr="003C0DBE">
        <w:rPr>
          <w:rFonts w:cs="Arial"/>
          <w:szCs w:val="20"/>
        </w:rPr>
        <w:t xml:space="preserve">will </w:t>
      </w:r>
      <w:r w:rsidR="000E4A3D" w:rsidRPr="00B10454">
        <w:rPr>
          <w:i/>
          <w:lang w:eastAsia="en-AU"/>
        </w:rPr>
        <w:t xml:space="preserve">harness Australia’s </w:t>
      </w:r>
      <w:r w:rsidR="00B85C61">
        <w:rPr>
          <w:i/>
          <w:lang w:eastAsia="en-AU"/>
        </w:rPr>
        <w:t xml:space="preserve">broad </w:t>
      </w:r>
      <w:r w:rsidR="000E4A3D" w:rsidRPr="00B10454">
        <w:rPr>
          <w:i/>
          <w:lang w:eastAsia="en-AU"/>
        </w:rPr>
        <w:t>extractive-related expertise</w:t>
      </w:r>
      <w:r w:rsidR="00A328F8">
        <w:rPr>
          <w:rFonts w:cs="Arial"/>
          <w:szCs w:val="20"/>
        </w:rPr>
        <w:t xml:space="preserve"> (private sector, government,</w:t>
      </w:r>
      <w:r w:rsidR="007E78F8">
        <w:rPr>
          <w:rFonts w:cs="Arial"/>
          <w:szCs w:val="20"/>
        </w:rPr>
        <w:t xml:space="preserve"> </w:t>
      </w:r>
      <w:r w:rsidR="007E78F8" w:rsidRPr="007E78F8">
        <w:rPr>
          <w:rFonts w:cs="Arial"/>
          <w:szCs w:val="20"/>
        </w:rPr>
        <w:t>non-government organisation</w:t>
      </w:r>
      <w:r w:rsidR="007E78F8">
        <w:rPr>
          <w:rFonts w:cs="Arial"/>
          <w:szCs w:val="20"/>
        </w:rPr>
        <w:t xml:space="preserve"> (</w:t>
      </w:r>
      <w:r w:rsidR="00A328F8">
        <w:rPr>
          <w:rFonts w:cs="Arial"/>
          <w:szCs w:val="20"/>
        </w:rPr>
        <w:t>NGO</w:t>
      </w:r>
      <w:r w:rsidR="007E78F8">
        <w:rPr>
          <w:rFonts w:cs="Arial"/>
          <w:szCs w:val="20"/>
        </w:rPr>
        <w:t>)</w:t>
      </w:r>
      <w:r w:rsidR="00A328F8">
        <w:rPr>
          <w:rFonts w:cs="Arial"/>
          <w:szCs w:val="20"/>
        </w:rPr>
        <w:t>, research and training)</w:t>
      </w:r>
      <w:r w:rsidR="000E4A3D" w:rsidRPr="003C0DBE">
        <w:rPr>
          <w:rFonts w:cs="Arial"/>
          <w:szCs w:val="20"/>
        </w:rPr>
        <w:t>.</w:t>
      </w:r>
      <w:r w:rsidR="000E4A3D">
        <w:rPr>
          <w:rFonts w:cs="Arial"/>
          <w:szCs w:val="20"/>
        </w:rPr>
        <w:t xml:space="preserve"> </w:t>
      </w:r>
      <w:r w:rsidR="004328D9" w:rsidRPr="00B10454">
        <w:rPr>
          <w:i/>
          <w:lang w:eastAsia="en-AU"/>
        </w:rPr>
        <w:t xml:space="preserve">Private sector engagement </w:t>
      </w:r>
      <w:r w:rsidRPr="00B10454">
        <w:rPr>
          <w:i/>
          <w:lang w:eastAsia="en-AU"/>
        </w:rPr>
        <w:t xml:space="preserve">in particular </w:t>
      </w:r>
      <w:r w:rsidR="004328D9" w:rsidRPr="00B10454">
        <w:rPr>
          <w:i/>
          <w:lang w:eastAsia="en-AU"/>
        </w:rPr>
        <w:t>will be an underlying theme</w:t>
      </w:r>
      <w:r w:rsidR="004328D9">
        <w:rPr>
          <w:rFonts w:cs="Arial"/>
          <w:szCs w:val="20"/>
        </w:rPr>
        <w:t xml:space="preserve"> and </w:t>
      </w:r>
      <w:r w:rsidR="004328D9" w:rsidRPr="004328D9">
        <w:rPr>
          <w:rFonts w:cs="Arial"/>
          <w:szCs w:val="20"/>
        </w:rPr>
        <w:t>will be achieved through:</w:t>
      </w:r>
    </w:p>
    <w:p w14:paraId="05BD8825" w14:textId="77777777" w:rsidR="004328D9" w:rsidRPr="002F30BC" w:rsidRDefault="004328D9" w:rsidP="00B10454">
      <w:pPr>
        <w:pStyle w:val="List-bullet-1"/>
        <w:tabs>
          <w:tab w:val="clear" w:pos="720"/>
        </w:tabs>
        <w:spacing w:after="80"/>
        <w:ind w:left="360"/>
      </w:pPr>
      <w:r w:rsidRPr="00B10454">
        <w:rPr>
          <w:rFonts w:cs="Times New Roman"/>
          <w:i/>
          <w:szCs w:val="24"/>
          <w:lang w:eastAsia="en-AU"/>
        </w:rPr>
        <w:t>partnerships with the private sector</w:t>
      </w:r>
      <w:r w:rsidRPr="003C0DBE">
        <w:t xml:space="preserve"> </w:t>
      </w:r>
      <w:r>
        <w:t xml:space="preserve">that </w:t>
      </w:r>
      <w:r w:rsidRPr="003C0DBE">
        <w:t xml:space="preserve">support </w:t>
      </w:r>
      <w:r>
        <w:t xml:space="preserve">delivery of different aspects of the </w:t>
      </w:r>
      <w:r w:rsidR="00405863">
        <w:t xml:space="preserve">E4G </w:t>
      </w:r>
      <w:r w:rsidR="00B47614" w:rsidRPr="002F30BC">
        <w:t>C</w:t>
      </w:r>
      <w:r w:rsidR="00405863" w:rsidRPr="002F30BC">
        <w:t xml:space="preserve">omponent </w:t>
      </w:r>
      <w:r w:rsidRPr="002F30BC">
        <w:t>(e.g. utilising private sector expertise for mentoring, participation in seminars, hosting work placements etc</w:t>
      </w:r>
      <w:r w:rsidR="005D6E98" w:rsidRPr="002F30BC">
        <w:t>.</w:t>
      </w:r>
      <w:r w:rsidRPr="002F30BC">
        <w:t>);</w:t>
      </w:r>
      <w:r w:rsidR="00405863" w:rsidRPr="002F30BC">
        <w:t xml:space="preserve"> and </w:t>
      </w:r>
    </w:p>
    <w:p w14:paraId="531CAF29" w14:textId="77777777" w:rsidR="00AF6691" w:rsidRPr="002F30BC" w:rsidRDefault="004328D9" w:rsidP="00B10454">
      <w:pPr>
        <w:pStyle w:val="List-bullet-1"/>
        <w:tabs>
          <w:tab w:val="clear" w:pos="720"/>
        </w:tabs>
        <w:spacing w:after="80"/>
        <w:ind w:left="360"/>
      </w:pPr>
      <w:r w:rsidRPr="00B10454">
        <w:rPr>
          <w:rFonts w:cs="Times New Roman"/>
          <w:i/>
          <w:szCs w:val="24"/>
          <w:lang w:eastAsia="en-AU"/>
        </w:rPr>
        <w:t>drawing on private sector knowledge and experience</w:t>
      </w:r>
      <w:r w:rsidRPr="002F30BC">
        <w:t xml:space="preserve"> in conceptualising and designing activities</w:t>
      </w:r>
      <w:r w:rsidR="00476274" w:rsidRPr="002F30BC">
        <w:t>, including skills development at</w:t>
      </w:r>
      <w:r w:rsidR="00ED2B41" w:rsidRPr="00ED2B41">
        <w:t xml:space="preserve"> Technical and Vocational Education and Training</w:t>
      </w:r>
      <w:r w:rsidR="00476274" w:rsidRPr="002F30BC">
        <w:t xml:space="preserve"> </w:t>
      </w:r>
      <w:r w:rsidR="00ED2B41">
        <w:t>(</w:t>
      </w:r>
      <w:r w:rsidR="00476274" w:rsidRPr="002F30BC">
        <w:t>TVET</w:t>
      </w:r>
      <w:r w:rsidR="00ED2B41">
        <w:t>)</w:t>
      </w:r>
      <w:r w:rsidR="00476274" w:rsidRPr="002F30BC">
        <w:t xml:space="preserve"> institutions</w:t>
      </w:r>
      <w:r w:rsidR="00AF6691" w:rsidRPr="002F30BC">
        <w:t>;</w:t>
      </w:r>
      <w:r w:rsidR="000B687E">
        <w:t xml:space="preserve"> </w:t>
      </w:r>
    </w:p>
    <w:p w14:paraId="0E7888D2" w14:textId="38D8D823" w:rsidR="004328D9" w:rsidRDefault="00AF6691" w:rsidP="00B10454">
      <w:pPr>
        <w:pStyle w:val="List-bullet-1"/>
        <w:tabs>
          <w:tab w:val="clear" w:pos="720"/>
        </w:tabs>
        <w:spacing w:after="80"/>
        <w:ind w:left="360"/>
      </w:pPr>
      <w:r w:rsidRPr="00B10454">
        <w:rPr>
          <w:rFonts w:cs="Times New Roman"/>
          <w:i/>
          <w:szCs w:val="24"/>
          <w:lang w:eastAsia="en-AU"/>
        </w:rPr>
        <w:t>deepening private sector involvement in the Australia Awards program</w:t>
      </w:r>
      <w:r>
        <w:t xml:space="preserve"> both in terms of private sector participants and potential </w:t>
      </w:r>
      <w:r w:rsidR="004E6556">
        <w:t xml:space="preserve">private-sector </w:t>
      </w:r>
      <w:r>
        <w:t xml:space="preserve">funding of </w:t>
      </w:r>
      <w:r w:rsidR="004E6556">
        <w:t xml:space="preserve">awards under </w:t>
      </w:r>
      <w:r>
        <w:t>the program</w:t>
      </w:r>
      <w:r w:rsidR="00690CDA">
        <w:t>:</w:t>
      </w:r>
      <w:r w:rsidR="005515C3">
        <w:t xml:space="preserve"> </w:t>
      </w:r>
      <w:r w:rsidR="00690CDA">
        <w:t>and</w:t>
      </w:r>
    </w:p>
    <w:p w14:paraId="41259A5C" w14:textId="70E0475F" w:rsidR="00690CDA" w:rsidRDefault="00690CDA" w:rsidP="00B10454">
      <w:pPr>
        <w:pStyle w:val="List-bullet-1"/>
        <w:tabs>
          <w:tab w:val="clear" w:pos="720"/>
        </w:tabs>
        <w:spacing w:after="80"/>
        <w:ind w:left="360"/>
      </w:pPr>
      <w:proofErr w:type="gramStart"/>
      <w:r>
        <w:rPr>
          <w:rFonts w:cs="Times New Roman"/>
          <w:i/>
          <w:szCs w:val="24"/>
          <w:lang w:eastAsia="en-AU"/>
        </w:rPr>
        <w:t>assisting</w:t>
      </w:r>
      <w:proofErr w:type="gramEnd"/>
      <w:r>
        <w:rPr>
          <w:rFonts w:cs="Times New Roman"/>
          <w:i/>
          <w:szCs w:val="24"/>
          <w:lang w:eastAsia="en-AU"/>
        </w:rPr>
        <w:t xml:space="preserve"> the private sector to better target funds allocated to </w:t>
      </w:r>
      <w:r w:rsidR="005515C3">
        <w:rPr>
          <w:rFonts w:cs="Times New Roman"/>
          <w:i/>
          <w:szCs w:val="24"/>
          <w:lang w:eastAsia="en-AU"/>
        </w:rPr>
        <w:t xml:space="preserve">corporate social responsibility </w:t>
      </w:r>
      <w:r>
        <w:rPr>
          <w:rFonts w:cs="Times New Roman"/>
          <w:i/>
          <w:szCs w:val="24"/>
          <w:lang w:eastAsia="en-AU"/>
        </w:rPr>
        <w:t xml:space="preserve">and potentially leveraging off these funds.  </w:t>
      </w:r>
    </w:p>
    <w:p w14:paraId="5A9F8C7E" w14:textId="77777777" w:rsidR="004E6556" w:rsidRPr="00B10454" w:rsidRDefault="009C02E6" w:rsidP="00B10454">
      <w:pPr>
        <w:pStyle w:val="BodyText"/>
        <w:rPr>
          <w:b/>
          <w:i/>
          <w:szCs w:val="20"/>
        </w:rPr>
      </w:pPr>
      <w:r>
        <w:rPr>
          <w:b/>
          <w:i/>
          <w:szCs w:val="20"/>
        </w:rPr>
        <w:t xml:space="preserve">E4G Component </w:t>
      </w:r>
      <w:r w:rsidR="004E6556" w:rsidRPr="00B10454">
        <w:rPr>
          <w:b/>
          <w:i/>
          <w:szCs w:val="20"/>
        </w:rPr>
        <w:t>Structure and Implementation</w:t>
      </w:r>
    </w:p>
    <w:bookmarkEnd w:id="8"/>
    <w:p w14:paraId="35DDAC25" w14:textId="77777777" w:rsidR="000F5341" w:rsidRPr="003C0DBE" w:rsidRDefault="000F5341" w:rsidP="002B1210">
      <w:pPr>
        <w:pStyle w:val="BodyText"/>
      </w:pPr>
      <w:r w:rsidRPr="003C0DBE">
        <w:t xml:space="preserve">The </w:t>
      </w:r>
      <w:r w:rsidRPr="002F30BC">
        <w:rPr>
          <w:bCs/>
          <w:i/>
          <w:iCs/>
        </w:rPr>
        <w:t>Australia</w:t>
      </w:r>
      <w:r w:rsidR="002F30BC" w:rsidRPr="002F30BC">
        <w:rPr>
          <w:bCs/>
          <w:i/>
          <w:iCs/>
        </w:rPr>
        <w:t>–</w:t>
      </w:r>
      <w:r w:rsidRPr="002F30BC">
        <w:rPr>
          <w:bCs/>
          <w:i/>
          <w:iCs/>
        </w:rPr>
        <w:t>Africa Development Program</w:t>
      </w:r>
      <w:r w:rsidRPr="003C0DBE">
        <w:rPr>
          <w:b/>
          <w:bCs/>
          <w:i/>
          <w:iCs/>
        </w:rPr>
        <w:t xml:space="preserve"> </w:t>
      </w:r>
      <w:r w:rsidRPr="003C0DBE">
        <w:t xml:space="preserve">(AADP) </w:t>
      </w:r>
      <w:r w:rsidR="004328D9">
        <w:t xml:space="preserve">proposed </w:t>
      </w:r>
      <w:r w:rsidRPr="00B10454">
        <w:rPr>
          <w:b/>
          <w:i/>
          <w:sz w:val="18"/>
          <w:szCs w:val="18"/>
        </w:rPr>
        <w:t>goal</w:t>
      </w:r>
      <w:r w:rsidR="00BD43A9">
        <w:rPr>
          <w:b/>
          <w:bCs/>
        </w:rPr>
        <w:t xml:space="preserve">, </w:t>
      </w:r>
      <w:r w:rsidR="00BD43A9" w:rsidRPr="00A12A07">
        <w:t xml:space="preserve">which </w:t>
      </w:r>
      <w:r w:rsidR="00BD43A9">
        <w:t xml:space="preserve">mirrors </w:t>
      </w:r>
      <w:r w:rsidR="00BD43A9" w:rsidRPr="00A12A07">
        <w:t xml:space="preserve">DFAT’s </w:t>
      </w:r>
      <w:r w:rsidR="00BD43A9">
        <w:t xml:space="preserve">SSAAP </w:t>
      </w:r>
      <w:r w:rsidR="00BD43A9" w:rsidRPr="00A12A07">
        <w:t>overall goal,</w:t>
      </w:r>
      <w:r w:rsidR="004328D9">
        <w:rPr>
          <w:bCs/>
        </w:rPr>
        <w:t xml:space="preserve"> is</w:t>
      </w:r>
      <w:r w:rsidRPr="003C0DBE">
        <w:t>:</w:t>
      </w:r>
    </w:p>
    <w:p w14:paraId="1421D046" w14:textId="77777777" w:rsidR="000F5341" w:rsidRPr="000F5341" w:rsidRDefault="00E52682" w:rsidP="002B1210">
      <w:pPr>
        <w:pStyle w:val="BodyText"/>
        <w:ind w:left="720"/>
        <w:rPr>
          <w:i/>
        </w:rPr>
      </w:pPr>
      <w:r>
        <w:rPr>
          <w:i/>
        </w:rPr>
        <w:t>‘T</w:t>
      </w:r>
      <w:r w:rsidR="004328D9" w:rsidRPr="003C0DBE">
        <w:rPr>
          <w:i/>
        </w:rPr>
        <w:t>o assist African people to achieve more equitable access to the benefits of economic growth</w:t>
      </w:r>
      <w:r>
        <w:rPr>
          <w:i/>
        </w:rPr>
        <w:t>’</w:t>
      </w:r>
    </w:p>
    <w:p w14:paraId="703FD62F" w14:textId="77777777" w:rsidR="003113EC" w:rsidRDefault="00BD43A9" w:rsidP="00C97EF2">
      <w:pPr>
        <w:pStyle w:val="BodyText"/>
        <w:keepNext/>
      </w:pPr>
      <w:r>
        <w:t>To help address this goal, t</w:t>
      </w:r>
      <w:r w:rsidR="000F5341" w:rsidRPr="003C0DBE">
        <w:t xml:space="preserve">he proposed </w:t>
      </w:r>
      <w:r w:rsidR="001536D6">
        <w:t xml:space="preserve">E4G Component </w:t>
      </w:r>
      <w:r w:rsidR="000F5341" w:rsidRPr="00B10454">
        <w:rPr>
          <w:b/>
          <w:i/>
          <w:sz w:val="18"/>
          <w:szCs w:val="18"/>
        </w:rPr>
        <w:t>objective</w:t>
      </w:r>
      <w:r w:rsidR="000F5341" w:rsidRPr="003C0DBE">
        <w:t> </w:t>
      </w:r>
      <w:proofErr w:type="gramStart"/>
      <w:r w:rsidR="000F5341" w:rsidRPr="003C0DBE">
        <w:t>is</w:t>
      </w:r>
      <w:r w:rsidR="00405863">
        <w:t xml:space="preserve"> </w:t>
      </w:r>
      <w:r w:rsidR="000F5341" w:rsidRPr="003C0DBE">
        <w:t>:</w:t>
      </w:r>
      <w:proofErr w:type="gramEnd"/>
      <w:r w:rsidR="005B3032">
        <w:t xml:space="preserve"> </w:t>
      </w:r>
    </w:p>
    <w:p w14:paraId="5C08B139" w14:textId="77777777" w:rsidR="004328D9" w:rsidRDefault="00E52682" w:rsidP="002B1210">
      <w:pPr>
        <w:pStyle w:val="BodyText"/>
        <w:ind w:left="720"/>
        <w:rPr>
          <w:i/>
        </w:rPr>
      </w:pPr>
      <w:proofErr w:type="gramStart"/>
      <w:r>
        <w:rPr>
          <w:i/>
        </w:rPr>
        <w:t>‘</w:t>
      </w:r>
      <w:r w:rsidR="009C02E6">
        <w:rPr>
          <w:i/>
        </w:rPr>
        <w:t>To i</w:t>
      </w:r>
      <w:r w:rsidR="004328D9" w:rsidRPr="003C0DBE">
        <w:rPr>
          <w:i/>
        </w:rPr>
        <w:t>mprove extractive sector management and its contribution to inclusive economic growth through developing skills, increasing government capacity and empowering local communities</w:t>
      </w:r>
      <w:r w:rsidR="003113EC">
        <w:rPr>
          <w:i/>
        </w:rPr>
        <w:t>.</w:t>
      </w:r>
      <w:r>
        <w:rPr>
          <w:i/>
        </w:rPr>
        <w:t>’</w:t>
      </w:r>
      <w:proofErr w:type="gramEnd"/>
    </w:p>
    <w:p w14:paraId="5483C421" w14:textId="2BA5F298" w:rsidR="00473B0F" w:rsidRPr="003C0DBE" w:rsidRDefault="00473B0F" w:rsidP="00473B0F">
      <w:pPr>
        <w:pStyle w:val="BodyText"/>
      </w:pPr>
      <w:r w:rsidRPr="003C0DBE">
        <w:t xml:space="preserve">The </w:t>
      </w:r>
      <w:r>
        <w:t xml:space="preserve">E4G Component </w:t>
      </w:r>
      <w:r w:rsidRPr="003C0DBE">
        <w:t xml:space="preserve">will </w:t>
      </w:r>
      <w:r>
        <w:t>achieve</w:t>
      </w:r>
      <w:r w:rsidRPr="003C0DBE">
        <w:t xml:space="preserve"> the following </w:t>
      </w:r>
      <w:r w:rsidR="00914B28">
        <w:rPr>
          <w:b/>
          <w:i/>
          <w:sz w:val="18"/>
          <w:szCs w:val="18"/>
        </w:rPr>
        <w:t>outcomes</w:t>
      </w:r>
      <w:r w:rsidRPr="003C0DBE">
        <w:t>:</w:t>
      </w:r>
    </w:p>
    <w:p w14:paraId="5E07F975" w14:textId="77777777" w:rsidR="00473B0F" w:rsidRPr="00253BC3" w:rsidRDefault="00473B0F" w:rsidP="00473B0F">
      <w:pPr>
        <w:pStyle w:val="List-number-1"/>
        <w:numPr>
          <w:ilvl w:val="0"/>
          <w:numId w:val="35"/>
        </w:numPr>
        <w:jc w:val="both"/>
      </w:pPr>
      <w:r w:rsidRPr="002F30BC">
        <w:rPr>
          <w:rFonts w:cs="Arial"/>
          <w:szCs w:val="20"/>
        </w:rPr>
        <w:t xml:space="preserve">More African men and women employed in higher skilled roles in, or deriving improved livelihoods from </w:t>
      </w:r>
      <w:r>
        <w:rPr>
          <w:rFonts w:cs="Arial"/>
          <w:szCs w:val="20"/>
        </w:rPr>
        <w:t>the extractive</w:t>
      </w:r>
      <w:r w:rsidRPr="002F30BC">
        <w:rPr>
          <w:rFonts w:cs="Arial"/>
          <w:szCs w:val="20"/>
        </w:rPr>
        <w:t xml:space="preserve"> sector</w:t>
      </w:r>
      <w:r>
        <w:rPr>
          <w:rFonts w:cs="Arial"/>
          <w:szCs w:val="20"/>
        </w:rPr>
        <w:t>;</w:t>
      </w:r>
    </w:p>
    <w:p w14:paraId="72F9E4AD" w14:textId="77777777" w:rsidR="00473B0F" w:rsidRPr="00253BC3" w:rsidRDefault="00473B0F" w:rsidP="00473B0F">
      <w:pPr>
        <w:pStyle w:val="List-number-1"/>
        <w:jc w:val="both"/>
      </w:pPr>
      <w:r>
        <w:rPr>
          <w:rFonts w:cs="Arial"/>
          <w:szCs w:val="20"/>
        </w:rPr>
        <w:t>I</w:t>
      </w:r>
      <w:r w:rsidRPr="008C57DB">
        <w:rPr>
          <w:rFonts w:cs="Arial"/>
          <w:szCs w:val="20"/>
        </w:rPr>
        <w:t xml:space="preserve">mproved enabling environments which encourage, attract and support quality </w:t>
      </w:r>
      <w:r>
        <w:rPr>
          <w:rFonts w:cs="Arial"/>
          <w:szCs w:val="20"/>
        </w:rPr>
        <w:t xml:space="preserve">extractive-related </w:t>
      </w:r>
      <w:r w:rsidRPr="008C57DB">
        <w:rPr>
          <w:rFonts w:cs="Arial"/>
          <w:szCs w:val="20"/>
        </w:rPr>
        <w:t>investments by the public, pr</w:t>
      </w:r>
      <w:r>
        <w:rPr>
          <w:rFonts w:cs="Arial"/>
          <w:szCs w:val="20"/>
        </w:rPr>
        <w:t>ivate and civil society sectors</w:t>
      </w:r>
      <w:r w:rsidR="00690CDA">
        <w:rPr>
          <w:rFonts w:cs="Arial"/>
          <w:szCs w:val="20"/>
        </w:rPr>
        <w:t xml:space="preserve"> in a more accountable, transparent and equitable manner </w:t>
      </w:r>
      <w:r>
        <w:rPr>
          <w:rFonts w:cs="Arial"/>
          <w:szCs w:val="20"/>
        </w:rPr>
        <w:t>;</w:t>
      </w:r>
    </w:p>
    <w:p w14:paraId="77C6C59E" w14:textId="77777777" w:rsidR="00473B0F" w:rsidRDefault="00473B0F" w:rsidP="00473B0F">
      <w:pPr>
        <w:pStyle w:val="List-number-1"/>
        <w:jc w:val="both"/>
      </w:pPr>
      <w:r>
        <w:t>M</w:t>
      </w:r>
      <w:r w:rsidRPr="003C0DBE">
        <w:t xml:space="preserve">ore inclusive economic development </w:t>
      </w:r>
      <w:r>
        <w:t>flowing from the extractive sector;  and</w:t>
      </w:r>
    </w:p>
    <w:p w14:paraId="1F983982" w14:textId="77777777" w:rsidR="00473B0F" w:rsidRDefault="00473B0F" w:rsidP="00473B0F">
      <w:pPr>
        <w:pStyle w:val="List-number-1"/>
        <w:jc w:val="both"/>
      </w:pPr>
      <w:r>
        <w:t>E</w:t>
      </w:r>
      <w:r w:rsidRPr="003C0DBE">
        <w:t>nhanced relationships between Australia and Africa.</w:t>
      </w:r>
    </w:p>
    <w:p w14:paraId="2DE2F47D" w14:textId="1858848B" w:rsidR="00F63E45" w:rsidRDefault="00F63E45" w:rsidP="00B10454">
      <w:pPr>
        <w:pStyle w:val="List-number-1"/>
        <w:numPr>
          <w:ilvl w:val="0"/>
          <w:numId w:val="0"/>
        </w:numPr>
        <w:jc w:val="both"/>
      </w:pPr>
      <w:r>
        <w:t xml:space="preserve">A Results Diagram </w:t>
      </w:r>
      <w:r w:rsidRPr="005D6E98">
        <w:t>for the overall AADP</w:t>
      </w:r>
      <w:r>
        <w:t xml:space="preserve">, which shows the E4G Component’s contribution to </w:t>
      </w:r>
      <w:r w:rsidR="00A235B3">
        <w:t>AADP outcomes</w:t>
      </w:r>
      <w:r>
        <w:t>,</w:t>
      </w:r>
      <w:r w:rsidRPr="005D6E98">
        <w:t xml:space="preserve"> is set out in Section 2 of the overarching AADP IDD’s </w:t>
      </w:r>
      <w:r>
        <w:rPr>
          <w:b/>
        </w:rPr>
        <w:t>Annex </w:t>
      </w:r>
      <w:r w:rsidRPr="005D6E98">
        <w:rPr>
          <w:b/>
        </w:rPr>
        <w:t>D</w:t>
      </w:r>
      <w:r w:rsidRPr="005D6E98">
        <w:t xml:space="preserve">: </w:t>
      </w:r>
      <w:r w:rsidRPr="005D6E98">
        <w:rPr>
          <w:i/>
        </w:rPr>
        <w:t>Monitoring and Evaluation System</w:t>
      </w:r>
      <w:r w:rsidRPr="005D6E98">
        <w:t>.</w:t>
      </w:r>
    </w:p>
    <w:p w14:paraId="76CA2517" w14:textId="5BA59C59" w:rsidR="009C02E6" w:rsidRDefault="000F5341" w:rsidP="009C02E6">
      <w:pPr>
        <w:spacing w:after="120"/>
        <w:jc w:val="both"/>
        <w:rPr>
          <w:rFonts w:cs="Arial"/>
          <w:szCs w:val="20"/>
        </w:rPr>
      </w:pPr>
      <w:r w:rsidRPr="00B10454">
        <w:rPr>
          <w:i/>
          <w:lang w:eastAsia="en-AU"/>
        </w:rPr>
        <w:t xml:space="preserve">Annual </w:t>
      </w:r>
      <w:r w:rsidR="00331A97" w:rsidRPr="00B10454">
        <w:rPr>
          <w:i/>
          <w:lang w:eastAsia="en-AU"/>
        </w:rPr>
        <w:t xml:space="preserve">activity </w:t>
      </w:r>
      <w:r w:rsidRPr="00B10454">
        <w:rPr>
          <w:i/>
          <w:lang w:eastAsia="en-AU"/>
        </w:rPr>
        <w:t>planning</w:t>
      </w:r>
      <w:r w:rsidR="00331A97">
        <w:t xml:space="preserve"> </w:t>
      </w:r>
      <w:r w:rsidR="009C02E6">
        <w:t xml:space="preserve">of activities </w:t>
      </w:r>
      <w:r w:rsidR="00331A97">
        <w:t>for the E4G Component</w:t>
      </w:r>
      <w:r w:rsidRPr="003C0DBE">
        <w:t xml:space="preserve"> will include </w:t>
      </w:r>
      <w:r w:rsidR="00476274">
        <w:t xml:space="preserve">consultations with </w:t>
      </w:r>
      <w:r w:rsidRPr="003C0DBE">
        <w:t>relevant internal stakeholders (</w:t>
      </w:r>
      <w:proofErr w:type="spellStart"/>
      <w:r w:rsidRPr="003C0DBE">
        <w:t>HoMs</w:t>
      </w:r>
      <w:proofErr w:type="spellEnd"/>
      <w:r w:rsidRPr="003C0DBE">
        <w:t>)</w:t>
      </w:r>
      <w:r w:rsidR="00E70212">
        <w:t xml:space="preserve"> and </w:t>
      </w:r>
      <w:r w:rsidRPr="003C0DBE">
        <w:t>external stakeholders (partner governments and agencies, private sector, and service providers</w:t>
      </w:r>
      <w:r w:rsidR="003F01CA">
        <w:t xml:space="preserve"> / delivery partners</w:t>
      </w:r>
      <w:r w:rsidRPr="003C0DBE">
        <w:t xml:space="preserve">, such as </w:t>
      </w:r>
      <w:r w:rsidR="007E78F8" w:rsidRPr="007E78F8">
        <w:t xml:space="preserve">International Mining for Development Centre </w:t>
      </w:r>
      <w:r w:rsidR="007E78F8">
        <w:t>(</w:t>
      </w:r>
      <w:r w:rsidRPr="003C0DBE">
        <w:t>IM4DC</w:t>
      </w:r>
      <w:r w:rsidR="007E78F8">
        <w:t>)</w:t>
      </w:r>
      <w:r w:rsidRPr="003C0DBE">
        <w:t xml:space="preserve"> or its successor</w:t>
      </w:r>
      <w:r w:rsidR="00E70212">
        <w:t>, and communities</w:t>
      </w:r>
      <w:r w:rsidRPr="003C0DBE">
        <w:t>).</w:t>
      </w:r>
      <w:r>
        <w:t xml:space="preserve"> </w:t>
      </w:r>
      <w:r w:rsidR="009C02E6">
        <w:t xml:space="preserve"> </w:t>
      </w:r>
    </w:p>
    <w:p w14:paraId="43FDE0B6" w14:textId="77777777" w:rsidR="009C02E6" w:rsidRPr="004472DB" w:rsidRDefault="009C02E6" w:rsidP="009C02E6">
      <w:pPr>
        <w:spacing w:after="120"/>
        <w:jc w:val="both"/>
        <w:rPr>
          <w:rFonts w:cs="Arial"/>
          <w:szCs w:val="20"/>
        </w:rPr>
      </w:pPr>
      <w:r>
        <w:rPr>
          <w:rFonts w:cs="Arial"/>
          <w:szCs w:val="20"/>
        </w:rPr>
        <w:t xml:space="preserve">In addition to the activities in the three </w:t>
      </w:r>
      <w:r w:rsidR="00EC38FF">
        <w:rPr>
          <w:rFonts w:cs="Arial"/>
          <w:szCs w:val="20"/>
        </w:rPr>
        <w:t>Focus Countries</w:t>
      </w:r>
      <w:r>
        <w:rPr>
          <w:rFonts w:cs="Arial"/>
          <w:szCs w:val="20"/>
        </w:rPr>
        <w:t xml:space="preserve"> and the </w:t>
      </w:r>
      <w:r w:rsidR="00EC38FF">
        <w:rPr>
          <w:rFonts w:cs="Arial"/>
          <w:szCs w:val="20"/>
        </w:rPr>
        <w:t>Target Countries</w:t>
      </w:r>
      <w:r>
        <w:rPr>
          <w:rFonts w:cs="Arial"/>
          <w:szCs w:val="20"/>
        </w:rPr>
        <w:t>, t</w:t>
      </w:r>
      <w:r w:rsidRPr="00BB0DEC">
        <w:rPr>
          <w:rFonts w:cs="Arial"/>
          <w:szCs w:val="20"/>
        </w:rPr>
        <w:t>he E4</w:t>
      </w:r>
      <w:r>
        <w:rPr>
          <w:rFonts w:cs="Arial"/>
          <w:szCs w:val="20"/>
        </w:rPr>
        <w:t>G</w:t>
      </w:r>
      <w:r w:rsidRPr="00BB0DEC">
        <w:rPr>
          <w:rFonts w:cs="Arial"/>
          <w:szCs w:val="20"/>
        </w:rPr>
        <w:t xml:space="preserve"> </w:t>
      </w:r>
      <w:r>
        <w:rPr>
          <w:rFonts w:cs="Arial"/>
          <w:szCs w:val="20"/>
        </w:rPr>
        <w:t>C</w:t>
      </w:r>
      <w:r w:rsidRPr="00BB0DEC">
        <w:rPr>
          <w:rFonts w:cs="Arial"/>
          <w:szCs w:val="20"/>
        </w:rPr>
        <w:t>omponent will also continue to support regional initiatives, such as the</w:t>
      </w:r>
      <w:r w:rsidRPr="00BD43A9">
        <w:rPr>
          <w:rFonts w:cs="Arial"/>
          <w:szCs w:val="20"/>
        </w:rPr>
        <w:t xml:space="preserve"> Infrastructure Skills for Development Program and AMDC, as well as supporting legacy activities and on-going work with NGOs and </w:t>
      </w:r>
      <w:r w:rsidRPr="007E78F8">
        <w:rPr>
          <w:rFonts w:cs="Arial"/>
          <w:szCs w:val="20"/>
        </w:rPr>
        <w:t xml:space="preserve">Civil Society Organisations </w:t>
      </w:r>
      <w:r>
        <w:rPr>
          <w:rFonts w:cs="Arial"/>
          <w:szCs w:val="20"/>
        </w:rPr>
        <w:t>(</w:t>
      </w:r>
      <w:r w:rsidRPr="00BD43A9">
        <w:rPr>
          <w:rFonts w:cs="Arial"/>
          <w:szCs w:val="20"/>
        </w:rPr>
        <w:t>CSOs</w:t>
      </w:r>
      <w:r>
        <w:rPr>
          <w:rFonts w:cs="Arial"/>
          <w:szCs w:val="20"/>
        </w:rPr>
        <w:t>)</w:t>
      </w:r>
      <w:r w:rsidRPr="00BD43A9">
        <w:rPr>
          <w:rFonts w:cs="Arial"/>
          <w:szCs w:val="20"/>
        </w:rPr>
        <w:t>.</w:t>
      </w:r>
      <w:r>
        <w:rPr>
          <w:rStyle w:val="FootnoteReference"/>
          <w:rFonts w:cs="Arial"/>
          <w:szCs w:val="20"/>
        </w:rPr>
        <w:footnoteReference w:id="2"/>
      </w:r>
    </w:p>
    <w:p w14:paraId="7DA27B9B" w14:textId="77777777" w:rsidR="00CE760F" w:rsidRDefault="00CE760F" w:rsidP="00CE760F">
      <w:pPr>
        <w:pStyle w:val="BodyText"/>
      </w:pPr>
      <w:r w:rsidRPr="003D2A46">
        <w:rPr>
          <w:b/>
          <w:i/>
          <w:sz w:val="18"/>
          <w:szCs w:val="18"/>
        </w:rPr>
        <w:t>DFAT’s Africa Branch (AFB) will manage the E4G Component from Canberra</w:t>
      </w:r>
      <w:r>
        <w:rPr>
          <w:b/>
        </w:rPr>
        <w:t xml:space="preserve">.  </w:t>
      </w:r>
      <w:r>
        <w:t xml:space="preserve">It is envisaged that there will be a single DFAT contract manager (focused on contractual and financial management of the overall AADP) with a dedicated </w:t>
      </w:r>
      <w:r w:rsidRPr="003C0DBE">
        <w:t>E4G team</w:t>
      </w:r>
      <w:r>
        <w:t xml:space="preserve"> focussed on policy and program management of the E4G Component</w:t>
      </w:r>
      <w:r w:rsidRPr="003C0DBE">
        <w:t>.</w:t>
      </w:r>
      <w:r>
        <w:t xml:space="preserve"> </w:t>
      </w:r>
    </w:p>
    <w:p w14:paraId="5D6CF32D" w14:textId="2EF96941" w:rsidR="00CE760F" w:rsidRPr="003C0DBE" w:rsidRDefault="00A60F7E" w:rsidP="00CE760F">
      <w:pPr>
        <w:pStyle w:val="BodyText"/>
      </w:pPr>
      <w:r>
        <w:t>Harnessing management and financial efficiencies, a</w:t>
      </w:r>
      <w:r w:rsidR="00CE760F" w:rsidRPr="003C0DBE">
        <w:t xml:space="preserve"> single </w:t>
      </w:r>
      <w:r w:rsidR="00CE760F" w:rsidRPr="00A60F7E">
        <w:t>service provider</w:t>
      </w:r>
      <w:r w:rsidR="00CE760F" w:rsidRPr="003C0DBE">
        <w:t xml:space="preserve"> </w:t>
      </w:r>
      <w:r w:rsidR="00CE760F">
        <w:t xml:space="preserve">(either one company or a consortium) </w:t>
      </w:r>
      <w:r>
        <w:t>is proposed to</w:t>
      </w:r>
      <w:r w:rsidR="00CE760F" w:rsidRPr="003C0DBE">
        <w:t xml:space="preserve"> </w:t>
      </w:r>
      <w:r w:rsidR="00CE760F">
        <w:t xml:space="preserve">implement the E4G Component activities </w:t>
      </w:r>
      <w:r>
        <w:t>as part of the AADP</w:t>
      </w:r>
      <w:proofErr w:type="gramStart"/>
      <w:r>
        <w:t>;  this</w:t>
      </w:r>
      <w:proofErr w:type="gramEnd"/>
      <w:r>
        <w:t xml:space="preserve"> single MC will also implement the AADP’s </w:t>
      </w:r>
      <w:r w:rsidR="00CE760F">
        <w:t>Australia Awards Component activities). T</w:t>
      </w:r>
      <w:r w:rsidR="00EB7878">
        <w:t xml:space="preserve">o improve Program impact, </w:t>
      </w:r>
      <w:r>
        <w:t>he selected</w:t>
      </w:r>
      <w:r w:rsidR="00CE760F">
        <w:t xml:space="preserve"> MC will be required </w:t>
      </w:r>
      <w:r w:rsidR="00CE760F" w:rsidRPr="003C0DBE">
        <w:t xml:space="preserve">in particular to proactively identify synergistic opportunities to leverage </w:t>
      </w:r>
      <w:r w:rsidR="00CE760F">
        <w:t xml:space="preserve">the </w:t>
      </w:r>
      <w:r w:rsidR="00CE760F" w:rsidRPr="003C0DBE">
        <w:t xml:space="preserve">activities and </w:t>
      </w:r>
      <w:r w:rsidR="00EB7878">
        <w:t>outcomes</w:t>
      </w:r>
      <w:r w:rsidR="00EB7878" w:rsidRPr="003C0DBE">
        <w:t xml:space="preserve"> </w:t>
      </w:r>
      <w:r w:rsidR="00CE760F">
        <w:t xml:space="preserve">of each component (E4G and Australia Awards) </w:t>
      </w:r>
      <w:r w:rsidR="00EB7878">
        <w:t xml:space="preserve">against each other </w:t>
      </w:r>
      <w:r w:rsidR="00CE760F" w:rsidRPr="003C0DBE">
        <w:t xml:space="preserve">through a </w:t>
      </w:r>
      <w:r w:rsidR="00CE760F" w:rsidRPr="00B10454">
        <w:rPr>
          <w:b/>
          <w:i/>
          <w:sz w:val="18"/>
          <w:szCs w:val="18"/>
        </w:rPr>
        <w:t>Program Implementation Unit</w:t>
      </w:r>
      <w:r w:rsidR="00CE760F" w:rsidRPr="003C0DBE">
        <w:t>.</w:t>
      </w:r>
      <w:r w:rsidR="00CE760F">
        <w:t xml:space="preserve"> </w:t>
      </w:r>
      <w:r w:rsidR="00CE760F" w:rsidRPr="003C0DBE">
        <w:t xml:space="preserve">The </w:t>
      </w:r>
      <w:r w:rsidR="00CE760F" w:rsidRPr="007E78F8">
        <w:t xml:space="preserve">Program Implementation Unit </w:t>
      </w:r>
      <w:r w:rsidR="00CE760F">
        <w:t xml:space="preserve">will </w:t>
      </w:r>
      <w:r w:rsidR="00CE760F" w:rsidRPr="003C0DBE">
        <w:t xml:space="preserve">proactively support DFAT’s management of the Program </w:t>
      </w:r>
      <w:r w:rsidR="00CE760F">
        <w:t xml:space="preserve">and components </w:t>
      </w:r>
      <w:r w:rsidR="00CE760F" w:rsidRPr="003C0DBE">
        <w:t xml:space="preserve">by providing high quality program administration (financial and progress reporting, </w:t>
      </w:r>
      <w:r w:rsidR="00CE760F">
        <w:t>H</w:t>
      </w:r>
      <w:r w:rsidR="00CE760F" w:rsidRPr="003C0DBE">
        <w:t xml:space="preserve">uman </w:t>
      </w:r>
      <w:r w:rsidR="00CE760F">
        <w:t>R</w:t>
      </w:r>
      <w:r w:rsidR="00CE760F" w:rsidRPr="003C0DBE">
        <w:t xml:space="preserve">esources </w:t>
      </w:r>
      <w:r w:rsidR="00CE760F">
        <w:t>M</w:t>
      </w:r>
      <w:r w:rsidR="00CE760F" w:rsidRPr="003C0DBE">
        <w:t xml:space="preserve">anagement, M&amp;E, logistics, etc.), extractive technical expertise, </w:t>
      </w:r>
      <w:r w:rsidR="00E70212">
        <w:t xml:space="preserve">expertise in building community and extractive sector relationships, </w:t>
      </w:r>
      <w:r w:rsidR="00CE760F" w:rsidRPr="003C0DBE">
        <w:t xml:space="preserve">and strategic analysis and advice on opportunities for innovation, private sector investment, program synergy as follows: </w:t>
      </w:r>
    </w:p>
    <w:p w14:paraId="37B9E794" w14:textId="77777777" w:rsidR="00CE760F" w:rsidRPr="002F30BC" w:rsidRDefault="00CE760F" w:rsidP="00B10454">
      <w:pPr>
        <w:pStyle w:val="List-bullet-1"/>
        <w:tabs>
          <w:tab w:val="clear" w:pos="720"/>
        </w:tabs>
        <w:spacing w:after="80"/>
        <w:ind w:left="360"/>
      </w:pPr>
      <w:r w:rsidRPr="002F30BC">
        <w:t>Strategic and specialist analysis and advice to DFAT;</w:t>
      </w:r>
    </w:p>
    <w:p w14:paraId="71F5F79F" w14:textId="77777777" w:rsidR="00CE760F" w:rsidRPr="003C0DBE" w:rsidRDefault="00CE760F" w:rsidP="00B10454">
      <w:pPr>
        <w:pStyle w:val="List-bullet-1"/>
        <w:tabs>
          <w:tab w:val="clear" w:pos="720"/>
        </w:tabs>
        <w:spacing w:after="80"/>
        <w:ind w:left="360"/>
      </w:pPr>
      <w:r w:rsidRPr="002F30BC">
        <w:t>Operational and corporate</w:t>
      </w:r>
      <w:r w:rsidRPr="003C0DBE">
        <w:t xml:space="preserve"> services to both Components, including:</w:t>
      </w:r>
    </w:p>
    <w:p w14:paraId="04298D52" w14:textId="77777777" w:rsidR="00CE760F" w:rsidRPr="005B3032" w:rsidRDefault="00CE760F" w:rsidP="00473B0F">
      <w:pPr>
        <w:pStyle w:val="List-bullet-2"/>
        <w:tabs>
          <w:tab w:val="clear" w:pos="1055"/>
          <w:tab w:val="num" w:pos="810"/>
        </w:tabs>
        <w:spacing w:after="40"/>
        <w:ind w:left="810" w:hanging="450"/>
      </w:pPr>
      <w:r w:rsidRPr="005B3032">
        <w:t xml:space="preserve">recruitment and contractual management of TA personnel; </w:t>
      </w:r>
    </w:p>
    <w:p w14:paraId="491F2E52" w14:textId="77777777" w:rsidR="00CE760F" w:rsidRPr="002F30BC" w:rsidRDefault="00CE760F" w:rsidP="00473B0F">
      <w:pPr>
        <w:pStyle w:val="List-bullet-2"/>
        <w:tabs>
          <w:tab w:val="clear" w:pos="1055"/>
          <w:tab w:val="num" w:pos="810"/>
        </w:tabs>
        <w:ind w:left="810" w:hanging="450"/>
      </w:pPr>
      <w:r w:rsidRPr="002F30BC">
        <w:t xml:space="preserve">financial management and reporting for program activities in accordance with DFAT contractual requirements, including, where relevant, requirements as detailed in Tasking Notes; </w:t>
      </w:r>
    </w:p>
    <w:p w14:paraId="4C40EE15" w14:textId="77777777" w:rsidR="00CE760F" w:rsidRPr="005B3032" w:rsidRDefault="00CE760F" w:rsidP="00473B0F">
      <w:pPr>
        <w:pStyle w:val="List-bullet-2"/>
        <w:tabs>
          <w:tab w:val="clear" w:pos="1055"/>
          <w:tab w:val="num" w:pos="810"/>
        </w:tabs>
        <w:ind w:left="810" w:hanging="450"/>
      </w:pPr>
      <w:proofErr w:type="gramStart"/>
      <w:r w:rsidRPr="002F30BC">
        <w:t>management</w:t>
      </w:r>
      <w:proofErr w:type="gramEnd"/>
      <w:r w:rsidRPr="002F30BC">
        <w:t xml:space="preserve"> tools</w:t>
      </w:r>
      <w:r w:rsidRPr="005B3032">
        <w:t>, policies and procedures and staffing resources and expertise to support delivery of the above.</w:t>
      </w:r>
    </w:p>
    <w:p w14:paraId="71FA83DA" w14:textId="74BB1ECC" w:rsidR="000F5341" w:rsidRPr="003C0DBE" w:rsidRDefault="000F5341" w:rsidP="002B1210">
      <w:pPr>
        <w:pStyle w:val="BodyText"/>
      </w:pPr>
      <w:r w:rsidRPr="00B10454">
        <w:rPr>
          <w:b/>
          <w:i/>
          <w:sz w:val="18"/>
          <w:szCs w:val="18"/>
        </w:rPr>
        <w:t xml:space="preserve">Monthly financial </w:t>
      </w:r>
      <w:r w:rsidR="003F01CA" w:rsidRPr="00B10454">
        <w:rPr>
          <w:b/>
          <w:i/>
          <w:sz w:val="18"/>
          <w:szCs w:val="18"/>
        </w:rPr>
        <w:t>reporting</w:t>
      </w:r>
      <w:r w:rsidR="003F01CA">
        <w:rPr>
          <w:b/>
        </w:rPr>
        <w:t xml:space="preserve"> </w:t>
      </w:r>
      <w:r w:rsidR="00064385" w:rsidRPr="000347F6">
        <w:t>will be complemented by</w:t>
      </w:r>
      <w:r w:rsidR="00064385">
        <w:rPr>
          <w:b/>
        </w:rPr>
        <w:t xml:space="preserve"> </w:t>
      </w:r>
      <w:r w:rsidRPr="003C0DBE">
        <w:t xml:space="preserve">comprehensive </w:t>
      </w:r>
      <w:r w:rsidRPr="00B10454">
        <w:rPr>
          <w:b/>
          <w:i/>
          <w:sz w:val="18"/>
          <w:szCs w:val="18"/>
        </w:rPr>
        <w:t>six monthly and annual reports</w:t>
      </w:r>
      <w:r w:rsidR="00064385">
        <w:rPr>
          <w:b/>
        </w:rPr>
        <w:t xml:space="preserve"> </w:t>
      </w:r>
      <w:r w:rsidR="00064385">
        <w:t>on progress against the annual plan</w:t>
      </w:r>
      <w:r w:rsidRPr="003C0DBE">
        <w:t>.</w:t>
      </w:r>
      <w:r w:rsidR="005B3032">
        <w:t xml:space="preserve"> </w:t>
      </w:r>
      <w:r w:rsidR="00912772">
        <w:t xml:space="preserve"> </w:t>
      </w:r>
      <w:r w:rsidR="006C0CF1">
        <w:t xml:space="preserve">Annual reports will clearly describe the E4G Component’s </w:t>
      </w:r>
      <w:r w:rsidR="00362D25">
        <w:t xml:space="preserve">achievements </w:t>
      </w:r>
      <w:r w:rsidR="006C0CF1">
        <w:t>and contribution to AADP goal and objectives.</w:t>
      </w:r>
      <w:r>
        <w:t xml:space="preserve"> </w:t>
      </w:r>
      <w:r w:rsidRPr="003C0DBE">
        <w:t xml:space="preserve">Year 1 baseline and Year 4 evaluation exercises, together with an independent mid-term review, will permit appraisal of the </w:t>
      </w:r>
      <w:r w:rsidR="000347F6">
        <w:t xml:space="preserve">E4G </w:t>
      </w:r>
      <w:r w:rsidR="00B47614">
        <w:t>C</w:t>
      </w:r>
      <w:r w:rsidR="000347F6">
        <w:t>omponent</w:t>
      </w:r>
      <w:r w:rsidRPr="003C0DBE">
        <w:t>’s trajectory</w:t>
      </w:r>
      <w:r w:rsidR="00912772">
        <w:t xml:space="preserve"> and </w:t>
      </w:r>
      <w:r w:rsidR="00A235B3">
        <w:t>outcomes</w:t>
      </w:r>
      <w:r w:rsidRPr="003C0DBE">
        <w:t>.</w:t>
      </w:r>
      <w:r>
        <w:t xml:space="preserve"> </w:t>
      </w:r>
      <w:r w:rsidR="00A235B3">
        <w:t xml:space="preserve"> </w:t>
      </w:r>
      <w:r w:rsidRPr="003C0DBE">
        <w:t>A Monitoring</w:t>
      </w:r>
      <w:r>
        <w:t xml:space="preserve"> and </w:t>
      </w:r>
      <w:r w:rsidRPr="003C0DBE">
        <w:t xml:space="preserve">Evaluation </w:t>
      </w:r>
      <w:r w:rsidR="000347F6">
        <w:t xml:space="preserve">Framework </w:t>
      </w:r>
      <w:r w:rsidRPr="003C0DBE">
        <w:t>(ME</w:t>
      </w:r>
      <w:r w:rsidR="000347F6">
        <w:t>F</w:t>
      </w:r>
      <w:r w:rsidRPr="003C0DBE">
        <w:t>) has been developed</w:t>
      </w:r>
      <w:r w:rsidR="000347F6">
        <w:t xml:space="preserve"> </w:t>
      </w:r>
      <w:r w:rsidR="006C0CF1">
        <w:t xml:space="preserve">for the E4G Component </w:t>
      </w:r>
      <w:r w:rsidR="000347F6">
        <w:t xml:space="preserve">that will </w:t>
      </w:r>
      <w:r w:rsidR="00A235B3">
        <w:t xml:space="preserve">guide data generation of the E4G Component’s outcomes.  These data along with the Australia Awards component data will support progress measurement of the AADP against the </w:t>
      </w:r>
      <w:r w:rsidRPr="003C0DBE">
        <w:t>Program-level MEF.</w:t>
      </w:r>
      <w:r w:rsidR="005B3032">
        <w:t xml:space="preserve"> </w:t>
      </w:r>
      <w:r w:rsidR="00483882">
        <w:t xml:space="preserve"> </w:t>
      </w:r>
      <w:r w:rsidR="000347F6">
        <w:t xml:space="preserve">The E4G </w:t>
      </w:r>
      <w:r w:rsidR="00B47614">
        <w:t>C</w:t>
      </w:r>
      <w:r w:rsidRPr="000347F6">
        <w:t>omponent MEF describes key outcomes</w:t>
      </w:r>
      <w:r w:rsidR="00320262">
        <w:t xml:space="preserve"> expected from E4G Component activities</w:t>
      </w:r>
      <w:r w:rsidRPr="000347F6">
        <w:t xml:space="preserve">, outputs and </w:t>
      </w:r>
      <w:r w:rsidR="00320262">
        <w:t xml:space="preserve">the </w:t>
      </w:r>
      <w:r w:rsidRPr="000347F6">
        <w:t>activities</w:t>
      </w:r>
      <w:r w:rsidR="00320262">
        <w:t>.  The MEF also includes</w:t>
      </w:r>
      <w:r w:rsidRPr="000347F6">
        <w:t xml:space="preserve"> two-year and four-year targets, key performance indicators, and the monitoring tools needed to conduct these measurements against baselines</w:t>
      </w:r>
      <w:r w:rsidRPr="003C0DBE">
        <w:t>.</w:t>
      </w:r>
      <w:r>
        <w:t xml:space="preserve"> </w:t>
      </w:r>
    </w:p>
    <w:p w14:paraId="32A13570" w14:textId="4999789C" w:rsidR="000F5341" w:rsidRPr="003C0DBE" w:rsidRDefault="000F5341" w:rsidP="002B1210">
      <w:pPr>
        <w:pStyle w:val="BodyText"/>
      </w:pPr>
      <w:r w:rsidRPr="003C0DBE">
        <w:t xml:space="preserve">The proposed </w:t>
      </w:r>
      <w:r w:rsidR="00CE760F">
        <w:rPr>
          <w:b/>
          <w:i/>
          <w:sz w:val="18"/>
          <w:szCs w:val="18"/>
        </w:rPr>
        <w:t>four year t</w:t>
      </w:r>
      <w:r w:rsidRPr="00B10454">
        <w:rPr>
          <w:b/>
          <w:i/>
          <w:sz w:val="18"/>
          <w:szCs w:val="18"/>
        </w:rPr>
        <w:t xml:space="preserve">erm of the </w:t>
      </w:r>
      <w:r w:rsidR="000347F6" w:rsidRPr="00B10454">
        <w:rPr>
          <w:b/>
          <w:i/>
          <w:sz w:val="18"/>
          <w:szCs w:val="18"/>
        </w:rPr>
        <w:t>E4</w:t>
      </w:r>
      <w:r w:rsidR="006C0CF1" w:rsidRPr="00B10454">
        <w:rPr>
          <w:b/>
          <w:i/>
          <w:sz w:val="18"/>
          <w:szCs w:val="18"/>
        </w:rPr>
        <w:t>G</w:t>
      </w:r>
      <w:r w:rsidR="000347F6" w:rsidRPr="00B10454">
        <w:rPr>
          <w:b/>
          <w:i/>
          <w:sz w:val="18"/>
          <w:szCs w:val="18"/>
        </w:rPr>
        <w:t xml:space="preserve"> </w:t>
      </w:r>
      <w:r w:rsidR="006C0CF1" w:rsidRPr="00B10454">
        <w:rPr>
          <w:b/>
          <w:i/>
          <w:sz w:val="18"/>
          <w:szCs w:val="18"/>
        </w:rPr>
        <w:t>C</w:t>
      </w:r>
      <w:r w:rsidR="000347F6" w:rsidRPr="00B10454">
        <w:rPr>
          <w:b/>
          <w:i/>
          <w:sz w:val="18"/>
          <w:szCs w:val="18"/>
        </w:rPr>
        <w:t xml:space="preserve">omponent </w:t>
      </w:r>
      <w:r w:rsidR="00CE760F">
        <w:rPr>
          <w:b/>
          <w:i/>
          <w:sz w:val="18"/>
          <w:szCs w:val="18"/>
        </w:rPr>
        <w:t xml:space="preserve">aligns with </w:t>
      </w:r>
      <w:r w:rsidR="000347F6" w:rsidRPr="00B10454">
        <w:rPr>
          <w:b/>
          <w:i/>
          <w:sz w:val="18"/>
          <w:szCs w:val="18"/>
        </w:rPr>
        <w:t xml:space="preserve">the overall </w:t>
      </w:r>
      <w:r w:rsidRPr="00B10454">
        <w:rPr>
          <w:b/>
          <w:i/>
          <w:sz w:val="18"/>
          <w:szCs w:val="18"/>
        </w:rPr>
        <w:t xml:space="preserve">AADP </w:t>
      </w:r>
      <w:r w:rsidR="00CE760F">
        <w:rPr>
          <w:b/>
          <w:i/>
          <w:sz w:val="18"/>
          <w:szCs w:val="18"/>
        </w:rPr>
        <w:t>term</w:t>
      </w:r>
      <w:r w:rsidRPr="003C0DBE">
        <w:t xml:space="preserve">, with the option to extend the term for two periods of two years (4+2+2), subject to progress and </w:t>
      </w:r>
      <w:r w:rsidR="00825F9D">
        <w:t>outcomes</w:t>
      </w:r>
      <w:r w:rsidRPr="003C0DBE">
        <w:t>.</w:t>
      </w:r>
      <w:r>
        <w:t xml:space="preserve"> </w:t>
      </w:r>
      <w:r w:rsidRPr="003C0DBE">
        <w:t xml:space="preserve">This would maximise continuity through long-term of engagement of the MC and specialist </w:t>
      </w:r>
      <w:r w:rsidR="00ED2B41">
        <w:t>Technical Assistance (</w:t>
      </w:r>
      <w:r w:rsidRPr="003C0DBE">
        <w:t>TA</w:t>
      </w:r>
      <w:r w:rsidR="00ED2B41">
        <w:t>)</w:t>
      </w:r>
      <w:r w:rsidRPr="003C0DBE">
        <w:t xml:space="preserve"> personnel, while permitting regular decision-making points on scope and</w:t>
      </w:r>
      <w:r w:rsidR="001B7DCB">
        <w:t xml:space="preserve"> / </w:t>
      </w:r>
      <w:r w:rsidRPr="003C0DBE">
        <w:t>or continuation of support, triggered by review</w:t>
      </w:r>
      <w:r w:rsidR="001B7DCB">
        <w:t xml:space="preserve"> / </w:t>
      </w:r>
      <w:r w:rsidRPr="003C0DBE">
        <w:t>evaluation.</w:t>
      </w:r>
      <w:r>
        <w:t xml:space="preserve"> </w:t>
      </w:r>
      <w:r w:rsidR="00CE760F">
        <w:t xml:space="preserve"> </w:t>
      </w:r>
      <w:r w:rsidR="00CE760F">
        <w:rPr>
          <w:b/>
          <w:i/>
          <w:sz w:val="18"/>
          <w:szCs w:val="18"/>
        </w:rPr>
        <w:t>A</w:t>
      </w:r>
      <w:r w:rsidRPr="00B10454">
        <w:rPr>
          <w:b/>
          <w:i/>
          <w:sz w:val="18"/>
          <w:szCs w:val="18"/>
        </w:rPr>
        <w:t xml:space="preserve"> three</w:t>
      </w:r>
      <w:r w:rsidR="00CE760F">
        <w:rPr>
          <w:b/>
          <w:i/>
          <w:sz w:val="18"/>
          <w:szCs w:val="18"/>
        </w:rPr>
        <w:t>-</w:t>
      </w:r>
      <w:r w:rsidRPr="00B10454">
        <w:rPr>
          <w:b/>
          <w:i/>
          <w:sz w:val="18"/>
          <w:szCs w:val="18"/>
        </w:rPr>
        <w:t>month transitional phase between the two current MCs to a single incoming MC</w:t>
      </w:r>
      <w:r w:rsidR="00CE760F">
        <w:rPr>
          <w:b/>
          <w:i/>
          <w:sz w:val="18"/>
          <w:szCs w:val="18"/>
        </w:rPr>
        <w:t xml:space="preserve"> is anticipated </w:t>
      </w:r>
      <w:r w:rsidR="00CE760F" w:rsidRPr="00B10454">
        <w:t xml:space="preserve">to </w:t>
      </w:r>
      <w:r w:rsidRPr="003C0DBE">
        <w:t>commence on 1 April 2015, with the incoming MC responsible</w:t>
      </w:r>
      <w:r w:rsidR="001B7DCB">
        <w:t xml:space="preserve"> for full implementation from 1 </w:t>
      </w:r>
      <w:r w:rsidRPr="003C0DBE">
        <w:t>July 2015.</w:t>
      </w:r>
    </w:p>
    <w:p w14:paraId="6D8BCB3F" w14:textId="77777777" w:rsidR="000F5341" w:rsidRDefault="000F5341" w:rsidP="002B1210">
      <w:pPr>
        <w:pStyle w:val="BodyText"/>
      </w:pPr>
      <w:r w:rsidRPr="003C0DBE">
        <w:t xml:space="preserve">The proposed </w:t>
      </w:r>
      <w:r w:rsidRPr="00B10454">
        <w:rPr>
          <w:b/>
          <w:i/>
          <w:sz w:val="18"/>
          <w:szCs w:val="18"/>
        </w:rPr>
        <w:t>financial envelope</w:t>
      </w:r>
      <w:r w:rsidRPr="003C0DBE">
        <w:t xml:space="preserve"> for the </w:t>
      </w:r>
      <w:r w:rsidR="000347F6">
        <w:t xml:space="preserve">E4G </w:t>
      </w:r>
      <w:r w:rsidR="00B47614">
        <w:t>C</w:t>
      </w:r>
      <w:r w:rsidR="000347F6">
        <w:t xml:space="preserve">omponent is </w:t>
      </w:r>
      <w:r w:rsidR="001B7DCB" w:rsidRPr="00B10454">
        <w:rPr>
          <w:b/>
          <w:i/>
          <w:sz w:val="18"/>
          <w:szCs w:val="18"/>
        </w:rPr>
        <w:t>AU</w:t>
      </w:r>
      <w:r w:rsidR="002A7736" w:rsidRPr="00B10454">
        <w:rPr>
          <w:b/>
          <w:i/>
          <w:sz w:val="18"/>
          <w:szCs w:val="18"/>
        </w:rPr>
        <w:t>$</w:t>
      </w:r>
      <w:r w:rsidR="003113EC" w:rsidRPr="00B10454">
        <w:rPr>
          <w:b/>
          <w:i/>
          <w:sz w:val="18"/>
          <w:szCs w:val="18"/>
        </w:rPr>
        <w:t>62</w:t>
      </w:r>
      <w:r w:rsidRPr="00B10454">
        <w:rPr>
          <w:b/>
          <w:i/>
          <w:sz w:val="18"/>
          <w:szCs w:val="18"/>
        </w:rPr>
        <w:t xml:space="preserve"> million</w:t>
      </w:r>
      <w:r w:rsidRPr="003C0DBE">
        <w:t xml:space="preserve"> over the </w:t>
      </w:r>
      <w:r w:rsidR="00EE2092">
        <w:t xml:space="preserve">initial </w:t>
      </w:r>
      <w:r w:rsidRPr="003C0DBE">
        <w:t>four year term.</w:t>
      </w:r>
      <w:r>
        <w:t xml:space="preserve"> </w:t>
      </w:r>
      <w:r w:rsidR="000347F6">
        <w:t xml:space="preserve">The majority </w:t>
      </w:r>
      <w:r>
        <w:t>of th</w:t>
      </w:r>
      <w:r w:rsidR="00064385">
        <w:t xml:space="preserve">is total </w:t>
      </w:r>
      <w:r>
        <w:t xml:space="preserve">envelope </w:t>
      </w:r>
      <w:r w:rsidR="00064385">
        <w:t xml:space="preserve">will be delivered through </w:t>
      </w:r>
      <w:r>
        <w:t>the DFAT-MC AADP contract, while the remain</w:t>
      </w:r>
      <w:r w:rsidR="000347F6">
        <w:t xml:space="preserve">der </w:t>
      </w:r>
      <w:r w:rsidR="00064385">
        <w:t xml:space="preserve">will be expended directly by </w:t>
      </w:r>
      <w:r>
        <w:t xml:space="preserve">DFAT </w:t>
      </w:r>
      <w:r w:rsidR="00064385">
        <w:t xml:space="preserve">on </w:t>
      </w:r>
      <w:r>
        <w:t xml:space="preserve">costs such as support to </w:t>
      </w:r>
      <w:r w:rsidR="003113EC">
        <w:t xml:space="preserve">regional organisations (e.g. </w:t>
      </w:r>
      <w:r>
        <w:t>the AMDC</w:t>
      </w:r>
      <w:r w:rsidR="003113EC">
        <w:t>)</w:t>
      </w:r>
      <w:r>
        <w:t xml:space="preserve"> and DFAT staff costs. </w:t>
      </w:r>
    </w:p>
    <w:p w14:paraId="27012D9E" w14:textId="77777777" w:rsidR="009753FD" w:rsidRDefault="000F5341" w:rsidP="002B1210">
      <w:pPr>
        <w:pStyle w:val="BodyText"/>
      </w:pPr>
      <w:r w:rsidRPr="00B10454">
        <w:rPr>
          <w:b/>
          <w:i/>
          <w:sz w:val="18"/>
          <w:szCs w:val="18"/>
        </w:rPr>
        <w:t xml:space="preserve">DFAT has proposed a non-prescriptive </w:t>
      </w:r>
      <w:r w:rsidR="00ED2B41" w:rsidRPr="00B10454">
        <w:rPr>
          <w:b/>
          <w:i/>
          <w:sz w:val="18"/>
          <w:szCs w:val="18"/>
        </w:rPr>
        <w:t>Request for Tender (</w:t>
      </w:r>
      <w:r w:rsidRPr="00B10454">
        <w:rPr>
          <w:b/>
          <w:i/>
          <w:sz w:val="18"/>
          <w:szCs w:val="18"/>
        </w:rPr>
        <w:t>RFT</w:t>
      </w:r>
      <w:r w:rsidR="00ED2B41" w:rsidRPr="00B10454">
        <w:rPr>
          <w:b/>
          <w:i/>
          <w:sz w:val="18"/>
          <w:szCs w:val="18"/>
        </w:rPr>
        <w:t>)</w:t>
      </w:r>
      <w:r w:rsidRPr="003C0DBE">
        <w:t xml:space="preserve"> for </w:t>
      </w:r>
      <w:r w:rsidR="00321867">
        <w:t>the AADP, including the E4G Component</w:t>
      </w:r>
      <w:r w:rsidR="008D5350">
        <w:t>.</w:t>
      </w:r>
      <w:r w:rsidRPr="003C0DBE">
        <w:t xml:space="preserve"> </w:t>
      </w:r>
      <w:r w:rsidR="008D5350">
        <w:t>T</w:t>
      </w:r>
      <w:r w:rsidRPr="003C0DBE">
        <w:t>his will provide opportunities for tenderers to propose innovative approaches to program management structure</w:t>
      </w:r>
      <w:r w:rsidR="0083616E">
        <w:t>s</w:t>
      </w:r>
      <w:r w:rsidRPr="003C0DBE">
        <w:t xml:space="preserve"> and implementation.</w:t>
      </w:r>
      <w:r>
        <w:t xml:space="preserve"> </w:t>
      </w:r>
      <w:r w:rsidR="00050C72">
        <w:t xml:space="preserve"> Accordingly, </w:t>
      </w:r>
      <w:r w:rsidRPr="00B10454">
        <w:rPr>
          <w:b/>
          <w:i/>
          <w:sz w:val="18"/>
          <w:szCs w:val="18"/>
        </w:rPr>
        <w:t xml:space="preserve">this </w:t>
      </w:r>
      <w:r w:rsidR="00EC3D5E" w:rsidRPr="00B10454">
        <w:rPr>
          <w:b/>
          <w:i/>
          <w:sz w:val="18"/>
          <w:szCs w:val="18"/>
        </w:rPr>
        <w:t xml:space="preserve">IDD </w:t>
      </w:r>
      <w:r w:rsidRPr="00B10454">
        <w:rPr>
          <w:b/>
          <w:i/>
          <w:sz w:val="18"/>
          <w:szCs w:val="18"/>
        </w:rPr>
        <w:t xml:space="preserve">does not describe resourcing requirements and </w:t>
      </w:r>
      <w:r w:rsidR="00EC3D5E" w:rsidRPr="00B10454">
        <w:rPr>
          <w:b/>
          <w:i/>
          <w:sz w:val="18"/>
          <w:szCs w:val="18"/>
        </w:rPr>
        <w:t xml:space="preserve">staff </w:t>
      </w:r>
      <w:r w:rsidRPr="00B10454">
        <w:rPr>
          <w:b/>
          <w:i/>
          <w:sz w:val="18"/>
          <w:szCs w:val="18"/>
        </w:rPr>
        <w:t>positions</w:t>
      </w:r>
      <w:r w:rsidR="00476274">
        <w:t xml:space="preserve"> for the E4G Component</w:t>
      </w:r>
      <w:r w:rsidR="008D5350">
        <w:t>.</w:t>
      </w:r>
      <w:r>
        <w:t xml:space="preserve"> </w:t>
      </w:r>
      <w:r w:rsidRPr="003C0DBE">
        <w:t xml:space="preserve">Tenderers </w:t>
      </w:r>
      <w:r w:rsidR="00EC3D5E">
        <w:t>are</w:t>
      </w:r>
      <w:r w:rsidRPr="003C0DBE">
        <w:t xml:space="preserve"> expected to propose staff numbers and positions, ensuring they meet </w:t>
      </w:r>
      <w:r w:rsidR="00476274">
        <w:t xml:space="preserve">the </w:t>
      </w:r>
      <w:r w:rsidRPr="003C0DBE">
        <w:t>functional requirements</w:t>
      </w:r>
      <w:r w:rsidR="00476274">
        <w:t xml:space="preserve"> as outlined in the overarching AADP IDD</w:t>
      </w:r>
      <w:r w:rsidR="00EC3D5E">
        <w:t xml:space="preserve"> and the implementation requirements of this E4G IDD</w:t>
      </w:r>
      <w:r w:rsidRPr="003C0DBE">
        <w:t>.</w:t>
      </w:r>
    </w:p>
    <w:p w14:paraId="733FD871" w14:textId="77777777" w:rsidR="009753FD" w:rsidRPr="003C0DBE" w:rsidRDefault="009753FD" w:rsidP="00B10454">
      <w:pPr>
        <w:pStyle w:val="List-number-1"/>
        <w:numPr>
          <w:ilvl w:val="0"/>
          <w:numId w:val="0"/>
        </w:numPr>
        <w:ind w:left="360" w:hanging="360"/>
        <w:jc w:val="both"/>
      </w:pPr>
      <w:r w:rsidRPr="003D2A46">
        <w:rPr>
          <w:b/>
          <w:i/>
          <w:sz w:val="18"/>
          <w:szCs w:val="18"/>
          <w:lang w:eastAsia="en-AU"/>
        </w:rPr>
        <w:t>Key risks</w:t>
      </w:r>
      <w:r w:rsidRPr="003C0DBE">
        <w:t xml:space="preserve"> for implementation of the </w:t>
      </w:r>
      <w:r>
        <w:t>E4G Component</w:t>
      </w:r>
      <w:r w:rsidRPr="003C0DBE">
        <w:t xml:space="preserve"> include: </w:t>
      </w:r>
    </w:p>
    <w:p w14:paraId="735F6347" w14:textId="77777777" w:rsidR="009753FD" w:rsidRPr="002F30BC" w:rsidRDefault="009753FD" w:rsidP="00B10454">
      <w:pPr>
        <w:pStyle w:val="List-bullet-1"/>
        <w:tabs>
          <w:tab w:val="clear" w:pos="720"/>
        </w:tabs>
        <w:spacing w:after="80"/>
        <w:ind w:left="360"/>
      </w:pPr>
      <w:r w:rsidRPr="002F30BC">
        <w:t>Possibility of a protracted tender process and associated contract negotiation which would delay transition and continuity of E4G Component activities; and</w:t>
      </w:r>
    </w:p>
    <w:p w14:paraId="2D70A14A" w14:textId="77777777" w:rsidR="009753FD" w:rsidRDefault="009753FD" w:rsidP="00B10454">
      <w:pPr>
        <w:pStyle w:val="List-bullet-1"/>
        <w:tabs>
          <w:tab w:val="clear" w:pos="720"/>
        </w:tabs>
        <w:spacing w:after="80"/>
        <w:ind w:left="360"/>
      </w:pPr>
      <w:r w:rsidRPr="002F30BC">
        <w:t>Job security uncertainties relating to transition from two MCs to one MC may see the departure of experienced</w:t>
      </w:r>
      <w:r w:rsidRPr="003C0DBE">
        <w:t xml:space="preserve"> staff</w:t>
      </w:r>
      <w:r>
        <w:t xml:space="preserve"> previously working on E4G Component-related activities and interrupt E4G Component activity implementation and </w:t>
      </w:r>
      <w:r w:rsidRPr="003C0DBE">
        <w:t>transition</w:t>
      </w:r>
      <w:r>
        <w:t>.</w:t>
      </w:r>
    </w:p>
    <w:p w14:paraId="54E86F85" w14:textId="77777777" w:rsidR="000F5341" w:rsidRPr="00B10454" w:rsidRDefault="00EC3D5E" w:rsidP="0025246F">
      <w:pPr>
        <w:pStyle w:val="BodyText"/>
        <w:rPr>
          <w:b/>
          <w:i/>
          <w:szCs w:val="20"/>
        </w:rPr>
      </w:pPr>
      <w:bookmarkStart w:id="9" w:name="_Toc399150495"/>
      <w:r>
        <w:rPr>
          <w:b/>
          <w:i/>
          <w:szCs w:val="20"/>
        </w:rPr>
        <w:t xml:space="preserve">Pre-Transition </w:t>
      </w:r>
      <w:bookmarkStart w:id="10" w:name="_Toc399150496"/>
      <w:bookmarkEnd w:id="9"/>
      <w:r w:rsidR="000F5341" w:rsidRPr="00B10454">
        <w:rPr>
          <w:b/>
          <w:i/>
          <w:szCs w:val="20"/>
        </w:rPr>
        <w:t xml:space="preserve">Steps </w:t>
      </w:r>
      <w:r w:rsidR="007913F7" w:rsidRPr="00B10454">
        <w:rPr>
          <w:b/>
          <w:i/>
          <w:szCs w:val="20"/>
        </w:rPr>
        <w:t xml:space="preserve">for </w:t>
      </w:r>
      <w:r>
        <w:rPr>
          <w:b/>
          <w:i/>
          <w:szCs w:val="20"/>
        </w:rPr>
        <w:t xml:space="preserve">the </w:t>
      </w:r>
      <w:r w:rsidR="007913F7" w:rsidRPr="00B10454">
        <w:rPr>
          <w:b/>
          <w:i/>
          <w:szCs w:val="20"/>
        </w:rPr>
        <w:t xml:space="preserve">E4G Component </w:t>
      </w:r>
      <w:bookmarkEnd w:id="10"/>
    </w:p>
    <w:p w14:paraId="740B20C6" w14:textId="77777777" w:rsidR="000F5341" w:rsidRPr="003C0DBE" w:rsidRDefault="000F5341" w:rsidP="002B1210">
      <w:pPr>
        <w:pStyle w:val="BodyText"/>
        <w:rPr>
          <w:rFonts w:eastAsia="Calibri"/>
        </w:rPr>
      </w:pPr>
      <w:r w:rsidRPr="003C0DBE">
        <w:rPr>
          <w:rFonts w:eastAsia="Calibri"/>
        </w:rPr>
        <w:t>Given the tight schedule for tendering and appointment of a new single AADP MC, it is highly recommended that the following actions are commenced immediately under existing AAPF MC contracting arrangements</w:t>
      </w:r>
      <w:r w:rsidR="007913F7">
        <w:rPr>
          <w:rFonts w:eastAsia="Calibri"/>
        </w:rPr>
        <w:t xml:space="preserve"> to facilitate transition for E4G Component activities, some of which have already commenced</w:t>
      </w:r>
      <w:r w:rsidRPr="003C0DBE">
        <w:rPr>
          <w:rFonts w:eastAsia="Calibri"/>
        </w:rPr>
        <w:t>.</w:t>
      </w:r>
    </w:p>
    <w:p w14:paraId="69F53580" w14:textId="77777777" w:rsidR="000F5341" w:rsidRPr="000F5341" w:rsidRDefault="000F5341" w:rsidP="002F30BC">
      <w:pPr>
        <w:pStyle w:val="List-number-1"/>
        <w:numPr>
          <w:ilvl w:val="0"/>
          <w:numId w:val="20"/>
        </w:numPr>
        <w:spacing w:after="80"/>
        <w:jc w:val="both"/>
        <w:rPr>
          <w:b/>
        </w:rPr>
      </w:pPr>
      <w:r w:rsidRPr="00B10454">
        <w:rPr>
          <w:b/>
          <w:i/>
          <w:sz w:val="18"/>
          <w:szCs w:val="18"/>
          <w:lang w:eastAsia="en-AU"/>
        </w:rPr>
        <w:t>Strategic Environmental Assessment (SEA)</w:t>
      </w:r>
      <w:r w:rsidRPr="000F5341">
        <w:rPr>
          <w:b/>
        </w:rPr>
        <w:t xml:space="preserve">: </w:t>
      </w:r>
      <w:r w:rsidRPr="000F5341">
        <w:rPr>
          <w:rFonts w:eastAsia="Calibri"/>
        </w:rPr>
        <w:t xml:space="preserve">As the </w:t>
      </w:r>
      <w:r w:rsidR="00283A6F">
        <w:rPr>
          <w:rFonts w:eastAsia="Calibri"/>
        </w:rPr>
        <w:t xml:space="preserve">E4G </w:t>
      </w:r>
      <w:r w:rsidR="00B47614">
        <w:rPr>
          <w:rFonts w:eastAsia="Calibri"/>
        </w:rPr>
        <w:t>C</w:t>
      </w:r>
      <w:r w:rsidR="00283A6F">
        <w:rPr>
          <w:rFonts w:eastAsia="Calibri"/>
        </w:rPr>
        <w:t xml:space="preserve">omponent </w:t>
      </w:r>
      <w:r w:rsidRPr="000F5341">
        <w:rPr>
          <w:rFonts w:eastAsia="Calibri"/>
        </w:rPr>
        <w:t xml:space="preserve">seeks to improve </w:t>
      </w:r>
      <w:r w:rsidR="00F4337F">
        <w:rPr>
          <w:rFonts w:eastAsia="Calibri"/>
        </w:rPr>
        <w:t>inclusive economic growth</w:t>
      </w:r>
      <w:r w:rsidRPr="000F5341">
        <w:rPr>
          <w:rFonts w:eastAsia="Calibri"/>
        </w:rPr>
        <w:t xml:space="preserve"> </w:t>
      </w:r>
      <w:r w:rsidR="00283A6F">
        <w:rPr>
          <w:rFonts w:eastAsia="Calibri"/>
        </w:rPr>
        <w:t xml:space="preserve">through </w:t>
      </w:r>
      <w:r w:rsidR="00F4337F">
        <w:rPr>
          <w:rFonts w:eastAsia="Calibri"/>
        </w:rPr>
        <w:t>its activities in the extractive sector</w:t>
      </w:r>
      <w:r w:rsidRPr="000F5341">
        <w:rPr>
          <w:rFonts w:eastAsia="Calibri"/>
        </w:rPr>
        <w:t xml:space="preserve">, it is important for the </w:t>
      </w:r>
      <w:r w:rsidR="007913F7">
        <w:rPr>
          <w:rFonts w:eastAsia="Calibri"/>
        </w:rPr>
        <w:t xml:space="preserve">E4G Component </w:t>
      </w:r>
      <w:r w:rsidRPr="000F5341">
        <w:rPr>
          <w:rFonts w:eastAsia="Calibri"/>
        </w:rPr>
        <w:t xml:space="preserve">and its stakeholders and beneficiaries to have a clear picture of any potential environmental impacts associated with </w:t>
      </w:r>
      <w:r w:rsidR="00F4337F">
        <w:rPr>
          <w:rFonts w:eastAsia="Calibri"/>
        </w:rPr>
        <w:t>the E4G Component’s</w:t>
      </w:r>
      <w:r w:rsidRPr="000F5341">
        <w:rPr>
          <w:rFonts w:eastAsia="Calibri"/>
        </w:rPr>
        <w:t xml:space="preserve"> activities prior to implementation. </w:t>
      </w:r>
      <w:r w:rsidR="00F4337F">
        <w:rPr>
          <w:rFonts w:eastAsia="Calibri"/>
        </w:rPr>
        <w:t xml:space="preserve"> </w:t>
      </w:r>
      <w:r w:rsidRPr="000F5341">
        <w:rPr>
          <w:rFonts w:eastAsia="Calibri"/>
        </w:rPr>
        <w:t xml:space="preserve">Accordingly, in the period prior to </w:t>
      </w:r>
      <w:r w:rsidR="00F4337F">
        <w:rPr>
          <w:rFonts w:eastAsia="Calibri"/>
        </w:rPr>
        <w:t>expiry of the current AAPF,</w:t>
      </w:r>
      <w:r w:rsidRPr="000F5341">
        <w:rPr>
          <w:rFonts w:eastAsia="Calibri"/>
        </w:rPr>
        <w:t xml:space="preserve"> it is recommended that the current AAPF MC:</w:t>
      </w:r>
    </w:p>
    <w:p w14:paraId="6CA9E3C3" w14:textId="1FB4E64B" w:rsidR="00B61AD0" w:rsidRPr="003C0DBE" w:rsidRDefault="00B61AD0" w:rsidP="00B61AD0">
      <w:pPr>
        <w:pStyle w:val="List-bullet-1"/>
        <w:rPr>
          <w:b/>
        </w:rPr>
      </w:pPr>
      <w:r>
        <w:rPr>
          <w:rFonts w:eastAsia="Calibri"/>
        </w:rPr>
        <w:t>D</w:t>
      </w:r>
      <w:r w:rsidRPr="002F30BC">
        <w:rPr>
          <w:rFonts w:eastAsia="Calibri"/>
        </w:rPr>
        <w:t>evelop</w:t>
      </w:r>
      <w:r>
        <w:rPr>
          <w:rFonts w:eastAsia="Calibri"/>
        </w:rPr>
        <w:t>s</w:t>
      </w:r>
      <w:r w:rsidRPr="002F30BC">
        <w:rPr>
          <w:rFonts w:eastAsia="Calibri"/>
        </w:rPr>
        <w:t xml:space="preserve"> a set of environmental assessment criteria </w:t>
      </w:r>
      <w:r>
        <w:rPr>
          <w:rFonts w:eastAsia="Calibri"/>
        </w:rPr>
        <w:t xml:space="preserve">and a SEA process </w:t>
      </w:r>
      <w:r w:rsidRPr="002F30BC">
        <w:rPr>
          <w:rFonts w:eastAsia="Calibri"/>
        </w:rPr>
        <w:t>for use by DFAT Posts in developing activity proposals, and</w:t>
      </w:r>
      <w:r w:rsidRPr="003C0DBE">
        <w:rPr>
          <w:rFonts w:eastAsia="Calibri"/>
        </w:rPr>
        <w:t xml:space="preserve"> by DFAT AFB and the AADP MC when implementing </w:t>
      </w:r>
      <w:r>
        <w:rPr>
          <w:rFonts w:eastAsia="Calibri"/>
        </w:rPr>
        <w:t xml:space="preserve">E4G Component </w:t>
      </w:r>
      <w:r w:rsidRPr="003C0DBE">
        <w:rPr>
          <w:rFonts w:eastAsia="Calibri"/>
        </w:rPr>
        <w:t>activities.</w:t>
      </w:r>
      <w:r>
        <w:rPr>
          <w:rFonts w:eastAsia="Calibri"/>
        </w:rPr>
        <w:t xml:space="preserve">  C</w:t>
      </w:r>
      <w:r w:rsidRPr="003C0DBE">
        <w:rPr>
          <w:rFonts w:eastAsia="Calibri"/>
        </w:rPr>
        <w:t>lose consultation with the DFAT Environmental Safeguards Team in Canberra is recommended for the development of these environmental assessment criteria.</w:t>
      </w:r>
    </w:p>
    <w:p w14:paraId="7F126D27" w14:textId="79F39B1E" w:rsidR="000F5341" w:rsidRPr="002F30BC" w:rsidRDefault="00D16F26" w:rsidP="002F30BC">
      <w:pPr>
        <w:pStyle w:val="List-bullet-1"/>
      </w:pPr>
      <w:r>
        <w:rPr>
          <w:rFonts w:eastAsia="Calibri"/>
        </w:rPr>
        <w:t>C</w:t>
      </w:r>
      <w:r w:rsidR="000F5341" w:rsidRPr="002F30BC">
        <w:rPr>
          <w:rFonts w:eastAsia="Calibri"/>
        </w:rPr>
        <w:t>onduct</w:t>
      </w:r>
      <w:r w:rsidR="00F4337F">
        <w:rPr>
          <w:rFonts w:eastAsia="Calibri"/>
        </w:rPr>
        <w:t>s</w:t>
      </w:r>
      <w:r w:rsidR="000F5341" w:rsidRPr="002F30BC">
        <w:rPr>
          <w:rFonts w:eastAsia="Calibri"/>
        </w:rPr>
        <w:t xml:space="preserve"> a SEA</w:t>
      </w:r>
      <w:r w:rsidR="00B61AD0">
        <w:rPr>
          <w:rFonts w:eastAsia="Calibri"/>
        </w:rPr>
        <w:t xml:space="preserve"> of any activities rolled over from AAPF to AADP (i.e. pilot activities in Focus Countries)</w:t>
      </w:r>
      <w:r w:rsidR="000F5341" w:rsidRPr="002F30BC">
        <w:rPr>
          <w:rFonts w:eastAsia="Calibri"/>
        </w:rPr>
        <w:t xml:space="preserve">. </w:t>
      </w:r>
      <w:r w:rsidR="00F4337F">
        <w:rPr>
          <w:rFonts w:eastAsia="Calibri"/>
        </w:rPr>
        <w:t xml:space="preserve"> The </w:t>
      </w:r>
      <w:r w:rsidR="000F5341" w:rsidRPr="002F30BC">
        <w:rPr>
          <w:rFonts w:eastAsia="Calibri"/>
        </w:rPr>
        <w:t xml:space="preserve">DFAT AFB, in consultation with DFAT Environmental Safeguards Team in Canberra, </w:t>
      </w:r>
      <w:r w:rsidR="00B61AD0">
        <w:rPr>
          <w:rFonts w:eastAsia="Calibri"/>
        </w:rPr>
        <w:t>would</w:t>
      </w:r>
      <w:r w:rsidR="000F5341" w:rsidRPr="002F30BC">
        <w:rPr>
          <w:rFonts w:eastAsia="Calibri"/>
        </w:rPr>
        <w:t xml:space="preserve"> contribute to the design and implementation of this SEA for the </w:t>
      </w:r>
      <w:r w:rsidR="00283A6F" w:rsidRPr="002F30BC">
        <w:rPr>
          <w:rFonts w:eastAsia="Calibri"/>
        </w:rPr>
        <w:t xml:space="preserve">E4G </w:t>
      </w:r>
      <w:r w:rsidR="00B47614" w:rsidRPr="002F30BC">
        <w:rPr>
          <w:rFonts w:eastAsia="Calibri"/>
        </w:rPr>
        <w:t>C</w:t>
      </w:r>
      <w:r w:rsidR="00283A6F" w:rsidRPr="002F30BC">
        <w:rPr>
          <w:rFonts w:eastAsia="Calibri"/>
        </w:rPr>
        <w:t>omponent</w:t>
      </w:r>
      <w:r w:rsidR="00B61AD0">
        <w:rPr>
          <w:rFonts w:eastAsia="Calibri"/>
        </w:rPr>
        <w:t xml:space="preserve"> using the environmental assessment criteria referred to above</w:t>
      </w:r>
      <w:r w:rsidR="000F5341" w:rsidRPr="002F30BC">
        <w:rPr>
          <w:rFonts w:eastAsia="Calibri"/>
        </w:rPr>
        <w:t>. It is recommended that the SEA be conducted under current AAPF contracting arrangements and prior to commencement of the AADP;</w:t>
      </w:r>
    </w:p>
    <w:p w14:paraId="4A076339" w14:textId="77777777" w:rsidR="002272EE" w:rsidRDefault="002272EE" w:rsidP="002272EE">
      <w:pPr>
        <w:pStyle w:val="List-number-1"/>
        <w:numPr>
          <w:ilvl w:val="0"/>
          <w:numId w:val="0"/>
        </w:numPr>
        <w:spacing w:before="80" w:after="80"/>
        <w:jc w:val="both"/>
        <w:rPr>
          <w:rFonts w:eastAsia="Calibri"/>
        </w:rPr>
      </w:pPr>
    </w:p>
    <w:p w14:paraId="18765DA6" w14:textId="77777777" w:rsidR="000F5341" w:rsidRPr="004A17FE" w:rsidRDefault="000F5341" w:rsidP="002272EE">
      <w:pPr>
        <w:pStyle w:val="Heading1"/>
        <w:pageBreakBefore w:val="0"/>
        <w:ind w:left="850" w:hanging="850"/>
        <w:jc w:val="both"/>
      </w:pPr>
      <w:bookmarkStart w:id="11" w:name="_Toc387590487"/>
      <w:bookmarkStart w:id="12" w:name="_Toc399150497"/>
      <w:bookmarkStart w:id="13" w:name="_Toc401578414"/>
      <w:r w:rsidRPr="004E4D1C">
        <w:t>Analysis</w:t>
      </w:r>
      <w:r w:rsidRPr="004A17FE">
        <w:t xml:space="preserve"> and </w:t>
      </w:r>
      <w:r w:rsidRPr="000F5341">
        <w:t>Strategic</w:t>
      </w:r>
      <w:r w:rsidRPr="004A17FE">
        <w:t xml:space="preserve"> Context</w:t>
      </w:r>
      <w:bookmarkEnd w:id="11"/>
      <w:bookmarkEnd w:id="12"/>
      <w:bookmarkEnd w:id="13"/>
    </w:p>
    <w:p w14:paraId="0FF357EA" w14:textId="77777777" w:rsidR="000F5341" w:rsidRPr="00156991" w:rsidRDefault="000F5341" w:rsidP="0049688D">
      <w:pPr>
        <w:pStyle w:val="Heading2"/>
        <w:spacing w:after="0"/>
        <w:jc w:val="both"/>
      </w:pPr>
      <w:bookmarkStart w:id="14" w:name="_Toc387590488"/>
      <w:bookmarkStart w:id="15" w:name="_Toc399150499"/>
      <w:bookmarkStart w:id="16" w:name="_Toc401578415"/>
      <w:r w:rsidRPr="00156991">
        <w:t>Development Problem</w:t>
      </w:r>
      <w:r w:rsidR="001B7DCB">
        <w:t xml:space="preserve"> / </w:t>
      </w:r>
      <w:r w:rsidRPr="00156991">
        <w:t>Issue Analysis</w:t>
      </w:r>
      <w:bookmarkEnd w:id="14"/>
      <w:bookmarkEnd w:id="15"/>
      <w:bookmarkEnd w:id="16"/>
      <w:r w:rsidRPr="00156991">
        <w:t xml:space="preserve"> </w:t>
      </w:r>
    </w:p>
    <w:p w14:paraId="05805EBD" w14:textId="77777777" w:rsidR="000F5341" w:rsidRDefault="000F5341" w:rsidP="00A061E0">
      <w:pPr>
        <w:pStyle w:val="Heading3"/>
        <w:spacing w:after="0"/>
        <w:jc w:val="both"/>
      </w:pPr>
      <w:r>
        <w:t xml:space="preserve">What is the Development Problem? </w:t>
      </w:r>
    </w:p>
    <w:p w14:paraId="28BF2B04" w14:textId="77777777" w:rsidR="00F63E45" w:rsidRDefault="000F5341" w:rsidP="0049688D">
      <w:pPr>
        <w:pStyle w:val="BodyText"/>
        <w:spacing w:before="0"/>
        <w:rPr>
          <w:i/>
        </w:rPr>
      </w:pPr>
      <w:r>
        <w:t xml:space="preserve">Extractive sector investment offers African countries an unparalleled opportunity to stimulate economic growth and reduce poverty. Extractive sector investment can drive innovation, generate the public revenue needed to fund critical social services and upgrade productive physical infrastructure and directly and indirectly create the jobs that lift people out of poverty. In 2010, economic rents from mining alone were valued at almost four times total </w:t>
      </w:r>
      <w:r w:rsidR="007E78F8" w:rsidRPr="007E78F8">
        <w:t>Official Development Assistance</w:t>
      </w:r>
      <w:r>
        <w:t xml:space="preserve"> to S</w:t>
      </w:r>
      <w:r w:rsidR="00ED2B41">
        <w:t xml:space="preserve">ub </w:t>
      </w:r>
      <w:r>
        <w:t>S</w:t>
      </w:r>
      <w:r w:rsidR="00ED2B41">
        <w:t xml:space="preserve">aharan </w:t>
      </w:r>
      <w:r>
        <w:t>A</w:t>
      </w:r>
      <w:r w:rsidR="00ED2B41">
        <w:t>frica</w:t>
      </w:r>
      <w:r>
        <w:rPr>
          <w:iCs/>
        </w:rPr>
        <w:t>.</w:t>
      </w:r>
      <w:r w:rsidR="001A316B">
        <w:rPr>
          <w:rStyle w:val="FootnoteReference"/>
          <w:iCs/>
        </w:rPr>
        <w:footnoteReference w:id="3"/>
      </w:r>
      <w:r>
        <w:rPr>
          <w:iCs/>
        </w:rPr>
        <w:t xml:space="preserve"> The extractive sector contributes 42% of government revenues to African economies.</w:t>
      </w:r>
      <w:r w:rsidR="001A316B">
        <w:rPr>
          <w:rStyle w:val="FootnoteReference"/>
          <w:iCs/>
        </w:rPr>
        <w:footnoteReference w:id="4"/>
      </w:r>
      <w:r>
        <w:t xml:space="preserve"> The McKinsey Global Institute est</w:t>
      </w:r>
      <w:r w:rsidR="001B7DCB">
        <w:t>imates that 540 </w:t>
      </w:r>
      <w:r>
        <w:t>million people in resource-driven countries could be lifted out of poverty by effective development and use of reserves.</w:t>
      </w:r>
      <w:r w:rsidR="001A316B">
        <w:rPr>
          <w:rStyle w:val="FootnoteReference"/>
        </w:rPr>
        <w:footnoteReference w:id="5"/>
      </w:r>
      <w:r>
        <w:rPr>
          <w:i/>
        </w:rPr>
        <w:t xml:space="preserve"> </w:t>
      </w:r>
    </w:p>
    <w:p w14:paraId="48E1EE54" w14:textId="77777777" w:rsidR="000F5341" w:rsidRDefault="000F5341" w:rsidP="0049688D">
      <w:pPr>
        <w:pStyle w:val="BodyText"/>
        <w:spacing w:before="0"/>
      </w:pPr>
      <w:r w:rsidRPr="007914E7">
        <w:t>T</w:t>
      </w:r>
      <w:r w:rsidRPr="00325FDA">
        <w:t>he</w:t>
      </w:r>
      <w:r>
        <w:t xml:space="preserve"> extent to which the economic growth benefits of the extractive sector are achieved depends upon the availability of an adequately skilled workforce; links with other productive sectors</w:t>
      </w:r>
      <w:r w:rsidR="001B7DCB">
        <w:t xml:space="preserve"> / </w:t>
      </w:r>
      <w:r>
        <w:t>businesses throughout the extractive industry-related value chains; the quality of government and governance arrangements; the existence of an informed citizenry that is empowered to participate in decision making processes; and effective partnerships.</w:t>
      </w:r>
      <w:r w:rsidR="00F10714">
        <w:rPr>
          <w:rStyle w:val="FootnoteReference"/>
        </w:rPr>
        <w:footnoteReference w:id="6"/>
      </w:r>
      <w:r>
        <w:t xml:space="preserve"> </w:t>
      </w:r>
      <w:r w:rsidR="00750FC3">
        <w:rPr>
          <w:rFonts w:cs="Arial"/>
          <w:szCs w:val="20"/>
        </w:rPr>
        <w:t>It also depends on the capacity of governments and extractive companies</w:t>
      </w:r>
      <w:r w:rsidR="005B3032">
        <w:rPr>
          <w:rFonts w:cs="Arial"/>
          <w:szCs w:val="20"/>
        </w:rPr>
        <w:t xml:space="preserve"> </w:t>
      </w:r>
      <w:r w:rsidR="00750FC3">
        <w:rPr>
          <w:rFonts w:cs="Arial"/>
          <w:szCs w:val="20"/>
        </w:rPr>
        <w:t>to develop innovative approaches to agreement making and creation and distribution of wealth that place people, in particular women and children, at the centre of development. I</w:t>
      </w:r>
      <w:r w:rsidR="00750FC3" w:rsidRPr="007B7540">
        <w:rPr>
          <w:rFonts w:cs="Arial"/>
          <w:szCs w:val="20"/>
          <w:lang w:eastAsia="en-US"/>
        </w:rPr>
        <w:t xml:space="preserve">nvestments </w:t>
      </w:r>
      <w:r w:rsidR="00750FC3">
        <w:rPr>
          <w:rFonts w:cs="Arial"/>
          <w:szCs w:val="20"/>
        </w:rPr>
        <w:t xml:space="preserve">require planning and coordination </w:t>
      </w:r>
      <w:r w:rsidR="00750FC3" w:rsidRPr="007B7540">
        <w:rPr>
          <w:rFonts w:cs="Arial"/>
          <w:szCs w:val="20"/>
          <w:lang w:eastAsia="en-US"/>
        </w:rPr>
        <w:t>to achieve strategic</w:t>
      </w:r>
      <w:r w:rsidR="00750FC3">
        <w:rPr>
          <w:rFonts w:cs="Arial"/>
          <w:szCs w:val="20"/>
        </w:rPr>
        <w:t xml:space="preserve"> </w:t>
      </w:r>
      <w:r w:rsidR="00750FC3" w:rsidRPr="007B7540">
        <w:rPr>
          <w:rFonts w:cs="Arial"/>
          <w:szCs w:val="20"/>
          <w:lang w:eastAsia="en-US"/>
        </w:rPr>
        <w:t>outcomes in areas of greatest need,</w:t>
      </w:r>
      <w:r w:rsidR="00E4527B">
        <w:rPr>
          <w:rFonts w:cs="Arial"/>
          <w:szCs w:val="20"/>
          <w:lang w:eastAsia="en-US"/>
        </w:rPr>
        <w:t xml:space="preserve"> </w:t>
      </w:r>
      <w:r w:rsidR="00750FC3">
        <w:rPr>
          <w:rFonts w:cs="Arial"/>
          <w:szCs w:val="20"/>
        </w:rPr>
        <w:t>a</w:t>
      </w:r>
      <w:r w:rsidR="00750FC3" w:rsidRPr="007B7540">
        <w:rPr>
          <w:rFonts w:cs="Arial"/>
          <w:szCs w:val="20"/>
          <w:lang w:eastAsia="en-US"/>
        </w:rPr>
        <w:t>nd for greatest benefit</w:t>
      </w:r>
      <w:r w:rsidR="00750FC3">
        <w:rPr>
          <w:rFonts w:cs="Arial"/>
          <w:szCs w:val="20"/>
        </w:rPr>
        <w:t xml:space="preserve"> </w:t>
      </w:r>
      <w:r w:rsidR="00E4527B">
        <w:rPr>
          <w:rFonts w:cs="Arial"/>
          <w:szCs w:val="20"/>
        </w:rPr>
        <w:t>if there</w:t>
      </w:r>
      <w:r w:rsidR="00750FC3" w:rsidRPr="007B7540">
        <w:rPr>
          <w:rFonts w:cs="Arial"/>
          <w:szCs w:val="20"/>
          <w:lang w:eastAsia="en-US"/>
        </w:rPr>
        <w:t xml:space="preserve"> is </w:t>
      </w:r>
      <w:r w:rsidR="00750FC3">
        <w:rPr>
          <w:rFonts w:cs="Arial"/>
          <w:szCs w:val="20"/>
        </w:rPr>
        <w:t xml:space="preserve">to be </w:t>
      </w:r>
      <w:r w:rsidR="00750FC3" w:rsidRPr="007B7540">
        <w:rPr>
          <w:rFonts w:cs="Arial"/>
          <w:szCs w:val="20"/>
          <w:lang w:eastAsia="en-US"/>
        </w:rPr>
        <w:t>progress towards human</w:t>
      </w:r>
      <w:r w:rsidR="00750FC3">
        <w:rPr>
          <w:rFonts w:cs="Arial"/>
          <w:szCs w:val="20"/>
        </w:rPr>
        <w:t xml:space="preserve"> </w:t>
      </w:r>
      <w:r w:rsidR="00750FC3" w:rsidRPr="007B7540">
        <w:rPr>
          <w:rFonts w:cs="Arial"/>
          <w:szCs w:val="20"/>
          <w:lang w:eastAsia="en-US"/>
        </w:rPr>
        <w:t>development goals that can be linked</w:t>
      </w:r>
      <w:r w:rsidR="00750FC3">
        <w:rPr>
          <w:rFonts w:cs="Arial"/>
          <w:szCs w:val="20"/>
        </w:rPr>
        <w:t xml:space="preserve"> </w:t>
      </w:r>
      <w:r w:rsidR="00750FC3" w:rsidRPr="007B7540">
        <w:rPr>
          <w:rFonts w:cs="Arial"/>
          <w:szCs w:val="20"/>
          <w:lang w:eastAsia="en-US"/>
        </w:rPr>
        <w:t xml:space="preserve">to </w:t>
      </w:r>
      <w:r w:rsidR="00750FC3">
        <w:rPr>
          <w:rFonts w:cs="Arial"/>
          <w:szCs w:val="20"/>
        </w:rPr>
        <w:t xml:space="preserve">the </w:t>
      </w:r>
      <w:r w:rsidR="0025246F">
        <w:rPr>
          <w:rFonts w:cs="Arial"/>
          <w:szCs w:val="20"/>
        </w:rPr>
        <w:t>extractive</w:t>
      </w:r>
      <w:r w:rsidR="00750FC3">
        <w:rPr>
          <w:rFonts w:cs="Arial"/>
          <w:szCs w:val="20"/>
        </w:rPr>
        <w:t xml:space="preserve"> sector and that </w:t>
      </w:r>
      <w:proofErr w:type="gramStart"/>
      <w:r w:rsidR="00750FC3">
        <w:rPr>
          <w:rFonts w:cs="Arial"/>
          <w:szCs w:val="20"/>
        </w:rPr>
        <w:t xml:space="preserve">have </w:t>
      </w:r>
      <w:r w:rsidR="00750FC3" w:rsidRPr="00E65575">
        <w:rPr>
          <w:rFonts w:cs="Arial"/>
          <w:szCs w:val="20"/>
        </w:rPr>
        <w:t xml:space="preserve"> </w:t>
      </w:r>
      <w:r w:rsidR="00750FC3" w:rsidRPr="007B7540">
        <w:rPr>
          <w:rFonts w:cs="Arial"/>
          <w:szCs w:val="20"/>
          <w:lang w:eastAsia="en-US"/>
        </w:rPr>
        <w:t>long</w:t>
      </w:r>
      <w:proofErr w:type="gramEnd"/>
      <w:r w:rsidR="00750FC3" w:rsidRPr="007B7540">
        <w:rPr>
          <w:rFonts w:cs="Arial"/>
          <w:szCs w:val="20"/>
          <w:lang w:eastAsia="en-US"/>
        </w:rPr>
        <w:t>-term positive</w:t>
      </w:r>
      <w:r w:rsidR="00750FC3">
        <w:rPr>
          <w:rFonts w:cs="Arial"/>
          <w:szCs w:val="20"/>
        </w:rPr>
        <w:t xml:space="preserve"> </w:t>
      </w:r>
      <w:r w:rsidR="00750FC3" w:rsidRPr="007B7540">
        <w:rPr>
          <w:rFonts w:cs="Arial"/>
          <w:szCs w:val="20"/>
          <w:lang w:eastAsia="en-US"/>
        </w:rPr>
        <w:t>social and environmental legacies</w:t>
      </w:r>
      <w:r w:rsidR="00750FC3">
        <w:rPr>
          <w:rFonts w:cs="Arial"/>
          <w:szCs w:val="20"/>
        </w:rPr>
        <w:t>.</w:t>
      </w:r>
      <w:r w:rsidR="00F10714">
        <w:rPr>
          <w:rStyle w:val="FootnoteReference"/>
          <w:rFonts w:cs="Arial"/>
          <w:szCs w:val="20"/>
        </w:rPr>
        <w:footnoteReference w:id="7"/>
      </w:r>
    </w:p>
    <w:p w14:paraId="1E80D6FF" w14:textId="77777777" w:rsidR="00F63E45" w:rsidRPr="00B10454" w:rsidRDefault="000F5341" w:rsidP="00B10454">
      <w:pPr>
        <w:pStyle w:val="BodyText"/>
        <w:spacing w:after="0"/>
        <w:rPr>
          <w:b/>
          <w:i/>
        </w:rPr>
      </w:pPr>
      <w:r w:rsidRPr="00B10454">
        <w:rPr>
          <w:b/>
          <w:i/>
        </w:rPr>
        <w:t>Problem 1: Mineral Skills Gap</w:t>
      </w:r>
    </w:p>
    <w:p w14:paraId="4FC4BD3E" w14:textId="72207578" w:rsidR="00F63E45" w:rsidRDefault="000F5341" w:rsidP="00B10454">
      <w:pPr>
        <w:pStyle w:val="BodyText"/>
        <w:spacing w:before="0"/>
      </w:pPr>
      <w:r>
        <w:t>The extractive sector</w:t>
      </w:r>
      <w:r w:rsidR="00C06D97">
        <w:t xml:space="preserve"> </w:t>
      </w:r>
      <w:r>
        <w:t>require</w:t>
      </w:r>
      <w:r w:rsidR="00C06D97">
        <w:t>s</w:t>
      </w:r>
      <w:r>
        <w:t xml:space="preserve"> a wide range of skills in order to function effectively and efficiently and to maximise wider growth and development benefits. These skills go beyond the technical extractive skills required in the private sector, span many disciplines and are needed throughout the public and not-for profit sectors. </w:t>
      </w:r>
    </w:p>
    <w:p w14:paraId="499CCDBD" w14:textId="77777777" w:rsidR="00F63E45" w:rsidRDefault="000F5341" w:rsidP="00B10454">
      <w:pPr>
        <w:pStyle w:val="BodyText"/>
        <w:spacing w:before="0"/>
      </w:pPr>
      <w:r>
        <w:t xml:space="preserve">According to the </w:t>
      </w:r>
      <w:r w:rsidRPr="00D341FF">
        <w:t>Organisation for Economic Co-</w:t>
      </w:r>
      <w:r>
        <w:t xml:space="preserve">operation and </w:t>
      </w:r>
      <w:r w:rsidRPr="003B01E1">
        <w:t>Development (OECD), 62</w:t>
      </w:r>
      <w:r>
        <w:t>% of African countries experience value-chain limitations due to skills gaps, and 52% of African countries possess insufficient skills for innovation to occur.</w:t>
      </w:r>
      <w:r>
        <w:rPr>
          <w:bCs/>
        </w:rPr>
        <w:t xml:space="preserve"> B</w:t>
      </w:r>
      <w:r>
        <w:t>y 2050, Africans will account for 25% of the world’s workers</w:t>
      </w:r>
      <w:r w:rsidR="00233396">
        <w:rPr>
          <w:rStyle w:val="FootnoteReference"/>
        </w:rPr>
        <w:footnoteReference w:id="8"/>
      </w:r>
      <w:r>
        <w:t xml:space="preserve"> and this workforce will need to capitalise on direct and indirect extractive sector employment opportunities for economic growth to be maintained.</w:t>
      </w:r>
      <w:r w:rsidR="00F10714">
        <w:rPr>
          <w:rStyle w:val="FootnoteReference"/>
        </w:rPr>
        <w:footnoteReference w:id="9"/>
      </w:r>
      <w:r>
        <w:t xml:space="preserve"> However, skills shortages have been identified as the number one ranked business risk for the extractive sector over the last six years.</w:t>
      </w:r>
      <w:r w:rsidR="00F10714">
        <w:rPr>
          <w:rStyle w:val="FootnoteReference"/>
        </w:rPr>
        <w:footnoteReference w:id="10"/>
      </w:r>
      <w:r>
        <w:t xml:space="preserve"> </w:t>
      </w:r>
    </w:p>
    <w:p w14:paraId="1F8D99D0" w14:textId="77777777" w:rsidR="000F5341" w:rsidRDefault="000F5341" w:rsidP="00B10454">
      <w:pPr>
        <w:pStyle w:val="BodyText"/>
        <w:spacing w:before="0"/>
        <w:rPr>
          <w:bCs/>
        </w:rPr>
      </w:pPr>
      <w:r>
        <w:rPr>
          <w:bCs/>
        </w:rPr>
        <w:t>This disconnect has been caused in large part by: (</w:t>
      </w:r>
      <w:proofErr w:type="spellStart"/>
      <w:r>
        <w:rPr>
          <w:bCs/>
        </w:rPr>
        <w:t>i</w:t>
      </w:r>
      <w:proofErr w:type="spellEnd"/>
      <w:r>
        <w:rPr>
          <w:bCs/>
        </w:rPr>
        <w:t>) a lack of robust policy and workforce planning that is responsive to industry and government skilling needs, without which governments and companies cannot adequately connect, prepare, train and employ workers; and (ii) weak capacity of educational and technical</w:t>
      </w:r>
      <w:r w:rsidR="001B7DCB">
        <w:rPr>
          <w:bCs/>
        </w:rPr>
        <w:t xml:space="preserve"> / </w:t>
      </w:r>
      <w:r>
        <w:rPr>
          <w:bCs/>
        </w:rPr>
        <w:t xml:space="preserve">vocational training institutions to deliver the quality and quantity of skilled workers to the market. </w:t>
      </w:r>
      <w:r>
        <w:t>The</w:t>
      </w:r>
      <w:r>
        <w:rPr>
          <w:bCs/>
        </w:rPr>
        <w:t xml:space="preserve"> divide between the needs of the industry and the skills produced by regional and national skills institutions needs to be rectified </w:t>
      </w:r>
      <w:r>
        <w:t>through improved collaboration and joint planning between the public and private sectors, better capacitated African education and training institutions</w:t>
      </w:r>
      <w:r w:rsidR="00750FC3">
        <w:t>, and enhanced planning and workforce planning capability in government</w:t>
      </w:r>
      <w:r>
        <w:t xml:space="preserve">. </w:t>
      </w:r>
    </w:p>
    <w:p w14:paraId="16528559" w14:textId="77777777" w:rsidR="00F63E45" w:rsidRPr="00B10454" w:rsidRDefault="000F5341" w:rsidP="00B10454">
      <w:pPr>
        <w:pStyle w:val="BodyText"/>
        <w:spacing w:after="0"/>
        <w:rPr>
          <w:b/>
          <w:i/>
        </w:rPr>
      </w:pPr>
      <w:r w:rsidRPr="00B10454">
        <w:rPr>
          <w:b/>
          <w:i/>
        </w:rPr>
        <w:t>Problem 2: Weak Extractive and Community Partnerships</w:t>
      </w:r>
    </w:p>
    <w:p w14:paraId="76D2776D" w14:textId="77777777" w:rsidR="00F63E45" w:rsidRDefault="000F5341" w:rsidP="00B10454">
      <w:pPr>
        <w:pStyle w:val="BodyText"/>
        <w:spacing w:before="0"/>
      </w:pPr>
      <w:r>
        <w:t xml:space="preserve">While the extractive sector can help build resilient local economies and communities, the competing priorities of </w:t>
      </w:r>
      <w:r w:rsidRPr="00AE0607">
        <w:rPr>
          <w:color w:val="000000"/>
        </w:rPr>
        <w:t>governm</w:t>
      </w:r>
      <w:r>
        <w:rPr>
          <w:color w:val="000000"/>
        </w:rPr>
        <w:t>ents, communities and companies</w:t>
      </w:r>
      <w:r w:rsidRPr="00AE0607">
        <w:rPr>
          <w:color w:val="000000"/>
        </w:rPr>
        <w:t xml:space="preserve"> often prevent the local economic growth and poverty reduction dividends of </w:t>
      </w:r>
      <w:r>
        <w:rPr>
          <w:color w:val="000000"/>
        </w:rPr>
        <w:t>extractive activities</w:t>
      </w:r>
      <w:r w:rsidRPr="00AE0607">
        <w:rPr>
          <w:color w:val="000000"/>
        </w:rPr>
        <w:t xml:space="preserve"> being realised. There </w:t>
      </w:r>
      <w:r>
        <w:rPr>
          <w:color w:val="000000"/>
        </w:rPr>
        <w:t>is</w:t>
      </w:r>
      <w:r w:rsidRPr="00AE0607">
        <w:rPr>
          <w:color w:val="000000"/>
        </w:rPr>
        <w:t xml:space="preserve"> a range of reasons for this: information, power and capacity asymmetries (both communities and companies experience this</w:t>
      </w:r>
      <w:r w:rsidR="00825C64">
        <w:rPr>
          <w:color w:val="000000"/>
        </w:rPr>
        <w:t>);</w:t>
      </w:r>
      <w:r w:rsidR="00750FC3" w:rsidRPr="00750FC3">
        <w:rPr>
          <w:rFonts w:cs="Arial"/>
          <w:color w:val="000000"/>
        </w:rPr>
        <w:t xml:space="preserve"> </w:t>
      </w:r>
      <w:r w:rsidR="00750FC3">
        <w:rPr>
          <w:rFonts w:cs="Arial"/>
          <w:color w:val="000000"/>
        </w:rPr>
        <w:t xml:space="preserve">lack of coordination and planning between government </w:t>
      </w:r>
      <w:r w:rsidR="00825C64">
        <w:rPr>
          <w:rFonts w:cs="Arial"/>
          <w:color w:val="000000"/>
        </w:rPr>
        <w:t xml:space="preserve">at </w:t>
      </w:r>
      <w:r w:rsidR="00750FC3">
        <w:rPr>
          <w:rFonts w:cs="Arial"/>
          <w:color w:val="000000"/>
        </w:rPr>
        <w:t xml:space="preserve">both local and national </w:t>
      </w:r>
      <w:r w:rsidR="00825C64">
        <w:rPr>
          <w:rFonts w:cs="Arial"/>
          <w:color w:val="000000"/>
        </w:rPr>
        <w:t>levels</w:t>
      </w:r>
      <w:r w:rsidR="00FF3B74">
        <w:rPr>
          <w:rFonts w:cs="Arial"/>
          <w:color w:val="000000"/>
        </w:rPr>
        <w:t>)</w:t>
      </w:r>
      <w:r w:rsidR="00825C64">
        <w:rPr>
          <w:rFonts w:cs="Arial"/>
          <w:color w:val="000000"/>
        </w:rPr>
        <w:t xml:space="preserve"> </w:t>
      </w:r>
      <w:r w:rsidR="00750FC3">
        <w:rPr>
          <w:rFonts w:cs="Arial"/>
          <w:color w:val="000000"/>
        </w:rPr>
        <w:t>and companies’</w:t>
      </w:r>
      <w:r w:rsidR="00FF3B74">
        <w:rPr>
          <w:rFonts w:cs="Arial"/>
          <w:color w:val="000000"/>
        </w:rPr>
        <w:t xml:space="preserve"> varying approaches</w:t>
      </w:r>
      <w:r w:rsidR="009A731A">
        <w:rPr>
          <w:rFonts w:cs="Arial"/>
          <w:color w:val="000000"/>
        </w:rPr>
        <w:t xml:space="preserve"> </w:t>
      </w:r>
      <w:r w:rsidRPr="00AE0607">
        <w:rPr>
          <w:color w:val="000000"/>
        </w:rPr>
        <w:t>to Corporate Social Responsibility</w:t>
      </w:r>
      <w:r w:rsidR="00750FC3">
        <w:rPr>
          <w:color w:val="000000"/>
        </w:rPr>
        <w:t xml:space="preserve"> initiatives</w:t>
      </w:r>
      <w:r w:rsidRPr="00AE0607">
        <w:rPr>
          <w:color w:val="000000"/>
        </w:rPr>
        <w:t xml:space="preserve">; lack of community engagement in strategy development; weak partnerships; exacerbation of existing inequalities (gender equality); lack of access and capacity in local markets; failure </w:t>
      </w:r>
      <w:r>
        <w:t xml:space="preserve">to coordinate across communities and districts; and absence of appropriate dispute resolution processes. Local communities expect to reap a share of the benefits of developing their natural resources, and to minimise the negative social and environmental aspects of extractive industry involvement. </w:t>
      </w:r>
    </w:p>
    <w:p w14:paraId="033C9779" w14:textId="77777777" w:rsidR="00F63E45" w:rsidRDefault="000F5341" w:rsidP="00B10454">
      <w:pPr>
        <w:pStyle w:val="BodyText"/>
        <w:spacing w:before="0"/>
      </w:pPr>
      <w:r>
        <w:t>Extractive companies are increasingly cognisant of the need to retain their social license to operate (</w:t>
      </w:r>
      <w:r w:rsidR="002A7736">
        <w:t>fourth</w:t>
      </w:r>
      <w:r>
        <w:t xml:space="preserve"> biggest risk to the sector in 2013</w:t>
      </w:r>
      <w:r w:rsidR="00A5121D">
        <w:t>–201</w:t>
      </w:r>
      <w:r>
        <w:t>4).</w:t>
      </w:r>
      <w:r w:rsidR="00233396">
        <w:rPr>
          <w:rStyle w:val="FootnoteReference"/>
        </w:rPr>
        <w:footnoteReference w:id="11"/>
      </w:r>
      <w:r>
        <w:t xml:space="preserve"> Extractive companies can make substantial contributions to local employment and supply chains. Between 40-80% of revenue created in the extractive sector is spent on the procurement of goods and services, often exceeding tax and royalty payments.</w:t>
      </w:r>
      <w:r w:rsidR="00233396">
        <w:rPr>
          <w:rStyle w:val="FootnoteReference"/>
        </w:rPr>
        <w:footnoteReference w:id="12"/>
      </w:r>
      <w:r>
        <w:t xml:space="preserve"> </w:t>
      </w:r>
    </w:p>
    <w:p w14:paraId="468BAEA2" w14:textId="77777777" w:rsidR="00F63E45" w:rsidRDefault="000F5341" w:rsidP="00B10454">
      <w:pPr>
        <w:pStyle w:val="BodyText"/>
        <w:spacing w:before="0"/>
      </w:pPr>
      <w:r>
        <w:t>According to the OECD however, 55% of African countries have local suppliers that are not competitive on price or performance,</w:t>
      </w:r>
      <w:r w:rsidR="00233396">
        <w:rPr>
          <w:rStyle w:val="FootnoteReference"/>
        </w:rPr>
        <w:footnoteReference w:id="13"/>
      </w:r>
      <w:r>
        <w:t xml:space="preserve"> suggesting an important need to build the capacity of local SME</w:t>
      </w:r>
      <w:r w:rsidR="00690CDA">
        <w:t>s</w:t>
      </w:r>
      <w:r>
        <w:t>. As exploration and production increasingly shift to frontier markets,</w:t>
      </w:r>
      <w:r w:rsidR="00233396">
        <w:rPr>
          <w:rStyle w:val="FootnoteReference"/>
        </w:rPr>
        <w:footnoteReference w:id="14"/>
      </w:r>
      <w:r>
        <w:t xml:space="preserve"> companies, governments and communities can reframe their mission to create mutually advantageous partnerships, where communities are informed and have real opportunities to influence decision making</w:t>
      </w:r>
      <w:r w:rsidR="00750FC3">
        <w:t xml:space="preserve"> </w:t>
      </w:r>
      <w:r w:rsidR="00750FC3">
        <w:rPr>
          <w:rFonts w:cs="Arial"/>
        </w:rPr>
        <w:t>and where people</w:t>
      </w:r>
      <w:r w:rsidR="00C52499">
        <w:rPr>
          <w:rFonts w:cs="Arial"/>
        </w:rPr>
        <w:t>,</w:t>
      </w:r>
      <w:r w:rsidR="00750FC3">
        <w:rPr>
          <w:rFonts w:cs="Arial"/>
        </w:rPr>
        <w:t xml:space="preserve"> especially the most vulnerable</w:t>
      </w:r>
      <w:r w:rsidR="00C52499">
        <w:rPr>
          <w:rFonts w:cs="Arial"/>
        </w:rPr>
        <w:t>,</w:t>
      </w:r>
      <w:r w:rsidR="00750FC3">
        <w:rPr>
          <w:rFonts w:cs="Arial"/>
        </w:rPr>
        <w:t xml:space="preserve"> are placed at the centre</w:t>
      </w:r>
      <w:r>
        <w:t>.</w:t>
      </w:r>
      <w:r w:rsidR="005B3032">
        <w:t xml:space="preserve"> </w:t>
      </w:r>
    </w:p>
    <w:p w14:paraId="77B76719" w14:textId="77777777" w:rsidR="00F27C1D" w:rsidRPr="00B23781" w:rsidRDefault="00F27C1D" w:rsidP="00B10454">
      <w:pPr>
        <w:pStyle w:val="BodyText"/>
        <w:spacing w:before="0"/>
        <w:rPr>
          <w:rFonts w:cs="Arial"/>
          <w:color w:val="000000"/>
        </w:rPr>
      </w:pPr>
      <w:r>
        <w:t>Opportunities therefore exist to maximise synergies between the extractive sector and other sectors, such as agriculture</w:t>
      </w:r>
      <w:r w:rsidR="00C52499">
        <w:t>.</w:t>
      </w:r>
      <w:r>
        <w:t xml:space="preserve"> </w:t>
      </w:r>
      <w:r w:rsidR="00C52499">
        <w:t>C</w:t>
      </w:r>
      <w:r>
        <w:t>ommunity partnerships</w:t>
      </w:r>
      <w:r w:rsidR="00865A19">
        <w:t xml:space="preserve"> in the extractive sector</w:t>
      </w:r>
      <w:r>
        <w:t xml:space="preserve">, for example, </w:t>
      </w:r>
      <w:r w:rsidR="0055016F">
        <w:t>c</w:t>
      </w:r>
      <w:r>
        <w:t xml:space="preserve">ould </w:t>
      </w:r>
      <w:r w:rsidR="00865A19">
        <w:t>involve</w:t>
      </w:r>
      <w:r>
        <w:t xml:space="preserve"> to communities selling produce to extractive industry clients</w:t>
      </w:r>
      <w:r w:rsidR="00865A19">
        <w:t>, thereby affording synergies between extractive and agricultural sectors.</w:t>
      </w:r>
      <w:r w:rsidR="005B3032">
        <w:t xml:space="preserve"> </w:t>
      </w:r>
      <w:r w:rsidR="00865A19">
        <w:t>Such intersections provide opportunities for extractive sector activities to contribute to the livelihoods of community members, and help to drive sustainable economic development.</w:t>
      </w:r>
    </w:p>
    <w:p w14:paraId="51FB30A7" w14:textId="77777777" w:rsidR="00F63E45" w:rsidRPr="00B10454" w:rsidRDefault="000F5341" w:rsidP="00B10454">
      <w:pPr>
        <w:pStyle w:val="BodyText"/>
        <w:spacing w:after="0"/>
        <w:rPr>
          <w:b/>
          <w:i/>
        </w:rPr>
      </w:pPr>
      <w:r w:rsidRPr="00B10454">
        <w:rPr>
          <w:b/>
          <w:i/>
        </w:rPr>
        <w:t>Problem 3: Weak Enabling Environment</w:t>
      </w:r>
    </w:p>
    <w:p w14:paraId="2C865933" w14:textId="6C09EA2A" w:rsidR="000F5341" w:rsidRDefault="000F5341" w:rsidP="00B10454">
      <w:pPr>
        <w:pStyle w:val="BodyText"/>
        <w:spacing w:before="0"/>
      </w:pPr>
      <w:r>
        <w:t xml:space="preserve">African countries have much to gain from ensuring that their extractive sectors are well managed and globally competitive – that is, that an appropriate enabling environment is in place. Causes of a weak enabling environment are inextricably linked to skills development </w:t>
      </w:r>
      <w:r w:rsidR="00750FC3">
        <w:rPr>
          <w:rFonts w:cs="Arial"/>
          <w:szCs w:val="20"/>
        </w:rPr>
        <w:t>particularly in areas of resource governance</w:t>
      </w:r>
      <w:r>
        <w:t xml:space="preserve">, compounded by a lack of understanding between industry and government on respective decision making timeframes and motivational drivers. Issues in Africa that underpin a competitive extractive sector include: </w:t>
      </w:r>
    </w:p>
    <w:p w14:paraId="3918CDE6" w14:textId="77777777" w:rsidR="000F5341" w:rsidRDefault="000F5341" w:rsidP="009A46E5">
      <w:pPr>
        <w:pStyle w:val="List-bullet-1"/>
        <w:tabs>
          <w:tab w:val="clear" w:pos="720"/>
        </w:tabs>
        <w:ind w:left="270" w:hanging="270"/>
      </w:pPr>
      <w:r w:rsidRPr="009A6DAB">
        <w:rPr>
          <w:b/>
        </w:rPr>
        <w:t>Political</w:t>
      </w:r>
      <w:r w:rsidR="001B7DCB">
        <w:rPr>
          <w:b/>
        </w:rPr>
        <w:t xml:space="preserve"> / </w:t>
      </w:r>
      <w:r w:rsidRPr="009A6DAB">
        <w:rPr>
          <w:b/>
        </w:rPr>
        <w:t>regulatory risk</w:t>
      </w:r>
      <w:r>
        <w:t xml:space="preserve"> can sometimes represent almost 40% of the value of the host government ‘take’.</w:t>
      </w:r>
      <w:r w:rsidR="00233396">
        <w:rPr>
          <w:rStyle w:val="FootnoteReference"/>
        </w:rPr>
        <w:footnoteReference w:id="15"/>
      </w:r>
      <w:r>
        <w:t xml:space="preserve"> This significantly weakens both the competitiveness and attractiveness of the country for Foreign Direct Investment and the economic growth dividends for citizens. Governments can reduce risk by setting frameworks that balance government objectives with improved certainty for investment, helping industry assess rates of return (e.g. to develop clearer legislative frameworks, to understand and negotiate contracts, ensuring that the contracts are fair and seen to be fair, and to protect the environment and communities from adverse impacts from extractive sector developments). </w:t>
      </w:r>
    </w:p>
    <w:p w14:paraId="079FB844" w14:textId="77777777" w:rsidR="000F5341" w:rsidRDefault="000F5341" w:rsidP="009A46E5">
      <w:pPr>
        <w:pStyle w:val="List-bullet-1"/>
        <w:tabs>
          <w:tab w:val="clear" w:pos="720"/>
        </w:tabs>
        <w:ind w:left="270" w:hanging="270"/>
      </w:pPr>
      <w:r w:rsidRPr="009A6DAB">
        <w:rPr>
          <w:b/>
        </w:rPr>
        <w:t>Fiscal policy</w:t>
      </w:r>
      <w:r>
        <w:t xml:space="preserve">, by which governments determine the share of resource rents they take, is an important tool to influence the competitiveness of their resources sectors and the equitable distribution of benefits to its citizens. However, governments often fail to take into account the fundamental trade-off between revenue and a competitive extractive industry. In some cases, governments’ and citizens’ perceptions around a failure to capture a ‘fair share’ of resource rents has led to </w:t>
      </w:r>
      <w:r w:rsidR="002C423B">
        <w:t xml:space="preserve">resource </w:t>
      </w:r>
      <w:r>
        <w:t>nationalis</w:t>
      </w:r>
      <w:r w:rsidR="002C423B">
        <w:t xml:space="preserve">m </w:t>
      </w:r>
      <w:r>
        <w:t>(</w:t>
      </w:r>
      <w:r w:rsidR="002A7736">
        <w:t>third</w:t>
      </w:r>
      <w:r>
        <w:t xml:space="preserve"> biggest business risk for the sector in 2013</w:t>
      </w:r>
      <w:r w:rsidR="00A5121D">
        <w:t>–201</w:t>
      </w:r>
      <w:r>
        <w:t>4)</w:t>
      </w:r>
      <w:r w:rsidR="00233396">
        <w:rPr>
          <w:rStyle w:val="FootnoteReference"/>
        </w:rPr>
        <w:footnoteReference w:id="16"/>
      </w:r>
      <w:r>
        <w:t>, which can precipitate a fall in investment and growth.</w:t>
      </w:r>
      <w:r w:rsidR="00233396">
        <w:rPr>
          <w:rStyle w:val="FootnoteReference"/>
        </w:rPr>
        <w:footnoteReference w:id="17"/>
      </w:r>
      <w:r>
        <w:t xml:space="preserve"> Weak government capacity to conceive and negotiate contracts can result in substantial loss of public revenue; natural resource degradation and depletion; loss of access to resources for local communities; and the non-achievement of larger development goals of a country. </w:t>
      </w:r>
    </w:p>
    <w:p w14:paraId="156CB5AA" w14:textId="77777777" w:rsidR="000F5341" w:rsidRDefault="000F5341" w:rsidP="009A46E5">
      <w:pPr>
        <w:pStyle w:val="List-bullet-1"/>
        <w:tabs>
          <w:tab w:val="clear" w:pos="720"/>
        </w:tabs>
        <w:ind w:left="270" w:hanging="270"/>
      </w:pPr>
      <w:r>
        <w:t xml:space="preserve">The </w:t>
      </w:r>
      <w:r w:rsidRPr="009A6DAB">
        <w:rPr>
          <w:b/>
        </w:rPr>
        <w:t>infrastructure gap</w:t>
      </w:r>
      <w:r>
        <w:t xml:space="preserve"> is a key constraint to extractive sector development in Africa. Extractive companies are expected to invest almost $2 trillion in infrastructure in resource driven economies to 2030</w:t>
      </w:r>
      <w:r w:rsidR="00233396">
        <w:rPr>
          <w:rStyle w:val="FootnoteReference"/>
        </w:rPr>
        <w:footnoteReference w:id="18"/>
      </w:r>
      <w:r>
        <w:t xml:space="preserve">, which if adequately planned and managed (e.g. through shared infrastructure and public-private partnership models) could be leveraged to broaden and diversify economic growth in non-extractive sectors such as agriculture, manufacturing and services. The need for strong infrastructure planning and management relies on adequate public sector capacity, which when weak can be as significant a contributor to Africa’s infrastructure gap as access to finance. </w:t>
      </w:r>
    </w:p>
    <w:p w14:paraId="0681EDA3" w14:textId="77777777" w:rsidR="000F5341" w:rsidRPr="008D5BC9" w:rsidRDefault="000F5341" w:rsidP="0049688D">
      <w:pPr>
        <w:pStyle w:val="Heading2"/>
        <w:spacing w:after="0"/>
        <w:jc w:val="both"/>
      </w:pPr>
      <w:bookmarkStart w:id="17" w:name="_Toc399150500"/>
      <w:bookmarkStart w:id="18" w:name="_Toc401578416"/>
      <w:r w:rsidRPr="008D5BC9">
        <w:t>What others are doing to address the problem</w:t>
      </w:r>
      <w:bookmarkEnd w:id="17"/>
      <w:bookmarkEnd w:id="18"/>
    </w:p>
    <w:p w14:paraId="41864681" w14:textId="77777777" w:rsidR="00F63E45" w:rsidRDefault="000F5341" w:rsidP="0049688D">
      <w:pPr>
        <w:pStyle w:val="BodyText"/>
        <w:spacing w:before="0"/>
      </w:pPr>
      <w:r>
        <w:t xml:space="preserve">Key donors have developed </w:t>
      </w:r>
      <w:r w:rsidR="0025246F">
        <w:t>extractive</w:t>
      </w:r>
      <w:r>
        <w:t xml:space="preserve"> programs with a similar overarching objective to Australia (</w:t>
      </w:r>
      <w:r>
        <w:rPr>
          <w:i/>
        </w:rPr>
        <w:t>to leverage mineral wealth for development benefits</w:t>
      </w:r>
      <w:r>
        <w:t xml:space="preserve">). In addition to Norway’s successful ‘Oil for Development’ program, Canadian DFATD, UK </w:t>
      </w:r>
      <w:proofErr w:type="spellStart"/>
      <w:r>
        <w:t>DfID</w:t>
      </w:r>
      <w:proofErr w:type="spellEnd"/>
      <w:r>
        <w:t>, German BMZ</w:t>
      </w:r>
      <w:r w:rsidR="001B7DCB">
        <w:t xml:space="preserve"> / </w:t>
      </w:r>
      <w:r>
        <w:t xml:space="preserve">GIZ, UNDP and civil society organisations (e.g. Revenue Watch, Oxfam </w:t>
      </w:r>
      <w:r w:rsidR="009A6DAB">
        <w:t>etc.</w:t>
      </w:r>
      <w:r>
        <w:t xml:space="preserve">) have initiatives focussed on </w:t>
      </w:r>
      <w:r w:rsidR="0025246F">
        <w:t>extractive</w:t>
      </w:r>
      <w:r>
        <w:t xml:space="preserve"> management to strengthen development. Some donors (particularly UK and Canada) have shown an interest in coordinating and co-funding programs with Australia. The development banks (World Bank and African Development Bank) often have a significant infrastructure component to their programs. Donor assistance for skills development is increasing, and Australia is well placed to play an influential role through our proposed investments. </w:t>
      </w:r>
    </w:p>
    <w:p w14:paraId="574B96DB" w14:textId="77777777" w:rsidR="00F63E45" w:rsidRDefault="000F5341" w:rsidP="0049688D">
      <w:pPr>
        <w:pStyle w:val="BodyText"/>
        <w:spacing w:before="0"/>
      </w:pPr>
      <w:r>
        <w:t xml:space="preserve">In contrast to the relatively nascent engagement of donors on </w:t>
      </w:r>
      <w:r w:rsidR="0025246F">
        <w:t>extractive</w:t>
      </w:r>
      <w:r>
        <w:t xml:space="preserve"> work in Africa, many extractive companies and industry bodies have a long history of driving economic growth and development as part of their core business. The total industry-spend on skilling and community development far outweighs the cumulative spend by </w:t>
      </w:r>
      <w:r w:rsidR="005B3032">
        <w:t>governments or donors. In South </w:t>
      </w:r>
      <w:r>
        <w:t>Africa in 2012, the top ten extractive companies spent $500 million on</w:t>
      </w:r>
      <w:r w:rsidR="005B3032">
        <w:t xml:space="preserve"> ‘</w:t>
      </w:r>
      <w:proofErr w:type="spellStart"/>
      <w:r w:rsidR="005B3032">
        <w:t>learnership</w:t>
      </w:r>
      <w:proofErr w:type="spellEnd"/>
      <w:r w:rsidR="005B3032">
        <w:t xml:space="preserve"> programmes’, $175 </w:t>
      </w:r>
      <w:r>
        <w:t>million on Adult Basic Education and Training and a further $760 million on artisans training and other human resource development initiatives.</w:t>
      </w:r>
      <w:r w:rsidR="00233396">
        <w:rPr>
          <w:rStyle w:val="FootnoteReference"/>
        </w:rPr>
        <w:footnoteReference w:id="19"/>
      </w:r>
      <w:r>
        <w:t xml:space="preserve"> </w:t>
      </w:r>
    </w:p>
    <w:p w14:paraId="09E74127" w14:textId="77777777" w:rsidR="000F5341" w:rsidRDefault="000F5341" w:rsidP="0049688D">
      <w:pPr>
        <w:pStyle w:val="BodyText"/>
        <w:spacing w:before="0"/>
        <w:rPr>
          <w:rFonts w:cs="Arial"/>
        </w:rPr>
      </w:pPr>
      <w:r>
        <w:t>In a context of constrained financial resources, innovative partnerships with the private sector can increase the volume of Australia’s development finance and leverage extractive companies’ experience.</w:t>
      </w:r>
    </w:p>
    <w:p w14:paraId="07BB36BC" w14:textId="77777777" w:rsidR="000F5341" w:rsidRPr="0043715C" w:rsidRDefault="000F5341" w:rsidP="00184CFB">
      <w:pPr>
        <w:pStyle w:val="Heading2"/>
        <w:spacing w:after="0"/>
        <w:jc w:val="both"/>
      </w:pPr>
      <w:bookmarkStart w:id="19" w:name="_Toc399150501"/>
      <w:bookmarkStart w:id="20" w:name="_Toc401578417"/>
      <w:r w:rsidRPr="0043715C">
        <w:t>Lessons Learned</w:t>
      </w:r>
      <w:r w:rsidR="001B7DCB">
        <w:t xml:space="preserve"> / </w:t>
      </w:r>
      <w:r>
        <w:t>Evidence Base</w:t>
      </w:r>
      <w:bookmarkEnd w:id="19"/>
      <w:bookmarkEnd w:id="20"/>
    </w:p>
    <w:p w14:paraId="342F7B4D" w14:textId="77777777" w:rsidR="000F5341" w:rsidRPr="00630FD1" w:rsidRDefault="000F5341" w:rsidP="0049688D">
      <w:pPr>
        <w:pStyle w:val="BodyText"/>
        <w:spacing w:before="0"/>
      </w:pPr>
      <w:r w:rsidRPr="00630FD1">
        <w:t xml:space="preserve">Implementation of previous activities in the extractive sector through the AAPF </w:t>
      </w:r>
      <w:r>
        <w:t xml:space="preserve">have </w:t>
      </w:r>
      <w:r w:rsidR="002C423B">
        <w:t xml:space="preserve">demonstrated </w:t>
      </w:r>
      <w:r>
        <w:t>that effective engagement can take place</w:t>
      </w:r>
      <w:r w:rsidR="00F379F0">
        <w:t>, this was evidenced in part through the positive feedback from study tours and continued progress towards implementing positive changes by participants on return to their home countries</w:t>
      </w:r>
      <w:r>
        <w:t xml:space="preserve">. Similarly, the Australia Awards Program has garnered important evidence from the implementation of the awards program in Africa over a number of years. These lessons have informed this design and are described in </w:t>
      </w:r>
      <w:r w:rsidRPr="00790D49">
        <w:rPr>
          <w:sz w:val="19"/>
          <w:szCs w:val="19"/>
        </w:rPr>
        <w:t>Annex B</w:t>
      </w:r>
      <w:r w:rsidR="007810FE">
        <w:rPr>
          <w:sz w:val="19"/>
          <w:szCs w:val="19"/>
        </w:rPr>
        <w:t xml:space="preserve"> to this E4G Component IDD.</w:t>
      </w:r>
    </w:p>
    <w:p w14:paraId="1C9A0ADF" w14:textId="77777777" w:rsidR="000F5341" w:rsidRPr="004749D6" w:rsidRDefault="000F5341" w:rsidP="00184CFB">
      <w:pPr>
        <w:pStyle w:val="Heading2"/>
        <w:spacing w:after="0"/>
        <w:jc w:val="both"/>
      </w:pPr>
      <w:bookmarkStart w:id="21" w:name="_Toc399150503"/>
      <w:bookmarkStart w:id="22" w:name="_Toc401578418"/>
      <w:bookmarkStart w:id="23" w:name="_Toc387590489"/>
      <w:r w:rsidRPr="004749D6">
        <w:t xml:space="preserve">Why DFAT should focus on </w:t>
      </w:r>
      <w:r w:rsidRPr="000F5341">
        <w:t>this</w:t>
      </w:r>
      <w:r w:rsidRPr="004749D6">
        <w:t xml:space="preserve"> problem at this time</w:t>
      </w:r>
      <w:bookmarkEnd w:id="21"/>
      <w:bookmarkEnd w:id="22"/>
    </w:p>
    <w:p w14:paraId="5C9FD4F1" w14:textId="77777777" w:rsidR="00F63E45" w:rsidRDefault="00F27C1D" w:rsidP="0049688D">
      <w:pPr>
        <w:pStyle w:val="BodyText"/>
        <w:spacing w:before="0"/>
        <w:rPr>
          <w:iCs/>
        </w:rPr>
      </w:pPr>
      <w:r>
        <w:t>African Governments have consistently sought Australian assistance with e</w:t>
      </w:r>
      <w:r w:rsidR="000F5341">
        <w:t xml:space="preserve">xtractive governance, including revenue management and contract negotiations, </w:t>
      </w:r>
      <w:r>
        <w:t>and extractive sector-related skills</w:t>
      </w:r>
      <w:r w:rsidR="000F5341">
        <w:t>. Strong and complementary rationales exist to focus on extractive governance to pursue d</w:t>
      </w:r>
      <w:r w:rsidR="000F5341">
        <w:rPr>
          <w:iCs/>
        </w:rPr>
        <w:t xml:space="preserve">evelopment, national interest and economic diplomacy (growth, trade, investment and business) objectives. If Australia decides not to invest and not engage in extractive governance in Africa, there is a risk that </w:t>
      </w:r>
      <w:r w:rsidR="002C423B">
        <w:rPr>
          <w:iCs/>
        </w:rPr>
        <w:t xml:space="preserve">the </w:t>
      </w:r>
      <w:r w:rsidR="000F5341">
        <w:rPr>
          <w:iCs/>
        </w:rPr>
        <w:t xml:space="preserve">space will be eagerly filled by others proactively driving their own interests, resulting in potential negative impacts on Australia’s interests and Africa’s development. </w:t>
      </w:r>
    </w:p>
    <w:p w14:paraId="7AB909C6" w14:textId="665899AE" w:rsidR="00F63E45" w:rsidRDefault="000F5341" w:rsidP="0049688D">
      <w:pPr>
        <w:pStyle w:val="BodyText"/>
        <w:spacing w:before="0"/>
        <w:rPr>
          <w:iCs/>
        </w:rPr>
      </w:pPr>
      <w:r>
        <w:rPr>
          <w:iCs/>
        </w:rPr>
        <w:t xml:space="preserve">In a constrained budget environment, focusing on extractive governance in Africa has the potential for the </w:t>
      </w:r>
      <w:proofErr w:type="spellStart"/>
      <w:r>
        <w:rPr>
          <w:iCs/>
        </w:rPr>
        <w:t>GoA</w:t>
      </w:r>
      <w:proofErr w:type="spellEnd"/>
      <w:r>
        <w:rPr>
          <w:iCs/>
        </w:rPr>
        <w:t xml:space="preserve"> to make the biggest development and growth impacts. Australia has significant interests in Africa</w:t>
      </w:r>
      <w:r w:rsidR="009A6DAB">
        <w:rPr>
          <w:iCs/>
        </w:rPr>
        <w:t xml:space="preserve"> – </w:t>
      </w:r>
      <w:r>
        <w:rPr>
          <w:iCs/>
        </w:rPr>
        <w:t>over 200 ASX-listed extractive companies are operating more than 700 projects across approximately 40 African countries. By helping create a level playing field in Africa</w:t>
      </w:r>
      <w:r w:rsidR="00E72C89">
        <w:rPr>
          <w:iCs/>
        </w:rPr>
        <w:t xml:space="preserve">, </w:t>
      </w:r>
      <w:r>
        <w:rPr>
          <w:iCs/>
        </w:rPr>
        <w:t xml:space="preserve">addressing key constraints to sector effectiveness in partnership with the private sector (e.g. skills development), extractive governance assistance </w:t>
      </w:r>
      <w:r w:rsidR="00E72C89">
        <w:rPr>
          <w:iCs/>
        </w:rPr>
        <w:t xml:space="preserve">will </w:t>
      </w:r>
      <w:r>
        <w:rPr>
          <w:iCs/>
        </w:rPr>
        <w:t xml:space="preserve">promote investment, growth and job creation in Africa and </w:t>
      </w:r>
      <w:r w:rsidR="00E72C89">
        <w:rPr>
          <w:iCs/>
        </w:rPr>
        <w:t xml:space="preserve">will not only </w:t>
      </w:r>
      <w:r>
        <w:rPr>
          <w:iCs/>
        </w:rPr>
        <w:t>help create private sector opportunities for Australian companies</w:t>
      </w:r>
      <w:r w:rsidR="00E72C89">
        <w:rPr>
          <w:iCs/>
        </w:rPr>
        <w:t xml:space="preserve"> but also provide important opportunities for community engagement and growth</w:t>
      </w:r>
      <w:r>
        <w:rPr>
          <w:iCs/>
        </w:rPr>
        <w:t xml:space="preserve">. </w:t>
      </w:r>
    </w:p>
    <w:p w14:paraId="27B8E42C" w14:textId="03D8A749" w:rsidR="002272EE" w:rsidRDefault="000F5341" w:rsidP="0049688D">
      <w:pPr>
        <w:pStyle w:val="BodyText"/>
        <w:spacing w:before="0"/>
        <w:rPr>
          <w:iCs/>
        </w:rPr>
      </w:pPr>
      <w:r>
        <w:rPr>
          <w:iCs/>
        </w:rPr>
        <w:t>A continued strong engagement on extractive governance helps position Australia to take advantage of and influence Africa’s resources policies</w:t>
      </w:r>
      <w:r w:rsidR="00E72C89">
        <w:rPr>
          <w:iCs/>
        </w:rPr>
        <w:t>, both for its own benefit, and for the benefit of African countries and their citizens</w:t>
      </w:r>
      <w:r>
        <w:rPr>
          <w:iCs/>
        </w:rPr>
        <w:t>. Africa’s strategic importance continues to rise. GDP growth rates in S</w:t>
      </w:r>
      <w:r w:rsidR="00ED2B41">
        <w:rPr>
          <w:iCs/>
        </w:rPr>
        <w:t>ub Saharan Africa</w:t>
      </w:r>
      <w:r>
        <w:rPr>
          <w:iCs/>
        </w:rPr>
        <w:t xml:space="preserve"> are outstripping the rest of the world with around a quarter of the region’s economies growing by more than </w:t>
      </w:r>
      <w:r w:rsidR="008D5350">
        <w:rPr>
          <w:iCs/>
        </w:rPr>
        <w:t>5</w:t>
      </w:r>
      <w:r>
        <w:rPr>
          <w:iCs/>
        </w:rPr>
        <w:t>% in 2012,</w:t>
      </w:r>
      <w:r w:rsidR="00233396">
        <w:rPr>
          <w:rStyle w:val="FootnoteReference"/>
          <w:iCs/>
        </w:rPr>
        <w:footnoteReference w:id="20"/>
      </w:r>
      <w:r>
        <w:rPr>
          <w:iCs/>
        </w:rPr>
        <w:t xml:space="preserve"> and some African countries are anticipated to achieve middle income status by 2025. A growing and investor-friendly Africa is good for Australian business (beyond extractive), and is feeding China’s growth (Chinese-African trade is estimated at around $160 billion).</w:t>
      </w:r>
      <w:r w:rsidR="00233396">
        <w:rPr>
          <w:rStyle w:val="FootnoteReference"/>
          <w:iCs/>
        </w:rPr>
        <w:footnoteReference w:id="21"/>
      </w:r>
      <w:r>
        <w:rPr>
          <w:iCs/>
        </w:rPr>
        <w:t xml:space="preserve"> A common interest in Africa’s development can help drive stronger Australia-Asia ties, especially due to the growing number of joint ventures.</w:t>
      </w:r>
      <w:r w:rsidR="00233396">
        <w:rPr>
          <w:rStyle w:val="FootnoteReference"/>
          <w:iCs/>
        </w:rPr>
        <w:footnoteReference w:id="22"/>
      </w:r>
      <w:r>
        <w:rPr>
          <w:iCs/>
        </w:rPr>
        <w:t xml:space="preserve"> Africa is also home to a number of Australia’s strategic political relationships. The extractive assistance program has increased Australia’s profile as an engaged and flexible partner to governments and regional organisations in Africa</w:t>
      </w:r>
      <w:r w:rsidR="00E72C89">
        <w:rPr>
          <w:iCs/>
        </w:rPr>
        <w:t>, as well as African communities’ perceptions of Australia’s contribution to their economic growth</w:t>
      </w:r>
      <w:r>
        <w:rPr>
          <w:iCs/>
        </w:rPr>
        <w:t xml:space="preserve">. </w:t>
      </w:r>
    </w:p>
    <w:p w14:paraId="7B162D8B" w14:textId="77777777" w:rsidR="002272EE" w:rsidRDefault="002272EE" w:rsidP="0049688D">
      <w:pPr>
        <w:pStyle w:val="BodyText"/>
        <w:spacing w:before="0"/>
        <w:rPr>
          <w:iCs/>
        </w:rPr>
      </w:pPr>
    </w:p>
    <w:p w14:paraId="1CDE2B3A" w14:textId="77777777" w:rsidR="000F5341" w:rsidRPr="004749D6" w:rsidRDefault="00617617" w:rsidP="002272EE">
      <w:pPr>
        <w:pStyle w:val="Heading1"/>
        <w:pageBreakBefore w:val="0"/>
        <w:ind w:left="850" w:hanging="850"/>
        <w:jc w:val="both"/>
      </w:pPr>
      <w:bookmarkStart w:id="24" w:name="_Toc401578419"/>
      <w:r>
        <w:t xml:space="preserve">E4G Component </w:t>
      </w:r>
      <w:r w:rsidR="000F5341" w:rsidRPr="004749D6">
        <w:t>Investment Description</w:t>
      </w:r>
      <w:bookmarkEnd w:id="23"/>
      <w:bookmarkEnd w:id="24"/>
    </w:p>
    <w:p w14:paraId="122D221F" w14:textId="77777777" w:rsidR="00D25C9A" w:rsidRDefault="00D25C9A" w:rsidP="002B1210">
      <w:pPr>
        <w:pStyle w:val="Heading2"/>
        <w:jc w:val="both"/>
      </w:pPr>
      <w:bookmarkStart w:id="25" w:name="_Toc401578420"/>
      <w:bookmarkStart w:id="26" w:name="_Toc399150506"/>
      <w:bookmarkStart w:id="27" w:name="_Toc387590490"/>
      <w:r w:rsidRPr="0038501C">
        <w:t>Description</w:t>
      </w:r>
      <w:bookmarkEnd w:id="25"/>
    </w:p>
    <w:p w14:paraId="6882AEC4" w14:textId="77777777" w:rsidR="00D25C9A" w:rsidRDefault="00D25C9A" w:rsidP="002B1210">
      <w:pPr>
        <w:pStyle w:val="BodyText"/>
      </w:pPr>
      <w:r w:rsidRPr="00632E03">
        <w:t>The E4G Component p</w:t>
      </w:r>
      <w:r w:rsidRPr="00A12A07">
        <w:t xml:space="preserve">rovides the framework for </w:t>
      </w:r>
      <w:proofErr w:type="spellStart"/>
      <w:r w:rsidR="0045239B">
        <w:t>GoA</w:t>
      </w:r>
      <w:proofErr w:type="spellEnd"/>
      <w:r w:rsidR="0045239B">
        <w:t xml:space="preserve"> supported </w:t>
      </w:r>
      <w:r w:rsidR="0025246F">
        <w:t>extractive</w:t>
      </w:r>
      <w:r>
        <w:t>-related activities:</w:t>
      </w:r>
    </w:p>
    <w:p w14:paraId="7877752F" w14:textId="77777777" w:rsidR="00D25C9A" w:rsidRPr="002F30BC" w:rsidRDefault="00D25C9A" w:rsidP="002F30BC">
      <w:pPr>
        <w:pStyle w:val="List-bullet-1"/>
      </w:pPr>
      <w:r w:rsidRPr="00A12A07">
        <w:t xml:space="preserve">in </w:t>
      </w:r>
      <w:r w:rsidRPr="002F30BC">
        <w:t xml:space="preserve">three </w:t>
      </w:r>
      <w:r w:rsidR="00EC38FF">
        <w:t>Focus Countries</w:t>
      </w:r>
      <w:r w:rsidRPr="002F30BC">
        <w:t xml:space="preserve"> (Mozambique, Tanzania, and Zambia) where we will have a deeper, longer-term engagement;</w:t>
      </w:r>
    </w:p>
    <w:p w14:paraId="19D78011" w14:textId="77777777" w:rsidR="00D25C9A" w:rsidRPr="002F30BC" w:rsidRDefault="00D25C9A" w:rsidP="002F30BC">
      <w:pPr>
        <w:pStyle w:val="List-bullet-1"/>
      </w:pPr>
      <w:r w:rsidRPr="002F30BC">
        <w:t xml:space="preserve">through shorter-term responsive activities across a larger group of </w:t>
      </w:r>
      <w:r w:rsidR="00EC38FF">
        <w:t>Target Countries</w:t>
      </w:r>
      <w:r w:rsidRPr="002F30BC">
        <w:t xml:space="preserve"> where we can leverage existing partnerships, Austral</w:t>
      </w:r>
      <w:r w:rsidR="005D6E98" w:rsidRPr="002F30BC">
        <w:t>ian expertise and Australian pri</w:t>
      </w:r>
      <w:r w:rsidRPr="002F30BC">
        <w:t>vate sector engagement; and</w:t>
      </w:r>
    </w:p>
    <w:p w14:paraId="7B58C68B" w14:textId="77777777" w:rsidR="00D25C9A" w:rsidRDefault="00D25C9A" w:rsidP="002F30BC">
      <w:pPr>
        <w:pStyle w:val="List-bullet-1"/>
      </w:pPr>
      <w:proofErr w:type="gramStart"/>
      <w:r w:rsidRPr="002F30BC">
        <w:t>at</w:t>
      </w:r>
      <w:proofErr w:type="gramEnd"/>
      <w:r w:rsidRPr="002F30BC">
        <w:t xml:space="preserve"> the regional level</w:t>
      </w:r>
      <w:r w:rsidRPr="00A12A07">
        <w:t>.</w:t>
      </w:r>
    </w:p>
    <w:p w14:paraId="17C5AF72" w14:textId="77777777" w:rsidR="00D25C9A" w:rsidRPr="004328D9" w:rsidRDefault="00D25C9A">
      <w:pPr>
        <w:spacing w:after="120"/>
        <w:jc w:val="both"/>
        <w:rPr>
          <w:rFonts w:cs="Arial"/>
          <w:szCs w:val="20"/>
        </w:rPr>
      </w:pPr>
      <w:r w:rsidRPr="003C0DBE">
        <w:rPr>
          <w:rFonts w:cs="Arial"/>
          <w:szCs w:val="20"/>
        </w:rPr>
        <w:t>T</w:t>
      </w:r>
      <w:r>
        <w:rPr>
          <w:rFonts w:cs="Arial"/>
          <w:szCs w:val="20"/>
        </w:rPr>
        <w:t xml:space="preserve">he E4G </w:t>
      </w:r>
      <w:r w:rsidR="009A731A">
        <w:rPr>
          <w:rFonts w:cs="Arial"/>
          <w:szCs w:val="20"/>
        </w:rPr>
        <w:t>C</w:t>
      </w:r>
      <w:r>
        <w:rPr>
          <w:rFonts w:cs="Arial"/>
          <w:szCs w:val="20"/>
        </w:rPr>
        <w:t xml:space="preserve">omponent </w:t>
      </w:r>
      <w:r w:rsidRPr="003C0DBE">
        <w:rPr>
          <w:rFonts w:cs="Arial"/>
          <w:szCs w:val="20"/>
        </w:rPr>
        <w:t>activities</w:t>
      </w:r>
      <w:r>
        <w:rPr>
          <w:rFonts w:cs="Arial"/>
          <w:szCs w:val="20"/>
        </w:rPr>
        <w:t xml:space="preserve"> will focus in the following areas: skills development, community partnerships and the enabling environment</w:t>
      </w:r>
      <w:r w:rsidRPr="003C0DBE">
        <w:rPr>
          <w:rFonts w:cs="Arial"/>
          <w:szCs w:val="20"/>
        </w:rPr>
        <w:t xml:space="preserve">. The </w:t>
      </w:r>
      <w:r>
        <w:rPr>
          <w:rFonts w:cs="Arial"/>
          <w:szCs w:val="20"/>
        </w:rPr>
        <w:t xml:space="preserve">E4G </w:t>
      </w:r>
      <w:r w:rsidR="00B47614">
        <w:rPr>
          <w:rFonts w:cs="Arial"/>
          <w:szCs w:val="20"/>
        </w:rPr>
        <w:t>C</w:t>
      </w:r>
      <w:r>
        <w:rPr>
          <w:rFonts w:cs="Arial"/>
          <w:szCs w:val="20"/>
        </w:rPr>
        <w:t xml:space="preserve">omponent </w:t>
      </w:r>
      <w:r w:rsidRPr="003C0DBE">
        <w:rPr>
          <w:rFonts w:cs="Arial"/>
          <w:szCs w:val="20"/>
        </w:rPr>
        <w:t xml:space="preserve">will harness </w:t>
      </w:r>
      <w:r>
        <w:rPr>
          <w:rFonts w:cs="Arial"/>
          <w:szCs w:val="20"/>
        </w:rPr>
        <w:t xml:space="preserve">Australia’s broad </w:t>
      </w:r>
      <w:r w:rsidRPr="003C0DBE">
        <w:rPr>
          <w:rFonts w:cs="Arial"/>
          <w:szCs w:val="20"/>
        </w:rPr>
        <w:t>extractive-related expertise</w:t>
      </w:r>
      <w:r>
        <w:rPr>
          <w:rFonts w:cs="Arial"/>
          <w:szCs w:val="20"/>
        </w:rPr>
        <w:t xml:space="preserve"> (private sector, government, NGO, research and training)</w:t>
      </w:r>
      <w:r w:rsidRPr="003C0DBE">
        <w:rPr>
          <w:rFonts w:cs="Arial"/>
          <w:szCs w:val="20"/>
        </w:rPr>
        <w:t>.</w:t>
      </w:r>
      <w:r>
        <w:rPr>
          <w:rFonts w:cs="Arial"/>
          <w:szCs w:val="20"/>
        </w:rPr>
        <w:t xml:space="preserve"> </w:t>
      </w:r>
      <w:r w:rsidRPr="004328D9">
        <w:rPr>
          <w:rFonts w:cs="Arial"/>
          <w:szCs w:val="20"/>
        </w:rPr>
        <w:t xml:space="preserve">Private sector engagement </w:t>
      </w:r>
      <w:r>
        <w:rPr>
          <w:rFonts w:cs="Arial"/>
          <w:szCs w:val="20"/>
        </w:rPr>
        <w:t xml:space="preserve">in particular will be an underlying theme and </w:t>
      </w:r>
      <w:r w:rsidRPr="004328D9">
        <w:rPr>
          <w:rFonts w:cs="Arial"/>
          <w:szCs w:val="20"/>
        </w:rPr>
        <w:t>will be achieved through:</w:t>
      </w:r>
    </w:p>
    <w:p w14:paraId="15E86017" w14:textId="77777777" w:rsidR="00D25C9A" w:rsidRPr="002F30BC" w:rsidRDefault="00D25C9A" w:rsidP="002F30BC">
      <w:pPr>
        <w:pStyle w:val="List-bullet-1"/>
      </w:pPr>
      <w:r w:rsidRPr="002F30BC">
        <w:t xml:space="preserve">partnerships with the private sector that support delivery of different aspects of the E4G </w:t>
      </w:r>
      <w:r w:rsidR="009A731A" w:rsidRPr="002F30BC">
        <w:t>C</w:t>
      </w:r>
      <w:r w:rsidRPr="002F30BC">
        <w:t>omponent (e.g. utilising private sector expertise for mentoring, participation in seminars, hosting work placements etc</w:t>
      </w:r>
      <w:r w:rsidR="005D6E98" w:rsidRPr="002F30BC">
        <w:t>.</w:t>
      </w:r>
      <w:r w:rsidRPr="002F30BC">
        <w:t xml:space="preserve">); and </w:t>
      </w:r>
    </w:p>
    <w:p w14:paraId="0EBB0443" w14:textId="040AF413" w:rsidR="00D25C9A" w:rsidRDefault="00D25C9A" w:rsidP="002F30BC">
      <w:pPr>
        <w:pStyle w:val="List-bullet-1"/>
      </w:pPr>
      <w:proofErr w:type="gramStart"/>
      <w:r w:rsidRPr="002F30BC">
        <w:t>drawing</w:t>
      </w:r>
      <w:proofErr w:type="gramEnd"/>
      <w:r w:rsidRPr="002F30BC">
        <w:t xml:space="preserve"> on private sector knowledge and experience in conceptualising and designing activities</w:t>
      </w:r>
      <w:r w:rsidR="0045239B" w:rsidRPr="002F30BC">
        <w:t>, including skills development</w:t>
      </w:r>
      <w:r w:rsidR="0045239B">
        <w:t xml:space="preserve"> at TVET institutions</w:t>
      </w:r>
      <w:r w:rsidR="00E70212">
        <w:t>, and community engagement</w:t>
      </w:r>
      <w:r>
        <w:t>.</w:t>
      </w:r>
    </w:p>
    <w:p w14:paraId="379F30C4" w14:textId="1D2931A6" w:rsidR="00D25C9A" w:rsidRPr="004472DB" w:rsidRDefault="00D25C9A">
      <w:pPr>
        <w:spacing w:after="120"/>
        <w:jc w:val="both"/>
        <w:rPr>
          <w:rFonts w:cs="Arial"/>
          <w:szCs w:val="20"/>
        </w:rPr>
      </w:pPr>
      <w:r w:rsidRPr="00D907AE">
        <w:rPr>
          <w:rFonts w:cs="Arial"/>
          <w:szCs w:val="20"/>
        </w:rPr>
        <w:t xml:space="preserve">The E4G </w:t>
      </w:r>
      <w:r w:rsidR="009A731A" w:rsidRPr="00D907AE">
        <w:rPr>
          <w:rFonts w:cs="Arial"/>
          <w:szCs w:val="20"/>
        </w:rPr>
        <w:t>C</w:t>
      </w:r>
      <w:r w:rsidRPr="00D907AE">
        <w:rPr>
          <w:rFonts w:cs="Arial"/>
          <w:szCs w:val="20"/>
        </w:rPr>
        <w:t>omponent will also continue to support regional initiatives, such as the Infrastructure Skills for Development Program and AMDC, as well as supporting legacy activities and on-going work with NGOs and CSOs.</w:t>
      </w:r>
      <w:r w:rsidR="00233396" w:rsidRPr="00D907AE">
        <w:rPr>
          <w:rStyle w:val="FootnoteReference"/>
          <w:rFonts w:cs="Arial"/>
          <w:szCs w:val="20"/>
        </w:rPr>
        <w:footnoteReference w:id="23"/>
      </w:r>
    </w:p>
    <w:p w14:paraId="711EB268" w14:textId="77777777" w:rsidR="000F5341" w:rsidRDefault="00617617" w:rsidP="005D6E98">
      <w:pPr>
        <w:pStyle w:val="Heading2"/>
        <w:jc w:val="both"/>
      </w:pPr>
      <w:bookmarkStart w:id="28" w:name="_Toc401578421"/>
      <w:r>
        <w:t>Goal</w:t>
      </w:r>
      <w:r w:rsidR="00770872">
        <w:t xml:space="preserve">, </w:t>
      </w:r>
      <w:r>
        <w:t>Objective</w:t>
      </w:r>
      <w:r w:rsidR="00770872">
        <w:t xml:space="preserve"> and Outcome</w:t>
      </w:r>
      <w:r>
        <w:t>s</w:t>
      </w:r>
      <w:bookmarkEnd w:id="26"/>
      <w:bookmarkEnd w:id="28"/>
    </w:p>
    <w:p w14:paraId="41AF2C81" w14:textId="77777777" w:rsidR="00770872" w:rsidRPr="003C0DBE" w:rsidRDefault="00770872" w:rsidP="005D6E98">
      <w:pPr>
        <w:pStyle w:val="Heading3"/>
        <w:jc w:val="both"/>
      </w:pPr>
      <w:r>
        <w:t>Goal and Objective</w:t>
      </w:r>
    </w:p>
    <w:p w14:paraId="784B19EA" w14:textId="77777777" w:rsidR="00617617" w:rsidRPr="003C0DBE" w:rsidRDefault="00617617" w:rsidP="005D6E98">
      <w:pPr>
        <w:pStyle w:val="BodyText"/>
      </w:pPr>
      <w:r w:rsidRPr="003C0DBE">
        <w:t xml:space="preserve">The </w:t>
      </w:r>
      <w:r w:rsidR="00770872">
        <w:t xml:space="preserve">overall </w:t>
      </w:r>
      <w:r w:rsidRPr="003C0DBE">
        <w:t xml:space="preserve">AADP </w:t>
      </w:r>
      <w:r>
        <w:t xml:space="preserve">proposed </w:t>
      </w:r>
      <w:r w:rsidRPr="003C0DBE">
        <w:rPr>
          <w:b/>
          <w:bCs/>
        </w:rPr>
        <w:t>goal</w:t>
      </w:r>
      <w:r>
        <w:rPr>
          <w:b/>
          <w:bCs/>
        </w:rPr>
        <w:t xml:space="preserve">, </w:t>
      </w:r>
      <w:r w:rsidRPr="00A12A07">
        <w:t xml:space="preserve">which </w:t>
      </w:r>
      <w:r>
        <w:t xml:space="preserve">mirrors </w:t>
      </w:r>
      <w:r w:rsidRPr="00A12A07">
        <w:t xml:space="preserve">DFAT’s </w:t>
      </w:r>
      <w:r>
        <w:t xml:space="preserve">SSAAP </w:t>
      </w:r>
      <w:r w:rsidRPr="00A12A07">
        <w:t>overall goal,</w:t>
      </w:r>
      <w:r>
        <w:rPr>
          <w:bCs/>
        </w:rPr>
        <w:t xml:space="preserve"> is</w:t>
      </w:r>
      <w:r w:rsidRPr="003C0DBE">
        <w:t>:</w:t>
      </w:r>
    </w:p>
    <w:p w14:paraId="742E2A07" w14:textId="77777777" w:rsidR="00617617" w:rsidRPr="000F5341" w:rsidRDefault="005A2ED5" w:rsidP="005D6E98">
      <w:pPr>
        <w:pStyle w:val="BodyText"/>
        <w:ind w:left="720"/>
        <w:rPr>
          <w:i/>
        </w:rPr>
      </w:pPr>
      <w:r>
        <w:rPr>
          <w:i/>
        </w:rPr>
        <w:t>‘T</w:t>
      </w:r>
      <w:r w:rsidR="00617617" w:rsidRPr="003C0DBE">
        <w:rPr>
          <w:i/>
        </w:rPr>
        <w:t>o assist African people to achieve more equitable access to the benefits of economic growth</w:t>
      </w:r>
      <w:r>
        <w:rPr>
          <w:i/>
        </w:rPr>
        <w:t>’</w:t>
      </w:r>
    </w:p>
    <w:p w14:paraId="2A0F50D8" w14:textId="77777777" w:rsidR="003113EC" w:rsidRDefault="00617617" w:rsidP="005D6E98">
      <w:pPr>
        <w:pStyle w:val="BodyText"/>
      </w:pPr>
      <w:r>
        <w:t>To help address this goal, t</w:t>
      </w:r>
      <w:r w:rsidRPr="003C0DBE">
        <w:t xml:space="preserve">he proposed </w:t>
      </w:r>
      <w:r w:rsidRPr="003C0DBE">
        <w:rPr>
          <w:b/>
        </w:rPr>
        <w:t>objective</w:t>
      </w:r>
      <w:r w:rsidRPr="003C0DBE">
        <w:t xml:space="preserve"> of the </w:t>
      </w:r>
      <w:r>
        <w:t xml:space="preserve">E4G </w:t>
      </w:r>
      <w:r w:rsidR="009A731A">
        <w:t>C</w:t>
      </w:r>
      <w:r>
        <w:t xml:space="preserve">omponent </w:t>
      </w:r>
      <w:r w:rsidRPr="003C0DBE">
        <w:t>is:</w:t>
      </w:r>
      <w:r w:rsidR="005B3032">
        <w:t xml:space="preserve"> </w:t>
      </w:r>
    </w:p>
    <w:p w14:paraId="289D4384" w14:textId="77777777" w:rsidR="00617617" w:rsidRDefault="005A2ED5" w:rsidP="005D6E98">
      <w:pPr>
        <w:pStyle w:val="BodyText"/>
        <w:ind w:left="720"/>
        <w:rPr>
          <w:i/>
        </w:rPr>
      </w:pPr>
      <w:r>
        <w:rPr>
          <w:i/>
        </w:rPr>
        <w:t>‘T</w:t>
      </w:r>
      <w:r w:rsidR="0045239B">
        <w:rPr>
          <w:i/>
        </w:rPr>
        <w:t xml:space="preserve">o </w:t>
      </w:r>
      <w:r w:rsidR="00617617" w:rsidRPr="003C0DBE">
        <w:rPr>
          <w:i/>
        </w:rPr>
        <w:t>improve extractive sector management and its contribution to inclusive economic growth through developing skills, increasing government capacity and empowering local communities</w:t>
      </w:r>
      <w:r>
        <w:rPr>
          <w:i/>
        </w:rPr>
        <w:t>’</w:t>
      </w:r>
    </w:p>
    <w:p w14:paraId="3433D8A6" w14:textId="77777777" w:rsidR="00617617" w:rsidRPr="003C0DBE" w:rsidRDefault="00617617" w:rsidP="005D6E98">
      <w:pPr>
        <w:pStyle w:val="Heading3"/>
        <w:jc w:val="both"/>
      </w:pPr>
      <w:r w:rsidRPr="003C0DBE">
        <w:t>Outcomes</w:t>
      </w:r>
    </w:p>
    <w:p w14:paraId="440B2CE6" w14:textId="77777777" w:rsidR="00617617" w:rsidRPr="003C0DBE" w:rsidRDefault="00617617" w:rsidP="005D6E98">
      <w:pPr>
        <w:pStyle w:val="BodyText"/>
      </w:pPr>
      <w:r w:rsidRPr="003C0DBE">
        <w:t xml:space="preserve">The </w:t>
      </w:r>
      <w:r>
        <w:t xml:space="preserve">E4G </w:t>
      </w:r>
      <w:r w:rsidR="009A731A">
        <w:t>C</w:t>
      </w:r>
      <w:r>
        <w:t xml:space="preserve">omponent </w:t>
      </w:r>
      <w:r w:rsidRPr="003C0DBE">
        <w:t xml:space="preserve">will contribute to achieving the following </w:t>
      </w:r>
      <w:r w:rsidRPr="003C0DBE">
        <w:rPr>
          <w:b/>
        </w:rPr>
        <w:t>outcomes</w:t>
      </w:r>
      <w:r w:rsidRPr="003C0DBE">
        <w:t>:</w:t>
      </w:r>
    </w:p>
    <w:p w14:paraId="7BC6502A" w14:textId="77777777" w:rsidR="00617617" w:rsidRPr="00253BC3" w:rsidRDefault="00617617" w:rsidP="00F32EF1">
      <w:pPr>
        <w:pStyle w:val="List-number-1"/>
        <w:numPr>
          <w:ilvl w:val="0"/>
          <w:numId w:val="24"/>
        </w:numPr>
        <w:jc w:val="both"/>
      </w:pPr>
      <w:r>
        <w:t>M</w:t>
      </w:r>
      <w:r w:rsidRPr="00DD25AD">
        <w:t>ore African men and women employed in higher skilled roles in, or deriving improved livelihoods from</w:t>
      </w:r>
      <w:r w:rsidRPr="00911441">
        <w:t xml:space="preserve"> </w:t>
      </w:r>
      <w:r>
        <w:t xml:space="preserve">the </w:t>
      </w:r>
      <w:r w:rsidR="0025246F">
        <w:t>extractive</w:t>
      </w:r>
      <w:r>
        <w:t xml:space="preserve"> sector. </w:t>
      </w:r>
    </w:p>
    <w:p w14:paraId="01FE4895" w14:textId="77777777" w:rsidR="00617617" w:rsidRPr="00253BC3" w:rsidRDefault="00617617" w:rsidP="005D6E98">
      <w:pPr>
        <w:pStyle w:val="List-number-1"/>
        <w:numPr>
          <w:ilvl w:val="0"/>
          <w:numId w:val="0"/>
        </w:numPr>
        <w:ind w:left="360"/>
        <w:jc w:val="both"/>
      </w:pPr>
      <w:r>
        <w:rPr>
          <w:rFonts w:cs="Arial"/>
          <w:szCs w:val="20"/>
        </w:rPr>
        <w:t>This will be achieved by:</w:t>
      </w:r>
    </w:p>
    <w:p w14:paraId="13333035" w14:textId="77777777" w:rsidR="00617617" w:rsidRPr="002F30BC" w:rsidRDefault="00617617" w:rsidP="00B85C61">
      <w:pPr>
        <w:pStyle w:val="List-bullet-1"/>
      </w:pPr>
      <w:proofErr w:type="gramStart"/>
      <w:r w:rsidRPr="00253BC3">
        <w:t>helping</w:t>
      </w:r>
      <w:proofErr w:type="gramEnd"/>
      <w:r w:rsidRPr="00253BC3">
        <w:t xml:space="preserve"> </w:t>
      </w:r>
      <w:r w:rsidRPr="002F30BC">
        <w:t xml:space="preserve">establish skills development systems that respond to industry and government skilling needs by building capacity for improved technical and vocational training policy, strategy, forecasting, analysis and planning, primarily in the </w:t>
      </w:r>
      <w:r w:rsidR="0025246F">
        <w:t>extractive</w:t>
      </w:r>
      <w:r w:rsidRPr="002F30BC">
        <w:t xml:space="preserve"> sector</w:t>
      </w:r>
      <w:r w:rsidR="0016355F">
        <w:t xml:space="preserve">.  </w:t>
      </w:r>
    </w:p>
    <w:p w14:paraId="2DCD1DF3" w14:textId="77777777" w:rsidR="00617617" w:rsidRDefault="00617617" w:rsidP="002F30BC">
      <w:pPr>
        <w:pStyle w:val="List-bullet-1"/>
      </w:pPr>
      <w:proofErr w:type="gramStart"/>
      <w:r w:rsidRPr="002F30BC">
        <w:t>helping</w:t>
      </w:r>
      <w:proofErr w:type="gramEnd"/>
      <w:r w:rsidRPr="002F30BC">
        <w:t xml:space="preserve"> develop stronger African skills development, education and training institutions producing high-calibre graduates</w:t>
      </w:r>
      <w:r w:rsidR="004107C3">
        <w:t>.</w:t>
      </w:r>
    </w:p>
    <w:p w14:paraId="3102C2B4" w14:textId="77777777" w:rsidR="0016355F" w:rsidRPr="002F30BC" w:rsidRDefault="0016355F" w:rsidP="003A108B">
      <w:pPr>
        <w:pStyle w:val="List-bullet-1"/>
        <w:numPr>
          <w:ilvl w:val="0"/>
          <w:numId w:val="0"/>
        </w:numPr>
        <w:ind w:left="357"/>
      </w:pPr>
      <w:r w:rsidRPr="00A12A07">
        <w:t xml:space="preserve">Two pilots will be conducted in each of the three </w:t>
      </w:r>
      <w:r w:rsidR="00EC38FF">
        <w:t>Focus Countries</w:t>
      </w:r>
      <w:r w:rsidRPr="00A12A07">
        <w:t xml:space="preserve"> and will include developing and harmonising country and regional competency frameworks and training packages and strengthening the institutions themselves, to address areas of critical skills shortage of relevance to the </w:t>
      </w:r>
      <w:r>
        <w:t>extractive</w:t>
      </w:r>
      <w:r w:rsidRPr="00A12A07">
        <w:t xml:space="preserve"> sector, and improving workforce planning policy.</w:t>
      </w:r>
    </w:p>
    <w:p w14:paraId="51F43B8C" w14:textId="77777777" w:rsidR="00617617" w:rsidRPr="00253BC3" w:rsidRDefault="00617617" w:rsidP="005D6E98">
      <w:pPr>
        <w:pStyle w:val="List-number-1"/>
        <w:jc w:val="both"/>
      </w:pPr>
      <w:r>
        <w:rPr>
          <w:rFonts w:cs="Arial"/>
          <w:szCs w:val="20"/>
        </w:rPr>
        <w:t>I</w:t>
      </w:r>
      <w:r w:rsidRPr="008C57DB">
        <w:rPr>
          <w:rFonts w:cs="Arial"/>
          <w:szCs w:val="20"/>
        </w:rPr>
        <w:t xml:space="preserve">mproved enabling environments which encourage, attract and support quality </w:t>
      </w:r>
      <w:r w:rsidR="0025246F">
        <w:rPr>
          <w:rFonts w:cs="Arial"/>
          <w:szCs w:val="20"/>
        </w:rPr>
        <w:t>extractive</w:t>
      </w:r>
      <w:r>
        <w:rPr>
          <w:rFonts w:cs="Arial"/>
          <w:szCs w:val="20"/>
        </w:rPr>
        <w:t xml:space="preserve">-related </w:t>
      </w:r>
      <w:r w:rsidRPr="008C57DB">
        <w:rPr>
          <w:rFonts w:cs="Arial"/>
          <w:szCs w:val="20"/>
        </w:rPr>
        <w:t>investments by the public, pr</w:t>
      </w:r>
      <w:r>
        <w:rPr>
          <w:rFonts w:cs="Arial"/>
          <w:szCs w:val="20"/>
        </w:rPr>
        <w:t xml:space="preserve">ivate and civil society sectors. </w:t>
      </w:r>
    </w:p>
    <w:p w14:paraId="219D40A1" w14:textId="77777777" w:rsidR="00617617" w:rsidRDefault="00617617" w:rsidP="005D6E98">
      <w:pPr>
        <w:pStyle w:val="List-number-1"/>
        <w:numPr>
          <w:ilvl w:val="0"/>
          <w:numId w:val="0"/>
        </w:numPr>
        <w:ind w:left="360"/>
        <w:jc w:val="both"/>
      </w:pPr>
      <w:r>
        <w:rPr>
          <w:rFonts w:cs="Arial"/>
          <w:szCs w:val="20"/>
        </w:rPr>
        <w:t>This will be achieved by s</w:t>
      </w:r>
      <w:r>
        <w:t xml:space="preserve">upporting improvements to </w:t>
      </w:r>
      <w:r w:rsidR="0025246F">
        <w:t>extractive</w:t>
      </w:r>
      <w:r w:rsidRPr="00427C73">
        <w:t xml:space="preserve"> sector governance / enabling environment</w:t>
      </w:r>
      <w:r>
        <w:t>s</w:t>
      </w:r>
      <w:r w:rsidR="0003368D">
        <w:t xml:space="preserve"> in </w:t>
      </w:r>
      <w:r w:rsidR="00EC38FF">
        <w:t>Target Countries</w:t>
      </w:r>
      <w:r>
        <w:t xml:space="preserve">, in particular helping ensure: </w:t>
      </w:r>
    </w:p>
    <w:p w14:paraId="28C52101" w14:textId="77777777" w:rsidR="0003368D" w:rsidRDefault="00617617" w:rsidP="0003368D">
      <w:pPr>
        <w:pStyle w:val="List-bullet-1"/>
      </w:pPr>
      <w:proofErr w:type="gramStart"/>
      <w:r w:rsidRPr="004107C3">
        <w:t>discovery</w:t>
      </w:r>
      <w:proofErr w:type="gramEnd"/>
      <w:r w:rsidRPr="004107C3">
        <w:t xml:space="preserve"> and the decision to extract is informed by robust and transparent information, analysis and planning considering social and environmental impacts</w:t>
      </w:r>
      <w:r w:rsidR="0003368D">
        <w:t xml:space="preserve">. </w:t>
      </w:r>
    </w:p>
    <w:p w14:paraId="2D8FE5E7" w14:textId="77777777" w:rsidR="00617617" w:rsidRPr="004107C3" w:rsidRDefault="00617617" w:rsidP="004107C3">
      <w:pPr>
        <w:pStyle w:val="List-bullet-1"/>
      </w:pPr>
      <w:r w:rsidRPr="004107C3">
        <w:t>licences are awarded transparently and contracts negotiated effectively, providing opportunities and benefits for local men and women</w:t>
      </w:r>
      <w:r w:rsidR="004107C3">
        <w:t>;</w:t>
      </w:r>
    </w:p>
    <w:p w14:paraId="04738DC9" w14:textId="77777777" w:rsidR="00617617" w:rsidRPr="004107C3" w:rsidRDefault="00617617" w:rsidP="004107C3">
      <w:pPr>
        <w:pStyle w:val="List-bullet-1"/>
      </w:pPr>
      <w:r w:rsidRPr="004107C3">
        <w:t>more effective fiscal regimes, improved collection of taxes and royalties, and improved revenue management and distribution</w:t>
      </w:r>
      <w:r w:rsidR="004107C3">
        <w:t>;</w:t>
      </w:r>
    </w:p>
    <w:p w14:paraId="60131AB4" w14:textId="77777777" w:rsidR="00617617" w:rsidRPr="004107C3" w:rsidRDefault="00617617" w:rsidP="004107C3">
      <w:pPr>
        <w:pStyle w:val="List-bullet-1"/>
      </w:pPr>
      <w:r w:rsidRPr="004107C3">
        <w:t xml:space="preserve">more effective monitoring of </w:t>
      </w:r>
      <w:r w:rsidR="0025246F">
        <w:t>extractive</w:t>
      </w:r>
      <w:r w:rsidRPr="004107C3">
        <w:t xml:space="preserve"> operations and enforcement of enforce regulatory requirements</w:t>
      </w:r>
      <w:r w:rsidR="004107C3">
        <w:t>; and</w:t>
      </w:r>
    </w:p>
    <w:p w14:paraId="57F45E8E" w14:textId="77777777" w:rsidR="00617617" w:rsidRDefault="00617617" w:rsidP="004107C3">
      <w:pPr>
        <w:pStyle w:val="List-bullet-1"/>
      </w:pPr>
      <w:r w:rsidRPr="004107C3">
        <w:t>Infrastructure is in place to support, and leverage broader</w:t>
      </w:r>
      <w:r w:rsidRPr="00D57A12">
        <w:t xml:space="preserve"> benefit from, the </w:t>
      </w:r>
      <w:r w:rsidR="0025246F">
        <w:t>extractive</w:t>
      </w:r>
      <w:r w:rsidRPr="00D57A12">
        <w:t xml:space="preserve"> sector</w:t>
      </w:r>
      <w:r>
        <w:t>.</w:t>
      </w:r>
    </w:p>
    <w:p w14:paraId="54DC4E64" w14:textId="77777777" w:rsidR="004F7866" w:rsidRDefault="004F7866" w:rsidP="004F7866">
      <w:pPr>
        <w:pStyle w:val="List-bullet-1"/>
        <w:numPr>
          <w:ilvl w:val="0"/>
          <w:numId w:val="0"/>
        </w:numPr>
        <w:ind w:left="360"/>
      </w:pPr>
      <w:r>
        <w:t>Under the E4G Component the infrastructure skills for d</w:t>
      </w:r>
      <w:r w:rsidRPr="00A12A07">
        <w:t xml:space="preserve">evelopment </w:t>
      </w:r>
      <w:r>
        <w:t xml:space="preserve">activity </w:t>
      </w:r>
      <w:r w:rsidRPr="00A12A07">
        <w:t xml:space="preserve">will strengthen project management competencies of key public sector professionals engaged in </w:t>
      </w:r>
      <w:r>
        <w:t xml:space="preserve">planning and </w:t>
      </w:r>
      <w:r w:rsidRPr="00A12A07">
        <w:t>managing select regional infrastructure corridor initiatives. The activity will also pro</w:t>
      </w:r>
      <w:r>
        <w:t>vide highly experienced sector-</w:t>
      </w:r>
      <w:r w:rsidRPr="00A12A07">
        <w:t xml:space="preserve">specialist mentors, provide exposure to both public and private stakeholders and infrastructure installation, establish a peer network and provide customised specialist training when appropriate (such as negotiation skills, structuring of </w:t>
      </w:r>
      <w:r w:rsidRPr="00E53F49">
        <w:t>PPP’s</w:t>
      </w:r>
      <w:r w:rsidRPr="00A12A07">
        <w:t>, community consultation</w:t>
      </w:r>
      <w:r>
        <w:t>, and infrastructure planning</w:t>
      </w:r>
      <w:r w:rsidRPr="00A12A07">
        <w:t>).</w:t>
      </w:r>
    </w:p>
    <w:p w14:paraId="22B8463F" w14:textId="77777777" w:rsidR="00617617" w:rsidRDefault="00617617" w:rsidP="002B1210">
      <w:pPr>
        <w:pStyle w:val="List-number-1"/>
        <w:jc w:val="both"/>
      </w:pPr>
      <w:r>
        <w:t>M</w:t>
      </w:r>
      <w:r w:rsidRPr="003C0DBE">
        <w:t xml:space="preserve">ore inclusive economic development </w:t>
      </w:r>
      <w:r>
        <w:t xml:space="preserve">flowing from the </w:t>
      </w:r>
      <w:r w:rsidR="0025246F">
        <w:t>extractive</w:t>
      </w:r>
      <w:r>
        <w:t xml:space="preserve"> sector. </w:t>
      </w:r>
    </w:p>
    <w:p w14:paraId="126B924A" w14:textId="77777777" w:rsidR="00617617" w:rsidRPr="00D57A12" w:rsidRDefault="00617617" w:rsidP="002B1210">
      <w:pPr>
        <w:pStyle w:val="List-number-1"/>
        <w:numPr>
          <w:ilvl w:val="0"/>
          <w:numId w:val="0"/>
        </w:numPr>
        <w:ind w:left="360"/>
        <w:jc w:val="both"/>
      </w:pPr>
      <w:r>
        <w:t xml:space="preserve">This will be achieved by </w:t>
      </w:r>
      <w:r w:rsidRPr="00D57A12">
        <w:t>supporting m</w:t>
      </w:r>
      <w:r w:rsidRPr="00D57A12">
        <w:rPr>
          <w:rFonts w:cs="Arial"/>
          <w:szCs w:val="22"/>
        </w:rPr>
        <w:t>ore effective partnerships between government, private sector and communities allowing all stakeholders to minimise/manage the risks and maxim</w:t>
      </w:r>
      <w:r w:rsidR="002A7736">
        <w:rPr>
          <w:rFonts w:cs="Arial"/>
          <w:szCs w:val="22"/>
        </w:rPr>
        <w:t>is</w:t>
      </w:r>
      <w:r w:rsidRPr="00D57A12">
        <w:rPr>
          <w:rFonts w:cs="Arial"/>
          <w:szCs w:val="22"/>
        </w:rPr>
        <w:t>e the opportunities resulting from extractive investments</w:t>
      </w:r>
      <w:r>
        <w:t xml:space="preserve">. In particular, this will involve: </w:t>
      </w:r>
    </w:p>
    <w:p w14:paraId="43D7EB96" w14:textId="77777777" w:rsidR="00617617" w:rsidRPr="004107C3" w:rsidRDefault="00617617" w:rsidP="004107C3">
      <w:pPr>
        <w:pStyle w:val="List-bullet-1"/>
      </w:pPr>
      <w:r w:rsidRPr="004107C3">
        <w:t xml:space="preserve">supporting improved local government planning for and coordination of </w:t>
      </w:r>
      <w:r w:rsidR="0025246F">
        <w:t>extractive</w:t>
      </w:r>
      <w:r w:rsidRPr="004107C3">
        <w:t xml:space="preserve"> investments and </w:t>
      </w:r>
      <w:r w:rsidR="0025246F">
        <w:t>extractive</w:t>
      </w:r>
      <w:r w:rsidRPr="004107C3">
        <w:t>-related development</w:t>
      </w:r>
      <w:r w:rsidR="004107C3">
        <w:t>;</w:t>
      </w:r>
    </w:p>
    <w:p w14:paraId="4D75B701" w14:textId="77777777" w:rsidR="00617617" w:rsidRPr="004107C3" w:rsidRDefault="00617617" w:rsidP="004107C3">
      <w:pPr>
        <w:pStyle w:val="List-bullet-1"/>
      </w:pPr>
      <w:r w:rsidRPr="004107C3">
        <w:t xml:space="preserve">supporting improved local community participation in </w:t>
      </w:r>
      <w:r w:rsidR="0025246F">
        <w:t>extractive</w:t>
      </w:r>
      <w:r w:rsidRPr="004107C3">
        <w:t xml:space="preserve"> investments and </w:t>
      </w:r>
      <w:r w:rsidR="0025246F">
        <w:t>extractive</w:t>
      </w:r>
      <w:r w:rsidRPr="004107C3">
        <w:t>-related development, including promotion of women’s participation in the economic and social life of mining affected communities</w:t>
      </w:r>
      <w:r w:rsidR="004107C3">
        <w:t>;</w:t>
      </w:r>
    </w:p>
    <w:p w14:paraId="37FA6F37" w14:textId="77777777" w:rsidR="00617617" w:rsidRPr="004107C3" w:rsidRDefault="00617617" w:rsidP="004107C3">
      <w:pPr>
        <w:pStyle w:val="List-bullet-1"/>
      </w:pPr>
      <w:r w:rsidRPr="004107C3">
        <w:t xml:space="preserve">helping ensure the services of an increased number of local suppliers and businesses are being procured by </w:t>
      </w:r>
      <w:r w:rsidR="0025246F">
        <w:t>extractive</w:t>
      </w:r>
      <w:r w:rsidRPr="004107C3">
        <w:t xml:space="preserve"> companies</w:t>
      </w:r>
      <w:r w:rsidR="004F7866">
        <w:t>; and</w:t>
      </w:r>
    </w:p>
    <w:p w14:paraId="1D896042" w14:textId="77777777" w:rsidR="00617617" w:rsidRDefault="00617617" w:rsidP="004107C3">
      <w:pPr>
        <w:pStyle w:val="List-bullet-1"/>
      </w:pPr>
      <w:proofErr w:type="gramStart"/>
      <w:r w:rsidRPr="004107C3">
        <w:t>mainstreaming</w:t>
      </w:r>
      <w:proofErr w:type="gramEnd"/>
      <w:r w:rsidRPr="004107C3">
        <w:t xml:space="preserve"> gender and disability in AADP</w:t>
      </w:r>
      <w:r>
        <w:t xml:space="preserve"> </w:t>
      </w:r>
      <w:r w:rsidRPr="00C84742">
        <w:t>policies, measures</w:t>
      </w:r>
      <w:r>
        <w:t xml:space="preserve">, </w:t>
      </w:r>
      <w:r w:rsidRPr="00C84742">
        <w:t>practices</w:t>
      </w:r>
      <w:r w:rsidRPr="00E12123">
        <w:t xml:space="preserve"> and activities</w:t>
      </w:r>
      <w:r w:rsidR="004107C3">
        <w:t>.</w:t>
      </w:r>
      <w:r w:rsidRPr="00E12123">
        <w:t xml:space="preserve"> </w:t>
      </w:r>
      <w:r w:rsidR="004F7866">
        <w:t xml:space="preserve"> A Gender and Social Inclusion Mainstreaming Strategy for the E4G Component is set out in Annex E to this IDD.</w:t>
      </w:r>
    </w:p>
    <w:p w14:paraId="3A3E7E32" w14:textId="77777777" w:rsidR="004F7866" w:rsidRDefault="004F7866" w:rsidP="004F7866">
      <w:pPr>
        <w:pStyle w:val="List-bullet-1"/>
        <w:numPr>
          <w:ilvl w:val="0"/>
          <w:numId w:val="0"/>
        </w:numPr>
        <w:ind w:left="360"/>
      </w:pPr>
      <w:r w:rsidRPr="004F7866">
        <w:t xml:space="preserve">Activities under this Component will include the skills and communities initiative that will contribute to increasing community engagement and other efforts to ensure that extractive affected communities benefit from the extractive sector.  The pilots to be conducted in the three </w:t>
      </w:r>
      <w:r w:rsidR="00EC38FF">
        <w:t>Focus Countries</w:t>
      </w:r>
      <w:r w:rsidRPr="004F7866">
        <w:t xml:space="preserve"> will also explore how best to build mutually beneficial partnerships between the extractive industry and extractive-affected communities. This will include, for instance, activities that increase the capacity of local SMEs to provide goods and services to large extractive sector-related investment projects.</w:t>
      </w:r>
      <w:r w:rsidRPr="00A12A07">
        <w:t xml:space="preserve"> </w:t>
      </w:r>
    </w:p>
    <w:p w14:paraId="0A7C232D" w14:textId="77777777" w:rsidR="00617617" w:rsidRDefault="00617617" w:rsidP="002B1210">
      <w:pPr>
        <w:pStyle w:val="List-number-1"/>
        <w:jc w:val="both"/>
      </w:pPr>
      <w:r>
        <w:t>E</w:t>
      </w:r>
      <w:r w:rsidRPr="003C0DBE">
        <w:t>nhanced relationships between Australia and Africa.</w:t>
      </w:r>
    </w:p>
    <w:p w14:paraId="575E351C" w14:textId="77777777" w:rsidR="00617617" w:rsidRDefault="00617617" w:rsidP="002B1210">
      <w:pPr>
        <w:pStyle w:val="List-number-1"/>
        <w:numPr>
          <w:ilvl w:val="0"/>
          <w:numId w:val="0"/>
        </w:numPr>
        <w:ind w:left="360"/>
        <w:jc w:val="both"/>
      </w:pPr>
      <w:r>
        <w:t>This will be achieved by:</w:t>
      </w:r>
    </w:p>
    <w:p w14:paraId="5428631D" w14:textId="77777777" w:rsidR="00617617" w:rsidRPr="004107C3" w:rsidRDefault="00617617" w:rsidP="004107C3">
      <w:pPr>
        <w:pStyle w:val="List-bullet-1"/>
      </w:pPr>
      <w:r w:rsidRPr="004107C3">
        <w:t>providing responsive and effective assistance to target African Governments</w:t>
      </w:r>
      <w:r w:rsidR="004107C3">
        <w:t>; and</w:t>
      </w:r>
    </w:p>
    <w:p w14:paraId="2C6F379D" w14:textId="77777777" w:rsidR="00617617" w:rsidRPr="004107C3" w:rsidRDefault="00617617" w:rsidP="004107C3">
      <w:pPr>
        <w:pStyle w:val="List-bullet-1"/>
      </w:pPr>
      <w:proofErr w:type="gramStart"/>
      <w:r w:rsidRPr="004107C3">
        <w:t>supporting</w:t>
      </w:r>
      <w:proofErr w:type="gramEnd"/>
      <w:r w:rsidRPr="004107C3">
        <w:t xml:space="preserve"> exchanges and interactions between Australian and African officials through </w:t>
      </w:r>
      <w:r w:rsidR="0025246F">
        <w:t>extractive</w:t>
      </w:r>
      <w:r w:rsidRPr="004107C3">
        <w:t>-focused study tours, mentoring support, work placements and other professional exchanges.</w:t>
      </w:r>
    </w:p>
    <w:bookmarkEnd w:id="27"/>
    <w:p w14:paraId="41B540FA" w14:textId="77777777" w:rsidR="000F5341" w:rsidRDefault="00360E4E" w:rsidP="002B1210">
      <w:pPr>
        <w:pStyle w:val="Heading3"/>
        <w:jc w:val="both"/>
      </w:pPr>
      <w:r>
        <w:t xml:space="preserve">E4G </w:t>
      </w:r>
      <w:r w:rsidR="000F5341">
        <w:t>Theory of Change</w:t>
      </w:r>
    </w:p>
    <w:p w14:paraId="618A8079" w14:textId="77777777" w:rsidR="000F5341" w:rsidRPr="00F811E1" w:rsidRDefault="000F5341" w:rsidP="002B1210">
      <w:pPr>
        <w:pStyle w:val="BodyText"/>
      </w:pPr>
      <w:r>
        <w:t>The</w:t>
      </w:r>
      <w:r w:rsidRPr="00F811E1">
        <w:t xml:space="preserve"> </w:t>
      </w:r>
      <w:r w:rsidR="00360E4E">
        <w:t xml:space="preserve">E4G </w:t>
      </w:r>
      <w:r w:rsidRPr="00F811E1">
        <w:t xml:space="preserve">Theory of </w:t>
      </w:r>
      <w:r w:rsidR="008D5350">
        <w:t>C</w:t>
      </w:r>
      <w:r w:rsidRPr="00F811E1">
        <w:t>hange (</w:t>
      </w:r>
      <w:proofErr w:type="spellStart"/>
      <w:r w:rsidRPr="00F811E1">
        <w:t>ToC</w:t>
      </w:r>
      <w:proofErr w:type="spellEnd"/>
      <w:r w:rsidRPr="00F811E1">
        <w:t xml:space="preserve">) is a conceptual model of how the </w:t>
      </w:r>
      <w:r w:rsidR="007C6BDB">
        <w:t>E4G Component</w:t>
      </w:r>
      <w:r w:rsidR="007C6BDB" w:rsidRPr="00F811E1">
        <w:t xml:space="preserve"> </w:t>
      </w:r>
      <w:r w:rsidRPr="00F811E1">
        <w:t xml:space="preserve">activities are intended to stimulate short, medium and long-term changes to achieve the overall goal of the AADP. </w:t>
      </w:r>
      <w:r w:rsidRPr="005D6E98">
        <w:t xml:space="preserve">A Results Diagram </w:t>
      </w:r>
      <w:r w:rsidR="00360E4E" w:rsidRPr="005D6E98">
        <w:t xml:space="preserve">for the overall AADP </w:t>
      </w:r>
      <w:r w:rsidRPr="005D6E98">
        <w:t>is set out in</w:t>
      </w:r>
      <w:r w:rsidR="0055016F" w:rsidRPr="005D6E98">
        <w:t xml:space="preserve"> </w:t>
      </w:r>
      <w:r w:rsidR="007C6BDB" w:rsidRPr="005D6E98">
        <w:t xml:space="preserve">Section 2 of the </w:t>
      </w:r>
      <w:r w:rsidR="0046014C" w:rsidRPr="005D6E98">
        <w:t xml:space="preserve">overarching </w:t>
      </w:r>
      <w:r w:rsidR="007C6BDB" w:rsidRPr="005D6E98">
        <w:t xml:space="preserve">AADP IDD’s </w:t>
      </w:r>
      <w:r w:rsidR="005B3032">
        <w:rPr>
          <w:b/>
        </w:rPr>
        <w:t>Annex </w:t>
      </w:r>
      <w:r w:rsidR="00051808" w:rsidRPr="005D6E98">
        <w:rPr>
          <w:b/>
        </w:rPr>
        <w:t>D</w:t>
      </w:r>
      <w:r w:rsidRPr="005D6E98">
        <w:t xml:space="preserve">: </w:t>
      </w:r>
      <w:r w:rsidRPr="005D6E98">
        <w:rPr>
          <w:i/>
        </w:rPr>
        <w:t>Monitoring and Evaluation System</w:t>
      </w:r>
      <w:r w:rsidRPr="005D6E98">
        <w:t>. The diagram</w:t>
      </w:r>
      <w:r w:rsidR="001B7DCB" w:rsidRPr="005D6E98">
        <w:t xml:space="preserve"> / </w:t>
      </w:r>
      <w:r w:rsidRPr="005D6E98">
        <w:t xml:space="preserve">model </w:t>
      </w:r>
      <w:proofErr w:type="gramStart"/>
      <w:r w:rsidRPr="005D6E98">
        <w:t>presents</w:t>
      </w:r>
      <w:proofErr w:type="gramEnd"/>
      <w:r w:rsidRPr="005D6E98">
        <w:t xml:space="preserve"> a hierarchy of change and depicts</w:t>
      </w:r>
      <w:r>
        <w:t xml:space="preserve"> the causal pathways that will lead to the desired changes. The chart starts</w:t>
      </w:r>
      <w:r w:rsidRPr="00F811E1">
        <w:t xml:space="preserve"> at the lower level </w:t>
      </w:r>
      <w:r>
        <w:t xml:space="preserve">depicting </w:t>
      </w:r>
      <w:r w:rsidRPr="00F811E1">
        <w:t xml:space="preserve">the </w:t>
      </w:r>
      <w:r w:rsidR="007C6BDB">
        <w:t xml:space="preserve">E4G Component </w:t>
      </w:r>
      <w:r>
        <w:t>activities then the o</w:t>
      </w:r>
      <w:r w:rsidRPr="00F811E1">
        <w:t xml:space="preserve">utputs. These </w:t>
      </w:r>
      <w:r>
        <w:t xml:space="preserve">in turn </w:t>
      </w:r>
      <w:r w:rsidRPr="00F811E1">
        <w:t>influence the immediate outcomes of the AADP</w:t>
      </w:r>
      <w:r w:rsidR="005A2ED5">
        <w:t>.</w:t>
      </w:r>
      <w:r>
        <w:t xml:space="preserve"> </w:t>
      </w:r>
      <w:r w:rsidR="005A2ED5">
        <w:t>A</w:t>
      </w:r>
      <w:r>
        <w:t xml:space="preserve">t the programmatic level, these outcomes are </w:t>
      </w:r>
      <w:r w:rsidRPr="00F811E1">
        <w:t xml:space="preserve">the expected changes </w:t>
      </w:r>
      <w:r>
        <w:t>that the AADP will achieve</w:t>
      </w:r>
      <w:r w:rsidRPr="00F811E1">
        <w:t>.</w:t>
      </w:r>
      <w:r>
        <w:t xml:space="preserve"> At this level, the </w:t>
      </w:r>
      <w:proofErr w:type="spellStart"/>
      <w:r>
        <w:t>To</w:t>
      </w:r>
      <w:r w:rsidRPr="00F811E1">
        <w:t>C</w:t>
      </w:r>
      <w:proofErr w:type="spellEnd"/>
      <w:r w:rsidRPr="00F811E1">
        <w:t xml:space="preserve"> acknowledges that the </w:t>
      </w:r>
      <w:r w:rsidR="00360E4E">
        <w:t xml:space="preserve">E4G </w:t>
      </w:r>
      <w:r w:rsidR="009A731A">
        <w:t>C</w:t>
      </w:r>
      <w:r w:rsidR="00360E4E">
        <w:t xml:space="preserve">omponent of the </w:t>
      </w:r>
      <w:r w:rsidRPr="00F811E1">
        <w:t xml:space="preserve">AADP is not the only initiative working in the </w:t>
      </w:r>
      <w:r w:rsidR="00EC38FF">
        <w:t>Target Countries</w:t>
      </w:r>
      <w:r>
        <w:t xml:space="preserve"> </w:t>
      </w:r>
      <w:r w:rsidR="00360E4E">
        <w:t xml:space="preserve">in the </w:t>
      </w:r>
      <w:r w:rsidR="0025246F">
        <w:t>extractive</w:t>
      </w:r>
      <w:r w:rsidR="00360E4E">
        <w:t xml:space="preserve"> sector</w:t>
      </w:r>
      <w:r>
        <w:t xml:space="preserve">, and that the </w:t>
      </w:r>
      <w:r w:rsidR="00360E4E">
        <w:t xml:space="preserve">E4G </w:t>
      </w:r>
      <w:r w:rsidR="009A731A">
        <w:t>C</w:t>
      </w:r>
      <w:r w:rsidR="00360E4E">
        <w:t xml:space="preserve">omponent </w:t>
      </w:r>
      <w:r w:rsidRPr="00F811E1">
        <w:t>is</w:t>
      </w:r>
      <w:r>
        <w:t xml:space="preserve"> located within a wider set of d</w:t>
      </w:r>
      <w:r w:rsidRPr="00F811E1">
        <w:t>onor, multi-national, regional and partner country initiatives.</w:t>
      </w:r>
    </w:p>
    <w:p w14:paraId="196F9101" w14:textId="77777777" w:rsidR="00A07968" w:rsidRDefault="000F5341" w:rsidP="002B1210">
      <w:pPr>
        <w:pStyle w:val="BodyText"/>
      </w:pPr>
      <w:r>
        <w:t xml:space="preserve">The </w:t>
      </w:r>
      <w:r w:rsidR="00360E4E">
        <w:t xml:space="preserve">E4G </w:t>
      </w:r>
      <w:proofErr w:type="spellStart"/>
      <w:r>
        <w:t>ToC</w:t>
      </w:r>
      <w:proofErr w:type="spellEnd"/>
      <w:r w:rsidRPr="00F811E1">
        <w:t xml:space="preserve"> is based on several assumptions</w:t>
      </w:r>
      <w:r>
        <w:t xml:space="preserve"> and</w:t>
      </w:r>
      <w:r w:rsidRPr="00F811E1">
        <w:t xml:space="preserve"> lessons learnt from earlier </w:t>
      </w:r>
      <w:r w:rsidR="007C6BDB">
        <w:t xml:space="preserve">extractive-related </w:t>
      </w:r>
      <w:r w:rsidRPr="00F811E1">
        <w:t xml:space="preserve">initiatives funded by the </w:t>
      </w:r>
      <w:r>
        <w:t>in Africa.</w:t>
      </w:r>
      <w:r w:rsidR="005B3032">
        <w:t xml:space="preserve"> </w:t>
      </w:r>
      <w:r w:rsidR="007C6BDB">
        <w:t xml:space="preserve">Key items identified include operational issues, M&amp;E, </w:t>
      </w:r>
      <w:r w:rsidR="007C6BDB" w:rsidRPr="00A07968">
        <w:t xml:space="preserve">administration and relationship development and maintenance. </w:t>
      </w:r>
      <w:r w:rsidRPr="00A07968">
        <w:t xml:space="preserve">These lessons are </w:t>
      </w:r>
      <w:r w:rsidR="007C6BDB" w:rsidRPr="00A07968">
        <w:t xml:space="preserve">set out </w:t>
      </w:r>
      <w:r w:rsidRPr="00A07968">
        <w:t xml:space="preserve">in </w:t>
      </w:r>
      <w:r w:rsidR="007C6BDB" w:rsidRPr="0046014C">
        <w:rPr>
          <w:b/>
        </w:rPr>
        <w:t xml:space="preserve">Annex </w:t>
      </w:r>
      <w:r w:rsidRPr="0046014C">
        <w:rPr>
          <w:b/>
        </w:rPr>
        <w:t>B</w:t>
      </w:r>
      <w:r w:rsidRPr="00A07968">
        <w:t xml:space="preserve"> of th</w:t>
      </w:r>
      <w:r w:rsidR="007C6BDB" w:rsidRPr="00A07968">
        <w:t>is E4G Component IDD</w:t>
      </w:r>
      <w:r w:rsidR="0046014C">
        <w:t xml:space="preserve"> – </w:t>
      </w:r>
      <w:r w:rsidR="0046014C" w:rsidRPr="0046014C">
        <w:rPr>
          <w:i/>
        </w:rPr>
        <w:t>Key Lessons Learned from Previous Activities</w:t>
      </w:r>
      <w:r w:rsidR="007C6BDB" w:rsidRPr="00A07968">
        <w:t>.</w:t>
      </w:r>
      <w:r w:rsidR="005B3032">
        <w:t xml:space="preserve"> </w:t>
      </w:r>
      <w:r w:rsidR="007C6BDB">
        <w:t xml:space="preserve">A full set of lessons from prior implementation of Australia Awards and </w:t>
      </w:r>
      <w:r w:rsidR="00A07968">
        <w:t xml:space="preserve">AAPF activities is set out in </w:t>
      </w:r>
      <w:r w:rsidR="00A07968" w:rsidRPr="005D6E98">
        <w:rPr>
          <w:b/>
        </w:rPr>
        <w:t xml:space="preserve">Annex </w:t>
      </w:r>
      <w:r w:rsidR="00051808" w:rsidRPr="005D6E98">
        <w:rPr>
          <w:b/>
        </w:rPr>
        <w:t>A</w:t>
      </w:r>
      <w:r w:rsidR="00A07968">
        <w:t xml:space="preserve"> of the overarching AADP IDD.</w:t>
      </w:r>
    </w:p>
    <w:p w14:paraId="681A8E2E" w14:textId="77777777" w:rsidR="000F5341" w:rsidRDefault="00A07968" w:rsidP="002B1210">
      <w:pPr>
        <w:pStyle w:val="BodyText"/>
      </w:pPr>
      <w:r>
        <w:t>Building on</w:t>
      </w:r>
      <w:r w:rsidRPr="00F811E1">
        <w:t xml:space="preserve"> </w:t>
      </w:r>
      <w:r w:rsidR="000F5341" w:rsidRPr="00F811E1">
        <w:t>the</w:t>
      </w:r>
      <w:r>
        <w:t xml:space="preserve"> lessons and </w:t>
      </w:r>
      <w:r w:rsidR="000F5341" w:rsidRPr="00F811E1">
        <w:t xml:space="preserve">assumptions, the </w:t>
      </w:r>
      <w:r w:rsidR="00360E4E">
        <w:t xml:space="preserve">E4G </w:t>
      </w:r>
      <w:r>
        <w:t xml:space="preserve">Component </w:t>
      </w:r>
      <w:proofErr w:type="spellStart"/>
      <w:r w:rsidR="000F5341" w:rsidRPr="00F811E1">
        <w:t>ToC</w:t>
      </w:r>
      <w:proofErr w:type="spellEnd"/>
      <w:r w:rsidR="000F5341" w:rsidRPr="00F811E1">
        <w:t xml:space="preserve"> outlines the necessary activities that</w:t>
      </w:r>
      <w:r w:rsidR="000F5341">
        <w:t>,</w:t>
      </w:r>
      <w:r w:rsidR="000F5341" w:rsidRPr="00F811E1">
        <w:t xml:space="preserve"> if </w:t>
      </w:r>
      <w:r w:rsidR="000F5341">
        <w:t>implemented successfully,</w:t>
      </w:r>
      <w:r w:rsidR="000F5341" w:rsidRPr="00F811E1">
        <w:t xml:space="preserve"> </w:t>
      </w:r>
      <w:r w:rsidR="000F5341">
        <w:t xml:space="preserve">would </w:t>
      </w:r>
      <w:r w:rsidR="000F5341" w:rsidRPr="00F811E1">
        <w:t xml:space="preserve">ensure that the AADP is successful. </w:t>
      </w:r>
    </w:p>
    <w:p w14:paraId="5DCD6B1A" w14:textId="77777777" w:rsidR="003113EC" w:rsidRPr="00782A69" w:rsidRDefault="003113EC" w:rsidP="005A2ED5">
      <w:pPr>
        <w:pStyle w:val="BodyText"/>
        <w:ind w:left="720"/>
        <w:rPr>
          <w:i/>
        </w:rPr>
      </w:pPr>
      <w:proofErr w:type="spellStart"/>
      <w:r w:rsidRPr="00782A69">
        <w:rPr>
          <w:i/>
        </w:rPr>
        <w:t>IfStronger</w:t>
      </w:r>
      <w:proofErr w:type="spellEnd"/>
      <w:r w:rsidRPr="00782A69">
        <w:rPr>
          <w:i/>
        </w:rPr>
        <w:t xml:space="preserve"> African skills development, education and training institutions are producing high-calibre graduates able to support their national </w:t>
      </w:r>
      <w:r w:rsidR="0025246F">
        <w:rPr>
          <w:i/>
        </w:rPr>
        <w:t>extractive</w:t>
      </w:r>
      <w:r w:rsidRPr="00782A69">
        <w:rPr>
          <w:i/>
        </w:rPr>
        <w:t xml:space="preserve"> sector</w:t>
      </w:r>
    </w:p>
    <w:p w14:paraId="2C92AFF8" w14:textId="77777777" w:rsidR="003113EC" w:rsidRPr="00782A69" w:rsidRDefault="003113EC" w:rsidP="002B1210">
      <w:pPr>
        <w:pStyle w:val="BodyText"/>
        <w:ind w:left="720"/>
        <w:rPr>
          <w:i/>
        </w:rPr>
      </w:pPr>
      <w:r w:rsidRPr="00782A69">
        <w:rPr>
          <w:i/>
        </w:rPr>
        <w:t>And</w:t>
      </w:r>
    </w:p>
    <w:p w14:paraId="127589AC" w14:textId="77777777" w:rsidR="003113EC" w:rsidRPr="00782A69" w:rsidRDefault="003113EC" w:rsidP="002B1210">
      <w:pPr>
        <w:pStyle w:val="BodyText"/>
        <w:ind w:left="720"/>
        <w:rPr>
          <w:i/>
        </w:rPr>
      </w:pPr>
      <w:r w:rsidRPr="00782A69">
        <w:rPr>
          <w:i/>
        </w:rPr>
        <w:t xml:space="preserve">Skills development systems are in </w:t>
      </w:r>
      <w:proofErr w:type="gramStart"/>
      <w:r w:rsidRPr="00782A69">
        <w:rPr>
          <w:i/>
        </w:rPr>
        <w:t>place that respond</w:t>
      </w:r>
      <w:proofErr w:type="gramEnd"/>
      <w:r w:rsidRPr="00782A69">
        <w:rPr>
          <w:i/>
        </w:rPr>
        <w:t xml:space="preserve"> to industry and government skilling needs</w:t>
      </w:r>
    </w:p>
    <w:p w14:paraId="422F5763" w14:textId="77777777" w:rsidR="003113EC" w:rsidRPr="00782A69" w:rsidRDefault="003113EC" w:rsidP="002B1210">
      <w:pPr>
        <w:pStyle w:val="BodyText"/>
        <w:ind w:left="720"/>
        <w:rPr>
          <w:i/>
        </w:rPr>
      </w:pPr>
      <w:r w:rsidRPr="00782A69">
        <w:rPr>
          <w:i/>
        </w:rPr>
        <w:t>Then</w:t>
      </w:r>
    </w:p>
    <w:p w14:paraId="2D384AE1" w14:textId="77777777" w:rsidR="003113EC" w:rsidRPr="00782A69" w:rsidRDefault="003113EC" w:rsidP="002B1210">
      <w:pPr>
        <w:pStyle w:val="BodyText"/>
        <w:ind w:left="720"/>
        <w:rPr>
          <w:i/>
        </w:rPr>
      </w:pPr>
      <w:r w:rsidRPr="00782A69">
        <w:rPr>
          <w:i/>
        </w:rPr>
        <w:t xml:space="preserve">Governments and companies will be better able to satisfy their recruitment requirements through increased access to a more skilled local workforce, demonstrating the economic growth and job creation benefits of </w:t>
      </w:r>
      <w:r w:rsidR="0025246F">
        <w:rPr>
          <w:i/>
        </w:rPr>
        <w:t>extractive</w:t>
      </w:r>
      <w:r w:rsidRPr="00782A69">
        <w:rPr>
          <w:i/>
        </w:rPr>
        <w:t xml:space="preserve"> development</w:t>
      </w:r>
    </w:p>
    <w:p w14:paraId="639D7260" w14:textId="77777777" w:rsidR="003113EC" w:rsidRPr="00782A69" w:rsidRDefault="003113EC" w:rsidP="002B1210">
      <w:pPr>
        <w:pStyle w:val="BodyText"/>
        <w:ind w:left="720"/>
        <w:rPr>
          <w:i/>
        </w:rPr>
      </w:pPr>
      <w:r w:rsidRPr="00782A69">
        <w:rPr>
          <w:i/>
        </w:rPr>
        <w:t xml:space="preserve">And </w:t>
      </w:r>
    </w:p>
    <w:p w14:paraId="2A39C882" w14:textId="77777777" w:rsidR="003113EC" w:rsidRPr="00782A69" w:rsidRDefault="003113EC" w:rsidP="002B1210">
      <w:pPr>
        <w:pStyle w:val="BodyText"/>
        <w:ind w:left="720"/>
        <w:rPr>
          <w:i/>
        </w:rPr>
      </w:pPr>
      <w:r w:rsidRPr="00782A69">
        <w:rPr>
          <w:i/>
        </w:rPr>
        <w:t xml:space="preserve">More African men and women will be employed in higher skilled roles in, or deriving improved livelihoods from, the </w:t>
      </w:r>
      <w:r w:rsidR="0025246F">
        <w:rPr>
          <w:i/>
        </w:rPr>
        <w:t>extractive</w:t>
      </w:r>
      <w:r w:rsidRPr="00782A69">
        <w:rPr>
          <w:i/>
        </w:rPr>
        <w:t xml:space="preserve"> sector</w:t>
      </w:r>
    </w:p>
    <w:p w14:paraId="05CDF1D5" w14:textId="77777777" w:rsidR="003113EC" w:rsidRPr="00782A69" w:rsidRDefault="003113EC" w:rsidP="002B1210">
      <w:pPr>
        <w:pStyle w:val="BodyText"/>
        <w:ind w:left="720"/>
        <w:rPr>
          <w:i/>
        </w:rPr>
      </w:pPr>
      <w:r w:rsidRPr="00782A69">
        <w:rPr>
          <w:i/>
        </w:rPr>
        <w:t>And</w:t>
      </w:r>
    </w:p>
    <w:p w14:paraId="48C31A3F" w14:textId="77777777" w:rsidR="00911441" w:rsidRPr="00F811E1" w:rsidRDefault="003113EC" w:rsidP="002B1210">
      <w:pPr>
        <w:pStyle w:val="BodyText"/>
        <w:ind w:left="720"/>
      </w:pPr>
      <w:r w:rsidRPr="00782A69">
        <w:rPr>
          <w:i/>
        </w:rPr>
        <w:t>African people will achieve more equitable access to the benefits of economic growth</w:t>
      </w:r>
      <w:r>
        <w:rPr>
          <w:i/>
        </w:rPr>
        <w:t>.</w:t>
      </w:r>
    </w:p>
    <w:p w14:paraId="7FD2C09E" w14:textId="77777777" w:rsidR="000F5341" w:rsidRPr="000F5341" w:rsidRDefault="000F5341" w:rsidP="002B1210">
      <w:pPr>
        <w:pStyle w:val="Heading2"/>
        <w:jc w:val="both"/>
      </w:pPr>
      <w:bookmarkStart w:id="29" w:name="_Toc401578422"/>
      <w:bookmarkStart w:id="30" w:name="_Toc387590491"/>
      <w:bookmarkStart w:id="31" w:name="_Toc399150508"/>
      <w:r w:rsidRPr="000F5341">
        <w:t>Delivery Approach</w:t>
      </w:r>
      <w:bookmarkEnd w:id="29"/>
      <w:r w:rsidRPr="000F5341">
        <w:t xml:space="preserve"> </w:t>
      </w:r>
      <w:bookmarkEnd w:id="30"/>
      <w:bookmarkEnd w:id="31"/>
    </w:p>
    <w:p w14:paraId="53347684" w14:textId="77777777" w:rsidR="000F5341" w:rsidRPr="003C0DBE" w:rsidRDefault="000F5341" w:rsidP="002B1210">
      <w:pPr>
        <w:pStyle w:val="Heading3"/>
        <w:jc w:val="both"/>
      </w:pPr>
      <w:bookmarkStart w:id="32" w:name="_Toc387590492"/>
      <w:r w:rsidRPr="003C0DBE">
        <w:t>Strategic Contributions:</w:t>
      </w:r>
      <w:r>
        <w:t xml:space="preserve"> </w:t>
      </w:r>
      <w:r w:rsidRPr="003C0DBE">
        <w:t>Identification of mutual reinforcement and leveraging opportunities</w:t>
      </w:r>
    </w:p>
    <w:p w14:paraId="1EB38F61" w14:textId="553A3741" w:rsidR="000F5341" w:rsidRPr="003C0DBE" w:rsidRDefault="00360E4E" w:rsidP="002B1210">
      <w:pPr>
        <w:pStyle w:val="BodyText"/>
      </w:pPr>
      <w:r>
        <w:t>A</w:t>
      </w:r>
      <w:r w:rsidR="000F5341" w:rsidRPr="003C0DBE">
        <w:t xml:space="preserve"> key element of the </w:t>
      </w:r>
      <w:r>
        <w:t xml:space="preserve">E4G </w:t>
      </w:r>
      <w:r w:rsidR="009A731A">
        <w:t>C</w:t>
      </w:r>
      <w:r>
        <w:t>omponent</w:t>
      </w:r>
      <w:r w:rsidR="000F5341" w:rsidRPr="003C0DBE">
        <w:t xml:space="preserve">’s success will be the degree to which activities under previously separate programs can </w:t>
      </w:r>
      <w:r w:rsidR="008D5350">
        <w:t xml:space="preserve">be </w:t>
      </w:r>
      <w:r w:rsidR="000F5341" w:rsidRPr="003C0DBE">
        <w:t>more effectively harnessed so that their benefits mutually reinforce each other</w:t>
      </w:r>
      <w:r w:rsidR="000F5341">
        <w:t xml:space="preserve"> and</w:t>
      </w:r>
      <w:r w:rsidR="000F5341" w:rsidRPr="003C0DBE">
        <w:t xml:space="preserve"> lead to greater leveraging of opportunities for both Africa and Australia.</w:t>
      </w:r>
      <w:r w:rsidR="000F5341">
        <w:t xml:space="preserve"> </w:t>
      </w:r>
      <w:r w:rsidR="000F5341" w:rsidRPr="003C0DBE">
        <w:t xml:space="preserve">This will require the MC to support DFAT AFB </w:t>
      </w:r>
      <w:r w:rsidR="005D7687">
        <w:t xml:space="preserve">and Posts </w:t>
      </w:r>
      <w:r w:rsidR="000F5341" w:rsidRPr="003C0DBE">
        <w:t xml:space="preserve">in strategic oversight and analysis of </w:t>
      </w:r>
      <w:r w:rsidR="00825F9D">
        <w:t>such opportunities</w:t>
      </w:r>
      <w:r w:rsidR="00087D45">
        <w:t xml:space="preserve">. </w:t>
      </w:r>
      <w:r w:rsidR="000F5341" w:rsidRPr="003C0DBE">
        <w:t xml:space="preserve">The MC will need a solid knowledge of the extractive-related industries in the countries of interest to the </w:t>
      </w:r>
      <w:proofErr w:type="spellStart"/>
      <w:r w:rsidR="000F5341" w:rsidRPr="003C0DBE">
        <w:t>GoA</w:t>
      </w:r>
      <w:proofErr w:type="spellEnd"/>
      <w:r w:rsidR="000F5341" w:rsidRPr="003C0DBE">
        <w:t xml:space="preserve"> in Africa, and the ability (including an appropriate level of resourcing) to</w:t>
      </w:r>
      <w:r w:rsidR="000F5341">
        <w:t xml:space="preserve"> </w:t>
      </w:r>
      <w:r w:rsidR="00AF54D7">
        <w:t xml:space="preserve">conduct strategic analysis, </w:t>
      </w:r>
      <w:r w:rsidR="000F5341">
        <w:t xml:space="preserve">identify </w:t>
      </w:r>
      <w:r w:rsidR="00AF54D7">
        <w:t xml:space="preserve">opportunities </w:t>
      </w:r>
      <w:r w:rsidR="000F5341">
        <w:t>and</w:t>
      </w:r>
      <w:r w:rsidR="000F5341" w:rsidRPr="003C0DBE">
        <w:t xml:space="preserve"> propose</w:t>
      </w:r>
      <w:r w:rsidR="000F5341">
        <w:t xml:space="preserve"> to DFAT </w:t>
      </w:r>
      <w:r w:rsidR="00AF54D7">
        <w:t>ways in which opportunities under one Component can be leveraged in the other Component to increase Program impact and value for money</w:t>
      </w:r>
      <w:r w:rsidR="000F5341" w:rsidRPr="003C0DBE">
        <w:t>.</w:t>
      </w:r>
      <w:r w:rsidR="00AB0C52">
        <w:t xml:space="preserve">  </w:t>
      </w:r>
      <w:r w:rsidR="006B20CB">
        <w:t>As part of its tender, t</w:t>
      </w:r>
      <w:r w:rsidR="00AB0C52">
        <w:t xml:space="preserve">he MC will </w:t>
      </w:r>
      <w:r w:rsidR="007C5D9E">
        <w:t xml:space="preserve">need to propose how it would </w:t>
      </w:r>
      <w:r w:rsidR="00AB0C52">
        <w:t>develop an activity design process, which meets DFAT Aid Program quality at entry and M&amp;E requirements.</w:t>
      </w:r>
    </w:p>
    <w:p w14:paraId="69904584" w14:textId="77777777" w:rsidR="000F5341" w:rsidRPr="003C0DBE" w:rsidRDefault="000F5341" w:rsidP="002B1210">
      <w:pPr>
        <w:pStyle w:val="Heading3"/>
        <w:jc w:val="both"/>
      </w:pPr>
      <w:r w:rsidRPr="003C0DBE">
        <w:t>Innovation and Engaging with Private Sector:</w:t>
      </w:r>
      <w:r>
        <w:t xml:space="preserve"> </w:t>
      </w:r>
      <w:r w:rsidRPr="003C0DBE">
        <w:t xml:space="preserve">Identification of sector needs and application of innovative private sector investment strategies requires specific skills-sets and proactive approaches </w:t>
      </w:r>
    </w:p>
    <w:p w14:paraId="5EC7CB84" w14:textId="77777777" w:rsidR="005D7687" w:rsidRPr="004328D9" w:rsidRDefault="005D7687">
      <w:pPr>
        <w:spacing w:after="120"/>
        <w:jc w:val="both"/>
        <w:rPr>
          <w:rFonts w:cs="Arial"/>
          <w:szCs w:val="20"/>
        </w:rPr>
      </w:pPr>
      <w:r w:rsidRPr="004328D9">
        <w:rPr>
          <w:rFonts w:cs="Arial"/>
          <w:szCs w:val="20"/>
        </w:rPr>
        <w:t xml:space="preserve">Private sector engagement </w:t>
      </w:r>
      <w:r>
        <w:rPr>
          <w:rFonts w:cs="Arial"/>
          <w:szCs w:val="20"/>
        </w:rPr>
        <w:t xml:space="preserve">will be an underlying theme for the Program and </w:t>
      </w:r>
      <w:r w:rsidRPr="004328D9">
        <w:rPr>
          <w:rFonts w:cs="Arial"/>
          <w:szCs w:val="20"/>
        </w:rPr>
        <w:t>will be achieved through:</w:t>
      </w:r>
    </w:p>
    <w:p w14:paraId="31D77CBE" w14:textId="77777777" w:rsidR="005D7687" w:rsidRDefault="005D7687" w:rsidP="00B17713">
      <w:pPr>
        <w:pStyle w:val="List-bullet-1"/>
      </w:pPr>
      <w:r>
        <w:t>partnerships with the private sector</w:t>
      </w:r>
      <w:r w:rsidRPr="003C0DBE">
        <w:t xml:space="preserve"> </w:t>
      </w:r>
      <w:r>
        <w:t xml:space="preserve">that </w:t>
      </w:r>
      <w:r w:rsidRPr="003C0DBE">
        <w:t xml:space="preserve">support </w:t>
      </w:r>
      <w:r>
        <w:t>delivery of different aspects of the AADP program (e.g. utilising private sector expertise for mentoring, participation in seminars, hosting work placements etc</w:t>
      </w:r>
      <w:r w:rsidR="005D6E98">
        <w:t>.</w:t>
      </w:r>
      <w:r>
        <w:t>)</w:t>
      </w:r>
      <w:r w:rsidRPr="003C0DBE">
        <w:t>;</w:t>
      </w:r>
    </w:p>
    <w:p w14:paraId="32D94D2E" w14:textId="33422C68" w:rsidR="005D7687" w:rsidRPr="003C0DBE" w:rsidRDefault="005D7687" w:rsidP="00B17713">
      <w:pPr>
        <w:pStyle w:val="List-bullet-1"/>
      </w:pPr>
      <w:r>
        <w:t>drawing on private sector knowledge and experience in conceptualising and designing activities</w:t>
      </w:r>
      <w:r w:rsidR="00AF6691">
        <w:t>, including skills development at TVET institutions</w:t>
      </w:r>
      <w:r w:rsidR="00E70212">
        <w:t xml:space="preserve"> and in communities</w:t>
      </w:r>
      <w:r>
        <w:t>; and</w:t>
      </w:r>
    </w:p>
    <w:p w14:paraId="5572B47A" w14:textId="77777777" w:rsidR="005D7687" w:rsidRPr="003C0DBE" w:rsidRDefault="005D7687" w:rsidP="00B17713">
      <w:pPr>
        <w:pStyle w:val="List-bullet-1"/>
      </w:pPr>
      <w:proofErr w:type="gramStart"/>
      <w:r>
        <w:t>deepening</w:t>
      </w:r>
      <w:proofErr w:type="gramEnd"/>
      <w:r>
        <w:t xml:space="preserve"> private sector involvement in the Australia Awards program both in terms of private sector participants and potential funding of the program by the private sector.</w:t>
      </w:r>
    </w:p>
    <w:p w14:paraId="2C829333" w14:textId="0CAE71C5" w:rsidR="000F5341" w:rsidRPr="003C0DBE" w:rsidRDefault="000F5341" w:rsidP="002B1210">
      <w:pPr>
        <w:pStyle w:val="BodyText"/>
      </w:pPr>
      <w:r w:rsidRPr="003C0DBE">
        <w:t xml:space="preserve">DFAT AFB in Canberra and at </w:t>
      </w:r>
      <w:r w:rsidR="005D7687">
        <w:t>P</w:t>
      </w:r>
      <w:r w:rsidRPr="003C0DBE">
        <w:t xml:space="preserve">osts in Africa will be </w:t>
      </w:r>
      <w:r w:rsidR="00087D45">
        <w:t xml:space="preserve">responsible for providing policy guidance on DFAT’s engagement with private </w:t>
      </w:r>
      <w:proofErr w:type="gramStart"/>
      <w:r w:rsidR="00087D45">
        <w:t>sector,</w:t>
      </w:r>
      <w:proofErr w:type="gramEnd"/>
      <w:r w:rsidR="00087D45">
        <w:t xml:space="preserve"> however the MC will be required to provide innovative approaches for how the programs can better work with the private sector to achieve development outcomes. E</w:t>
      </w:r>
      <w:r w:rsidRPr="003C0DBE">
        <w:t xml:space="preserve">ngagement with DFAT’s newly formed </w:t>
      </w:r>
      <w:r>
        <w:t>‘</w:t>
      </w:r>
      <w:r w:rsidRPr="003C0DBE">
        <w:rPr>
          <w:i/>
        </w:rPr>
        <w:t>Innovation Hub</w:t>
      </w:r>
      <w:r>
        <w:t>’</w:t>
      </w:r>
      <w:r w:rsidRPr="003C0DBE">
        <w:t xml:space="preserve"> will be relevant.</w:t>
      </w:r>
      <w:r>
        <w:t xml:space="preserve"> </w:t>
      </w:r>
      <w:r w:rsidRPr="003C0DBE">
        <w:t xml:space="preserve">The MC </w:t>
      </w:r>
      <w:r w:rsidR="005D7687">
        <w:t xml:space="preserve">will </w:t>
      </w:r>
      <w:r w:rsidRPr="003C0DBE">
        <w:t>be expected to field relevant expertise to support increased private sector engagement</w:t>
      </w:r>
      <w:r w:rsidR="00E70212">
        <w:t xml:space="preserve"> and to build links with communities</w:t>
      </w:r>
      <w:r w:rsidRPr="003C0DBE">
        <w:t>.</w:t>
      </w:r>
    </w:p>
    <w:p w14:paraId="7ECF210A" w14:textId="77777777" w:rsidR="00196147" w:rsidRPr="003C0DBE" w:rsidRDefault="00196147" w:rsidP="002B1210">
      <w:pPr>
        <w:pStyle w:val="Heading3"/>
        <w:jc w:val="both"/>
      </w:pPr>
      <w:r>
        <w:t xml:space="preserve">The Political Economy of the </w:t>
      </w:r>
      <w:r w:rsidR="0025246F">
        <w:t>Extractive</w:t>
      </w:r>
      <w:r>
        <w:t xml:space="preserve"> Sector</w:t>
      </w:r>
    </w:p>
    <w:p w14:paraId="6B3365AE" w14:textId="77777777" w:rsidR="00196147" w:rsidRDefault="00196147" w:rsidP="002B1210">
      <w:pPr>
        <w:pStyle w:val="BodyText"/>
      </w:pPr>
      <w:r w:rsidRPr="00196147">
        <w:t>A range of reports</w:t>
      </w:r>
      <w:r w:rsidRPr="00196147">
        <w:rPr>
          <w:vertAlign w:val="superscript"/>
        </w:rPr>
        <w:footnoteReference w:id="24"/>
      </w:r>
      <w:r w:rsidRPr="00196147">
        <w:rPr>
          <w:vertAlign w:val="superscript"/>
        </w:rPr>
        <w:t xml:space="preserve"> </w:t>
      </w:r>
      <w:r w:rsidRPr="00196147">
        <w:t>ha</w:t>
      </w:r>
      <w:r w:rsidR="00233396">
        <w:t>s</w:t>
      </w:r>
      <w:r w:rsidRPr="00196147">
        <w:t xml:space="preserve"> highlighted the dual nature of the challenges that countries face – political (corruption and rent seeking) and technical (weak government capacity to sustainably plan and manage the </w:t>
      </w:r>
      <w:r w:rsidR="0025246F">
        <w:t>extractive</w:t>
      </w:r>
      <w:r w:rsidRPr="00196147">
        <w:t xml:space="preserve"> sector). </w:t>
      </w:r>
      <w:r>
        <w:t>Recognising that s</w:t>
      </w:r>
      <w:r w:rsidRPr="00196147">
        <w:t>ector challenges are both political and technical</w:t>
      </w:r>
      <w:r>
        <w:t xml:space="preserve">, DFAT complements its technical </w:t>
      </w:r>
      <w:r w:rsidR="0025246F">
        <w:t>extractive</w:t>
      </w:r>
      <w:r>
        <w:t xml:space="preserve"> engagement (through the AADP) with political engagement and support.</w:t>
      </w:r>
    </w:p>
    <w:p w14:paraId="2DD0B787" w14:textId="77777777" w:rsidR="00196147" w:rsidRPr="00196147" w:rsidRDefault="00196147" w:rsidP="002B1210">
      <w:pPr>
        <w:pStyle w:val="BodyText"/>
      </w:pPr>
      <w:r w:rsidRPr="00196147">
        <w:t xml:space="preserve">DFAT seeks to influence African Governments through engagement on global standards such as the voluntary principles, </w:t>
      </w:r>
      <w:r w:rsidR="004107C3">
        <w:rPr>
          <w:rFonts w:eastAsia="Calibri"/>
          <w:color w:val="000000"/>
        </w:rPr>
        <w:t>Extractive Industries Transparency Initiative (</w:t>
      </w:r>
      <w:r w:rsidRPr="00196147">
        <w:t>EITI</w:t>
      </w:r>
      <w:r w:rsidR="004107C3">
        <w:t>)</w:t>
      </w:r>
      <w:r w:rsidRPr="00196147">
        <w:t xml:space="preserve"> (</w:t>
      </w:r>
      <w:r>
        <w:t xml:space="preserve">the </w:t>
      </w:r>
      <w:r w:rsidR="005B3032">
        <w:t>three</w:t>
      </w:r>
      <w:r w:rsidRPr="00196147">
        <w:t xml:space="preserve"> </w:t>
      </w:r>
      <w:r w:rsidR="007469FC">
        <w:t xml:space="preserve">E4G </w:t>
      </w:r>
      <w:r w:rsidR="00EC38FF">
        <w:t>Focus Countries</w:t>
      </w:r>
      <w:r>
        <w:t xml:space="preserve"> </w:t>
      </w:r>
      <w:r w:rsidRPr="00196147">
        <w:t>are all EITI Compliant Countries) and the Kimberley Process. DFAT also seeks to influence African Governments through engagement with and support for the continent’s primary political body, the African Union, including support for the A</w:t>
      </w:r>
      <w:r w:rsidR="004107C3">
        <w:t xml:space="preserve">frican </w:t>
      </w:r>
      <w:r w:rsidRPr="00196147">
        <w:t>U</w:t>
      </w:r>
      <w:r w:rsidR="004107C3">
        <w:t>nion</w:t>
      </w:r>
      <w:r w:rsidRPr="00196147">
        <w:t xml:space="preserve">’s Africa Mining Vision and </w:t>
      </w:r>
      <w:r w:rsidR="009763EA">
        <w:t>AMDC</w:t>
      </w:r>
      <w:r w:rsidRPr="00196147">
        <w:t xml:space="preserve">. In addition, </w:t>
      </w:r>
      <w:r w:rsidR="007469FC">
        <w:t xml:space="preserve">DFAT </w:t>
      </w:r>
      <w:r w:rsidRPr="00196147">
        <w:t>seek</w:t>
      </w:r>
      <w:r w:rsidR="007469FC">
        <w:t>s</w:t>
      </w:r>
      <w:r w:rsidRPr="00196147">
        <w:t xml:space="preserve"> to influence African Governments through direct engagement </w:t>
      </w:r>
      <w:r w:rsidR="007469FC">
        <w:t xml:space="preserve">by DFAT Posts </w:t>
      </w:r>
      <w:r w:rsidRPr="00196147">
        <w:t>with key policy makers and through providing these policy makers with exposure to Australian</w:t>
      </w:r>
      <w:r w:rsidR="004107C3">
        <w:t xml:space="preserve"> expertise and experience (e.g. </w:t>
      </w:r>
      <w:r w:rsidRPr="00196147">
        <w:t>through study tours).</w:t>
      </w:r>
      <w:r w:rsidR="007469FC">
        <w:t xml:space="preserve"> This in turn informs the design of activities that will be implemented through the AADP.</w:t>
      </w:r>
    </w:p>
    <w:p w14:paraId="3B1D7E80" w14:textId="77777777" w:rsidR="00196147" w:rsidRPr="00196147" w:rsidRDefault="00196147" w:rsidP="002B1210">
      <w:pPr>
        <w:pStyle w:val="BodyText"/>
      </w:pPr>
      <w:r w:rsidRPr="00196147">
        <w:t xml:space="preserve">For example, </w:t>
      </w:r>
      <w:r w:rsidR="007469FC">
        <w:t xml:space="preserve">in E4G </w:t>
      </w:r>
      <w:r w:rsidR="00EC38FF">
        <w:t>Focus Countries</w:t>
      </w:r>
      <w:r w:rsidR="009763EA">
        <w:t>,</w:t>
      </w:r>
      <w:r w:rsidR="007469FC">
        <w:t xml:space="preserve"> </w:t>
      </w:r>
      <w:r w:rsidRPr="00196147">
        <w:t xml:space="preserve">support includes training and scholarships for officials within </w:t>
      </w:r>
      <w:r w:rsidR="007469FC">
        <w:t>m</w:t>
      </w:r>
      <w:r w:rsidRPr="00196147">
        <w:t xml:space="preserve">ineral </w:t>
      </w:r>
      <w:r w:rsidR="007469FC">
        <w:t>r</w:t>
      </w:r>
      <w:r w:rsidRPr="00196147">
        <w:t>esources</w:t>
      </w:r>
      <w:r w:rsidR="007469FC">
        <w:t xml:space="preserve"> ministries</w:t>
      </w:r>
      <w:r w:rsidRPr="00196147">
        <w:t xml:space="preserve">, complemented by support for institutional reform of the </w:t>
      </w:r>
      <w:r w:rsidR="007469FC">
        <w:t>m</w:t>
      </w:r>
      <w:r w:rsidRPr="00196147">
        <w:t>inistr</w:t>
      </w:r>
      <w:r w:rsidR="007469FC">
        <w:t>ies</w:t>
      </w:r>
      <w:r w:rsidR="009763EA">
        <w:t>.</w:t>
      </w:r>
      <w:r w:rsidRPr="00196147">
        <w:t xml:space="preserve"> </w:t>
      </w:r>
      <w:r w:rsidR="009763EA">
        <w:t>I</w:t>
      </w:r>
      <w:r w:rsidRPr="00196147">
        <w:t xml:space="preserve">t includes support for improving effectiveness of vocational education institutions, complemented by technical and institutional reform of the national vocational education agency; all of which is complemented by our involvement in </w:t>
      </w:r>
      <w:r w:rsidR="0025246F">
        <w:t>extractive</w:t>
      </w:r>
      <w:r w:rsidRPr="00196147">
        <w:t xml:space="preserve"> donor group</w:t>
      </w:r>
      <w:r w:rsidR="007469FC">
        <w:t>s</w:t>
      </w:r>
      <w:r w:rsidRPr="00196147">
        <w:t xml:space="preserve"> which coordinate political engagement by donors with government</w:t>
      </w:r>
      <w:r w:rsidR="007469FC">
        <w:t>s</w:t>
      </w:r>
      <w:r w:rsidRPr="00196147">
        <w:t xml:space="preserve"> on </w:t>
      </w:r>
      <w:r w:rsidR="0025246F">
        <w:t>extractive</w:t>
      </w:r>
      <w:r w:rsidRPr="00196147">
        <w:t xml:space="preserve"> policy issues</w:t>
      </w:r>
      <w:r w:rsidR="007469FC">
        <w:t>.</w:t>
      </w:r>
    </w:p>
    <w:p w14:paraId="758AC0C6" w14:textId="77777777" w:rsidR="000F5341" w:rsidRPr="00B575B3" w:rsidRDefault="005B3032" w:rsidP="002B1210">
      <w:pPr>
        <w:pStyle w:val="Heading3"/>
        <w:jc w:val="both"/>
      </w:pPr>
      <w:r>
        <w:t xml:space="preserve">Program </w:t>
      </w:r>
      <w:r w:rsidR="000F5341" w:rsidRPr="00B575B3">
        <w:t>Term</w:t>
      </w:r>
      <w:bookmarkEnd w:id="32"/>
    </w:p>
    <w:p w14:paraId="671268AF" w14:textId="46FC9FFC" w:rsidR="000F5341" w:rsidRPr="003C0DBE" w:rsidRDefault="000F5341" w:rsidP="002B1210">
      <w:pPr>
        <w:pStyle w:val="BodyText"/>
      </w:pPr>
      <w:r w:rsidRPr="003C0DBE">
        <w:t xml:space="preserve">The proposed </w:t>
      </w:r>
      <w:r w:rsidRPr="003C0DBE">
        <w:rPr>
          <w:b/>
          <w:bCs/>
        </w:rPr>
        <w:t>term of the</w:t>
      </w:r>
      <w:r w:rsidR="005325EA" w:rsidRPr="005325EA">
        <w:rPr>
          <w:b/>
          <w:bCs/>
        </w:rPr>
        <w:t xml:space="preserve"> </w:t>
      </w:r>
      <w:r w:rsidR="005325EA">
        <w:rPr>
          <w:b/>
          <w:bCs/>
        </w:rPr>
        <w:t>E4</w:t>
      </w:r>
      <w:r w:rsidR="006C0CF1">
        <w:rPr>
          <w:b/>
          <w:bCs/>
        </w:rPr>
        <w:t>G</w:t>
      </w:r>
      <w:r w:rsidR="005325EA">
        <w:rPr>
          <w:b/>
          <w:bCs/>
        </w:rPr>
        <w:t xml:space="preserve"> component and for the overall</w:t>
      </w:r>
      <w:r w:rsidRPr="003C0DBE">
        <w:rPr>
          <w:b/>
          <w:bCs/>
        </w:rPr>
        <w:t xml:space="preserve"> AADP is four years</w:t>
      </w:r>
      <w:r w:rsidRPr="003C0DBE">
        <w:t xml:space="preserve">, with the option to extend the term for two periods of two years (4+2+2), subject to progress and </w:t>
      </w:r>
      <w:r w:rsidR="00EB7878">
        <w:t>outcomes</w:t>
      </w:r>
      <w:r w:rsidRPr="003C0DBE">
        <w:t>.</w:t>
      </w:r>
      <w:r>
        <w:t xml:space="preserve"> </w:t>
      </w:r>
      <w:r w:rsidRPr="003C0DBE">
        <w:t>This would maximise continuity through long-term of engagement of the MC and specialist TA personnel, while permitting regular decision-making points on scope and</w:t>
      </w:r>
      <w:r w:rsidR="001B7DCB">
        <w:t xml:space="preserve"> / </w:t>
      </w:r>
      <w:r w:rsidRPr="003C0DBE">
        <w:t>or continuation of support, triggered by review</w:t>
      </w:r>
      <w:r w:rsidR="001B7DCB">
        <w:t xml:space="preserve"> / </w:t>
      </w:r>
      <w:r w:rsidRPr="003C0DBE">
        <w:t>evaluation.</w:t>
      </w:r>
      <w:r>
        <w:t xml:space="preserve"> </w:t>
      </w:r>
      <w:r w:rsidRPr="003C0DBE">
        <w:t>It is anticipated that a three month transitional phase between the two current MCs to a single incoming MC would commence on 1 April 2015, with the incoming MC responsible for full implementation from 1 July 2015.</w:t>
      </w:r>
      <w:r>
        <w:t xml:space="preserve"> </w:t>
      </w:r>
    </w:p>
    <w:p w14:paraId="4846EC0C" w14:textId="77777777" w:rsidR="000F5341" w:rsidRDefault="000F5341" w:rsidP="002B1210">
      <w:pPr>
        <w:pStyle w:val="Heading2"/>
        <w:jc w:val="both"/>
      </w:pPr>
      <w:bookmarkStart w:id="33" w:name="_Toc399150509"/>
      <w:bookmarkStart w:id="34" w:name="_Toc401578423"/>
      <w:bookmarkStart w:id="35" w:name="_Toc387590493"/>
      <w:r w:rsidRPr="004E4D1C">
        <w:t>Resources</w:t>
      </w:r>
      <w:bookmarkEnd w:id="33"/>
      <w:bookmarkEnd w:id="34"/>
    </w:p>
    <w:bookmarkEnd w:id="35"/>
    <w:p w14:paraId="63DA6678" w14:textId="77777777" w:rsidR="000F5341" w:rsidRPr="00B575B3" w:rsidRDefault="000F5341" w:rsidP="002B1210">
      <w:pPr>
        <w:pStyle w:val="Heading3"/>
        <w:jc w:val="both"/>
      </w:pPr>
      <w:r>
        <w:t>Financial Resources</w:t>
      </w:r>
    </w:p>
    <w:p w14:paraId="4C99E8D4" w14:textId="77777777" w:rsidR="005325EA" w:rsidRDefault="005325EA" w:rsidP="002B1210">
      <w:pPr>
        <w:pStyle w:val="BodyText"/>
      </w:pPr>
      <w:r w:rsidRPr="003C0DBE">
        <w:t xml:space="preserve">The proposed </w:t>
      </w:r>
      <w:r>
        <w:t xml:space="preserve">total </w:t>
      </w:r>
      <w:r w:rsidRPr="003C0DBE">
        <w:t xml:space="preserve">financial envelope for the </w:t>
      </w:r>
      <w:r>
        <w:t xml:space="preserve">E4G </w:t>
      </w:r>
      <w:r w:rsidR="00B47614">
        <w:t>C</w:t>
      </w:r>
      <w:r>
        <w:t xml:space="preserve">omponent </w:t>
      </w:r>
      <w:r w:rsidRPr="003C0DBE">
        <w:t xml:space="preserve">is </w:t>
      </w:r>
      <w:r>
        <w:rPr>
          <w:b/>
        </w:rPr>
        <w:t>AU</w:t>
      </w:r>
      <w:r w:rsidR="00303D01">
        <w:rPr>
          <w:b/>
        </w:rPr>
        <w:t>$</w:t>
      </w:r>
      <w:r w:rsidR="0023363B">
        <w:rPr>
          <w:b/>
        </w:rPr>
        <w:t>62</w:t>
      </w:r>
      <w:r w:rsidRPr="003C0DBE">
        <w:rPr>
          <w:b/>
        </w:rPr>
        <w:t xml:space="preserve"> million</w:t>
      </w:r>
      <w:r w:rsidRPr="003C0DBE">
        <w:t xml:space="preserve"> over the </w:t>
      </w:r>
      <w:r>
        <w:t xml:space="preserve">initial </w:t>
      </w:r>
      <w:r w:rsidRPr="003C0DBE">
        <w:t>four year term.</w:t>
      </w:r>
      <w:r>
        <w:t xml:space="preserve"> The majority of this total envelope will be delivered through the DFAT-MC AADP contract, while the remainder will be expended directly by DFAT on costs such as support to </w:t>
      </w:r>
      <w:r w:rsidR="00303D01">
        <w:t xml:space="preserve">regional organisations (e.g. </w:t>
      </w:r>
      <w:r>
        <w:t>the A</w:t>
      </w:r>
      <w:r w:rsidR="009763EA">
        <w:t>ADC</w:t>
      </w:r>
      <w:r w:rsidR="00303D01">
        <w:t xml:space="preserve">) </w:t>
      </w:r>
      <w:r>
        <w:t xml:space="preserve">and DFAT staff costs. </w:t>
      </w:r>
    </w:p>
    <w:p w14:paraId="4785E1AF" w14:textId="77777777" w:rsidR="000F5341" w:rsidRPr="009E0DBA" w:rsidRDefault="009E0DBA" w:rsidP="009E0DBA">
      <w:pPr>
        <w:pStyle w:val="Caption"/>
        <w:spacing w:before="240"/>
      </w:pPr>
      <w:r w:rsidRPr="009E0DBA">
        <w:t xml:space="preserve">Table </w:t>
      </w:r>
      <w:r w:rsidR="00940EEC">
        <w:fldChar w:fldCharType="begin"/>
      </w:r>
      <w:r w:rsidR="00940EEC">
        <w:instrText xml:space="preserve"> SEQ Table \* </w:instrText>
      </w:r>
      <w:r w:rsidR="00940EEC">
        <w:instrText xml:space="preserve">ARABIC </w:instrText>
      </w:r>
      <w:r w:rsidR="00940EEC">
        <w:fldChar w:fldCharType="separate"/>
      </w:r>
      <w:r w:rsidR="001E73EF">
        <w:rPr>
          <w:noProof/>
        </w:rPr>
        <w:t>1</w:t>
      </w:r>
      <w:r w:rsidR="00940EEC">
        <w:rPr>
          <w:noProof/>
        </w:rPr>
        <w:fldChar w:fldCharType="end"/>
      </w:r>
      <w:r w:rsidRPr="009E0DBA">
        <w:tab/>
      </w:r>
      <w:r w:rsidR="0089500A" w:rsidRPr="009E0DBA">
        <w:t>E4G Component Financial Envelope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4A0" w:firstRow="1" w:lastRow="0" w:firstColumn="1" w:lastColumn="0" w:noHBand="0" w:noVBand="1"/>
      </w:tblPr>
      <w:tblGrid>
        <w:gridCol w:w="4270"/>
        <w:gridCol w:w="2395"/>
        <w:gridCol w:w="2395"/>
      </w:tblGrid>
      <w:tr w:rsidR="000F5341" w:rsidRPr="004107C3" w14:paraId="6C0DD807" w14:textId="77777777" w:rsidTr="009E0DBA">
        <w:trPr>
          <w:cantSplit/>
        </w:trPr>
        <w:tc>
          <w:tcPr>
            <w:tcW w:w="4270" w:type="dxa"/>
            <w:shd w:val="clear" w:color="auto" w:fill="FFC000"/>
          </w:tcPr>
          <w:p w14:paraId="762FDA27" w14:textId="77777777" w:rsidR="000F5341" w:rsidRPr="004107C3" w:rsidRDefault="000F5341" w:rsidP="005B3032">
            <w:pPr>
              <w:pStyle w:val="ListParagraph"/>
              <w:tabs>
                <w:tab w:val="left" w:pos="567"/>
              </w:tabs>
              <w:autoSpaceDE w:val="0"/>
              <w:autoSpaceDN w:val="0"/>
              <w:adjustRightInd w:val="0"/>
              <w:spacing w:after="0" w:line="240" w:lineRule="auto"/>
              <w:ind w:left="0"/>
              <w:jc w:val="center"/>
              <w:rPr>
                <w:rFonts w:ascii="Arial" w:hAnsi="Arial" w:cs="Arial"/>
                <w:b/>
                <w:sz w:val="16"/>
                <w:szCs w:val="18"/>
              </w:rPr>
            </w:pPr>
            <w:r w:rsidRPr="004107C3">
              <w:rPr>
                <w:rFonts w:ascii="Arial" w:hAnsi="Arial" w:cs="Arial"/>
                <w:b/>
                <w:sz w:val="16"/>
                <w:szCs w:val="18"/>
              </w:rPr>
              <w:t>Item</w:t>
            </w:r>
          </w:p>
        </w:tc>
        <w:tc>
          <w:tcPr>
            <w:tcW w:w="2395" w:type="dxa"/>
            <w:shd w:val="clear" w:color="auto" w:fill="FFC000"/>
          </w:tcPr>
          <w:p w14:paraId="24D0F35F" w14:textId="77777777" w:rsidR="000F5341" w:rsidRPr="004107C3" w:rsidRDefault="000F5341" w:rsidP="005B3032">
            <w:pPr>
              <w:pStyle w:val="ListParagraph"/>
              <w:tabs>
                <w:tab w:val="left" w:pos="567"/>
              </w:tabs>
              <w:autoSpaceDE w:val="0"/>
              <w:autoSpaceDN w:val="0"/>
              <w:adjustRightInd w:val="0"/>
              <w:spacing w:after="0" w:line="240" w:lineRule="auto"/>
              <w:ind w:left="0"/>
              <w:jc w:val="center"/>
              <w:rPr>
                <w:rFonts w:ascii="Arial" w:hAnsi="Arial" w:cs="Arial"/>
                <w:b/>
                <w:sz w:val="16"/>
                <w:szCs w:val="18"/>
              </w:rPr>
            </w:pPr>
            <w:r w:rsidRPr="004107C3">
              <w:rPr>
                <w:rFonts w:ascii="Arial" w:hAnsi="Arial" w:cs="Arial"/>
                <w:b/>
                <w:sz w:val="16"/>
                <w:szCs w:val="18"/>
              </w:rPr>
              <w:t>Annual</w:t>
            </w:r>
          </w:p>
        </w:tc>
        <w:tc>
          <w:tcPr>
            <w:tcW w:w="2395" w:type="dxa"/>
            <w:shd w:val="clear" w:color="auto" w:fill="FFC000"/>
          </w:tcPr>
          <w:p w14:paraId="7F1537E2" w14:textId="77777777" w:rsidR="000F5341" w:rsidRPr="004107C3" w:rsidRDefault="000F5341" w:rsidP="005B3032">
            <w:pPr>
              <w:pStyle w:val="ListParagraph"/>
              <w:tabs>
                <w:tab w:val="left" w:pos="567"/>
              </w:tabs>
              <w:autoSpaceDE w:val="0"/>
              <w:autoSpaceDN w:val="0"/>
              <w:adjustRightInd w:val="0"/>
              <w:spacing w:after="0" w:line="240" w:lineRule="auto"/>
              <w:ind w:left="0"/>
              <w:jc w:val="center"/>
              <w:rPr>
                <w:rFonts w:ascii="Arial" w:hAnsi="Arial" w:cs="Arial"/>
                <w:b/>
                <w:sz w:val="16"/>
                <w:szCs w:val="18"/>
              </w:rPr>
            </w:pPr>
            <w:r w:rsidRPr="004107C3">
              <w:rPr>
                <w:rFonts w:ascii="Arial" w:hAnsi="Arial" w:cs="Arial"/>
                <w:b/>
                <w:sz w:val="16"/>
                <w:szCs w:val="18"/>
              </w:rPr>
              <w:t>Over 4 Years</w:t>
            </w:r>
          </w:p>
        </w:tc>
      </w:tr>
      <w:tr w:rsidR="000F5341" w:rsidRPr="004107C3" w14:paraId="3AAD78CB" w14:textId="77777777" w:rsidTr="009E0DBA">
        <w:trPr>
          <w:cantSplit/>
        </w:trPr>
        <w:tc>
          <w:tcPr>
            <w:tcW w:w="9060" w:type="dxa"/>
            <w:gridSpan w:val="3"/>
            <w:shd w:val="clear" w:color="auto" w:fill="C6D9F1"/>
          </w:tcPr>
          <w:p w14:paraId="6A25795B" w14:textId="77777777" w:rsidR="000F5341" w:rsidRPr="004107C3" w:rsidRDefault="004107C3" w:rsidP="005B3032">
            <w:pPr>
              <w:pStyle w:val="ListParagraph"/>
              <w:tabs>
                <w:tab w:val="left" w:pos="567"/>
              </w:tabs>
              <w:autoSpaceDE w:val="0"/>
              <w:autoSpaceDN w:val="0"/>
              <w:adjustRightInd w:val="0"/>
              <w:spacing w:after="0" w:line="240" w:lineRule="auto"/>
              <w:ind w:left="0"/>
              <w:rPr>
                <w:rFonts w:ascii="Arial" w:hAnsi="Arial" w:cs="Arial"/>
                <w:b/>
                <w:sz w:val="16"/>
                <w:szCs w:val="18"/>
              </w:rPr>
            </w:pPr>
            <w:r w:rsidRPr="004107C3">
              <w:rPr>
                <w:rFonts w:ascii="Arial" w:hAnsi="Arial" w:cs="Arial"/>
                <w:b/>
                <w:sz w:val="16"/>
                <w:szCs w:val="18"/>
              </w:rPr>
              <w:t>Value of DFAT–</w:t>
            </w:r>
            <w:r w:rsidR="000F5341" w:rsidRPr="004107C3">
              <w:rPr>
                <w:rFonts w:ascii="Arial" w:hAnsi="Arial" w:cs="Arial"/>
                <w:b/>
                <w:sz w:val="16"/>
                <w:szCs w:val="18"/>
              </w:rPr>
              <w:t>MC AADP Contract Throughput</w:t>
            </w:r>
          </w:p>
        </w:tc>
      </w:tr>
      <w:tr w:rsidR="000F5341" w:rsidRPr="004107C3" w14:paraId="724F3B6B" w14:textId="77777777" w:rsidTr="009E0DBA">
        <w:trPr>
          <w:cantSplit/>
        </w:trPr>
        <w:tc>
          <w:tcPr>
            <w:tcW w:w="4270" w:type="dxa"/>
            <w:shd w:val="clear" w:color="auto" w:fill="auto"/>
          </w:tcPr>
          <w:p w14:paraId="2BFFCA55" w14:textId="77777777" w:rsidR="000F5341" w:rsidRPr="004107C3" w:rsidRDefault="000F5341" w:rsidP="005B3032">
            <w:pPr>
              <w:pStyle w:val="ListParagraph"/>
              <w:tabs>
                <w:tab w:val="left" w:pos="567"/>
              </w:tabs>
              <w:autoSpaceDE w:val="0"/>
              <w:autoSpaceDN w:val="0"/>
              <w:adjustRightInd w:val="0"/>
              <w:spacing w:after="0" w:line="240" w:lineRule="auto"/>
              <w:ind w:left="0"/>
              <w:jc w:val="both"/>
              <w:rPr>
                <w:rFonts w:ascii="Arial" w:hAnsi="Arial" w:cs="Arial"/>
                <w:sz w:val="16"/>
                <w:szCs w:val="18"/>
              </w:rPr>
            </w:pPr>
            <w:r w:rsidRPr="004107C3">
              <w:rPr>
                <w:rFonts w:ascii="Arial" w:hAnsi="Arial" w:cs="Arial"/>
                <w:sz w:val="16"/>
                <w:szCs w:val="18"/>
              </w:rPr>
              <w:t>E4G Activity Costs</w:t>
            </w:r>
          </w:p>
        </w:tc>
        <w:tc>
          <w:tcPr>
            <w:tcW w:w="2395" w:type="dxa"/>
            <w:shd w:val="clear" w:color="auto" w:fill="auto"/>
          </w:tcPr>
          <w:p w14:paraId="0F01D667" w14:textId="77777777" w:rsidR="000F5341" w:rsidRPr="004107C3" w:rsidRDefault="000F5341" w:rsidP="005B3032">
            <w:pPr>
              <w:pStyle w:val="ListParagraph"/>
              <w:tabs>
                <w:tab w:val="left" w:pos="567"/>
              </w:tabs>
              <w:autoSpaceDE w:val="0"/>
              <w:autoSpaceDN w:val="0"/>
              <w:adjustRightInd w:val="0"/>
              <w:spacing w:after="0" w:line="240" w:lineRule="auto"/>
              <w:ind w:left="0" w:right="235"/>
              <w:jc w:val="right"/>
              <w:rPr>
                <w:rFonts w:ascii="Arial" w:hAnsi="Arial" w:cs="Arial"/>
                <w:sz w:val="16"/>
                <w:szCs w:val="18"/>
              </w:rPr>
            </w:pPr>
            <w:r w:rsidRPr="004107C3">
              <w:rPr>
                <w:rFonts w:ascii="Arial" w:hAnsi="Arial" w:cs="Arial"/>
                <w:sz w:val="16"/>
                <w:szCs w:val="18"/>
              </w:rPr>
              <w:t>$12.5 million</w:t>
            </w:r>
          </w:p>
        </w:tc>
        <w:tc>
          <w:tcPr>
            <w:tcW w:w="2395" w:type="dxa"/>
            <w:shd w:val="clear" w:color="auto" w:fill="auto"/>
          </w:tcPr>
          <w:p w14:paraId="548AF7BF" w14:textId="77777777" w:rsidR="000F5341" w:rsidRPr="004107C3" w:rsidRDefault="000F5341" w:rsidP="005B3032">
            <w:pPr>
              <w:pStyle w:val="ListParagraph"/>
              <w:tabs>
                <w:tab w:val="left" w:pos="567"/>
              </w:tabs>
              <w:autoSpaceDE w:val="0"/>
              <w:autoSpaceDN w:val="0"/>
              <w:adjustRightInd w:val="0"/>
              <w:spacing w:after="0" w:line="240" w:lineRule="auto"/>
              <w:ind w:left="0" w:right="235"/>
              <w:jc w:val="right"/>
              <w:rPr>
                <w:rFonts w:ascii="Arial" w:hAnsi="Arial" w:cs="Arial"/>
                <w:sz w:val="16"/>
                <w:szCs w:val="18"/>
              </w:rPr>
            </w:pPr>
            <w:r w:rsidRPr="004107C3">
              <w:rPr>
                <w:rFonts w:ascii="Arial" w:hAnsi="Arial" w:cs="Arial"/>
                <w:sz w:val="16"/>
                <w:szCs w:val="18"/>
              </w:rPr>
              <w:t>$50 million</w:t>
            </w:r>
          </w:p>
        </w:tc>
      </w:tr>
      <w:tr w:rsidR="000F5341" w:rsidRPr="004107C3" w14:paraId="3E1EDF42" w14:textId="77777777" w:rsidTr="009E0DBA">
        <w:trPr>
          <w:cantSplit/>
        </w:trPr>
        <w:tc>
          <w:tcPr>
            <w:tcW w:w="4270" w:type="dxa"/>
            <w:shd w:val="clear" w:color="auto" w:fill="D9D9D9" w:themeFill="background1" w:themeFillShade="D9"/>
          </w:tcPr>
          <w:p w14:paraId="64A75A53" w14:textId="77777777" w:rsidR="000F5341" w:rsidRPr="004107C3" w:rsidRDefault="000F5341" w:rsidP="005B3032">
            <w:pPr>
              <w:pStyle w:val="ListParagraph"/>
              <w:tabs>
                <w:tab w:val="left" w:pos="567"/>
              </w:tabs>
              <w:autoSpaceDE w:val="0"/>
              <w:autoSpaceDN w:val="0"/>
              <w:adjustRightInd w:val="0"/>
              <w:spacing w:after="0" w:line="240" w:lineRule="auto"/>
              <w:ind w:left="0"/>
              <w:rPr>
                <w:rFonts w:ascii="Arial" w:hAnsi="Arial" w:cs="Arial"/>
                <w:b/>
                <w:sz w:val="16"/>
                <w:szCs w:val="18"/>
              </w:rPr>
            </w:pPr>
            <w:r w:rsidRPr="004107C3">
              <w:rPr>
                <w:rFonts w:ascii="Arial" w:hAnsi="Arial" w:cs="Arial"/>
                <w:b/>
                <w:sz w:val="16"/>
                <w:szCs w:val="18"/>
              </w:rPr>
              <w:t>Sub-Total:</w:t>
            </w:r>
          </w:p>
        </w:tc>
        <w:tc>
          <w:tcPr>
            <w:tcW w:w="2395" w:type="dxa"/>
            <w:shd w:val="clear" w:color="auto" w:fill="D9D9D9" w:themeFill="background1" w:themeFillShade="D9"/>
          </w:tcPr>
          <w:p w14:paraId="03411612" w14:textId="77777777" w:rsidR="000F5341" w:rsidRPr="004107C3" w:rsidRDefault="000F5341" w:rsidP="005B3032">
            <w:pPr>
              <w:pStyle w:val="ListParagraph"/>
              <w:tabs>
                <w:tab w:val="left" w:pos="567"/>
              </w:tabs>
              <w:autoSpaceDE w:val="0"/>
              <w:autoSpaceDN w:val="0"/>
              <w:adjustRightInd w:val="0"/>
              <w:spacing w:after="0" w:line="240" w:lineRule="auto"/>
              <w:ind w:left="0" w:right="235"/>
              <w:jc w:val="right"/>
              <w:rPr>
                <w:rFonts w:ascii="Arial" w:hAnsi="Arial" w:cs="Arial"/>
                <w:b/>
                <w:sz w:val="16"/>
                <w:szCs w:val="18"/>
              </w:rPr>
            </w:pPr>
            <w:r w:rsidRPr="004107C3">
              <w:rPr>
                <w:rFonts w:ascii="Arial" w:hAnsi="Arial" w:cs="Arial"/>
                <w:b/>
                <w:sz w:val="16"/>
                <w:szCs w:val="18"/>
              </w:rPr>
              <w:t>$</w:t>
            </w:r>
            <w:r w:rsidR="005325EA" w:rsidRPr="004107C3">
              <w:rPr>
                <w:rFonts w:ascii="Arial" w:hAnsi="Arial" w:cs="Arial"/>
                <w:b/>
                <w:sz w:val="16"/>
                <w:szCs w:val="18"/>
              </w:rPr>
              <w:t>1</w:t>
            </w:r>
            <w:r w:rsidR="0023363B" w:rsidRPr="004107C3">
              <w:rPr>
                <w:rFonts w:ascii="Arial" w:hAnsi="Arial" w:cs="Arial"/>
                <w:b/>
                <w:sz w:val="16"/>
                <w:szCs w:val="18"/>
              </w:rPr>
              <w:t>2</w:t>
            </w:r>
            <w:r w:rsidRPr="004107C3">
              <w:rPr>
                <w:rFonts w:ascii="Arial" w:hAnsi="Arial" w:cs="Arial"/>
                <w:b/>
                <w:sz w:val="16"/>
                <w:szCs w:val="18"/>
              </w:rPr>
              <w:t>.5 million</w:t>
            </w:r>
          </w:p>
        </w:tc>
        <w:tc>
          <w:tcPr>
            <w:tcW w:w="2395" w:type="dxa"/>
            <w:shd w:val="clear" w:color="auto" w:fill="D9D9D9" w:themeFill="background1" w:themeFillShade="D9"/>
          </w:tcPr>
          <w:p w14:paraId="72F863F0" w14:textId="77777777" w:rsidR="000F5341" w:rsidRPr="004107C3" w:rsidRDefault="000F5341" w:rsidP="005B3032">
            <w:pPr>
              <w:pStyle w:val="ListParagraph"/>
              <w:tabs>
                <w:tab w:val="left" w:pos="567"/>
              </w:tabs>
              <w:autoSpaceDE w:val="0"/>
              <w:autoSpaceDN w:val="0"/>
              <w:adjustRightInd w:val="0"/>
              <w:spacing w:after="0" w:line="240" w:lineRule="auto"/>
              <w:ind w:left="0" w:right="235"/>
              <w:jc w:val="right"/>
              <w:rPr>
                <w:rFonts w:ascii="Arial" w:hAnsi="Arial" w:cs="Arial"/>
                <w:b/>
                <w:sz w:val="16"/>
                <w:szCs w:val="18"/>
              </w:rPr>
            </w:pPr>
            <w:r w:rsidRPr="004107C3">
              <w:rPr>
                <w:rFonts w:ascii="Arial" w:hAnsi="Arial" w:cs="Arial"/>
                <w:b/>
                <w:sz w:val="16"/>
                <w:szCs w:val="18"/>
              </w:rPr>
              <w:t>$</w:t>
            </w:r>
            <w:r w:rsidR="0023363B" w:rsidRPr="004107C3">
              <w:rPr>
                <w:rFonts w:ascii="Arial" w:hAnsi="Arial" w:cs="Arial"/>
                <w:b/>
                <w:sz w:val="16"/>
                <w:szCs w:val="18"/>
              </w:rPr>
              <w:t>50</w:t>
            </w:r>
            <w:r w:rsidRPr="004107C3">
              <w:rPr>
                <w:rFonts w:ascii="Arial" w:hAnsi="Arial" w:cs="Arial"/>
                <w:b/>
                <w:sz w:val="16"/>
                <w:szCs w:val="18"/>
              </w:rPr>
              <w:t xml:space="preserve"> million </w:t>
            </w:r>
          </w:p>
        </w:tc>
      </w:tr>
      <w:tr w:rsidR="000F5341" w:rsidRPr="004107C3" w14:paraId="429C77C6" w14:textId="77777777" w:rsidTr="009E0DBA">
        <w:trPr>
          <w:cantSplit/>
        </w:trPr>
        <w:tc>
          <w:tcPr>
            <w:tcW w:w="9060" w:type="dxa"/>
            <w:gridSpan w:val="3"/>
            <w:shd w:val="clear" w:color="auto" w:fill="C6D9F1"/>
          </w:tcPr>
          <w:p w14:paraId="4167B521" w14:textId="77777777" w:rsidR="000F5341" w:rsidRPr="004107C3" w:rsidRDefault="000F5341" w:rsidP="005B3032">
            <w:pPr>
              <w:pStyle w:val="ListParagraph"/>
              <w:spacing w:after="0"/>
              <w:ind w:left="0" w:right="235"/>
              <w:jc w:val="both"/>
              <w:rPr>
                <w:rFonts w:ascii="Arial" w:hAnsi="Arial" w:cs="Arial"/>
                <w:b/>
                <w:sz w:val="16"/>
                <w:szCs w:val="18"/>
              </w:rPr>
            </w:pPr>
            <w:r w:rsidRPr="004107C3">
              <w:rPr>
                <w:rFonts w:ascii="Arial" w:hAnsi="Arial" w:cs="Arial"/>
                <w:b/>
                <w:sz w:val="16"/>
                <w:szCs w:val="18"/>
              </w:rPr>
              <w:t xml:space="preserve">Value of DFAT </w:t>
            </w:r>
            <w:r w:rsidR="005325EA" w:rsidRPr="004107C3">
              <w:rPr>
                <w:rFonts w:ascii="Arial" w:hAnsi="Arial" w:cs="Arial"/>
                <w:b/>
                <w:sz w:val="16"/>
                <w:szCs w:val="18"/>
              </w:rPr>
              <w:t xml:space="preserve">E4G </w:t>
            </w:r>
            <w:r w:rsidRPr="004107C3">
              <w:rPr>
                <w:rFonts w:ascii="Arial" w:hAnsi="Arial" w:cs="Arial"/>
                <w:b/>
                <w:sz w:val="16"/>
                <w:szCs w:val="18"/>
              </w:rPr>
              <w:t>Direct Costs</w:t>
            </w:r>
          </w:p>
        </w:tc>
      </w:tr>
      <w:tr w:rsidR="000F5341" w:rsidRPr="004107C3" w14:paraId="1CC02D17" w14:textId="77777777" w:rsidTr="009E0DBA">
        <w:trPr>
          <w:cantSplit/>
        </w:trPr>
        <w:tc>
          <w:tcPr>
            <w:tcW w:w="4270" w:type="dxa"/>
            <w:shd w:val="clear" w:color="auto" w:fill="auto"/>
          </w:tcPr>
          <w:p w14:paraId="07ABB708" w14:textId="77777777" w:rsidR="000F5341" w:rsidRPr="004107C3" w:rsidRDefault="00303D01" w:rsidP="005B3032">
            <w:pPr>
              <w:pStyle w:val="ListParagraph"/>
              <w:tabs>
                <w:tab w:val="left" w:pos="567"/>
              </w:tabs>
              <w:autoSpaceDE w:val="0"/>
              <w:autoSpaceDN w:val="0"/>
              <w:adjustRightInd w:val="0"/>
              <w:spacing w:after="0" w:line="240" w:lineRule="auto"/>
              <w:ind w:left="0"/>
              <w:jc w:val="both"/>
              <w:rPr>
                <w:rFonts w:ascii="Arial" w:hAnsi="Arial" w:cs="Arial"/>
                <w:sz w:val="16"/>
                <w:szCs w:val="18"/>
              </w:rPr>
            </w:pPr>
            <w:r w:rsidRPr="004107C3">
              <w:rPr>
                <w:rFonts w:ascii="Arial" w:hAnsi="Arial" w:cs="Arial"/>
                <w:sz w:val="16"/>
                <w:szCs w:val="18"/>
              </w:rPr>
              <w:t xml:space="preserve">Direct </w:t>
            </w:r>
            <w:r w:rsidR="0025246F">
              <w:rPr>
                <w:rFonts w:ascii="Arial" w:hAnsi="Arial" w:cs="Arial"/>
                <w:sz w:val="16"/>
                <w:szCs w:val="18"/>
              </w:rPr>
              <w:t>extractive</w:t>
            </w:r>
            <w:r w:rsidRPr="004107C3">
              <w:rPr>
                <w:rFonts w:ascii="Arial" w:hAnsi="Arial" w:cs="Arial"/>
                <w:sz w:val="16"/>
                <w:szCs w:val="18"/>
              </w:rPr>
              <w:t xml:space="preserve"> costs</w:t>
            </w:r>
          </w:p>
        </w:tc>
        <w:tc>
          <w:tcPr>
            <w:tcW w:w="2395" w:type="dxa"/>
            <w:shd w:val="clear" w:color="auto" w:fill="auto"/>
          </w:tcPr>
          <w:p w14:paraId="6199680D" w14:textId="77777777" w:rsidR="000F5341" w:rsidRPr="004107C3" w:rsidRDefault="000F5341" w:rsidP="005B3032">
            <w:pPr>
              <w:pStyle w:val="ListParagraph"/>
              <w:tabs>
                <w:tab w:val="left" w:pos="567"/>
              </w:tabs>
              <w:autoSpaceDE w:val="0"/>
              <w:autoSpaceDN w:val="0"/>
              <w:adjustRightInd w:val="0"/>
              <w:spacing w:after="0" w:line="240" w:lineRule="auto"/>
              <w:ind w:left="0" w:right="235"/>
              <w:jc w:val="right"/>
              <w:rPr>
                <w:rFonts w:ascii="Arial" w:hAnsi="Arial" w:cs="Arial"/>
                <w:sz w:val="16"/>
                <w:szCs w:val="18"/>
              </w:rPr>
            </w:pPr>
            <w:r w:rsidRPr="004107C3">
              <w:rPr>
                <w:rFonts w:ascii="Arial" w:hAnsi="Arial" w:cs="Arial"/>
                <w:sz w:val="16"/>
                <w:szCs w:val="18"/>
              </w:rPr>
              <w:t>$2 million</w:t>
            </w:r>
          </w:p>
        </w:tc>
        <w:tc>
          <w:tcPr>
            <w:tcW w:w="2395" w:type="dxa"/>
            <w:shd w:val="clear" w:color="auto" w:fill="auto"/>
          </w:tcPr>
          <w:p w14:paraId="553992C3" w14:textId="77777777" w:rsidR="000F5341" w:rsidRPr="004107C3" w:rsidRDefault="000F5341" w:rsidP="005B3032">
            <w:pPr>
              <w:pStyle w:val="ListParagraph"/>
              <w:tabs>
                <w:tab w:val="left" w:pos="567"/>
              </w:tabs>
              <w:autoSpaceDE w:val="0"/>
              <w:autoSpaceDN w:val="0"/>
              <w:adjustRightInd w:val="0"/>
              <w:spacing w:after="0" w:line="240" w:lineRule="auto"/>
              <w:ind w:left="0" w:right="235"/>
              <w:jc w:val="right"/>
              <w:rPr>
                <w:rFonts w:ascii="Arial" w:hAnsi="Arial" w:cs="Arial"/>
                <w:sz w:val="16"/>
                <w:szCs w:val="18"/>
              </w:rPr>
            </w:pPr>
            <w:r w:rsidRPr="004107C3">
              <w:rPr>
                <w:rFonts w:ascii="Arial" w:hAnsi="Arial" w:cs="Arial"/>
                <w:sz w:val="16"/>
                <w:szCs w:val="18"/>
              </w:rPr>
              <w:t>$8 million</w:t>
            </w:r>
          </w:p>
        </w:tc>
      </w:tr>
      <w:tr w:rsidR="000F5341" w:rsidRPr="004107C3" w14:paraId="4D0DF890" w14:textId="77777777" w:rsidTr="009E0DBA">
        <w:trPr>
          <w:cantSplit/>
        </w:trPr>
        <w:tc>
          <w:tcPr>
            <w:tcW w:w="4270" w:type="dxa"/>
            <w:shd w:val="clear" w:color="auto" w:fill="auto"/>
          </w:tcPr>
          <w:p w14:paraId="138E9490" w14:textId="77777777" w:rsidR="000F5341" w:rsidRPr="004107C3" w:rsidRDefault="000F5341" w:rsidP="005B3032">
            <w:pPr>
              <w:pStyle w:val="ListParagraph"/>
              <w:tabs>
                <w:tab w:val="left" w:pos="567"/>
              </w:tabs>
              <w:autoSpaceDE w:val="0"/>
              <w:autoSpaceDN w:val="0"/>
              <w:adjustRightInd w:val="0"/>
              <w:spacing w:after="0" w:line="240" w:lineRule="auto"/>
              <w:ind w:left="0"/>
              <w:jc w:val="both"/>
              <w:rPr>
                <w:rFonts w:ascii="Arial" w:hAnsi="Arial" w:cs="Arial"/>
                <w:sz w:val="16"/>
                <w:szCs w:val="18"/>
              </w:rPr>
            </w:pPr>
            <w:r w:rsidRPr="004107C3">
              <w:rPr>
                <w:rFonts w:ascii="Arial" w:hAnsi="Arial" w:cs="Arial"/>
                <w:sz w:val="16"/>
                <w:szCs w:val="18"/>
              </w:rPr>
              <w:t>DFAT Progra</w:t>
            </w:r>
            <w:r w:rsidR="005B3032" w:rsidRPr="004107C3">
              <w:rPr>
                <w:rFonts w:ascii="Arial" w:hAnsi="Arial" w:cs="Arial"/>
                <w:sz w:val="16"/>
                <w:szCs w:val="18"/>
              </w:rPr>
              <w:t>m Management costs (DFAT staff)</w:t>
            </w:r>
          </w:p>
        </w:tc>
        <w:tc>
          <w:tcPr>
            <w:tcW w:w="2395" w:type="dxa"/>
            <w:shd w:val="clear" w:color="auto" w:fill="auto"/>
          </w:tcPr>
          <w:p w14:paraId="5FE61D8B" w14:textId="77777777" w:rsidR="000F5341" w:rsidRPr="004107C3" w:rsidRDefault="000F5341" w:rsidP="005B3032">
            <w:pPr>
              <w:pStyle w:val="ListParagraph"/>
              <w:tabs>
                <w:tab w:val="left" w:pos="567"/>
              </w:tabs>
              <w:autoSpaceDE w:val="0"/>
              <w:autoSpaceDN w:val="0"/>
              <w:adjustRightInd w:val="0"/>
              <w:spacing w:after="0" w:line="240" w:lineRule="auto"/>
              <w:ind w:left="0" w:right="235"/>
              <w:jc w:val="right"/>
              <w:rPr>
                <w:rFonts w:ascii="Arial" w:hAnsi="Arial" w:cs="Arial"/>
                <w:sz w:val="16"/>
                <w:szCs w:val="18"/>
              </w:rPr>
            </w:pPr>
            <w:r w:rsidRPr="004107C3">
              <w:rPr>
                <w:rFonts w:ascii="Arial" w:hAnsi="Arial" w:cs="Arial"/>
                <w:sz w:val="16"/>
                <w:szCs w:val="18"/>
              </w:rPr>
              <w:t>$</w:t>
            </w:r>
            <w:r w:rsidR="005325EA" w:rsidRPr="004107C3">
              <w:rPr>
                <w:rFonts w:ascii="Arial" w:hAnsi="Arial" w:cs="Arial"/>
                <w:sz w:val="16"/>
                <w:szCs w:val="18"/>
              </w:rPr>
              <w:t>1</w:t>
            </w:r>
            <w:r w:rsidRPr="004107C3">
              <w:rPr>
                <w:rFonts w:ascii="Arial" w:hAnsi="Arial" w:cs="Arial"/>
                <w:sz w:val="16"/>
                <w:szCs w:val="18"/>
              </w:rPr>
              <w:t xml:space="preserve"> million</w:t>
            </w:r>
          </w:p>
        </w:tc>
        <w:tc>
          <w:tcPr>
            <w:tcW w:w="2395" w:type="dxa"/>
            <w:shd w:val="clear" w:color="auto" w:fill="auto"/>
          </w:tcPr>
          <w:p w14:paraId="1A085768" w14:textId="77777777" w:rsidR="000F5341" w:rsidRPr="004107C3" w:rsidRDefault="000F5341" w:rsidP="005B3032">
            <w:pPr>
              <w:pStyle w:val="ListParagraph"/>
              <w:tabs>
                <w:tab w:val="left" w:pos="567"/>
              </w:tabs>
              <w:autoSpaceDE w:val="0"/>
              <w:autoSpaceDN w:val="0"/>
              <w:adjustRightInd w:val="0"/>
              <w:spacing w:after="0" w:line="240" w:lineRule="auto"/>
              <w:ind w:left="0" w:right="235"/>
              <w:jc w:val="right"/>
              <w:rPr>
                <w:rFonts w:ascii="Arial" w:hAnsi="Arial" w:cs="Arial"/>
                <w:sz w:val="16"/>
                <w:szCs w:val="18"/>
              </w:rPr>
            </w:pPr>
            <w:r w:rsidRPr="004107C3">
              <w:rPr>
                <w:rFonts w:ascii="Arial" w:hAnsi="Arial" w:cs="Arial"/>
                <w:sz w:val="16"/>
                <w:szCs w:val="18"/>
              </w:rPr>
              <w:t>$</w:t>
            </w:r>
            <w:r w:rsidR="005325EA" w:rsidRPr="004107C3">
              <w:rPr>
                <w:rFonts w:ascii="Arial" w:hAnsi="Arial" w:cs="Arial"/>
                <w:sz w:val="16"/>
                <w:szCs w:val="18"/>
              </w:rPr>
              <w:t>4</w:t>
            </w:r>
            <w:r w:rsidRPr="004107C3">
              <w:rPr>
                <w:rFonts w:ascii="Arial" w:hAnsi="Arial" w:cs="Arial"/>
                <w:sz w:val="16"/>
                <w:szCs w:val="18"/>
              </w:rPr>
              <w:t xml:space="preserve"> million</w:t>
            </w:r>
          </w:p>
        </w:tc>
      </w:tr>
      <w:tr w:rsidR="000F5341" w:rsidRPr="004107C3" w14:paraId="7D0633A6" w14:textId="77777777" w:rsidTr="009E0DBA">
        <w:trPr>
          <w:cantSplit/>
        </w:trPr>
        <w:tc>
          <w:tcPr>
            <w:tcW w:w="4270" w:type="dxa"/>
            <w:shd w:val="clear" w:color="auto" w:fill="D9D9D9" w:themeFill="background1" w:themeFillShade="D9"/>
          </w:tcPr>
          <w:p w14:paraId="2C05869A" w14:textId="77777777" w:rsidR="000F5341" w:rsidRPr="004107C3" w:rsidRDefault="000F5341" w:rsidP="005B3032">
            <w:pPr>
              <w:pStyle w:val="ListParagraph"/>
              <w:tabs>
                <w:tab w:val="left" w:pos="567"/>
              </w:tabs>
              <w:autoSpaceDE w:val="0"/>
              <w:autoSpaceDN w:val="0"/>
              <w:adjustRightInd w:val="0"/>
              <w:spacing w:after="0" w:line="240" w:lineRule="auto"/>
              <w:ind w:left="0"/>
              <w:rPr>
                <w:rFonts w:ascii="Arial" w:hAnsi="Arial" w:cs="Arial"/>
                <w:sz w:val="16"/>
                <w:szCs w:val="18"/>
              </w:rPr>
            </w:pPr>
            <w:r w:rsidRPr="004107C3">
              <w:rPr>
                <w:rFonts w:ascii="Arial" w:hAnsi="Arial" w:cs="Arial"/>
                <w:b/>
                <w:sz w:val="16"/>
                <w:szCs w:val="18"/>
              </w:rPr>
              <w:t>Sub-Total:</w:t>
            </w:r>
          </w:p>
        </w:tc>
        <w:tc>
          <w:tcPr>
            <w:tcW w:w="2395" w:type="dxa"/>
            <w:shd w:val="clear" w:color="auto" w:fill="D9D9D9" w:themeFill="background1" w:themeFillShade="D9"/>
          </w:tcPr>
          <w:p w14:paraId="6B099710" w14:textId="77777777" w:rsidR="000F5341" w:rsidRPr="004107C3" w:rsidRDefault="000F5341" w:rsidP="005B3032">
            <w:pPr>
              <w:pStyle w:val="ListParagraph"/>
              <w:spacing w:after="0"/>
              <w:ind w:right="235"/>
              <w:jc w:val="right"/>
              <w:rPr>
                <w:rFonts w:ascii="Arial" w:hAnsi="Arial" w:cs="Arial"/>
                <w:b/>
                <w:sz w:val="16"/>
                <w:szCs w:val="18"/>
              </w:rPr>
            </w:pPr>
            <w:r w:rsidRPr="004107C3">
              <w:rPr>
                <w:rFonts w:ascii="Arial" w:hAnsi="Arial" w:cs="Arial"/>
                <w:b/>
                <w:sz w:val="16"/>
                <w:szCs w:val="18"/>
              </w:rPr>
              <w:t>$</w:t>
            </w:r>
            <w:r w:rsidR="005325EA" w:rsidRPr="004107C3">
              <w:rPr>
                <w:rFonts w:ascii="Arial" w:hAnsi="Arial" w:cs="Arial"/>
                <w:b/>
                <w:sz w:val="16"/>
                <w:szCs w:val="18"/>
              </w:rPr>
              <w:t>3</w:t>
            </w:r>
            <w:r w:rsidRPr="004107C3">
              <w:rPr>
                <w:rFonts w:ascii="Arial" w:hAnsi="Arial" w:cs="Arial"/>
                <w:b/>
                <w:sz w:val="16"/>
                <w:szCs w:val="18"/>
              </w:rPr>
              <w:t xml:space="preserve"> million</w:t>
            </w:r>
          </w:p>
        </w:tc>
        <w:tc>
          <w:tcPr>
            <w:tcW w:w="2395" w:type="dxa"/>
            <w:shd w:val="clear" w:color="auto" w:fill="D9D9D9" w:themeFill="background1" w:themeFillShade="D9"/>
          </w:tcPr>
          <w:p w14:paraId="69F527D6" w14:textId="77777777" w:rsidR="000F5341" w:rsidRPr="004107C3" w:rsidRDefault="000F5341" w:rsidP="005B3032">
            <w:pPr>
              <w:pStyle w:val="ListParagraph"/>
              <w:tabs>
                <w:tab w:val="left" w:pos="567"/>
              </w:tabs>
              <w:autoSpaceDE w:val="0"/>
              <w:autoSpaceDN w:val="0"/>
              <w:adjustRightInd w:val="0"/>
              <w:spacing w:after="0" w:line="240" w:lineRule="auto"/>
              <w:ind w:left="0" w:right="235"/>
              <w:jc w:val="right"/>
              <w:rPr>
                <w:rFonts w:ascii="Arial" w:hAnsi="Arial" w:cs="Arial"/>
                <w:b/>
                <w:sz w:val="16"/>
                <w:szCs w:val="18"/>
              </w:rPr>
            </w:pPr>
            <w:r w:rsidRPr="004107C3">
              <w:rPr>
                <w:rFonts w:ascii="Arial" w:hAnsi="Arial" w:cs="Arial"/>
                <w:b/>
                <w:sz w:val="16"/>
                <w:szCs w:val="18"/>
              </w:rPr>
              <w:t>$</w:t>
            </w:r>
            <w:r w:rsidR="005325EA" w:rsidRPr="004107C3">
              <w:rPr>
                <w:rFonts w:ascii="Arial" w:hAnsi="Arial" w:cs="Arial"/>
                <w:b/>
                <w:sz w:val="16"/>
                <w:szCs w:val="18"/>
              </w:rPr>
              <w:t>12</w:t>
            </w:r>
            <w:r w:rsidRPr="004107C3">
              <w:rPr>
                <w:rFonts w:ascii="Arial" w:hAnsi="Arial" w:cs="Arial"/>
                <w:b/>
                <w:sz w:val="16"/>
                <w:szCs w:val="18"/>
              </w:rPr>
              <w:t xml:space="preserve"> million</w:t>
            </w:r>
          </w:p>
        </w:tc>
      </w:tr>
      <w:tr w:rsidR="000F5341" w:rsidRPr="004107C3" w14:paraId="22D8D02B" w14:textId="77777777" w:rsidTr="009E0DBA">
        <w:trPr>
          <w:cantSplit/>
        </w:trPr>
        <w:tc>
          <w:tcPr>
            <w:tcW w:w="4270" w:type="dxa"/>
            <w:shd w:val="clear" w:color="auto" w:fill="A6A6A6" w:themeFill="background1" w:themeFillShade="A6"/>
          </w:tcPr>
          <w:p w14:paraId="71F8719F" w14:textId="77777777" w:rsidR="000F5341" w:rsidRPr="004107C3" w:rsidRDefault="000F5341" w:rsidP="005B3032">
            <w:pPr>
              <w:pStyle w:val="ListParagraph"/>
              <w:spacing w:after="0"/>
              <w:ind w:left="0"/>
              <w:jc w:val="both"/>
              <w:rPr>
                <w:rFonts w:ascii="Arial" w:hAnsi="Arial" w:cs="Arial"/>
                <w:b/>
                <w:sz w:val="16"/>
                <w:szCs w:val="18"/>
              </w:rPr>
            </w:pPr>
            <w:r w:rsidRPr="004107C3">
              <w:rPr>
                <w:rFonts w:ascii="Arial" w:hAnsi="Arial" w:cs="Arial"/>
                <w:b/>
                <w:sz w:val="16"/>
                <w:szCs w:val="18"/>
              </w:rPr>
              <w:t xml:space="preserve">Total </w:t>
            </w:r>
            <w:r w:rsidR="005325EA" w:rsidRPr="004107C3">
              <w:rPr>
                <w:rFonts w:ascii="Arial" w:hAnsi="Arial" w:cs="Arial"/>
                <w:b/>
                <w:sz w:val="16"/>
                <w:szCs w:val="18"/>
              </w:rPr>
              <w:t xml:space="preserve">E4G </w:t>
            </w:r>
            <w:r w:rsidRPr="004107C3">
              <w:rPr>
                <w:rFonts w:ascii="Arial" w:hAnsi="Arial" w:cs="Arial"/>
                <w:b/>
                <w:sz w:val="16"/>
                <w:szCs w:val="18"/>
              </w:rPr>
              <w:t>Financial Envelope</w:t>
            </w:r>
          </w:p>
        </w:tc>
        <w:tc>
          <w:tcPr>
            <w:tcW w:w="2395" w:type="dxa"/>
            <w:shd w:val="clear" w:color="auto" w:fill="A6A6A6" w:themeFill="background1" w:themeFillShade="A6"/>
          </w:tcPr>
          <w:p w14:paraId="632BC696" w14:textId="77777777" w:rsidR="000F5341" w:rsidRPr="004107C3" w:rsidRDefault="000F5341" w:rsidP="005B3032">
            <w:pPr>
              <w:pStyle w:val="ListParagraph"/>
              <w:tabs>
                <w:tab w:val="left" w:pos="567"/>
              </w:tabs>
              <w:autoSpaceDE w:val="0"/>
              <w:autoSpaceDN w:val="0"/>
              <w:adjustRightInd w:val="0"/>
              <w:spacing w:after="0" w:line="240" w:lineRule="auto"/>
              <w:ind w:left="0" w:right="235"/>
              <w:jc w:val="right"/>
              <w:rPr>
                <w:rFonts w:ascii="Arial" w:hAnsi="Arial" w:cs="Arial"/>
                <w:b/>
                <w:sz w:val="16"/>
                <w:szCs w:val="18"/>
              </w:rPr>
            </w:pPr>
            <w:r w:rsidRPr="004107C3">
              <w:rPr>
                <w:rFonts w:ascii="Arial" w:hAnsi="Arial" w:cs="Arial"/>
                <w:b/>
                <w:sz w:val="16"/>
                <w:szCs w:val="18"/>
              </w:rPr>
              <w:t>$</w:t>
            </w:r>
            <w:r w:rsidR="005325EA" w:rsidRPr="004107C3">
              <w:rPr>
                <w:rFonts w:ascii="Arial" w:hAnsi="Arial" w:cs="Arial"/>
                <w:b/>
                <w:sz w:val="16"/>
                <w:szCs w:val="18"/>
              </w:rPr>
              <w:t>1</w:t>
            </w:r>
            <w:r w:rsidR="0023363B" w:rsidRPr="004107C3">
              <w:rPr>
                <w:rFonts w:ascii="Arial" w:hAnsi="Arial" w:cs="Arial"/>
                <w:b/>
                <w:sz w:val="16"/>
                <w:szCs w:val="18"/>
              </w:rPr>
              <w:t>5</w:t>
            </w:r>
            <w:r w:rsidRPr="004107C3">
              <w:rPr>
                <w:rFonts w:ascii="Arial" w:hAnsi="Arial" w:cs="Arial"/>
                <w:b/>
                <w:sz w:val="16"/>
                <w:szCs w:val="18"/>
              </w:rPr>
              <w:t>.5 million</w:t>
            </w:r>
          </w:p>
        </w:tc>
        <w:tc>
          <w:tcPr>
            <w:tcW w:w="2395" w:type="dxa"/>
            <w:shd w:val="clear" w:color="auto" w:fill="A6A6A6" w:themeFill="background1" w:themeFillShade="A6"/>
          </w:tcPr>
          <w:p w14:paraId="216E6301" w14:textId="77777777" w:rsidR="000F5341" w:rsidRPr="004107C3" w:rsidRDefault="000F5341" w:rsidP="005B3032">
            <w:pPr>
              <w:pStyle w:val="ListParagraph"/>
              <w:tabs>
                <w:tab w:val="left" w:pos="567"/>
              </w:tabs>
              <w:autoSpaceDE w:val="0"/>
              <w:autoSpaceDN w:val="0"/>
              <w:adjustRightInd w:val="0"/>
              <w:spacing w:after="0" w:line="240" w:lineRule="auto"/>
              <w:ind w:left="0" w:right="235"/>
              <w:jc w:val="right"/>
              <w:rPr>
                <w:rFonts w:ascii="Arial" w:hAnsi="Arial" w:cs="Arial"/>
                <w:b/>
                <w:sz w:val="16"/>
                <w:szCs w:val="18"/>
              </w:rPr>
            </w:pPr>
            <w:r w:rsidRPr="004107C3">
              <w:rPr>
                <w:rFonts w:ascii="Arial" w:hAnsi="Arial" w:cs="Arial"/>
                <w:b/>
                <w:sz w:val="16"/>
                <w:szCs w:val="18"/>
              </w:rPr>
              <w:t>$</w:t>
            </w:r>
            <w:r w:rsidR="0023363B" w:rsidRPr="004107C3">
              <w:rPr>
                <w:rFonts w:ascii="Arial" w:hAnsi="Arial" w:cs="Arial"/>
                <w:b/>
                <w:sz w:val="16"/>
                <w:szCs w:val="18"/>
              </w:rPr>
              <w:t>62</w:t>
            </w:r>
            <w:r w:rsidRPr="004107C3">
              <w:rPr>
                <w:rFonts w:ascii="Arial" w:hAnsi="Arial" w:cs="Arial"/>
                <w:b/>
                <w:sz w:val="16"/>
                <w:szCs w:val="18"/>
              </w:rPr>
              <w:t xml:space="preserve"> million</w:t>
            </w:r>
          </w:p>
        </w:tc>
      </w:tr>
    </w:tbl>
    <w:p w14:paraId="72B6BAF0" w14:textId="77777777" w:rsidR="000F5341" w:rsidRDefault="000F5341" w:rsidP="009E0DBA">
      <w:pPr>
        <w:pStyle w:val="BodyText"/>
        <w:rPr>
          <w:b/>
          <w:bCs/>
        </w:rPr>
      </w:pPr>
      <w:r>
        <w:t>I</w:t>
      </w:r>
      <w:r w:rsidRPr="000D1BBD">
        <w:t xml:space="preserve">nformation on indicative program management costs and activity costs is set out in </w:t>
      </w:r>
      <w:r w:rsidRPr="000D1BBD">
        <w:rPr>
          <w:b/>
          <w:bCs/>
          <w:sz w:val="19"/>
          <w:szCs w:val="19"/>
        </w:rPr>
        <w:t xml:space="preserve">Annex </w:t>
      </w:r>
      <w:r w:rsidR="00967DD3">
        <w:rPr>
          <w:b/>
          <w:bCs/>
          <w:sz w:val="19"/>
          <w:szCs w:val="19"/>
        </w:rPr>
        <w:t>I</w:t>
      </w:r>
      <w:r w:rsidRPr="000D1BBD">
        <w:rPr>
          <w:b/>
          <w:bCs/>
          <w:sz w:val="19"/>
          <w:szCs w:val="19"/>
        </w:rPr>
        <w:t>:</w:t>
      </w:r>
      <w:r>
        <w:rPr>
          <w:b/>
          <w:bCs/>
        </w:rPr>
        <w:t xml:space="preserve"> </w:t>
      </w:r>
      <w:r w:rsidRPr="000D1BBD">
        <w:rPr>
          <w:bCs/>
          <w:i/>
        </w:rPr>
        <w:t>Indicative Budget and Cost Estimates</w:t>
      </w:r>
      <w:r>
        <w:rPr>
          <w:b/>
          <w:bCs/>
        </w:rPr>
        <w:t xml:space="preserve">. </w:t>
      </w:r>
    </w:p>
    <w:p w14:paraId="672E87AA" w14:textId="77777777" w:rsidR="000F5341" w:rsidRPr="000F5341" w:rsidRDefault="000F5341" w:rsidP="002B1210">
      <w:pPr>
        <w:pStyle w:val="Heading1"/>
        <w:jc w:val="both"/>
      </w:pPr>
      <w:bookmarkStart w:id="36" w:name="_Toc387590498"/>
      <w:bookmarkStart w:id="37" w:name="_Toc399150510"/>
      <w:bookmarkStart w:id="38" w:name="_Toc401578424"/>
      <w:r w:rsidRPr="004E4D1C">
        <w:t>Implementation</w:t>
      </w:r>
      <w:r w:rsidRPr="000F5341">
        <w:t xml:space="preserve"> Arrangements</w:t>
      </w:r>
      <w:bookmarkEnd w:id="36"/>
      <w:bookmarkEnd w:id="37"/>
      <w:bookmarkEnd w:id="38"/>
    </w:p>
    <w:p w14:paraId="7F1775F9" w14:textId="77777777" w:rsidR="000F5341" w:rsidRPr="00B46D05" w:rsidRDefault="000F5341" w:rsidP="002B1210">
      <w:pPr>
        <w:pStyle w:val="Heading2"/>
        <w:jc w:val="both"/>
      </w:pPr>
      <w:bookmarkStart w:id="39" w:name="_Toc401578425"/>
      <w:r w:rsidRPr="00B46D05">
        <w:t>Principles of Engagement</w:t>
      </w:r>
      <w:bookmarkEnd w:id="39"/>
    </w:p>
    <w:p w14:paraId="4215BCE8" w14:textId="77777777" w:rsidR="000F5341" w:rsidRPr="00B46D05" w:rsidRDefault="000F5341" w:rsidP="002B1210">
      <w:pPr>
        <w:pStyle w:val="BodyText"/>
      </w:pPr>
      <w:r w:rsidRPr="00B46D05">
        <w:t>The following principles will guide AADP implementation:</w:t>
      </w:r>
    </w:p>
    <w:p w14:paraId="56FCD60A" w14:textId="64925B83" w:rsidR="000F5341" w:rsidRPr="00B46D05" w:rsidRDefault="000F5341" w:rsidP="002B1210">
      <w:pPr>
        <w:pStyle w:val="List-bullet-1"/>
      </w:pPr>
      <w:r w:rsidRPr="00B46D05">
        <w:rPr>
          <w:b/>
          <w:bCs/>
          <w:sz w:val="19"/>
          <w:szCs w:val="19"/>
        </w:rPr>
        <w:t>Maximising African ownership</w:t>
      </w:r>
      <w:r w:rsidRPr="005B3032">
        <w:rPr>
          <w:b/>
        </w:rPr>
        <w:t>:</w:t>
      </w:r>
      <w:r w:rsidRPr="00B46D05">
        <w:t xml:space="preserve"> Where possible activities will align with the responsibilities and strategic plans of African authorities and institutions. In the spirit of the Paris Declaration on Aid Effectiveness, emphasis will be placed on aligning Program activities behind regional </w:t>
      </w:r>
      <w:r w:rsidR="00F133FF">
        <w:t xml:space="preserve">African Mining Vision </w:t>
      </w:r>
      <w:r w:rsidRPr="00B46D05">
        <w:t>(AMV) and bilateral priorities, on working through and strengthening African public and private institutions and mechanisms</w:t>
      </w:r>
      <w:r w:rsidR="00282A8B">
        <w:t>, and on proactive engagement with communities, in particular through the pilot activities in the three Focus Countries</w:t>
      </w:r>
      <w:r w:rsidRPr="00B46D05">
        <w:t xml:space="preserve">. </w:t>
      </w:r>
    </w:p>
    <w:p w14:paraId="3CAC1B98" w14:textId="5DCDB00B" w:rsidR="000F5341" w:rsidRPr="00B46D05" w:rsidRDefault="000F5341" w:rsidP="002B1210">
      <w:pPr>
        <w:pStyle w:val="List-bullet-1"/>
      </w:pPr>
      <w:r w:rsidRPr="00B46D05">
        <w:rPr>
          <w:b/>
          <w:bCs/>
          <w:sz w:val="19"/>
          <w:szCs w:val="19"/>
        </w:rPr>
        <w:t>Partnership, policy dialogue and communication</w:t>
      </w:r>
      <w:r w:rsidRPr="00B46D05">
        <w:rPr>
          <w:b/>
        </w:rPr>
        <w:t>:</w:t>
      </w:r>
      <w:r w:rsidRPr="00B46D05">
        <w:t xml:space="preserve"> The </w:t>
      </w:r>
      <w:r w:rsidR="00613189">
        <w:t xml:space="preserve">E4G </w:t>
      </w:r>
      <w:r w:rsidR="00B47614">
        <w:t>c</w:t>
      </w:r>
      <w:r w:rsidR="00613189">
        <w:t xml:space="preserve">omponent </w:t>
      </w:r>
      <w:r w:rsidRPr="00B46D05">
        <w:t xml:space="preserve">will build on the established relationships between Africa and Australia developed through past assistance. The design envisages a longer term engagement in the sector and recognises that priorities may change over time and as progress is made. This will be reflected in the ongoing policy dialogue between governments, institutions and </w:t>
      </w:r>
      <w:r w:rsidR="00282A8B">
        <w:t>communities</w:t>
      </w:r>
      <w:r w:rsidRPr="00B46D05">
        <w:t xml:space="preserve">, as well as seeking to avoid duplication of donor efforts in </w:t>
      </w:r>
      <w:r w:rsidR="00EC38FF">
        <w:t>Target Countries</w:t>
      </w:r>
      <w:r w:rsidRPr="00B46D05">
        <w:t xml:space="preserve">. </w:t>
      </w:r>
    </w:p>
    <w:p w14:paraId="31AB6784" w14:textId="24BCCD20" w:rsidR="000F5341" w:rsidRPr="00B46D05" w:rsidRDefault="000F5341" w:rsidP="002B1210">
      <w:pPr>
        <w:pStyle w:val="List-bullet-1"/>
      </w:pPr>
      <w:r w:rsidRPr="00B46D05">
        <w:rPr>
          <w:b/>
          <w:bCs/>
          <w:sz w:val="19"/>
          <w:szCs w:val="19"/>
        </w:rPr>
        <w:t>Strengths-based approach</w:t>
      </w:r>
      <w:r w:rsidRPr="00B46D05">
        <w:rPr>
          <w:b/>
        </w:rPr>
        <w:t>:</w:t>
      </w:r>
      <w:r w:rsidRPr="00B46D05">
        <w:t xml:space="preserve"> Activities will seek to maximise opportunities for success, following careful consideration of feasibility in the African context. Where possible, implementation decisions will be informed by expert advice and dialogue. African technical expertise will be prioritised</w:t>
      </w:r>
      <w:r w:rsidR="00282A8B">
        <w:t xml:space="preserve"> and community engagement prioritised where possible</w:t>
      </w:r>
      <w:r w:rsidRPr="00B46D05">
        <w:t>.</w:t>
      </w:r>
    </w:p>
    <w:p w14:paraId="17AF0FDE" w14:textId="77777777" w:rsidR="000F5341" w:rsidRPr="00B46D05" w:rsidRDefault="000F5341" w:rsidP="002B1210">
      <w:pPr>
        <w:pStyle w:val="List-bullet-1"/>
      </w:pPr>
      <w:r w:rsidRPr="00B46D05">
        <w:rPr>
          <w:b/>
          <w:bCs/>
          <w:sz w:val="19"/>
          <w:szCs w:val="19"/>
        </w:rPr>
        <w:t>Best practice</w:t>
      </w:r>
      <w:r w:rsidRPr="00B46D05">
        <w:rPr>
          <w:b/>
        </w:rPr>
        <w:t>:</w:t>
      </w:r>
      <w:r w:rsidRPr="00B46D05">
        <w:t xml:space="preserve"> The </w:t>
      </w:r>
      <w:r w:rsidR="00613189">
        <w:t xml:space="preserve">E4G </w:t>
      </w:r>
      <w:r w:rsidR="00B47614">
        <w:t>C</w:t>
      </w:r>
      <w:r w:rsidR="00613189">
        <w:t>omponent</w:t>
      </w:r>
      <w:r w:rsidR="00613189" w:rsidRPr="00B46D05">
        <w:t xml:space="preserve">’s </w:t>
      </w:r>
      <w:r w:rsidRPr="00B46D05">
        <w:t>support will target best practice engagement, including targeting inclusiveness and respect for international human rights, such as the International Covenant on Civil and Political Rights, the Convention on the Elimination of All Forms of Discrimination against Women, and the Convention on the Political Rights of Women</w:t>
      </w:r>
      <w:r w:rsidR="00F379F0">
        <w:t>, the Voluntary Principles on Security and Human Rights.</w:t>
      </w:r>
    </w:p>
    <w:p w14:paraId="3200741E" w14:textId="36E76EB6" w:rsidR="000F5341" w:rsidRPr="00B46D05" w:rsidRDefault="000F5341" w:rsidP="002B1210">
      <w:pPr>
        <w:pStyle w:val="List-bullet-1"/>
      </w:pPr>
      <w:r w:rsidRPr="00B46D05">
        <w:rPr>
          <w:b/>
          <w:bCs/>
          <w:sz w:val="19"/>
          <w:szCs w:val="19"/>
        </w:rPr>
        <w:t>Inclusive and sustainable economic growth</w:t>
      </w:r>
      <w:r w:rsidRPr="00B46D05">
        <w:rPr>
          <w:b/>
        </w:rPr>
        <w:t>:</w:t>
      </w:r>
      <w:r w:rsidRPr="00B46D05">
        <w:t xml:space="preserve"> The </w:t>
      </w:r>
      <w:r w:rsidR="00613189">
        <w:t xml:space="preserve">E4G </w:t>
      </w:r>
      <w:r w:rsidR="00B47614">
        <w:t>C</w:t>
      </w:r>
      <w:r w:rsidR="00613189">
        <w:t xml:space="preserve">omponent </w:t>
      </w:r>
      <w:r w:rsidRPr="00B46D05">
        <w:t>will actively target activities which maximise inclusiveness to foster broad and deep societal support for extractive-related economic growth. Work with governments, institutions and communities will emphasise not only the potential benefits to stakeholders and citizens, but also opportunities for stakeholders’ (particularly SMEs’) to actively contribute to building sustainable economic growth</w:t>
      </w:r>
      <w:r w:rsidR="00282A8B" w:rsidRPr="00B46D05">
        <w:t>.</w:t>
      </w:r>
      <w:r w:rsidR="00282A8B">
        <w:t xml:space="preserve"> </w:t>
      </w:r>
      <w:r w:rsidRPr="00B46D05">
        <w:t xml:space="preserve">Activities will seek to build relationships around sustainable economic growth </w:t>
      </w:r>
      <w:r w:rsidR="00282A8B">
        <w:t xml:space="preserve">for communities and economies, </w:t>
      </w:r>
      <w:r w:rsidRPr="00B46D05">
        <w:t>and prioritise the development of long-term engagement</w:t>
      </w:r>
      <w:r w:rsidR="00282A8B">
        <w:t xml:space="preserve"> at various levels in the Target Countries</w:t>
      </w:r>
      <w:r w:rsidRPr="00B46D05">
        <w:t xml:space="preserve">. </w:t>
      </w:r>
    </w:p>
    <w:p w14:paraId="56736CC7" w14:textId="77777777" w:rsidR="000F5341" w:rsidRPr="00B46D05" w:rsidRDefault="000F5341" w:rsidP="002B1210">
      <w:pPr>
        <w:pStyle w:val="List-bullet-1"/>
      </w:pPr>
      <w:r w:rsidRPr="00B46D05">
        <w:rPr>
          <w:b/>
          <w:bCs/>
          <w:sz w:val="19"/>
          <w:szCs w:val="19"/>
        </w:rPr>
        <w:t>Consistent engagement throughout activity cycle</w:t>
      </w:r>
      <w:r w:rsidRPr="00B46D05">
        <w:rPr>
          <w:b/>
        </w:rPr>
        <w:t>:</w:t>
      </w:r>
      <w:r w:rsidRPr="00B46D05">
        <w:t xml:space="preserve"> The </w:t>
      </w:r>
      <w:r w:rsidR="00613189">
        <w:t xml:space="preserve">E4G </w:t>
      </w:r>
      <w:r w:rsidR="00B47614">
        <w:t>C</w:t>
      </w:r>
      <w:r w:rsidR="00613189">
        <w:t xml:space="preserve">omponent </w:t>
      </w:r>
      <w:r w:rsidRPr="00B46D05">
        <w:t xml:space="preserve">will support activities throughout the sustainable economic development activity cycle in order to maximise impact and to avoid distortions of priorities which flow from the intermittent provision of support. This principle is underpinned by international lessons which show that communities are more likely to grant social licence to extractive-related investment </w:t>
      </w:r>
      <w:r w:rsidR="002C423B" w:rsidRPr="00B46D05">
        <w:t xml:space="preserve">across the </w:t>
      </w:r>
      <w:r w:rsidR="00AF7BDD">
        <w:t>M</w:t>
      </w:r>
      <w:r w:rsidR="002C423B" w:rsidRPr="00B46D05">
        <w:t xml:space="preserve">ine’s life cycle </w:t>
      </w:r>
      <w:r w:rsidRPr="00B46D05">
        <w:t>if they can see direct benefits to their lives.</w:t>
      </w:r>
    </w:p>
    <w:p w14:paraId="2520EBE1" w14:textId="1E55E721" w:rsidR="000F5341" w:rsidRPr="00B46D05" w:rsidRDefault="000F5341" w:rsidP="002B1210">
      <w:pPr>
        <w:pStyle w:val="List-bullet-1"/>
      </w:pPr>
      <w:r w:rsidRPr="00B46D05">
        <w:rPr>
          <w:b/>
          <w:bCs/>
          <w:sz w:val="19"/>
          <w:szCs w:val="19"/>
        </w:rPr>
        <w:t>Mainstream</w:t>
      </w:r>
      <w:r w:rsidR="002A56CE">
        <w:rPr>
          <w:b/>
          <w:bCs/>
          <w:sz w:val="19"/>
          <w:szCs w:val="19"/>
        </w:rPr>
        <w:t>ing</w:t>
      </w:r>
      <w:r w:rsidRPr="00B46D05">
        <w:rPr>
          <w:b/>
          <w:bCs/>
          <w:sz w:val="19"/>
          <w:szCs w:val="19"/>
        </w:rPr>
        <w:t xml:space="preserve"> gender</w:t>
      </w:r>
      <w:r w:rsidRPr="00B46D05">
        <w:rPr>
          <w:b/>
        </w:rPr>
        <w:t>:</w:t>
      </w:r>
      <w:r w:rsidRPr="00B46D05">
        <w:t xml:space="preserve"> The </w:t>
      </w:r>
      <w:r w:rsidR="00613189">
        <w:t xml:space="preserve">E4G </w:t>
      </w:r>
      <w:r w:rsidR="00B47614">
        <w:t>C</w:t>
      </w:r>
      <w:r w:rsidR="00613189">
        <w:t>omponent</w:t>
      </w:r>
      <w:r w:rsidRPr="00B46D05">
        <w:t xml:space="preserve"> will actively promote the </w:t>
      </w:r>
      <w:proofErr w:type="spellStart"/>
      <w:r w:rsidRPr="00B46D05">
        <w:t>GoA’s</w:t>
      </w:r>
      <w:proofErr w:type="spellEnd"/>
      <w:r w:rsidRPr="00B46D05">
        <w:t xml:space="preserve"> commitment to promoting the equitable representation of women and men</w:t>
      </w:r>
      <w:r w:rsidR="00B46D05">
        <w:t xml:space="preserve"> in</w:t>
      </w:r>
      <w:r w:rsidRPr="00B46D05">
        <w:t xml:space="preserve"> sustainable economic development efforts and as beneficiaries of extractive-related investments</w:t>
      </w:r>
      <w:r w:rsidR="005515C3">
        <w:t xml:space="preserve"> in local communities</w:t>
      </w:r>
      <w:r w:rsidRPr="00B46D05">
        <w:t xml:space="preserve">. The ability of the </w:t>
      </w:r>
      <w:r w:rsidR="00613189">
        <w:t xml:space="preserve">E4G </w:t>
      </w:r>
      <w:r w:rsidR="00B47614">
        <w:t>C</w:t>
      </w:r>
      <w:r w:rsidR="00613189">
        <w:t xml:space="preserve">omponent </w:t>
      </w:r>
      <w:r w:rsidRPr="00B46D05">
        <w:t>to mainstream gender will be a key performance indicator.</w:t>
      </w:r>
      <w:r w:rsidR="00087D45">
        <w:t xml:space="preserve"> Engaging in the </w:t>
      </w:r>
      <w:r w:rsidR="0025246F">
        <w:t>extractive</w:t>
      </w:r>
      <w:r w:rsidR="00087D45">
        <w:t xml:space="preserve"> sector brings specific challenges in ensuring the active participation of women in programs and decisions relating to resource extractions. The Awards program has developed a considered and proactive way of ensuring strong women participation in the program and its promotion, but also using </w:t>
      </w:r>
      <w:proofErr w:type="gramStart"/>
      <w:r w:rsidR="00087D45">
        <w:t>a women</w:t>
      </w:r>
      <w:proofErr w:type="gramEnd"/>
      <w:r w:rsidR="00087D45">
        <w:t xml:space="preserve"> in leadership network to link alumni mentors with women candidates.</w:t>
      </w:r>
    </w:p>
    <w:p w14:paraId="7B05EB8E" w14:textId="3BFAE7BD" w:rsidR="000F5341" w:rsidRDefault="000F5341" w:rsidP="002B1210">
      <w:pPr>
        <w:pStyle w:val="List-bullet-1"/>
      </w:pPr>
      <w:r w:rsidRPr="00B46D05">
        <w:rPr>
          <w:b/>
          <w:bCs/>
          <w:sz w:val="19"/>
          <w:szCs w:val="19"/>
        </w:rPr>
        <w:t>Progressive engagement and flexibility</w:t>
      </w:r>
      <w:r w:rsidRPr="005B3032">
        <w:rPr>
          <w:b/>
        </w:rPr>
        <w:t>:</w:t>
      </w:r>
      <w:r w:rsidRPr="00B46D05">
        <w:t xml:space="preserve"> The principle of progressive engagement will underpin </w:t>
      </w:r>
      <w:r w:rsidR="00613189">
        <w:t xml:space="preserve">E4G </w:t>
      </w:r>
      <w:r w:rsidR="00B47614">
        <w:t>C</w:t>
      </w:r>
      <w:r w:rsidR="00613189">
        <w:t xml:space="preserve">omponent </w:t>
      </w:r>
      <w:r w:rsidRPr="00B46D05">
        <w:t xml:space="preserve">activities, through the demonstration of appropriate levels of commitment and capacity to participate, in order to provide a reasonable level of confidence that the resource investment will deliver a useful and relevant outcome. A graduated approach to building up competencies, systems and expertise over time will ensure that the </w:t>
      </w:r>
      <w:r w:rsidR="00613189">
        <w:t xml:space="preserve">E4G </w:t>
      </w:r>
      <w:r w:rsidR="00B47614">
        <w:t>C</w:t>
      </w:r>
      <w:r w:rsidR="00613189">
        <w:t>omponent</w:t>
      </w:r>
      <w:r w:rsidRPr="00B46D05">
        <w:t xml:space="preserve"> builds on existing capacities, that absorptive capacit</w:t>
      </w:r>
      <w:r w:rsidR="005515C3">
        <w:t>ies</w:t>
      </w:r>
      <w:r w:rsidRPr="00B46D05">
        <w:t xml:space="preserve"> of governments, public and private institutions</w:t>
      </w:r>
      <w:r w:rsidR="005515C3">
        <w:t>, communities and individuals</w:t>
      </w:r>
      <w:r w:rsidR="005515C3" w:rsidRPr="00B46D05">
        <w:t xml:space="preserve"> </w:t>
      </w:r>
      <w:r w:rsidR="005515C3">
        <w:t>are</w:t>
      </w:r>
      <w:r w:rsidRPr="00B46D05">
        <w:t xml:space="preserve"> not exceeded and that progress is sustainable. </w:t>
      </w:r>
    </w:p>
    <w:p w14:paraId="2D2A981B" w14:textId="77777777" w:rsidR="002A56CE" w:rsidRDefault="002A56CE" w:rsidP="002A56CE">
      <w:pPr>
        <w:pStyle w:val="List-bullet-1"/>
        <w:rPr>
          <w:rFonts w:eastAsia="Calibri"/>
        </w:rPr>
      </w:pPr>
      <w:r w:rsidRPr="002A56CE">
        <w:rPr>
          <w:b/>
          <w:bCs/>
          <w:sz w:val="19"/>
          <w:szCs w:val="19"/>
        </w:rPr>
        <w:t>Leveraging development and public diplomacy dividends</w:t>
      </w:r>
      <w:r w:rsidRPr="00D54F01">
        <w:rPr>
          <w:rFonts w:eastAsia="Calibri"/>
          <w:lang w:val="en-NZ"/>
        </w:rPr>
        <w:t xml:space="preserve"> through enhanced opportunities for </w:t>
      </w:r>
      <w:r w:rsidRPr="00D54F01">
        <w:rPr>
          <w:rFonts w:eastAsia="Calibri"/>
        </w:rPr>
        <w:t xml:space="preserve">alumni to network and access professional </w:t>
      </w:r>
      <w:r>
        <w:rPr>
          <w:rFonts w:eastAsia="Calibri"/>
        </w:rPr>
        <w:t>development.</w:t>
      </w:r>
    </w:p>
    <w:p w14:paraId="5619FE7A" w14:textId="43389A65" w:rsidR="002A56CE" w:rsidRPr="002A56CE" w:rsidRDefault="002A56CE" w:rsidP="002A56CE">
      <w:pPr>
        <w:pStyle w:val="List-bullet-1"/>
        <w:rPr>
          <w:rFonts w:eastAsia="Calibri"/>
        </w:rPr>
      </w:pPr>
      <w:r w:rsidRPr="002A56CE">
        <w:rPr>
          <w:b/>
          <w:bCs/>
          <w:sz w:val="19"/>
          <w:szCs w:val="19"/>
        </w:rPr>
        <w:t>Identifying opportunities for innovative approaches</w:t>
      </w:r>
      <w:r>
        <w:rPr>
          <w:rFonts w:eastAsia="Calibri"/>
        </w:rPr>
        <w:t xml:space="preserve"> to </w:t>
      </w:r>
      <w:r w:rsidR="0025246F">
        <w:rPr>
          <w:rFonts w:eastAsia="Calibri"/>
        </w:rPr>
        <w:t>extractive</w:t>
      </w:r>
      <w:r>
        <w:rPr>
          <w:rFonts w:eastAsia="Calibri"/>
        </w:rPr>
        <w:t xml:space="preserve"> sector partnerships that contribute to economic growth </w:t>
      </w:r>
      <w:r w:rsidR="005515C3">
        <w:rPr>
          <w:rFonts w:eastAsia="Calibri"/>
        </w:rPr>
        <w:t xml:space="preserve">for economies </w:t>
      </w:r>
      <w:r>
        <w:rPr>
          <w:rFonts w:eastAsia="Calibri"/>
        </w:rPr>
        <w:t>and development</w:t>
      </w:r>
      <w:r w:rsidR="005515C3">
        <w:rPr>
          <w:rFonts w:eastAsia="Calibri"/>
        </w:rPr>
        <w:t xml:space="preserve"> of communities.</w:t>
      </w:r>
    </w:p>
    <w:p w14:paraId="3E4470C7" w14:textId="77777777" w:rsidR="00B46D05" w:rsidRPr="00156991" w:rsidRDefault="00B46D05" w:rsidP="002B1210">
      <w:pPr>
        <w:pStyle w:val="Heading2"/>
        <w:jc w:val="both"/>
      </w:pPr>
      <w:bookmarkStart w:id="40" w:name="_Toc401578426"/>
      <w:r w:rsidRPr="00156991">
        <w:t>Management and Governance Arrangements and Structure</w:t>
      </w:r>
      <w:bookmarkEnd w:id="40"/>
    </w:p>
    <w:p w14:paraId="62A74FB1" w14:textId="77777777" w:rsidR="000F5341" w:rsidRPr="004A17FE" w:rsidRDefault="000F5341" w:rsidP="002B1210">
      <w:pPr>
        <w:pStyle w:val="Heading3"/>
        <w:jc w:val="both"/>
      </w:pPr>
      <w:r w:rsidRPr="004A17FE">
        <w:t>Management Arrangements</w:t>
      </w:r>
      <w:r>
        <w:t xml:space="preserve"> </w:t>
      </w:r>
    </w:p>
    <w:p w14:paraId="47A92B7E" w14:textId="77777777" w:rsidR="00B46D05" w:rsidRDefault="000F5341" w:rsidP="002B1210">
      <w:pPr>
        <w:pStyle w:val="BodyText"/>
      </w:pPr>
      <w:r w:rsidRPr="002667A9">
        <w:t xml:space="preserve">DFAT’s AFB will manage the </w:t>
      </w:r>
      <w:r w:rsidR="00613189">
        <w:t xml:space="preserve">AADP, including the E4G </w:t>
      </w:r>
      <w:r w:rsidR="00B47614">
        <w:t>C</w:t>
      </w:r>
      <w:r w:rsidR="00613189">
        <w:t xml:space="preserve">omponent </w:t>
      </w:r>
      <w:r w:rsidRPr="002667A9">
        <w:t>from Canberra</w:t>
      </w:r>
      <w:r w:rsidR="00B46D05">
        <w:t xml:space="preserve">. It is envisaged that there will be a single </w:t>
      </w:r>
      <w:r w:rsidR="002A56CE">
        <w:t xml:space="preserve">DFAT AFB </w:t>
      </w:r>
      <w:r w:rsidR="00B46D05">
        <w:t xml:space="preserve">contract manager (focused on contractual and financial management of the overall AADP) with dedicated </w:t>
      </w:r>
      <w:r w:rsidR="00B46D05" w:rsidRPr="003C0DBE">
        <w:t>E4G and Australia Awards teams</w:t>
      </w:r>
      <w:r w:rsidR="00B46D05">
        <w:t xml:space="preserve"> focussed on policy and program management of those components</w:t>
      </w:r>
      <w:r w:rsidR="00B46D05" w:rsidRPr="003C0DBE">
        <w:t>.</w:t>
      </w:r>
      <w:r w:rsidR="00B46D05">
        <w:t xml:space="preserve"> </w:t>
      </w:r>
    </w:p>
    <w:p w14:paraId="3FF653B8" w14:textId="6D87FBB7" w:rsidR="000F5341" w:rsidRPr="003C0DBE" w:rsidRDefault="000F5341" w:rsidP="002B1210">
      <w:pPr>
        <w:pStyle w:val="BodyText"/>
      </w:pPr>
      <w:r w:rsidRPr="003F74BB">
        <w:t xml:space="preserve">Program implementation will be conducted by a </w:t>
      </w:r>
      <w:r>
        <w:t xml:space="preserve">single </w:t>
      </w:r>
      <w:r w:rsidRPr="003F74BB">
        <w:t>MC selected through a competitive open tender process that is managed by DFAT.</w:t>
      </w:r>
      <w:r>
        <w:t xml:space="preserve"> The MC will be required in particular</w:t>
      </w:r>
      <w:r w:rsidRPr="003C0DBE">
        <w:t xml:space="preserve"> to proactively identify synergistic opport</w:t>
      </w:r>
      <w:r>
        <w:t>unities to leverage each Component’s</w:t>
      </w:r>
      <w:r w:rsidRPr="003C0DBE">
        <w:t xml:space="preserve"> activities and </w:t>
      </w:r>
      <w:r w:rsidR="00EB7878">
        <w:t>outcomes against the other</w:t>
      </w:r>
      <w:r w:rsidR="00EB7878" w:rsidRPr="003C0DBE">
        <w:t xml:space="preserve"> </w:t>
      </w:r>
      <w:r w:rsidRPr="003C0DBE">
        <w:t xml:space="preserve">through a </w:t>
      </w:r>
      <w:r w:rsidRPr="0023197E">
        <w:rPr>
          <w:b/>
          <w:sz w:val="19"/>
          <w:szCs w:val="19"/>
        </w:rPr>
        <w:t>Program Implementation Unit</w:t>
      </w:r>
      <w:r w:rsidRPr="003C0DBE">
        <w:t>.</w:t>
      </w:r>
      <w:r>
        <w:t xml:space="preserve"> </w:t>
      </w:r>
      <w:r w:rsidRPr="003C0DBE">
        <w:t xml:space="preserve">The </w:t>
      </w:r>
      <w:r w:rsidR="007E78F8" w:rsidRPr="007E78F8">
        <w:t xml:space="preserve">Program Implementation Unit </w:t>
      </w:r>
      <w:r w:rsidRPr="003C0DBE">
        <w:t>w</w:t>
      </w:r>
      <w:r w:rsidR="00B46D05">
        <w:t>ill</w:t>
      </w:r>
      <w:r w:rsidRPr="003C0DBE">
        <w:t xml:space="preserve"> proactively support DFAT’s management of the Program by providing high quality program administration (financial and progress reporting, human resources management, M&amp;E, logistics, etc.), extractive technical expertise, and strategic analysis and advice on opportunities for innovation, private sector investment, program synergy as follows: </w:t>
      </w:r>
    </w:p>
    <w:p w14:paraId="67F6969A" w14:textId="77777777" w:rsidR="000F5341" w:rsidRPr="003C0DBE" w:rsidRDefault="004107C3" w:rsidP="002B1210">
      <w:pPr>
        <w:pStyle w:val="List-bullet-1"/>
      </w:pPr>
      <w:r w:rsidRPr="003C0DBE">
        <w:t xml:space="preserve">strategic </w:t>
      </w:r>
      <w:r w:rsidR="000F5341" w:rsidRPr="003C0DBE">
        <w:t>and specialist analysis and advice to DFAT;</w:t>
      </w:r>
    </w:p>
    <w:p w14:paraId="79FC8D33" w14:textId="77777777" w:rsidR="000F5341" w:rsidRPr="003C0DBE" w:rsidRDefault="004107C3" w:rsidP="002B1210">
      <w:pPr>
        <w:pStyle w:val="List-bullet-1"/>
      </w:pPr>
      <w:r w:rsidRPr="003C0DBE">
        <w:t xml:space="preserve">operational </w:t>
      </w:r>
      <w:r w:rsidR="000F5341" w:rsidRPr="003C0DBE">
        <w:t>and corporate services to both Components, including:</w:t>
      </w:r>
    </w:p>
    <w:p w14:paraId="68C1D603" w14:textId="77777777" w:rsidR="000F5341" w:rsidRPr="003C0DBE" w:rsidRDefault="000F5341" w:rsidP="002B1210">
      <w:pPr>
        <w:pStyle w:val="List-bullet-2"/>
      </w:pPr>
      <w:r w:rsidRPr="003C0DBE">
        <w:t xml:space="preserve">recruitment and contractual management of TA personnel through a panel process; </w:t>
      </w:r>
    </w:p>
    <w:p w14:paraId="6F3C0DEC" w14:textId="77777777" w:rsidR="000F5341" w:rsidRPr="003C0DBE" w:rsidRDefault="000F5341" w:rsidP="002B1210">
      <w:pPr>
        <w:pStyle w:val="List-bullet-2"/>
      </w:pPr>
      <w:r w:rsidRPr="003C0DBE">
        <w:t xml:space="preserve">financial management and reporting for program activities in accordance with </w:t>
      </w:r>
      <w:r w:rsidR="00901477">
        <w:t>Tasking Note</w:t>
      </w:r>
      <w:r w:rsidRPr="003C0DBE">
        <w:t xml:space="preserve">s and DFAT requirements; </w:t>
      </w:r>
      <w:r w:rsidR="004107C3">
        <w:t>and</w:t>
      </w:r>
    </w:p>
    <w:p w14:paraId="6DEF18F5" w14:textId="77777777" w:rsidR="000F5341" w:rsidRPr="003C0DBE" w:rsidRDefault="000F5341" w:rsidP="002B1210">
      <w:pPr>
        <w:pStyle w:val="List-bullet-2"/>
      </w:pPr>
      <w:r w:rsidRPr="003C0DBE">
        <w:t>Facility management tools, policies and procedures and staffing resources and expertise to support delivery of the above.</w:t>
      </w:r>
    </w:p>
    <w:p w14:paraId="089D6385" w14:textId="77777777" w:rsidR="000F5341" w:rsidRDefault="000F5341" w:rsidP="002B1210">
      <w:pPr>
        <w:pStyle w:val="BodyText"/>
      </w:pPr>
      <w:r w:rsidRPr="003C0DBE">
        <w:t xml:space="preserve">Program governance and oversight will be centred on DFAT </w:t>
      </w:r>
      <w:r>
        <w:t>AFB</w:t>
      </w:r>
      <w:r w:rsidRPr="003C0DBE">
        <w:t xml:space="preserve"> management processes, and complemented through a MC-facilitated annual planning process.</w:t>
      </w:r>
      <w:r>
        <w:t xml:space="preserve"> </w:t>
      </w:r>
      <w:r w:rsidRPr="003C0DBE">
        <w:t>DFAT has proposed a non-prescriptive RFT for this program; this will provide opportunities for tenderers to propose innovative approaches to program management structure and implementation.</w:t>
      </w:r>
      <w:r>
        <w:t xml:space="preserve"> </w:t>
      </w:r>
    </w:p>
    <w:p w14:paraId="18FFAA2E" w14:textId="77777777" w:rsidR="00087D45" w:rsidRPr="006905CE" w:rsidRDefault="00087D45" w:rsidP="002B1210">
      <w:pPr>
        <w:pStyle w:val="Heading3"/>
        <w:jc w:val="both"/>
      </w:pPr>
      <w:r w:rsidRPr="006905CE">
        <w:t xml:space="preserve">Governance </w:t>
      </w:r>
      <w:r w:rsidRPr="000F5341">
        <w:t>and</w:t>
      </w:r>
      <w:r w:rsidRPr="006905CE">
        <w:t xml:space="preserve"> Monitoring</w:t>
      </w:r>
    </w:p>
    <w:p w14:paraId="2330576B" w14:textId="77777777" w:rsidR="00087D45" w:rsidRDefault="00087D45" w:rsidP="002B1210">
      <w:pPr>
        <w:pStyle w:val="BodyText"/>
      </w:pPr>
      <w:r>
        <w:t xml:space="preserve">The overall management of the program will be led by Canberra. There will be regular meetings by phone and face-face with the MC and at times Posts to ensure a coherent approach to the management of the E4G </w:t>
      </w:r>
      <w:r w:rsidR="00B47614">
        <w:t>C</w:t>
      </w:r>
      <w:r>
        <w:t xml:space="preserve">omponent and </w:t>
      </w:r>
      <w:proofErr w:type="gramStart"/>
      <w:r>
        <w:t>that risks</w:t>
      </w:r>
      <w:proofErr w:type="gramEnd"/>
      <w:r>
        <w:t xml:space="preserve"> are being appropriately identified and managed. Key management meetings include:</w:t>
      </w:r>
    </w:p>
    <w:p w14:paraId="109659E6" w14:textId="77777777" w:rsidR="00087D45" w:rsidRDefault="004107C3" w:rsidP="002B1210">
      <w:pPr>
        <w:pStyle w:val="List-bullet-1"/>
      </w:pPr>
      <w:r>
        <w:t xml:space="preserve">weekly </w:t>
      </w:r>
      <w:r w:rsidR="00087D45">
        <w:t xml:space="preserve">DFAT </w:t>
      </w:r>
      <w:r>
        <w:t xml:space="preserve">team principals’ </w:t>
      </w:r>
      <w:r w:rsidR="00087D45">
        <w:t>meetings (head of each AADP component);</w:t>
      </w:r>
    </w:p>
    <w:p w14:paraId="73037E9B" w14:textId="77777777" w:rsidR="00087D45" w:rsidRDefault="004107C3" w:rsidP="002B1210">
      <w:pPr>
        <w:pStyle w:val="List-bullet-1"/>
      </w:pPr>
      <w:r>
        <w:t xml:space="preserve">fortnightly </w:t>
      </w:r>
      <w:r w:rsidR="00AF7BDD">
        <w:t>O</w:t>
      </w:r>
      <w:r w:rsidR="00087D45">
        <w:t xml:space="preserve">perations </w:t>
      </w:r>
      <w:r w:rsidR="00AF7BDD">
        <w:t>M</w:t>
      </w:r>
      <w:r w:rsidR="00087D45">
        <w:t>anagers’ meetings;</w:t>
      </w:r>
    </w:p>
    <w:p w14:paraId="681CE708" w14:textId="77777777" w:rsidR="00087D45" w:rsidRPr="00633AF6" w:rsidRDefault="004107C3" w:rsidP="002B1210">
      <w:pPr>
        <w:pStyle w:val="List-bullet-1"/>
      </w:pPr>
      <w:r>
        <w:t xml:space="preserve">monthly senior management meetings </w:t>
      </w:r>
      <w:r w:rsidR="00087D45">
        <w:t>(</w:t>
      </w:r>
      <w:r w:rsidR="00087D45" w:rsidRPr="00633AF6">
        <w:t xml:space="preserve">Pan-Africa Heads: </w:t>
      </w:r>
      <w:r w:rsidRPr="00633AF6">
        <w:t>directors, principals, component heads, development head</w:t>
      </w:r>
      <w:r w:rsidR="00087D45" w:rsidRPr="00633AF6">
        <w:t>s at post);</w:t>
      </w:r>
    </w:p>
    <w:p w14:paraId="37D81F4F" w14:textId="77777777" w:rsidR="00087D45" w:rsidRPr="00633AF6" w:rsidRDefault="004107C3" w:rsidP="00ED2B41">
      <w:pPr>
        <w:pStyle w:val="List-bullet-1"/>
      </w:pPr>
      <w:r>
        <w:t>six-</w:t>
      </w:r>
      <w:r w:rsidR="00087D45">
        <w:t>monthly h</w:t>
      </w:r>
      <w:r>
        <w:t>igh-</w:t>
      </w:r>
      <w:r w:rsidR="00087D45" w:rsidRPr="00633AF6">
        <w:t xml:space="preserve">level meetings, chaired by the Assistant Secretary (Africa </w:t>
      </w:r>
      <w:r w:rsidRPr="00633AF6">
        <w:t>directors</w:t>
      </w:r>
      <w:r w:rsidR="00087D45" w:rsidRPr="00633AF6">
        <w:t xml:space="preserve">, Post </w:t>
      </w:r>
      <w:proofErr w:type="spellStart"/>
      <w:r w:rsidR="00087D45" w:rsidRPr="00633AF6">
        <w:t>HoMs</w:t>
      </w:r>
      <w:proofErr w:type="spellEnd"/>
      <w:r w:rsidR="00087D45" w:rsidRPr="00633AF6">
        <w:t xml:space="preserve">, MC, </w:t>
      </w:r>
      <w:proofErr w:type="spellStart"/>
      <w:r w:rsidR="00087D45" w:rsidRPr="00633AF6">
        <w:t>WoG</w:t>
      </w:r>
      <w:proofErr w:type="spellEnd"/>
      <w:r w:rsidR="00087D45" w:rsidRPr="00633AF6">
        <w:t xml:space="preserve"> (</w:t>
      </w:r>
      <w:r w:rsidR="00ED2B41" w:rsidRPr="00ED2B41">
        <w:t>Scholarships and Alumni Branch</w:t>
      </w:r>
      <w:r w:rsidR="00087D45" w:rsidRPr="00633AF6">
        <w:t xml:space="preserve">, </w:t>
      </w:r>
      <w:proofErr w:type="spellStart"/>
      <w:r w:rsidR="00087D45" w:rsidRPr="00633AF6">
        <w:t>AusTrade</w:t>
      </w:r>
      <w:proofErr w:type="spellEnd"/>
      <w:r w:rsidR="00087D45" w:rsidRPr="00633AF6">
        <w:t xml:space="preserve">, </w:t>
      </w:r>
      <w:r w:rsidR="007E78F8" w:rsidRPr="007E78F8">
        <w:t>Department of Immigration and Border Protection</w:t>
      </w:r>
      <w:r w:rsidR="00087D45" w:rsidRPr="00633AF6">
        <w:t>));</w:t>
      </w:r>
      <w:r w:rsidR="00087D45">
        <w:t xml:space="preserve"> and</w:t>
      </w:r>
    </w:p>
    <w:p w14:paraId="7935E7C5" w14:textId="77777777" w:rsidR="00087D45" w:rsidRDefault="00087D45" w:rsidP="002B1210">
      <w:pPr>
        <w:pStyle w:val="List-bullet-1"/>
      </w:pPr>
      <w:r w:rsidRPr="00633AF6">
        <w:t xml:space="preserve">Australia Awards </w:t>
      </w:r>
      <w:r w:rsidR="004107C3" w:rsidRPr="00633AF6">
        <w:t xml:space="preserve">consultation rounds </w:t>
      </w:r>
      <w:r w:rsidRPr="00633AF6">
        <w:t>(</w:t>
      </w:r>
      <w:r>
        <w:t>i</w:t>
      </w:r>
      <w:r w:rsidRPr="00633AF6">
        <w:t>n Africa)</w:t>
      </w:r>
      <w:r>
        <w:t>.</w:t>
      </w:r>
    </w:p>
    <w:p w14:paraId="24097B1C" w14:textId="77777777" w:rsidR="00967DD3" w:rsidRPr="004107C3" w:rsidRDefault="00967DD3" w:rsidP="002B1210">
      <w:pPr>
        <w:pStyle w:val="BodyText"/>
      </w:pPr>
      <w:r>
        <w:t xml:space="preserve">A detailed list of meetings is set out at the end of the overarching AADP IDD’s </w:t>
      </w:r>
      <w:r w:rsidRPr="005D6E98">
        <w:rPr>
          <w:b/>
          <w:sz w:val="19"/>
          <w:szCs w:val="19"/>
        </w:rPr>
        <w:t xml:space="preserve">Annex </w:t>
      </w:r>
      <w:r w:rsidR="00051808" w:rsidRPr="005D6E98">
        <w:rPr>
          <w:b/>
          <w:sz w:val="19"/>
          <w:szCs w:val="19"/>
        </w:rPr>
        <w:t>C</w:t>
      </w:r>
      <w:r w:rsidRPr="005D6E98">
        <w:t>:</w:t>
      </w:r>
      <w:r>
        <w:t xml:space="preserve"> </w:t>
      </w:r>
      <w:r w:rsidRPr="004107C3">
        <w:t>Communication Strategy Requirements.</w:t>
      </w:r>
    </w:p>
    <w:p w14:paraId="1AC4B578" w14:textId="77777777" w:rsidR="00087D45" w:rsidRPr="00633AF6" w:rsidRDefault="00087D45" w:rsidP="002B1210">
      <w:pPr>
        <w:pStyle w:val="BodyText"/>
      </w:pPr>
      <w:r>
        <w:t>The MC would provide secretariat services to all meetings that it attends. Tenderers would be required to propose any additional management mechanisms which may enhance the management and implementation of the AADP.</w:t>
      </w:r>
    </w:p>
    <w:p w14:paraId="07727D56" w14:textId="77777777" w:rsidR="000F5341" w:rsidRPr="00E32CBF" w:rsidRDefault="000F5341" w:rsidP="002B1210">
      <w:pPr>
        <w:pStyle w:val="Heading2"/>
        <w:jc w:val="both"/>
      </w:pPr>
      <w:bookmarkStart w:id="41" w:name="_Toc387590501"/>
      <w:bookmarkStart w:id="42" w:name="_Toc399150515"/>
      <w:bookmarkStart w:id="43" w:name="_Toc401578427"/>
      <w:r w:rsidRPr="0065108C">
        <w:t xml:space="preserve">Monitoring and Evaluation </w:t>
      </w:r>
      <w:r>
        <w:t>and Quality Assurance</w:t>
      </w:r>
      <w:bookmarkEnd w:id="41"/>
      <w:bookmarkEnd w:id="42"/>
      <w:bookmarkEnd w:id="43"/>
    </w:p>
    <w:p w14:paraId="4E3EFD52" w14:textId="77777777" w:rsidR="000F5341" w:rsidRPr="00A80ECB" w:rsidRDefault="000F5341" w:rsidP="002B1210">
      <w:pPr>
        <w:pStyle w:val="Heading3"/>
        <w:jc w:val="both"/>
      </w:pPr>
      <w:r w:rsidRPr="00A80ECB">
        <w:t>Approach</w:t>
      </w:r>
    </w:p>
    <w:p w14:paraId="61890BA7" w14:textId="77777777" w:rsidR="000F5341" w:rsidRPr="00164E33" w:rsidRDefault="000F5341" w:rsidP="002B1210">
      <w:pPr>
        <w:pStyle w:val="BodyText"/>
      </w:pPr>
      <w:r w:rsidRPr="00164E33">
        <w:t xml:space="preserve">To assess the performance of activities, the realisation of expected outputs, and to explore the changes the </w:t>
      </w:r>
      <w:r w:rsidR="00EA5F49">
        <w:rPr>
          <w:rFonts w:eastAsia="Calibri"/>
        </w:rPr>
        <w:t xml:space="preserve">E4G </w:t>
      </w:r>
      <w:r w:rsidR="00B47614">
        <w:rPr>
          <w:rFonts w:eastAsia="Calibri"/>
        </w:rPr>
        <w:t>C</w:t>
      </w:r>
      <w:r w:rsidR="00EA5F49">
        <w:rPr>
          <w:rFonts w:eastAsia="Calibri"/>
        </w:rPr>
        <w:t>omponent</w:t>
      </w:r>
      <w:r w:rsidR="00EA5F49" w:rsidRPr="00164E33">
        <w:t xml:space="preserve"> </w:t>
      </w:r>
      <w:r w:rsidRPr="00164E33">
        <w:t xml:space="preserve">will bring about in terms of sustainable and inclusive growth in </w:t>
      </w:r>
      <w:r>
        <w:t xml:space="preserve">the </w:t>
      </w:r>
      <w:r w:rsidR="00EC38FF">
        <w:t>Target Countries</w:t>
      </w:r>
      <w:r>
        <w:t xml:space="preserve"> in </w:t>
      </w:r>
      <w:r w:rsidRPr="00164E33">
        <w:t xml:space="preserve">Africa, the </w:t>
      </w:r>
      <w:r w:rsidR="00EA5F49">
        <w:rPr>
          <w:rFonts w:eastAsia="Calibri"/>
        </w:rPr>
        <w:t xml:space="preserve">E4G </w:t>
      </w:r>
      <w:r w:rsidR="00B47614">
        <w:rPr>
          <w:rFonts w:eastAsia="Calibri"/>
        </w:rPr>
        <w:t>C</w:t>
      </w:r>
      <w:r w:rsidR="00EA5F49">
        <w:rPr>
          <w:rFonts w:eastAsia="Calibri"/>
        </w:rPr>
        <w:t>omponent</w:t>
      </w:r>
      <w:r w:rsidR="00EA5F49" w:rsidRPr="00164E33">
        <w:t xml:space="preserve"> </w:t>
      </w:r>
      <w:r w:rsidRPr="00164E33">
        <w:t xml:space="preserve">will </w:t>
      </w:r>
      <w:r w:rsidR="00EA5F49">
        <w:t xml:space="preserve">have </w:t>
      </w:r>
      <w:r w:rsidRPr="00164E33">
        <w:t xml:space="preserve">M&amp;E at </w:t>
      </w:r>
      <w:r w:rsidR="00EA5F49">
        <w:t xml:space="preserve">two </w:t>
      </w:r>
      <w:r w:rsidRPr="00164E33">
        <w:t>levels:</w:t>
      </w:r>
    </w:p>
    <w:p w14:paraId="6190EFD7" w14:textId="77777777" w:rsidR="000F5341" w:rsidRDefault="004107C3" w:rsidP="00F32EF1">
      <w:pPr>
        <w:pStyle w:val="List-number-1"/>
        <w:numPr>
          <w:ilvl w:val="0"/>
          <w:numId w:val="19"/>
        </w:numPr>
        <w:jc w:val="both"/>
      </w:pPr>
      <w:r w:rsidRPr="00164E33">
        <w:t xml:space="preserve">at </w:t>
      </w:r>
      <w:r w:rsidR="000F5341" w:rsidRPr="00164E33">
        <w:t>the activity level</w:t>
      </w:r>
      <w:r w:rsidR="000F5341" w:rsidRPr="000F5341">
        <w:t>;</w:t>
      </w:r>
      <w:r>
        <w:t xml:space="preserve"> and</w:t>
      </w:r>
    </w:p>
    <w:p w14:paraId="104DF3B5" w14:textId="77777777" w:rsidR="00EA5F49" w:rsidRPr="00164E33" w:rsidRDefault="004107C3" w:rsidP="00F32EF1">
      <w:pPr>
        <w:pStyle w:val="List-number-1"/>
        <w:numPr>
          <w:ilvl w:val="0"/>
          <w:numId w:val="19"/>
        </w:numPr>
        <w:jc w:val="both"/>
      </w:pPr>
      <w:proofErr w:type="gramStart"/>
      <w:r>
        <w:t>at</w:t>
      </w:r>
      <w:proofErr w:type="gramEnd"/>
      <w:r>
        <w:t xml:space="preserve"> </w:t>
      </w:r>
      <w:r w:rsidR="00EA5F49">
        <w:t xml:space="preserve">the </w:t>
      </w:r>
      <w:r w:rsidR="00EA5F49" w:rsidRPr="000F5341">
        <w:t>C</w:t>
      </w:r>
      <w:r w:rsidR="00EA5F49" w:rsidRPr="00164E33">
        <w:t>omponent level, an aggreg</w:t>
      </w:r>
      <w:r w:rsidR="00EA5F49">
        <w:t xml:space="preserve">ation of activities under the </w:t>
      </w:r>
      <w:r w:rsidR="00EA5F49" w:rsidRPr="000F5341">
        <w:t>C</w:t>
      </w:r>
      <w:r w:rsidR="00EA5F49" w:rsidRPr="00164E33">
        <w:t>omponent</w:t>
      </w:r>
      <w:r w:rsidR="00EA5F49">
        <w:t xml:space="preserve">. </w:t>
      </w:r>
    </w:p>
    <w:p w14:paraId="198B301D" w14:textId="77777777" w:rsidR="000F5341" w:rsidRPr="00283883" w:rsidRDefault="000F5341" w:rsidP="002B1210">
      <w:pPr>
        <w:pStyle w:val="Heading3"/>
        <w:jc w:val="both"/>
      </w:pPr>
      <w:r>
        <w:t>Activity-</w:t>
      </w:r>
      <w:r w:rsidRPr="00283883">
        <w:t>level M&amp;E</w:t>
      </w:r>
    </w:p>
    <w:p w14:paraId="0BC17559" w14:textId="77777777" w:rsidR="000F5341" w:rsidRPr="00164E33" w:rsidRDefault="000F5341" w:rsidP="002B1210">
      <w:pPr>
        <w:pStyle w:val="BodyText"/>
      </w:pPr>
      <w:r w:rsidRPr="00164E33">
        <w:t>F</w:t>
      </w:r>
      <w:r>
        <w:t xml:space="preserve">or each activity under the </w:t>
      </w:r>
      <w:r w:rsidR="00EA5F49">
        <w:t xml:space="preserve">E4G </w:t>
      </w:r>
      <w:r w:rsidR="00B47614">
        <w:t>C</w:t>
      </w:r>
      <w:r w:rsidRPr="00164E33">
        <w:t xml:space="preserve">omponent, baseline information </w:t>
      </w:r>
      <w:r>
        <w:t>is required</w:t>
      </w:r>
      <w:r w:rsidRPr="00164E33">
        <w:t>, describing the current status of the problem that the activity seeks to address.</w:t>
      </w:r>
      <w:r>
        <w:t xml:space="preserve"> </w:t>
      </w:r>
      <w:r w:rsidRPr="00164E33">
        <w:t xml:space="preserve">Where baseline information is not available (from sources such as the AAPF database) baseline activities </w:t>
      </w:r>
      <w:r>
        <w:t>will be conducted to establish a baseline</w:t>
      </w:r>
      <w:r w:rsidRPr="00164E33">
        <w:t xml:space="preserve">. For each activity the baseline data will help shape the performance indicators and output targets developed for each activity, which will be captured in an </w:t>
      </w:r>
      <w:r>
        <w:t>activity-level MEF</w:t>
      </w:r>
      <w:r w:rsidRPr="00164E33">
        <w:t>.</w:t>
      </w:r>
    </w:p>
    <w:p w14:paraId="17BF7C46" w14:textId="77777777" w:rsidR="000F5341" w:rsidRPr="00164E33" w:rsidRDefault="000F5341" w:rsidP="002B1210">
      <w:pPr>
        <w:pStyle w:val="BodyText"/>
      </w:pPr>
      <w:r w:rsidRPr="00164E33">
        <w:t xml:space="preserve">Service providers implementing activities under </w:t>
      </w:r>
      <w:r w:rsidR="00EA5F49">
        <w:t xml:space="preserve">the E4G </w:t>
      </w:r>
      <w:r w:rsidR="00B47614">
        <w:t>C</w:t>
      </w:r>
      <w:r w:rsidRPr="00164E33">
        <w:t xml:space="preserve">omponent will monitor progress against the respective </w:t>
      </w:r>
      <w:r>
        <w:t>MEFs</w:t>
      </w:r>
      <w:r w:rsidRPr="00164E33">
        <w:t>, and prepare progress reports as per the agreed schedule with DFAT.</w:t>
      </w:r>
    </w:p>
    <w:p w14:paraId="280F51F6" w14:textId="77777777" w:rsidR="000F5341" w:rsidRPr="00164E33" w:rsidRDefault="000F5341" w:rsidP="002B1210">
      <w:pPr>
        <w:pStyle w:val="BodyText"/>
      </w:pPr>
      <w:r w:rsidRPr="00164E33">
        <w:t xml:space="preserve">In addition, pilot activities under </w:t>
      </w:r>
      <w:r w:rsidR="00EA5F49">
        <w:t xml:space="preserve">the E4G </w:t>
      </w:r>
      <w:r w:rsidR="00B47614">
        <w:t>C</w:t>
      </w:r>
      <w:r w:rsidR="00EA5F49" w:rsidRPr="00164E33">
        <w:t>omponent</w:t>
      </w:r>
      <w:r w:rsidR="00EA5F49">
        <w:t xml:space="preserve"> </w:t>
      </w:r>
      <w:r w:rsidRPr="00164E33">
        <w:t xml:space="preserve">will undergo a progress review (typically at the midpoint of implementation) and an evaluation </w:t>
      </w:r>
      <w:r w:rsidR="000E3CB9">
        <w:t>in the final quarter</w:t>
      </w:r>
      <w:r w:rsidRPr="00164E33">
        <w:t xml:space="preserve"> of the activity</w:t>
      </w:r>
      <w:r w:rsidR="000E3CB9">
        <w:t>’s implementation to determine whether the pilot would be continued as a fully-fledged activity</w:t>
      </w:r>
      <w:r w:rsidRPr="00164E33">
        <w:t>.</w:t>
      </w:r>
      <w:r>
        <w:t xml:space="preserve"> </w:t>
      </w:r>
      <w:r w:rsidRPr="00164E33">
        <w:t>Progress reviews and evaluations will be conducted by experts who are independent of the AADP.</w:t>
      </w:r>
      <w:r>
        <w:t xml:space="preserve"> </w:t>
      </w:r>
      <w:r w:rsidRPr="00164E33">
        <w:t xml:space="preserve">Narrative reports will be prepared by these experts, and will be shared with both the MC and DFAT to guide future management decisions. </w:t>
      </w:r>
    </w:p>
    <w:p w14:paraId="6EC81D9C" w14:textId="77777777" w:rsidR="000F5341" w:rsidRPr="00164E33" w:rsidRDefault="000F5341" w:rsidP="002B1210">
      <w:pPr>
        <w:pStyle w:val="BodyText"/>
      </w:pPr>
      <w:r>
        <w:t>Activity-</w:t>
      </w:r>
      <w:r w:rsidRPr="00164E33">
        <w:t xml:space="preserve">level reports </w:t>
      </w:r>
      <w:r>
        <w:t>will</w:t>
      </w:r>
      <w:r w:rsidRPr="00164E33">
        <w:t xml:space="preserve"> include a narrative that describes completed activities for the reporting period, the progress made in achieving what was expected, a reflection on any gap between expected and actual achievements, and an explanation as to what will be done to respond to any gap between expected and actual achievements. The report </w:t>
      </w:r>
      <w:r>
        <w:t>will</w:t>
      </w:r>
      <w:r w:rsidRPr="00164E33">
        <w:t xml:space="preserve"> also identify any common lessons learnt during the reporting period, and indicate how these lessons will influence future implementation. A short description </w:t>
      </w:r>
      <w:r>
        <w:t>will</w:t>
      </w:r>
      <w:r w:rsidRPr="00164E33">
        <w:t xml:space="preserve"> also </w:t>
      </w:r>
      <w:r>
        <w:t xml:space="preserve">need to </w:t>
      </w:r>
      <w:r w:rsidRPr="00164E33">
        <w:t>be provided as to what activities will be expected in the next reporting period.</w:t>
      </w:r>
    </w:p>
    <w:p w14:paraId="0E24E24F" w14:textId="77777777" w:rsidR="000F5341" w:rsidRPr="00CC4035" w:rsidRDefault="000F5341" w:rsidP="002B1210">
      <w:pPr>
        <w:pStyle w:val="Heading3"/>
        <w:jc w:val="both"/>
      </w:pPr>
      <w:r>
        <w:t>Component-</w:t>
      </w:r>
      <w:r w:rsidRPr="00CC4035">
        <w:t>level M&amp;E</w:t>
      </w:r>
    </w:p>
    <w:p w14:paraId="380AB542" w14:textId="77777777" w:rsidR="000F5341" w:rsidRPr="00164E33" w:rsidRDefault="000F5341" w:rsidP="002B1210">
      <w:pPr>
        <w:pStyle w:val="BodyText"/>
      </w:pPr>
      <w:r>
        <w:t xml:space="preserve">At the </w:t>
      </w:r>
      <w:r w:rsidR="00EA5F49">
        <w:t xml:space="preserve">E4G </w:t>
      </w:r>
      <w:r>
        <w:t>C</w:t>
      </w:r>
      <w:r w:rsidRPr="00164E33">
        <w:t>omponent level, M&amp;E activities will focus</w:t>
      </w:r>
      <w:r>
        <w:t xml:space="preserve"> on</w:t>
      </w:r>
      <w:r w:rsidRPr="00164E33">
        <w:t xml:space="preserve"> reporting against the specified output</w:t>
      </w:r>
      <w:r>
        <w:t xml:space="preserve">s, described in the </w:t>
      </w:r>
      <w:r w:rsidR="00EA5F49">
        <w:t xml:space="preserve">E4G </w:t>
      </w:r>
      <w:r w:rsidR="00B47614">
        <w:t>C</w:t>
      </w:r>
      <w:r w:rsidR="00EA5F49" w:rsidRPr="00164E33">
        <w:t>omponent</w:t>
      </w:r>
      <w:r w:rsidR="00EA5F49">
        <w:t xml:space="preserve"> </w:t>
      </w:r>
      <w:r>
        <w:t>MEF</w:t>
      </w:r>
      <w:r w:rsidRPr="00164E33">
        <w:t xml:space="preserve">. </w:t>
      </w:r>
      <w:r>
        <w:t xml:space="preserve">The MC will need to conduct </w:t>
      </w:r>
      <w:r w:rsidRPr="00164E33">
        <w:t>baseline activit</w:t>
      </w:r>
      <w:r>
        <w:t>ies</w:t>
      </w:r>
      <w:r w:rsidRPr="00164E33">
        <w:t xml:space="preserve"> in the first six months in order to refine the baselines for each output and the associated targets.</w:t>
      </w:r>
      <w:r>
        <w:t xml:space="preserve"> Output reports </w:t>
      </w:r>
      <w:r w:rsidR="00EA5F49">
        <w:t xml:space="preserve">for the E4G </w:t>
      </w:r>
      <w:r w:rsidR="00B47614">
        <w:t>C</w:t>
      </w:r>
      <w:r w:rsidR="00EA5F49" w:rsidRPr="00164E33">
        <w:t>omponent</w:t>
      </w:r>
      <w:r w:rsidR="00EA5F49">
        <w:t xml:space="preserve"> </w:t>
      </w:r>
      <w:r w:rsidRPr="00164E33">
        <w:t xml:space="preserve">will be prepared, in line with the reporting schedule, and fed into the overall </w:t>
      </w:r>
      <w:r>
        <w:t xml:space="preserve">MC </w:t>
      </w:r>
      <w:r w:rsidRPr="00164E33">
        <w:t>report</w:t>
      </w:r>
      <w:r>
        <w:t>ing to DFAT</w:t>
      </w:r>
      <w:r w:rsidRPr="00164E33">
        <w:t xml:space="preserve">. </w:t>
      </w:r>
    </w:p>
    <w:p w14:paraId="0DD88689" w14:textId="77777777" w:rsidR="000F5341" w:rsidRDefault="000F5341" w:rsidP="002B1210">
      <w:pPr>
        <w:pStyle w:val="BodyText"/>
      </w:pPr>
      <w:r>
        <w:t xml:space="preserve">Similar to activity-level reporting, </w:t>
      </w:r>
      <w:r w:rsidR="00EA5F49">
        <w:t xml:space="preserve">the E4G </w:t>
      </w:r>
      <w:r w:rsidR="00B47614">
        <w:t>C</w:t>
      </w:r>
      <w:r w:rsidR="00EA5F49" w:rsidRPr="00164E33">
        <w:t>omponent</w:t>
      </w:r>
      <w:r>
        <w:t xml:space="preserve">-level </w:t>
      </w:r>
      <w:r w:rsidRPr="00164E33">
        <w:t xml:space="preserve">reports </w:t>
      </w:r>
      <w:r>
        <w:t>will</w:t>
      </w:r>
      <w:r w:rsidRPr="00164E33">
        <w:t xml:space="preserve"> include a narrative that describes the expected outputs for the reporting period, the progress made in achieving the expected outputs, a reflection on any gap between expected and actual achievements, and an explanation as to what will be done to respond to any gap</w:t>
      </w:r>
      <w:r>
        <w:t>s</w:t>
      </w:r>
      <w:r w:rsidRPr="00164E33">
        <w:t xml:space="preserve"> between expected and actual achievements. The report</w:t>
      </w:r>
      <w:r>
        <w:t>s</w:t>
      </w:r>
      <w:r w:rsidRPr="00164E33">
        <w:t xml:space="preserve"> </w:t>
      </w:r>
      <w:r>
        <w:t>will</w:t>
      </w:r>
      <w:r w:rsidRPr="00164E33">
        <w:t xml:space="preserve"> also identify any common lessons learnt during the reporting period, and indicate how these lessons will influence future implementation. A short description </w:t>
      </w:r>
      <w:r>
        <w:t>will also be needed about the</w:t>
      </w:r>
      <w:r w:rsidRPr="00164E33">
        <w:t xml:space="preserve"> outputs </w:t>
      </w:r>
      <w:r>
        <w:t xml:space="preserve">that can </w:t>
      </w:r>
      <w:r w:rsidRPr="00164E33">
        <w:t xml:space="preserve">be </w:t>
      </w:r>
      <w:r>
        <w:t>anticipated</w:t>
      </w:r>
      <w:r w:rsidRPr="00164E33">
        <w:t xml:space="preserve"> in the next reporting period.</w:t>
      </w:r>
      <w:r>
        <w:t xml:space="preserve"> </w:t>
      </w:r>
    </w:p>
    <w:p w14:paraId="46ADFC47" w14:textId="77777777" w:rsidR="000F5341" w:rsidRPr="00CC4035" w:rsidRDefault="000F5341" w:rsidP="002B1210">
      <w:pPr>
        <w:pStyle w:val="Heading3"/>
        <w:jc w:val="both"/>
      </w:pPr>
      <w:r w:rsidRPr="00CC4035">
        <w:t>Resources for M&amp;E</w:t>
      </w:r>
    </w:p>
    <w:p w14:paraId="1BB406B6" w14:textId="77777777" w:rsidR="00967DD3" w:rsidRDefault="00967DD3" w:rsidP="002B1210">
      <w:pPr>
        <w:pStyle w:val="BodyText"/>
      </w:pPr>
      <w:r>
        <w:t>The E4G Component MEF is set out in Annex G to this E4G Component IDD and consists of:</w:t>
      </w:r>
    </w:p>
    <w:p w14:paraId="64724291" w14:textId="77777777" w:rsidR="00967DD3" w:rsidRDefault="004107C3" w:rsidP="009E0DBA">
      <w:pPr>
        <w:pStyle w:val="List-bullet-1"/>
      </w:pPr>
      <w:r w:rsidRPr="00AC5B26">
        <w:t xml:space="preserve">description </w:t>
      </w:r>
      <w:r w:rsidR="00967DD3" w:rsidRPr="00AC5B26">
        <w:t>of the Monitoring and Evaluation System (MES)</w:t>
      </w:r>
      <w:r w:rsidR="00967DD3">
        <w:t>;</w:t>
      </w:r>
      <w:r w:rsidR="005B3032">
        <w:t xml:space="preserve"> </w:t>
      </w:r>
    </w:p>
    <w:p w14:paraId="0E709556" w14:textId="77777777" w:rsidR="00967DD3" w:rsidRDefault="004107C3" w:rsidP="009E0DBA">
      <w:pPr>
        <w:pStyle w:val="List-bullet-1"/>
      </w:pPr>
      <w:r>
        <w:t>results diagram</w:t>
      </w:r>
      <w:r w:rsidR="00967DD3">
        <w:t>;</w:t>
      </w:r>
      <w:r w:rsidR="005B3032">
        <w:t xml:space="preserve"> </w:t>
      </w:r>
      <w:r w:rsidR="00967DD3">
        <w:t>and</w:t>
      </w:r>
    </w:p>
    <w:p w14:paraId="101DC3DC" w14:textId="77777777" w:rsidR="00967DD3" w:rsidRPr="00AC5B26" w:rsidRDefault="00967DD3" w:rsidP="009E0DBA">
      <w:pPr>
        <w:pStyle w:val="List-bullet-1"/>
      </w:pPr>
      <w:r w:rsidRPr="00AC5B26">
        <w:t xml:space="preserve">E4G </w:t>
      </w:r>
      <w:r w:rsidR="004107C3" w:rsidRPr="00AC5B26">
        <w:t xml:space="preserve">component </w:t>
      </w:r>
      <w:r w:rsidRPr="00AC5B26">
        <w:t>MEF</w:t>
      </w:r>
      <w:r>
        <w:t>.</w:t>
      </w:r>
    </w:p>
    <w:p w14:paraId="60EF8A90" w14:textId="77777777" w:rsidR="00967DD3" w:rsidRDefault="00967DD3" w:rsidP="002B1210">
      <w:pPr>
        <w:pStyle w:val="BodyText"/>
      </w:pPr>
      <w:r>
        <w:t xml:space="preserve">The MES for the overall AADP is set out in </w:t>
      </w:r>
      <w:r w:rsidR="00051808" w:rsidRPr="005D6E98">
        <w:rPr>
          <w:b/>
          <w:sz w:val="18"/>
          <w:szCs w:val="18"/>
        </w:rPr>
        <w:t>Annex D</w:t>
      </w:r>
      <w:r>
        <w:rPr>
          <w:b/>
          <w:sz w:val="18"/>
          <w:szCs w:val="18"/>
        </w:rPr>
        <w:t xml:space="preserve"> </w:t>
      </w:r>
      <w:r w:rsidRPr="00051808">
        <w:t>of the overarching AADP IDD.</w:t>
      </w:r>
    </w:p>
    <w:p w14:paraId="60A3A6A1" w14:textId="77777777" w:rsidR="000F5341" w:rsidRPr="00164E33" w:rsidRDefault="002F757D" w:rsidP="002B1210">
      <w:pPr>
        <w:pStyle w:val="BodyText"/>
      </w:pPr>
      <w:r>
        <w:t>The E4G Component MEF is a k</w:t>
      </w:r>
      <w:r w:rsidR="000F5341">
        <w:t xml:space="preserve">ey M&amp;E tool </w:t>
      </w:r>
      <w:r>
        <w:t>which</w:t>
      </w:r>
      <w:r w:rsidR="000F5341">
        <w:t xml:space="preserve"> </w:t>
      </w:r>
      <w:r w:rsidR="000F5341" w:rsidRPr="00164E33">
        <w:t>sets out key performance questions, targets a</w:t>
      </w:r>
      <w:r w:rsidR="000F5341">
        <w:t xml:space="preserve">nd indicators for the </w:t>
      </w:r>
      <w:r>
        <w:t>E4G Component.</w:t>
      </w:r>
      <w:r w:rsidR="005B3032">
        <w:t xml:space="preserve"> </w:t>
      </w:r>
      <w:r w:rsidR="000F5341" w:rsidRPr="00164E33">
        <w:t xml:space="preserve">The </w:t>
      </w:r>
      <w:r>
        <w:t>E4G Component MEF</w:t>
      </w:r>
      <w:r w:rsidRPr="00164E33">
        <w:t xml:space="preserve"> </w:t>
      </w:r>
      <w:r w:rsidR="000F5341" w:rsidRPr="00164E33">
        <w:t>i</w:t>
      </w:r>
      <w:r w:rsidR="000F5341">
        <w:t xml:space="preserve">s intended to evolve over time. It </w:t>
      </w:r>
      <w:r w:rsidR="000F5341" w:rsidRPr="00164E33">
        <w:t>will be reviewed on</w:t>
      </w:r>
      <w:r w:rsidR="000F5341">
        <w:t xml:space="preserve"> an annual basis</w:t>
      </w:r>
      <w:r w:rsidR="000F5341" w:rsidRPr="00164E33">
        <w:t xml:space="preserve"> and is expected to guide monitoring and discussion </w:t>
      </w:r>
      <w:r>
        <w:t>of E4G Component activities</w:t>
      </w:r>
      <w:r w:rsidR="000F5341" w:rsidRPr="00164E33">
        <w:t>.</w:t>
      </w:r>
    </w:p>
    <w:p w14:paraId="013C530C" w14:textId="77777777" w:rsidR="000F5341" w:rsidRPr="00164E33" w:rsidRDefault="000F5341" w:rsidP="00B17713">
      <w:pPr>
        <w:pStyle w:val="BodyText"/>
        <w:rPr>
          <w:rFonts w:cs="Arial"/>
          <w:szCs w:val="20"/>
        </w:rPr>
      </w:pPr>
      <w:r>
        <w:t xml:space="preserve">The </w:t>
      </w:r>
      <w:r w:rsidR="002F757D">
        <w:t xml:space="preserve">overarching AADP </w:t>
      </w:r>
      <w:r>
        <w:t xml:space="preserve">MES includes </w:t>
      </w:r>
      <w:r w:rsidRPr="00164E33">
        <w:t>a</w:t>
      </w:r>
      <w:r w:rsidR="00F36DA3">
        <w:t>n</w:t>
      </w:r>
      <w:r w:rsidRPr="00164E33">
        <w:t xml:space="preserve"> M&amp;E </w:t>
      </w:r>
      <w:proofErr w:type="spellStart"/>
      <w:r w:rsidRPr="00164E33">
        <w:t>Workplan</w:t>
      </w:r>
      <w:proofErr w:type="spellEnd"/>
      <w:r w:rsidR="002F757D">
        <w:t>, which in turn describes M&amp;E activities for the E4G Component (and</w:t>
      </w:r>
      <w:r w:rsidRPr="00164E33">
        <w:t xml:space="preserve"> </w:t>
      </w:r>
      <w:r>
        <w:t>for the Program</w:t>
      </w:r>
      <w:r w:rsidR="002F757D">
        <w:t>)</w:t>
      </w:r>
      <w:r w:rsidR="005B3032">
        <w:t>.</w:t>
      </w:r>
      <w:r>
        <w:t xml:space="preserve"> </w:t>
      </w:r>
      <w:r w:rsidR="00F36DA3">
        <w:t>T</w:t>
      </w:r>
      <w:r>
        <w:t xml:space="preserve">he </w:t>
      </w:r>
      <w:r w:rsidRPr="00164E33">
        <w:t xml:space="preserve">M&amp;E </w:t>
      </w:r>
      <w:proofErr w:type="spellStart"/>
      <w:r w:rsidRPr="00164E33">
        <w:t>Workplan</w:t>
      </w:r>
      <w:proofErr w:type="spellEnd"/>
      <w:r w:rsidRPr="00164E33">
        <w:t xml:space="preserve"> distinguishes between monitoring and evaluation functions. The </w:t>
      </w:r>
      <w:r>
        <w:t xml:space="preserve">M&amp;E </w:t>
      </w:r>
      <w:proofErr w:type="spellStart"/>
      <w:r>
        <w:t>Workplan</w:t>
      </w:r>
      <w:proofErr w:type="spellEnd"/>
      <w:r w:rsidRPr="00164E33">
        <w:t xml:space="preserve"> identifies the key M&amp;E tasks, the approach to be used in implementing the M&amp;E tasks, and an indicative timeline</w:t>
      </w:r>
      <w:r w:rsidR="001B7DCB">
        <w:t xml:space="preserve"> / </w:t>
      </w:r>
      <w:r w:rsidRPr="00164E33">
        <w:t xml:space="preserve">timeframe as to when these M&amp;E tasks </w:t>
      </w:r>
      <w:r>
        <w:t>need to</w:t>
      </w:r>
      <w:r w:rsidRPr="00164E33">
        <w:t xml:space="preserve"> be conducted. The M&amp;E </w:t>
      </w:r>
      <w:proofErr w:type="spellStart"/>
      <w:r w:rsidRPr="00164E33">
        <w:t>Workplan</w:t>
      </w:r>
      <w:proofErr w:type="spellEnd"/>
      <w:r w:rsidRPr="00164E33">
        <w:t xml:space="preserve"> also identifies the roles and responsibilities within the </w:t>
      </w:r>
      <w:r w:rsidR="002F757D">
        <w:t>E4G Component</w:t>
      </w:r>
      <w:r w:rsidR="002F757D" w:rsidRPr="00164E33">
        <w:t xml:space="preserve"> </w:t>
      </w:r>
      <w:r w:rsidRPr="00164E33">
        <w:t xml:space="preserve">for implementing the M&amp;E tasks, and in addition provides an indicative budget for the </w:t>
      </w:r>
      <w:r>
        <w:t xml:space="preserve">conduct of the </w:t>
      </w:r>
      <w:r w:rsidRPr="00164E33">
        <w:t xml:space="preserve">M&amp;E tasks. </w:t>
      </w:r>
      <w:r w:rsidRPr="00164E33">
        <w:rPr>
          <w:rFonts w:cs="Arial"/>
          <w:szCs w:val="20"/>
        </w:rPr>
        <w:t>All reports will be made available to DFAT.</w:t>
      </w:r>
      <w:r>
        <w:rPr>
          <w:rFonts w:cs="Arial"/>
          <w:szCs w:val="20"/>
        </w:rPr>
        <w:t xml:space="preserve"> </w:t>
      </w:r>
    </w:p>
    <w:p w14:paraId="024A9DB3" w14:textId="77777777" w:rsidR="000F5341" w:rsidRPr="00164E33" w:rsidRDefault="000F5341" w:rsidP="002B1210">
      <w:pPr>
        <w:pStyle w:val="BodyText"/>
      </w:pPr>
      <w:r>
        <w:t xml:space="preserve">M&amp;E </w:t>
      </w:r>
      <w:proofErr w:type="spellStart"/>
      <w:r>
        <w:t>Workplan</w:t>
      </w:r>
      <w:proofErr w:type="spellEnd"/>
      <w:r>
        <w:t xml:space="preserve"> k</w:t>
      </w:r>
      <w:r w:rsidRPr="00164E33">
        <w:t>ey features include:</w:t>
      </w:r>
    </w:p>
    <w:p w14:paraId="03908132" w14:textId="77777777" w:rsidR="000F5341" w:rsidRPr="00155C9D" w:rsidRDefault="00F80281" w:rsidP="002B1210">
      <w:pPr>
        <w:pStyle w:val="BodyText"/>
        <w:rPr>
          <w:szCs w:val="20"/>
        </w:rPr>
      </w:pPr>
      <w:r>
        <w:rPr>
          <w:szCs w:val="20"/>
        </w:rPr>
        <w:t>A</w:t>
      </w:r>
      <w:r w:rsidR="000F5341" w:rsidRPr="008D5350">
        <w:rPr>
          <w:szCs w:val="20"/>
        </w:rPr>
        <w:t xml:space="preserve"> </w:t>
      </w:r>
      <w:r w:rsidR="000F5341" w:rsidRPr="008D5350">
        <w:rPr>
          <w:i/>
          <w:szCs w:val="20"/>
        </w:rPr>
        <w:t xml:space="preserve">Gender and Social Inclusion </w:t>
      </w:r>
      <w:r w:rsidR="00A753D5">
        <w:rPr>
          <w:i/>
          <w:szCs w:val="20"/>
        </w:rPr>
        <w:t xml:space="preserve">Mainstreaming Strategy </w:t>
      </w:r>
      <w:r w:rsidR="003B2BAD">
        <w:rPr>
          <w:szCs w:val="20"/>
        </w:rPr>
        <w:t>is set out in</w:t>
      </w:r>
      <w:r>
        <w:rPr>
          <w:szCs w:val="20"/>
        </w:rPr>
        <w:t xml:space="preserve"> </w:t>
      </w:r>
      <w:r w:rsidR="000F5341" w:rsidRPr="005D6E98">
        <w:rPr>
          <w:b/>
          <w:szCs w:val="20"/>
        </w:rPr>
        <w:t xml:space="preserve">Annex </w:t>
      </w:r>
      <w:r w:rsidR="003B2BAD" w:rsidRPr="005D6E98">
        <w:rPr>
          <w:b/>
          <w:szCs w:val="20"/>
        </w:rPr>
        <w:t xml:space="preserve">E </w:t>
      </w:r>
      <w:r w:rsidR="003B2BAD" w:rsidRPr="005D6E98">
        <w:rPr>
          <w:szCs w:val="20"/>
        </w:rPr>
        <w:t>to</w:t>
      </w:r>
      <w:r w:rsidR="003B2BAD" w:rsidRPr="00051808">
        <w:rPr>
          <w:szCs w:val="20"/>
        </w:rPr>
        <w:t xml:space="preserve"> this IDD and</w:t>
      </w:r>
      <w:r w:rsidR="003B2BAD">
        <w:rPr>
          <w:szCs w:val="20"/>
        </w:rPr>
        <w:t xml:space="preserve"> applies</w:t>
      </w:r>
      <w:r>
        <w:rPr>
          <w:szCs w:val="20"/>
        </w:rPr>
        <w:t xml:space="preserve"> to the E4G Component</w:t>
      </w:r>
      <w:r w:rsidR="000F5341" w:rsidRPr="008D5350">
        <w:rPr>
          <w:szCs w:val="20"/>
        </w:rPr>
        <w:t>.</w:t>
      </w:r>
      <w:r w:rsidR="005B3032">
        <w:rPr>
          <w:szCs w:val="20"/>
        </w:rPr>
        <w:t xml:space="preserve"> </w:t>
      </w:r>
      <w:r w:rsidR="005D6E98">
        <w:rPr>
          <w:szCs w:val="20"/>
        </w:rPr>
        <w:t xml:space="preserve">The overarching AADP IDD’s </w:t>
      </w:r>
      <w:r w:rsidR="00051808" w:rsidRPr="00155C9D">
        <w:rPr>
          <w:b/>
          <w:szCs w:val="20"/>
        </w:rPr>
        <w:t xml:space="preserve">Annex </w:t>
      </w:r>
      <w:r w:rsidR="00051808">
        <w:rPr>
          <w:b/>
          <w:szCs w:val="20"/>
        </w:rPr>
        <w:t>D</w:t>
      </w:r>
      <w:r w:rsidR="005B3032">
        <w:rPr>
          <w:szCs w:val="20"/>
        </w:rPr>
        <w:t xml:space="preserve"> – </w:t>
      </w:r>
      <w:r w:rsidR="00051808">
        <w:rPr>
          <w:i/>
          <w:szCs w:val="20"/>
        </w:rPr>
        <w:t>AADP Monitoring and Evaluation System</w:t>
      </w:r>
      <w:r w:rsidR="00051808">
        <w:rPr>
          <w:b/>
          <w:szCs w:val="20"/>
        </w:rPr>
        <w:t xml:space="preserve"> </w:t>
      </w:r>
      <w:r w:rsidR="003B2BAD">
        <w:rPr>
          <w:szCs w:val="20"/>
        </w:rPr>
        <w:t xml:space="preserve">includes </w:t>
      </w:r>
      <w:r w:rsidR="005D6E98">
        <w:rPr>
          <w:szCs w:val="20"/>
        </w:rPr>
        <w:t xml:space="preserve">at Item 6 </w:t>
      </w:r>
      <w:r w:rsidR="003B2BAD">
        <w:rPr>
          <w:szCs w:val="20"/>
        </w:rPr>
        <w:t xml:space="preserve">a set of </w:t>
      </w:r>
      <w:r w:rsidR="000F5341" w:rsidRPr="003B2BAD">
        <w:rPr>
          <w:i/>
          <w:szCs w:val="20"/>
        </w:rPr>
        <w:t>Gender and Social Inclusion Tools</w:t>
      </w:r>
      <w:r w:rsidR="003B2BAD">
        <w:rPr>
          <w:i/>
          <w:szCs w:val="20"/>
        </w:rPr>
        <w:t xml:space="preserve">, </w:t>
      </w:r>
      <w:r w:rsidR="003B2BAD" w:rsidRPr="003B2BAD">
        <w:rPr>
          <w:szCs w:val="20"/>
        </w:rPr>
        <w:t>which provide</w:t>
      </w:r>
      <w:r w:rsidR="000F5341" w:rsidRPr="00155C9D">
        <w:rPr>
          <w:szCs w:val="20"/>
        </w:rPr>
        <w:t xml:space="preserve"> specific gender and social inclusion targets and outcomes for each outcome and activity described in the </w:t>
      </w:r>
      <w:r>
        <w:rPr>
          <w:szCs w:val="20"/>
        </w:rPr>
        <w:t>E4G Component</w:t>
      </w:r>
      <w:r w:rsidRPr="00155C9D">
        <w:rPr>
          <w:szCs w:val="20"/>
        </w:rPr>
        <w:t xml:space="preserve"> </w:t>
      </w:r>
      <w:r w:rsidR="000F5341" w:rsidRPr="00155C9D">
        <w:rPr>
          <w:szCs w:val="20"/>
        </w:rPr>
        <w:t>MEF. The Gender and Social Inclusion Tools nominate target</w:t>
      </w:r>
      <w:r>
        <w:rPr>
          <w:szCs w:val="20"/>
        </w:rPr>
        <w:t>s</w:t>
      </w:r>
      <w:r w:rsidR="003B2BAD">
        <w:rPr>
          <w:szCs w:val="20"/>
        </w:rPr>
        <w:t xml:space="preserve"> </w:t>
      </w:r>
      <w:r w:rsidR="000F5341" w:rsidRPr="00155C9D">
        <w:rPr>
          <w:szCs w:val="20"/>
        </w:rPr>
        <w:t>with specific indicators</w:t>
      </w:r>
      <w:r w:rsidR="008D5350">
        <w:rPr>
          <w:szCs w:val="20"/>
        </w:rPr>
        <w:t>.</w:t>
      </w:r>
      <w:r w:rsidR="000F5341" w:rsidRPr="00155C9D">
        <w:rPr>
          <w:szCs w:val="20"/>
        </w:rPr>
        <w:t xml:space="preserve"> </w:t>
      </w:r>
      <w:r w:rsidR="008D5350">
        <w:rPr>
          <w:szCs w:val="20"/>
        </w:rPr>
        <w:t>T</w:t>
      </w:r>
      <w:r w:rsidR="000F5341" w:rsidRPr="00155C9D">
        <w:rPr>
          <w:szCs w:val="20"/>
        </w:rPr>
        <w:t xml:space="preserve">hese will need to be calibrated as the baseline data for each </w:t>
      </w:r>
      <w:r>
        <w:rPr>
          <w:szCs w:val="20"/>
        </w:rPr>
        <w:t>E4G Component</w:t>
      </w:r>
      <w:r w:rsidRPr="00155C9D">
        <w:rPr>
          <w:szCs w:val="20"/>
        </w:rPr>
        <w:t xml:space="preserve"> </w:t>
      </w:r>
      <w:r w:rsidR="000F5341" w:rsidRPr="00155C9D">
        <w:rPr>
          <w:szCs w:val="20"/>
        </w:rPr>
        <w:t>activity are collected and verified in the initial months of the Program.</w:t>
      </w:r>
      <w:r w:rsidR="005B3032">
        <w:rPr>
          <w:szCs w:val="20"/>
        </w:rPr>
        <w:t xml:space="preserve"> </w:t>
      </w:r>
      <w:r w:rsidR="002F757D">
        <w:rPr>
          <w:szCs w:val="20"/>
        </w:rPr>
        <w:t xml:space="preserve">Further detail about the AADP’s MES, including the M&amp;E </w:t>
      </w:r>
      <w:proofErr w:type="spellStart"/>
      <w:r w:rsidR="002F757D">
        <w:rPr>
          <w:szCs w:val="20"/>
        </w:rPr>
        <w:t>Workplan</w:t>
      </w:r>
      <w:proofErr w:type="spellEnd"/>
      <w:r w:rsidR="002F757D">
        <w:rPr>
          <w:szCs w:val="20"/>
        </w:rPr>
        <w:t xml:space="preserve"> </w:t>
      </w:r>
      <w:r w:rsidR="003B2BAD">
        <w:rPr>
          <w:szCs w:val="20"/>
        </w:rPr>
        <w:t xml:space="preserve">and the </w:t>
      </w:r>
      <w:r w:rsidR="003B2BAD" w:rsidRPr="003B2BAD">
        <w:rPr>
          <w:i/>
          <w:szCs w:val="20"/>
        </w:rPr>
        <w:t>Gender and Social Inclusion Tools</w:t>
      </w:r>
      <w:r w:rsidR="003B2BAD">
        <w:rPr>
          <w:szCs w:val="20"/>
        </w:rPr>
        <w:t xml:space="preserve">, </w:t>
      </w:r>
      <w:r w:rsidR="002F757D">
        <w:rPr>
          <w:szCs w:val="20"/>
        </w:rPr>
        <w:t>is contained in the overarching AADP IDD</w:t>
      </w:r>
      <w:r>
        <w:rPr>
          <w:szCs w:val="20"/>
        </w:rPr>
        <w:t>.</w:t>
      </w:r>
    </w:p>
    <w:p w14:paraId="59B91DBC" w14:textId="77777777" w:rsidR="000F5341" w:rsidRPr="00EF698B" w:rsidRDefault="000F5341" w:rsidP="002B1210">
      <w:pPr>
        <w:pStyle w:val="Heading2"/>
        <w:jc w:val="both"/>
      </w:pPr>
      <w:bookmarkStart w:id="44" w:name="_Toc387590503"/>
      <w:bookmarkStart w:id="45" w:name="_Toc399150516"/>
      <w:bookmarkStart w:id="46" w:name="_Toc401578428"/>
      <w:r>
        <w:t>Inclusiveness</w:t>
      </w:r>
      <w:r w:rsidR="009A6DAB">
        <w:t xml:space="preserve"> – </w:t>
      </w:r>
      <w:r w:rsidR="001C2BDA">
        <w:t>Integrating Cross-Cutting I</w:t>
      </w:r>
      <w:r w:rsidRPr="00EF698B">
        <w:t>ssues</w:t>
      </w:r>
      <w:bookmarkEnd w:id="44"/>
      <w:bookmarkEnd w:id="45"/>
      <w:bookmarkEnd w:id="46"/>
    </w:p>
    <w:p w14:paraId="2DB69A33" w14:textId="77777777" w:rsidR="000F5341" w:rsidRPr="00C84742" w:rsidRDefault="000F5341" w:rsidP="002B1210">
      <w:pPr>
        <w:pStyle w:val="BodyText"/>
      </w:pPr>
      <w:r>
        <w:t xml:space="preserve">In addition to the </w:t>
      </w:r>
      <w:r w:rsidRPr="00C84742">
        <w:t xml:space="preserve">Gender and Social Inclusion Tools included in the AADP’s MEF, </w:t>
      </w:r>
      <w:r>
        <w:t>t</w:t>
      </w:r>
      <w:r w:rsidRPr="00C84742">
        <w:t xml:space="preserve">hrough its management and operations, the </w:t>
      </w:r>
      <w:r>
        <w:t>AADP</w:t>
      </w:r>
      <w:r w:rsidRPr="00C84742">
        <w:t xml:space="preserve"> MC will mainstream appropriate cross-cutting policies, measures and practices as part of </w:t>
      </w:r>
      <w:r>
        <w:t>its contract</w:t>
      </w:r>
      <w:r w:rsidRPr="00C84742">
        <w:t xml:space="preserve"> as outlined below.</w:t>
      </w:r>
      <w:r w:rsidR="007405A4">
        <w:t xml:space="preserve"> There will also be specific gender and inclusion strategies developed for each AADP component drawing on the existing effective strategies for the Australia Awards program and AAPF</w:t>
      </w:r>
    </w:p>
    <w:p w14:paraId="51465C49" w14:textId="77777777" w:rsidR="000F5341" w:rsidRPr="00EF698B" w:rsidRDefault="000F5341" w:rsidP="002B1210">
      <w:pPr>
        <w:pStyle w:val="Heading3"/>
        <w:jc w:val="both"/>
      </w:pPr>
      <w:r w:rsidRPr="00EF698B">
        <w:t>Gender</w:t>
      </w:r>
    </w:p>
    <w:p w14:paraId="134F3A7C" w14:textId="77777777" w:rsidR="000F5341" w:rsidRPr="00EF698B" w:rsidRDefault="000F5341" w:rsidP="002B1210">
      <w:pPr>
        <w:pStyle w:val="BodyText"/>
      </w:pPr>
      <w:r w:rsidRPr="00EF698B">
        <w:t xml:space="preserve">The </w:t>
      </w:r>
      <w:r>
        <w:t>MC</w:t>
      </w:r>
      <w:r w:rsidRPr="00EF698B">
        <w:t xml:space="preserve"> will integrate and model gender equality into </w:t>
      </w:r>
      <w:r w:rsidR="002C423B">
        <w:t>program</w:t>
      </w:r>
      <w:r w:rsidR="002C423B" w:rsidRPr="00EF698B">
        <w:t xml:space="preserve"> </w:t>
      </w:r>
      <w:r w:rsidRPr="00EF698B">
        <w:t>management through:</w:t>
      </w:r>
    </w:p>
    <w:p w14:paraId="618351FB" w14:textId="77777777" w:rsidR="000F5341" w:rsidRPr="00EF698B" w:rsidRDefault="000F5341" w:rsidP="002B1210">
      <w:pPr>
        <w:pStyle w:val="List-bullet-1"/>
      </w:pPr>
      <w:r w:rsidRPr="00EF698B">
        <w:t xml:space="preserve">having women involved in decision making within and across the </w:t>
      </w:r>
      <w:r w:rsidR="002C423B">
        <w:t>Program</w:t>
      </w:r>
      <w:r w:rsidRPr="00EF698B">
        <w:t>;</w:t>
      </w:r>
    </w:p>
    <w:p w14:paraId="05ECE719" w14:textId="77777777" w:rsidR="000F5341" w:rsidRPr="00EF698B" w:rsidRDefault="000F5341" w:rsidP="002B1210">
      <w:pPr>
        <w:pStyle w:val="List-bullet-1"/>
      </w:pPr>
      <w:r w:rsidRPr="00EF698B">
        <w:t>ensuring that efforts are made to promote the opportunities among local companies or service providers, especially those with women in ownership or holding senior management positions;</w:t>
      </w:r>
    </w:p>
    <w:p w14:paraId="6C6A668C" w14:textId="77777777" w:rsidR="000F5341" w:rsidRPr="00EF698B" w:rsidRDefault="000F5341" w:rsidP="002B1210">
      <w:pPr>
        <w:pStyle w:val="List-bullet-1"/>
      </w:pPr>
      <w:r w:rsidRPr="00EF698B">
        <w:t xml:space="preserve">providing balanced gender in the </w:t>
      </w:r>
      <w:r w:rsidR="008D5350">
        <w:t>AADP</w:t>
      </w:r>
      <w:r w:rsidR="008D5350" w:rsidRPr="00EF698B">
        <w:t xml:space="preserve"> </w:t>
      </w:r>
      <w:r w:rsidRPr="00EF698B">
        <w:t xml:space="preserve">management </w:t>
      </w:r>
      <w:r w:rsidR="002C423B">
        <w:t xml:space="preserve">team </w:t>
      </w:r>
      <w:r w:rsidRPr="00EF698B">
        <w:t xml:space="preserve">and operational staffing as well as ensuring there are women </w:t>
      </w:r>
      <w:r w:rsidR="002C423B">
        <w:t xml:space="preserve">AADP </w:t>
      </w:r>
      <w:r w:rsidRPr="00EF698B">
        <w:t xml:space="preserve">staff with whom women </w:t>
      </w:r>
      <w:r w:rsidR="002C423B">
        <w:t>TA personnel and staff</w:t>
      </w:r>
      <w:r w:rsidR="002C423B" w:rsidRPr="00EF698B">
        <w:t xml:space="preserve"> </w:t>
      </w:r>
      <w:r w:rsidRPr="00EF698B">
        <w:t>have the option of discussing details of their logistic or support requirements or problems;</w:t>
      </w:r>
    </w:p>
    <w:p w14:paraId="48ECF91A" w14:textId="77777777" w:rsidR="000F5341" w:rsidRPr="00EF698B" w:rsidRDefault="000F5341" w:rsidP="002B1210">
      <w:pPr>
        <w:pStyle w:val="List-bullet-1"/>
      </w:pPr>
      <w:r w:rsidRPr="00EF698B">
        <w:t>having a balance of women employees engaged by local sub-</w:t>
      </w:r>
      <w:r w:rsidR="002C423B">
        <w:t>contractors engaged by the Program</w:t>
      </w:r>
      <w:r w:rsidRPr="00EF698B">
        <w:t>;</w:t>
      </w:r>
      <w:r w:rsidR="005B3032">
        <w:t xml:space="preserve"> </w:t>
      </w:r>
      <w:r w:rsidR="002C423B">
        <w:t>and</w:t>
      </w:r>
    </w:p>
    <w:p w14:paraId="461D382E" w14:textId="77777777" w:rsidR="000F5341" w:rsidRPr="00310132" w:rsidRDefault="000F5341" w:rsidP="002B1210">
      <w:pPr>
        <w:pStyle w:val="List-bullet-1"/>
      </w:pPr>
      <w:proofErr w:type="gramStart"/>
      <w:r w:rsidRPr="00EF698B">
        <w:t>taking</w:t>
      </w:r>
      <w:proofErr w:type="gramEnd"/>
      <w:r w:rsidRPr="00EF698B">
        <w:t xml:space="preserve"> steps to protect its employees and provide access to appropriate support service</w:t>
      </w:r>
      <w:r w:rsidR="002C423B">
        <w:t>s</w:t>
      </w:r>
      <w:r w:rsidRPr="00EF698B">
        <w:t>,</w:t>
      </w:r>
      <w:r>
        <w:t xml:space="preserve"> </w:t>
      </w:r>
      <w:r w:rsidRPr="00EF698B">
        <w:t>as required, where any potential for domestic violence appears likely</w:t>
      </w:r>
      <w:r w:rsidR="002C423B">
        <w:t>.</w:t>
      </w:r>
      <w:r>
        <w:t xml:space="preserve"> </w:t>
      </w:r>
    </w:p>
    <w:p w14:paraId="6A011F77" w14:textId="77777777" w:rsidR="000F5341" w:rsidRPr="00EF698B" w:rsidRDefault="000F5341" w:rsidP="002B1210">
      <w:pPr>
        <w:pStyle w:val="Heading3"/>
        <w:jc w:val="both"/>
      </w:pPr>
      <w:r w:rsidRPr="00EF698B">
        <w:t>Anti-Corruption</w:t>
      </w:r>
    </w:p>
    <w:p w14:paraId="48210181" w14:textId="77777777" w:rsidR="000F5341" w:rsidRPr="00EF698B" w:rsidRDefault="000F5341" w:rsidP="002B1210">
      <w:pPr>
        <w:pStyle w:val="BodyText"/>
      </w:pPr>
      <w:r w:rsidRPr="00EF698B">
        <w:t xml:space="preserve">The </w:t>
      </w:r>
      <w:r>
        <w:t>MC</w:t>
      </w:r>
      <w:r w:rsidRPr="00EF698B">
        <w:t xml:space="preserve"> will have in place systems and processes that guard against fraud, nepotism and corruption.</w:t>
      </w:r>
      <w:r>
        <w:t xml:space="preserve"> </w:t>
      </w:r>
      <w:r w:rsidRPr="00EF698B">
        <w:t>This will include:</w:t>
      </w:r>
    </w:p>
    <w:p w14:paraId="35439392" w14:textId="77777777" w:rsidR="000F5341" w:rsidRPr="00EF698B" w:rsidRDefault="000F5341" w:rsidP="002B1210">
      <w:pPr>
        <w:pStyle w:val="List-bullet-1"/>
      </w:pPr>
      <w:r w:rsidRPr="00EF698B">
        <w:t>using transparent processes in the selection of local service providers or for making any other contractual arrangements;</w:t>
      </w:r>
    </w:p>
    <w:p w14:paraId="7C811C7B" w14:textId="77777777" w:rsidR="000F5341" w:rsidRPr="00EF698B" w:rsidRDefault="000F5341" w:rsidP="002B1210">
      <w:pPr>
        <w:pStyle w:val="List-bullet-1"/>
      </w:pPr>
      <w:proofErr w:type="gramStart"/>
      <w:r>
        <w:t>having</w:t>
      </w:r>
      <w:proofErr w:type="gramEnd"/>
      <w:r>
        <w:t xml:space="preserve"> </w:t>
      </w:r>
      <w:r w:rsidRPr="00EF698B">
        <w:t>clearly articulated financial operating procedures that are followed by management and operational staff and continually monitored f</w:t>
      </w:r>
      <w:r>
        <w:t xml:space="preserve">or accuracy and completeness. </w:t>
      </w:r>
      <w:r w:rsidRPr="00EF698B">
        <w:t xml:space="preserve">The </w:t>
      </w:r>
      <w:r>
        <w:t>MC</w:t>
      </w:r>
      <w:r w:rsidRPr="00EF698B">
        <w:t xml:space="preserve"> will promote and take a ‘zero tolerance’ position on fraud;</w:t>
      </w:r>
    </w:p>
    <w:p w14:paraId="002E8FBA" w14:textId="77777777" w:rsidR="000F5341" w:rsidRPr="00EF698B" w:rsidRDefault="000F5341" w:rsidP="002B1210">
      <w:pPr>
        <w:pStyle w:val="List-bullet-1"/>
      </w:pPr>
      <w:proofErr w:type="gramStart"/>
      <w:r w:rsidRPr="00EF698B">
        <w:t>financial</w:t>
      </w:r>
      <w:proofErr w:type="gramEnd"/>
      <w:r w:rsidRPr="00EF698B">
        <w:t xml:space="preserve"> management procedures of the </w:t>
      </w:r>
      <w:r>
        <w:t>MC</w:t>
      </w:r>
      <w:r w:rsidRPr="00EF698B">
        <w:t xml:space="preserve"> that are compl</w:t>
      </w:r>
      <w:r w:rsidR="00AF7BDD">
        <w:t>i</w:t>
      </w:r>
      <w:r w:rsidRPr="00EF698B">
        <w:t>ant with the relevant financial management, fraud control and accountability requirements of DFAT.</w:t>
      </w:r>
      <w:r>
        <w:t xml:space="preserve"> </w:t>
      </w:r>
      <w:r w:rsidRPr="00EF698B">
        <w:t>This includes processes that enable all funds to be tracked, justified, reported on and (where required) audited to confirm that value-for-money was a criteria as well as confirming that there were approvals for all expenditure;</w:t>
      </w:r>
    </w:p>
    <w:p w14:paraId="154C7B8F" w14:textId="77777777" w:rsidR="000F5341" w:rsidRPr="00EF698B" w:rsidRDefault="000F5341" w:rsidP="002B1210">
      <w:pPr>
        <w:pStyle w:val="List-bullet-1"/>
      </w:pPr>
      <w:proofErr w:type="gramStart"/>
      <w:r w:rsidRPr="00A53DC5">
        <w:t>an</w:t>
      </w:r>
      <w:proofErr w:type="gramEnd"/>
      <w:r w:rsidRPr="00A53DC5">
        <w:t xml:space="preserve"> annual independent financial audit that includes a review of the MC’s financial and project management</w:t>
      </w:r>
      <w:r>
        <w:t xml:space="preserve"> systems. </w:t>
      </w:r>
      <w:r w:rsidRPr="00EF698B">
        <w:t xml:space="preserve">The audit will also review the Annual </w:t>
      </w:r>
      <w:r>
        <w:t>AADP</w:t>
      </w:r>
      <w:r w:rsidRPr="00EF698B">
        <w:t xml:space="preserve"> Financial Report including an opinion on whether claims for the services provided by the </w:t>
      </w:r>
      <w:r>
        <w:t xml:space="preserve">MC are a true and fair record; </w:t>
      </w:r>
      <w:r w:rsidRPr="00EF698B">
        <w:t>and</w:t>
      </w:r>
    </w:p>
    <w:p w14:paraId="322CDE24" w14:textId="77777777" w:rsidR="000F5341" w:rsidRPr="00EF698B" w:rsidRDefault="000F5341" w:rsidP="002B1210">
      <w:pPr>
        <w:pStyle w:val="List-bullet-1"/>
      </w:pPr>
      <w:proofErr w:type="gramStart"/>
      <w:r w:rsidRPr="00EF698B">
        <w:t>providing</w:t>
      </w:r>
      <w:proofErr w:type="gramEnd"/>
      <w:r w:rsidRPr="00EF698B">
        <w:t xml:space="preserve"> access to the financial management information and expenditure summaries at any time to nominated DFAT staff through the password-protected part of the web-based portal.</w:t>
      </w:r>
    </w:p>
    <w:p w14:paraId="7E52CDF8" w14:textId="77777777" w:rsidR="000F5341" w:rsidRPr="00EF698B" w:rsidRDefault="000F5341" w:rsidP="002B1210">
      <w:pPr>
        <w:pStyle w:val="Heading3"/>
        <w:jc w:val="both"/>
      </w:pPr>
      <w:r w:rsidRPr="00EF698B">
        <w:t>Child Protection</w:t>
      </w:r>
    </w:p>
    <w:p w14:paraId="49B48CAB" w14:textId="77777777" w:rsidR="000F5341" w:rsidRPr="00EF698B" w:rsidRDefault="000F5341" w:rsidP="002B1210">
      <w:pPr>
        <w:pStyle w:val="BodyText"/>
      </w:pPr>
      <w:r w:rsidRPr="00EF698B">
        <w:t xml:space="preserve">It is likely that </w:t>
      </w:r>
      <w:r>
        <w:t>MC</w:t>
      </w:r>
      <w:r w:rsidRPr="00EF698B">
        <w:t xml:space="preserve"> staff will come into contact with children or minors as part of </w:t>
      </w:r>
      <w:r>
        <w:t>AADP activities</w:t>
      </w:r>
      <w:r w:rsidRPr="00EF698B">
        <w:t>.</w:t>
      </w:r>
      <w:r>
        <w:t xml:space="preserve"> </w:t>
      </w:r>
      <w:r w:rsidRPr="00EF698B">
        <w:t xml:space="preserve">DFAT has over-riding policies associated with child protection with all funded </w:t>
      </w:r>
      <w:r>
        <w:t>MC</w:t>
      </w:r>
      <w:r w:rsidRPr="00EF698B">
        <w:t>s and bound by strict policies in relation to managing and reducing risks of child abuse by persons engaged i</w:t>
      </w:r>
      <w:r>
        <w:t xml:space="preserve">n delivering the SSAAP. </w:t>
      </w:r>
      <w:r w:rsidRPr="00EF698B">
        <w:t>This includes a ‘zero tolerance’ approach on all issues relating to child abuse and child pornography.</w:t>
      </w:r>
      <w:r>
        <w:t xml:space="preserve"> </w:t>
      </w:r>
      <w:r w:rsidRPr="00EF698B">
        <w:t xml:space="preserve">The </w:t>
      </w:r>
      <w:r>
        <w:t>MC</w:t>
      </w:r>
      <w:r w:rsidRPr="00EF698B">
        <w:t xml:space="preserve"> will reflect this clear, unambiguous policy in planning, operations and management and be vigilant, including monitoring conduct of all staff and sub-</w:t>
      </w:r>
      <w:r>
        <w:t>MC</w:t>
      </w:r>
      <w:r w:rsidRPr="00EF698B">
        <w:t>s, as appropriate.</w:t>
      </w:r>
    </w:p>
    <w:p w14:paraId="2E85536A" w14:textId="77777777" w:rsidR="000F5341" w:rsidRPr="00EF698B" w:rsidRDefault="000F5341" w:rsidP="002B1210">
      <w:pPr>
        <w:pStyle w:val="Heading3"/>
        <w:jc w:val="both"/>
      </w:pPr>
      <w:r w:rsidRPr="00EF698B">
        <w:t>Security and Disaster Management</w:t>
      </w:r>
    </w:p>
    <w:p w14:paraId="3476507D" w14:textId="0427DC5A" w:rsidR="00BE48DB" w:rsidRPr="00767E76" w:rsidRDefault="000F5341" w:rsidP="00767E76">
      <w:pPr>
        <w:pStyle w:val="ListParagraph"/>
        <w:tabs>
          <w:tab w:val="left" w:pos="567"/>
        </w:tabs>
        <w:autoSpaceDE w:val="0"/>
        <w:autoSpaceDN w:val="0"/>
        <w:adjustRightInd w:val="0"/>
        <w:spacing w:line="240" w:lineRule="auto"/>
        <w:ind w:left="0"/>
        <w:jc w:val="both"/>
        <w:rPr>
          <w:rFonts w:ascii="Arial" w:hAnsi="Arial" w:cs="Arial"/>
          <w:sz w:val="20"/>
          <w:szCs w:val="20"/>
        </w:rPr>
      </w:pPr>
      <w:r w:rsidRPr="00EF698B">
        <w:rPr>
          <w:rFonts w:ascii="Arial" w:hAnsi="Arial" w:cs="Arial"/>
          <w:sz w:val="20"/>
          <w:szCs w:val="20"/>
        </w:rPr>
        <w:t xml:space="preserve">The </w:t>
      </w:r>
      <w:r>
        <w:rPr>
          <w:rFonts w:ascii="Arial" w:hAnsi="Arial" w:cs="Arial"/>
          <w:sz w:val="20"/>
          <w:szCs w:val="20"/>
        </w:rPr>
        <w:t>MC</w:t>
      </w:r>
      <w:r w:rsidRPr="00EF698B">
        <w:rPr>
          <w:rFonts w:ascii="Arial" w:hAnsi="Arial" w:cs="Arial"/>
          <w:sz w:val="20"/>
          <w:szCs w:val="20"/>
        </w:rPr>
        <w:t xml:space="preserve"> will </w:t>
      </w:r>
      <w:r>
        <w:rPr>
          <w:rFonts w:ascii="Arial" w:hAnsi="Arial" w:cs="Arial"/>
          <w:sz w:val="20"/>
          <w:szCs w:val="20"/>
        </w:rPr>
        <w:t xml:space="preserve">need to </w:t>
      </w:r>
      <w:r w:rsidRPr="00EF698B">
        <w:rPr>
          <w:rFonts w:ascii="Arial" w:hAnsi="Arial" w:cs="Arial"/>
          <w:sz w:val="20"/>
          <w:szCs w:val="20"/>
        </w:rPr>
        <w:t xml:space="preserve">have a current </w:t>
      </w:r>
      <w:r w:rsidRPr="00AE51F4">
        <w:rPr>
          <w:rFonts w:ascii="Arial" w:hAnsi="Arial" w:cs="Arial"/>
          <w:i/>
          <w:sz w:val="20"/>
          <w:szCs w:val="20"/>
        </w:rPr>
        <w:t>Security and Disaster Management Plan</w:t>
      </w:r>
      <w:r w:rsidRPr="00EF698B">
        <w:rPr>
          <w:rFonts w:ascii="Arial" w:hAnsi="Arial" w:cs="Arial"/>
          <w:sz w:val="20"/>
          <w:szCs w:val="20"/>
        </w:rPr>
        <w:t xml:space="preserve"> </w:t>
      </w:r>
      <w:r>
        <w:rPr>
          <w:rFonts w:ascii="Arial" w:hAnsi="Arial" w:cs="Arial"/>
          <w:sz w:val="20"/>
          <w:szCs w:val="20"/>
        </w:rPr>
        <w:t xml:space="preserve">and provide </w:t>
      </w:r>
      <w:r w:rsidRPr="00EF698B">
        <w:rPr>
          <w:rFonts w:ascii="Arial" w:hAnsi="Arial" w:cs="Arial"/>
          <w:sz w:val="20"/>
          <w:szCs w:val="20"/>
        </w:rPr>
        <w:t xml:space="preserve">a copy to each </w:t>
      </w:r>
      <w:r>
        <w:rPr>
          <w:rFonts w:ascii="Arial" w:hAnsi="Arial" w:cs="Arial"/>
          <w:sz w:val="20"/>
          <w:szCs w:val="20"/>
        </w:rPr>
        <w:t xml:space="preserve">MC staff member and to any TA personnel engaged. </w:t>
      </w:r>
      <w:r w:rsidR="00BE48DB">
        <w:rPr>
          <w:rFonts w:ascii="Arial" w:hAnsi="Arial" w:cs="Arial"/>
          <w:sz w:val="20"/>
          <w:szCs w:val="20"/>
        </w:rPr>
        <w:t xml:space="preserve"> </w:t>
      </w:r>
      <w:r>
        <w:rPr>
          <w:rFonts w:ascii="Arial" w:hAnsi="Arial" w:cs="Arial"/>
          <w:sz w:val="20"/>
          <w:szCs w:val="20"/>
        </w:rPr>
        <w:t xml:space="preserve">Given the potentially volatile security environment in some </w:t>
      </w:r>
      <w:r w:rsidR="00EC38FF">
        <w:rPr>
          <w:rFonts w:ascii="Arial" w:hAnsi="Arial" w:cs="Arial"/>
          <w:sz w:val="20"/>
          <w:szCs w:val="20"/>
        </w:rPr>
        <w:t>Target Countries</w:t>
      </w:r>
      <w:r>
        <w:rPr>
          <w:rFonts w:ascii="Arial" w:hAnsi="Arial" w:cs="Arial"/>
          <w:sz w:val="20"/>
          <w:szCs w:val="20"/>
        </w:rPr>
        <w:t xml:space="preserve">, it is expected that the MC would provide </w:t>
      </w:r>
      <w:r w:rsidRPr="00EF698B">
        <w:rPr>
          <w:rFonts w:ascii="Arial" w:hAnsi="Arial" w:cs="Arial"/>
          <w:sz w:val="20"/>
          <w:szCs w:val="20"/>
        </w:rPr>
        <w:t>induction</w:t>
      </w:r>
      <w:r>
        <w:rPr>
          <w:rFonts w:ascii="Arial" w:hAnsi="Arial" w:cs="Arial"/>
          <w:sz w:val="20"/>
          <w:szCs w:val="20"/>
        </w:rPr>
        <w:t xml:space="preserve">s and </w:t>
      </w:r>
      <w:r w:rsidRPr="00EF698B">
        <w:rPr>
          <w:rFonts w:ascii="Arial" w:hAnsi="Arial" w:cs="Arial"/>
          <w:sz w:val="20"/>
          <w:szCs w:val="20"/>
        </w:rPr>
        <w:t>regular briefings</w:t>
      </w:r>
      <w:r>
        <w:rPr>
          <w:rFonts w:ascii="Arial" w:hAnsi="Arial" w:cs="Arial"/>
          <w:sz w:val="20"/>
          <w:szCs w:val="20"/>
        </w:rPr>
        <w:t xml:space="preserve"> on security</w:t>
      </w:r>
      <w:r w:rsidRPr="00EF698B">
        <w:rPr>
          <w:rFonts w:ascii="Arial" w:hAnsi="Arial" w:cs="Arial"/>
          <w:sz w:val="20"/>
          <w:szCs w:val="20"/>
        </w:rPr>
        <w:t>.</w:t>
      </w:r>
      <w:r>
        <w:rPr>
          <w:rFonts w:ascii="Arial" w:hAnsi="Arial" w:cs="Arial"/>
          <w:sz w:val="20"/>
          <w:szCs w:val="20"/>
        </w:rPr>
        <w:t xml:space="preserve"> </w:t>
      </w:r>
      <w:r w:rsidR="00BE48DB">
        <w:rPr>
          <w:rFonts w:ascii="Arial" w:hAnsi="Arial" w:cs="Arial"/>
          <w:sz w:val="20"/>
          <w:szCs w:val="20"/>
        </w:rPr>
        <w:t xml:space="preserve"> </w:t>
      </w:r>
      <w:r w:rsidRPr="00EF698B">
        <w:rPr>
          <w:rFonts w:ascii="Arial" w:hAnsi="Arial" w:cs="Arial"/>
          <w:sz w:val="20"/>
          <w:szCs w:val="20"/>
        </w:rPr>
        <w:t>This includes, but is not limited to, telephone numbers of key staff and emergency agencies as well as guidelines on what to do in emergency situations.</w:t>
      </w:r>
      <w:r w:rsidR="00BE48DB" w:rsidRPr="00C5467E">
        <w:rPr>
          <w:rFonts w:ascii="Arial" w:hAnsi="Arial" w:cs="Arial"/>
          <w:sz w:val="20"/>
          <w:szCs w:val="20"/>
        </w:rPr>
        <w:t xml:space="preserve"> T</w:t>
      </w:r>
      <w:r w:rsidR="00BE48DB" w:rsidRPr="00767E76">
        <w:rPr>
          <w:rFonts w:ascii="Arial" w:hAnsi="Arial" w:cs="Arial"/>
          <w:sz w:val="20"/>
          <w:szCs w:val="20"/>
        </w:rPr>
        <w:t>he Contractor’s Security and Disaster Management Plan will include provision of measures to ensure the safety and security of candidates, awardees, program staff and TA personnel as they travel or participate in Program-related activities, and to ensure business continuity.</w:t>
      </w:r>
      <w:r w:rsidR="00BE48DB">
        <w:rPr>
          <w:rFonts w:ascii="Arial" w:hAnsi="Arial" w:cs="Arial"/>
          <w:sz w:val="20"/>
          <w:szCs w:val="20"/>
        </w:rPr>
        <w:t xml:space="preserve">  </w:t>
      </w:r>
      <w:r w:rsidR="00BE48DB" w:rsidRPr="00767E76">
        <w:rPr>
          <w:rFonts w:ascii="Arial" w:hAnsi="Arial" w:cs="Arial"/>
          <w:sz w:val="20"/>
          <w:szCs w:val="20"/>
        </w:rPr>
        <w:t>The Contractor will provide the Security and Disaster Management Plan to DFAT within 45 days of AADP implementation and thereafter updated as part of the annual planning process or when there is a significant change in security and available on request to DFAT.</w:t>
      </w:r>
    </w:p>
    <w:p w14:paraId="182B98BE" w14:textId="77777777" w:rsidR="000F5341" w:rsidRPr="00EF698B" w:rsidRDefault="000F5341" w:rsidP="002B1210">
      <w:pPr>
        <w:pStyle w:val="Heading3"/>
        <w:jc w:val="both"/>
      </w:pPr>
      <w:r w:rsidRPr="00EF698B">
        <w:t>Environment</w:t>
      </w:r>
    </w:p>
    <w:p w14:paraId="5B8F7282" w14:textId="0C29926B" w:rsidR="000F5341" w:rsidRPr="00EF698B" w:rsidRDefault="000F5341" w:rsidP="002B1210">
      <w:pPr>
        <w:pStyle w:val="BodyText"/>
      </w:pPr>
      <w:r w:rsidRPr="00EF698B">
        <w:t xml:space="preserve">The </w:t>
      </w:r>
      <w:proofErr w:type="spellStart"/>
      <w:r w:rsidR="00BD5668">
        <w:t>GoA</w:t>
      </w:r>
      <w:proofErr w:type="spellEnd"/>
      <w:r w:rsidRPr="00EF698B">
        <w:t xml:space="preserve"> and DFAT have clear policies on environmental protection and management.</w:t>
      </w:r>
      <w:r>
        <w:t xml:space="preserve"> The Program will conduct a</w:t>
      </w:r>
      <w:r w:rsidR="007405A4">
        <w:t>n</w:t>
      </w:r>
      <w:r>
        <w:t xml:space="preserve"> SEA </w:t>
      </w:r>
      <w:r w:rsidR="007405A4">
        <w:t xml:space="preserve">for the </w:t>
      </w:r>
      <w:r w:rsidR="00EA5F49">
        <w:t xml:space="preserve">E4G </w:t>
      </w:r>
      <w:r w:rsidR="00B47614">
        <w:t>C</w:t>
      </w:r>
      <w:r w:rsidR="007405A4">
        <w:t xml:space="preserve">omponent </w:t>
      </w:r>
      <w:r>
        <w:t xml:space="preserve">and develop and apply a set of environment assessment criteria. </w:t>
      </w:r>
      <w:r w:rsidRPr="00EF698B">
        <w:t xml:space="preserve">The </w:t>
      </w:r>
      <w:r>
        <w:t>MC</w:t>
      </w:r>
      <w:r w:rsidRPr="00EF698B">
        <w:t xml:space="preserve"> will </w:t>
      </w:r>
      <w:r>
        <w:t>through its logistics</w:t>
      </w:r>
      <w:r w:rsidRPr="00EF698B">
        <w:t xml:space="preserve"> role </w:t>
      </w:r>
      <w:r>
        <w:t xml:space="preserve">conduct or sub-contract the conduct of </w:t>
      </w:r>
      <w:r w:rsidRPr="00EF698B">
        <w:t>servicing, repair or replacement of vehicles or other items e</w:t>
      </w:r>
      <w:r>
        <w:t>.</w:t>
      </w:r>
      <w:r w:rsidRPr="00EF698B">
        <w:t>g. print</w:t>
      </w:r>
      <w:r>
        <w:t xml:space="preserve">ers, batteries </w:t>
      </w:r>
      <w:r w:rsidR="005A2ED5">
        <w:t xml:space="preserve">and </w:t>
      </w:r>
      <w:r>
        <w:t xml:space="preserve">IT equipment. </w:t>
      </w:r>
      <w:r w:rsidRPr="00EF698B">
        <w:t xml:space="preserve">The </w:t>
      </w:r>
      <w:r>
        <w:t>MC</w:t>
      </w:r>
      <w:r w:rsidRPr="00EF698B">
        <w:t xml:space="preserve"> will ensure that in all activities appropriate practices are followed in order to minimise (or repair) any damage to the environment </w:t>
      </w:r>
      <w:r>
        <w:t xml:space="preserve">in </w:t>
      </w:r>
      <w:r w:rsidR="00EC38FF">
        <w:t>Target Countries</w:t>
      </w:r>
      <w:r w:rsidRPr="00EF698B">
        <w:t>.</w:t>
      </w:r>
      <w:r w:rsidRPr="003C13D8">
        <w:t xml:space="preserve"> </w:t>
      </w:r>
    </w:p>
    <w:p w14:paraId="2928DBFD" w14:textId="77777777" w:rsidR="000F5341" w:rsidRPr="00EF698B" w:rsidRDefault="000F5341" w:rsidP="002B1210">
      <w:pPr>
        <w:pStyle w:val="Heading3"/>
        <w:jc w:val="both"/>
      </w:pPr>
      <w:r w:rsidRPr="00EF698B">
        <w:t>Do No Harm</w:t>
      </w:r>
    </w:p>
    <w:p w14:paraId="1F8C4EEE" w14:textId="77777777" w:rsidR="000F5341" w:rsidRPr="00EF698B" w:rsidRDefault="00EA5F49" w:rsidP="002B1210">
      <w:pPr>
        <w:pStyle w:val="BodyText"/>
      </w:pPr>
      <w:r>
        <w:t xml:space="preserve">E4G </w:t>
      </w:r>
      <w:r w:rsidR="00B47614">
        <w:t>C</w:t>
      </w:r>
      <w:r>
        <w:t xml:space="preserve">omponent </w:t>
      </w:r>
      <w:r w:rsidR="000F5341">
        <w:t xml:space="preserve">activities will be conducted in a range of environments, including some fragile states. </w:t>
      </w:r>
      <w:r w:rsidR="000F5341" w:rsidRPr="00EF698B">
        <w:t xml:space="preserve">The </w:t>
      </w:r>
      <w:r w:rsidR="000F5341">
        <w:t>MC</w:t>
      </w:r>
      <w:r w:rsidR="000F5341" w:rsidRPr="00EF698B">
        <w:t xml:space="preserve"> will </w:t>
      </w:r>
      <w:r w:rsidR="000F5341">
        <w:t xml:space="preserve">be required to </w:t>
      </w:r>
      <w:r w:rsidR="000F5341" w:rsidRPr="00EF698B">
        <w:t>support ‘</w:t>
      </w:r>
      <w:proofErr w:type="gramStart"/>
      <w:r w:rsidR="000F5341" w:rsidRPr="00C84742">
        <w:rPr>
          <w:i/>
        </w:rPr>
        <w:t>do</w:t>
      </w:r>
      <w:proofErr w:type="gramEnd"/>
      <w:r w:rsidR="000F5341" w:rsidRPr="00C84742">
        <w:rPr>
          <w:i/>
        </w:rPr>
        <w:t xml:space="preserve"> no harm’</w:t>
      </w:r>
      <w:r w:rsidR="000F5341">
        <w:t xml:space="preserve"> principles when implementing the </w:t>
      </w:r>
      <w:r>
        <w:t xml:space="preserve">E4G </w:t>
      </w:r>
      <w:r w:rsidR="00B47614">
        <w:t>C</w:t>
      </w:r>
      <w:r>
        <w:t>omponent</w:t>
      </w:r>
      <w:r w:rsidR="000F5341">
        <w:t xml:space="preserve">, in particular </w:t>
      </w:r>
      <w:r w:rsidR="000F5341" w:rsidRPr="00EF698B">
        <w:t>logistic support and:</w:t>
      </w:r>
    </w:p>
    <w:p w14:paraId="64BCC804" w14:textId="77777777" w:rsidR="000F5341" w:rsidRPr="00EF698B" w:rsidRDefault="000F5341" w:rsidP="002B1210">
      <w:pPr>
        <w:pStyle w:val="List-bullet-1"/>
      </w:pPr>
      <w:r w:rsidRPr="00EF698B">
        <w:t xml:space="preserve">attempt to identify any conflict-exacerbating impact of </w:t>
      </w:r>
      <w:r w:rsidR="00EA5F49">
        <w:t xml:space="preserve">E4G </w:t>
      </w:r>
      <w:r w:rsidR="00B47614">
        <w:t>C</w:t>
      </w:r>
      <w:r w:rsidR="00EA5F49">
        <w:t>omponent</w:t>
      </w:r>
      <w:r>
        <w:t xml:space="preserve"> activities</w:t>
      </w:r>
      <w:r w:rsidRPr="00EF698B">
        <w:t xml:space="preserve"> where possible;</w:t>
      </w:r>
    </w:p>
    <w:p w14:paraId="39522D33" w14:textId="77777777" w:rsidR="000F5341" w:rsidRPr="00EF698B" w:rsidRDefault="000F5341" w:rsidP="002B1210">
      <w:pPr>
        <w:pStyle w:val="List-bullet-1"/>
      </w:pPr>
      <w:r w:rsidRPr="00EF698B">
        <w:t>be aware of inter-group relations and help people come together through work (where appropriate);</w:t>
      </w:r>
      <w:r>
        <w:t xml:space="preserve"> </w:t>
      </w:r>
      <w:r w:rsidRPr="00EF698B">
        <w:t>and</w:t>
      </w:r>
    </w:p>
    <w:p w14:paraId="209CDF03" w14:textId="77777777" w:rsidR="000F5341" w:rsidRDefault="000F5341" w:rsidP="002B1210">
      <w:pPr>
        <w:pStyle w:val="List-bullet-1"/>
      </w:pPr>
      <w:proofErr w:type="gramStart"/>
      <w:r w:rsidRPr="00EF698B">
        <w:t>understand</w:t>
      </w:r>
      <w:proofErr w:type="gramEnd"/>
      <w:r w:rsidRPr="00EF698B">
        <w:t xml:space="preserve"> potential relationships affected by operational decisions e</w:t>
      </w:r>
      <w:r>
        <w:t>.</w:t>
      </w:r>
      <w:r w:rsidRPr="00EF698B">
        <w:t>g. about where to work, with whom, who to hire locally, how</w:t>
      </w:r>
      <w:r w:rsidR="00EE7971">
        <w:t xml:space="preserve"> to relate to local authorities.</w:t>
      </w:r>
    </w:p>
    <w:p w14:paraId="3D2435A1" w14:textId="77777777" w:rsidR="000F5341" w:rsidRPr="00EF698B" w:rsidRDefault="000F5341" w:rsidP="002B1210">
      <w:pPr>
        <w:pStyle w:val="Heading2"/>
        <w:jc w:val="both"/>
      </w:pPr>
      <w:bookmarkStart w:id="47" w:name="_Toc387590502"/>
      <w:bookmarkStart w:id="48" w:name="_Toc399150517"/>
      <w:bookmarkStart w:id="49" w:name="_Toc401578429"/>
      <w:bookmarkStart w:id="50" w:name="_Toc387590504"/>
      <w:r w:rsidRPr="00EF698B">
        <w:t>Sustainability</w:t>
      </w:r>
      <w:bookmarkEnd w:id="47"/>
      <w:bookmarkEnd w:id="48"/>
      <w:bookmarkEnd w:id="49"/>
    </w:p>
    <w:p w14:paraId="312A3C87" w14:textId="77777777" w:rsidR="000F5341" w:rsidRPr="00E10A89" w:rsidRDefault="000F5341" w:rsidP="002B1210">
      <w:pPr>
        <w:pStyle w:val="BodyText"/>
      </w:pPr>
      <w:r w:rsidRPr="00E10A89">
        <w:t xml:space="preserve">The </w:t>
      </w:r>
      <w:r w:rsidR="00F34FED">
        <w:t xml:space="preserve">E4G </w:t>
      </w:r>
      <w:r w:rsidR="00B47614">
        <w:t>C</w:t>
      </w:r>
      <w:r w:rsidR="00F34FED">
        <w:t xml:space="preserve">omponent </w:t>
      </w:r>
      <w:r w:rsidRPr="00E10A89">
        <w:t>supports the SSAAP’s objective of assisting African people to achieve more equitable access to the benefits of economic growth.</w:t>
      </w:r>
      <w:r>
        <w:t xml:space="preserve"> </w:t>
      </w:r>
      <w:r w:rsidRPr="00E10A89">
        <w:t xml:space="preserve">Both the </w:t>
      </w:r>
      <w:r w:rsidR="00F34FED">
        <w:t xml:space="preserve">E4G </w:t>
      </w:r>
      <w:r w:rsidR="00B47614">
        <w:t>C</w:t>
      </w:r>
      <w:r w:rsidR="00F34FED">
        <w:t>omponent</w:t>
      </w:r>
      <w:r w:rsidRPr="00E10A89">
        <w:t xml:space="preserve">’s proposed goal </w:t>
      </w:r>
      <w:r w:rsidR="007405A4">
        <w:t xml:space="preserve">and </w:t>
      </w:r>
      <w:r w:rsidRPr="00E10A89">
        <w:t>objective are chosen to maximise sustainability.</w:t>
      </w:r>
      <w:r>
        <w:t xml:space="preserve"> Consequently, the </w:t>
      </w:r>
      <w:r w:rsidR="00F34FED">
        <w:t xml:space="preserve">E4G </w:t>
      </w:r>
      <w:r w:rsidR="00B47614">
        <w:t>C</w:t>
      </w:r>
      <w:r w:rsidR="00F34FED">
        <w:t>omponent</w:t>
      </w:r>
      <w:r>
        <w:t xml:space="preserve">’s Program outcomes also target sustainability as follows: </w:t>
      </w:r>
    </w:p>
    <w:p w14:paraId="3C60D51E" w14:textId="77777777" w:rsidR="000F5341" w:rsidRPr="003C0DBE" w:rsidRDefault="00F34FED" w:rsidP="002B1210">
      <w:pPr>
        <w:pStyle w:val="List-bullet-1"/>
      </w:pPr>
      <w:r w:rsidRPr="00F34FED">
        <w:t xml:space="preserve">More African men and women are employed in higher skilled roles in, or deriving improved livelihoods from, the </w:t>
      </w:r>
      <w:r w:rsidR="0025246F">
        <w:t>extractive</w:t>
      </w:r>
      <w:r w:rsidRPr="00F34FED">
        <w:t xml:space="preserve"> sector</w:t>
      </w:r>
      <w:r w:rsidR="009A6DAB">
        <w:t xml:space="preserve"> – </w:t>
      </w:r>
      <w:r w:rsidR="000F5341">
        <w:t xml:space="preserve">achievement of this outcome will see an African workforce developed in select countries that will be readily employed by </w:t>
      </w:r>
      <w:r w:rsidR="0025246F">
        <w:t>extractive</w:t>
      </w:r>
      <w:r w:rsidR="000F5341">
        <w:t xml:space="preserve"> and other industries; sustainability of investment in skills development is self-evident.</w:t>
      </w:r>
    </w:p>
    <w:p w14:paraId="69DCC413" w14:textId="77777777" w:rsidR="000F5341" w:rsidRPr="00757E89" w:rsidRDefault="000F5341" w:rsidP="002B1210">
      <w:pPr>
        <w:pStyle w:val="List-bullet-1"/>
      </w:pPr>
      <w:r w:rsidRPr="00232BAF">
        <w:t>Improved enabling environments</w:t>
      </w:r>
      <w:r>
        <w:t xml:space="preserve"> – achievement of this outcome will see legislative and policy environments that favour select African countries’ self-improvement and employment of resource rents and revenue to meet citizens’ development needs.</w:t>
      </w:r>
    </w:p>
    <w:p w14:paraId="555B077C" w14:textId="77777777" w:rsidR="000F5341" w:rsidRDefault="000F5341" w:rsidP="002B1210">
      <w:pPr>
        <w:pStyle w:val="List-bullet-1"/>
      </w:pPr>
      <w:r w:rsidRPr="00232BAF">
        <w:t>More inclusive economic development</w:t>
      </w:r>
      <w:r>
        <w:t xml:space="preserve"> – achievement of this outcome will maximise sustainability through ensuring </w:t>
      </w:r>
      <w:r w:rsidR="007405A4">
        <w:t xml:space="preserve">empowerment of women and </w:t>
      </w:r>
      <w:r>
        <w:t>that communities affected by extractive industry investments are able to gain benefits from that investment. This will maximise the sustainability of those communities, particularly for the next generation.</w:t>
      </w:r>
    </w:p>
    <w:p w14:paraId="203B002F" w14:textId="77777777" w:rsidR="000F5341" w:rsidRDefault="002F30BC" w:rsidP="002B1210">
      <w:pPr>
        <w:pStyle w:val="List-bullet-1"/>
      </w:pPr>
      <w:r>
        <w:t>Australia–</w:t>
      </w:r>
      <w:r w:rsidR="000F5341" w:rsidRPr="00232BAF">
        <w:t>Africa relationships enhanced</w:t>
      </w:r>
      <w:r w:rsidR="000F5341">
        <w:t xml:space="preserve"> – achievement of this outcome will see Australian-African relationships developed, which will enable both Africans and Australians, particularly in the extractive sector, to leverage relationships for mutual benefit. The existence of such long-term relationships is a solid example of sustainability of the AADP investment.</w:t>
      </w:r>
    </w:p>
    <w:p w14:paraId="1282C047" w14:textId="77777777" w:rsidR="000F5341" w:rsidRPr="00271ECA" w:rsidRDefault="000F5341" w:rsidP="002B1210">
      <w:pPr>
        <w:pStyle w:val="Heading2"/>
        <w:jc w:val="both"/>
      </w:pPr>
      <w:bookmarkStart w:id="51" w:name="_Toc399150518"/>
      <w:bookmarkStart w:id="52" w:name="_Toc401578430"/>
      <w:r w:rsidRPr="00271ECA">
        <w:t>Risk Assessment and Management</w:t>
      </w:r>
      <w:bookmarkEnd w:id="50"/>
      <w:bookmarkEnd w:id="51"/>
      <w:bookmarkEnd w:id="52"/>
    </w:p>
    <w:p w14:paraId="3D1715EC" w14:textId="77777777" w:rsidR="000F5341" w:rsidRDefault="000F5341" w:rsidP="002B1210">
      <w:pPr>
        <w:pStyle w:val="BodyText"/>
      </w:pPr>
      <w:r>
        <w:t xml:space="preserve">A number of </w:t>
      </w:r>
      <w:r w:rsidR="001F5B04">
        <w:t xml:space="preserve">risks </w:t>
      </w:r>
      <w:r w:rsidR="007534F0">
        <w:t>w</w:t>
      </w:r>
      <w:r w:rsidR="005A2ED5">
        <w:t>ere</w:t>
      </w:r>
      <w:r w:rsidR="007534F0">
        <w:t xml:space="preserve"> </w:t>
      </w:r>
      <w:r w:rsidRPr="00271ECA">
        <w:t>identified during the design, building on previous experience</w:t>
      </w:r>
      <w:r>
        <w:t xml:space="preserve"> and knowledge in implementation of the AAPF and Australia Awards programs. DFAT AFB, DFAT Posts in Africa and the MC would need to proactively monitor these risks, including:</w:t>
      </w:r>
    </w:p>
    <w:p w14:paraId="39B0C611" w14:textId="77777777" w:rsidR="001F5B04" w:rsidRDefault="001F5B04" w:rsidP="007E78F8">
      <w:pPr>
        <w:pStyle w:val="List-bullet-1"/>
      </w:pPr>
      <w:r w:rsidRPr="003C0DBE">
        <w:t xml:space="preserve">A protracted AADP tender process and associated contract negotiation (possibly with a consortium) would delay transition and program </w:t>
      </w:r>
      <w:r>
        <w:t>continuity</w:t>
      </w:r>
      <w:r w:rsidRPr="003C0DBE">
        <w:t>.</w:t>
      </w:r>
      <w:r>
        <w:t xml:space="preserve"> </w:t>
      </w:r>
      <w:r w:rsidRPr="003C0DBE">
        <w:t xml:space="preserve">This risk’s </w:t>
      </w:r>
      <w:r w:rsidRPr="00EE7971">
        <w:rPr>
          <w:b/>
          <w:bCs/>
        </w:rPr>
        <w:t xml:space="preserve">probability </w:t>
      </w:r>
      <w:r w:rsidRPr="003C0DBE">
        <w:t xml:space="preserve">is considered </w:t>
      </w:r>
      <w:r w:rsidRPr="00EE7971">
        <w:rPr>
          <w:b/>
          <w:bCs/>
        </w:rPr>
        <w:t>possible</w:t>
      </w:r>
      <w:r w:rsidRPr="003C0DBE">
        <w:t xml:space="preserve"> and its </w:t>
      </w:r>
      <w:r w:rsidRPr="00EE7971">
        <w:rPr>
          <w:b/>
          <w:bCs/>
        </w:rPr>
        <w:t>impact</w:t>
      </w:r>
      <w:r w:rsidRPr="003C0DBE">
        <w:t xml:space="preserve"> on the AADP is considered </w:t>
      </w:r>
      <w:r w:rsidRPr="00EE7971">
        <w:rPr>
          <w:b/>
          <w:bCs/>
        </w:rPr>
        <w:t>high</w:t>
      </w:r>
      <w:r w:rsidRPr="003C0DBE">
        <w:t>.</w:t>
      </w:r>
      <w:r>
        <w:t xml:space="preserve"> </w:t>
      </w:r>
      <w:r w:rsidRPr="003C0DBE">
        <w:t xml:space="preserve">Risk mitigation strategies include drawing up draft Exemption Minutes in contemplation of some timetable slippage and contemplating a transition period (MC </w:t>
      </w:r>
      <w:proofErr w:type="gramStart"/>
      <w:r w:rsidRPr="003C0DBE">
        <w:t>handover</w:t>
      </w:r>
      <w:proofErr w:type="gramEnd"/>
      <w:r w:rsidRPr="003C0DBE">
        <w:t xml:space="preserve"> period) of up to three months.</w:t>
      </w:r>
      <w:r>
        <w:t xml:space="preserve"> </w:t>
      </w:r>
      <w:r w:rsidRPr="003C0DBE">
        <w:t xml:space="preserve">Engagement of a </w:t>
      </w:r>
      <w:r w:rsidR="007E78F8" w:rsidRPr="007E78F8">
        <w:t>Program Director</w:t>
      </w:r>
      <w:r w:rsidRPr="003C0DBE">
        <w:t xml:space="preserve"> through the current MC, with a view to being novated on transition, will also maximise smooth transition.</w:t>
      </w:r>
    </w:p>
    <w:p w14:paraId="4DAB5104" w14:textId="77777777" w:rsidR="001F5B04" w:rsidRDefault="001F5B04" w:rsidP="002B1210">
      <w:pPr>
        <w:pStyle w:val="List-bullet-1"/>
        <w:spacing w:after="80"/>
      </w:pPr>
      <w:r w:rsidRPr="003C0DBE">
        <w:t>Job security uncertainties relating to transition from two MCs to one MC may see the departure of experienced program staff.</w:t>
      </w:r>
      <w:r>
        <w:t xml:space="preserve"> </w:t>
      </w:r>
      <w:r w:rsidRPr="003C0DBE">
        <w:t>This may cause delays to transition, interruption to on-going activities, and delays to AADP commencement</w:t>
      </w:r>
      <w:r w:rsidR="00A753D5">
        <w:t>, and impact E4G Component activities</w:t>
      </w:r>
      <w:r w:rsidRPr="003C0DBE">
        <w:t>.</w:t>
      </w:r>
      <w:r>
        <w:t xml:space="preserve"> </w:t>
      </w:r>
      <w:r w:rsidRPr="003C0DBE">
        <w:t xml:space="preserve">This risk’s probability is considered </w:t>
      </w:r>
      <w:r>
        <w:rPr>
          <w:b/>
          <w:bCs/>
        </w:rPr>
        <w:t>possible</w:t>
      </w:r>
      <w:r w:rsidRPr="003C0DBE">
        <w:t xml:space="preserve"> and its impact on the AADP is considered </w:t>
      </w:r>
      <w:r w:rsidRPr="007B461D">
        <w:rPr>
          <w:b/>
        </w:rPr>
        <w:t>moderate</w:t>
      </w:r>
      <w:r w:rsidRPr="00EE7971">
        <w:rPr>
          <w:b/>
          <w:bCs/>
        </w:rPr>
        <w:t xml:space="preserve">. </w:t>
      </w:r>
      <w:r w:rsidRPr="003C0DBE">
        <w:t xml:space="preserve">Risk mitigation strategies include novation of existing staff to AADP MC where possible (and legal) and retention of Pretoria as </w:t>
      </w:r>
      <w:r>
        <w:t xml:space="preserve">the </w:t>
      </w:r>
      <w:r w:rsidRPr="003C0DBE">
        <w:t>MC</w:t>
      </w:r>
      <w:r w:rsidR="005A2ED5">
        <w:t>’s</w:t>
      </w:r>
      <w:r w:rsidRPr="003C0DBE">
        <w:t xml:space="preserve"> head office.</w:t>
      </w:r>
    </w:p>
    <w:p w14:paraId="404FF44C" w14:textId="49AFB58B" w:rsidR="001F5B04" w:rsidRDefault="001F5B04" w:rsidP="002B1210">
      <w:pPr>
        <w:pStyle w:val="List-bullet-1"/>
        <w:spacing w:after="80"/>
      </w:pPr>
      <w:r w:rsidRPr="003C0DBE">
        <w:t xml:space="preserve">Insufficient aid management experience and support for DFAT </w:t>
      </w:r>
      <w:proofErr w:type="spellStart"/>
      <w:r w:rsidRPr="003C0DBE">
        <w:t>HoMs</w:t>
      </w:r>
      <w:proofErr w:type="spellEnd"/>
      <w:r w:rsidRPr="003C0DBE">
        <w:t xml:space="preserve"> at posts in Africa may see </w:t>
      </w:r>
      <w:proofErr w:type="spellStart"/>
      <w:r w:rsidRPr="003C0DBE">
        <w:t>HoMs</w:t>
      </w:r>
      <w:proofErr w:type="spellEnd"/>
      <w:r w:rsidRPr="003C0DBE">
        <w:t>’ support for the use of the AADP to meet their development and economic diplomacy objectives dwindle</w:t>
      </w:r>
      <w:r w:rsidR="00A753D5">
        <w:t>, particularly under the E4G Component</w:t>
      </w:r>
      <w:r w:rsidRPr="003C0DBE">
        <w:t>.</w:t>
      </w:r>
      <w:r>
        <w:t xml:space="preserve"> </w:t>
      </w:r>
      <w:r w:rsidRPr="003C0DBE">
        <w:t xml:space="preserve">This risk’s probability is considered </w:t>
      </w:r>
      <w:r>
        <w:rPr>
          <w:b/>
          <w:bCs/>
        </w:rPr>
        <w:t>unlikely</w:t>
      </w:r>
      <w:r w:rsidRPr="003C0DBE">
        <w:t xml:space="preserve"> and its impact on the AADP is considered </w:t>
      </w:r>
      <w:r>
        <w:rPr>
          <w:b/>
          <w:bCs/>
        </w:rPr>
        <w:t>moderate</w:t>
      </w:r>
      <w:r w:rsidRPr="00EE7971">
        <w:rPr>
          <w:b/>
          <w:bCs/>
        </w:rPr>
        <w:t xml:space="preserve">. </w:t>
      </w:r>
      <w:r w:rsidRPr="003C0DBE">
        <w:rPr>
          <w:bCs/>
        </w:rPr>
        <w:t xml:space="preserve">Risk mitigation strategies include DFAT AFB briefing </w:t>
      </w:r>
      <w:proofErr w:type="spellStart"/>
      <w:r w:rsidRPr="003C0DBE">
        <w:rPr>
          <w:bCs/>
        </w:rPr>
        <w:t>HoMs</w:t>
      </w:r>
      <w:proofErr w:type="spellEnd"/>
      <w:r w:rsidRPr="003C0DBE">
        <w:rPr>
          <w:bCs/>
        </w:rPr>
        <w:t xml:space="preserve"> how the AADP</w:t>
      </w:r>
      <w:r w:rsidR="00A753D5">
        <w:rPr>
          <w:bCs/>
        </w:rPr>
        <w:t>, particularly the E4G Component</w:t>
      </w:r>
      <w:r w:rsidR="005B3032">
        <w:rPr>
          <w:bCs/>
        </w:rPr>
        <w:t xml:space="preserve"> </w:t>
      </w:r>
      <w:r w:rsidRPr="003C0DBE">
        <w:rPr>
          <w:bCs/>
        </w:rPr>
        <w:t xml:space="preserve">can be harnessed to assist them, </w:t>
      </w:r>
      <w:r w:rsidRPr="003C0DBE">
        <w:t xml:space="preserve">and provision </w:t>
      </w:r>
      <w:r w:rsidR="00F2776A">
        <w:t>g</w:t>
      </w:r>
      <w:r w:rsidR="002822D7">
        <w:t>uidelines</w:t>
      </w:r>
      <w:r w:rsidRPr="003C0DBE">
        <w:t xml:space="preserve"> to assist </w:t>
      </w:r>
      <w:proofErr w:type="spellStart"/>
      <w:r w:rsidRPr="003C0DBE">
        <w:t>HoMs</w:t>
      </w:r>
      <w:proofErr w:type="spellEnd"/>
      <w:r w:rsidRPr="003C0DBE">
        <w:t xml:space="preserve"> and their staff with aid program responsibility to use the AADP as an engagement tool.</w:t>
      </w:r>
      <w:r>
        <w:t xml:space="preserve"> </w:t>
      </w:r>
    </w:p>
    <w:p w14:paraId="565BEC63" w14:textId="77777777" w:rsidR="001F5B04" w:rsidRDefault="001F5B04" w:rsidP="002B1210">
      <w:pPr>
        <w:pStyle w:val="List-bullet-1"/>
        <w:spacing w:after="80"/>
      </w:pPr>
      <w:r>
        <w:t xml:space="preserve">Linked to the above risk, lack of DFAT resources in Africa will result in </w:t>
      </w:r>
      <w:r w:rsidR="00A753D5">
        <w:t>MC</w:t>
      </w:r>
      <w:r>
        <w:t xml:space="preserve"> staff taking a stronger role in representing the </w:t>
      </w:r>
      <w:proofErr w:type="spellStart"/>
      <w:r w:rsidR="00BD5668">
        <w:t>GoA</w:t>
      </w:r>
      <w:proofErr w:type="spellEnd"/>
      <w:r>
        <w:t xml:space="preserve"> in in key relationships, meetings and events. This risks delivery of appropriately nuanced messages about the </w:t>
      </w:r>
      <w:proofErr w:type="spellStart"/>
      <w:r w:rsidR="00A753D5">
        <w:t>GoA’s</w:t>
      </w:r>
      <w:proofErr w:type="spellEnd"/>
      <w:r>
        <w:t xml:space="preserve"> interests and may also lead to a conflict of interest for </w:t>
      </w:r>
      <w:r w:rsidR="00A753D5">
        <w:t>MC</w:t>
      </w:r>
      <w:r w:rsidRPr="003C0DBE">
        <w:t>.</w:t>
      </w:r>
      <w:r>
        <w:t xml:space="preserve"> </w:t>
      </w:r>
      <w:r w:rsidRPr="003C0DBE">
        <w:t xml:space="preserve">This risk’s probability is considered </w:t>
      </w:r>
      <w:r w:rsidRPr="007B461D">
        <w:rPr>
          <w:b/>
        </w:rPr>
        <w:t>possible</w:t>
      </w:r>
      <w:r>
        <w:t xml:space="preserve"> </w:t>
      </w:r>
      <w:r w:rsidRPr="003C0DBE">
        <w:t xml:space="preserve">and its impact on the AADP is considered </w:t>
      </w:r>
      <w:r>
        <w:rPr>
          <w:b/>
          <w:bCs/>
        </w:rPr>
        <w:t>moderate</w:t>
      </w:r>
      <w:r w:rsidRPr="00EE7971">
        <w:rPr>
          <w:b/>
          <w:bCs/>
        </w:rPr>
        <w:t xml:space="preserve">. </w:t>
      </w:r>
      <w:r w:rsidRPr="003C0DBE">
        <w:rPr>
          <w:bCs/>
        </w:rPr>
        <w:t>Risk mitigation strategies include</w:t>
      </w:r>
      <w:r>
        <w:rPr>
          <w:bCs/>
        </w:rPr>
        <w:t xml:space="preserve"> AADP ensuring relevant Posts are kept informed of, and invited to participate in and where required lead, relevant interactions.</w:t>
      </w:r>
    </w:p>
    <w:p w14:paraId="1F887792" w14:textId="77777777" w:rsidR="001F5B04" w:rsidRDefault="001F5B04" w:rsidP="002B1210">
      <w:pPr>
        <w:pStyle w:val="List-bullet-1"/>
        <w:spacing w:after="80"/>
      </w:pPr>
      <w:r w:rsidRPr="003C0DBE">
        <w:t xml:space="preserve">External factors such as a significant downturn in global and African demand for extractive sector products may see African governments and extractive-related private sector industries reduce their enthusiasm for the AADP, particularly for E4G Component activities. This risk’s probability is considered </w:t>
      </w:r>
      <w:r w:rsidRPr="007B461D">
        <w:rPr>
          <w:b/>
        </w:rPr>
        <w:t>unlikely</w:t>
      </w:r>
      <w:r>
        <w:t xml:space="preserve"> </w:t>
      </w:r>
      <w:r w:rsidRPr="003C0DBE">
        <w:t xml:space="preserve">and its impact on the AADP is considered </w:t>
      </w:r>
      <w:r w:rsidRPr="007B461D">
        <w:rPr>
          <w:b/>
        </w:rPr>
        <w:t>moderate</w:t>
      </w:r>
      <w:r w:rsidRPr="00EE7971">
        <w:rPr>
          <w:b/>
          <w:bCs/>
        </w:rPr>
        <w:t xml:space="preserve">. </w:t>
      </w:r>
      <w:r w:rsidRPr="003C0DBE">
        <w:rPr>
          <w:bCs/>
        </w:rPr>
        <w:t>Risk mitigation strategies include m</w:t>
      </w:r>
      <w:r w:rsidRPr="003C0DBE">
        <w:t>onitoring, trend analysis and strategic advice to identify early the progression of this risk so that AADP’s activities can be recalibrated</w:t>
      </w:r>
      <w:r w:rsidR="00AF7BDD">
        <w:t>.</w:t>
      </w:r>
      <w:r>
        <w:t xml:space="preserve"> </w:t>
      </w:r>
      <w:r w:rsidR="00AF7BDD">
        <w:t>S</w:t>
      </w:r>
      <w:r w:rsidRPr="003C0DBE">
        <w:t>ignificant onus would rest on the MC for this analysis.</w:t>
      </w:r>
    </w:p>
    <w:p w14:paraId="515FDB34" w14:textId="1B4F39D5" w:rsidR="001F5B04" w:rsidRDefault="001F5B04" w:rsidP="002B1210">
      <w:pPr>
        <w:pStyle w:val="List-bullet-1"/>
        <w:spacing w:after="80"/>
      </w:pPr>
      <w:r w:rsidRPr="003C0DBE">
        <w:t>Linked to the above, there is a risk that the private sector may not value the program and it fails to attract private sector involvement.</w:t>
      </w:r>
      <w:r>
        <w:t xml:space="preserve"> </w:t>
      </w:r>
      <w:r w:rsidRPr="003C0DBE">
        <w:t>This could affect success of skills development pilots</w:t>
      </w:r>
      <w:r w:rsidR="00A753D5">
        <w:t xml:space="preserve"> under the E4G Component in </w:t>
      </w:r>
      <w:r w:rsidR="00EC38FF">
        <w:t>Focus Countries</w:t>
      </w:r>
      <w:r w:rsidRPr="003C0DBE">
        <w:t>.</w:t>
      </w:r>
      <w:r>
        <w:t xml:space="preserve"> </w:t>
      </w:r>
      <w:r w:rsidRPr="003C0DBE">
        <w:t xml:space="preserve">This risk’s probability is considered </w:t>
      </w:r>
      <w:r w:rsidRPr="007B461D">
        <w:rPr>
          <w:b/>
        </w:rPr>
        <w:t>possible</w:t>
      </w:r>
      <w:r w:rsidRPr="003C0DBE">
        <w:t xml:space="preserve"> and its impact on the AADP is considered </w:t>
      </w:r>
      <w:r w:rsidRPr="007B461D">
        <w:rPr>
          <w:b/>
        </w:rPr>
        <w:t>moderate</w:t>
      </w:r>
      <w:r w:rsidRPr="00EE7971">
        <w:rPr>
          <w:b/>
          <w:bCs/>
        </w:rPr>
        <w:t xml:space="preserve">. </w:t>
      </w:r>
      <w:r w:rsidRPr="003C0DBE">
        <w:t xml:space="preserve">Risk mitigation strategies include proactive engagement with private sector </w:t>
      </w:r>
      <w:r w:rsidR="00E70212">
        <w:t xml:space="preserve">and with communities </w:t>
      </w:r>
      <w:r w:rsidRPr="003C0DBE">
        <w:t xml:space="preserve">throughout activity design and implementation, including through provision of advice from the </w:t>
      </w:r>
      <w:r w:rsidRPr="003C0DBE">
        <w:rPr>
          <w:b/>
        </w:rPr>
        <w:t>DFAT Innovation Hub</w:t>
      </w:r>
      <w:r w:rsidRPr="003C0DBE">
        <w:t>, on ways to maximise access to the private sector</w:t>
      </w:r>
      <w:r w:rsidR="00A753D5">
        <w:t xml:space="preserve"> </w:t>
      </w:r>
      <w:r w:rsidRPr="003C0DBE">
        <w:t>and its understanding of the AADP and what it can offer</w:t>
      </w:r>
      <w:r w:rsidR="00A753D5" w:rsidRPr="00A753D5">
        <w:t xml:space="preserve"> </w:t>
      </w:r>
      <w:r w:rsidR="00A753D5">
        <w:t>particularly under the E4G Component funding stream</w:t>
      </w:r>
      <w:r w:rsidRPr="003C0DBE">
        <w:t>.</w:t>
      </w:r>
    </w:p>
    <w:p w14:paraId="65693873" w14:textId="77777777" w:rsidR="00C06521" w:rsidRDefault="000F5341" w:rsidP="002B1210">
      <w:pPr>
        <w:pStyle w:val="BodyText"/>
      </w:pPr>
      <w:r w:rsidRPr="00E04195">
        <w:t xml:space="preserve">Overall this activity is considered a </w:t>
      </w:r>
      <w:r w:rsidR="001F5B04" w:rsidRPr="00E04195">
        <w:rPr>
          <w:b/>
        </w:rPr>
        <w:t xml:space="preserve">moderate </w:t>
      </w:r>
      <w:r w:rsidRPr="00E04195">
        <w:rPr>
          <w:b/>
          <w:bCs/>
        </w:rPr>
        <w:t>risk activity</w:t>
      </w:r>
      <w:r w:rsidRPr="00E04195">
        <w:t>. A Risk Matrix which describes key risks</w:t>
      </w:r>
      <w:r w:rsidR="005D6E98">
        <w:t xml:space="preserve"> for the E4G Component</w:t>
      </w:r>
      <w:r w:rsidRPr="00E04195">
        <w:t>,</w:t>
      </w:r>
      <w:r>
        <w:t xml:space="preserve"> together with mitigation options</w:t>
      </w:r>
      <w:r w:rsidR="005D6E98">
        <w:t>,</w:t>
      </w:r>
      <w:r>
        <w:t xml:space="preserve"> is set out in </w:t>
      </w:r>
      <w:r w:rsidRPr="0013767E">
        <w:rPr>
          <w:b/>
          <w:sz w:val="18"/>
          <w:szCs w:val="18"/>
        </w:rPr>
        <w:t xml:space="preserve">Annex </w:t>
      </w:r>
      <w:r w:rsidR="00A753D5">
        <w:rPr>
          <w:b/>
          <w:sz w:val="18"/>
          <w:szCs w:val="18"/>
        </w:rPr>
        <w:t>H</w:t>
      </w:r>
      <w:r>
        <w:t>.</w:t>
      </w:r>
      <w:bookmarkEnd w:id="0"/>
      <w:bookmarkEnd w:id="1"/>
    </w:p>
    <w:p w14:paraId="10A77676" w14:textId="77777777" w:rsidR="006422BA" w:rsidRPr="005F1147" w:rsidRDefault="006422BA" w:rsidP="006422BA">
      <w:pPr>
        <w:pStyle w:val="Heading2"/>
        <w:jc w:val="both"/>
      </w:pPr>
      <w:bookmarkStart w:id="53" w:name="_Toc399150514"/>
      <w:bookmarkStart w:id="54" w:name="_Toc401578431"/>
      <w:r w:rsidRPr="005F1147">
        <w:t>Steps in Contemplation of Transition to AADP</w:t>
      </w:r>
      <w:bookmarkEnd w:id="53"/>
      <w:bookmarkEnd w:id="54"/>
    </w:p>
    <w:p w14:paraId="037848D0" w14:textId="77777777" w:rsidR="006422BA" w:rsidRPr="003C0DBE" w:rsidRDefault="006422BA" w:rsidP="006422BA">
      <w:pPr>
        <w:pStyle w:val="BodyText"/>
        <w:rPr>
          <w:rFonts w:eastAsia="Calibri"/>
        </w:rPr>
      </w:pPr>
      <w:r w:rsidRPr="003C0DBE">
        <w:rPr>
          <w:rFonts w:eastAsia="Calibri"/>
        </w:rPr>
        <w:t>Given the tight schedule for tendering and appointment of a new single AADP MC, it is highly recommended that the following actions are commenced immediately under existing AAPF MC contracting arrangements.</w:t>
      </w:r>
    </w:p>
    <w:p w14:paraId="388E1307" w14:textId="77777777" w:rsidR="006422BA" w:rsidRPr="003C0DBE" w:rsidRDefault="006422BA" w:rsidP="006422BA">
      <w:pPr>
        <w:pStyle w:val="BodyText"/>
        <w:rPr>
          <w:b/>
        </w:rPr>
      </w:pPr>
      <w:r w:rsidRPr="003C0DBE">
        <w:rPr>
          <w:b/>
        </w:rPr>
        <w:t>Strategic Environmental Assessment:</w:t>
      </w:r>
      <w:r>
        <w:rPr>
          <w:b/>
        </w:rPr>
        <w:t xml:space="preserve"> </w:t>
      </w:r>
      <w:r w:rsidRPr="003C0DBE">
        <w:rPr>
          <w:rFonts w:eastAsia="Calibri"/>
        </w:rPr>
        <w:t xml:space="preserve">As the </w:t>
      </w:r>
      <w:r>
        <w:rPr>
          <w:rFonts w:eastAsia="Calibri"/>
        </w:rPr>
        <w:t>E4G Component</w:t>
      </w:r>
      <w:r w:rsidRPr="003C0DBE">
        <w:rPr>
          <w:rFonts w:eastAsia="Calibri"/>
        </w:rPr>
        <w:t xml:space="preserve"> seeks to improve sustainable economic development working largely with extractive industries, it is important for the </w:t>
      </w:r>
      <w:r>
        <w:rPr>
          <w:rFonts w:eastAsia="Calibri"/>
        </w:rPr>
        <w:t>E4G Component</w:t>
      </w:r>
      <w:r w:rsidRPr="003C0DBE">
        <w:rPr>
          <w:rFonts w:eastAsia="Calibri"/>
        </w:rPr>
        <w:t xml:space="preserve"> and its stakeholders and beneficiaries to have a clear picture of any potential environmental impacts associated with its activities prior to implementation.</w:t>
      </w:r>
      <w:r>
        <w:rPr>
          <w:rFonts w:eastAsia="Calibri"/>
        </w:rPr>
        <w:t xml:space="preserve"> </w:t>
      </w:r>
      <w:r w:rsidRPr="003C0DBE">
        <w:rPr>
          <w:rFonts w:eastAsia="Calibri"/>
        </w:rPr>
        <w:t>Accordingly, in the period prior to its commencement it is recommended that the current AAPF MC:</w:t>
      </w:r>
    </w:p>
    <w:p w14:paraId="698737AB" w14:textId="77777777" w:rsidR="00B61AD0" w:rsidRPr="003C0DBE" w:rsidRDefault="00B61AD0" w:rsidP="00B61AD0">
      <w:pPr>
        <w:pStyle w:val="List-bullet-1"/>
        <w:rPr>
          <w:b/>
        </w:rPr>
      </w:pPr>
      <w:r>
        <w:rPr>
          <w:rFonts w:eastAsia="Calibri"/>
        </w:rPr>
        <w:t>D</w:t>
      </w:r>
      <w:r w:rsidRPr="002F30BC">
        <w:rPr>
          <w:rFonts w:eastAsia="Calibri"/>
        </w:rPr>
        <w:t>evelop</w:t>
      </w:r>
      <w:r>
        <w:rPr>
          <w:rFonts w:eastAsia="Calibri"/>
        </w:rPr>
        <w:t>s</w:t>
      </w:r>
      <w:r w:rsidRPr="002F30BC">
        <w:rPr>
          <w:rFonts w:eastAsia="Calibri"/>
        </w:rPr>
        <w:t xml:space="preserve"> a set of environmental assessment criteria </w:t>
      </w:r>
      <w:r>
        <w:rPr>
          <w:rFonts w:eastAsia="Calibri"/>
        </w:rPr>
        <w:t xml:space="preserve">and a SEA process </w:t>
      </w:r>
      <w:r w:rsidRPr="002F30BC">
        <w:rPr>
          <w:rFonts w:eastAsia="Calibri"/>
        </w:rPr>
        <w:t>for use by DFAT Posts in developing activity proposals, and</w:t>
      </w:r>
      <w:r w:rsidRPr="003C0DBE">
        <w:rPr>
          <w:rFonts w:eastAsia="Calibri"/>
        </w:rPr>
        <w:t xml:space="preserve"> by DFAT AFB and the AADP MC when implementing </w:t>
      </w:r>
      <w:r>
        <w:rPr>
          <w:rFonts w:eastAsia="Calibri"/>
        </w:rPr>
        <w:t xml:space="preserve">E4G Component </w:t>
      </w:r>
      <w:r w:rsidRPr="003C0DBE">
        <w:rPr>
          <w:rFonts w:eastAsia="Calibri"/>
        </w:rPr>
        <w:t>activities.</w:t>
      </w:r>
      <w:r>
        <w:rPr>
          <w:rFonts w:eastAsia="Calibri"/>
        </w:rPr>
        <w:t xml:space="preserve">  C</w:t>
      </w:r>
      <w:r w:rsidRPr="003C0DBE">
        <w:rPr>
          <w:rFonts w:eastAsia="Calibri"/>
        </w:rPr>
        <w:t>lose consultation with the DFAT Environmental Safeguards Team in Canberra is recommended for the development of these environmental assessment criteria.</w:t>
      </w:r>
    </w:p>
    <w:p w14:paraId="036F8539" w14:textId="77777777" w:rsidR="00B61AD0" w:rsidRPr="002F30BC" w:rsidRDefault="00B61AD0" w:rsidP="00B61AD0">
      <w:pPr>
        <w:pStyle w:val="List-bullet-1"/>
      </w:pPr>
      <w:r>
        <w:rPr>
          <w:rFonts w:eastAsia="Calibri"/>
        </w:rPr>
        <w:t>C</w:t>
      </w:r>
      <w:r w:rsidRPr="002F30BC">
        <w:rPr>
          <w:rFonts w:eastAsia="Calibri"/>
        </w:rPr>
        <w:t>onduct</w:t>
      </w:r>
      <w:r>
        <w:rPr>
          <w:rFonts w:eastAsia="Calibri"/>
        </w:rPr>
        <w:t>s</w:t>
      </w:r>
      <w:r w:rsidRPr="002F30BC">
        <w:rPr>
          <w:rFonts w:eastAsia="Calibri"/>
        </w:rPr>
        <w:t xml:space="preserve"> a SEA</w:t>
      </w:r>
      <w:r>
        <w:rPr>
          <w:rFonts w:eastAsia="Calibri"/>
        </w:rPr>
        <w:t xml:space="preserve"> of any activities rolled over from AAPF to AADP (i.e. pilot activities in Focus Countries)</w:t>
      </w:r>
      <w:r w:rsidRPr="002F30BC">
        <w:rPr>
          <w:rFonts w:eastAsia="Calibri"/>
        </w:rPr>
        <w:t xml:space="preserve">. </w:t>
      </w:r>
      <w:r>
        <w:rPr>
          <w:rFonts w:eastAsia="Calibri"/>
        </w:rPr>
        <w:t xml:space="preserve"> The </w:t>
      </w:r>
      <w:r w:rsidRPr="002F30BC">
        <w:rPr>
          <w:rFonts w:eastAsia="Calibri"/>
        </w:rPr>
        <w:t xml:space="preserve">DFAT AFB, in consultation with DFAT Environmental Safeguards Team in Canberra, </w:t>
      </w:r>
      <w:r>
        <w:rPr>
          <w:rFonts w:eastAsia="Calibri"/>
        </w:rPr>
        <w:t>would</w:t>
      </w:r>
      <w:r w:rsidRPr="002F30BC">
        <w:rPr>
          <w:rFonts w:eastAsia="Calibri"/>
        </w:rPr>
        <w:t xml:space="preserve"> contribute to the design and implementation of this SEA for the E4G Component</w:t>
      </w:r>
      <w:r>
        <w:rPr>
          <w:rFonts w:eastAsia="Calibri"/>
        </w:rPr>
        <w:t xml:space="preserve"> using the environmental assessment criteria referred to above</w:t>
      </w:r>
      <w:r w:rsidRPr="002F30BC">
        <w:rPr>
          <w:rFonts w:eastAsia="Calibri"/>
        </w:rPr>
        <w:t>. It is recommended that the SEA be conducted under current AAPF contracting arrangements and prior to commencement of the AADP;</w:t>
      </w:r>
    </w:p>
    <w:p w14:paraId="3B634F3D" w14:textId="6B35B2A9" w:rsidR="009E0DBA" w:rsidRDefault="009E0DBA" w:rsidP="002B1210">
      <w:pPr>
        <w:pStyle w:val="BodyText"/>
        <w:rPr>
          <w:rFonts w:eastAsia="Calibri"/>
        </w:rPr>
        <w:sectPr w:rsidR="009E0DBA" w:rsidSect="00455992">
          <w:headerReference w:type="default" r:id="rId18"/>
          <w:pgSz w:w="11906" w:h="16838"/>
          <w:pgMar w:top="1418" w:right="1418" w:bottom="1418" w:left="1418" w:header="568" w:footer="430" w:gutter="0"/>
          <w:pgNumType w:start="1"/>
          <w:cols w:space="708"/>
          <w:docGrid w:linePitch="360"/>
        </w:sectPr>
      </w:pPr>
    </w:p>
    <w:p w14:paraId="6BE3AEE6" w14:textId="77777777" w:rsidR="00F90862" w:rsidRPr="008E1531" w:rsidRDefault="00460FD7" w:rsidP="00460FD7">
      <w:pPr>
        <w:pStyle w:val="annexheading"/>
        <w:tabs>
          <w:tab w:val="left" w:pos="1701"/>
        </w:tabs>
      </w:pPr>
      <w:bookmarkStart w:id="55" w:name="_Toc387590506"/>
      <w:bookmarkStart w:id="56" w:name="_Toc399104629"/>
      <w:bookmarkStart w:id="57" w:name="_Toc401578432"/>
      <w:r>
        <w:t>Annex A:</w:t>
      </w:r>
      <w:r w:rsidR="005B3032">
        <w:t xml:space="preserve"> </w:t>
      </w:r>
      <w:r w:rsidR="00F90862" w:rsidRPr="008E1531">
        <w:t>Problem Analysis</w:t>
      </w:r>
      <w:bookmarkEnd w:id="55"/>
      <w:bookmarkEnd w:id="56"/>
      <w:bookmarkEnd w:id="57"/>
    </w:p>
    <w:p w14:paraId="18B9A24C" w14:textId="77777777" w:rsidR="00662E16" w:rsidRPr="008E1531" w:rsidRDefault="00662E16" w:rsidP="002B1210">
      <w:pPr>
        <w:pStyle w:val="annexsubheading"/>
        <w:jc w:val="both"/>
      </w:pPr>
      <w:r w:rsidRPr="008E1531">
        <w:t xml:space="preserve">The </w:t>
      </w:r>
      <w:r w:rsidR="008B3993" w:rsidRPr="008E1531">
        <w:t>development problem</w:t>
      </w:r>
    </w:p>
    <w:p w14:paraId="2493F116" w14:textId="77777777" w:rsidR="00662E16" w:rsidRPr="005206E8" w:rsidRDefault="00662E16" w:rsidP="002B1210">
      <w:pPr>
        <w:pStyle w:val="BodyText"/>
      </w:pPr>
      <w:r w:rsidRPr="005206E8">
        <w:t>Africa today is experiencing unprecedented economic growth driven in part, but not only, by its rich natural resources such as in the extractive sector and its vast areas of arable land.</w:t>
      </w:r>
      <w:r w:rsidR="009C7197">
        <w:t xml:space="preserve"> </w:t>
      </w:r>
      <w:r w:rsidRPr="005206E8">
        <w:t>Over a third of the 54 African countries are seeing annual GDP growth of over 6%.</w:t>
      </w:r>
      <w:r w:rsidR="009C7197">
        <w:t xml:space="preserve"> </w:t>
      </w:r>
      <w:r w:rsidRPr="005206E8">
        <w:t>By 2050 the Continent will have 25% of the world’s workforce due to a demographic dividend of a young and rapidly growing workforce</w:t>
      </w:r>
      <w:r>
        <w:t>.</w:t>
      </w:r>
      <w:r w:rsidR="003B56F5">
        <w:rPr>
          <w:rStyle w:val="FootnoteReference"/>
        </w:rPr>
        <w:footnoteReference w:id="25"/>
      </w:r>
      <w:r w:rsidR="009C7197">
        <w:t xml:space="preserve"> </w:t>
      </w:r>
      <w:r>
        <w:t xml:space="preserve">However, </w:t>
      </w:r>
      <w:r w:rsidRPr="005206E8">
        <w:t>deep investment is required to improve productivity so the region as a whole can benefit from such growth.</w:t>
      </w:r>
      <w:r w:rsidR="003B56F5">
        <w:rPr>
          <w:rStyle w:val="FootnoteReference"/>
        </w:rPr>
        <w:footnoteReference w:id="26"/>
      </w:r>
      <w:r w:rsidRPr="005206E8">
        <w:t xml:space="preserve"> </w:t>
      </w:r>
      <w:r w:rsidR="00142887">
        <w:t xml:space="preserve"> </w:t>
      </w:r>
      <w:r w:rsidRPr="005206E8">
        <w:t>Substantial gains ha</w:t>
      </w:r>
      <w:r>
        <w:t>ve been made in the past decade;</w:t>
      </w:r>
      <w:r w:rsidRPr="005206E8">
        <w:t xml:space="preserve"> the number of people in poverty has fallen, child death rates are declining, and progress has been made in combating major infectious diseases.</w:t>
      </w:r>
      <w:r w:rsidR="009C7197">
        <w:t xml:space="preserve"> </w:t>
      </w:r>
      <w:r w:rsidRPr="005206E8">
        <w:t>However Africa still has the highest proportion of people globally living in extreme poverty and, by 2015, is expected to comprise up to 60</w:t>
      </w:r>
      <w:r w:rsidR="009C0C26">
        <w:t>%</w:t>
      </w:r>
      <w:r w:rsidRPr="005206E8">
        <w:t xml:space="preserve"> of the world’s extreme poor</w:t>
      </w:r>
      <w:r>
        <w:t>.</w:t>
      </w:r>
      <w:r w:rsidR="003B56F5">
        <w:rPr>
          <w:rStyle w:val="FootnoteReference"/>
        </w:rPr>
        <w:footnoteReference w:id="27"/>
      </w:r>
      <w:r w:rsidRPr="005206E8">
        <w:t xml:space="preserve"> </w:t>
      </w:r>
    </w:p>
    <w:p w14:paraId="5A94AAAA" w14:textId="77777777" w:rsidR="00C06D97" w:rsidRDefault="00662E16" w:rsidP="002B1210">
      <w:pPr>
        <w:pStyle w:val="BodyText"/>
        <w:rPr>
          <w:rFonts w:cs="Arial"/>
        </w:rPr>
      </w:pPr>
      <w:r w:rsidRPr="005206E8">
        <w:rPr>
          <w:rFonts w:cs="Arial"/>
        </w:rPr>
        <w:t xml:space="preserve">The </w:t>
      </w:r>
      <w:r w:rsidR="00C7185D">
        <w:rPr>
          <w:rFonts w:cs="Arial"/>
        </w:rPr>
        <w:t>extractive</w:t>
      </w:r>
      <w:r w:rsidRPr="005206E8">
        <w:rPr>
          <w:rFonts w:cs="Arial"/>
        </w:rPr>
        <w:t xml:space="preserve"> sector in Africa has the potential to contribute to permanent improvement </w:t>
      </w:r>
      <w:r>
        <w:rPr>
          <w:rFonts w:cs="Arial"/>
        </w:rPr>
        <w:t>of</w:t>
      </w:r>
      <w:r w:rsidRPr="005206E8">
        <w:rPr>
          <w:rFonts w:cs="Arial"/>
        </w:rPr>
        <w:t xml:space="preserve"> such poverty levels. It can provide capital to drive broader economic development for example in agriculture, service industries in areas where resources are extracted and more broadly in the manufacturing sector.</w:t>
      </w:r>
      <w:r w:rsidR="009C7197">
        <w:rPr>
          <w:rFonts w:cs="Arial"/>
        </w:rPr>
        <w:t xml:space="preserve"> </w:t>
      </w:r>
      <w:r w:rsidRPr="005206E8">
        <w:rPr>
          <w:rFonts w:cs="Arial"/>
        </w:rPr>
        <w:t>Demand from China and India for natural resources both mineral and especially oil and gas, will continue to grow</w:t>
      </w:r>
      <w:r w:rsidR="008D5350">
        <w:rPr>
          <w:rFonts w:cs="Arial"/>
        </w:rPr>
        <w:t>.</w:t>
      </w:r>
      <w:r w:rsidR="005B3032">
        <w:rPr>
          <w:rFonts w:cs="Arial"/>
        </w:rPr>
        <w:t xml:space="preserve"> </w:t>
      </w:r>
      <w:r w:rsidR="008D5350">
        <w:rPr>
          <w:rFonts w:cs="Arial"/>
        </w:rPr>
        <w:t>N</w:t>
      </w:r>
      <w:r w:rsidRPr="005206E8">
        <w:rPr>
          <w:rFonts w:cs="Arial"/>
        </w:rPr>
        <w:t>ew exploration in Africa has revealed much larger reserves than previously known</w:t>
      </w:r>
      <w:r>
        <w:rPr>
          <w:rFonts w:cs="Arial"/>
        </w:rPr>
        <w:t>.</w:t>
      </w:r>
      <w:r w:rsidR="003B56F5">
        <w:rPr>
          <w:rStyle w:val="FootnoteReference"/>
          <w:rFonts w:cs="Arial"/>
        </w:rPr>
        <w:footnoteReference w:id="28"/>
      </w:r>
      <w:r w:rsidR="009C7197">
        <w:rPr>
          <w:rFonts w:cs="Arial"/>
        </w:rPr>
        <w:t xml:space="preserve"> </w:t>
      </w:r>
      <w:r w:rsidRPr="005206E8">
        <w:rPr>
          <w:rFonts w:cs="Arial"/>
        </w:rPr>
        <w:t xml:space="preserve">The challenge facing every resource rich country is how to turn wealth from this finite resource into lasting benefits for all its </w:t>
      </w:r>
      <w:r>
        <w:rPr>
          <w:rFonts w:cs="Arial"/>
        </w:rPr>
        <w:t>citizens</w:t>
      </w:r>
      <w:r w:rsidRPr="005206E8">
        <w:rPr>
          <w:rFonts w:cs="Arial"/>
        </w:rPr>
        <w:t xml:space="preserve">. Fostering such stewardship and leveraging development outcomes from resource extraction is the concern of most African governments as the </w:t>
      </w:r>
      <w:r w:rsidR="00632E03">
        <w:rPr>
          <w:rFonts w:cs="Arial"/>
        </w:rPr>
        <w:t>AMV</w:t>
      </w:r>
      <w:r w:rsidRPr="005206E8">
        <w:rPr>
          <w:rFonts w:cs="Arial"/>
        </w:rPr>
        <w:t xml:space="preserve"> attests. </w:t>
      </w:r>
    </w:p>
    <w:p w14:paraId="14641526" w14:textId="77777777" w:rsidR="00142887" w:rsidRDefault="00662E16" w:rsidP="002B1210">
      <w:pPr>
        <w:pStyle w:val="BodyText"/>
        <w:rPr>
          <w:rFonts w:cs="Arial"/>
        </w:rPr>
      </w:pPr>
      <w:r w:rsidRPr="005206E8">
        <w:rPr>
          <w:rFonts w:cs="Arial"/>
        </w:rPr>
        <w:t xml:space="preserve">The </w:t>
      </w:r>
      <w:proofErr w:type="spellStart"/>
      <w:r>
        <w:rPr>
          <w:rFonts w:cs="Arial"/>
        </w:rPr>
        <w:t>GoA</w:t>
      </w:r>
      <w:proofErr w:type="spellEnd"/>
      <w:r w:rsidRPr="005206E8">
        <w:rPr>
          <w:rFonts w:cs="Arial"/>
        </w:rPr>
        <w:t xml:space="preserve"> seeks to assist with this development challenge in </w:t>
      </w:r>
      <w:r w:rsidR="00142887">
        <w:rPr>
          <w:rFonts w:cs="Arial"/>
        </w:rPr>
        <w:t xml:space="preserve">the following </w:t>
      </w:r>
      <w:r w:rsidRPr="005206E8">
        <w:rPr>
          <w:rFonts w:cs="Arial"/>
        </w:rPr>
        <w:t>two ways</w:t>
      </w:r>
      <w:r w:rsidR="00142887">
        <w:rPr>
          <w:rFonts w:cs="Arial"/>
        </w:rPr>
        <w:t>.</w:t>
      </w:r>
    </w:p>
    <w:p w14:paraId="5E8C2107" w14:textId="77777777" w:rsidR="00142887" w:rsidRDefault="00142887" w:rsidP="00142887">
      <w:pPr>
        <w:pStyle w:val="BodyText"/>
        <w:rPr>
          <w:rFonts w:cs="Arial"/>
        </w:rPr>
      </w:pPr>
      <w:proofErr w:type="gramStart"/>
      <w:r>
        <w:rPr>
          <w:rFonts w:cs="Arial"/>
        </w:rPr>
        <w:t>First,</w:t>
      </w:r>
      <w:r w:rsidR="00662E16" w:rsidRPr="005206E8">
        <w:rPr>
          <w:rFonts w:cs="Arial"/>
        </w:rPr>
        <w:t xml:space="preserve"> by broadly co</w:t>
      </w:r>
      <w:r w:rsidR="00662E16">
        <w:rPr>
          <w:rFonts w:cs="Arial"/>
        </w:rPr>
        <w:t>ntributing to building Africa’s</w:t>
      </w:r>
      <w:r w:rsidR="00662E16" w:rsidRPr="005206E8">
        <w:rPr>
          <w:rFonts w:cs="Arial"/>
        </w:rPr>
        <w:t xml:space="preserve"> professional capacity through tertiary education at the po</w:t>
      </w:r>
      <w:r w:rsidR="00662E16">
        <w:rPr>
          <w:rFonts w:cs="Arial"/>
        </w:rPr>
        <w:t>st</w:t>
      </w:r>
      <w:r w:rsidR="00662E16" w:rsidRPr="005206E8">
        <w:rPr>
          <w:rFonts w:cs="Arial"/>
        </w:rPr>
        <w:t>graduate level</w:t>
      </w:r>
      <w:r>
        <w:rPr>
          <w:rFonts w:cs="Arial"/>
        </w:rPr>
        <w:t>.</w:t>
      </w:r>
      <w:proofErr w:type="gramEnd"/>
    </w:p>
    <w:p w14:paraId="40DBFBA9" w14:textId="77777777" w:rsidR="00142887" w:rsidRDefault="00142887" w:rsidP="00142887">
      <w:pPr>
        <w:pStyle w:val="BodyText"/>
        <w:rPr>
          <w:rFonts w:cs="Arial"/>
        </w:rPr>
      </w:pPr>
      <w:r>
        <w:rPr>
          <w:rFonts w:cs="Arial"/>
        </w:rPr>
        <w:t xml:space="preserve">Second, </w:t>
      </w:r>
      <w:r w:rsidR="00662E16">
        <w:rPr>
          <w:rFonts w:cs="Arial"/>
        </w:rPr>
        <w:t xml:space="preserve">through a </w:t>
      </w:r>
      <w:r w:rsidR="00662E16" w:rsidRPr="005206E8">
        <w:rPr>
          <w:rFonts w:cs="Arial"/>
        </w:rPr>
        <w:t>very specific set of initiatives r</w:t>
      </w:r>
      <w:r w:rsidR="00662E16">
        <w:rPr>
          <w:rFonts w:cs="Arial"/>
        </w:rPr>
        <w:t>elated to the extractive sector, namely</w:t>
      </w:r>
      <w:r w:rsidR="00662E16" w:rsidRPr="005206E8">
        <w:rPr>
          <w:rFonts w:cs="Arial"/>
        </w:rPr>
        <w:t>:</w:t>
      </w:r>
      <w:r w:rsidR="00662E16">
        <w:rPr>
          <w:rFonts w:cs="Arial"/>
        </w:rPr>
        <w:t xml:space="preserve"> </w:t>
      </w:r>
    </w:p>
    <w:p w14:paraId="52524E5F" w14:textId="77777777" w:rsidR="00142887" w:rsidRDefault="00662E16" w:rsidP="00142887">
      <w:pPr>
        <w:pStyle w:val="BodyText"/>
        <w:numPr>
          <w:ilvl w:val="5"/>
          <w:numId w:val="19"/>
        </w:numPr>
        <w:tabs>
          <w:tab w:val="clear" w:pos="2160"/>
        </w:tabs>
        <w:ind w:left="360"/>
        <w:rPr>
          <w:rFonts w:cs="Arial"/>
        </w:rPr>
      </w:pPr>
      <w:r>
        <w:rPr>
          <w:rFonts w:cs="Arial"/>
        </w:rPr>
        <w:t>minerals skills development;</w:t>
      </w:r>
      <w:r w:rsidRPr="005206E8">
        <w:rPr>
          <w:rFonts w:cs="Arial"/>
        </w:rPr>
        <w:t xml:space="preserve"> </w:t>
      </w:r>
    </w:p>
    <w:p w14:paraId="3A957365" w14:textId="77777777" w:rsidR="00142887" w:rsidRDefault="00662E16" w:rsidP="00142887">
      <w:pPr>
        <w:pStyle w:val="BodyText"/>
        <w:numPr>
          <w:ilvl w:val="5"/>
          <w:numId w:val="19"/>
        </w:numPr>
        <w:tabs>
          <w:tab w:val="clear" w:pos="2160"/>
        </w:tabs>
        <w:ind w:left="360"/>
        <w:rPr>
          <w:rFonts w:cs="Arial"/>
        </w:rPr>
      </w:pPr>
      <w:r w:rsidRPr="005206E8">
        <w:rPr>
          <w:rFonts w:cs="Arial"/>
        </w:rPr>
        <w:t>community dev</w:t>
      </w:r>
      <w:r>
        <w:rPr>
          <w:rFonts w:cs="Arial"/>
        </w:rPr>
        <w:t>elopment in resource rich areas;</w:t>
      </w:r>
      <w:r w:rsidRPr="005206E8">
        <w:rPr>
          <w:rFonts w:cs="Arial"/>
        </w:rPr>
        <w:t xml:space="preserve"> </w:t>
      </w:r>
    </w:p>
    <w:p w14:paraId="1278BE37" w14:textId="77777777" w:rsidR="00142887" w:rsidRDefault="00662E16" w:rsidP="00142887">
      <w:pPr>
        <w:pStyle w:val="BodyText"/>
        <w:numPr>
          <w:ilvl w:val="5"/>
          <w:numId w:val="19"/>
        </w:numPr>
        <w:tabs>
          <w:tab w:val="clear" w:pos="2160"/>
        </w:tabs>
        <w:ind w:left="360"/>
        <w:rPr>
          <w:rFonts w:cs="Arial"/>
        </w:rPr>
      </w:pPr>
      <w:r w:rsidRPr="005206E8">
        <w:rPr>
          <w:rFonts w:cs="Arial"/>
        </w:rPr>
        <w:t>project management training for extractive related infrastructure development</w:t>
      </w:r>
      <w:r>
        <w:rPr>
          <w:rFonts w:cs="Arial"/>
        </w:rPr>
        <w:t>;</w:t>
      </w:r>
      <w:r w:rsidRPr="005206E8">
        <w:rPr>
          <w:rFonts w:cs="Arial"/>
        </w:rPr>
        <w:t xml:space="preserve"> </w:t>
      </w:r>
      <w:r w:rsidR="00142887">
        <w:rPr>
          <w:rFonts w:cs="Arial"/>
        </w:rPr>
        <w:t xml:space="preserve"> and</w:t>
      </w:r>
    </w:p>
    <w:p w14:paraId="3D25F343" w14:textId="77777777" w:rsidR="00142887" w:rsidRDefault="00662E16" w:rsidP="00142887">
      <w:pPr>
        <w:pStyle w:val="BodyText"/>
        <w:numPr>
          <w:ilvl w:val="5"/>
          <w:numId w:val="19"/>
        </w:numPr>
        <w:tabs>
          <w:tab w:val="clear" w:pos="2160"/>
        </w:tabs>
        <w:ind w:left="360"/>
        <w:rPr>
          <w:rFonts w:cs="Arial"/>
        </w:rPr>
      </w:pPr>
      <w:proofErr w:type="gramStart"/>
      <w:r w:rsidRPr="005206E8">
        <w:rPr>
          <w:rFonts w:cs="Arial"/>
        </w:rPr>
        <w:t>building</w:t>
      </w:r>
      <w:proofErr w:type="gramEnd"/>
      <w:r w:rsidRPr="005206E8">
        <w:rPr>
          <w:rFonts w:cs="Arial"/>
        </w:rPr>
        <w:t xml:space="preserve"> capacity in African institutions for transparent and equitable governance through initiatives in the enabling environment</w:t>
      </w:r>
      <w:r>
        <w:rPr>
          <w:rFonts w:cs="Arial"/>
        </w:rPr>
        <w:t xml:space="preserve"> of select countries</w:t>
      </w:r>
      <w:r w:rsidRPr="005206E8">
        <w:rPr>
          <w:rFonts w:cs="Arial"/>
        </w:rPr>
        <w:t xml:space="preserve">. </w:t>
      </w:r>
    </w:p>
    <w:p w14:paraId="73F21C6A" w14:textId="77777777" w:rsidR="00662E16" w:rsidRDefault="00662E16" w:rsidP="00142887">
      <w:pPr>
        <w:pStyle w:val="BodyText"/>
        <w:rPr>
          <w:rFonts w:cs="Arial"/>
        </w:rPr>
      </w:pPr>
      <w:r w:rsidRPr="005206E8">
        <w:rPr>
          <w:rFonts w:cs="Arial"/>
        </w:rPr>
        <w:t xml:space="preserve">In all these projects emphasis is given to gender equity and to exploring potential for leveraging development outcomes from Public Private Partnerships. </w:t>
      </w:r>
    </w:p>
    <w:p w14:paraId="2A390EDD" w14:textId="77777777" w:rsidR="00662E16" w:rsidRPr="005206E8" w:rsidRDefault="00662E16" w:rsidP="002B1210">
      <w:pPr>
        <w:pStyle w:val="annexsubheading"/>
        <w:jc w:val="both"/>
        <w:rPr>
          <w:color w:val="4C4845"/>
          <w:spacing w:val="-3"/>
          <w:sz w:val="23"/>
          <w:szCs w:val="23"/>
          <w:shd w:val="clear" w:color="auto" w:fill="FFFFFF"/>
        </w:rPr>
      </w:pPr>
      <w:r w:rsidRPr="005206E8">
        <w:t xml:space="preserve">Skills Gap in the </w:t>
      </w:r>
      <w:r w:rsidR="00C7185D">
        <w:t>Extractive</w:t>
      </w:r>
      <w:r w:rsidRPr="005206E8">
        <w:t xml:space="preserve"> Industry in Africa</w:t>
      </w:r>
    </w:p>
    <w:p w14:paraId="69FBED9A" w14:textId="77777777" w:rsidR="00662E16" w:rsidRPr="004107C3" w:rsidRDefault="00662E16" w:rsidP="004107C3">
      <w:pPr>
        <w:pStyle w:val="BodyText"/>
        <w:rPr>
          <w:i/>
          <w:shd w:val="clear" w:color="auto" w:fill="FFFFFF"/>
        </w:rPr>
      </w:pPr>
      <w:r w:rsidRPr="004107C3">
        <w:rPr>
          <w:i/>
          <w:shd w:val="clear" w:color="auto" w:fill="FFFFFF"/>
        </w:rPr>
        <w:t>The implementation of the Africa Mining Vision (AMV) will require partnership and coordination of efforts in the development of additional skills including, technical skills, human rights, law, trade, community affairs, strategic planning.</w:t>
      </w:r>
      <w:r w:rsidR="003B56F5" w:rsidRPr="004107C3">
        <w:rPr>
          <w:rStyle w:val="FootnoteReference"/>
          <w:i/>
          <w:shd w:val="clear" w:color="auto" w:fill="FFFFFF"/>
        </w:rPr>
        <w:footnoteReference w:id="29"/>
      </w:r>
      <w:r w:rsidRPr="004107C3">
        <w:rPr>
          <w:i/>
          <w:shd w:val="clear" w:color="auto" w:fill="FFFFFF"/>
        </w:rPr>
        <w:t> </w:t>
      </w:r>
    </w:p>
    <w:p w14:paraId="00D72B6E" w14:textId="77777777" w:rsidR="00662E16" w:rsidRPr="005206E8" w:rsidRDefault="00662E16" w:rsidP="002B1210">
      <w:pPr>
        <w:pStyle w:val="BodyText"/>
      </w:pPr>
      <w:r w:rsidRPr="005206E8">
        <w:t>As</w:t>
      </w:r>
      <w:r w:rsidRPr="005206E8">
        <w:rPr>
          <w:b/>
        </w:rPr>
        <w:t xml:space="preserve"> </w:t>
      </w:r>
      <w:r w:rsidRPr="005206E8">
        <w:t>the African extractive sector grows a wide range of skills will be required at all points across the project life cycle from exploration through rehabilitation of areas impacted by resource extraction.</w:t>
      </w:r>
      <w:r w:rsidR="009C7197">
        <w:t xml:space="preserve"> </w:t>
      </w:r>
      <w:r w:rsidRPr="005206E8">
        <w:t>According to the OECD, 62</w:t>
      </w:r>
      <w:r w:rsidR="009C0C26">
        <w:t>%</w:t>
      </w:r>
      <w:r w:rsidRPr="005206E8">
        <w:t xml:space="preserve"> of African countries experience value-chain limitations due to skills gaps, and 52</w:t>
      </w:r>
      <w:r w:rsidR="009C0C26">
        <w:t>%</w:t>
      </w:r>
      <w:r w:rsidRPr="005206E8">
        <w:t xml:space="preserve"> of African countries possess insufficient skills for innovation to occur.</w:t>
      </w:r>
      <w:r w:rsidR="009C7197">
        <w:rPr>
          <w:bCs/>
        </w:rPr>
        <w:t xml:space="preserve"> </w:t>
      </w:r>
      <w:r w:rsidRPr="005206E8">
        <w:rPr>
          <w:bCs/>
        </w:rPr>
        <w:t>S</w:t>
      </w:r>
      <w:r w:rsidRPr="005206E8">
        <w:t>kills shortages have</w:t>
      </w:r>
      <w:r>
        <w:t xml:space="preserve"> been identified as the number one</w:t>
      </w:r>
      <w:r w:rsidRPr="005206E8">
        <w:t xml:space="preserve"> ranked business risk for the minerals sector over the last six years</w:t>
      </w:r>
      <w:r>
        <w:t>.</w:t>
      </w:r>
      <w:r w:rsidR="003B56F5">
        <w:rPr>
          <w:rStyle w:val="FootnoteReference"/>
        </w:rPr>
        <w:footnoteReference w:id="30"/>
      </w:r>
      <w:r w:rsidR="009C7197">
        <w:t xml:space="preserve"> </w:t>
      </w:r>
      <w:r w:rsidRPr="005206E8">
        <w:t>A broad range of skills is required at the geological and mining engineering and processing level, at the TVET</w:t>
      </w:r>
      <w:r w:rsidR="000E02F3">
        <w:t>-level</w:t>
      </w:r>
      <w:r w:rsidRPr="005206E8">
        <w:t xml:space="preserve"> for example on drilling rigs, heavy diesel fitters for plant maintenance, landscaping skills </w:t>
      </w:r>
      <w:r w:rsidR="005D6E98">
        <w:t xml:space="preserve">that are </w:t>
      </w:r>
      <w:r w:rsidRPr="005206E8">
        <w:t xml:space="preserve">required at mine closure; mine and project management skills, community relation skills and also capacity in government to negotiate with the private sector, legislate and provide good governance of such projects. </w:t>
      </w:r>
      <w:r>
        <w:t>Such s</w:t>
      </w:r>
      <w:r w:rsidRPr="005206E8">
        <w:t xml:space="preserve">kill shortages </w:t>
      </w:r>
      <w:r>
        <w:t xml:space="preserve">are symptoms of </w:t>
      </w:r>
      <w:r w:rsidRPr="005206E8">
        <w:t xml:space="preserve">challenges at </w:t>
      </w:r>
      <w:r w:rsidRPr="00E5324B">
        <w:t>institutional</w:t>
      </w:r>
      <w:r w:rsidRPr="005206E8">
        <w:t xml:space="preserve"> level</w:t>
      </w:r>
      <w:r>
        <w:t>s</w:t>
      </w:r>
      <w:r w:rsidRPr="005206E8">
        <w:t xml:space="preserve">: </w:t>
      </w:r>
      <w:r w:rsidRPr="005206E8">
        <w:rPr>
          <w:bCs/>
        </w:rPr>
        <w:t>a lack of robust policy and workforce planning that is responsive to industry and government skilling needs, and weak capacity of educational and technical</w:t>
      </w:r>
      <w:r w:rsidR="001B7DCB">
        <w:rPr>
          <w:bCs/>
        </w:rPr>
        <w:t xml:space="preserve"> / </w:t>
      </w:r>
      <w:r w:rsidRPr="005206E8">
        <w:rPr>
          <w:bCs/>
        </w:rPr>
        <w:t xml:space="preserve">vocational training institutions and their staff at regional and national levels to deliver the quality and quantity of skilled workers </w:t>
      </w:r>
      <w:r>
        <w:rPr>
          <w:bCs/>
        </w:rPr>
        <w:t xml:space="preserve">that the </w:t>
      </w:r>
      <w:r w:rsidRPr="005206E8">
        <w:rPr>
          <w:bCs/>
        </w:rPr>
        <w:t>market</w:t>
      </w:r>
      <w:r>
        <w:rPr>
          <w:bCs/>
        </w:rPr>
        <w:t xml:space="preserve"> requires</w:t>
      </w:r>
      <w:r w:rsidRPr="005206E8">
        <w:rPr>
          <w:bCs/>
        </w:rPr>
        <w:t>.</w:t>
      </w:r>
    </w:p>
    <w:p w14:paraId="59A9BF73" w14:textId="77777777" w:rsidR="00662E16" w:rsidRPr="005206E8" w:rsidRDefault="00662E16" w:rsidP="002B1210">
      <w:pPr>
        <w:pStyle w:val="BodyText"/>
      </w:pPr>
      <w:r w:rsidRPr="006C098B">
        <w:t xml:space="preserve">The </w:t>
      </w:r>
      <w:proofErr w:type="spellStart"/>
      <w:r w:rsidRPr="006C098B">
        <w:t>GoA’s</w:t>
      </w:r>
      <w:proofErr w:type="spellEnd"/>
      <w:r w:rsidRPr="006C098B">
        <w:t xml:space="preserve"> strategy provides opportunities for capacity development at all levels by providing opportunities through the </w:t>
      </w:r>
      <w:r w:rsidR="00D92793">
        <w:t>Australia Awards</w:t>
      </w:r>
      <w:r w:rsidRPr="006C098B">
        <w:t xml:space="preserve"> for postgraduate studies in all aspects of </w:t>
      </w:r>
      <w:r w:rsidR="00C7185D">
        <w:t>extractive</w:t>
      </w:r>
      <w:r w:rsidRPr="006C098B">
        <w:t xml:space="preserve"> development, project management skills through the infrastructure for development and program and in TVET where the focus is on training institutional capacity development.</w:t>
      </w:r>
      <w:r w:rsidRPr="005206E8">
        <w:rPr>
          <w:color w:val="4C4845"/>
          <w:spacing w:val="-3"/>
          <w:sz w:val="23"/>
          <w:szCs w:val="23"/>
          <w:shd w:val="clear" w:color="auto" w:fill="FFFFFF"/>
        </w:rPr>
        <w:t xml:space="preserve"> </w:t>
      </w:r>
      <w:r w:rsidRPr="005206E8">
        <w:t>There are over 200 ASX listed resource companies operating in Africa and public private partnerships to train Africans in the skills required for the extractive industry are being developed.</w:t>
      </w:r>
    </w:p>
    <w:p w14:paraId="60228A39" w14:textId="77777777" w:rsidR="00662E16" w:rsidRPr="005206E8" w:rsidDel="006059D1" w:rsidRDefault="00662E16" w:rsidP="002B1210">
      <w:pPr>
        <w:pStyle w:val="annexsubheading"/>
        <w:jc w:val="both"/>
        <w:rPr>
          <w:i/>
        </w:rPr>
      </w:pPr>
      <w:r w:rsidRPr="005206E8" w:rsidDel="006059D1">
        <w:t>Community Partnerships with the Extractive Industry</w:t>
      </w:r>
      <w:r w:rsidR="009C7197" w:rsidDel="006059D1">
        <w:t xml:space="preserve"> </w:t>
      </w:r>
    </w:p>
    <w:p w14:paraId="281DA425" w14:textId="77777777" w:rsidR="0092394E" w:rsidRDefault="00662E16" w:rsidP="002B1210">
      <w:pPr>
        <w:pStyle w:val="BodyText"/>
      </w:pPr>
      <w:r w:rsidRPr="005206E8" w:rsidDel="006059D1">
        <w:t xml:space="preserve">In Africa as elsewhere, </w:t>
      </w:r>
      <w:r w:rsidR="00727FCE" w:rsidDel="006059D1">
        <w:t xml:space="preserve">despite understanding the potential, </w:t>
      </w:r>
      <w:r w:rsidRPr="005206E8" w:rsidDel="006059D1">
        <w:t xml:space="preserve">the promise of sustainable growth for communities in areas impacted by </w:t>
      </w:r>
      <w:r w:rsidR="0025246F">
        <w:t>extractive</w:t>
      </w:r>
      <w:r w:rsidRPr="005206E8" w:rsidDel="006059D1">
        <w:t xml:space="preserve"> both at an individual and a collective level is not often realised</w:t>
      </w:r>
      <w:r w:rsidR="00727FCE" w:rsidDel="006059D1">
        <w:t xml:space="preserve"> for a variety of reasons, including lack of knowledge and skills to so do</w:t>
      </w:r>
      <w:r w:rsidRPr="005206E8" w:rsidDel="006059D1">
        <w:t>.</w:t>
      </w:r>
      <w:r w:rsidR="009C7197" w:rsidDel="006059D1">
        <w:t xml:space="preserve"> </w:t>
      </w:r>
      <w:r w:rsidR="0092394E">
        <w:t xml:space="preserve"> </w:t>
      </w:r>
      <w:r w:rsidRPr="005206E8" w:rsidDel="006059D1">
        <w:t xml:space="preserve">Improvements in quality of life and human development are too often not deemed commensurate with the revenue generated by the company or with the negative social and environmental impacts associated with extraction. </w:t>
      </w:r>
      <w:r w:rsidR="0092394E">
        <w:t xml:space="preserve"> P</w:t>
      </w:r>
      <w:r w:rsidRPr="005206E8" w:rsidDel="006059D1">
        <w:t>ositive impacts such as benefit sharing, infrastructure development, improvement in human development and local employment often divide communities, favour one group over another</w:t>
      </w:r>
      <w:r w:rsidR="0092394E">
        <w:t>,</w:t>
      </w:r>
      <w:r w:rsidRPr="005206E8" w:rsidDel="006059D1">
        <w:t xml:space="preserve"> and exacerbate inequalities.</w:t>
      </w:r>
      <w:r w:rsidR="009C7197" w:rsidDel="006059D1">
        <w:t xml:space="preserve"> </w:t>
      </w:r>
    </w:p>
    <w:p w14:paraId="142EE773" w14:textId="77777777" w:rsidR="00662E16" w:rsidRPr="005206E8" w:rsidDel="006059D1" w:rsidRDefault="00662E16" w:rsidP="002B1210">
      <w:pPr>
        <w:pStyle w:val="BodyText"/>
      </w:pPr>
      <w:r w:rsidRPr="005206E8" w:rsidDel="006059D1">
        <w:t>The extractive industry cannot operate effectively without community support at some level for their operations</w:t>
      </w:r>
      <w:r w:rsidDel="006059D1">
        <w:t>.</w:t>
      </w:r>
      <w:r w:rsidR="009C7197" w:rsidDel="006059D1">
        <w:t xml:space="preserve"> </w:t>
      </w:r>
      <w:r w:rsidDel="006059D1">
        <w:t>F</w:t>
      </w:r>
      <w:r w:rsidRPr="005206E8" w:rsidDel="006059D1">
        <w:t xml:space="preserve">ailure to establish this </w:t>
      </w:r>
      <w:r w:rsidR="009C7197" w:rsidDel="006059D1">
        <w:t>‘</w:t>
      </w:r>
      <w:r w:rsidRPr="005206E8" w:rsidDel="006059D1">
        <w:t>social licence to operate</w:t>
      </w:r>
      <w:r w:rsidR="009C7197" w:rsidDel="006059D1">
        <w:t>’</w:t>
      </w:r>
      <w:r w:rsidRPr="005206E8" w:rsidDel="006059D1">
        <w:t xml:space="preserve"> is a major risk for a company (ranked </w:t>
      </w:r>
      <w:r w:rsidR="002A7736">
        <w:t>fourth</w:t>
      </w:r>
      <w:r w:rsidRPr="005206E8" w:rsidDel="006059D1">
        <w:t xml:space="preserve"> largest risk globally)</w:t>
      </w:r>
      <w:r w:rsidDel="006059D1">
        <w:t>.</w:t>
      </w:r>
      <w:r w:rsidR="003B56F5">
        <w:rPr>
          <w:rStyle w:val="FootnoteReference"/>
        </w:rPr>
        <w:footnoteReference w:id="31"/>
      </w:r>
      <w:r w:rsidR="009C7197" w:rsidDel="006059D1">
        <w:t xml:space="preserve"> </w:t>
      </w:r>
      <w:r w:rsidRPr="005206E8" w:rsidDel="006059D1">
        <w:t>Resource extraction increasingly takes place in remote areas where the capacity and experience needed to negotiate benefits is limited.</w:t>
      </w:r>
      <w:r w:rsidR="009C7197" w:rsidDel="006059D1">
        <w:t xml:space="preserve"> </w:t>
      </w:r>
      <w:r w:rsidRPr="005206E8" w:rsidDel="006059D1">
        <w:t xml:space="preserve">Excellent community development practice is required from companies if they are to </w:t>
      </w:r>
      <w:r w:rsidR="00727FCE" w:rsidDel="006059D1">
        <w:t xml:space="preserve">make their contribution to </w:t>
      </w:r>
      <w:r w:rsidRPr="005206E8" w:rsidDel="006059D1">
        <w:t>enabl</w:t>
      </w:r>
      <w:r w:rsidR="00727FCE" w:rsidDel="006059D1">
        <w:t>ing</w:t>
      </w:r>
      <w:r w:rsidRPr="005206E8" w:rsidDel="006059D1">
        <w:t xml:space="preserve"> communities to be heard and to avoid costly mistakes. However companies often experience difficulties interfacing with communities and local counterparts which dilutes the impact of otherwise well-designed social investment </w:t>
      </w:r>
      <w:r w:rsidR="00CD5CA8" w:rsidDel="006059D1">
        <w:t>program</w:t>
      </w:r>
      <w:r w:rsidRPr="005206E8" w:rsidDel="006059D1">
        <w:t>s.</w:t>
      </w:r>
      <w:r w:rsidR="009C7197" w:rsidDel="006059D1">
        <w:t xml:space="preserve"> </w:t>
      </w:r>
    </w:p>
    <w:p w14:paraId="6671EF9B" w14:textId="77777777" w:rsidR="00662E16" w:rsidRPr="005206E8" w:rsidDel="006059D1" w:rsidRDefault="00662E16" w:rsidP="002B1210">
      <w:pPr>
        <w:pStyle w:val="BodyText"/>
      </w:pPr>
      <w:r w:rsidRPr="005206E8" w:rsidDel="006059D1">
        <w:t>One area that has the potential to transform communities and is eagerly anticipated by local people is when oil, mining and gas companies enhance the opportunity for locally based business to participate in resource projects.</w:t>
      </w:r>
      <w:r w:rsidR="009C7197" w:rsidDel="006059D1">
        <w:t xml:space="preserve"> </w:t>
      </w:r>
      <w:r w:rsidRPr="005206E8" w:rsidDel="006059D1">
        <w:t>Resource companies can make substantial contributions to local employment and supply chains.</w:t>
      </w:r>
      <w:r w:rsidR="009C7197" w:rsidDel="006059D1">
        <w:t xml:space="preserve"> </w:t>
      </w:r>
      <w:r w:rsidRPr="005206E8" w:rsidDel="006059D1">
        <w:t>Between 40-80</w:t>
      </w:r>
      <w:r w:rsidR="009C0C26" w:rsidDel="006059D1">
        <w:t>%</w:t>
      </w:r>
      <w:r w:rsidRPr="005206E8" w:rsidDel="006059D1">
        <w:t xml:space="preserve"> of revenue created in the </w:t>
      </w:r>
      <w:r w:rsidR="00C7185D" w:rsidDel="006059D1">
        <w:t>extractive</w:t>
      </w:r>
      <w:r w:rsidRPr="005206E8" w:rsidDel="006059D1">
        <w:t xml:space="preserve"> sector is spent on the procurement of goods and services, often exceeding tax and royalty payments.</w:t>
      </w:r>
      <w:r w:rsidR="003B56F5">
        <w:rPr>
          <w:rStyle w:val="FootnoteReference"/>
        </w:rPr>
        <w:footnoteReference w:id="32"/>
      </w:r>
      <w:r w:rsidRPr="005206E8" w:rsidDel="006059D1">
        <w:t xml:space="preserve"> </w:t>
      </w:r>
      <w:proofErr w:type="gramStart"/>
      <w:r w:rsidRPr="005206E8" w:rsidDel="006059D1">
        <w:t>However according to the OECD, 55</w:t>
      </w:r>
      <w:r w:rsidR="009C0C26" w:rsidDel="006059D1">
        <w:t>%</w:t>
      </w:r>
      <w:r w:rsidRPr="005206E8" w:rsidDel="006059D1">
        <w:t xml:space="preserve"> of African countries have local suppliers that are not competitive on price or performance</w:t>
      </w:r>
      <w:r w:rsidDel="006059D1">
        <w:t>,</w:t>
      </w:r>
      <w:r w:rsidR="00F679DB">
        <w:rPr>
          <w:rStyle w:val="FootnoteReference"/>
        </w:rPr>
        <w:footnoteReference w:id="33"/>
      </w:r>
      <w:r w:rsidRPr="005206E8" w:rsidDel="006059D1">
        <w:t xml:space="preserve"> suggesting an important need to build the capacity of local SME.</w:t>
      </w:r>
      <w:proofErr w:type="gramEnd"/>
      <w:r w:rsidR="009C7197" w:rsidDel="006059D1">
        <w:t xml:space="preserve"> </w:t>
      </w:r>
      <w:proofErr w:type="spellStart"/>
      <w:r w:rsidRPr="005206E8" w:rsidDel="006059D1">
        <w:t>Newmonts</w:t>
      </w:r>
      <w:proofErr w:type="spellEnd"/>
      <w:r w:rsidRPr="005206E8" w:rsidDel="006059D1">
        <w:t xml:space="preserve">’ </w:t>
      </w:r>
      <w:proofErr w:type="spellStart"/>
      <w:r w:rsidRPr="005206E8" w:rsidDel="006059D1">
        <w:t>Ahafo</w:t>
      </w:r>
      <w:proofErr w:type="spellEnd"/>
      <w:r w:rsidRPr="005206E8" w:rsidDel="006059D1">
        <w:t xml:space="preserve"> Linkages program in Ghana has been particularly successful in doing this using a combination of training, enterprise centres and company strategies such as set aside to create a scheme that has created over 15,000 direct and indirect jobs.</w:t>
      </w:r>
      <w:r w:rsidR="00F679DB">
        <w:rPr>
          <w:rStyle w:val="FootnoteReference"/>
        </w:rPr>
        <w:footnoteReference w:id="34"/>
      </w:r>
      <w:r w:rsidR="0092394E">
        <w:t xml:space="preserve">  </w:t>
      </w:r>
      <w:r w:rsidR="0092394E" w:rsidRPr="005206E8" w:rsidDel="006059D1">
        <w:t>Partnerships with local communities to provide goods and service as well as to employ local people are predicated on the quality of the product and the suitability for hire of local labour.</w:t>
      </w:r>
    </w:p>
    <w:p w14:paraId="3C01FC6E" w14:textId="77777777" w:rsidR="00662E16" w:rsidRPr="005206E8" w:rsidDel="006059D1" w:rsidRDefault="00662E16" w:rsidP="002B1210">
      <w:pPr>
        <w:pStyle w:val="annexsubheading"/>
        <w:jc w:val="both"/>
      </w:pPr>
      <w:r w:rsidRPr="005206E8" w:rsidDel="006059D1">
        <w:t xml:space="preserve">Weak enabling environment for </w:t>
      </w:r>
      <w:r w:rsidR="00C7185D" w:rsidDel="006059D1">
        <w:t>extractive</w:t>
      </w:r>
      <w:r w:rsidDel="006059D1">
        <w:t xml:space="preserve"> in Africa</w:t>
      </w:r>
    </w:p>
    <w:p w14:paraId="333DC9C0" w14:textId="77777777" w:rsidR="0092394E" w:rsidRDefault="00662E16" w:rsidP="002B1210">
      <w:pPr>
        <w:pStyle w:val="BodyText"/>
      </w:pPr>
      <w:r w:rsidRPr="005206E8" w:rsidDel="006059D1">
        <w:t xml:space="preserve">Africa stands on the brink of massive capital inflows from </w:t>
      </w:r>
      <w:r w:rsidR="00C7185D" w:rsidDel="006059D1">
        <w:t>extractive</w:t>
      </w:r>
      <w:r w:rsidRPr="005206E8" w:rsidDel="006059D1">
        <w:t xml:space="preserve"> in particular oil and gas deposits off</w:t>
      </w:r>
      <w:r w:rsidDel="006059D1">
        <w:t>-</w:t>
      </w:r>
      <w:r w:rsidRPr="005206E8" w:rsidDel="006059D1">
        <w:t>shore in East and West Africa.</w:t>
      </w:r>
      <w:r w:rsidR="009C7197" w:rsidDel="006059D1">
        <w:t xml:space="preserve"> </w:t>
      </w:r>
      <w:r w:rsidRPr="005206E8" w:rsidDel="006059D1">
        <w:t>For example in Tanzania IMF estimates place the increased flow of revenues from gas, gold and nickel at US$3.5 billion annually, or 15</w:t>
      </w:r>
      <w:r w:rsidR="009C0C26" w:rsidDel="006059D1">
        <w:t>%</w:t>
      </w:r>
      <w:r w:rsidRPr="005206E8" w:rsidDel="006059D1">
        <w:t xml:space="preserve"> of GDP.</w:t>
      </w:r>
      <w:r w:rsidR="009C7197" w:rsidDel="006059D1">
        <w:t xml:space="preserve"> </w:t>
      </w:r>
      <w:proofErr w:type="gramStart"/>
      <w:r w:rsidRPr="005206E8" w:rsidDel="006059D1">
        <w:t>In Mozambique.</w:t>
      </w:r>
      <w:proofErr w:type="gramEnd"/>
      <w:r w:rsidRPr="005206E8" w:rsidDel="006059D1">
        <w:t xml:space="preserve"> Initial flows from gas and coal are estimated by the IMF at around US$3.5 billion annually, or 18</w:t>
      </w:r>
      <w:r w:rsidR="009C0C26" w:rsidDel="006059D1">
        <w:t>%</w:t>
      </w:r>
      <w:r w:rsidRPr="005206E8" w:rsidDel="006059D1">
        <w:t xml:space="preserve"> of GDP.</w:t>
      </w:r>
      <w:r w:rsidR="009C7197" w:rsidDel="006059D1">
        <w:t xml:space="preserve"> </w:t>
      </w:r>
      <w:r w:rsidRPr="005206E8" w:rsidDel="006059D1">
        <w:t>These figures represent an increase of 100</w:t>
      </w:r>
      <w:r w:rsidR="009C0C26" w:rsidDel="006059D1">
        <w:t>%</w:t>
      </w:r>
      <w:r w:rsidRPr="005206E8" w:rsidDel="006059D1">
        <w:t xml:space="preserve"> to 300</w:t>
      </w:r>
      <w:r w:rsidR="009C0C26" w:rsidDel="006059D1">
        <w:t>%</w:t>
      </w:r>
      <w:r w:rsidRPr="005206E8" w:rsidDel="006059D1">
        <w:t xml:space="preserve"> over the current budget.</w:t>
      </w:r>
      <w:r w:rsidR="00F679DB">
        <w:rPr>
          <w:rStyle w:val="FootnoteReference"/>
        </w:rPr>
        <w:footnoteReference w:id="35"/>
      </w:r>
      <w:r w:rsidR="009C7197" w:rsidDel="006059D1">
        <w:t xml:space="preserve"> </w:t>
      </w:r>
    </w:p>
    <w:p w14:paraId="647190A8" w14:textId="77777777" w:rsidR="0092394E" w:rsidRDefault="00662E16" w:rsidP="002B1210">
      <w:pPr>
        <w:pStyle w:val="BodyText"/>
      </w:pPr>
      <w:r w:rsidRPr="005206E8" w:rsidDel="006059D1">
        <w:t>The</w:t>
      </w:r>
      <w:r w:rsidR="0092394E">
        <w:t xml:space="preserve"> capacity of the</w:t>
      </w:r>
      <w:r w:rsidRPr="005206E8" w:rsidDel="006059D1">
        <w:t>se countries to leverage development outcomes for their poorest citizens will depend on</w:t>
      </w:r>
      <w:r w:rsidR="0092394E">
        <w:t>:</w:t>
      </w:r>
    </w:p>
    <w:p w14:paraId="73C768ED" w14:textId="77777777" w:rsidR="0092394E" w:rsidRDefault="00662E16" w:rsidP="0092394E">
      <w:pPr>
        <w:pStyle w:val="BodyText"/>
        <w:numPr>
          <w:ilvl w:val="0"/>
          <w:numId w:val="49"/>
        </w:numPr>
        <w:ind w:left="270" w:hanging="270"/>
      </w:pPr>
      <w:r w:rsidRPr="005206E8" w:rsidDel="006059D1">
        <w:t>the level of skilled workers and plant able to add value to exports</w:t>
      </w:r>
      <w:r w:rsidDel="006059D1">
        <w:t>;</w:t>
      </w:r>
      <w:r w:rsidR="009C7197" w:rsidDel="006059D1">
        <w:t xml:space="preserve"> </w:t>
      </w:r>
      <w:r w:rsidDel="006059D1">
        <w:t xml:space="preserve">and </w:t>
      </w:r>
    </w:p>
    <w:p w14:paraId="44113B84" w14:textId="77777777" w:rsidR="0092394E" w:rsidRDefault="0092394E" w:rsidP="0092394E">
      <w:pPr>
        <w:pStyle w:val="BodyText"/>
        <w:numPr>
          <w:ilvl w:val="0"/>
          <w:numId w:val="49"/>
        </w:numPr>
        <w:ind w:left="270" w:hanging="270"/>
      </w:pPr>
      <w:proofErr w:type="gramStart"/>
      <w:r w:rsidRPr="005206E8" w:rsidDel="006059D1">
        <w:t>the</w:t>
      </w:r>
      <w:proofErr w:type="gramEnd"/>
      <w:r w:rsidRPr="005206E8" w:rsidDel="006059D1">
        <w:t xml:space="preserve"> strength of </w:t>
      </w:r>
      <w:r w:rsidDel="006059D1">
        <w:t>their</w:t>
      </w:r>
      <w:r w:rsidRPr="005206E8" w:rsidDel="006059D1">
        <w:t xml:space="preserve"> enabling environments</w:t>
      </w:r>
      <w:r>
        <w:t xml:space="preserve">, </w:t>
      </w:r>
      <w:r w:rsidR="00662E16" w:rsidRPr="005206E8" w:rsidDel="006059D1">
        <w:t>most importantly</w:t>
      </w:r>
      <w:r w:rsidR="00662E16" w:rsidDel="006059D1">
        <w:t>,</w:t>
      </w:r>
      <w:r w:rsidR="00662E16" w:rsidRPr="005206E8" w:rsidDel="006059D1">
        <w:t xml:space="preserve"> </w:t>
      </w:r>
      <w:r>
        <w:t>the existence of extractive sector governance policies</w:t>
      </w:r>
      <w:r w:rsidR="00662E16" w:rsidRPr="005206E8" w:rsidDel="006059D1">
        <w:t xml:space="preserve"> to ensure that resources are </w:t>
      </w:r>
      <w:r w:rsidR="00662E16" w:rsidDel="006059D1">
        <w:t>harnessed</w:t>
      </w:r>
      <w:r w:rsidR="00662E16" w:rsidRPr="005206E8" w:rsidDel="006059D1">
        <w:t xml:space="preserve"> equitably.</w:t>
      </w:r>
      <w:r w:rsidR="009C7197" w:rsidDel="006059D1">
        <w:t xml:space="preserve"> </w:t>
      </w:r>
    </w:p>
    <w:p w14:paraId="642514B0" w14:textId="77777777" w:rsidR="00662E16" w:rsidRPr="005206E8" w:rsidDel="006059D1" w:rsidRDefault="00662E16" w:rsidP="002B1210">
      <w:pPr>
        <w:pStyle w:val="BodyText"/>
        <w:rPr>
          <w:i/>
        </w:rPr>
      </w:pPr>
      <w:r w:rsidRPr="005206E8" w:rsidDel="006059D1">
        <w:t xml:space="preserve">The Africa Progress Report </w:t>
      </w:r>
      <w:r w:rsidDel="006059D1">
        <w:t>(2013)</w:t>
      </w:r>
      <w:r w:rsidR="00F679DB">
        <w:rPr>
          <w:rStyle w:val="FootnoteReference"/>
        </w:rPr>
        <w:footnoteReference w:id="36"/>
      </w:r>
      <w:r w:rsidDel="006059D1">
        <w:t xml:space="preserve"> </w:t>
      </w:r>
      <w:r w:rsidRPr="005206E8" w:rsidDel="006059D1">
        <w:t xml:space="preserve">places </w:t>
      </w:r>
      <w:r w:rsidRPr="000C4B2E" w:rsidDel="006059D1">
        <w:t>transparency</w:t>
      </w:r>
      <w:r w:rsidDel="006059D1">
        <w:t xml:space="preserve"> (</w:t>
      </w:r>
      <w:r w:rsidRPr="005206E8" w:rsidDel="006059D1">
        <w:t>equipping citizens with information about levels of resource wealth and how it is managed</w:t>
      </w:r>
      <w:r w:rsidDel="006059D1">
        <w:t xml:space="preserve">) </w:t>
      </w:r>
      <w:r w:rsidRPr="005206E8" w:rsidDel="006059D1">
        <w:t xml:space="preserve">and </w:t>
      </w:r>
      <w:r w:rsidRPr="000C4B2E" w:rsidDel="006059D1">
        <w:t>accountability</w:t>
      </w:r>
      <w:r w:rsidDel="006059D1">
        <w:t xml:space="preserve"> (the creation</w:t>
      </w:r>
      <w:r w:rsidRPr="005206E8" w:rsidDel="006059D1">
        <w:t xml:space="preserve"> of mechanisms for government to ensure they are answerable for their action</w:t>
      </w:r>
      <w:r w:rsidDel="006059D1">
        <w:t>)</w:t>
      </w:r>
      <w:r w:rsidRPr="005206E8" w:rsidDel="006059D1">
        <w:t>, as cornerstone</w:t>
      </w:r>
      <w:r w:rsidDel="006059D1">
        <w:t>s</w:t>
      </w:r>
      <w:r w:rsidRPr="005206E8" w:rsidDel="006059D1">
        <w:t xml:space="preserve"> of good resource governance. Top priority is given to </w:t>
      </w:r>
      <w:r w:rsidRPr="000C4B2E" w:rsidDel="006059D1">
        <w:t>fiscal policy</w:t>
      </w:r>
      <w:r w:rsidRPr="005206E8" w:rsidDel="006059D1">
        <w:t xml:space="preserve">, mechanisms for the collection of taxes and royalties and the </w:t>
      </w:r>
      <w:r w:rsidRPr="000C4B2E" w:rsidDel="006059D1">
        <w:t>wide distribution of benefits</w:t>
      </w:r>
      <w:r w:rsidRPr="005206E8" w:rsidDel="006059D1">
        <w:rPr>
          <w:i/>
        </w:rPr>
        <w:t>.</w:t>
      </w:r>
    </w:p>
    <w:p w14:paraId="7D9786B1" w14:textId="77777777" w:rsidR="00A62DED" w:rsidRDefault="00662E16" w:rsidP="002B1210">
      <w:pPr>
        <w:pStyle w:val="BodyText"/>
        <w:rPr>
          <w:szCs w:val="20"/>
        </w:rPr>
      </w:pPr>
      <w:r w:rsidRPr="005206E8" w:rsidDel="006059D1">
        <w:t xml:space="preserve">Initiatives such as EITI, Revenue Watch and Transparency International have reporting and research activities which can be a powerful catalyst for the reform of and building up of a country’s enabling environment. </w:t>
      </w:r>
      <w:r w:rsidR="00EF465C">
        <w:t xml:space="preserve"> At present both African state-</w:t>
      </w:r>
      <w:r w:rsidRPr="005206E8" w:rsidDel="006059D1">
        <w:t xml:space="preserve">owned </w:t>
      </w:r>
      <w:r w:rsidR="00EF465C">
        <w:t>corporations</w:t>
      </w:r>
      <w:r w:rsidRPr="005206E8" w:rsidDel="006059D1">
        <w:t xml:space="preserve"> and multinational resource companies fall below acceptable levels of transparency opening the door to corruption and unfair distribution of benefits.</w:t>
      </w:r>
      <w:r w:rsidDel="006059D1">
        <w:rPr>
          <w:szCs w:val="20"/>
        </w:rPr>
        <w:t xml:space="preserve"> </w:t>
      </w:r>
      <w:r w:rsidRPr="005206E8" w:rsidDel="006059D1">
        <w:rPr>
          <w:szCs w:val="20"/>
        </w:rPr>
        <w:t>In some cases, government</w:t>
      </w:r>
      <w:r w:rsidDel="006059D1">
        <w:rPr>
          <w:szCs w:val="20"/>
        </w:rPr>
        <w:t>s’</w:t>
      </w:r>
      <w:r w:rsidRPr="005206E8" w:rsidDel="006059D1">
        <w:rPr>
          <w:szCs w:val="20"/>
        </w:rPr>
        <w:t xml:space="preserve"> and citizens’ perceptions around a failure to capture a </w:t>
      </w:r>
      <w:r w:rsidR="009C7197" w:rsidDel="006059D1">
        <w:rPr>
          <w:szCs w:val="20"/>
        </w:rPr>
        <w:t>‘</w:t>
      </w:r>
      <w:r w:rsidRPr="005206E8" w:rsidDel="006059D1">
        <w:rPr>
          <w:szCs w:val="20"/>
        </w:rPr>
        <w:t>fair share</w:t>
      </w:r>
      <w:r w:rsidR="009C7197" w:rsidDel="006059D1">
        <w:rPr>
          <w:szCs w:val="20"/>
        </w:rPr>
        <w:t>’</w:t>
      </w:r>
      <w:r w:rsidRPr="005206E8" w:rsidDel="006059D1">
        <w:rPr>
          <w:szCs w:val="20"/>
        </w:rPr>
        <w:t xml:space="preserve"> of resource rents has led to </w:t>
      </w:r>
      <w:r w:rsidR="00A62DED">
        <w:rPr>
          <w:szCs w:val="20"/>
        </w:rPr>
        <w:t xml:space="preserve">extractive initiative </w:t>
      </w:r>
      <w:r w:rsidRPr="005206E8" w:rsidDel="006059D1">
        <w:rPr>
          <w:szCs w:val="20"/>
        </w:rPr>
        <w:t>nationalis</w:t>
      </w:r>
      <w:r w:rsidR="00A62DED">
        <w:rPr>
          <w:szCs w:val="20"/>
        </w:rPr>
        <w:t>m</w:t>
      </w:r>
      <w:r w:rsidRPr="005206E8" w:rsidDel="006059D1">
        <w:rPr>
          <w:szCs w:val="20"/>
        </w:rPr>
        <w:t xml:space="preserve"> (</w:t>
      </w:r>
      <w:r w:rsidR="002A7736">
        <w:rPr>
          <w:szCs w:val="20"/>
        </w:rPr>
        <w:t>third</w:t>
      </w:r>
      <w:r w:rsidRPr="005206E8" w:rsidDel="006059D1">
        <w:rPr>
          <w:szCs w:val="20"/>
        </w:rPr>
        <w:t xml:space="preserve"> biggest business risk for the sector in 2013</w:t>
      </w:r>
      <w:r w:rsidR="009C0C26" w:rsidDel="006059D1">
        <w:rPr>
          <w:szCs w:val="20"/>
        </w:rPr>
        <w:t>–20</w:t>
      </w:r>
      <w:r w:rsidRPr="005206E8" w:rsidDel="006059D1">
        <w:rPr>
          <w:szCs w:val="20"/>
        </w:rPr>
        <w:t>14)</w:t>
      </w:r>
      <w:r w:rsidDel="006059D1">
        <w:rPr>
          <w:szCs w:val="20"/>
        </w:rPr>
        <w:t>.</w:t>
      </w:r>
      <w:r w:rsidR="00F679DB">
        <w:rPr>
          <w:rStyle w:val="FootnoteReference"/>
          <w:szCs w:val="20"/>
        </w:rPr>
        <w:footnoteReference w:id="37"/>
      </w:r>
      <w:r w:rsidR="009C7197" w:rsidDel="006059D1">
        <w:rPr>
          <w:szCs w:val="20"/>
        </w:rPr>
        <w:t xml:space="preserve"> </w:t>
      </w:r>
      <w:r w:rsidDel="006059D1">
        <w:rPr>
          <w:szCs w:val="20"/>
        </w:rPr>
        <w:t xml:space="preserve">This </w:t>
      </w:r>
      <w:r w:rsidRPr="005206E8" w:rsidDel="006059D1">
        <w:rPr>
          <w:szCs w:val="20"/>
        </w:rPr>
        <w:t>can precipitate a fall in investment and growth.</w:t>
      </w:r>
      <w:r w:rsidR="009C7197" w:rsidDel="006059D1">
        <w:rPr>
          <w:szCs w:val="20"/>
        </w:rPr>
        <w:t xml:space="preserve"> </w:t>
      </w:r>
    </w:p>
    <w:p w14:paraId="39171D93" w14:textId="77777777" w:rsidR="00662E16" w:rsidRPr="005206E8" w:rsidDel="006059D1" w:rsidRDefault="00662E16" w:rsidP="002B1210">
      <w:pPr>
        <w:pStyle w:val="BodyText"/>
      </w:pPr>
      <w:r w:rsidRPr="005206E8" w:rsidDel="006059D1">
        <w:rPr>
          <w:szCs w:val="20"/>
        </w:rPr>
        <w:t xml:space="preserve">Weak government capacity to conceive and negotiate contracts can result in </w:t>
      </w:r>
      <w:r w:rsidRPr="005206E8" w:rsidDel="006059D1">
        <w:t>substantial loss of public revenue</w:t>
      </w:r>
      <w:r w:rsidR="00A62DED">
        <w:t xml:space="preserve">, </w:t>
      </w:r>
      <w:r w:rsidR="008D5350" w:rsidDel="006059D1">
        <w:t>n</w:t>
      </w:r>
      <w:r w:rsidRPr="005206E8" w:rsidDel="006059D1">
        <w:t>atural resource degradation and depletion, loss of access to resources for local communities</w:t>
      </w:r>
      <w:r w:rsidR="00A62DED">
        <w:t>,</w:t>
      </w:r>
      <w:r w:rsidRPr="005206E8" w:rsidDel="006059D1">
        <w:t xml:space="preserve"> and</w:t>
      </w:r>
      <w:r w:rsidR="00A62DED">
        <w:t xml:space="preserve"> ultimately</w:t>
      </w:r>
      <w:r w:rsidRPr="005206E8" w:rsidDel="006059D1">
        <w:t xml:space="preserve"> the non-achievement of larger development goals of a country. Institutional capacity building in this area is thus vital. </w:t>
      </w:r>
    </w:p>
    <w:p w14:paraId="46D6722F" w14:textId="77777777" w:rsidR="00662E16" w:rsidRPr="004C5B28" w:rsidDel="006059D1" w:rsidRDefault="00662E16" w:rsidP="002B1210">
      <w:pPr>
        <w:pStyle w:val="annexsubheading"/>
        <w:jc w:val="both"/>
      </w:pPr>
      <w:r w:rsidDel="006059D1">
        <w:t xml:space="preserve">Africa’s </w:t>
      </w:r>
      <w:r w:rsidRPr="004C5B28" w:rsidDel="006059D1">
        <w:t>infrastructure gap</w:t>
      </w:r>
    </w:p>
    <w:p w14:paraId="2BE7507D" w14:textId="77777777" w:rsidR="008B254E" w:rsidRDefault="00662E16" w:rsidP="002B1210">
      <w:pPr>
        <w:pStyle w:val="BodyText"/>
      </w:pPr>
      <w:r w:rsidRPr="005206E8" w:rsidDel="006059D1">
        <w:t>Poor or non-existent infrastructure to support extractive development for example power and water supplies, roads, rail and ports is a key constraint to extractive sector development in Africa.</w:t>
      </w:r>
      <w:r w:rsidR="009C7197" w:rsidDel="006059D1">
        <w:t xml:space="preserve"> </w:t>
      </w:r>
      <w:r w:rsidRPr="005206E8" w:rsidDel="006059D1">
        <w:t>One study estimates that this infrastructure financing gap is cutting GDP growth by about 2.2</w:t>
      </w:r>
      <w:r w:rsidR="009C0C26" w:rsidDel="006059D1">
        <w:t>%</w:t>
      </w:r>
      <w:r w:rsidR="004107C3">
        <w:t>;</w:t>
      </w:r>
      <w:r w:rsidRPr="005206E8" w:rsidDel="006059D1">
        <w:t xml:space="preserve"> the difference between current African growth levels and East Asian growth.</w:t>
      </w:r>
      <w:r w:rsidR="00F679DB">
        <w:rPr>
          <w:rStyle w:val="FootnoteReference"/>
        </w:rPr>
        <w:footnoteReference w:id="38"/>
      </w:r>
      <w:r w:rsidR="009C7197" w:rsidDel="006059D1">
        <w:t xml:space="preserve"> </w:t>
      </w:r>
      <w:r w:rsidRPr="005206E8" w:rsidDel="006059D1">
        <w:t>Extractive companies are expected to invest almost $2 trillio</w:t>
      </w:r>
      <w:r w:rsidDel="006059D1">
        <w:t>n in infrastructure in resource-</w:t>
      </w:r>
      <w:r w:rsidRPr="005206E8" w:rsidDel="006059D1">
        <w:t xml:space="preserve">driven economies by 2030, which if adequately planned and managed (e.g. through shared infrastructure and public-private partnership models) could be leveraged to broaden and diversify economic growth in non-mining sectors such as agriculture, manufacturing and services. </w:t>
      </w:r>
    </w:p>
    <w:p w14:paraId="640795F6" w14:textId="77777777" w:rsidR="00662E16" w:rsidRPr="005206E8" w:rsidDel="006059D1" w:rsidRDefault="00662E16" w:rsidP="002B1210">
      <w:pPr>
        <w:pStyle w:val="BodyText"/>
        <w:rPr>
          <w:i/>
        </w:rPr>
      </w:pPr>
      <w:r w:rsidRPr="005206E8" w:rsidDel="006059D1">
        <w:t>Unfortunately many African governments do not have the infrastructure planning and management skills or the finance required to address this infrastructure gap.</w:t>
      </w:r>
      <w:r w:rsidR="00F679DB">
        <w:rPr>
          <w:rStyle w:val="FootnoteReference"/>
        </w:rPr>
        <w:footnoteReference w:id="39"/>
      </w:r>
      <w:r w:rsidRPr="005206E8" w:rsidDel="006059D1">
        <w:t xml:space="preserve"> </w:t>
      </w:r>
      <w:r w:rsidDel="006059D1">
        <w:t>African g</w:t>
      </w:r>
      <w:r w:rsidRPr="005206E8" w:rsidDel="006059D1">
        <w:t>overnment</w:t>
      </w:r>
      <w:r w:rsidDel="006059D1">
        <w:t>s</w:t>
      </w:r>
      <w:r w:rsidRPr="005206E8" w:rsidDel="006059D1">
        <w:t xml:space="preserve"> </w:t>
      </w:r>
      <w:r w:rsidDel="006059D1">
        <w:t>would be wise to</w:t>
      </w:r>
      <w:r w:rsidRPr="005206E8" w:rsidDel="006059D1">
        <w:t xml:space="preserve"> ensure that </w:t>
      </w:r>
      <w:r w:rsidDel="006059D1">
        <w:t xml:space="preserve">any </w:t>
      </w:r>
      <w:r w:rsidRPr="005206E8" w:rsidDel="006059D1">
        <w:t xml:space="preserve">new infrastructure put in place by the extractive industry for its own needs is </w:t>
      </w:r>
      <w:r w:rsidDel="006059D1">
        <w:t xml:space="preserve">also </w:t>
      </w:r>
      <w:r w:rsidRPr="005206E8" w:rsidDel="006059D1">
        <w:t xml:space="preserve">multi-user and </w:t>
      </w:r>
      <w:r w:rsidDel="006059D1">
        <w:t xml:space="preserve">will </w:t>
      </w:r>
      <w:r w:rsidRPr="005206E8" w:rsidDel="006059D1">
        <w:t xml:space="preserve">serve the </w:t>
      </w:r>
      <w:r w:rsidR="002A7736">
        <w:t>long-term</w:t>
      </w:r>
      <w:r w:rsidRPr="005206E8" w:rsidDel="006059D1">
        <w:t xml:space="preserve"> good of </w:t>
      </w:r>
      <w:r w:rsidDel="006059D1">
        <w:t>citizens</w:t>
      </w:r>
      <w:r w:rsidRPr="005206E8" w:rsidDel="006059D1">
        <w:t xml:space="preserve">. </w:t>
      </w:r>
    </w:p>
    <w:p w14:paraId="1210F44F" w14:textId="77777777" w:rsidR="00662E16" w:rsidRDefault="00662E16" w:rsidP="002B1210">
      <w:pPr>
        <w:pStyle w:val="annexsubheading"/>
        <w:jc w:val="both"/>
      </w:pPr>
      <w:r>
        <w:t>Recommendations</w:t>
      </w:r>
    </w:p>
    <w:p w14:paraId="2F792A6E" w14:textId="77777777" w:rsidR="009C7197" w:rsidRDefault="00662E16" w:rsidP="008B254E">
      <w:pPr>
        <w:pStyle w:val="List-number-1"/>
        <w:numPr>
          <w:ilvl w:val="0"/>
          <w:numId w:val="25"/>
        </w:numPr>
        <w:jc w:val="both"/>
      </w:pPr>
      <w:r w:rsidRPr="006059D1">
        <w:rPr>
          <w:b/>
        </w:rPr>
        <w:t>The growing African extractive sector does not have the wide range of skills</w:t>
      </w:r>
      <w:r w:rsidRPr="008E1531">
        <w:t xml:space="preserve"> </w:t>
      </w:r>
      <w:r w:rsidRPr="00662E16">
        <w:t xml:space="preserve">required at all points across the project life cycle from exploration through rehabilitation of areas impacted </w:t>
      </w:r>
      <w:r w:rsidR="00F4515A">
        <w:t xml:space="preserve">by resource extraction. The </w:t>
      </w:r>
      <w:proofErr w:type="spellStart"/>
      <w:r w:rsidR="00F4515A">
        <w:t>Go</w:t>
      </w:r>
      <w:r w:rsidRPr="00662E16">
        <w:t>A’s</w:t>
      </w:r>
      <w:proofErr w:type="spellEnd"/>
      <w:r w:rsidRPr="00662E16">
        <w:t xml:space="preserve"> strategy </w:t>
      </w:r>
      <w:r w:rsidR="00F4515A">
        <w:t>needs to</w:t>
      </w:r>
      <w:r w:rsidRPr="00662E16">
        <w:t xml:space="preserve"> provide opportunities for capacity development at all levels through the </w:t>
      </w:r>
      <w:r w:rsidR="00D92793">
        <w:t>Australia Awards</w:t>
      </w:r>
      <w:r w:rsidRPr="00662E16">
        <w:t xml:space="preserve"> for postgraduate studies in all aspects of </w:t>
      </w:r>
      <w:r w:rsidR="00C7185D">
        <w:t>extractive</w:t>
      </w:r>
      <w:r w:rsidRPr="00662E16">
        <w:t xml:space="preserve"> development, project management skills through the infrastructure for development program and in TVET where the focus is on training institutional capacity development.</w:t>
      </w:r>
    </w:p>
    <w:p w14:paraId="565D8C7C" w14:textId="7D025A9D" w:rsidR="009C7197" w:rsidRDefault="00662E16" w:rsidP="008B254E">
      <w:pPr>
        <w:pStyle w:val="List-number-1"/>
        <w:jc w:val="both"/>
      </w:pPr>
      <w:r w:rsidRPr="008E1531">
        <w:rPr>
          <w:b/>
        </w:rPr>
        <w:t>Donors considering partnerships with the private sector must have an understanding of how the extractive industries work</w:t>
      </w:r>
      <w:r w:rsidR="008E1531">
        <w:rPr>
          <w:b/>
        </w:rPr>
        <w:t>:</w:t>
      </w:r>
      <w:r w:rsidRPr="00662E16">
        <w:t xml:space="preserve"> Initiatives such as the</w:t>
      </w:r>
      <w:r w:rsidR="004107C3">
        <w:t xml:space="preserve"> </w:t>
      </w:r>
      <w:r w:rsidR="007E78F8" w:rsidRPr="007E78F8">
        <w:t>International Council on Mining and Metals</w:t>
      </w:r>
      <w:r w:rsidR="007E78F8">
        <w:t>’</w:t>
      </w:r>
      <w:r w:rsidR="007E78F8" w:rsidRPr="007E78F8">
        <w:t xml:space="preserve"> </w:t>
      </w:r>
      <w:r w:rsidRPr="00662E16">
        <w:rPr>
          <w:i/>
        </w:rPr>
        <w:t>Mini</w:t>
      </w:r>
      <w:r w:rsidR="004107C3">
        <w:rPr>
          <w:i/>
        </w:rPr>
        <w:t>ng: Partnerships for Development</w:t>
      </w:r>
      <w:r w:rsidRPr="00662E16">
        <w:t xml:space="preserve"> recognises that donors, governments and industry often speak different languages, and have had some success in opening up dialogue between different stakeholders. Partnership programs need to be tailored to address the challenges specific to the phase in the lifecycle </w:t>
      </w:r>
      <w:r w:rsidR="00F4515A">
        <w:t>in which a project is situated</w:t>
      </w:r>
      <w:r w:rsidRPr="00662E16">
        <w:t xml:space="preserve">. Donors also need to understand the nature of the </w:t>
      </w:r>
      <w:r w:rsidR="00393373">
        <w:t xml:space="preserve">private sector </w:t>
      </w:r>
      <w:r w:rsidRPr="00662E16">
        <w:t xml:space="preserve">company they wish to partner with </w:t>
      </w:r>
      <w:r w:rsidR="00393373">
        <w:t>as</w:t>
      </w:r>
      <w:r w:rsidRPr="00662E16">
        <w:t xml:space="preserve"> companies vary widely, e.g. in the sophistication of their social investment frameworks and their experience of working with donors and government.</w:t>
      </w:r>
      <w:r w:rsidR="009C7197">
        <w:t xml:space="preserve"> </w:t>
      </w:r>
      <w:r w:rsidRPr="00662E16">
        <w:t>If there is increased understanding of the industry, this will lead to donor initiatives that are more appropriately designed and ultimately more effective</w:t>
      </w:r>
      <w:r w:rsidR="00E72C89">
        <w:t>, particularly in terms of community inclusiveness</w:t>
      </w:r>
      <w:r w:rsidRPr="00662E16">
        <w:t xml:space="preserve">. </w:t>
      </w:r>
    </w:p>
    <w:p w14:paraId="5DE358AC" w14:textId="77777777" w:rsidR="00662E16" w:rsidRPr="008E1531" w:rsidRDefault="00662E16" w:rsidP="008B254E">
      <w:pPr>
        <w:pStyle w:val="List-number-1"/>
        <w:jc w:val="both"/>
        <w:rPr>
          <w:b/>
        </w:rPr>
      </w:pPr>
      <w:r w:rsidRPr="008E1531">
        <w:rPr>
          <w:b/>
        </w:rPr>
        <w:t xml:space="preserve">The promise of sustainable growth for communities in areas impacted by the </w:t>
      </w:r>
      <w:r w:rsidR="00C7185D" w:rsidRPr="008E1531">
        <w:rPr>
          <w:b/>
        </w:rPr>
        <w:t>extractive</w:t>
      </w:r>
      <w:r w:rsidRPr="008E1531">
        <w:rPr>
          <w:b/>
        </w:rPr>
        <w:t xml:space="preserve"> both at an individual and a collective level is not often realised</w:t>
      </w:r>
      <w:r w:rsidR="008E1531" w:rsidRPr="008E1531">
        <w:rPr>
          <w:b/>
        </w:rPr>
        <w:t>:</w:t>
      </w:r>
      <w:r w:rsidR="009C7197" w:rsidRPr="008E1531">
        <w:rPr>
          <w:b/>
        </w:rPr>
        <w:t xml:space="preserve"> </w:t>
      </w:r>
    </w:p>
    <w:p w14:paraId="75CDA056" w14:textId="77777777" w:rsidR="00662E16" w:rsidRPr="00662E16" w:rsidRDefault="003B2A65" w:rsidP="008B254E">
      <w:pPr>
        <w:pStyle w:val="List-bullet-1"/>
      </w:pPr>
      <w:r>
        <w:t>Activities</w:t>
      </w:r>
      <w:r w:rsidR="00662E16" w:rsidRPr="00662E16">
        <w:t xml:space="preserve"> such as those proposed </w:t>
      </w:r>
      <w:r>
        <w:t>under</w:t>
      </w:r>
      <w:r w:rsidR="00662E16" w:rsidRPr="00662E16">
        <w:t xml:space="preserve"> the </w:t>
      </w:r>
      <w:r>
        <w:t>E4G Component</w:t>
      </w:r>
      <w:r w:rsidR="00662E16" w:rsidRPr="00662E16">
        <w:t xml:space="preserve"> </w:t>
      </w:r>
      <w:r>
        <w:t>need</w:t>
      </w:r>
      <w:r w:rsidR="00662E16" w:rsidRPr="00662E16">
        <w:t xml:space="preserve"> to work alongside companies working in the extractive industry to assist in deepening stakeholder engagement, providing links through which local people can participate both in employment within the extractive industry and in business that supports the industry locally</w:t>
      </w:r>
      <w:r>
        <w:t xml:space="preserve"> (i.e. extractive-related SMEs)</w:t>
      </w:r>
      <w:r w:rsidR="00662E16" w:rsidRPr="00662E16">
        <w:t>.</w:t>
      </w:r>
    </w:p>
    <w:p w14:paraId="6C8D0BFC" w14:textId="77777777" w:rsidR="009C7197" w:rsidRDefault="00662E16" w:rsidP="002B1210">
      <w:pPr>
        <w:pStyle w:val="List-bullet-1"/>
      </w:pPr>
      <w:r w:rsidRPr="00662E16">
        <w:t>Donors and NGO groups (such as the Australia</w:t>
      </w:r>
      <w:r w:rsidR="002F30BC">
        <w:t>–</w:t>
      </w:r>
      <w:r w:rsidRPr="00662E16">
        <w:t>Africa Community Engagement Scheme can be valuable partners in achieving such engagement and link</w:t>
      </w:r>
      <w:r w:rsidR="003B2A65">
        <w:t>s</w:t>
      </w:r>
      <w:r w:rsidRPr="00662E16">
        <w:t>.</w:t>
      </w:r>
    </w:p>
    <w:p w14:paraId="7A11AF6A" w14:textId="77777777" w:rsidR="009C7197" w:rsidRDefault="00662E16" w:rsidP="002B1210">
      <w:pPr>
        <w:pStyle w:val="List-number-1"/>
        <w:jc w:val="both"/>
      </w:pPr>
      <w:r w:rsidRPr="008E1531">
        <w:rPr>
          <w:b/>
        </w:rPr>
        <w:t>Enabling environments in Africa may lack some skills needed to negotiate and regulate large scale extractive projects</w:t>
      </w:r>
      <w:r w:rsidR="008E1531">
        <w:rPr>
          <w:b/>
        </w:rPr>
        <w:t>:</w:t>
      </w:r>
      <w:r w:rsidR="003B2A65">
        <w:t xml:space="preserve"> Opportunities exist for </w:t>
      </w:r>
      <w:proofErr w:type="spellStart"/>
      <w:r w:rsidR="003B2A65">
        <w:t>Go</w:t>
      </w:r>
      <w:r w:rsidRPr="00662E16">
        <w:t>A</w:t>
      </w:r>
      <w:proofErr w:type="spellEnd"/>
      <w:r w:rsidRPr="00662E16">
        <w:t xml:space="preserve"> to assist with focussed capacity development </w:t>
      </w:r>
      <w:r w:rsidR="007F015A">
        <w:t>activities</w:t>
      </w:r>
      <w:r w:rsidRPr="00662E16">
        <w:t xml:space="preserve"> targeting transparency initiatives and </w:t>
      </w:r>
      <w:r w:rsidR="007F015A">
        <w:t xml:space="preserve">the </w:t>
      </w:r>
      <w:r w:rsidRPr="00662E16">
        <w:t>skills required for contract negotiation.</w:t>
      </w:r>
    </w:p>
    <w:p w14:paraId="138372DE" w14:textId="77777777" w:rsidR="009C7197" w:rsidRDefault="00662E16" w:rsidP="002B1210">
      <w:pPr>
        <w:pStyle w:val="List-number-1"/>
        <w:jc w:val="both"/>
        <w:rPr>
          <w:lang w:eastAsia="en-AU"/>
        </w:rPr>
      </w:pPr>
      <w:r w:rsidRPr="008E1531">
        <w:rPr>
          <w:b/>
          <w:lang w:eastAsia="en-AU"/>
        </w:rPr>
        <w:t xml:space="preserve">Poor or non-existent infrastructure is hampering the development of the </w:t>
      </w:r>
      <w:r w:rsidR="008E1531">
        <w:rPr>
          <w:b/>
          <w:lang w:eastAsia="en-AU"/>
        </w:rPr>
        <w:t>extractive sector across Africa:</w:t>
      </w:r>
      <w:r w:rsidRPr="00662E16">
        <w:rPr>
          <w:lang w:eastAsia="en-AU"/>
        </w:rPr>
        <w:t xml:space="preserve"> The capacity to manage large infra-structure corridor projects for the extractive sector is weak.</w:t>
      </w:r>
      <w:r w:rsidR="009C7197">
        <w:rPr>
          <w:lang w:eastAsia="en-AU"/>
        </w:rPr>
        <w:t xml:space="preserve"> </w:t>
      </w:r>
      <w:r w:rsidRPr="00662E16">
        <w:rPr>
          <w:lang w:eastAsia="en-AU"/>
        </w:rPr>
        <w:t>Targeted assistance is needed to provide training in project management skills</w:t>
      </w:r>
      <w:r w:rsidR="007F015A">
        <w:rPr>
          <w:lang w:eastAsia="en-AU"/>
        </w:rPr>
        <w:t>, particularly infrastructure project planning,</w:t>
      </w:r>
      <w:r w:rsidRPr="00662E16">
        <w:rPr>
          <w:lang w:eastAsia="en-AU"/>
        </w:rPr>
        <w:t xml:space="preserve"> for those working in this sector. </w:t>
      </w:r>
    </w:p>
    <w:p w14:paraId="34DA5DC8" w14:textId="77777777" w:rsidR="00961789" w:rsidRPr="00961789" w:rsidRDefault="00961789" w:rsidP="00460FD7">
      <w:pPr>
        <w:pStyle w:val="annexheading"/>
        <w:tabs>
          <w:tab w:val="left" w:pos="1701"/>
        </w:tabs>
      </w:pPr>
      <w:bookmarkStart w:id="58" w:name="_Toc399104630"/>
      <w:bookmarkStart w:id="59" w:name="_Toc401578433"/>
      <w:r w:rsidRPr="00961789">
        <w:t>Annex B:</w:t>
      </w:r>
      <w:r w:rsidR="008E1531">
        <w:t xml:space="preserve"> </w:t>
      </w:r>
      <w:r w:rsidR="000E3CB9">
        <w:t>Key Lessons Learned from P</w:t>
      </w:r>
      <w:r w:rsidRPr="00961789">
        <w:t xml:space="preserve">revious </w:t>
      </w:r>
      <w:r w:rsidR="000E3CB9">
        <w:t>A</w:t>
      </w:r>
      <w:r w:rsidR="009E425A">
        <w:t>ctivities</w:t>
      </w:r>
      <w:bookmarkEnd w:id="58"/>
      <w:bookmarkEnd w:id="59"/>
    </w:p>
    <w:p w14:paraId="384C7ECC" w14:textId="77777777" w:rsidR="009C7197" w:rsidRDefault="00A97ADF" w:rsidP="002B1210">
      <w:pPr>
        <w:pStyle w:val="BodyText"/>
      </w:pPr>
      <w:r>
        <w:t>A s</w:t>
      </w:r>
      <w:r w:rsidR="00407CD6">
        <w:t>ummar</w:t>
      </w:r>
      <w:r>
        <w:t>y</w:t>
      </w:r>
      <w:r w:rsidR="00407CD6">
        <w:t xml:space="preserve"> of the k</w:t>
      </w:r>
      <w:r w:rsidR="00961789" w:rsidRPr="00961789">
        <w:t xml:space="preserve">ey lessons learned from previous </w:t>
      </w:r>
      <w:r w:rsidR="00A74049">
        <w:t>extractive-sector related</w:t>
      </w:r>
      <w:r w:rsidR="00A74049" w:rsidRPr="00961789">
        <w:t xml:space="preserve"> </w:t>
      </w:r>
      <w:r w:rsidR="00961789" w:rsidRPr="00961789">
        <w:t xml:space="preserve">investments </w:t>
      </w:r>
      <w:r>
        <w:t>is</w:t>
      </w:r>
      <w:r w:rsidRPr="00961789">
        <w:t xml:space="preserve"> </w:t>
      </w:r>
      <w:r w:rsidR="00961789" w:rsidRPr="00961789">
        <w:t>set out below.</w:t>
      </w:r>
    </w:p>
    <w:p w14:paraId="69A93A57" w14:textId="77777777" w:rsidR="00961789" w:rsidRPr="00961789" w:rsidRDefault="00961789" w:rsidP="002B1210">
      <w:pPr>
        <w:pStyle w:val="annexsubheading"/>
        <w:jc w:val="both"/>
      </w:pPr>
      <w:r>
        <w:t>AAPF Operations</w:t>
      </w:r>
    </w:p>
    <w:p w14:paraId="1C2FFA78" w14:textId="77777777" w:rsidR="009C7197" w:rsidRDefault="00961789" w:rsidP="00F32EF1">
      <w:pPr>
        <w:pStyle w:val="List-number-1"/>
        <w:numPr>
          <w:ilvl w:val="0"/>
          <w:numId w:val="28"/>
        </w:numPr>
        <w:jc w:val="both"/>
      </w:pPr>
      <w:r w:rsidRPr="00A74049">
        <w:rPr>
          <w:b/>
        </w:rPr>
        <w:t>Robust activity design needed covering all relevant aspects of course</w:t>
      </w:r>
      <w:r w:rsidR="0017386D" w:rsidRPr="00A74049">
        <w:rPr>
          <w:b/>
        </w:rPr>
        <w:t>,</w:t>
      </w:r>
      <w:r w:rsidRPr="00A74049">
        <w:rPr>
          <w:b/>
        </w:rPr>
        <w:t xml:space="preserve"> including:</w:t>
      </w:r>
      <w:r w:rsidR="000D5F9C">
        <w:t xml:space="preserve"> </w:t>
      </w:r>
      <w:r w:rsidRPr="00961789">
        <w:t>Relevance, effectiveness, gender, risk management and budget, rigorous quality assurance system: templates and review of large course by a third party</w:t>
      </w:r>
      <w:r w:rsidR="004107C3">
        <w:t>.</w:t>
      </w:r>
    </w:p>
    <w:p w14:paraId="77A87F6B" w14:textId="77777777" w:rsidR="009C7197" w:rsidRDefault="00961789" w:rsidP="002B1210">
      <w:pPr>
        <w:pStyle w:val="List-number-1"/>
        <w:ind w:left="357" w:hanging="357"/>
        <w:jc w:val="both"/>
      </w:pPr>
      <w:r w:rsidRPr="000D5F9C">
        <w:rPr>
          <w:b/>
        </w:rPr>
        <w:t>The inception phase is</w:t>
      </w:r>
      <w:r w:rsidRPr="000D5F9C">
        <w:rPr>
          <w:b/>
          <w:lang w:val="en-NZ"/>
        </w:rPr>
        <w:t xml:space="preserve"> important</w:t>
      </w:r>
      <w:r w:rsidR="000D5F9C" w:rsidRPr="000D5F9C">
        <w:rPr>
          <w:b/>
          <w:lang w:val="en-NZ"/>
        </w:rPr>
        <w:t>:</w:t>
      </w:r>
      <w:r w:rsidR="000D5F9C">
        <w:rPr>
          <w:lang w:val="en-NZ"/>
        </w:rPr>
        <w:t xml:space="preserve"> </w:t>
      </w:r>
      <w:r w:rsidRPr="00961789">
        <w:rPr>
          <w:lang w:val="en-NZ"/>
        </w:rPr>
        <w:t>There is a need to ensure all government to</w:t>
      </w:r>
      <w:r w:rsidRPr="00961789">
        <w:t xml:space="preserve"> government agreements are in place. </w:t>
      </w:r>
    </w:p>
    <w:p w14:paraId="162D240F" w14:textId="77777777" w:rsidR="009C7197" w:rsidRDefault="00961789" w:rsidP="002B1210">
      <w:pPr>
        <w:pStyle w:val="List-number-1"/>
        <w:ind w:left="357" w:hanging="357"/>
        <w:jc w:val="both"/>
      </w:pPr>
      <w:r w:rsidRPr="000D5F9C">
        <w:rPr>
          <w:b/>
        </w:rPr>
        <w:t>Gender and social inclusion considerations and effort required to promote gender equita</w:t>
      </w:r>
      <w:r w:rsidR="000D5F9C" w:rsidRPr="000D5F9C">
        <w:rPr>
          <w:b/>
        </w:rPr>
        <w:t>ble participation are important:</w:t>
      </w:r>
      <w:r w:rsidR="000D5F9C">
        <w:t xml:space="preserve"> </w:t>
      </w:r>
      <w:r w:rsidRPr="00961789">
        <w:t>Successful approaches include encouraging African governments to nominate women, tailoring certain activities for women, conducting women only workshops.</w:t>
      </w:r>
    </w:p>
    <w:p w14:paraId="5CCD1469" w14:textId="77777777" w:rsidR="00961789" w:rsidRPr="00961789" w:rsidRDefault="00961789" w:rsidP="002B1210">
      <w:pPr>
        <w:pStyle w:val="List-number-1"/>
        <w:ind w:left="357" w:hanging="357"/>
        <w:jc w:val="both"/>
        <w:rPr>
          <w:b/>
        </w:rPr>
      </w:pPr>
      <w:r w:rsidRPr="000D5F9C">
        <w:rPr>
          <w:b/>
        </w:rPr>
        <w:t>Complex financial management skills required</w:t>
      </w:r>
      <w:r w:rsidR="000D5F9C" w:rsidRPr="000D5F9C">
        <w:rPr>
          <w:b/>
        </w:rPr>
        <w:t>:</w:t>
      </w:r>
      <w:r w:rsidR="000D5F9C">
        <w:t xml:space="preserve"> </w:t>
      </w:r>
      <w:r w:rsidR="0017386D">
        <w:t>Host government</w:t>
      </w:r>
      <w:r w:rsidR="001B7DCB">
        <w:t xml:space="preserve"> / </w:t>
      </w:r>
      <w:r w:rsidRPr="00961789">
        <w:t>sub</w:t>
      </w:r>
      <w:r w:rsidR="00025233">
        <w:t>-contractors</w:t>
      </w:r>
      <w:r w:rsidRPr="00961789">
        <w:t xml:space="preserve"> may need assistance in meeting needs of </w:t>
      </w:r>
      <w:proofErr w:type="spellStart"/>
      <w:r w:rsidR="003340E8">
        <w:t>GoA</w:t>
      </w:r>
      <w:proofErr w:type="spellEnd"/>
      <w:r w:rsidRPr="00961789">
        <w:t xml:space="preserve"> and </w:t>
      </w:r>
      <w:r w:rsidR="00F82AD6">
        <w:t>MC</w:t>
      </w:r>
      <w:r w:rsidRPr="00961789">
        <w:t>s</w:t>
      </w:r>
      <w:r w:rsidRPr="00961789">
        <w:rPr>
          <w:b/>
        </w:rPr>
        <w:t>.</w:t>
      </w:r>
    </w:p>
    <w:p w14:paraId="4294EC7E" w14:textId="77777777" w:rsidR="009C7197" w:rsidRDefault="00961789" w:rsidP="002B1210">
      <w:pPr>
        <w:pStyle w:val="List-number-1"/>
        <w:ind w:left="357" w:hanging="357"/>
        <w:jc w:val="both"/>
        <w:rPr>
          <w:b/>
        </w:rPr>
      </w:pPr>
      <w:r w:rsidRPr="000D5F9C">
        <w:rPr>
          <w:b/>
        </w:rPr>
        <w:t>Managing expectations</w:t>
      </w:r>
      <w:r w:rsidR="000D5F9C" w:rsidRPr="000D5F9C">
        <w:rPr>
          <w:b/>
        </w:rPr>
        <w:t>:</w:t>
      </w:r>
      <w:r w:rsidR="000D5F9C">
        <w:t xml:space="preserve"> </w:t>
      </w:r>
      <w:r w:rsidRPr="00961789">
        <w:t>Expectation management is important and may include establishing from the outset whether a project is likely to have follow-up activities</w:t>
      </w:r>
      <w:r w:rsidRPr="00961789">
        <w:rPr>
          <w:b/>
        </w:rPr>
        <w:t>.</w:t>
      </w:r>
      <w:r w:rsidR="009C7197">
        <w:rPr>
          <w:b/>
        </w:rPr>
        <w:t xml:space="preserve"> </w:t>
      </w:r>
    </w:p>
    <w:p w14:paraId="66416A46" w14:textId="77777777" w:rsidR="00961789" w:rsidRPr="00961789" w:rsidRDefault="00961789" w:rsidP="002B1210">
      <w:pPr>
        <w:pStyle w:val="annexsubheading"/>
        <w:jc w:val="both"/>
      </w:pPr>
      <w:r>
        <w:t xml:space="preserve">AAPF </w:t>
      </w:r>
      <w:r w:rsidRPr="00961789">
        <w:t>Monitoring and Evaluation:</w:t>
      </w:r>
    </w:p>
    <w:p w14:paraId="7696EAB9" w14:textId="77777777" w:rsidR="009C7197" w:rsidRDefault="00961789" w:rsidP="002B1210">
      <w:pPr>
        <w:pStyle w:val="List-number-1"/>
        <w:ind w:left="357" w:hanging="357"/>
        <w:jc w:val="both"/>
      </w:pPr>
      <w:r w:rsidRPr="000D5F9C">
        <w:rPr>
          <w:b/>
        </w:rPr>
        <w:t>Establish an overarching Theory of Change that guides Performance Assessment Framework as a whole</w:t>
      </w:r>
      <w:r w:rsidR="000D5F9C" w:rsidRPr="000D5F9C">
        <w:rPr>
          <w:b/>
        </w:rPr>
        <w:t>:</w:t>
      </w:r>
      <w:r w:rsidR="000D5F9C">
        <w:t xml:space="preserve"> </w:t>
      </w:r>
      <w:r w:rsidRPr="00961789">
        <w:t xml:space="preserve">This framework would include DFAT-required reporting, activity completion reports and follow up studies to gauge impact of activities. </w:t>
      </w:r>
    </w:p>
    <w:p w14:paraId="16B7BF9C" w14:textId="77777777" w:rsidR="00961789" w:rsidRPr="00961789" w:rsidRDefault="00961789" w:rsidP="002B1210">
      <w:pPr>
        <w:pStyle w:val="annexsubheading"/>
        <w:jc w:val="both"/>
      </w:pPr>
      <w:r>
        <w:t xml:space="preserve">AAPF </w:t>
      </w:r>
      <w:r w:rsidRPr="00961789">
        <w:t xml:space="preserve">Administration </w:t>
      </w:r>
    </w:p>
    <w:p w14:paraId="223E75A7" w14:textId="77777777" w:rsidR="009C7197" w:rsidRDefault="00961789" w:rsidP="002B1210">
      <w:pPr>
        <w:pStyle w:val="List-number-1"/>
        <w:ind w:left="357" w:hanging="357"/>
        <w:jc w:val="both"/>
      </w:pPr>
      <w:r w:rsidRPr="000D5F9C">
        <w:rPr>
          <w:b/>
        </w:rPr>
        <w:t>Establishing a</w:t>
      </w:r>
      <w:r w:rsidR="004E1A9D" w:rsidRPr="000D5F9C">
        <w:rPr>
          <w:b/>
        </w:rPr>
        <w:t>n</w:t>
      </w:r>
      <w:r w:rsidRPr="000D5F9C">
        <w:rPr>
          <w:b/>
        </w:rPr>
        <w:t xml:space="preserve"> effective working relationship between DFAT and </w:t>
      </w:r>
      <w:r w:rsidR="004E1A9D" w:rsidRPr="000D5F9C">
        <w:rPr>
          <w:b/>
        </w:rPr>
        <w:t>MC</w:t>
      </w:r>
      <w:r w:rsidRPr="000D5F9C">
        <w:rPr>
          <w:b/>
        </w:rPr>
        <w:t xml:space="preserve"> from the outset crucial</w:t>
      </w:r>
      <w:r w:rsidR="000D5F9C" w:rsidRPr="000D5F9C">
        <w:rPr>
          <w:b/>
        </w:rPr>
        <w:t>:</w:t>
      </w:r>
      <w:r w:rsidR="000D5F9C">
        <w:t xml:space="preserve"> </w:t>
      </w:r>
      <w:r w:rsidRPr="00961789">
        <w:t>Clear lines of communication</w:t>
      </w:r>
      <w:r w:rsidR="001E2F65">
        <w:t xml:space="preserve"> at all levels including with </w:t>
      </w:r>
      <w:proofErr w:type="spellStart"/>
      <w:r w:rsidR="001E2F65">
        <w:t>Ho</w:t>
      </w:r>
      <w:r w:rsidRPr="00961789">
        <w:t>Ms</w:t>
      </w:r>
      <w:proofErr w:type="spellEnd"/>
      <w:r w:rsidRPr="00961789">
        <w:t xml:space="preserve"> and clear procurement and contracting arrangements maximise activity effectiveness.</w:t>
      </w:r>
    </w:p>
    <w:p w14:paraId="51344110" w14:textId="77777777" w:rsidR="00961789" w:rsidRPr="0040010D" w:rsidRDefault="0040010D" w:rsidP="002B1210">
      <w:pPr>
        <w:pStyle w:val="annexsubheading"/>
        <w:jc w:val="both"/>
      </w:pPr>
      <w:r>
        <w:t xml:space="preserve">AAPF </w:t>
      </w:r>
      <w:r w:rsidR="00961789" w:rsidRPr="0040010D">
        <w:t xml:space="preserve">Relationship Review </w:t>
      </w:r>
    </w:p>
    <w:p w14:paraId="5CB0E1E5" w14:textId="77777777" w:rsidR="00961789" w:rsidRPr="00961789" w:rsidRDefault="00961789" w:rsidP="002B1210">
      <w:pPr>
        <w:pStyle w:val="List-number-1"/>
        <w:ind w:left="357" w:hanging="357"/>
        <w:jc w:val="both"/>
      </w:pPr>
      <w:r w:rsidRPr="00961789">
        <w:t>An extensive review of AAPF relationships formed concluded that there is a need:</w:t>
      </w:r>
    </w:p>
    <w:p w14:paraId="08D6FB4A" w14:textId="77777777" w:rsidR="00961789" w:rsidRPr="00961789" w:rsidRDefault="004107C3" w:rsidP="002B1210">
      <w:pPr>
        <w:pStyle w:val="List-bullet-1"/>
      </w:pPr>
      <w:r w:rsidRPr="00961789">
        <w:t xml:space="preserve">for </w:t>
      </w:r>
      <w:r w:rsidR="00961789" w:rsidRPr="00961789">
        <w:t>greater alignment between what Australian agencies can offer, what the Facility requires, and how work can be capitalised on;</w:t>
      </w:r>
    </w:p>
    <w:p w14:paraId="3A730B58" w14:textId="77777777" w:rsidR="00961789" w:rsidRPr="00961789" w:rsidRDefault="004107C3" w:rsidP="002B1210">
      <w:pPr>
        <w:pStyle w:val="List-bullet-1"/>
      </w:pPr>
      <w:r w:rsidRPr="00961789">
        <w:t xml:space="preserve">to </w:t>
      </w:r>
      <w:r w:rsidR="00961789" w:rsidRPr="00961789">
        <w:t xml:space="preserve">acknowledge the importance of managing expectations and being clear from the start that activity may not lead to </w:t>
      </w:r>
      <w:r w:rsidR="002A7736">
        <w:t>long-term</w:t>
      </w:r>
      <w:r w:rsidR="00961789" w:rsidRPr="00961789">
        <w:t xml:space="preserve"> commitment or suite of activities;</w:t>
      </w:r>
      <w:r w:rsidR="009C7197">
        <w:t xml:space="preserve"> </w:t>
      </w:r>
      <w:r w:rsidR="00961789" w:rsidRPr="00961789">
        <w:t>and</w:t>
      </w:r>
    </w:p>
    <w:p w14:paraId="6A86F10E" w14:textId="77777777" w:rsidR="009C7197" w:rsidRDefault="004107C3" w:rsidP="002B1210">
      <w:pPr>
        <w:pStyle w:val="List-bullet-1"/>
        <w:rPr>
          <w:lang w:eastAsia="en-AU"/>
        </w:rPr>
      </w:pPr>
      <w:proofErr w:type="gramStart"/>
      <w:r w:rsidRPr="00961789">
        <w:t>to</w:t>
      </w:r>
      <w:proofErr w:type="gramEnd"/>
      <w:r w:rsidRPr="00961789">
        <w:t xml:space="preserve"> </w:t>
      </w:r>
      <w:r w:rsidR="00961789" w:rsidRPr="00961789">
        <w:t>clearly identify how the activity serves Australian interests.</w:t>
      </w:r>
    </w:p>
    <w:p w14:paraId="55DA87DE" w14:textId="77777777" w:rsidR="005206E8" w:rsidRPr="00F212DC" w:rsidRDefault="00F212DC" w:rsidP="00460FD7">
      <w:pPr>
        <w:pStyle w:val="annexheading"/>
        <w:tabs>
          <w:tab w:val="left" w:pos="1701"/>
        </w:tabs>
      </w:pPr>
      <w:bookmarkStart w:id="60" w:name="_Toc399104631"/>
      <w:bookmarkStart w:id="61" w:name="_Toc401578434"/>
      <w:r w:rsidRPr="00F212DC">
        <w:t xml:space="preserve">Annex </w:t>
      </w:r>
      <w:r w:rsidR="004F128D">
        <w:t>C</w:t>
      </w:r>
      <w:r w:rsidRPr="00F212DC">
        <w:t>:</w:t>
      </w:r>
      <w:r w:rsidR="000D5F9C">
        <w:t xml:space="preserve"> </w:t>
      </w:r>
      <w:r w:rsidRPr="00F212DC">
        <w:t>Stakeholder Analysis</w:t>
      </w:r>
      <w:bookmarkEnd w:id="60"/>
      <w:bookmarkEnd w:id="61"/>
    </w:p>
    <w:p w14:paraId="3B9B2B10" w14:textId="77777777" w:rsidR="004F128D" w:rsidRPr="00BD6D7A" w:rsidRDefault="004F128D" w:rsidP="002B1210">
      <w:pPr>
        <w:pStyle w:val="BodyText"/>
        <w:rPr>
          <w:b/>
          <w:bCs/>
        </w:rPr>
      </w:pPr>
      <w:r w:rsidRPr="00BD6D7A">
        <w:t xml:space="preserve">The following is a list of </w:t>
      </w:r>
      <w:r>
        <w:t xml:space="preserve">key stakeholders for the </w:t>
      </w:r>
      <w:r w:rsidR="006059D1">
        <w:t xml:space="preserve">E4G </w:t>
      </w:r>
      <w:r w:rsidR="00B47614">
        <w:t>C</w:t>
      </w:r>
      <w:r w:rsidR="006059D1">
        <w:t xml:space="preserve">omponent of the </w:t>
      </w:r>
      <w:r>
        <w:t>AADP</w:t>
      </w:r>
      <w:r w:rsidRPr="00BD6D7A">
        <w:t>.</w:t>
      </w:r>
      <w:r w:rsidR="009C7197">
        <w:t xml:space="preserve"> </w:t>
      </w:r>
      <w:r w:rsidRPr="00BD6D7A">
        <w:t xml:space="preserve">Given the wide ranging nature of AADP, it is strongly suggested that a </w:t>
      </w:r>
      <w:r w:rsidRPr="000D5F9C">
        <w:t>first</w:t>
      </w:r>
      <w:r w:rsidRPr="00BD6D7A">
        <w:t xml:space="preserve"> task for the MC is to thoroughly map stakeholders</w:t>
      </w:r>
      <w:r>
        <w:t xml:space="preserve"> (e.g. local universities, CSOs).</w:t>
      </w:r>
      <w:r w:rsidR="009C7197">
        <w:t xml:space="preserve"> </w:t>
      </w:r>
      <w:r>
        <w:t xml:space="preserve">This will be </w:t>
      </w:r>
      <w:r w:rsidRPr="00BD6D7A">
        <w:t>particularly</w:t>
      </w:r>
      <w:r>
        <w:t xml:space="preserve"> important</w:t>
      </w:r>
      <w:r w:rsidRPr="00BD6D7A">
        <w:t xml:space="preserve"> for the pilot projects in Zambia, Mozambique and Tanzania and </w:t>
      </w:r>
      <w:r>
        <w:t>for the I</w:t>
      </w:r>
      <w:r w:rsidRPr="00BD6D7A">
        <w:t>nfrastructure</w:t>
      </w:r>
      <w:r>
        <w:t xml:space="preserve"> for D</w:t>
      </w:r>
      <w:r w:rsidRPr="00BD6D7A">
        <w:t>evelopment</w:t>
      </w:r>
      <w:r>
        <w:t xml:space="preserve"> project.</w:t>
      </w:r>
    </w:p>
    <w:tbl>
      <w:tblPr>
        <w:tblW w:w="908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left w:w="57" w:type="dxa"/>
          <w:bottom w:w="57" w:type="dxa"/>
          <w:right w:w="57" w:type="dxa"/>
        </w:tblCellMar>
        <w:tblLook w:val="01E0" w:firstRow="1" w:lastRow="1" w:firstColumn="1" w:lastColumn="1" w:noHBand="0" w:noVBand="0"/>
      </w:tblPr>
      <w:tblGrid>
        <w:gridCol w:w="2788"/>
        <w:gridCol w:w="1539"/>
        <w:gridCol w:w="4756"/>
      </w:tblGrid>
      <w:tr w:rsidR="004F128D" w:rsidRPr="00BD6D7A" w14:paraId="6904237F" w14:textId="77777777" w:rsidTr="004107C3">
        <w:trPr>
          <w:cantSplit/>
          <w:tblHeader/>
        </w:trPr>
        <w:tc>
          <w:tcPr>
            <w:tcW w:w="2788" w:type="dxa"/>
            <w:shd w:val="clear" w:color="auto" w:fill="FFC000"/>
          </w:tcPr>
          <w:p w14:paraId="4ACFCF5E" w14:textId="77777777" w:rsidR="004F128D" w:rsidRPr="00BD6D7A" w:rsidRDefault="004F128D" w:rsidP="000D5F9C">
            <w:pPr>
              <w:pStyle w:val="TableHeader"/>
            </w:pPr>
            <w:r w:rsidRPr="00BD6D7A">
              <w:t>Stakeholder</w:t>
            </w:r>
          </w:p>
        </w:tc>
        <w:tc>
          <w:tcPr>
            <w:tcW w:w="1539" w:type="dxa"/>
            <w:shd w:val="clear" w:color="auto" w:fill="FFC000"/>
            <w:vAlign w:val="center"/>
          </w:tcPr>
          <w:p w14:paraId="215318B9" w14:textId="77777777" w:rsidR="004F128D" w:rsidRPr="00BD6D7A" w:rsidRDefault="007D4CA0" w:rsidP="005B3032">
            <w:pPr>
              <w:pStyle w:val="TableHeader"/>
              <w:jc w:val="center"/>
            </w:pPr>
            <w:r>
              <w:t>C</w:t>
            </w:r>
            <w:r w:rsidR="004F128D" w:rsidRPr="00BD6D7A">
              <w:t>overage</w:t>
            </w:r>
          </w:p>
        </w:tc>
        <w:tc>
          <w:tcPr>
            <w:tcW w:w="4756" w:type="dxa"/>
            <w:shd w:val="clear" w:color="auto" w:fill="FFC000"/>
            <w:vAlign w:val="center"/>
          </w:tcPr>
          <w:p w14:paraId="0BE8474E" w14:textId="77777777" w:rsidR="004F128D" w:rsidRPr="00BD6D7A" w:rsidRDefault="004F128D" w:rsidP="005B3032">
            <w:pPr>
              <w:pStyle w:val="TableHeader"/>
              <w:jc w:val="center"/>
            </w:pPr>
            <w:r w:rsidRPr="00BD6D7A">
              <w:t>Description and potential to assist AADP</w:t>
            </w:r>
          </w:p>
        </w:tc>
      </w:tr>
      <w:tr w:rsidR="004F128D" w:rsidRPr="000D5F9C" w14:paraId="525468B2" w14:textId="77777777" w:rsidTr="005B3032">
        <w:trPr>
          <w:cantSplit/>
        </w:trPr>
        <w:tc>
          <w:tcPr>
            <w:tcW w:w="9083" w:type="dxa"/>
            <w:gridSpan w:val="3"/>
            <w:shd w:val="clear" w:color="auto" w:fill="C6D9F1"/>
          </w:tcPr>
          <w:p w14:paraId="5ED2A6C3" w14:textId="77777777" w:rsidR="004F128D" w:rsidRPr="000D5F9C" w:rsidRDefault="004F128D" w:rsidP="000D5F9C">
            <w:pPr>
              <w:pStyle w:val="TableHeader"/>
            </w:pPr>
            <w:r w:rsidRPr="000D5F9C">
              <w:t>Local Organisations</w:t>
            </w:r>
          </w:p>
        </w:tc>
      </w:tr>
      <w:tr w:rsidR="004F128D" w:rsidRPr="00BD6D7A" w14:paraId="393F1474" w14:textId="77777777" w:rsidTr="004107C3">
        <w:trPr>
          <w:cantSplit/>
        </w:trPr>
        <w:tc>
          <w:tcPr>
            <w:tcW w:w="2788" w:type="dxa"/>
            <w:shd w:val="clear" w:color="auto" w:fill="auto"/>
          </w:tcPr>
          <w:p w14:paraId="0B41570C" w14:textId="77777777" w:rsidR="004F128D" w:rsidRDefault="004F128D" w:rsidP="000D5F9C">
            <w:pPr>
              <w:pStyle w:val="TableTEXT"/>
            </w:pPr>
            <w:r w:rsidRPr="00BD6D7A">
              <w:t xml:space="preserve">Chambers of Commerce </w:t>
            </w:r>
          </w:p>
          <w:p w14:paraId="64B52DCA" w14:textId="77777777" w:rsidR="004F128D" w:rsidRPr="00BD6D7A" w:rsidRDefault="004F128D" w:rsidP="000D5F9C">
            <w:pPr>
              <w:pStyle w:val="TableTEXT"/>
            </w:pPr>
            <w:r w:rsidRPr="00BD6D7A">
              <w:t>(or equivalent)</w:t>
            </w:r>
          </w:p>
        </w:tc>
        <w:tc>
          <w:tcPr>
            <w:tcW w:w="1539" w:type="dxa"/>
            <w:shd w:val="clear" w:color="auto" w:fill="auto"/>
          </w:tcPr>
          <w:p w14:paraId="15AA94B3" w14:textId="77777777" w:rsidR="004F128D" w:rsidRPr="00BD6D7A" w:rsidRDefault="004F128D" w:rsidP="000D5F9C">
            <w:pPr>
              <w:pStyle w:val="TableTEXT"/>
            </w:pPr>
            <w:r w:rsidRPr="00BD6D7A">
              <w:t>Zambia</w:t>
            </w:r>
          </w:p>
          <w:p w14:paraId="4C17433C" w14:textId="77777777" w:rsidR="004F128D" w:rsidRPr="00BD6D7A" w:rsidRDefault="004F128D" w:rsidP="000D5F9C">
            <w:pPr>
              <w:pStyle w:val="TableTEXT"/>
            </w:pPr>
            <w:r w:rsidRPr="00BD6D7A">
              <w:t>Mozambique</w:t>
            </w:r>
          </w:p>
          <w:p w14:paraId="337B3515" w14:textId="77777777" w:rsidR="004F128D" w:rsidRPr="00BD6D7A" w:rsidRDefault="004F128D" w:rsidP="000D5F9C">
            <w:pPr>
              <w:pStyle w:val="TableTEXT"/>
            </w:pPr>
            <w:r w:rsidRPr="00BD6D7A">
              <w:t>Tanzania</w:t>
            </w:r>
          </w:p>
        </w:tc>
        <w:tc>
          <w:tcPr>
            <w:tcW w:w="4756" w:type="dxa"/>
            <w:shd w:val="clear" w:color="auto" w:fill="auto"/>
          </w:tcPr>
          <w:p w14:paraId="18B029C4" w14:textId="77777777" w:rsidR="004F128D" w:rsidRPr="00BD6D7A" w:rsidRDefault="004F128D" w:rsidP="000D5F9C">
            <w:pPr>
              <w:pStyle w:val="TableTEXT"/>
            </w:pPr>
            <w:r w:rsidRPr="00BD6D7A">
              <w:t>The Chambers represent mining companies operating in country and can provide invaluable insights into how to work with private industry.</w:t>
            </w:r>
          </w:p>
        </w:tc>
      </w:tr>
      <w:tr w:rsidR="005B3032" w:rsidRPr="000D5F9C" w14:paraId="5F915081" w14:textId="77777777" w:rsidTr="005B3032">
        <w:trPr>
          <w:cantSplit/>
        </w:trPr>
        <w:tc>
          <w:tcPr>
            <w:tcW w:w="9083" w:type="dxa"/>
            <w:gridSpan w:val="3"/>
            <w:shd w:val="clear" w:color="auto" w:fill="C6D9F1"/>
          </w:tcPr>
          <w:p w14:paraId="44006E39" w14:textId="77777777" w:rsidR="005B3032" w:rsidRPr="000D5F9C" w:rsidRDefault="005B3032" w:rsidP="000D5F9C">
            <w:pPr>
              <w:pStyle w:val="TableHeader"/>
            </w:pPr>
            <w:r w:rsidRPr="000D5F9C">
              <w:t>Bilateral Bodies</w:t>
            </w:r>
          </w:p>
        </w:tc>
      </w:tr>
      <w:tr w:rsidR="004F128D" w:rsidRPr="00BD6D7A" w14:paraId="470C9327" w14:textId="77777777" w:rsidTr="004107C3">
        <w:trPr>
          <w:cantSplit/>
        </w:trPr>
        <w:tc>
          <w:tcPr>
            <w:tcW w:w="2788" w:type="dxa"/>
            <w:shd w:val="clear" w:color="auto" w:fill="auto"/>
          </w:tcPr>
          <w:p w14:paraId="64CA4FDC" w14:textId="77777777" w:rsidR="004F128D" w:rsidRPr="00BD6D7A" w:rsidRDefault="007D4432" w:rsidP="007D4432">
            <w:pPr>
              <w:pStyle w:val="TableTEXT"/>
            </w:pPr>
            <w:r>
              <w:t>Australian Heads of Mission</w:t>
            </w:r>
            <w:r w:rsidR="004F128D">
              <w:t xml:space="preserve"> in Africa</w:t>
            </w:r>
          </w:p>
        </w:tc>
        <w:tc>
          <w:tcPr>
            <w:tcW w:w="1539" w:type="dxa"/>
            <w:shd w:val="clear" w:color="auto" w:fill="auto"/>
          </w:tcPr>
          <w:p w14:paraId="40669372" w14:textId="77777777" w:rsidR="004F128D" w:rsidRDefault="004F128D" w:rsidP="000D5F9C">
            <w:pPr>
              <w:pStyle w:val="TableTEXT"/>
            </w:pPr>
            <w:r>
              <w:t xml:space="preserve">Africa </w:t>
            </w:r>
          </w:p>
          <w:p w14:paraId="3A33652A" w14:textId="77777777" w:rsidR="004F128D" w:rsidRPr="00BD6D7A" w:rsidRDefault="004F128D" w:rsidP="000D5F9C">
            <w:pPr>
              <w:pStyle w:val="TableTEXT"/>
            </w:pPr>
            <w:r>
              <w:t>Australia</w:t>
            </w:r>
          </w:p>
        </w:tc>
        <w:tc>
          <w:tcPr>
            <w:tcW w:w="4756" w:type="dxa"/>
            <w:shd w:val="clear" w:color="auto" w:fill="auto"/>
          </w:tcPr>
          <w:p w14:paraId="60BCD38C" w14:textId="77777777" w:rsidR="004F128D" w:rsidRPr="00BD6D7A" w:rsidRDefault="007D4432" w:rsidP="007D4432">
            <w:pPr>
              <w:pStyle w:val="TableTEXT"/>
            </w:pPr>
            <w:r>
              <w:t>Heads of Mission</w:t>
            </w:r>
            <w:r w:rsidR="004F128D">
              <w:t xml:space="preserve"> and DFAT staff at post are well placed to provide in country background and contacts for example with private industry, local CSOs and all levels of government and universities. They will also know of other Donor and </w:t>
            </w:r>
            <w:r w:rsidR="004F128D" w:rsidRPr="00575AC2">
              <w:t>NGO</w:t>
            </w:r>
            <w:r w:rsidR="004F128D">
              <w:t xml:space="preserve"> Australian initiatives in the countries to which they are accredited, such as </w:t>
            </w:r>
            <w:r w:rsidR="002F30BC">
              <w:t>the Australia–</w:t>
            </w:r>
            <w:r w:rsidR="004F128D" w:rsidRPr="00575AC2">
              <w:t xml:space="preserve">Africa </w:t>
            </w:r>
            <w:r w:rsidR="004F128D" w:rsidRPr="007A5FA2">
              <w:t>Community Engagement Schem</w:t>
            </w:r>
            <w:r w:rsidR="00F133FF">
              <w:t>e</w:t>
            </w:r>
            <w:r w:rsidR="001E2F65">
              <w:t xml:space="preserve">. </w:t>
            </w:r>
            <w:r>
              <w:t>Heads of Mission</w:t>
            </w:r>
            <w:r w:rsidR="004F128D" w:rsidRPr="007A5FA2">
              <w:t xml:space="preserve"> can be valuable partners in achieving engagement and links.</w:t>
            </w:r>
          </w:p>
        </w:tc>
      </w:tr>
      <w:tr w:rsidR="004F128D" w:rsidRPr="00BD6D7A" w14:paraId="73994B31" w14:textId="77777777" w:rsidTr="005B3032">
        <w:trPr>
          <w:cantSplit/>
        </w:trPr>
        <w:tc>
          <w:tcPr>
            <w:tcW w:w="9083" w:type="dxa"/>
            <w:gridSpan w:val="3"/>
            <w:shd w:val="clear" w:color="auto" w:fill="C6D9F1"/>
          </w:tcPr>
          <w:p w14:paraId="48760B38" w14:textId="77777777" w:rsidR="004F128D" w:rsidRPr="00BD6D7A" w:rsidRDefault="004F128D" w:rsidP="000D5F9C">
            <w:pPr>
              <w:pStyle w:val="TableHeader"/>
            </w:pPr>
            <w:r w:rsidRPr="00BD6D7A">
              <w:t xml:space="preserve">Multilateral Bodies </w:t>
            </w:r>
          </w:p>
        </w:tc>
      </w:tr>
      <w:tr w:rsidR="004F128D" w:rsidRPr="00BD6D7A" w14:paraId="1330E6F7" w14:textId="77777777" w:rsidTr="004107C3">
        <w:trPr>
          <w:cantSplit/>
        </w:trPr>
        <w:tc>
          <w:tcPr>
            <w:tcW w:w="2788" w:type="dxa"/>
            <w:shd w:val="clear" w:color="auto" w:fill="auto"/>
          </w:tcPr>
          <w:p w14:paraId="5AE68D90" w14:textId="77777777" w:rsidR="004F128D" w:rsidRPr="00BD6D7A" w:rsidRDefault="004F128D" w:rsidP="007E78F8">
            <w:pPr>
              <w:pStyle w:val="TableTEXT"/>
            </w:pPr>
            <w:r w:rsidRPr="00BD6D7A">
              <w:t xml:space="preserve">International Council on Mining and Metals </w:t>
            </w:r>
          </w:p>
        </w:tc>
        <w:tc>
          <w:tcPr>
            <w:tcW w:w="1539" w:type="dxa"/>
            <w:shd w:val="clear" w:color="auto" w:fill="auto"/>
          </w:tcPr>
          <w:p w14:paraId="59D1A367" w14:textId="77777777" w:rsidR="004F128D" w:rsidRPr="00BD6D7A" w:rsidRDefault="004F128D" w:rsidP="000D5F9C">
            <w:pPr>
              <w:pStyle w:val="TableTEXT"/>
            </w:pPr>
            <w:r w:rsidRPr="00BD6D7A">
              <w:t xml:space="preserve">Global </w:t>
            </w:r>
          </w:p>
        </w:tc>
        <w:tc>
          <w:tcPr>
            <w:tcW w:w="4756" w:type="dxa"/>
            <w:shd w:val="clear" w:color="auto" w:fill="auto"/>
          </w:tcPr>
          <w:p w14:paraId="5A769B4E" w14:textId="77777777" w:rsidR="004F128D" w:rsidRPr="00BD6D7A" w:rsidRDefault="004F128D" w:rsidP="000D5F9C">
            <w:pPr>
              <w:pStyle w:val="TableTEXT"/>
            </w:pPr>
            <w:r w:rsidRPr="00BD6D7A">
              <w:t>This peak body for the global mining industry has published guides for donors on how to succeed in public private partnerships.</w:t>
            </w:r>
          </w:p>
        </w:tc>
      </w:tr>
      <w:tr w:rsidR="004F128D" w:rsidRPr="00BD6D7A" w14:paraId="2A518355" w14:textId="77777777" w:rsidTr="004107C3">
        <w:trPr>
          <w:cantSplit/>
        </w:trPr>
        <w:tc>
          <w:tcPr>
            <w:tcW w:w="2788" w:type="dxa"/>
            <w:shd w:val="clear" w:color="auto" w:fill="auto"/>
          </w:tcPr>
          <w:p w14:paraId="56194D39" w14:textId="77777777" w:rsidR="004F128D" w:rsidRPr="00BD6D7A" w:rsidRDefault="004F128D" w:rsidP="007E78F8">
            <w:pPr>
              <w:pStyle w:val="TableTEXT"/>
            </w:pPr>
            <w:r w:rsidRPr="00BD6D7A">
              <w:t>International Finance Corporation</w:t>
            </w:r>
          </w:p>
        </w:tc>
        <w:tc>
          <w:tcPr>
            <w:tcW w:w="1539" w:type="dxa"/>
            <w:shd w:val="clear" w:color="auto" w:fill="auto"/>
          </w:tcPr>
          <w:p w14:paraId="23B46617" w14:textId="77777777" w:rsidR="004F128D" w:rsidRPr="00BD6D7A" w:rsidRDefault="004F128D" w:rsidP="000D5F9C">
            <w:pPr>
              <w:pStyle w:val="TableTEXT"/>
            </w:pPr>
            <w:r w:rsidRPr="00BD6D7A">
              <w:t>Global</w:t>
            </w:r>
          </w:p>
        </w:tc>
        <w:tc>
          <w:tcPr>
            <w:tcW w:w="4756" w:type="dxa"/>
            <w:shd w:val="clear" w:color="auto" w:fill="auto"/>
          </w:tcPr>
          <w:p w14:paraId="5ABD46C9" w14:textId="77777777" w:rsidR="004F128D" w:rsidRPr="00BD6D7A" w:rsidRDefault="004F128D" w:rsidP="000D5F9C">
            <w:pPr>
              <w:pStyle w:val="TableTEXT"/>
            </w:pPr>
            <w:r w:rsidRPr="00BD6D7A">
              <w:t xml:space="preserve">The </w:t>
            </w:r>
            <w:r w:rsidR="007E78F8" w:rsidRPr="007E78F8">
              <w:t xml:space="preserve">International Finance Corporation </w:t>
            </w:r>
            <w:r w:rsidRPr="00BD6D7A">
              <w:t xml:space="preserve">has detailed online training materials on </w:t>
            </w:r>
            <w:r w:rsidRPr="0034771E">
              <w:rPr>
                <w:i/>
              </w:rPr>
              <w:t>Getting Started in Local Procurement</w:t>
            </w:r>
            <w:r>
              <w:t>.</w:t>
            </w:r>
          </w:p>
        </w:tc>
      </w:tr>
      <w:tr w:rsidR="004F128D" w:rsidRPr="00BD6D7A" w14:paraId="2D6B7C87" w14:textId="77777777" w:rsidTr="004107C3">
        <w:trPr>
          <w:cantSplit/>
        </w:trPr>
        <w:tc>
          <w:tcPr>
            <w:tcW w:w="2788" w:type="dxa"/>
            <w:shd w:val="clear" w:color="auto" w:fill="auto"/>
          </w:tcPr>
          <w:p w14:paraId="14282674" w14:textId="77777777" w:rsidR="004F128D" w:rsidRPr="00BD6D7A" w:rsidRDefault="004F128D" w:rsidP="007D4432">
            <w:pPr>
              <w:pStyle w:val="TableTEXT"/>
            </w:pPr>
            <w:r w:rsidRPr="00C63635">
              <w:t>United</w:t>
            </w:r>
            <w:r>
              <w:t xml:space="preserve"> </w:t>
            </w:r>
            <w:r w:rsidRPr="00C63635">
              <w:t>Nations</w:t>
            </w:r>
            <w:r>
              <w:t xml:space="preserve"> </w:t>
            </w:r>
            <w:r w:rsidRPr="00C63635">
              <w:t>Economic</w:t>
            </w:r>
            <w:r>
              <w:t xml:space="preserve"> </w:t>
            </w:r>
            <w:r w:rsidRPr="00C63635">
              <w:t>Commission</w:t>
            </w:r>
            <w:r>
              <w:t xml:space="preserve"> </w:t>
            </w:r>
            <w:r w:rsidRPr="00C63635">
              <w:t>for</w:t>
            </w:r>
            <w:r>
              <w:t xml:space="preserve"> </w:t>
            </w:r>
            <w:r w:rsidRPr="00C63635">
              <w:t>Africa</w:t>
            </w:r>
            <w:r>
              <w:t xml:space="preserve">. Sub regional office for East Africa </w:t>
            </w:r>
          </w:p>
        </w:tc>
        <w:tc>
          <w:tcPr>
            <w:tcW w:w="1539" w:type="dxa"/>
            <w:shd w:val="clear" w:color="auto" w:fill="auto"/>
          </w:tcPr>
          <w:p w14:paraId="6357EA0F" w14:textId="77777777" w:rsidR="004F128D" w:rsidRPr="00BD6D7A" w:rsidRDefault="004F128D" w:rsidP="000D5F9C">
            <w:pPr>
              <w:pStyle w:val="TableTEXT"/>
            </w:pPr>
            <w:r>
              <w:t>East Africa</w:t>
            </w:r>
          </w:p>
        </w:tc>
        <w:tc>
          <w:tcPr>
            <w:tcW w:w="4756" w:type="dxa"/>
            <w:shd w:val="clear" w:color="auto" w:fill="auto"/>
          </w:tcPr>
          <w:p w14:paraId="3EBB2AF3" w14:textId="77777777" w:rsidR="004F128D" w:rsidRPr="00BD6D7A" w:rsidRDefault="007D4432" w:rsidP="000D5F9C">
            <w:pPr>
              <w:pStyle w:val="TableTEXT"/>
            </w:pPr>
            <w:r w:rsidRPr="007D4432">
              <w:t>United Nations Economic Commission for Africa</w:t>
            </w:r>
            <w:r>
              <w:t>’s</w:t>
            </w:r>
            <w:r w:rsidRPr="007D4432">
              <w:t xml:space="preserve"> </w:t>
            </w:r>
            <w:r w:rsidR="004F128D" w:rsidRPr="00C63635">
              <w:t>Director</w:t>
            </w:r>
            <w:r w:rsidR="004F128D">
              <w:t xml:space="preserve"> </w:t>
            </w:r>
            <w:r w:rsidR="004F128D" w:rsidRPr="004107C3">
              <w:t>Antonio Pedro</w:t>
            </w:r>
            <w:r w:rsidR="004F128D">
              <w:t xml:space="preserve"> is an essential interlocutor in maintaining AADP well-grounded in the African context. His critical insight and reflection on the value of AADP’s mining and infrastructure initiatives would be valuable.</w:t>
            </w:r>
          </w:p>
        </w:tc>
      </w:tr>
      <w:tr w:rsidR="004F128D" w:rsidRPr="00BD6D7A" w14:paraId="4A672FF5" w14:textId="77777777" w:rsidTr="004107C3">
        <w:trPr>
          <w:cantSplit/>
        </w:trPr>
        <w:tc>
          <w:tcPr>
            <w:tcW w:w="2788" w:type="dxa"/>
            <w:shd w:val="clear" w:color="auto" w:fill="auto"/>
          </w:tcPr>
          <w:p w14:paraId="0F950F21" w14:textId="77777777" w:rsidR="004F128D" w:rsidRPr="00F44292" w:rsidRDefault="004F128D" w:rsidP="007E78F8">
            <w:pPr>
              <w:pStyle w:val="TableTEXT"/>
            </w:pPr>
            <w:r w:rsidRPr="00F44292">
              <w:t>Institute for Economic Development and Planning</w:t>
            </w:r>
          </w:p>
        </w:tc>
        <w:tc>
          <w:tcPr>
            <w:tcW w:w="1539" w:type="dxa"/>
            <w:shd w:val="clear" w:color="auto" w:fill="auto"/>
          </w:tcPr>
          <w:p w14:paraId="64720E6C" w14:textId="77777777" w:rsidR="004F128D" w:rsidRPr="00F44292" w:rsidRDefault="004F128D" w:rsidP="000D5F9C">
            <w:pPr>
              <w:pStyle w:val="TableTEXT"/>
            </w:pPr>
            <w:r w:rsidRPr="00F44292">
              <w:t>Africa</w:t>
            </w:r>
          </w:p>
        </w:tc>
        <w:tc>
          <w:tcPr>
            <w:tcW w:w="4756" w:type="dxa"/>
            <w:shd w:val="clear" w:color="auto" w:fill="auto"/>
          </w:tcPr>
          <w:p w14:paraId="06A0303C" w14:textId="77777777" w:rsidR="004F128D" w:rsidRPr="00104531" w:rsidRDefault="004F128D" w:rsidP="007E78F8">
            <w:pPr>
              <w:pStyle w:val="TableTEXT"/>
            </w:pPr>
            <w:r w:rsidRPr="00104531">
              <w:t>The African Institute for Eco</w:t>
            </w:r>
            <w:r w:rsidR="007E78F8">
              <w:t xml:space="preserve">nomic Development and Planning </w:t>
            </w:r>
            <w:r w:rsidRPr="00104531">
              <w:t xml:space="preserve">is a pan-African institution created in 1962 by the General Assembly of the United Nations. </w:t>
            </w:r>
            <w:r>
              <w:t xml:space="preserve">Its </w:t>
            </w:r>
            <w:r w:rsidRPr="00104531">
              <w:t xml:space="preserve">primary purpose </w:t>
            </w:r>
            <w:r>
              <w:t>is</w:t>
            </w:r>
            <w:r w:rsidRPr="00104531">
              <w:t xml:space="preserve"> accompanying and supporting newly independent African countries in their quest to build their human resource capacities as a necessary prerequisite for sustaining independence and promoting socio-economic development. </w:t>
            </w:r>
          </w:p>
        </w:tc>
      </w:tr>
      <w:tr w:rsidR="004F128D" w:rsidRPr="00BD6D7A" w14:paraId="4BD1670A" w14:textId="77777777" w:rsidTr="004107C3">
        <w:trPr>
          <w:cantSplit/>
        </w:trPr>
        <w:tc>
          <w:tcPr>
            <w:tcW w:w="2788" w:type="dxa"/>
            <w:shd w:val="clear" w:color="auto" w:fill="auto"/>
          </w:tcPr>
          <w:p w14:paraId="73A7B2C0" w14:textId="77777777" w:rsidR="004F128D" w:rsidRPr="00F44292" w:rsidRDefault="004F128D" w:rsidP="007D4432">
            <w:pPr>
              <w:pStyle w:val="TableTEXT"/>
            </w:pPr>
            <w:r w:rsidRPr="00F44292">
              <w:t xml:space="preserve">Africa Capacity Building Foundation </w:t>
            </w:r>
          </w:p>
        </w:tc>
        <w:tc>
          <w:tcPr>
            <w:tcW w:w="1539" w:type="dxa"/>
            <w:shd w:val="clear" w:color="auto" w:fill="auto"/>
          </w:tcPr>
          <w:p w14:paraId="03816D69" w14:textId="77777777" w:rsidR="004F128D" w:rsidRPr="00F44292" w:rsidRDefault="004F128D" w:rsidP="000D5F9C">
            <w:pPr>
              <w:pStyle w:val="TableTEXT"/>
            </w:pPr>
            <w:r w:rsidRPr="00F44292">
              <w:t>Africa</w:t>
            </w:r>
          </w:p>
        </w:tc>
        <w:tc>
          <w:tcPr>
            <w:tcW w:w="4756" w:type="dxa"/>
            <w:shd w:val="clear" w:color="auto" w:fill="auto"/>
          </w:tcPr>
          <w:p w14:paraId="174EF9CA" w14:textId="77777777" w:rsidR="004F128D" w:rsidRPr="00104531" w:rsidRDefault="007D4432" w:rsidP="00F133FF">
            <w:pPr>
              <w:pStyle w:val="TableTEXT"/>
            </w:pPr>
            <w:r w:rsidRPr="007D4432">
              <w:t xml:space="preserve">Africa Capacity Building Foundation </w:t>
            </w:r>
            <w:r w:rsidR="004F128D" w:rsidRPr="00104531">
              <w:t xml:space="preserve">works to provide a holistic approach towards capacity building in Africa. It also coordinates partnership with different developmental agencies including international donors supporting projects in Africa. </w:t>
            </w:r>
            <w:r w:rsidRPr="007D4432">
              <w:t xml:space="preserve">Africa Capacity Building Foundation </w:t>
            </w:r>
            <w:r w:rsidR="004F128D" w:rsidRPr="00104531">
              <w:t>has three sponsoring agencies, namely, the African Development Bank, the UNDP and the World Bank. In addition, there are more than 40 African and non-African countries as partners to the Foundation. </w:t>
            </w:r>
          </w:p>
        </w:tc>
      </w:tr>
      <w:tr w:rsidR="004F128D" w:rsidRPr="00F44292" w14:paraId="261A7131" w14:textId="77777777" w:rsidTr="004107C3">
        <w:trPr>
          <w:cantSplit/>
        </w:trPr>
        <w:tc>
          <w:tcPr>
            <w:tcW w:w="2788" w:type="dxa"/>
            <w:shd w:val="clear" w:color="auto" w:fill="auto"/>
          </w:tcPr>
          <w:p w14:paraId="3B6ACE5D" w14:textId="77777777" w:rsidR="004F128D" w:rsidRPr="00104531" w:rsidRDefault="004F128D" w:rsidP="007E78F8">
            <w:pPr>
              <w:pStyle w:val="TableTEXT"/>
            </w:pPr>
            <w:r w:rsidRPr="00104531">
              <w:t xml:space="preserve">The New Partnership for Africa's Development </w:t>
            </w:r>
          </w:p>
        </w:tc>
        <w:tc>
          <w:tcPr>
            <w:tcW w:w="1539" w:type="dxa"/>
            <w:shd w:val="clear" w:color="auto" w:fill="auto"/>
          </w:tcPr>
          <w:p w14:paraId="0B7B9690" w14:textId="77777777" w:rsidR="004F128D" w:rsidRPr="00F44292" w:rsidRDefault="004F128D" w:rsidP="000D5F9C">
            <w:pPr>
              <w:pStyle w:val="TableTEXT"/>
            </w:pPr>
            <w:r w:rsidRPr="00F44292">
              <w:t>Africa</w:t>
            </w:r>
          </w:p>
        </w:tc>
        <w:tc>
          <w:tcPr>
            <w:tcW w:w="4756" w:type="dxa"/>
            <w:shd w:val="clear" w:color="auto" w:fill="auto"/>
          </w:tcPr>
          <w:p w14:paraId="1F4BBE73" w14:textId="77777777" w:rsidR="004F128D" w:rsidRPr="00133D0C" w:rsidRDefault="004F128D" w:rsidP="000D5F9C">
            <w:pPr>
              <w:pStyle w:val="TableTEXT"/>
            </w:pPr>
            <w:r w:rsidRPr="00133D0C">
              <w:t>African Union strategic framework for pan-African socio-economic development.</w:t>
            </w:r>
          </w:p>
          <w:p w14:paraId="37D5F4BB" w14:textId="77777777" w:rsidR="004F128D" w:rsidRPr="00104531" w:rsidRDefault="004F128D" w:rsidP="000D5F9C">
            <w:pPr>
              <w:pStyle w:val="TableTEXT"/>
            </w:pPr>
            <w:r w:rsidRPr="00133D0C">
              <w:t>Thematic areas are</w:t>
            </w:r>
            <w:r>
              <w:t>:</w:t>
            </w:r>
            <w:r w:rsidR="009C7197">
              <w:t xml:space="preserve"> </w:t>
            </w:r>
            <w:hyperlink r:id="rId19" w:history="1">
              <w:r w:rsidRPr="00133D0C">
                <w:t>Agriculture and Food Security</w:t>
              </w:r>
            </w:hyperlink>
            <w:r w:rsidRPr="00133D0C">
              <w:t xml:space="preserve">, </w:t>
            </w:r>
            <w:hyperlink r:id="rId20" w:history="1">
              <w:r w:rsidRPr="00133D0C">
                <w:t>Climate Change, Natural Resource Management</w:t>
              </w:r>
            </w:hyperlink>
            <w:r w:rsidRPr="00133D0C">
              <w:t xml:space="preserve">, </w:t>
            </w:r>
            <w:hyperlink r:id="rId21" w:history="1">
              <w:r w:rsidRPr="00133D0C">
                <w:t>Regional Integration and Infrastructure</w:t>
              </w:r>
            </w:hyperlink>
            <w:r w:rsidRPr="00133D0C">
              <w:t xml:space="preserve">, </w:t>
            </w:r>
            <w:hyperlink r:id="rId22" w:history="1">
              <w:r w:rsidRPr="00133D0C">
                <w:t>Human Development</w:t>
              </w:r>
            </w:hyperlink>
            <w:r w:rsidRPr="00133D0C">
              <w:t xml:space="preserve">, </w:t>
            </w:r>
            <w:hyperlink r:id="rId23" w:history="1">
              <w:r w:rsidRPr="00133D0C">
                <w:t>Economic and Corporate Governance</w:t>
              </w:r>
            </w:hyperlink>
            <w:r w:rsidRPr="00133D0C">
              <w:t xml:space="preserve"> and </w:t>
            </w:r>
            <w:hyperlink r:id="rId24" w:history="1">
              <w:r w:rsidRPr="00133D0C">
                <w:t>Cross-cutting Issues</w:t>
              </w:r>
            </w:hyperlink>
            <w:r w:rsidRPr="00133D0C">
              <w:t>, including Gender, Capacity Development and ICT.</w:t>
            </w:r>
          </w:p>
        </w:tc>
      </w:tr>
      <w:tr w:rsidR="00727FCE" w:rsidRPr="00F44292" w14:paraId="78DDFB9B" w14:textId="77777777" w:rsidTr="004107C3">
        <w:trPr>
          <w:cantSplit/>
        </w:trPr>
        <w:tc>
          <w:tcPr>
            <w:tcW w:w="2788" w:type="dxa"/>
            <w:shd w:val="clear" w:color="auto" w:fill="auto"/>
          </w:tcPr>
          <w:p w14:paraId="5F7534AC" w14:textId="77777777" w:rsidR="00727FCE" w:rsidRPr="00104531" w:rsidRDefault="00727FCE" w:rsidP="00F133FF">
            <w:pPr>
              <w:pStyle w:val="TableTEXT"/>
            </w:pPr>
            <w:r>
              <w:t xml:space="preserve">African Union </w:t>
            </w:r>
          </w:p>
        </w:tc>
        <w:tc>
          <w:tcPr>
            <w:tcW w:w="1539" w:type="dxa"/>
            <w:shd w:val="clear" w:color="auto" w:fill="auto"/>
          </w:tcPr>
          <w:p w14:paraId="2E729C74" w14:textId="77777777" w:rsidR="00727FCE" w:rsidRPr="00F44292" w:rsidRDefault="00727FCE" w:rsidP="000D5F9C">
            <w:pPr>
              <w:pStyle w:val="TableTEXT"/>
            </w:pPr>
            <w:r>
              <w:t>Africa</w:t>
            </w:r>
          </w:p>
        </w:tc>
        <w:tc>
          <w:tcPr>
            <w:tcW w:w="4756" w:type="dxa"/>
            <w:shd w:val="clear" w:color="auto" w:fill="auto"/>
          </w:tcPr>
          <w:p w14:paraId="7DE8CC2E" w14:textId="77777777" w:rsidR="00727FCE" w:rsidRDefault="00727FCE" w:rsidP="000D5F9C">
            <w:pPr>
              <w:pStyle w:val="TableTEXT"/>
            </w:pPr>
            <w:r>
              <w:t xml:space="preserve">The </w:t>
            </w:r>
            <w:r w:rsidR="00F133FF" w:rsidRPr="00F133FF">
              <w:t xml:space="preserve">African Union </w:t>
            </w:r>
            <w:r>
              <w:t xml:space="preserve">provides an overarching pan-African policy framework which serves as a background to the </w:t>
            </w:r>
            <w:proofErr w:type="spellStart"/>
            <w:r>
              <w:t>ToC</w:t>
            </w:r>
            <w:proofErr w:type="spellEnd"/>
            <w:r>
              <w:t xml:space="preserve"> for the AADP.</w:t>
            </w:r>
            <w:r w:rsidR="009C7197">
              <w:t xml:space="preserve"> </w:t>
            </w:r>
            <w:r>
              <w:t xml:space="preserve">Key objectives of the </w:t>
            </w:r>
            <w:r w:rsidR="00F133FF" w:rsidRPr="00F133FF">
              <w:t xml:space="preserve">African Union </w:t>
            </w:r>
            <w:r>
              <w:t>resonate with the AADP’s goal and objective, including:</w:t>
            </w:r>
          </w:p>
          <w:p w14:paraId="66EDE9D5" w14:textId="77777777" w:rsidR="00727FCE" w:rsidRPr="00727FCE" w:rsidRDefault="00727FCE" w:rsidP="000D5F9C">
            <w:pPr>
              <w:pStyle w:val="Table-list-bullet"/>
            </w:pPr>
            <w:r w:rsidRPr="00727FCE">
              <w:t>To establish the necessary conditions which enable the continent to play its rightful role in the global economy and in international negotiations; </w:t>
            </w:r>
          </w:p>
          <w:p w14:paraId="50308A96" w14:textId="77777777" w:rsidR="00727FCE" w:rsidRPr="00727FCE" w:rsidRDefault="00727FCE" w:rsidP="000D5F9C">
            <w:pPr>
              <w:pStyle w:val="Table-list-bullet"/>
            </w:pPr>
            <w:r w:rsidRPr="00727FCE">
              <w:t>To promote sustainable development at the economic, social and cultural levels as well as the integration of African economies; </w:t>
            </w:r>
          </w:p>
          <w:p w14:paraId="71418025" w14:textId="77777777" w:rsidR="00727FCE" w:rsidRPr="00727FCE" w:rsidRDefault="00727FCE" w:rsidP="000D5F9C">
            <w:pPr>
              <w:pStyle w:val="Table-list-bullet"/>
            </w:pPr>
            <w:r w:rsidRPr="00727FCE">
              <w:t>To promote co-operation in all fields of human activity</w:t>
            </w:r>
            <w:r w:rsidR="009C7197">
              <w:t xml:space="preserve"> </w:t>
            </w:r>
            <w:r w:rsidRPr="00727FCE">
              <w:t>to raise the living standards of African peoples</w:t>
            </w:r>
          </w:p>
        </w:tc>
      </w:tr>
      <w:tr w:rsidR="00A52E60" w:rsidRPr="00F44292" w14:paraId="15AC166E" w14:textId="77777777" w:rsidTr="004107C3">
        <w:trPr>
          <w:cantSplit/>
        </w:trPr>
        <w:tc>
          <w:tcPr>
            <w:tcW w:w="2788" w:type="dxa"/>
            <w:shd w:val="clear" w:color="auto" w:fill="auto"/>
          </w:tcPr>
          <w:p w14:paraId="770A665C" w14:textId="77777777" w:rsidR="00A52E60" w:rsidRDefault="00A52E60" w:rsidP="00ED2B41">
            <w:pPr>
              <w:pStyle w:val="TableTEXT"/>
            </w:pPr>
            <w:r>
              <w:t xml:space="preserve">Common Market for Eastern and Southern Africa </w:t>
            </w:r>
          </w:p>
        </w:tc>
        <w:tc>
          <w:tcPr>
            <w:tcW w:w="1539" w:type="dxa"/>
            <w:shd w:val="clear" w:color="auto" w:fill="auto"/>
          </w:tcPr>
          <w:p w14:paraId="6505DDC4" w14:textId="77777777" w:rsidR="00A0337A" w:rsidRPr="00782A69" w:rsidRDefault="00940EEC" w:rsidP="000D5F9C">
            <w:pPr>
              <w:pStyle w:val="TableTEXT"/>
              <w:rPr>
                <w:lang w:val="pt-PT"/>
              </w:rPr>
            </w:pPr>
            <w:hyperlink r:id="rId25" w:tooltip="Burundi" w:history="1">
              <w:r w:rsidR="00A0337A" w:rsidRPr="00782A69">
                <w:rPr>
                  <w:lang w:val="pt-PT"/>
                </w:rPr>
                <w:t>Burundi</w:t>
              </w:r>
            </w:hyperlink>
          </w:p>
          <w:p w14:paraId="2D199C45" w14:textId="77777777" w:rsidR="00A0337A" w:rsidRPr="00782A69" w:rsidRDefault="00940EEC" w:rsidP="000D5F9C">
            <w:pPr>
              <w:pStyle w:val="TableTEXT"/>
              <w:rPr>
                <w:lang w:val="pt-PT"/>
              </w:rPr>
            </w:pPr>
            <w:hyperlink r:id="rId26" w:tooltip="Comoros" w:history="1">
              <w:r w:rsidR="00A0337A" w:rsidRPr="00782A69">
                <w:rPr>
                  <w:lang w:val="pt-PT"/>
                </w:rPr>
                <w:t>Comoros</w:t>
              </w:r>
            </w:hyperlink>
          </w:p>
          <w:p w14:paraId="4A8CC467" w14:textId="77777777" w:rsidR="00A0337A" w:rsidRPr="00782A69" w:rsidRDefault="00940EEC" w:rsidP="000D5F9C">
            <w:pPr>
              <w:pStyle w:val="TableTEXT"/>
              <w:rPr>
                <w:lang w:val="pt-PT"/>
              </w:rPr>
            </w:pPr>
            <w:hyperlink r:id="rId27" w:tooltip="D.R. Congo" w:history="1">
              <w:r w:rsidR="00A0337A" w:rsidRPr="00782A69">
                <w:rPr>
                  <w:lang w:val="pt-PT"/>
                </w:rPr>
                <w:t>D.R. Congo</w:t>
              </w:r>
            </w:hyperlink>
          </w:p>
          <w:p w14:paraId="15578C3F" w14:textId="77777777" w:rsidR="00A0337A" w:rsidRPr="00782A69" w:rsidRDefault="00940EEC" w:rsidP="000D5F9C">
            <w:pPr>
              <w:pStyle w:val="TableTEXT"/>
              <w:rPr>
                <w:lang w:val="pt-PT"/>
              </w:rPr>
            </w:pPr>
            <w:hyperlink r:id="rId28" w:tooltip="Djibouti" w:history="1">
              <w:r w:rsidR="00A0337A" w:rsidRPr="00782A69">
                <w:rPr>
                  <w:lang w:val="pt-PT"/>
                </w:rPr>
                <w:t>Djibouti</w:t>
              </w:r>
            </w:hyperlink>
          </w:p>
          <w:p w14:paraId="5AAC04C8" w14:textId="77777777" w:rsidR="00A0337A" w:rsidRPr="00A0337A" w:rsidRDefault="00940EEC" w:rsidP="000D5F9C">
            <w:pPr>
              <w:pStyle w:val="TableTEXT"/>
            </w:pPr>
            <w:hyperlink r:id="rId29" w:tooltip="Egypt" w:history="1">
              <w:r w:rsidR="00A0337A" w:rsidRPr="00A0337A">
                <w:t>Egypt</w:t>
              </w:r>
            </w:hyperlink>
          </w:p>
          <w:p w14:paraId="144059D4" w14:textId="77777777" w:rsidR="00A0337A" w:rsidRPr="00A0337A" w:rsidRDefault="00940EEC" w:rsidP="000D5F9C">
            <w:pPr>
              <w:pStyle w:val="TableTEXT"/>
            </w:pPr>
            <w:hyperlink r:id="rId30" w:tooltip="Eritrea" w:history="1">
              <w:r w:rsidR="00A0337A" w:rsidRPr="00A0337A">
                <w:t>Eritrea</w:t>
              </w:r>
            </w:hyperlink>
          </w:p>
          <w:p w14:paraId="03C2E672" w14:textId="77777777" w:rsidR="00A0337A" w:rsidRPr="00A0337A" w:rsidRDefault="00940EEC" w:rsidP="000D5F9C">
            <w:pPr>
              <w:pStyle w:val="TableTEXT"/>
            </w:pPr>
            <w:hyperlink r:id="rId31" w:tooltip="Ethiopia" w:history="1">
              <w:r w:rsidR="00A0337A" w:rsidRPr="00A0337A">
                <w:t>Ethiopia</w:t>
              </w:r>
            </w:hyperlink>
          </w:p>
          <w:p w14:paraId="670F6161" w14:textId="77777777" w:rsidR="00A0337A" w:rsidRPr="00A0337A" w:rsidRDefault="00940EEC" w:rsidP="000D5F9C">
            <w:pPr>
              <w:pStyle w:val="TableTEXT"/>
            </w:pPr>
            <w:hyperlink r:id="rId32" w:tooltip="Kenya" w:history="1">
              <w:r w:rsidR="00A0337A" w:rsidRPr="00A0337A">
                <w:t>Kenya</w:t>
              </w:r>
            </w:hyperlink>
          </w:p>
          <w:p w14:paraId="5417A865" w14:textId="77777777" w:rsidR="00A0337A" w:rsidRPr="00A0337A" w:rsidRDefault="00940EEC" w:rsidP="000D5F9C">
            <w:pPr>
              <w:pStyle w:val="TableTEXT"/>
            </w:pPr>
            <w:hyperlink r:id="rId33" w:tooltip="Libya" w:history="1">
              <w:r w:rsidR="00A0337A" w:rsidRPr="00A0337A">
                <w:t>Libya</w:t>
              </w:r>
            </w:hyperlink>
          </w:p>
          <w:p w14:paraId="2AA40295" w14:textId="77777777" w:rsidR="00A0337A" w:rsidRPr="00A0337A" w:rsidRDefault="00940EEC" w:rsidP="000D5F9C">
            <w:pPr>
              <w:pStyle w:val="TableTEXT"/>
            </w:pPr>
            <w:hyperlink r:id="rId34" w:tooltip="Seychelles" w:history="1">
              <w:r w:rsidR="00A0337A" w:rsidRPr="00A0337A">
                <w:t>Seychelles</w:t>
              </w:r>
            </w:hyperlink>
          </w:p>
          <w:p w14:paraId="7103EA70" w14:textId="77777777" w:rsidR="00A0337A" w:rsidRPr="00782A69" w:rsidRDefault="00940EEC" w:rsidP="000D5F9C">
            <w:pPr>
              <w:pStyle w:val="TableTEXT"/>
              <w:rPr>
                <w:lang w:val="pt-PT"/>
              </w:rPr>
            </w:pPr>
            <w:hyperlink r:id="rId35" w:tooltip="Madagascar" w:history="1">
              <w:r w:rsidR="00A0337A" w:rsidRPr="00782A69">
                <w:rPr>
                  <w:lang w:val="pt-PT"/>
                </w:rPr>
                <w:t>Madagascar</w:t>
              </w:r>
            </w:hyperlink>
          </w:p>
          <w:p w14:paraId="3E45C280" w14:textId="77777777" w:rsidR="00A0337A" w:rsidRPr="00782A69" w:rsidRDefault="00940EEC" w:rsidP="000D5F9C">
            <w:pPr>
              <w:pStyle w:val="TableTEXT"/>
              <w:rPr>
                <w:lang w:val="pt-PT"/>
              </w:rPr>
            </w:pPr>
            <w:hyperlink r:id="rId36" w:tooltip="Malawi" w:history="1">
              <w:r w:rsidR="00A0337A" w:rsidRPr="00782A69">
                <w:rPr>
                  <w:lang w:val="pt-PT"/>
                </w:rPr>
                <w:t>Malawi</w:t>
              </w:r>
            </w:hyperlink>
          </w:p>
          <w:p w14:paraId="15436D10" w14:textId="77777777" w:rsidR="00A0337A" w:rsidRPr="00782A69" w:rsidRDefault="00940EEC" w:rsidP="000D5F9C">
            <w:pPr>
              <w:pStyle w:val="TableTEXT"/>
              <w:rPr>
                <w:lang w:val="pt-PT"/>
              </w:rPr>
            </w:pPr>
            <w:hyperlink r:id="rId37" w:tooltip="Mauritius" w:history="1">
              <w:r w:rsidR="00A0337A" w:rsidRPr="00782A69">
                <w:rPr>
                  <w:lang w:val="pt-PT"/>
                </w:rPr>
                <w:t>Mauritius</w:t>
              </w:r>
            </w:hyperlink>
          </w:p>
          <w:p w14:paraId="56BBBA01" w14:textId="77777777" w:rsidR="00A0337A" w:rsidRPr="00782A69" w:rsidRDefault="00940EEC" w:rsidP="000D5F9C">
            <w:pPr>
              <w:pStyle w:val="TableTEXT"/>
              <w:rPr>
                <w:lang w:val="pt-PT"/>
              </w:rPr>
            </w:pPr>
            <w:hyperlink r:id="rId38" w:tooltip="Rwanda" w:history="1">
              <w:r w:rsidR="00A0337A" w:rsidRPr="00782A69">
                <w:rPr>
                  <w:lang w:val="pt-PT"/>
                </w:rPr>
                <w:t>Rwanda</w:t>
              </w:r>
            </w:hyperlink>
          </w:p>
          <w:p w14:paraId="7ADBA53B" w14:textId="77777777" w:rsidR="00A0337A" w:rsidRPr="00782A69" w:rsidRDefault="00940EEC" w:rsidP="000D5F9C">
            <w:pPr>
              <w:pStyle w:val="TableTEXT"/>
              <w:rPr>
                <w:lang w:val="pt-PT"/>
              </w:rPr>
            </w:pPr>
            <w:hyperlink r:id="rId39" w:tooltip="Sudan" w:history="1">
              <w:r w:rsidR="00A0337A" w:rsidRPr="00782A69">
                <w:rPr>
                  <w:lang w:val="pt-PT"/>
                </w:rPr>
                <w:t>Sudan</w:t>
              </w:r>
            </w:hyperlink>
          </w:p>
          <w:p w14:paraId="575EC5B6" w14:textId="77777777" w:rsidR="00A0337A" w:rsidRPr="00782A69" w:rsidRDefault="00940EEC" w:rsidP="000D5F9C">
            <w:pPr>
              <w:pStyle w:val="TableTEXT"/>
              <w:rPr>
                <w:lang w:val="pt-PT"/>
              </w:rPr>
            </w:pPr>
            <w:hyperlink r:id="rId40" w:tooltip="Swaziland" w:history="1">
              <w:r w:rsidR="00A0337A" w:rsidRPr="00782A69">
                <w:rPr>
                  <w:lang w:val="pt-PT"/>
                </w:rPr>
                <w:t>Swaziland</w:t>
              </w:r>
            </w:hyperlink>
          </w:p>
          <w:p w14:paraId="69D3CBEE" w14:textId="77777777" w:rsidR="00A0337A" w:rsidRPr="00C97EF2" w:rsidRDefault="00940EEC" w:rsidP="000D5F9C">
            <w:pPr>
              <w:pStyle w:val="TableTEXT"/>
              <w:rPr>
                <w:lang w:val="pt-PT"/>
              </w:rPr>
            </w:pPr>
            <w:hyperlink r:id="rId41" w:tooltip="Uganda" w:history="1">
              <w:r w:rsidR="00A0337A" w:rsidRPr="00C97EF2">
                <w:rPr>
                  <w:lang w:val="pt-PT"/>
                </w:rPr>
                <w:t>Uganda</w:t>
              </w:r>
            </w:hyperlink>
          </w:p>
          <w:p w14:paraId="7D434A1D" w14:textId="77777777" w:rsidR="00A0337A" w:rsidRPr="00C97EF2" w:rsidRDefault="00940EEC" w:rsidP="000D5F9C">
            <w:pPr>
              <w:pStyle w:val="TableTEXT"/>
              <w:rPr>
                <w:lang w:val="pt-PT"/>
              </w:rPr>
            </w:pPr>
            <w:hyperlink r:id="rId42" w:tooltip="Zambia" w:history="1">
              <w:r w:rsidR="00A0337A" w:rsidRPr="00C97EF2">
                <w:rPr>
                  <w:lang w:val="pt-PT"/>
                </w:rPr>
                <w:t>Zambia</w:t>
              </w:r>
            </w:hyperlink>
          </w:p>
          <w:p w14:paraId="197F46E1" w14:textId="77777777" w:rsidR="00A52E60" w:rsidRDefault="00940EEC" w:rsidP="00BA3DCF">
            <w:pPr>
              <w:pStyle w:val="TableTEXT"/>
            </w:pPr>
            <w:hyperlink r:id="rId43" w:tooltip="Zimbabwe" w:history="1">
              <w:r w:rsidR="00A0337A" w:rsidRPr="00A0337A">
                <w:t>Zimbabwe</w:t>
              </w:r>
            </w:hyperlink>
          </w:p>
        </w:tc>
        <w:tc>
          <w:tcPr>
            <w:tcW w:w="4756" w:type="dxa"/>
            <w:shd w:val="clear" w:color="auto" w:fill="auto"/>
          </w:tcPr>
          <w:p w14:paraId="42CEE175" w14:textId="77777777" w:rsidR="00A52E60" w:rsidRPr="00A0337A" w:rsidRDefault="00ED2B41" w:rsidP="00ED2B41">
            <w:pPr>
              <w:pStyle w:val="TableTEXT"/>
            </w:pPr>
            <w:r w:rsidRPr="00ED2B41">
              <w:t>Common Market for Eastern and Southern Africa</w:t>
            </w:r>
            <w:r>
              <w:t>’s</w:t>
            </w:r>
            <w:r w:rsidRPr="00ED2B41">
              <w:t xml:space="preserve"> </w:t>
            </w:r>
            <w:r>
              <w:t>v</w:t>
            </w:r>
            <w:r w:rsidR="00A0337A" w:rsidRPr="00A0337A">
              <w:t xml:space="preserve">ision is to </w:t>
            </w:r>
            <w:r w:rsidR="009C7197">
              <w:t>‘</w:t>
            </w:r>
            <w:r w:rsidR="00A0337A" w:rsidRPr="00A0337A">
              <w:t xml:space="preserve">be a fully integrated, internationally competitive regional economic community with high standards of living for </w:t>
            </w:r>
            <w:proofErr w:type="gramStart"/>
            <w:r w:rsidR="00A0337A" w:rsidRPr="00A0337A">
              <w:t>all its</w:t>
            </w:r>
            <w:proofErr w:type="gramEnd"/>
            <w:r w:rsidR="00A0337A" w:rsidRPr="00A0337A">
              <w:t xml:space="preserve"> people ready to merge into an African Economic Community</w:t>
            </w:r>
            <w:r w:rsidR="009C7197">
              <w:t>’</w:t>
            </w:r>
            <w:r w:rsidR="00A0337A">
              <w:t>.</w:t>
            </w:r>
            <w:r w:rsidR="009C7197">
              <w:t xml:space="preserve"> </w:t>
            </w:r>
            <w:r w:rsidR="00A0337A">
              <w:t>It en</w:t>
            </w:r>
            <w:r w:rsidR="00A0337A" w:rsidRPr="00A0337A">
              <w:t>deavour</w:t>
            </w:r>
            <w:r w:rsidR="00A0337A">
              <w:t>s</w:t>
            </w:r>
            <w:r w:rsidR="00A0337A" w:rsidRPr="00A0337A">
              <w:t xml:space="preserve"> to achieve sustainable economic and social progress in all Member States through increased co-operation and integration in all fields of development particularly in trade, customs and monetary affairs, transport, communication and information, technology, industry and energy, gender, agriculture, envi</w:t>
            </w:r>
            <w:r w:rsidR="00A0337A">
              <w:t>ronment and natural resources</w:t>
            </w:r>
            <w:r w:rsidR="009C7197">
              <w:t>’</w:t>
            </w:r>
            <w:r w:rsidR="00A0337A">
              <w:t>.</w:t>
            </w:r>
            <w:r w:rsidR="009C7197">
              <w:t xml:space="preserve"> </w:t>
            </w:r>
            <w:r w:rsidR="00A0337A">
              <w:t>Many of these objectives resonate with the goal and objective of the AADP.</w:t>
            </w:r>
          </w:p>
        </w:tc>
      </w:tr>
      <w:tr w:rsidR="00A52E60" w:rsidRPr="00F44292" w14:paraId="356BCB38" w14:textId="77777777" w:rsidTr="004107C3">
        <w:trPr>
          <w:cantSplit/>
        </w:trPr>
        <w:tc>
          <w:tcPr>
            <w:tcW w:w="2788" w:type="dxa"/>
            <w:shd w:val="clear" w:color="auto" w:fill="auto"/>
          </w:tcPr>
          <w:p w14:paraId="05E53409" w14:textId="77777777" w:rsidR="00A52E60" w:rsidRDefault="00A52E60" w:rsidP="00ED2B41">
            <w:pPr>
              <w:pStyle w:val="TableTEXT"/>
            </w:pPr>
            <w:r>
              <w:t>Southern African Development Community</w:t>
            </w:r>
          </w:p>
        </w:tc>
        <w:tc>
          <w:tcPr>
            <w:tcW w:w="1539" w:type="dxa"/>
            <w:shd w:val="clear" w:color="auto" w:fill="auto"/>
          </w:tcPr>
          <w:p w14:paraId="4509E7FB" w14:textId="77777777" w:rsidR="00A0337A" w:rsidRPr="00782A69" w:rsidRDefault="00940EEC" w:rsidP="000D5F9C">
            <w:pPr>
              <w:pStyle w:val="TableTEXT"/>
              <w:rPr>
                <w:lang w:val="pt-PT"/>
              </w:rPr>
            </w:pPr>
            <w:hyperlink r:id="rId44" w:tgtFrame="_self" w:history="1">
              <w:r w:rsidR="00A0337A" w:rsidRPr="00782A69">
                <w:rPr>
                  <w:lang w:val="pt-PT"/>
                </w:rPr>
                <w:t>Angola</w:t>
              </w:r>
            </w:hyperlink>
          </w:p>
          <w:p w14:paraId="28155031" w14:textId="77777777" w:rsidR="00A0337A" w:rsidRPr="00782A69" w:rsidRDefault="00940EEC" w:rsidP="000D5F9C">
            <w:pPr>
              <w:pStyle w:val="TableTEXT"/>
              <w:rPr>
                <w:lang w:val="pt-PT"/>
              </w:rPr>
            </w:pPr>
            <w:hyperlink r:id="rId45" w:tgtFrame="_self" w:history="1">
              <w:r w:rsidR="00A0337A" w:rsidRPr="00782A69">
                <w:rPr>
                  <w:lang w:val="pt-PT"/>
                </w:rPr>
                <w:t>Botswana</w:t>
              </w:r>
            </w:hyperlink>
          </w:p>
          <w:p w14:paraId="54B230A1" w14:textId="77777777" w:rsidR="00A0337A" w:rsidRPr="00782A69" w:rsidRDefault="00A0337A" w:rsidP="000D5F9C">
            <w:pPr>
              <w:pStyle w:val="TableTEXT"/>
              <w:rPr>
                <w:lang w:val="pt-PT"/>
              </w:rPr>
            </w:pPr>
            <w:r w:rsidRPr="00782A69">
              <w:rPr>
                <w:lang w:val="pt-PT"/>
              </w:rPr>
              <w:t xml:space="preserve">D.R. </w:t>
            </w:r>
            <w:r w:rsidR="00EA2AC4">
              <w:fldChar w:fldCharType="begin"/>
            </w:r>
            <w:r w:rsidR="00EA2AC4" w:rsidRPr="00FD7441">
              <w:rPr>
                <w:lang w:val="es-CO"/>
              </w:rPr>
              <w:instrText xml:space="preserve"> HYPERLINK "http://www.sadc.int/member-states/dr-congo/" \t "_self" </w:instrText>
            </w:r>
            <w:r w:rsidR="00EA2AC4">
              <w:fldChar w:fldCharType="separate"/>
            </w:r>
            <w:r w:rsidRPr="00782A69">
              <w:rPr>
                <w:lang w:val="pt-PT"/>
              </w:rPr>
              <w:t>Congo</w:t>
            </w:r>
            <w:r w:rsidR="00EA2AC4">
              <w:rPr>
                <w:lang w:val="pt-PT"/>
              </w:rPr>
              <w:fldChar w:fldCharType="end"/>
            </w:r>
          </w:p>
          <w:p w14:paraId="53007F9B" w14:textId="77777777" w:rsidR="00A0337A" w:rsidRPr="00782A69" w:rsidRDefault="00940EEC" w:rsidP="000D5F9C">
            <w:pPr>
              <w:pStyle w:val="TableTEXT"/>
              <w:rPr>
                <w:lang w:val="pt-PT"/>
              </w:rPr>
            </w:pPr>
            <w:hyperlink r:id="rId46" w:tgtFrame="_self" w:history="1">
              <w:r w:rsidR="00A0337A" w:rsidRPr="00782A69">
                <w:rPr>
                  <w:lang w:val="pt-PT"/>
                </w:rPr>
                <w:t>Lesotho</w:t>
              </w:r>
            </w:hyperlink>
          </w:p>
          <w:p w14:paraId="552C4575" w14:textId="77777777" w:rsidR="00A0337A" w:rsidRPr="00782A69" w:rsidRDefault="00940EEC" w:rsidP="000D5F9C">
            <w:pPr>
              <w:pStyle w:val="TableTEXT"/>
              <w:rPr>
                <w:lang w:val="pt-PT"/>
              </w:rPr>
            </w:pPr>
            <w:hyperlink r:id="rId47" w:tgtFrame="_self" w:history="1">
              <w:r w:rsidR="00A0337A" w:rsidRPr="00782A69">
                <w:rPr>
                  <w:lang w:val="pt-PT"/>
                </w:rPr>
                <w:t>Madagascar</w:t>
              </w:r>
            </w:hyperlink>
          </w:p>
          <w:p w14:paraId="1E7185C7" w14:textId="77777777" w:rsidR="00A0337A" w:rsidRPr="00782A69" w:rsidRDefault="00940EEC" w:rsidP="000D5F9C">
            <w:pPr>
              <w:pStyle w:val="TableTEXT"/>
              <w:rPr>
                <w:lang w:val="pt-PT"/>
              </w:rPr>
            </w:pPr>
            <w:hyperlink r:id="rId48" w:tgtFrame="_self" w:history="1">
              <w:r w:rsidR="00A0337A" w:rsidRPr="00782A69">
                <w:rPr>
                  <w:lang w:val="pt-PT"/>
                </w:rPr>
                <w:t>Malawi</w:t>
              </w:r>
            </w:hyperlink>
          </w:p>
          <w:p w14:paraId="0425E8D5" w14:textId="77777777" w:rsidR="00A0337A" w:rsidRPr="00782A69" w:rsidRDefault="00940EEC" w:rsidP="000D5F9C">
            <w:pPr>
              <w:pStyle w:val="TableTEXT"/>
              <w:rPr>
                <w:lang w:val="pt-PT"/>
              </w:rPr>
            </w:pPr>
            <w:hyperlink r:id="rId49" w:tgtFrame="_self" w:history="1">
              <w:r w:rsidR="00A0337A" w:rsidRPr="00782A69">
                <w:rPr>
                  <w:lang w:val="pt-PT"/>
                </w:rPr>
                <w:t>Mauritius</w:t>
              </w:r>
            </w:hyperlink>
          </w:p>
          <w:p w14:paraId="3D61D612" w14:textId="77777777" w:rsidR="00A0337A" w:rsidRPr="00782A69" w:rsidRDefault="00940EEC" w:rsidP="000D5F9C">
            <w:pPr>
              <w:pStyle w:val="TableTEXT"/>
              <w:rPr>
                <w:lang w:val="pt-PT"/>
              </w:rPr>
            </w:pPr>
            <w:hyperlink r:id="rId50" w:tgtFrame="_self" w:history="1">
              <w:r w:rsidR="00A0337A" w:rsidRPr="00782A69">
                <w:rPr>
                  <w:lang w:val="pt-PT"/>
                </w:rPr>
                <w:t>Mozambique</w:t>
              </w:r>
            </w:hyperlink>
          </w:p>
          <w:p w14:paraId="6D5E4E32" w14:textId="77777777" w:rsidR="00A0337A" w:rsidRPr="00782A69" w:rsidRDefault="00940EEC" w:rsidP="000D5F9C">
            <w:pPr>
              <w:pStyle w:val="TableTEXT"/>
              <w:rPr>
                <w:lang w:val="pt-PT"/>
              </w:rPr>
            </w:pPr>
            <w:hyperlink r:id="rId51" w:tgtFrame="_self" w:history="1">
              <w:r w:rsidR="00A0337A" w:rsidRPr="00782A69">
                <w:rPr>
                  <w:lang w:val="pt-PT"/>
                </w:rPr>
                <w:t>Namibia</w:t>
              </w:r>
            </w:hyperlink>
          </w:p>
          <w:p w14:paraId="55EAD650" w14:textId="77777777" w:rsidR="00A0337A" w:rsidRPr="00782A69" w:rsidRDefault="00940EEC" w:rsidP="000D5F9C">
            <w:pPr>
              <w:pStyle w:val="TableTEXT"/>
              <w:rPr>
                <w:lang w:val="pt-PT"/>
              </w:rPr>
            </w:pPr>
            <w:hyperlink r:id="rId52" w:tgtFrame="_self" w:history="1">
              <w:r w:rsidR="00A0337A" w:rsidRPr="00782A69">
                <w:rPr>
                  <w:lang w:val="pt-PT"/>
                </w:rPr>
                <w:t>Seychelles</w:t>
              </w:r>
            </w:hyperlink>
          </w:p>
          <w:p w14:paraId="2D2CA889" w14:textId="77777777" w:rsidR="00A0337A" w:rsidRPr="00A0337A" w:rsidRDefault="00940EEC" w:rsidP="000D5F9C">
            <w:pPr>
              <w:pStyle w:val="TableTEXT"/>
            </w:pPr>
            <w:hyperlink r:id="rId53" w:tgtFrame="_self" w:history="1">
              <w:r w:rsidR="00A0337A" w:rsidRPr="00A0337A">
                <w:t>South Africa</w:t>
              </w:r>
            </w:hyperlink>
          </w:p>
          <w:p w14:paraId="254A51B5" w14:textId="77777777" w:rsidR="00A0337A" w:rsidRPr="00A0337A" w:rsidRDefault="00940EEC" w:rsidP="000D5F9C">
            <w:pPr>
              <w:pStyle w:val="TableTEXT"/>
            </w:pPr>
            <w:hyperlink r:id="rId54" w:tgtFrame="_self" w:history="1">
              <w:r w:rsidR="00A0337A" w:rsidRPr="00A0337A">
                <w:t>Swaziland</w:t>
              </w:r>
            </w:hyperlink>
          </w:p>
          <w:p w14:paraId="2F2D609A" w14:textId="77777777" w:rsidR="00A0337A" w:rsidRPr="00A0337A" w:rsidRDefault="00940EEC" w:rsidP="000D5F9C">
            <w:pPr>
              <w:pStyle w:val="TableTEXT"/>
            </w:pPr>
            <w:hyperlink r:id="rId55" w:tgtFrame="_self" w:history="1">
              <w:r w:rsidR="00A0337A" w:rsidRPr="00A0337A">
                <w:t>United Republic Of Tanzania</w:t>
              </w:r>
            </w:hyperlink>
          </w:p>
          <w:p w14:paraId="7ADFB13C" w14:textId="77777777" w:rsidR="00A0337A" w:rsidRPr="00A0337A" w:rsidRDefault="00940EEC" w:rsidP="000D5F9C">
            <w:pPr>
              <w:pStyle w:val="TableTEXT"/>
            </w:pPr>
            <w:hyperlink r:id="rId56" w:tgtFrame="_self" w:history="1">
              <w:r w:rsidR="00A0337A" w:rsidRPr="00A0337A">
                <w:t>Zambia</w:t>
              </w:r>
            </w:hyperlink>
          </w:p>
          <w:p w14:paraId="729F3AF6" w14:textId="77777777" w:rsidR="00A52E60" w:rsidRDefault="00940EEC" w:rsidP="000D5F9C">
            <w:pPr>
              <w:pStyle w:val="TableTEXT"/>
            </w:pPr>
            <w:hyperlink r:id="rId57" w:tgtFrame="_self" w:history="1">
              <w:r w:rsidR="00A0337A" w:rsidRPr="00A0337A">
                <w:t>Zimbabwe</w:t>
              </w:r>
            </w:hyperlink>
          </w:p>
        </w:tc>
        <w:tc>
          <w:tcPr>
            <w:tcW w:w="4756" w:type="dxa"/>
            <w:shd w:val="clear" w:color="auto" w:fill="auto"/>
          </w:tcPr>
          <w:p w14:paraId="61A5EC6C" w14:textId="77777777" w:rsidR="00A52E60" w:rsidRDefault="00A0337A" w:rsidP="000D5F9C">
            <w:pPr>
              <w:pStyle w:val="TableTEXT"/>
            </w:pPr>
            <w:r w:rsidRPr="00A0337A">
              <w:t xml:space="preserve">The main objectives of </w:t>
            </w:r>
            <w:r w:rsidR="00ED2B41">
              <w:t xml:space="preserve">the </w:t>
            </w:r>
            <w:r w:rsidR="00ED2B41" w:rsidRPr="00ED2B41">
              <w:t xml:space="preserve">Southern African Development Community </w:t>
            </w:r>
            <w:r w:rsidRPr="00A0337A">
              <w:t>are to achieve development, peace and security, and economic growth, to alleviate poverty, enhance the standard and quality of life of the peoples of Southern Africa, and support the socially disadvantaged through regional integration, built on democratic principles and equitable and sustainable development.</w:t>
            </w:r>
          </w:p>
        </w:tc>
      </w:tr>
      <w:tr w:rsidR="004F128D" w:rsidRPr="005E536E" w14:paraId="12AC3AD4" w14:textId="77777777" w:rsidTr="005B3032">
        <w:trPr>
          <w:cantSplit/>
        </w:trPr>
        <w:tc>
          <w:tcPr>
            <w:tcW w:w="9083" w:type="dxa"/>
            <w:gridSpan w:val="3"/>
            <w:shd w:val="clear" w:color="auto" w:fill="C6D9F1"/>
          </w:tcPr>
          <w:p w14:paraId="035FF0F9" w14:textId="77777777" w:rsidR="004F128D" w:rsidRPr="005E536E" w:rsidRDefault="004F128D" w:rsidP="000D5F9C">
            <w:pPr>
              <w:pStyle w:val="TableHeader"/>
            </w:pPr>
            <w:r w:rsidRPr="005E536E">
              <w:t>Universities</w:t>
            </w:r>
            <w:r w:rsidR="001B7DCB">
              <w:t xml:space="preserve"> / </w:t>
            </w:r>
            <w:r w:rsidRPr="005E536E">
              <w:t>Training Organisations</w:t>
            </w:r>
          </w:p>
        </w:tc>
      </w:tr>
      <w:tr w:rsidR="004F128D" w:rsidRPr="00BD6D7A" w14:paraId="670023A3" w14:textId="77777777" w:rsidTr="004107C3">
        <w:trPr>
          <w:cantSplit/>
        </w:trPr>
        <w:tc>
          <w:tcPr>
            <w:tcW w:w="2788" w:type="dxa"/>
            <w:shd w:val="clear" w:color="auto" w:fill="auto"/>
          </w:tcPr>
          <w:p w14:paraId="74599D98" w14:textId="77777777" w:rsidR="004F128D" w:rsidRPr="00BD6D7A" w:rsidRDefault="004F128D" w:rsidP="00ED2B41">
            <w:pPr>
              <w:pStyle w:val="TableTEXT"/>
            </w:pPr>
            <w:r w:rsidRPr="00BD6D7A">
              <w:t>Centre for S</w:t>
            </w:r>
            <w:r w:rsidR="00ED2B41">
              <w:t xml:space="preserve">ocial Responsibility in Mining, </w:t>
            </w:r>
            <w:r w:rsidRPr="00BD6D7A">
              <w:t>University of</w:t>
            </w:r>
            <w:r>
              <w:t xml:space="preserve"> </w:t>
            </w:r>
            <w:r w:rsidRPr="00BD6D7A">
              <w:t xml:space="preserve">Queensland </w:t>
            </w:r>
          </w:p>
        </w:tc>
        <w:tc>
          <w:tcPr>
            <w:tcW w:w="1539" w:type="dxa"/>
            <w:shd w:val="clear" w:color="auto" w:fill="auto"/>
          </w:tcPr>
          <w:p w14:paraId="2CFFD478" w14:textId="77777777" w:rsidR="004F128D" w:rsidRPr="00BD6D7A" w:rsidRDefault="004F128D" w:rsidP="000D5F9C">
            <w:pPr>
              <w:pStyle w:val="TableTEXT"/>
            </w:pPr>
            <w:r w:rsidRPr="00BD6D7A">
              <w:t>Global</w:t>
            </w:r>
          </w:p>
        </w:tc>
        <w:tc>
          <w:tcPr>
            <w:tcW w:w="4756" w:type="dxa"/>
            <w:shd w:val="clear" w:color="auto" w:fill="auto"/>
          </w:tcPr>
          <w:p w14:paraId="6D86C9FF" w14:textId="77777777" w:rsidR="004F128D" w:rsidRPr="00BD6D7A" w:rsidRDefault="00ED2B41" w:rsidP="000D5F9C">
            <w:pPr>
              <w:pStyle w:val="TableTEXT"/>
            </w:pPr>
            <w:r w:rsidRPr="00ED2B41">
              <w:t xml:space="preserve">Centre for Social Responsibility in Mining </w:t>
            </w:r>
            <w:r w:rsidR="004F128D" w:rsidRPr="00BD6D7A">
              <w:t xml:space="preserve">has extensive experience building capacity across the extractive sector by partnering with the private sector, NGOs and government. </w:t>
            </w:r>
          </w:p>
        </w:tc>
      </w:tr>
      <w:tr w:rsidR="004F128D" w:rsidRPr="00BD6D7A" w14:paraId="0108EE0B" w14:textId="77777777" w:rsidTr="004107C3">
        <w:trPr>
          <w:cantSplit/>
        </w:trPr>
        <w:tc>
          <w:tcPr>
            <w:tcW w:w="2788" w:type="dxa"/>
            <w:shd w:val="clear" w:color="auto" w:fill="auto"/>
          </w:tcPr>
          <w:p w14:paraId="0B64028E" w14:textId="77777777" w:rsidR="004F128D" w:rsidRPr="00BD6D7A" w:rsidRDefault="004F128D" w:rsidP="00ED2B41">
            <w:pPr>
              <w:pStyle w:val="TableTEXT"/>
            </w:pPr>
            <w:r w:rsidRPr="00BD6D7A">
              <w:t>Centre for Sustainability in Mining and Industry</w:t>
            </w:r>
            <w:r w:rsidR="00ED2B41">
              <w:t>,</w:t>
            </w:r>
            <w:r w:rsidRPr="00BD6D7A">
              <w:t xml:space="preserve"> University of the Witwatersrand</w:t>
            </w:r>
          </w:p>
        </w:tc>
        <w:tc>
          <w:tcPr>
            <w:tcW w:w="1539" w:type="dxa"/>
            <w:shd w:val="clear" w:color="auto" w:fill="auto"/>
          </w:tcPr>
          <w:p w14:paraId="16C2A900" w14:textId="77777777" w:rsidR="004F128D" w:rsidRPr="00BD6D7A" w:rsidRDefault="004F128D" w:rsidP="000D5F9C">
            <w:pPr>
              <w:pStyle w:val="TableTEXT"/>
            </w:pPr>
            <w:r w:rsidRPr="00BD6D7A">
              <w:t>Africa</w:t>
            </w:r>
          </w:p>
        </w:tc>
        <w:tc>
          <w:tcPr>
            <w:tcW w:w="4756" w:type="dxa"/>
            <w:shd w:val="clear" w:color="auto" w:fill="auto"/>
          </w:tcPr>
          <w:p w14:paraId="44DA2D4E" w14:textId="77777777" w:rsidR="004F128D" w:rsidRPr="00BD6D7A" w:rsidRDefault="00ED2B41" w:rsidP="000D5F9C">
            <w:pPr>
              <w:pStyle w:val="TableTEXT"/>
            </w:pPr>
            <w:r w:rsidRPr="00ED2B41">
              <w:t xml:space="preserve">Centre for Sustainability in Mining and Industry </w:t>
            </w:r>
            <w:r w:rsidR="004F128D" w:rsidRPr="00BD6D7A">
              <w:t>has extensive African experience building capacity across the extractive sector by partnering with and delivering to major players in the private sector.</w:t>
            </w:r>
          </w:p>
        </w:tc>
      </w:tr>
      <w:tr w:rsidR="004F128D" w:rsidRPr="00BD6D7A" w14:paraId="02EEAA28" w14:textId="77777777" w:rsidTr="004107C3">
        <w:trPr>
          <w:cantSplit/>
        </w:trPr>
        <w:tc>
          <w:tcPr>
            <w:tcW w:w="2788" w:type="dxa"/>
            <w:shd w:val="clear" w:color="auto" w:fill="auto"/>
          </w:tcPr>
          <w:p w14:paraId="4EA0D444" w14:textId="77777777" w:rsidR="004F128D" w:rsidRPr="00BD6D7A" w:rsidRDefault="004F128D" w:rsidP="000D5F9C">
            <w:pPr>
              <w:pStyle w:val="TableTEXT"/>
            </w:pPr>
            <w:r w:rsidRPr="00BD6D7A">
              <w:t xml:space="preserve">Canadian Association of Community Colleges </w:t>
            </w:r>
          </w:p>
        </w:tc>
        <w:tc>
          <w:tcPr>
            <w:tcW w:w="1539" w:type="dxa"/>
            <w:shd w:val="clear" w:color="auto" w:fill="auto"/>
          </w:tcPr>
          <w:p w14:paraId="0AFC1E5B" w14:textId="77777777" w:rsidR="004F128D" w:rsidRPr="00BD6D7A" w:rsidRDefault="004F128D" w:rsidP="000D5F9C">
            <w:pPr>
              <w:pStyle w:val="TableTEXT"/>
            </w:pPr>
            <w:r w:rsidRPr="00BD6D7A">
              <w:t>Global</w:t>
            </w:r>
            <w:r>
              <w:t>, e</w:t>
            </w:r>
            <w:r w:rsidRPr="00BD6D7A">
              <w:t>specially</w:t>
            </w:r>
            <w:r>
              <w:t xml:space="preserve"> </w:t>
            </w:r>
            <w:r w:rsidRPr="00BD6D7A">
              <w:t>Mozambique</w:t>
            </w:r>
          </w:p>
        </w:tc>
        <w:tc>
          <w:tcPr>
            <w:tcW w:w="4756" w:type="dxa"/>
            <w:shd w:val="clear" w:color="auto" w:fill="auto"/>
          </w:tcPr>
          <w:p w14:paraId="05254C59" w14:textId="77777777" w:rsidR="004F128D" w:rsidRPr="00BD6D7A" w:rsidRDefault="004F128D" w:rsidP="000D5F9C">
            <w:pPr>
              <w:pStyle w:val="TableTEXT"/>
            </w:pPr>
            <w:r w:rsidRPr="00BD6D7A">
              <w:t>This platform for 132 publically funded Canadian Community Colleges has a leading skills training project in Mozambique.</w:t>
            </w:r>
          </w:p>
        </w:tc>
      </w:tr>
      <w:tr w:rsidR="004F128D" w:rsidRPr="00BD6D7A" w14:paraId="3F9E1C35" w14:textId="77777777" w:rsidTr="004107C3">
        <w:trPr>
          <w:cantSplit/>
        </w:trPr>
        <w:tc>
          <w:tcPr>
            <w:tcW w:w="2788" w:type="dxa"/>
            <w:shd w:val="clear" w:color="auto" w:fill="auto"/>
          </w:tcPr>
          <w:p w14:paraId="1902805F" w14:textId="77777777" w:rsidR="004F128D" w:rsidRPr="00BD6D7A" w:rsidRDefault="004F128D" w:rsidP="000D5F9C">
            <w:pPr>
              <w:pStyle w:val="TableTEXT"/>
            </w:pPr>
            <w:r w:rsidRPr="00BD6D7A">
              <w:t xml:space="preserve">Central Queensland University </w:t>
            </w:r>
          </w:p>
        </w:tc>
        <w:tc>
          <w:tcPr>
            <w:tcW w:w="1539" w:type="dxa"/>
            <w:shd w:val="clear" w:color="auto" w:fill="auto"/>
          </w:tcPr>
          <w:p w14:paraId="10038D11" w14:textId="77777777" w:rsidR="004F128D" w:rsidRPr="00BD6D7A" w:rsidRDefault="004F128D" w:rsidP="000D5F9C">
            <w:pPr>
              <w:pStyle w:val="TableTEXT"/>
            </w:pPr>
            <w:r w:rsidRPr="00BD6D7A">
              <w:t>Australia</w:t>
            </w:r>
          </w:p>
          <w:p w14:paraId="73477367" w14:textId="77777777" w:rsidR="004F128D" w:rsidRPr="00BD6D7A" w:rsidRDefault="004F128D" w:rsidP="000D5F9C">
            <w:pPr>
              <w:pStyle w:val="TableTEXT"/>
            </w:pPr>
            <w:r w:rsidRPr="00BD6D7A">
              <w:t>Asia Pacific</w:t>
            </w:r>
          </w:p>
          <w:p w14:paraId="17233965" w14:textId="77777777" w:rsidR="004F128D" w:rsidRPr="00BD6D7A" w:rsidRDefault="004F128D" w:rsidP="000D5F9C">
            <w:pPr>
              <w:pStyle w:val="TableTEXT"/>
            </w:pPr>
            <w:r w:rsidRPr="00BD6D7A">
              <w:t>Mongolia</w:t>
            </w:r>
          </w:p>
          <w:p w14:paraId="3D5D9EA6" w14:textId="77777777" w:rsidR="004F128D" w:rsidRPr="00BD6D7A" w:rsidRDefault="004F128D" w:rsidP="000D5F9C">
            <w:pPr>
              <w:pStyle w:val="TableTEXT"/>
            </w:pPr>
            <w:r w:rsidRPr="00BD6D7A">
              <w:t>Chile</w:t>
            </w:r>
          </w:p>
        </w:tc>
        <w:tc>
          <w:tcPr>
            <w:tcW w:w="4756" w:type="dxa"/>
            <w:shd w:val="clear" w:color="auto" w:fill="auto"/>
          </w:tcPr>
          <w:p w14:paraId="4B9C20AB" w14:textId="77777777" w:rsidR="004F128D" w:rsidRPr="00BD6D7A" w:rsidRDefault="004F128D" w:rsidP="000D5F9C">
            <w:pPr>
              <w:pStyle w:val="TableTEXT"/>
            </w:pPr>
            <w:r>
              <w:t>Located in the heart of one of Australia’s largest extractive sector regions, t</w:t>
            </w:r>
            <w:r w:rsidRPr="00BD6D7A">
              <w:t xml:space="preserve">his university combines capacity to teach TVET </w:t>
            </w:r>
            <w:r w:rsidRPr="007D4432">
              <w:t>and</w:t>
            </w:r>
            <w:r w:rsidRPr="00BD6D7A">
              <w:t xml:space="preserve"> management skills for the extractive sector</w:t>
            </w:r>
            <w:r>
              <w:t xml:space="preserve">. It </w:t>
            </w:r>
            <w:r w:rsidRPr="00BD6D7A">
              <w:t>has a successful track record of innovative international practice in the TVET sector especially in training trainers.</w:t>
            </w:r>
            <w:r>
              <w:t xml:space="preserve"> It has exceptional adult teaching methodology.</w:t>
            </w:r>
          </w:p>
        </w:tc>
      </w:tr>
      <w:tr w:rsidR="004F128D" w:rsidRPr="00BD6D7A" w14:paraId="08C17C5B" w14:textId="77777777" w:rsidTr="004107C3">
        <w:trPr>
          <w:cantSplit/>
        </w:trPr>
        <w:tc>
          <w:tcPr>
            <w:tcW w:w="2788" w:type="dxa"/>
            <w:shd w:val="clear" w:color="auto" w:fill="auto"/>
          </w:tcPr>
          <w:p w14:paraId="2FAD0029" w14:textId="77777777" w:rsidR="004F128D" w:rsidRPr="00BD6D7A" w:rsidRDefault="004F128D" w:rsidP="000D5F9C">
            <w:pPr>
              <w:pStyle w:val="TableTEXT"/>
            </w:pPr>
            <w:r w:rsidRPr="00BD6D7A">
              <w:t>African Associations at universities in Australia</w:t>
            </w:r>
          </w:p>
        </w:tc>
        <w:tc>
          <w:tcPr>
            <w:tcW w:w="1539" w:type="dxa"/>
            <w:shd w:val="clear" w:color="auto" w:fill="auto"/>
          </w:tcPr>
          <w:p w14:paraId="1AEBF5BF" w14:textId="77777777" w:rsidR="004F128D" w:rsidRPr="00BD6D7A" w:rsidRDefault="004F128D" w:rsidP="000D5F9C">
            <w:pPr>
              <w:pStyle w:val="TableTEXT"/>
            </w:pPr>
            <w:r w:rsidRPr="00BD6D7A">
              <w:t xml:space="preserve">Australia </w:t>
            </w:r>
          </w:p>
          <w:p w14:paraId="693F537C" w14:textId="77777777" w:rsidR="004F128D" w:rsidRPr="00BD6D7A" w:rsidRDefault="004F128D" w:rsidP="000D5F9C">
            <w:pPr>
              <w:pStyle w:val="TableTEXT"/>
            </w:pPr>
            <w:r w:rsidRPr="00BD6D7A">
              <w:t>Africa</w:t>
            </w:r>
          </w:p>
        </w:tc>
        <w:tc>
          <w:tcPr>
            <w:tcW w:w="4756" w:type="dxa"/>
            <w:shd w:val="clear" w:color="auto" w:fill="auto"/>
          </w:tcPr>
          <w:p w14:paraId="3D72B79B" w14:textId="77777777" w:rsidR="004F128D" w:rsidRPr="00BD6D7A" w:rsidRDefault="004F128D" w:rsidP="000D5F9C">
            <w:pPr>
              <w:pStyle w:val="TableTEXT"/>
            </w:pPr>
            <w:r w:rsidRPr="00BD6D7A">
              <w:t>For example</w:t>
            </w:r>
          </w:p>
          <w:p w14:paraId="74FA7CF0" w14:textId="77777777" w:rsidR="004F128D" w:rsidRPr="00BD6D7A" w:rsidRDefault="00940EEC" w:rsidP="000D5F9C">
            <w:pPr>
              <w:pStyle w:val="TableTEXT"/>
            </w:pPr>
            <w:hyperlink r:id="rId58" w:history="1">
              <w:r w:rsidR="00A5121D" w:rsidRPr="00AF2941">
                <w:rPr>
                  <w:rStyle w:val="Hyperlink"/>
                  <w:rFonts w:cs="Arial"/>
                  <w:szCs w:val="20"/>
                </w:rPr>
                <w:t xml:space="preserve">http://www.qutguild.com/clubs/international/qutAustralia </w:t>
              </w:r>
              <w:proofErr w:type="spellStart"/>
              <w:r w:rsidR="00A5121D" w:rsidRPr="00AF2941">
                <w:rPr>
                  <w:rStyle w:val="Hyperlink"/>
                  <w:rFonts w:cs="Arial"/>
                  <w:szCs w:val="20"/>
                </w:rPr>
                <w:t>Awardsafrica</w:t>
              </w:r>
              <w:proofErr w:type="spellEnd"/>
            </w:hyperlink>
          </w:p>
          <w:p w14:paraId="4897F5E7" w14:textId="77777777" w:rsidR="004F128D" w:rsidRPr="00BD6D7A" w:rsidRDefault="004F128D" w:rsidP="000D5F9C">
            <w:pPr>
              <w:pStyle w:val="TableTEXT"/>
            </w:pPr>
            <w:r w:rsidRPr="00BD6D7A">
              <w:t>Such associations provide connections and institutional knowledge</w:t>
            </w:r>
            <w:r w:rsidR="009C7197">
              <w:t xml:space="preserve"> </w:t>
            </w:r>
            <w:r w:rsidRPr="00BD6D7A">
              <w:t xml:space="preserve">for those involved in the </w:t>
            </w:r>
            <w:r w:rsidR="00D92793">
              <w:t>Australia Awards</w:t>
            </w:r>
            <w:r w:rsidRPr="00BD6D7A">
              <w:t xml:space="preserve"> programs</w:t>
            </w:r>
            <w:r>
              <w:t>.</w:t>
            </w:r>
          </w:p>
        </w:tc>
      </w:tr>
      <w:tr w:rsidR="004F128D" w:rsidRPr="00BD6D7A" w14:paraId="5FF47709" w14:textId="77777777" w:rsidTr="004107C3">
        <w:trPr>
          <w:cantSplit/>
        </w:trPr>
        <w:tc>
          <w:tcPr>
            <w:tcW w:w="2788" w:type="dxa"/>
            <w:shd w:val="clear" w:color="auto" w:fill="auto"/>
          </w:tcPr>
          <w:p w14:paraId="01CC75F2" w14:textId="77777777" w:rsidR="004F128D" w:rsidRPr="00BD6D7A" w:rsidRDefault="004F128D" w:rsidP="000D5F9C">
            <w:pPr>
              <w:pStyle w:val="TableTEXT"/>
            </w:pPr>
            <w:r w:rsidRPr="00BD6D7A">
              <w:t>African Studies Association of Australasia and the Pacific</w:t>
            </w:r>
          </w:p>
        </w:tc>
        <w:tc>
          <w:tcPr>
            <w:tcW w:w="1539" w:type="dxa"/>
            <w:shd w:val="clear" w:color="auto" w:fill="auto"/>
          </w:tcPr>
          <w:p w14:paraId="1BD571F3" w14:textId="77777777" w:rsidR="004F128D" w:rsidRPr="00BD6D7A" w:rsidRDefault="004F128D" w:rsidP="000D5F9C">
            <w:pPr>
              <w:pStyle w:val="TableTEXT"/>
            </w:pPr>
            <w:r w:rsidRPr="00BD6D7A">
              <w:t xml:space="preserve">Australasia </w:t>
            </w:r>
          </w:p>
          <w:p w14:paraId="6681311F" w14:textId="77777777" w:rsidR="004F128D" w:rsidRPr="00BD6D7A" w:rsidRDefault="004F128D" w:rsidP="000D5F9C">
            <w:pPr>
              <w:pStyle w:val="TableTEXT"/>
            </w:pPr>
            <w:r w:rsidRPr="00BD6D7A">
              <w:t>Africa</w:t>
            </w:r>
          </w:p>
        </w:tc>
        <w:tc>
          <w:tcPr>
            <w:tcW w:w="4756" w:type="dxa"/>
            <w:shd w:val="clear" w:color="auto" w:fill="auto"/>
          </w:tcPr>
          <w:p w14:paraId="05466BCD" w14:textId="77777777" w:rsidR="004F128D" w:rsidRPr="00BD6D7A" w:rsidRDefault="00940EEC" w:rsidP="000D5F9C">
            <w:pPr>
              <w:pStyle w:val="TableTEXT"/>
            </w:pPr>
            <w:hyperlink r:id="rId59" w:history="1">
              <w:r w:rsidR="007D4432" w:rsidRPr="00FF6E92">
                <w:rPr>
                  <w:rStyle w:val="Hyperlink"/>
                </w:rPr>
                <w:t xml:space="preserve">http://afsaap.org.au/ </w:t>
              </w:r>
            </w:hyperlink>
          </w:p>
          <w:p w14:paraId="79A23C69" w14:textId="77777777" w:rsidR="004F128D" w:rsidRPr="00BD6D7A" w:rsidRDefault="004F128D" w:rsidP="000D5F9C">
            <w:pPr>
              <w:pStyle w:val="TableTEXT"/>
            </w:pPr>
            <w:r w:rsidRPr="00BD6D7A">
              <w:t>This association has a vast range of information and connections between Africa in Australia. Their 2014</w:t>
            </w:r>
            <w:r>
              <w:t xml:space="preserve"> </w:t>
            </w:r>
            <w:r w:rsidRPr="00BD6D7A">
              <w:t>conference is on</w:t>
            </w:r>
            <w:r>
              <w:t xml:space="preserve"> </w:t>
            </w:r>
            <w:r w:rsidRPr="000843D9">
              <w:rPr>
                <w:i/>
              </w:rPr>
              <w:t>Doing Business in Africa Opportunities for Education and Training</w:t>
            </w:r>
            <w:r w:rsidRPr="00BD6D7A">
              <w:t xml:space="preserve">. </w:t>
            </w:r>
          </w:p>
        </w:tc>
      </w:tr>
      <w:tr w:rsidR="004F128D" w:rsidRPr="00B92D4F" w14:paraId="2B5AC303" w14:textId="77777777" w:rsidTr="005B3032">
        <w:tc>
          <w:tcPr>
            <w:tcW w:w="9083" w:type="dxa"/>
            <w:gridSpan w:val="3"/>
            <w:shd w:val="clear" w:color="auto" w:fill="C6D9F1"/>
          </w:tcPr>
          <w:p w14:paraId="40878DE1" w14:textId="77777777" w:rsidR="004F128D" w:rsidRPr="00B92D4F" w:rsidRDefault="004F128D" w:rsidP="000D5F9C">
            <w:pPr>
              <w:pStyle w:val="TableHeader"/>
            </w:pPr>
            <w:r w:rsidRPr="00BD6D7A">
              <w:t>Donor Organisations</w:t>
            </w:r>
          </w:p>
        </w:tc>
      </w:tr>
      <w:tr w:rsidR="004F128D" w:rsidRPr="00BD6D7A" w14:paraId="3A43AB24" w14:textId="77777777" w:rsidTr="004107C3">
        <w:trPr>
          <w:cantSplit/>
        </w:trPr>
        <w:tc>
          <w:tcPr>
            <w:tcW w:w="2788" w:type="dxa"/>
            <w:shd w:val="clear" w:color="auto" w:fill="auto"/>
          </w:tcPr>
          <w:p w14:paraId="53F80E80" w14:textId="77777777" w:rsidR="00306B0E" w:rsidRPr="007D4432" w:rsidRDefault="00306B0E" w:rsidP="000D5F9C">
            <w:pPr>
              <w:pStyle w:val="TableTEXT"/>
              <w:rPr>
                <w:i/>
                <w:lang w:val="de-DE"/>
              </w:rPr>
            </w:pPr>
            <w:r w:rsidRPr="007D4432">
              <w:rPr>
                <w:i/>
                <w:lang w:val="de-DE"/>
              </w:rPr>
              <w:t>Deutche Gesellschaft f</w:t>
            </w:r>
            <w:r w:rsidRPr="007D4432">
              <w:rPr>
                <w:rFonts w:cs="Arial"/>
                <w:i/>
                <w:lang w:val="de-DE"/>
              </w:rPr>
              <w:t>ű</w:t>
            </w:r>
            <w:r w:rsidRPr="007D4432">
              <w:rPr>
                <w:i/>
                <w:lang w:val="de-DE"/>
              </w:rPr>
              <w:t xml:space="preserve">r Internationale Zusammenarbeit GmbH </w:t>
            </w:r>
          </w:p>
          <w:p w14:paraId="6E51181E" w14:textId="77777777" w:rsidR="00306B0E" w:rsidRDefault="00306B0E" w:rsidP="000D5F9C">
            <w:pPr>
              <w:pStyle w:val="TableTEXT"/>
              <w:rPr>
                <w:rFonts w:cs="Arial"/>
                <w:szCs w:val="20"/>
              </w:rPr>
            </w:pPr>
            <w:r>
              <w:t>(German Society for International Cooperation)</w:t>
            </w:r>
          </w:p>
          <w:p w14:paraId="38172C03" w14:textId="77777777" w:rsidR="004F128D" w:rsidRPr="00BD6D7A" w:rsidRDefault="004F128D" w:rsidP="000D5F9C">
            <w:pPr>
              <w:pStyle w:val="TableTEXT"/>
              <w:rPr>
                <w:rFonts w:cs="Arial"/>
                <w:szCs w:val="20"/>
              </w:rPr>
            </w:pPr>
            <w:r w:rsidRPr="00BD6D7A">
              <w:rPr>
                <w:rFonts w:cs="Arial"/>
                <w:szCs w:val="20"/>
              </w:rPr>
              <w:t>GIZ</w:t>
            </w:r>
          </w:p>
        </w:tc>
        <w:tc>
          <w:tcPr>
            <w:tcW w:w="1539" w:type="dxa"/>
            <w:shd w:val="clear" w:color="auto" w:fill="auto"/>
          </w:tcPr>
          <w:p w14:paraId="6C004554" w14:textId="77777777" w:rsidR="004F128D" w:rsidRPr="00BD6D7A" w:rsidRDefault="004F128D" w:rsidP="000D5F9C">
            <w:pPr>
              <w:pStyle w:val="TableTEXT"/>
              <w:rPr>
                <w:rFonts w:cs="Arial"/>
                <w:szCs w:val="20"/>
              </w:rPr>
            </w:pPr>
            <w:r w:rsidRPr="00BD6D7A">
              <w:rPr>
                <w:rFonts w:cs="Arial"/>
                <w:szCs w:val="20"/>
              </w:rPr>
              <w:t>Global</w:t>
            </w:r>
          </w:p>
        </w:tc>
        <w:tc>
          <w:tcPr>
            <w:tcW w:w="4756" w:type="dxa"/>
            <w:shd w:val="clear" w:color="auto" w:fill="auto"/>
          </w:tcPr>
          <w:p w14:paraId="6170AA57" w14:textId="77777777" w:rsidR="004F128D" w:rsidRPr="00BD6D7A" w:rsidRDefault="004F128D" w:rsidP="000D5F9C">
            <w:pPr>
              <w:pStyle w:val="TableTEXT"/>
              <w:rPr>
                <w:rFonts w:cs="Arial"/>
                <w:szCs w:val="20"/>
              </w:rPr>
            </w:pPr>
            <w:r w:rsidRPr="00BD6D7A">
              <w:rPr>
                <w:rFonts w:cs="Arial"/>
                <w:szCs w:val="20"/>
              </w:rPr>
              <w:t>GIZ has demonstrated success in creating sustainable development projects linking training and local economic development in partnerships</w:t>
            </w:r>
            <w:r>
              <w:rPr>
                <w:rFonts w:cs="Arial"/>
                <w:szCs w:val="20"/>
              </w:rPr>
              <w:t xml:space="preserve"> with the private sector (</w:t>
            </w:r>
            <w:r w:rsidRPr="00BD6D7A">
              <w:rPr>
                <w:rFonts w:cs="Arial"/>
                <w:szCs w:val="20"/>
              </w:rPr>
              <w:t>e.g. Keegan in Ghana, the Mines for Minds project with London Mining in Sierra Leone)</w:t>
            </w:r>
            <w:r>
              <w:rPr>
                <w:rFonts w:cs="Arial"/>
                <w:szCs w:val="20"/>
              </w:rPr>
              <w:t>.</w:t>
            </w:r>
          </w:p>
        </w:tc>
      </w:tr>
      <w:tr w:rsidR="004F128D" w:rsidRPr="00BD6D7A" w14:paraId="293DF332" w14:textId="77777777" w:rsidTr="004107C3">
        <w:trPr>
          <w:cantSplit/>
        </w:trPr>
        <w:tc>
          <w:tcPr>
            <w:tcW w:w="2788" w:type="dxa"/>
            <w:shd w:val="clear" w:color="auto" w:fill="auto"/>
          </w:tcPr>
          <w:p w14:paraId="51094E42" w14:textId="77777777" w:rsidR="004F128D" w:rsidRPr="00BD6D7A" w:rsidRDefault="008D5350" w:rsidP="000D5F9C">
            <w:pPr>
              <w:pStyle w:val="TableTEXT"/>
            </w:pPr>
            <w:r>
              <w:t>NORAID</w:t>
            </w:r>
          </w:p>
          <w:p w14:paraId="6D0C0D12" w14:textId="77777777" w:rsidR="004F128D" w:rsidRPr="00BD6D7A" w:rsidRDefault="004F128D" w:rsidP="000D5F9C">
            <w:pPr>
              <w:pStyle w:val="TableTEXT"/>
            </w:pPr>
            <w:r w:rsidRPr="00BD6D7A">
              <w:t>Oil for Development Program</w:t>
            </w:r>
          </w:p>
        </w:tc>
        <w:tc>
          <w:tcPr>
            <w:tcW w:w="1539" w:type="dxa"/>
            <w:shd w:val="clear" w:color="auto" w:fill="auto"/>
          </w:tcPr>
          <w:p w14:paraId="025E563E" w14:textId="77777777" w:rsidR="004F128D" w:rsidRPr="00BD6D7A" w:rsidRDefault="004F128D" w:rsidP="000D5F9C">
            <w:pPr>
              <w:pStyle w:val="TableTEXT"/>
            </w:pPr>
            <w:r w:rsidRPr="00BD6D7A">
              <w:t>Global</w:t>
            </w:r>
          </w:p>
          <w:p w14:paraId="781F2ECF" w14:textId="77777777" w:rsidR="004F128D" w:rsidRPr="00BD6D7A" w:rsidRDefault="004F128D" w:rsidP="000D5F9C">
            <w:pPr>
              <w:pStyle w:val="TableTEXT"/>
            </w:pPr>
            <w:r w:rsidRPr="00BD6D7A">
              <w:t>Mozambique</w:t>
            </w:r>
          </w:p>
        </w:tc>
        <w:tc>
          <w:tcPr>
            <w:tcW w:w="4756" w:type="dxa"/>
            <w:shd w:val="clear" w:color="auto" w:fill="auto"/>
          </w:tcPr>
          <w:p w14:paraId="5F53B46F" w14:textId="77777777" w:rsidR="004F128D" w:rsidRPr="00BD6D7A" w:rsidRDefault="004F128D" w:rsidP="000D5F9C">
            <w:pPr>
              <w:pStyle w:val="TableTEXT"/>
            </w:pPr>
            <w:r w:rsidRPr="00BD6D7A">
              <w:t>Norwegian Aid has vast experience in working with oil producing nations to reduce poverty by promoting economically, environmentally and socially responsible management of petroleum resources in Africa and globally, particularly in governance and gender and energy related issues.</w:t>
            </w:r>
            <w:r w:rsidR="009C7197">
              <w:t xml:space="preserve"> </w:t>
            </w:r>
          </w:p>
        </w:tc>
      </w:tr>
      <w:tr w:rsidR="004F128D" w:rsidRPr="00BD6D7A" w14:paraId="4EDEE6B6" w14:textId="77777777" w:rsidTr="004107C3">
        <w:trPr>
          <w:cantSplit/>
        </w:trPr>
        <w:tc>
          <w:tcPr>
            <w:tcW w:w="2788" w:type="dxa"/>
            <w:shd w:val="clear" w:color="auto" w:fill="auto"/>
          </w:tcPr>
          <w:p w14:paraId="48A79C15" w14:textId="77777777" w:rsidR="004F128D" w:rsidRPr="00BD6D7A" w:rsidRDefault="004F128D" w:rsidP="000D5F9C">
            <w:pPr>
              <w:pStyle w:val="TableTEXT"/>
            </w:pPr>
            <w:r w:rsidRPr="00BD6D7A">
              <w:t>International Mining For development Centre (IM4DC)</w:t>
            </w:r>
          </w:p>
        </w:tc>
        <w:tc>
          <w:tcPr>
            <w:tcW w:w="1539" w:type="dxa"/>
            <w:shd w:val="clear" w:color="auto" w:fill="auto"/>
          </w:tcPr>
          <w:p w14:paraId="611BA014" w14:textId="77777777" w:rsidR="004F128D" w:rsidRPr="00BD6D7A" w:rsidRDefault="004F128D" w:rsidP="000D5F9C">
            <w:pPr>
              <w:pStyle w:val="TableTEXT"/>
            </w:pPr>
            <w:r w:rsidRPr="00BD6D7A">
              <w:t>Global</w:t>
            </w:r>
          </w:p>
        </w:tc>
        <w:tc>
          <w:tcPr>
            <w:tcW w:w="4756" w:type="dxa"/>
            <w:shd w:val="clear" w:color="auto" w:fill="auto"/>
          </w:tcPr>
          <w:p w14:paraId="7BD8FFEB" w14:textId="77777777" w:rsidR="004F128D" w:rsidRPr="00BD6D7A" w:rsidRDefault="004F128D" w:rsidP="000D5F9C">
            <w:pPr>
              <w:pStyle w:val="TableTEXT"/>
            </w:pPr>
            <w:r w:rsidRPr="00BD6D7A">
              <w:t xml:space="preserve">IM4DC has a broad network of alumni through M4Dlink </w:t>
            </w:r>
            <w:hyperlink r:id="rId60" w:history="1">
              <w:r w:rsidRPr="00BD6D7A">
                <w:t>http:</w:t>
              </w:r>
              <w:r w:rsidR="001B7DCB">
                <w:t xml:space="preserve"> /</w:t>
              </w:r>
              <w:r w:rsidR="005B3032">
                <w:t xml:space="preserve"> </w:t>
              </w:r>
              <w:r w:rsidR="001B7DCB">
                <w:t xml:space="preserve">/ </w:t>
              </w:r>
              <w:r w:rsidRPr="00BD6D7A">
                <w:t>m4dlink.org</w:t>
              </w:r>
              <w:r w:rsidR="001B7DCB">
                <w:t xml:space="preserve"> / </w:t>
              </w:r>
            </w:hyperlink>
            <w:r w:rsidRPr="00BD6D7A">
              <w:t xml:space="preserve"> across </w:t>
            </w:r>
            <w:r>
              <w:t xml:space="preserve">the </w:t>
            </w:r>
            <w:r w:rsidRPr="00BD6D7A">
              <w:t>AADP</w:t>
            </w:r>
            <w:r>
              <w:t xml:space="preserve"> f</w:t>
            </w:r>
            <w:r w:rsidRPr="00BD6D7A">
              <w:t xml:space="preserve">ocus and </w:t>
            </w:r>
            <w:r w:rsidR="00EC38FF">
              <w:t>Target Countries</w:t>
            </w:r>
            <w:r w:rsidRPr="00BD6D7A">
              <w:t xml:space="preserve">. It has a strong community of practice of skilled researchers and trainers in all the areas </w:t>
            </w:r>
            <w:r>
              <w:t>in which the AADP aspires to work</w:t>
            </w:r>
            <w:r w:rsidRPr="00BD6D7A">
              <w:t xml:space="preserve">. </w:t>
            </w:r>
          </w:p>
        </w:tc>
      </w:tr>
      <w:tr w:rsidR="004F128D" w:rsidRPr="00B92D4F" w14:paraId="056B9374" w14:textId="77777777" w:rsidTr="005B3032">
        <w:trPr>
          <w:cantSplit/>
        </w:trPr>
        <w:tc>
          <w:tcPr>
            <w:tcW w:w="9083" w:type="dxa"/>
            <w:gridSpan w:val="3"/>
            <w:shd w:val="clear" w:color="auto" w:fill="C6D9F1"/>
          </w:tcPr>
          <w:p w14:paraId="5845B632" w14:textId="77777777" w:rsidR="004F128D" w:rsidRPr="00B92D4F" w:rsidRDefault="004F128D" w:rsidP="000D5F9C">
            <w:pPr>
              <w:pStyle w:val="TableHeader"/>
            </w:pPr>
            <w:r w:rsidRPr="00BD6D7A">
              <w:t>NGOs</w:t>
            </w:r>
          </w:p>
        </w:tc>
      </w:tr>
      <w:tr w:rsidR="004F128D" w:rsidRPr="00BD6D7A" w14:paraId="672BA629" w14:textId="77777777" w:rsidTr="004107C3">
        <w:trPr>
          <w:cantSplit/>
        </w:trPr>
        <w:tc>
          <w:tcPr>
            <w:tcW w:w="2788" w:type="dxa"/>
            <w:shd w:val="clear" w:color="auto" w:fill="auto"/>
          </w:tcPr>
          <w:p w14:paraId="0B048337" w14:textId="77777777" w:rsidR="004F128D" w:rsidRPr="00BD6D7A" w:rsidRDefault="004F128D" w:rsidP="00F133FF">
            <w:pPr>
              <w:pStyle w:val="TableTEXT"/>
            </w:pPr>
            <w:r w:rsidRPr="00BD6D7A">
              <w:t xml:space="preserve">The </w:t>
            </w:r>
            <w:r w:rsidR="002F30BC">
              <w:t>Australia–Africa</w:t>
            </w:r>
            <w:r w:rsidRPr="00BD6D7A">
              <w:t xml:space="preserve"> Community Engagement Scheme</w:t>
            </w:r>
          </w:p>
        </w:tc>
        <w:tc>
          <w:tcPr>
            <w:tcW w:w="1539" w:type="dxa"/>
            <w:shd w:val="clear" w:color="auto" w:fill="auto"/>
          </w:tcPr>
          <w:p w14:paraId="472A7FB1" w14:textId="77777777" w:rsidR="004F128D" w:rsidRPr="00BD6D7A" w:rsidRDefault="004F128D" w:rsidP="000D5F9C">
            <w:pPr>
              <w:pStyle w:val="TableTEXT"/>
            </w:pPr>
            <w:r w:rsidRPr="00BD6D7A">
              <w:t xml:space="preserve">Australia </w:t>
            </w:r>
          </w:p>
          <w:p w14:paraId="4471714F" w14:textId="77777777" w:rsidR="004F128D" w:rsidRPr="00BD6D7A" w:rsidRDefault="004F128D" w:rsidP="000D5F9C">
            <w:pPr>
              <w:pStyle w:val="TableTEXT"/>
            </w:pPr>
            <w:r w:rsidRPr="00BD6D7A">
              <w:t>Africa</w:t>
            </w:r>
          </w:p>
        </w:tc>
        <w:tc>
          <w:tcPr>
            <w:tcW w:w="4756" w:type="dxa"/>
            <w:shd w:val="clear" w:color="auto" w:fill="auto"/>
          </w:tcPr>
          <w:p w14:paraId="4F14AC87" w14:textId="77777777" w:rsidR="004F128D" w:rsidRPr="00BD6D7A" w:rsidRDefault="004F128D" w:rsidP="000D5F9C">
            <w:pPr>
              <w:pStyle w:val="TableTEXT"/>
            </w:pPr>
            <w:r w:rsidRPr="00BD6D7A">
              <w:t>This scheme</w:t>
            </w:r>
            <w:r>
              <w:t xml:space="preserve"> groups all Australia’s largest </w:t>
            </w:r>
            <w:r w:rsidRPr="00BD6D7A">
              <w:t xml:space="preserve">NGOs, </w:t>
            </w:r>
            <w:r>
              <w:t xml:space="preserve">and it has been operating in all the E4G </w:t>
            </w:r>
            <w:r w:rsidR="00EC38FF">
              <w:t>Focus Countries</w:t>
            </w:r>
            <w:r>
              <w:t>. A</w:t>
            </w:r>
            <w:r w:rsidRPr="00BD6D7A">
              <w:t xml:space="preserve">lthough it has not to date been involved in the extractive sector, Oxfam, CARE and World Vision have significant experience working on community projects with large </w:t>
            </w:r>
            <w:r w:rsidR="00C7185D">
              <w:t>extractive</w:t>
            </w:r>
            <w:r w:rsidRPr="00BD6D7A">
              <w:t xml:space="preserve"> companies in Africa, Asia Pacific and Latin America.</w:t>
            </w:r>
            <w:r>
              <w:t xml:space="preserve"> </w:t>
            </w:r>
          </w:p>
        </w:tc>
      </w:tr>
      <w:tr w:rsidR="00D535B7" w:rsidRPr="00BD6D7A" w14:paraId="0C2547AA" w14:textId="77777777" w:rsidTr="004107C3">
        <w:trPr>
          <w:cantSplit/>
        </w:trPr>
        <w:tc>
          <w:tcPr>
            <w:tcW w:w="2788" w:type="dxa"/>
            <w:shd w:val="clear" w:color="auto" w:fill="auto"/>
          </w:tcPr>
          <w:p w14:paraId="10925B0C" w14:textId="77777777" w:rsidR="00D535B7" w:rsidRPr="00BD6D7A" w:rsidRDefault="00D535B7" w:rsidP="000D5F9C">
            <w:pPr>
              <w:pStyle w:val="TableTEXT"/>
            </w:pPr>
            <w:r>
              <w:t>Transparency International (Extractive Industries Transparency Initiative)</w:t>
            </w:r>
          </w:p>
        </w:tc>
        <w:tc>
          <w:tcPr>
            <w:tcW w:w="1539" w:type="dxa"/>
            <w:shd w:val="clear" w:color="auto" w:fill="auto"/>
          </w:tcPr>
          <w:p w14:paraId="59BBA144" w14:textId="77777777" w:rsidR="00D535B7" w:rsidRDefault="00D535B7" w:rsidP="000D5F9C">
            <w:pPr>
              <w:pStyle w:val="TableTEXT"/>
            </w:pPr>
            <w:r w:rsidRPr="00BD6D7A">
              <w:t>Global</w:t>
            </w:r>
          </w:p>
          <w:p w14:paraId="0E26999A" w14:textId="77777777" w:rsidR="00D535B7" w:rsidRPr="00BD6D7A" w:rsidRDefault="00D535B7" w:rsidP="000D5F9C">
            <w:pPr>
              <w:pStyle w:val="TableTEXT"/>
            </w:pPr>
            <w:r>
              <w:t>Africa</w:t>
            </w:r>
          </w:p>
        </w:tc>
        <w:tc>
          <w:tcPr>
            <w:tcW w:w="4756" w:type="dxa"/>
            <w:shd w:val="clear" w:color="auto" w:fill="auto"/>
          </w:tcPr>
          <w:p w14:paraId="79DF71FF" w14:textId="77777777" w:rsidR="00D535B7" w:rsidRPr="00BD6D7A" w:rsidRDefault="00D535B7" w:rsidP="000D5F9C">
            <w:pPr>
              <w:pStyle w:val="TableTEXT"/>
            </w:pPr>
            <w:r>
              <w:t>EITI brings together stakeholders from government, civil society, oil, gas and mining companies and investors to improve natural resource governance.</w:t>
            </w:r>
          </w:p>
        </w:tc>
      </w:tr>
    </w:tbl>
    <w:p w14:paraId="0D3AFA56" w14:textId="77777777" w:rsidR="009C7197" w:rsidRDefault="009C7197" w:rsidP="004F128D">
      <w:pPr>
        <w:rPr>
          <w:rFonts w:cs="Arial"/>
          <w:szCs w:val="20"/>
        </w:rPr>
      </w:pPr>
    </w:p>
    <w:p w14:paraId="2AA263D9" w14:textId="77777777" w:rsidR="00577D1A" w:rsidRDefault="00577D1A" w:rsidP="00577D1A">
      <w:pPr>
        <w:spacing w:before="0"/>
        <w:rPr>
          <w:b/>
        </w:rPr>
        <w:sectPr w:rsidR="00577D1A" w:rsidSect="00B11F55">
          <w:headerReference w:type="default" r:id="rId61"/>
          <w:pgSz w:w="11906" w:h="16838"/>
          <w:pgMar w:top="1418" w:right="1418" w:bottom="1418" w:left="1418" w:header="568" w:footer="430" w:gutter="0"/>
          <w:cols w:space="708"/>
          <w:docGrid w:linePitch="360"/>
        </w:sectPr>
      </w:pPr>
    </w:p>
    <w:p w14:paraId="32DD54EC" w14:textId="77777777" w:rsidR="00577D1A" w:rsidRPr="00BA3DCF" w:rsidRDefault="00577D1A" w:rsidP="00577D1A">
      <w:pPr>
        <w:pStyle w:val="annexheading"/>
        <w:tabs>
          <w:tab w:val="left" w:pos="1701"/>
        </w:tabs>
      </w:pPr>
      <w:bookmarkStart w:id="62" w:name="_Toc387590507"/>
      <w:bookmarkStart w:id="63" w:name="_Toc399104632"/>
      <w:bookmarkStart w:id="64" w:name="_Toc399267551"/>
      <w:bookmarkStart w:id="65" w:name="_Toc401578435"/>
      <w:r w:rsidRPr="00BA3DCF">
        <w:t>Annex D:</w:t>
      </w:r>
      <w:r>
        <w:t xml:space="preserve"> </w:t>
      </w:r>
      <w:bookmarkEnd w:id="62"/>
      <w:r w:rsidRPr="00BA3DCF">
        <w:t>AADP Structure and Governance Organogram</w:t>
      </w:r>
      <w:bookmarkEnd w:id="63"/>
      <w:bookmarkEnd w:id="64"/>
      <w:bookmarkEnd w:id="65"/>
    </w:p>
    <w:p w14:paraId="700FBA72" w14:textId="77777777" w:rsidR="00577D1A" w:rsidRDefault="00577D1A" w:rsidP="00577D1A">
      <w:pPr>
        <w:pStyle w:val="annexsubheading"/>
      </w:pPr>
      <w:r>
        <w:t xml:space="preserve">AADP Governance and Management </w:t>
      </w:r>
    </w:p>
    <w:p w14:paraId="2670AA04" w14:textId="77777777" w:rsidR="00577D1A" w:rsidRDefault="00577D1A" w:rsidP="00577D1A">
      <w:pPr>
        <w:ind w:left="709" w:hanging="709"/>
        <w:jc w:val="center"/>
        <w:rPr>
          <w:b/>
          <w:sz w:val="28"/>
          <w:szCs w:val="28"/>
        </w:rPr>
      </w:pPr>
      <w:r>
        <w:rPr>
          <w:b/>
          <w:noProof/>
          <w:sz w:val="28"/>
          <w:szCs w:val="28"/>
          <w:lang w:eastAsia="en-AU"/>
        </w:rPr>
        <mc:AlternateContent>
          <mc:Choice Requires="wps">
            <w:drawing>
              <wp:anchor distT="0" distB="0" distL="114300" distR="114300" simplePos="0" relativeHeight="251635712" behindDoc="0" locked="0" layoutInCell="1" allowOverlap="1" wp14:anchorId="34D445A2" wp14:editId="4E802135">
                <wp:simplePos x="0" y="0"/>
                <wp:positionH relativeFrom="column">
                  <wp:posOffset>302260</wp:posOffset>
                </wp:positionH>
                <wp:positionV relativeFrom="paragraph">
                  <wp:posOffset>107950</wp:posOffset>
                </wp:positionV>
                <wp:extent cx="4380865" cy="779145"/>
                <wp:effectExtent l="0" t="0" r="19685" b="20955"/>
                <wp:wrapNone/>
                <wp:docPr id="50"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0865" cy="779145"/>
                        </a:xfrm>
                        <a:prstGeom prst="rect">
                          <a:avLst/>
                        </a:prstGeom>
                        <a:solidFill>
                          <a:srgbClr val="FFFFFF"/>
                        </a:solidFill>
                        <a:ln w="9525">
                          <a:solidFill>
                            <a:srgbClr val="000000"/>
                          </a:solidFill>
                          <a:miter lim="800000"/>
                          <a:headEnd/>
                          <a:tailEnd/>
                        </a:ln>
                      </wps:spPr>
                      <wps:txbx>
                        <w:txbxContent>
                          <w:p w14:paraId="5EA070B0" w14:textId="77777777" w:rsidR="0052414B" w:rsidRPr="00133185" w:rsidRDefault="0052414B" w:rsidP="00577D1A">
                            <w:pPr>
                              <w:jc w:val="center"/>
                              <w:rPr>
                                <w:b/>
                                <w:sz w:val="28"/>
                                <w:szCs w:val="28"/>
                              </w:rPr>
                            </w:pPr>
                            <w:r w:rsidRPr="00133185">
                              <w:rPr>
                                <w:b/>
                                <w:sz w:val="28"/>
                                <w:szCs w:val="28"/>
                              </w:rPr>
                              <w:t>DFAT AFB Management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9" o:spid="_x0000_s1026" style="position:absolute;left:0;text-align:left;margin-left:23.8pt;margin-top:8.5pt;width:344.95pt;height:61.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">
                <v:textbox>
                  <w:txbxContent>
                    <w:p w14:paraId="5EA070B0" w14:textId="77777777" w:rsidR="0052414B" w:rsidRPr="00133185" w:rsidRDefault="0052414B" w:rsidP="00577D1A">
                      <w:pPr>
                        <w:jc w:val="center"/>
                        <w:rPr>
                          <w:b/>
                          <w:sz w:val="28"/>
                          <w:szCs w:val="28"/>
                        </w:rPr>
                      </w:pPr>
                      <w:r w:rsidRPr="00133185">
                        <w:rPr>
                          <w:b/>
                          <w:sz w:val="28"/>
                          <w:szCs w:val="28"/>
                        </w:rPr>
                        <w:t>DFAT AFB Management</w:t>
                      </w:r>
                    </w:p>
                  </w:txbxContent>
                </v:textbox>
              </v:rect>
            </w:pict>
          </mc:Fallback>
        </mc:AlternateContent>
      </w:r>
      <w:r>
        <w:rPr>
          <w:b/>
          <w:noProof/>
          <w:sz w:val="28"/>
          <w:szCs w:val="28"/>
          <w:lang w:eastAsia="en-AU"/>
        </w:rPr>
        <mc:AlternateContent>
          <mc:Choice Requires="wps">
            <w:drawing>
              <wp:anchor distT="0" distB="0" distL="114300" distR="114300" simplePos="0" relativeHeight="251660288" behindDoc="0" locked="0" layoutInCell="1" allowOverlap="1" wp14:anchorId="2486C16D" wp14:editId="60B73DE6">
                <wp:simplePos x="0" y="0"/>
                <wp:positionH relativeFrom="column">
                  <wp:posOffset>5327015</wp:posOffset>
                </wp:positionH>
                <wp:positionV relativeFrom="paragraph">
                  <wp:posOffset>127635</wp:posOffset>
                </wp:positionV>
                <wp:extent cx="2329815" cy="739140"/>
                <wp:effectExtent l="0" t="0" r="13335" b="22860"/>
                <wp:wrapNone/>
                <wp:docPr id="49"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815" cy="739140"/>
                        </a:xfrm>
                        <a:prstGeom prst="roundRect">
                          <a:avLst>
                            <a:gd name="adj" fmla="val 16667"/>
                          </a:avLst>
                        </a:prstGeom>
                        <a:solidFill>
                          <a:srgbClr val="FFFFFF"/>
                        </a:solidFill>
                        <a:ln w="9525">
                          <a:solidFill>
                            <a:srgbClr val="000000"/>
                          </a:solidFill>
                          <a:round/>
                          <a:headEnd/>
                          <a:tailEnd/>
                        </a:ln>
                      </wps:spPr>
                      <wps:txbx>
                        <w:txbxContent>
                          <w:p w14:paraId="1D709BF6" w14:textId="77777777" w:rsidR="0052414B" w:rsidRPr="00133185" w:rsidRDefault="0052414B" w:rsidP="00577D1A">
                            <w:pPr>
                              <w:jc w:val="center"/>
                              <w:rPr>
                                <w:b/>
                                <w:sz w:val="28"/>
                                <w:szCs w:val="28"/>
                              </w:rPr>
                            </w:pPr>
                            <w:proofErr w:type="spellStart"/>
                            <w:r w:rsidRPr="00133185">
                              <w:rPr>
                                <w:b/>
                                <w:sz w:val="28"/>
                                <w:szCs w:val="28"/>
                              </w:rPr>
                              <w:t>HoMs</w:t>
                            </w:r>
                            <w:proofErr w:type="spellEnd"/>
                            <w:r>
                              <w:rPr>
                                <w:b/>
                                <w:sz w:val="28"/>
                                <w:szCs w:val="28"/>
                              </w:rPr>
                              <w:t xml:space="preserve"> and </w:t>
                            </w:r>
                            <w:r w:rsidRPr="00133185">
                              <w:rPr>
                                <w:b/>
                                <w:sz w:val="28"/>
                                <w:szCs w:val="28"/>
                              </w:rPr>
                              <w:t>Aid Program staff in Africa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7" o:spid="_x0000_s1027" style="position:absolute;left:0;text-align:left;margin-left:419.45pt;margin-top:10.05pt;width:183.45pt;height:5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">
                <v:textbox>
                  <w:txbxContent>
                    <w:p w14:paraId="1D709BF6" w14:textId="77777777" w:rsidR="0052414B" w:rsidRPr="00133185" w:rsidRDefault="0052414B" w:rsidP="00577D1A">
                      <w:pPr>
                        <w:jc w:val="center"/>
                        <w:rPr>
                          <w:b/>
                          <w:sz w:val="28"/>
                          <w:szCs w:val="28"/>
                        </w:rPr>
                      </w:pPr>
                      <w:r w:rsidRPr="00133185">
                        <w:rPr>
                          <w:b/>
                          <w:sz w:val="28"/>
                          <w:szCs w:val="28"/>
                        </w:rPr>
                        <w:t>HoMs</w:t>
                      </w:r>
                      <w:r>
                        <w:rPr>
                          <w:b/>
                          <w:sz w:val="28"/>
                          <w:szCs w:val="28"/>
                        </w:rPr>
                        <w:t xml:space="preserve"> and </w:t>
                      </w:r>
                      <w:r w:rsidRPr="00133185">
                        <w:rPr>
                          <w:b/>
                          <w:sz w:val="28"/>
                          <w:szCs w:val="28"/>
                        </w:rPr>
                        <w:t>Aid Program staff in Africa</w:t>
                      </w:r>
                    </w:p>
                  </w:txbxContent>
                </v:textbox>
              </v:roundrect>
            </w:pict>
          </mc:Fallback>
        </mc:AlternateContent>
      </w:r>
    </w:p>
    <w:p w14:paraId="4B372602" w14:textId="77777777" w:rsidR="00577D1A" w:rsidRDefault="00577D1A" w:rsidP="00577D1A">
      <w:pPr>
        <w:ind w:left="709" w:hanging="709"/>
        <w:jc w:val="center"/>
        <w:rPr>
          <w:b/>
          <w:sz w:val="28"/>
          <w:szCs w:val="28"/>
        </w:rPr>
      </w:pPr>
      <w:r>
        <w:rPr>
          <w:b/>
          <w:noProof/>
          <w:sz w:val="28"/>
          <w:szCs w:val="28"/>
          <w:lang w:eastAsia="en-AU"/>
        </w:rPr>
        <mc:AlternateContent>
          <mc:Choice Requires="wps">
            <w:drawing>
              <wp:anchor distT="0" distB="0" distL="114300" distR="114300" simplePos="0" relativeHeight="251688960" behindDoc="0" locked="0" layoutInCell="1" allowOverlap="1" wp14:anchorId="70CE8F72" wp14:editId="3F620206">
                <wp:simplePos x="0" y="0"/>
                <wp:positionH relativeFrom="column">
                  <wp:posOffset>4746625</wp:posOffset>
                </wp:positionH>
                <wp:positionV relativeFrom="paragraph">
                  <wp:posOffset>292735</wp:posOffset>
                </wp:positionV>
                <wp:extent cx="580390" cy="0"/>
                <wp:effectExtent l="38100" t="76200" r="10160" b="95250"/>
                <wp:wrapNone/>
                <wp:docPr id="48"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8747902" id="_x0000_t32" coordsize="21600,21600" o:spt="32" o:oned="t" path="m,l21600,21600e" filled="f">
                <v:path arrowok="t" fillok="f" o:connecttype="none"/>
                <o:lock v:ext="edit" shapetype="t"/>
              </v:shapetype>
              <v:shape id="AutoShape 284" o:spid="_x0000_s1026" type="#_x0000_t32" style="position:absolute;margin-left:373.75pt;margin-top:23.05pt;width:45.7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">
                <v:stroke startarrow="block" endarrow="block"/>
              </v:shape>
            </w:pict>
          </mc:Fallback>
        </mc:AlternateContent>
      </w:r>
    </w:p>
    <w:p w14:paraId="1DB9EA4E" w14:textId="77777777" w:rsidR="00577D1A" w:rsidRDefault="007D3192" w:rsidP="00577D1A">
      <w:pPr>
        <w:ind w:left="709" w:hanging="709"/>
        <w:jc w:val="center"/>
        <w:rPr>
          <w:b/>
          <w:sz w:val="28"/>
          <w:szCs w:val="28"/>
        </w:rPr>
      </w:pPr>
      <w:r>
        <w:rPr>
          <w:b/>
          <w:noProof/>
          <w:sz w:val="28"/>
          <w:szCs w:val="28"/>
          <w:lang w:eastAsia="en-AU"/>
        </w:rPr>
        <mc:AlternateContent>
          <mc:Choice Requires="wps">
            <w:drawing>
              <wp:anchor distT="0" distB="0" distL="114300" distR="114300" simplePos="0" relativeHeight="251684864" behindDoc="0" locked="0" layoutInCell="1" allowOverlap="1" wp14:anchorId="2DF47287" wp14:editId="15DA706C">
                <wp:simplePos x="0" y="0"/>
                <wp:positionH relativeFrom="column">
                  <wp:posOffset>2420620</wp:posOffset>
                </wp:positionH>
                <wp:positionV relativeFrom="paragraph">
                  <wp:posOffset>245745</wp:posOffset>
                </wp:positionV>
                <wp:extent cx="0" cy="683895"/>
                <wp:effectExtent l="53340" t="15240" r="60960" b="15240"/>
                <wp:wrapNone/>
                <wp:docPr id="47" name="Auto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38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3E6013" id="AutoShape 283" o:spid="_x0000_s1026" type="#_x0000_t32" style="position:absolute;margin-left:190.6pt;margin-top:19.35pt;width:0;height:53.8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">
                <v:stroke startarrow="block" endarrow="block"/>
              </v:shape>
            </w:pict>
          </mc:Fallback>
        </mc:AlternateContent>
      </w:r>
    </w:p>
    <w:p w14:paraId="005E6212" w14:textId="77777777" w:rsidR="00577D1A" w:rsidRDefault="00577D1A" w:rsidP="00577D1A">
      <w:pPr>
        <w:ind w:left="709" w:hanging="709"/>
        <w:jc w:val="center"/>
        <w:rPr>
          <w:b/>
          <w:sz w:val="28"/>
          <w:szCs w:val="28"/>
        </w:rPr>
      </w:pPr>
      <w:r>
        <w:rPr>
          <w:b/>
          <w:noProof/>
          <w:sz w:val="28"/>
          <w:szCs w:val="28"/>
          <w:lang w:eastAsia="en-AU"/>
        </w:rPr>
        <mc:AlternateContent>
          <mc:Choice Requires="wps">
            <w:drawing>
              <wp:anchor distT="0" distB="0" distL="114300" distR="114300" simplePos="0" relativeHeight="251693056" behindDoc="0" locked="0" layoutInCell="1" allowOverlap="1" wp14:anchorId="7817AEBB" wp14:editId="3F97316C">
                <wp:simplePos x="0" y="0"/>
                <wp:positionH relativeFrom="column">
                  <wp:posOffset>2491993</wp:posOffset>
                </wp:positionH>
                <wp:positionV relativeFrom="paragraph">
                  <wp:posOffset>125603</wp:posOffset>
                </wp:positionV>
                <wp:extent cx="3856355" cy="519684"/>
                <wp:effectExtent l="38100" t="57150" r="10795" b="90170"/>
                <wp:wrapNone/>
                <wp:docPr id="46" name="Auto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56355" cy="51968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3F8325" id="AutoShape 285" o:spid="_x0000_s1026" type="#_x0000_t32" style="position:absolute;margin-left:196.2pt;margin-top:9.9pt;width:303.65pt;height:40.9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">
                <v:stroke startarrow="block" endarrow="block"/>
              </v:shape>
            </w:pict>
          </mc:Fallback>
        </mc:AlternateContent>
      </w:r>
    </w:p>
    <w:p w14:paraId="3FE4F4B3" w14:textId="77777777" w:rsidR="00577D1A" w:rsidRDefault="00577D1A" w:rsidP="00577D1A">
      <w:pPr>
        <w:ind w:left="709" w:hanging="709"/>
        <w:jc w:val="center"/>
        <w:rPr>
          <w:b/>
          <w:sz w:val="28"/>
          <w:szCs w:val="28"/>
        </w:rPr>
      </w:pPr>
      <w:r>
        <w:rPr>
          <w:b/>
          <w:noProof/>
          <w:sz w:val="28"/>
          <w:szCs w:val="28"/>
          <w:lang w:eastAsia="en-AU"/>
        </w:rPr>
        <mc:AlternateContent>
          <mc:Choice Requires="wps">
            <w:drawing>
              <wp:anchor distT="0" distB="0" distL="114300" distR="114300" simplePos="0" relativeHeight="251643904" behindDoc="0" locked="0" layoutInCell="1" allowOverlap="1" wp14:anchorId="264FCEE2" wp14:editId="5EC074FD">
                <wp:simplePos x="0" y="0"/>
                <wp:positionH relativeFrom="column">
                  <wp:posOffset>1423035</wp:posOffset>
                </wp:positionH>
                <wp:positionV relativeFrom="paragraph">
                  <wp:posOffset>254635</wp:posOffset>
                </wp:positionV>
                <wp:extent cx="2091055" cy="619760"/>
                <wp:effectExtent l="8890" t="13970" r="5080" b="13970"/>
                <wp:wrapNone/>
                <wp:docPr id="45"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55" cy="619760"/>
                        </a:xfrm>
                        <a:prstGeom prst="roundRect">
                          <a:avLst>
                            <a:gd name="adj" fmla="val 16667"/>
                          </a:avLst>
                        </a:prstGeom>
                        <a:solidFill>
                          <a:srgbClr val="FFFFFF"/>
                        </a:solidFill>
                        <a:ln w="9525">
                          <a:solidFill>
                            <a:srgbClr val="000000"/>
                          </a:solidFill>
                          <a:round/>
                          <a:headEnd/>
                          <a:tailEnd/>
                        </a:ln>
                      </wps:spPr>
                      <wps:txbx>
                        <w:txbxContent>
                          <w:p w14:paraId="3FE24B0D" w14:textId="77777777" w:rsidR="0052414B" w:rsidRPr="00133185" w:rsidRDefault="0052414B" w:rsidP="00577D1A">
                            <w:pPr>
                              <w:jc w:val="center"/>
                              <w:rPr>
                                <w:b/>
                                <w:sz w:val="28"/>
                                <w:szCs w:val="28"/>
                              </w:rPr>
                            </w:pPr>
                            <w:r>
                              <w:rPr>
                                <w:b/>
                                <w:sz w:val="28"/>
                                <w:szCs w:val="28"/>
                              </w:rPr>
                              <w:t>Program Director -</w:t>
                            </w:r>
                            <w:r w:rsidRPr="00133185">
                              <w:rPr>
                                <w:b/>
                                <w:sz w:val="28"/>
                                <w:szCs w:val="28"/>
                              </w:rPr>
                              <w:t>Team Leader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1" o:spid="_x0000_s1028" style="position:absolute;left:0;text-align:left;margin-left:112.05pt;margin-top:20.05pt;width:164.65pt;height:4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">
                <v:textbox>
                  <w:txbxContent>
                    <w:p w14:paraId="3FE24B0D" w14:textId="77777777" w:rsidR="0052414B" w:rsidRPr="00133185" w:rsidRDefault="0052414B" w:rsidP="00577D1A">
                      <w:pPr>
                        <w:jc w:val="center"/>
                        <w:rPr>
                          <w:b/>
                          <w:sz w:val="28"/>
                          <w:szCs w:val="28"/>
                        </w:rPr>
                      </w:pPr>
                      <w:r>
                        <w:rPr>
                          <w:b/>
                          <w:sz w:val="28"/>
                          <w:szCs w:val="28"/>
                        </w:rPr>
                        <w:t>Program Director -</w:t>
                      </w:r>
                      <w:r w:rsidRPr="00133185">
                        <w:rPr>
                          <w:b/>
                          <w:sz w:val="28"/>
                          <w:szCs w:val="28"/>
                        </w:rPr>
                        <w:t>Team Leader</w:t>
                      </w:r>
                    </w:p>
                  </w:txbxContent>
                </v:textbox>
              </v:roundrect>
            </w:pict>
          </mc:Fallback>
        </mc:AlternateContent>
      </w:r>
      <w:r>
        <w:rPr>
          <w:b/>
          <w:noProof/>
          <w:sz w:val="28"/>
          <w:szCs w:val="28"/>
          <w:lang w:eastAsia="en-AU"/>
        </w:rPr>
        <mc:AlternateContent>
          <mc:Choice Requires="wps">
            <w:drawing>
              <wp:anchor distT="0" distB="0" distL="114300" distR="114300" simplePos="0" relativeHeight="251639808" behindDoc="0" locked="0" layoutInCell="1" allowOverlap="1" wp14:anchorId="1854F34A" wp14:editId="0E062E82">
                <wp:simplePos x="0" y="0"/>
                <wp:positionH relativeFrom="column">
                  <wp:posOffset>222885</wp:posOffset>
                </wp:positionH>
                <wp:positionV relativeFrom="paragraph">
                  <wp:posOffset>87630</wp:posOffset>
                </wp:positionV>
                <wp:extent cx="7433945" cy="1017270"/>
                <wp:effectExtent l="8890" t="8890" r="5715" b="12065"/>
                <wp:wrapNone/>
                <wp:docPr id="44"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3945" cy="1017270"/>
                        </a:xfrm>
                        <a:prstGeom prst="rect">
                          <a:avLst/>
                        </a:prstGeom>
                        <a:solidFill>
                          <a:srgbClr val="FFFFFF"/>
                        </a:solidFill>
                        <a:ln w="9525">
                          <a:solidFill>
                            <a:srgbClr val="000000"/>
                          </a:solidFill>
                          <a:miter lim="800000"/>
                          <a:headEnd/>
                          <a:tailEnd/>
                        </a:ln>
                      </wps:spPr>
                      <wps:txbx>
                        <w:txbxContent>
                          <w:p w14:paraId="4F0A79AD" w14:textId="77777777" w:rsidR="0052414B" w:rsidRDefault="0052414B" w:rsidP="00577D1A"/>
                          <w:p w14:paraId="5FEAC26E" w14:textId="77777777" w:rsidR="0052414B" w:rsidRDefault="0052414B" w:rsidP="00577D1A">
                            <w:pPr>
                              <w:jc w:val="right"/>
                              <w:rPr>
                                <w:b/>
                                <w:sz w:val="28"/>
                                <w:szCs w:val="28"/>
                              </w:rPr>
                            </w:pPr>
                            <w:r w:rsidRPr="00133185">
                              <w:rPr>
                                <w:b/>
                                <w:sz w:val="28"/>
                                <w:szCs w:val="28"/>
                              </w:rPr>
                              <w:t>Program Implementation Unit</w:t>
                            </w:r>
                            <w:r>
                              <w:rPr>
                                <w:b/>
                                <w:sz w:val="28"/>
                                <w:szCs w:val="28"/>
                              </w:rPr>
                              <w:t xml:space="preserve"> </w:t>
                            </w:r>
                          </w:p>
                          <w:p w14:paraId="4C31D4F8" w14:textId="77777777" w:rsidR="0052414B" w:rsidRPr="00133185" w:rsidRDefault="0052414B" w:rsidP="00577D1A">
                            <w:pPr>
                              <w:jc w:val="right"/>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29" style="position:absolute;left:0;text-align:left;margin-left:17.55pt;margin-top:6.9pt;width:585.35pt;height:80.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">
                <v:textbox>
                  <w:txbxContent>
                    <w:p w14:paraId="4F0A79AD" w14:textId="77777777" w:rsidR="0052414B" w:rsidRDefault="0052414B" w:rsidP="00577D1A"/>
                    <w:p w14:paraId="5FEAC26E" w14:textId="77777777" w:rsidR="0052414B" w:rsidRDefault="0052414B" w:rsidP="00577D1A">
                      <w:pPr>
                        <w:jc w:val="right"/>
                        <w:rPr>
                          <w:b/>
                          <w:sz w:val="28"/>
                          <w:szCs w:val="28"/>
                        </w:rPr>
                      </w:pPr>
                      <w:r w:rsidRPr="00133185">
                        <w:rPr>
                          <w:b/>
                          <w:sz w:val="28"/>
                          <w:szCs w:val="28"/>
                        </w:rPr>
                        <w:t>Program Implementation Unit</w:t>
                      </w:r>
                      <w:r>
                        <w:rPr>
                          <w:b/>
                          <w:sz w:val="28"/>
                          <w:szCs w:val="28"/>
                        </w:rPr>
                        <w:t xml:space="preserve"> </w:t>
                      </w:r>
                    </w:p>
                    <w:p w14:paraId="4C31D4F8" w14:textId="77777777" w:rsidR="0052414B" w:rsidRPr="00133185" w:rsidRDefault="0052414B" w:rsidP="00577D1A">
                      <w:pPr>
                        <w:jc w:val="right"/>
                        <w:rPr>
                          <w:b/>
                          <w:sz w:val="28"/>
                          <w:szCs w:val="28"/>
                        </w:rPr>
                      </w:pPr>
                    </w:p>
                  </w:txbxContent>
                </v:textbox>
              </v:rect>
            </w:pict>
          </mc:Fallback>
        </mc:AlternateContent>
      </w:r>
    </w:p>
    <w:p w14:paraId="4D8C5EA7" w14:textId="77777777" w:rsidR="00577D1A" w:rsidRDefault="00577D1A" w:rsidP="00577D1A">
      <w:pPr>
        <w:ind w:left="709" w:hanging="709"/>
        <w:jc w:val="center"/>
        <w:rPr>
          <w:b/>
          <w:sz w:val="28"/>
          <w:szCs w:val="28"/>
        </w:rPr>
      </w:pPr>
      <w:r>
        <w:rPr>
          <w:b/>
          <w:noProof/>
          <w:sz w:val="28"/>
          <w:szCs w:val="28"/>
          <w:lang w:eastAsia="en-AU"/>
        </w:rPr>
        <mc:AlternateContent>
          <mc:Choice Requires="wps">
            <w:drawing>
              <wp:anchor distT="0" distB="0" distL="114300" distR="114300" simplePos="0" relativeHeight="251680768" behindDoc="0" locked="0" layoutInCell="1" allowOverlap="1" wp14:anchorId="1E32F5CA" wp14:editId="240C0194">
                <wp:simplePos x="0" y="0"/>
                <wp:positionH relativeFrom="column">
                  <wp:posOffset>3633470</wp:posOffset>
                </wp:positionH>
                <wp:positionV relativeFrom="paragraph">
                  <wp:posOffset>260350</wp:posOffset>
                </wp:positionV>
                <wp:extent cx="1264285" cy="8255"/>
                <wp:effectExtent l="19050" t="52705" r="21590" b="53340"/>
                <wp:wrapNone/>
                <wp:docPr id="43"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4285" cy="82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7811C0" id="AutoShape 282" o:spid="_x0000_s1026" type="#_x0000_t32" style="position:absolute;margin-left:286.1pt;margin-top:20.5pt;width:99.55pt;height:.6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">
                <v:stroke startarrow="block" endarrow="block"/>
              </v:shape>
            </w:pict>
          </mc:Fallback>
        </mc:AlternateContent>
      </w:r>
    </w:p>
    <w:p w14:paraId="1D181CEA" w14:textId="77777777" w:rsidR="00577D1A" w:rsidRDefault="00577D1A" w:rsidP="00577D1A">
      <w:pPr>
        <w:ind w:left="709" w:hanging="709"/>
        <w:jc w:val="center"/>
        <w:rPr>
          <w:b/>
          <w:sz w:val="28"/>
          <w:szCs w:val="28"/>
        </w:rPr>
      </w:pPr>
    </w:p>
    <w:p w14:paraId="4119F43B" w14:textId="77777777" w:rsidR="00577D1A" w:rsidRDefault="00577D1A" w:rsidP="00577D1A">
      <w:pPr>
        <w:ind w:left="709" w:hanging="709"/>
        <w:jc w:val="center"/>
        <w:rPr>
          <w:b/>
          <w:sz w:val="28"/>
          <w:szCs w:val="28"/>
        </w:rPr>
      </w:pPr>
    </w:p>
    <w:p w14:paraId="1BBB5041" w14:textId="77777777" w:rsidR="00577D1A" w:rsidRDefault="007D3192" w:rsidP="00577D1A">
      <w:pPr>
        <w:ind w:left="709" w:hanging="709"/>
        <w:jc w:val="center"/>
        <w:rPr>
          <w:b/>
          <w:sz w:val="28"/>
          <w:szCs w:val="28"/>
        </w:rPr>
      </w:pPr>
      <w:r>
        <w:rPr>
          <w:b/>
          <w:noProof/>
          <w:sz w:val="28"/>
          <w:szCs w:val="28"/>
          <w:lang w:eastAsia="en-AU"/>
        </w:rPr>
        <mc:AlternateContent>
          <mc:Choice Requires="wps">
            <w:drawing>
              <wp:anchor distT="0" distB="0" distL="114300" distR="114300" simplePos="0" relativeHeight="251664384" behindDoc="0" locked="0" layoutInCell="1" allowOverlap="1" wp14:anchorId="7BA55145" wp14:editId="102BC15A">
                <wp:simplePos x="0" y="0"/>
                <wp:positionH relativeFrom="column">
                  <wp:posOffset>2703195</wp:posOffset>
                </wp:positionH>
                <wp:positionV relativeFrom="paragraph">
                  <wp:posOffset>1511935</wp:posOffset>
                </wp:positionV>
                <wp:extent cx="548640" cy="0"/>
                <wp:effectExtent l="38100" t="76200" r="22860" b="95250"/>
                <wp:wrapNone/>
                <wp:docPr id="36"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FE6AEA" id="AutoShape 278" o:spid="_x0000_s1026" type="#_x0000_t32" style="position:absolute;margin-left:212.85pt;margin-top:119.05pt;width:43.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">
                <v:stroke startarrow="block" endarrow="block"/>
              </v:shape>
            </w:pict>
          </mc:Fallback>
        </mc:AlternateContent>
      </w:r>
      <w:r>
        <w:rPr>
          <w:b/>
          <w:noProof/>
          <w:sz w:val="28"/>
          <w:szCs w:val="28"/>
          <w:lang w:eastAsia="en-AU"/>
        </w:rPr>
        <mc:AlternateContent>
          <mc:Choice Requires="wps">
            <w:drawing>
              <wp:anchor distT="0" distB="0" distL="114300" distR="114300" simplePos="0" relativeHeight="251652096" behindDoc="0" locked="0" layoutInCell="1" allowOverlap="1" wp14:anchorId="79A541C7" wp14:editId="53D97650">
                <wp:simplePos x="0" y="0"/>
                <wp:positionH relativeFrom="column">
                  <wp:posOffset>5596890</wp:posOffset>
                </wp:positionH>
                <wp:positionV relativeFrom="paragraph">
                  <wp:posOffset>792480</wp:posOffset>
                </wp:positionV>
                <wp:extent cx="2115185" cy="1438910"/>
                <wp:effectExtent l="0" t="0" r="18415" b="27940"/>
                <wp:wrapNone/>
                <wp:docPr id="39"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1438910"/>
                        </a:xfrm>
                        <a:prstGeom prst="rect">
                          <a:avLst/>
                        </a:prstGeom>
                        <a:solidFill>
                          <a:srgbClr val="FFFFFF"/>
                        </a:solidFill>
                        <a:ln w="9525">
                          <a:solidFill>
                            <a:srgbClr val="000000"/>
                          </a:solidFill>
                          <a:miter lim="800000"/>
                          <a:headEnd/>
                          <a:tailEnd/>
                        </a:ln>
                      </wps:spPr>
                      <wps:txbx>
                        <w:txbxContent>
                          <w:p w14:paraId="3348984A" w14:textId="77777777" w:rsidR="0052414B" w:rsidRDefault="0052414B" w:rsidP="00577D1A">
                            <w:pPr>
                              <w:jc w:val="center"/>
                              <w:rPr>
                                <w:b/>
                                <w:sz w:val="28"/>
                                <w:szCs w:val="28"/>
                              </w:rPr>
                            </w:pPr>
                            <w:r w:rsidRPr="0041123A">
                              <w:rPr>
                                <w:b/>
                                <w:sz w:val="28"/>
                                <w:szCs w:val="28"/>
                              </w:rPr>
                              <w:t>MC Component Head</w:t>
                            </w:r>
                          </w:p>
                          <w:p w14:paraId="03071099" w14:textId="77777777" w:rsidR="0052414B" w:rsidRPr="00133185" w:rsidRDefault="0052414B" w:rsidP="00577D1A">
                            <w:pPr>
                              <w:jc w:val="center"/>
                              <w:rPr>
                                <w:b/>
                                <w:sz w:val="28"/>
                                <w:szCs w:val="28"/>
                              </w:rPr>
                            </w:pPr>
                            <w:r w:rsidRPr="00133185">
                              <w:rPr>
                                <w:b/>
                                <w:sz w:val="28"/>
                                <w:szCs w:val="28"/>
                              </w:rPr>
                              <w:t>Australia Awards Component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3" o:spid="_x0000_s1030" style="position:absolute;left:0;text-align:left;margin-left:440.7pt;margin-top:62.4pt;width:166.55pt;height:11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">
                <v:textbox>
                  <w:txbxContent>
                    <w:p w14:paraId="3348984A" w14:textId="77777777" w:rsidR="0052414B" w:rsidRDefault="0052414B" w:rsidP="00577D1A">
                      <w:pPr>
                        <w:jc w:val="center"/>
                        <w:rPr>
                          <w:b/>
                          <w:sz w:val="28"/>
                          <w:szCs w:val="28"/>
                        </w:rPr>
                      </w:pPr>
                      <w:r w:rsidRPr="0041123A">
                        <w:rPr>
                          <w:b/>
                          <w:sz w:val="28"/>
                          <w:szCs w:val="28"/>
                        </w:rPr>
                        <w:t>MC Component Head</w:t>
                      </w:r>
                    </w:p>
                    <w:p w14:paraId="03071099" w14:textId="77777777" w:rsidR="0052414B" w:rsidRPr="00133185" w:rsidRDefault="0052414B" w:rsidP="00577D1A">
                      <w:pPr>
                        <w:jc w:val="center"/>
                        <w:rPr>
                          <w:b/>
                          <w:sz w:val="28"/>
                          <w:szCs w:val="28"/>
                        </w:rPr>
                      </w:pPr>
                      <w:r w:rsidRPr="00133185">
                        <w:rPr>
                          <w:b/>
                          <w:sz w:val="28"/>
                          <w:szCs w:val="28"/>
                        </w:rPr>
                        <w:t>Australia Awards Component</w:t>
                      </w:r>
                    </w:p>
                  </w:txbxContent>
                </v:textbox>
              </v:rect>
            </w:pict>
          </mc:Fallback>
        </mc:AlternateContent>
      </w:r>
      <w:r>
        <w:rPr>
          <w:b/>
          <w:noProof/>
          <w:sz w:val="28"/>
          <w:szCs w:val="28"/>
          <w:lang w:eastAsia="en-AU"/>
        </w:rPr>
        <mc:AlternateContent>
          <mc:Choice Requires="wps">
            <w:drawing>
              <wp:anchor distT="0" distB="0" distL="114300" distR="114300" simplePos="0" relativeHeight="251648000" behindDoc="0" locked="0" layoutInCell="1" allowOverlap="1" wp14:anchorId="589CC130" wp14:editId="10AC3E62">
                <wp:simplePos x="0" y="0"/>
                <wp:positionH relativeFrom="column">
                  <wp:posOffset>349885</wp:posOffset>
                </wp:positionH>
                <wp:positionV relativeFrom="paragraph">
                  <wp:posOffset>848360</wp:posOffset>
                </wp:positionV>
                <wp:extent cx="2233930" cy="1327785"/>
                <wp:effectExtent l="0" t="0" r="13970" b="24765"/>
                <wp:wrapNone/>
                <wp:docPr id="40"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3930" cy="1327785"/>
                        </a:xfrm>
                        <a:prstGeom prst="rect">
                          <a:avLst/>
                        </a:prstGeom>
                        <a:solidFill>
                          <a:srgbClr val="FFFFFF"/>
                        </a:solidFill>
                        <a:ln w="9525">
                          <a:solidFill>
                            <a:srgbClr val="000000"/>
                          </a:solidFill>
                          <a:miter lim="800000"/>
                          <a:headEnd/>
                          <a:tailEnd/>
                        </a:ln>
                      </wps:spPr>
                      <wps:txbx>
                        <w:txbxContent>
                          <w:p w14:paraId="49F9EA56" w14:textId="77777777" w:rsidR="0052414B" w:rsidRDefault="0052414B" w:rsidP="00577D1A">
                            <w:pPr>
                              <w:jc w:val="center"/>
                              <w:rPr>
                                <w:b/>
                                <w:sz w:val="28"/>
                                <w:szCs w:val="28"/>
                              </w:rPr>
                            </w:pPr>
                            <w:r w:rsidRPr="0041123A">
                              <w:rPr>
                                <w:b/>
                                <w:sz w:val="28"/>
                                <w:szCs w:val="28"/>
                              </w:rPr>
                              <w:t>MC Component Head</w:t>
                            </w:r>
                          </w:p>
                          <w:p w14:paraId="139FC4EE" w14:textId="77777777" w:rsidR="0052414B" w:rsidRPr="00133185" w:rsidRDefault="0052414B" w:rsidP="00577D1A">
                            <w:pPr>
                              <w:jc w:val="center"/>
                              <w:rPr>
                                <w:b/>
                                <w:sz w:val="28"/>
                                <w:szCs w:val="28"/>
                              </w:rPr>
                            </w:pPr>
                            <w:r w:rsidRPr="00133185">
                              <w:rPr>
                                <w:b/>
                                <w:sz w:val="28"/>
                                <w:szCs w:val="28"/>
                              </w:rPr>
                              <w:t>Extractive for Growth Component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2" o:spid="_x0000_s1031" style="position:absolute;left:0;text-align:left;margin-left:27.55pt;margin-top:66.8pt;width:175.9pt;height:104.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">
                <v:textbox>
                  <w:txbxContent>
                    <w:p w14:paraId="49F9EA56" w14:textId="77777777" w:rsidR="0052414B" w:rsidRDefault="0052414B" w:rsidP="00577D1A">
                      <w:pPr>
                        <w:jc w:val="center"/>
                        <w:rPr>
                          <w:b/>
                          <w:sz w:val="28"/>
                          <w:szCs w:val="28"/>
                        </w:rPr>
                      </w:pPr>
                      <w:r w:rsidRPr="0041123A">
                        <w:rPr>
                          <w:b/>
                          <w:sz w:val="28"/>
                          <w:szCs w:val="28"/>
                        </w:rPr>
                        <w:t>MC Component Head</w:t>
                      </w:r>
                    </w:p>
                    <w:p w14:paraId="139FC4EE" w14:textId="77777777" w:rsidR="0052414B" w:rsidRPr="00133185" w:rsidRDefault="0052414B" w:rsidP="00577D1A">
                      <w:pPr>
                        <w:jc w:val="center"/>
                        <w:rPr>
                          <w:b/>
                          <w:sz w:val="28"/>
                          <w:szCs w:val="28"/>
                        </w:rPr>
                      </w:pPr>
                      <w:r w:rsidRPr="00133185">
                        <w:rPr>
                          <w:b/>
                          <w:sz w:val="28"/>
                          <w:szCs w:val="28"/>
                        </w:rPr>
                        <w:t>Extractive for Growth Component</w:t>
                      </w:r>
                    </w:p>
                  </w:txbxContent>
                </v:textbox>
              </v:rect>
            </w:pict>
          </mc:Fallback>
        </mc:AlternateContent>
      </w:r>
      <w:r>
        <w:rPr>
          <w:b/>
          <w:noProof/>
          <w:sz w:val="28"/>
          <w:szCs w:val="28"/>
          <w:lang w:eastAsia="en-AU"/>
        </w:rPr>
        <mc:AlternateContent>
          <mc:Choice Requires="wps">
            <w:drawing>
              <wp:anchor distT="0" distB="0" distL="114300" distR="114300" simplePos="0" relativeHeight="251672576" behindDoc="0" locked="0" layoutInCell="1" allowOverlap="1" wp14:anchorId="3AE1F750" wp14:editId="09D99D5F">
                <wp:simplePos x="0" y="0"/>
                <wp:positionH relativeFrom="column">
                  <wp:posOffset>1502410</wp:posOffset>
                </wp:positionH>
                <wp:positionV relativeFrom="paragraph">
                  <wp:posOffset>73025</wp:posOffset>
                </wp:positionV>
                <wp:extent cx="8255" cy="716280"/>
                <wp:effectExtent l="76200" t="38100" r="67945" b="64770"/>
                <wp:wrapNone/>
                <wp:docPr id="42" name="Auto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7162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CA3ACC" id="AutoShape 280" o:spid="_x0000_s1026" type="#_x0000_t32" style="position:absolute;margin-left:118.3pt;margin-top:5.75pt;width:.65pt;height:5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">
                <v:stroke startarrow="block" endarrow="block"/>
              </v:shape>
            </w:pict>
          </mc:Fallback>
        </mc:AlternateContent>
      </w:r>
      <w:r>
        <w:rPr>
          <w:b/>
          <w:noProof/>
          <w:sz w:val="28"/>
          <w:szCs w:val="28"/>
          <w:lang w:eastAsia="en-AU"/>
        </w:rPr>
        <mc:AlternateContent>
          <mc:Choice Requires="wps">
            <w:drawing>
              <wp:anchor distT="0" distB="0" distL="114300" distR="114300" simplePos="0" relativeHeight="251676672" behindDoc="0" locked="0" layoutInCell="1" allowOverlap="1" wp14:anchorId="7C76E8CD" wp14:editId="78CDEF83">
                <wp:simplePos x="0" y="0"/>
                <wp:positionH relativeFrom="column">
                  <wp:posOffset>6623050</wp:posOffset>
                </wp:positionH>
                <wp:positionV relativeFrom="paragraph">
                  <wp:posOffset>137160</wp:posOffset>
                </wp:positionV>
                <wp:extent cx="15875" cy="612140"/>
                <wp:effectExtent l="76200" t="38100" r="60325" b="54610"/>
                <wp:wrapNone/>
                <wp:docPr id="41"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 cy="6121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C29E1F" id="AutoShape 281" o:spid="_x0000_s1026" type="#_x0000_t32" style="position:absolute;margin-left:521.5pt;margin-top:10.8pt;width:1.25pt;height:4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">
                <v:stroke startarrow="block" endarrow="block"/>
              </v:shape>
            </w:pict>
          </mc:Fallback>
        </mc:AlternateContent>
      </w:r>
      <w:r>
        <w:rPr>
          <w:b/>
          <w:noProof/>
          <w:sz w:val="28"/>
          <w:szCs w:val="28"/>
          <w:lang w:eastAsia="en-AU"/>
        </w:rPr>
        <mc:AlternateContent>
          <mc:Choice Requires="wps">
            <w:drawing>
              <wp:anchor distT="0" distB="0" distL="114300" distR="114300" simplePos="0" relativeHeight="251656192" behindDoc="0" locked="0" layoutInCell="1" allowOverlap="1" wp14:anchorId="0F6A7C4A" wp14:editId="032ED490">
                <wp:simplePos x="0" y="0"/>
                <wp:positionH relativeFrom="column">
                  <wp:posOffset>3381375</wp:posOffset>
                </wp:positionH>
                <wp:positionV relativeFrom="paragraph">
                  <wp:posOffset>800735</wp:posOffset>
                </wp:positionV>
                <wp:extent cx="1424305" cy="1423035"/>
                <wp:effectExtent l="0" t="0" r="23495" b="24765"/>
                <wp:wrapNone/>
                <wp:docPr id="38" name="Oval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305" cy="1423035"/>
                        </a:xfrm>
                        <a:prstGeom prst="ellipse">
                          <a:avLst/>
                        </a:prstGeom>
                        <a:solidFill>
                          <a:srgbClr val="FFFFFF"/>
                        </a:solidFill>
                        <a:ln w="9525">
                          <a:solidFill>
                            <a:srgbClr val="000000"/>
                          </a:solidFill>
                          <a:round/>
                          <a:headEnd/>
                          <a:tailEnd/>
                        </a:ln>
                      </wps:spPr>
                      <wps:txbx>
                        <w:txbxContent>
                          <w:p w14:paraId="417358D6" w14:textId="77777777" w:rsidR="0052414B" w:rsidRPr="00133185" w:rsidRDefault="0052414B" w:rsidP="00577D1A">
                            <w:pPr>
                              <w:jc w:val="center"/>
                              <w:rPr>
                                <w:b/>
                                <w:sz w:val="28"/>
                                <w:szCs w:val="28"/>
                              </w:rPr>
                            </w:pPr>
                            <w:r w:rsidRPr="00133185">
                              <w:rPr>
                                <w:b/>
                                <w:sz w:val="28"/>
                                <w:szCs w:val="28"/>
                              </w:rPr>
                              <w:t>Africa Program Support Group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74" o:spid="_x0000_s1032" style="position:absolute;left:0;text-align:left;margin-left:266.25pt;margin-top:63.05pt;width:112.15pt;height:11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">
                <v:textbox>
                  <w:txbxContent>
                    <w:p w14:paraId="417358D6" w14:textId="77777777" w:rsidR="0052414B" w:rsidRPr="00133185" w:rsidRDefault="0052414B" w:rsidP="00577D1A">
                      <w:pPr>
                        <w:jc w:val="center"/>
                        <w:rPr>
                          <w:b/>
                          <w:sz w:val="28"/>
                          <w:szCs w:val="28"/>
                        </w:rPr>
                      </w:pPr>
                      <w:r w:rsidRPr="00133185">
                        <w:rPr>
                          <w:b/>
                          <w:sz w:val="28"/>
                          <w:szCs w:val="28"/>
                        </w:rPr>
                        <w:t>Africa Program Support Group</w:t>
                      </w:r>
                    </w:p>
                  </w:txbxContent>
                </v:textbox>
              </v:oval>
            </w:pict>
          </mc:Fallback>
        </mc:AlternateContent>
      </w:r>
    </w:p>
    <w:p w14:paraId="7C0298C3" w14:textId="77777777" w:rsidR="00577D1A" w:rsidRDefault="00577D1A" w:rsidP="00577D1A">
      <w:pPr>
        <w:ind w:left="709" w:hanging="709"/>
        <w:jc w:val="center"/>
        <w:rPr>
          <w:b/>
          <w:sz w:val="28"/>
          <w:szCs w:val="28"/>
        </w:rPr>
      </w:pPr>
    </w:p>
    <w:p w14:paraId="0AAB782A" w14:textId="77777777" w:rsidR="00577D1A" w:rsidRDefault="00577D1A" w:rsidP="00577D1A">
      <w:pPr>
        <w:ind w:left="709" w:hanging="709"/>
        <w:jc w:val="center"/>
        <w:rPr>
          <w:b/>
          <w:sz w:val="28"/>
          <w:szCs w:val="28"/>
        </w:rPr>
      </w:pPr>
      <w:r>
        <w:rPr>
          <w:b/>
          <w:noProof/>
          <w:sz w:val="28"/>
          <w:szCs w:val="28"/>
          <w:lang w:eastAsia="en-AU"/>
        </w:rPr>
        <mc:AlternateContent>
          <mc:Choice Requires="wps">
            <w:drawing>
              <wp:anchor distT="0" distB="0" distL="114300" distR="114300" simplePos="0" relativeHeight="251668480" behindDoc="0" locked="0" layoutInCell="1" allowOverlap="1" wp14:anchorId="369D5C33" wp14:editId="4DE6D9BC">
                <wp:simplePos x="0" y="0"/>
                <wp:positionH relativeFrom="column">
                  <wp:posOffset>4802505</wp:posOffset>
                </wp:positionH>
                <wp:positionV relativeFrom="paragraph">
                  <wp:posOffset>951103</wp:posOffset>
                </wp:positionV>
                <wp:extent cx="659765" cy="0"/>
                <wp:effectExtent l="38100" t="76200" r="26035" b="95250"/>
                <wp:wrapNone/>
                <wp:docPr id="37"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76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9800BC" id="AutoShape 279" o:spid="_x0000_s1026" type="#_x0000_t32" style="position:absolute;margin-left:378.15pt;margin-top:74.9pt;width:51.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">
                <v:stroke startarrow="block" endarrow="block"/>
              </v:shape>
            </w:pict>
          </mc:Fallback>
        </mc:AlternateContent>
      </w:r>
    </w:p>
    <w:p w14:paraId="6F2D9887" w14:textId="77777777" w:rsidR="00577D1A" w:rsidRDefault="00577D1A" w:rsidP="00577D1A">
      <w:pPr>
        <w:rPr>
          <w:b/>
        </w:rPr>
        <w:sectPr w:rsidR="00577D1A" w:rsidSect="009C7197">
          <w:pgSz w:w="16838" w:h="11906" w:orient="landscape"/>
          <w:pgMar w:top="1418" w:right="1418" w:bottom="1418" w:left="1418" w:header="568" w:footer="430" w:gutter="0"/>
          <w:cols w:space="708"/>
          <w:docGrid w:linePitch="360"/>
        </w:sectPr>
      </w:pPr>
    </w:p>
    <w:p w14:paraId="434178DD" w14:textId="77777777" w:rsidR="00CD2B3A" w:rsidRPr="007D3192" w:rsidRDefault="00CD2B3A" w:rsidP="007D3192">
      <w:pPr>
        <w:pStyle w:val="annexheading"/>
      </w:pPr>
      <w:bookmarkStart w:id="66" w:name="_Toc177546399"/>
      <w:bookmarkStart w:id="67" w:name="_Toc399104634"/>
      <w:bookmarkStart w:id="68" w:name="_Toc401578436"/>
      <w:bookmarkStart w:id="69" w:name="_Toc387590510"/>
      <w:r w:rsidRPr="007D3192">
        <w:t>Annex</w:t>
      </w:r>
      <w:r w:rsidR="00C73F99" w:rsidRPr="007D3192">
        <w:t xml:space="preserve"> </w:t>
      </w:r>
      <w:r w:rsidR="001C2BDA" w:rsidRPr="007D3192">
        <w:t>E</w:t>
      </w:r>
      <w:r w:rsidR="00053071" w:rsidRPr="007D3192">
        <w:t>:</w:t>
      </w:r>
      <w:r w:rsidR="00097002" w:rsidRPr="007D3192">
        <w:t xml:space="preserve"> </w:t>
      </w:r>
      <w:r w:rsidRPr="007D3192">
        <w:t>Gender and Social Inclusion Mainstreaming Strategy</w:t>
      </w:r>
      <w:bookmarkEnd w:id="66"/>
      <w:bookmarkEnd w:id="67"/>
      <w:bookmarkEnd w:id="68"/>
    </w:p>
    <w:p w14:paraId="41C6A002" w14:textId="77777777" w:rsidR="00CD2B3A" w:rsidRDefault="00CD2B3A" w:rsidP="002B1210">
      <w:pPr>
        <w:pStyle w:val="annexsubheading"/>
        <w:jc w:val="both"/>
      </w:pPr>
      <w:r>
        <w:t>Introduction</w:t>
      </w:r>
    </w:p>
    <w:p w14:paraId="7BF551E0" w14:textId="77777777" w:rsidR="0053069C" w:rsidRDefault="0053069C" w:rsidP="002B1210">
      <w:pPr>
        <w:pStyle w:val="BodyText"/>
      </w:pPr>
      <w:r>
        <w:t>This</w:t>
      </w:r>
      <w:r w:rsidR="00CD2B3A" w:rsidRPr="00AF7627">
        <w:t xml:space="preserve"> </w:t>
      </w:r>
      <w:r w:rsidR="00CD2B3A" w:rsidRPr="0053069C">
        <w:rPr>
          <w:i/>
        </w:rPr>
        <w:t xml:space="preserve">Gender and Social Inclusion Mainstreaming </w:t>
      </w:r>
      <w:r w:rsidRPr="0053069C">
        <w:rPr>
          <w:i/>
        </w:rPr>
        <w:t>Strategy</w:t>
      </w:r>
      <w:r>
        <w:t xml:space="preserve"> is developed for </w:t>
      </w:r>
      <w:r w:rsidR="00CD2B3A" w:rsidRPr="00AF7627">
        <w:t xml:space="preserve">the </w:t>
      </w:r>
      <w:r w:rsidR="001907D1">
        <w:t xml:space="preserve">E4G </w:t>
      </w:r>
      <w:r w:rsidR="00B47614">
        <w:t>C</w:t>
      </w:r>
      <w:r w:rsidR="001907D1">
        <w:t xml:space="preserve">omponent of the </w:t>
      </w:r>
      <w:r w:rsidR="002F30BC" w:rsidRPr="002F30BC">
        <w:rPr>
          <w:i/>
        </w:rPr>
        <w:t>Australia–</w:t>
      </w:r>
      <w:r w:rsidR="00CD2B3A" w:rsidRPr="002F30BC">
        <w:rPr>
          <w:i/>
        </w:rPr>
        <w:t>Africa Development Program</w:t>
      </w:r>
      <w:r w:rsidR="00CD2B3A" w:rsidRPr="00AF7627">
        <w:t xml:space="preserve"> (AADP)</w:t>
      </w:r>
      <w:r>
        <w:t xml:space="preserve"> and</w:t>
      </w:r>
      <w:r w:rsidR="00CD2B3A" w:rsidRPr="00AF7627">
        <w:t xml:space="preserve"> outlines how gender and social inclusion mainstreaming will occur in the implementation of th</w:t>
      </w:r>
      <w:r w:rsidR="001907D1">
        <w:t>is component of th</w:t>
      </w:r>
      <w:r w:rsidR="00CD2B3A" w:rsidRPr="00AF7627">
        <w:t>e Program.</w:t>
      </w:r>
      <w:r w:rsidR="009C7197">
        <w:t xml:space="preserve"> </w:t>
      </w:r>
      <w:r w:rsidR="00CD2B3A" w:rsidRPr="00AF7627">
        <w:t xml:space="preserve">This Mainstreaming Strategy aims to ensure that men, women, and vulnerable or disadvantaged sectors of society will have equitable opportunities to benefit from </w:t>
      </w:r>
      <w:r w:rsidR="001907D1">
        <w:t xml:space="preserve">E4G </w:t>
      </w:r>
      <w:r w:rsidR="00B47614">
        <w:t>C</w:t>
      </w:r>
      <w:r w:rsidR="001907D1">
        <w:t>omponent</w:t>
      </w:r>
      <w:r w:rsidR="00CD2B3A" w:rsidRPr="00AF7627">
        <w:t xml:space="preserve"> activities.</w:t>
      </w:r>
      <w:r w:rsidR="009C7197">
        <w:t xml:space="preserve"> </w:t>
      </w:r>
      <w:r w:rsidR="00CD2B3A" w:rsidRPr="00AF7627">
        <w:t xml:space="preserve">As identified during the concept phase of the program design, </w:t>
      </w:r>
    </w:p>
    <w:p w14:paraId="0D5306D3" w14:textId="77777777" w:rsidR="0068639B" w:rsidRPr="00097002" w:rsidRDefault="009C7197" w:rsidP="002B1210">
      <w:pPr>
        <w:pStyle w:val="BodyText"/>
        <w:ind w:left="720"/>
        <w:rPr>
          <w:i/>
          <w:sz w:val="24"/>
        </w:rPr>
      </w:pPr>
      <w:r w:rsidRPr="00097002">
        <w:rPr>
          <w:i/>
        </w:rPr>
        <w:t>‘</w:t>
      </w:r>
      <w:proofErr w:type="gramStart"/>
      <w:r w:rsidR="00CD2B3A" w:rsidRPr="00097002">
        <w:rPr>
          <w:i/>
        </w:rPr>
        <w:t>there</w:t>
      </w:r>
      <w:proofErr w:type="gramEnd"/>
      <w:r w:rsidR="00CD2B3A" w:rsidRPr="00097002">
        <w:rPr>
          <w:i/>
        </w:rPr>
        <w:t xml:space="preserve"> is a real risk of inequity of the potential economic gains from the mining sector.</w:t>
      </w:r>
      <w:r w:rsidRPr="00097002">
        <w:rPr>
          <w:i/>
        </w:rPr>
        <w:t xml:space="preserve"> </w:t>
      </w:r>
      <w:r w:rsidR="00CD2B3A" w:rsidRPr="00097002">
        <w:rPr>
          <w:i/>
        </w:rPr>
        <w:t>Vulnerable and disadvantaged groups are less likely to benefit from extractive sector development, and more likely to be negatively impacted, due to underlying biases at the community level.</w:t>
      </w:r>
      <w:r w:rsidRPr="00097002">
        <w:rPr>
          <w:i/>
          <w:sz w:val="24"/>
        </w:rPr>
        <w:t>’</w:t>
      </w:r>
      <w:r w:rsidR="004B0AB6">
        <w:rPr>
          <w:rStyle w:val="FootnoteReference"/>
          <w:i/>
          <w:sz w:val="24"/>
        </w:rPr>
        <w:footnoteReference w:id="40"/>
      </w:r>
      <w:r w:rsidRPr="00097002">
        <w:rPr>
          <w:i/>
          <w:sz w:val="24"/>
        </w:rPr>
        <w:t xml:space="preserve"> </w:t>
      </w:r>
    </w:p>
    <w:p w14:paraId="45397749" w14:textId="77777777" w:rsidR="00FE3CEE" w:rsidRDefault="00CD2B3A" w:rsidP="002B1210">
      <w:pPr>
        <w:pStyle w:val="BodyText"/>
      </w:pPr>
      <w:r w:rsidRPr="00AF7627">
        <w:t xml:space="preserve">The Strategy indicates how these considerations can be effectively incorporated into the </w:t>
      </w:r>
      <w:r w:rsidR="001907D1">
        <w:t xml:space="preserve">E4G </w:t>
      </w:r>
      <w:r w:rsidR="00B47614">
        <w:t>C</w:t>
      </w:r>
      <w:r w:rsidR="001907D1">
        <w:t xml:space="preserve">omponent of </w:t>
      </w:r>
      <w:r w:rsidRPr="00AF7627">
        <w:t xml:space="preserve">AADP </w:t>
      </w:r>
      <w:r w:rsidR="00B1478E" w:rsidRPr="00AF7627">
        <w:t>by elaborating gender and social inclusion targets and o</w:t>
      </w:r>
      <w:r w:rsidRPr="00AF7627">
        <w:t>utcomes for each of the proposed activities.</w:t>
      </w:r>
      <w:r w:rsidR="009C7197">
        <w:t xml:space="preserve"> </w:t>
      </w:r>
      <w:r w:rsidRPr="00AF7627">
        <w:t xml:space="preserve">Although some of the program activities may </w:t>
      </w:r>
      <w:r w:rsidR="0068639B">
        <w:t>appear</w:t>
      </w:r>
      <w:r w:rsidRPr="00AF7627">
        <w:t xml:space="preserve"> to be peripheral to questions of gender and social inclusion, </w:t>
      </w:r>
      <w:r w:rsidR="001907D1">
        <w:t xml:space="preserve">and </w:t>
      </w:r>
      <w:r w:rsidRPr="00AF7627">
        <w:t xml:space="preserve">others are directly linked to these principles, the Design Team has elected to include gender and social inclusion elements for all activities, demonstrating an </w:t>
      </w:r>
      <w:r w:rsidR="00B1478E" w:rsidRPr="00AF7627">
        <w:t>integrated</w:t>
      </w:r>
      <w:r w:rsidRPr="00AF7627">
        <w:t xml:space="preserve"> process of mainstreaming.</w:t>
      </w:r>
      <w:r w:rsidR="009C7197">
        <w:t xml:space="preserve"> </w:t>
      </w:r>
      <w:r w:rsidRPr="00AF7627">
        <w:t>That is,</w:t>
      </w:r>
      <w:r w:rsidR="00B1478E" w:rsidRPr="00AF7627">
        <w:t xml:space="preserve"> in addition to targeted gender and inclusion activities, the program approach will ensure that </w:t>
      </w:r>
      <w:r w:rsidRPr="00AF7627">
        <w:rPr>
          <w:b/>
        </w:rPr>
        <w:t>all</w:t>
      </w:r>
      <w:r w:rsidRPr="00AF7627">
        <w:t xml:space="preserve"> activities take gender and social inclusion issues into consideration at all stages of the </w:t>
      </w:r>
      <w:r w:rsidR="00B1478E" w:rsidRPr="00AF7627">
        <w:t>activity cycle</w:t>
      </w:r>
      <w:r w:rsidRPr="00AF7627">
        <w:t>, not allowing them to be sidelined into a limited number of actions.</w:t>
      </w:r>
      <w:r w:rsidR="009C7197">
        <w:t xml:space="preserve"> </w:t>
      </w:r>
    </w:p>
    <w:p w14:paraId="48A212EC" w14:textId="77777777" w:rsidR="00CD2B3A" w:rsidRPr="00485D8B" w:rsidRDefault="00485D8B" w:rsidP="002B1210">
      <w:pPr>
        <w:pStyle w:val="BodyText"/>
      </w:pPr>
      <w:r>
        <w:t xml:space="preserve">This </w:t>
      </w:r>
      <w:r w:rsidRPr="0053069C">
        <w:rPr>
          <w:i/>
        </w:rPr>
        <w:t xml:space="preserve">Gender and Social Inclusion Mainstreaming </w:t>
      </w:r>
      <w:r w:rsidRPr="00485D8B">
        <w:t>Strategy is developed taking into account lessons learned from prior implementation of the AAPF and Australia Awards programs.</w:t>
      </w:r>
      <w:r w:rsidR="009C7197">
        <w:t xml:space="preserve"> </w:t>
      </w:r>
      <w:r w:rsidRPr="00485D8B">
        <w:t xml:space="preserve">Those lessons are included in </w:t>
      </w:r>
      <w:r w:rsidRPr="00485D8B">
        <w:rPr>
          <w:b/>
        </w:rPr>
        <w:t>Annex B</w:t>
      </w:r>
      <w:r w:rsidRPr="00485D8B">
        <w:t>:</w:t>
      </w:r>
      <w:r w:rsidR="009C7197">
        <w:t xml:space="preserve"> </w:t>
      </w:r>
      <w:r w:rsidRPr="003B2BAD">
        <w:rPr>
          <w:i/>
        </w:rPr>
        <w:t xml:space="preserve">Key Lessons Learnt </w:t>
      </w:r>
      <w:r w:rsidR="001907D1" w:rsidRPr="003B2BAD">
        <w:rPr>
          <w:i/>
        </w:rPr>
        <w:t>f</w:t>
      </w:r>
      <w:r w:rsidRPr="003B2BAD">
        <w:rPr>
          <w:i/>
        </w:rPr>
        <w:t>rom Previous Activities</w:t>
      </w:r>
      <w:r w:rsidRPr="00485D8B">
        <w:t xml:space="preserve">. </w:t>
      </w:r>
    </w:p>
    <w:p w14:paraId="0CBCB4B0" w14:textId="77777777" w:rsidR="00CD2B3A" w:rsidRDefault="00CD2B3A" w:rsidP="002B1210">
      <w:pPr>
        <w:pStyle w:val="annexsubheading"/>
        <w:jc w:val="both"/>
      </w:pPr>
      <w:r>
        <w:t>Background</w:t>
      </w:r>
    </w:p>
    <w:p w14:paraId="3E6C8C52" w14:textId="77777777" w:rsidR="00FE3CEE" w:rsidRDefault="00B1478E" w:rsidP="002B1210">
      <w:pPr>
        <w:pStyle w:val="BodyText"/>
        <w:rPr>
          <w:sz w:val="24"/>
        </w:rPr>
      </w:pPr>
      <w:r w:rsidRPr="00AF7627">
        <w:t>The extractive sector</w:t>
      </w:r>
      <w:r w:rsidR="00CD2B3A" w:rsidRPr="00AF7627">
        <w:t xml:space="preserve"> is recognised worldwide as having differential impacts on various parts of the community, with women and vulnerable groups less likely to benefit from employment</w:t>
      </w:r>
      <w:r w:rsidR="0053069C">
        <w:t xml:space="preserve"> in the sector</w:t>
      </w:r>
      <w:r w:rsidR="00CD2B3A" w:rsidRPr="00AF7627">
        <w:t>, and</w:t>
      </w:r>
      <w:r w:rsidR="001B7DCB">
        <w:t xml:space="preserve"> / </w:t>
      </w:r>
      <w:r w:rsidR="00CD2B3A" w:rsidRPr="00AF7627">
        <w:t xml:space="preserve">or less able to avoid </w:t>
      </w:r>
      <w:r w:rsidR="0053069C">
        <w:t>its</w:t>
      </w:r>
      <w:r w:rsidR="00CD2B3A" w:rsidRPr="00AF7627">
        <w:t xml:space="preserve"> negative social and environmental consequences.</w:t>
      </w:r>
      <w:r w:rsidR="009C7197">
        <w:t xml:space="preserve"> </w:t>
      </w:r>
      <w:r w:rsidR="00CD2B3A" w:rsidRPr="00AF7627">
        <w:t xml:space="preserve">Consultations with </w:t>
      </w:r>
      <w:r w:rsidRPr="00AF7627">
        <w:t>extractive</w:t>
      </w:r>
      <w:r w:rsidR="00CD2B3A" w:rsidRPr="00AF7627">
        <w:t xml:space="preserve"> companies to determine community development agreements do not always include women and disadvantaged social groups</w:t>
      </w:r>
      <w:r w:rsidR="0053069C">
        <w:t>,</w:t>
      </w:r>
      <w:r w:rsidR="00CD2B3A" w:rsidRPr="00AF7627">
        <w:t xml:space="preserve"> </w:t>
      </w:r>
      <w:proofErr w:type="gramStart"/>
      <w:r w:rsidR="00CD2B3A" w:rsidRPr="00AF7627">
        <w:t>nor</w:t>
      </w:r>
      <w:proofErr w:type="gramEnd"/>
      <w:r w:rsidR="00CD2B3A" w:rsidRPr="00AF7627">
        <w:t xml:space="preserve"> even their representatives, although these agreements are often intended to address issues of concern to women, children and the vulnerable.</w:t>
      </w:r>
      <w:r w:rsidR="004B0AB6">
        <w:rPr>
          <w:rStyle w:val="FootnoteReference"/>
        </w:rPr>
        <w:footnoteReference w:id="41"/>
      </w:r>
      <w:r w:rsidR="009C7197">
        <w:rPr>
          <w:sz w:val="24"/>
        </w:rPr>
        <w:t xml:space="preserve"> </w:t>
      </w:r>
    </w:p>
    <w:p w14:paraId="654FEB19" w14:textId="77777777" w:rsidR="00CD2B3A" w:rsidRPr="00AF7627" w:rsidRDefault="0053069C" w:rsidP="002B1210">
      <w:pPr>
        <w:pStyle w:val="BodyText"/>
      </w:pPr>
      <w:r w:rsidRPr="0053069C">
        <w:t xml:space="preserve">Women </w:t>
      </w:r>
      <w:r w:rsidRPr="00AF7627">
        <w:t>and other less powerful community members</w:t>
      </w:r>
      <w:r w:rsidRPr="0053069C">
        <w:t xml:space="preserve"> often have difficulty in accessing </w:t>
      </w:r>
      <w:r w:rsidR="00CD2B3A" w:rsidRPr="00AF7627">
        <w:t xml:space="preserve">money that is paid to communities by </w:t>
      </w:r>
      <w:r w:rsidR="00B1478E" w:rsidRPr="00AF7627">
        <w:t xml:space="preserve">extractive </w:t>
      </w:r>
      <w:r w:rsidR="00CD2B3A" w:rsidRPr="00AF7627">
        <w:t>operations under community development agreements.</w:t>
      </w:r>
      <w:r w:rsidR="009C7197">
        <w:t xml:space="preserve"> </w:t>
      </w:r>
      <w:r w:rsidR="00CD2B3A" w:rsidRPr="00AF7627">
        <w:t xml:space="preserve">Social changes brought about by the proximity of </w:t>
      </w:r>
      <w:r w:rsidR="00B1478E" w:rsidRPr="00AF7627">
        <w:t xml:space="preserve">extractive </w:t>
      </w:r>
      <w:r w:rsidR="00CD2B3A" w:rsidRPr="00AF7627">
        <w:t xml:space="preserve">operations may also materially diminish the economic and social well-being of women and other vulnerable sectors of the community through the introduction of primarily male expatriate and migratory labour forces that may introduce </w:t>
      </w:r>
      <w:r w:rsidR="001F0F8A">
        <w:t>or</w:t>
      </w:r>
      <w:r w:rsidR="00CD2B3A" w:rsidRPr="00AF7627">
        <w:t xml:space="preserve"> promote sex work, gender-based violence, and sexually transmitted diseases.</w:t>
      </w:r>
    </w:p>
    <w:p w14:paraId="45FAF898" w14:textId="77777777" w:rsidR="00CD2B3A" w:rsidRPr="00AF7627" w:rsidRDefault="00CD2B3A" w:rsidP="002B1210">
      <w:pPr>
        <w:pStyle w:val="BodyText"/>
      </w:pPr>
      <w:r w:rsidRPr="00AF7627">
        <w:t xml:space="preserve">The varying effects of </w:t>
      </w:r>
      <w:r w:rsidR="0042138D">
        <w:t xml:space="preserve">the </w:t>
      </w:r>
      <w:r w:rsidR="0025246F">
        <w:t>extractive</w:t>
      </w:r>
      <w:r w:rsidR="0042138D">
        <w:t xml:space="preserve"> sector</w:t>
      </w:r>
      <w:r w:rsidR="00B1478E" w:rsidRPr="00AF7627">
        <w:t xml:space="preserve"> </w:t>
      </w:r>
      <w:r w:rsidRPr="00AF7627">
        <w:t>are equally present in sub-Saharan Africa.</w:t>
      </w:r>
      <w:r w:rsidR="009C7197">
        <w:t xml:space="preserve"> </w:t>
      </w:r>
      <w:r w:rsidRPr="00AF7627">
        <w:t xml:space="preserve">Although the advances in the </w:t>
      </w:r>
      <w:r w:rsidR="0025246F">
        <w:t>extractive</w:t>
      </w:r>
      <w:r w:rsidRPr="00AF7627">
        <w:t xml:space="preserve"> sector across the African continent have undoubtedly led to </w:t>
      </w:r>
      <w:r w:rsidRPr="00AF7627">
        <w:rPr>
          <w:rFonts w:eastAsia="Times"/>
        </w:rPr>
        <w:t>economic successes in the resource-rich countries, research and analysis have demonstrated</w:t>
      </w:r>
      <w:r w:rsidRPr="00AF7627">
        <w:t xml:space="preserve"> that the resource-based benefits are not evenly shared and can even lead to greater disparities in socio-economic welfare.</w:t>
      </w:r>
      <w:r w:rsidR="009C7197">
        <w:t xml:space="preserve"> </w:t>
      </w:r>
      <w:r w:rsidRPr="00AF7627">
        <w:t xml:space="preserve">For example, UN Women discovered that, based on </w:t>
      </w:r>
      <w:r w:rsidR="0042138D">
        <w:t xml:space="preserve">the </w:t>
      </w:r>
      <w:r w:rsidRPr="00AF7627">
        <w:t>Human Development Report results,</w:t>
      </w:r>
    </w:p>
    <w:p w14:paraId="481FC93E" w14:textId="77777777" w:rsidR="00CD2B3A" w:rsidRPr="00097002" w:rsidRDefault="00CD2B3A" w:rsidP="002B1210">
      <w:pPr>
        <w:pStyle w:val="BodyText"/>
        <w:ind w:left="720"/>
        <w:rPr>
          <w:i/>
        </w:rPr>
      </w:pPr>
      <w:r w:rsidRPr="00097002">
        <w:rPr>
          <w:rFonts w:eastAsia="Times"/>
          <w:i/>
        </w:rPr>
        <w:t xml:space="preserve">[I]n sub-Saharan Africa, when comparing the development indices of resource-rich countries and those with limited resources, the resource-rich countries rank comparatively higher on the income index; </w:t>
      </w:r>
      <w:r w:rsidRPr="00097002">
        <w:rPr>
          <w:rFonts w:eastAsia="Times"/>
          <w:b/>
          <w:i/>
          <w:sz w:val="19"/>
          <w:szCs w:val="19"/>
        </w:rPr>
        <w:t>yet the countries with few resources have higher scores on human development and education indices. This indicates that in resource-rich sub-Saharan African countries, income is not being translated into equitable growth</w:t>
      </w:r>
      <w:r w:rsidRPr="00097002">
        <w:rPr>
          <w:rFonts w:eastAsia="Times"/>
          <w:i/>
        </w:rPr>
        <w:t>.</w:t>
      </w:r>
      <w:r w:rsidR="004B0AB6">
        <w:rPr>
          <w:rStyle w:val="FootnoteReference"/>
          <w:rFonts w:eastAsia="Times"/>
          <w:i/>
        </w:rPr>
        <w:footnoteReference w:id="42"/>
      </w:r>
    </w:p>
    <w:p w14:paraId="06782A31" w14:textId="77777777" w:rsidR="009C7197" w:rsidRDefault="00CD2B3A" w:rsidP="002B1210">
      <w:pPr>
        <w:pStyle w:val="BodyText"/>
        <w:rPr>
          <w:b/>
        </w:rPr>
      </w:pPr>
      <w:r w:rsidRPr="00AF7627">
        <w:t xml:space="preserve">For that reason, </w:t>
      </w:r>
      <w:r w:rsidR="005C17E9">
        <w:t>UN Women</w:t>
      </w:r>
      <w:r w:rsidRPr="00AF7627">
        <w:t xml:space="preserve"> advocate</w:t>
      </w:r>
      <w:r w:rsidR="005C17E9">
        <w:t>s</w:t>
      </w:r>
      <w:r w:rsidRPr="00AF7627">
        <w:t xml:space="preserve"> that capacity development work in resource-rich developing countries </w:t>
      </w:r>
      <w:r w:rsidR="005C17E9">
        <w:t xml:space="preserve">needs to </w:t>
      </w:r>
      <w:r w:rsidRPr="00AF7627">
        <w:t>focus on the full integration of gender and human development perspectives into programs and activities.</w:t>
      </w:r>
      <w:r w:rsidR="009C7197">
        <w:t xml:space="preserve"> </w:t>
      </w:r>
      <w:r w:rsidRPr="00AF7627">
        <w:t xml:space="preserve">This accords well with Minister Bishop‘s statement that the Australian Aid policy </w:t>
      </w:r>
      <w:r w:rsidR="009C7197">
        <w:rPr>
          <w:rFonts w:cs="Helvetica 55 Roman"/>
        </w:rPr>
        <w:t>‘</w:t>
      </w:r>
      <w:r w:rsidRPr="005C17E9">
        <w:rPr>
          <w:rFonts w:eastAsia="Times" w:cs="Arial"/>
          <w:i/>
          <w:sz w:val="21"/>
          <w:szCs w:val="21"/>
        </w:rPr>
        <w:t>will give increased attention to empowering women and girls as a central objective of our aid program, recognising the significant benefits that flow to whole communities from women’s participation.</w:t>
      </w:r>
      <w:r w:rsidR="009C7197">
        <w:rPr>
          <w:rFonts w:cs="Helvetica 55 Roman"/>
        </w:rPr>
        <w:t>’</w:t>
      </w:r>
      <w:r w:rsidR="004B0AB6">
        <w:rPr>
          <w:rStyle w:val="FootnoteReference"/>
          <w:rFonts w:cs="Helvetica 55 Roman"/>
        </w:rPr>
        <w:footnoteReference w:id="43"/>
      </w:r>
    </w:p>
    <w:p w14:paraId="4AF74509" w14:textId="77777777" w:rsidR="00CD2B3A" w:rsidRDefault="00CD2B3A" w:rsidP="002B1210">
      <w:pPr>
        <w:pStyle w:val="annexsubheading"/>
        <w:jc w:val="both"/>
      </w:pPr>
      <w:r>
        <w:t>Essential Elements</w:t>
      </w:r>
    </w:p>
    <w:p w14:paraId="0B203CB2" w14:textId="77777777" w:rsidR="00CD2B3A" w:rsidRPr="00AF7627" w:rsidRDefault="00CD2B3A" w:rsidP="007D3192">
      <w:pPr>
        <w:pStyle w:val="BodyText"/>
      </w:pPr>
      <w:r w:rsidRPr="00AF7627">
        <w:t>In order to work towards greater equality of opportunity, the</w:t>
      </w:r>
      <w:r w:rsidR="002B4C4B" w:rsidRPr="002B4C4B">
        <w:t xml:space="preserve"> </w:t>
      </w:r>
      <w:r w:rsidR="002B4C4B">
        <w:t xml:space="preserve">E4G </w:t>
      </w:r>
      <w:r w:rsidR="00B47614">
        <w:t>C</w:t>
      </w:r>
      <w:r w:rsidR="002B4C4B">
        <w:t>omponent of the</w:t>
      </w:r>
      <w:r w:rsidRPr="00AF7627">
        <w:t xml:space="preserve"> AADP will </w:t>
      </w:r>
      <w:r w:rsidR="005C17E9">
        <w:t xml:space="preserve">prioritise identification and facilitation of </w:t>
      </w:r>
      <w:r w:rsidRPr="00AF7627">
        <w:t>improved social and gender equality and equitable access.</w:t>
      </w:r>
      <w:r w:rsidR="009C7197">
        <w:t xml:space="preserve"> </w:t>
      </w:r>
      <w:r w:rsidRPr="00AF7627">
        <w:t xml:space="preserve">All program </w:t>
      </w:r>
      <w:r w:rsidR="005C17E9">
        <w:t>activities</w:t>
      </w:r>
      <w:r w:rsidRPr="00AF7627">
        <w:t xml:space="preserve"> will be designed and implemented </w:t>
      </w:r>
      <w:r w:rsidR="00FA60A4">
        <w:t>in accordance with the following gender considerations</w:t>
      </w:r>
      <w:r w:rsidRPr="00AF7627">
        <w:t>:</w:t>
      </w:r>
    </w:p>
    <w:p w14:paraId="6EC524A5" w14:textId="77777777" w:rsidR="00CD2B3A" w:rsidRPr="004107C3" w:rsidRDefault="00CD2B3A" w:rsidP="004107C3">
      <w:pPr>
        <w:pStyle w:val="List-bullet-1"/>
      </w:pPr>
      <w:r w:rsidRPr="004107C3">
        <w:t>gender and social inclusion skills as a prerequisite for the various panels and advisory grou</w:t>
      </w:r>
      <w:r w:rsidR="00FA60A4" w:rsidRPr="004107C3">
        <w:t>ps;</w:t>
      </w:r>
    </w:p>
    <w:p w14:paraId="1C1BBFAF" w14:textId="77777777" w:rsidR="00CD2B3A" w:rsidRPr="004107C3" w:rsidRDefault="00CD2B3A" w:rsidP="004107C3">
      <w:pPr>
        <w:pStyle w:val="List-bullet-1"/>
      </w:pPr>
      <w:r w:rsidRPr="004107C3">
        <w:t>gender and social inclusion as criteria for selection of options throu</w:t>
      </w:r>
      <w:r w:rsidR="00FA60A4" w:rsidRPr="004107C3">
        <w:t>ghout the course of activities;</w:t>
      </w:r>
    </w:p>
    <w:p w14:paraId="6F956C38" w14:textId="77777777" w:rsidR="00CD2B3A" w:rsidRPr="004107C3" w:rsidRDefault="00CD2B3A" w:rsidP="004107C3">
      <w:pPr>
        <w:pStyle w:val="List-bullet-1"/>
      </w:pPr>
      <w:r w:rsidRPr="004107C3">
        <w:t>M&amp;E frameworks will contain gende</w:t>
      </w:r>
      <w:r w:rsidR="00FA60A4" w:rsidRPr="004107C3">
        <w:t>r and social inclusion measures;</w:t>
      </w:r>
    </w:p>
    <w:p w14:paraId="5265A3C4" w14:textId="77777777" w:rsidR="00CD2B3A" w:rsidRPr="004107C3" w:rsidRDefault="00CD2B3A" w:rsidP="004107C3">
      <w:pPr>
        <w:pStyle w:val="List-bullet-1"/>
      </w:pPr>
      <w:r w:rsidRPr="004107C3">
        <w:t xml:space="preserve">budget allocation to ensure that gender analysis is done during the detailed design of each </w:t>
      </w:r>
      <w:r w:rsidR="00FA60A4" w:rsidRPr="004107C3">
        <w:t>activity</w:t>
      </w:r>
      <w:r w:rsidRPr="004107C3">
        <w:t>, that consultations are held with a range of stakeholders with an interest in gender equality, and that staff can be trained on ba</w:t>
      </w:r>
      <w:r w:rsidR="00FA60A4" w:rsidRPr="004107C3">
        <w:t>sic gender mainstreaming skills;</w:t>
      </w:r>
      <w:r w:rsidRPr="004107C3">
        <w:t xml:space="preserve"> and</w:t>
      </w:r>
    </w:p>
    <w:p w14:paraId="2048871F" w14:textId="77777777" w:rsidR="00CD2B3A" w:rsidRPr="004107C3" w:rsidRDefault="00CD2B3A" w:rsidP="004107C3">
      <w:pPr>
        <w:pStyle w:val="List-bullet-1"/>
      </w:pPr>
      <w:proofErr w:type="gramStart"/>
      <w:r w:rsidRPr="004107C3">
        <w:t>explicit</w:t>
      </w:r>
      <w:proofErr w:type="gramEnd"/>
      <w:r w:rsidRPr="004107C3">
        <w:t xml:space="preserve"> clauses in contracts with implementing </w:t>
      </w:r>
      <w:r w:rsidR="00F82AD6" w:rsidRPr="004107C3">
        <w:t>MC</w:t>
      </w:r>
      <w:r w:rsidRPr="004107C3">
        <w:t>s stipulating a minimum range of actions to be taken on gender and social inclusion.</w:t>
      </w:r>
    </w:p>
    <w:p w14:paraId="19747FD7" w14:textId="77777777" w:rsidR="00CD2B3A" w:rsidRPr="00AF7627" w:rsidRDefault="007E78F8" w:rsidP="002B1210">
      <w:pPr>
        <w:pStyle w:val="BodyText"/>
      </w:pPr>
      <w:r>
        <w:t>People with disabilities (</w:t>
      </w:r>
      <w:r w:rsidR="006E79A8">
        <w:t>PWD</w:t>
      </w:r>
      <w:r>
        <w:t>)</w:t>
      </w:r>
      <w:r w:rsidR="005F5E77">
        <w:t xml:space="preserve"> </w:t>
      </w:r>
      <w:r w:rsidR="00CD2B3A" w:rsidRPr="00AF7627">
        <w:t>frequently find it difficult to engage with the opportunities that change brings, unless proactive measures are taken to ensure that their specific needs are addressed.</w:t>
      </w:r>
      <w:r w:rsidR="009C7197">
        <w:t xml:space="preserve"> </w:t>
      </w:r>
      <w:r w:rsidR="00CD2B3A" w:rsidRPr="00AF7627">
        <w:t xml:space="preserve">All </w:t>
      </w:r>
      <w:r w:rsidR="002B4C4B">
        <w:t xml:space="preserve">E4G </w:t>
      </w:r>
      <w:r w:rsidR="00B47614">
        <w:t>C</w:t>
      </w:r>
      <w:r w:rsidR="002B4C4B">
        <w:t xml:space="preserve">omponent </w:t>
      </w:r>
      <w:r w:rsidR="00CD2B3A" w:rsidRPr="00AF7627">
        <w:t xml:space="preserve">AADP </w:t>
      </w:r>
      <w:r w:rsidR="005F5E77">
        <w:t>activities</w:t>
      </w:r>
      <w:r w:rsidR="00CD2B3A" w:rsidRPr="00AF7627">
        <w:t xml:space="preserve"> will encourage the participation of </w:t>
      </w:r>
      <w:r w:rsidR="006E79A8">
        <w:t>PWD</w:t>
      </w:r>
      <w:r w:rsidR="00CD2B3A" w:rsidRPr="00AF7627">
        <w:t xml:space="preserve">. </w:t>
      </w:r>
    </w:p>
    <w:p w14:paraId="25590AD6" w14:textId="77777777" w:rsidR="00CD2B3A" w:rsidRDefault="00CD2B3A" w:rsidP="002B1210">
      <w:pPr>
        <w:pStyle w:val="annexsubheading"/>
        <w:jc w:val="both"/>
      </w:pPr>
      <w:bookmarkStart w:id="70" w:name="_Toc177429321"/>
      <w:bookmarkStart w:id="71" w:name="_Toc177429322"/>
      <w:bookmarkStart w:id="72" w:name="_Toc177429323"/>
      <w:bookmarkEnd w:id="70"/>
      <w:bookmarkEnd w:id="71"/>
      <w:r>
        <w:t>Monitoring and Evaluation</w:t>
      </w:r>
      <w:bookmarkEnd w:id="72"/>
    </w:p>
    <w:p w14:paraId="64018244" w14:textId="77777777" w:rsidR="00CD2B3A" w:rsidRPr="00C50211" w:rsidRDefault="00CD2B3A" w:rsidP="002B1210">
      <w:pPr>
        <w:pStyle w:val="BodyText"/>
        <w:spacing w:after="80"/>
      </w:pPr>
      <w:r w:rsidRPr="00C50211">
        <w:t>Th</w:t>
      </w:r>
      <w:r w:rsidR="00161D6D">
        <w:t>is</w:t>
      </w:r>
      <w:r w:rsidRPr="00C50211">
        <w:t xml:space="preserve"> Mainstreaming Strategy will be monitored in accordance with the </w:t>
      </w:r>
      <w:r w:rsidR="002B4C4B">
        <w:t xml:space="preserve">E4G </w:t>
      </w:r>
      <w:r w:rsidR="00B47614">
        <w:t>C</w:t>
      </w:r>
      <w:r w:rsidR="002B4C4B">
        <w:t xml:space="preserve">omponent </w:t>
      </w:r>
      <w:r w:rsidRPr="00C50211">
        <w:t>MEF</w:t>
      </w:r>
      <w:r w:rsidR="006369DB">
        <w:t xml:space="preserve"> which includes gender and social targets</w:t>
      </w:r>
      <w:r w:rsidRPr="00C50211">
        <w:t xml:space="preserve"> and, additionally, reviewed annually to track progress and consider the appropriateness of gender and social inclusion mainstreaming activities and those activities specifically targeting women and disadvantaged groups.</w:t>
      </w:r>
      <w:r w:rsidR="009C7197">
        <w:t xml:space="preserve"> </w:t>
      </w:r>
      <w:r w:rsidRPr="00C50211">
        <w:t>The annual review will follow the collection and analysis of information on gender differentials and social relations to identify, comprehend and address gender and social inequities in the AADP.</w:t>
      </w:r>
      <w:r w:rsidR="009C7197">
        <w:t xml:space="preserve"> </w:t>
      </w:r>
      <w:r w:rsidRPr="00C50211">
        <w:t xml:space="preserve">The </w:t>
      </w:r>
      <w:r w:rsidR="00C50211">
        <w:t>M&amp;</w:t>
      </w:r>
      <w:r w:rsidRPr="00C50211">
        <w:t>E would need to consider:</w:t>
      </w:r>
    </w:p>
    <w:p w14:paraId="28EF5255" w14:textId="77777777" w:rsidR="00CD2B3A" w:rsidRPr="00C50211" w:rsidRDefault="00CD2B3A" w:rsidP="002B1210">
      <w:pPr>
        <w:pStyle w:val="List-bullet-1"/>
        <w:spacing w:after="80"/>
      </w:pPr>
      <w:r w:rsidRPr="00C50211">
        <w:t xml:space="preserve">Identifying differential impacts of the </w:t>
      </w:r>
      <w:r w:rsidR="002B4C4B">
        <w:t xml:space="preserve">E4G </w:t>
      </w:r>
      <w:r w:rsidR="00B47614">
        <w:t>C</w:t>
      </w:r>
      <w:r w:rsidR="002B4C4B">
        <w:t>omponent</w:t>
      </w:r>
      <w:r w:rsidRPr="00C50211">
        <w:t xml:space="preserve"> on women and men and people with disabilities and other vulnerable social groups;</w:t>
      </w:r>
    </w:p>
    <w:p w14:paraId="00364260" w14:textId="77777777" w:rsidR="00CD2B3A" w:rsidRPr="00C50211" w:rsidRDefault="00CD2B3A" w:rsidP="002B1210">
      <w:pPr>
        <w:pStyle w:val="List-bullet-1"/>
        <w:spacing w:after="80"/>
      </w:pPr>
      <w:r w:rsidRPr="00C50211">
        <w:t xml:space="preserve">Identifying differences between men and women and others in perceptions, attitudes and opportunities associated with the </w:t>
      </w:r>
      <w:r w:rsidR="002B4C4B">
        <w:t xml:space="preserve">E4G </w:t>
      </w:r>
      <w:r w:rsidR="00B47614">
        <w:t>C</w:t>
      </w:r>
      <w:r w:rsidR="002B4C4B">
        <w:t>omponent</w:t>
      </w:r>
      <w:r w:rsidRPr="00C50211">
        <w:t>;</w:t>
      </w:r>
      <w:r w:rsidR="009C7197">
        <w:t xml:space="preserve"> </w:t>
      </w:r>
      <w:r w:rsidRPr="00C50211">
        <w:t>and</w:t>
      </w:r>
    </w:p>
    <w:p w14:paraId="3C9D18E5" w14:textId="77777777" w:rsidR="009C7197" w:rsidRDefault="00CD2B3A" w:rsidP="002B1210">
      <w:pPr>
        <w:pStyle w:val="List-bullet-1"/>
      </w:pPr>
      <w:r w:rsidRPr="00C50211">
        <w:t xml:space="preserve">Developing a better understanding of progress in improving women’s and other disadvantaged people’s access to, and presence in, </w:t>
      </w:r>
      <w:r w:rsidR="002B4C4B">
        <w:t xml:space="preserve">E4G </w:t>
      </w:r>
      <w:r w:rsidR="00B47614">
        <w:t>C</w:t>
      </w:r>
      <w:r w:rsidR="002B4C4B">
        <w:t xml:space="preserve">omponent </w:t>
      </w:r>
      <w:r w:rsidRPr="00C50211">
        <w:t>-supported activities.</w:t>
      </w:r>
    </w:p>
    <w:p w14:paraId="1BD9F597" w14:textId="763A7920" w:rsidR="00F90862" w:rsidRPr="00A71523" w:rsidRDefault="0008122F" w:rsidP="00460FD7">
      <w:pPr>
        <w:pStyle w:val="annexheading"/>
        <w:tabs>
          <w:tab w:val="left" w:pos="1701"/>
        </w:tabs>
      </w:pPr>
      <w:bookmarkStart w:id="73" w:name="_Toc399104637"/>
      <w:bookmarkStart w:id="74" w:name="_Toc401578437"/>
      <w:r w:rsidRPr="00A71523">
        <w:t xml:space="preserve">Annex </w:t>
      </w:r>
      <w:r w:rsidR="00880C45">
        <w:t>F</w:t>
      </w:r>
      <w:r w:rsidR="00460FD7">
        <w:t>:</w:t>
      </w:r>
      <w:r w:rsidR="007D3192">
        <w:t xml:space="preserve"> </w:t>
      </w:r>
      <w:r w:rsidR="00967DD3">
        <w:t xml:space="preserve">E4G </w:t>
      </w:r>
      <w:r w:rsidR="00F90862" w:rsidRPr="00A71523">
        <w:t xml:space="preserve">Monitoring and Evaluation </w:t>
      </w:r>
      <w:bookmarkEnd w:id="69"/>
      <w:r w:rsidR="001C71B3">
        <w:t>Framework</w:t>
      </w:r>
      <w:bookmarkEnd w:id="73"/>
      <w:bookmarkEnd w:id="74"/>
      <w:r w:rsidR="00F90862" w:rsidRPr="00A71523">
        <w:t xml:space="preserve"> </w:t>
      </w:r>
    </w:p>
    <w:p w14:paraId="13AF5722" w14:textId="77777777" w:rsidR="009C7197" w:rsidRDefault="00AC5B26">
      <w:pPr>
        <w:pStyle w:val="BodyText"/>
        <w:rPr>
          <w:lang w:val="en-US"/>
        </w:rPr>
      </w:pPr>
      <w:r>
        <w:rPr>
          <w:lang w:val="en-US"/>
        </w:rPr>
        <w:t>This Annex contains the following sections:</w:t>
      </w:r>
    </w:p>
    <w:p w14:paraId="48AE6C72" w14:textId="77777777" w:rsidR="00AC5B26" w:rsidRDefault="00AC5B26">
      <w:pPr>
        <w:pStyle w:val="List-bullet-1"/>
      </w:pPr>
      <w:r w:rsidRPr="00AC5B26">
        <w:t>Description of the Monitoring and Evaluation System</w:t>
      </w:r>
    </w:p>
    <w:p w14:paraId="66833AFC" w14:textId="77777777" w:rsidR="00AC5B26" w:rsidRDefault="00AC5B26">
      <w:pPr>
        <w:pStyle w:val="List-bullet-1"/>
      </w:pPr>
      <w:r>
        <w:t>Results Diagram</w:t>
      </w:r>
    </w:p>
    <w:p w14:paraId="537AD320" w14:textId="77777777" w:rsidR="00AC5B26" w:rsidRDefault="00AC5B26">
      <w:pPr>
        <w:pStyle w:val="List-bullet-1"/>
      </w:pPr>
      <w:r w:rsidRPr="00AC5B26">
        <w:t>E4G Component MEF</w:t>
      </w:r>
    </w:p>
    <w:p w14:paraId="1B109349" w14:textId="1FBC1C58" w:rsidR="001D2884" w:rsidRDefault="001D2884">
      <w:pPr>
        <w:pStyle w:val="List-bullet-1"/>
      </w:pPr>
      <w:r>
        <w:t>M&amp;E Tools</w:t>
      </w:r>
    </w:p>
    <w:p w14:paraId="65EF1316" w14:textId="0E981E49" w:rsidR="001D2884" w:rsidRPr="00AC5B26" w:rsidRDefault="001D2884">
      <w:pPr>
        <w:pStyle w:val="List-bullet-1"/>
      </w:pPr>
      <w:r>
        <w:t>Key Impact Evaluation Questions</w:t>
      </w:r>
    </w:p>
    <w:p w14:paraId="2A025CF3" w14:textId="77777777" w:rsidR="00AC5B26" w:rsidRPr="00F23F67" w:rsidRDefault="00AC5B26">
      <w:pPr>
        <w:pStyle w:val="annexsubheading"/>
        <w:jc w:val="both"/>
        <w:rPr>
          <w:lang w:val="en-US"/>
        </w:rPr>
      </w:pPr>
      <w:r w:rsidRPr="00F23F67">
        <w:rPr>
          <w:lang w:val="en-US"/>
        </w:rPr>
        <w:t xml:space="preserve">Description of the </w:t>
      </w:r>
      <w:r w:rsidR="00967DD3">
        <w:rPr>
          <w:lang w:val="en-US"/>
        </w:rPr>
        <w:t xml:space="preserve">AADP </w:t>
      </w:r>
      <w:r w:rsidR="007E78F8" w:rsidRPr="007E78F8">
        <w:rPr>
          <w:lang w:val="en-US"/>
        </w:rPr>
        <w:t>Monitoring and Evaluation System</w:t>
      </w:r>
    </w:p>
    <w:p w14:paraId="37B4A674" w14:textId="77777777" w:rsidR="009C7197" w:rsidRDefault="008C07B3">
      <w:pPr>
        <w:pStyle w:val="BodyText"/>
        <w:rPr>
          <w:lang w:val="en-US"/>
        </w:rPr>
      </w:pPr>
      <w:r w:rsidRPr="005E69D7">
        <w:rPr>
          <w:lang w:val="en-US"/>
        </w:rPr>
        <w:t xml:space="preserve">The goal of the </w:t>
      </w:r>
      <w:proofErr w:type="spellStart"/>
      <w:r w:rsidR="00DF7424">
        <w:rPr>
          <w:lang w:val="en-US"/>
        </w:rPr>
        <w:t>GoA’s</w:t>
      </w:r>
      <w:proofErr w:type="spellEnd"/>
      <w:r w:rsidR="00DF7424">
        <w:rPr>
          <w:lang w:val="en-US"/>
        </w:rPr>
        <w:t xml:space="preserve"> </w:t>
      </w:r>
      <w:r w:rsidR="00C83345">
        <w:rPr>
          <w:lang w:val="en-US"/>
        </w:rPr>
        <w:t>Sub-Saharan Africa</w:t>
      </w:r>
      <w:r w:rsidR="00DF7424">
        <w:rPr>
          <w:lang w:val="en-US"/>
        </w:rPr>
        <w:t xml:space="preserve"> Aid Program (SSAAP) </w:t>
      </w:r>
      <w:r w:rsidRPr="005E69D7">
        <w:rPr>
          <w:lang w:val="en-US"/>
        </w:rPr>
        <w:t>is to assist African people to achieve more equitable access to the benefits of economic growth.</w:t>
      </w:r>
      <w:r w:rsidR="009C7197">
        <w:rPr>
          <w:lang w:val="en-US"/>
        </w:rPr>
        <w:t xml:space="preserve"> </w:t>
      </w:r>
      <w:r w:rsidRPr="005E69D7">
        <w:rPr>
          <w:lang w:val="en-US"/>
        </w:rPr>
        <w:t>From 2014</w:t>
      </w:r>
      <w:r w:rsidR="007D3192">
        <w:rPr>
          <w:lang w:val="en-US"/>
        </w:rPr>
        <w:t>–20</w:t>
      </w:r>
      <w:r w:rsidRPr="005E69D7">
        <w:rPr>
          <w:lang w:val="en-US"/>
        </w:rPr>
        <w:t xml:space="preserve">15 it will have </w:t>
      </w:r>
      <w:r w:rsidR="00597B4E">
        <w:rPr>
          <w:lang w:val="en-US"/>
        </w:rPr>
        <w:t xml:space="preserve">four </w:t>
      </w:r>
      <w:proofErr w:type="gramStart"/>
      <w:r w:rsidRPr="005E69D7">
        <w:rPr>
          <w:lang w:val="en-US"/>
        </w:rPr>
        <w:t>objectives:</w:t>
      </w:r>
      <w:proofErr w:type="gramEnd"/>
    </w:p>
    <w:p w14:paraId="28627141" w14:textId="77777777" w:rsidR="00597B4E" w:rsidRPr="007D3192" w:rsidRDefault="00597B4E" w:rsidP="00767E76">
      <w:pPr>
        <w:pStyle w:val="List-number-1"/>
        <w:numPr>
          <w:ilvl w:val="0"/>
          <w:numId w:val="34"/>
        </w:numPr>
        <w:jc w:val="both"/>
        <w:rPr>
          <w:lang w:val="en-US"/>
        </w:rPr>
      </w:pPr>
      <w:r w:rsidRPr="007D3192">
        <w:rPr>
          <w:lang w:val="en-US"/>
        </w:rPr>
        <w:t>Contribute to African leadership and human capacity development and education in areas of critical skills shortages</w:t>
      </w:r>
      <w:r w:rsidR="00B912A7">
        <w:rPr>
          <w:lang w:val="en-US"/>
        </w:rPr>
        <w:t>.</w:t>
      </w:r>
    </w:p>
    <w:p w14:paraId="639F9E88" w14:textId="77777777" w:rsidR="008C07B3" w:rsidRPr="005E69D7" w:rsidRDefault="008C07B3" w:rsidP="00767E76">
      <w:pPr>
        <w:pStyle w:val="List-number-1"/>
        <w:jc w:val="both"/>
        <w:rPr>
          <w:lang w:val="en-US"/>
        </w:rPr>
      </w:pPr>
      <w:r w:rsidRPr="005E69D7">
        <w:rPr>
          <w:lang w:val="en-US"/>
        </w:rPr>
        <w:t xml:space="preserve">Improve </w:t>
      </w:r>
      <w:r w:rsidR="00C7185D">
        <w:rPr>
          <w:lang w:val="en-US"/>
        </w:rPr>
        <w:t>extractive</w:t>
      </w:r>
      <w:r w:rsidRPr="005E69D7">
        <w:rPr>
          <w:lang w:val="en-US"/>
        </w:rPr>
        <w:t xml:space="preserve"> sector management and its contribution to inclusive economic growth through developing skills, increasing government capacity and empowering local communities</w:t>
      </w:r>
      <w:r w:rsidR="00B912A7">
        <w:rPr>
          <w:lang w:val="en-US"/>
        </w:rPr>
        <w:t>.</w:t>
      </w:r>
    </w:p>
    <w:p w14:paraId="7D91B207" w14:textId="77777777" w:rsidR="008C07B3" w:rsidRPr="005E69D7" w:rsidRDefault="008C07B3" w:rsidP="00767E76">
      <w:pPr>
        <w:pStyle w:val="List-number-1"/>
        <w:jc w:val="both"/>
        <w:rPr>
          <w:lang w:val="en-US"/>
        </w:rPr>
      </w:pPr>
      <w:r w:rsidRPr="005E69D7">
        <w:rPr>
          <w:lang w:val="en-US"/>
        </w:rPr>
        <w:t>Improve agriculture productivity and decision-making through support for development and adoption of new technologies and innovations in the agricultural sector</w:t>
      </w:r>
      <w:r w:rsidR="00B912A7">
        <w:rPr>
          <w:lang w:val="en-US"/>
        </w:rPr>
        <w:t>.</w:t>
      </w:r>
    </w:p>
    <w:p w14:paraId="5967A297" w14:textId="77777777" w:rsidR="008C07B3" w:rsidRPr="005E69D7" w:rsidRDefault="008C07B3" w:rsidP="00767E76">
      <w:pPr>
        <w:pStyle w:val="List-number-1"/>
        <w:jc w:val="both"/>
      </w:pPr>
      <w:r w:rsidRPr="005E69D7">
        <w:rPr>
          <w:lang w:val="en-US"/>
        </w:rPr>
        <w:t>Respond appropriately to humanitarian crises in Africa through working with effective humanitarian partners</w:t>
      </w:r>
      <w:r w:rsidR="00AC5B26">
        <w:rPr>
          <w:lang w:val="en-US"/>
        </w:rPr>
        <w:t>.</w:t>
      </w:r>
    </w:p>
    <w:p w14:paraId="77D551FE" w14:textId="77777777" w:rsidR="009C7197" w:rsidRPr="00904BA0" w:rsidRDefault="008C07B3">
      <w:pPr>
        <w:pStyle w:val="BodyText"/>
      </w:pPr>
      <w:r w:rsidRPr="00904BA0">
        <w:t xml:space="preserve">The AADP Goal </w:t>
      </w:r>
      <w:r w:rsidR="00597B4E">
        <w:t>mirrors the SSAAP goal</w:t>
      </w:r>
      <w:r w:rsidRPr="00904BA0">
        <w:t>:</w:t>
      </w:r>
      <w:r w:rsidR="009C7197" w:rsidRPr="00904BA0">
        <w:t xml:space="preserve"> </w:t>
      </w:r>
      <w:r w:rsidR="00597B4E" w:rsidRPr="005E69D7">
        <w:rPr>
          <w:lang w:val="en-US"/>
        </w:rPr>
        <w:t>to assist African people to achieve more equitable access to the benefits of economic growth</w:t>
      </w:r>
      <w:r w:rsidR="00136607" w:rsidRPr="00904BA0">
        <w:t>.</w:t>
      </w:r>
    </w:p>
    <w:p w14:paraId="4DB786FE" w14:textId="77777777" w:rsidR="00597B4E" w:rsidRDefault="008C07B3">
      <w:pPr>
        <w:pStyle w:val="BodyText"/>
      </w:pPr>
      <w:r w:rsidRPr="00904BA0">
        <w:t>The AADP Objective</w:t>
      </w:r>
      <w:r w:rsidR="00597B4E">
        <w:t>s are</w:t>
      </w:r>
      <w:r w:rsidRPr="00904BA0">
        <w:t>:</w:t>
      </w:r>
      <w:r w:rsidR="009C7197" w:rsidRPr="00904BA0">
        <w:t xml:space="preserve"> </w:t>
      </w:r>
    </w:p>
    <w:p w14:paraId="14C292B8" w14:textId="3C45C6D2" w:rsidR="002F3F8F" w:rsidRDefault="002F3F8F" w:rsidP="002B1210">
      <w:pPr>
        <w:pStyle w:val="List-bullet-1"/>
        <w:rPr>
          <w:lang w:val="en-US"/>
        </w:rPr>
      </w:pPr>
      <w:r>
        <w:rPr>
          <w:lang w:val="en-US"/>
        </w:rPr>
        <w:t xml:space="preserve">Contribute </w:t>
      </w:r>
      <w:r w:rsidR="00651F22">
        <w:rPr>
          <w:lang w:val="en-US"/>
        </w:rPr>
        <w:t xml:space="preserve">build </w:t>
      </w:r>
      <w:r>
        <w:rPr>
          <w:lang w:val="en-US"/>
        </w:rPr>
        <w:t>human capacity development and education in areas of critical skills shortages</w:t>
      </w:r>
      <w:r w:rsidR="00B912A7">
        <w:rPr>
          <w:lang w:val="en-US"/>
        </w:rPr>
        <w:t>.</w:t>
      </w:r>
    </w:p>
    <w:p w14:paraId="07836B86" w14:textId="77777777" w:rsidR="002F3F8F" w:rsidRPr="005E69D7" w:rsidRDefault="002F3F8F" w:rsidP="002B1210">
      <w:pPr>
        <w:pStyle w:val="List-bullet-1"/>
        <w:rPr>
          <w:lang w:val="en-US"/>
        </w:rPr>
      </w:pPr>
      <w:r w:rsidRPr="005E69D7">
        <w:rPr>
          <w:lang w:val="en-US"/>
        </w:rPr>
        <w:t xml:space="preserve">Improve </w:t>
      </w:r>
      <w:r>
        <w:rPr>
          <w:lang w:val="en-US"/>
        </w:rPr>
        <w:t>extractive</w:t>
      </w:r>
      <w:r w:rsidRPr="005E69D7">
        <w:rPr>
          <w:lang w:val="en-US"/>
        </w:rPr>
        <w:t xml:space="preserve"> sector management and its contribution to inclusive economic growth through developing skills, increasing government capacity and empowering local communities</w:t>
      </w:r>
      <w:r w:rsidR="00B912A7">
        <w:rPr>
          <w:lang w:val="en-US"/>
        </w:rPr>
        <w:t>.</w:t>
      </w:r>
    </w:p>
    <w:p w14:paraId="57C09C84" w14:textId="5BE94C6A" w:rsidR="009C7197" w:rsidRPr="00904BA0" w:rsidRDefault="008C07B3" w:rsidP="002B1210">
      <w:pPr>
        <w:pStyle w:val="BodyText"/>
      </w:pPr>
      <w:r w:rsidRPr="00904BA0">
        <w:t>The M&amp;E Framework for the AADP is comprised of two levels:</w:t>
      </w:r>
      <w:r w:rsidR="009C7197" w:rsidRPr="00904BA0">
        <w:t xml:space="preserve"> </w:t>
      </w:r>
      <w:r w:rsidRPr="00904BA0">
        <w:t xml:space="preserve">a Program-level </w:t>
      </w:r>
      <w:r w:rsidR="004472BC" w:rsidRPr="00904BA0">
        <w:t>matrix</w:t>
      </w:r>
      <w:r w:rsidRPr="00904BA0">
        <w:t xml:space="preserve"> and specific component-level </w:t>
      </w:r>
      <w:r w:rsidR="004472BC" w:rsidRPr="00904BA0">
        <w:t>matrices</w:t>
      </w:r>
      <w:r w:rsidRPr="00904BA0">
        <w:t xml:space="preserve"> (</w:t>
      </w:r>
      <w:r w:rsidR="00D92793" w:rsidRPr="00904BA0">
        <w:t>Australia Awards</w:t>
      </w:r>
      <w:r w:rsidRPr="00904BA0">
        <w:t xml:space="preserve"> and </w:t>
      </w:r>
      <w:r w:rsidR="00C7185D" w:rsidRPr="00904BA0">
        <w:t>Extractive</w:t>
      </w:r>
      <w:r w:rsidRPr="00904BA0">
        <w:t>).</w:t>
      </w:r>
      <w:r w:rsidR="009C7197" w:rsidRPr="00904BA0">
        <w:t xml:space="preserve"> </w:t>
      </w:r>
      <w:r w:rsidRPr="00904BA0">
        <w:t xml:space="preserve">Together these </w:t>
      </w:r>
      <w:r w:rsidR="004472BC" w:rsidRPr="00904BA0">
        <w:t>matrices</w:t>
      </w:r>
      <w:r w:rsidRPr="00904BA0">
        <w:t xml:space="preserve"> will </w:t>
      </w:r>
      <w:r w:rsidR="004472BC" w:rsidRPr="00904BA0">
        <w:t xml:space="preserve">provide a tool to monitor the AADP’s progress </w:t>
      </w:r>
      <w:r w:rsidRPr="00904BA0">
        <w:t>and evaluat</w:t>
      </w:r>
      <w:r w:rsidR="004472BC" w:rsidRPr="00904BA0">
        <w:t xml:space="preserve">e its </w:t>
      </w:r>
      <w:r w:rsidR="00EB7878">
        <w:t>outcomes</w:t>
      </w:r>
      <w:r w:rsidRPr="00904BA0">
        <w:t>.</w:t>
      </w:r>
      <w:r w:rsidR="009C7197" w:rsidRPr="00904BA0">
        <w:t xml:space="preserve"> </w:t>
      </w:r>
    </w:p>
    <w:p w14:paraId="13414D92" w14:textId="77777777" w:rsidR="009C7197" w:rsidRPr="00904BA0" w:rsidRDefault="008C07B3" w:rsidP="002B1210">
      <w:pPr>
        <w:pStyle w:val="BodyText"/>
      </w:pPr>
      <w:r w:rsidRPr="00904BA0">
        <w:t xml:space="preserve">The Program-level </w:t>
      </w:r>
      <w:r w:rsidR="004472BC" w:rsidRPr="00904BA0">
        <w:t>matrix</w:t>
      </w:r>
      <w:r w:rsidRPr="00904BA0">
        <w:t xml:space="preserve"> describes the key features of the AADP and maps out the outcomes expected and the outputs needed to achieve them in the two components.</w:t>
      </w:r>
      <w:r w:rsidR="009C7197" w:rsidRPr="00904BA0">
        <w:t xml:space="preserve"> </w:t>
      </w:r>
    </w:p>
    <w:p w14:paraId="4B4996CE" w14:textId="20256E74" w:rsidR="009C7197" w:rsidRPr="00904BA0" w:rsidRDefault="004472BC" w:rsidP="002B1210">
      <w:pPr>
        <w:pStyle w:val="BodyText"/>
      </w:pPr>
      <w:r w:rsidRPr="00904BA0">
        <w:t xml:space="preserve">The </w:t>
      </w:r>
      <w:r w:rsidR="001C71B3">
        <w:t xml:space="preserve">E4G </w:t>
      </w:r>
      <w:r w:rsidR="00B47614">
        <w:t>C</w:t>
      </w:r>
      <w:r w:rsidRPr="00904BA0">
        <w:t xml:space="preserve">omponent-level matrix </w:t>
      </w:r>
      <w:r w:rsidR="008C07B3" w:rsidRPr="00904BA0">
        <w:t xml:space="preserve">describes key component outcomes, outputs and activities, </w:t>
      </w:r>
      <w:r w:rsidR="00651F22">
        <w:t xml:space="preserve">provides key performance indicators with indicative </w:t>
      </w:r>
      <w:r w:rsidR="00B912A7">
        <w:t>two-</w:t>
      </w:r>
      <w:r w:rsidR="008C07B3" w:rsidRPr="00904BA0">
        <w:t xml:space="preserve">year and </w:t>
      </w:r>
      <w:r w:rsidR="00B912A7">
        <w:t>four-year target</w:t>
      </w:r>
      <w:r w:rsidR="00B912A7" w:rsidRPr="00904BA0">
        <w:t>s</w:t>
      </w:r>
      <w:r w:rsidR="008C07B3" w:rsidRPr="00904BA0">
        <w:t>, and the monitoring tools needed to conduct these measurements against baselines.</w:t>
      </w:r>
      <w:r w:rsidR="009C7197" w:rsidRPr="00904BA0">
        <w:t xml:space="preserve"> </w:t>
      </w:r>
      <w:r w:rsidR="008C07B3" w:rsidRPr="00904BA0">
        <w:t>The Program will refine baselines within the first three to six months of implementation</w:t>
      </w:r>
      <w:r w:rsidR="00651F22">
        <w:t>, which could include both desktop exercises and more detailed and nuanced field studies to gather the necessary data</w:t>
      </w:r>
      <w:r w:rsidR="008C07B3" w:rsidRPr="00904BA0">
        <w:t>.</w:t>
      </w:r>
    </w:p>
    <w:p w14:paraId="612B4296" w14:textId="5FEBA57F" w:rsidR="009C7197" w:rsidRPr="00904BA0" w:rsidRDefault="00651F22" w:rsidP="002B1210">
      <w:pPr>
        <w:pStyle w:val="BodyText"/>
      </w:pPr>
      <w:r>
        <w:t>Indicative</w:t>
      </w:r>
      <w:r w:rsidRPr="00904BA0">
        <w:t xml:space="preserve"> </w:t>
      </w:r>
      <w:r w:rsidR="004472BC" w:rsidRPr="00904BA0">
        <w:t>gender targets have been included throughout the MEF and are also set out separately for ease of reference.</w:t>
      </w:r>
    </w:p>
    <w:p w14:paraId="53A667F5" w14:textId="77777777" w:rsidR="000F5341" w:rsidRDefault="000F5341" w:rsidP="002B1210">
      <w:pPr>
        <w:pStyle w:val="BodyText"/>
      </w:pPr>
    </w:p>
    <w:p w14:paraId="31EEF853" w14:textId="77777777" w:rsidR="00904BA0" w:rsidRDefault="00904BA0" w:rsidP="005E69D7">
      <w:pPr>
        <w:spacing w:before="0"/>
        <w:jc w:val="both"/>
        <w:rPr>
          <w:rFonts w:cs="Arial"/>
          <w:sz w:val="22"/>
          <w:szCs w:val="22"/>
        </w:rPr>
        <w:sectPr w:rsidR="00904BA0" w:rsidSect="009C7197">
          <w:pgSz w:w="11906" w:h="16838"/>
          <w:pgMar w:top="1418" w:right="1418" w:bottom="1418" w:left="1418" w:header="568" w:footer="430" w:gutter="0"/>
          <w:cols w:space="708"/>
          <w:docGrid w:linePitch="360"/>
        </w:sectPr>
      </w:pPr>
    </w:p>
    <w:p w14:paraId="37B94538" w14:textId="77777777" w:rsidR="00823481" w:rsidRDefault="00823481" w:rsidP="00823481">
      <w:pPr>
        <w:pStyle w:val="annexsubheading"/>
        <w:spacing w:before="0" w:after="0"/>
        <w:rPr>
          <w:lang w:val="en-US"/>
        </w:rPr>
      </w:pPr>
      <w:r w:rsidRPr="00F23F67">
        <w:rPr>
          <w:lang w:val="en-US"/>
        </w:rPr>
        <w:t>Results Diagram</w:t>
      </w:r>
    </w:p>
    <w:p w14:paraId="59A1509B" w14:textId="77777777" w:rsidR="00823481" w:rsidRDefault="00823481" w:rsidP="00823481">
      <w:pPr>
        <w:pStyle w:val="BodyText"/>
        <w:spacing w:before="0" w:after="0"/>
        <w:rPr>
          <w:b/>
          <w:lang w:val="en-US"/>
        </w:rPr>
      </w:pPr>
      <w:r>
        <w:rPr>
          <w:b/>
          <w:lang w:val="en-US"/>
        </w:rPr>
        <w:t xml:space="preserve">Goal: </w:t>
      </w:r>
      <w:r w:rsidRPr="005E69D7">
        <w:t>Targete</w:t>
      </w:r>
      <w:r w:rsidRPr="00904BA0">
        <w:rPr>
          <w:rStyle w:val="BodyTextChar"/>
        </w:rPr>
        <w:t>d</w:t>
      </w:r>
      <w:r w:rsidRPr="005E69D7">
        <w:t xml:space="preserve"> contributions to sustainable </w:t>
      </w:r>
      <w:r>
        <w:t>and inclusive economic growth in Africa</w:t>
      </w:r>
    </w:p>
    <w:p w14:paraId="7B3C47B2" w14:textId="68C7B546" w:rsidR="00823481" w:rsidRPr="00E15FF5" w:rsidRDefault="00081C57" w:rsidP="00823481">
      <w:pPr>
        <w:pStyle w:val="BodyText"/>
      </w:pPr>
      <w:r>
        <w:rPr>
          <w:noProof/>
        </w:rPr>
        <mc:AlternateContent>
          <mc:Choice Requires="wps">
            <w:drawing>
              <wp:anchor distT="0" distB="0" distL="114300" distR="114300" simplePos="0" relativeHeight="251702272" behindDoc="0" locked="0" layoutInCell="1" allowOverlap="1" wp14:anchorId="04BD4DF6" wp14:editId="4AA44DBE">
                <wp:simplePos x="0" y="0"/>
                <wp:positionH relativeFrom="column">
                  <wp:posOffset>3402330</wp:posOffset>
                </wp:positionH>
                <wp:positionV relativeFrom="paragraph">
                  <wp:posOffset>4046220</wp:posOffset>
                </wp:positionV>
                <wp:extent cx="2533650" cy="459740"/>
                <wp:effectExtent l="0" t="0" r="31750" b="22860"/>
                <wp:wrapNone/>
                <wp:docPr id="3"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459740"/>
                        </a:xfrm>
                        <a:prstGeom prst="rect">
                          <a:avLst/>
                        </a:prstGeom>
                        <a:solidFill>
                          <a:srgbClr val="FFFFFF"/>
                        </a:solidFill>
                        <a:ln w="9525">
                          <a:solidFill>
                            <a:srgbClr val="000000"/>
                          </a:solidFill>
                          <a:miter lim="800000"/>
                          <a:headEnd/>
                          <a:tailEnd/>
                        </a:ln>
                      </wps:spPr>
                      <wps:txbx>
                        <w:txbxContent>
                          <w:p w14:paraId="3E62ACB2" w14:textId="251970BD" w:rsidR="0052414B" w:rsidRPr="00904BA0" w:rsidRDefault="0052414B" w:rsidP="00DA092F">
                            <w:pPr>
                              <w:pStyle w:val="TableTEXT"/>
                              <w:jc w:val="center"/>
                              <w:rPr>
                                <w:sz w:val="18"/>
                              </w:rPr>
                            </w:pPr>
                            <w:r w:rsidRPr="00BE12CA">
                              <w:rPr>
                                <w:i/>
                              </w:rPr>
                              <w:t>Discovery and the decision to extract informed by robust and transparent information, analysis and planning considering social and environmental impacts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68" o:spid="_x0000_s1033" style="position:absolute;left:0;text-align:left;margin-left:267.9pt;margin-top:318.6pt;width:199.5pt;height:36.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">
                <v:textbox>
                  <w:txbxContent>
                    <w:p w14:paraId="3E62ACB2" w14:textId="251970BD" w:rsidR="0052414B" w:rsidRPr="00904BA0" w:rsidRDefault="0052414B" w:rsidP="00DA092F">
                      <w:pPr>
                        <w:pStyle w:val="TableTEXT"/>
                        <w:jc w:val="center"/>
                        <w:rPr>
                          <w:sz w:val="18"/>
                        </w:rPr>
                      </w:pPr>
                      <w:r w:rsidRPr="00BE12CA">
                        <w:rPr>
                          <w:i/>
                        </w:rPr>
                        <w:t>Discovery and the decision to extract informed by robust and transparent information, analysis and planning considering social and environmental impacts</w:t>
                      </w:r>
                    </w:p>
                  </w:txbxContent>
                </v:textbox>
              </v:rect>
            </w:pict>
          </mc:Fallback>
        </mc:AlternateContent>
      </w:r>
      <w:r>
        <w:rPr>
          <w:noProof/>
        </w:rPr>
        <mc:AlternateContent>
          <mc:Choice Requires="wps">
            <w:drawing>
              <wp:anchor distT="0" distB="0" distL="114300" distR="114300" simplePos="0" relativeHeight="251710464" behindDoc="0" locked="0" layoutInCell="1" allowOverlap="1" wp14:anchorId="6865172E" wp14:editId="32DB57D2">
                <wp:simplePos x="0" y="0"/>
                <wp:positionH relativeFrom="column">
                  <wp:posOffset>3438525</wp:posOffset>
                </wp:positionH>
                <wp:positionV relativeFrom="paragraph">
                  <wp:posOffset>3471545</wp:posOffset>
                </wp:positionV>
                <wp:extent cx="2497455" cy="459740"/>
                <wp:effectExtent l="0" t="0" r="17145" b="22860"/>
                <wp:wrapNone/>
                <wp:docPr id="7"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7455" cy="459740"/>
                        </a:xfrm>
                        <a:prstGeom prst="rect">
                          <a:avLst/>
                        </a:prstGeom>
                        <a:solidFill>
                          <a:srgbClr val="FFFFFF"/>
                        </a:solidFill>
                        <a:ln w="9525">
                          <a:solidFill>
                            <a:srgbClr val="000000"/>
                          </a:solidFill>
                          <a:miter lim="800000"/>
                          <a:headEnd/>
                          <a:tailEnd/>
                        </a:ln>
                      </wps:spPr>
                      <wps:txbx>
                        <w:txbxContent>
                          <w:p w14:paraId="4DEBB5E7" w14:textId="1D1CDA18" w:rsidR="0052414B" w:rsidRPr="00904BA0" w:rsidRDefault="0052414B" w:rsidP="001C4BEB">
                            <w:pPr>
                              <w:pStyle w:val="TableTEXT"/>
                              <w:jc w:val="center"/>
                              <w:rPr>
                                <w:sz w:val="18"/>
                              </w:rPr>
                            </w:pPr>
                            <w:r w:rsidRPr="00BE12CA">
                              <w:rPr>
                                <w:i/>
                                <w:szCs w:val="20"/>
                              </w:rPr>
                              <w:t>Infrastructure is in place to support, and leverage broader benefit from, the extractives sector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4" style="position:absolute;left:0;text-align:left;margin-left:270.75pt;margin-top:273.35pt;width:196.65pt;height:36.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">
                <v:textbox>
                  <w:txbxContent>
                    <w:p w14:paraId="4DEBB5E7" w14:textId="1D1CDA18" w:rsidR="0052414B" w:rsidRPr="00904BA0" w:rsidRDefault="0052414B" w:rsidP="001C4BEB">
                      <w:pPr>
                        <w:pStyle w:val="TableTEXT"/>
                        <w:jc w:val="center"/>
                        <w:rPr>
                          <w:sz w:val="18"/>
                        </w:rPr>
                      </w:pPr>
                      <w:r w:rsidRPr="00BE12CA">
                        <w:rPr>
                          <w:i/>
                          <w:szCs w:val="20"/>
                        </w:rPr>
                        <w:t>Infrastructure is in place to support, and leverage broader benefit from, the extractives sector</w:t>
                      </w:r>
                    </w:p>
                  </w:txbxContent>
                </v:textbox>
              </v:rect>
            </w:pict>
          </mc:Fallback>
        </mc:AlternateContent>
      </w:r>
      <w:r>
        <w:rPr>
          <w:noProof/>
        </w:rPr>
        <mc:AlternateContent>
          <mc:Choice Requires="wps">
            <w:drawing>
              <wp:anchor distT="0" distB="0" distL="114300" distR="114300" simplePos="0" relativeHeight="251708416" behindDoc="0" locked="0" layoutInCell="1" allowOverlap="1" wp14:anchorId="2135647C" wp14:editId="2CB967B2">
                <wp:simplePos x="0" y="0"/>
                <wp:positionH relativeFrom="column">
                  <wp:posOffset>3438525</wp:posOffset>
                </wp:positionH>
                <wp:positionV relativeFrom="paragraph">
                  <wp:posOffset>2896870</wp:posOffset>
                </wp:positionV>
                <wp:extent cx="2461260" cy="450850"/>
                <wp:effectExtent l="0" t="0" r="27940" b="31750"/>
                <wp:wrapNone/>
                <wp:docPr id="6"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1260" cy="450850"/>
                        </a:xfrm>
                        <a:prstGeom prst="rect">
                          <a:avLst/>
                        </a:prstGeom>
                        <a:solidFill>
                          <a:srgbClr val="FFFFFF"/>
                        </a:solidFill>
                        <a:ln w="9525">
                          <a:solidFill>
                            <a:srgbClr val="000000"/>
                          </a:solidFill>
                          <a:miter lim="800000"/>
                          <a:headEnd/>
                          <a:tailEnd/>
                        </a:ln>
                      </wps:spPr>
                      <wps:txbx>
                        <w:txbxContent>
                          <w:p w14:paraId="100CE325" w14:textId="0F6902D7" w:rsidR="0052414B" w:rsidRPr="00904BA0" w:rsidRDefault="0052414B" w:rsidP="00F41C41">
                            <w:pPr>
                              <w:pStyle w:val="TableTEXT"/>
                              <w:jc w:val="center"/>
                              <w:rPr>
                                <w:sz w:val="18"/>
                              </w:rPr>
                            </w:pPr>
                            <w:r w:rsidRPr="00BE12CA">
                              <w:rPr>
                                <w:i/>
                                <w:szCs w:val="20"/>
                              </w:rPr>
                              <w:t>More effective monitoring of extractives operations and enforcement of regulatory requirements</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rect id="_x0000_s1035" style="position:absolute;left:0;text-align:left;margin-left:270.75pt;margin-top:228.1pt;width:193.8pt;height:35.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">
                <v:textbox style="mso-fit-shape-to-text:t">
                  <w:txbxContent>
                    <w:p w14:paraId="100CE325" w14:textId="0F6902D7" w:rsidR="0052414B" w:rsidRPr="00904BA0" w:rsidRDefault="0052414B" w:rsidP="00F41C41">
                      <w:pPr>
                        <w:pStyle w:val="TableTEXT"/>
                        <w:jc w:val="center"/>
                        <w:rPr>
                          <w:sz w:val="18"/>
                        </w:rPr>
                      </w:pPr>
                      <w:r w:rsidRPr="00BE12CA">
                        <w:rPr>
                          <w:i/>
                          <w:szCs w:val="20"/>
                        </w:rPr>
                        <w:t>More effective monitoring of extractives operations and enforcement of regulatory requirements</w:t>
                      </w:r>
                    </w:p>
                  </w:txbxContent>
                </v:textbox>
              </v:rect>
            </w:pict>
          </mc:Fallback>
        </mc:AlternateContent>
      </w:r>
      <w:r>
        <w:rPr>
          <w:noProof/>
        </w:rPr>
        <mc:AlternateContent>
          <mc:Choice Requires="wps">
            <w:drawing>
              <wp:anchor distT="0" distB="0" distL="114300" distR="114300" simplePos="0" relativeHeight="251706368" behindDoc="0" locked="0" layoutInCell="1" allowOverlap="1" wp14:anchorId="3C481278" wp14:editId="560641B7">
                <wp:simplePos x="0" y="0"/>
                <wp:positionH relativeFrom="column">
                  <wp:posOffset>3438525</wp:posOffset>
                </wp:positionH>
                <wp:positionV relativeFrom="paragraph">
                  <wp:posOffset>2322195</wp:posOffset>
                </wp:positionV>
                <wp:extent cx="2388870" cy="450850"/>
                <wp:effectExtent l="0" t="0" r="24130" b="31750"/>
                <wp:wrapNone/>
                <wp:docPr id="5"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870" cy="450850"/>
                        </a:xfrm>
                        <a:prstGeom prst="rect">
                          <a:avLst/>
                        </a:prstGeom>
                        <a:solidFill>
                          <a:srgbClr val="FFFFFF"/>
                        </a:solidFill>
                        <a:ln w="9525">
                          <a:solidFill>
                            <a:srgbClr val="000000"/>
                          </a:solidFill>
                          <a:miter lim="800000"/>
                          <a:headEnd/>
                          <a:tailEnd/>
                        </a:ln>
                      </wps:spPr>
                      <wps:txbx>
                        <w:txbxContent>
                          <w:p w14:paraId="1526FC83" w14:textId="7E81D30A" w:rsidR="0052414B" w:rsidRPr="00904BA0" w:rsidRDefault="0052414B" w:rsidP="00F41C41">
                            <w:pPr>
                              <w:pStyle w:val="TableTEXT"/>
                              <w:jc w:val="center"/>
                              <w:rPr>
                                <w:sz w:val="18"/>
                              </w:rPr>
                            </w:pPr>
                            <w:r w:rsidRPr="00BE12CA">
                              <w:rPr>
                                <w:i/>
                                <w:szCs w:val="20"/>
                              </w:rPr>
                              <w:t>More effective fiscal regimes, improved collection of taxes and royalties, and improved revenue management and distribution</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rect id="_x0000_s1036" style="position:absolute;left:0;text-align:left;margin-left:270.75pt;margin-top:182.85pt;width:188.1pt;height:35.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">
                <v:textbox style="mso-fit-shape-to-text:t">
                  <w:txbxContent>
                    <w:p w14:paraId="1526FC83" w14:textId="7E81D30A" w:rsidR="0052414B" w:rsidRPr="00904BA0" w:rsidRDefault="0052414B" w:rsidP="00F41C41">
                      <w:pPr>
                        <w:pStyle w:val="TableTEXT"/>
                        <w:jc w:val="center"/>
                        <w:rPr>
                          <w:sz w:val="18"/>
                        </w:rPr>
                      </w:pPr>
                      <w:r w:rsidRPr="00BE12CA">
                        <w:rPr>
                          <w:i/>
                          <w:szCs w:val="20"/>
                        </w:rPr>
                        <w:t>More effective fiscal regimes, improved collection of taxes and royalties, and improved revenue management and distribution</w:t>
                      </w:r>
                    </w:p>
                  </w:txbxContent>
                </v:textbox>
              </v:rect>
            </w:pict>
          </mc:Fallback>
        </mc:AlternateContent>
      </w:r>
      <w:r w:rsidR="00251623">
        <w:rPr>
          <w:noProof/>
        </w:rPr>
        <mc:AlternateContent>
          <mc:Choice Requires="wps">
            <w:drawing>
              <wp:anchor distT="0" distB="0" distL="114300" distR="114300" simplePos="0" relativeHeight="251700224" behindDoc="0" locked="0" layoutInCell="1" allowOverlap="1" wp14:anchorId="3F141B68" wp14:editId="55513FE3">
                <wp:simplePos x="0" y="0"/>
                <wp:positionH relativeFrom="column">
                  <wp:posOffset>723900</wp:posOffset>
                </wp:positionH>
                <wp:positionV relativeFrom="paragraph">
                  <wp:posOffset>4391025</wp:posOffset>
                </wp:positionV>
                <wp:extent cx="2606040" cy="459740"/>
                <wp:effectExtent l="0" t="0" r="35560" b="22860"/>
                <wp:wrapNone/>
                <wp:docPr id="2"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6040" cy="459740"/>
                        </a:xfrm>
                        <a:prstGeom prst="rect">
                          <a:avLst/>
                        </a:prstGeom>
                        <a:solidFill>
                          <a:srgbClr val="FFFFFF"/>
                        </a:solidFill>
                        <a:ln w="9525">
                          <a:solidFill>
                            <a:srgbClr val="000000"/>
                          </a:solidFill>
                          <a:miter lim="800000"/>
                          <a:headEnd/>
                          <a:tailEnd/>
                        </a:ln>
                      </wps:spPr>
                      <wps:txbx>
                        <w:txbxContent>
                          <w:p w14:paraId="16C4C001" w14:textId="64497D55" w:rsidR="0052414B" w:rsidRPr="00904BA0" w:rsidRDefault="0052414B" w:rsidP="00C5467E">
                            <w:pPr>
                              <w:pStyle w:val="TableTEXT"/>
                              <w:jc w:val="center"/>
                              <w:rPr>
                                <w:sz w:val="18"/>
                              </w:rPr>
                            </w:pPr>
                            <w:r w:rsidRPr="0008771E">
                              <w:rPr>
                                <w:i/>
                              </w:rPr>
                              <w:t>The services of an increased number of local suppliers and businesses are being procured by extractive companies</w:t>
                            </w:r>
                            <w:r w:rsidDel="00C5467E">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left:0;text-align:left;margin-left:57pt;margin-top:345.75pt;width:205.2pt;height:36.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">
                <v:textbox>
                  <w:txbxContent>
                    <w:p w14:paraId="16C4C001" w14:textId="64497D55" w:rsidR="0052414B" w:rsidRPr="00904BA0" w:rsidRDefault="0052414B" w:rsidP="00C5467E">
                      <w:pPr>
                        <w:pStyle w:val="TableTEXT"/>
                        <w:jc w:val="center"/>
                        <w:rPr>
                          <w:sz w:val="18"/>
                        </w:rPr>
                      </w:pPr>
                      <w:r w:rsidRPr="0008771E">
                        <w:rPr>
                          <w:i/>
                        </w:rPr>
                        <w:t>The services of an increased number of local suppliers and businesses are being procured by extractive companies</w:t>
                      </w:r>
                      <w:r w:rsidDel="00C5467E">
                        <w:t xml:space="preserve"> </w:t>
                      </w:r>
                    </w:p>
                  </w:txbxContent>
                </v:textbox>
              </v:rect>
            </w:pict>
          </mc:Fallback>
        </mc:AlternateContent>
      </w:r>
      <w:r w:rsidR="00823481">
        <w:rPr>
          <w:b/>
          <w:noProof/>
        </w:rPr>
        <mc:AlternateContent>
          <mc:Choice Requires="wpc">
            <w:drawing>
              <wp:inline distT="0" distB="0" distL="0" distR="0" wp14:anchorId="101EF2F5" wp14:editId="19F9A62A">
                <wp:extent cx="8891270" cy="5047013"/>
                <wp:effectExtent l="0" t="0" r="24130" b="0"/>
                <wp:docPr id="260" name="Canvas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25" name="Text Box 19"/>
                        <wps:cNvSpPr txBox="1">
                          <a:spLocks noChangeArrowheads="1"/>
                        </wps:cNvSpPr>
                        <wps:spPr bwMode="auto">
                          <a:xfrm>
                            <a:off x="828040" y="2"/>
                            <a:ext cx="2641854" cy="568324"/>
                          </a:xfrm>
                          <a:prstGeom prst="rect">
                            <a:avLst/>
                          </a:prstGeom>
                          <a:solidFill>
                            <a:srgbClr val="FFFFFF"/>
                          </a:solidFill>
                          <a:ln w="9525">
                            <a:solidFill>
                              <a:srgbClr val="808080"/>
                            </a:solidFill>
                            <a:miter lim="800000"/>
                            <a:headEnd/>
                            <a:tailEnd/>
                          </a:ln>
                        </wps:spPr>
                        <wps:txbx>
                          <w:txbxContent>
                            <w:p w14:paraId="7298077F" w14:textId="11AB3541" w:rsidR="0052414B" w:rsidRPr="00904BA0" w:rsidRDefault="0052414B" w:rsidP="00823481">
                              <w:pPr>
                                <w:pStyle w:val="TableTEXT"/>
                                <w:jc w:val="center"/>
                                <w:rPr>
                                  <w:szCs w:val="18"/>
                                </w:rPr>
                              </w:pPr>
                              <w:r w:rsidRPr="001129A5">
                                <w:rPr>
                                  <w:i/>
                                </w:rPr>
                                <w:t>African people achieving more equitable access to the benefits of economic growth</w:t>
                              </w:r>
                              <w:r>
                                <w:rPr>
                                  <w:szCs w:val="20"/>
                                </w:rPr>
                                <w:t xml:space="preserve"> (including employment and improved livelihoods) in targeted sectors (primarily agriculture, extractives and public policy)</w:t>
                              </w:r>
                            </w:p>
                          </w:txbxContent>
                        </wps:txbx>
                        <wps:bodyPr rot="0" vert="horz" wrap="square" lIns="46800" tIns="45720" rIns="46800" bIns="45720" anchor="t" anchorCtr="0" upright="1">
                          <a:spAutoFit/>
                        </wps:bodyPr>
                      </wps:wsp>
                      <wps:wsp>
                        <wps:cNvPr id="226" name="Text Box 23"/>
                        <wps:cNvSpPr txBox="1">
                          <a:spLocks noChangeArrowheads="1"/>
                        </wps:cNvSpPr>
                        <wps:spPr bwMode="auto">
                          <a:xfrm>
                            <a:off x="800100" y="804512"/>
                            <a:ext cx="2142744" cy="334644"/>
                          </a:xfrm>
                          <a:prstGeom prst="rect">
                            <a:avLst/>
                          </a:prstGeom>
                          <a:solidFill>
                            <a:srgbClr val="FFFFFF"/>
                          </a:solidFill>
                          <a:ln w="9525">
                            <a:solidFill>
                              <a:srgbClr val="808080"/>
                            </a:solidFill>
                            <a:miter lim="800000"/>
                            <a:headEnd/>
                            <a:tailEnd/>
                          </a:ln>
                        </wps:spPr>
                        <wps:txbx>
                          <w:txbxContent>
                            <w:p w14:paraId="232268A3" w14:textId="6546A237" w:rsidR="0052414B" w:rsidRPr="00904BA0" w:rsidRDefault="0052414B" w:rsidP="00823481">
                              <w:pPr>
                                <w:pStyle w:val="TableTEXT"/>
                                <w:jc w:val="center"/>
                                <w:rPr>
                                  <w:szCs w:val="18"/>
                                </w:rPr>
                              </w:pPr>
                              <w:r>
                                <w:t>M</w:t>
                              </w:r>
                              <w:r w:rsidRPr="00DD25AD">
                                <w:t>ore African men and women employed in higher skilled roles in</w:t>
                              </w:r>
                              <w:r>
                                <w:t xml:space="preserve"> the extractive sector</w:t>
                              </w:r>
                            </w:p>
                          </w:txbxContent>
                        </wps:txbx>
                        <wps:bodyPr rot="0" vert="horz" wrap="square" lIns="46800" tIns="45720" rIns="46800" bIns="45720" anchor="t" anchorCtr="0" upright="1">
                          <a:spAutoFit/>
                        </wps:bodyPr>
                      </wps:wsp>
                      <wps:wsp>
                        <wps:cNvPr id="227" name="Text Box 25"/>
                        <wps:cNvSpPr txBox="1">
                          <a:spLocks noChangeArrowheads="1"/>
                        </wps:cNvSpPr>
                        <wps:spPr bwMode="auto">
                          <a:xfrm>
                            <a:off x="800100" y="1245235"/>
                            <a:ext cx="2142434" cy="611505"/>
                          </a:xfrm>
                          <a:prstGeom prst="rect">
                            <a:avLst/>
                          </a:prstGeom>
                          <a:solidFill>
                            <a:srgbClr val="FFFFFF"/>
                          </a:solidFill>
                          <a:ln w="9525">
                            <a:solidFill>
                              <a:srgbClr val="808080"/>
                            </a:solidFill>
                            <a:miter lim="800000"/>
                            <a:headEnd/>
                            <a:tailEnd/>
                          </a:ln>
                        </wps:spPr>
                        <wps:txbx>
                          <w:txbxContent>
                            <w:p w14:paraId="0EFEC22D" w14:textId="77777777" w:rsidR="0052414B" w:rsidRPr="00FD2D1D" w:rsidRDefault="0052414B" w:rsidP="00823481">
                              <w:pPr>
                                <w:pStyle w:val="TableTEXT"/>
                                <w:jc w:val="center"/>
                                <w:rPr>
                                  <w:szCs w:val="16"/>
                                </w:rPr>
                              </w:pPr>
                              <w:r>
                                <w:rPr>
                                  <w:szCs w:val="20"/>
                                </w:rPr>
                                <w:t>I</w:t>
                              </w:r>
                              <w:r w:rsidRPr="008C57DB">
                                <w:rPr>
                                  <w:szCs w:val="20"/>
                                </w:rPr>
                                <w:t xml:space="preserve">mproved enabling environments which encourage, attract and support quality </w:t>
                              </w:r>
                              <w:r>
                                <w:rPr>
                                  <w:szCs w:val="20"/>
                                </w:rPr>
                                <w:t xml:space="preserve">extractive-related </w:t>
                              </w:r>
                              <w:r w:rsidRPr="008C57DB">
                                <w:rPr>
                                  <w:szCs w:val="20"/>
                                </w:rPr>
                                <w:t>investments by the public, pr</w:t>
                              </w:r>
                              <w:r>
                                <w:rPr>
                                  <w:szCs w:val="20"/>
                                </w:rPr>
                                <w:t>ivate and civil society sectors</w:t>
                              </w:r>
                              <w:r w:rsidRPr="00A95F52" w:rsidDel="00DE1F25">
                                <w:rPr>
                                  <w:rFonts w:cs="Arial"/>
                                  <w:sz w:val="18"/>
                                  <w:szCs w:val="18"/>
                                </w:rPr>
                                <w:t xml:space="preserve"> </w:t>
                              </w:r>
                            </w:p>
                          </w:txbxContent>
                        </wps:txbx>
                        <wps:bodyPr rot="0" vert="horz" wrap="square" lIns="46800" tIns="45720" rIns="46800" bIns="45720" anchor="t" anchorCtr="0" upright="1">
                          <a:noAutofit/>
                        </wps:bodyPr>
                      </wps:wsp>
                      <wps:wsp>
                        <wps:cNvPr id="231" name="Text Box 29"/>
                        <wps:cNvSpPr txBox="1">
                          <a:spLocks noChangeArrowheads="1"/>
                        </wps:cNvSpPr>
                        <wps:spPr bwMode="auto">
                          <a:xfrm>
                            <a:off x="5900805" y="785495"/>
                            <a:ext cx="2687260" cy="312545"/>
                          </a:xfrm>
                          <a:prstGeom prst="rect">
                            <a:avLst/>
                          </a:prstGeom>
                          <a:solidFill>
                            <a:srgbClr val="FFFFFF"/>
                          </a:solidFill>
                          <a:ln w="9525">
                            <a:solidFill>
                              <a:srgbClr val="808080"/>
                            </a:solidFill>
                            <a:miter lim="800000"/>
                            <a:headEnd/>
                            <a:tailEnd/>
                          </a:ln>
                        </wps:spPr>
                        <wps:txbx>
                          <w:txbxContent>
                            <w:p w14:paraId="11EFFB51" w14:textId="74B377FD" w:rsidR="0052414B" w:rsidRPr="00251623" w:rsidRDefault="0052414B" w:rsidP="00823481">
                              <w:pPr>
                                <w:pStyle w:val="TableTEXT"/>
                                <w:jc w:val="center"/>
                                <w:rPr>
                                  <w:szCs w:val="16"/>
                                </w:rPr>
                              </w:pPr>
                              <w:r w:rsidRPr="00251623">
                                <w:rPr>
                                  <w:rFonts w:eastAsiaTheme="minorHAnsi"/>
                                  <w:szCs w:val="16"/>
                                </w:rPr>
                                <w:t>Targeted countries in Africa view Australia as a valued partner</w:t>
                              </w:r>
                            </w:p>
                          </w:txbxContent>
                        </wps:txbx>
                        <wps:bodyPr rot="0" vert="horz" wrap="square" lIns="46800" tIns="45720" rIns="46800" bIns="45720" anchor="t" anchorCtr="0" upright="1">
                          <a:noAutofit/>
                        </wps:bodyPr>
                      </wps:wsp>
                      <wps:wsp>
                        <wps:cNvPr id="232" name="Text Box 32"/>
                        <wps:cNvSpPr txBox="1">
                          <a:spLocks noChangeArrowheads="1"/>
                        </wps:cNvSpPr>
                        <wps:spPr bwMode="auto">
                          <a:xfrm>
                            <a:off x="0" y="95885"/>
                            <a:ext cx="75438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14:paraId="28866E2C" w14:textId="77777777" w:rsidR="0052414B" w:rsidRPr="002040F8" w:rsidRDefault="0052414B" w:rsidP="00823481">
                              <w:pPr>
                                <w:pStyle w:val="TableTEXT"/>
                                <w:rPr>
                                  <w:b/>
                                  <w:bCs/>
                                </w:rPr>
                              </w:pPr>
                              <w:r>
                                <w:rPr>
                                  <w:b/>
                                  <w:bCs/>
                                </w:rPr>
                                <w:t>Program Outcomes</w:t>
                              </w:r>
                            </w:p>
                          </w:txbxContent>
                        </wps:txbx>
                        <wps:bodyPr rot="0" vert="horz" wrap="square" lIns="0" tIns="0" rIns="0" bIns="0" anchor="t" anchorCtr="0" upright="1">
                          <a:noAutofit/>
                        </wps:bodyPr>
                      </wps:wsp>
                      <wps:wsp>
                        <wps:cNvPr id="234" name="Text Box 33"/>
                        <wps:cNvSpPr txBox="1">
                          <a:spLocks noChangeArrowheads="1"/>
                        </wps:cNvSpPr>
                        <wps:spPr bwMode="auto">
                          <a:xfrm>
                            <a:off x="0" y="1130300"/>
                            <a:ext cx="75438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14:paraId="728EEBD2" w14:textId="77777777" w:rsidR="0052414B" w:rsidRPr="002040F8" w:rsidRDefault="0052414B" w:rsidP="00823481">
                              <w:pPr>
                                <w:pStyle w:val="TableTEXT"/>
                                <w:rPr>
                                  <w:b/>
                                  <w:bCs/>
                                </w:rPr>
                              </w:pPr>
                              <w:r>
                                <w:rPr>
                                  <w:b/>
                                  <w:bCs/>
                                </w:rPr>
                                <w:t>Component Outputs</w:t>
                              </w:r>
                            </w:p>
                          </w:txbxContent>
                        </wps:txbx>
                        <wps:bodyPr rot="0" vert="horz" wrap="square" lIns="0" tIns="0" rIns="0" bIns="0" anchor="t" anchorCtr="0" upright="1">
                          <a:noAutofit/>
                        </wps:bodyPr>
                      </wps:wsp>
                      <wps:wsp>
                        <wps:cNvPr id="235" name="AutoShape 47"/>
                        <wps:cNvCnPr>
                          <a:cxnSpLocks noChangeShapeType="1"/>
                        </wps:cNvCnPr>
                        <wps:spPr bwMode="auto">
                          <a:xfrm flipV="1">
                            <a:off x="92075" y="689612"/>
                            <a:ext cx="8264525" cy="88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49"/>
                        <wps:cNvCnPr>
                          <a:cxnSpLocks noChangeShapeType="1"/>
                        </wps:cNvCnPr>
                        <wps:spPr bwMode="auto">
                          <a:xfrm flipV="1">
                            <a:off x="109855" y="1934845"/>
                            <a:ext cx="8265160" cy="88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Text Box 21"/>
                        <wps:cNvSpPr txBox="1">
                          <a:spLocks noChangeArrowheads="1"/>
                        </wps:cNvSpPr>
                        <wps:spPr bwMode="auto">
                          <a:xfrm>
                            <a:off x="755650" y="2164715"/>
                            <a:ext cx="2581910" cy="432577"/>
                          </a:xfrm>
                          <a:prstGeom prst="rect">
                            <a:avLst/>
                          </a:prstGeom>
                          <a:solidFill>
                            <a:srgbClr val="FFFFFF"/>
                          </a:solidFill>
                          <a:ln w="9525">
                            <a:solidFill>
                              <a:srgbClr val="808080"/>
                            </a:solidFill>
                            <a:miter lim="800000"/>
                            <a:headEnd/>
                            <a:tailEnd/>
                          </a:ln>
                        </wps:spPr>
                        <wps:txbx>
                          <w:txbxContent>
                            <w:p w14:paraId="5A9C9ED5" w14:textId="5EB2C1CA" w:rsidR="0052414B" w:rsidRPr="00904BA0" w:rsidRDefault="0052414B" w:rsidP="00823481">
                              <w:pPr>
                                <w:pStyle w:val="TableTEXT"/>
                                <w:jc w:val="center"/>
                                <w:rPr>
                                  <w:szCs w:val="18"/>
                                </w:rPr>
                              </w:pPr>
                              <w:r w:rsidRPr="0079356A">
                                <w:rPr>
                                  <w:i/>
                                </w:rPr>
                                <w:t>Skills development systems that respond to industry and government skilling needs</w:t>
                              </w:r>
                            </w:p>
                          </w:txbxContent>
                        </wps:txbx>
                        <wps:bodyPr rot="0" vert="horz" wrap="square" lIns="46800" tIns="45720" rIns="46800" bIns="45720" anchor="t" anchorCtr="0" upright="1">
                          <a:noAutofit/>
                        </wps:bodyPr>
                      </wps:wsp>
                      <wps:wsp>
                        <wps:cNvPr id="238" name="Text Box 481"/>
                        <wps:cNvSpPr txBox="1">
                          <a:spLocks noChangeArrowheads="1"/>
                        </wps:cNvSpPr>
                        <wps:spPr bwMode="auto">
                          <a:xfrm>
                            <a:off x="3108325" y="833097"/>
                            <a:ext cx="2714625" cy="331470"/>
                          </a:xfrm>
                          <a:prstGeom prst="rect">
                            <a:avLst/>
                          </a:prstGeom>
                          <a:solidFill>
                            <a:srgbClr val="FFFFFF"/>
                          </a:solidFill>
                          <a:ln w="6350">
                            <a:solidFill>
                              <a:srgbClr val="000000"/>
                            </a:solidFill>
                            <a:miter lim="800000"/>
                            <a:headEnd/>
                            <a:tailEnd/>
                          </a:ln>
                        </wps:spPr>
                        <wps:txbx>
                          <w:txbxContent>
                            <w:p w14:paraId="49A1B915" w14:textId="5DC32E1B" w:rsidR="0052414B" w:rsidRPr="00251623" w:rsidRDefault="0052414B" w:rsidP="00823481">
                              <w:pPr>
                                <w:pStyle w:val="TableTEXT"/>
                                <w:jc w:val="center"/>
                                <w:rPr>
                                  <w:szCs w:val="16"/>
                                </w:rPr>
                              </w:pPr>
                              <w:r w:rsidRPr="00251623">
                                <w:rPr>
                                  <w:rFonts w:eastAsiaTheme="minorHAnsi"/>
                                  <w:szCs w:val="16"/>
                                </w:rPr>
                                <w:t>Alumni are using their skills, knowledge and networks to contribute to sustainable development</w:t>
                              </w:r>
                            </w:p>
                          </w:txbxContent>
                        </wps:txbx>
                        <wps:bodyPr rot="0" vert="horz" wrap="square" lIns="91440" tIns="45720" rIns="91440" bIns="45720" anchor="t" anchorCtr="0" upright="1">
                          <a:spAutoFit/>
                        </wps:bodyPr>
                      </wps:wsp>
                      <wps:wsp>
                        <wps:cNvPr id="239" name="Text Box 482"/>
                        <wps:cNvSpPr txBox="1">
                          <a:spLocks noChangeArrowheads="1"/>
                        </wps:cNvSpPr>
                        <wps:spPr bwMode="auto">
                          <a:xfrm>
                            <a:off x="3367155" y="1245235"/>
                            <a:ext cx="2185670" cy="524510"/>
                          </a:xfrm>
                          <a:prstGeom prst="rect">
                            <a:avLst/>
                          </a:prstGeom>
                          <a:solidFill>
                            <a:srgbClr val="FFFFFF"/>
                          </a:solidFill>
                          <a:ln w="6350">
                            <a:solidFill>
                              <a:srgbClr val="000000"/>
                            </a:solidFill>
                            <a:miter lim="800000"/>
                            <a:headEnd/>
                            <a:tailEnd/>
                          </a:ln>
                        </wps:spPr>
                        <wps:txbx>
                          <w:txbxContent>
                            <w:p w14:paraId="0B1B7F7F" w14:textId="6CA017EE" w:rsidR="0052414B" w:rsidRPr="00A52B5F" w:rsidRDefault="0052414B" w:rsidP="00823481">
                              <w:pPr>
                                <w:jc w:val="center"/>
                                <w:rPr>
                                  <w:sz w:val="16"/>
                                  <w:szCs w:val="16"/>
                                </w:rPr>
                              </w:pPr>
                              <w:r>
                                <w:rPr>
                                  <w:sz w:val="16"/>
                                  <w:szCs w:val="16"/>
                                </w:rPr>
                                <w:t>Men, women, communities and local governments benefit equitably from extractives</w:t>
                              </w:r>
                            </w:p>
                          </w:txbxContent>
                        </wps:txbx>
                        <wps:bodyPr rot="0" vert="horz" wrap="square" lIns="91440" tIns="45720" rIns="91440" bIns="45720" anchor="t" anchorCtr="0" upright="1">
                          <a:spAutoFit/>
                        </wps:bodyPr>
                      </wps:wsp>
                      <wps:wsp>
                        <wps:cNvPr id="240" name="Text Box 27"/>
                        <wps:cNvSpPr txBox="1">
                          <a:spLocks noChangeArrowheads="1"/>
                        </wps:cNvSpPr>
                        <wps:spPr bwMode="auto">
                          <a:xfrm>
                            <a:off x="4959735" y="95885"/>
                            <a:ext cx="1447800" cy="443285"/>
                          </a:xfrm>
                          <a:prstGeom prst="rect">
                            <a:avLst/>
                          </a:prstGeom>
                          <a:solidFill>
                            <a:srgbClr val="FFFFFF"/>
                          </a:solidFill>
                          <a:ln w="9525">
                            <a:solidFill>
                              <a:srgbClr val="808080"/>
                            </a:solidFill>
                            <a:miter lim="800000"/>
                            <a:headEnd/>
                            <a:tailEnd/>
                          </a:ln>
                        </wps:spPr>
                        <wps:txbx>
                          <w:txbxContent>
                            <w:p w14:paraId="70A78BA3" w14:textId="77777777" w:rsidR="0052414B" w:rsidRPr="00A52B5F" w:rsidRDefault="0052414B" w:rsidP="00823481">
                              <w:pPr>
                                <w:pStyle w:val="NormalWeb"/>
                                <w:spacing w:before="0" w:beforeAutospacing="0" w:after="0" w:line="288" w:lineRule="auto"/>
                                <w:jc w:val="center"/>
                                <w:rPr>
                                  <w:rFonts w:ascii="Arial" w:hAnsi="Arial" w:cs="Arial"/>
                                  <w:sz w:val="16"/>
                                  <w:szCs w:val="16"/>
                                </w:rPr>
                              </w:pPr>
                              <w:r w:rsidRPr="00A52B5F">
                                <w:rPr>
                                  <w:rFonts w:ascii="Arial" w:hAnsi="Arial"/>
                                  <w:sz w:val="16"/>
                                  <w:szCs w:val="16"/>
                                </w:rPr>
                                <w:t>Enhanced relationships between Australia and Africa</w:t>
                              </w:r>
                            </w:p>
                          </w:txbxContent>
                        </wps:txbx>
                        <wps:bodyPr rot="0" vert="horz" wrap="square" lIns="46800" tIns="45720" rIns="46800" bIns="45720" anchor="t" anchorCtr="0" upright="1">
                          <a:noAutofit/>
                        </wps:bodyPr>
                      </wps:wsp>
                      <wps:wsp>
                        <wps:cNvPr id="241" name="Line 218"/>
                        <wps:cNvCnPr>
                          <a:cxnSpLocks noChangeShapeType="1"/>
                        </wps:cNvCnPr>
                        <wps:spPr bwMode="auto">
                          <a:xfrm flipV="1">
                            <a:off x="4457700" y="440690"/>
                            <a:ext cx="0" cy="396000"/>
                          </a:xfrm>
                          <a:prstGeom prst="line">
                            <a:avLst/>
                          </a:prstGeom>
                          <a:noFill/>
                          <a:ln w="38100" algn="ctr">
                            <a:solidFill>
                              <a:srgbClr val="000000"/>
                            </a:solidFill>
                            <a:round/>
                            <a:headEnd/>
                            <a:tailEnd type="triangle"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242" name="Line 218"/>
                        <wps:cNvCnPr>
                          <a:cxnSpLocks noChangeShapeType="1"/>
                        </wps:cNvCnPr>
                        <wps:spPr bwMode="auto">
                          <a:xfrm flipV="1">
                            <a:off x="4483735" y="1819910"/>
                            <a:ext cx="0" cy="396000"/>
                          </a:xfrm>
                          <a:prstGeom prst="line">
                            <a:avLst/>
                          </a:prstGeom>
                          <a:noFill/>
                          <a:ln w="38100" algn="ctr">
                            <a:solidFill>
                              <a:srgbClr val="000000"/>
                            </a:solidFill>
                            <a:round/>
                            <a:headEnd/>
                            <a:tailEnd type="triangle"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244" name="Text Box 33"/>
                        <wps:cNvSpPr txBox="1">
                          <a:spLocks noChangeArrowheads="1"/>
                        </wps:cNvSpPr>
                        <wps:spPr bwMode="auto">
                          <a:xfrm>
                            <a:off x="45720" y="3084195"/>
                            <a:ext cx="7086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14:paraId="376D9F9A" w14:textId="77777777" w:rsidR="0052414B" w:rsidRPr="002040F8" w:rsidRDefault="0052414B" w:rsidP="00823481">
                              <w:pPr>
                                <w:pStyle w:val="TableTEXT"/>
                                <w:rPr>
                                  <w:b/>
                                  <w:bCs/>
                                </w:rPr>
                              </w:pPr>
                              <w:r>
                                <w:rPr>
                                  <w:b/>
                                  <w:bCs/>
                                </w:rPr>
                                <w:t>Component Activities</w:t>
                              </w:r>
                            </w:p>
                          </w:txbxContent>
                        </wps:txbx>
                        <wps:bodyPr rot="0" vert="horz" wrap="square" lIns="0" tIns="0" rIns="0" bIns="0" anchor="t" anchorCtr="0" upright="1">
                          <a:noAutofit/>
                        </wps:bodyPr>
                      </wps:wsp>
                      <wps:wsp>
                        <wps:cNvPr id="245" name="Rectangle 256"/>
                        <wps:cNvSpPr>
                          <a:spLocks noChangeArrowheads="1"/>
                        </wps:cNvSpPr>
                        <wps:spPr bwMode="auto">
                          <a:xfrm>
                            <a:off x="761115" y="2624455"/>
                            <a:ext cx="2581909" cy="574673"/>
                          </a:xfrm>
                          <a:prstGeom prst="rect">
                            <a:avLst/>
                          </a:prstGeom>
                          <a:solidFill>
                            <a:srgbClr val="FFFFFF"/>
                          </a:solidFill>
                          <a:ln w="9525">
                            <a:solidFill>
                              <a:srgbClr val="000000"/>
                            </a:solidFill>
                            <a:miter lim="800000"/>
                            <a:headEnd/>
                            <a:tailEnd/>
                          </a:ln>
                        </wps:spPr>
                        <wps:txbx>
                          <w:txbxContent>
                            <w:p w14:paraId="6D9CB33F" w14:textId="77777777" w:rsidR="0052414B" w:rsidRPr="00C5467E" w:rsidRDefault="0052414B" w:rsidP="00C5467E">
                              <w:pPr>
                                <w:spacing w:before="60" w:after="60"/>
                                <w:rPr>
                                  <w:i/>
                                  <w:sz w:val="16"/>
                                  <w:szCs w:val="16"/>
                                </w:rPr>
                              </w:pPr>
                              <w:r w:rsidRPr="00C5467E">
                                <w:rPr>
                                  <w:i/>
                                  <w:sz w:val="16"/>
                                  <w:szCs w:val="16"/>
                                </w:rPr>
                                <w:t>Stronger African skills development, education and training institutions producing high-calibre graduates able to support their national extractives sector</w:t>
                              </w:r>
                            </w:p>
                            <w:p w14:paraId="5CE42E58" w14:textId="3600235D" w:rsidR="0052414B" w:rsidRPr="00C5467E" w:rsidRDefault="0052414B" w:rsidP="00823481">
                              <w:pPr>
                                <w:pStyle w:val="TableTEXT"/>
                                <w:jc w:val="center"/>
                                <w:rPr>
                                  <w:szCs w:val="16"/>
                                </w:rPr>
                              </w:pPr>
                            </w:p>
                          </w:txbxContent>
                        </wps:txbx>
                        <wps:bodyPr rot="0" vert="horz" wrap="square" lIns="91440" tIns="45720" rIns="91440" bIns="45720" anchor="t" anchorCtr="0" upright="1">
                          <a:noAutofit/>
                        </wps:bodyPr>
                      </wps:wsp>
                      <wps:wsp>
                        <wps:cNvPr id="246" name="Rectangle 257"/>
                        <wps:cNvSpPr>
                          <a:spLocks noChangeArrowheads="1"/>
                        </wps:cNvSpPr>
                        <wps:spPr bwMode="auto">
                          <a:xfrm>
                            <a:off x="755650" y="3199130"/>
                            <a:ext cx="2581909" cy="481322"/>
                          </a:xfrm>
                          <a:prstGeom prst="rect">
                            <a:avLst/>
                          </a:prstGeom>
                          <a:solidFill>
                            <a:srgbClr val="FFFFFF"/>
                          </a:solidFill>
                          <a:ln w="9525">
                            <a:solidFill>
                              <a:srgbClr val="000000"/>
                            </a:solidFill>
                            <a:miter lim="800000"/>
                            <a:headEnd/>
                            <a:tailEnd/>
                          </a:ln>
                        </wps:spPr>
                        <wps:txbx>
                          <w:txbxContent>
                            <w:p w14:paraId="078E1FF4" w14:textId="6B40016E" w:rsidR="0052414B" w:rsidRPr="00904BA0" w:rsidRDefault="0052414B" w:rsidP="00823481">
                              <w:pPr>
                                <w:pStyle w:val="TableTEXT"/>
                                <w:jc w:val="center"/>
                                <w:rPr>
                                  <w:sz w:val="18"/>
                                </w:rPr>
                              </w:pPr>
                              <w:r w:rsidRPr="004812C0">
                                <w:rPr>
                                  <w:i/>
                                </w:rPr>
                                <w:t>Improved local government planning for and coordination and management of extractives investments and extractives-related development</w:t>
                              </w:r>
                            </w:p>
                          </w:txbxContent>
                        </wps:txbx>
                        <wps:bodyPr rot="0" vert="horz" wrap="square" lIns="91440" tIns="45720" rIns="91440" bIns="45720" anchor="t" anchorCtr="0" upright="1">
                          <a:noAutofit/>
                        </wps:bodyPr>
                      </wps:wsp>
                      <wps:wsp>
                        <wps:cNvPr id="247" name="Rectangle 258"/>
                        <wps:cNvSpPr>
                          <a:spLocks noChangeArrowheads="1"/>
                        </wps:cNvSpPr>
                        <wps:spPr bwMode="auto">
                          <a:xfrm>
                            <a:off x="6383021" y="2164715"/>
                            <a:ext cx="1973579" cy="217804"/>
                          </a:xfrm>
                          <a:prstGeom prst="rect">
                            <a:avLst/>
                          </a:prstGeom>
                          <a:solidFill>
                            <a:srgbClr val="FFFFFF"/>
                          </a:solidFill>
                          <a:ln w="9525">
                            <a:solidFill>
                              <a:srgbClr val="000000"/>
                            </a:solidFill>
                            <a:miter lim="800000"/>
                            <a:headEnd/>
                            <a:tailEnd/>
                          </a:ln>
                        </wps:spPr>
                        <wps:txbx>
                          <w:txbxContent>
                            <w:p w14:paraId="48BEF91D" w14:textId="77777777" w:rsidR="0052414B" w:rsidRPr="00904BA0" w:rsidRDefault="0052414B" w:rsidP="00823481">
                              <w:pPr>
                                <w:pStyle w:val="TableTEXT"/>
                                <w:jc w:val="center"/>
                                <w:rPr>
                                  <w:szCs w:val="18"/>
                                </w:rPr>
                              </w:pPr>
                              <w:r w:rsidRPr="00904BA0">
                                <w:rPr>
                                  <w:szCs w:val="18"/>
                                </w:rPr>
                                <w:t>Awarding Masters Scholarships</w:t>
                              </w:r>
                            </w:p>
                          </w:txbxContent>
                        </wps:txbx>
                        <wps:bodyPr rot="0" vert="horz" wrap="square" lIns="91440" tIns="45720" rIns="91440" bIns="45720" anchor="t" anchorCtr="0" upright="1">
                          <a:spAutoFit/>
                        </wps:bodyPr>
                      </wps:wsp>
                      <wps:wsp>
                        <wps:cNvPr id="248" name="Rectangle 259"/>
                        <wps:cNvSpPr>
                          <a:spLocks noChangeArrowheads="1"/>
                        </wps:cNvSpPr>
                        <wps:spPr bwMode="auto">
                          <a:xfrm>
                            <a:off x="6009390" y="4316028"/>
                            <a:ext cx="1375410" cy="344893"/>
                          </a:xfrm>
                          <a:prstGeom prst="rect">
                            <a:avLst/>
                          </a:prstGeom>
                          <a:solidFill>
                            <a:srgbClr val="FFFFFF"/>
                          </a:solidFill>
                          <a:ln w="9525">
                            <a:solidFill>
                              <a:srgbClr val="000000"/>
                            </a:solidFill>
                            <a:miter lim="800000"/>
                            <a:headEnd/>
                            <a:tailEnd/>
                          </a:ln>
                        </wps:spPr>
                        <wps:txbx>
                          <w:txbxContent>
                            <w:p w14:paraId="604222E8" w14:textId="77777777" w:rsidR="0052414B" w:rsidRPr="00904BA0" w:rsidRDefault="0052414B" w:rsidP="00823481">
                              <w:pPr>
                                <w:pStyle w:val="TableTEXT"/>
                                <w:jc w:val="center"/>
                                <w:rPr>
                                  <w:szCs w:val="18"/>
                                </w:rPr>
                              </w:pPr>
                              <w:r w:rsidRPr="00904BA0">
                                <w:rPr>
                                  <w:szCs w:val="18"/>
                                </w:rPr>
                                <w:t>Continuing professional development of alumni</w:t>
                              </w:r>
                            </w:p>
                          </w:txbxContent>
                        </wps:txbx>
                        <wps:bodyPr rot="0" vert="horz" wrap="square" lIns="91440" tIns="45720" rIns="91440" bIns="45720" anchor="t" anchorCtr="0" upright="1">
                          <a:noAutofit/>
                        </wps:bodyPr>
                      </wps:wsp>
                      <wps:wsp>
                        <wps:cNvPr id="249" name="Rectangle 260"/>
                        <wps:cNvSpPr>
                          <a:spLocks noChangeArrowheads="1"/>
                        </wps:cNvSpPr>
                        <wps:spPr bwMode="auto">
                          <a:xfrm>
                            <a:off x="7524115" y="4316143"/>
                            <a:ext cx="1303019" cy="334644"/>
                          </a:xfrm>
                          <a:prstGeom prst="rect">
                            <a:avLst/>
                          </a:prstGeom>
                          <a:solidFill>
                            <a:srgbClr val="FFFFFF"/>
                          </a:solidFill>
                          <a:ln w="9525">
                            <a:solidFill>
                              <a:srgbClr val="000000"/>
                            </a:solidFill>
                            <a:miter lim="800000"/>
                            <a:headEnd/>
                            <a:tailEnd/>
                          </a:ln>
                        </wps:spPr>
                        <wps:txbx>
                          <w:txbxContent>
                            <w:p w14:paraId="56565B34" w14:textId="77777777" w:rsidR="0052414B" w:rsidRDefault="0052414B" w:rsidP="00823481">
                              <w:pPr>
                                <w:pStyle w:val="TableTEXT"/>
                                <w:jc w:val="center"/>
                                <w:rPr>
                                  <w:szCs w:val="16"/>
                                </w:rPr>
                              </w:pPr>
                              <w:r>
                                <w:rPr>
                                  <w:szCs w:val="18"/>
                                </w:rPr>
                                <w:t xml:space="preserve">Supporting </w:t>
                              </w:r>
                              <w:r w:rsidRPr="00F31CDB">
                                <w:rPr>
                                  <w:szCs w:val="18"/>
                                </w:rPr>
                                <w:t>alumni network</w:t>
                              </w:r>
                              <w:r>
                                <w:rPr>
                                  <w:szCs w:val="18"/>
                                </w:rPr>
                                <w:t>s</w:t>
                              </w:r>
                            </w:p>
                          </w:txbxContent>
                        </wps:txbx>
                        <wps:bodyPr rot="0" vert="horz" wrap="square" lIns="91440" tIns="45720" rIns="91440" bIns="45720" anchor="t" anchorCtr="0" upright="1">
                          <a:spAutoFit/>
                        </wps:bodyPr>
                      </wps:wsp>
                      <wps:wsp>
                        <wps:cNvPr id="251" name="Rectangle 262"/>
                        <wps:cNvSpPr>
                          <a:spLocks noChangeArrowheads="1"/>
                        </wps:cNvSpPr>
                        <wps:spPr bwMode="auto">
                          <a:xfrm>
                            <a:off x="6071870" y="2509520"/>
                            <a:ext cx="1334134" cy="334644"/>
                          </a:xfrm>
                          <a:prstGeom prst="rect">
                            <a:avLst/>
                          </a:prstGeom>
                          <a:solidFill>
                            <a:srgbClr val="FFFFFF"/>
                          </a:solidFill>
                          <a:ln w="9525">
                            <a:solidFill>
                              <a:srgbClr val="000000"/>
                            </a:solidFill>
                            <a:miter lim="800000"/>
                            <a:headEnd/>
                            <a:tailEnd/>
                          </a:ln>
                        </wps:spPr>
                        <wps:txbx>
                          <w:txbxContent>
                            <w:p w14:paraId="447FF85B" w14:textId="77777777" w:rsidR="0052414B" w:rsidRPr="006B6908" w:rsidRDefault="0052414B" w:rsidP="00823481">
                              <w:pPr>
                                <w:pStyle w:val="TableTEXT"/>
                                <w:jc w:val="center"/>
                                <w:rPr>
                                  <w:szCs w:val="18"/>
                                </w:rPr>
                              </w:pPr>
                              <w:r w:rsidRPr="006B6908">
                                <w:rPr>
                                  <w:szCs w:val="18"/>
                                </w:rPr>
                                <w:t xml:space="preserve">Awarding Africa </w:t>
                              </w:r>
                            </w:p>
                            <w:p w14:paraId="7C6790EC" w14:textId="77777777" w:rsidR="0052414B" w:rsidRPr="006B6908" w:rsidRDefault="0052414B" w:rsidP="00823481">
                              <w:pPr>
                                <w:pStyle w:val="TableTEXT"/>
                                <w:jc w:val="center"/>
                                <w:rPr>
                                  <w:szCs w:val="18"/>
                                </w:rPr>
                              </w:pPr>
                              <w:r w:rsidRPr="006B6908">
                                <w:rPr>
                                  <w:szCs w:val="18"/>
                                </w:rPr>
                                <w:t>Fellowships</w:t>
                              </w:r>
                            </w:p>
                          </w:txbxContent>
                        </wps:txbx>
                        <wps:bodyPr rot="0" vert="horz" wrap="square" lIns="91440" tIns="45720" rIns="91440" bIns="45720" anchor="t" anchorCtr="0" upright="1">
                          <a:spAutoFit/>
                        </wps:bodyPr>
                      </wps:wsp>
                      <wps:wsp>
                        <wps:cNvPr id="252" name="Rectangle 263"/>
                        <wps:cNvSpPr>
                          <a:spLocks noChangeArrowheads="1"/>
                        </wps:cNvSpPr>
                        <wps:spPr bwMode="auto">
                          <a:xfrm>
                            <a:off x="7599046" y="2509520"/>
                            <a:ext cx="1292224" cy="334644"/>
                          </a:xfrm>
                          <a:prstGeom prst="rect">
                            <a:avLst/>
                          </a:prstGeom>
                          <a:solidFill>
                            <a:srgbClr val="FFFFFF"/>
                          </a:solidFill>
                          <a:ln w="9525">
                            <a:solidFill>
                              <a:srgbClr val="000000"/>
                            </a:solidFill>
                            <a:miter lim="800000"/>
                            <a:headEnd/>
                            <a:tailEnd/>
                          </a:ln>
                        </wps:spPr>
                        <wps:txbx>
                          <w:txbxContent>
                            <w:p w14:paraId="3D1C5754" w14:textId="77777777" w:rsidR="0052414B" w:rsidRPr="006B6908" w:rsidRDefault="0052414B" w:rsidP="00823481">
                              <w:pPr>
                                <w:pStyle w:val="TableTEXT"/>
                                <w:jc w:val="center"/>
                                <w:rPr>
                                  <w:szCs w:val="18"/>
                                </w:rPr>
                              </w:pPr>
                              <w:r w:rsidRPr="006B6908">
                                <w:rPr>
                                  <w:szCs w:val="18"/>
                                </w:rPr>
                                <w:t>Awarding AA Fellowships</w:t>
                              </w:r>
                            </w:p>
                          </w:txbxContent>
                        </wps:txbx>
                        <wps:bodyPr rot="0" vert="horz" wrap="square" lIns="91440" tIns="45720" rIns="91440" bIns="45720" anchor="t" anchorCtr="0" upright="1">
                          <a:spAutoFit/>
                        </wps:bodyPr>
                      </wps:wsp>
                      <wps:wsp>
                        <wps:cNvPr id="253" name="Rectangle 264"/>
                        <wps:cNvSpPr>
                          <a:spLocks noChangeArrowheads="1"/>
                        </wps:cNvSpPr>
                        <wps:spPr bwMode="auto">
                          <a:xfrm>
                            <a:off x="6071870" y="2969260"/>
                            <a:ext cx="2819400" cy="374009"/>
                          </a:xfrm>
                          <a:prstGeom prst="rect">
                            <a:avLst/>
                          </a:prstGeom>
                          <a:solidFill>
                            <a:srgbClr val="FFFFFF"/>
                          </a:solidFill>
                          <a:ln w="9525">
                            <a:solidFill>
                              <a:srgbClr val="000000"/>
                            </a:solidFill>
                            <a:miter lim="800000"/>
                            <a:headEnd/>
                            <a:tailEnd/>
                          </a:ln>
                        </wps:spPr>
                        <wps:txbx>
                          <w:txbxContent>
                            <w:p w14:paraId="0C873BCF" w14:textId="77777777" w:rsidR="0052414B" w:rsidRDefault="0052414B" w:rsidP="00823481">
                              <w:pPr>
                                <w:pStyle w:val="TableTEXT"/>
                                <w:jc w:val="center"/>
                              </w:pPr>
                              <w:r>
                                <w:rPr>
                                  <w:szCs w:val="18"/>
                                </w:rPr>
                                <w:t>Providing</w:t>
                              </w:r>
                              <w:r w:rsidRPr="00F31CDB">
                                <w:rPr>
                                  <w:szCs w:val="18"/>
                                </w:rPr>
                                <w:t xml:space="preserve"> training that will include a strong focus on both gender and disability inclusivity</w:t>
                              </w:r>
                            </w:p>
                          </w:txbxContent>
                        </wps:txbx>
                        <wps:bodyPr rot="0" vert="horz" wrap="square" lIns="91440" tIns="45720" rIns="91440" bIns="45720" anchor="t" anchorCtr="0" upright="1">
                          <a:noAutofit/>
                        </wps:bodyPr>
                      </wps:wsp>
                      <wps:wsp>
                        <wps:cNvPr id="254" name="Rectangle 265"/>
                        <wps:cNvSpPr>
                          <a:spLocks noChangeArrowheads="1"/>
                        </wps:cNvSpPr>
                        <wps:spPr bwMode="auto">
                          <a:xfrm>
                            <a:off x="6071870" y="3429000"/>
                            <a:ext cx="1333500" cy="338373"/>
                          </a:xfrm>
                          <a:prstGeom prst="rect">
                            <a:avLst/>
                          </a:prstGeom>
                          <a:solidFill>
                            <a:srgbClr val="FFFFFF"/>
                          </a:solidFill>
                          <a:ln w="9525">
                            <a:solidFill>
                              <a:srgbClr val="000000"/>
                            </a:solidFill>
                            <a:miter lim="800000"/>
                            <a:headEnd/>
                            <a:tailEnd/>
                          </a:ln>
                        </wps:spPr>
                        <wps:txbx>
                          <w:txbxContent>
                            <w:p w14:paraId="29BE98E2" w14:textId="77777777" w:rsidR="0052414B" w:rsidRDefault="0052414B" w:rsidP="00823481">
                              <w:pPr>
                                <w:pStyle w:val="TableTEXT"/>
                                <w:jc w:val="center"/>
                              </w:pPr>
                              <w:r w:rsidRPr="00F31CDB">
                                <w:rPr>
                                  <w:szCs w:val="18"/>
                                </w:rPr>
                                <w:t>Providing English language training</w:t>
                              </w:r>
                            </w:p>
                          </w:txbxContent>
                        </wps:txbx>
                        <wps:bodyPr rot="0" vert="horz" wrap="square" lIns="91440" tIns="45720" rIns="91440" bIns="45720" anchor="t" anchorCtr="0" upright="1">
                          <a:noAutofit/>
                        </wps:bodyPr>
                      </wps:wsp>
                      <wps:wsp>
                        <wps:cNvPr id="255" name="Rectangle 266"/>
                        <wps:cNvSpPr>
                          <a:spLocks noChangeArrowheads="1"/>
                        </wps:cNvSpPr>
                        <wps:spPr bwMode="auto">
                          <a:xfrm>
                            <a:off x="7599680" y="3429000"/>
                            <a:ext cx="1291590" cy="338373"/>
                          </a:xfrm>
                          <a:prstGeom prst="rect">
                            <a:avLst/>
                          </a:prstGeom>
                          <a:solidFill>
                            <a:srgbClr val="FFFFFF"/>
                          </a:solidFill>
                          <a:ln w="9525">
                            <a:solidFill>
                              <a:srgbClr val="000000"/>
                            </a:solidFill>
                            <a:miter lim="800000"/>
                            <a:headEnd/>
                            <a:tailEnd/>
                          </a:ln>
                        </wps:spPr>
                        <wps:txbx>
                          <w:txbxContent>
                            <w:p w14:paraId="4F47C130" w14:textId="77777777" w:rsidR="0052414B" w:rsidRPr="006B6908" w:rsidRDefault="0052414B" w:rsidP="00823481">
                              <w:pPr>
                                <w:pStyle w:val="TableTEXT"/>
                                <w:jc w:val="center"/>
                                <w:rPr>
                                  <w:szCs w:val="16"/>
                                </w:rPr>
                              </w:pPr>
                              <w:r w:rsidRPr="006B6908">
                                <w:rPr>
                                  <w:szCs w:val="16"/>
                                </w:rPr>
                                <w:t>Operating an access and equity fund</w:t>
                              </w:r>
                            </w:p>
                          </w:txbxContent>
                        </wps:txbx>
                        <wps:bodyPr rot="0" vert="horz" wrap="square" lIns="91440" tIns="45720" rIns="91440" bIns="45720" anchor="t" anchorCtr="0" upright="1">
                          <a:noAutofit/>
                        </wps:bodyPr>
                      </wps:wsp>
                      <wps:wsp>
                        <wps:cNvPr id="62" name="Rectangle 267"/>
                        <wps:cNvSpPr>
                          <a:spLocks noChangeArrowheads="1"/>
                        </wps:cNvSpPr>
                        <wps:spPr bwMode="auto">
                          <a:xfrm>
                            <a:off x="6045585" y="3888715"/>
                            <a:ext cx="2742180" cy="295910"/>
                          </a:xfrm>
                          <a:prstGeom prst="rect">
                            <a:avLst/>
                          </a:prstGeom>
                          <a:solidFill>
                            <a:srgbClr val="FFFFFF"/>
                          </a:solidFill>
                          <a:ln w="9525">
                            <a:solidFill>
                              <a:srgbClr val="000000"/>
                            </a:solidFill>
                            <a:miter lim="800000"/>
                            <a:headEnd/>
                            <a:tailEnd/>
                          </a:ln>
                        </wps:spPr>
                        <wps:txbx>
                          <w:txbxContent>
                            <w:p w14:paraId="2392B4EE" w14:textId="77777777" w:rsidR="0052414B" w:rsidRPr="006B6908" w:rsidRDefault="0052414B" w:rsidP="00823481">
                              <w:pPr>
                                <w:pStyle w:val="TableTEXT"/>
                                <w:jc w:val="center"/>
                                <w:rPr>
                                  <w:szCs w:val="18"/>
                                </w:rPr>
                              </w:pPr>
                              <w:r w:rsidRPr="006B6908">
                                <w:rPr>
                                  <w:szCs w:val="18"/>
                                </w:rPr>
                                <w:t xml:space="preserve">Piloting a range of flexible training delivery options </w:t>
                              </w:r>
                            </w:p>
                          </w:txbxContent>
                        </wps:txbx>
                        <wps:bodyPr rot="0" vert="horz" wrap="square" lIns="91440" tIns="45720" rIns="91440" bIns="45720" anchor="t" anchorCtr="0" upright="1">
                          <a:noAutofit/>
                        </wps:bodyPr>
                      </wps:wsp>
                      <wps:wsp>
                        <wps:cNvPr id="256" name="Rectangle 268"/>
                        <wps:cNvSpPr>
                          <a:spLocks noChangeArrowheads="1"/>
                        </wps:cNvSpPr>
                        <wps:spPr bwMode="auto">
                          <a:xfrm>
                            <a:off x="724920" y="3773805"/>
                            <a:ext cx="2642235" cy="459821"/>
                          </a:xfrm>
                          <a:prstGeom prst="rect">
                            <a:avLst/>
                          </a:prstGeom>
                          <a:solidFill>
                            <a:srgbClr val="FFFFFF"/>
                          </a:solidFill>
                          <a:ln w="9525">
                            <a:solidFill>
                              <a:srgbClr val="000000"/>
                            </a:solidFill>
                            <a:miter lim="800000"/>
                            <a:headEnd/>
                            <a:tailEnd/>
                          </a:ln>
                        </wps:spPr>
                        <wps:txbx>
                          <w:txbxContent>
                            <w:p w14:paraId="37CE2A5F" w14:textId="766FA649" w:rsidR="0052414B" w:rsidRPr="00904BA0" w:rsidRDefault="0052414B" w:rsidP="00823481">
                              <w:pPr>
                                <w:pStyle w:val="TableTEXT"/>
                                <w:jc w:val="center"/>
                                <w:rPr>
                                  <w:sz w:val="18"/>
                                </w:rPr>
                              </w:pPr>
                              <w:r w:rsidRPr="0008771E">
                                <w:rPr>
                                  <w:i/>
                                </w:rPr>
                                <w:t>Improved local community participation in extractives investments and extractives-related development</w:t>
                              </w:r>
                            </w:p>
                          </w:txbxContent>
                        </wps:txbx>
                        <wps:bodyPr rot="0" vert="horz" wrap="square" lIns="91440" tIns="45720" rIns="91440" bIns="45720" anchor="t" anchorCtr="0" upright="1">
                          <a:noAutofit/>
                        </wps:bodyPr>
                      </wps:wsp>
                      <wps:wsp>
                        <wps:cNvPr id="259" name="Text Box 29"/>
                        <wps:cNvSpPr txBox="1">
                          <a:spLocks noChangeArrowheads="1"/>
                        </wps:cNvSpPr>
                        <wps:spPr bwMode="auto">
                          <a:xfrm>
                            <a:off x="5937000" y="1245235"/>
                            <a:ext cx="2686685" cy="229869"/>
                          </a:xfrm>
                          <a:prstGeom prst="rect">
                            <a:avLst/>
                          </a:prstGeom>
                          <a:solidFill>
                            <a:srgbClr val="FFFFFF"/>
                          </a:solidFill>
                          <a:ln w="9525">
                            <a:solidFill>
                              <a:srgbClr val="808080"/>
                            </a:solidFill>
                            <a:miter lim="800000"/>
                            <a:headEnd/>
                            <a:tailEnd/>
                          </a:ln>
                        </wps:spPr>
                        <wps:txbx>
                          <w:txbxContent>
                            <w:p w14:paraId="0532DEBA" w14:textId="31483F67" w:rsidR="0052414B" w:rsidRPr="00251623" w:rsidRDefault="0052414B" w:rsidP="00823481">
                              <w:pPr>
                                <w:pStyle w:val="NormalWeb"/>
                                <w:spacing w:before="0" w:beforeAutospacing="0" w:after="0"/>
                                <w:jc w:val="center"/>
                                <w:rPr>
                                  <w:rFonts w:ascii="Arial" w:hAnsi="Arial" w:cs="Arial"/>
                                  <w:sz w:val="16"/>
                                  <w:szCs w:val="16"/>
                                </w:rPr>
                              </w:pPr>
                              <w:r w:rsidRPr="00251623">
                                <w:rPr>
                                  <w:rFonts w:eastAsiaTheme="minorHAnsi"/>
                                  <w:sz w:val="16"/>
                                  <w:szCs w:val="16"/>
                                </w:rPr>
                                <w:t>Alumni have positive ongoing links with Australia</w:t>
                              </w:r>
                            </w:p>
                          </w:txbxContent>
                        </wps:txbx>
                        <wps:bodyPr rot="0" vert="horz" wrap="square" lIns="46800" tIns="45720" rIns="46800" bIns="45720" anchor="t" anchorCtr="0" upright="1">
                          <a:noAutofit/>
                        </wps:bodyPr>
                      </wps:wsp>
                    </wpc:wpc>
                  </a:graphicData>
                </a:graphic>
              </wp:inline>
            </w:drawing>
          </mc:Choice>
          <mc:Fallback>
            <w:pict>
              <v:group id="Canvas 16" o:spid="_x0000_s1038" editas="canvas" style="width:700.1pt;height:397.4pt;mso-position-horizontal-relative:char;mso-position-vertical-relative:line" coordsize="88912,5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width:88912;height:50469;visibility:visible;mso-wrap-style:square">
                  <v:fill o:detectmouseclick="t"/>
                  <v:path o:connecttype="none"/>
                </v:shape>
                <v:shapetype id="_x0000_t202" coordsize="21600,21600" o:spt="202" path="m,l,21600r21600,l21600,xe">
                  <v:stroke joinstyle="miter"/>
                  <v:path gradientshapeok="t" o:connecttype="rect"/>
                </v:shapetype>
                <v:shape id="Text Box 19" o:spid="_x0000_s1040" type="#_x0000_t202" style="position:absolute;left:8280;width:26418;height:5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Y3UcYA&#10;AADcAAAADwAAAGRycy9kb3ducmV2LnhtbESPQWvCQBSE7wX/w/KE3urGtEpNXUWUEntQqHrx9si+&#10;ZoPZtyG7jam/visUehxm5htmvuxtLTpqfeVYwXiUgCAunK64VHA6vj+9gvABWWPtmBT8kIflYvAw&#10;x0y7K39SdwiliBD2GSowITSZlL4wZNGPXEMcvS/XWgxRtqXULV4j3NYyTZKptFhxXDDY0NpQcTl8&#10;WwX1zJzz08fL7rbv5ea80s95V+RKPQ771RuIQH34D/+1t1pBmk7gfiYe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8Y3UcYAAADcAAAADwAAAAAAAAAAAAAAAACYAgAAZHJz&#10;L2Rvd25yZXYueG1sUEsFBgAAAAAEAAQA9QAAAIsDAAAAAA==&#10;" strokecolor="gray">
                  <v:textbox style="mso-fit-shape-to-text:t" inset="1.3mm,,1.3mm">
                    <w:txbxContent>
                      <w:p w14:paraId="7298077F" w14:textId="11AB3541" w:rsidR="0052414B" w:rsidRPr="00904BA0" w:rsidRDefault="0052414B" w:rsidP="00823481">
                        <w:pPr>
                          <w:pStyle w:val="TableTEXT"/>
                          <w:jc w:val="center"/>
                          <w:rPr>
                            <w:szCs w:val="18"/>
                          </w:rPr>
                        </w:pPr>
                        <w:r w:rsidRPr="001129A5">
                          <w:rPr>
                            <w:i/>
                          </w:rPr>
                          <w:t>African people achieving more equitable access to the benefits of economic growth</w:t>
                        </w:r>
                        <w:r>
                          <w:rPr>
                            <w:szCs w:val="20"/>
                          </w:rPr>
                          <w:t xml:space="preserve"> (including employment and improved livelihoods) in targeted sectors (primarily agriculture, extractives and public policy)</w:t>
                        </w:r>
                      </w:p>
                    </w:txbxContent>
                  </v:textbox>
                </v:shape>
                <v:shape id="Text Box 23" o:spid="_x0000_s1041" type="#_x0000_t202" style="position:absolute;left:8001;top:8045;width:21427;height:3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SpJsYA&#10;AADcAAAADwAAAGRycy9kb3ducmV2LnhtbESPQWvCQBSE7wX/w/KE3nTTtIiNriKKxB4qaL14e2Sf&#10;2dDs25BdY+yv7xaEHoeZ+YaZL3tbi45aXzlW8DJOQBAXTldcKjh9bUdTED4ga6wdk4I7eVguBk9z&#10;zLS78YG6YyhFhLDPUIEJocmk9IUhi37sGuLoXVxrMUTZllK3eItwW8s0SSbSYsVxwWBDa0PF9/Fq&#10;FdTv5pyfPt4+f/a93JxX+jXvilyp52G/moEI1If/8KO90wrSdAJ/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SpJsYAAADcAAAADwAAAAAAAAAAAAAAAACYAgAAZHJz&#10;L2Rvd25yZXYueG1sUEsFBgAAAAAEAAQA9QAAAIsDAAAAAA==&#10;" strokecolor="gray">
                  <v:textbox style="mso-fit-shape-to-text:t" inset="1.3mm,,1.3mm">
                    <w:txbxContent>
                      <w:p w14:paraId="232268A3" w14:textId="6546A237" w:rsidR="0052414B" w:rsidRPr="00904BA0" w:rsidRDefault="0052414B" w:rsidP="00823481">
                        <w:pPr>
                          <w:pStyle w:val="TableTEXT"/>
                          <w:jc w:val="center"/>
                          <w:rPr>
                            <w:szCs w:val="18"/>
                          </w:rPr>
                        </w:pPr>
                        <w:r>
                          <w:t>M</w:t>
                        </w:r>
                        <w:r w:rsidRPr="00DD25AD">
                          <w:t>ore African men and women employed in higher skilled roles in</w:t>
                        </w:r>
                        <w:r>
                          <w:t xml:space="preserve"> the extractive sector</w:t>
                        </w:r>
                      </w:p>
                    </w:txbxContent>
                  </v:textbox>
                </v:shape>
                <v:shape id="Text Box 25" o:spid="_x0000_s1042" type="#_x0000_t202" style="position:absolute;left:8001;top:12452;width:21424;height:6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2328YA&#10;AADcAAAADwAAAGRycy9kb3ducmV2LnhtbESP3WoCMRSE7wu+QziCN1Kz3YLKahQRan/AC60PcNic&#10;bpZuTtYk62779E2h0MthZr5h1tvBNuJGPtSOFTzMMhDEpdM1Vwou70/3SxAhImtsHJOCLwqw3Yzu&#10;1lho1/OJbudYiQThUKACE2NbSBlKQxbDzLXEyftw3mJM0ldSe+wT3DYyz7K5tFhzWjDY0t5Q+Xnu&#10;rIJl17++TWvjv58fD/thHrvp8UpKTcbDbgUi0hD/w3/tF60gzxfweyYd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62328YAAADcAAAADwAAAAAAAAAAAAAAAACYAgAAZHJz&#10;L2Rvd25yZXYueG1sUEsFBgAAAAAEAAQA9QAAAIsDAAAAAA==&#10;" strokecolor="gray">
                  <v:textbox inset="1.3mm,,1.3mm">
                    <w:txbxContent>
                      <w:p w14:paraId="0EFEC22D" w14:textId="77777777" w:rsidR="0052414B" w:rsidRPr="00FD2D1D" w:rsidRDefault="0052414B" w:rsidP="00823481">
                        <w:pPr>
                          <w:pStyle w:val="TableTEXT"/>
                          <w:jc w:val="center"/>
                          <w:rPr>
                            <w:szCs w:val="16"/>
                          </w:rPr>
                        </w:pPr>
                        <w:r>
                          <w:rPr>
                            <w:szCs w:val="20"/>
                          </w:rPr>
                          <w:t>I</w:t>
                        </w:r>
                        <w:r w:rsidRPr="008C57DB">
                          <w:rPr>
                            <w:szCs w:val="20"/>
                          </w:rPr>
                          <w:t xml:space="preserve">mproved enabling environments which encourage, attract and support quality </w:t>
                        </w:r>
                        <w:r>
                          <w:rPr>
                            <w:szCs w:val="20"/>
                          </w:rPr>
                          <w:t xml:space="preserve">extractive-related </w:t>
                        </w:r>
                        <w:r w:rsidRPr="008C57DB">
                          <w:rPr>
                            <w:szCs w:val="20"/>
                          </w:rPr>
                          <w:t>investments by the public, pr</w:t>
                        </w:r>
                        <w:r>
                          <w:rPr>
                            <w:szCs w:val="20"/>
                          </w:rPr>
                          <w:t>ivate and civil society sectors</w:t>
                        </w:r>
                        <w:r w:rsidRPr="00A95F52" w:rsidDel="00DE1F25">
                          <w:rPr>
                            <w:rFonts w:cs="Arial"/>
                            <w:sz w:val="18"/>
                            <w:szCs w:val="18"/>
                          </w:rPr>
                          <w:t xml:space="preserve"> </w:t>
                        </w:r>
                      </w:p>
                    </w:txbxContent>
                  </v:textbox>
                </v:shape>
                <v:shape id="Text Box 29" o:spid="_x0000_s1043" type="#_x0000_t202" style="position:absolute;left:59008;top:7854;width:26872;height:3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Ec6cUA&#10;AADcAAAADwAAAGRycy9kb3ducmV2LnhtbESP0WoCMRRE3wv9h3AFX0SzKoisRhFBrYU+1PYDLpvr&#10;ZnFzs02y7tavbwqFPg4zc4ZZb3tbizv5UDlWMJ1kIIgLpysuFXx+HMZLECEia6wdk4JvCrDdPD+t&#10;Mdeu43e6X2IpEoRDjgpMjE0uZSgMWQwT1xAn7+q8xZikL6X22CW4reUsyxbSYsVpwWBDe0PF7dJa&#10;Bcu2O7+OKuMfp/lx3y9iO3r7IqWGg363AhGpj//hv/aLVjCbT+H3TDo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0RzpxQAAANwAAAAPAAAAAAAAAAAAAAAAAJgCAABkcnMv&#10;ZG93bnJldi54bWxQSwUGAAAAAAQABAD1AAAAigMAAAAA&#10;" strokecolor="gray">
                  <v:textbox inset="1.3mm,,1.3mm">
                    <w:txbxContent>
                      <w:p w14:paraId="11EFFB51" w14:textId="74B377FD" w:rsidR="0052414B" w:rsidRPr="00251623" w:rsidRDefault="0052414B" w:rsidP="00823481">
                        <w:pPr>
                          <w:pStyle w:val="TableTEXT"/>
                          <w:jc w:val="center"/>
                          <w:rPr>
                            <w:szCs w:val="16"/>
                          </w:rPr>
                        </w:pPr>
                        <w:r w:rsidRPr="00251623">
                          <w:rPr>
                            <w:rFonts w:eastAsiaTheme="minorHAnsi"/>
                            <w:szCs w:val="16"/>
                          </w:rPr>
                          <w:t>Targeted countries in Africa view Australia as a valued partner</w:t>
                        </w:r>
                      </w:p>
                    </w:txbxContent>
                  </v:textbox>
                </v:shape>
                <v:shape id="Text Box 32" o:spid="_x0000_s1044" type="#_x0000_t202" style="position:absolute;top:958;width:754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C3sQA&#10;AADcAAAADwAAAGRycy9kb3ducmV2LnhtbESPQUsDMRSE7wX/Q3hCb222W1BZmxZRBKEnd+vB22Pz&#10;mqxuXpYkbrf99Y0geBxm5htms5tcL0YKsfOsYLUsQBC3XndsFBya18UDiJiQNfaeScGZIuy2N7MN&#10;Vtqf+J3GOhmRIRwrVGBTGiopY2vJYVz6gTh7Rx8cpiyDkTrgKcNdL8uiuJMOO84LFgd6ttR+1z9O&#10;wVf3YT7rphnvjzbpaOJlvwovSs1vp6dHEImm9B/+a79pBeW6hN8z+QjI7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pgt7EAAAA3AAAAA8AAAAAAAAAAAAAAAAAmAIAAGRycy9k&#10;b3ducmV2LnhtbFBLBQYAAAAABAAEAPUAAACJAwAAAAA=&#10;" filled="f" stroked="f" strokecolor="gray">
                  <v:textbox inset="0,0,0,0">
                    <w:txbxContent>
                      <w:p w14:paraId="28866E2C" w14:textId="77777777" w:rsidR="0052414B" w:rsidRPr="002040F8" w:rsidRDefault="0052414B" w:rsidP="00823481">
                        <w:pPr>
                          <w:pStyle w:val="TableTEXT"/>
                          <w:rPr>
                            <w:b/>
                            <w:bCs/>
                          </w:rPr>
                        </w:pPr>
                        <w:r>
                          <w:rPr>
                            <w:b/>
                            <w:bCs/>
                          </w:rPr>
                          <w:t>Program Outcomes</w:t>
                        </w:r>
                      </w:p>
                    </w:txbxContent>
                  </v:textbox>
                </v:shape>
                <v:shape id="Text Box 33" o:spid="_x0000_s1045" type="#_x0000_t202" style="position:absolute;top:11303;width:7543;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y/McUA&#10;AADcAAAADwAAAGRycy9kb3ducmV2LnhtbESPQUsDMRSE74L/IbxCbzbbVrRsmxZRBMGTu/XQ22Pz&#10;mmy7eVmSuF399UYQehxm5htmsxtdJwYKsfWsYD4rQBA3XrdsFOzr17sViJiQNXaeScE3Rdhtb282&#10;WGp/4Q8aqmREhnAsUYFNqS+ljI0lh3Hme+LsHX1wmLIMRuqAlwx3nVwUxYN02HJesNjTs6XmXH05&#10;Baf20xyquh4ejzbpaOLP+zy8KDWdjE9rEInGdA3/t9+0gsXyHv7O5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TL8xxQAAANwAAAAPAAAAAAAAAAAAAAAAAJgCAABkcnMv&#10;ZG93bnJldi54bWxQSwUGAAAAAAQABAD1AAAAigMAAAAA&#10;" filled="f" stroked="f" strokecolor="gray">
                  <v:textbox inset="0,0,0,0">
                    <w:txbxContent>
                      <w:p w14:paraId="728EEBD2" w14:textId="77777777" w:rsidR="0052414B" w:rsidRPr="002040F8" w:rsidRDefault="0052414B" w:rsidP="00823481">
                        <w:pPr>
                          <w:pStyle w:val="TableTEXT"/>
                          <w:rPr>
                            <w:b/>
                            <w:bCs/>
                          </w:rPr>
                        </w:pPr>
                        <w:r>
                          <w:rPr>
                            <w:b/>
                            <w:bCs/>
                          </w:rPr>
                          <w:t>Component Outputs</w:t>
                        </w:r>
                      </w:p>
                    </w:txbxContent>
                  </v:textbox>
                </v:shape>
                <v:shapetype id="_x0000_t32" coordsize="21600,21600" o:spt="32" o:oned="t" path="m,l21600,21600e" filled="f">
                  <v:path arrowok="t" fillok="f" o:connecttype="none"/>
                  <o:lock v:ext="edit" shapetype="t"/>
                </v:shapetype>
                <v:shape id="AutoShape 47" o:spid="_x0000_s1046" type="#_x0000_t32" style="position:absolute;left:920;top:6896;width:82646;height: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vJVMYAAADcAAAADwAAAGRycy9kb3ducmV2LnhtbESPW2sCMRSE3wv9D+EIfatZlRZZjaJC&#10;qUUoeEF8PGzOXnRzsk1Sd/33TUHwcZiZb5jpvDO1uJLzlWUFg34CgjizuuJCwWH/8ToG4QOyxtoy&#10;KbiRh/ns+WmKqbYtb+m6C4WIEPYpKihDaFIpfVaSQd+3DXH0cusMhihdIbXDNsJNLYdJ8i4NVhwX&#10;SmxoVVJ22f0aBZ9++3N0+bL9+l5km/NqtG6X+Umpl163mIAI1IVH+N5eawXD0Rv8n4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byVTGAAAA3AAAAA8AAAAAAAAA&#10;AAAAAAAAoQIAAGRycy9kb3ducmV2LnhtbFBLBQYAAAAABAAEAPkAAACUAwAAAAA=&#10;">
                  <v:stroke dashstyle="dash"/>
                </v:shape>
                <v:shape id="AutoShape 49" o:spid="_x0000_s1047" type="#_x0000_t32" style="position:absolute;left:1098;top:19348;width:82652;height: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lXI8UAAADcAAAADwAAAGRycy9kb3ducmV2LnhtbESPW2sCMRSE3wv+h3AKfavZKoisRlFB&#10;tBQKXhAfD5uzl3Zzsiapu/57UxB8HGbmG2Y670wtruR8ZVnBRz8BQZxZXXGh4HhYv49B+ICssbZM&#10;Cm7kYT7rvUwx1bblHV33oRARwj5FBWUITSqlz0oy6Pu2IY5ebp3BEKUrpHbYRrip5SBJRtJgxXGh&#10;xIZWJWW/+z+jYON3l5PLl+3n9yL7+lkNt+0yPyv19totJiACdeEZfrS3WsFgOIL/M/E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lXI8UAAADcAAAADwAAAAAAAAAA&#10;AAAAAAChAgAAZHJzL2Rvd25yZXYueG1sUEsFBgAAAAAEAAQA+QAAAJMDAAAAAA==&#10;">
                  <v:stroke dashstyle="dash"/>
                </v:shape>
                <v:shape id="Text Box 21" o:spid="_x0000_s1048" type="#_x0000_t202" style="position:absolute;left:7556;top:21647;width:25819;height: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QhBsYA&#10;AADcAAAADwAAAGRycy9kb3ducmV2LnhtbESP3WoCMRSE7wXfIRyhN1KzVVDZGkWE/ljwQu0DHDan&#10;m8XNyTbJuts+fSMUvBxm5htmteltLa7kQ+VYwdMkA0FcOF1xqeDz/PK4BBEissbaMSn4oQCb9XCw&#10;wly7jo90PcVSJAiHHBWYGJtcylAYshgmriFO3pfzFmOSvpTaY5fgtpbTLJtLixWnBYMN7QwVl1Nr&#10;FSzbbv8xroz/fZu97vp5bMeHb1LqYdRvn0FE6uM9/N9+1wqmswXczq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QhBsYAAADcAAAADwAAAAAAAAAAAAAAAACYAgAAZHJz&#10;L2Rvd25yZXYueG1sUEsFBgAAAAAEAAQA9QAAAIsDAAAAAA==&#10;" strokecolor="gray">
                  <v:textbox inset="1.3mm,,1.3mm">
                    <w:txbxContent>
                      <w:p w14:paraId="5A9C9ED5" w14:textId="5EB2C1CA" w:rsidR="0052414B" w:rsidRPr="00904BA0" w:rsidRDefault="0052414B" w:rsidP="00823481">
                        <w:pPr>
                          <w:pStyle w:val="TableTEXT"/>
                          <w:jc w:val="center"/>
                          <w:rPr>
                            <w:szCs w:val="18"/>
                          </w:rPr>
                        </w:pPr>
                        <w:r w:rsidRPr="0079356A">
                          <w:rPr>
                            <w:i/>
                          </w:rPr>
                          <w:t>Skills development systems that respond to industry and government skilling needs</w:t>
                        </w:r>
                      </w:p>
                    </w:txbxContent>
                  </v:textbox>
                </v:shape>
                <v:shape id="Text Box 481" o:spid="_x0000_s1049" type="#_x0000_t202" style="position:absolute;left:31083;top:8330;width:27146;height:3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zEfsMA&#10;AADcAAAADwAAAGRycy9kb3ducmV2LnhtbERPy2oCMRTdF/yHcIVuiiY+kHY0iloqCoJUi+DuOrnO&#10;DE5uhkmq49+bRaHLw3lPZo0txY1qXzjW0OsqEMSpMwVnGn4OX513ED4gGywdk4YHeZhNWy8TTIy7&#10;8zfd9iETMYR9ghryEKpESp/mZNF3XUUcuYurLYYI60yaGu8x3Jayr9RIWiw4NuRY0TKn9Lr/tRp2&#10;i7fK9IaLMjtvPo9qq0xYnT60fm038zGIQE34F/+510ZDfxDXxjPxCM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zEfsMAAADcAAAADwAAAAAAAAAAAAAAAACYAgAAZHJzL2Rv&#10;d25yZXYueG1sUEsFBgAAAAAEAAQA9QAAAIgDAAAAAA==&#10;" strokeweight=".5pt">
                  <v:textbox style="mso-fit-shape-to-text:t">
                    <w:txbxContent>
                      <w:p w14:paraId="49A1B915" w14:textId="5DC32E1B" w:rsidR="0052414B" w:rsidRPr="00251623" w:rsidRDefault="0052414B" w:rsidP="00823481">
                        <w:pPr>
                          <w:pStyle w:val="TableTEXT"/>
                          <w:jc w:val="center"/>
                          <w:rPr>
                            <w:szCs w:val="16"/>
                          </w:rPr>
                        </w:pPr>
                        <w:r w:rsidRPr="00251623">
                          <w:rPr>
                            <w:rFonts w:eastAsiaTheme="minorHAnsi"/>
                            <w:szCs w:val="16"/>
                          </w:rPr>
                          <w:t>Alumni are using their skills, knowledge and networks to contribute to sustainable development</w:t>
                        </w:r>
                      </w:p>
                    </w:txbxContent>
                  </v:textbox>
                </v:shape>
                <v:shape id="Text Box 482" o:spid="_x0000_s1050" type="#_x0000_t202" style="position:absolute;left:33671;top:12452;width:21857;height:5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Bh5ccA&#10;AADcAAAADwAAAGRycy9kb3ducmV2LnhtbESPQWsCMRSE74L/ITzBS9FEK0VXo1RLpYJQXEvB2+vm&#10;dXfp5mXZpLr990YoeBxm5htmsWptJc7U+NKxhtFQgSDOnCk51/BxfB1MQfiAbLByTBr+yMNq2e0s&#10;MDHuwgc6pyEXEcI+QQ1FCHUipc8KsuiHriaO3rdrLIYom1yaBi8Rbis5VupJWiw5LhRY06ag7Cf9&#10;tRre1w+1GU3WVf61e/lUe2XC9jTTut9rn+cgArXhHv5vvxkN48cZ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gYeXHAAAA3AAAAA8AAAAAAAAAAAAAAAAAmAIAAGRy&#10;cy9kb3ducmV2LnhtbFBLBQYAAAAABAAEAPUAAACMAwAAAAA=&#10;" strokeweight=".5pt">
                  <v:textbox style="mso-fit-shape-to-text:t">
                    <w:txbxContent>
                      <w:p w14:paraId="0B1B7F7F" w14:textId="6CA017EE" w:rsidR="0052414B" w:rsidRPr="00A52B5F" w:rsidRDefault="0052414B" w:rsidP="00823481">
                        <w:pPr>
                          <w:jc w:val="center"/>
                          <w:rPr>
                            <w:sz w:val="16"/>
                            <w:szCs w:val="16"/>
                          </w:rPr>
                        </w:pPr>
                        <w:r>
                          <w:rPr>
                            <w:sz w:val="16"/>
                            <w:szCs w:val="16"/>
                          </w:rPr>
                          <w:t>Men, women, communities and local governments benefit equitably from extractives</w:t>
                        </w:r>
                      </w:p>
                    </w:txbxContent>
                  </v:textbox>
                </v:shape>
                <v:shape id="Text Box 27" o:spid="_x0000_s1051" type="#_x0000_t202" style="position:absolute;left:49597;top:958;width:14478;height:4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vKD8MA&#10;AADcAAAADwAAAGRycy9kb3ducmV2LnhtbERP3WrCMBS+H/gO4Qi7kZlOpUg1igjbnOCFzgc4NGdN&#10;WXNSk9R2e/rlYrDLj+9/vR1sI+7kQ+1YwfM0A0FcOl1zpeD68fK0BBEissbGMSn4pgDbzehhjYV2&#10;PZ/pfomVSCEcClRgYmwLKUNpyGKYupY4cZ/OW4wJ+kpqj30Kt42cZVkuLdacGgy2tDdUfl06q2DZ&#10;9e/HSW38z9v8dT/ksZucbqTU43jYrUBEGuK/+M990ApmizQ/nU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vKD8MAAADcAAAADwAAAAAAAAAAAAAAAACYAgAAZHJzL2Rv&#10;d25yZXYueG1sUEsFBgAAAAAEAAQA9QAAAIgDAAAAAA==&#10;" strokecolor="gray">
                  <v:textbox inset="1.3mm,,1.3mm">
                    <w:txbxContent>
                      <w:p w14:paraId="70A78BA3" w14:textId="77777777" w:rsidR="0052414B" w:rsidRPr="00A52B5F" w:rsidRDefault="0052414B" w:rsidP="00823481">
                        <w:pPr>
                          <w:pStyle w:val="NormalWeb"/>
                          <w:spacing w:before="0" w:beforeAutospacing="0" w:after="0" w:line="288" w:lineRule="auto"/>
                          <w:jc w:val="center"/>
                          <w:rPr>
                            <w:rFonts w:ascii="Arial" w:hAnsi="Arial" w:cs="Arial"/>
                            <w:sz w:val="16"/>
                            <w:szCs w:val="16"/>
                          </w:rPr>
                        </w:pPr>
                        <w:r w:rsidRPr="00A52B5F">
                          <w:rPr>
                            <w:rFonts w:ascii="Arial" w:hAnsi="Arial"/>
                            <w:sz w:val="16"/>
                            <w:szCs w:val="16"/>
                          </w:rPr>
                          <w:t>Enhanced relationships between Australia and Africa</w:t>
                        </w:r>
                      </w:p>
                    </w:txbxContent>
                  </v:textbox>
                </v:shape>
                <v:line id="Line 218" o:spid="_x0000_s1052" style="position:absolute;flip:y;visibility:visible;mso-wrap-style:square" from="44577,4406" to="44577,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c6o8QAAADcAAAADwAAAGRycy9kb3ducmV2LnhtbESPUWvCMBSF34X9h3AHvmlqGcN1pmUI&#10;gjAm6PYD7pq7pqy5KU1so79+GQg+Hs453+Fsqmg7MdLgW8cKVssMBHHtdMuNgq/P3WINwgdkjZ1j&#10;UnAhD1X5MNtgod3ERxpPoREJwr5ABSaEvpDS14Ys+qXriZP34waLIcmhkXrAKcFtJ/Mse5YWW04L&#10;BnvaGqp/T2erIJ7tGClc3/cf34dpOphLbl9apeaP8e0VRKAY7uFbe68V5E8r+D+TjoAs/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lzqjxAAAANwAAAAPAAAAAAAAAAAA&#10;AAAAAKECAABkcnMvZG93bnJldi54bWxQSwUGAAAAAAQABAD5AAAAkgMAAAAA&#10;" strokeweight="3pt">
                  <v:stroke endarrow="block"/>
                  <v:shadow on="t" color="black" opacity="22936f" origin=",.5" offset="0,.63889mm"/>
                </v:line>
                <v:line id="Line 218" o:spid="_x0000_s1053" style="position:absolute;flip:y;visibility:visible;mso-wrap-style:square" from="44837,18199" to="44837,22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Wk1MQAAADcAAAADwAAAGRycy9kb3ducmV2LnhtbESP3WoCMRSE7wt9h3AKvavZLkXqapQi&#10;CEJR8OcBjpvjZnFzsmzibuzTG0Ho5TAz3zCzRbSN6KnztWMFn6MMBHHpdM2VguNh9fENwgdkjY1j&#10;UnAjD4v568sMC+0G3lG/D5VIEPYFKjAhtIWUvjRk0Y9cS5y8s+sshiS7SuoOhwS3jcyzbCwt1pwW&#10;DLa0NFRe9lerIF5tHyn8/a43p+0wbM0tt5Naqfe3+DMFESiG//CzvdYK8q8cHmfSEZ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RaTUxAAAANwAAAAPAAAAAAAAAAAA&#10;AAAAAKECAABkcnMvZG93bnJldi54bWxQSwUGAAAAAAQABAD5AAAAkgMAAAAA&#10;" strokeweight="3pt">
                  <v:stroke endarrow="block"/>
                  <v:shadow on="t" color="black" opacity="22936f" origin=",.5" offset="0,.63889mm"/>
                </v:line>
                <v:shape id="Text Box 33" o:spid="_x0000_s1054" type="#_x0000_t202" style="position:absolute;left:457;top:30841;width:7086;height:3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rMTMUA&#10;AADcAAAADwAAAGRycy9kb3ducmV2LnhtbESPQWsCMRSE74X+h/AK3mpWEVu2RpGWgtCTu3ro7bF5&#10;Jls3L0uSrtv++kYQehxm5htmtRldJwYKsfWsYDYtQBA3XrdsFBzq98dnEDEha+w8k4IfirBZ39+t&#10;sNT+wnsaqmREhnAsUYFNqS+ljI0lh3Hqe+LsnXxwmLIMRuqAlwx3nZwXxVI6bDkvWOzp1VJzrr6d&#10;gq/2aD6ruh6eTjbpaOLvxyy8KTV5GLcvIBKN6T98a++0gvliAdcz+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SsxMxQAAANwAAAAPAAAAAAAAAAAAAAAAAJgCAABkcnMv&#10;ZG93bnJldi54bWxQSwUGAAAAAAQABAD1AAAAigMAAAAA&#10;" filled="f" stroked="f" strokecolor="gray">
                  <v:textbox inset="0,0,0,0">
                    <w:txbxContent>
                      <w:p w14:paraId="376D9F9A" w14:textId="77777777" w:rsidR="0052414B" w:rsidRPr="002040F8" w:rsidRDefault="0052414B" w:rsidP="00823481">
                        <w:pPr>
                          <w:pStyle w:val="TableTEXT"/>
                          <w:rPr>
                            <w:b/>
                            <w:bCs/>
                          </w:rPr>
                        </w:pPr>
                        <w:r>
                          <w:rPr>
                            <w:b/>
                            <w:bCs/>
                          </w:rPr>
                          <w:t>Component Activities</w:t>
                        </w:r>
                      </w:p>
                    </w:txbxContent>
                  </v:textbox>
                </v:shape>
                <v:rect id="Rectangle 256" o:spid="_x0000_s1055" style="position:absolute;left:7611;top:26244;width:25819;height:5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cEtsUA&#10;AADcAAAADwAAAGRycy9kb3ducmV2LnhtbESPzW7CMBCE70h9B2sr9QYO6Y9KiIMQFRU9QnLhtsTb&#10;JCVeR7GBlKfHSJV6HM3MN5p0MZhWnKl3jWUF00kEgri0uuFKQZGvx+8gnEfW2FomBb/kYJE9jFJM&#10;tL3wls47X4kAYZeggtr7LpHSlTUZdBPbEQfv2/YGfZB9JXWPlwA3rYyj6E0abDgs1NjRqqbyuDsZ&#10;BYcmLvC6zT8jM1s/+68h/zntP5R6ehyWcxCeBv8f/mtvtIL45R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wS2xQAAANwAAAAPAAAAAAAAAAAAAAAAAJgCAABkcnMv&#10;ZG93bnJldi54bWxQSwUGAAAAAAQABAD1AAAAigMAAAAA&#10;">
                  <v:textbox>
                    <w:txbxContent>
                      <w:p w14:paraId="6D9CB33F" w14:textId="77777777" w:rsidR="0052414B" w:rsidRPr="00C5467E" w:rsidRDefault="0052414B" w:rsidP="00C5467E">
                        <w:pPr>
                          <w:spacing w:before="60" w:after="60"/>
                          <w:rPr>
                            <w:i/>
                            <w:sz w:val="16"/>
                            <w:szCs w:val="16"/>
                          </w:rPr>
                        </w:pPr>
                        <w:r w:rsidRPr="00C5467E">
                          <w:rPr>
                            <w:i/>
                            <w:sz w:val="16"/>
                            <w:szCs w:val="16"/>
                          </w:rPr>
                          <w:t>Stronger African skills development, education and training institutions producing high-calibre graduates able to support their national extractives sector</w:t>
                        </w:r>
                      </w:p>
                      <w:p w14:paraId="5CE42E58" w14:textId="3600235D" w:rsidR="0052414B" w:rsidRPr="00C5467E" w:rsidRDefault="0052414B" w:rsidP="00823481">
                        <w:pPr>
                          <w:pStyle w:val="TableTEXT"/>
                          <w:jc w:val="center"/>
                          <w:rPr>
                            <w:szCs w:val="16"/>
                          </w:rPr>
                        </w:pPr>
                      </w:p>
                    </w:txbxContent>
                  </v:textbox>
                </v:rect>
                <v:rect id="Rectangle 257" o:spid="_x0000_s1056" style="position:absolute;left:7556;top:31991;width:25819;height:4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WawcUA&#10;AADcAAAADwAAAGRycy9kb3ducmV2LnhtbESPQWvCQBSE74X+h+UVeqsbo0g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ZrBxQAAANwAAAAPAAAAAAAAAAAAAAAAAJgCAABkcnMv&#10;ZG93bnJldi54bWxQSwUGAAAAAAQABAD1AAAAigMAAAAA&#10;">
                  <v:textbox>
                    <w:txbxContent>
                      <w:p w14:paraId="078E1FF4" w14:textId="6B40016E" w:rsidR="0052414B" w:rsidRPr="00904BA0" w:rsidRDefault="0052414B" w:rsidP="00823481">
                        <w:pPr>
                          <w:pStyle w:val="TableTEXT"/>
                          <w:jc w:val="center"/>
                          <w:rPr>
                            <w:sz w:val="18"/>
                          </w:rPr>
                        </w:pPr>
                        <w:r w:rsidRPr="004812C0">
                          <w:rPr>
                            <w:i/>
                          </w:rPr>
                          <w:t>Improved local government planning for and coordination and management of extractives investments and extractives-related development</w:t>
                        </w:r>
                      </w:p>
                    </w:txbxContent>
                  </v:textbox>
                </v:rect>
                <v:rect id="Rectangle 258" o:spid="_x0000_s1057" style="position:absolute;left:63830;top:21647;width:19736;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n28IA&#10;AADcAAAADwAAAGRycy9kb3ducmV2LnhtbESP0WoCMRRE3wv+Q7hC32pWESurUaRQECuIqx9w2Vw3&#10;i5ubNYnr9u8bQejjMDNnmOW6t43oyIfasYLxKANBXDpdc6XgfPr+mIMIEVlj45gU/FKA9WrwtsRc&#10;uwcfqStiJRKEQ44KTIxtLmUoDVkMI9cSJ+/ivMWYpK+k9vhIcNvISZbNpMWa04LBlr4MldfibhXM&#10;sb1dXXHibnc57v0hmuJnb5R6H/abBYhIffwPv9pbrWAy/YTnmXQ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tGfbwgAAANwAAAAPAAAAAAAAAAAAAAAAAJgCAABkcnMvZG93&#10;bnJldi54bWxQSwUGAAAAAAQABAD1AAAAhwMAAAAA&#10;">
                  <v:textbox style="mso-fit-shape-to-text:t">
                    <w:txbxContent>
                      <w:p w14:paraId="48BEF91D" w14:textId="77777777" w:rsidR="0052414B" w:rsidRPr="00904BA0" w:rsidRDefault="0052414B" w:rsidP="00823481">
                        <w:pPr>
                          <w:pStyle w:val="TableTEXT"/>
                          <w:jc w:val="center"/>
                          <w:rPr>
                            <w:szCs w:val="18"/>
                          </w:rPr>
                        </w:pPr>
                        <w:r w:rsidRPr="00904BA0">
                          <w:rPr>
                            <w:szCs w:val="18"/>
                          </w:rPr>
                          <w:t>Awarding Masters Scholarships</w:t>
                        </w:r>
                      </w:p>
                    </w:txbxContent>
                  </v:textbox>
                </v:rect>
                <v:rect id="Rectangle 259" o:spid="_x0000_s1058" style="position:absolute;left:60093;top:43160;width:13755;height:3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arKMIA&#10;AADcAAAADwAAAGRycy9kb3ducmV2LnhtbERPTW+CQBC9m/Q/bKZJb7pIjWnRhTRtaOpR4dLbyE6B&#10;ys4SdlHqr3cPJj2+vO9tNplOnGlwrWUFy0UEgriyuuVaQVnk8xcQziNr7CyTgj9ykKUPsy0m2l54&#10;T+eDr0UIYZeggsb7PpHSVQ0ZdAvbEwfuxw4GfYBDLfWAlxBuOhlH0VoabDk0NNjTe0PV6TAaBcc2&#10;LvG6Lz4j85o/+91U/I7fH0o9PU5vGxCeJv8vvru/tIJ4F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lqsowgAAANwAAAAPAAAAAAAAAAAAAAAAAJgCAABkcnMvZG93&#10;bnJldi54bWxQSwUGAAAAAAQABAD1AAAAhwMAAAAA&#10;">
                  <v:textbox>
                    <w:txbxContent>
                      <w:p w14:paraId="604222E8" w14:textId="77777777" w:rsidR="0052414B" w:rsidRPr="00904BA0" w:rsidRDefault="0052414B" w:rsidP="00823481">
                        <w:pPr>
                          <w:pStyle w:val="TableTEXT"/>
                          <w:jc w:val="center"/>
                          <w:rPr>
                            <w:szCs w:val="18"/>
                          </w:rPr>
                        </w:pPr>
                        <w:r w:rsidRPr="00904BA0">
                          <w:rPr>
                            <w:szCs w:val="18"/>
                          </w:rPr>
                          <w:t>Continuing professional development of alumni</w:t>
                        </w:r>
                      </w:p>
                    </w:txbxContent>
                  </v:textbox>
                </v:rect>
                <v:rect id="Rectangle 260" o:spid="_x0000_s1059" style="position:absolute;left:75241;top:43161;width:13030;height:3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MsIA&#10;AADcAAAADwAAAGRycy9kb3ducmV2LnhtbESP0WoCMRRE3wX/IVyhb5pVStHVKCIURIXi6gdcNtfN&#10;4uZmTdJ1/fumUOjjMDNnmNWmt43oyIfasYLpJANBXDpdc6Xgevkcz0GEiKyxcUwKXhRgsx4OVphr&#10;9+QzdUWsRIJwyFGBibHNpQylIYth4lri5N2ctxiT9JXUHp8Jbhs5y7IPabHmtGCwpZ2h8l58WwVz&#10;bB93V1y4O9zOJ/8VTXE8GaXeRv12CSJSH//Df+29VjB7X8DvmXQE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1YywgAAANwAAAAPAAAAAAAAAAAAAAAAAJgCAABkcnMvZG93&#10;bnJldi54bWxQSwUGAAAAAAQABAD1AAAAhwMAAAAA&#10;">
                  <v:textbox style="mso-fit-shape-to-text:t">
                    <w:txbxContent>
                      <w:p w14:paraId="56565B34" w14:textId="77777777" w:rsidR="0052414B" w:rsidRDefault="0052414B" w:rsidP="00823481">
                        <w:pPr>
                          <w:pStyle w:val="TableTEXT"/>
                          <w:jc w:val="center"/>
                          <w:rPr>
                            <w:szCs w:val="16"/>
                          </w:rPr>
                        </w:pPr>
                        <w:r>
                          <w:rPr>
                            <w:szCs w:val="18"/>
                          </w:rPr>
                          <w:t xml:space="preserve">Supporting </w:t>
                        </w:r>
                        <w:r w:rsidRPr="00F31CDB">
                          <w:rPr>
                            <w:szCs w:val="18"/>
                          </w:rPr>
                          <w:t>alumni network</w:t>
                        </w:r>
                        <w:r>
                          <w:rPr>
                            <w:szCs w:val="18"/>
                          </w:rPr>
                          <w:t>s</w:t>
                        </w:r>
                      </w:p>
                    </w:txbxContent>
                  </v:textbox>
                </v:rect>
                <v:rect id="Rectangle 262" o:spid="_x0000_s1060" style="position:absolute;left:60718;top:25095;width:13342;height:3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jM6cIA&#10;AADcAAAADwAAAGRycy9kb3ducmV2LnhtbESP0YrCMBRE3xf8h3CFfVtTBUWqUURYWFQQqx9waa5N&#10;sbmpSazdvzfCwj4OM3OGWa5724iOfKgdKxiPMhDEpdM1Vwou5++vOYgQkTU2jknBLwVYrwYfS8y1&#10;e/KJuiJWIkE45KjAxNjmUobSkMUwci1x8q7OW4xJ+kpqj88Et42cZNlMWqw5LRhsaWuovBUPq2CO&#10;7f3mijN3u+vp4I/RFPuDUepz2G8WICL18T/81/7RCibTMbzPpCM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yMzpwgAAANwAAAAPAAAAAAAAAAAAAAAAAJgCAABkcnMvZG93&#10;bnJldi54bWxQSwUGAAAAAAQABAD1AAAAhwMAAAAA&#10;">
                  <v:textbox style="mso-fit-shape-to-text:t">
                    <w:txbxContent>
                      <w:p w14:paraId="447FF85B" w14:textId="77777777" w:rsidR="0052414B" w:rsidRPr="006B6908" w:rsidRDefault="0052414B" w:rsidP="00823481">
                        <w:pPr>
                          <w:pStyle w:val="TableTEXT"/>
                          <w:jc w:val="center"/>
                          <w:rPr>
                            <w:szCs w:val="18"/>
                          </w:rPr>
                        </w:pPr>
                        <w:r w:rsidRPr="006B6908">
                          <w:rPr>
                            <w:szCs w:val="18"/>
                          </w:rPr>
                          <w:t xml:space="preserve">Awarding Africa </w:t>
                        </w:r>
                      </w:p>
                      <w:p w14:paraId="7C6790EC" w14:textId="77777777" w:rsidR="0052414B" w:rsidRPr="006B6908" w:rsidRDefault="0052414B" w:rsidP="00823481">
                        <w:pPr>
                          <w:pStyle w:val="TableTEXT"/>
                          <w:jc w:val="center"/>
                          <w:rPr>
                            <w:szCs w:val="18"/>
                          </w:rPr>
                        </w:pPr>
                        <w:r w:rsidRPr="006B6908">
                          <w:rPr>
                            <w:szCs w:val="18"/>
                          </w:rPr>
                          <w:t>Fellowships</w:t>
                        </w:r>
                      </w:p>
                    </w:txbxContent>
                  </v:textbox>
                </v:rect>
                <v:rect id="Rectangle 263" o:spid="_x0000_s1061" style="position:absolute;left:75990;top:25095;width:12922;height:3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SnsIA&#10;AADcAAAADwAAAGRycy9kb3ducmV2LnhtbESP0YrCMBRE3xf8h3CFfVtTC4p0jSLCwqKCWPcDLs21&#10;KTY3NYm1+/dGWNjHYWbOMMv1YFvRkw+NYwXTSQaCuHK64VrBz/nrYwEiRGSNrWNS8EsB1qvR2xIL&#10;7R58or6MtUgQDgUqMDF2hZShMmQxTFxHnLyL8xZjkr6W2uMjwW0r8yybS4sNpwWDHW0NVdfybhUs&#10;sLtdXXnmfnc5HfwxmnJ/MEq9j4fNJ4hIQ/wP/7W/tYJ8lsPrTDo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lKewgAAANwAAAAPAAAAAAAAAAAAAAAAAJgCAABkcnMvZG93&#10;bnJldi54bWxQSwUGAAAAAAQABAD1AAAAhwMAAAAA&#10;">
                  <v:textbox style="mso-fit-shape-to-text:t">
                    <w:txbxContent>
                      <w:p w14:paraId="3D1C5754" w14:textId="77777777" w:rsidR="0052414B" w:rsidRPr="006B6908" w:rsidRDefault="0052414B" w:rsidP="00823481">
                        <w:pPr>
                          <w:pStyle w:val="TableTEXT"/>
                          <w:jc w:val="center"/>
                          <w:rPr>
                            <w:szCs w:val="18"/>
                          </w:rPr>
                        </w:pPr>
                        <w:r w:rsidRPr="006B6908">
                          <w:rPr>
                            <w:szCs w:val="18"/>
                          </w:rPr>
                          <w:t>Awarding AA Fellowships</w:t>
                        </w:r>
                      </w:p>
                    </w:txbxContent>
                  </v:textbox>
                </v:rect>
                <v:rect id="Rectangle 264" o:spid="_x0000_s1062" style="position:absolute;left:60718;top:29692;width:28194;height:3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vhMUA&#10;AADcAAAADwAAAGRycy9kb3ducmV2LnhtbESPT2vCQBTE70K/w/IKvenGSKW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6+ExQAAANwAAAAPAAAAAAAAAAAAAAAAAJgCAABkcnMv&#10;ZG93bnJldi54bWxQSwUGAAAAAAQABAD1AAAAigMAAAAA&#10;">
                  <v:textbox>
                    <w:txbxContent>
                      <w:p w14:paraId="0C873BCF" w14:textId="77777777" w:rsidR="0052414B" w:rsidRDefault="0052414B" w:rsidP="00823481">
                        <w:pPr>
                          <w:pStyle w:val="TableTEXT"/>
                          <w:jc w:val="center"/>
                        </w:pPr>
                        <w:r>
                          <w:rPr>
                            <w:szCs w:val="18"/>
                          </w:rPr>
                          <w:t>Providing</w:t>
                        </w:r>
                        <w:r w:rsidRPr="00F31CDB">
                          <w:rPr>
                            <w:szCs w:val="18"/>
                          </w:rPr>
                          <w:t xml:space="preserve"> training that will include a strong focus on both gender and disability inclusivity</w:t>
                        </w:r>
                      </w:p>
                    </w:txbxContent>
                  </v:textbox>
                </v:rect>
                <v:rect id="Rectangle 265" o:spid="_x0000_s1063" style="position:absolute;left:60718;top:34290;width:13335;height:3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I38MUA&#10;AADcAAAADwAAAGRycy9kb3ducmV2LnhtbESPzW7CMBCE70h9B2sr9QYO6Y9KiIMQFRU9QnLhtsTb&#10;JCVeR7GBlKfHSJV6HM3MN5p0MZhWnKl3jWUF00kEgri0uuFKQZGvx+8gnEfW2FomBb/kYJE9jFJM&#10;tL3wls47X4kAYZeggtr7LpHSlTUZdBPbEQfv2/YGfZB9JXWPlwA3rYyj6E0abDgs1NjRqqbyuDsZ&#10;BYcmLvC6zT8jM1s/+68h/zntP5R6ehyWcxCeBv8f/mtvtIL49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jfwxQAAANwAAAAPAAAAAAAAAAAAAAAAAJgCAABkcnMv&#10;ZG93bnJldi54bWxQSwUGAAAAAAQABAD1AAAAigMAAAAA&#10;">
                  <v:textbox>
                    <w:txbxContent>
                      <w:p w14:paraId="29BE98E2" w14:textId="77777777" w:rsidR="0052414B" w:rsidRDefault="0052414B" w:rsidP="00823481">
                        <w:pPr>
                          <w:pStyle w:val="TableTEXT"/>
                          <w:jc w:val="center"/>
                        </w:pPr>
                        <w:r w:rsidRPr="00F31CDB">
                          <w:rPr>
                            <w:szCs w:val="18"/>
                          </w:rPr>
                          <w:t>Providing English language training</w:t>
                        </w:r>
                      </w:p>
                    </w:txbxContent>
                  </v:textbox>
                </v:rect>
                <v:rect id="Rectangle 266" o:spid="_x0000_s1064" style="position:absolute;left:75996;top:34290;width:12916;height:3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Sa8UA&#10;AADcAAAADwAAAGRycy9kb3ducmV2LnhtbESPQWvCQBSE74X+h+UVeqsbUyJ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pJrxQAAANwAAAAPAAAAAAAAAAAAAAAAAJgCAABkcnMv&#10;ZG93bnJldi54bWxQSwUGAAAAAAQABAD1AAAAigMAAAAA&#10;">
                  <v:textbox>
                    <w:txbxContent>
                      <w:p w14:paraId="4F47C130" w14:textId="77777777" w:rsidR="0052414B" w:rsidRPr="006B6908" w:rsidRDefault="0052414B" w:rsidP="00823481">
                        <w:pPr>
                          <w:pStyle w:val="TableTEXT"/>
                          <w:jc w:val="center"/>
                          <w:rPr>
                            <w:szCs w:val="16"/>
                          </w:rPr>
                        </w:pPr>
                        <w:r w:rsidRPr="006B6908">
                          <w:rPr>
                            <w:szCs w:val="16"/>
                          </w:rPr>
                          <w:t>Operating an access and equity fund</w:t>
                        </w:r>
                      </w:p>
                    </w:txbxContent>
                  </v:textbox>
                </v:rect>
                <v:rect id="Rectangle 267" o:spid="_x0000_s1065" style="position:absolute;left:60455;top:38887;width:27422;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textbox>
                    <w:txbxContent>
                      <w:p w14:paraId="2392B4EE" w14:textId="77777777" w:rsidR="0052414B" w:rsidRPr="006B6908" w:rsidRDefault="0052414B" w:rsidP="00823481">
                        <w:pPr>
                          <w:pStyle w:val="TableTEXT"/>
                          <w:jc w:val="center"/>
                          <w:rPr>
                            <w:szCs w:val="18"/>
                          </w:rPr>
                        </w:pPr>
                        <w:r w:rsidRPr="006B6908">
                          <w:rPr>
                            <w:szCs w:val="18"/>
                          </w:rPr>
                          <w:t xml:space="preserve">Piloting a range of flexible training delivery options </w:t>
                        </w:r>
                      </w:p>
                    </w:txbxContent>
                  </v:textbox>
                </v:rect>
                <v:rect id="_x0000_s1066" style="position:absolute;left:7249;top:37738;width:26422;height:4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wMHMUA&#10;AADcAAAADwAAAGRycy9kb3ducmV2LnhtbESPQWvCQBSE74X+h+UVeqsbI0o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nAwcxQAAANwAAAAPAAAAAAAAAAAAAAAAAJgCAABkcnMv&#10;ZG93bnJldi54bWxQSwUGAAAAAAQABAD1AAAAigMAAAAA&#10;">
                  <v:textbox>
                    <w:txbxContent>
                      <w:p w14:paraId="37CE2A5F" w14:textId="766FA649" w:rsidR="0052414B" w:rsidRPr="00904BA0" w:rsidRDefault="0052414B" w:rsidP="00823481">
                        <w:pPr>
                          <w:pStyle w:val="TableTEXT"/>
                          <w:jc w:val="center"/>
                          <w:rPr>
                            <w:sz w:val="18"/>
                          </w:rPr>
                        </w:pPr>
                        <w:r w:rsidRPr="0008771E">
                          <w:rPr>
                            <w:i/>
                          </w:rPr>
                          <w:t>Improved local community participation in extractives investments and extractives-related development</w:t>
                        </w:r>
                      </w:p>
                    </w:txbxContent>
                  </v:textbox>
                </v:rect>
                <v:shape id="Text Box 29" o:spid="_x0000_s1067" type="#_x0000_t202" style="position:absolute;left:59370;top:12452;width:26866;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j1T8YA&#10;AADcAAAADwAAAGRycy9kb3ducmV2LnhtbESP3WoCMRSE7wu+QzhCb6Rma6nYrVFEqH/Qi9o+wGFz&#10;ulncnGyTrLv16ZuC4OUwM98w82Vva3EmHyrHCh7HGQjiwumKSwVfn28PMxAhImusHZOCXwqwXAzu&#10;5phr1/EHnY+xFAnCIUcFJsYmlzIUhiyGsWuIk/ftvMWYpC+l9tgluK3lJMum0mLFacFgQ2tDxenY&#10;WgWzttsfRpXxl+3TZt1PYzt6/yGl7of96hVEpD7ewtf2TiuYPL/A/5l0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j1T8YAAADcAAAADwAAAAAAAAAAAAAAAACYAgAAZHJz&#10;L2Rvd25yZXYueG1sUEsFBgAAAAAEAAQA9QAAAIsDAAAAAA==&#10;" strokecolor="gray">
                  <v:textbox inset="1.3mm,,1.3mm">
                    <w:txbxContent>
                      <w:p w14:paraId="0532DEBA" w14:textId="31483F67" w:rsidR="0052414B" w:rsidRPr="00251623" w:rsidRDefault="0052414B" w:rsidP="00823481">
                        <w:pPr>
                          <w:pStyle w:val="NormalWeb"/>
                          <w:spacing w:before="0" w:beforeAutospacing="0" w:after="0"/>
                          <w:jc w:val="center"/>
                          <w:rPr>
                            <w:rFonts w:ascii="Arial" w:hAnsi="Arial" w:cs="Arial"/>
                            <w:sz w:val="16"/>
                            <w:szCs w:val="16"/>
                          </w:rPr>
                        </w:pPr>
                        <w:r w:rsidRPr="00251623">
                          <w:rPr>
                            <w:rFonts w:eastAsiaTheme="minorHAnsi"/>
                            <w:sz w:val="16"/>
                            <w:szCs w:val="16"/>
                          </w:rPr>
                          <w:t>Alumni have positive ongoing links with Australia</w:t>
                        </w:r>
                      </w:p>
                    </w:txbxContent>
                  </v:textbox>
                </v:shape>
                <w10:anchorlock/>
              </v:group>
            </w:pict>
          </mc:Fallback>
        </mc:AlternateContent>
      </w:r>
      <w:r w:rsidR="00823481">
        <w:br w:type="page"/>
      </w:r>
    </w:p>
    <w:p w14:paraId="5297735F" w14:textId="77777777" w:rsidR="00F23F67" w:rsidRPr="00782A69" w:rsidRDefault="007A50DB" w:rsidP="001C71B3">
      <w:pPr>
        <w:pStyle w:val="annexsubheading"/>
        <w:rPr>
          <w:lang w:val="pt-PT"/>
        </w:rPr>
      </w:pPr>
      <w:r w:rsidRPr="00782A69">
        <w:rPr>
          <w:lang w:val="pt-PT"/>
        </w:rPr>
        <w:t xml:space="preserve">E4G </w:t>
      </w:r>
      <w:r w:rsidR="003F744E" w:rsidRPr="00782A69">
        <w:rPr>
          <w:lang w:val="pt-PT"/>
        </w:rPr>
        <w:t xml:space="preserve">Component M&amp;E </w:t>
      </w:r>
      <w:r w:rsidR="00B47C57" w:rsidRPr="00782A69">
        <w:rPr>
          <w:lang w:val="pt-PT"/>
        </w:rPr>
        <w:t>Framework</w:t>
      </w:r>
    </w:p>
    <w:tbl>
      <w:tblPr>
        <w:tblW w:w="3895"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bottom w:w="57" w:type="dxa"/>
        </w:tblCellMar>
        <w:tblLook w:val="0000" w:firstRow="0" w:lastRow="0" w:firstColumn="0" w:lastColumn="0" w:noHBand="0" w:noVBand="0"/>
      </w:tblPr>
      <w:tblGrid>
        <w:gridCol w:w="2692"/>
        <w:gridCol w:w="2357"/>
        <w:gridCol w:w="2423"/>
        <w:gridCol w:w="2497"/>
        <w:gridCol w:w="66"/>
        <w:gridCol w:w="1041"/>
      </w:tblGrid>
      <w:tr w:rsidR="00A005AB" w:rsidRPr="008D4068" w14:paraId="5A27C074" w14:textId="77777777" w:rsidTr="00767E76">
        <w:trPr>
          <w:gridAfter w:val="2"/>
          <w:wAfter w:w="500" w:type="pct"/>
          <w:tblHeader/>
        </w:trPr>
        <w:tc>
          <w:tcPr>
            <w:tcW w:w="1215" w:type="pct"/>
            <w:shd w:val="clear" w:color="auto" w:fill="FFC000" w:themeFill="accent4"/>
            <w:tcMar>
              <w:top w:w="140" w:type="nil"/>
              <w:right w:w="140" w:type="nil"/>
            </w:tcMar>
          </w:tcPr>
          <w:p w14:paraId="1731D928" w14:textId="77777777" w:rsidR="00990DD4" w:rsidRPr="008D4068" w:rsidRDefault="00990DD4" w:rsidP="00051808">
            <w:pPr>
              <w:pStyle w:val="TableHeader"/>
              <w:rPr>
                <w:lang w:val="en-US"/>
              </w:rPr>
            </w:pPr>
            <w:r w:rsidRPr="008D4068">
              <w:rPr>
                <w:lang w:val="en-US"/>
              </w:rPr>
              <w:t>Components</w:t>
            </w:r>
            <w:r>
              <w:rPr>
                <w:lang w:val="en-US"/>
              </w:rPr>
              <w:t xml:space="preserve"> / </w:t>
            </w:r>
            <w:r w:rsidRPr="008D4068">
              <w:rPr>
                <w:lang w:val="en-US"/>
              </w:rPr>
              <w:t>Baseline</w:t>
            </w:r>
          </w:p>
        </w:tc>
        <w:tc>
          <w:tcPr>
            <w:tcW w:w="2158" w:type="pct"/>
            <w:gridSpan w:val="2"/>
            <w:shd w:val="clear" w:color="auto" w:fill="FFC000" w:themeFill="accent4"/>
            <w:tcMar>
              <w:top w:w="140" w:type="nil"/>
              <w:right w:w="140" w:type="nil"/>
            </w:tcMar>
            <w:vAlign w:val="center"/>
          </w:tcPr>
          <w:p w14:paraId="2525A0AA" w14:textId="0138683C" w:rsidR="00990DD4" w:rsidRPr="008D4068" w:rsidRDefault="00990DD4" w:rsidP="007D3192">
            <w:pPr>
              <w:pStyle w:val="TableHeader"/>
              <w:jc w:val="center"/>
              <w:rPr>
                <w:lang w:val="en-US"/>
              </w:rPr>
            </w:pPr>
            <w:r>
              <w:rPr>
                <w:lang w:val="en-US"/>
              </w:rPr>
              <w:t>Key Performance Indicators</w:t>
            </w:r>
          </w:p>
        </w:tc>
        <w:tc>
          <w:tcPr>
            <w:tcW w:w="1127" w:type="pct"/>
            <w:shd w:val="clear" w:color="auto" w:fill="FFC000" w:themeFill="accent4"/>
            <w:tcMar>
              <w:top w:w="140" w:type="nil"/>
              <w:right w:w="140" w:type="nil"/>
            </w:tcMar>
            <w:vAlign w:val="center"/>
          </w:tcPr>
          <w:p w14:paraId="752CFE61" w14:textId="77777777" w:rsidR="00990DD4" w:rsidRPr="008D4068" w:rsidRDefault="00990DD4" w:rsidP="007D3192">
            <w:pPr>
              <w:pStyle w:val="TableHeader"/>
              <w:jc w:val="center"/>
              <w:rPr>
                <w:lang w:val="en-US"/>
              </w:rPr>
            </w:pPr>
            <w:r w:rsidRPr="008D4068">
              <w:rPr>
                <w:lang w:val="en-US"/>
              </w:rPr>
              <w:t>Monitoring Tools</w:t>
            </w:r>
          </w:p>
        </w:tc>
      </w:tr>
      <w:tr w:rsidR="00A005AB" w:rsidRPr="008D4068" w14:paraId="04FEF361" w14:textId="77777777" w:rsidTr="00767E76">
        <w:trPr>
          <w:gridAfter w:val="2"/>
          <w:wAfter w:w="500" w:type="pct"/>
          <w:tblHeader/>
        </w:trPr>
        <w:tc>
          <w:tcPr>
            <w:tcW w:w="1215" w:type="pct"/>
            <w:shd w:val="clear" w:color="auto" w:fill="FFC000" w:themeFill="accent4"/>
            <w:tcMar>
              <w:top w:w="140" w:type="nil"/>
              <w:right w:w="140" w:type="nil"/>
            </w:tcMar>
          </w:tcPr>
          <w:p w14:paraId="617CE8A8" w14:textId="77777777" w:rsidR="00990DD4" w:rsidRPr="008D4068" w:rsidRDefault="00990DD4" w:rsidP="00051808">
            <w:pPr>
              <w:pStyle w:val="TableHeader"/>
              <w:rPr>
                <w:lang w:val="en-US"/>
              </w:rPr>
            </w:pPr>
          </w:p>
        </w:tc>
        <w:tc>
          <w:tcPr>
            <w:tcW w:w="1064" w:type="pct"/>
            <w:shd w:val="clear" w:color="auto" w:fill="FFC000" w:themeFill="accent4"/>
            <w:tcMar>
              <w:top w:w="140" w:type="nil"/>
              <w:right w:w="140" w:type="nil"/>
            </w:tcMar>
            <w:vAlign w:val="center"/>
          </w:tcPr>
          <w:p w14:paraId="0FF664C1" w14:textId="36AB5113" w:rsidR="00990DD4" w:rsidRPr="008D4068" w:rsidRDefault="00990DD4" w:rsidP="007D3192">
            <w:pPr>
              <w:pStyle w:val="TableHeader"/>
              <w:jc w:val="center"/>
              <w:rPr>
                <w:lang w:val="en-US"/>
              </w:rPr>
            </w:pPr>
            <w:r>
              <w:rPr>
                <w:lang w:val="en-US"/>
              </w:rPr>
              <w:t>Two – Year Target</w:t>
            </w:r>
          </w:p>
        </w:tc>
        <w:tc>
          <w:tcPr>
            <w:tcW w:w="1094" w:type="pct"/>
            <w:shd w:val="clear" w:color="auto" w:fill="FFC000" w:themeFill="accent4"/>
            <w:tcMar>
              <w:top w:w="140" w:type="nil"/>
              <w:right w:w="140" w:type="nil"/>
            </w:tcMar>
            <w:vAlign w:val="center"/>
          </w:tcPr>
          <w:p w14:paraId="7A83ECEB" w14:textId="4BB8E5E3" w:rsidR="00990DD4" w:rsidRPr="008D4068" w:rsidRDefault="00990DD4" w:rsidP="007D3192">
            <w:pPr>
              <w:pStyle w:val="TableHeader"/>
              <w:jc w:val="center"/>
              <w:rPr>
                <w:lang w:val="en-US"/>
              </w:rPr>
            </w:pPr>
            <w:r>
              <w:rPr>
                <w:lang w:val="en-US"/>
              </w:rPr>
              <w:t>Four – Year Target</w:t>
            </w:r>
          </w:p>
        </w:tc>
        <w:tc>
          <w:tcPr>
            <w:tcW w:w="1127" w:type="pct"/>
            <w:shd w:val="clear" w:color="auto" w:fill="FFC000" w:themeFill="accent4"/>
            <w:tcMar>
              <w:top w:w="140" w:type="nil"/>
              <w:right w:w="140" w:type="nil"/>
            </w:tcMar>
            <w:vAlign w:val="center"/>
          </w:tcPr>
          <w:p w14:paraId="4C73793D" w14:textId="77777777" w:rsidR="00990DD4" w:rsidRPr="008D4068" w:rsidRDefault="00990DD4" w:rsidP="007D3192">
            <w:pPr>
              <w:pStyle w:val="TableHeader"/>
              <w:jc w:val="center"/>
              <w:rPr>
                <w:lang w:val="en-US"/>
              </w:rPr>
            </w:pPr>
          </w:p>
        </w:tc>
      </w:tr>
      <w:tr w:rsidR="00A005AB" w:rsidRPr="008D4068" w14:paraId="568BFF55" w14:textId="77777777" w:rsidTr="00767E76">
        <w:trPr>
          <w:gridAfter w:val="2"/>
          <w:wAfter w:w="500" w:type="pct"/>
        </w:trPr>
        <w:tc>
          <w:tcPr>
            <w:tcW w:w="4500" w:type="pct"/>
            <w:gridSpan w:val="4"/>
            <w:shd w:val="clear" w:color="auto" w:fill="DEEAF6" w:themeFill="accent1" w:themeFillTint="33"/>
            <w:tcMar>
              <w:top w:w="140" w:type="nil"/>
              <w:right w:w="140" w:type="nil"/>
            </w:tcMar>
          </w:tcPr>
          <w:p w14:paraId="420F0DAA" w14:textId="77777777" w:rsidR="00E037DB" w:rsidRPr="008D4068" w:rsidRDefault="00E037DB" w:rsidP="00051808">
            <w:pPr>
              <w:pStyle w:val="TableHeader"/>
            </w:pPr>
            <w:r w:rsidRPr="008D4068">
              <w:t xml:space="preserve">E4G Output 1: </w:t>
            </w:r>
            <w:r>
              <w:t>M</w:t>
            </w:r>
            <w:r w:rsidRPr="00DD25AD">
              <w:t>ore African men and women employed in higher skilled roles in, or deriving improved livelihoods from</w:t>
            </w:r>
            <w:r w:rsidRPr="00911441">
              <w:t xml:space="preserve"> </w:t>
            </w:r>
            <w:r>
              <w:t>the extractive sector</w:t>
            </w:r>
          </w:p>
        </w:tc>
      </w:tr>
      <w:tr w:rsidR="00A005AB" w:rsidRPr="008D4068" w14:paraId="0FA97E52" w14:textId="77777777" w:rsidTr="00767E76">
        <w:trPr>
          <w:gridAfter w:val="2"/>
          <w:wAfter w:w="500" w:type="pct"/>
        </w:trPr>
        <w:tc>
          <w:tcPr>
            <w:tcW w:w="1215" w:type="pct"/>
            <w:shd w:val="clear" w:color="auto" w:fill="auto"/>
            <w:tcMar>
              <w:top w:w="140" w:type="nil"/>
              <w:right w:w="140" w:type="nil"/>
            </w:tcMar>
          </w:tcPr>
          <w:p w14:paraId="53CF5225" w14:textId="77777777" w:rsidR="00990DD4" w:rsidRPr="008D4068" w:rsidRDefault="00990DD4" w:rsidP="00051808">
            <w:pPr>
              <w:pStyle w:val="TableTEXT"/>
              <w:spacing w:after="120"/>
            </w:pPr>
            <w:r w:rsidRPr="008D4068">
              <w:t>The weak capacity of educational and technical</w:t>
            </w:r>
            <w:r>
              <w:t xml:space="preserve"> / </w:t>
            </w:r>
            <w:r w:rsidRPr="008D4068">
              <w:t xml:space="preserve">vocational training institutions to deliver the quality and quantity of skilled workers to the market is well recognised in Africa. </w:t>
            </w:r>
          </w:p>
          <w:p w14:paraId="538F2F5B" w14:textId="77777777" w:rsidR="00990DD4" w:rsidRPr="008D4068" w:rsidRDefault="00990DD4" w:rsidP="00051808">
            <w:pPr>
              <w:pStyle w:val="TableTEXT"/>
              <w:spacing w:after="120"/>
            </w:pPr>
            <w:r w:rsidRPr="008D4068">
              <w:t>African educational providers have historically failed to develop industry-responsive training.</w:t>
            </w:r>
          </w:p>
          <w:p w14:paraId="37188EB3" w14:textId="77777777" w:rsidR="00990DD4" w:rsidRPr="008D4068" w:rsidRDefault="00990DD4" w:rsidP="00051808">
            <w:pPr>
              <w:pStyle w:val="TableTEXT"/>
              <w:spacing w:after="120"/>
            </w:pPr>
            <w:r w:rsidRPr="008D4068">
              <w:t xml:space="preserve">The </w:t>
            </w:r>
            <w:proofErr w:type="spellStart"/>
            <w:r w:rsidRPr="008D4068">
              <w:t>GoA</w:t>
            </w:r>
            <w:proofErr w:type="spellEnd"/>
            <w:r w:rsidRPr="008D4068">
              <w:t xml:space="preserve"> has supported capacity development and training in Africa since 1960s albeit it has tended to focus on individuals as opposed to African institutions.</w:t>
            </w:r>
          </w:p>
          <w:p w14:paraId="44273E4C" w14:textId="263F6776" w:rsidR="00990DD4" w:rsidRPr="008D4068" w:rsidRDefault="00990DD4" w:rsidP="00811E43">
            <w:pPr>
              <w:pStyle w:val="TableTEXT"/>
              <w:spacing w:after="120"/>
            </w:pPr>
            <w:r w:rsidRPr="008D4068">
              <w:t xml:space="preserve">The </w:t>
            </w:r>
            <w:proofErr w:type="spellStart"/>
            <w:r w:rsidRPr="008D4068">
              <w:t>GoA</w:t>
            </w:r>
            <w:proofErr w:type="spellEnd"/>
            <w:r w:rsidRPr="008D4068">
              <w:t xml:space="preserve"> has supported study tours that explored </w:t>
            </w:r>
            <w:r w:rsidR="00811E43">
              <w:t>skills gaps</w:t>
            </w:r>
            <w:r w:rsidR="00811E43" w:rsidRPr="008D4068">
              <w:t xml:space="preserve"> </w:t>
            </w:r>
            <w:r w:rsidRPr="008D4068">
              <w:t xml:space="preserve">in the </w:t>
            </w:r>
            <w:r>
              <w:t>Extractive sectors between 2011 and 2014</w:t>
            </w:r>
          </w:p>
        </w:tc>
        <w:tc>
          <w:tcPr>
            <w:tcW w:w="1064" w:type="pct"/>
            <w:shd w:val="clear" w:color="auto" w:fill="auto"/>
            <w:tcMar>
              <w:top w:w="140" w:type="nil"/>
              <w:right w:w="140" w:type="nil"/>
            </w:tcMar>
          </w:tcPr>
          <w:p w14:paraId="0714D855" w14:textId="77777777" w:rsidR="00811E43" w:rsidRPr="0064087D" w:rsidRDefault="00811E43" w:rsidP="00811E43">
            <w:pPr>
              <w:pStyle w:val="TableTEXT"/>
            </w:pPr>
            <w:r>
              <w:t xml:space="preserve">In each of the three focus countries at least two activities are completed which demonstrate that </w:t>
            </w:r>
            <w:r w:rsidRPr="0064087D">
              <w:t>Governments and companies are better able to satisfy their recruitment requirements through increased access to a more skilled local workforce, demonstrating the economic growth and job creation benefits of extractives development</w:t>
            </w:r>
          </w:p>
          <w:p w14:paraId="12F9DD92" w14:textId="77777777" w:rsidR="00990DD4" w:rsidRPr="00762C3F" w:rsidRDefault="00990DD4" w:rsidP="00051808">
            <w:pPr>
              <w:pStyle w:val="tablecrossheading"/>
            </w:pPr>
            <w:r w:rsidRPr="00762C3F">
              <w:t>Gender</w:t>
            </w:r>
            <w:r>
              <w:t xml:space="preserve"> / </w:t>
            </w:r>
            <w:r w:rsidRPr="00762C3F">
              <w:t xml:space="preserve">social target: </w:t>
            </w:r>
          </w:p>
          <w:p w14:paraId="16B5E66F" w14:textId="1986087F" w:rsidR="00990DD4" w:rsidRPr="00E32001" w:rsidRDefault="00811E43" w:rsidP="00051808">
            <w:pPr>
              <w:pStyle w:val="TableTEXT"/>
            </w:pPr>
            <w:r>
              <w:t>All</w:t>
            </w:r>
            <w:r w:rsidRPr="0064087D">
              <w:t xml:space="preserve"> extractive- related </w:t>
            </w:r>
            <w:r>
              <w:t>AAPF activities</w:t>
            </w:r>
            <w:r w:rsidRPr="0064087D">
              <w:t xml:space="preserve"> </w:t>
            </w:r>
            <w:r>
              <w:t xml:space="preserve">designed, implemented and evaluated to </w:t>
            </w:r>
            <w:r w:rsidRPr="0064087D">
              <w:t xml:space="preserve">meet the needs of the extractive sector, </w:t>
            </w:r>
            <w:r>
              <w:t xml:space="preserve">are assessed to </w:t>
            </w:r>
            <w:r w:rsidRPr="0064087D">
              <w:t>being socially and gender inclusive</w:t>
            </w:r>
          </w:p>
        </w:tc>
        <w:tc>
          <w:tcPr>
            <w:tcW w:w="1094" w:type="pct"/>
            <w:shd w:val="clear" w:color="auto" w:fill="auto"/>
            <w:tcMar>
              <w:top w:w="140" w:type="nil"/>
              <w:right w:w="140" w:type="nil"/>
            </w:tcMar>
          </w:tcPr>
          <w:p w14:paraId="410B7B3C" w14:textId="77777777" w:rsidR="00811E43" w:rsidRPr="0064087D" w:rsidRDefault="00811E43" w:rsidP="00811E43">
            <w:pPr>
              <w:pStyle w:val="TableTEXT"/>
            </w:pPr>
            <w:r>
              <w:t xml:space="preserve">In each of the three focus countries at least two activities are completed which demonstrate that </w:t>
            </w:r>
            <w:r w:rsidRPr="0064087D">
              <w:t>Governments and companies are better able to satisfy their recruitment requirements through increased access to a more skilled local workforce, demonstrating the economic growth and job creation benefits of extractives development</w:t>
            </w:r>
          </w:p>
          <w:p w14:paraId="290EF74F" w14:textId="77777777" w:rsidR="00990DD4" w:rsidRPr="00762C3F" w:rsidRDefault="00990DD4" w:rsidP="00051808">
            <w:pPr>
              <w:pStyle w:val="tablecrossheading"/>
            </w:pPr>
            <w:r w:rsidRPr="00762C3F">
              <w:t>Gender</w:t>
            </w:r>
            <w:r>
              <w:t xml:space="preserve"> / </w:t>
            </w:r>
            <w:r w:rsidRPr="00762C3F">
              <w:t xml:space="preserve">social target: </w:t>
            </w:r>
          </w:p>
          <w:p w14:paraId="3E326060" w14:textId="10D7C17E" w:rsidR="00990DD4" w:rsidRPr="00E32001" w:rsidRDefault="00811E43" w:rsidP="00051808">
            <w:pPr>
              <w:pStyle w:val="TableTEXT"/>
            </w:pPr>
            <w:r>
              <w:t>All</w:t>
            </w:r>
            <w:r w:rsidRPr="0064087D">
              <w:t xml:space="preserve"> extractive- related </w:t>
            </w:r>
            <w:r>
              <w:t>AAPF activities</w:t>
            </w:r>
            <w:r w:rsidRPr="0064087D">
              <w:t xml:space="preserve"> </w:t>
            </w:r>
            <w:r>
              <w:t xml:space="preserve">designed, implemented and evaluated to </w:t>
            </w:r>
            <w:r w:rsidRPr="0064087D">
              <w:t xml:space="preserve">meet the needs of the extractive sector, </w:t>
            </w:r>
            <w:r>
              <w:t xml:space="preserve">are assessed to </w:t>
            </w:r>
            <w:r w:rsidRPr="0064087D">
              <w:t>being socially and gender inclusive</w:t>
            </w:r>
          </w:p>
        </w:tc>
        <w:tc>
          <w:tcPr>
            <w:tcW w:w="1127" w:type="pct"/>
            <w:shd w:val="clear" w:color="auto" w:fill="auto"/>
            <w:tcMar>
              <w:top w:w="140" w:type="nil"/>
              <w:right w:w="140" w:type="nil"/>
            </w:tcMar>
          </w:tcPr>
          <w:p w14:paraId="69BDD1C8" w14:textId="29843578" w:rsidR="00990DD4" w:rsidRPr="008D4068" w:rsidRDefault="00014D8F" w:rsidP="00051808">
            <w:pPr>
              <w:pStyle w:val="Table-list-bullet"/>
            </w:pPr>
            <w:r>
              <w:t>Labour Statistics Survey</w:t>
            </w:r>
          </w:p>
          <w:p w14:paraId="3225D021" w14:textId="77777777" w:rsidR="00990DD4" w:rsidRPr="008D4068" w:rsidRDefault="00990DD4" w:rsidP="00051808">
            <w:pPr>
              <w:pStyle w:val="tablecrossheading"/>
            </w:pPr>
            <w:r>
              <w:t>Baseline Information Sources</w:t>
            </w:r>
          </w:p>
          <w:p w14:paraId="6FAE6018" w14:textId="77777777" w:rsidR="00990DD4" w:rsidRPr="008D4068" w:rsidRDefault="00990DD4" w:rsidP="00051808">
            <w:pPr>
              <w:pStyle w:val="TableTEXT"/>
              <w:rPr>
                <w:rFonts w:cs="Arial"/>
                <w:sz w:val="18"/>
                <w:szCs w:val="18"/>
              </w:rPr>
            </w:pPr>
            <w:r w:rsidRPr="00EB0DB7">
              <w:t>AAPF completion reports, activity completion reports, scoping mission reports and database</w:t>
            </w:r>
          </w:p>
        </w:tc>
      </w:tr>
      <w:tr w:rsidR="00E037DB" w:rsidRPr="008D4068" w14:paraId="180F622C" w14:textId="77777777" w:rsidTr="00767E76">
        <w:tc>
          <w:tcPr>
            <w:tcW w:w="5000" w:type="pct"/>
            <w:gridSpan w:val="6"/>
            <w:shd w:val="clear" w:color="auto" w:fill="DEEAF6" w:themeFill="accent1" w:themeFillTint="33"/>
            <w:tcMar>
              <w:top w:w="140" w:type="nil"/>
              <w:right w:w="140" w:type="nil"/>
            </w:tcMar>
          </w:tcPr>
          <w:p w14:paraId="745FBE2B" w14:textId="77777777" w:rsidR="00E037DB" w:rsidRPr="008D4068" w:rsidRDefault="00E037DB" w:rsidP="00051808">
            <w:pPr>
              <w:pStyle w:val="TableHeader"/>
            </w:pPr>
            <w:r w:rsidRPr="008D4068">
              <w:t xml:space="preserve">E4G Output 2: </w:t>
            </w:r>
            <w:r>
              <w:rPr>
                <w:szCs w:val="20"/>
              </w:rPr>
              <w:t>I</w:t>
            </w:r>
            <w:r w:rsidRPr="008C57DB">
              <w:rPr>
                <w:szCs w:val="20"/>
              </w:rPr>
              <w:t xml:space="preserve">mproved enabling environments which encourage, attract and support quality </w:t>
            </w:r>
            <w:r>
              <w:rPr>
                <w:szCs w:val="20"/>
              </w:rPr>
              <w:t xml:space="preserve">extractive-related </w:t>
            </w:r>
            <w:r w:rsidRPr="008C57DB">
              <w:rPr>
                <w:szCs w:val="20"/>
              </w:rPr>
              <w:t>investments by the public, pr</w:t>
            </w:r>
            <w:r>
              <w:rPr>
                <w:szCs w:val="20"/>
              </w:rPr>
              <w:t>ivate and civil society sectors</w:t>
            </w:r>
          </w:p>
        </w:tc>
      </w:tr>
      <w:tr w:rsidR="00A005AB" w:rsidRPr="008D4068" w14:paraId="1D532F55" w14:textId="77777777" w:rsidTr="00767E76">
        <w:trPr>
          <w:gridAfter w:val="2"/>
          <w:wAfter w:w="500" w:type="pct"/>
        </w:trPr>
        <w:tc>
          <w:tcPr>
            <w:tcW w:w="1215" w:type="pct"/>
            <w:shd w:val="clear" w:color="auto" w:fill="auto"/>
            <w:tcMar>
              <w:top w:w="140" w:type="nil"/>
              <w:right w:w="140" w:type="nil"/>
            </w:tcMar>
          </w:tcPr>
          <w:p w14:paraId="2135F0DA" w14:textId="77777777" w:rsidR="00A005AB" w:rsidRPr="008D4068" w:rsidRDefault="00A005AB" w:rsidP="00051808">
            <w:pPr>
              <w:pStyle w:val="TableTEXT"/>
              <w:spacing w:after="120"/>
            </w:pPr>
            <w:r w:rsidRPr="008D4068">
              <w:t>African countries have much to gain from ensuring that their extractive sectors are well managed and globally competitive – that is, that an appropriate enabling environment is in place. Causes of a weak enabling environment are inextricably</w:t>
            </w:r>
            <w:r>
              <w:t xml:space="preserve"> linked to skills </w:t>
            </w:r>
            <w:r w:rsidRPr="00D907AE">
              <w:t>development (Pillar 1),</w:t>
            </w:r>
            <w:r w:rsidRPr="008D4068">
              <w:t xml:space="preserve"> compounded by a lack of understanding between industry and government on respective decision making timeframes and motivational drivers. Issues in Africa that underpin a competitive mining sector include inadequate polices, the lack of robust legislation and regulations, and immature fiscal policies.</w:t>
            </w:r>
          </w:p>
          <w:p w14:paraId="2D659DE2" w14:textId="77777777" w:rsidR="00A005AB" w:rsidRPr="008D4068" w:rsidRDefault="00A005AB" w:rsidP="00051808">
            <w:pPr>
              <w:pStyle w:val="TableTEXT"/>
              <w:spacing w:after="120"/>
            </w:pPr>
            <w:r w:rsidRPr="008D4068">
              <w:t xml:space="preserve">The </w:t>
            </w:r>
            <w:proofErr w:type="spellStart"/>
            <w:r w:rsidRPr="008D4068">
              <w:t>GoA</w:t>
            </w:r>
            <w:proofErr w:type="spellEnd"/>
            <w:r w:rsidRPr="008D4068">
              <w:t xml:space="preserve"> has supported study tours and TA that have explored the enabling environment between 2011 and 2014</w:t>
            </w:r>
          </w:p>
        </w:tc>
        <w:tc>
          <w:tcPr>
            <w:tcW w:w="1064" w:type="pct"/>
            <w:shd w:val="clear" w:color="auto" w:fill="auto"/>
            <w:tcMar>
              <w:top w:w="140" w:type="nil"/>
              <w:right w:w="140" w:type="nil"/>
            </w:tcMar>
          </w:tcPr>
          <w:p w14:paraId="351085BA" w14:textId="77777777" w:rsidR="00A005AB" w:rsidRPr="008D4068" w:rsidRDefault="00A005AB" w:rsidP="00ED2B41">
            <w:pPr>
              <w:pStyle w:val="Table-list-bullet"/>
              <w:rPr>
                <w:lang w:val="en-GB"/>
              </w:rPr>
            </w:pPr>
            <w:r w:rsidRPr="008D4068">
              <w:rPr>
                <w:lang w:val="en-GB"/>
              </w:rPr>
              <w:t xml:space="preserve">Minimum one </w:t>
            </w:r>
            <w:r w:rsidRPr="00ED2B41">
              <w:rPr>
                <w:lang w:val="en-GB"/>
              </w:rPr>
              <w:t xml:space="preserve">Regulatory Environment for Investment </w:t>
            </w:r>
            <w:r>
              <w:rPr>
                <w:lang w:val="en-GB"/>
              </w:rPr>
              <w:t>(</w:t>
            </w:r>
            <w:r w:rsidRPr="008D4068">
              <w:rPr>
                <w:lang w:val="en-GB"/>
              </w:rPr>
              <w:t>RE</w:t>
            </w:r>
            <w:proofErr w:type="gramStart"/>
            <w:r>
              <w:rPr>
                <w:lang w:val="en-GB"/>
              </w:rPr>
              <w:t>)</w:t>
            </w:r>
            <w:r w:rsidRPr="008D4068">
              <w:rPr>
                <w:lang w:val="en-GB"/>
              </w:rPr>
              <w:t>I</w:t>
            </w:r>
            <w:proofErr w:type="gramEnd"/>
            <w:r w:rsidRPr="008D4068">
              <w:rPr>
                <w:lang w:val="en-GB"/>
              </w:rPr>
              <w:t xml:space="preserve"> initiative commenced in each of the three </w:t>
            </w:r>
            <w:r>
              <w:rPr>
                <w:lang w:val="en-GB"/>
              </w:rPr>
              <w:t>Focus Countries</w:t>
            </w:r>
            <w:r w:rsidRPr="008D4068">
              <w:rPr>
                <w:lang w:val="en-GB"/>
              </w:rPr>
              <w:t>.</w:t>
            </w:r>
          </w:p>
          <w:p w14:paraId="55E6FE1F" w14:textId="77777777" w:rsidR="00A005AB" w:rsidRPr="008D4068" w:rsidRDefault="00A005AB" w:rsidP="00051808">
            <w:pPr>
              <w:pStyle w:val="Table-list-bullet"/>
              <w:rPr>
                <w:lang w:val="en-GB"/>
              </w:rPr>
            </w:pPr>
            <w:r w:rsidRPr="008D4068">
              <w:rPr>
                <w:lang w:val="en-GB"/>
              </w:rPr>
              <w:t xml:space="preserve">3 REI initiatives commenced across the </w:t>
            </w:r>
            <w:r>
              <w:rPr>
                <w:lang w:val="en-GB"/>
              </w:rPr>
              <w:t>Target Countries</w:t>
            </w:r>
          </w:p>
          <w:p w14:paraId="19AFC507" w14:textId="77777777" w:rsidR="00A005AB" w:rsidRPr="00B912A7" w:rsidRDefault="00A005AB" w:rsidP="00051808">
            <w:pPr>
              <w:widowControl w:val="0"/>
              <w:autoSpaceDE w:val="0"/>
              <w:autoSpaceDN w:val="0"/>
              <w:adjustRightInd w:val="0"/>
              <w:rPr>
                <w:rFonts w:cs="Arial"/>
                <w:b/>
                <w:sz w:val="16"/>
                <w:szCs w:val="18"/>
              </w:rPr>
            </w:pPr>
            <w:r w:rsidRPr="00B912A7">
              <w:rPr>
                <w:rFonts w:cs="Arial"/>
                <w:b/>
                <w:sz w:val="16"/>
                <w:szCs w:val="18"/>
              </w:rPr>
              <w:t xml:space="preserve">Gender / social target: </w:t>
            </w:r>
          </w:p>
          <w:p w14:paraId="07266840" w14:textId="77777777" w:rsidR="00A005AB" w:rsidRPr="008D4068" w:rsidRDefault="00A005AB" w:rsidP="00051808">
            <w:pPr>
              <w:pStyle w:val="TableTEXT"/>
              <w:rPr>
                <w:lang w:val="en-GB"/>
              </w:rPr>
            </w:pPr>
            <w:r w:rsidRPr="008D4068">
              <w:t xml:space="preserve">At least </w:t>
            </w:r>
            <w:r w:rsidRPr="008D4068">
              <w:rPr>
                <w:lang w:val="en-GB"/>
              </w:rPr>
              <w:t>one REI initiative</w:t>
            </w:r>
            <w:r w:rsidRPr="008D4068">
              <w:t xml:space="preserve"> commenced that supports gender and social inclusion in design and implementation </w:t>
            </w:r>
          </w:p>
        </w:tc>
        <w:tc>
          <w:tcPr>
            <w:tcW w:w="1094" w:type="pct"/>
            <w:shd w:val="clear" w:color="auto" w:fill="auto"/>
            <w:tcMar>
              <w:top w:w="140" w:type="nil"/>
              <w:right w:w="140" w:type="nil"/>
            </w:tcMar>
          </w:tcPr>
          <w:p w14:paraId="51BA14E8" w14:textId="77777777" w:rsidR="00A005AB" w:rsidRPr="008D4068" w:rsidRDefault="00A005AB" w:rsidP="00051808">
            <w:pPr>
              <w:pStyle w:val="Table-list-bullet"/>
              <w:rPr>
                <w:lang w:val="en-GB"/>
              </w:rPr>
            </w:pPr>
            <w:r w:rsidRPr="008D4068">
              <w:rPr>
                <w:lang w:val="en-GB"/>
              </w:rPr>
              <w:t xml:space="preserve">Minimum one REI initiative completed in each of the three </w:t>
            </w:r>
            <w:r>
              <w:rPr>
                <w:lang w:val="en-GB"/>
              </w:rPr>
              <w:t>Focus Countries</w:t>
            </w:r>
            <w:r w:rsidRPr="008D4068">
              <w:rPr>
                <w:lang w:val="en-GB"/>
              </w:rPr>
              <w:t>.</w:t>
            </w:r>
          </w:p>
          <w:p w14:paraId="6AC0D78E" w14:textId="77777777" w:rsidR="00A005AB" w:rsidRPr="008D4068" w:rsidRDefault="00A005AB" w:rsidP="00051808">
            <w:pPr>
              <w:pStyle w:val="Table-list-bullet"/>
            </w:pPr>
            <w:r w:rsidRPr="008D4068">
              <w:rPr>
                <w:lang w:val="en-GB"/>
              </w:rPr>
              <w:t xml:space="preserve">7 REI initiatives across the </w:t>
            </w:r>
            <w:r>
              <w:rPr>
                <w:lang w:val="en-GB"/>
              </w:rPr>
              <w:t>Target Countries</w:t>
            </w:r>
          </w:p>
          <w:p w14:paraId="031A432C" w14:textId="77777777" w:rsidR="00A005AB" w:rsidRPr="00B912A7" w:rsidRDefault="00A005AB" w:rsidP="00051808">
            <w:pPr>
              <w:widowControl w:val="0"/>
              <w:autoSpaceDE w:val="0"/>
              <w:autoSpaceDN w:val="0"/>
              <w:adjustRightInd w:val="0"/>
              <w:rPr>
                <w:rFonts w:cs="Arial"/>
                <w:b/>
                <w:sz w:val="16"/>
                <w:szCs w:val="18"/>
              </w:rPr>
            </w:pPr>
            <w:r w:rsidRPr="00B912A7">
              <w:rPr>
                <w:rFonts w:cs="Arial"/>
                <w:b/>
                <w:sz w:val="16"/>
                <w:szCs w:val="18"/>
              </w:rPr>
              <w:t xml:space="preserve">Gender / social target: </w:t>
            </w:r>
          </w:p>
          <w:p w14:paraId="218FA7A2" w14:textId="77777777" w:rsidR="00A005AB" w:rsidRPr="008D4068" w:rsidRDefault="00A005AB" w:rsidP="00051808">
            <w:pPr>
              <w:pStyle w:val="TableTEXT"/>
            </w:pPr>
            <w:r w:rsidRPr="008D4068">
              <w:t>At least one REI initiative completed that supports gender and social inclusion in design, implementation and evaluation</w:t>
            </w:r>
          </w:p>
        </w:tc>
        <w:tc>
          <w:tcPr>
            <w:tcW w:w="1127" w:type="pct"/>
            <w:shd w:val="clear" w:color="auto" w:fill="auto"/>
            <w:tcMar>
              <w:top w:w="140" w:type="nil"/>
              <w:right w:w="140" w:type="nil"/>
            </w:tcMar>
          </w:tcPr>
          <w:p w14:paraId="728073ED" w14:textId="77777777" w:rsidR="00A005AB" w:rsidRPr="008D4068" w:rsidRDefault="00A005AB" w:rsidP="00051808">
            <w:pPr>
              <w:pStyle w:val="Table-list-bullet"/>
            </w:pPr>
            <w:r w:rsidRPr="008D4068">
              <w:t>AADP progress reports</w:t>
            </w:r>
          </w:p>
          <w:p w14:paraId="44EC3B0A" w14:textId="77777777" w:rsidR="00A005AB" w:rsidRPr="008D4068" w:rsidRDefault="00A005AB" w:rsidP="00051808">
            <w:pPr>
              <w:pStyle w:val="Table-list-bullet"/>
            </w:pPr>
            <w:r w:rsidRPr="008D4068">
              <w:t>AADP Pilot evaluations</w:t>
            </w:r>
          </w:p>
          <w:p w14:paraId="35A1D6DC" w14:textId="77777777" w:rsidR="00A005AB" w:rsidRPr="008D4068" w:rsidRDefault="00A005AB" w:rsidP="00051808">
            <w:pPr>
              <w:pStyle w:val="Table-list-bullet"/>
            </w:pPr>
            <w:r w:rsidRPr="008D4068">
              <w:t>AADP Mid Term Review</w:t>
            </w:r>
          </w:p>
          <w:p w14:paraId="1CBC82CD" w14:textId="77777777" w:rsidR="00A005AB" w:rsidRPr="008D4068" w:rsidRDefault="00A005AB" w:rsidP="00051808">
            <w:pPr>
              <w:pStyle w:val="Table-list-bullet"/>
            </w:pPr>
            <w:r w:rsidRPr="008D4068">
              <w:t>REI Tool</w:t>
            </w:r>
            <w:r w:rsidRPr="009C0C26">
              <w:rPr>
                <w:vertAlign w:val="superscript"/>
              </w:rPr>
              <w:footnoteReference w:id="44"/>
            </w:r>
          </w:p>
          <w:p w14:paraId="06F2B3E4" w14:textId="77777777" w:rsidR="00A005AB" w:rsidRPr="008D4068" w:rsidRDefault="00A005AB" w:rsidP="00051808">
            <w:pPr>
              <w:pStyle w:val="tablecrossheading"/>
            </w:pPr>
            <w:r>
              <w:t>Baseline Information Sources</w:t>
            </w:r>
          </w:p>
          <w:p w14:paraId="27EBD4E5" w14:textId="77777777" w:rsidR="00A005AB" w:rsidRPr="008D4068" w:rsidRDefault="00A005AB" w:rsidP="00051808">
            <w:pPr>
              <w:pStyle w:val="TableTEXT"/>
            </w:pPr>
            <w:r w:rsidRPr="008D4068">
              <w:t>AAPF completion reports, activity completion reports, scoping mission reports and database</w:t>
            </w:r>
          </w:p>
        </w:tc>
      </w:tr>
      <w:tr w:rsidR="00A005AB" w:rsidRPr="008D4068" w14:paraId="3DEF09B8" w14:textId="77777777" w:rsidTr="00767E76">
        <w:trPr>
          <w:gridAfter w:val="1"/>
          <w:wAfter w:w="470" w:type="pct"/>
        </w:trPr>
        <w:tc>
          <w:tcPr>
            <w:tcW w:w="4530" w:type="pct"/>
            <w:gridSpan w:val="5"/>
            <w:shd w:val="clear" w:color="auto" w:fill="DEEAF6" w:themeFill="accent1" w:themeFillTint="33"/>
            <w:tcMar>
              <w:top w:w="140" w:type="nil"/>
              <w:right w:w="140" w:type="nil"/>
            </w:tcMar>
          </w:tcPr>
          <w:p w14:paraId="1B4B9710" w14:textId="7BFA6629" w:rsidR="00E037DB" w:rsidRPr="008D4068" w:rsidRDefault="00E037DB" w:rsidP="00A005AB">
            <w:pPr>
              <w:pStyle w:val="TableHeader"/>
            </w:pPr>
            <w:r>
              <w:t>E4G Output 3</w:t>
            </w:r>
            <w:r w:rsidRPr="008D4068">
              <w:t xml:space="preserve">: </w:t>
            </w:r>
            <w:r w:rsidR="00A005AB">
              <w:t>Men, women, communities and local governments benefit equitably from extractives</w:t>
            </w:r>
          </w:p>
        </w:tc>
      </w:tr>
      <w:tr w:rsidR="00A005AB" w:rsidRPr="008D4068" w14:paraId="2D548442" w14:textId="77777777" w:rsidTr="00767E76">
        <w:trPr>
          <w:gridAfter w:val="2"/>
          <w:wAfter w:w="500" w:type="pct"/>
        </w:trPr>
        <w:tc>
          <w:tcPr>
            <w:tcW w:w="1215" w:type="pct"/>
            <w:shd w:val="clear" w:color="auto" w:fill="auto"/>
            <w:tcMar>
              <w:top w:w="140" w:type="nil"/>
              <w:right w:w="140" w:type="nil"/>
            </w:tcMar>
          </w:tcPr>
          <w:p w14:paraId="1654A792" w14:textId="77777777" w:rsidR="00A005AB" w:rsidRPr="008D4068" w:rsidRDefault="00A005AB" w:rsidP="00051808">
            <w:pPr>
              <w:pStyle w:val="TableTEXT"/>
              <w:spacing w:after="120"/>
            </w:pPr>
            <w:r w:rsidRPr="008D4068">
              <w:t>While mining can help build resilient local economies and communities there is little evidence of this to date in Africa.</w:t>
            </w:r>
          </w:p>
          <w:p w14:paraId="48AD49B4" w14:textId="77777777" w:rsidR="00A005AB" w:rsidRDefault="00A005AB" w:rsidP="00051808">
            <w:pPr>
              <w:pStyle w:val="TableTEXT"/>
              <w:spacing w:after="120"/>
            </w:pPr>
            <w:r w:rsidRPr="008D4068">
              <w:t>Reasons for this are multi-faceted and include lack of information power and capacity asymmetries (both communities and companies experience this); piecemeal approaches to Corporate Social Responsibility and local development; lack of community engagement in strategy development; weak partnerships; exacerbation of existing inequalities (gender equality); lack of access and capacity in local markets; failure to coordinate across communities and districts; and absence of appropriate dispute resolution processes.</w:t>
            </w:r>
          </w:p>
          <w:p w14:paraId="4245AFA6" w14:textId="401C4E5C" w:rsidR="00A005AB" w:rsidRPr="008D4068" w:rsidRDefault="00A005AB" w:rsidP="00051808">
            <w:pPr>
              <w:pStyle w:val="TableTEXT"/>
              <w:spacing w:after="120"/>
            </w:pPr>
            <w:r w:rsidRPr="008D4068">
              <w:t xml:space="preserve">The </w:t>
            </w:r>
            <w:proofErr w:type="spellStart"/>
            <w:r w:rsidRPr="008D4068">
              <w:t>GoA</w:t>
            </w:r>
            <w:proofErr w:type="spellEnd"/>
            <w:r w:rsidRPr="008D4068">
              <w:t xml:space="preserve"> has supported study tours that explored procurement and local community issues in the </w:t>
            </w:r>
            <w:r>
              <w:t>Extractive</w:t>
            </w:r>
            <w:r w:rsidRPr="008D4068">
              <w:t xml:space="preserve"> s</w:t>
            </w:r>
            <w:r>
              <w:t>ectors between 2011 and 2014.</w:t>
            </w:r>
          </w:p>
        </w:tc>
        <w:tc>
          <w:tcPr>
            <w:tcW w:w="1064" w:type="pct"/>
            <w:shd w:val="clear" w:color="auto" w:fill="auto"/>
            <w:tcMar>
              <w:top w:w="140" w:type="nil"/>
              <w:right w:w="140" w:type="nil"/>
            </w:tcMar>
          </w:tcPr>
          <w:p w14:paraId="7F95CA5A" w14:textId="77777777" w:rsidR="00A005AB" w:rsidRDefault="00A005AB" w:rsidP="00A005AB">
            <w:pPr>
              <w:pStyle w:val="Table-list-bullet"/>
            </w:pPr>
            <w:r w:rsidRPr="00A005AB">
              <w:t>In each of the three focus countries at least one effective partnership between government (within and between different levels), private sector and communities is built which allows all stakeholders to minimise/manage the risks and maximize the opportunities resulting from extractive investments</w:t>
            </w:r>
          </w:p>
          <w:p w14:paraId="59F963BA" w14:textId="77777777" w:rsidR="00A005AB" w:rsidRPr="00951E43" w:rsidRDefault="00A005AB" w:rsidP="00051808">
            <w:pPr>
              <w:pStyle w:val="tablecrossheading"/>
            </w:pPr>
            <w:r w:rsidRPr="00951E43">
              <w:t>Gender</w:t>
            </w:r>
            <w:r>
              <w:t xml:space="preserve"> / </w:t>
            </w:r>
            <w:r w:rsidRPr="00951E43">
              <w:t xml:space="preserve">social target: </w:t>
            </w:r>
          </w:p>
          <w:p w14:paraId="4F73C563" w14:textId="77777777" w:rsidR="00A005AB" w:rsidRDefault="00A005AB" w:rsidP="00F32EF1">
            <w:pPr>
              <w:pStyle w:val="TableTEXT"/>
              <w:numPr>
                <w:ilvl w:val="0"/>
                <w:numId w:val="30"/>
              </w:numPr>
            </w:pPr>
            <w:r w:rsidRPr="008D4068">
              <w:t xml:space="preserve">At least two partnerships between </w:t>
            </w:r>
            <w:r>
              <w:t>extractive industries</w:t>
            </w:r>
            <w:r w:rsidRPr="008D4068">
              <w:t xml:space="preserve"> and communities that support gender and social inclusion in design, implementation and evaluation.</w:t>
            </w:r>
          </w:p>
          <w:p w14:paraId="2768599B" w14:textId="1A3A91F0" w:rsidR="00A005AB" w:rsidRPr="00951E43" w:rsidRDefault="00A005AB" w:rsidP="00A005AB">
            <w:pPr>
              <w:pStyle w:val="TableTEXT"/>
            </w:pPr>
          </w:p>
        </w:tc>
        <w:tc>
          <w:tcPr>
            <w:tcW w:w="1094" w:type="pct"/>
            <w:shd w:val="clear" w:color="auto" w:fill="auto"/>
            <w:tcMar>
              <w:top w:w="140" w:type="nil"/>
              <w:right w:w="140" w:type="nil"/>
            </w:tcMar>
          </w:tcPr>
          <w:p w14:paraId="4904CF00" w14:textId="2BEEEB87" w:rsidR="00A005AB" w:rsidRDefault="00A005AB" w:rsidP="00A005AB">
            <w:pPr>
              <w:pStyle w:val="Table-list-bullet"/>
            </w:pPr>
            <w:r w:rsidRPr="00A005AB">
              <w:t xml:space="preserve">In each of the three focus countries at least </w:t>
            </w:r>
            <w:r>
              <w:t>two</w:t>
            </w:r>
            <w:r w:rsidRPr="00A005AB">
              <w:t xml:space="preserve"> effective partnership</w:t>
            </w:r>
            <w:r w:rsidRPr="003E19B2">
              <w:t xml:space="preserve"> between government (within and between different levels), private sector and communities is built which allows all stakeholders to minimise/manage the risks and maximize the opportunities resulting from extractive investments</w:t>
            </w:r>
          </w:p>
          <w:p w14:paraId="710BAA9F" w14:textId="77777777" w:rsidR="00A005AB" w:rsidRPr="00951E43" w:rsidRDefault="00A005AB" w:rsidP="00051808">
            <w:pPr>
              <w:pStyle w:val="tablecrossheading"/>
            </w:pPr>
            <w:r w:rsidRPr="00951E43">
              <w:t>Gender</w:t>
            </w:r>
            <w:r>
              <w:t xml:space="preserve"> / </w:t>
            </w:r>
            <w:r w:rsidRPr="00951E43">
              <w:t xml:space="preserve">social target: </w:t>
            </w:r>
          </w:p>
          <w:p w14:paraId="679D7E5C" w14:textId="77777777" w:rsidR="00A005AB" w:rsidRDefault="00A005AB" w:rsidP="00F32EF1">
            <w:pPr>
              <w:pStyle w:val="TableTEXT"/>
              <w:numPr>
                <w:ilvl w:val="0"/>
                <w:numId w:val="31"/>
              </w:numPr>
            </w:pPr>
            <w:r w:rsidRPr="008D4068">
              <w:t>At least four partnerships between EI and communities that support gender and social inclusion in design, implementation and evaluation</w:t>
            </w:r>
          </w:p>
          <w:p w14:paraId="20057F24" w14:textId="1C162FF5" w:rsidR="00A005AB" w:rsidRPr="008D4068" w:rsidRDefault="00A005AB" w:rsidP="00F32EF1">
            <w:pPr>
              <w:pStyle w:val="TableTEXT"/>
              <w:numPr>
                <w:ilvl w:val="0"/>
                <w:numId w:val="31"/>
              </w:numPr>
            </w:pPr>
          </w:p>
        </w:tc>
        <w:tc>
          <w:tcPr>
            <w:tcW w:w="1127" w:type="pct"/>
            <w:shd w:val="clear" w:color="auto" w:fill="auto"/>
            <w:tcMar>
              <w:top w:w="140" w:type="nil"/>
              <w:right w:w="140" w:type="nil"/>
            </w:tcMar>
          </w:tcPr>
          <w:p w14:paraId="33043614" w14:textId="77777777" w:rsidR="00A005AB" w:rsidRPr="008D4068" w:rsidRDefault="00A005AB" w:rsidP="00051808">
            <w:pPr>
              <w:pStyle w:val="Table-list-bullet"/>
            </w:pPr>
            <w:r w:rsidRPr="008D4068">
              <w:t>AADP progress reports</w:t>
            </w:r>
          </w:p>
          <w:p w14:paraId="439B7C33" w14:textId="77777777" w:rsidR="00A005AB" w:rsidRPr="008D4068" w:rsidRDefault="00A005AB" w:rsidP="00051808">
            <w:pPr>
              <w:pStyle w:val="Table-list-bullet"/>
            </w:pPr>
            <w:r w:rsidRPr="008D4068">
              <w:t>AADP Pilot evaluations</w:t>
            </w:r>
          </w:p>
          <w:p w14:paraId="3EF88FB0" w14:textId="77777777" w:rsidR="00A005AB" w:rsidRDefault="00A005AB" w:rsidP="00051808">
            <w:pPr>
              <w:pStyle w:val="Table-list-bullet"/>
            </w:pPr>
            <w:r w:rsidRPr="008D4068">
              <w:t>AADP Mid Term Review</w:t>
            </w:r>
          </w:p>
          <w:p w14:paraId="60AD20A3" w14:textId="22E14723" w:rsidR="00A005AB" w:rsidRPr="008D4068" w:rsidRDefault="00A005AB" w:rsidP="00051808">
            <w:pPr>
              <w:pStyle w:val="Table-list-bullet"/>
              <w:rPr>
                <w:lang w:val="en-GB"/>
              </w:rPr>
            </w:pPr>
            <w:r w:rsidRPr="008D4068">
              <w:rPr>
                <w:lang w:val="en-GB"/>
              </w:rPr>
              <w:t>KAP survey</w:t>
            </w:r>
            <w:r w:rsidR="00554D17">
              <w:rPr>
                <w:lang w:val="en-GB"/>
              </w:rPr>
              <w:t xml:space="preserve"> of participants</w:t>
            </w:r>
          </w:p>
          <w:p w14:paraId="6CC9F4EA" w14:textId="77777777" w:rsidR="00A005AB" w:rsidRPr="008D4068" w:rsidRDefault="00A005AB" w:rsidP="00051808">
            <w:pPr>
              <w:pStyle w:val="Table-list-bullet"/>
              <w:ind w:left="357"/>
            </w:pPr>
          </w:p>
          <w:p w14:paraId="1AC59DD6" w14:textId="77777777" w:rsidR="00A005AB" w:rsidRPr="008D4068" w:rsidRDefault="00A005AB" w:rsidP="00051808">
            <w:pPr>
              <w:pStyle w:val="tablecrossheading"/>
            </w:pPr>
            <w:r>
              <w:t>Baseline Information Sources</w:t>
            </w:r>
          </w:p>
          <w:p w14:paraId="2A44D2B7" w14:textId="77777777" w:rsidR="00A005AB" w:rsidRPr="008D4068" w:rsidRDefault="00A005AB" w:rsidP="00051808">
            <w:pPr>
              <w:pStyle w:val="TableTEXT"/>
            </w:pPr>
            <w:r w:rsidRPr="008D4068">
              <w:t>AAPF completion reports, activity completion reports, scoping mission reports and database</w:t>
            </w:r>
          </w:p>
        </w:tc>
      </w:tr>
      <w:tr w:rsidR="00E037DB" w:rsidRPr="008D4068" w14:paraId="70A58E5D" w14:textId="77777777" w:rsidTr="00767E76">
        <w:trPr>
          <w:gridAfter w:val="1"/>
          <w:wAfter w:w="470" w:type="pct"/>
        </w:trPr>
        <w:tc>
          <w:tcPr>
            <w:tcW w:w="4530" w:type="pct"/>
            <w:gridSpan w:val="5"/>
            <w:shd w:val="clear" w:color="auto" w:fill="DEEAF6" w:themeFill="accent1" w:themeFillTint="33"/>
            <w:tcMar>
              <w:top w:w="140" w:type="nil"/>
              <w:right w:w="140" w:type="nil"/>
            </w:tcMar>
          </w:tcPr>
          <w:p w14:paraId="0558A2D4" w14:textId="77777777" w:rsidR="00D17566" w:rsidRPr="00D17566" w:rsidRDefault="00E037DB" w:rsidP="00767E76">
            <w:pPr>
              <w:pStyle w:val="TableHeader"/>
            </w:pPr>
            <w:r w:rsidRPr="008D4068">
              <w:t xml:space="preserve">Key E4G Activities 1: </w:t>
            </w:r>
            <w:r w:rsidR="00D17566" w:rsidRPr="00D17566">
              <w:t>Skills development systems that respond to industry and government skilling needs</w:t>
            </w:r>
          </w:p>
          <w:p w14:paraId="797DF825" w14:textId="77777777" w:rsidR="00E037DB" w:rsidRPr="008D4068" w:rsidRDefault="00E037DB" w:rsidP="00051808">
            <w:pPr>
              <w:pStyle w:val="TableHeader"/>
            </w:pPr>
          </w:p>
        </w:tc>
      </w:tr>
      <w:tr w:rsidR="00A005AB" w:rsidRPr="008D4068" w14:paraId="4B1545D0" w14:textId="77777777" w:rsidTr="00767E76">
        <w:trPr>
          <w:gridAfter w:val="1"/>
          <w:wAfter w:w="470" w:type="pct"/>
        </w:trPr>
        <w:tc>
          <w:tcPr>
            <w:tcW w:w="1215" w:type="pct"/>
            <w:shd w:val="clear" w:color="auto" w:fill="auto"/>
            <w:tcMar>
              <w:top w:w="140" w:type="nil"/>
              <w:right w:w="140" w:type="nil"/>
            </w:tcMar>
          </w:tcPr>
          <w:p w14:paraId="1A53676B" w14:textId="77777777" w:rsidR="00A005AB" w:rsidRPr="008D4068" w:rsidRDefault="00A005AB" w:rsidP="00051808">
            <w:pPr>
              <w:pStyle w:val="TableTEXT"/>
              <w:spacing w:after="120"/>
            </w:pPr>
            <w:r w:rsidRPr="008D4068">
              <w:t>The weak capacity of educational and technical</w:t>
            </w:r>
            <w:r>
              <w:t xml:space="preserve"> / </w:t>
            </w:r>
            <w:r w:rsidRPr="008D4068">
              <w:t xml:space="preserve">vocational training </w:t>
            </w:r>
            <w:r>
              <w:t xml:space="preserve">systems to develop appropriate policy and implement effective strategies </w:t>
            </w:r>
            <w:r w:rsidRPr="008D4068">
              <w:t xml:space="preserve">is well recognised in Africa. </w:t>
            </w:r>
          </w:p>
          <w:p w14:paraId="0CB3416D" w14:textId="77777777" w:rsidR="00A005AB" w:rsidRPr="008D4068" w:rsidRDefault="00A005AB" w:rsidP="00051808">
            <w:pPr>
              <w:pStyle w:val="TableTEXT"/>
              <w:spacing w:after="120"/>
            </w:pPr>
            <w:r>
              <w:rPr>
                <w:bCs/>
              </w:rPr>
              <w:t>A lack of robust policy and workforce planning that is responsive to industry and government skilling needs, without which governments and companies cannot adequately connect, prepare, train and employ workers</w:t>
            </w:r>
            <w:r w:rsidRPr="008D4068">
              <w:t>.</w:t>
            </w:r>
          </w:p>
          <w:p w14:paraId="53E1A5FF" w14:textId="77777777" w:rsidR="00A005AB" w:rsidRPr="008D4068" w:rsidRDefault="00A005AB" w:rsidP="00051808">
            <w:pPr>
              <w:pStyle w:val="TableTEXT"/>
              <w:spacing w:after="120"/>
            </w:pPr>
            <w:r w:rsidRPr="008D4068">
              <w:t xml:space="preserve">The </w:t>
            </w:r>
            <w:proofErr w:type="spellStart"/>
            <w:r w:rsidRPr="008D4068">
              <w:t>GoA</w:t>
            </w:r>
            <w:proofErr w:type="spellEnd"/>
            <w:r w:rsidRPr="008D4068">
              <w:t xml:space="preserve"> has supported capacity development and training in Africa since 1960s albeit it has tended to focus on individuals as opposed to African institutions.</w:t>
            </w:r>
          </w:p>
          <w:p w14:paraId="12AA18B5" w14:textId="77777777" w:rsidR="00A005AB" w:rsidRPr="008D4068" w:rsidRDefault="00A005AB" w:rsidP="00051808">
            <w:pPr>
              <w:pStyle w:val="TableTEXT"/>
              <w:spacing w:after="120"/>
            </w:pPr>
            <w:r w:rsidRPr="008D4068">
              <w:t xml:space="preserve">The </w:t>
            </w:r>
            <w:proofErr w:type="spellStart"/>
            <w:r w:rsidRPr="008D4068">
              <w:t>GoA</w:t>
            </w:r>
            <w:proofErr w:type="spellEnd"/>
            <w:r w:rsidRPr="008D4068">
              <w:t xml:space="preserve"> has supported study tours that explored TVET related issues in the </w:t>
            </w:r>
            <w:r>
              <w:t>Extractive sectors between 2011 and 2014</w:t>
            </w:r>
          </w:p>
        </w:tc>
        <w:tc>
          <w:tcPr>
            <w:tcW w:w="1064" w:type="pct"/>
            <w:shd w:val="clear" w:color="auto" w:fill="auto"/>
            <w:tcMar>
              <w:top w:w="140" w:type="nil"/>
              <w:right w:w="140" w:type="nil"/>
            </w:tcMar>
          </w:tcPr>
          <w:p w14:paraId="5E20B09C" w14:textId="77777777" w:rsidR="00D17566" w:rsidRDefault="00D17566" w:rsidP="00D17566">
            <w:pPr>
              <w:pStyle w:val="Table-list-bullet"/>
            </w:pPr>
            <w:r>
              <w:t>I</w:t>
            </w:r>
            <w:r w:rsidRPr="008D4068">
              <w:t xml:space="preserve">n each </w:t>
            </w:r>
            <w:r>
              <w:t>Focus Country</w:t>
            </w:r>
            <w:r w:rsidRPr="008D4068">
              <w:t xml:space="preserve">, </w:t>
            </w:r>
            <w:r>
              <w:t>at least:</w:t>
            </w:r>
          </w:p>
          <w:p w14:paraId="27243FDE" w14:textId="77777777" w:rsidR="00D17566" w:rsidRPr="00126758" w:rsidRDefault="00D17566" w:rsidP="00D17566">
            <w:pPr>
              <w:pStyle w:val="Header"/>
              <w:numPr>
                <w:ilvl w:val="0"/>
                <w:numId w:val="32"/>
              </w:numPr>
            </w:pPr>
            <w:r>
              <w:t>Two N</w:t>
            </w:r>
            <w:r w:rsidRPr="00126758">
              <w:t xml:space="preserve">ew minerals skills forecasting models and planning tools developed and piloted </w:t>
            </w:r>
          </w:p>
          <w:p w14:paraId="34B2F068" w14:textId="77777777" w:rsidR="00D17566" w:rsidRDefault="00D17566" w:rsidP="00D17566">
            <w:pPr>
              <w:pStyle w:val="Header"/>
              <w:numPr>
                <w:ilvl w:val="0"/>
                <w:numId w:val="32"/>
              </w:numPr>
            </w:pPr>
            <w:r>
              <w:t>Two C</w:t>
            </w:r>
            <w:r w:rsidRPr="00126758">
              <w:t xml:space="preserve">ompetency frameworks and training packages developed and piloted </w:t>
            </w:r>
          </w:p>
          <w:p w14:paraId="4FBD8791" w14:textId="77777777" w:rsidR="00D17566" w:rsidRDefault="00D17566" w:rsidP="00D17566">
            <w:pPr>
              <w:pStyle w:val="Header"/>
              <w:numPr>
                <w:ilvl w:val="0"/>
                <w:numId w:val="32"/>
              </w:numPr>
            </w:pPr>
            <w:r>
              <w:t>Two S</w:t>
            </w:r>
            <w:r w:rsidRPr="00126758">
              <w:t xml:space="preserve">kills strategies developed and piloted </w:t>
            </w:r>
          </w:p>
          <w:p w14:paraId="729DB1D6" w14:textId="77777777" w:rsidR="00A005AB" w:rsidRPr="00951E43" w:rsidRDefault="00A005AB" w:rsidP="00051808">
            <w:pPr>
              <w:pStyle w:val="tablecrossheading"/>
            </w:pPr>
            <w:r w:rsidRPr="00951E43">
              <w:t>Gender</w:t>
            </w:r>
            <w:r>
              <w:t xml:space="preserve"> / </w:t>
            </w:r>
            <w:r w:rsidRPr="00951E43">
              <w:t xml:space="preserve">social target: </w:t>
            </w:r>
          </w:p>
          <w:p w14:paraId="26BC65B1" w14:textId="729E131F" w:rsidR="00A005AB" w:rsidRPr="00767E76" w:rsidRDefault="00D17566" w:rsidP="00D17566">
            <w:pPr>
              <w:pStyle w:val="tablecrossheading"/>
              <w:rPr>
                <w:b w:val="0"/>
              </w:rPr>
            </w:pPr>
            <w:r w:rsidRPr="00767E76">
              <w:rPr>
                <w:b w:val="0"/>
              </w:rPr>
              <w:t>At least one New minerals skills forecasting model, one Competency Framework and one Skills strategy is assessed to being socially and gender inclusive</w:t>
            </w:r>
          </w:p>
        </w:tc>
        <w:tc>
          <w:tcPr>
            <w:tcW w:w="1094" w:type="pct"/>
            <w:shd w:val="clear" w:color="auto" w:fill="auto"/>
            <w:tcMar>
              <w:top w:w="140" w:type="nil"/>
              <w:right w:w="140" w:type="nil"/>
            </w:tcMar>
          </w:tcPr>
          <w:p w14:paraId="0FDBDDD5" w14:textId="77777777" w:rsidR="00D17566" w:rsidRDefault="00D17566" w:rsidP="00D17566">
            <w:pPr>
              <w:pStyle w:val="Table-list-bullet"/>
            </w:pPr>
            <w:r>
              <w:t>I</w:t>
            </w:r>
            <w:r w:rsidRPr="008D4068">
              <w:t xml:space="preserve">n each </w:t>
            </w:r>
            <w:r>
              <w:t>Focus Country</w:t>
            </w:r>
            <w:r w:rsidRPr="008D4068">
              <w:t xml:space="preserve">, </w:t>
            </w:r>
            <w:r>
              <w:t>at least:</w:t>
            </w:r>
          </w:p>
          <w:p w14:paraId="00D9EEFA" w14:textId="66CB6DC2" w:rsidR="00D17566" w:rsidRPr="00126758" w:rsidRDefault="00D17566" w:rsidP="00D17566">
            <w:pPr>
              <w:pStyle w:val="Header"/>
              <w:numPr>
                <w:ilvl w:val="0"/>
                <w:numId w:val="32"/>
              </w:numPr>
            </w:pPr>
            <w:r>
              <w:t>Four N</w:t>
            </w:r>
            <w:r w:rsidRPr="00126758">
              <w:t xml:space="preserve">ew minerals skills forecasting models and planning tools developed and piloted </w:t>
            </w:r>
          </w:p>
          <w:p w14:paraId="43B1A1F2" w14:textId="6B92DA54" w:rsidR="00D17566" w:rsidRDefault="00D17566" w:rsidP="00D17566">
            <w:pPr>
              <w:pStyle w:val="Header"/>
              <w:numPr>
                <w:ilvl w:val="0"/>
                <w:numId w:val="32"/>
              </w:numPr>
            </w:pPr>
            <w:r>
              <w:t>Four C</w:t>
            </w:r>
            <w:r w:rsidRPr="00126758">
              <w:t xml:space="preserve">ompetency frameworks and training packages developed and piloted </w:t>
            </w:r>
          </w:p>
          <w:p w14:paraId="109E9271" w14:textId="75CF4B7A" w:rsidR="00D17566" w:rsidRDefault="00D17566" w:rsidP="00D17566">
            <w:pPr>
              <w:pStyle w:val="Header"/>
              <w:numPr>
                <w:ilvl w:val="0"/>
                <w:numId w:val="32"/>
              </w:numPr>
            </w:pPr>
            <w:r>
              <w:t>Four S</w:t>
            </w:r>
            <w:r w:rsidRPr="00126758">
              <w:t xml:space="preserve">kills strategies developed and piloted </w:t>
            </w:r>
          </w:p>
          <w:p w14:paraId="7298C277" w14:textId="77777777" w:rsidR="00A005AB" w:rsidRPr="00951E43" w:rsidRDefault="00A005AB" w:rsidP="00051808">
            <w:pPr>
              <w:pStyle w:val="tablecrossheading"/>
            </w:pPr>
            <w:r w:rsidRPr="00951E43">
              <w:t>Gender</w:t>
            </w:r>
            <w:r>
              <w:t xml:space="preserve"> / </w:t>
            </w:r>
            <w:r w:rsidRPr="00951E43">
              <w:t xml:space="preserve">social target: </w:t>
            </w:r>
          </w:p>
          <w:p w14:paraId="696937AE" w14:textId="7CD47F07" w:rsidR="00A005AB" w:rsidRPr="00767E76" w:rsidRDefault="00D17566" w:rsidP="00D17566">
            <w:pPr>
              <w:pStyle w:val="tablecrossheading"/>
              <w:rPr>
                <w:b w:val="0"/>
              </w:rPr>
            </w:pPr>
            <w:r w:rsidRPr="00767E76">
              <w:rPr>
                <w:b w:val="0"/>
              </w:rPr>
              <w:t>At least two New minerals skills forecasting model, two Competency Framework and two Skills strategy is assessed to being socially and gender inclusive</w:t>
            </w:r>
          </w:p>
        </w:tc>
        <w:tc>
          <w:tcPr>
            <w:tcW w:w="1157" w:type="pct"/>
            <w:gridSpan w:val="2"/>
            <w:shd w:val="clear" w:color="auto" w:fill="auto"/>
            <w:tcMar>
              <w:top w:w="140" w:type="nil"/>
              <w:right w:w="140" w:type="nil"/>
            </w:tcMar>
          </w:tcPr>
          <w:p w14:paraId="015A3212" w14:textId="77777777" w:rsidR="00A005AB" w:rsidRPr="008D4068" w:rsidRDefault="00A005AB" w:rsidP="00051808">
            <w:pPr>
              <w:pStyle w:val="Table-list-bullet"/>
            </w:pPr>
            <w:r w:rsidRPr="008D4068">
              <w:t>AADP progress reports</w:t>
            </w:r>
          </w:p>
          <w:p w14:paraId="7C3F970E" w14:textId="77777777" w:rsidR="00A005AB" w:rsidRPr="008D4068" w:rsidRDefault="00A005AB" w:rsidP="00051808">
            <w:pPr>
              <w:pStyle w:val="Table-list-bullet"/>
            </w:pPr>
            <w:r w:rsidRPr="008D4068">
              <w:t>AADP Pilot evaluations</w:t>
            </w:r>
          </w:p>
          <w:p w14:paraId="2E92EEF9" w14:textId="77777777" w:rsidR="00A005AB" w:rsidRPr="008D4068" w:rsidRDefault="00A005AB" w:rsidP="00051808">
            <w:pPr>
              <w:pStyle w:val="Table-list-bullet"/>
            </w:pPr>
            <w:r w:rsidRPr="008D4068">
              <w:t>AADP Mid Term Review</w:t>
            </w:r>
          </w:p>
          <w:p w14:paraId="55E68146" w14:textId="77777777" w:rsidR="00A005AB" w:rsidRPr="008D4068" w:rsidRDefault="00A005AB" w:rsidP="00051808">
            <w:pPr>
              <w:pStyle w:val="tablecrossheading"/>
            </w:pPr>
            <w:r>
              <w:t>Baseline Information Sources</w:t>
            </w:r>
          </w:p>
          <w:p w14:paraId="06FA4AD3" w14:textId="77777777" w:rsidR="00A005AB" w:rsidRPr="008D4068" w:rsidRDefault="00A005AB" w:rsidP="00051808">
            <w:pPr>
              <w:pStyle w:val="Table-list-bullet"/>
            </w:pPr>
            <w:r w:rsidRPr="008D4068">
              <w:t>AAPF completion reports, activity completion reports, scoping mission reports and database</w:t>
            </w:r>
          </w:p>
        </w:tc>
      </w:tr>
      <w:tr w:rsidR="00E037DB" w:rsidRPr="008D4068" w14:paraId="237F75FC" w14:textId="77777777" w:rsidTr="00767E76">
        <w:trPr>
          <w:gridAfter w:val="1"/>
          <w:wAfter w:w="470" w:type="pct"/>
        </w:trPr>
        <w:tc>
          <w:tcPr>
            <w:tcW w:w="4530" w:type="pct"/>
            <w:gridSpan w:val="5"/>
            <w:shd w:val="clear" w:color="auto" w:fill="DEEAF6" w:themeFill="accent1" w:themeFillTint="33"/>
            <w:tcMar>
              <w:top w:w="140" w:type="nil"/>
              <w:right w:w="140" w:type="nil"/>
            </w:tcMar>
          </w:tcPr>
          <w:p w14:paraId="6C7B7DBF" w14:textId="77777777" w:rsidR="00D17566" w:rsidRPr="00D17566" w:rsidRDefault="00E037DB" w:rsidP="00D17566">
            <w:pPr>
              <w:pStyle w:val="TableHeader"/>
            </w:pPr>
            <w:r w:rsidRPr="008D4068">
              <w:t>Key E4G</w:t>
            </w:r>
            <w:r>
              <w:t xml:space="preserve"> Activities 2</w:t>
            </w:r>
            <w:r w:rsidRPr="008D4068">
              <w:t xml:space="preserve">: </w:t>
            </w:r>
            <w:r w:rsidR="00D17566" w:rsidRPr="00D17566">
              <w:t>Stronger African skills development, education and training institutions producing high-calibre graduates able to support their national extractives sector</w:t>
            </w:r>
          </w:p>
          <w:p w14:paraId="0A240925" w14:textId="1C314531" w:rsidR="00E037DB" w:rsidRPr="008D4068" w:rsidRDefault="00E037DB" w:rsidP="00051808">
            <w:pPr>
              <w:pStyle w:val="TableHeader"/>
            </w:pPr>
          </w:p>
        </w:tc>
      </w:tr>
      <w:tr w:rsidR="00D17566" w:rsidRPr="008D4068" w14:paraId="7990BA9A" w14:textId="77777777" w:rsidTr="00767E76">
        <w:trPr>
          <w:gridAfter w:val="1"/>
          <w:wAfter w:w="470" w:type="pct"/>
        </w:trPr>
        <w:tc>
          <w:tcPr>
            <w:tcW w:w="1215" w:type="pct"/>
            <w:shd w:val="clear" w:color="auto" w:fill="auto"/>
            <w:tcMar>
              <w:top w:w="140" w:type="nil"/>
              <w:right w:w="140" w:type="nil"/>
            </w:tcMar>
          </w:tcPr>
          <w:p w14:paraId="6BDDF818" w14:textId="77777777" w:rsidR="00D17566" w:rsidRPr="008D4068" w:rsidRDefault="00D17566" w:rsidP="00051808">
            <w:pPr>
              <w:pStyle w:val="TableTEXT"/>
              <w:spacing w:after="120"/>
            </w:pPr>
            <w:r w:rsidRPr="008D4068">
              <w:t xml:space="preserve">Institutions that deliver </w:t>
            </w:r>
            <w:r>
              <w:t>extractive</w:t>
            </w:r>
            <w:r w:rsidRPr="008D4068">
              <w:t xml:space="preserve"> skills education and training in Africa are typically ineffective as the result of:</w:t>
            </w:r>
          </w:p>
          <w:p w14:paraId="3D83AFB9" w14:textId="77777777" w:rsidR="00D17566" w:rsidRPr="008D4068" w:rsidRDefault="00D17566" w:rsidP="00051808">
            <w:pPr>
              <w:pStyle w:val="Table-list-bullet"/>
              <w:spacing w:after="120"/>
              <w:rPr>
                <w:lang w:val="en-GB"/>
              </w:rPr>
            </w:pPr>
            <w:r w:rsidRPr="008D4068">
              <w:rPr>
                <w:lang w:val="en-GB"/>
              </w:rPr>
              <w:t>Limited collaboration between the providers of skills (tertiary and other training institutions) and users of skills (Mining Companies), vis-à-vis, skills training and development;</w:t>
            </w:r>
          </w:p>
          <w:p w14:paraId="7FF9218C" w14:textId="77777777" w:rsidR="00D17566" w:rsidRPr="008D4068" w:rsidRDefault="00D17566" w:rsidP="00051808">
            <w:pPr>
              <w:pStyle w:val="Table-list-bullet"/>
              <w:spacing w:after="120"/>
              <w:rPr>
                <w:lang w:val="en-GB"/>
              </w:rPr>
            </w:pPr>
            <w:r w:rsidRPr="008D4068">
              <w:rPr>
                <w:lang w:val="en-GB"/>
              </w:rPr>
              <w:t>Staff unable to acquire new technological skills required in the mining industry due to lack of participation in mining projects;</w:t>
            </w:r>
          </w:p>
          <w:p w14:paraId="1388F3CB" w14:textId="77777777" w:rsidR="00D17566" w:rsidRPr="008D4068" w:rsidRDefault="00D17566" w:rsidP="00051808">
            <w:pPr>
              <w:pStyle w:val="Table-list-bullet"/>
              <w:spacing w:after="120"/>
              <w:rPr>
                <w:lang w:val="en-GB"/>
              </w:rPr>
            </w:pPr>
            <w:r w:rsidRPr="008D4068">
              <w:rPr>
                <w:lang w:val="en-GB"/>
              </w:rPr>
              <w:t xml:space="preserve">Insufficient funding resulting in a lack of world class teaching, </w:t>
            </w:r>
            <w:r>
              <w:rPr>
                <w:lang w:val="en-GB"/>
              </w:rPr>
              <w:t>program</w:t>
            </w:r>
            <w:r w:rsidRPr="008D4068">
              <w:rPr>
                <w:lang w:val="en-GB"/>
              </w:rPr>
              <w:t xml:space="preserve">s and research at tertiary institutions; and </w:t>
            </w:r>
          </w:p>
          <w:p w14:paraId="07FD7702" w14:textId="77777777" w:rsidR="00D17566" w:rsidRPr="008D4068" w:rsidRDefault="00D17566" w:rsidP="00051808">
            <w:pPr>
              <w:pStyle w:val="Table-list-bullet"/>
              <w:spacing w:after="120"/>
              <w:rPr>
                <w:lang w:val="en-GB"/>
              </w:rPr>
            </w:pPr>
            <w:r w:rsidRPr="008D4068">
              <w:rPr>
                <w:lang w:val="en-GB"/>
              </w:rPr>
              <w:t xml:space="preserve">Are poorly aligned to the apprenticeship and </w:t>
            </w:r>
            <w:r>
              <w:rPr>
                <w:lang w:val="en-GB"/>
              </w:rPr>
              <w:t>‘</w:t>
            </w:r>
            <w:proofErr w:type="spellStart"/>
            <w:r w:rsidRPr="008D4068">
              <w:rPr>
                <w:lang w:val="en-GB"/>
              </w:rPr>
              <w:t>learnership</w:t>
            </w:r>
            <w:proofErr w:type="spellEnd"/>
            <w:r>
              <w:rPr>
                <w:lang w:val="en-GB"/>
              </w:rPr>
              <w:t>’</w:t>
            </w:r>
            <w:r w:rsidRPr="008D4068">
              <w:rPr>
                <w:lang w:val="en-GB"/>
              </w:rPr>
              <w:t xml:space="preserve"> </w:t>
            </w:r>
            <w:r>
              <w:rPr>
                <w:lang w:val="en-GB"/>
              </w:rPr>
              <w:t>program</w:t>
            </w:r>
            <w:r w:rsidRPr="008D4068">
              <w:rPr>
                <w:lang w:val="en-GB"/>
              </w:rPr>
              <w:t>s established by the mining companies in recent years, where required.</w:t>
            </w:r>
          </w:p>
          <w:p w14:paraId="21CB4D69" w14:textId="77777777" w:rsidR="00D17566" w:rsidRPr="008D4068" w:rsidRDefault="00D17566" w:rsidP="00051808">
            <w:pPr>
              <w:pStyle w:val="TableTEXT"/>
              <w:spacing w:after="120"/>
            </w:pPr>
            <w:r w:rsidRPr="008D4068">
              <w:t xml:space="preserve">The </w:t>
            </w:r>
            <w:proofErr w:type="spellStart"/>
            <w:r w:rsidRPr="008D4068">
              <w:t>GoA</w:t>
            </w:r>
            <w:proofErr w:type="spellEnd"/>
            <w:r w:rsidRPr="008D4068">
              <w:t xml:space="preserve"> has supported capacity development and training in Africa since 1960s albeit it has tended to focus on individuals as opposed to African institutions.</w:t>
            </w:r>
          </w:p>
          <w:p w14:paraId="0F658C24" w14:textId="77777777" w:rsidR="00D17566" w:rsidRPr="008D4068" w:rsidRDefault="00D17566" w:rsidP="00051808">
            <w:pPr>
              <w:pStyle w:val="TableTEXT"/>
              <w:rPr>
                <w:rFonts w:cs="Arial"/>
                <w:sz w:val="18"/>
                <w:szCs w:val="18"/>
              </w:rPr>
            </w:pPr>
            <w:r w:rsidRPr="008D4068">
              <w:t xml:space="preserve">The </w:t>
            </w:r>
            <w:proofErr w:type="spellStart"/>
            <w:r w:rsidRPr="008D4068">
              <w:t>GoA</w:t>
            </w:r>
            <w:proofErr w:type="spellEnd"/>
            <w:r w:rsidRPr="008D4068">
              <w:t xml:space="preserve"> has supported study tours that explored TVET related issues in the </w:t>
            </w:r>
            <w:r>
              <w:t>Extractive sectors between 2011 and 2014.</w:t>
            </w:r>
          </w:p>
        </w:tc>
        <w:tc>
          <w:tcPr>
            <w:tcW w:w="1064" w:type="pct"/>
            <w:shd w:val="clear" w:color="auto" w:fill="auto"/>
            <w:tcMar>
              <w:top w:w="140" w:type="nil"/>
              <w:right w:w="140" w:type="nil"/>
            </w:tcMar>
          </w:tcPr>
          <w:p w14:paraId="6734D4FB" w14:textId="77777777" w:rsidR="00D17566" w:rsidRPr="00065BA3" w:rsidRDefault="00D17566" w:rsidP="00D17566">
            <w:pPr>
              <w:spacing w:before="60" w:after="60"/>
              <w:rPr>
                <w:sz w:val="16"/>
                <w:szCs w:val="16"/>
              </w:rPr>
            </w:pPr>
            <w:r w:rsidRPr="00065BA3">
              <w:rPr>
                <w:sz w:val="16"/>
                <w:szCs w:val="16"/>
              </w:rPr>
              <w:t>In each Focus Country, at least:</w:t>
            </w:r>
          </w:p>
          <w:p w14:paraId="70DB9F6F" w14:textId="77777777" w:rsidR="00D17566" w:rsidRPr="00065BA3" w:rsidRDefault="00D17566" w:rsidP="00D17566">
            <w:pPr>
              <w:pStyle w:val="ListParagraph"/>
              <w:numPr>
                <w:ilvl w:val="0"/>
                <w:numId w:val="85"/>
              </w:numPr>
              <w:spacing w:before="60" w:after="60" w:line="240" w:lineRule="auto"/>
              <w:rPr>
                <w:rFonts w:ascii="Arial" w:hAnsi="Arial"/>
                <w:sz w:val="16"/>
                <w:szCs w:val="16"/>
              </w:rPr>
            </w:pPr>
            <w:r w:rsidRPr="00065BA3">
              <w:rPr>
                <w:rFonts w:ascii="Arial" w:hAnsi="Arial"/>
                <w:sz w:val="16"/>
                <w:szCs w:val="16"/>
              </w:rPr>
              <w:t xml:space="preserve">Two Twinning arrangements and technical assistance provided to select skills development institutions </w:t>
            </w:r>
          </w:p>
          <w:p w14:paraId="34806800" w14:textId="77777777" w:rsidR="00D17566" w:rsidRPr="00065BA3" w:rsidRDefault="00D17566" w:rsidP="00D17566">
            <w:pPr>
              <w:pStyle w:val="ListParagraph"/>
              <w:numPr>
                <w:ilvl w:val="0"/>
                <w:numId w:val="85"/>
              </w:numPr>
              <w:spacing w:before="60" w:after="60" w:line="240" w:lineRule="auto"/>
              <w:rPr>
                <w:rFonts w:ascii="Arial" w:hAnsi="Arial"/>
                <w:sz w:val="16"/>
                <w:szCs w:val="16"/>
              </w:rPr>
            </w:pPr>
            <w:r w:rsidRPr="00065BA3">
              <w:rPr>
                <w:rFonts w:ascii="Arial" w:hAnsi="Arial"/>
                <w:sz w:val="16"/>
                <w:szCs w:val="16"/>
              </w:rPr>
              <w:t xml:space="preserve">Two Skills partnerships between government, industry and communities built </w:t>
            </w:r>
          </w:p>
          <w:p w14:paraId="3D229973" w14:textId="77777777" w:rsidR="00D17566" w:rsidRPr="00065BA3" w:rsidRDefault="00D17566" w:rsidP="00D17566">
            <w:pPr>
              <w:pStyle w:val="ListParagraph"/>
              <w:numPr>
                <w:ilvl w:val="0"/>
                <w:numId w:val="85"/>
              </w:numPr>
              <w:spacing w:before="60" w:after="60" w:line="240" w:lineRule="auto"/>
              <w:rPr>
                <w:rFonts w:ascii="Arial" w:hAnsi="Arial"/>
                <w:sz w:val="16"/>
                <w:szCs w:val="16"/>
              </w:rPr>
            </w:pPr>
            <w:r w:rsidRPr="00065BA3">
              <w:rPr>
                <w:rFonts w:ascii="Arial" w:hAnsi="Arial"/>
                <w:sz w:val="16"/>
                <w:szCs w:val="16"/>
              </w:rPr>
              <w:t>Two PPP models for COEs developed</w:t>
            </w:r>
          </w:p>
          <w:p w14:paraId="1F7C75DC" w14:textId="77777777" w:rsidR="00D17566" w:rsidRPr="00B83B22" w:rsidRDefault="00D17566" w:rsidP="00051808">
            <w:pPr>
              <w:pStyle w:val="tablecrossheading"/>
            </w:pPr>
            <w:r w:rsidRPr="00B83B22">
              <w:t>Gender</w:t>
            </w:r>
            <w:r>
              <w:t xml:space="preserve"> / </w:t>
            </w:r>
            <w:r w:rsidRPr="00B83B22">
              <w:t xml:space="preserve">social target: </w:t>
            </w:r>
          </w:p>
          <w:p w14:paraId="04C238FD" w14:textId="51E4EC5D" w:rsidR="00D17566" w:rsidRPr="00B83B22" w:rsidRDefault="00065BA3" w:rsidP="00051808">
            <w:pPr>
              <w:pStyle w:val="TableTEXT"/>
            </w:pPr>
            <w:r w:rsidRPr="00065BA3">
              <w:t>At least one Twinning arrangement, one Skills Partnership and one PPP model for COE is assessed to being socially and gender inclusive</w:t>
            </w:r>
            <w:r w:rsidR="00D17566" w:rsidRPr="008D4068">
              <w:t>.</w:t>
            </w:r>
          </w:p>
        </w:tc>
        <w:tc>
          <w:tcPr>
            <w:tcW w:w="1094" w:type="pct"/>
            <w:shd w:val="clear" w:color="auto" w:fill="auto"/>
            <w:tcMar>
              <w:top w:w="140" w:type="nil"/>
              <w:right w:w="140" w:type="nil"/>
            </w:tcMar>
          </w:tcPr>
          <w:p w14:paraId="614B3FE1" w14:textId="77777777" w:rsidR="00065BA3" w:rsidRPr="003E19B2" w:rsidRDefault="00065BA3" w:rsidP="00065BA3">
            <w:pPr>
              <w:spacing w:before="60" w:after="60"/>
              <w:rPr>
                <w:sz w:val="16"/>
                <w:szCs w:val="16"/>
              </w:rPr>
            </w:pPr>
            <w:r w:rsidRPr="003E19B2">
              <w:rPr>
                <w:sz w:val="16"/>
                <w:szCs w:val="16"/>
              </w:rPr>
              <w:t>In each Focus Country, at least:</w:t>
            </w:r>
          </w:p>
          <w:p w14:paraId="1EDE8B6F" w14:textId="76F99F11" w:rsidR="00065BA3" w:rsidRPr="003E19B2" w:rsidRDefault="00065BA3" w:rsidP="00065BA3">
            <w:pPr>
              <w:pStyle w:val="ListParagraph"/>
              <w:numPr>
                <w:ilvl w:val="0"/>
                <w:numId w:val="85"/>
              </w:numPr>
              <w:spacing w:before="60" w:after="60" w:line="240" w:lineRule="auto"/>
              <w:rPr>
                <w:rFonts w:ascii="Arial" w:hAnsi="Arial"/>
                <w:sz w:val="16"/>
                <w:szCs w:val="16"/>
              </w:rPr>
            </w:pPr>
            <w:r>
              <w:rPr>
                <w:rFonts w:ascii="Arial" w:hAnsi="Arial"/>
                <w:sz w:val="16"/>
                <w:szCs w:val="16"/>
              </w:rPr>
              <w:t>Four</w:t>
            </w:r>
            <w:r w:rsidRPr="003E19B2">
              <w:rPr>
                <w:rFonts w:ascii="Arial" w:hAnsi="Arial"/>
                <w:sz w:val="16"/>
                <w:szCs w:val="16"/>
              </w:rPr>
              <w:t xml:space="preserve"> Twinning arrangements and technical assistance provided to select skills development institutions </w:t>
            </w:r>
          </w:p>
          <w:p w14:paraId="5A97DBFE" w14:textId="12E199E3" w:rsidR="00065BA3" w:rsidRPr="003E19B2" w:rsidRDefault="00065BA3" w:rsidP="00065BA3">
            <w:pPr>
              <w:pStyle w:val="ListParagraph"/>
              <w:numPr>
                <w:ilvl w:val="0"/>
                <w:numId w:val="85"/>
              </w:numPr>
              <w:spacing w:before="60" w:after="60" w:line="240" w:lineRule="auto"/>
              <w:rPr>
                <w:rFonts w:ascii="Arial" w:hAnsi="Arial"/>
                <w:sz w:val="16"/>
                <w:szCs w:val="16"/>
              </w:rPr>
            </w:pPr>
            <w:r>
              <w:rPr>
                <w:rFonts w:ascii="Arial" w:hAnsi="Arial"/>
                <w:sz w:val="16"/>
                <w:szCs w:val="16"/>
              </w:rPr>
              <w:t>Four</w:t>
            </w:r>
            <w:r w:rsidRPr="003E19B2">
              <w:rPr>
                <w:rFonts w:ascii="Arial" w:hAnsi="Arial"/>
                <w:sz w:val="16"/>
                <w:szCs w:val="16"/>
              </w:rPr>
              <w:t xml:space="preserve"> Skills partnerships between government, industry and communities built </w:t>
            </w:r>
          </w:p>
          <w:p w14:paraId="0EDF81BC" w14:textId="72B727BA" w:rsidR="00065BA3" w:rsidRPr="003E19B2" w:rsidRDefault="00065BA3" w:rsidP="00065BA3">
            <w:pPr>
              <w:pStyle w:val="ListParagraph"/>
              <w:numPr>
                <w:ilvl w:val="0"/>
                <w:numId w:val="85"/>
              </w:numPr>
              <w:spacing w:before="60" w:after="60" w:line="240" w:lineRule="auto"/>
              <w:rPr>
                <w:rFonts w:ascii="Arial" w:hAnsi="Arial"/>
                <w:sz w:val="16"/>
                <w:szCs w:val="16"/>
              </w:rPr>
            </w:pPr>
            <w:r>
              <w:rPr>
                <w:rFonts w:ascii="Arial" w:hAnsi="Arial"/>
                <w:sz w:val="16"/>
                <w:szCs w:val="16"/>
              </w:rPr>
              <w:t>Four</w:t>
            </w:r>
            <w:r w:rsidRPr="003E19B2">
              <w:rPr>
                <w:rFonts w:ascii="Arial" w:hAnsi="Arial"/>
                <w:sz w:val="16"/>
                <w:szCs w:val="16"/>
              </w:rPr>
              <w:t xml:space="preserve"> PPP models for COEs developed</w:t>
            </w:r>
          </w:p>
          <w:p w14:paraId="05785829" w14:textId="77777777" w:rsidR="00D17566" w:rsidRPr="00B83B22" w:rsidRDefault="00D17566" w:rsidP="00051808">
            <w:pPr>
              <w:pStyle w:val="tablecrossheading"/>
            </w:pPr>
            <w:r w:rsidRPr="00B83B22">
              <w:t>Gender</w:t>
            </w:r>
            <w:r>
              <w:t xml:space="preserve"> / </w:t>
            </w:r>
            <w:r w:rsidRPr="00B83B22">
              <w:t xml:space="preserve">social target: </w:t>
            </w:r>
          </w:p>
          <w:p w14:paraId="74DAC6ED" w14:textId="235B1A4C" w:rsidR="00D17566" w:rsidRPr="00B83B22" w:rsidRDefault="00065BA3" w:rsidP="00065BA3">
            <w:pPr>
              <w:pStyle w:val="TableTEXT"/>
            </w:pPr>
            <w:r w:rsidRPr="003E19B2">
              <w:t xml:space="preserve">At least </w:t>
            </w:r>
            <w:r>
              <w:t>two</w:t>
            </w:r>
            <w:r w:rsidRPr="003E19B2">
              <w:t xml:space="preserve"> Twinning arrangement</w:t>
            </w:r>
            <w:r>
              <w:t>s</w:t>
            </w:r>
            <w:r w:rsidRPr="003E19B2">
              <w:t xml:space="preserve">, </w:t>
            </w:r>
            <w:r>
              <w:t>two</w:t>
            </w:r>
            <w:r w:rsidRPr="003E19B2">
              <w:t xml:space="preserve"> Skills Partnership</w:t>
            </w:r>
            <w:r>
              <w:t>s</w:t>
            </w:r>
            <w:r w:rsidRPr="003E19B2">
              <w:t xml:space="preserve"> and </w:t>
            </w:r>
            <w:r>
              <w:t>two</w:t>
            </w:r>
            <w:r w:rsidRPr="003E19B2">
              <w:t xml:space="preserve"> PPP model</w:t>
            </w:r>
            <w:r>
              <w:t>s</w:t>
            </w:r>
            <w:r w:rsidRPr="003E19B2">
              <w:t xml:space="preserve"> for COE </w:t>
            </w:r>
            <w:r>
              <w:t>are</w:t>
            </w:r>
            <w:r w:rsidRPr="003E19B2">
              <w:t xml:space="preserve"> assessed to being socially and gender inclusive</w:t>
            </w:r>
            <w:r w:rsidRPr="008D4068">
              <w:t>.</w:t>
            </w:r>
          </w:p>
        </w:tc>
        <w:tc>
          <w:tcPr>
            <w:tcW w:w="1157" w:type="pct"/>
            <w:gridSpan w:val="2"/>
            <w:shd w:val="clear" w:color="auto" w:fill="auto"/>
            <w:tcMar>
              <w:top w:w="140" w:type="nil"/>
              <w:right w:w="140" w:type="nil"/>
            </w:tcMar>
          </w:tcPr>
          <w:p w14:paraId="7FC5DDA4" w14:textId="77777777" w:rsidR="00D17566" w:rsidRPr="008D4068" w:rsidRDefault="00D17566" w:rsidP="00051808">
            <w:pPr>
              <w:pStyle w:val="Table-list-bullet"/>
            </w:pPr>
            <w:r w:rsidRPr="008D4068">
              <w:t>External independent QA review (including TVET specialists and private sector)</w:t>
            </w:r>
          </w:p>
          <w:p w14:paraId="64D4D73C" w14:textId="77777777" w:rsidR="00D17566" w:rsidRPr="008D4068" w:rsidRDefault="00D17566" w:rsidP="00051808">
            <w:pPr>
              <w:pStyle w:val="Table-list-bullet"/>
            </w:pPr>
            <w:r w:rsidRPr="008D4068">
              <w:t>AADP progress reports</w:t>
            </w:r>
          </w:p>
          <w:p w14:paraId="5451FFF9" w14:textId="77777777" w:rsidR="00D17566" w:rsidRPr="008D4068" w:rsidRDefault="00D17566" w:rsidP="00051808">
            <w:pPr>
              <w:pStyle w:val="Table-list-bullet"/>
            </w:pPr>
            <w:r w:rsidRPr="008D4068">
              <w:t>AADP Pilot evaluations</w:t>
            </w:r>
          </w:p>
          <w:p w14:paraId="68D5D1DD" w14:textId="77777777" w:rsidR="00D17566" w:rsidRPr="008D4068" w:rsidRDefault="00D17566" w:rsidP="00051808">
            <w:pPr>
              <w:pStyle w:val="Table-list-bullet"/>
            </w:pPr>
            <w:r w:rsidRPr="008D4068">
              <w:t>AADP Mid Term Review</w:t>
            </w:r>
          </w:p>
          <w:p w14:paraId="6DE10664" w14:textId="77777777" w:rsidR="00D17566" w:rsidRPr="008D4068" w:rsidRDefault="00D17566" w:rsidP="00051808">
            <w:pPr>
              <w:widowControl w:val="0"/>
              <w:autoSpaceDE w:val="0"/>
              <w:autoSpaceDN w:val="0"/>
              <w:adjustRightInd w:val="0"/>
              <w:rPr>
                <w:rFonts w:cs="Arial"/>
                <w:b/>
                <w:sz w:val="18"/>
                <w:szCs w:val="18"/>
              </w:rPr>
            </w:pPr>
            <w:r>
              <w:rPr>
                <w:rFonts w:cs="Arial"/>
                <w:b/>
                <w:sz w:val="18"/>
                <w:szCs w:val="18"/>
              </w:rPr>
              <w:t>Baseline Information Sources</w:t>
            </w:r>
          </w:p>
          <w:p w14:paraId="6CBF14E0" w14:textId="77777777" w:rsidR="00D17566" w:rsidRPr="008D4068" w:rsidRDefault="00D17566" w:rsidP="00051808">
            <w:pPr>
              <w:pStyle w:val="TableTEXT"/>
            </w:pPr>
            <w:r w:rsidRPr="008D4068">
              <w:t>AAPF completion reports, activity completion reports, scoping mission reports and database</w:t>
            </w:r>
          </w:p>
        </w:tc>
      </w:tr>
      <w:tr w:rsidR="00014D8F" w:rsidRPr="00014D8F" w14:paraId="00788565" w14:textId="77777777" w:rsidTr="00767E76">
        <w:trPr>
          <w:gridAfter w:val="1"/>
          <w:wAfter w:w="470" w:type="pct"/>
        </w:trPr>
        <w:tc>
          <w:tcPr>
            <w:tcW w:w="4530" w:type="pct"/>
            <w:gridSpan w:val="5"/>
            <w:shd w:val="clear" w:color="auto" w:fill="DEEAF6" w:themeFill="accent1" w:themeFillTint="33"/>
            <w:tcMar>
              <w:top w:w="140" w:type="nil"/>
              <w:right w:w="140" w:type="nil"/>
            </w:tcMar>
          </w:tcPr>
          <w:p w14:paraId="37A999A8" w14:textId="44E4A698" w:rsidR="00014D8F" w:rsidRDefault="00014D8F" w:rsidP="00014D8F">
            <w:pPr>
              <w:pStyle w:val="TableHeader"/>
            </w:pPr>
            <w:r>
              <w:t xml:space="preserve">Key E4G Activities 3: </w:t>
            </w:r>
            <w:r w:rsidRPr="00767E76">
              <w:t>Improved local government planning for and coordination and management of extractives investments and extractives-related development</w:t>
            </w:r>
          </w:p>
        </w:tc>
      </w:tr>
      <w:tr w:rsidR="00014D8F" w:rsidRPr="008D4068" w14:paraId="541247D0" w14:textId="77777777" w:rsidTr="00767E76">
        <w:trPr>
          <w:gridAfter w:val="1"/>
          <w:wAfter w:w="470" w:type="pct"/>
        </w:trPr>
        <w:tc>
          <w:tcPr>
            <w:tcW w:w="1215" w:type="pct"/>
            <w:shd w:val="clear" w:color="auto" w:fill="auto"/>
            <w:tcMar>
              <w:top w:w="140" w:type="nil"/>
              <w:right w:w="140" w:type="nil"/>
            </w:tcMar>
          </w:tcPr>
          <w:p w14:paraId="3B58EDA4" w14:textId="02F41802" w:rsidR="00F82DBE" w:rsidRDefault="00F82DBE" w:rsidP="00F82DBE">
            <w:pPr>
              <w:pStyle w:val="TableTEXT"/>
            </w:pPr>
            <w:r w:rsidRPr="008D4068">
              <w:t xml:space="preserve">Capacity gaps </w:t>
            </w:r>
            <w:r>
              <w:t>at the local level</w:t>
            </w:r>
            <w:r w:rsidRPr="008D4068">
              <w:t xml:space="preserve"> </w:t>
            </w:r>
            <w:r>
              <w:t>hinder effective local government planning and the coordination and management of initiatives to stimulate local extractives-related development.</w:t>
            </w:r>
          </w:p>
          <w:p w14:paraId="6949C17E" w14:textId="77777777" w:rsidR="00F82DBE" w:rsidRPr="008D4068" w:rsidRDefault="00F82DBE" w:rsidP="00F82DBE">
            <w:pPr>
              <w:pStyle w:val="TableTEXT"/>
            </w:pPr>
          </w:p>
          <w:p w14:paraId="44E639A7" w14:textId="15C93B7B" w:rsidR="00014D8F" w:rsidRPr="008D4068" w:rsidRDefault="00F82DBE" w:rsidP="00F82DBE">
            <w:pPr>
              <w:pStyle w:val="TableTEXT"/>
            </w:pPr>
            <w:r w:rsidRPr="008D4068">
              <w:t xml:space="preserve">The </w:t>
            </w:r>
            <w:proofErr w:type="spellStart"/>
            <w:r w:rsidRPr="008D4068">
              <w:t>GoA</w:t>
            </w:r>
            <w:proofErr w:type="spellEnd"/>
            <w:r w:rsidRPr="008D4068">
              <w:t xml:space="preserve"> has supported study tours </w:t>
            </w:r>
            <w:r>
              <w:t>that has led to small scale</w:t>
            </w:r>
            <w:r w:rsidRPr="008D4068">
              <w:t xml:space="preserve"> initiatives to </w:t>
            </w:r>
            <w:r>
              <w:t>improve local government</w:t>
            </w:r>
            <w:r w:rsidRPr="008D4068">
              <w:t xml:space="preserve"> </w:t>
            </w:r>
            <w:r>
              <w:t>between 2011 and 2014</w:t>
            </w:r>
          </w:p>
        </w:tc>
        <w:tc>
          <w:tcPr>
            <w:tcW w:w="1064" w:type="pct"/>
            <w:shd w:val="clear" w:color="auto" w:fill="auto"/>
            <w:tcMar>
              <w:top w:w="140" w:type="nil"/>
              <w:right w:w="140" w:type="nil"/>
            </w:tcMar>
          </w:tcPr>
          <w:p w14:paraId="4774E67B" w14:textId="77777777" w:rsidR="00F82DBE" w:rsidRPr="00767E76" w:rsidRDefault="00F82DBE" w:rsidP="00F82DBE">
            <w:pPr>
              <w:pStyle w:val="ListParagraph"/>
              <w:numPr>
                <w:ilvl w:val="0"/>
                <w:numId w:val="85"/>
              </w:numPr>
              <w:spacing w:before="60" w:after="60" w:line="240" w:lineRule="auto"/>
              <w:rPr>
                <w:rFonts w:ascii="Arial" w:hAnsi="Arial" w:cs="Arial"/>
                <w:sz w:val="16"/>
                <w:szCs w:val="16"/>
              </w:rPr>
            </w:pPr>
            <w:r w:rsidRPr="00767E76">
              <w:rPr>
                <w:rFonts w:ascii="Arial" w:hAnsi="Arial" w:cs="Arial"/>
                <w:sz w:val="16"/>
                <w:szCs w:val="16"/>
              </w:rPr>
              <w:t>In each of the three focus countries at least one initiative to strengthen local government capacity to develop and update comprehensive local development plans is completed</w:t>
            </w:r>
          </w:p>
          <w:p w14:paraId="6ABAD6E5" w14:textId="77777777" w:rsidR="00F82DBE" w:rsidRPr="00767E76" w:rsidRDefault="00F82DBE" w:rsidP="00F82DBE">
            <w:pPr>
              <w:pStyle w:val="ListParagraph"/>
              <w:numPr>
                <w:ilvl w:val="0"/>
                <w:numId w:val="85"/>
              </w:numPr>
              <w:spacing w:before="60" w:after="60" w:line="240" w:lineRule="auto"/>
              <w:rPr>
                <w:rFonts w:ascii="Arial" w:hAnsi="Arial" w:cs="Arial"/>
                <w:sz w:val="16"/>
                <w:szCs w:val="16"/>
              </w:rPr>
            </w:pPr>
            <w:r w:rsidRPr="00767E76">
              <w:rPr>
                <w:rFonts w:ascii="Arial" w:hAnsi="Arial" w:cs="Arial"/>
                <w:sz w:val="16"/>
                <w:szCs w:val="16"/>
              </w:rPr>
              <w:t>In each of the three focus countries at least one initiative to strengthen local government capacity to manage extractives revenue and in-kind contributions from variety of sources is completed</w:t>
            </w:r>
          </w:p>
          <w:p w14:paraId="4B17582C" w14:textId="73C58103" w:rsidR="00014D8F" w:rsidRPr="00554D17" w:rsidRDefault="00F82DBE" w:rsidP="00767E76">
            <w:pPr>
              <w:pStyle w:val="ListParagraph"/>
              <w:numPr>
                <w:ilvl w:val="0"/>
                <w:numId w:val="85"/>
              </w:numPr>
              <w:spacing w:before="60" w:after="60" w:line="240" w:lineRule="auto"/>
              <w:rPr>
                <w:rFonts w:cs="Arial"/>
                <w:szCs w:val="16"/>
              </w:rPr>
            </w:pPr>
            <w:r w:rsidRPr="00767E76">
              <w:rPr>
                <w:rFonts w:ascii="Arial" w:hAnsi="Arial" w:cs="Arial"/>
                <w:sz w:val="16"/>
                <w:szCs w:val="16"/>
              </w:rPr>
              <w:t>In each of the three focus countries at least one initiative to strengthen local government capacity to engage with extractives stakeholders and manage multi-stakeholder consultation processes is completed</w:t>
            </w:r>
          </w:p>
          <w:p w14:paraId="645BD3DC" w14:textId="77777777" w:rsidR="00014D8F" w:rsidRPr="00B83B22" w:rsidRDefault="00014D8F" w:rsidP="00014D8F">
            <w:pPr>
              <w:pStyle w:val="tablecrossheading"/>
            </w:pPr>
            <w:r w:rsidRPr="00B83B22">
              <w:t>Gender</w:t>
            </w:r>
            <w:r>
              <w:t xml:space="preserve"> / </w:t>
            </w:r>
            <w:r w:rsidRPr="00B83B22">
              <w:t xml:space="preserve">social target: </w:t>
            </w:r>
          </w:p>
          <w:p w14:paraId="31DB910A" w14:textId="5469CDFB" w:rsidR="00014D8F" w:rsidRPr="00F82DBE" w:rsidRDefault="00F82DBE" w:rsidP="00014D8F">
            <w:pPr>
              <w:pStyle w:val="tablecrossheading"/>
              <w:spacing w:before="0"/>
              <w:rPr>
                <w:b w:val="0"/>
              </w:rPr>
            </w:pPr>
            <w:r w:rsidRPr="00F82DBE">
              <w:rPr>
                <w:b w:val="0"/>
              </w:rPr>
              <w:t xml:space="preserve">At least one initiative to strengthen development plans, one initiative to </w:t>
            </w:r>
            <w:r w:rsidRPr="00F82DBE">
              <w:rPr>
                <w:rFonts w:cs="Arial"/>
                <w:b w:val="0"/>
              </w:rPr>
              <w:t xml:space="preserve">manage extractives revenue and in-kind contributions from variety of sources, and one initiative to engage with extractives stakeholders and manage multi-stakeholder consultation processes </w:t>
            </w:r>
            <w:r w:rsidRPr="00F82DBE">
              <w:rPr>
                <w:b w:val="0"/>
              </w:rPr>
              <w:t>is assessed to being socially and gender inclusive in each of the three focus countries</w:t>
            </w:r>
          </w:p>
        </w:tc>
        <w:tc>
          <w:tcPr>
            <w:tcW w:w="1094" w:type="pct"/>
            <w:shd w:val="clear" w:color="auto" w:fill="auto"/>
            <w:tcMar>
              <w:top w:w="140" w:type="nil"/>
              <w:right w:w="140" w:type="nil"/>
            </w:tcMar>
          </w:tcPr>
          <w:p w14:paraId="46D47708" w14:textId="6373B07F" w:rsidR="00F82DBE" w:rsidRPr="003E19B2" w:rsidRDefault="00F82DBE" w:rsidP="00F82DBE">
            <w:pPr>
              <w:pStyle w:val="ListParagraph"/>
              <w:numPr>
                <w:ilvl w:val="0"/>
                <w:numId w:val="85"/>
              </w:numPr>
              <w:spacing w:before="60" w:after="60" w:line="240" w:lineRule="auto"/>
              <w:rPr>
                <w:rFonts w:ascii="Arial" w:hAnsi="Arial" w:cs="Arial"/>
                <w:sz w:val="16"/>
                <w:szCs w:val="16"/>
              </w:rPr>
            </w:pPr>
            <w:r w:rsidRPr="003E19B2">
              <w:rPr>
                <w:rFonts w:ascii="Arial" w:hAnsi="Arial" w:cs="Arial"/>
                <w:sz w:val="16"/>
                <w:szCs w:val="16"/>
              </w:rPr>
              <w:t xml:space="preserve">In each of the three focus countries at least </w:t>
            </w:r>
            <w:r>
              <w:rPr>
                <w:rFonts w:ascii="Arial" w:hAnsi="Arial" w:cs="Arial"/>
                <w:sz w:val="16"/>
                <w:szCs w:val="16"/>
              </w:rPr>
              <w:t>two</w:t>
            </w:r>
            <w:r w:rsidRPr="003E19B2">
              <w:rPr>
                <w:rFonts w:ascii="Arial" w:hAnsi="Arial" w:cs="Arial"/>
                <w:sz w:val="16"/>
                <w:szCs w:val="16"/>
              </w:rPr>
              <w:t xml:space="preserve"> initiative</w:t>
            </w:r>
            <w:r>
              <w:rPr>
                <w:rFonts w:ascii="Arial" w:hAnsi="Arial" w:cs="Arial"/>
                <w:sz w:val="16"/>
                <w:szCs w:val="16"/>
              </w:rPr>
              <w:t>s</w:t>
            </w:r>
            <w:r w:rsidRPr="003E19B2">
              <w:rPr>
                <w:rFonts w:ascii="Arial" w:hAnsi="Arial" w:cs="Arial"/>
                <w:sz w:val="16"/>
                <w:szCs w:val="16"/>
              </w:rPr>
              <w:t xml:space="preserve"> to strengthen local government capacity to develop and update comprehensive local development plans is completed</w:t>
            </w:r>
          </w:p>
          <w:p w14:paraId="5FE73C34" w14:textId="271DEAA8" w:rsidR="00F82DBE" w:rsidRPr="003E19B2" w:rsidRDefault="00F82DBE" w:rsidP="00F82DBE">
            <w:pPr>
              <w:pStyle w:val="ListParagraph"/>
              <w:numPr>
                <w:ilvl w:val="0"/>
                <w:numId w:val="85"/>
              </w:numPr>
              <w:spacing w:before="60" w:after="60" w:line="240" w:lineRule="auto"/>
              <w:rPr>
                <w:rFonts w:ascii="Arial" w:hAnsi="Arial" w:cs="Arial"/>
                <w:sz w:val="16"/>
                <w:szCs w:val="16"/>
              </w:rPr>
            </w:pPr>
            <w:r w:rsidRPr="003E19B2">
              <w:rPr>
                <w:rFonts w:ascii="Arial" w:hAnsi="Arial" w:cs="Arial"/>
                <w:sz w:val="16"/>
                <w:szCs w:val="16"/>
              </w:rPr>
              <w:t>In each of the th</w:t>
            </w:r>
            <w:r>
              <w:rPr>
                <w:rFonts w:ascii="Arial" w:hAnsi="Arial" w:cs="Arial"/>
                <w:sz w:val="16"/>
                <w:szCs w:val="16"/>
              </w:rPr>
              <w:t>ree focus countries at least two</w:t>
            </w:r>
            <w:r w:rsidRPr="003E19B2">
              <w:rPr>
                <w:rFonts w:ascii="Arial" w:hAnsi="Arial" w:cs="Arial"/>
                <w:sz w:val="16"/>
                <w:szCs w:val="16"/>
              </w:rPr>
              <w:t xml:space="preserve"> initiative</w:t>
            </w:r>
            <w:r>
              <w:rPr>
                <w:rFonts w:ascii="Arial" w:hAnsi="Arial" w:cs="Arial"/>
                <w:sz w:val="16"/>
                <w:szCs w:val="16"/>
              </w:rPr>
              <w:t>s</w:t>
            </w:r>
            <w:r w:rsidRPr="003E19B2">
              <w:rPr>
                <w:rFonts w:ascii="Arial" w:hAnsi="Arial" w:cs="Arial"/>
                <w:sz w:val="16"/>
                <w:szCs w:val="16"/>
              </w:rPr>
              <w:t xml:space="preserve"> to strengthen local government capacity to manage extractives revenue and in-kind contributions from variety of sources is completed</w:t>
            </w:r>
          </w:p>
          <w:p w14:paraId="44FD8FFA" w14:textId="6C609AA1" w:rsidR="00F82DBE" w:rsidRPr="003E19B2" w:rsidRDefault="00F82DBE" w:rsidP="00F82DBE">
            <w:pPr>
              <w:pStyle w:val="ListParagraph"/>
              <w:numPr>
                <w:ilvl w:val="0"/>
                <w:numId w:val="85"/>
              </w:numPr>
              <w:spacing w:before="60" w:after="60" w:line="240" w:lineRule="auto"/>
              <w:rPr>
                <w:rFonts w:ascii="Arial" w:hAnsi="Arial" w:cs="Arial"/>
                <w:sz w:val="16"/>
                <w:szCs w:val="16"/>
              </w:rPr>
            </w:pPr>
            <w:r w:rsidRPr="003E19B2">
              <w:rPr>
                <w:rFonts w:ascii="Arial" w:hAnsi="Arial" w:cs="Arial"/>
                <w:sz w:val="16"/>
                <w:szCs w:val="16"/>
              </w:rPr>
              <w:t xml:space="preserve">In each of the three focus countries at least </w:t>
            </w:r>
            <w:r>
              <w:rPr>
                <w:rFonts w:ascii="Arial" w:hAnsi="Arial" w:cs="Arial"/>
                <w:sz w:val="16"/>
                <w:szCs w:val="16"/>
              </w:rPr>
              <w:t>two</w:t>
            </w:r>
            <w:r w:rsidRPr="003E19B2">
              <w:rPr>
                <w:rFonts w:ascii="Arial" w:hAnsi="Arial" w:cs="Arial"/>
                <w:sz w:val="16"/>
                <w:szCs w:val="16"/>
              </w:rPr>
              <w:t xml:space="preserve"> initiative</w:t>
            </w:r>
            <w:r>
              <w:rPr>
                <w:rFonts w:ascii="Arial" w:hAnsi="Arial" w:cs="Arial"/>
                <w:sz w:val="16"/>
                <w:szCs w:val="16"/>
              </w:rPr>
              <w:t>s</w:t>
            </w:r>
            <w:r w:rsidRPr="003E19B2">
              <w:rPr>
                <w:rFonts w:ascii="Arial" w:hAnsi="Arial" w:cs="Arial"/>
                <w:sz w:val="16"/>
                <w:szCs w:val="16"/>
              </w:rPr>
              <w:t xml:space="preserve"> to strengthen local government capacity to engage with extractives stakeholders and manage multi-stakeholder consultation processes is completed</w:t>
            </w:r>
          </w:p>
          <w:p w14:paraId="4E8931AD" w14:textId="77777777" w:rsidR="00F82DBE" w:rsidRPr="00B83B22" w:rsidRDefault="00F82DBE" w:rsidP="00F82DBE">
            <w:pPr>
              <w:pStyle w:val="tablecrossheading"/>
            </w:pPr>
            <w:r w:rsidRPr="00B83B22">
              <w:t>Gender</w:t>
            </w:r>
            <w:r>
              <w:t xml:space="preserve"> / </w:t>
            </w:r>
            <w:r w:rsidRPr="00B83B22">
              <w:t xml:space="preserve">social target: </w:t>
            </w:r>
          </w:p>
          <w:p w14:paraId="4788EE74" w14:textId="5C55B8F8" w:rsidR="00014D8F" w:rsidRDefault="00F82DBE" w:rsidP="00F82DBE">
            <w:pPr>
              <w:pStyle w:val="tablecrossheading"/>
              <w:spacing w:before="0"/>
            </w:pPr>
            <w:r w:rsidRPr="00F82DBE">
              <w:rPr>
                <w:b w:val="0"/>
              </w:rPr>
              <w:t xml:space="preserve">At least </w:t>
            </w:r>
            <w:r>
              <w:rPr>
                <w:b w:val="0"/>
              </w:rPr>
              <w:t>two</w:t>
            </w:r>
            <w:r w:rsidRPr="00F82DBE">
              <w:rPr>
                <w:b w:val="0"/>
              </w:rPr>
              <w:t xml:space="preserve"> initiative to s</w:t>
            </w:r>
            <w:r>
              <w:rPr>
                <w:b w:val="0"/>
              </w:rPr>
              <w:t>trengthen development plans, two</w:t>
            </w:r>
            <w:r w:rsidRPr="00F82DBE">
              <w:rPr>
                <w:b w:val="0"/>
              </w:rPr>
              <w:t xml:space="preserve"> initiative</w:t>
            </w:r>
            <w:r>
              <w:rPr>
                <w:b w:val="0"/>
              </w:rPr>
              <w:t>s</w:t>
            </w:r>
            <w:r w:rsidRPr="00F82DBE">
              <w:rPr>
                <w:b w:val="0"/>
              </w:rPr>
              <w:t xml:space="preserve"> to </w:t>
            </w:r>
            <w:r w:rsidRPr="00F82DBE">
              <w:rPr>
                <w:rFonts w:cs="Arial"/>
                <w:b w:val="0"/>
              </w:rPr>
              <w:t xml:space="preserve">manage extractives revenue and in-kind contributions from variety of sources, and </w:t>
            </w:r>
            <w:r>
              <w:rPr>
                <w:rFonts w:cs="Arial"/>
                <w:b w:val="0"/>
              </w:rPr>
              <w:t>two</w:t>
            </w:r>
            <w:r w:rsidRPr="00F82DBE">
              <w:rPr>
                <w:rFonts w:cs="Arial"/>
                <w:b w:val="0"/>
              </w:rPr>
              <w:t xml:space="preserve"> initiative</w:t>
            </w:r>
            <w:r>
              <w:rPr>
                <w:rFonts w:cs="Arial"/>
                <w:b w:val="0"/>
              </w:rPr>
              <w:t>s</w:t>
            </w:r>
            <w:r w:rsidRPr="00F82DBE">
              <w:rPr>
                <w:rFonts w:cs="Arial"/>
                <w:b w:val="0"/>
              </w:rPr>
              <w:t xml:space="preserve"> to engage with extractives stakeholders and manage multi-stakeholder consultation processes </w:t>
            </w:r>
            <w:r w:rsidRPr="00F82DBE">
              <w:rPr>
                <w:b w:val="0"/>
              </w:rPr>
              <w:t>is assessed to being socially and gender inclusive in each of the three focus countries</w:t>
            </w:r>
          </w:p>
        </w:tc>
        <w:tc>
          <w:tcPr>
            <w:tcW w:w="1157" w:type="pct"/>
            <w:gridSpan w:val="2"/>
            <w:shd w:val="clear" w:color="auto" w:fill="auto"/>
            <w:tcMar>
              <w:top w:w="140" w:type="nil"/>
              <w:right w:w="140" w:type="nil"/>
            </w:tcMar>
          </w:tcPr>
          <w:p w14:paraId="6654A4DD" w14:textId="3772CE93" w:rsidR="00F82DBE" w:rsidRPr="00767E76" w:rsidRDefault="00F82DBE" w:rsidP="00767E76">
            <w:pPr>
              <w:pStyle w:val="ListParagraph"/>
              <w:numPr>
                <w:ilvl w:val="0"/>
                <w:numId w:val="85"/>
              </w:numPr>
              <w:spacing w:before="60" w:after="60" w:line="240" w:lineRule="auto"/>
              <w:rPr>
                <w:szCs w:val="16"/>
              </w:rPr>
            </w:pPr>
            <w:r w:rsidRPr="00767E76">
              <w:rPr>
                <w:rFonts w:ascii="Arial" w:hAnsi="Arial"/>
                <w:sz w:val="16"/>
                <w:szCs w:val="16"/>
                <w:lang w:val="en-GB"/>
              </w:rPr>
              <w:t>Knowledge, attitudes and practices (KAP) Survey</w:t>
            </w:r>
            <w:r w:rsidR="00554D17">
              <w:rPr>
                <w:rFonts w:ascii="Arial" w:hAnsi="Arial"/>
                <w:sz w:val="16"/>
                <w:szCs w:val="16"/>
                <w:lang w:val="en-GB"/>
              </w:rPr>
              <w:t xml:space="preserve"> of local government officials</w:t>
            </w:r>
          </w:p>
          <w:p w14:paraId="74FD7E93" w14:textId="77777777" w:rsidR="00F82DBE" w:rsidRPr="00554D17" w:rsidRDefault="00F82DBE" w:rsidP="00767E76">
            <w:pPr>
              <w:pStyle w:val="ListParagraph"/>
              <w:numPr>
                <w:ilvl w:val="0"/>
                <w:numId w:val="85"/>
              </w:numPr>
              <w:spacing w:before="60" w:after="60" w:line="240" w:lineRule="auto"/>
              <w:rPr>
                <w:szCs w:val="16"/>
              </w:rPr>
            </w:pPr>
            <w:r w:rsidRPr="00767E76">
              <w:rPr>
                <w:rFonts w:ascii="Arial" w:hAnsi="Arial"/>
                <w:sz w:val="16"/>
                <w:szCs w:val="16"/>
              </w:rPr>
              <w:t>AADP progress reports</w:t>
            </w:r>
          </w:p>
          <w:p w14:paraId="75CB03B5" w14:textId="77777777" w:rsidR="00F82DBE" w:rsidRPr="00554D17" w:rsidRDefault="00F82DBE" w:rsidP="00767E76">
            <w:pPr>
              <w:pStyle w:val="ListParagraph"/>
              <w:numPr>
                <w:ilvl w:val="0"/>
                <w:numId w:val="85"/>
              </w:numPr>
              <w:spacing w:before="60" w:after="60" w:line="240" w:lineRule="auto"/>
              <w:rPr>
                <w:szCs w:val="16"/>
              </w:rPr>
            </w:pPr>
            <w:r w:rsidRPr="00767E76">
              <w:rPr>
                <w:rFonts w:ascii="Arial" w:hAnsi="Arial"/>
                <w:sz w:val="16"/>
                <w:szCs w:val="16"/>
              </w:rPr>
              <w:t xml:space="preserve">AADP Pilot evaluations </w:t>
            </w:r>
          </w:p>
          <w:p w14:paraId="75CA0255" w14:textId="169F3BEF" w:rsidR="00F82DBE" w:rsidRPr="00554D17" w:rsidRDefault="00F82DBE" w:rsidP="00767E76">
            <w:pPr>
              <w:pStyle w:val="ListParagraph"/>
              <w:numPr>
                <w:ilvl w:val="0"/>
                <w:numId w:val="85"/>
              </w:numPr>
              <w:spacing w:before="60" w:after="60" w:line="240" w:lineRule="auto"/>
              <w:rPr>
                <w:szCs w:val="16"/>
              </w:rPr>
            </w:pPr>
            <w:r w:rsidRPr="00767E76">
              <w:rPr>
                <w:rFonts w:ascii="Arial" w:hAnsi="Arial"/>
                <w:sz w:val="16"/>
                <w:szCs w:val="16"/>
              </w:rPr>
              <w:t>AADP Mid Term Review</w:t>
            </w:r>
          </w:p>
          <w:p w14:paraId="61C85CA1" w14:textId="77777777" w:rsidR="00F82DBE" w:rsidRPr="00767E76" w:rsidRDefault="00F82DBE" w:rsidP="00F82DBE">
            <w:pPr>
              <w:widowControl w:val="0"/>
              <w:autoSpaceDE w:val="0"/>
              <w:autoSpaceDN w:val="0"/>
              <w:adjustRightInd w:val="0"/>
              <w:rPr>
                <w:rFonts w:cs="Arial"/>
                <w:b/>
                <w:sz w:val="16"/>
                <w:szCs w:val="16"/>
              </w:rPr>
            </w:pPr>
            <w:r w:rsidRPr="00767E76">
              <w:rPr>
                <w:rFonts w:cs="Arial"/>
                <w:b/>
                <w:sz w:val="16"/>
                <w:szCs w:val="16"/>
              </w:rPr>
              <w:t>Baseline Information Sources</w:t>
            </w:r>
          </w:p>
          <w:p w14:paraId="478C1D90" w14:textId="5E96801A" w:rsidR="00014D8F" w:rsidRPr="00767E76" w:rsidRDefault="00F82DBE" w:rsidP="00767E76">
            <w:pPr>
              <w:spacing w:before="60" w:after="60"/>
              <w:rPr>
                <w:sz w:val="16"/>
                <w:szCs w:val="16"/>
              </w:rPr>
            </w:pPr>
            <w:r w:rsidRPr="00767E76">
              <w:rPr>
                <w:sz w:val="16"/>
                <w:szCs w:val="16"/>
              </w:rPr>
              <w:t>AAPF completion reports, activity completion reports, scoping mission reports and database</w:t>
            </w:r>
          </w:p>
          <w:p w14:paraId="6556F56D" w14:textId="77777777" w:rsidR="00014D8F" w:rsidRPr="008D4068" w:rsidRDefault="00014D8F" w:rsidP="00014D8F">
            <w:pPr>
              <w:pStyle w:val="Table-list-bullet"/>
            </w:pPr>
          </w:p>
        </w:tc>
      </w:tr>
      <w:tr w:rsidR="00014D8F" w:rsidRPr="003E19B2" w14:paraId="20817E11" w14:textId="77777777" w:rsidTr="00767E76">
        <w:trPr>
          <w:gridAfter w:val="1"/>
          <w:wAfter w:w="470" w:type="pct"/>
        </w:trPr>
        <w:tc>
          <w:tcPr>
            <w:tcW w:w="4530" w:type="pct"/>
            <w:gridSpan w:val="5"/>
            <w:shd w:val="clear" w:color="auto" w:fill="DEEAF6" w:themeFill="accent1" w:themeFillTint="33"/>
            <w:tcMar>
              <w:top w:w="140" w:type="nil"/>
              <w:right w:w="140" w:type="nil"/>
            </w:tcMar>
          </w:tcPr>
          <w:p w14:paraId="39DE4ECA" w14:textId="085A2653" w:rsidR="00014D8F" w:rsidRPr="008D4068" w:rsidRDefault="00F82DBE" w:rsidP="00014D8F">
            <w:pPr>
              <w:pStyle w:val="TableHeader"/>
            </w:pPr>
            <w:r>
              <w:t>Key E4G Activities 4</w:t>
            </w:r>
            <w:r w:rsidR="00014D8F">
              <w:t xml:space="preserve">: </w:t>
            </w:r>
            <w:r w:rsidR="00014D8F" w:rsidRPr="00065BA3">
              <w:t>Improved local community participation in extractives investments and extractives-related development</w:t>
            </w:r>
          </w:p>
        </w:tc>
      </w:tr>
      <w:tr w:rsidR="00014D8F" w:rsidRPr="008D4068" w14:paraId="4D68F281" w14:textId="77777777" w:rsidTr="00767E76">
        <w:trPr>
          <w:gridAfter w:val="1"/>
          <w:wAfter w:w="470" w:type="pct"/>
        </w:trPr>
        <w:tc>
          <w:tcPr>
            <w:tcW w:w="1215" w:type="pct"/>
            <w:shd w:val="clear" w:color="auto" w:fill="auto"/>
            <w:tcMar>
              <w:top w:w="140" w:type="nil"/>
              <w:right w:w="140" w:type="nil"/>
            </w:tcMar>
          </w:tcPr>
          <w:p w14:paraId="004CD19F" w14:textId="60FF296B" w:rsidR="00014D8F" w:rsidRPr="008D4068" w:rsidRDefault="00014D8F" w:rsidP="00014D8F">
            <w:pPr>
              <w:pStyle w:val="TableTEXT"/>
              <w:spacing w:after="120"/>
            </w:pPr>
            <w:r w:rsidRPr="008D4068">
              <w:t xml:space="preserve">Few </w:t>
            </w:r>
            <w:r>
              <w:t>extractive</w:t>
            </w:r>
            <w:r w:rsidRPr="008D4068">
              <w:t xml:space="preserve"> affected community initiatives in Africa meet the required standards to obtain support from international firms.</w:t>
            </w:r>
            <w:r>
              <w:t xml:space="preserve"> </w:t>
            </w:r>
            <w:r w:rsidRPr="008D4068">
              <w:t xml:space="preserve">In the past, inability of communities to establish partnerships has limited their success in capitalising on </w:t>
            </w:r>
            <w:r>
              <w:t>extractive</w:t>
            </w:r>
            <w:r w:rsidRPr="008D4068">
              <w:t>-related supply chain opportunities.</w:t>
            </w:r>
            <w:r>
              <w:t xml:space="preserve"> </w:t>
            </w:r>
          </w:p>
          <w:p w14:paraId="1E1280FA" w14:textId="37E4C9F5" w:rsidR="00014D8F" w:rsidRPr="008D4068" w:rsidRDefault="00014D8F" w:rsidP="00C922EB">
            <w:pPr>
              <w:pStyle w:val="TableTEXT"/>
            </w:pPr>
            <w:r w:rsidRPr="008D4068">
              <w:t xml:space="preserve">The </w:t>
            </w:r>
            <w:proofErr w:type="spellStart"/>
            <w:r w:rsidRPr="008D4068">
              <w:t>GoA</w:t>
            </w:r>
            <w:proofErr w:type="spellEnd"/>
            <w:r w:rsidRPr="008D4068">
              <w:t xml:space="preserve"> has supported study tours that explored local community issues in the Extractiv</w:t>
            </w:r>
            <w:r>
              <w:t>e sectors between 2011 and 2014</w:t>
            </w:r>
          </w:p>
        </w:tc>
        <w:tc>
          <w:tcPr>
            <w:tcW w:w="1064" w:type="pct"/>
            <w:shd w:val="clear" w:color="auto" w:fill="auto"/>
            <w:tcMar>
              <w:top w:w="140" w:type="nil"/>
              <w:right w:w="140" w:type="nil"/>
            </w:tcMar>
          </w:tcPr>
          <w:p w14:paraId="2F3BC885" w14:textId="77777777" w:rsidR="00014D8F" w:rsidRPr="00D9494A" w:rsidRDefault="00014D8F" w:rsidP="00014D8F">
            <w:pPr>
              <w:pStyle w:val="ListParagraph"/>
              <w:numPr>
                <w:ilvl w:val="0"/>
                <w:numId w:val="85"/>
              </w:numPr>
              <w:spacing w:before="60" w:after="60" w:line="240" w:lineRule="auto"/>
            </w:pPr>
            <w:r w:rsidRPr="00014D8F">
              <w:rPr>
                <w:rFonts w:ascii="Arial" w:eastAsia="Times New Roman" w:hAnsi="Arial"/>
                <w:sz w:val="16"/>
                <w:szCs w:val="24"/>
              </w:rPr>
              <w:t>At least one activity per Focus Country is completed which strengthens local community capacity to engage with extractives stakeholders and participate in multi-stakeholder consultation processes</w:t>
            </w:r>
          </w:p>
          <w:p w14:paraId="67BDF908" w14:textId="77777777" w:rsidR="00014D8F" w:rsidRPr="00B83B22" w:rsidRDefault="00014D8F" w:rsidP="00014D8F">
            <w:pPr>
              <w:pStyle w:val="tablecrossheading"/>
            </w:pPr>
            <w:r w:rsidRPr="00B83B22">
              <w:t>Gender</w:t>
            </w:r>
            <w:r>
              <w:t xml:space="preserve"> / </w:t>
            </w:r>
            <w:r w:rsidRPr="00B83B22">
              <w:t xml:space="preserve">social target: </w:t>
            </w:r>
          </w:p>
          <w:p w14:paraId="46EAC3D9" w14:textId="0A0089EF" w:rsidR="00014D8F" w:rsidRPr="00014D8F" w:rsidRDefault="00014D8F" w:rsidP="00014D8F">
            <w:pPr>
              <w:pStyle w:val="tablecrossheading"/>
              <w:spacing w:before="0"/>
              <w:rPr>
                <w:b w:val="0"/>
              </w:rPr>
            </w:pPr>
            <w:r w:rsidRPr="00014D8F">
              <w:rPr>
                <w:b w:val="0"/>
              </w:rPr>
              <w:t>At least one activity per Focus Country is completed which promotes women’s participation in the economic and social life of mining affected communities</w:t>
            </w:r>
          </w:p>
        </w:tc>
        <w:tc>
          <w:tcPr>
            <w:tcW w:w="1094" w:type="pct"/>
            <w:shd w:val="clear" w:color="auto" w:fill="auto"/>
            <w:tcMar>
              <w:top w:w="140" w:type="nil"/>
              <w:right w:w="140" w:type="nil"/>
            </w:tcMar>
          </w:tcPr>
          <w:p w14:paraId="0F8BC71F" w14:textId="6298022F" w:rsidR="00014D8F" w:rsidRPr="00D9494A" w:rsidRDefault="00014D8F" w:rsidP="00014D8F">
            <w:pPr>
              <w:pStyle w:val="ListParagraph"/>
              <w:numPr>
                <w:ilvl w:val="0"/>
                <w:numId w:val="85"/>
              </w:numPr>
              <w:spacing w:before="60" w:after="60" w:line="240" w:lineRule="auto"/>
            </w:pPr>
            <w:r w:rsidRPr="003E19B2">
              <w:rPr>
                <w:rFonts w:ascii="Arial" w:eastAsia="Times New Roman" w:hAnsi="Arial"/>
                <w:sz w:val="16"/>
                <w:szCs w:val="24"/>
              </w:rPr>
              <w:t xml:space="preserve">At least </w:t>
            </w:r>
            <w:r>
              <w:rPr>
                <w:rFonts w:ascii="Arial" w:eastAsia="Times New Roman" w:hAnsi="Arial"/>
                <w:sz w:val="16"/>
                <w:szCs w:val="24"/>
              </w:rPr>
              <w:t>two activities</w:t>
            </w:r>
            <w:r w:rsidRPr="003E19B2">
              <w:rPr>
                <w:rFonts w:ascii="Arial" w:eastAsia="Times New Roman" w:hAnsi="Arial"/>
                <w:sz w:val="16"/>
                <w:szCs w:val="24"/>
              </w:rPr>
              <w:t xml:space="preserve"> per Focus Country is completed which strengthens local community capacity to engage with extractives stakeholders and participate in multi-stakeholder consultation processes</w:t>
            </w:r>
          </w:p>
          <w:p w14:paraId="41C802D1" w14:textId="77777777" w:rsidR="00014D8F" w:rsidRPr="00B83B22" w:rsidRDefault="00014D8F" w:rsidP="00014D8F">
            <w:pPr>
              <w:pStyle w:val="tablecrossheading"/>
            </w:pPr>
            <w:r w:rsidRPr="00B83B22">
              <w:t>Gender</w:t>
            </w:r>
            <w:r>
              <w:t xml:space="preserve"> / </w:t>
            </w:r>
            <w:r w:rsidRPr="00B83B22">
              <w:t xml:space="preserve">social target: </w:t>
            </w:r>
          </w:p>
          <w:p w14:paraId="37683991" w14:textId="3120D2F6" w:rsidR="00014D8F" w:rsidRDefault="00014D8F" w:rsidP="00014D8F">
            <w:pPr>
              <w:pStyle w:val="tablecrossheading"/>
              <w:spacing w:before="0"/>
            </w:pPr>
            <w:r w:rsidRPr="003E19B2">
              <w:rPr>
                <w:b w:val="0"/>
              </w:rPr>
              <w:t>At least one activity per Focus Country is completed which promotes women’s participation in the economic and social life of mining affected communities</w:t>
            </w:r>
          </w:p>
        </w:tc>
        <w:tc>
          <w:tcPr>
            <w:tcW w:w="1157" w:type="pct"/>
            <w:gridSpan w:val="2"/>
            <w:shd w:val="clear" w:color="auto" w:fill="auto"/>
            <w:tcMar>
              <w:top w:w="140" w:type="nil"/>
              <w:right w:w="140" w:type="nil"/>
            </w:tcMar>
          </w:tcPr>
          <w:p w14:paraId="73D536B5" w14:textId="4A6BB478" w:rsidR="00F82DBE" w:rsidRPr="003E19B2" w:rsidRDefault="00F82DBE" w:rsidP="00F82DBE">
            <w:pPr>
              <w:pStyle w:val="ListParagraph"/>
              <w:numPr>
                <w:ilvl w:val="0"/>
                <w:numId w:val="85"/>
              </w:numPr>
              <w:spacing w:before="60" w:after="60" w:line="240" w:lineRule="auto"/>
              <w:rPr>
                <w:rFonts w:ascii="Arial" w:hAnsi="Arial"/>
                <w:sz w:val="16"/>
                <w:szCs w:val="16"/>
              </w:rPr>
            </w:pPr>
            <w:r w:rsidRPr="003E19B2">
              <w:rPr>
                <w:rFonts w:ascii="Arial" w:hAnsi="Arial"/>
                <w:sz w:val="16"/>
                <w:szCs w:val="16"/>
                <w:lang w:val="en-GB"/>
              </w:rPr>
              <w:t>Knowledge, attitudes and practices (KAP) Survey</w:t>
            </w:r>
            <w:r w:rsidR="00554D17">
              <w:rPr>
                <w:rFonts w:ascii="Arial" w:hAnsi="Arial"/>
                <w:sz w:val="16"/>
                <w:szCs w:val="16"/>
                <w:lang w:val="en-GB"/>
              </w:rPr>
              <w:t xml:space="preserve"> of community participants</w:t>
            </w:r>
          </w:p>
          <w:p w14:paraId="55A0C12D" w14:textId="77777777" w:rsidR="00F82DBE" w:rsidRPr="003E19B2" w:rsidRDefault="00F82DBE" w:rsidP="00F82DBE">
            <w:pPr>
              <w:pStyle w:val="ListParagraph"/>
              <w:numPr>
                <w:ilvl w:val="0"/>
                <w:numId w:val="85"/>
              </w:numPr>
              <w:spacing w:before="60" w:after="60" w:line="240" w:lineRule="auto"/>
              <w:rPr>
                <w:rFonts w:ascii="Arial" w:hAnsi="Arial"/>
                <w:sz w:val="16"/>
                <w:szCs w:val="16"/>
              </w:rPr>
            </w:pPr>
            <w:r w:rsidRPr="003E19B2">
              <w:rPr>
                <w:rFonts w:ascii="Arial" w:hAnsi="Arial"/>
                <w:sz w:val="16"/>
                <w:szCs w:val="16"/>
              </w:rPr>
              <w:t>AADP progress reports</w:t>
            </w:r>
          </w:p>
          <w:p w14:paraId="131FCC45" w14:textId="77777777" w:rsidR="00F82DBE" w:rsidRPr="003E19B2" w:rsidRDefault="00F82DBE" w:rsidP="00F82DBE">
            <w:pPr>
              <w:pStyle w:val="ListParagraph"/>
              <w:numPr>
                <w:ilvl w:val="0"/>
                <w:numId w:val="85"/>
              </w:numPr>
              <w:spacing w:before="60" w:after="60" w:line="240" w:lineRule="auto"/>
              <w:rPr>
                <w:rFonts w:ascii="Arial" w:hAnsi="Arial"/>
                <w:sz w:val="16"/>
                <w:szCs w:val="16"/>
              </w:rPr>
            </w:pPr>
            <w:r w:rsidRPr="003E19B2">
              <w:rPr>
                <w:rFonts w:ascii="Arial" w:hAnsi="Arial"/>
                <w:sz w:val="16"/>
                <w:szCs w:val="16"/>
              </w:rPr>
              <w:t xml:space="preserve">AADP Pilot evaluations </w:t>
            </w:r>
          </w:p>
          <w:p w14:paraId="45EC1C47" w14:textId="77777777" w:rsidR="00F82DBE" w:rsidRPr="003E19B2" w:rsidRDefault="00F82DBE" w:rsidP="00F82DBE">
            <w:pPr>
              <w:pStyle w:val="ListParagraph"/>
              <w:numPr>
                <w:ilvl w:val="0"/>
                <w:numId w:val="85"/>
              </w:numPr>
              <w:spacing w:before="60" w:after="60" w:line="240" w:lineRule="auto"/>
              <w:rPr>
                <w:rFonts w:ascii="Arial" w:hAnsi="Arial"/>
                <w:sz w:val="16"/>
                <w:szCs w:val="16"/>
              </w:rPr>
            </w:pPr>
            <w:r w:rsidRPr="003E19B2">
              <w:rPr>
                <w:rFonts w:ascii="Arial" w:hAnsi="Arial"/>
                <w:sz w:val="16"/>
                <w:szCs w:val="16"/>
              </w:rPr>
              <w:t>AADP Mid Term Review</w:t>
            </w:r>
          </w:p>
          <w:p w14:paraId="0E05A5E4" w14:textId="77777777" w:rsidR="00F82DBE" w:rsidRPr="003E19B2" w:rsidRDefault="00F82DBE" w:rsidP="00F82DBE">
            <w:pPr>
              <w:widowControl w:val="0"/>
              <w:autoSpaceDE w:val="0"/>
              <w:autoSpaceDN w:val="0"/>
              <w:adjustRightInd w:val="0"/>
              <w:rPr>
                <w:rFonts w:cs="Arial"/>
                <w:b/>
                <w:sz w:val="16"/>
                <w:szCs w:val="16"/>
              </w:rPr>
            </w:pPr>
            <w:r w:rsidRPr="003E19B2">
              <w:rPr>
                <w:rFonts w:cs="Arial"/>
                <w:b/>
                <w:sz w:val="16"/>
                <w:szCs w:val="16"/>
              </w:rPr>
              <w:t>Baseline Information Sources</w:t>
            </w:r>
          </w:p>
          <w:p w14:paraId="09B9C3FE" w14:textId="77777777" w:rsidR="00F82DBE" w:rsidRPr="003E19B2" w:rsidRDefault="00F82DBE" w:rsidP="00F82DBE">
            <w:pPr>
              <w:spacing w:before="60" w:after="60"/>
              <w:rPr>
                <w:sz w:val="16"/>
                <w:szCs w:val="16"/>
              </w:rPr>
            </w:pPr>
            <w:r w:rsidRPr="003E19B2">
              <w:rPr>
                <w:sz w:val="16"/>
                <w:szCs w:val="16"/>
              </w:rPr>
              <w:t>AAPF completion reports, activity completion reports, scoping mission reports and database</w:t>
            </w:r>
          </w:p>
          <w:p w14:paraId="13E82F3D" w14:textId="77777777" w:rsidR="00014D8F" w:rsidRPr="008D4068" w:rsidRDefault="00014D8F" w:rsidP="00014D8F">
            <w:pPr>
              <w:pStyle w:val="Table-list-bullet"/>
            </w:pPr>
          </w:p>
        </w:tc>
      </w:tr>
      <w:tr w:rsidR="00C922EB" w:rsidRPr="003E19B2" w14:paraId="56231824" w14:textId="77777777" w:rsidTr="00767E76">
        <w:trPr>
          <w:gridAfter w:val="1"/>
          <w:wAfter w:w="470" w:type="pct"/>
        </w:trPr>
        <w:tc>
          <w:tcPr>
            <w:tcW w:w="4530" w:type="pct"/>
            <w:gridSpan w:val="5"/>
            <w:shd w:val="clear" w:color="auto" w:fill="DEEAF6" w:themeFill="accent1" w:themeFillTint="33"/>
            <w:tcMar>
              <w:top w:w="140" w:type="nil"/>
              <w:right w:w="140" w:type="nil"/>
            </w:tcMar>
          </w:tcPr>
          <w:p w14:paraId="4F85ABF8" w14:textId="3A5F6D30" w:rsidR="00C922EB" w:rsidRPr="00C922EB" w:rsidRDefault="00C922EB" w:rsidP="00C922EB">
            <w:pPr>
              <w:pStyle w:val="TableHeader"/>
            </w:pPr>
            <w:r>
              <w:t xml:space="preserve">Key E4G Activities 5: </w:t>
            </w:r>
            <w:r w:rsidRPr="009A5C26">
              <w:t>The services of an increased number of local suppliers and businesses are being procured by extractive companies</w:t>
            </w:r>
            <w:r w:rsidDel="00C5467E">
              <w:t xml:space="preserve"> </w:t>
            </w:r>
          </w:p>
        </w:tc>
      </w:tr>
      <w:tr w:rsidR="00C922EB" w:rsidRPr="008D4068" w14:paraId="7270533F" w14:textId="77777777" w:rsidTr="00767E76">
        <w:trPr>
          <w:gridAfter w:val="1"/>
          <w:wAfter w:w="470" w:type="pct"/>
        </w:trPr>
        <w:tc>
          <w:tcPr>
            <w:tcW w:w="1215" w:type="pct"/>
            <w:shd w:val="clear" w:color="auto" w:fill="auto"/>
            <w:tcMar>
              <w:top w:w="140" w:type="nil"/>
              <w:right w:w="140" w:type="nil"/>
            </w:tcMar>
          </w:tcPr>
          <w:p w14:paraId="1B620F1F" w14:textId="7BDE8438" w:rsidR="00C922EB" w:rsidRPr="008D4068" w:rsidRDefault="00C922EB" w:rsidP="00094CAD">
            <w:pPr>
              <w:pStyle w:val="TableTEXT"/>
              <w:spacing w:after="120"/>
            </w:pPr>
            <w:r w:rsidRPr="008D4068">
              <w:t>Few SMEs in Africa meet the required standards to obtain contracts and other support from international firms.</w:t>
            </w:r>
            <w:r>
              <w:t xml:space="preserve"> </w:t>
            </w:r>
            <w:r w:rsidRPr="008D4068">
              <w:t xml:space="preserve">In the past, inability of </w:t>
            </w:r>
            <w:r>
              <w:t>SMEs</w:t>
            </w:r>
            <w:r w:rsidRPr="008D4068">
              <w:t xml:space="preserve"> to establish partnerships has limited their success in capitalising on </w:t>
            </w:r>
            <w:r>
              <w:t>extractive</w:t>
            </w:r>
            <w:r w:rsidRPr="008D4068">
              <w:t>-related supply chain opportunities.</w:t>
            </w:r>
            <w:r>
              <w:t xml:space="preserve"> </w:t>
            </w:r>
          </w:p>
          <w:p w14:paraId="1BEADD46" w14:textId="22835C25" w:rsidR="00C922EB" w:rsidRPr="008D4068" w:rsidRDefault="00C922EB" w:rsidP="00C922EB">
            <w:pPr>
              <w:pStyle w:val="TableTEXT"/>
            </w:pPr>
            <w:r w:rsidRPr="008D4068">
              <w:t xml:space="preserve">The </w:t>
            </w:r>
            <w:proofErr w:type="spellStart"/>
            <w:r w:rsidRPr="008D4068">
              <w:t>GoA</w:t>
            </w:r>
            <w:proofErr w:type="spellEnd"/>
            <w:r w:rsidRPr="008D4068">
              <w:t xml:space="preserve"> has supported study tours that explored procurement issues in the Extractiv</w:t>
            </w:r>
            <w:r>
              <w:t>e sectors between 2011 and 2014</w:t>
            </w:r>
          </w:p>
        </w:tc>
        <w:tc>
          <w:tcPr>
            <w:tcW w:w="1064" w:type="pct"/>
            <w:shd w:val="clear" w:color="auto" w:fill="auto"/>
            <w:tcMar>
              <w:top w:w="140" w:type="nil"/>
              <w:right w:w="140" w:type="nil"/>
            </w:tcMar>
          </w:tcPr>
          <w:p w14:paraId="770ED15A" w14:textId="77777777" w:rsidR="00C922EB" w:rsidRPr="009A5C26" w:rsidRDefault="00C922EB" w:rsidP="00C922EB">
            <w:pPr>
              <w:pStyle w:val="ListParagraph"/>
              <w:numPr>
                <w:ilvl w:val="0"/>
                <w:numId w:val="31"/>
              </w:numPr>
              <w:spacing w:before="60" w:after="60" w:line="240" w:lineRule="auto"/>
              <w:rPr>
                <w:rFonts w:ascii="Arial" w:hAnsi="Arial"/>
                <w:sz w:val="16"/>
                <w:szCs w:val="16"/>
              </w:rPr>
            </w:pPr>
            <w:r w:rsidRPr="009A5C26">
              <w:rPr>
                <w:rFonts w:ascii="Arial" w:hAnsi="Arial"/>
                <w:sz w:val="16"/>
                <w:szCs w:val="16"/>
              </w:rPr>
              <w:t xml:space="preserve">At least two transparent platforms in each of the focus countries established for </w:t>
            </w:r>
            <w:r w:rsidRPr="009A5C26">
              <w:rPr>
                <w:rFonts w:ascii="Arial" w:hAnsi="Arial" w:cs="Arial"/>
                <w:bCs/>
                <w:sz w:val="16"/>
                <w:szCs w:val="16"/>
              </w:rPr>
              <w:t>local suppliers, local businesses, women and youth to participate in the procurement process of extractive companies</w:t>
            </w:r>
          </w:p>
          <w:p w14:paraId="0E8257B2" w14:textId="77777777" w:rsidR="00C922EB" w:rsidRPr="009A5C26" w:rsidRDefault="00C922EB" w:rsidP="00C922EB">
            <w:pPr>
              <w:pStyle w:val="ListParagraph"/>
              <w:numPr>
                <w:ilvl w:val="0"/>
                <w:numId w:val="31"/>
              </w:numPr>
              <w:spacing w:before="60" w:after="60" w:line="240" w:lineRule="auto"/>
              <w:rPr>
                <w:rFonts w:ascii="Arial" w:hAnsi="Arial"/>
                <w:sz w:val="16"/>
                <w:szCs w:val="16"/>
              </w:rPr>
            </w:pPr>
            <w:r w:rsidRPr="009A5C26">
              <w:rPr>
                <w:rFonts w:ascii="Arial" w:hAnsi="Arial"/>
                <w:sz w:val="16"/>
                <w:szCs w:val="16"/>
              </w:rPr>
              <w:t>At least 30 SMEs achieve “approved supplier status” with private sector partners and their suppliers.</w:t>
            </w:r>
          </w:p>
          <w:p w14:paraId="1D772DBE" w14:textId="77777777" w:rsidR="00C922EB" w:rsidRPr="00B83B22" w:rsidRDefault="00C922EB" w:rsidP="00094CAD">
            <w:pPr>
              <w:pStyle w:val="tablecrossheading"/>
            </w:pPr>
            <w:r w:rsidRPr="00B83B22">
              <w:t>Gender</w:t>
            </w:r>
            <w:r>
              <w:t xml:space="preserve"> / </w:t>
            </w:r>
            <w:r w:rsidRPr="00B83B22">
              <w:t xml:space="preserve">social target: </w:t>
            </w:r>
          </w:p>
          <w:p w14:paraId="391F64AC" w14:textId="77777777" w:rsidR="00C922EB" w:rsidRPr="009A5C26" w:rsidRDefault="00C922EB" w:rsidP="00C922EB">
            <w:pPr>
              <w:pStyle w:val="ListParagraph"/>
              <w:numPr>
                <w:ilvl w:val="0"/>
                <w:numId w:val="31"/>
              </w:numPr>
              <w:spacing w:before="60" w:after="60" w:line="240" w:lineRule="auto"/>
              <w:rPr>
                <w:rFonts w:ascii="Arial" w:hAnsi="Arial"/>
                <w:sz w:val="16"/>
                <w:szCs w:val="16"/>
              </w:rPr>
            </w:pPr>
            <w:r w:rsidRPr="009A5C26">
              <w:rPr>
                <w:rFonts w:ascii="Arial" w:hAnsi="Arial"/>
                <w:sz w:val="16"/>
                <w:szCs w:val="16"/>
              </w:rPr>
              <w:t>At least two initiatives per focus country strengthen the capacity of local suppliers, local businesses, women and youth to participate in the procurement process of extractive companies</w:t>
            </w:r>
          </w:p>
          <w:p w14:paraId="00228B59" w14:textId="0465DA2D" w:rsidR="00C922EB" w:rsidRPr="00014D8F" w:rsidRDefault="00C922EB" w:rsidP="00C922EB">
            <w:pPr>
              <w:pStyle w:val="tablecrossheading"/>
              <w:spacing w:before="0"/>
              <w:rPr>
                <w:b w:val="0"/>
              </w:rPr>
            </w:pPr>
            <w:r w:rsidRPr="009A5C26">
              <w:rPr>
                <w:b w:val="0"/>
                <w:szCs w:val="16"/>
              </w:rPr>
              <w:t>At least 500 people (50% women) identified for formal full time employment contracts with targeted SMEs</w:t>
            </w:r>
          </w:p>
        </w:tc>
        <w:tc>
          <w:tcPr>
            <w:tcW w:w="1094" w:type="pct"/>
            <w:shd w:val="clear" w:color="auto" w:fill="auto"/>
            <w:tcMar>
              <w:top w:w="140" w:type="nil"/>
              <w:right w:w="140" w:type="nil"/>
            </w:tcMar>
          </w:tcPr>
          <w:p w14:paraId="050FC85D" w14:textId="370710DC" w:rsidR="00C922EB" w:rsidRPr="003E19B2" w:rsidRDefault="00C922EB" w:rsidP="00C922EB">
            <w:pPr>
              <w:pStyle w:val="ListParagraph"/>
              <w:numPr>
                <w:ilvl w:val="0"/>
                <w:numId w:val="31"/>
              </w:numPr>
              <w:spacing w:before="60" w:after="60" w:line="240" w:lineRule="auto"/>
              <w:rPr>
                <w:rFonts w:ascii="Arial" w:hAnsi="Arial"/>
                <w:sz w:val="16"/>
                <w:szCs w:val="16"/>
              </w:rPr>
            </w:pPr>
            <w:r w:rsidRPr="003E19B2">
              <w:rPr>
                <w:rFonts w:ascii="Arial" w:hAnsi="Arial"/>
                <w:sz w:val="16"/>
                <w:szCs w:val="16"/>
              </w:rPr>
              <w:t xml:space="preserve">At least </w:t>
            </w:r>
            <w:r>
              <w:rPr>
                <w:rFonts w:ascii="Arial" w:hAnsi="Arial"/>
                <w:sz w:val="16"/>
                <w:szCs w:val="16"/>
              </w:rPr>
              <w:t>four</w:t>
            </w:r>
            <w:r w:rsidRPr="003E19B2">
              <w:rPr>
                <w:rFonts w:ascii="Arial" w:hAnsi="Arial"/>
                <w:sz w:val="16"/>
                <w:szCs w:val="16"/>
              </w:rPr>
              <w:t xml:space="preserve"> transparent platforms in each of the focus countries established for </w:t>
            </w:r>
            <w:r w:rsidRPr="003E19B2">
              <w:rPr>
                <w:rFonts w:ascii="Arial" w:hAnsi="Arial" w:cs="Arial"/>
                <w:bCs/>
                <w:sz w:val="16"/>
                <w:szCs w:val="16"/>
              </w:rPr>
              <w:t>local suppliers, local businesses, women and youth to participate in the procurement process of extractive companies</w:t>
            </w:r>
          </w:p>
          <w:p w14:paraId="498638FA" w14:textId="24BD35AB" w:rsidR="00C922EB" w:rsidRPr="003E19B2" w:rsidRDefault="00C922EB" w:rsidP="00C922EB">
            <w:pPr>
              <w:pStyle w:val="ListParagraph"/>
              <w:numPr>
                <w:ilvl w:val="0"/>
                <w:numId w:val="31"/>
              </w:numPr>
              <w:spacing w:before="60" w:after="60" w:line="240" w:lineRule="auto"/>
              <w:rPr>
                <w:rFonts w:ascii="Arial" w:hAnsi="Arial"/>
                <w:sz w:val="16"/>
                <w:szCs w:val="16"/>
              </w:rPr>
            </w:pPr>
            <w:r w:rsidRPr="003E19B2">
              <w:rPr>
                <w:rFonts w:ascii="Arial" w:hAnsi="Arial"/>
                <w:sz w:val="16"/>
                <w:szCs w:val="16"/>
              </w:rPr>
              <w:t xml:space="preserve">At least </w:t>
            </w:r>
            <w:r>
              <w:rPr>
                <w:rFonts w:ascii="Arial" w:hAnsi="Arial"/>
                <w:sz w:val="16"/>
                <w:szCs w:val="16"/>
              </w:rPr>
              <w:t>6</w:t>
            </w:r>
            <w:r w:rsidRPr="003E19B2">
              <w:rPr>
                <w:rFonts w:ascii="Arial" w:hAnsi="Arial"/>
                <w:sz w:val="16"/>
                <w:szCs w:val="16"/>
              </w:rPr>
              <w:t>0 SMEs achieve “approved supplier status” with private sector partners and their suppliers.</w:t>
            </w:r>
          </w:p>
          <w:p w14:paraId="3D44BA91" w14:textId="77777777" w:rsidR="00C922EB" w:rsidRPr="00B83B22" w:rsidRDefault="00C922EB" w:rsidP="00C922EB">
            <w:pPr>
              <w:pStyle w:val="tablecrossheading"/>
            </w:pPr>
            <w:r w:rsidRPr="00B83B22">
              <w:t>Gender</w:t>
            </w:r>
            <w:r>
              <w:t xml:space="preserve"> / </w:t>
            </w:r>
            <w:r w:rsidRPr="00B83B22">
              <w:t xml:space="preserve">social target: </w:t>
            </w:r>
          </w:p>
          <w:p w14:paraId="10B62E29" w14:textId="3D02F864" w:rsidR="00C922EB" w:rsidRPr="003E19B2" w:rsidRDefault="00C922EB" w:rsidP="00C922EB">
            <w:pPr>
              <w:pStyle w:val="ListParagraph"/>
              <w:numPr>
                <w:ilvl w:val="0"/>
                <w:numId w:val="31"/>
              </w:numPr>
              <w:spacing w:before="60" w:after="60" w:line="240" w:lineRule="auto"/>
              <w:rPr>
                <w:rFonts w:ascii="Arial" w:hAnsi="Arial"/>
                <w:sz w:val="16"/>
                <w:szCs w:val="16"/>
              </w:rPr>
            </w:pPr>
            <w:r w:rsidRPr="003E19B2">
              <w:rPr>
                <w:rFonts w:ascii="Arial" w:hAnsi="Arial"/>
                <w:sz w:val="16"/>
                <w:szCs w:val="16"/>
              </w:rPr>
              <w:t xml:space="preserve">At least </w:t>
            </w:r>
            <w:r>
              <w:rPr>
                <w:rFonts w:ascii="Arial" w:hAnsi="Arial"/>
                <w:sz w:val="16"/>
                <w:szCs w:val="16"/>
              </w:rPr>
              <w:t>four</w:t>
            </w:r>
            <w:r w:rsidRPr="003E19B2">
              <w:rPr>
                <w:rFonts w:ascii="Arial" w:hAnsi="Arial"/>
                <w:sz w:val="16"/>
                <w:szCs w:val="16"/>
              </w:rPr>
              <w:t xml:space="preserve"> initiatives per focus country strengthen the capacity of local suppliers, local businesses, women and youth to participate in the procurement process of extractive companies</w:t>
            </w:r>
          </w:p>
          <w:p w14:paraId="17635227" w14:textId="362CFB9F" w:rsidR="00C922EB" w:rsidRDefault="00C922EB" w:rsidP="00C922EB">
            <w:pPr>
              <w:pStyle w:val="tablecrossheading"/>
              <w:spacing w:before="0"/>
            </w:pPr>
            <w:r w:rsidRPr="003E19B2">
              <w:rPr>
                <w:b w:val="0"/>
                <w:szCs w:val="16"/>
              </w:rPr>
              <w:t xml:space="preserve">At least </w:t>
            </w:r>
            <w:r>
              <w:rPr>
                <w:b w:val="0"/>
                <w:szCs w:val="16"/>
              </w:rPr>
              <w:t>1000</w:t>
            </w:r>
            <w:r w:rsidRPr="003E19B2">
              <w:rPr>
                <w:b w:val="0"/>
                <w:szCs w:val="16"/>
              </w:rPr>
              <w:t xml:space="preserve"> people (50% women) identified for formal full time employment contracts with targeted SMEs</w:t>
            </w:r>
          </w:p>
        </w:tc>
        <w:tc>
          <w:tcPr>
            <w:tcW w:w="1157" w:type="pct"/>
            <w:gridSpan w:val="2"/>
            <w:shd w:val="clear" w:color="auto" w:fill="auto"/>
            <w:tcMar>
              <w:top w:w="140" w:type="nil"/>
              <w:right w:w="140" w:type="nil"/>
            </w:tcMar>
          </w:tcPr>
          <w:p w14:paraId="10B8C4BA" w14:textId="77777777" w:rsidR="00C922EB" w:rsidRPr="003E19B2" w:rsidRDefault="00C922EB" w:rsidP="00094CAD">
            <w:pPr>
              <w:pStyle w:val="ListParagraph"/>
              <w:numPr>
                <w:ilvl w:val="0"/>
                <w:numId w:val="85"/>
              </w:numPr>
              <w:spacing w:before="60" w:after="60" w:line="240" w:lineRule="auto"/>
              <w:rPr>
                <w:rFonts w:ascii="Arial" w:hAnsi="Arial"/>
                <w:sz w:val="16"/>
                <w:szCs w:val="16"/>
              </w:rPr>
            </w:pPr>
            <w:r w:rsidRPr="003E19B2">
              <w:rPr>
                <w:rFonts w:ascii="Arial" w:hAnsi="Arial"/>
                <w:sz w:val="16"/>
                <w:szCs w:val="16"/>
              </w:rPr>
              <w:t>AADP progress reports</w:t>
            </w:r>
          </w:p>
          <w:p w14:paraId="1B5FD7C2" w14:textId="77777777" w:rsidR="00C922EB" w:rsidRPr="003E19B2" w:rsidRDefault="00C922EB" w:rsidP="00094CAD">
            <w:pPr>
              <w:pStyle w:val="ListParagraph"/>
              <w:numPr>
                <w:ilvl w:val="0"/>
                <w:numId w:val="85"/>
              </w:numPr>
              <w:spacing w:before="60" w:after="60" w:line="240" w:lineRule="auto"/>
              <w:rPr>
                <w:rFonts w:ascii="Arial" w:hAnsi="Arial"/>
                <w:sz w:val="16"/>
                <w:szCs w:val="16"/>
              </w:rPr>
            </w:pPr>
            <w:r w:rsidRPr="003E19B2">
              <w:rPr>
                <w:rFonts w:ascii="Arial" w:hAnsi="Arial"/>
                <w:sz w:val="16"/>
                <w:szCs w:val="16"/>
              </w:rPr>
              <w:t xml:space="preserve">AADP Pilot evaluations </w:t>
            </w:r>
          </w:p>
          <w:p w14:paraId="46E4EC31" w14:textId="77777777" w:rsidR="00C922EB" w:rsidRDefault="00C922EB" w:rsidP="00094CAD">
            <w:pPr>
              <w:pStyle w:val="ListParagraph"/>
              <w:numPr>
                <w:ilvl w:val="0"/>
                <w:numId w:val="85"/>
              </w:numPr>
              <w:spacing w:before="60" w:after="60" w:line="240" w:lineRule="auto"/>
              <w:rPr>
                <w:rFonts w:ascii="Arial" w:hAnsi="Arial"/>
                <w:sz w:val="16"/>
                <w:szCs w:val="16"/>
              </w:rPr>
            </w:pPr>
            <w:r w:rsidRPr="003E19B2">
              <w:rPr>
                <w:rFonts w:ascii="Arial" w:hAnsi="Arial"/>
                <w:sz w:val="16"/>
                <w:szCs w:val="16"/>
              </w:rPr>
              <w:t>AADP Mid Term Review</w:t>
            </w:r>
          </w:p>
          <w:p w14:paraId="20F73BFC" w14:textId="47C4E499" w:rsidR="00554D17" w:rsidRPr="003E19B2" w:rsidRDefault="00554D17" w:rsidP="00094CAD">
            <w:pPr>
              <w:pStyle w:val="ListParagraph"/>
              <w:numPr>
                <w:ilvl w:val="0"/>
                <w:numId w:val="85"/>
              </w:numPr>
              <w:spacing w:before="60" w:after="60" w:line="240" w:lineRule="auto"/>
              <w:rPr>
                <w:rFonts w:ascii="Arial" w:hAnsi="Arial"/>
                <w:sz w:val="16"/>
                <w:szCs w:val="16"/>
              </w:rPr>
            </w:pPr>
            <w:r>
              <w:rPr>
                <w:rFonts w:ascii="Arial" w:hAnsi="Arial"/>
                <w:sz w:val="16"/>
                <w:szCs w:val="16"/>
              </w:rPr>
              <w:t>Survey of SMEs</w:t>
            </w:r>
          </w:p>
          <w:p w14:paraId="5745EEEA" w14:textId="77777777" w:rsidR="00C922EB" w:rsidRPr="003E19B2" w:rsidRDefault="00C922EB" w:rsidP="00094CAD">
            <w:pPr>
              <w:widowControl w:val="0"/>
              <w:autoSpaceDE w:val="0"/>
              <w:autoSpaceDN w:val="0"/>
              <w:adjustRightInd w:val="0"/>
              <w:rPr>
                <w:rFonts w:cs="Arial"/>
                <w:b/>
                <w:sz w:val="16"/>
                <w:szCs w:val="16"/>
              </w:rPr>
            </w:pPr>
            <w:r w:rsidRPr="003E19B2">
              <w:rPr>
                <w:rFonts w:cs="Arial"/>
                <w:b/>
                <w:sz w:val="16"/>
                <w:szCs w:val="16"/>
              </w:rPr>
              <w:t>Baseline Information Sources</w:t>
            </w:r>
          </w:p>
          <w:p w14:paraId="30EB5C0D" w14:textId="77777777" w:rsidR="00C922EB" w:rsidRPr="003E19B2" w:rsidRDefault="00C922EB" w:rsidP="00094CAD">
            <w:pPr>
              <w:spacing w:before="60" w:after="60"/>
              <w:rPr>
                <w:sz w:val="16"/>
                <w:szCs w:val="16"/>
              </w:rPr>
            </w:pPr>
            <w:r w:rsidRPr="003E19B2">
              <w:rPr>
                <w:sz w:val="16"/>
                <w:szCs w:val="16"/>
              </w:rPr>
              <w:t>AAPF completion reports, activity completion reports, scoping mission reports and database</w:t>
            </w:r>
          </w:p>
          <w:p w14:paraId="50373EC8" w14:textId="77777777" w:rsidR="00C922EB" w:rsidRPr="008D4068" w:rsidRDefault="00C922EB" w:rsidP="00094CAD">
            <w:pPr>
              <w:pStyle w:val="Table-list-bullet"/>
            </w:pPr>
          </w:p>
        </w:tc>
      </w:tr>
      <w:tr w:rsidR="00094CAD" w:rsidRPr="008D4068" w14:paraId="78AEBAEA" w14:textId="77777777" w:rsidTr="00767E76">
        <w:trPr>
          <w:gridAfter w:val="1"/>
          <w:wAfter w:w="470" w:type="pct"/>
        </w:trPr>
        <w:tc>
          <w:tcPr>
            <w:tcW w:w="4530" w:type="pct"/>
            <w:gridSpan w:val="5"/>
            <w:tcBorders>
              <w:bottom w:val="single" w:sz="4" w:space="0" w:color="BFBFBF" w:themeColor="background1" w:themeShade="BF"/>
            </w:tcBorders>
            <w:shd w:val="clear" w:color="auto" w:fill="DEEAF6" w:themeFill="accent1" w:themeFillTint="33"/>
            <w:tcMar>
              <w:top w:w="140" w:type="nil"/>
              <w:right w:w="140" w:type="nil"/>
            </w:tcMar>
          </w:tcPr>
          <w:p w14:paraId="6D5533BD" w14:textId="6C796A72" w:rsidR="00094CAD" w:rsidRPr="00094CAD" w:rsidRDefault="00094CAD" w:rsidP="00094CAD">
            <w:pPr>
              <w:pStyle w:val="TableHeader"/>
            </w:pPr>
            <w:r w:rsidRPr="008D4068">
              <w:t>Key E4G</w:t>
            </w:r>
            <w:r>
              <w:t xml:space="preserve"> Activities 6</w:t>
            </w:r>
            <w:r w:rsidRPr="008D4068">
              <w:t xml:space="preserve">: </w:t>
            </w:r>
            <w:r w:rsidRPr="009A5C26">
              <w:t>More effective fiscal regimes, improved collection of taxes and royalties, and improved revenue management and distribution</w:t>
            </w:r>
          </w:p>
        </w:tc>
      </w:tr>
      <w:tr w:rsidR="009A5C26" w:rsidRPr="008D4068" w14:paraId="16FCDE7F" w14:textId="77777777" w:rsidTr="00767E76">
        <w:trPr>
          <w:gridAfter w:val="1"/>
          <w:wAfter w:w="470" w:type="pct"/>
        </w:trPr>
        <w:tc>
          <w:tcPr>
            <w:tcW w:w="1215" w:type="pct"/>
            <w:shd w:val="clear" w:color="auto" w:fill="auto"/>
            <w:tcMar>
              <w:top w:w="140" w:type="nil"/>
              <w:right w:w="140" w:type="nil"/>
            </w:tcMar>
          </w:tcPr>
          <w:p w14:paraId="49D344A8" w14:textId="0C51102D" w:rsidR="009A5C26" w:rsidRDefault="009A5C26" w:rsidP="00051808">
            <w:pPr>
              <w:pStyle w:val="TableTEXT"/>
            </w:pPr>
            <w:r w:rsidRPr="008D4068">
              <w:t xml:space="preserve">Capacity gaps in African Ministries (such </w:t>
            </w:r>
            <w:r>
              <w:t>as in f</w:t>
            </w:r>
            <w:r w:rsidRPr="008D4068">
              <w:t xml:space="preserve">inance ministries and other regulatory bodies) constrain </w:t>
            </w:r>
            <w:r>
              <w:t>the realisation of the economic benefits of the extractives sector.</w:t>
            </w:r>
          </w:p>
          <w:p w14:paraId="20D18842" w14:textId="1CE646D9" w:rsidR="009A5C26" w:rsidRPr="008D4068" w:rsidRDefault="009A5C26" w:rsidP="00051808">
            <w:pPr>
              <w:pStyle w:val="TableTEXT"/>
            </w:pPr>
          </w:p>
          <w:p w14:paraId="216515C8" w14:textId="4BFB5A4E" w:rsidR="009A5C26" w:rsidRPr="00B83B22" w:rsidRDefault="009A5C26" w:rsidP="00094CAD">
            <w:pPr>
              <w:pStyle w:val="TableTEXT"/>
            </w:pPr>
            <w:r w:rsidRPr="008D4068">
              <w:t xml:space="preserve">The </w:t>
            </w:r>
            <w:proofErr w:type="spellStart"/>
            <w:r w:rsidRPr="008D4068">
              <w:t>GoA</w:t>
            </w:r>
            <w:proofErr w:type="spellEnd"/>
            <w:r w:rsidRPr="008D4068">
              <w:t xml:space="preserve"> has supported study tours and TA that implemented initiatives to strengthen the </w:t>
            </w:r>
            <w:r>
              <w:t>fiscal regimes of targeted countries with particular emphasis on improving the collection of taxes and royalties, and improved revenue management and distribution between 2011 and 2014</w:t>
            </w:r>
          </w:p>
        </w:tc>
        <w:tc>
          <w:tcPr>
            <w:tcW w:w="1064" w:type="pct"/>
            <w:shd w:val="clear" w:color="auto" w:fill="auto"/>
            <w:tcMar>
              <w:top w:w="140" w:type="nil"/>
              <w:right w:w="140" w:type="nil"/>
            </w:tcMar>
          </w:tcPr>
          <w:p w14:paraId="6A2C953A" w14:textId="77777777" w:rsidR="009A5C26" w:rsidRPr="009A5C26" w:rsidRDefault="009A5C26" w:rsidP="009A5C26">
            <w:pPr>
              <w:pStyle w:val="ListParagraph"/>
              <w:numPr>
                <w:ilvl w:val="0"/>
                <w:numId w:val="85"/>
              </w:numPr>
              <w:spacing w:before="60" w:after="60" w:line="240" w:lineRule="auto"/>
              <w:rPr>
                <w:rFonts w:ascii="Arial" w:hAnsi="Arial"/>
                <w:sz w:val="16"/>
                <w:szCs w:val="16"/>
              </w:rPr>
            </w:pPr>
            <w:r w:rsidRPr="009A5C26">
              <w:rPr>
                <w:rFonts w:ascii="Arial" w:hAnsi="Arial"/>
                <w:sz w:val="16"/>
                <w:szCs w:val="16"/>
              </w:rPr>
              <w:t>In each of the three Focus Countries at least one activity that contributes to effective fiscal regimes, improved collection of taxes and royalties, and improved revenue management and distribution is completed</w:t>
            </w:r>
          </w:p>
          <w:p w14:paraId="4B65B679" w14:textId="77777777" w:rsidR="009A5C26" w:rsidRPr="00767E76" w:rsidRDefault="009A5C26" w:rsidP="009A5C26">
            <w:pPr>
              <w:widowControl w:val="0"/>
              <w:autoSpaceDE w:val="0"/>
              <w:autoSpaceDN w:val="0"/>
              <w:adjustRightInd w:val="0"/>
              <w:rPr>
                <w:rFonts w:cs="Arial"/>
                <w:b/>
                <w:sz w:val="16"/>
                <w:szCs w:val="16"/>
              </w:rPr>
            </w:pPr>
            <w:r w:rsidRPr="00767E76">
              <w:rPr>
                <w:rFonts w:cs="Arial"/>
                <w:b/>
                <w:sz w:val="16"/>
                <w:szCs w:val="16"/>
              </w:rPr>
              <w:t xml:space="preserve">Gender / social target: </w:t>
            </w:r>
          </w:p>
          <w:p w14:paraId="2532DE67" w14:textId="7447DECA" w:rsidR="009A5C26" w:rsidRPr="00767E76" w:rsidRDefault="009A5C26" w:rsidP="00051808">
            <w:pPr>
              <w:widowControl w:val="0"/>
              <w:autoSpaceDE w:val="0"/>
              <w:autoSpaceDN w:val="0"/>
              <w:adjustRightInd w:val="0"/>
              <w:rPr>
                <w:sz w:val="16"/>
                <w:szCs w:val="16"/>
              </w:rPr>
            </w:pPr>
            <w:r w:rsidRPr="00011E84">
              <w:rPr>
                <w:szCs w:val="16"/>
              </w:rPr>
              <w:t>In each of the three countries at least one financial management process (including fiscal regimes, improved collection of taxes and royalties, and improved revenue management and distribution) is improved to support gender and social inclusion</w:t>
            </w:r>
          </w:p>
          <w:p w14:paraId="704D3901" w14:textId="043AD81C" w:rsidR="009A5C26" w:rsidRPr="008D4068" w:rsidRDefault="009A5C26" w:rsidP="00051808">
            <w:pPr>
              <w:pStyle w:val="TableTEXT"/>
            </w:pPr>
            <w:r w:rsidRPr="009A5C26">
              <w:rPr>
                <w:szCs w:val="16"/>
              </w:rPr>
              <w:t>.</w:t>
            </w:r>
          </w:p>
        </w:tc>
        <w:tc>
          <w:tcPr>
            <w:tcW w:w="1094" w:type="pct"/>
            <w:shd w:val="clear" w:color="auto" w:fill="auto"/>
            <w:tcMar>
              <w:top w:w="140" w:type="nil"/>
              <w:right w:w="140" w:type="nil"/>
            </w:tcMar>
          </w:tcPr>
          <w:p w14:paraId="29C839D7" w14:textId="5931FECE" w:rsidR="009A5C26" w:rsidRPr="003E19B2" w:rsidRDefault="009A5C26" w:rsidP="009A5C26">
            <w:pPr>
              <w:pStyle w:val="ListParagraph"/>
              <w:numPr>
                <w:ilvl w:val="0"/>
                <w:numId w:val="85"/>
              </w:numPr>
              <w:spacing w:before="60" w:after="60" w:line="240" w:lineRule="auto"/>
              <w:rPr>
                <w:rFonts w:ascii="Arial" w:hAnsi="Arial"/>
                <w:sz w:val="16"/>
                <w:szCs w:val="16"/>
              </w:rPr>
            </w:pPr>
            <w:r w:rsidRPr="003E19B2">
              <w:rPr>
                <w:rFonts w:ascii="Arial" w:hAnsi="Arial"/>
                <w:sz w:val="16"/>
                <w:szCs w:val="16"/>
              </w:rPr>
              <w:t xml:space="preserve">In each of the three Focus Countries at least </w:t>
            </w:r>
            <w:r>
              <w:rPr>
                <w:rFonts w:ascii="Arial" w:hAnsi="Arial"/>
                <w:sz w:val="16"/>
                <w:szCs w:val="16"/>
              </w:rPr>
              <w:t>two activities</w:t>
            </w:r>
            <w:r w:rsidRPr="003E19B2">
              <w:rPr>
                <w:rFonts w:ascii="Arial" w:hAnsi="Arial"/>
                <w:sz w:val="16"/>
                <w:szCs w:val="16"/>
              </w:rPr>
              <w:t xml:space="preserve"> that contributes to effective fiscal regimes, improved collection of taxes and royalties, and improved revenue management and distribution is completed</w:t>
            </w:r>
          </w:p>
          <w:p w14:paraId="015FAD66" w14:textId="77777777" w:rsidR="009A5C26" w:rsidRPr="003E19B2" w:rsidRDefault="009A5C26" w:rsidP="009A5C26">
            <w:pPr>
              <w:widowControl w:val="0"/>
              <w:autoSpaceDE w:val="0"/>
              <w:autoSpaceDN w:val="0"/>
              <w:adjustRightInd w:val="0"/>
              <w:rPr>
                <w:rFonts w:cs="Arial"/>
                <w:b/>
                <w:sz w:val="16"/>
                <w:szCs w:val="16"/>
              </w:rPr>
            </w:pPr>
            <w:r w:rsidRPr="003E19B2">
              <w:rPr>
                <w:rFonts w:cs="Arial"/>
                <w:b/>
                <w:sz w:val="16"/>
                <w:szCs w:val="16"/>
              </w:rPr>
              <w:t xml:space="preserve">Gender / social target: </w:t>
            </w:r>
          </w:p>
          <w:p w14:paraId="4E8BCFAF" w14:textId="41EE0207" w:rsidR="009A5C26" w:rsidRPr="009A5C26" w:rsidRDefault="009A5C26" w:rsidP="009A5C26">
            <w:pPr>
              <w:widowControl w:val="0"/>
              <w:autoSpaceDE w:val="0"/>
              <w:autoSpaceDN w:val="0"/>
              <w:adjustRightInd w:val="0"/>
              <w:rPr>
                <w:rFonts w:cs="Arial"/>
                <w:b/>
                <w:sz w:val="16"/>
                <w:szCs w:val="16"/>
              </w:rPr>
            </w:pPr>
            <w:r w:rsidRPr="003E19B2">
              <w:rPr>
                <w:sz w:val="16"/>
                <w:szCs w:val="16"/>
              </w:rPr>
              <w:t xml:space="preserve">In each of the three countries at least </w:t>
            </w:r>
            <w:r>
              <w:rPr>
                <w:sz w:val="16"/>
                <w:szCs w:val="16"/>
              </w:rPr>
              <w:t xml:space="preserve">two </w:t>
            </w:r>
            <w:r w:rsidRPr="003E19B2">
              <w:rPr>
                <w:sz w:val="16"/>
                <w:szCs w:val="16"/>
              </w:rPr>
              <w:t>financial management process</w:t>
            </w:r>
            <w:r>
              <w:rPr>
                <w:sz w:val="16"/>
                <w:szCs w:val="16"/>
              </w:rPr>
              <w:t>es</w:t>
            </w:r>
            <w:r w:rsidRPr="003E19B2">
              <w:rPr>
                <w:sz w:val="16"/>
                <w:szCs w:val="16"/>
              </w:rPr>
              <w:t xml:space="preserve"> (including fiscal regimes, improved collection of taxes and royalties, and improved revenue management and distribution) is improved to support gender and social inclusion</w:t>
            </w:r>
          </w:p>
          <w:p w14:paraId="53906CCD" w14:textId="5DB7AFD8" w:rsidR="009A5C26" w:rsidRPr="008D4068" w:rsidRDefault="009A5C26" w:rsidP="00051808">
            <w:pPr>
              <w:pStyle w:val="Table-list-bullet"/>
            </w:pPr>
          </w:p>
        </w:tc>
        <w:tc>
          <w:tcPr>
            <w:tcW w:w="1157" w:type="pct"/>
            <w:gridSpan w:val="2"/>
            <w:shd w:val="clear" w:color="auto" w:fill="auto"/>
            <w:tcMar>
              <w:top w:w="140" w:type="nil"/>
              <w:right w:w="140" w:type="nil"/>
            </w:tcMar>
          </w:tcPr>
          <w:p w14:paraId="3902B4A9" w14:textId="77777777" w:rsidR="00237FC6" w:rsidRPr="003E19B2" w:rsidRDefault="00237FC6" w:rsidP="00237FC6">
            <w:pPr>
              <w:pStyle w:val="ListParagraph"/>
              <w:numPr>
                <w:ilvl w:val="0"/>
                <w:numId w:val="85"/>
              </w:numPr>
              <w:spacing w:before="60" w:after="60" w:line="240" w:lineRule="auto"/>
              <w:rPr>
                <w:rFonts w:ascii="Arial" w:hAnsi="Arial"/>
                <w:sz w:val="16"/>
                <w:szCs w:val="16"/>
              </w:rPr>
            </w:pPr>
            <w:r w:rsidRPr="003E19B2">
              <w:rPr>
                <w:rFonts w:ascii="Arial" w:hAnsi="Arial"/>
                <w:sz w:val="16"/>
                <w:szCs w:val="16"/>
              </w:rPr>
              <w:t>AADP progress reports</w:t>
            </w:r>
          </w:p>
          <w:p w14:paraId="37D981B9" w14:textId="77777777" w:rsidR="00237FC6" w:rsidRPr="003E19B2" w:rsidRDefault="00237FC6" w:rsidP="00237FC6">
            <w:pPr>
              <w:pStyle w:val="ListParagraph"/>
              <w:numPr>
                <w:ilvl w:val="0"/>
                <w:numId w:val="85"/>
              </w:numPr>
              <w:spacing w:before="60" w:after="60" w:line="240" w:lineRule="auto"/>
              <w:rPr>
                <w:rFonts w:ascii="Arial" w:hAnsi="Arial"/>
                <w:sz w:val="16"/>
                <w:szCs w:val="16"/>
              </w:rPr>
            </w:pPr>
            <w:r w:rsidRPr="003E19B2">
              <w:rPr>
                <w:rFonts w:ascii="Arial" w:hAnsi="Arial"/>
                <w:sz w:val="16"/>
                <w:szCs w:val="16"/>
              </w:rPr>
              <w:t xml:space="preserve">AADP Pilot evaluations </w:t>
            </w:r>
          </w:p>
          <w:p w14:paraId="2E52773E" w14:textId="77777777" w:rsidR="00237FC6" w:rsidRPr="003E19B2" w:rsidRDefault="00237FC6" w:rsidP="00237FC6">
            <w:pPr>
              <w:pStyle w:val="ListParagraph"/>
              <w:numPr>
                <w:ilvl w:val="0"/>
                <w:numId w:val="85"/>
              </w:numPr>
              <w:spacing w:before="60" w:after="60" w:line="240" w:lineRule="auto"/>
              <w:rPr>
                <w:rFonts w:ascii="Arial" w:hAnsi="Arial"/>
                <w:sz w:val="16"/>
                <w:szCs w:val="16"/>
              </w:rPr>
            </w:pPr>
            <w:r w:rsidRPr="003E19B2">
              <w:rPr>
                <w:rFonts w:ascii="Arial" w:hAnsi="Arial"/>
                <w:sz w:val="16"/>
                <w:szCs w:val="16"/>
              </w:rPr>
              <w:t>AADP Mid Term Review</w:t>
            </w:r>
          </w:p>
          <w:p w14:paraId="2CB5419E" w14:textId="77777777" w:rsidR="00237FC6" w:rsidRPr="003E19B2" w:rsidRDefault="00237FC6" w:rsidP="00237FC6">
            <w:pPr>
              <w:widowControl w:val="0"/>
              <w:autoSpaceDE w:val="0"/>
              <w:autoSpaceDN w:val="0"/>
              <w:adjustRightInd w:val="0"/>
              <w:rPr>
                <w:rFonts w:cs="Arial"/>
                <w:b/>
                <w:sz w:val="16"/>
                <w:szCs w:val="16"/>
              </w:rPr>
            </w:pPr>
            <w:r w:rsidRPr="003E19B2">
              <w:rPr>
                <w:rFonts w:cs="Arial"/>
                <w:b/>
                <w:sz w:val="16"/>
                <w:szCs w:val="16"/>
              </w:rPr>
              <w:t>Baseline Information Sources</w:t>
            </w:r>
          </w:p>
          <w:p w14:paraId="40A317CD" w14:textId="77777777" w:rsidR="00237FC6" w:rsidRPr="003E19B2" w:rsidRDefault="00237FC6" w:rsidP="00237FC6">
            <w:pPr>
              <w:spacing w:before="60" w:after="60"/>
              <w:rPr>
                <w:sz w:val="16"/>
                <w:szCs w:val="16"/>
              </w:rPr>
            </w:pPr>
            <w:r w:rsidRPr="003E19B2">
              <w:rPr>
                <w:sz w:val="16"/>
                <w:szCs w:val="16"/>
              </w:rPr>
              <w:t>AAPF completion reports, activity completion reports, scoping mission reports and database</w:t>
            </w:r>
          </w:p>
          <w:p w14:paraId="7758713B" w14:textId="3A71BC41" w:rsidR="009A5C26" w:rsidRPr="008D4068" w:rsidRDefault="009A5C26" w:rsidP="00051808">
            <w:pPr>
              <w:pStyle w:val="TableTEXT"/>
            </w:pPr>
          </w:p>
        </w:tc>
      </w:tr>
      <w:tr w:rsidR="009A5C26" w:rsidRPr="008D4068" w14:paraId="4E58A4B4" w14:textId="77777777" w:rsidTr="00767E76">
        <w:trPr>
          <w:gridAfter w:val="1"/>
          <w:wAfter w:w="470" w:type="pct"/>
        </w:trPr>
        <w:tc>
          <w:tcPr>
            <w:tcW w:w="4530" w:type="pct"/>
            <w:gridSpan w:val="5"/>
            <w:tcBorders>
              <w:bottom w:val="single" w:sz="4" w:space="0" w:color="BFBFBF" w:themeColor="background1" w:themeShade="BF"/>
            </w:tcBorders>
            <w:shd w:val="clear" w:color="auto" w:fill="DEEAF6" w:themeFill="accent1" w:themeFillTint="33"/>
            <w:tcMar>
              <w:top w:w="140" w:type="nil"/>
              <w:right w:w="140" w:type="nil"/>
            </w:tcMar>
          </w:tcPr>
          <w:p w14:paraId="30C345C7" w14:textId="3FD7B792" w:rsidR="009A5C26" w:rsidRPr="00094CAD" w:rsidRDefault="009A5C26" w:rsidP="009A5C26">
            <w:pPr>
              <w:pStyle w:val="TableHeader"/>
            </w:pPr>
            <w:r w:rsidRPr="008D4068">
              <w:t>Key E4G</w:t>
            </w:r>
            <w:r>
              <w:t xml:space="preserve"> Activities 7</w:t>
            </w:r>
            <w:r w:rsidRPr="008D4068">
              <w:t xml:space="preserve">: </w:t>
            </w:r>
            <w:r>
              <w:t>More effective monitoring of extractives operations and enforcement of regulatory requirements</w:t>
            </w:r>
          </w:p>
        </w:tc>
      </w:tr>
      <w:tr w:rsidR="009A5C26" w:rsidRPr="008D4068" w14:paraId="3CB0DD2A" w14:textId="77777777" w:rsidTr="00767E76">
        <w:trPr>
          <w:gridAfter w:val="1"/>
          <w:wAfter w:w="470" w:type="pct"/>
        </w:trPr>
        <w:tc>
          <w:tcPr>
            <w:tcW w:w="1215" w:type="pct"/>
            <w:shd w:val="clear" w:color="auto" w:fill="auto"/>
            <w:tcMar>
              <w:top w:w="140" w:type="nil"/>
              <w:right w:w="140" w:type="nil"/>
            </w:tcMar>
          </w:tcPr>
          <w:p w14:paraId="36CE907B" w14:textId="578C5479" w:rsidR="009A5C26" w:rsidRDefault="009A5C26" w:rsidP="009A5C26">
            <w:pPr>
              <w:pStyle w:val="TableTEXT"/>
            </w:pPr>
            <w:r w:rsidRPr="008D4068">
              <w:t xml:space="preserve">Capacity gaps in African Ministries </w:t>
            </w:r>
            <w:r>
              <w:t>inhibit effective monitoring of extractives operations and regulatory requirements are not enforced consistently.</w:t>
            </w:r>
          </w:p>
          <w:p w14:paraId="2D898C9C" w14:textId="77777777" w:rsidR="009A5C26" w:rsidRPr="008D4068" w:rsidRDefault="009A5C26" w:rsidP="009A5C26">
            <w:pPr>
              <w:pStyle w:val="TableTEXT"/>
            </w:pPr>
          </w:p>
          <w:p w14:paraId="10E412EB" w14:textId="384085CF" w:rsidR="009A5C26" w:rsidRPr="00B83B22" w:rsidRDefault="009A5C26" w:rsidP="00923C51">
            <w:pPr>
              <w:pStyle w:val="TableTEXT"/>
            </w:pPr>
            <w:r w:rsidRPr="008D4068">
              <w:t xml:space="preserve">The </w:t>
            </w:r>
            <w:proofErr w:type="spellStart"/>
            <w:r w:rsidRPr="008D4068">
              <w:t>GoA</w:t>
            </w:r>
            <w:proofErr w:type="spellEnd"/>
            <w:r w:rsidRPr="008D4068">
              <w:t xml:space="preserve"> has supported study tours </w:t>
            </w:r>
            <w:r>
              <w:t xml:space="preserve">which explored the means </w:t>
            </w:r>
            <w:r w:rsidR="00923C51">
              <w:t xml:space="preserve">to improve the monitoring of extractives operations and how best to enforce regulatory requirements </w:t>
            </w:r>
            <w:r>
              <w:t>between 2011 and 2014</w:t>
            </w:r>
          </w:p>
        </w:tc>
        <w:tc>
          <w:tcPr>
            <w:tcW w:w="1064" w:type="pct"/>
            <w:shd w:val="clear" w:color="auto" w:fill="auto"/>
            <w:tcMar>
              <w:top w:w="140" w:type="nil"/>
              <w:right w:w="140" w:type="nil"/>
            </w:tcMar>
          </w:tcPr>
          <w:p w14:paraId="73E23EA8" w14:textId="77777777" w:rsidR="009A5C26" w:rsidRPr="00767E76" w:rsidRDefault="009A5C26" w:rsidP="009A5C26">
            <w:pPr>
              <w:pStyle w:val="ListParagraph"/>
              <w:numPr>
                <w:ilvl w:val="0"/>
                <w:numId w:val="85"/>
              </w:numPr>
              <w:spacing w:before="60" w:after="60" w:line="240" w:lineRule="auto"/>
              <w:rPr>
                <w:rFonts w:ascii="Arial" w:hAnsi="Arial"/>
                <w:sz w:val="16"/>
                <w:szCs w:val="16"/>
              </w:rPr>
            </w:pPr>
            <w:r w:rsidRPr="00767E76">
              <w:rPr>
                <w:rFonts w:ascii="Arial" w:hAnsi="Arial"/>
                <w:sz w:val="16"/>
                <w:szCs w:val="16"/>
              </w:rPr>
              <w:t xml:space="preserve">At least one activity per Focus Country to strengthen capacity to monitor extractives operations and enforce regulatory requirements </w:t>
            </w:r>
            <w:r w:rsidRPr="00767E76">
              <w:rPr>
                <w:rFonts w:ascii="Arial" w:hAnsi="Arial"/>
                <w:sz w:val="16"/>
                <w:szCs w:val="16"/>
                <w:lang w:val="en-GB"/>
              </w:rPr>
              <w:t>is completed</w:t>
            </w:r>
          </w:p>
          <w:p w14:paraId="498AB2C9" w14:textId="77777777" w:rsidR="009A5C26" w:rsidRPr="00767E76" w:rsidRDefault="009A5C26" w:rsidP="009A5C26">
            <w:pPr>
              <w:widowControl w:val="0"/>
              <w:autoSpaceDE w:val="0"/>
              <w:autoSpaceDN w:val="0"/>
              <w:adjustRightInd w:val="0"/>
              <w:rPr>
                <w:rFonts w:cs="Arial"/>
                <w:b/>
                <w:sz w:val="16"/>
                <w:szCs w:val="16"/>
              </w:rPr>
            </w:pPr>
            <w:r w:rsidRPr="00767E76">
              <w:rPr>
                <w:rFonts w:cs="Arial"/>
                <w:b/>
                <w:sz w:val="16"/>
                <w:szCs w:val="16"/>
              </w:rPr>
              <w:t xml:space="preserve">Gender / social target: </w:t>
            </w:r>
          </w:p>
          <w:p w14:paraId="7DEA74D8" w14:textId="68F99751" w:rsidR="009A5C26" w:rsidRPr="008D4068" w:rsidRDefault="009A5C26" w:rsidP="009A5C26">
            <w:pPr>
              <w:pStyle w:val="TableTEXT"/>
            </w:pPr>
            <w:r w:rsidRPr="009A5C26">
              <w:rPr>
                <w:szCs w:val="16"/>
              </w:rPr>
              <w:t xml:space="preserve">At least one activity to strengthen capacity to monitor extractives operations and enforce regulatory requirements </w:t>
            </w:r>
            <w:r w:rsidRPr="009A5C26">
              <w:rPr>
                <w:szCs w:val="16"/>
                <w:lang w:val="en-GB"/>
              </w:rPr>
              <w:t xml:space="preserve">that </w:t>
            </w:r>
            <w:r w:rsidRPr="009A5C26">
              <w:rPr>
                <w:szCs w:val="16"/>
              </w:rPr>
              <w:t>supports gender and social inclusion is completed.</w:t>
            </w:r>
          </w:p>
        </w:tc>
        <w:tc>
          <w:tcPr>
            <w:tcW w:w="1094" w:type="pct"/>
            <w:shd w:val="clear" w:color="auto" w:fill="auto"/>
            <w:tcMar>
              <w:top w:w="140" w:type="nil"/>
              <w:right w:w="140" w:type="nil"/>
            </w:tcMar>
          </w:tcPr>
          <w:p w14:paraId="1075DDAC" w14:textId="109580FF" w:rsidR="009A5C26" w:rsidRPr="003E19B2" w:rsidRDefault="009A5C26" w:rsidP="009A5C26">
            <w:pPr>
              <w:pStyle w:val="ListParagraph"/>
              <w:numPr>
                <w:ilvl w:val="0"/>
                <w:numId w:val="85"/>
              </w:numPr>
              <w:spacing w:before="60" w:after="60" w:line="240" w:lineRule="auto"/>
              <w:rPr>
                <w:rFonts w:ascii="Arial" w:hAnsi="Arial"/>
                <w:sz w:val="16"/>
                <w:szCs w:val="16"/>
              </w:rPr>
            </w:pPr>
            <w:r w:rsidRPr="003E19B2">
              <w:rPr>
                <w:rFonts w:ascii="Arial" w:hAnsi="Arial"/>
                <w:sz w:val="16"/>
                <w:szCs w:val="16"/>
              </w:rPr>
              <w:t xml:space="preserve">At least </w:t>
            </w:r>
            <w:r>
              <w:rPr>
                <w:rFonts w:ascii="Arial" w:hAnsi="Arial"/>
                <w:sz w:val="16"/>
                <w:szCs w:val="16"/>
              </w:rPr>
              <w:t>two activities</w:t>
            </w:r>
            <w:r w:rsidRPr="003E19B2">
              <w:rPr>
                <w:rFonts w:ascii="Arial" w:hAnsi="Arial"/>
                <w:sz w:val="16"/>
                <w:szCs w:val="16"/>
              </w:rPr>
              <w:t xml:space="preserve"> per Focus Country to strengthen capacity to monitor extractives operations and enforce regulatory requirements </w:t>
            </w:r>
            <w:r w:rsidRPr="003E19B2">
              <w:rPr>
                <w:rFonts w:ascii="Arial" w:hAnsi="Arial"/>
                <w:sz w:val="16"/>
                <w:szCs w:val="16"/>
                <w:lang w:val="en-GB"/>
              </w:rPr>
              <w:t>is completed</w:t>
            </w:r>
          </w:p>
          <w:p w14:paraId="14C5C057" w14:textId="77777777" w:rsidR="009A5C26" w:rsidRPr="003E19B2" w:rsidRDefault="009A5C26" w:rsidP="009A5C26">
            <w:pPr>
              <w:widowControl w:val="0"/>
              <w:autoSpaceDE w:val="0"/>
              <w:autoSpaceDN w:val="0"/>
              <w:adjustRightInd w:val="0"/>
              <w:rPr>
                <w:rFonts w:cs="Arial"/>
                <w:b/>
                <w:sz w:val="16"/>
                <w:szCs w:val="16"/>
              </w:rPr>
            </w:pPr>
            <w:r w:rsidRPr="003E19B2">
              <w:rPr>
                <w:rFonts w:cs="Arial"/>
                <w:b/>
                <w:sz w:val="16"/>
                <w:szCs w:val="16"/>
              </w:rPr>
              <w:t xml:space="preserve">Gender / social target: </w:t>
            </w:r>
          </w:p>
          <w:p w14:paraId="43B51296" w14:textId="61FBCBBD" w:rsidR="009A5C26" w:rsidRPr="008D4068" w:rsidRDefault="009A5C26" w:rsidP="009A5C26">
            <w:pPr>
              <w:pStyle w:val="Table-list-bullet"/>
            </w:pPr>
            <w:r w:rsidRPr="009A5C26">
              <w:rPr>
                <w:szCs w:val="16"/>
              </w:rPr>
              <w:t xml:space="preserve">At least </w:t>
            </w:r>
            <w:r>
              <w:rPr>
                <w:szCs w:val="16"/>
              </w:rPr>
              <w:t>two activities</w:t>
            </w:r>
            <w:r w:rsidRPr="009A5C26">
              <w:rPr>
                <w:szCs w:val="16"/>
              </w:rPr>
              <w:t xml:space="preserve"> to strengthen capacity to monitor extractives operations and enforce regulatory requirements </w:t>
            </w:r>
            <w:r w:rsidRPr="009A5C26">
              <w:rPr>
                <w:szCs w:val="16"/>
                <w:lang w:val="en-GB"/>
              </w:rPr>
              <w:t xml:space="preserve">that </w:t>
            </w:r>
            <w:r w:rsidRPr="009A5C26">
              <w:rPr>
                <w:szCs w:val="16"/>
              </w:rPr>
              <w:t xml:space="preserve">supports gender and social inclusion </w:t>
            </w:r>
            <w:proofErr w:type="gramStart"/>
            <w:r w:rsidRPr="009A5C26">
              <w:rPr>
                <w:szCs w:val="16"/>
              </w:rPr>
              <w:t>is</w:t>
            </w:r>
            <w:proofErr w:type="gramEnd"/>
            <w:r w:rsidRPr="009A5C26">
              <w:rPr>
                <w:szCs w:val="16"/>
              </w:rPr>
              <w:t xml:space="preserve"> completed.</w:t>
            </w:r>
          </w:p>
        </w:tc>
        <w:tc>
          <w:tcPr>
            <w:tcW w:w="1157" w:type="pct"/>
            <w:gridSpan w:val="2"/>
            <w:shd w:val="clear" w:color="auto" w:fill="auto"/>
            <w:tcMar>
              <w:top w:w="140" w:type="nil"/>
              <w:right w:w="140" w:type="nil"/>
            </w:tcMar>
          </w:tcPr>
          <w:p w14:paraId="51BA5D3E" w14:textId="77777777" w:rsidR="00237FC6" w:rsidRPr="003E19B2" w:rsidRDefault="00237FC6" w:rsidP="00237FC6">
            <w:pPr>
              <w:pStyle w:val="ListParagraph"/>
              <w:numPr>
                <w:ilvl w:val="0"/>
                <w:numId w:val="85"/>
              </w:numPr>
              <w:spacing w:before="60" w:after="60" w:line="240" w:lineRule="auto"/>
              <w:rPr>
                <w:rFonts w:ascii="Arial" w:hAnsi="Arial"/>
                <w:sz w:val="16"/>
                <w:szCs w:val="16"/>
              </w:rPr>
            </w:pPr>
            <w:r w:rsidRPr="003E19B2">
              <w:rPr>
                <w:rFonts w:ascii="Arial" w:hAnsi="Arial"/>
                <w:sz w:val="16"/>
                <w:szCs w:val="16"/>
              </w:rPr>
              <w:t>AADP progress reports</w:t>
            </w:r>
          </w:p>
          <w:p w14:paraId="7597E5A4" w14:textId="77777777" w:rsidR="00237FC6" w:rsidRPr="003E19B2" w:rsidRDefault="00237FC6" w:rsidP="00237FC6">
            <w:pPr>
              <w:pStyle w:val="ListParagraph"/>
              <w:numPr>
                <w:ilvl w:val="0"/>
                <w:numId w:val="85"/>
              </w:numPr>
              <w:spacing w:before="60" w:after="60" w:line="240" w:lineRule="auto"/>
              <w:rPr>
                <w:rFonts w:ascii="Arial" w:hAnsi="Arial"/>
                <w:sz w:val="16"/>
                <w:szCs w:val="16"/>
              </w:rPr>
            </w:pPr>
            <w:r w:rsidRPr="003E19B2">
              <w:rPr>
                <w:rFonts w:ascii="Arial" w:hAnsi="Arial"/>
                <w:sz w:val="16"/>
                <w:szCs w:val="16"/>
              </w:rPr>
              <w:t xml:space="preserve">AADP Pilot evaluations </w:t>
            </w:r>
          </w:p>
          <w:p w14:paraId="5F51C7C7" w14:textId="77777777" w:rsidR="00237FC6" w:rsidRPr="003E19B2" w:rsidRDefault="00237FC6" w:rsidP="00237FC6">
            <w:pPr>
              <w:pStyle w:val="ListParagraph"/>
              <w:numPr>
                <w:ilvl w:val="0"/>
                <w:numId w:val="85"/>
              </w:numPr>
              <w:spacing w:before="60" w:after="60" w:line="240" w:lineRule="auto"/>
              <w:rPr>
                <w:rFonts w:ascii="Arial" w:hAnsi="Arial"/>
                <w:sz w:val="16"/>
                <w:szCs w:val="16"/>
              </w:rPr>
            </w:pPr>
            <w:r w:rsidRPr="003E19B2">
              <w:rPr>
                <w:rFonts w:ascii="Arial" w:hAnsi="Arial"/>
                <w:sz w:val="16"/>
                <w:szCs w:val="16"/>
              </w:rPr>
              <w:t>AADP Mid Term Review</w:t>
            </w:r>
          </w:p>
          <w:p w14:paraId="5F69F93A" w14:textId="77777777" w:rsidR="00237FC6" w:rsidRPr="003E19B2" w:rsidRDefault="00237FC6" w:rsidP="00237FC6">
            <w:pPr>
              <w:widowControl w:val="0"/>
              <w:autoSpaceDE w:val="0"/>
              <w:autoSpaceDN w:val="0"/>
              <w:adjustRightInd w:val="0"/>
              <w:rPr>
                <w:rFonts w:cs="Arial"/>
                <w:b/>
                <w:sz w:val="16"/>
                <w:szCs w:val="16"/>
              </w:rPr>
            </w:pPr>
            <w:r w:rsidRPr="003E19B2">
              <w:rPr>
                <w:rFonts w:cs="Arial"/>
                <w:b/>
                <w:sz w:val="16"/>
                <w:szCs w:val="16"/>
              </w:rPr>
              <w:t>Baseline Information Sources</w:t>
            </w:r>
          </w:p>
          <w:p w14:paraId="7F8B2166" w14:textId="77777777" w:rsidR="00237FC6" w:rsidRPr="003E19B2" w:rsidRDefault="00237FC6" w:rsidP="00237FC6">
            <w:pPr>
              <w:spacing w:before="60" w:after="60"/>
              <w:rPr>
                <w:sz w:val="16"/>
                <w:szCs w:val="16"/>
              </w:rPr>
            </w:pPr>
            <w:r w:rsidRPr="003E19B2">
              <w:rPr>
                <w:sz w:val="16"/>
                <w:szCs w:val="16"/>
              </w:rPr>
              <w:t>AAPF completion reports, activity completion reports, scoping mission reports and database</w:t>
            </w:r>
          </w:p>
          <w:p w14:paraId="0E53B76F" w14:textId="5401522D" w:rsidR="009A5C26" w:rsidRPr="008D4068" w:rsidRDefault="009A5C26" w:rsidP="009A5C26">
            <w:pPr>
              <w:pStyle w:val="TableTEXT"/>
            </w:pPr>
          </w:p>
        </w:tc>
      </w:tr>
      <w:tr w:rsidR="00045DB6" w:rsidRPr="008D4068" w14:paraId="063308DC" w14:textId="77777777" w:rsidTr="00767E76">
        <w:trPr>
          <w:gridAfter w:val="1"/>
          <w:wAfter w:w="470" w:type="pct"/>
        </w:trPr>
        <w:tc>
          <w:tcPr>
            <w:tcW w:w="4530" w:type="pct"/>
            <w:gridSpan w:val="5"/>
            <w:tcBorders>
              <w:bottom w:val="single" w:sz="4" w:space="0" w:color="BFBFBF" w:themeColor="background1" w:themeShade="BF"/>
            </w:tcBorders>
            <w:shd w:val="clear" w:color="auto" w:fill="DEEAF6" w:themeFill="accent1" w:themeFillTint="33"/>
            <w:tcMar>
              <w:top w:w="140" w:type="nil"/>
              <w:right w:w="140" w:type="nil"/>
            </w:tcMar>
          </w:tcPr>
          <w:p w14:paraId="0CC1E9CD" w14:textId="2B673AF2" w:rsidR="00045DB6" w:rsidRPr="00094CAD" w:rsidRDefault="00045DB6" w:rsidP="00237FC6">
            <w:pPr>
              <w:pStyle w:val="TableHeader"/>
            </w:pPr>
            <w:r w:rsidRPr="008D4068">
              <w:t>Key E4G</w:t>
            </w:r>
            <w:r>
              <w:t xml:space="preserve"> Activities 8</w:t>
            </w:r>
            <w:r w:rsidRPr="008D4068">
              <w:t xml:space="preserve">: </w:t>
            </w:r>
            <w:r w:rsidRPr="00767E76">
              <w:t>Infrastructure is in place to support, and leverage broader benefit from, the extractives sector</w:t>
            </w:r>
          </w:p>
        </w:tc>
      </w:tr>
      <w:tr w:rsidR="009A5C26" w:rsidRPr="008D4068" w14:paraId="1C8EDAAC" w14:textId="77777777" w:rsidTr="00767E76">
        <w:trPr>
          <w:gridAfter w:val="1"/>
          <w:wAfter w:w="470" w:type="pct"/>
        </w:trPr>
        <w:tc>
          <w:tcPr>
            <w:tcW w:w="1215" w:type="pct"/>
            <w:shd w:val="clear" w:color="auto" w:fill="auto"/>
            <w:tcMar>
              <w:top w:w="140" w:type="nil"/>
              <w:right w:w="140" w:type="nil"/>
            </w:tcMar>
          </w:tcPr>
          <w:p w14:paraId="0E2F01A0" w14:textId="77777777" w:rsidR="00237FC6" w:rsidRPr="008D4068" w:rsidRDefault="00237FC6" w:rsidP="00237FC6">
            <w:pPr>
              <w:pStyle w:val="TableTEXT"/>
              <w:spacing w:after="120"/>
            </w:pPr>
            <w:r w:rsidRPr="008D4068">
              <w:t>Sound infrastructure planning and management in key infrastructure corridors in Africa are currently being undermined by weak public sector capacity and thus helping to maintain the infrastructure gap on the continent. If the gap is narrowed infrastructure initiatives could be leveraged to broaden and diversify economic growth in non-mining sectors such as agriculture, manufacturing and services</w:t>
            </w:r>
            <w:r>
              <w:t>.</w:t>
            </w:r>
          </w:p>
          <w:p w14:paraId="25C3170E" w14:textId="7CD73260" w:rsidR="009A5C26" w:rsidRPr="008D4068" w:rsidRDefault="00237FC6" w:rsidP="00237FC6">
            <w:pPr>
              <w:pStyle w:val="TableTEXT"/>
            </w:pPr>
            <w:r w:rsidRPr="008D4068">
              <w:t xml:space="preserve">The </w:t>
            </w:r>
            <w:proofErr w:type="spellStart"/>
            <w:r w:rsidRPr="008D4068">
              <w:t>GoA</w:t>
            </w:r>
            <w:proofErr w:type="spellEnd"/>
            <w:r w:rsidRPr="008D4068">
              <w:t xml:space="preserve"> has supported study tours and a pilot project that explored the issues of resource infrastructure corridor project management competencies be</w:t>
            </w:r>
            <w:r>
              <w:t>tween 2011 and 2014</w:t>
            </w:r>
          </w:p>
        </w:tc>
        <w:tc>
          <w:tcPr>
            <w:tcW w:w="1064" w:type="pct"/>
            <w:shd w:val="clear" w:color="auto" w:fill="auto"/>
            <w:tcMar>
              <w:top w:w="140" w:type="nil"/>
              <w:right w:w="140" w:type="nil"/>
            </w:tcMar>
          </w:tcPr>
          <w:p w14:paraId="5D88EE09" w14:textId="77777777" w:rsidR="00237FC6" w:rsidRPr="00767E76" w:rsidRDefault="00237FC6" w:rsidP="00767E76">
            <w:pPr>
              <w:pStyle w:val="Table-list-bullet"/>
              <w:rPr>
                <w:szCs w:val="16"/>
                <w:lang w:val="en-GB"/>
              </w:rPr>
            </w:pPr>
            <w:r w:rsidRPr="00767E76">
              <w:rPr>
                <w:szCs w:val="16"/>
              </w:rPr>
              <w:t>Public sector capacity to develop, design and manage extractives-related infrastructure projects</w:t>
            </w:r>
            <w:r w:rsidRPr="00767E76">
              <w:rPr>
                <w:szCs w:val="16"/>
                <w:lang w:val="en-GB"/>
              </w:rPr>
              <w:t xml:space="preserve"> are strengthened in at least three projects</w:t>
            </w:r>
          </w:p>
          <w:p w14:paraId="6920CAAD" w14:textId="77777777" w:rsidR="00237FC6" w:rsidRPr="00767E76" w:rsidRDefault="00237FC6" w:rsidP="00237FC6">
            <w:pPr>
              <w:pStyle w:val="tablecrossheading"/>
              <w:rPr>
                <w:b w:val="0"/>
                <w:szCs w:val="16"/>
              </w:rPr>
            </w:pPr>
            <w:r w:rsidRPr="00767E76">
              <w:rPr>
                <w:b w:val="0"/>
                <w:szCs w:val="16"/>
              </w:rPr>
              <w:t xml:space="preserve">Gender / social target: </w:t>
            </w:r>
          </w:p>
          <w:p w14:paraId="48583CB1" w14:textId="2A0C2EE8" w:rsidR="009A5C26" w:rsidRPr="009A5C26" w:rsidRDefault="00237FC6" w:rsidP="00237FC6">
            <w:pPr>
              <w:pStyle w:val="tablecrossheading"/>
              <w:spacing w:before="0"/>
              <w:rPr>
                <w:szCs w:val="16"/>
              </w:rPr>
            </w:pPr>
            <w:r w:rsidRPr="00767E76">
              <w:rPr>
                <w:b w:val="0"/>
                <w:szCs w:val="16"/>
                <w:lang w:val="en-GB"/>
              </w:rPr>
              <w:t>Resource infrastructure corridor development projects are managed utilising social and gender inclusion competencies in at least two projects</w:t>
            </w:r>
          </w:p>
        </w:tc>
        <w:tc>
          <w:tcPr>
            <w:tcW w:w="1094" w:type="pct"/>
            <w:shd w:val="clear" w:color="auto" w:fill="auto"/>
            <w:tcMar>
              <w:top w:w="140" w:type="nil"/>
              <w:right w:w="140" w:type="nil"/>
            </w:tcMar>
          </w:tcPr>
          <w:p w14:paraId="2257F0DB" w14:textId="36FDB61C" w:rsidR="00237FC6" w:rsidRPr="003E19B2" w:rsidRDefault="00237FC6" w:rsidP="00237FC6">
            <w:pPr>
              <w:pStyle w:val="Table-list-bullet"/>
              <w:rPr>
                <w:szCs w:val="16"/>
                <w:lang w:val="en-GB"/>
              </w:rPr>
            </w:pPr>
            <w:r w:rsidRPr="003E19B2">
              <w:rPr>
                <w:szCs w:val="16"/>
              </w:rPr>
              <w:t>Public sector capacity to develop, design and manage extractives-related infrastructure projects</w:t>
            </w:r>
            <w:r w:rsidRPr="003E19B2">
              <w:rPr>
                <w:szCs w:val="16"/>
                <w:lang w:val="en-GB"/>
              </w:rPr>
              <w:t xml:space="preserve"> are strengthened in at least </w:t>
            </w:r>
            <w:proofErr w:type="spellStart"/>
            <w:r>
              <w:rPr>
                <w:szCs w:val="16"/>
                <w:lang w:val="en-GB"/>
              </w:rPr>
              <w:t>six</w:t>
            </w:r>
            <w:r w:rsidRPr="003E19B2">
              <w:rPr>
                <w:szCs w:val="16"/>
                <w:lang w:val="en-GB"/>
              </w:rPr>
              <w:t>projects</w:t>
            </w:r>
            <w:proofErr w:type="spellEnd"/>
          </w:p>
          <w:p w14:paraId="22BFB7E2" w14:textId="77777777" w:rsidR="00237FC6" w:rsidRPr="003E19B2" w:rsidRDefault="00237FC6" w:rsidP="00237FC6">
            <w:pPr>
              <w:pStyle w:val="tablecrossheading"/>
              <w:rPr>
                <w:b w:val="0"/>
                <w:szCs w:val="16"/>
              </w:rPr>
            </w:pPr>
            <w:r w:rsidRPr="003E19B2">
              <w:rPr>
                <w:b w:val="0"/>
                <w:szCs w:val="16"/>
              </w:rPr>
              <w:t xml:space="preserve">Gender / social target: </w:t>
            </w:r>
          </w:p>
          <w:p w14:paraId="7C1D2C83" w14:textId="1BDEE6EA" w:rsidR="009A5C26" w:rsidRDefault="00237FC6" w:rsidP="00237FC6">
            <w:pPr>
              <w:pStyle w:val="tablecrossheading"/>
              <w:spacing w:before="0"/>
            </w:pPr>
            <w:r w:rsidRPr="003E19B2">
              <w:rPr>
                <w:b w:val="0"/>
                <w:szCs w:val="16"/>
                <w:lang w:val="en-GB"/>
              </w:rPr>
              <w:t xml:space="preserve">Resource infrastructure corridor development projects are managed utilising social and gender inclusion competencies in at least </w:t>
            </w:r>
            <w:r>
              <w:rPr>
                <w:b w:val="0"/>
                <w:szCs w:val="16"/>
                <w:lang w:val="en-GB"/>
              </w:rPr>
              <w:t>four</w:t>
            </w:r>
            <w:r w:rsidRPr="003E19B2">
              <w:rPr>
                <w:b w:val="0"/>
                <w:szCs w:val="16"/>
                <w:lang w:val="en-GB"/>
              </w:rPr>
              <w:t xml:space="preserve"> projects</w:t>
            </w:r>
          </w:p>
        </w:tc>
        <w:tc>
          <w:tcPr>
            <w:tcW w:w="1157" w:type="pct"/>
            <w:gridSpan w:val="2"/>
            <w:shd w:val="clear" w:color="auto" w:fill="auto"/>
            <w:tcMar>
              <w:top w:w="140" w:type="nil"/>
              <w:right w:w="140" w:type="nil"/>
            </w:tcMar>
          </w:tcPr>
          <w:p w14:paraId="19942CB0" w14:textId="77777777" w:rsidR="00237FC6" w:rsidRPr="003E19B2" w:rsidRDefault="00237FC6" w:rsidP="00237FC6">
            <w:pPr>
              <w:pStyle w:val="ListParagraph"/>
              <w:numPr>
                <w:ilvl w:val="0"/>
                <w:numId w:val="85"/>
              </w:numPr>
              <w:spacing w:before="60" w:after="60" w:line="240" w:lineRule="auto"/>
              <w:rPr>
                <w:rFonts w:ascii="Arial" w:hAnsi="Arial"/>
                <w:sz w:val="16"/>
                <w:szCs w:val="16"/>
              </w:rPr>
            </w:pPr>
            <w:r w:rsidRPr="003E19B2">
              <w:rPr>
                <w:rFonts w:ascii="Arial" w:hAnsi="Arial"/>
                <w:sz w:val="16"/>
                <w:szCs w:val="16"/>
              </w:rPr>
              <w:t>AADP progress reports</w:t>
            </w:r>
          </w:p>
          <w:p w14:paraId="64832E6F" w14:textId="77777777" w:rsidR="00237FC6" w:rsidRPr="003E19B2" w:rsidRDefault="00237FC6" w:rsidP="00237FC6">
            <w:pPr>
              <w:pStyle w:val="ListParagraph"/>
              <w:numPr>
                <w:ilvl w:val="0"/>
                <w:numId w:val="85"/>
              </w:numPr>
              <w:spacing w:before="60" w:after="60" w:line="240" w:lineRule="auto"/>
              <w:rPr>
                <w:rFonts w:ascii="Arial" w:hAnsi="Arial"/>
                <w:sz w:val="16"/>
                <w:szCs w:val="16"/>
              </w:rPr>
            </w:pPr>
            <w:r w:rsidRPr="003E19B2">
              <w:rPr>
                <w:rFonts w:ascii="Arial" w:hAnsi="Arial"/>
                <w:sz w:val="16"/>
                <w:szCs w:val="16"/>
              </w:rPr>
              <w:t xml:space="preserve">AADP Pilot evaluations </w:t>
            </w:r>
          </w:p>
          <w:p w14:paraId="179931A4" w14:textId="77777777" w:rsidR="00237FC6" w:rsidRPr="003E19B2" w:rsidRDefault="00237FC6" w:rsidP="00237FC6">
            <w:pPr>
              <w:pStyle w:val="ListParagraph"/>
              <w:numPr>
                <w:ilvl w:val="0"/>
                <w:numId w:val="85"/>
              </w:numPr>
              <w:spacing w:before="60" w:after="60" w:line="240" w:lineRule="auto"/>
              <w:rPr>
                <w:rFonts w:ascii="Arial" w:hAnsi="Arial"/>
                <w:sz w:val="16"/>
                <w:szCs w:val="16"/>
              </w:rPr>
            </w:pPr>
            <w:r w:rsidRPr="003E19B2">
              <w:rPr>
                <w:rFonts w:ascii="Arial" w:hAnsi="Arial"/>
                <w:sz w:val="16"/>
                <w:szCs w:val="16"/>
              </w:rPr>
              <w:t>AADP Mid Term Review</w:t>
            </w:r>
          </w:p>
          <w:p w14:paraId="6B1227D5" w14:textId="77777777" w:rsidR="00237FC6" w:rsidRPr="003E19B2" w:rsidRDefault="00237FC6" w:rsidP="00237FC6">
            <w:pPr>
              <w:widowControl w:val="0"/>
              <w:autoSpaceDE w:val="0"/>
              <w:autoSpaceDN w:val="0"/>
              <w:adjustRightInd w:val="0"/>
              <w:rPr>
                <w:rFonts w:cs="Arial"/>
                <w:b/>
                <w:sz w:val="16"/>
                <w:szCs w:val="16"/>
              </w:rPr>
            </w:pPr>
            <w:r w:rsidRPr="003E19B2">
              <w:rPr>
                <w:rFonts w:cs="Arial"/>
                <w:b/>
                <w:sz w:val="16"/>
                <w:szCs w:val="16"/>
              </w:rPr>
              <w:t>Baseline Information Sources</w:t>
            </w:r>
          </w:p>
          <w:p w14:paraId="328F0C9E" w14:textId="77777777" w:rsidR="00237FC6" w:rsidRPr="003E19B2" w:rsidRDefault="00237FC6" w:rsidP="00237FC6">
            <w:pPr>
              <w:spacing w:before="60" w:after="60"/>
              <w:rPr>
                <w:sz w:val="16"/>
                <w:szCs w:val="16"/>
              </w:rPr>
            </w:pPr>
            <w:r w:rsidRPr="003E19B2">
              <w:rPr>
                <w:sz w:val="16"/>
                <w:szCs w:val="16"/>
              </w:rPr>
              <w:t>AAPF completion reports, activity completion reports, scoping mission reports and database</w:t>
            </w:r>
          </w:p>
          <w:p w14:paraId="0641921B" w14:textId="77777777" w:rsidR="009A5C26" w:rsidRPr="008D4068" w:rsidRDefault="009A5C26" w:rsidP="00051808">
            <w:pPr>
              <w:pStyle w:val="Table-list-bullet"/>
            </w:pPr>
          </w:p>
        </w:tc>
      </w:tr>
      <w:tr w:rsidR="00237FC6" w:rsidRPr="008D4068" w14:paraId="7E847765" w14:textId="77777777" w:rsidTr="00767E76">
        <w:trPr>
          <w:gridAfter w:val="1"/>
          <w:wAfter w:w="470" w:type="pct"/>
        </w:trPr>
        <w:tc>
          <w:tcPr>
            <w:tcW w:w="4530" w:type="pct"/>
            <w:gridSpan w:val="5"/>
            <w:tcBorders>
              <w:bottom w:val="single" w:sz="4" w:space="0" w:color="BFBFBF" w:themeColor="background1" w:themeShade="BF"/>
            </w:tcBorders>
            <w:shd w:val="clear" w:color="auto" w:fill="DEEAF6" w:themeFill="accent1" w:themeFillTint="33"/>
            <w:tcMar>
              <w:top w:w="140" w:type="nil"/>
              <w:right w:w="140" w:type="nil"/>
            </w:tcMar>
          </w:tcPr>
          <w:p w14:paraId="181BD343" w14:textId="0552FB46" w:rsidR="00237FC6" w:rsidRPr="00094CAD" w:rsidRDefault="00237FC6" w:rsidP="00237FC6">
            <w:pPr>
              <w:pStyle w:val="TableHeader"/>
            </w:pPr>
            <w:r w:rsidRPr="008D4068">
              <w:t>Key E4G</w:t>
            </w:r>
            <w:r>
              <w:t xml:space="preserve"> Activities 9</w:t>
            </w:r>
            <w:r w:rsidRPr="008D4068">
              <w:t xml:space="preserve">: </w:t>
            </w:r>
            <w:r w:rsidRPr="00767E76">
              <w:t>Discovery and the decision to extract informed by robust and transparent information, analysis and planning considering social and environmental</w:t>
            </w:r>
          </w:p>
        </w:tc>
      </w:tr>
      <w:tr w:rsidR="009A5C26" w:rsidRPr="008D4068" w14:paraId="1EA88BE2" w14:textId="77777777" w:rsidTr="00767E76">
        <w:trPr>
          <w:gridAfter w:val="1"/>
          <w:wAfter w:w="470" w:type="pct"/>
        </w:trPr>
        <w:tc>
          <w:tcPr>
            <w:tcW w:w="1215" w:type="pct"/>
            <w:shd w:val="clear" w:color="auto" w:fill="auto"/>
            <w:tcMar>
              <w:top w:w="140" w:type="nil"/>
              <w:right w:w="140" w:type="nil"/>
            </w:tcMar>
          </w:tcPr>
          <w:p w14:paraId="06C57693" w14:textId="0AF1C8F5" w:rsidR="00237FC6" w:rsidRDefault="00237FC6" w:rsidP="00237FC6">
            <w:pPr>
              <w:pStyle w:val="TableTEXT"/>
            </w:pPr>
            <w:r w:rsidRPr="008D4068">
              <w:t xml:space="preserve">Capacity gaps in African Ministries (such </w:t>
            </w:r>
            <w:r>
              <w:t>as in environmental</w:t>
            </w:r>
            <w:r w:rsidRPr="008D4068">
              <w:t xml:space="preserve"> ministries and other regulatory bodies) </w:t>
            </w:r>
            <w:r>
              <w:t xml:space="preserve">often lead to a lack of transparency with regards to decisions to extract. Moreover, many decisions </w:t>
            </w:r>
            <w:r w:rsidR="00011E84">
              <w:t>do not fully consider social and environmental impact issues</w:t>
            </w:r>
            <w:r>
              <w:t>.</w:t>
            </w:r>
          </w:p>
          <w:p w14:paraId="6062A132" w14:textId="77777777" w:rsidR="00237FC6" w:rsidRPr="008D4068" w:rsidRDefault="00237FC6" w:rsidP="00237FC6">
            <w:pPr>
              <w:pStyle w:val="TableTEXT"/>
            </w:pPr>
          </w:p>
          <w:p w14:paraId="2F67A930" w14:textId="3A42AA26" w:rsidR="009A5C26" w:rsidRPr="008D4068" w:rsidRDefault="00237FC6" w:rsidP="00011E84">
            <w:pPr>
              <w:pStyle w:val="TableTEXT"/>
            </w:pPr>
            <w:r w:rsidRPr="008D4068">
              <w:t xml:space="preserve">The </w:t>
            </w:r>
            <w:proofErr w:type="spellStart"/>
            <w:r w:rsidRPr="008D4068">
              <w:t>GoA</w:t>
            </w:r>
            <w:proofErr w:type="spellEnd"/>
            <w:r w:rsidRPr="008D4068">
              <w:t xml:space="preserve"> has supported study tours and</w:t>
            </w:r>
            <w:r w:rsidR="00011E84">
              <w:t xml:space="preserve"> international conferences which have considered how best to include social and environmental considerations when making decisions to extract </w:t>
            </w:r>
            <w:r>
              <w:t>between 2011 and 2014</w:t>
            </w:r>
          </w:p>
        </w:tc>
        <w:tc>
          <w:tcPr>
            <w:tcW w:w="1064" w:type="pct"/>
            <w:shd w:val="clear" w:color="auto" w:fill="auto"/>
            <w:tcMar>
              <w:top w:w="140" w:type="nil"/>
              <w:right w:w="140" w:type="nil"/>
            </w:tcMar>
          </w:tcPr>
          <w:p w14:paraId="51DC8C03" w14:textId="77777777" w:rsidR="00237FC6" w:rsidRPr="00767E76" w:rsidRDefault="00237FC6" w:rsidP="00237FC6">
            <w:pPr>
              <w:pStyle w:val="ListParagraph"/>
              <w:numPr>
                <w:ilvl w:val="0"/>
                <w:numId w:val="85"/>
              </w:numPr>
              <w:spacing w:before="60" w:after="60" w:line="240" w:lineRule="auto"/>
              <w:rPr>
                <w:rFonts w:ascii="Arial" w:hAnsi="Arial"/>
                <w:sz w:val="16"/>
                <w:szCs w:val="16"/>
              </w:rPr>
            </w:pPr>
            <w:r w:rsidRPr="00767E76">
              <w:rPr>
                <w:rFonts w:ascii="Arial" w:hAnsi="Arial"/>
                <w:sz w:val="16"/>
                <w:szCs w:val="16"/>
              </w:rPr>
              <w:t xml:space="preserve">At least one activity per Focus Country is completed which considers social and environmental impacts during discovery and the decision to extract </w:t>
            </w:r>
          </w:p>
          <w:p w14:paraId="14F42E54" w14:textId="77777777" w:rsidR="00237FC6" w:rsidRPr="00767E76" w:rsidRDefault="00237FC6" w:rsidP="00237FC6">
            <w:pPr>
              <w:widowControl w:val="0"/>
              <w:autoSpaceDE w:val="0"/>
              <w:autoSpaceDN w:val="0"/>
              <w:adjustRightInd w:val="0"/>
              <w:rPr>
                <w:rFonts w:cs="Arial"/>
                <w:b/>
                <w:sz w:val="16"/>
                <w:szCs w:val="16"/>
              </w:rPr>
            </w:pPr>
            <w:r w:rsidRPr="00767E76">
              <w:rPr>
                <w:rFonts w:cs="Arial"/>
                <w:b/>
                <w:sz w:val="16"/>
                <w:szCs w:val="16"/>
              </w:rPr>
              <w:t xml:space="preserve">Gender / social target: </w:t>
            </w:r>
          </w:p>
          <w:p w14:paraId="36D272D3" w14:textId="54D8A520" w:rsidR="009A5C26" w:rsidRPr="00767E76" w:rsidRDefault="00237FC6" w:rsidP="00237FC6">
            <w:pPr>
              <w:pStyle w:val="tablecrossheading"/>
              <w:spacing w:before="0"/>
              <w:rPr>
                <w:b w:val="0"/>
                <w:szCs w:val="16"/>
              </w:rPr>
            </w:pPr>
            <w:r w:rsidRPr="00767E76">
              <w:rPr>
                <w:b w:val="0"/>
                <w:szCs w:val="16"/>
              </w:rPr>
              <w:t xml:space="preserve">At least one discovery and decision to extract in each focus country is assessed to support gender and social inclusion when </w:t>
            </w:r>
            <w:r w:rsidRPr="00237FC6">
              <w:rPr>
                <w:b w:val="0"/>
                <w:szCs w:val="16"/>
              </w:rPr>
              <w:t>considering</w:t>
            </w:r>
            <w:r w:rsidRPr="00767E76">
              <w:rPr>
                <w:b w:val="0"/>
                <w:szCs w:val="16"/>
              </w:rPr>
              <w:t xml:space="preserve"> social and environmental impacts</w:t>
            </w:r>
          </w:p>
        </w:tc>
        <w:tc>
          <w:tcPr>
            <w:tcW w:w="1094" w:type="pct"/>
            <w:shd w:val="clear" w:color="auto" w:fill="auto"/>
            <w:tcMar>
              <w:top w:w="140" w:type="nil"/>
              <w:right w:w="140" w:type="nil"/>
            </w:tcMar>
          </w:tcPr>
          <w:p w14:paraId="5DABBBD4" w14:textId="278F72AB" w:rsidR="00237FC6" w:rsidRPr="003E19B2" w:rsidRDefault="00237FC6" w:rsidP="00237FC6">
            <w:pPr>
              <w:pStyle w:val="ListParagraph"/>
              <w:numPr>
                <w:ilvl w:val="0"/>
                <w:numId w:val="85"/>
              </w:numPr>
              <w:spacing w:before="60" w:after="60" w:line="240" w:lineRule="auto"/>
              <w:rPr>
                <w:rFonts w:ascii="Arial" w:hAnsi="Arial"/>
                <w:sz w:val="16"/>
                <w:szCs w:val="16"/>
              </w:rPr>
            </w:pPr>
            <w:r w:rsidRPr="003E19B2">
              <w:rPr>
                <w:rFonts w:ascii="Arial" w:hAnsi="Arial"/>
                <w:sz w:val="16"/>
                <w:szCs w:val="16"/>
              </w:rPr>
              <w:t xml:space="preserve">At least </w:t>
            </w:r>
            <w:r>
              <w:rPr>
                <w:rFonts w:ascii="Arial" w:hAnsi="Arial"/>
                <w:sz w:val="16"/>
                <w:szCs w:val="16"/>
              </w:rPr>
              <w:t>two activities</w:t>
            </w:r>
            <w:r w:rsidRPr="003E19B2">
              <w:rPr>
                <w:rFonts w:ascii="Arial" w:hAnsi="Arial"/>
                <w:sz w:val="16"/>
                <w:szCs w:val="16"/>
              </w:rPr>
              <w:t xml:space="preserve"> per Focus Country is completed which considers social and environmental impacts during discovery and the decision to extract </w:t>
            </w:r>
          </w:p>
          <w:p w14:paraId="20518983" w14:textId="77777777" w:rsidR="00237FC6" w:rsidRPr="003E19B2" w:rsidRDefault="00237FC6" w:rsidP="00237FC6">
            <w:pPr>
              <w:widowControl w:val="0"/>
              <w:autoSpaceDE w:val="0"/>
              <w:autoSpaceDN w:val="0"/>
              <w:adjustRightInd w:val="0"/>
              <w:rPr>
                <w:rFonts w:cs="Arial"/>
                <w:b/>
                <w:sz w:val="16"/>
                <w:szCs w:val="16"/>
              </w:rPr>
            </w:pPr>
            <w:r w:rsidRPr="003E19B2">
              <w:rPr>
                <w:rFonts w:cs="Arial"/>
                <w:b/>
                <w:sz w:val="16"/>
                <w:szCs w:val="16"/>
              </w:rPr>
              <w:t xml:space="preserve">Gender / social target: </w:t>
            </w:r>
          </w:p>
          <w:p w14:paraId="428BE111" w14:textId="731523BB" w:rsidR="009A5C26" w:rsidRDefault="00237FC6" w:rsidP="00237FC6">
            <w:pPr>
              <w:pStyle w:val="tablecrossheading"/>
              <w:spacing w:before="0"/>
            </w:pPr>
            <w:r w:rsidRPr="003E19B2">
              <w:rPr>
                <w:b w:val="0"/>
                <w:szCs w:val="16"/>
              </w:rPr>
              <w:t xml:space="preserve">At least one discovery and decision to extract in each focus country is assessed to support gender and social inclusion when </w:t>
            </w:r>
            <w:r w:rsidRPr="00237FC6">
              <w:rPr>
                <w:b w:val="0"/>
                <w:szCs w:val="16"/>
              </w:rPr>
              <w:t>considering</w:t>
            </w:r>
            <w:r w:rsidRPr="003E19B2">
              <w:rPr>
                <w:b w:val="0"/>
                <w:szCs w:val="16"/>
              </w:rPr>
              <w:t xml:space="preserve"> social and environmental impacts</w:t>
            </w:r>
          </w:p>
        </w:tc>
        <w:tc>
          <w:tcPr>
            <w:tcW w:w="1157" w:type="pct"/>
            <w:gridSpan w:val="2"/>
            <w:shd w:val="clear" w:color="auto" w:fill="auto"/>
            <w:tcMar>
              <w:top w:w="140" w:type="nil"/>
              <w:right w:w="140" w:type="nil"/>
            </w:tcMar>
          </w:tcPr>
          <w:p w14:paraId="65B4F4B5" w14:textId="77777777" w:rsidR="00011E84" w:rsidRPr="003E19B2" w:rsidRDefault="00011E84" w:rsidP="00011E84">
            <w:pPr>
              <w:pStyle w:val="ListParagraph"/>
              <w:numPr>
                <w:ilvl w:val="0"/>
                <w:numId w:val="85"/>
              </w:numPr>
              <w:spacing w:before="60" w:after="60" w:line="240" w:lineRule="auto"/>
              <w:rPr>
                <w:rFonts w:ascii="Arial" w:hAnsi="Arial"/>
                <w:sz w:val="16"/>
                <w:szCs w:val="16"/>
              </w:rPr>
            </w:pPr>
            <w:r w:rsidRPr="003E19B2">
              <w:rPr>
                <w:rFonts w:ascii="Arial" w:hAnsi="Arial"/>
                <w:sz w:val="16"/>
                <w:szCs w:val="16"/>
              </w:rPr>
              <w:t>AADP progress reports</w:t>
            </w:r>
          </w:p>
          <w:p w14:paraId="6A1CBC3D" w14:textId="77777777" w:rsidR="00011E84" w:rsidRPr="003E19B2" w:rsidRDefault="00011E84" w:rsidP="00011E84">
            <w:pPr>
              <w:pStyle w:val="ListParagraph"/>
              <w:numPr>
                <w:ilvl w:val="0"/>
                <w:numId w:val="85"/>
              </w:numPr>
              <w:spacing w:before="60" w:after="60" w:line="240" w:lineRule="auto"/>
              <w:rPr>
                <w:rFonts w:ascii="Arial" w:hAnsi="Arial"/>
                <w:sz w:val="16"/>
                <w:szCs w:val="16"/>
              </w:rPr>
            </w:pPr>
            <w:r w:rsidRPr="003E19B2">
              <w:rPr>
                <w:rFonts w:ascii="Arial" w:hAnsi="Arial"/>
                <w:sz w:val="16"/>
                <w:szCs w:val="16"/>
              </w:rPr>
              <w:t xml:space="preserve">AADP Pilot evaluations </w:t>
            </w:r>
          </w:p>
          <w:p w14:paraId="6B6E4CFE" w14:textId="77777777" w:rsidR="00011E84" w:rsidRPr="003E19B2" w:rsidRDefault="00011E84" w:rsidP="00011E84">
            <w:pPr>
              <w:pStyle w:val="ListParagraph"/>
              <w:numPr>
                <w:ilvl w:val="0"/>
                <w:numId w:val="85"/>
              </w:numPr>
              <w:spacing w:before="60" w:after="60" w:line="240" w:lineRule="auto"/>
              <w:rPr>
                <w:rFonts w:ascii="Arial" w:hAnsi="Arial"/>
                <w:sz w:val="16"/>
                <w:szCs w:val="16"/>
              </w:rPr>
            </w:pPr>
            <w:r w:rsidRPr="003E19B2">
              <w:rPr>
                <w:rFonts w:ascii="Arial" w:hAnsi="Arial"/>
                <w:sz w:val="16"/>
                <w:szCs w:val="16"/>
              </w:rPr>
              <w:t>AADP Mid Term Review</w:t>
            </w:r>
          </w:p>
          <w:p w14:paraId="018CAE81" w14:textId="77777777" w:rsidR="00011E84" w:rsidRPr="003E19B2" w:rsidRDefault="00011E84" w:rsidP="00011E84">
            <w:pPr>
              <w:widowControl w:val="0"/>
              <w:autoSpaceDE w:val="0"/>
              <w:autoSpaceDN w:val="0"/>
              <w:adjustRightInd w:val="0"/>
              <w:rPr>
                <w:rFonts w:cs="Arial"/>
                <w:b/>
                <w:sz w:val="16"/>
                <w:szCs w:val="16"/>
              </w:rPr>
            </w:pPr>
            <w:r w:rsidRPr="003E19B2">
              <w:rPr>
                <w:rFonts w:cs="Arial"/>
                <w:b/>
                <w:sz w:val="16"/>
                <w:szCs w:val="16"/>
              </w:rPr>
              <w:t>Baseline Information Sources</w:t>
            </w:r>
          </w:p>
          <w:p w14:paraId="0D0F32A7" w14:textId="77777777" w:rsidR="00011E84" w:rsidRPr="003E19B2" w:rsidRDefault="00011E84" w:rsidP="00011E84">
            <w:pPr>
              <w:spacing w:before="60" w:after="60"/>
              <w:rPr>
                <w:sz w:val="16"/>
                <w:szCs w:val="16"/>
              </w:rPr>
            </w:pPr>
            <w:r w:rsidRPr="003E19B2">
              <w:rPr>
                <w:sz w:val="16"/>
                <w:szCs w:val="16"/>
              </w:rPr>
              <w:t>AAPF completion reports, activity completion reports, scoping mission reports and database</w:t>
            </w:r>
          </w:p>
          <w:p w14:paraId="0B462FE8" w14:textId="77777777" w:rsidR="009A5C26" w:rsidRPr="008D4068" w:rsidRDefault="009A5C26" w:rsidP="00051808">
            <w:pPr>
              <w:pStyle w:val="Table-list-bullet"/>
            </w:pPr>
          </w:p>
        </w:tc>
      </w:tr>
    </w:tbl>
    <w:p w14:paraId="78647E33" w14:textId="77777777" w:rsidR="00F76705" w:rsidRDefault="00F76705" w:rsidP="00F76705">
      <w:pPr>
        <w:widowControl w:val="0"/>
        <w:autoSpaceDE w:val="0"/>
        <w:autoSpaceDN w:val="0"/>
        <w:adjustRightInd w:val="0"/>
        <w:spacing w:before="0"/>
        <w:ind w:left="426"/>
        <w:jc w:val="both"/>
        <w:rPr>
          <w:rFonts w:cs="Arial"/>
          <w:b/>
          <w:sz w:val="22"/>
          <w:szCs w:val="22"/>
          <w:lang w:val="en-US"/>
        </w:rPr>
        <w:sectPr w:rsidR="00F76705" w:rsidSect="009C7197">
          <w:pgSz w:w="16838" w:h="11906" w:orient="landscape"/>
          <w:pgMar w:top="1418" w:right="1418" w:bottom="1418" w:left="1418" w:header="568" w:footer="430" w:gutter="0"/>
          <w:cols w:space="708"/>
          <w:docGrid w:linePitch="360"/>
        </w:sectPr>
      </w:pPr>
    </w:p>
    <w:p w14:paraId="635194C8" w14:textId="4BC5A555" w:rsidR="00F76705" w:rsidRDefault="00F76705" w:rsidP="00767E76">
      <w:pPr>
        <w:widowControl w:val="0"/>
        <w:autoSpaceDE w:val="0"/>
        <w:autoSpaceDN w:val="0"/>
        <w:adjustRightInd w:val="0"/>
        <w:spacing w:before="0"/>
        <w:ind w:left="426"/>
        <w:jc w:val="both"/>
        <w:rPr>
          <w:rFonts w:cs="Arial"/>
          <w:b/>
          <w:sz w:val="22"/>
          <w:szCs w:val="22"/>
          <w:lang w:val="en-US"/>
        </w:rPr>
      </w:pPr>
    </w:p>
    <w:p w14:paraId="6C2BAF36" w14:textId="77777777" w:rsidR="00F76705" w:rsidRPr="00767E76" w:rsidRDefault="00F76705" w:rsidP="00767E76">
      <w:pPr>
        <w:pStyle w:val="annexsubheading"/>
        <w:rPr>
          <w:b w:val="0"/>
          <w:lang w:val="pt-PT"/>
        </w:rPr>
      </w:pPr>
      <w:r w:rsidRPr="00767E76">
        <w:rPr>
          <w:lang w:val="pt-PT"/>
        </w:rPr>
        <w:t>M&amp;E Tools</w:t>
      </w:r>
    </w:p>
    <w:p w14:paraId="51719B09" w14:textId="77777777" w:rsidR="00F76705" w:rsidRDefault="00F76705" w:rsidP="00F76705">
      <w:pPr>
        <w:widowControl w:val="0"/>
        <w:autoSpaceDE w:val="0"/>
        <w:autoSpaceDN w:val="0"/>
        <w:adjustRightInd w:val="0"/>
        <w:spacing w:before="0"/>
        <w:jc w:val="both"/>
        <w:rPr>
          <w:rFonts w:cs="Arial"/>
          <w:sz w:val="22"/>
          <w:szCs w:val="22"/>
          <w:lang w:val="en-US"/>
        </w:rPr>
      </w:pPr>
      <w:r>
        <w:rPr>
          <w:rFonts w:cs="Arial"/>
          <w:sz w:val="22"/>
          <w:szCs w:val="22"/>
          <w:lang w:val="en-US"/>
        </w:rPr>
        <w:t>The M&amp;E Tools set out below describes indicative M&amp;E requirements, as mentioned in the M&amp;E Framework.  Exact M&amp;E activities will be need to be refined and agreed with DFAT</w:t>
      </w:r>
      <w:proofErr w:type="gramStart"/>
      <w:r>
        <w:rPr>
          <w:rFonts w:cs="Arial"/>
          <w:sz w:val="22"/>
          <w:szCs w:val="22"/>
          <w:lang w:val="en-US"/>
        </w:rPr>
        <w:t>..</w:t>
      </w:r>
      <w:proofErr w:type="gramEnd"/>
    </w:p>
    <w:p w14:paraId="0E559A50" w14:textId="77777777" w:rsidR="00F76705" w:rsidRPr="006E52A5" w:rsidRDefault="00F76705" w:rsidP="00F76705">
      <w:pPr>
        <w:widowControl w:val="0"/>
        <w:autoSpaceDE w:val="0"/>
        <w:autoSpaceDN w:val="0"/>
        <w:adjustRightInd w:val="0"/>
        <w:spacing w:before="0"/>
        <w:jc w:val="both"/>
        <w:rPr>
          <w:rFonts w:cs="Arial"/>
          <w:sz w:val="22"/>
          <w:szCs w:val="22"/>
          <w:lang w:val="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2716"/>
        <w:gridCol w:w="3704"/>
        <w:gridCol w:w="1536"/>
        <w:gridCol w:w="2676"/>
        <w:gridCol w:w="3484"/>
      </w:tblGrid>
      <w:tr w:rsidR="00F76705" w:rsidRPr="00A062CA" w14:paraId="2DE458C3" w14:textId="77777777" w:rsidTr="001E73EF">
        <w:trPr>
          <w:cantSplit/>
          <w:trHeight w:val="521"/>
          <w:tblHeader/>
        </w:trPr>
        <w:tc>
          <w:tcPr>
            <w:tcW w:w="962" w:type="pct"/>
            <w:tcBorders>
              <w:bottom w:val="single" w:sz="4" w:space="0" w:color="808080"/>
            </w:tcBorders>
            <w:shd w:val="clear" w:color="auto" w:fill="FFC000"/>
          </w:tcPr>
          <w:p w14:paraId="050DB413" w14:textId="77777777" w:rsidR="00F76705" w:rsidRPr="00A062CA" w:rsidRDefault="00F76705" w:rsidP="001E73EF">
            <w:pPr>
              <w:pStyle w:val="TableHeading"/>
              <w:spacing w:line="240" w:lineRule="auto"/>
              <w:rPr>
                <w:rFonts w:ascii="Arial" w:hAnsi="Arial" w:cs="Arial"/>
                <w:sz w:val="20"/>
                <w:szCs w:val="20"/>
                <w:lang w:val="en-GB"/>
              </w:rPr>
            </w:pPr>
            <w:r w:rsidRPr="00A062CA">
              <w:rPr>
                <w:rFonts w:ascii="Arial" w:hAnsi="Arial" w:cs="Arial"/>
                <w:sz w:val="20"/>
                <w:szCs w:val="20"/>
                <w:lang w:val="en-GB"/>
              </w:rPr>
              <w:t>Monitoring &amp; Evaluation Tasks</w:t>
            </w:r>
          </w:p>
        </w:tc>
        <w:tc>
          <w:tcPr>
            <w:tcW w:w="1312" w:type="pct"/>
            <w:tcBorders>
              <w:bottom w:val="single" w:sz="4" w:space="0" w:color="808080"/>
            </w:tcBorders>
            <w:shd w:val="clear" w:color="auto" w:fill="FFC000"/>
          </w:tcPr>
          <w:p w14:paraId="79C1FB8A" w14:textId="77777777" w:rsidR="00F76705" w:rsidRPr="00A062CA" w:rsidRDefault="00F76705" w:rsidP="001E73EF">
            <w:pPr>
              <w:pStyle w:val="TableHeading"/>
              <w:spacing w:line="240" w:lineRule="auto"/>
              <w:rPr>
                <w:rFonts w:ascii="Arial" w:hAnsi="Arial" w:cs="Arial"/>
                <w:sz w:val="20"/>
                <w:szCs w:val="20"/>
                <w:lang w:val="en-GB"/>
              </w:rPr>
            </w:pPr>
            <w:r w:rsidRPr="00A062CA">
              <w:rPr>
                <w:rFonts w:ascii="Arial" w:hAnsi="Arial" w:cs="Arial"/>
                <w:sz w:val="20"/>
                <w:szCs w:val="20"/>
                <w:lang w:val="en-GB"/>
              </w:rPr>
              <w:t>Approach</w:t>
            </w:r>
          </w:p>
        </w:tc>
        <w:tc>
          <w:tcPr>
            <w:tcW w:w="544" w:type="pct"/>
            <w:tcBorders>
              <w:bottom w:val="single" w:sz="4" w:space="0" w:color="808080"/>
            </w:tcBorders>
            <w:shd w:val="clear" w:color="auto" w:fill="FFC000"/>
          </w:tcPr>
          <w:p w14:paraId="21DBD7A5" w14:textId="77777777" w:rsidR="00F76705" w:rsidRPr="00A062CA" w:rsidRDefault="00F76705" w:rsidP="001E73EF">
            <w:pPr>
              <w:pStyle w:val="TableHeading"/>
              <w:spacing w:line="240" w:lineRule="auto"/>
              <w:rPr>
                <w:rFonts w:ascii="Arial" w:hAnsi="Arial" w:cs="Arial"/>
                <w:sz w:val="20"/>
                <w:szCs w:val="20"/>
                <w:lang w:val="en-GB"/>
              </w:rPr>
            </w:pPr>
            <w:r w:rsidRPr="00A062CA">
              <w:rPr>
                <w:rFonts w:ascii="Arial" w:hAnsi="Arial" w:cs="Arial"/>
                <w:sz w:val="20"/>
                <w:szCs w:val="20"/>
                <w:lang w:val="en-GB"/>
              </w:rPr>
              <w:t>Timeline</w:t>
            </w:r>
          </w:p>
        </w:tc>
        <w:tc>
          <w:tcPr>
            <w:tcW w:w="948" w:type="pct"/>
            <w:tcBorders>
              <w:bottom w:val="single" w:sz="4" w:space="0" w:color="808080"/>
            </w:tcBorders>
            <w:shd w:val="clear" w:color="auto" w:fill="FFC000"/>
          </w:tcPr>
          <w:p w14:paraId="09EC87D2" w14:textId="77777777" w:rsidR="00F76705" w:rsidRPr="00A062CA" w:rsidRDefault="00F76705" w:rsidP="001E73EF">
            <w:pPr>
              <w:pStyle w:val="TableHeading"/>
              <w:spacing w:line="240" w:lineRule="auto"/>
              <w:rPr>
                <w:rFonts w:ascii="Arial" w:hAnsi="Arial" w:cs="Arial"/>
                <w:sz w:val="20"/>
                <w:szCs w:val="20"/>
                <w:lang w:val="en-GB"/>
              </w:rPr>
            </w:pPr>
            <w:r w:rsidRPr="00A062CA">
              <w:rPr>
                <w:rFonts w:ascii="Arial" w:hAnsi="Arial" w:cs="Arial"/>
                <w:sz w:val="20"/>
                <w:szCs w:val="20"/>
                <w:lang w:val="en-GB"/>
              </w:rPr>
              <w:t xml:space="preserve">Roles and responsibilities </w:t>
            </w:r>
          </w:p>
        </w:tc>
        <w:tc>
          <w:tcPr>
            <w:tcW w:w="1234" w:type="pct"/>
            <w:tcBorders>
              <w:bottom w:val="single" w:sz="4" w:space="0" w:color="808080"/>
            </w:tcBorders>
            <w:shd w:val="clear" w:color="auto" w:fill="FFC000"/>
          </w:tcPr>
          <w:p w14:paraId="52234394" w14:textId="77777777" w:rsidR="00F76705" w:rsidRPr="00A062CA" w:rsidRDefault="00F76705" w:rsidP="001E73EF">
            <w:pPr>
              <w:pStyle w:val="TableHeading"/>
              <w:spacing w:line="240" w:lineRule="auto"/>
              <w:rPr>
                <w:rFonts w:ascii="Arial" w:hAnsi="Arial" w:cs="Arial"/>
                <w:sz w:val="20"/>
                <w:szCs w:val="20"/>
                <w:lang w:val="en-GB"/>
              </w:rPr>
            </w:pPr>
            <w:r w:rsidRPr="00A062CA">
              <w:rPr>
                <w:rFonts w:ascii="Arial" w:hAnsi="Arial" w:cs="Arial"/>
                <w:sz w:val="20"/>
                <w:szCs w:val="20"/>
                <w:lang w:val="en-GB"/>
              </w:rPr>
              <w:t>Deliverables and Reporting</w:t>
            </w:r>
          </w:p>
        </w:tc>
      </w:tr>
      <w:tr w:rsidR="00F76705" w:rsidRPr="00A062CA" w14:paraId="3ABF7D1E" w14:textId="77777777" w:rsidTr="001E73EF">
        <w:trPr>
          <w:cantSplit/>
        </w:trPr>
        <w:tc>
          <w:tcPr>
            <w:tcW w:w="962" w:type="pct"/>
            <w:shd w:val="clear" w:color="auto" w:fill="E6E6E6"/>
          </w:tcPr>
          <w:p w14:paraId="2C2DFC12" w14:textId="77777777" w:rsidR="00F76705" w:rsidRPr="00A062CA" w:rsidRDefault="00F76705" w:rsidP="001E73EF">
            <w:pPr>
              <w:pStyle w:val="TableHeading"/>
              <w:spacing w:line="240" w:lineRule="auto"/>
              <w:rPr>
                <w:rFonts w:ascii="Arial" w:hAnsi="Arial" w:cs="Arial"/>
                <w:sz w:val="20"/>
                <w:szCs w:val="20"/>
                <w:lang w:val="en-GB"/>
              </w:rPr>
            </w:pPr>
            <w:r w:rsidRPr="00A062CA">
              <w:rPr>
                <w:rFonts w:ascii="Arial" w:hAnsi="Arial" w:cs="Arial"/>
                <w:sz w:val="20"/>
                <w:szCs w:val="20"/>
                <w:lang w:val="en-GB"/>
              </w:rPr>
              <w:t>Monitoring</w:t>
            </w:r>
          </w:p>
        </w:tc>
        <w:tc>
          <w:tcPr>
            <w:tcW w:w="1312" w:type="pct"/>
            <w:shd w:val="clear" w:color="auto" w:fill="E6E6E6"/>
          </w:tcPr>
          <w:p w14:paraId="7B2C0019" w14:textId="77777777" w:rsidR="00F76705" w:rsidRPr="00A062CA" w:rsidRDefault="00F76705" w:rsidP="001E73EF">
            <w:pPr>
              <w:pStyle w:val="TableHeading"/>
              <w:spacing w:line="240" w:lineRule="auto"/>
              <w:rPr>
                <w:rFonts w:ascii="Arial" w:hAnsi="Arial" w:cs="Arial"/>
                <w:sz w:val="20"/>
                <w:szCs w:val="20"/>
                <w:lang w:val="en-GB"/>
              </w:rPr>
            </w:pPr>
          </w:p>
        </w:tc>
        <w:tc>
          <w:tcPr>
            <w:tcW w:w="544" w:type="pct"/>
            <w:shd w:val="clear" w:color="auto" w:fill="E6E6E6"/>
          </w:tcPr>
          <w:p w14:paraId="620CBCCF" w14:textId="77777777" w:rsidR="00F76705" w:rsidRPr="00A062CA" w:rsidRDefault="00F76705" w:rsidP="001E73EF">
            <w:pPr>
              <w:pStyle w:val="TableHeading"/>
              <w:spacing w:line="240" w:lineRule="auto"/>
              <w:rPr>
                <w:rFonts w:ascii="Arial" w:hAnsi="Arial" w:cs="Arial"/>
                <w:sz w:val="20"/>
                <w:szCs w:val="20"/>
                <w:lang w:val="en-GB"/>
              </w:rPr>
            </w:pPr>
          </w:p>
        </w:tc>
        <w:tc>
          <w:tcPr>
            <w:tcW w:w="948" w:type="pct"/>
            <w:shd w:val="clear" w:color="auto" w:fill="E6E6E6"/>
          </w:tcPr>
          <w:p w14:paraId="1DB4499D" w14:textId="77777777" w:rsidR="00F76705" w:rsidRPr="00A062CA" w:rsidRDefault="00F76705" w:rsidP="001E73EF">
            <w:pPr>
              <w:pStyle w:val="TableHeading"/>
              <w:spacing w:line="240" w:lineRule="auto"/>
              <w:rPr>
                <w:rFonts w:ascii="Arial" w:hAnsi="Arial" w:cs="Arial"/>
                <w:sz w:val="20"/>
                <w:szCs w:val="20"/>
                <w:lang w:val="en-GB"/>
              </w:rPr>
            </w:pPr>
          </w:p>
        </w:tc>
        <w:tc>
          <w:tcPr>
            <w:tcW w:w="1234" w:type="pct"/>
            <w:shd w:val="clear" w:color="auto" w:fill="E6E6E6"/>
          </w:tcPr>
          <w:p w14:paraId="2878BB8B" w14:textId="77777777" w:rsidR="00F76705" w:rsidRPr="00A062CA" w:rsidRDefault="00F76705" w:rsidP="001E73EF">
            <w:pPr>
              <w:pStyle w:val="TableHeading"/>
              <w:spacing w:line="240" w:lineRule="auto"/>
              <w:rPr>
                <w:rFonts w:ascii="Arial" w:hAnsi="Arial" w:cs="Arial"/>
                <w:sz w:val="20"/>
                <w:szCs w:val="20"/>
                <w:lang w:val="en-GB"/>
              </w:rPr>
            </w:pPr>
          </w:p>
        </w:tc>
      </w:tr>
      <w:tr w:rsidR="00F76705" w:rsidRPr="00A062CA" w14:paraId="2132833B" w14:textId="77777777" w:rsidTr="001E73EF">
        <w:trPr>
          <w:cantSplit/>
          <w:trHeight w:val="931"/>
        </w:trPr>
        <w:tc>
          <w:tcPr>
            <w:tcW w:w="962" w:type="pct"/>
            <w:shd w:val="clear" w:color="auto" w:fill="auto"/>
          </w:tcPr>
          <w:p w14:paraId="5F2FB586" w14:textId="77777777" w:rsidR="00F76705" w:rsidRPr="00A062CA" w:rsidRDefault="00F76705" w:rsidP="001E73EF">
            <w:pPr>
              <w:pStyle w:val="BodyText"/>
              <w:jc w:val="left"/>
              <w:rPr>
                <w:rFonts w:cs="Arial"/>
                <w:b/>
                <w:bCs/>
                <w:iCs/>
                <w:sz w:val="18"/>
                <w:szCs w:val="18"/>
                <w:lang w:val="en-GB"/>
              </w:rPr>
            </w:pPr>
            <w:r w:rsidRPr="00A062CA">
              <w:rPr>
                <w:rFonts w:cs="Arial"/>
                <w:sz w:val="18"/>
                <w:szCs w:val="18"/>
                <w:lang w:val="en-GB"/>
              </w:rPr>
              <w:t>Progress financial and activity reporting.</w:t>
            </w:r>
          </w:p>
        </w:tc>
        <w:tc>
          <w:tcPr>
            <w:tcW w:w="1312" w:type="pct"/>
            <w:shd w:val="clear" w:color="auto" w:fill="auto"/>
          </w:tcPr>
          <w:p w14:paraId="4453B66A" w14:textId="77777777" w:rsidR="00F76705" w:rsidRPr="00A062CA" w:rsidRDefault="00F76705" w:rsidP="001E73EF">
            <w:pPr>
              <w:pStyle w:val="BodyText"/>
              <w:jc w:val="left"/>
              <w:rPr>
                <w:rFonts w:cs="Arial"/>
                <w:b/>
                <w:bCs/>
                <w:iCs/>
                <w:sz w:val="18"/>
                <w:szCs w:val="18"/>
                <w:lang w:val="en-GB"/>
              </w:rPr>
            </w:pPr>
            <w:r w:rsidRPr="00A062CA">
              <w:rPr>
                <w:rFonts w:cs="Arial"/>
                <w:sz w:val="18"/>
                <w:szCs w:val="18"/>
                <w:lang w:val="en-GB"/>
              </w:rPr>
              <w:t>The MC will provide regular financial and administrative progress reporting to DFAT….</w:t>
            </w:r>
          </w:p>
        </w:tc>
        <w:tc>
          <w:tcPr>
            <w:tcW w:w="544" w:type="pct"/>
            <w:shd w:val="clear" w:color="auto" w:fill="auto"/>
          </w:tcPr>
          <w:p w14:paraId="5A89C717"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w:t>
            </w:r>
          </w:p>
        </w:tc>
        <w:tc>
          <w:tcPr>
            <w:tcW w:w="948" w:type="pct"/>
            <w:shd w:val="clear" w:color="auto" w:fill="auto"/>
          </w:tcPr>
          <w:p w14:paraId="72A79B3D" w14:textId="77777777" w:rsidR="00F76705" w:rsidRPr="00A062CA" w:rsidRDefault="00F76705" w:rsidP="001E73EF">
            <w:pPr>
              <w:pStyle w:val="BodyText"/>
              <w:spacing w:after="0"/>
              <w:jc w:val="left"/>
              <w:rPr>
                <w:rFonts w:cs="Arial"/>
                <w:b/>
                <w:bCs/>
                <w:iCs/>
                <w:sz w:val="18"/>
                <w:szCs w:val="18"/>
                <w:lang w:val="en-GB"/>
              </w:rPr>
            </w:pPr>
            <w:r w:rsidRPr="00A062CA">
              <w:rPr>
                <w:rFonts w:cs="Arial"/>
                <w:sz w:val="18"/>
                <w:szCs w:val="18"/>
                <w:lang w:val="en-GB"/>
              </w:rPr>
              <w:t>Programme Manager supported by Programme Management Unit to prepare narrative summaries.</w:t>
            </w:r>
          </w:p>
        </w:tc>
        <w:tc>
          <w:tcPr>
            <w:tcW w:w="1234" w:type="pct"/>
            <w:shd w:val="clear" w:color="auto" w:fill="auto"/>
          </w:tcPr>
          <w:p w14:paraId="22FB63DB" w14:textId="77777777" w:rsidR="00F76705" w:rsidRPr="00A062CA" w:rsidRDefault="00F76705" w:rsidP="001E73EF">
            <w:pPr>
              <w:pStyle w:val="BodyText"/>
              <w:jc w:val="left"/>
              <w:rPr>
                <w:rFonts w:cs="Arial"/>
                <w:b/>
                <w:bCs/>
                <w:iCs/>
                <w:sz w:val="18"/>
                <w:szCs w:val="18"/>
                <w:lang w:val="en-GB"/>
              </w:rPr>
            </w:pPr>
            <w:r w:rsidRPr="00A062CA">
              <w:rPr>
                <w:rFonts w:cs="Arial"/>
                <w:sz w:val="18"/>
                <w:szCs w:val="18"/>
                <w:lang w:val="en-GB"/>
              </w:rPr>
              <w:t>Narrative report, evidencing progress against Results Framework Indicators.</w:t>
            </w:r>
          </w:p>
        </w:tc>
      </w:tr>
      <w:tr w:rsidR="00F76705" w:rsidRPr="00A062CA" w14:paraId="32FD83F4" w14:textId="77777777" w:rsidTr="001E73EF">
        <w:trPr>
          <w:cantSplit/>
        </w:trPr>
        <w:tc>
          <w:tcPr>
            <w:tcW w:w="962" w:type="pct"/>
            <w:tcBorders>
              <w:bottom w:val="single" w:sz="4" w:space="0" w:color="808080"/>
            </w:tcBorders>
            <w:shd w:val="clear" w:color="auto" w:fill="auto"/>
          </w:tcPr>
          <w:p w14:paraId="29E12A87"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Baseline finalisation</w:t>
            </w:r>
          </w:p>
        </w:tc>
        <w:tc>
          <w:tcPr>
            <w:tcW w:w="1312" w:type="pct"/>
            <w:tcBorders>
              <w:bottom w:val="single" w:sz="4" w:space="0" w:color="808080"/>
            </w:tcBorders>
            <w:shd w:val="clear" w:color="auto" w:fill="auto"/>
          </w:tcPr>
          <w:p w14:paraId="3E294A72"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 xml:space="preserve">The proposed M&amp;E Framework for the AADP requires baselines to be set against which progress can be measured, and in order to determine whether the proposed 2-year and 4-year targets are realistic. This will </w:t>
            </w:r>
            <w:r>
              <w:rPr>
                <w:rFonts w:cs="Arial"/>
                <w:sz w:val="18"/>
                <w:szCs w:val="18"/>
                <w:lang w:val="en-GB"/>
              </w:rPr>
              <w:t>include</w:t>
            </w:r>
            <w:r w:rsidRPr="00A062CA">
              <w:rPr>
                <w:rFonts w:cs="Arial"/>
                <w:sz w:val="18"/>
                <w:szCs w:val="18"/>
                <w:lang w:val="en-GB"/>
              </w:rPr>
              <w:t xml:space="preserve"> </w:t>
            </w:r>
            <w:r>
              <w:rPr>
                <w:rFonts w:cs="Arial"/>
                <w:sz w:val="18"/>
                <w:szCs w:val="18"/>
                <w:lang w:val="en-GB"/>
              </w:rPr>
              <w:t xml:space="preserve">both </w:t>
            </w:r>
            <w:r w:rsidRPr="00A062CA">
              <w:rPr>
                <w:rFonts w:cs="Arial"/>
                <w:sz w:val="18"/>
                <w:szCs w:val="18"/>
                <w:lang w:val="en-GB"/>
              </w:rPr>
              <w:t xml:space="preserve">a desk top exercise analysing data from the </w:t>
            </w:r>
            <w:r>
              <w:rPr>
                <w:rFonts w:cs="Arial"/>
                <w:sz w:val="18"/>
                <w:szCs w:val="18"/>
                <w:lang w:val="en-GB"/>
              </w:rPr>
              <w:t>Australia Awards and AAPF database, and the need for relevant and applicable field work</w:t>
            </w:r>
          </w:p>
        </w:tc>
        <w:tc>
          <w:tcPr>
            <w:tcW w:w="544" w:type="pct"/>
            <w:tcBorders>
              <w:bottom w:val="single" w:sz="4" w:space="0" w:color="808080"/>
            </w:tcBorders>
            <w:shd w:val="clear" w:color="auto" w:fill="auto"/>
          </w:tcPr>
          <w:p w14:paraId="5119C33E"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The MC must refine the baselines within the first 6 months of the AADP</w:t>
            </w:r>
          </w:p>
        </w:tc>
        <w:tc>
          <w:tcPr>
            <w:tcW w:w="948" w:type="pct"/>
            <w:tcBorders>
              <w:bottom w:val="single" w:sz="4" w:space="0" w:color="808080"/>
            </w:tcBorders>
            <w:shd w:val="clear" w:color="auto" w:fill="auto"/>
          </w:tcPr>
          <w:p w14:paraId="6463F478"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M&amp;E manager, with support from M&amp;E staff.</w:t>
            </w:r>
          </w:p>
        </w:tc>
        <w:tc>
          <w:tcPr>
            <w:tcW w:w="1234" w:type="pct"/>
            <w:tcBorders>
              <w:bottom w:val="single" w:sz="4" w:space="0" w:color="808080"/>
            </w:tcBorders>
            <w:shd w:val="clear" w:color="auto" w:fill="auto"/>
          </w:tcPr>
          <w:p w14:paraId="69A67C5A"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Narrative and statistical report which establishes baselines across each level of the AADP M&amp;E Framework</w:t>
            </w:r>
          </w:p>
        </w:tc>
      </w:tr>
      <w:tr w:rsidR="00F76705" w:rsidRPr="00A062CA" w14:paraId="51F4BC83" w14:textId="77777777" w:rsidTr="001E73EF">
        <w:trPr>
          <w:cantSplit/>
        </w:trPr>
        <w:tc>
          <w:tcPr>
            <w:tcW w:w="962" w:type="pct"/>
            <w:tcBorders>
              <w:top w:val="single" w:sz="4" w:space="0" w:color="808080"/>
              <w:left w:val="single" w:sz="4" w:space="0" w:color="808080"/>
              <w:bottom w:val="single" w:sz="4" w:space="0" w:color="808080"/>
              <w:right w:val="single" w:sz="4" w:space="0" w:color="808080"/>
            </w:tcBorders>
            <w:shd w:val="clear" w:color="auto" w:fill="E0E0E0"/>
          </w:tcPr>
          <w:p w14:paraId="42BBF9C3" w14:textId="77777777" w:rsidR="00F76705" w:rsidRPr="00A062CA" w:rsidRDefault="00F76705" w:rsidP="001E73EF">
            <w:pPr>
              <w:pStyle w:val="TableHeading"/>
              <w:spacing w:line="240" w:lineRule="auto"/>
              <w:rPr>
                <w:rFonts w:ascii="Arial" w:hAnsi="Arial" w:cs="Arial"/>
                <w:sz w:val="20"/>
                <w:szCs w:val="20"/>
                <w:lang w:val="en-GB"/>
              </w:rPr>
            </w:pPr>
            <w:r w:rsidRPr="00A062CA">
              <w:rPr>
                <w:rFonts w:ascii="Arial" w:hAnsi="Arial" w:cs="Arial"/>
                <w:sz w:val="20"/>
                <w:szCs w:val="20"/>
                <w:lang w:val="en-GB"/>
              </w:rPr>
              <w:t>Evaluation</w:t>
            </w:r>
          </w:p>
        </w:tc>
        <w:tc>
          <w:tcPr>
            <w:tcW w:w="1312" w:type="pct"/>
            <w:tcBorders>
              <w:top w:val="single" w:sz="4" w:space="0" w:color="808080"/>
              <w:left w:val="single" w:sz="4" w:space="0" w:color="808080"/>
              <w:bottom w:val="single" w:sz="4" w:space="0" w:color="808080"/>
              <w:right w:val="single" w:sz="4" w:space="0" w:color="808080"/>
            </w:tcBorders>
            <w:shd w:val="clear" w:color="auto" w:fill="E0E0E0"/>
          </w:tcPr>
          <w:p w14:paraId="40698AAD" w14:textId="77777777" w:rsidR="00F76705" w:rsidRPr="00A062CA" w:rsidRDefault="00F76705" w:rsidP="001E73EF">
            <w:pPr>
              <w:pStyle w:val="TableHeading"/>
              <w:spacing w:line="240" w:lineRule="auto"/>
              <w:rPr>
                <w:rFonts w:ascii="Arial" w:hAnsi="Arial" w:cs="Arial"/>
                <w:sz w:val="20"/>
                <w:szCs w:val="20"/>
                <w:lang w:val="en-GB"/>
              </w:rPr>
            </w:pPr>
          </w:p>
        </w:tc>
        <w:tc>
          <w:tcPr>
            <w:tcW w:w="544" w:type="pct"/>
            <w:tcBorders>
              <w:top w:val="single" w:sz="4" w:space="0" w:color="808080"/>
              <w:left w:val="single" w:sz="4" w:space="0" w:color="808080"/>
              <w:bottom w:val="single" w:sz="4" w:space="0" w:color="808080"/>
              <w:right w:val="single" w:sz="4" w:space="0" w:color="808080"/>
            </w:tcBorders>
            <w:shd w:val="clear" w:color="auto" w:fill="E0E0E0"/>
          </w:tcPr>
          <w:p w14:paraId="2BF9EAB6" w14:textId="77777777" w:rsidR="00F76705" w:rsidRPr="00A062CA" w:rsidRDefault="00F76705" w:rsidP="001E73EF">
            <w:pPr>
              <w:pStyle w:val="TableHeading"/>
              <w:spacing w:line="240" w:lineRule="auto"/>
              <w:rPr>
                <w:rFonts w:ascii="Arial" w:hAnsi="Arial" w:cs="Arial"/>
                <w:sz w:val="20"/>
                <w:szCs w:val="20"/>
                <w:lang w:val="en-GB"/>
              </w:rPr>
            </w:pPr>
          </w:p>
        </w:tc>
        <w:tc>
          <w:tcPr>
            <w:tcW w:w="948" w:type="pct"/>
            <w:tcBorders>
              <w:top w:val="single" w:sz="4" w:space="0" w:color="808080"/>
              <w:left w:val="single" w:sz="4" w:space="0" w:color="808080"/>
              <w:bottom w:val="single" w:sz="4" w:space="0" w:color="808080"/>
              <w:right w:val="single" w:sz="4" w:space="0" w:color="808080"/>
            </w:tcBorders>
            <w:shd w:val="clear" w:color="auto" w:fill="E0E0E0"/>
          </w:tcPr>
          <w:p w14:paraId="2DAE161E" w14:textId="77777777" w:rsidR="00F76705" w:rsidRPr="00A062CA" w:rsidRDefault="00F76705" w:rsidP="001E73EF">
            <w:pPr>
              <w:pStyle w:val="TableHeading"/>
              <w:spacing w:line="240" w:lineRule="auto"/>
              <w:rPr>
                <w:rFonts w:ascii="Arial" w:hAnsi="Arial" w:cs="Arial"/>
                <w:sz w:val="20"/>
                <w:szCs w:val="20"/>
                <w:lang w:val="en-GB"/>
              </w:rPr>
            </w:pPr>
          </w:p>
        </w:tc>
        <w:tc>
          <w:tcPr>
            <w:tcW w:w="1234" w:type="pct"/>
            <w:tcBorders>
              <w:top w:val="single" w:sz="4" w:space="0" w:color="808080"/>
              <w:left w:val="single" w:sz="4" w:space="0" w:color="808080"/>
              <w:bottom w:val="single" w:sz="4" w:space="0" w:color="808080"/>
              <w:right w:val="single" w:sz="4" w:space="0" w:color="808080"/>
            </w:tcBorders>
            <w:shd w:val="clear" w:color="auto" w:fill="E0E0E0"/>
          </w:tcPr>
          <w:p w14:paraId="0A935A1D" w14:textId="77777777" w:rsidR="00F76705" w:rsidRPr="00A062CA" w:rsidRDefault="00F76705" w:rsidP="001E73EF">
            <w:pPr>
              <w:pStyle w:val="TableHeading"/>
              <w:spacing w:line="240" w:lineRule="auto"/>
              <w:rPr>
                <w:rFonts w:ascii="Arial" w:hAnsi="Arial" w:cs="Arial"/>
                <w:sz w:val="20"/>
                <w:szCs w:val="20"/>
                <w:lang w:val="en-GB"/>
              </w:rPr>
            </w:pPr>
          </w:p>
        </w:tc>
      </w:tr>
      <w:tr w:rsidR="00F76705" w:rsidRPr="00A062CA" w14:paraId="050C0374" w14:textId="77777777" w:rsidTr="001E73EF">
        <w:tc>
          <w:tcPr>
            <w:tcW w:w="962" w:type="pct"/>
            <w:tcBorders>
              <w:top w:val="single" w:sz="4" w:space="0" w:color="808080"/>
              <w:left w:val="single" w:sz="4" w:space="0" w:color="808080"/>
              <w:bottom w:val="single" w:sz="4" w:space="0" w:color="808080"/>
              <w:right w:val="single" w:sz="4" w:space="0" w:color="808080"/>
            </w:tcBorders>
            <w:shd w:val="clear" w:color="auto" w:fill="auto"/>
          </w:tcPr>
          <w:p w14:paraId="34F0CD59"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AADP Mid Term Review</w:t>
            </w:r>
          </w:p>
        </w:tc>
        <w:tc>
          <w:tcPr>
            <w:tcW w:w="1312" w:type="pct"/>
            <w:tcBorders>
              <w:top w:val="single" w:sz="4" w:space="0" w:color="808080"/>
              <w:left w:val="single" w:sz="4" w:space="0" w:color="808080"/>
              <w:bottom w:val="single" w:sz="4" w:space="0" w:color="808080"/>
              <w:right w:val="single" w:sz="4" w:space="0" w:color="808080"/>
            </w:tcBorders>
            <w:shd w:val="clear" w:color="auto" w:fill="auto"/>
          </w:tcPr>
          <w:p w14:paraId="1502AE6B"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 xml:space="preserve">An independent MTR will be required to assess the progress the AADP is making, </w:t>
            </w:r>
            <w:r>
              <w:rPr>
                <w:rFonts w:cs="Arial"/>
                <w:sz w:val="18"/>
                <w:szCs w:val="18"/>
                <w:lang w:val="en-GB"/>
              </w:rPr>
              <w:t xml:space="preserve">and determine </w:t>
            </w:r>
            <w:r w:rsidRPr="00A062CA">
              <w:rPr>
                <w:rFonts w:cs="Arial"/>
                <w:sz w:val="18"/>
                <w:szCs w:val="18"/>
                <w:lang w:val="en-GB"/>
              </w:rPr>
              <w:t>whether any changes are required to the design and implementation arrangements. The review will also assess whether program outcomes can still be attained.</w:t>
            </w:r>
          </w:p>
        </w:tc>
        <w:tc>
          <w:tcPr>
            <w:tcW w:w="544" w:type="pct"/>
            <w:tcBorders>
              <w:top w:val="single" w:sz="4" w:space="0" w:color="808080"/>
              <w:left w:val="single" w:sz="4" w:space="0" w:color="808080"/>
              <w:bottom w:val="single" w:sz="4" w:space="0" w:color="808080"/>
              <w:right w:val="single" w:sz="4" w:space="0" w:color="808080"/>
            </w:tcBorders>
            <w:shd w:val="clear" w:color="auto" w:fill="auto"/>
          </w:tcPr>
          <w:p w14:paraId="22EA059B"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18 months after the start of the AADP</w:t>
            </w:r>
          </w:p>
        </w:tc>
        <w:tc>
          <w:tcPr>
            <w:tcW w:w="948" w:type="pct"/>
            <w:tcBorders>
              <w:top w:val="single" w:sz="4" w:space="0" w:color="808080"/>
              <w:left w:val="single" w:sz="4" w:space="0" w:color="808080"/>
              <w:bottom w:val="single" w:sz="4" w:space="0" w:color="808080"/>
              <w:right w:val="single" w:sz="4" w:space="0" w:color="808080"/>
            </w:tcBorders>
            <w:shd w:val="clear" w:color="auto" w:fill="auto"/>
          </w:tcPr>
          <w:p w14:paraId="06E5D0C5"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DFAT will commission and have oversight over the MTR</w:t>
            </w:r>
          </w:p>
        </w:tc>
        <w:tc>
          <w:tcPr>
            <w:tcW w:w="1234" w:type="pct"/>
            <w:tcBorders>
              <w:top w:val="single" w:sz="4" w:space="0" w:color="808080"/>
              <w:left w:val="single" w:sz="4" w:space="0" w:color="808080"/>
              <w:bottom w:val="single" w:sz="4" w:space="0" w:color="808080"/>
              <w:right w:val="single" w:sz="4" w:space="0" w:color="808080"/>
            </w:tcBorders>
            <w:shd w:val="clear" w:color="auto" w:fill="auto"/>
          </w:tcPr>
          <w:p w14:paraId="3986D7A7"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Narrative Report</w:t>
            </w:r>
          </w:p>
        </w:tc>
      </w:tr>
      <w:tr w:rsidR="00F76705" w:rsidRPr="00A062CA" w14:paraId="7C069C17" w14:textId="77777777" w:rsidTr="001E73EF">
        <w:trPr>
          <w:cantSplit/>
        </w:trPr>
        <w:tc>
          <w:tcPr>
            <w:tcW w:w="962" w:type="pct"/>
            <w:tcBorders>
              <w:top w:val="single" w:sz="4" w:space="0" w:color="808080"/>
              <w:left w:val="single" w:sz="4" w:space="0" w:color="808080"/>
              <w:bottom w:val="single" w:sz="4" w:space="0" w:color="808080"/>
              <w:right w:val="single" w:sz="4" w:space="0" w:color="808080"/>
            </w:tcBorders>
            <w:shd w:val="clear" w:color="auto" w:fill="auto"/>
          </w:tcPr>
          <w:p w14:paraId="38ED2E31"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Knowledge, attitudes and practices (KAP) survey</w:t>
            </w:r>
          </w:p>
        </w:tc>
        <w:tc>
          <w:tcPr>
            <w:tcW w:w="1312" w:type="pct"/>
            <w:tcBorders>
              <w:top w:val="single" w:sz="4" w:space="0" w:color="808080"/>
              <w:left w:val="single" w:sz="4" w:space="0" w:color="808080"/>
              <w:bottom w:val="single" w:sz="4" w:space="0" w:color="808080"/>
              <w:right w:val="single" w:sz="4" w:space="0" w:color="808080"/>
            </w:tcBorders>
            <w:shd w:val="clear" w:color="auto" w:fill="auto"/>
          </w:tcPr>
          <w:p w14:paraId="7E11D85A"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 xml:space="preserve">Online KAP surveys will be conducted in order to assess the knowledge, attitudes and practices of all participants to whom the intervention is targeted to (e.g. participants in the Infrastructure Skills Development Activity). This will allow project managers to track effectiveness of the intervention and refine activities if need be.  </w:t>
            </w:r>
          </w:p>
        </w:tc>
        <w:tc>
          <w:tcPr>
            <w:tcW w:w="544" w:type="pct"/>
            <w:tcBorders>
              <w:top w:val="single" w:sz="4" w:space="0" w:color="808080"/>
              <w:left w:val="single" w:sz="4" w:space="0" w:color="808080"/>
              <w:bottom w:val="single" w:sz="4" w:space="0" w:color="808080"/>
              <w:right w:val="single" w:sz="4" w:space="0" w:color="808080"/>
            </w:tcBorders>
            <w:shd w:val="clear" w:color="auto" w:fill="auto"/>
          </w:tcPr>
          <w:p w14:paraId="0DA5EAA3"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6 months after the start of the activity</w:t>
            </w:r>
          </w:p>
        </w:tc>
        <w:tc>
          <w:tcPr>
            <w:tcW w:w="948" w:type="pct"/>
            <w:tcBorders>
              <w:top w:val="single" w:sz="4" w:space="0" w:color="808080"/>
              <w:left w:val="single" w:sz="4" w:space="0" w:color="808080"/>
              <w:bottom w:val="single" w:sz="4" w:space="0" w:color="808080"/>
              <w:right w:val="single" w:sz="4" w:space="0" w:color="808080"/>
            </w:tcBorders>
            <w:shd w:val="clear" w:color="auto" w:fill="auto"/>
          </w:tcPr>
          <w:p w14:paraId="31271F18"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M&amp;E manager to manage, and source APSG M&amp;E panel members to conduct KAP Survey</w:t>
            </w:r>
          </w:p>
        </w:tc>
        <w:tc>
          <w:tcPr>
            <w:tcW w:w="1234" w:type="pct"/>
            <w:tcBorders>
              <w:top w:val="single" w:sz="4" w:space="0" w:color="808080"/>
              <w:left w:val="single" w:sz="4" w:space="0" w:color="808080"/>
              <w:bottom w:val="single" w:sz="4" w:space="0" w:color="808080"/>
              <w:right w:val="single" w:sz="4" w:space="0" w:color="808080"/>
            </w:tcBorders>
            <w:shd w:val="clear" w:color="auto" w:fill="auto"/>
          </w:tcPr>
          <w:p w14:paraId="44E0B82E"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Narrative and statistical report</w:t>
            </w:r>
          </w:p>
        </w:tc>
      </w:tr>
      <w:tr w:rsidR="00F76705" w:rsidRPr="00A062CA" w14:paraId="4A0AD772" w14:textId="77777777" w:rsidTr="001E73EF">
        <w:trPr>
          <w:cantSplit/>
        </w:trPr>
        <w:tc>
          <w:tcPr>
            <w:tcW w:w="962" w:type="pct"/>
            <w:tcBorders>
              <w:top w:val="single" w:sz="4" w:space="0" w:color="808080"/>
              <w:left w:val="single" w:sz="4" w:space="0" w:color="808080"/>
              <w:bottom w:val="single" w:sz="4" w:space="0" w:color="808080"/>
              <w:right w:val="single" w:sz="4" w:space="0" w:color="808080"/>
            </w:tcBorders>
            <w:shd w:val="clear" w:color="auto" w:fill="auto"/>
          </w:tcPr>
          <w:p w14:paraId="249F2754"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Pilot project progress reviews</w:t>
            </w:r>
          </w:p>
        </w:tc>
        <w:tc>
          <w:tcPr>
            <w:tcW w:w="1312" w:type="pct"/>
            <w:tcBorders>
              <w:top w:val="single" w:sz="4" w:space="0" w:color="808080"/>
              <w:left w:val="single" w:sz="4" w:space="0" w:color="808080"/>
              <w:bottom w:val="single" w:sz="4" w:space="0" w:color="808080"/>
              <w:right w:val="single" w:sz="4" w:space="0" w:color="808080"/>
            </w:tcBorders>
            <w:shd w:val="clear" w:color="auto" w:fill="auto"/>
          </w:tcPr>
          <w:p w14:paraId="08B4767E"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Review the progress of the Skills and Communities’ pilot projects in the three focus countries (under Component 1)</w:t>
            </w:r>
          </w:p>
        </w:tc>
        <w:tc>
          <w:tcPr>
            <w:tcW w:w="544" w:type="pct"/>
            <w:tcBorders>
              <w:top w:val="single" w:sz="4" w:space="0" w:color="808080"/>
              <w:left w:val="single" w:sz="4" w:space="0" w:color="808080"/>
              <w:bottom w:val="single" w:sz="4" w:space="0" w:color="808080"/>
              <w:right w:val="single" w:sz="4" w:space="0" w:color="808080"/>
            </w:tcBorders>
            <w:shd w:val="clear" w:color="auto" w:fill="auto"/>
          </w:tcPr>
          <w:p w14:paraId="0E32835D"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6 months after the start of each pilot</w:t>
            </w:r>
          </w:p>
        </w:tc>
        <w:tc>
          <w:tcPr>
            <w:tcW w:w="948" w:type="pct"/>
            <w:tcBorders>
              <w:top w:val="single" w:sz="4" w:space="0" w:color="808080"/>
              <w:left w:val="single" w:sz="4" w:space="0" w:color="808080"/>
              <w:bottom w:val="single" w:sz="4" w:space="0" w:color="808080"/>
              <w:right w:val="single" w:sz="4" w:space="0" w:color="808080"/>
            </w:tcBorders>
            <w:shd w:val="clear" w:color="auto" w:fill="auto"/>
          </w:tcPr>
          <w:p w14:paraId="42E6341E"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M&amp;E manager to manage, and source APSG M&amp;E panel members to conduct reviews</w:t>
            </w:r>
          </w:p>
        </w:tc>
        <w:tc>
          <w:tcPr>
            <w:tcW w:w="1234" w:type="pct"/>
            <w:tcBorders>
              <w:top w:val="single" w:sz="4" w:space="0" w:color="808080"/>
              <w:left w:val="single" w:sz="4" w:space="0" w:color="808080"/>
              <w:bottom w:val="single" w:sz="4" w:space="0" w:color="808080"/>
              <w:right w:val="single" w:sz="4" w:space="0" w:color="808080"/>
            </w:tcBorders>
            <w:shd w:val="clear" w:color="auto" w:fill="auto"/>
          </w:tcPr>
          <w:p w14:paraId="146A389F"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Narrative Report</w:t>
            </w:r>
          </w:p>
        </w:tc>
      </w:tr>
      <w:tr w:rsidR="00F76705" w:rsidRPr="00A062CA" w14:paraId="5287554A" w14:textId="77777777" w:rsidTr="001E73EF">
        <w:trPr>
          <w:cantSplit/>
        </w:trPr>
        <w:tc>
          <w:tcPr>
            <w:tcW w:w="962" w:type="pct"/>
            <w:tcBorders>
              <w:top w:val="single" w:sz="4" w:space="0" w:color="808080"/>
              <w:left w:val="single" w:sz="4" w:space="0" w:color="808080"/>
              <w:bottom w:val="single" w:sz="4" w:space="0" w:color="808080"/>
              <w:right w:val="single" w:sz="4" w:space="0" w:color="808080"/>
            </w:tcBorders>
            <w:shd w:val="clear" w:color="auto" w:fill="auto"/>
          </w:tcPr>
          <w:p w14:paraId="1CF80649"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Pilot project evaluations</w:t>
            </w:r>
          </w:p>
        </w:tc>
        <w:tc>
          <w:tcPr>
            <w:tcW w:w="1312" w:type="pct"/>
            <w:tcBorders>
              <w:top w:val="single" w:sz="4" w:space="0" w:color="808080"/>
              <w:left w:val="single" w:sz="4" w:space="0" w:color="808080"/>
              <w:bottom w:val="single" w:sz="4" w:space="0" w:color="808080"/>
              <w:right w:val="single" w:sz="4" w:space="0" w:color="808080"/>
            </w:tcBorders>
            <w:shd w:val="clear" w:color="auto" w:fill="auto"/>
          </w:tcPr>
          <w:p w14:paraId="7215D823"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Evaluate each of the Skills and Communities’ pilot projects in the three focus countries (under Component 1)</w:t>
            </w:r>
          </w:p>
        </w:tc>
        <w:tc>
          <w:tcPr>
            <w:tcW w:w="544" w:type="pct"/>
            <w:tcBorders>
              <w:top w:val="single" w:sz="4" w:space="0" w:color="808080"/>
              <w:left w:val="single" w:sz="4" w:space="0" w:color="808080"/>
              <w:bottom w:val="single" w:sz="4" w:space="0" w:color="808080"/>
              <w:right w:val="single" w:sz="4" w:space="0" w:color="808080"/>
            </w:tcBorders>
            <w:shd w:val="clear" w:color="auto" w:fill="auto"/>
          </w:tcPr>
          <w:p w14:paraId="4B11AAB4"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At the completion of each pilot</w:t>
            </w:r>
          </w:p>
        </w:tc>
        <w:tc>
          <w:tcPr>
            <w:tcW w:w="948" w:type="pct"/>
            <w:tcBorders>
              <w:top w:val="single" w:sz="4" w:space="0" w:color="808080"/>
              <w:left w:val="single" w:sz="4" w:space="0" w:color="808080"/>
              <w:bottom w:val="single" w:sz="4" w:space="0" w:color="808080"/>
              <w:right w:val="single" w:sz="4" w:space="0" w:color="808080"/>
            </w:tcBorders>
            <w:shd w:val="clear" w:color="auto" w:fill="auto"/>
          </w:tcPr>
          <w:p w14:paraId="7FCE9C1F"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M&amp;E manager to manage, and source APSG M&amp;E panel members to conduct reviews</w:t>
            </w:r>
          </w:p>
        </w:tc>
        <w:tc>
          <w:tcPr>
            <w:tcW w:w="1234" w:type="pct"/>
            <w:tcBorders>
              <w:top w:val="single" w:sz="4" w:space="0" w:color="808080"/>
              <w:left w:val="single" w:sz="4" w:space="0" w:color="808080"/>
              <w:bottom w:val="single" w:sz="4" w:space="0" w:color="808080"/>
              <w:right w:val="single" w:sz="4" w:space="0" w:color="808080"/>
            </w:tcBorders>
            <w:shd w:val="clear" w:color="auto" w:fill="auto"/>
          </w:tcPr>
          <w:p w14:paraId="34483E35"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Narrative Report</w:t>
            </w:r>
          </w:p>
        </w:tc>
      </w:tr>
      <w:tr w:rsidR="00F76705" w:rsidRPr="00A062CA" w14:paraId="5AEF7C3D" w14:textId="77777777" w:rsidTr="001E73EF">
        <w:trPr>
          <w:cantSplit/>
        </w:trPr>
        <w:tc>
          <w:tcPr>
            <w:tcW w:w="962" w:type="pct"/>
            <w:tcBorders>
              <w:top w:val="single" w:sz="4" w:space="0" w:color="808080"/>
              <w:left w:val="single" w:sz="4" w:space="0" w:color="808080"/>
              <w:bottom w:val="single" w:sz="4" w:space="0" w:color="808080"/>
              <w:right w:val="single" w:sz="4" w:space="0" w:color="808080"/>
            </w:tcBorders>
            <w:shd w:val="clear" w:color="auto" w:fill="auto"/>
          </w:tcPr>
          <w:p w14:paraId="2CDFD026"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Infrastructure Skills Development Activity progress review</w:t>
            </w:r>
          </w:p>
        </w:tc>
        <w:tc>
          <w:tcPr>
            <w:tcW w:w="1312" w:type="pct"/>
            <w:tcBorders>
              <w:top w:val="single" w:sz="4" w:space="0" w:color="808080"/>
              <w:left w:val="single" w:sz="4" w:space="0" w:color="808080"/>
              <w:bottom w:val="single" w:sz="4" w:space="0" w:color="808080"/>
              <w:right w:val="single" w:sz="4" w:space="0" w:color="808080"/>
            </w:tcBorders>
            <w:shd w:val="clear" w:color="auto" w:fill="auto"/>
          </w:tcPr>
          <w:p w14:paraId="21411A99"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Review the progress of the Infrastructure Skills Development Activity (under Component 1)</w:t>
            </w:r>
          </w:p>
        </w:tc>
        <w:tc>
          <w:tcPr>
            <w:tcW w:w="544" w:type="pct"/>
            <w:tcBorders>
              <w:top w:val="single" w:sz="4" w:space="0" w:color="808080"/>
              <w:left w:val="single" w:sz="4" w:space="0" w:color="808080"/>
              <w:bottom w:val="single" w:sz="4" w:space="0" w:color="808080"/>
              <w:right w:val="single" w:sz="4" w:space="0" w:color="808080"/>
            </w:tcBorders>
            <w:shd w:val="clear" w:color="auto" w:fill="auto"/>
          </w:tcPr>
          <w:p w14:paraId="59A61C6C"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6 months after the start of the activity</w:t>
            </w:r>
          </w:p>
        </w:tc>
        <w:tc>
          <w:tcPr>
            <w:tcW w:w="948" w:type="pct"/>
            <w:tcBorders>
              <w:top w:val="single" w:sz="4" w:space="0" w:color="808080"/>
              <w:left w:val="single" w:sz="4" w:space="0" w:color="808080"/>
              <w:bottom w:val="single" w:sz="4" w:space="0" w:color="808080"/>
              <w:right w:val="single" w:sz="4" w:space="0" w:color="808080"/>
            </w:tcBorders>
            <w:shd w:val="clear" w:color="auto" w:fill="auto"/>
          </w:tcPr>
          <w:p w14:paraId="549D47F4"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M&amp;E manager to manage, and source APSG M&amp;E panel members to conduct evaluations</w:t>
            </w:r>
          </w:p>
        </w:tc>
        <w:tc>
          <w:tcPr>
            <w:tcW w:w="1234" w:type="pct"/>
            <w:tcBorders>
              <w:top w:val="single" w:sz="4" w:space="0" w:color="808080"/>
              <w:left w:val="single" w:sz="4" w:space="0" w:color="808080"/>
              <w:bottom w:val="single" w:sz="4" w:space="0" w:color="808080"/>
              <w:right w:val="single" w:sz="4" w:space="0" w:color="808080"/>
            </w:tcBorders>
            <w:shd w:val="clear" w:color="auto" w:fill="auto"/>
          </w:tcPr>
          <w:p w14:paraId="30DE4AFC"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Narrative Report</w:t>
            </w:r>
          </w:p>
        </w:tc>
      </w:tr>
      <w:tr w:rsidR="00F76705" w:rsidRPr="00A062CA" w14:paraId="624B3635" w14:textId="77777777" w:rsidTr="001E73EF">
        <w:trPr>
          <w:cantSplit/>
        </w:trPr>
        <w:tc>
          <w:tcPr>
            <w:tcW w:w="962" w:type="pct"/>
            <w:tcBorders>
              <w:top w:val="single" w:sz="4" w:space="0" w:color="808080"/>
              <w:left w:val="single" w:sz="4" w:space="0" w:color="808080"/>
              <w:bottom w:val="single" w:sz="4" w:space="0" w:color="808080"/>
              <w:right w:val="single" w:sz="4" w:space="0" w:color="808080"/>
            </w:tcBorders>
            <w:shd w:val="clear" w:color="auto" w:fill="auto"/>
          </w:tcPr>
          <w:p w14:paraId="307E1012"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Infrastructure Skills Development Activity evaluation</w:t>
            </w:r>
          </w:p>
        </w:tc>
        <w:tc>
          <w:tcPr>
            <w:tcW w:w="1312" w:type="pct"/>
            <w:tcBorders>
              <w:top w:val="single" w:sz="4" w:space="0" w:color="808080"/>
              <w:left w:val="single" w:sz="4" w:space="0" w:color="808080"/>
              <w:bottom w:val="single" w:sz="4" w:space="0" w:color="808080"/>
              <w:right w:val="single" w:sz="4" w:space="0" w:color="808080"/>
            </w:tcBorders>
            <w:shd w:val="clear" w:color="auto" w:fill="auto"/>
          </w:tcPr>
          <w:p w14:paraId="6F3B4932"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Evaluate the Infrastructure Skills Development Activity (under Component 1)</w:t>
            </w:r>
          </w:p>
        </w:tc>
        <w:tc>
          <w:tcPr>
            <w:tcW w:w="544" w:type="pct"/>
            <w:tcBorders>
              <w:top w:val="single" w:sz="4" w:space="0" w:color="808080"/>
              <w:left w:val="single" w:sz="4" w:space="0" w:color="808080"/>
              <w:bottom w:val="single" w:sz="4" w:space="0" w:color="808080"/>
              <w:right w:val="single" w:sz="4" w:space="0" w:color="808080"/>
            </w:tcBorders>
            <w:shd w:val="clear" w:color="auto" w:fill="auto"/>
          </w:tcPr>
          <w:p w14:paraId="5073E804"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At the completion of the activity</w:t>
            </w:r>
          </w:p>
        </w:tc>
        <w:tc>
          <w:tcPr>
            <w:tcW w:w="948" w:type="pct"/>
            <w:tcBorders>
              <w:top w:val="single" w:sz="4" w:space="0" w:color="808080"/>
              <w:left w:val="single" w:sz="4" w:space="0" w:color="808080"/>
              <w:bottom w:val="single" w:sz="4" w:space="0" w:color="808080"/>
              <w:right w:val="single" w:sz="4" w:space="0" w:color="808080"/>
            </w:tcBorders>
            <w:shd w:val="clear" w:color="auto" w:fill="auto"/>
          </w:tcPr>
          <w:p w14:paraId="0998CE2D"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M&amp;E manager to manage, and source APSG M&amp;E panel members to conduct evaluation</w:t>
            </w:r>
          </w:p>
        </w:tc>
        <w:tc>
          <w:tcPr>
            <w:tcW w:w="1234" w:type="pct"/>
            <w:tcBorders>
              <w:top w:val="single" w:sz="4" w:space="0" w:color="808080"/>
              <w:left w:val="single" w:sz="4" w:space="0" w:color="808080"/>
              <w:bottom w:val="single" w:sz="4" w:space="0" w:color="808080"/>
              <w:right w:val="single" w:sz="4" w:space="0" w:color="808080"/>
            </w:tcBorders>
            <w:shd w:val="clear" w:color="auto" w:fill="auto"/>
          </w:tcPr>
          <w:p w14:paraId="462A5D54"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Narrative Report</w:t>
            </w:r>
          </w:p>
        </w:tc>
      </w:tr>
      <w:tr w:rsidR="00F76705" w:rsidRPr="00A062CA" w14:paraId="05F15BED" w14:textId="77777777" w:rsidTr="001E73EF">
        <w:trPr>
          <w:cantSplit/>
        </w:trPr>
        <w:tc>
          <w:tcPr>
            <w:tcW w:w="962" w:type="pct"/>
            <w:tcBorders>
              <w:top w:val="single" w:sz="4" w:space="0" w:color="808080"/>
              <w:left w:val="single" w:sz="4" w:space="0" w:color="808080"/>
              <w:bottom w:val="single" w:sz="4" w:space="0" w:color="808080"/>
              <w:right w:val="single" w:sz="4" w:space="0" w:color="808080"/>
            </w:tcBorders>
            <w:shd w:val="clear" w:color="auto" w:fill="auto"/>
          </w:tcPr>
          <w:p w14:paraId="7A6B6F29"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Satisfaction Survey</w:t>
            </w:r>
            <w:r>
              <w:rPr>
                <w:rFonts w:cs="Arial"/>
                <w:sz w:val="18"/>
                <w:szCs w:val="18"/>
                <w:lang w:val="en-GB"/>
              </w:rPr>
              <w:t>s</w:t>
            </w:r>
          </w:p>
        </w:tc>
        <w:tc>
          <w:tcPr>
            <w:tcW w:w="1312" w:type="pct"/>
            <w:tcBorders>
              <w:top w:val="single" w:sz="4" w:space="0" w:color="808080"/>
              <w:left w:val="single" w:sz="4" w:space="0" w:color="808080"/>
              <w:bottom w:val="single" w:sz="4" w:space="0" w:color="808080"/>
              <w:right w:val="single" w:sz="4" w:space="0" w:color="808080"/>
            </w:tcBorders>
            <w:shd w:val="clear" w:color="auto" w:fill="auto"/>
          </w:tcPr>
          <w:p w14:paraId="069464EB" w14:textId="77777777" w:rsidR="00F76705" w:rsidRPr="00A062CA" w:rsidRDefault="00F76705" w:rsidP="001E73EF">
            <w:pPr>
              <w:pStyle w:val="BodyText"/>
              <w:jc w:val="left"/>
              <w:rPr>
                <w:rFonts w:cs="Arial"/>
                <w:sz w:val="18"/>
                <w:szCs w:val="18"/>
                <w:lang w:val="en-GB"/>
              </w:rPr>
            </w:pPr>
            <w:r>
              <w:rPr>
                <w:rFonts w:cs="Arial"/>
                <w:sz w:val="18"/>
                <w:szCs w:val="18"/>
                <w:lang w:val="en-GB"/>
              </w:rPr>
              <w:t>Relevant key stakeholders and</w:t>
            </w:r>
            <w:r w:rsidRPr="00A062CA">
              <w:rPr>
                <w:rFonts w:cs="Arial"/>
                <w:sz w:val="18"/>
                <w:szCs w:val="18"/>
                <w:lang w:val="en-GB"/>
              </w:rPr>
              <w:t xml:space="preserve"> participants in the AADP will be surveyed to assess their degree of </w:t>
            </w:r>
            <w:proofErr w:type="spellStart"/>
            <w:r w:rsidRPr="00A062CA">
              <w:rPr>
                <w:rFonts w:cs="Arial"/>
                <w:sz w:val="18"/>
                <w:szCs w:val="18"/>
                <w:lang w:val="en-GB"/>
              </w:rPr>
              <w:t>postivity</w:t>
            </w:r>
            <w:proofErr w:type="spellEnd"/>
            <w:r w:rsidRPr="00A062CA">
              <w:rPr>
                <w:rFonts w:cs="Arial"/>
                <w:sz w:val="18"/>
                <w:szCs w:val="18"/>
                <w:lang w:val="en-GB"/>
              </w:rPr>
              <w:t xml:space="preserve"> and satisfaction with their level of engagement with the program.</w:t>
            </w:r>
          </w:p>
        </w:tc>
        <w:tc>
          <w:tcPr>
            <w:tcW w:w="544" w:type="pct"/>
            <w:tcBorders>
              <w:top w:val="single" w:sz="4" w:space="0" w:color="808080"/>
              <w:left w:val="single" w:sz="4" w:space="0" w:color="808080"/>
              <w:bottom w:val="single" w:sz="4" w:space="0" w:color="808080"/>
              <w:right w:val="single" w:sz="4" w:space="0" w:color="808080"/>
            </w:tcBorders>
            <w:shd w:val="clear" w:color="auto" w:fill="auto"/>
          </w:tcPr>
          <w:p w14:paraId="05F049F1"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Conduct a baseline survey after 2 years and a follow-up study after 4 years</w:t>
            </w:r>
          </w:p>
        </w:tc>
        <w:tc>
          <w:tcPr>
            <w:tcW w:w="948" w:type="pct"/>
            <w:tcBorders>
              <w:top w:val="single" w:sz="4" w:space="0" w:color="808080"/>
              <w:left w:val="single" w:sz="4" w:space="0" w:color="808080"/>
              <w:bottom w:val="single" w:sz="4" w:space="0" w:color="808080"/>
              <w:right w:val="single" w:sz="4" w:space="0" w:color="808080"/>
            </w:tcBorders>
            <w:shd w:val="clear" w:color="auto" w:fill="auto"/>
          </w:tcPr>
          <w:p w14:paraId="6E51495C"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M&amp;E manager to manage and ensure M&amp;E staff conduct electronic surveys</w:t>
            </w:r>
          </w:p>
        </w:tc>
        <w:tc>
          <w:tcPr>
            <w:tcW w:w="1234" w:type="pct"/>
            <w:tcBorders>
              <w:top w:val="single" w:sz="4" w:space="0" w:color="808080"/>
              <w:left w:val="single" w:sz="4" w:space="0" w:color="808080"/>
              <w:bottom w:val="single" w:sz="4" w:space="0" w:color="808080"/>
              <w:right w:val="single" w:sz="4" w:space="0" w:color="808080"/>
            </w:tcBorders>
            <w:shd w:val="clear" w:color="auto" w:fill="auto"/>
          </w:tcPr>
          <w:p w14:paraId="3F785212"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Narrative Report</w:t>
            </w:r>
          </w:p>
        </w:tc>
      </w:tr>
      <w:tr w:rsidR="00F76705" w:rsidRPr="00A062CA" w14:paraId="16F7D327" w14:textId="77777777" w:rsidTr="001E73EF">
        <w:trPr>
          <w:cantSplit/>
        </w:trPr>
        <w:tc>
          <w:tcPr>
            <w:tcW w:w="962" w:type="pct"/>
            <w:tcBorders>
              <w:top w:val="single" w:sz="4" w:space="0" w:color="808080"/>
              <w:left w:val="single" w:sz="4" w:space="0" w:color="808080"/>
              <w:bottom w:val="single" w:sz="4" w:space="0" w:color="808080"/>
              <w:right w:val="single" w:sz="4" w:space="0" w:color="808080"/>
            </w:tcBorders>
            <w:shd w:val="clear" w:color="auto" w:fill="auto"/>
          </w:tcPr>
          <w:p w14:paraId="17604F58"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Governance Index</w:t>
            </w:r>
          </w:p>
        </w:tc>
        <w:tc>
          <w:tcPr>
            <w:tcW w:w="1312" w:type="pct"/>
            <w:tcBorders>
              <w:top w:val="single" w:sz="4" w:space="0" w:color="808080"/>
              <w:left w:val="single" w:sz="4" w:space="0" w:color="808080"/>
              <w:bottom w:val="single" w:sz="4" w:space="0" w:color="808080"/>
              <w:right w:val="single" w:sz="4" w:space="0" w:color="808080"/>
            </w:tcBorders>
            <w:shd w:val="clear" w:color="auto" w:fill="auto"/>
          </w:tcPr>
          <w:p w14:paraId="64D097F1"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Using a tool such as the World Bank’s Extractive Industries Governance Assessment (FEIGA) Tool an assessment will be made to assess the extent in which the enabling environment has been improved (including assessing the extent to which the environment has become more transparent, accountable, inclusive, and more investment friendly).</w:t>
            </w:r>
          </w:p>
        </w:tc>
        <w:tc>
          <w:tcPr>
            <w:tcW w:w="544" w:type="pct"/>
            <w:tcBorders>
              <w:top w:val="single" w:sz="4" w:space="0" w:color="808080"/>
              <w:left w:val="single" w:sz="4" w:space="0" w:color="808080"/>
              <w:bottom w:val="single" w:sz="4" w:space="0" w:color="808080"/>
              <w:right w:val="single" w:sz="4" w:space="0" w:color="808080"/>
            </w:tcBorders>
            <w:shd w:val="clear" w:color="auto" w:fill="auto"/>
          </w:tcPr>
          <w:p w14:paraId="3161E280"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Conduct a baseline survey after 2 years and a follow-up study after 4 years</w:t>
            </w:r>
          </w:p>
        </w:tc>
        <w:tc>
          <w:tcPr>
            <w:tcW w:w="948" w:type="pct"/>
            <w:tcBorders>
              <w:top w:val="single" w:sz="4" w:space="0" w:color="808080"/>
              <w:left w:val="single" w:sz="4" w:space="0" w:color="808080"/>
              <w:bottom w:val="single" w:sz="4" w:space="0" w:color="808080"/>
              <w:right w:val="single" w:sz="4" w:space="0" w:color="808080"/>
            </w:tcBorders>
            <w:shd w:val="clear" w:color="auto" w:fill="auto"/>
          </w:tcPr>
          <w:p w14:paraId="133B1C33"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M&amp;E manager to manage and source an independent service provider to conduct study</w:t>
            </w:r>
          </w:p>
        </w:tc>
        <w:tc>
          <w:tcPr>
            <w:tcW w:w="1234" w:type="pct"/>
            <w:tcBorders>
              <w:top w:val="single" w:sz="4" w:space="0" w:color="808080"/>
              <w:left w:val="single" w:sz="4" w:space="0" w:color="808080"/>
              <w:bottom w:val="single" w:sz="4" w:space="0" w:color="808080"/>
              <w:right w:val="single" w:sz="4" w:space="0" w:color="808080"/>
            </w:tcBorders>
            <w:shd w:val="clear" w:color="auto" w:fill="auto"/>
          </w:tcPr>
          <w:p w14:paraId="5DB57FE1"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Narrative and statistical Report</w:t>
            </w:r>
          </w:p>
        </w:tc>
      </w:tr>
      <w:tr w:rsidR="00F76705" w:rsidRPr="00A062CA" w14:paraId="16B229B8" w14:textId="77777777" w:rsidTr="001E73EF">
        <w:trPr>
          <w:cantSplit/>
        </w:trPr>
        <w:tc>
          <w:tcPr>
            <w:tcW w:w="962" w:type="pct"/>
            <w:tcBorders>
              <w:top w:val="single" w:sz="4" w:space="0" w:color="808080"/>
              <w:left w:val="single" w:sz="4" w:space="0" w:color="808080"/>
              <w:bottom w:val="single" w:sz="4" w:space="0" w:color="808080"/>
              <w:right w:val="single" w:sz="4" w:space="0" w:color="808080"/>
            </w:tcBorders>
            <w:shd w:val="clear" w:color="auto" w:fill="auto"/>
          </w:tcPr>
          <w:p w14:paraId="3C6C2EAC"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Relationship Review</w:t>
            </w:r>
          </w:p>
        </w:tc>
        <w:tc>
          <w:tcPr>
            <w:tcW w:w="1312" w:type="pct"/>
            <w:tcBorders>
              <w:top w:val="single" w:sz="4" w:space="0" w:color="808080"/>
              <w:left w:val="single" w:sz="4" w:space="0" w:color="808080"/>
              <w:bottom w:val="single" w:sz="4" w:space="0" w:color="808080"/>
              <w:right w:val="single" w:sz="4" w:space="0" w:color="808080"/>
            </w:tcBorders>
            <w:shd w:val="clear" w:color="auto" w:fill="auto"/>
          </w:tcPr>
          <w:p w14:paraId="1D475C78"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The review will to assess the extent and nature of the relationships that have developed between Australian and African organisations as a result of initial contact through AADP activities</w:t>
            </w:r>
          </w:p>
        </w:tc>
        <w:tc>
          <w:tcPr>
            <w:tcW w:w="544" w:type="pct"/>
            <w:tcBorders>
              <w:top w:val="single" w:sz="4" w:space="0" w:color="808080"/>
              <w:left w:val="single" w:sz="4" w:space="0" w:color="808080"/>
              <w:bottom w:val="single" w:sz="4" w:space="0" w:color="808080"/>
              <w:right w:val="single" w:sz="4" w:space="0" w:color="808080"/>
            </w:tcBorders>
            <w:shd w:val="clear" w:color="auto" w:fill="auto"/>
          </w:tcPr>
          <w:p w14:paraId="55B33538"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Conduct a baseline survey after 2 years and a follow-up study after 4 years</w:t>
            </w:r>
          </w:p>
        </w:tc>
        <w:tc>
          <w:tcPr>
            <w:tcW w:w="948" w:type="pct"/>
            <w:tcBorders>
              <w:top w:val="single" w:sz="4" w:space="0" w:color="808080"/>
              <w:left w:val="single" w:sz="4" w:space="0" w:color="808080"/>
              <w:bottom w:val="single" w:sz="4" w:space="0" w:color="808080"/>
              <w:right w:val="single" w:sz="4" w:space="0" w:color="808080"/>
            </w:tcBorders>
            <w:shd w:val="clear" w:color="auto" w:fill="auto"/>
          </w:tcPr>
          <w:p w14:paraId="570D8613"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M&amp;E manager to manage and source an independent service provider to conduct Reviews</w:t>
            </w:r>
          </w:p>
        </w:tc>
        <w:tc>
          <w:tcPr>
            <w:tcW w:w="1234" w:type="pct"/>
            <w:tcBorders>
              <w:top w:val="single" w:sz="4" w:space="0" w:color="808080"/>
              <w:left w:val="single" w:sz="4" w:space="0" w:color="808080"/>
              <w:bottom w:val="single" w:sz="4" w:space="0" w:color="808080"/>
              <w:right w:val="single" w:sz="4" w:space="0" w:color="808080"/>
            </w:tcBorders>
            <w:shd w:val="clear" w:color="auto" w:fill="auto"/>
          </w:tcPr>
          <w:p w14:paraId="3CDD73D9"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Narrative Report</w:t>
            </w:r>
          </w:p>
        </w:tc>
      </w:tr>
      <w:tr w:rsidR="00F76705" w:rsidRPr="00A062CA" w14:paraId="3A90FE62" w14:textId="77777777" w:rsidTr="001E73EF">
        <w:trPr>
          <w:cantSplit/>
        </w:trPr>
        <w:tc>
          <w:tcPr>
            <w:tcW w:w="962" w:type="pct"/>
            <w:tcBorders>
              <w:top w:val="single" w:sz="4" w:space="0" w:color="808080"/>
              <w:left w:val="single" w:sz="4" w:space="0" w:color="808080"/>
              <w:bottom w:val="single" w:sz="4" w:space="0" w:color="808080"/>
              <w:right w:val="single" w:sz="4" w:space="0" w:color="808080"/>
            </w:tcBorders>
            <w:shd w:val="clear" w:color="auto" w:fill="auto"/>
          </w:tcPr>
          <w:p w14:paraId="4BF7422C"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Independent QA TVET Review</w:t>
            </w:r>
          </w:p>
        </w:tc>
        <w:tc>
          <w:tcPr>
            <w:tcW w:w="1312" w:type="pct"/>
            <w:tcBorders>
              <w:top w:val="single" w:sz="4" w:space="0" w:color="808080"/>
              <w:left w:val="single" w:sz="4" w:space="0" w:color="808080"/>
              <w:bottom w:val="single" w:sz="4" w:space="0" w:color="808080"/>
              <w:right w:val="single" w:sz="4" w:space="0" w:color="808080"/>
            </w:tcBorders>
            <w:shd w:val="clear" w:color="auto" w:fill="auto"/>
          </w:tcPr>
          <w:p w14:paraId="67B27304"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 xml:space="preserve">An independent panel of TVET specialists and private sector representatives will assess whether TVET institutions are providing appropriate/relevant training to meet the needs of the </w:t>
            </w:r>
            <w:r>
              <w:rPr>
                <w:rFonts w:cs="Arial"/>
                <w:sz w:val="18"/>
                <w:szCs w:val="18"/>
                <w:lang w:val="en-GB"/>
              </w:rPr>
              <w:t>Extractive</w:t>
            </w:r>
            <w:r w:rsidRPr="00A062CA">
              <w:rPr>
                <w:rFonts w:cs="Arial"/>
                <w:sz w:val="18"/>
                <w:szCs w:val="18"/>
                <w:lang w:val="en-GB"/>
              </w:rPr>
              <w:t xml:space="preserve"> Sector in the three focus countries</w:t>
            </w:r>
          </w:p>
        </w:tc>
        <w:tc>
          <w:tcPr>
            <w:tcW w:w="544" w:type="pct"/>
            <w:tcBorders>
              <w:top w:val="single" w:sz="4" w:space="0" w:color="808080"/>
              <w:left w:val="single" w:sz="4" w:space="0" w:color="808080"/>
              <w:bottom w:val="single" w:sz="4" w:space="0" w:color="808080"/>
              <w:right w:val="single" w:sz="4" w:space="0" w:color="808080"/>
            </w:tcBorders>
            <w:shd w:val="clear" w:color="auto" w:fill="auto"/>
          </w:tcPr>
          <w:p w14:paraId="43F342E9"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6 months after the completion of the TVET pilots</w:t>
            </w:r>
          </w:p>
        </w:tc>
        <w:tc>
          <w:tcPr>
            <w:tcW w:w="948" w:type="pct"/>
            <w:tcBorders>
              <w:top w:val="single" w:sz="4" w:space="0" w:color="808080"/>
              <w:left w:val="single" w:sz="4" w:space="0" w:color="808080"/>
              <w:bottom w:val="single" w:sz="4" w:space="0" w:color="808080"/>
              <w:right w:val="single" w:sz="4" w:space="0" w:color="808080"/>
            </w:tcBorders>
            <w:shd w:val="clear" w:color="auto" w:fill="auto"/>
          </w:tcPr>
          <w:p w14:paraId="665AB20B"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M&amp;E manager to manage and source an independent service provider to conduct Reviews</w:t>
            </w:r>
          </w:p>
        </w:tc>
        <w:tc>
          <w:tcPr>
            <w:tcW w:w="1234" w:type="pct"/>
            <w:tcBorders>
              <w:top w:val="single" w:sz="4" w:space="0" w:color="808080"/>
              <w:left w:val="single" w:sz="4" w:space="0" w:color="808080"/>
              <w:bottom w:val="single" w:sz="4" w:space="0" w:color="808080"/>
              <w:right w:val="single" w:sz="4" w:space="0" w:color="808080"/>
            </w:tcBorders>
            <w:shd w:val="clear" w:color="auto" w:fill="auto"/>
          </w:tcPr>
          <w:p w14:paraId="406D4230" w14:textId="77777777" w:rsidR="00F76705" w:rsidRPr="00A062CA" w:rsidRDefault="00F76705" w:rsidP="001E73EF">
            <w:pPr>
              <w:pStyle w:val="BodyText"/>
              <w:jc w:val="left"/>
              <w:rPr>
                <w:rFonts w:cs="Arial"/>
                <w:sz w:val="18"/>
                <w:szCs w:val="18"/>
                <w:lang w:val="en-GB"/>
              </w:rPr>
            </w:pPr>
            <w:r w:rsidRPr="00A062CA">
              <w:rPr>
                <w:rFonts w:cs="Arial"/>
                <w:sz w:val="18"/>
                <w:szCs w:val="18"/>
                <w:lang w:val="en-GB"/>
              </w:rPr>
              <w:t>Narrative Report</w:t>
            </w:r>
          </w:p>
        </w:tc>
      </w:tr>
    </w:tbl>
    <w:p w14:paraId="11768372" w14:textId="77777777" w:rsidR="0018148F" w:rsidRDefault="0018148F" w:rsidP="00782A69">
      <w:pPr>
        <w:pStyle w:val="annexsubheading"/>
        <w:rPr>
          <w:lang w:val="en-US"/>
        </w:rPr>
      </w:pPr>
    </w:p>
    <w:p w14:paraId="0A9D6271" w14:textId="77777777" w:rsidR="0018148F" w:rsidRDefault="0018148F" w:rsidP="00782A69">
      <w:pPr>
        <w:pStyle w:val="annexsubheading"/>
        <w:sectPr w:rsidR="0018148F" w:rsidSect="009C7197">
          <w:pgSz w:w="16838" w:h="11906" w:orient="landscape"/>
          <w:pgMar w:top="1418" w:right="1418" w:bottom="1418" w:left="1418" w:header="568" w:footer="430" w:gutter="0"/>
          <w:cols w:space="708"/>
          <w:docGrid w:linePitch="360"/>
        </w:sectPr>
      </w:pPr>
    </w:p>
    <w:p w14:paraId="71A4CCC4" w14:textId="77777777" w:rsidR="00F76705" w:rsidRPr="00767E76" w:rsidRDefault="00F76705" w:rsidP="00767E76">
      <w:pPr>
        <w:pStyle w:val="annexsubheading"/>
        <w:rPr>
          <w:b w:val="0"/>
          <w:lang w:val="pt-PT"/>
        </w:rPr>
      </w:pPr>
      <w:r w:rsidRPr="00767E76">
        <w:rPr>
          <w:lang w:val="pt-PT"/>
        </w:rPr>
        <w:t>Key Impact Evaluation Questions</w:t>
      </w:r>
    </w:p>
    <w:p w14:paraId="5A506886" w14:textId="77777777" w:rsidR="00F76705" w:rsidRPr="007247A3" w:rsidRDefault="00F76705" w:rsidP="00F76705">
      <w:pPr>
        <w:tabs>
          <w:tab w:val="left" w:pos="709"/>
        </w:tabs>
        <w:jc w:val="both"/>
        <w:rPr>
          <w:rFonts w:cs="Arial"/>
          <w:b/>
          <w:sz w:val="18"/>
          <w:szCs w:val="18"/>
        </w:rPr>
      </w:pPr>
      <w:r w:rsidRPr="007247A3">
        <w:rPr>
          <w:rFonts w:cs="Arial"/>
          <w:b/>
          <w:bCs/>
          <w:sz w:val="18"/>
          <w:szCs w:val="18"/>
        </w:rPr>
        <w:t xml:space="preserve">The table below sets out key Impact Evaluation Questions for the Program. It is comprehensive but not exhaustive and </w:t>
      </w:r>
      <w:r w:rsidRPr="007247A3">
        <w:rPr>
          <w:rFonts w:eastAsia="Calibri"/>
          <w:b/>
          <w:bCs/>
          <w:sz w:val="18"/>
          <w:szCs w:val="18"/>
        </w:rPr>
        <w:t xml:space="preserve">it is provided as a guide only to the issues that need to be considered when reviewing program implementation (both from a monitoring and an evaluation perspective). Thus these questions should guide ongoing monitoring and also be used to formulate the evaluation questions for the Mid Term Review of the AADP. It is the responsibility of the appointed Contractor to ensure the table continues to meet program needs and is kept current. </w:t>
      </w:r>
      <w:r w:rsidRPr="007247A3">
        <w:rPr>
          <w:rFonts w:cs="Arial"/>
          <w:b/>
          <w:bCs/>
          <w:sz w:val="18"/>
          <w:szCs w:val="18"/>
        </w:rPr>
        <w:t>The questions are intended to provide guidance for further elaborated by an evaluation team.</w:t>
      </w:r>
    </w:p>
    <w:p w14:paraId="59C6B71E" w14:textId="77777777" w:rsidR="00F76705" w:rsidRDefault="00F76705" w:rsidP="00F76705">
      <w:pPr>
        <w:tabs>
          <w:tab w:val="left" w:pos="709"/>
        </w:tabs>
        <w:jc w:val="both"/>
        <w:rPr>
          <w:rFonts w:cs="Arial"/>
          <w:b/>
          <w:bCs/>
          <w:sz w:val="18"/>
          <w:szCs w:val="18"/>
        </w:rPr>
      </w:pPr>
    </w:p>
    <w:p w14:paraId="376BDCF4" w14:textId="77777777" w:rsidR="00F76705" w:rsidRDefault="00F76705" w:rsidP="00F76705">
      <w:pPr>
        <w:spacing w:before="0"/>
        <w:rPr>
          <w: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1525"/>
        <w:gridCol w:w="7761"/>
      </w:tblGrid>
      <w:tr w:rsidR="00F76705" w:rsidRPr="00F84F4B" w14:paraId="1F258F3C" w14:textId="77777777" w:rsidTr="001E73EF">
        <w:trPr>
          <w:cantSplit/>
        </w:trPr>
        <w:tc>
          <w:tcPr>
            <w:tcW w:w="1526" w:type="dxa"/>
            <w:shd w:val="clear" w:color="auto" w:fill="808080"/>
          </w:tcPr>
          <w:p w14:paraId="40085B6D" w14:textId="77777777" w:rsidR="00F76705" w:rsidRPr="00DE62D1" w:rsidRDefault="00F76705" w:rsidP="001E73EF">
            <w:pPr>
              <w:spacing w:before="0"/>
              <w:rPr>
                <w:b/>
                <w:color w:val="FFFFFF"/>
              </w:rPr>
            </w:pPr>
            <w:r w:rsidRPr="00DE62D1">
              <w:rPr>
                <w:b/>
                <w:color w:val="FFFFFF"/>
              </w:rPr>
              <w:t>Category</w:t>
            </w:r>
          </w:p>
        </w:tc>
        <w:tc>
          <w:tcPr>
            <w:tcW w:w="8328" w:type="dxa"/>
            <w:shd w:val="clear" w:color="auto" w:fill="808080"/>
          </w:tcPr>
          <w:p w14:paraId="1BA835D3" w14:textId="77777777" w:rsidR="00F76705" w:rsidRPr="00DE62D1" w:rsidRDefault="00F76705" w:rsidP="001E73EF">
            <w:pPr>
              <w:spacing w:before="0"/>
              <w:rPr>
                <w:b/>
                <w:color w:val="FFFFFF"/>
              </w:rPr>
            </w:pPr>
            <w:r w:rsidRPr="00DE62D1">
              <w:rPr>
                <w:b/>
                <w:color w:val="FFFFFF"/>
              </w:rPr>
              <w:t>Evaluation Questions</w:t>
            </w:r>
          </w:p>
        </w:tc>
      </w:tr>
      <w:tr w:rsidR="00F76705" w14:paraId="0C45EC79" w14:textId="77777777" w:rsidTr="001E73EF">
        <w:trPr>
          <w:cantSplit/>
        </w:trPr>
        <w:tc>
          <w:tcPr>
            <w:tcW w:w="9854" w:type="dxa"/>
            <w:gridSpan w:val="2"/>
            <w:shd w:val="clear" w:color="auto" w:fill="FFC000"/>
          </w:tcPr>
          <w:p w14:paraId="7EF4B162" w14:textId="77777777" w:rsidR="00F76705" w:rsidRPr="00C14B3C" w:rsidRDefault="00F76705" w:rsidP="001E73EF">
            <w:pPr>
              <w:pStyle w:val="ListParagraph"/>
              <w:spacing w:after="0"/>
              <w:ind w:left="0"/>
              <w:jc w:val="both"/>
              <w:rPr>
                <w:rFonts w:ascii="Arial" w:hAnsi="Arial" w:cs="Arial"/>
                <w:bCs/>
                <w:sz w:val="20"/>
                <w:szCs w:val="20"/>
              </w:rPr>
            </w:pPr>
            <w:r>
              <w:rPr>
                <w:rFonts w:cs="Arial"/>
                <w:b/>
                <w:bCs/>
                <w:szCs w:val="20"/>
              </w:rPr>
              <w:t>Operational Platform</w:t>
            </w:r>
          </w:p>
        </w:tc>
      </w:tr>
      <w:tr w:rsidR="00F76705" w14:paraId="215E257C" w14:textId="77777777" w:rsidTr="001E73EF">
        <w:trPr>
          <w:cantSplit/>
        </w:trPr>
        <w:tc>
          <w:tcPr>
            <w:tcW w:w="1526" w:type="dxa"/>
            <w:shd w:val="clear" w:color="auto" w:fill="auto"/>
          </w:tcPr>
          <w:p w14:paraId="718D98C6" w14:textId="77777777" w:rsidR="00F76705" w:rsidRPr="00DE62D1" w:rsidRDefault="00F76705" w:rsidP="001E73EF">
            <w:pPr>
              <w:spacing w:before="0"/>
              <w:rPr>
                <w:b/>
                <w:szCs w:val="20"/>
              </w:rPr>
            </w:pPr>
            <w:r>
              <w:rPr>
                <w:rFonts w:cs="Arial"/>
                <w:b/>
                <w:bCs/>
                <w:szCs w:val="20"/>
              </w:rPr>
              <w:t>Program</w:t>
            </w:r>
            <w:r w:rsidRPr="00DE62D1">
              <w:rPr>
                <w:rFonts w:cs="Arial"/>
                <w:b/>
                <w:bCs/>
                <w:szCs w:val="20"/>
              </w:rPr>
              <w:t xml:space="preserve"> Management</w:t>
            </w:r>
          </w:p>
        </w:tc>
        <w:tc>
          <w:tcPr>
            <w:tcW w:w="8328" w:type="dxa"/>
            <w:shd w:val="clear" w:color="auto" w:fill="auto"/>
          </w:tcPr>
          <w:p w14:paraId="602AD452" w14:textId="77777777" w:rsidR="00F76705" w:rsidRPr="00C14B3C" w:rsidRDefault="00F76705" w:rsidP="00F76705">
            <w:pPr>
              <w:pStyle w:val="ListParagraph"/>
              <w:numPr>
                <w:ilvl w:val="0"/>
                <w:numId w:val="87"/>
              </w:numPr>
              <w:spacing w:after="0" w:line="240" w:lineRule="auto"/>
              <w:jc w:val="both"/>
              <w:rPr>
                <w:rFonts w:ascii="Arial" w:hAnsi="Arial" w:cs="Arial"/>
                <w:bCs/>
                <w:sz w:val="20"/>
                <w:szCs w:val="20"/>
              </w:rPr>
            </w:pPr>
            <w:r w:rsidRPr="00C14B3C">
              <w:rPr>
                <w:rFonts w:ascii="Arial" w:hAnsi="Arial" w:cs="Arial"/>
                <w:bCs/>
                <w:sz w:val="20"/>
                <w:szCs w:val="20"/>
              </w:rPr>
              <w:t xml:space="preserve">To what degree has the Facility been effectively managed to achieve </w:t>
            </w:r>
            <w:r>
              <w:rPr>
                <w:rFonts w:ascii="Arial" w:hAnsi="Arial" w:cs="Arial"/>
                <w:bCs/>
                <w:sz w:val="20"/>
                <w:szCs w:val="20"/>
              </w:rPr>
              <w:t>intended outcomes</w:t>
            </w:r>
            <w:r w:rsidRPr="00C14B3C">
              <w:rPr>
                <w:rFonts w:ascii="Arial" w:hAnsi="Arial" w:cs="Arial"/>
                <w:bCs/>
                <w:sz w:val="20"/>
                <w:szCs w:val="20"/>
              </w:rPr>
              <w:t>?</w:t>
            </w:r>
          </w:p>
          <w:p w14:paraId="6620394F" w14:textId="77777777" w:rsidR="00F76705" w:rsidRPr="00C14B3C" w:rsidRDefault="00F76705" w:rsidP="00F76705">
            <w:pPr>
              <w:pStyle w:val="ListParagraph"/>
              <w:numPr>
                <w:ilvl w:val="0"/>
                <w:numId w:val="87"/>
              </w:numPr>
              <w:spacing w:after="0" w:line="240" w:lineRule="auto"/>
              <w:jc w:val="both"/>
              <w:rPr>
                <w:rFonts w:ascii="Arial" w:hAnsi="Arial" w:cs="Arial"/>
                <w:bCs/>
                <w:sz w:val="20"/>
                <w:szCs w:val="20"/>
              </w:rPr>
            </w:pPr>
            <w:r w:rsidRPr="00C14B3C">
              <w:rPr>
                <w:rFonts w:ascii="Arial" w:hAnsi="Arial" w:cs="Arial"/>
                <w:bCs/>
                <w:sz w:val="20"/>
                <w:szCs w:val="20"/>
              </w:rPr>
              <w:t>To what degree does Facility management represent value for money?</w:t>
            </w:r>
          </w:p>
          <w:p w14:paraId="7D437EA3" w14:textId="77777777" w:rsidR="00F76705" w:rsidRPr="00C14B3C" w:rsidRDefault="00F76705" w:rsidP="00F76705">
            <w:pPr>
              <w:pStyle w:val="ListParagraph"/>
              <w:numPr>
                <w:ilvl w:val="0"/>
                <w:numId w:val="87"/>
              </w:numPr>
              <w:spacing w:after="0" w:line="240" w:lineRule="auto"/>
              <w:jc w:val="both"/>
              <w:rPr>
                <w:rFonts w:ascii="Arial" w:hAnsi="Arial" w:cs="Arial"/>
                <w:bCs/>
                <w:sz w:val="20"/>
                <w:szCs w:val="20"/>
              </w:rPr>
            </w:pPr>
            <w:r w:rsidRPr="00C14B3C">
              <w:rPr>
                <w:rFonts w:ascii="Arial" w:hAnsi="Arial" w:cs="Arial"/>
                <w:bCs/>
                <w:sz w:val="20"/>
                <w:szCs w:val="20"/>
              </w:rPr>
              <w:t>To what degree has the Facility management communicated effectively with DFAT?</w:t>
            </w:r>
          </w:p>
        </w:tc>
      </w:tr>
      <w:tr w:rsidR="00F76705" w14:paraId="79625DD5" w14:textId="77777777" w:rsidTr="001E73EF">
        <w:trPr>
          <w:cantSplit/>
        </w:trPr>
        <w:tc>
          <w:tcPr>
            <w:tcW w:w="1526" w:type="dxa"/>
            <w:shd w:val="clear" w:color="auto" w:fill="auto"/>
          </w:tcPr>
          <w:p w14:paraId="33D0B9AC" w14:textId="77777777" w:rsidR="00F76705" w:rsidRPr="00DE62D1" w:rsidRDefault="00F76705" w:rsidP="001E73EF">
            <w:pPr>
              <w:spacing w:before="0"/>
              <w:rPr>
                <w:b/>
                <w:szCs w:val="20"/>
              </w:rPr>
            </w:pPr>
            <w:r w:rsidRPr="00DE62D1">
              <w:rPr>
                <w:rFonts w:cs="Arial"/>
                <w:b/>
                <w:bCs/>
                <w:szCs w:val="20"/>
              </w:rPr>
              <w:t>Recruitment and Human Resources Management</w:t>
            </w:r>
          </w:p>
        </w:tc>
        <w:tc>
          <w:tcPr>
            <w:tcW w:w="8328" w:type="dxa"/>
            <w:shd w:val="clear" w:color="auto" w:fill="auto"/>
          </w:tcPr>
          <w:p w14:paraId="696FDB17" w14:textId="77777777" w:rsidR="00F76705" w:rsidRPr="00C14B3C" w:rsidRDefault="00F76705" w:rsidP="00F76705">
            <w:pPr>
              <w:pStyle w:val="ListParagraph"/>
              <w:numPr>
                <w:ilvl w:val="0"/>
                <w:numId w:val="87"/>
              </w:numPr>
              <w:spacing w:after="0" w:line="240" w:lineRule="auto"/>
              <w:jc w:val="both"/>
              <w:rPr>
                <w:rFonts w:ascii="Arial" w:hAnsi="Arial" w:cs="Arial"/>
                <w:bCs/>
                <w:sz w:val="20"/>
                <w:szCs w:val="20"/>
              </w:rPr>
            </w:pPr>
            <w:r w:rsidRPr="00C14B3C">
              <w:rPr>
                <w:rFonts w:ascii="Arial" w:hAnsi="Arial" w:cs="Arial"/>
                <w:bCs/>
                <w:sz w:val="20"/>
                <w:szCs w:val="20"/>
              </w:rPr>
              <w:t>To what degree have Facility recruitment practices supported DFAT Program Areas to identify, recruit and manage appropriate TA personnel in a timely and cost effective manner?</w:t>
            </w:r>
          </w:p>
          <w:p w14:paraId="0334F8DF" w14:textId="77777777" w:rsidR="00F76705" w:rsidRPr="00C14B3C" w:rsidRDefault="00F76705" w:rsidP="00F76705">
            <w:pPr>
              <w:pStyle w:val="ListParagraph"/>
              <w:numPr>
                <w:ilvl w:val="0"/>
                <w:numId w:val="87"/>
              </w:numPr>
              <w:spacing w:after="0" w:line="240" w:lineRule="auto"/>
              <w:jc w:val="both"/>
              <w:rPr>
                <w:rFonts w:ascii="Arial" w:hAnsi="Arial" w:cs="Arial"/>
                <w:bCs/>
                <w:sz w:val="20"/>
                <w:szCs w:val="20"/>
              </w:rPr>
            </w:pPr>
            <w:r w:rsidRPr="00C14B3C">
              <w:rPr>
                <w:rFonts w:ascii="Arial" w:hAnsi="Arial" w:cs="Arial"/>
                <w:bCs/>
                <w:sz w:val="20"/>
                <w:szCs w:val="20"/>
              </w:rPr>
              <w:t>To what degree has the Facility furnished DFAT with value added market knowledge across all required professional categories?</w:t>
            </w:r>
          </w:p>
          <w:p w14:paraId="223C2BA0" w14:textId="77777777" w:rsidR="00F76705" w:rsidRPr="00C14B3C" w:rsidRDefault="00F76705" w:rsidP="00F76705">
            <w:pPr>
              <w:pStyle w:val="ListParagraph"/>
              <w:numPr>
                <w:ilvl w:val="0"/>
                <w:numId w:val="87"/>
              </w:numPr>
              <w:spacing w:after="0" w:line="240" w:lineRule="auto"/>
              <w:jc w:val="both"/>
              <w:rPr>
                <w:rFonts w:ascii="Arial" w:hAnsi="Arial" w:cs="Arial"/>
                <w:bCs/>
                <w:sz w:val="20"/>
                <w:szCs w:val="20"/>
              </w:rPr>
            </w:pPr>
            <w:r w:rsidRPr="00C14B3C">
              <w:rPr>
                <w:rFonts w:ascii="Arial" w:hAnsi="Arial" w:cs="Arial"/>
                <w:bCs/>
                <w:sz w:val="20"/>
                <w:szCs w:val="20"/>
              </w:rPr>
              <w:t>To what degree has the Facility fostered LES development?</w:t>
            </w:r>
          </w:p>
        </w:tc>
      </w:tr>
      <w:tr w:rsidR="00F76705" w14:paraId="10E2F58D" w14:textId="77777777" w:rsidTr="001E73EF">
        <w:trPr>
          <w:cantSplit/>
        </w:trPr>
        <w:tc>
          <w:tcPr>
            <w:tcW w:w="1526" w:type="dxa"/>
            <w:shd w:val="clear" w:color="auto" w:fill="auto"/>
          </w:tcPr>
          <w:p w14:paraId="4DB6BAE0" w14:textId="77777777" w:rsidR="00F76705" w:rsidRPr="00DE62D1" w:rsidRDefault="00F76705" w:rsidP="001E73EF">
            <w:pPr>
              <w:spacing w:before="0"/>
              <w:rPr>
                <w:b/>
                <w:szCs w:val="20"/>
              </w:rPr>
            </w:pPr>
            <w:r w:rsidRPr="00DE62D1">
              <w:rPr>
                <w:rFonts w:cs="Arial"/>
                <w:b/>
                <w:bCs/>
                <w:szCs w:val="20"/>
              </w:rPr>
              <w:t>Financial and Asset Management and Reporting</w:t>
            </w:r>
          </w:p>
        </w:tc>
        <w:tc>
          <w:tcPr>
            <w:tcW w:w="8328" w:type="dxa"/>
            <w:shd w:val="clear" w:color="auto" w:fill="auto"/>
          </w:tcPr>
          <w:p w14:paraId="762BFF02" w14:textId="77777777" w:rsidR="00F76705" w:rsidRPr="00C14B3C" w:rsidRDefault="00F76705" w:rsidP="00F76705">
            <w:pPr>
              <w:pStyle w:val="ListParagraph"/>
              <w:numPr>
                <w:ilvl w:val="0"/>
                <w:numId w:val="87"/>
              </w:numPr>
              <w:spacing w:line="240" w:lineRule="auto"/>
              <w:jc w:val="both"/>
              <w:rPr>
                <w:rFonts w:ascii="Arial" w:hAnsi="Arial" w:cs="Arial"/>
                <w:bCs/>
                <w:sz w:val="20"/>
                <w:szCs w:val="20"/>
              </w:rPr>
            </w:pPr>
            <w:r w:rsidRPr="00C14B3C">
              <w:rPr>
                <w:rFonts w:ascii="Arial" w:hAnsi="Arial" w:cs="Arial"/>
                <w:bCs/>
                <w:sz w:val="20"/>
                <w:szCs w:val="20"/>
              </w:rPr>
              <w:t>To what degree has the Facility provided sound financial and asset management and reporting?</w:t>
            </w:r>
          </w:p>
        </w:tc>
      </w:tr>
      <w:tr w:rsidR="00F76705" w14:paraId="74A06AD2" w14:textId="77777777" w:rsidTr="001E73EF">
        <w:trPr>
          <w:cantSplit/>
        </w:trPr>
        <w:tc>
          <w:tcPr>
            <w:tcW w:w="1526" w:type="dxa"/>
            <w:shd w:val="clear" w:color="auto" w:fill="auto"/>
          </w:tcPr>
          <w:p w14:paraId="6DF2E595" w14:textId="77777777" w:rsidR="00F76705" w:rsidRPr="00DE62D1" w:rsidRDefault="00F76705" w:rsidP="001E73EF">
            <w:pPr>
              <w:spacing w:before="0"/>
              <w:rPr>
                <w:b/>
                <w:szCs w:val="20"/>
              </w:rPr>
            </w:pPr>
            <w:r w:rsidRPr="00DE62D1">
              <w:rPr>
                <w:rFonts w:cs="Arial"/>
                <w:b/>
                <w:bCs/>
                <w:szCs w:val="20"/>
              </w:rPr>
              <w:t>Information Management</w:t>
            </w:r>
          </w:p>
        </w:tc>
        <w:tc>
          <w:tcPr>
            <w:tcW w:w="8328" w:type="dxa"/>
            <w:shd w:val="clear" w:color="auto" w:fill="auto"/>
          </w:tcPr>
          <w:p w14:paraId="1A5E6A49" w14:textId="77777777" w:rsidR="00F76705" w:rsidRPr="00C14B3C" w:rsidRDefault="00F76705" w:rsidP="00F76705">
            <w:pPr>
              <w:pStyle w:val="ListParagraph"/>
              <w:numPr>
                <w:ilvl w:val="0"/>
                <w:numId w:val="87"/>
              </w:numPr>
              <w:spacing w:after="0" w:line="240" w:lineRule="auto"/>
              <w:jc w:val="both"/>
              <w:rPr>
                <w:rFonts w:ascii="Arial" w:hAnsi="Arial" w:cs="Arial"/>
                <w:bCs/>
                <w:sz w:val="20"/>
                <w:szCs w:val="20"/>
              </w:rPr>
            </w:pPr>
            <w:r w:rsidRPr="00C14B3C">
              <w:rPr>
                <w:rFonts w:ascii="Arial" w:hAnsi="Arial" w:cs="Arial"/>
                <w:bCs/>
                <w:sz w:val="20"/>
                <w:szCs w:val="20"/>
              </w:rPr>
              <w:t>How effectively has the Facility captured and used information and lessons to improve the quality of services provided?</w:t>
            </w:r>
          </w:p>
          <w:p w14:paraId="33202E63" w14:textId="77777777" w:rsidR="00F76705" w:rsidRPr="00C14B3C" w:rsidRDefault="00F76705" w:rsidP="00F76705">
            <w:pPr>
              <w:pStyle w:val="ListParagraph"/>
              <w:numPr>
                <w:ilvl w:val="0"/>
                <w:numId w:val="87"/>
              </w:numPr>
              <w:spacing w:after="0" w:line="240" w:lineRule="auto"/>
              <w:jc w:val="both"/>
              <w:rPr>
                <w:rFonts w:ascii="Arial" w:hAnsi="Arial" w:cs="Arial"/>
                <w:bCs/>
                <w:sz w:val="20"/>
                <w:szCs w:val="20"/>
              </w:rPr>
            </w:pPr>
            <w:r w:rsidRPr="00C14B3C">
              <w:rPr>
                <w:rFonts w:ascii="Arial" w:hAnsi="Arial" w:cs="Arial"/>
                <w:bCs/>
                <w:sz w:val="20"/>
                <w:szCs w:val="20"/>
              </w:rPr>
              <w:t>To what degree have the quality and use of information collated and used by the Facility assisted DFAT Program Managers to effectively deliver Programs and the Facility management to effectively provide DSS (including dissemination of information and bulletins)?</w:t>
            </w:r>
          </w:p>
        </w:tc>
      </w:tr>
      <w:tr w:rsidR="00F76705" w:rsidRPr="00B856A7" w14:paraId="2A0D485E" w14:textId="77777777" w:rsidTr="001E73EF">
        <w:trPr>
          <w:cantSplit/>
        </w:trPr>
        <w:tc>
          <w:tcPr>
            <w:tcW w:w="9854" w:type="dxa"/>
            <w:gridSpan w:val="2"/>
            <w:shd w:val="clear" w:color="auto" w:fill="FFC000"/>
          </w:tcPr>
          <w:p w14:paraId="492EF8D8" w14:textId="77777777" w:rsidR="00F76705" w:rsidRPr="00B856A7" w:rsidRDefault="00F76705" w:rsidP="001E73EF">
            <w:pPr>
              <w:pStyle w:val="ListParagraph"/>
              <w:spacing w:after="0"/>
              <w:ind w:left="0"/>
              <w:jc w:val="both"/>
              <w:rPr>
                <w:rFonts w:cs="Arial"/>
                <w:b/>
                <w:bCs/>
                <w:szCs w:val="20"/>
              </w:rPr>
            </w:pPr>
            <w:r w:rsidRPr="00B856A7">
              <w:rPr>
                <w:rFonts w:cs="Arial"/>
                <w:b/>
                <w:bCs/>
                <w:szCs w:val="20"/>
              </w:rPr>
              <w:t>Program Outcomes</w:t>
            </w:r>
          </w:p>
        </w:tc>
      </w:tr>
      <w:tr w:rsidR="00F76705" w14:paraId="2222DDE6" w14:textId="77777777" w:rsidTr="001E73EF">
        <w:trPr>
          <w:cantSplit/>
        </w:trPr>
        <w:tc>
          <w:tcPr>
            <w:tcW w:w="1526" w:type="dxa"/>
            <w:shd w:val="clear" w:color="auto" w:fill="auto"/>
          </w:tcPr>
          <w:p w14:paraId="5A9E0614" w14:textId="77777777" w:rsidR="00F76705" w:rsidRPr="00DE62D1" w:rsidRDefault="00F76705" w:rsidP="001E73EF">
            <w:pPr>
              <w:spacing w:before="0"/>
              <w:rPr>
                <w:rFonts w:cs="Arial"/>
                <w:b/>
                <w:bCs/>
                <w:szCs w:val="20"/>
              </w:rPr>
            </w:pPr>
            <w:r>
              <w:rPr>
                <w:rFonts w:cs="Arial"/>
                <w:b/>
                <w:bCs/>
                <w:szCs w:val="20"/>
              </w:rPr>
              <w:t>Relevance</w:t>
            </w:r>
          </w:p>
        </w:tc>
        <w:tc>
          <w:tcPr>
            <w:tcW w:w="8328" w:type="dxa"/>
            <w:shd w:val="clear" w:color="auto" w:fill="auto"/>
          </w:tcPr>
          <w:p w14:paraId="7B5C157D" w14:textId="77777777" w:rsidR="00F76705" w:rsidRPr="00E97FF8" w:rsidRDefault="00F76705" w:rsidP="00F76705">
            <w:pPr>
              <w:pStyle w:val="ListParagraph"/>
              <w:numPr>
                <w:ilvl w:val="0"/>
                <w:numId w:val="87"/>
              </w:numPr>
              <w:spacing w:after="0" w:line="240" w:lineRule="auto"/>
              <w:jc w:val="both"/>
              <w:rPr>
                <w:rFonts w:ascii="Arial" w:hAnsi="Arial" w:cs="Arial"/>
                <w:bCs/>
                <w:sz w:val="20"/>
                <w:szCs w:val="20"/>
              </w:rPr>
            </w:pPr>
            <w:r w:rsidRPr="00E97FF8">
              <w:rPr>
                <w:rFonts w:ascii="Arial" w:hAnsi="Arial" w:cs="Arial"/>
                <w:bCs/>
                <w:sz w:val="20"/>
                <w:szCs w:val="20"/>
              </w:rPr>
              <w:t>To what degree does the AADP’s goal and objective remain valid?</w:t>
            </w:r>
          </w:p>
          <w:p w14:paraId="16B14FA7" w14:textId="77777777" w:rsidR="00F76705" w:rsidRPr="00E97FF8" w:rsidRDefault="00F76705" w:rsidP="00F76705">
            <w:pPr>
              <w:pStyle w:val="ListParagraph"/>
              <w:numPr>
                <w:ilvl w:val="0"/>
                <w:numId w:val="87"/>
              </w:numPr>
              <w:spacing w:after="0" w:line="240" w:lineRule="auto"/>
              <w:jc w:val="both"/>
              <w:rPr>
                <w:rFonts w:ascii="Arial" w:hAnsi="Arial" w:cs="Arial"/>
                <w:bCs/>
                <w:sz w:val="20"/>
                <w:szCs w:val="20"/>
              </w:rPr>
            </w:pPr>
            <w:r w:rsidRPr="00E97FF8">
              <w:rPr>
                <w:rFonts w:ascii="Arial" w:hAnsi="Arial" w:cs="Arial"/>
                <w:bCs/>
                <w:sz w:val="20"/>
                <w:szCs w:val="20"/>
              </w:rPr>
              <w:t>Is the goal and objective of the AADP still relevant to Australia’s broader goals in sub-Saharan Africa</w:t>
            </w:r>
            <w:r>
              <w:rPr>
                <w:rFonts w:ascii="Arial" w:hAnsi="Arial" w:cs="Arial"/>
                <w:bCs/>
                <w:sz w:val="20"/>
                <w:szCs w:val="20"/>
              </w:rPr>
              <w:t xml:space="preserve"> (i.e. helping to meet the SSAAP goal and objectives?)</w:t>
            </w:r>
          </w:p>
          <w:p w14:paraId="2B497B3B" w14:textId="77777777" w:rsidR="00F76705" w:rsidRPr="00E97FF8" w:rsidRDefault="00F76705" w:rsidP="00F76705">
            <w:pPr>
              <w:pStyle w:val="ListParagraph"/>
              <w:numPr>
                <w:ilvl w:val="0"/>
                <w:numId w:val="87"/>
              </w:numPr>
              <w:spacing w:after="0" w:line="240" w:lineRule="auto"/>
              <w:jc w:val="both"/>
              <w:rPr>
                <w:rFonts w:ascii="Arial" w:hAnsi="Arial" w:cs="Arial"/>
                <w:bCs/>
                <w:sz w:val="20"/>
                <w:szCs w:val="20"/>
              </w:rPr>
            </w:pPr>
            <w:r w:rsidRPr="00E97FF8">
              <w:rPr>
                <w:rFonts w:ascii="Arial" w:hAnsi="Arial" w:cs="Arial"/>
                <w:bCs/>
                <w:sz w:val="20"/>
                <w:szCs w:val="20"/>
              </w:rPr>
              <w:t xml:space="preserve">Are the activities and outputs of the two components consistent with the </w:t>
            </w:r>
            <w:proofErr w:type="gramStart"/>
            <w:r w:rsidRPr="00E97FF8">
              <w:rPr>
                <w:rFonts w:ascii="Arial" w:hAnsi="Arial" w:cs="Arial"/>
                <w:bCs/>
                <w:sz w:val="20"/>
                <w:szCs w:val="20"/>
              </w:rPr>
              <w:t>AADP’s  expected</w:t>
            </w:r>
            <w:proofErr w:type="gramEnd"/>
            <w:r w:rsidRPr="00E97FF8">
              <w:rPr>
                <w:rFonts w:ascii="Arial" w:hAnsi="Arial" w:cs="Arial"/>
                <w:bCs/>
                <w:sz w:val="20"/>
                <w:szCs w:val="20"/>
              </w:rPr>
              <w:t xml:space="preserve"> outcomes, goal and objective?</w:t>
            </w:r>
          </w:p>
          <w:p w14:paraId="3D095DCD" w14:textId="77777777" w:rsidR="00F76705" w:rsidRPr="00E97FF8" w:rsidRDefault="00F76705" w:rsidP="00F76705">
            <w:pPr>
              <w:pStyle w:val="ListParagraph"/>
              <w:numPr>
                <w:ilvl w:val="0"/>
                <w:numId w:val="87"/>
              </w:numPr>
              <w:spacing w:after="0" w:line="240" w:lineRule="auto"/>
              <w:jc w:val="both"/>
              <w:rPr>
                <w:rFonts w:ascii="Arial" w:hAnsi="Arial" w:cs="Arial"/>
                <w:bCs/>
                <w:sz w:val="20"/>
                <w:szCs w:val="20"/>
              </w:rPr>
            </w:pPr>
            <w:r w:rsidRPr="00E97FF8">
              <w:rPr>
                <w:rFonts w:ascii="Arial" w:hAnsi="Arial" w:cs="Arial"/>
                <w:bCs/>
                <w:sz w:val="20"/>
                <w:szCs w:val="20"/>
              </w:rPr>
              <w:t>Were the objectives/outputs realistic, especially taking into account the duration of the programme?</w:t>
            </w:r>
          </w:p>
          <w:p w14:paraId="2B60535F" w14:textId="77777777" w:rsidR="00F76705" w:rsidRPr="00E97FF8" w:rsidRDefault="00F76705" w:rsidP="00F76705">
            <w:pPr>
              <w:pStyle w:val="ListParagraph"/>
              <w:numPr>
                <w:ilvl w:val="0"/>
                <w:numId w:val="87"/>
              </w:numPr>
              <w:spacing w:after="0" w:line="240" w:lineRule="auto"/>
              <w:jc w:val="both"/>
              <w:rPr>
                <w:rFonts w:ascii="Arial" w:hAnsi="Arial" w:cs="Arial"/>
                <w:bCs/>
                <w:sz w:val="20"/>
                <w:szCs w:val="20"/>
              </w:rPr>
            </w:pPr>
            <w:r w:rsidRPr="00E97FF8">
              <w:rPr>
                <w:rFonts w:ascii="Arial" w:hAnsi="Arial" w:cs="Arial"/>
                <w:bCs/>
                <w:sz w:val="20"/>
                <w:szCs w:val="20"/>
              </w:rPr>
              <w:t>Was the implementation arrangement appropriate and adequate, given the complexity of the programme?</w:t>
            </w:r>
          </w:p>
          <w:p w14:paraId="296B2B72" w14:textId="77777777" w:rsidR="00F76705" w:rsidRPr="00E97FF8" w:rsidRDefault="00F76705" w:rsidP="00F76705">
            <w:pPr>
              <w:pStyle w:val="ListParagraph"/>
              <w:numPr>
                <w:ilvl w:val="0"/>
                <w:numId w:val="87"/>
              </w:numPr>
              <w:spacing w:after="0" w:line="240" w:lineRule="auto"/>
              <w:jc w:val="both"/>
              <w:rPr>
                <w:rFonts w:ascii="Arial" w:hAnsi="Arial" w:cs="Arial"/>
                <w:bCs/>
                <w:sz w:val="20"/>
                <w:szCs w:val="20"/>
              </w:rPr>
            </w:pPr>
            <w:r w:rsidRPr="00E97FF8">
              <w:rPr>
                <w:rFonts w:ascii="Arial" w:hAnsi="Arial" w:cs="Arial"/>
                <w:bCs/>
                <w:sz w:val="20"/>
                <w:szCs w:val="20"/>
              </w:rPr>
              <w:t xml:space="preserve">Is the focus of the AADP </w:t>
            </w:r>
            <w:proofErr w:type="spellStart"/>
            <w:r w:rsidRPr="00E97FF8">
              <w:rPr>
                <w:rFonts w:ascii="Arial" w:hAnsi="Arial" w:cs="Arial"/>
                <w:bCs/>
                <w:sz w:val="20"/>
                <w:szCs w:val="20"/>
              </w:rPr>
              <w:t>sill</w:t>
            </w:r>
            <w:proofErr w:type="spellEnd"/>
            <w:r w:rsidRPr="00E97FF8">
              <w:rPr>
                <w:rFonts w:ascii="Arial" w:hAnsi="Arial" w:cs="Arial"/>
                <w:bCs/>
                <w:sz w:val="20"/>
                <w:szCs w:val="20"/>
              </w:rPr>
              <w:t xml:space="preserve"> relevant in terms of:</w:t>
            </w:r>
          </w:p>
          <w:p w14:paraId="0F6E7648" w14:textId="77777777" w:rsidR="00F76705" w:rsidRPr="00E97FF8" w:rsidRDefault="00F76705" w:rsidP="00F76705">
            <w:pPr>
              <w:numPr>
                <w:ilvl w:val="1"/>
                <w:numId w:val="87"/>
              </w:numPr>
              <w:tabs>
                <w:tab w:val="clear" w:pos="1440"/>
                <w:tab w:val="num" w:pos="600"/>
              </w:tabs>
              <w:spacing w:before="100" w:beforeAutospacing="1" w:after="100" w:afterAutospacing="1"/>
              <w:ind w:left="600" w:hanging="283"/>
              <w:rPr>
                <w:szCs w:val="20"/>
              </w:rPr>
            </w:pPr>
            <w:r w:rsidRPr="00E97FF8">
              <w:rPr>
                <w:szCs w:val="20"/>
              </w:rPr>
              <w:t>Sector and geographic coverage?</w:t>
            </w:r>
          </w:p>
          <w:p w14:paraId="1BBC4EAC" w14:textId="77777777" w:rsidR="00F76705" w:rsidRPr="00E97FF8" w:rsidRDefault="00F76705" w:rsidP="00F76705">
            <w:pPr>
              <w:numPr>
                <w:ilvl w:val="1"/>
                <w:numId w:val="87"/>
              </w:numPr>
              <w:tabs>
                <w:tab w:val="clear" w:pos="1440"/>
                <w:tab w:val="num" w:pos="600"/>
              </w:tabs>
              <w:spacing w:before="0"/>
              <w:ind w:left="600" w:hanging="283"/>
              <w:rPr>
                <w:szCs w:val="20"/>
              </w:rPr>
            </w:pPr>
            <w:r w:rsidRPr="00E97FF8">
              <w:rPr>
                <w:szCs w:val="20"/>
              </w:rPr>
              <w:t>The scale and focus of funding?</w:t>
            </w:r>
          </w:p>
        </w:tc>
      </w:tr>
      <w:tr w:rsidR="00F76705" w14:paraId="269FA7C8" w14:textId="77777777" w:rsidTr="001E73EF">
        <w:trPr>
          <w:cantSplit/>
        </w:trPr>
        <w:tc>
          <w:tcPr>
            <w:tcW w:w="1526" w:type="dxa"/>
            <w:shd w:val="clear" w:color="auto" w:fill="auto"/>
          </w:tcPr>
          <w:p w14:paraId="2EA789FC" w14:textId="77777777" w:rsidR="00F76705" w:rsidRDefault="00F76705" w:rsidP="001E73EF">
            <w:pPr>
              <w:spacing w:before="0"/>
              <w:rPr>
                <w:rFonts w:cs="Arial"/>
                <w:b/>
                <w:bCs/>
                <w:szCs w:val="20"/>
              </w:rPr>
            </w:pPr>
            <w:r>
              <w:rPr>
                <w:rFonts w:cs="Arial"/>
                <w:b/>
                <w:bCs/>
                <w:szCs w:val="20"/>
              </w:rPr>
              <w:t>Effectiveness</w:t>
            </w:r>
          </w:p>
        </w:tc>
        <w:tc>
          <w:tcPr>
            <w:tcW w:w="8328" w:type="dxa"/>
            <w:shd w:val="clear" w:color="auto" w:fill="auto"/>
          </w:tcPr>
          <w:p w14:paraId="6C6562AF" w14:textId="77777777" w:rsidR="00F76705" w:rsidRPr="00E97FF8" w:rsidRDefault="00F76705" w:rsidP="00F76705">
            <w:pPr>
              <w:numPr>
                <w:ilvl w:val="0"/>
                <w:numId w:val="87"/>
              </w:numPr>
              <w:spacing w:before="100" w:beforeAutospacing="1" w:after="100" w:afterAutospacing="1"/>
              <w:rPr>
                <w:szCs w:val="20"/>
              </w:rPr>
            </w:pPr>
            <w:r w:rsidRPr="00E97FF8">
              <w:rPr>
                <w:szCs w:val="20"/>
              </w:rPr>
              <w:t>To what degree were the AADP’s outcomes achieved, or are anticipated to be achieved?</w:t>
            </w:r>
          </w:p>
          <w:p w14:paraId="0887C120" w14:textId="77777777" w:rsidR="00F76705" w:rsidRPr="00E97FF8" w:rsidRDefault="00F76705" w:rsidP="00F76705">
            <w:pPr>
              <w:numPr>
                <w:ilvl w:val="0"/>
                <w:numId w:val="87"/>
              </w:numPr>
              <w:spacing w:before="100" w:beforeAutospacing="1" w:after="100" w:afterAutospacing="1"/>
              <w:rPr>
                <w:szCs w:val="20"/>
              </w:rPr>
            </w:pPr>
            <w:r w:rsidRPr="00E97FF8">
              <w:rPr>
                <w:szCs w:val="20"/>
              </w:rPr>
              <w:t>What chief factors were responsible for the achievement or failure of the outcomes?</w:t>
            </w:r>
          </w:p>
          <w:p w14:paraId="5B088B51" w14:textId="77777777" w:rsidR="00F76705" w:rsidRPr="00E97FF8" w:rsidRDefault="00F76705" w:rsidP="00F76705">
            <w:pPr>
              <w:numPr>
                <w:ilvl w:val="0"/>
                <w:numId w:val="87"/>
              </w:numPr>
              <w:spacing w:before="100" w:beforeAutospacing="1" w:after="100" w:afterAutospacing="1"/>
              <w:rPr>
                <w:szCs w:val="20"/>
              </w:rPr>
            </w:pPr>
            <w:r w:rsidRPr="00E97FF8">
              <w:rPr>
                <w:szCs w:val="20"/>
              </w:rPr>
              <w:t>How effective has the AADP been in engaging with the private sector to participate in its activities?</w:t>
            </w:r>
          </w:p>
          <w:p w14:paraId="71D58015" w14:textId="77777777" w:rsidR="00F76705" w:rsidRPr="00E97FF8" w:rsidRDefault="00F76705" w:rsidP="00F76705">
            <w:pPr>
              <w:numPr>
                <w:ilvl w:val="0"/>
                <w:numId w:val="87"/>
              </w:numPr>
              <w:spacing w:before="100" w:beforeAutospacing="1"/>
              <w:rPr>
                <w:szCs w:val="20"/>
              </w:rPr>
            </w:pPr>
            <w:r w:rsidRPr="00E97FF8">
              <w:rPr>
                <w:szCs w:val="20"/>
              </w:rPr>
              <w:t>How effective has the AADP been in building relationships between Australia and Africa?</w:t>
            </w:r>
          </w:p>
        </w:tc>
      </w:tr>
      <w:tr w:rsidR="00F76705" w14:paraId="17181494" w14:textId="77777777" w:rsidTr="001E73EF">
        <w:trPr>
          <w:cantSplit/>
        </w:trPr>
        <w:tc>
          <w:tcPr>
            <w:tcW w:w="1526" w:type="dxa"/>
            <w:shd w:val="clear" w:color="auto" w:fill="auto"/>
          </w:tcPr>
          <w:p w14:paraId="55F46AC3" w14:textId="77777777" w:rsidR="00F76705" w:rsidRDefault="00F76705" w:rsidP="001E73EF">
            <w:pPr>
              <w:spacing w:before="0"/>
              <w:rPr>
                <w:rFonts w:cs="Arial"/>
                <w:b/>
                <w:bCs/>
                <w:szCs w:val="20"/>
              </w:rPr>
            </w:pPr>
            <w:r>
              <w:rPr>
                <w:rFonts w:cs="Arial"/>
                <w:b/>
                <w:bCs/>
                <w:szCs w:val="20"/>
              </w:rPr>
              <w:t>Efficiency</w:t>
            </w:r>
          </w:p>
        </w:tc>
        <w:tc>
          <w:tcPr>
            <w:tcW w:w="8328" w:type="dxa"/>
            <w:shd w:val="clear" w:color="auto" w:fill="auto"/>
          </w:tcPr>
          <w:p w14:paraId="1CB0A324" w14:textId="77777777" w:rsidR="00F76705" w:rsidRPr="00E97FF8" w:rsidRDefault="00F76705" w:rsidP="00F76705">
            <w:pPr>
              <w:numPr>
                <w:ilvl w:val="0"/>
                <w:numId w:val="87"/>
              </w:numPr>
              <w:spacing w:before="100" w:beforeAutospacing="1" w:after="100" w:afterAutospacing="1"/>
              <w:rPr>
                <w:szCs w:val="20"/>
              </w:rPr>
            </w:pPr>
            <w:r w:rsidRPr="00E97FF8">
              <w:rPr>
                <w:szCs w:val="20"/>
              </w:rPr>
              <w:t>How cost-efficient were the AADP activities?</w:t>
            </w:r>
          </w:p>
          <w:p w14:paraId="3F6F6FEC" w14:textId="77777777" w:rsidR="00F76705" w:rsidRPr="00E97FF8" w:rsidRDefault="00F76705" w:rsidP="00F76705">
            <w:pPr>
              <w:numPr>
                <w:ilvl w:val="0"/>
                <w:numId w:val="87"/>
              </w:numPr>
              <w:spacing w:before="100" w:beforeAutospacing="1" w:after="100" w:afterAutospacing="1"/>
              <w:rPr>
                <w:szCs w:val="20"/>
              </w:rPr>
            </w:pPr>
            <w:r w:rsidRPr="00E97FF8">
              <w:rPr>
                <w:szCs w:val="20"/>
              </w:rPr>
              <w:t>Were outputs in the two components achieved within budget?</w:t>
            </w:r>
          </w:p>
          <w:p w14:paraId="31259464" w14:textId="77777777" w:rsidR="00F76705" w:rsidRPr="00E97FF8" w:rsidRDefault="00F76705" w:rsidP="00F76705">
            <w:pPr>
              <w:numPr>
                <w:ilvl w:val="0"/>
                <w:numId w:val="87"/>
              </w:numPr>
              <w:spacing w:before="100" w:beforeAutospacing="1" w:after="100" w:afterAutospacing="1"/>
              <w:rPr>
                <w:szCs w:val="20"/>
              </w:rPr>
            </w:pPr>
            <w:r w:rsidRPr="00E97FF8">
              <w:rPr>
                <w:szCs w:val="20"/>
              </w:rPr>
              <w:t>Has engagement of the private sector in activities supported by the AADP made the activities more efficient?</w:t>
            </w:r>
          </w:p>
          <w:p w14:paraId="09BA8A23" w14:textId="77777777" w:rsidR="00F76705" w:rsidRPr="00E97FF8" w:rsidRDefault="00F76705" w:rsidP="00F76705">
            <w:pPr>
              <w:numPr>
                <w:ilvl w:val="0"/>
                <w:numId w:val="87"/>
              </w:numPr>
              <w:spacing w:before="100" w:beforeAutospacing="1" w:after="100" w:afterAutospacing="1"/>
              <w:rPr>
                <w:szCs w:val="20"/>
              </w:rPr>
            </w:pPr>
            <w:r w:rsidRPr="00E97FF8">
              <w:rPr>
                <w:szCs w:val="20"/>
              </w:rPr>
              <w:t xml:space="preserve">Is the AADP using inputs of aid program funds, staff and other resources in the most efficient manner to achieve the desired results?  </w:t>
            </w:r>
          </w:p>
          <w:p w14:paraId="545210F8" w14:textId="77777777" w:rsidR="00F76705" w:rsidRPr="00E97FF8" w:rsidRDefault="00F76705" w:rsidP="00F76705">
            <w:pPr>
              <w:numPr>
                <w:ilvl w:val="0"/>
                <w:numId w:val="87"/>
              </w:numPr>
              <w:spacing w:before="100" w:beforeAutospacing="1" w:after="100" w:afterAutospacing="1"/>
              <w:rPr>
                <w:szCs w:val="20"/>
              </w:rPr>
            </w:pPr>
            <w:r w:rsidRPr="00E97FF8">
              <w:rPr>
                <w:szCs w:val="20"/>
              </w:rPr>
              <w:t>Is the AADP achieving efficiencies in terms of:</w:t>
            </w:r>
          </w:p>
          <w:p w14:paraId="6B61D308" w14:textId="77777777" w:rsidR="00F76705" w:rsidRPr="00E97FF8" w:rsidRDefault="00F76705" w:rsidP="00F76705">
            <w:pPr>
              <w:numPr>
                <w:ilvl w:val="1"/>
                <w:numId w:val="87"/>
              </w:numPr>
              <w:tabs>
                <w:tab w:val="clear" w:pos="1440"/>
                <w:tab w:val="num" w:pos="600"/>
              </w:tabs>
              <w:spacing w:before="100" w:beforeAutospacing="1" w:after="100" w:afterAutospacing="1"/>
              <w:ind w:left="742" w:hanging="425"/>
              <w:rPr>
                <w:szCs w:val="20"/>
              </w:rPr>
            </w:pPr>
            <w:r w:rsidRPr="00E97FF8">
              <w:rPr>
                <w:szCs w:val="20"/>
              </w:rPr>
              <w:t>Managing the programme centrally from within DFAT in Canberra?</w:t>
            </w:r>
          </w:p>
          <w:p w14:paraId="22E9CB0D" w14:textId="77777777" w:rsidR="00F76705" w:rsidRPr="00E97FF8" w:rsidRDefault="00F76705" w:rsidP="00F76705">
            <w:pPr>
              <w:numPr>
                <w:ilvl w:val="1"/>
                <w:numId w:val="87"/>
              </w:numPr>
              <w:tabs>
                <w:tab w:val="clear" w:pos="1440"/>
                <w:tab w:val="num" w:pos="600"/>
              </w:tabs>
              <w:spacing w:before="100" w:beforeAutospacing="1" w:after="100" w:afterAutospacing="1"/>
              <w:ind w:left="742" w:hanging="425"/>
              <w:rPr>
                <w:szCs w:val="20"/>
              </w:rPr>
            </w:pPr>
            <w:r w:rsidRPr="00E97FF8">
              <w:rPr>
                <w:szCs w:val="20"/>
              </w:rPr>
              <w:t>Using a single Managing Contractor?</w:t>
            </w:r>
          </w:p>
          <w:p w14:paraId="7E1F6FFC" w14:textId="77777777" w:rsidR="00F76705" w:rsidRPr="00B856A7" w:rsidRDefault="00F76705" w:rsidP="00F76705">
            <w:pPr>
              <w:numPr>
                <w:ilvl w:val="1"/>
                <w:numId w:val="87"/>
              </w:numPr>
              <w:tabs>
                <w:tab w:val="clear" w:pos="1440"/>
                <w:tab w:val="num" w:pos="600"/>
              </w:tabs>
              <w:spacing w:before="100" w:beforeAutospacing="1"/>
              <w:ind w:left="742" w:hanging="425"/>
              <w:rPr>
                <w:szCs w:val="20"/>
              </w:rPr>
            </w:pPr>
            <w:r w:rsidRPr="00E97FF8">
              <w:rPr>
                <w:szCs w:val="20"/>
              </w:rPr>
              <w:t>The management of individual initiatives</w:t>
            </w:r>
          </w:p>
        </w:tc>
      </w:tr>
      <w:tr w:rsidR="00F76705" w14:paraId="2A865C3B" w14:textId="77777777" w:rsidTr="001E73EF">
        <w:trPr>
          <w:cantSplit/>
        </w:trPr>
        <w:tc>
          <w:tcPr>
            <w:tcW w:w="1526" w:type="dxa"/>
            <w:shd w:val="clear" w:color="auto" w:fill="auto"/>
          </w:tcPr>
          <w:p w14:paraId="11DA3953" w14:textId="77777777" w:rsidR="00F76705" w:rsidRDefault="00F76705" w:rsidP="001E73EF">
            <w:pPr>
              <w:spacing w:before="0"/>
              <w:rPr>
                <w:rFonts w:cs="Arial"/>
                <w:b/>
                <w:bCs/>
                <w:szCs w:val="20"/>
              </w:rPr>
            </w:pPr>
            <w:r>
              <w:rPr>
                <w:rFonts w:cs="Arial"/>
                <w:b/>
                <w:bCs/>
                <w:szCs w:val="20"/>
              </w:rPr>
              <w:t>Impact</w:t>
            </w:r>
          </w:p>
        </w:tc>
        <w:tc>
          <w:tcPr>
            <w:tcW w:w="8328" w:type="dxa"/>
            <w:shd w:val="clear" w:color="auto" w:fill="auto"/>
          </w:tcPr>
          <w:p w14:paraId="7BD5EA88" w14:textId="77777777" w:rsidR="00F76705" w:rsidRPr="00E97FF8" w:rsidRDefault="00F76705" w:rsidP="00F76705">
            <w:pPr>
              <w:numPr>
                <w:ilvl w:val="0"/>
                <w:numId w:val="87"/>
              </w:numPr>
              <w:spacing w:before="100" w:beforeAutospacing="1" w:after="100" w:afterAutospacing="1"/>
              <w:rPr>
                <w:szCs w:val="20"/>
              </w:rPr>
            </w:pPr>
            <w:r w:rsidRPr="00E97FF8">
              <w:rPr>
                <w:szCs w:val="20"/>
              </w:rPr>
              <w:t>To what extent has the AADP contributed to sustainable and inclusive economic growth?</w:t>
            </w:r>
          </w:p>
          <w:p w14:paraId="58936B40" w14:textId="77777777" w:rsidR="00F76705" w:rsidRPr="00B856A7" w:rsidRDefault="00F76705" w:rsidP="00F76705">
            <w:pPr>
              <w:numPr>
                <w:ilvl w:val="0"/>
                <w:numId w:val="87"/>
              </w:numPr>
              <w:spacing w:before="100" w:beforeAutospacing="1"/>
              <w:rPr>
                <w:szCs w:val="20"/>
              </w:rPr>
            </w:pPr>
            <w:r w:rsidRPr="00E97FF8">
              <w:rPr>
                <w:szCs w:val="20"/>
              </w:rPr>
              <w:t>What real difference was made to the targeted beneficiaries/participants/alumni as a result of the AADP?</w:t>
            </w:r>
          </w:p>
        </w:tc>
      </w:tr>
      <w:tr w:rsidR="00F76705" w14:paraId="4A601C1F" w14:textId="77777777" w:rsidTr="001E73EF">
        <w:trPr>
          <w:cantSplit/>
        </w:trPr>
        <w:tc>
          <w:tcPr>
            <w:tcW w:w="1526" w:type="dxa"/>
            <w:shd w:val="clear" w:color="auto" w:fill="auto"/>
          </w:tcPr>
          <w:p w14:paraId="7F8CFF13" w14:textId="77777777" w:rsidR="00F76705" w:rsidRDefault="00F76705" w:rsidP="001E73EF">
            <w:pPr>
              <w:spacing w:before="0"/>
              <w:rPr>
                <w:rFonts w:cs="Arial"/>
                <w:b/>
                <w:bCs/>
                <w:szCs w:val="20"/>
              </w:rPr>
            </w:pPr>
            <w:r>
              <w:rPr>
                <w:rFonts w:cs="Arial"/>
                <w:b/>
                <w:bCs/>
                <w:szCs w:val="20"/>
              </w:rPr>
              <w:t>Sustainability</w:t>
            </w:r>
          </w:p>
        </w:tc>
        <w:tc>
          <w:tcPr>
            <w:tcW w:w="8328" w:type="dxa"/>
            <w:shd w:val="clear" w:color="auto" w:fill="auto"/>
          </w:tcPr>
          <w:p w14:paraId="5F226C38" w14:textId="77777777" w:rsidR="00F76705" w:rsidRPr="00E97FF8" w:rsidRDefault="00F76705" w:rsidP="00F76705">
            <w:pPr>
              <w:numPr>
                <w:ilvl w:val="0"/>
                <w:numId w:val="87"/>
              </w:numPr>
              <w:spacing w:before="100" w:beforeAutospacing="1" w:after="100" w:afterAutospacing="1"/>
              <w:rPr>
                <w:szCs w:val="20"/>
              </w:rPr>
            </w:pPr>
            <w:r w:rsidRPr="00E97FF8">
              <w:rPr>
                <w:szCs w:val="20"/>
              </w:rPr>
              <w:t>To what degree will the public, private and community capacities for economic growth be sustained after the investment by the Australian Government ends?</w:t>
            </w:r>
          </w:p>
          <w:p w14:paraId="469E84F9" w14:textId="77777777" w:rsidR="00F76705" w:rsidRPr="00B856A7" w:rsidRDefault="00F76705" w:rsidP="00F76705">
            <w:pPr>
              <w:numPr>
                <w:ilvl w:val="0"/>
                <w:numId w:val="87"/>
              </w:numPr>
              <w:spacing w:before="100" w:beforeAutospacing="1"/>
              <w:rPr>
                <w:szCs w:val="20"/>
              </w:rPr>
            </w:pPr>
            <w:r w:rsidRPr="00E97FF8">
              <w:rPr>
                <w:szCs w:val="20"/>
              </w:rPr>
              <w:t>What chief factors were responsible for the achievement or failure of the AADP’s overall sustainability?</w:t>
            </w:r>
          </w:p>
        </w:tc>
      </w:tr>
    </w:tbl>
    <w:p w14:paraId="6423BF08" w14:textId="77777777" w:rsidR="00F76705" w:rsidRDefault="00F76705" w:rsidP="00F76705">
      <w:pPr>
        <w:spacing w:before="0"/>
        <w:rPr>
          <w:b/>
        </w:rPr>
      </w:pPr>
    </w:p>
    <w:p w14:paraId="4A6473B7" w14:textId="77777777" w:rsidR="00F76705" w:rsidRDefault="00F76705" w:rsidP="00F76705">
      <w:pPr>
        <w:spacing w:before="0"/>
        <w:rPr>
          <w:b/>
        </w:rPr>
      </w:pPr>
    </w:p>
    <w:p w14:paraId="0AB81D35" w14:textId="77777777" w:rsidR="00F76705" w:rsidRDefault="00F76705" w:rsidP="00F76705"/>
    <w:p w14:paraId="7EAA3D13" w14:textId="77777777" w:rsidR="00F76705" w:rsidRDefault="00F76705" w:rsidP="00460FD7">
      <w:pPr>
        <w:pStyle w:val="annexheading"/>
        <w:tabs>
          <w:tab w:val="left" w:pos="1701"/>
        </w:tabs>
        <w:rPr>
          <w:rFonts w:eastAsia="Calibri" w:cs="MyriadPro-BoldCondIt"/>
          <w:bCs/>
          <w:iCs/>
          <w:sz w:val="18"/>
          <w:szCs w:val="18"/>
        </w:rPr>
        <w:sectPr w:rsidR="00F76705" w:rsidSect="00F76705">
          <w:pgSz w:w="11906" w:h="16838"/>
          <w:pgMar w:top="1418" w:right="1418" w:bottom="1418" w:left="1418" w:header="568" w:footer="430" w:gutter="0"/>
          <w:cols w:space="708"/>
          <w:docGrid w:linePitch="360"/>
        </w:sectPr>
      </w:pPr>
    </w:p>
    <w:p w14:paraId="52D63B1A" w14:textId="384FD511" w:rsidR="00F90862" w:rsidRPr="004A17FE" w:rsidRDefault="00EA595F" w:rsidP="00460FD7">
      <w:pPr>
        <w:pStyle w:val="annexheading"/>
        <w:tabs>
          <w:tab w:val="left" w:pos="1701"/>
        </w:tabs>
      </w:pPr>
      <w:r w:rsidRPr="00354F01">
        <w:rPr>
          <w:rFonts w:eastAsia="Calibri" w:cs="MyriadPro-BoldCondIt"/>
          <w:bCs/>
          <w:iCs/>
          <w:sz w:val="18"/>
          <w:szCs w:val="18"/>
        </w:rPr>
        <w:t xml:space="preserve"> </w:t>
      </w:r>
      <w:bookmarkStart w:id="75" w:name="_Toc387590511"/>
      <w:bookmarkStart w:id="76" w:name="_Toc399104638"/>
      <w:bookmarkStart w:id="77" w:name="_Toc401578438"/>
      <w:r w:rsidR="0008122F" w:rsidRPr="004A17FE">
        <w:t xml:space="preserve">Annex </w:t>
      </w:r>
      <w:r w:rsidR="00880C45">
        <w:t>G</w:t>
      </w:r>
      <w:r w:rsidR="00460FD7">
        <w:t>:</w:t>
      </w:r>
      <w:r w:rsidR="007D3192">
        <w:t xml:space="preserve"> </w:t>
      </w:r>
      <w:r w:rsidR="008E313F">
        <w:t>E4G Component</w:t>
      </w:r>
      <w:r w:rsidR="00F90862" w:rsidRPr="004A17FE">
        <w:t xml:space="preserve"> Risk </w:t>
      </w:r>
      <w:r w:rsidR="00271ECA">
        <w:t>Matrix</w:t>
      </w:r>
      <w:bookmarkEnd w:id="75"/>
      <w:bookmarkEnd w:id="76"/>
      <w:bookmarkEnd w:id="77"/>
      <w:r w:rsidR="00F90862" w:rsidRPr="004A17FE">
        <w:t xml:space="preserve"> </w:t>
      </w:r>
    </w:p>
    <w:p w14:paraId="7FA63B2B" w14:textId="77777777" w:rsidR="0075480D" w:rsidRDefault="0075480D" w:rsidP="00ED1244">
      <w:pPr>
        <w:pStyle w:val="BodyText"/>
      </w:pPr>
      <w:r>
        <w:t xml:space="preserve">The risk matrix below sets out the key risks </w:t>
      </w:r>
      <w:r w:rsidR="00761115">
        <w:t xml:space="preserve">for the E4G </w:t>
      </w:r>
      <w:r w:rsidR="00463733">
        <w:t>Component</w:t>
      </w:r>
      <w:r>
        <w:t>.</w:t>
      </w:r>
      <w:r w:rsidR="005B3032">
        <w:t xml:space="preserve"> </w:t>
      </w:r>
      <w:r w:rsidR="00761115">
        <w:t>A separate risk matrix setting out risks at the Program level is included in the overarching AADP IDD.</w:t>
      </w:r>
      <w:r w:rsidR="005B3032">
        <w:t xml:space="preserve"> </w:t>
      </w:r>
      <w:r w:rsidR="00761115">
        <w:t xml:space="preserve">The Australia Awards IDD also includes a risk matrix specific to its </w:t>
      </w:r>
      <w:r w:rsidR="00463733">
        <w:t>requirements</w:t>
      </w:r>
      <w:r w:rsidR="00761115">
        <w:t>.</w:t>
      </w:r>
      <w:r w:rsidR="005B3032">
        <w:t xml:space="preserve"> </w:t>
      </w:r>
      <w:r w:rsidR="00F9223E">
        <w:t xml:space="preserve">The MC will be required to analyse risks and </w:t>
      </w:r>
      <w:r w:rsidR="00761115">
        <w:t xml:space="preserve">refine this </w:t>
      </w:r>
      <w:r w:rsidR="00F9223E">
        <w:t xml:space="preserve">risk matrix for the </w:t>
      </w:r>
      <w:r w:rsidR="00007A8D">
        <w:t>E4G Component during the first three</w:t>
      </w:r>
      <w:r w:rsidR="00F9223E">
        <w:t xml:space="preserve"> months of combined implementation.</w:t>
      </w:r>
    </w:p>
    <w:p w14:paraId="2738E1F3" w14:textId="77777777" w:rsidR="009C7197" w:rsidRDefault="00127915" w:rsidP="00ED1244">
      <w:pPr>
        <w:pStyle w:val="BodyText"/>
      </w:pPr>
      <w:r>
        <w:t>Key risks and mitigation measures for the AADP are described in the table below.</w:t>
      </w:r>
    </w:p>
    <w:p w14:paraId="4C40EE89" w14:textId="77777777" w:rsidR="003573BE" w:rsidRPr="004A17FE" w:rsidRDefault="003573BE" w:rsidP="00E71325">
      <w:pPr>
        <w:pStyle w:val="annexsubheading"/>
      </w:pPr>
      <w:r w:rsidRPr="004A17FE">
        <w:t>Key:</w:t>
      </w:r>
    </w:p>
    <w:p w14:paraId="720BCDA4" w14:textId="77777777" w:rsidR="003573BE" w:rsidRPr="004A17FE" w:rsidRDefault="003573BE" w:rsidP="00ED1244">
      <w:pPr>
        <w:pStyle w:val="BodyText"/>
        <w:spacing w:after="0"/>
      </w:pPr>
      <w:r w:rsidRPr="004A17FE">
        <w:rPr>
          <w:b/>
        </w:rPr>
        <w:t>P</w:t>
      </w:r>
      <w:r w:rsidRPr="004A17FE">
        <w:t xml:space="preserve"> = Level of probabi</w:t>
      </w:r>
      <w:r w:rsidR="0075480D">
        <w:t>lity of risk eventuating (1 = Ra</w:t>
      </w:r>
      <w:r w:rsidRPr="004A17FE">
        <w:t xml:space="preserve">re, 2 = Unlikely, 3 = Possible, 4 = Likely, 5 = Almost certain) </w:t>
      </w:r>
    </w:p>
    <w:p w14:paraId="49DCFE8B" w14:textId="77777777" w:rsidR="003573BE" w:rsidRPr="004A17FE" w:rsidRDefault="003573BE" w:rsidP="00ED1244">
      <w:pPr>
        <w:pStyle w:val="BodyText"/>
        <w:spacing w:after="0"/>
      </w:pPr>
      <w:r w:rsidRPr="004A17FE">
        <w:rPr>
          <w:b/>
        </w:rPr>
        <w:t>I</w:t>
      </w:r>
      <w:r w:rsidRPr="004A17FE">
        <w:t xml:space="preserve"> = Impact if the risk eventuates (1 = Negligible, 2 = Minor, 3 = Moderate, 4 = High, 5 = Severe) </w:t>
      </w:r>
    </w:p>
    <w:p w14:paraId="3E1DFEFA" w14:textId="77777777" w:rsidR="003573BE" w:rsidRPr="004A17FE" w:rsidRDefault="003573BE" w:rsidP="00ED1244">
      <w:pPr>
        <w:pStyle w:val="BodyText"/>
        <w:spacing w:after="0"/>
      </w:pPr>
      <w:r w:rsidRPr="004A17FE">
        <w:rPr>
          <w:b/>
        </w:rPr>
        <w:t>R</w:t>
      </w:r>
      <w:r w:rsidRPr="004A17FE">
        <w:t xml:space="preserve"> = Risk rating – </w:t>
      </w:r>
      <w:r w:rsidR="003B2351">
        <w:t>product</w:t>
      </w:r>
      <w:r w:rsidRPr="004A17FE">
        <w:t xml:space="preserve"> of </w:t>
      </w:r>
      <w:r w:rsidRPr="004A17FE">
        <w:rPr>
          <w:b/>
        </w:rPr>
        <w:t>P</w:t>
      </w:r>
      <w:r w:rsidRPr="004A17FE">
        <w:t xml:space="preserve"> X </w:t>
      </w:r>
      <w:r w:rsidRPr="004A17FE">
        <w:rPr>
          <w:b/>
        </w:rPr>
        <w:t>I</w:t>
      </w:r>
      <w:r w:rsidRPr="004A17FE">
        <w:t xml:space="preserve"> (2 = Negligible: 6 = Minor: 11 = Moderate: 15 = High: 20 = Severe) </w:t>
      </w:r>
    </w:p>
    <w:p w14:paraId="1FCB868D" w14:textId="77777777" w:rsidR="00F90862" w:rsidRDefault="003573BE" w:rsidP="00ED1244">
      <w:pPr>
        <w:pStyle w:val="BodyText"/>
        <w:spacing w:after="240"/>
        <w:rPr>
          <w:b/>
        </w:rPr>
      </w:pPr>
      <w:r w:rsidRPr="004A17FE">
        <w:rPr>
          <w:b/>
        </w:rPr>
        <w:t>Entity</w:t>
      </w:r>
      <w:r w:rsidRPr="004A17FE">
        <w:t xml:space="preserve"> = Entity responsible for managing the risk </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28" w:type="dxa"/>
          <w:right w:w="57" w:type="dxa"/>
        </w:tblCellMar>
        <w:tblLook w:val="04A0" w:firstRow="1" w:lastRow="0" w:firstColumn="1" w:lastColumn="0" w:noHBand="0" w:noVBand="1"/>
      </w:tblPr>
      <w:tblGrid>
        <w:gridCol w:w="3671"/>
        <w:gridCol w:w="471"/>
        <w:gridCol w:w="361"/>
        <w:gridCol w:w="359"/>
        <w:gridCol w:w="2741"/>
        <w:gridCol w:w="1087"/>
        <w:gridCol w:w="4613"/>
        <w:gridCol w:w="813"/>
      </w:tblGrid>
      <w:tr w:rsidR="00ED1244" w:rsidRPr="000E2D9A" w14:paraId="14B1D330" w14:textId="77777777" w:rsidTr="007D3192">
        <w:trPr>
          <w:tblHeader/>
        </w:trPr>
        <w:tc>
          <w:tcPr>
            <w:tcW w:w="1300" w:type="pct"/>
            <w:shd w:val="clear" w:color="auto" w:fill="FFC000" w:themeFill="accent4"/>
            <w:vAlign w:val="center"/>
          </w:tcPr>
          <w:p w14:paraId="5DF59EDF" w14:textId="77777777" w:rsidR="0088384C" w:rsidRPr="000E2D9A" w:rsidRDefault="0088384C" w:rsidP="00ED1244">
            <w:pPr>
              <w:pStyle w:val="TableHeader"/>
              <w:jc w:val="center"/>
            </w:pPr>
            <w:r w:rsidRPr="000E2D9A">
              <w:t>Key Risks</w:t>
            </w:r>
          </w:p>
        </w:tc>
        <w:tc>
          <w:tcPr>
            <w:tcW w:w="167" w:type="pct"/>
            <w:shd w:val="clear" w:color="auto" w:fill="FFC000" w:themeFill="accent4"/>
            <w:vAlign w:val="center"/>
          </w:tcPr>
          <w:p w14:paraId="32DCAE13" w14:textId="77777777" w:rsidR="0088384C" w:rsidRPr="000E2D9A" w:rsidRDefault="0088384C" w:rsidP="00ED1244">
            <w:pPr>
              <w:pStyle w:val="TableHeader"/>
              <w:jc w:val="center"/>
            </w:pPr>
            <w:r w:rsidRPr="000E2D9A">
              <w:t>P</w:t>
            </w:r>
          </w:p>
        </w:tc>
        <w:tc>
          <w:tcPr>
            <w:tcW w:w="128" w:type="pct"/>
            <w:shd w:val="clear" w:color="auto" w:fill="FFC000" w:themeFill="accent4"/>
            <w:vAlign w:val="center"/>
          </w:tcPr>
          <w:p w14:paraId="570ED94E" w14:textId="77777777" w:rsidR="0088384C" w:rsidRPr="000E2D9A" w:rsidRDefault="0088384C" w:rsidP="00ED1244">
            <w:pPr>
              <w:pStyle w:val="TableHeader"/>
              <w:jc w:val="center"/>
            </w:pPr>
            <w:r w:rsidRPr="000E2D9A">
              <w:t>I</w:t>
            </w:r>
          </w:p>
        </w:tc>
        <w:tc>
          <w:tcPr>
            <w:tcW w:w="127" w:type="pct"/>
            <w:shd w:val="clear" w:color="auto" w:fill="FFC000" w:themeFill="accent4"/>
            <w:vAlign w:val="center"/>
          </w:tcPr>
          <w:p w14:paraId="6FB36D55" w14:textId="77777777" w:rsidR="0088384C" w:rsidRPr="000E2D9A" w:rsidRDefault="0088384C" w:rsidP="00ED1244">
            <w:pPr>
              <w:pStyle w:val="TableHeader"/>
              <w:jc w:val="center"/>
            </w:pPr>
            <w:r w:rsidRPr="000E2D9A">
              <w:t>R</w:t>
            </w:r>
          </w:p>
        </w:tc>
        <w:tc>
          <w:tcPr>
            <w:tcW w:w="971" w:type="pct"/>
            <w:shd w:val="clear" w:color="auto" w:fill="FFC000" w:themeFill="accent4"/>
            <w:vAlign w:val="center"/>
          </w:tcPr>
          <w:p w14:paraId="51765A94" w14:textId="77777777" w:rsidR="0088384C" w:rsidRPr="000E2D9A" w:rsidRDefault="0088384C" w:rsidP="00ED1244">
            <w:pPr>
              <w:pStyle w:val="TableHeader"/>
              <w:jc w:val="center"/>
            </w:pPr>
            <w:r w:rsidRPr="000E2D9A">
              <w:t>Impact</w:t>
            </w:r>
          </w:p>
        </w:tc>
        <w:tc>
          <w:tcPr>
            <w:tcW w:w="385" w:type="pct"/>
            <w:shd w:val="clear" w:color="auto" w:fill="FFC000" w:themeFill="accent4"/>
            <w:vAlign w:val="center"/>
          </w:tcPr>
          <w:p w14:paraId="447DAD9E" w14:textId="77777777" w:rsidR="0088384C" w:rsidRPr="000E2D9A" w:rsidRDefault="0088384C" w:rsidP="00ED1244">
            <w:pPr>
              <w:pStyle w:val="TableHeader"/>
              <w:jc w:val="center"/>
            </w:pPr>
            <w:r w:rsidRPr="000E2D9A">
              <w:t>Entity(s)</w:t>
            </w:r>
          </w:p>
        </w:tc>
        <w:tc>
          <w:tcPr>
            <w:tcW w:w="1634" w:type="pct"/>
            <w:shd w:val="clear" w:color="auto" w:fill="FFC000" w:themeFill="accent4"/>
            <w:vAlign w:val="center"/>
          </w:tcPr>
          <w:p w14:paraId="247A55AD" w14:textId="77777777" w:rsidR="0088384C" w:rsidRPr="000E2D9A" w:rsidRDefault="0088384C" w:rsidP="00ED1244">
            <w:pPr>
              <w:pStyle w:val="TableHeader"/>
              <w:jc w:val="center"/>
            </w:pPr>
            <w:r w:rsidRPr="000E2D9A">
              <w:t>Mitigation</w:t>
            </w:r>
          </w:p>
        </w:tc>
        <w:tc>
          <w:tcPr>
            <w:tcW w:w="288" w:type="pct"/>
            <w:shd w:val="clear" w:color="auto" w:fill="FFC000" w:themeFill="accent4"/>
            <w:vAlign w:val="center"/>
          </w:tcPr>
          <w:p w14:paraId="04358812" w14:textId="77777777" w:rsidR="0088384C" w:rsidRPr="000E2D9A" w:rsidRDefault="0088384C" w:rsidP="00ED1244">
            <w:pPr>
              <w:pStyle w:val="TableHeader"/>
              <w:jc w:val="center"/>
            </w:pPr>
            <w:r w:rsidRPr="000E2D9A">
              <w:t>Residual Rating</w:t>
            </w:r>
          </w:p>
        </w:tc>
      </w:tr>
      <w:tr w:rsidR="007E43F1" w:rsidRPr="000E2D9A" w14:paraId="5C7ECC78" w14:textId="77777777" w:rsidTr="007D3192">
        <w:tc>
          <w:tcPr>
            <w:tcW w:w="5000" w:type="pct"/>
            <w:gridSpan w:val="8"/>
            <w:shd w:val="clear" w:color="auto" w:fill="DEEAF6" w:themeFill="accent1" w:themeFillTint="33"/>
          </w:tcPr>
          <w:p w14:paraId="04FF9835" w14:textId="77777777" w:rsidR="007E43F1" w:rsidRPr="000E2D9A" w:rsidRDefault="007E43F1" w:rsidP="00ED1244">
            <w:pPr>
              <w:pStyle w:val="TableHeader"/>
            </w:pPr>
            <w:r w:rsidRPr="000E2D9A">
              <w:t>Operational Environment Risks</w:t>
            </w:r>
          </w:p>
        </w:tc>
      </w:tr>
      <w:tr w:rsidR="0088384C" w:rsidRPr="000E2D9A" w14:paraId="167CC57A" w14:textId="77777777" w:rsidTr="007D3192">
        <w:tc>
          <w:tcPr>
            <w:tcW w:w="1300" w:type="pct"/>
            <w:shd w:val="clear" w:color="auto" w:fill="auto"/>
          </w:tcPr>
          <w:p w14:paraId="0776FFAC" w14:textId="77777777" w:rsidR="0088384C" w:rsidRPr="000E2D9A" w:rsidRDefault="0088384C" w:rsidP="00ED1244">
            <w:pPr>
              <w:pStyle w:val="TableTEXT"/>
            </w:pPr>
            <w:r w:rsidRPr="000E2D9A">
              <w:t>Political, social, environmental instability in targeted</w:t>
            </w:r>
            <w:r w:rsidR="00CC4202" w:rsidRPr="000E2D9A">
              <w:t xml:space="preserve"> countries and</w:t>
            </w:r>
            <w:r w:rsidRPr="000E2D9A">
              <w:t xml:space="preserve"> especially three </w:t>
            </w:r>
            <w:r w:rsidR="00EC38FF">
              <w:t>Focus Countries</w:t>
            </w:r>
          </w:p>
        </w:tc>
        <w:tc>
          <w:tcPr>
            <w:tcW w:w="167" w:type="pct"/>
            <w:shd w:val="clear" w:color="auto" w:fill="auto"/>
          </w:tcPr>
          <w:p w14:paraId="7B3B286C" w14:textId="77777777" w:rsidR="0088384C" w:rsidRPr="000E2D9A" w:rsidRDefault="0088384C" w:rsidP="00ED1244">
            <w:pPr>
              <w:pStyle w:val="TableTEXT"/>
              <w:jc w:val="center"/>
            </w:pPr>
            <w:r w:rsidRPr="000E2D9A">
              <w:t>3</w:t>
            </w:r>
          </w:p>
        </w:tc>
        <w:tc>
          <w:tcPr>
            <w:tcW w:w="128" w:type="pct"/>
            <w:shd w:val="clear" w:color="auto" w:fill="auto"/>
          </w:tcPr>
          <w:p w14:paraId="278AA741" w14:textId="77777777" w:rsidR="0088384C" w:rsidRPr="000E2D9A" w:rsidRDefault="0088384C" w:rsidP="00ED1244">
            <w:pPr>
              <w:pStyle w:val="TableTEXT"/>
              <w:jc w:val="center"/>
            </w:pPr>
            <w:r w:rsidRPr="000E2D9A">
              <w:t>3</w:t>
            </w:r>
          </w:p>
        </w:tc>
        <w:tc>
          <w:tcPr>
            <w:tcW w:w="127" w:type="pct"/>
            <w:shd w:val="clear" w:color="auto" w:fill="auto"/>
          </w:tcPr>
          <w:p w14:paraId="0D3F315F" w14:textId="77777777" w:rsidR="0088384C" w:rsidRPr="000E2D9A" w:rsidRDefault="0088384C" w:rsidP="00ED1244">
            <w:pPr>
              <w:pStyle w:val="TableTEXT"/>
              <w:jc w:val="center"/>
            </w:pPr>
            <w:r w:rsidRPr="000E2D9A">
              <w:t>9</w:t>
            </w:r>
          </w:p>
        </w:tc>
        <w:tc>
          <w:tcPr>
            <w:tcW w:w="971" w:type="pct"/>
            <w:shd w:val="clear" w:color="auto" w:fill="auto"/>
          </w:tcPr>
          <w:p w14:paraId="4C55CB4C" w14:textId="77777777" w:rsidR="0088384C" w:rsidRPr="000E2D9A" w:rsidRDefault="00CC4202" w:rsidP="00ED1244">
            <w:pPr>
              <w:pStyle w:val="TableTEXT"/>
            </w:pPr>
            <w:r w:rsidRPr="000E2D9A">
              <w:t>Potential for civil and</w:t>
            </w:r>
            <w:r w:rsidR="001B7DCB">
              <w:t xml:space="preserve"> / </w:t>
            </w:r>
            <w:r w:rsidRPr="000E2D9A">
              <w:t>or political unrest in any of the focus or targeted countries, or in any country in which AADP activities take place is significant</w:t>
            </w:r>
            <w:r w:rsidR="00BB1B3C" w:rsidRPr="000E2D9A">
              <w:t xml:space="preserve"> and may affect the health and safety of </w:t>
            </w:r>
            <w:r w:rsidR="00F82AD6">
              <w:t>MC</w:t>
            </w:r>
            <w:r w:rsidR="00BB1B3C" w:rsidRPr="000E2D9A">
              <w:t xml:space="preserve"> and sub-contracted staff</w:t>
            </w:r>
            <w:r w:rsidRPr="000E2D9A">
              <w:t>.</w:t>
            </w:r>
            <w:r w:rsidR="009C7197">
              <w:t xml:space="preserve"> </w:t>
            </w:r>
            <w:r w:rsidRPr="000E2D9A">
              <w:t>There may be a need for heightened security measures and this may cause delay, postponement or cancellation of AADP activities in affected country.</w:t>
            </w:r>
          </w:p>
        </w:tc>
        <w:tc>
          <w:tcPr>
            <w:tcW w:w="385" w:type="pct"/>
            <w:shd w:val="clear" w:color="auto" w:fill="auto"/>
          </w:tcPr>
          <w:p w14:paraId="12650EE2" w14:textId="77777777" w:rsidR="0088384C" w:rsidRPr="000E2D9A" w:rsidRDefault="00F82AD6" w:rsidP="00ED1244">
            <w:pPr>
              <w:pStyle w:val="TableTEXT"/>
            </w:pPr>
            <w:r>
              <w:t>MC</w:t>
            </w:r>
          </w:p>
          <w:p w14:paraId="49F8B9A2" w14:textId="77777777" w:rsidR="0088384C" w:rsidRPr="000E2D9A" w:rsidRDefault="0088384C" w:rsidP="00ED1244">
            <w:pPr>
              <w:pStyle w:val="TableTEXT"/>
            </w:pPr>
            <w:r w:rsidRPr="000E2D9A">
              <w:t>DFAT</w:t>
            </w:r>
          </w:p>
        </w:tc>
        <w:tc>
          <w:tcPr>
            <w:tcW w:w="1634" w:type="pct"/>
            <w:shd w:val="clear" w:color="auto" w:fill="auto"/>
          </w:tcPr>
          <w:p w14:paraId="65F66B45" w14:textId="77777777" w:rsidR="0088384C" w:rsidRPr="000E2D9A" w:rsidRDefault="0088384C" w:rsidP="00ED1244">
            <w:pPr>
              <w:pStyle w:val="Table-list-bullet"/>
            </w:pPr>
            <w:r w:rsidRPr="000E2D9A">
              <w:t>Monitoring and early identification of risk to enable realignment of AADP program</w:t>
            </w:r>
            <w:r w:rsidR="00CC4202" w:rsidRPr="000E2D9A">
              <w:t>.</w:t>
            </w:r>
          </w:p>
          <w:p w14:paraId="397E13BA" w14:textId="77777777" w:rsidR="00CC4202" w:rsidRPr="000E2D9A" w:rsidRDefault="00CC4202" w:rsidP="00ED1244">
            <w:pPr>
              <w:pStyle w:val="Table-list-bullet"/>
              <w:rPr>
                <w:lang w:eastAsia="en-AU"/>
              </w:rPr>
            </w:pPr>
            <w:r w:rsidRPr="000E2D9A">
              <w:rPr>
                <w:lang w:eastAsia="en-AU"/>
              </w:rPr>
              <w:t xml:space="preserve">DFAT </w:t>
            </w:r>
            <w:r w:rsidRPr="00ED1244">
              <w:t>monitoring</w:t>
            </w:r>
            <w:r w:rsidRPr="000E2D9A">
              <w:rPr>
                <w:lang w:eastAsia="en-AU"/>
              </w:rPr>
              <w:t xml:space="preserve"> of security situations in Program Countries, especially during any election periods and, if necessary, increased security measures.</w:t>
            </w:r>
          </w:p>
          <w:p w14:paraId="34C7A25C" w14:textId="77777777" w:rsidR="00CC4202" w:rsidRPr="000E2D9A" w:rsidRDefault="00F82AD6" w:rsidP="00ED1244">
            <w:pPr>
              <w:pStyle w:val="Table-list-bullet"/>
            </w:pPr>
            <w:r>
              <w:rPr>
                <w:lang w:eastAsia="en-AU"/>
              </w:rPr>
              <w:t>MC</w:t>
            </w:r>
            <w:r w:rsidR="00CC4202" w:rsidRPr="000E2D9A">
              <w:rPr>
                <w:lang w:eastAsia="en-AU"/>
              </w:rPr>
              <w:t xml:space="preserve"> has a rapid reaction protocol established to respond to increased security threats.</w:t>
            </w:r>
          </w:p>
        </w:tc>
        <w:tc>
          <w:tcPr>
            <w:tcW w:w="288" w:type="pct"/>
            <w:shd w:val="clear" w:color="auto" w:fill="auto"/>
          </w:tcPr>
          <w:p w14:paraId="69AC6A74" w14:textId="77777777" w:rsidR="0088384C" w:rsidRPr="000E2D9A" w:rsidRDefault="003B2351" w:rsidP="00ED1244">
            <w:pPr>
              <w:pStyle w:val="TableTEXT"/>
            </w:pPr>
            <w:r w:rsidRPr="000E2D9A">
              <w:t>Minor</w:t>
            </w:r>
          </w:p>
        </w:tc>
      </w:tr>
      <w:tr w:rsidR="0088384C" w:rsidRPr="000E2D9A" w14:paraId="1D6FD4BA" w14:textId="77777777" w:rsidTr="007D3192">
        <w:tc>
          <w:tcPr>
            <w:tcW w:w="1300" w:type="pct"/>
            <w:shd w:val="clear" w:color="auto" w:fill="auto"/>
          </w:tcPr>
          <w:p w14:paraId="4BB08AEC" w14:textId="77777777" w:rsidR="0088384C" w:rsidRPr="000E2D9A" w:rsidRDefault="0088384C" w:rsidP="00ED1244">
            <w:pPr>
              <w:pStyle w:val="TableTEXT"/>
            </w:pPr>
            <w:r w:rsidRPr="000E2D9A">
              <w:t xml:space="preserve">Significant downturn in global and African demand and future investment for </w:t>
            </w:r>
            <w:r w:rsidR="00C7185D">
              <w:t>extractive</w:t>
            </w:r>
          </w:p>
        </w:tc>
        <w:tc>
          <w:tcPr>
            <w:tcW w:w="167" w:type="pct"/>
            <w:shd w:val="clear" w:color="auto" w:fill="auto"/>
          </w:tcPr>
          <w:p w14:paraId="4ECE6304" w14:textId="77777777" w:rsidR="0088384C" w:rsidRPr="000E2D9A" w:rsidRDefault="0088384C" w:rsidP="00ED1244">
            <w:pPr>
              <w:pStyle w:val="TableTEXT"/>
              <w:jc w:val="center"/>
            </w:pPr>
            <w:r w:rsidRPr="000E2D9A">
              <w:t>3</w:t>
            </w:r>
          </w:p>
        </w:tc>
        <w:tc>
          <w:tcPr>
            <w:tcW w:w="128" w:type="pct"/>
            <w:shd w:val="clear" w:color="auto" w:fill="auto"/>
          </w:tcPr>
          <w:p w14:paraId="5EB95DC7" w14:textId="77777777" w:rsidR="0088384C" w:rsidRPr="000E2D9A" w:rsidRDefault="00EB2046" w:rsidP="00ED1244">
            <w:pPr>
              <w:pStyle w:val="TableTEXT"/>
              <w:jc w:val="center"/>
            </w:pPr>
            <w:r>
              <w:t>3</w:t>
            </w:r>
          </w:p>
        </w:tc>
        <w:tc>
          <w:tcPr>
            <w:tcW w:w="127" w:type="pct"/>
            <w:shd w:val="clear" w:color="auto" w:fill="auto"/>
          </w:tcPr>
          <w:p w14:paraId="084F8685" w14:textId="77777777" w:rsidR="0088384C" w:rsidRPr="000E2D9A" w:rsidRDefault="00EB2046" w:rsidP="00EB2046">
            <w:pPr>
              <w:pStyle w:val="TableTEXT"/>
              <w:jc w:val="center"/>
            </w:pPr>
            <w:r>
              <w:t>9</w:t>
            </w:r>
          </w:p>
        </w:tc>
        <w:tc>
          <w:tcPr>
            <w:tcW w:w="971" w:type="pct"/>
            <w:shd w:val="clear" w:color="auto" w:fill="auto"/>
          </w:tcPr>
          <w:p w14:paraId="6DE84D04" w14:textId="77777777" w:rsidR="0088384C" w:rsidRPr="000E2D9A" w:rsidRDefault="000453BD" w:rsidP="00ED1244">
            <w:pPr>
              <w:pStyle w:val="TableTEXT"/>
            </w:pPr>
            <w:r w:rsidRPr="000E2D9A">
              <w:t xml:space="preserve">Slow in demand by African governments and private sector agencies working in </w:t>
            </w:r>
            <w:r w:rsidR="00C7185D">
              <w:t>extractive</w:t>
            </w:r>
            <w:r w:rsidRPr="000E2D9A">
              <w:t>-related industries in Africa may slow AADP delivery, particularly for E4G;</w:t>
            </w:r>
            <w:r w:rsidR="009C7197">
              <w:t xml:space="preserve"> </w:t>
            </w:r>
            <w:r w:rsidRPr="000E2D9A">
              <w:t>minimal impact on awards is anticipated.</w:t>
            </w:r>
          </w:p>
        </w:tc>
        <w:tc>
          <w:tcPr>
            <w:tcW w:w="385" w:type="pct"/>
            <w:shd w:val="clear" w:color="auto" w:fill="auto"/>
          </w:tcPr>
          <w:p w14:paraId="03DF9535" w14:textId="77777777" w:rsidR="0088384C" w:rsidRPr="000E2D9A" w:rsidRDefault="00F82AD6" w:rsidP="00ED1244">
            <w:pPr>
              <w:pStyle w:val="TableTEXT"/>
            </w:pPr>
            <w:r>
              <w:t>MC</w:t>
            </w:r>
          </w:p>
          <w:p w14:paraId="336BC462" w14:textId="77777777" w:rsidR="0088384C" w:rsidRPr="000E2D9A" w:rsidRDefault="0088384C" w:rsidP="00ED1244">
            <w:pPr>
              <w:pStyle w:val="TableTEXT"/>
            </w:pPr>
            <w:r w:rsidRPr="000E2D9A">
              <w:t>DFAT</w:t>
            </w:r>
          </w:p>
        </w:tc>
        <w:tc>
          <w:tcPr>
            <w:tcW w:w="1634" w:type="pct"/>
            <w:shd w:val="clear" w:color="auto" w:fill="auto"/>
          </w:tcPr>
          <w:p w14:paraId="4859AAEF" w14:textId="77777777" w:rsidR="0088384C" w:rsidRPr="000E2D9A" w:rsidRDefault="0088384C" w:rsidP="00ED1244">
            <w:pPr>
              <w:pStyle w:val="TableTEXT"/>
            </w:pPr>
            <w:r w:rsidRPr="000E2D9A">
              <w:t>Monitoring and early identification of risk</w:t>
            </w:r>
            <w:r w:rsidR="000453BD" w:rsidRPr="000E2D9A">
              <w:t>s</w:t>
            </w:r>
            <w:r w:rsidRPr="000E2D9A">
              <w:t xml:space="preserve"> to enable </w:t>
            </w:r>
            <w:r w:rsidR="00A37C2E" w:rsidRPr="000E2D9A">
              <w:t>recalibration</w:t>
            </w:r>
            <w:r w:rsidRPr="000E2D9A">
              <w:t xml:space="preserve"> of AADP program</w:t>
            </w:r>
            <w:r w:rsidR="000453BD" w:rsidRPr="000E2D9A">
              <w:t>.</w:t>
            </w:r>
          </w:p>
          <w:p w14:paraId="32FF69AB" w14:textId="77777777" w:rsidR="00A37C2E" w:rsidRPr="000E2D9A" w:rsidRDefault="00F82AD6" w:rsidP="00ED1244">
            <w:pPr>
              <w:pStyle w:val="TableTEXT"/>
            </w:pPr>
            <w:r>
              <w:t>MC</w:t>
            </w:r>
            <w:r w:rsidR="00A37C2E" w:rsidRPr="000E2D9A">
              <w:t>’s trend analysis and strategic advice critical to this recalibration.</w:t>
            </w:r>
          </w:p>
        </w:tc>
        <w:tc>
          <w:tcPr>
            <w:tcW w:w="288" w:type="pct"/>
            <w:shd w:val="clear" w:color="auto" w:fill="auto"/>
          </w:tcPr>
          <w:p w14:paraId="0B858C9B" w14:textId="77777777" w:rsidR="0088384C" w:rsidRPr="000E2D9A" w:rsidRDefault="00EB2046" w:rsidP="00ED1244">
            <w:pPr>
              <w:pStyle w:val="TableTEXT"/>
            </w:pPr>
            <w:r>
              <w:t>Moderate</w:t>
            </w:r>
          </w:p>
        </w:tc>
      </w:tr>
      <w:tr w:rsidR="0088384C" w:rsidRPr="000E2D9A" w14:paraId="51032183" w14:textId="77777777" w:rsidTr="007D3192">
        <w:tc>
          <w:tcPr>
            <w:tcW w:w="1300" w:type="pct"/>
            <w:shd w:val="clear" w:color="auto" w:fill="auto"/>
          </w:tcPr>
          <w:p w14:paraId="6640A2CF" w14:textId="77777777" w:rsidR="0088384C" w:rsidRPr="000E2D9A" w:rsidRDefault="0088384C" w:rsidP="00ED1244">
            <w:pPr>
              <w:pStyle w:val="TableTEXT"/>
            </w:pPr>
            <w:r w:rsidRPr="000E2D9A">
              <w:t>Reputational risk to DFAT over perceived conflict of interest with private sector engagement</w:t>
            </w:r>
          </w:p>
        </w:tc>
        <w:tc>
          <w:tcPr>
            <w:tcW w:w="167" w:type="pct"/>
            <w:shd w:val="clear" w:color="auto" w:fill="auto"/>
          </w:tcPr>
          <w:p w14:paraId="58B2C4BA" w14:textId="77777777" w:rsidR="0088384C" w:rsidRPr="000E2D9A" w:rsidRDefault="0088384C" w:rsidP="00ED1244">
            <w:pPr>
              <w:pStyle w:val="TableTEXT"/>
              <w:jc w:val="center"/>
            </w:pPr>
            <w:r w:rsidRPr="000E2D9A">
              <w:t>3</w:t>
            </w:r>
          </w:p>
        </w:tc>
        <w:tc>
          <w:tcPr>
            <w:tcW w:w="128" w:type="pct"/>
            <w:shd w:val="clear" w:color="auto" w:fill="auto"/>
          </w:tcPr>
          <w:p w14:paraId="5D31F221" w14:textId="77777777" w:rsidR="0088384C" w:rsidRPr="000E2D9A" w:rsidRDefault="0088384C" w:rsidP="00ED1244">
            <w:pPr>
              <w:pStyle w:val="TableTEXT"/>
              <w:jc w:val="center"/>
            </w:pPr>
            <w:r w:rsidRPr="000E2D9A">
              <w:t>4</w:t>
            </w:r>
          </w:p>
        </w:tc>
        <w:tc>
          <w:tcPr>
            <w:tcW w:w="127" w:type="pct"/>
            <w:shd w:val="clear" w:color="auto" w:fill="auto"/>
          </w:tcPr>
          <w:p w14:paraId="6022BEAB" w14:textId="77777777" w:rsidR="0088384C" w:rsidRPr="000E2D9A" w:rsidRDefault="0088384C" w:rsidP="00ED1244">
            <w:pPr>
              <w:pStyle w:val="TableTEXT"/>
              <w:jc w:val="center"/>
            </w:pPr>
            <w:r w:rsidRPr="000E2D9A">
              <w:t>12</w:t>
            </w:r>
          </w:p>
        </w:tc>
        <w:tc>
          <w:tcPr>
            <w:tcW w:w="971" w:type="pct"/>
            <w:shd w:val="clear" w:color="auto" w:fill="auto"/>
          </w:tcPr>
          <w:p w14:paraId="2FF9886E" w14:textId="77777777" w:rsidR="0088384C" w:rsidRPr="000E2D9A" w:rsidRDefault="007B422F" w:rsidP="00ED1244">
            <w:pPr>
              <w:pStyle w:val="TableTEXT"/>
            </w:pPr>
            <w:r w:rsidRPr="000E2D9A">
              <w:t>Perceptions may grow that Australia seeks to look after its own and is not being transparent in the delivery of aid.</w:t>
            </w:r>
          </w:p>
        </w:tc>
        <w:tc>
          <w:tcPr>
            <w:tcW w:w="385" w:type="pct"/>
            <w:shd w:val="clear" w:color="auto" w:fill="auto"/>
          </w:tcPr>
          <w:p w14:paraId="12F3A36E" w14:textId="77777777" w:rsidR="0088384C" w:rsidRPr="000E2D9A" w:rsidRDefault="00F82AD6" w:rsidP="00ED1244">
            <w:pPr>
              <w:pStyle w:val="TableTEXT"/>
            </w:pPr>
            <w:r>
              <w:t>MC</w:t>
            </w:r>
          </w:p>
          <w:p w14:paraId="27D160AB" w14:textId="77777777" w:rsidR="0088384C" w:rsidRPr="000E2D9A" w:rsidRDefault="0088384C" w:rsidP="00ED1244">
            <w:pPr>
              <w:pStyle w:val="TableTEXT"/>
            </w:pPr>
            <w:r w:rsidRPr="000E2D9A">
              <w:t>DFAT</w:t>
            </w:r>
          </w:p>
        </w:tc>
        <w:tc>
          <w:tcPr>
            <w:tcW w:w="1634" w:type="pct"/>
            <w:shd w:val="clear" w:color="auto" w:fill="auto"/>
          </w:tcPr>
          <w:p w14:paraId="26765252" w14:textId="77777777" w:rsidR="0088384C" w:rsidRPr="000E2D9A" w:rsidRDefault="00D57155" w:rsidP="00ED1244">
            <w:pPr>
              <w:pStyle w:val="Table-list-bullet"/>
            </w:pPr>
            <w:r w:rsidRPr="000E2D9A">
              <w:t>Clear guidelines established for private sector engagement, including areas of potential involvement.</w:t>
            </w:r>
          </w:p>
          <w:p w14:paraId="2440D13B" w14:textId="77777777" w:rsidR="00D57155" w:rsidRPr="000E2D9A" w:rsidRDefault="00D57155" w:rsidP="00ED1244">
            <w:pPr>
              <w:pStyle w:val="Table-list-bullet"/>
            </w:pPr>
            <w:r w:rsidRPr="000E2D9A">
              <w:t xml:space="preserve">Protocols developed to </w:t>
            </w:r>
            <w:r w:rsidR="005E6342" w:rsidRPr="000E2D9A">
              <w:t>deal with potential or actual conflicts of interest from private sector involvement.</w:t>
            </w:r>
          </w:p>
          <w:p w14:paraId="65A79C2C" w14:textId="77777777" w:rsidR="00014753" w:rsidRPr="000E2D9A" w:rsidRDefault="00014753" w:rsidP="00ED1244">
            <w:pPr>
              <w:pStyle w:val="Table-list-bullet"/>
            </w:pPr>
            <w:r w:rsidRPr="000E2D9A">
              <w:t>Reports include clear statements about actual or perceived conflicts of interest.</w:t>
            </w:r>
          </w:p>
          <w:p w14:paraId="6A1F38B8" w14:textId="77777777" w:rsidR="00014753" w:rsidRPr="000E2D9A" w:rsidRDefault="00014753" w:rsidP="00ED1244">
            <w:pPr>
              <w:pStyle w:val="Table-list-bullet"/>
            </w:pPr>
            <w:r w:rsidRPr="000E2D9A">
              <w:t>Communication strategy to specifically address how perceptions of conflicts of interest would be dealt with.</w:t>
            </w:r>
          </w:p>
          <w:p w14:paraId="4ACFEAE5" w14:textId="77777777" w:rsidR="00014753" w:rsidRPr="000E2D9A" w:rsidRDefault="00014753" w:rsidP="00ED1244">
            <w:pPr>
              <w:pStyle w:val="Table-list-bullet"/>
            </w:pPr>
            <w:r w:rsidRPr="000E2D9A">
              <w:t>Private sector agencies required to indicate how they would deal with actual</w:t>
            </w:r>
            <w:r w:rsidR="001B7DCB">
              <w:t xml:space="preserve"> / </w:t>
            </w:r>
            <w:r w:rsidR="00514EF3" w:rsidRPr="000E2D9A">
              <w:t>potential conflicts of interest when being evaluated for engagement on activities</w:t>
            </w:r>
            <w:r w:rsidR="001B7DCB">
              <w:t xml:space="preserve"> / </w:t>
            </w:r>
            <w:r w:rsidR="00514EF3" w:rsidRPr="000E2D9A">
              <w:t>projects.</w:t>
            </w:r>
          </w:p>
        </w:tc>
        <w:tc>
          <w:tcPr>
            <w:tcW w:w="288" w:type="pct"/>
            <w:shd w:val="clear" w:color="auto" w:fill="auto"/>
          </w:tcPr>
          <w:p w14:paraId="25733D4B" w14:textId="77777777" w:rsidR="0088384C" w:rsidRPr="000E2D9A" w:rsidRDefault="00AD3D2B" w:rsidP="00ED1244">
            <w:pPr>
              <w:pStyle w:val="TableTEXT"/>
            </w:pPr>
            <w:r w:rsidRPr="000E2D9A">
              <w:t>Moderate</w:t>
            </w:r>
          </w:p>
        </w:tc>
      </w:tr>
      <w:tr w:rsidR="0088384C" w:rsidRPr="000E2D9A" w14:paraId="0897FB7E" w14:textId="77777777" w:rsidTr="007D3192">
        <w:tc>
          <w:tcPr>
            <w:tcW w:w="1300" w:type="pct"/>
            <w:shd w:val="clear" w:color="auto" w:fill="auto"/>
          </w:tcPr>
          <w:p w14:paraId="0029926F" w14:textId="77777777" w:rsidR="0088384C" w:rsidRPr="000E2D9A" w:rsidRDefault="0088384C" w:rsidP="00ED1244">
            <w:pPr>
              <w:pStyle w:val="TableTEXT"/>
            </w:pPr>
            <w:r w:rsidRPr="000E2D9A">
              <w:t xml:space="preserve">Reduced </w:t>
            </w:r>
            <w:proofErr w:type="spellStart"/>
            <w:r w:rsidR="003340E8">
              <w:t>GoA</w:t>
            </w:r>
            <w:proofErr w:type="spellEnd"/>
            <w:r w:rsidRPr="000E2D9A">
              <w:t xml:space="preserve"> commitment, including financial commitment, to Africa </w:t>
            </w:r>
          </w:p>
        </w:tc>
        <w:tc>
          <w:tcPr>
            <w:tcW w:w="167" w:type="pct"/>
            <w:shd w:val="clear" w:color="auto" w:fill="auto"/>
          </w:tcPr>
          <w:p w14:paraId="55E358C1" w14:textId="77777777" w:rsidR="0088384C" w:rsidRPr="000E2D9A" w:rsidRDefault="0088384C" w:rsidP="00ED1244">
            <w:pPr>
              <w:pStyle w:val="TableTEXT"/>
              <w:jc w:val="center"/>
            </w:pPr>
            <w:r w:rsidRPr="000E2D9A">
              <w:t>3</w:t>
            </w:r>
          </w:p>
        </w:tc>
        <w:tc>
          <w:tcPr>
            <w:tcW w:w="128" w:type="pct"/>
            <w:shd w:val="clear" w:color="auto" w:fill="auto"/>
          </w:tcPr>
          <w:p w14:paraId="0DD0D94E" w14:textId="77777777" w:rsidR="0088384C" w:rsidRPr="000E2D9A" w:rsidRDefault="00EB2046" w:rsidP="00ED1244">
            <w:pPr>
              <w:pStyle w:val="TableTEXT"/>
              <w:jc w:val="center"/>
            </w:pPr>
            <w:r>
              <w:t>3</w:t>
            </w:r>
          </w:p>
        </w:tc>
        <w:tc>
          <w:tcPr>
            <w:tcW w:w="127" w:type="pct"/>
            <w:shd w:val="clear" w:color="auto" w:fill="auto"/>
          </w:tcPr>
          <w:p w14:paraId="202D4A7F" w14:textId="77777777" w:rsidR="0088384C" w:rsidRPr="000E2D9A" w:rsidRDefault="0088384C" w:rsidP="00ED1244">
            <w:pPr>
              <w:pStyle w:val="TableTEXT"/>
              <w:jc w:val="center"/>
            </w:pPr>
            <w:r w:rsidRPr="000E2D9A">
              <w:t>12</w:t>
            </w:r>
          </w:p>
        </w:tc>
        <w:tc>
          <w:tcPr>
            <w:tcW w:w="971" w:type="pct"/>
            <w:shd w:val="clear" w:color="auto" w:fill="auto"/>
          </w:tcPr>
          <w:p w14:paraId="048FB6B8" w14:textId="77777777" w:rsidR="0088384C" w:rsidRPr="000E2D9A" w:rsidRDefault="003E49ED" w:rsidP="00ED1244">
            <w:pPr>
              <w:pStyle w:val="TableTEXT"/>
            </w:pPr>
            <w:r>
              <w:t>Program</w:t>
            </w:r>
            <w:r w:rsidR="00E52C97" w:rsidRPr="000E2D9A">
              <w:t xml:space="preserve"> work may not be realised;</w:t>
            </w:r>
            <w:r w:rsidR="009C7197">
              <w:t xml:space="preserve"> </w:t>
            </w:r>
            <w:r w:rsidR="00E52C97" w:rsidRPr="000E2D9A">
              <w:t>reduction in the number of Awards delivered.</w:t>
            </w:r>
          </w:p>
        </w:tc>
        <w:tc>
          <w:tcPr>
            <w:tcW w:w="385" w:type="pct"/>
            <w:shd w:val="clear" w:color="auto" w:fill="auto"/>
          </w:tcPr>
          <w:p w14:paraId="18615663" w14:textId="77777777" w:rsidR="0088384C" w:rsidRPr="000E2D9A" w:rsidRDefault="0088384C" w:rsidP="00ED1244">
            <w:pPr>
              <w:pStyle w:val="TableTEXT"/>
            </w:pPr>
            <w:r w:rsidRPr="000E2D9A">
              <w:t>DFAT</w:t>
            </w:r>
          </w:p>
        </w:tc>
        <w:tc>
          <w:tcPr>
            <w:tcW w:w="1634" w:type="pct"/>
            <w:shd w:val="clear" w:color="auto" w:fill="auto"/>
          </w:tcPr>
          <w:p w14:paraId="693BC783" w14:textId="77777777" w:rsidR="0088384C" w:rsidRPr="000E2D9A" w:rsidRDefault="00E52C97" w:rsidP="00ED1244">
            <w:pPr>
              <w:pStyle w:val="TableTEXT"/>
            </w:pPr>
            <w:r w:rsidRPr="000E2D9A">
              <w:t xml:space="preserve">DFAT to monitor and provide earliest possible guidance to </w:t>
            </w:r>
            <w:r w:rsidR="00F82AD6">
              <w:t>MC</w:t>
            </w:r>
            <w:r w:rsidRPr="000E2D9A">
              <w:t>.</w:t>
            </w:r>
          </w:p>
        </w:tc>
        <w:tc>
          <w:tcPr>
            <w:tcW w:w="288" w:type="pct"/>
            <w:shd w:val="clear" w:color="auto" w:fill="auto"/>
          </w:tcPr>
          <w:p w14:paraId="3561EB98" w14:textId="77777777" w:rsidR="0088384C" w:rsidRPr="000E2D9A" w:rsidRDefault="003C7FFD" w:rsidP="00ED1244">
            <w:pPr>
              <w:pStyle w:val="TableTEXT"/>
            </w:pPr>
            <w:r w:rsidRPr="000E2D9A">
              <w:t>Moderate</w:t>
            </w:r>
          </w:p>
        </w:tc>
      </w:tr>
      <w:tr w:rsidR="00B05ECA" w:rsidRPr="000E2D9A" w14:paraId="163A977C" w14:textId="77777777" w:rsidTr="007D3192">
        <w:tc>
          <w:tcPr>
            <w:tcW w:w="1300" w:type="pct"/>
            <w:shd w:val="clear" w:color="auto" w:fill="auto"/>
          </w:tcPr>
          <w:p w14:paraId="4997B902" w14:textId="77777777" w:rsidR="00F8554F" w:rsidRPr="00F8554F" w:rsidRDefault="00716ED7" w:rsidP="00ED1244">
            <w:pPr>
              <w:pStyle w:val="TableTEXT"/>
              <w:rPr>
                <w:i/>
                <w:iCs/>
              </w:rPr>
            </w:pPr>
            <w:r w:rsidRPr="000E2D9A">
              <w:t xml:space="preserve">Insufficient </w:t>
            </w:r>
            <w:r w:rsidR="00B05ECA" w:rsidRPr="000E2D9A">
              <w:t xml:space="preserve">aid management experience and support for DFAT </w:t>
            </w:r>
            <w:proofErr w:type="spellStart"/>
            <w:r w:rsidR="00B05ECA" w:rsidRPr="000E2D9A">
              <w:t>HoMs</w:t>
            </w:r>
            <w:proofErr w:type="spellEnd"/>
            <w:r w:rsidR="00B05ECA" w:rsidRPr="000E2D9A">
              <w:t xml:space="preserve"> </w:t>
            </w:r>
            <w:r w:rsidRPr="000E2D9A">
              <w:t>at post</w:t>
            </w:r>
            <w:r w:rsidR="00F8554F">
              <w:t xml:space="preserve">, and few DFAT staff </w:t>
            </w:r>
            <w:r w:rsidR="00F8554F" w:rsidRPr="00F8554F">
              <w:t xml:space="preserve">in Africa with detailed </w:t>
            </w:r>
            <w:r w:rsidR="00F8554F">
              <w:rPr>
                <w:iCs/>
              </w:rPr>
              <w:t>understanding of extractive</w:t>
            </w:r>
            <w:r w:rsidR="00C914AB">
              <w:rPr>
                <w:iCs/>
              </w:rPr>
              <w:t xml:space="preserve"> sector</w:t>
            </w:r>
          </w:p>
        </w:tc>
        <w:tc>
          <w:tcPr>
            <w:tcW w:w="167" w:type="pct"/>
            <w:shd w:val="clear" w:color="auto" w:fill="auto"/>
          </w:tcPr>
          <w:p w14:paraId="5CA17052" w14:textId="77777777" w:rsidR="00B05ECA" w:rsidRPr="000E2D9A" w:rsidRDefault="00EB2046" w:rsidP="00ED1244">
            <w:pPr>
              <w:pStyle w:val="TableTEXT"/>
              <w:jc w:val="center"/>
            </w:pPr>
            <w:r>
              <w:t>3</w:t>
            </w:r>
          </w:p>
        </w:tc>
        <w:tc>
          <w:tcPr>
            <w:tcW w:w="128" w:type="pct"/>
            <w:shd w:val="clear" w:color="auto" w:fill="auto"/>
          </w:tcPr>
          <w:p w14:paraId="385ED786" w14:textId="77777777" w:rsidR="00B05ECA" w:rsidRPr="000E2D9A" w:rsidRDefault="00B05ECA" w:rsidP="00ED1244">
            <w:pPr>
              <w:pStyle w:val="TableTEXT"/>
              <w:jc w:val="center"/>
            </w:pPr>
            <w:r w:rsidRPr="000E2D9A">
              <w:t>4</w:t>
            </w:r>
          </w:p>
        </w:tc>
        <w:tc>
          <w:tcPr>
            <w:tcW w:w="127" w:type="pct"/>
            <w:shd w:val="clear" w:color="auto" w:fill="auto"/>
          </w:tcPr>
          <w:p w14:paraId="297F1270" w14:textId="77777777" w:rsidR="00B05ECA" w:rsidRPr="000E2D9A" w:rsidRDefault="00B05ECA" w:rsidP="00EB2046">
            <w:pPr>
              <w:pStyle w:val="TableTEXT"/>
              <w:jc w:val="center"/>
            </w:pPr>
            <w:r w:rsidRPr="000E2D9A">
              <w:t>1</w:t>
            </w:r>
            <w:r w:rsidR="00EB2046">
              <w:t>2</w:t>
            </w:r>
          </w:p>
        </w:tc>
        <w:tc>
          <w:tcPr>
            <w:tcW w:w="971" w:type="pct"/>
            <w:shd w:val="clear" w:color="auto" w:fill="auto"/>
          </w:tcPr>
          <w:p w14:paraId="0AF3159A" w14:textId="77777777" w:rsidR="00B05ECA" w:rsidRDefault="006466D4" w:rsidP="00ED1244">
            <w:pPr>
              <w:pStyle w:val="Table-list-bullet"/>
            </w:pPr>
            <w:proofErr w:type="spellStart"/>
            <w:r w:rsidRPr="000E2D9A">
              <w:t>HoMs</w:t>
            </w:r>
            <w:proofErr w:type="spellEnd"/>
            <w:r w:rsidRPr="000E2D9A">
              <w:t xml:space="preserve"> support may dwindle for the utility of the AADP for both development and economic diplomacy objectives.</w:t>
            </w:r>
          </w:p>
          <w:p w14:paraId="2A90704A" w14:textId="77777777" w:rsidR="00F8554F" w:rsidRPr="000E2D9A" w:rsidRDefault="00F8554F" w:rsidP="00ED1244">
            <w:pPr>
              <w:pStyle w:val="Table-list-bullet"/>
            </w:pPr>
            <w:r>
              <w:rPr>
                <w:iCs/>
              </w:rPr>
              <w:t xml:space="preserve">The AADP will struggle to foster good </w:t>
            </w:r>
            <w:r w:rsidRPr="00F8554F">
              <w:rPr>
                <w:iCs/>
              </w:rPr>
              <w:t>relations with private sector and to work with </w:t>
            </w:r>
            <w:r>
              <w:rPr>
                <w:iCs/>
              </w:rPr>
              <w:t>the AMDC.</w:t>
            </w:r>
          </w:p>
        </w:tc>
        <w:tc>
          <w:tcPr>
            <w:tcW w:w="385" w:type="pct"/>
            <w:shd w:val="clear" w:color="auto" w:fill="auto"/>
          </w:tcPr>
          <w:p w14:paraId="02309B55" w14:textId="77777777" w:rsidR="00B05ECA" w:rsidRPr="000E2D9A" w:rsidRDefault="00B05ECA" w:rsidP="00ED1244">
            <w:pPr>
              <w:pStyle w:val="TableTEXT"/>
            </w:pPr>
            <w:r w:rsidRPr="000E2D9A">
              <w:t>DFAT</w:t>
            </w:r>
          </w:p>
        </w:tc>
        <w:tc>
          <w:tcPr>
            <w:tcW w:w="1634" w:type="pct"/>
            <w:shd w:val="clear" w:color="auto" w:fill="auto"/>
          </w:tcPr>
          <w:p w14:paraId="1DC3B431" w14:textId="77777777" w:rsidR="00B05ECA" w:rsidRPr="000E2D9A" w:rsidRDefault="00B05ECA" w:rsidP="00ED1244">
            <w:pPr>
              <w:pStyle w:val="Table-list-bullet"/>
            </w:pPr>
            <w:r w:rsidRPr="000E2D9A">
              <w:t xml:space="preserve">DFAT briefing of </w:t>
            </w:r>
            <w:proofErr w:type="spellStart"/>
            <w:r w:rsidRPr="000E2D9A">
              <w:t>HoMs</w:t>
            </w:r>
            <w:proofErr w:type="spellEnd"/>
            <w:r w:rsidRPr="000E2D9A">
              <w:t xml:space="preserve"> on new roles</w:t>
            </w:r>
          </w:p>
          <w:p w14:paraId="77E48B00" w14:textId="77777777" w:rsidR="00B05ECA" w:rsidRPr="000E2D9A" w:rsidRDefault="00B05ECA" w:rsidP="00ED1244">
            <w:pPr>
              <w:pStyle w:val="Table-list-bullet"/>
            </w:pPr>
            <w:r w:rsidRPr="000E2D9A">
              <w:t>DFAT AFB consider provision of transition</w:t>
            </w:r>
            <w:r w:rsidR="002E4DF3" w:rsidRPr="000E2D9A">
              <w:t>al</w:t>
            </w:r>
            <w:r w:rsidRPr="000E2D9A">
              <w:t xml:space="preserve"> support (DFAT staff or contracted personnel e.g</w:t>
            </w:r>
            <w:r w:rsidR="002E4DF3" w:rsidRPr="000E2D9A">
              <w:t xml:space="preserve">. via </w:t>
            </w:r>
            <w:r w:rsidR="007632CF">
              <w:rPr>
                <w:sz w:val="18"/>
                <w:szCs w:val="18"/>
                <w:lang w:val="en-GB"/>
              </w:rPr>
              <w:t>Australia Awards</w:t>
            </w:r>
            <w:r w:rsidR="002E4DF3" w:rsidRPr="000E2D9A">
              <w:t xml:space="preserve">) </w:t>
            </w:r>
            <w:r w:rsidRPr="000E2D9A">
              <w:t xml:space="preserve">to </w:t>
            </w:r>
            <w:proofErr w:type="spellStart"/>
            <w:r w:rsidRPr="000E2D9A">
              <w:t>HoMs</w:t>
            </w:r>
            <w:proofErr w:type="spellEnd"/>
            <w:r w:rsidRPr="000E2D9A">
              <w:t xml:space="preserve"> </w:t>
            </w:r>
          </w:p>
          <w:p w14:paraId="15B56F9F" w14:textId="77777777" w:rsidR="00B05ECA" w:rsidRDefault="00B05ECA" w:rsidP="00ED1244">
            <w:pPr>
              <w:pStyle w:val="Table-list-bullet"/>
            </w:pPr>
            <w:r w:rsidRPr="000E2D9A">
              <w:t>Provision of Guidelines</w:t>
            </w:r>
            <w:r w:rsidR="001B7DCB">
              <w:t xml:space="preserve"> / </w:t>
            </w:r>
            <w:r w:rsidR="002E4DF3" w:rsidRPr="000E2D9A">
              <w:t>Toolkit</w:t>
            </w:r>
            <w:r w:rsidRPr="000E2D9A">
              <w:t xml:space="preserve"> for </w:t>
            </w:r>
            <w:proofErr w:type="spellStart"/>
            <w:r w:rsidRPr="000E2D9A">
              <w:t>HoMs</w:t>
            </w:r>
            <w:proofErr w:type="spellEnd"/>
            <w:r w:rsidRPr="000E2D9A">
              <w:t xml:space="preserve"> on AADP</w:t>
            </w:r>
          </w:p>
          <w:p w14:paraId="6C87DA89" w14:textId="77777777" w:rsidR="00F8554F" w:rsidRPr="00F8554F" w:rsidRDefault="00F8554F" w:rsidP="00ED1244">
            <w:pPr>
              <w:pStyle w:val="Table-list-bullet"/>
            </w:pPr>
            <w:r>
              <w:t xml:space="preserve">The MC will need to charge its providers </w:t>
            </w:r>
            <w:r w:rsidR="00C914AB">
              <w:t>with the task of developing extractive sector</w:t>
            </w:r>
            <w:r>
              <w:t xml:space="preserve"> knowledge.</w:t>
            </w:r>
          </w:p>
        </w:tc>
        <w:tc>
          <w:tcPr>
            <w:tcW w:w="288" w:type="pct"/>
            <w:shd w:val="clear" w:color="auto" w:fill="auto"/>
          </w:tcPr>
          <w:p w14:paraId="32D7A751" w14:textId="77777777" w:rsidR="00B05ECA" w:rsidRPr="000E2D9A" w:rsidRDefault="00EB2046" w:rsidP="00ED1244">
            <w:pPr>
              <w:pStyle w:val="TableTEXT"/>
            </w:pPr>
            <w:r>
              <w:t>Moderate</w:t>
            </w:r>
          </w:p>
        </w:tc>
      </w:tr>
      <w:tr w:rsidR="007E43F1" w:rsidRPr="000E2D9A" w14:paraId="793C36C1" w14:textId="77777777" w:rsidTr="007D3192">
        <w:tc>
          <w:tcPr>
            <w:tcW w:w="5000" w:type="pct"/>
            <w:gridSpan w:val="8"/>
            <w:shd w:val="clear" w:color="auto" w:fill="DEEAF6" w:themeFill="accent1" w:themeFillTint="33"/>
          </w:tcPr>
          <w:p w14:paraId="60D22758" w14:textId="77777777" w:rsidR="007E43F1" w:rsidRPr="000E2D9A" w:rsidRDefault="007E43F1" w:rsidP="00ED1244">
            <w:pPr>
              <w:pStyle w:val="TableHeader"/>
            </w:pPr>
            <w:r w:rsidRPr="000E2D9A">
              <w:t>Program Risks</w:t>
            </w:r>
          </w:p>
        </w:tc>
      </w:tr>
      <w:tr w:rsidR="0088384C" w:rsidRPr="000E2D9A" w14:paraId="5A3BA484" w14:textId="77777777" w:rsidTr="007D3192">
        <w:tc>
          <w:tcPr>
            <w:tcW w:w="1300" w:type="pct"/>
            <w:shd w:val="clear" w:color="auto" w:fill="auto"/>
          </w:tcPr>
          <w:p w14:paraId="160D7783" w14:textId="77777777" w:rsidR="0088384C" w:rsidRPr="000E2D9A" w:rsidRDefault="0088384C" w:rsidP="008E313F">
            <w:pPr>
              <w:pStyle w:val="TableTEXT"/>
            </w:pPr>
            <w:r w:rsidRPr="000E2D9A">
              <w:t>Lack of participation by key government, community and private sector partners</w:t>
            </w:r>
            <w:r w:rsidR="000F4FF5">
              <w:t>, (i.e. skills development pilots fail to attract private sector investment</w:t>
            </w:r>
            <w:r w:rsidR="001F19F0">
              <w:t>)</w:t>
            </w:r>
          </w:p>
        </w:tc>
        <w:tc>
          <w:tcPr>
            <w:tcW w:w="167" w:type="pct"/>
            <w:shd w:val="clear" w:color="auto" w:fill="auto"/>
          </w:tcPr>
          <w:p w14:paraId="1DAE9790" w14:textId="77777777" w:rsidR="0088384C" w:rsidRPr="000E2D9A" w:rsidRDefault="00EB2046" w:rsidP="00ED1244">
            <w:pPr>
              <w:pStyle w:val="TableTEXT"/>
              <w:jc w:val="center"/>
            </w:pPr>
            <w:r>
              <w:t>3</w:t>
            </w:r>
          </w:p>
        </w:tc>
        <w:tc>
          <w:tcPr>
            <w:tcW w:w="128" w:type="pct"/>
            <w:shd w:val="clear" w:color="auto" w:fill="auto"/>
          </w:tcPr>
          <w:p w14:paraId="4DF920EA" w14:textId="77777777" w:rsidR="0088384C" w:rsidRPr="000E2D9A" w:rsidRDefault="000F4FF5" w:rsidP="00ED1244">
            <w:pPr>
              <w:pStyle w:val="TableTEXT"/>
              <w:jc w:val="center"/>
            </w:pPr>
            <w:r>
              <w:t>4</w:t>
            </w:r>
          </w:p>
        </w:tc>
        <w:tc>
          <w:tcPr>
            <w:tcW w:w="127" w:type="pct"/>
            <w:shd w:val="clear" w:color="auto" w:fill="auto"/>
          </w:tcPr>
          <w:p w14:paraId="69709449" w14:textId="77777777" w:rsidR="0088384C" w:rsidRPr="000E2D9A" w:rsidRDefault="00EB2046" w:rsidP="00EB2046">
            <w:pPr>
              <w:pStyle w:val="TableTEXT"/>
              <w:jc w:val="center"/>
            </w:pPr>
            <w:r>
              <w:t>1</w:t>
            </w:r>
            <w:r w:rsidR="000F4FF5">
              <w:t>2</w:t>
            </w:r>
          </w:p>
        </w:tc>
        <w:tc>
          <w:tcPr>
            <w:tcW w:w="971" w:type="pct"/>
            <w:shd w:val="clear" w:color="auto" w:fill="auto"/>
          </w:tcPr>
          <w:p w14:paraId="1EF5A836" w14:textId="69ADC3A4" w:rsidR="0088384C" w:rsidRPr="000E2D9A" w:rsidRDefault="003C7FFD">
            <w:pPr>
              <w:pStyle w:val="TableTEXT"/>
            </w:pPr>
            <w:r w:rsidRPr="000E2D9A">
              <w:t xml:space="preserve">Poor </w:t>
            </w:r>
            <w:r w:rsidR="00EB7878">
              <w:t>outcomes</w:t>
            </w:r>
            <w:r w:rsidR="00EB7878" w:rsidRPr="000E2D9A">
              <w:t xml:space="preserve"> </w:t>
            </w:r>
            <w:r w:rsidRPr="000E2D9A">
              <w:t>and</w:t>
            </w:r>
            <w:r w:rsidR="001B7DCB">
              <w:t xml:space="preserve"> / </w:t>
            </w:r>
            <w:r w:rsidRPr="000E2D9A">
              <w:t>or program stagnation.</w:t>
            </w:r>
            <w:r w:rsidR="009C7197">
              <w:t xml:space="preserve"> </w:t>
            </w:r>
            <w:r w:rsidRPr="000E2D9A">
              <w:t>Some activities may need to be abandoned.</w:t>
            </w:r>
          </w:p>
        </w:tc>
        <w:tc>
          <w:tcPr>
            <w:tcW w:w="385" w:type="pct"/>
            <w:shd w:val="clear" w:color="auto" w:fill="auto"/>
          </w:tcPr>
          <w:p w14:paraId="5142E47A" w14:textId="77777777" w:rsidR="0088384C" w:rsidRPr="000E2D9A" w:rsidRDefault="00F82AD6" w:rsidP="00ED1244">
            <w:pPr>
              <w:pStyle w:val="TableTEXT"/>
            </w:pPr>
            <w:r>
              <w:t>MC</w:t>
            </w:r>
          </w:p>
          <w:p w14:paraId="0E43F364" w14:textId="77777777" w:rsidR="0088384C" w:rsidRPr="000E2D9A" w:rsidRDefault="0088384C" w:rsidP="00ED1244">
            <w:pPr>
              <w:pStyle w:val="TableTEXT"/>
            </w:pPr>
            <w:r w:rsidRPr="000E2D9A">
              <w:t>DFAT</w:t>
            </w:r>
          </w:p>
        </w:tc>
        <w:tc>
          <w:tcPr>
            <w:tcW w:w="1634" w:type="pct"/>
            <w:shd w:val="clear" w:color="auto" w:fill="auto"/>
          </w:tcPr>
          <w:p w14:paraId="5FDCF95A" w14:textId="77777777" w:rsidR="0088384C" w:rsidRPr="000E2D9A" w:rsidRDefault="00F82AD6" w:rsidP="00ED1244">
            <w:pPr>
              <w:pStyle w:val="TableTEXT"/>
            </w:pPr>
            <w:r>
              <w:t>MC</w:t>
            </w:r>
            <w:r w:rsidR="00B173CC" w:rsidRPr="000E2D9A">
              <w:t xml:space="preserve"> and DFAT exchange information about level of participation by private sector and governments regularly.</w:t>
            </w:r>
            <w:r w:rsidR="009C7197">
              <w:t xml:space="preserve"> </w:t>
            </w:r>
            <w:r w:rsidR="00B173CC" w:rsidRPr="000E2D9A">
              <w:t>To be addressed through DFAT-</w:t>
            </w:r>
            <w:r>
              <w:t>MC</w:t>
            </w:r>
            <w:r w:rsidR="00B173CC" w:rsidRPr="000E2D9A">
              <w:t xml:space="preserve"> management meetings.</w:t>
            </w:r>
          </w:p>
          <w:p w14:paraId="3B56CA1C" w14:textId="77777777" w:rsidR="00B173CC" w:rsidRPr="000E2D9A" w:rsidRDefault="00B173CC" w:rsidP="00ED1244">
            <w:pPr>
              <w:pStyle w:val="TableTEXT"/>
            </w:pPr>
            <w:r w:rsidRPr="000E2D9A">
              <w:t xml:space="preserve">Where participation low, new initiatives proposed by </w:t>
            </w:r>
            <w:r w:rsidR="00F82AD6">
              <w:t>MC</w:t>
            </w:r>
            <w:r w:rsidRPr="000E2D9A">
              <w:t>.</w:t>
            </w:r>
          </w:p>
        </w:tc>
        <w:tc>
          <w:tcPr>
            <w:tcW w:w="288" w:type="pct"/>
            <w:shd w:val="clear" w:color="auto" w:fill="auto"/>
          </w:tcPr>
          <w:p w14:paraId="0B947AE7" w14:textId="77777777" w:rsidR="0088384C" w:rsidRPr="000E2D9A" w:rsidRDefault="00EB2046" w:rsidP="00ED1244">
            <w:pPr>
              <w:pStyle w:val="TableTEXT"/>
            </w:pPr>
            <w:r>
              <w:t>Moderate</w:t>
            </w:r>
          </w:p>
        </w:tc>
      </w:tr>
      <w:tr w:rsidR="0088384C" w:rsidRPr="000E2D9A" w14:paraId="3961E203" w14:textId="77777777" w:rsidTr="007D3192">
        <w:tc>
          <w:tcPr>
            <w:tcW w:w="1300" w:type="pct"/>
            <w:shd w:val="clear" w:color="auto" w:fill="auto"/>
          </w:tcPr>
          <w:p w14:paraId="3D23496D" w14:textId="77777777" w:rsidR="0088384C" w:rsidRPr="000E2D9A" w:rsidRDefault="0088384C" w:rsidP="008E313F">
            <w:pPr>
              <w:pStyle w:val="TableTEXT"/>
            </w:pPr>
            <w:r w:rsidRPr="000E2D9A">
              <w:t xml:space="preserve">Poor or miscommunications due to changed DFAT and </w:t>
            </w:r>
            <w:r w:rsidR="00F82AD6">
              <w:t>MC</w:t>
            </w:r>
            <w:r w:rsidRPr="000E2D9A">
              <w:t xml:space="preserve"> staff and contract management arrangements</w:t>
            </w:r>
            <w:r w:rsidR="00C64377" w:rsidRPr="000E2D9A">
              <w:t>.</w:t>
            </w:r>
            <w:r w:rsidRPr="000E2D9A">
              <w:t xml:space="preserve"> </w:t>
            </w:r>
          </w:p>
        </w:tc>
        <w:tc>
          <w:tcPr>
            <w:tcW w:w="167" w:type="pct"/>
            <w:shd w:val="clear" w:color="auto" w:fill="auto"/>
          </w:tcPr>
          <w:p w14:paraId="0DC49C8A" w14:textId="77777777" w:rsidR="0088384C" w:rsidRPr="000E2D9A" w:rsidRDefault="0088384C" w:rsidP="00ED1244">
            <w:pPr>
              <w:pStyle w:val="TableTEXT"/>
              <w:jc w:val="center"/>
            </w:pPr>
            <w:r w:rsidRPr="000E2D9A">
              <w:t>3</w:t>
            </w:r>
          </w:p>
        </w:tc>
        <w:tc>
          <w:tcPr>
            <w:tcW w:w="128" w:type="pct"/>
            <w:shd w:val="clear" w:color="auto" w:fill="auto"/>
          </w:tcPr>
          <w:p w14:paraId="4AB6079D" w14:textId="77777777" w:rsidR="0088384C" w:rsidRPr="000E2D9A" w:rsidRDefault="0088384C" w:rsidP="00ED1244">
            <w:pPr>
              <w:pStyle w:val="TableTEXT"/>
              <w:jc w:val="center"/>
            </w:pPr>
            <w:r w:rsidRPr="000E2D9A">
              <w:t>4</w:t>
            </w:r>
          </w:p>
        </w:tc>
        <w:tc>
          <w:tcPr>
            <w:tcW w:w="127" w:type="pct"/>
            <w:shd w:val="clear" w:color="auto" w:fill="auto"/>
          </w:tcPr>
          <w:p w14:paraId="444EF5B1" w14:textId="77777777" w:rsidR="0088384C" w:rsidRPr="000E2D9A" w:rsidRDefault="0088384C" w:rsidP="00ED1244">
            <w:pPr>
              <w:pStyle w:val="TableTEXT"/>
              <w:jc w:val="center"/>
            </w:pPr>
            <w:r w:rsidRPr="000E2D9A">
              <w:t>12</w:t>
            </w:r>
          </w:p>
        </w:tc>
        <w:tc>
          <w:tcPr>
            <w:tcW w:w="971" w:type="pct"/>
            <w:shd w:val="clear" w:color="auto" w:fill="auto"/>
          </w:tcPr>
          <w:p w14:paraId="2434511B" w14:textId="77777777" w:rsidR="0088384C" w:rsidRPr="000E2D9A" w:rsidRDefault="008E313F" w:rsidP="00ED1244">
            <w:pPr>
              <w:pStyle w:val="Table-list-bullet"/>
            </w:pPr>
            <w:r>
              <w:t>E4G Component</w:t>
            </w:r>
            <w:r w:rsidRPr="000E2D9A">
              <w:t xml:space="preserve"> </w:t>
            </w:r>
            <w:r w:rsidR="00C64377" w:rsidRPr="000E2D9A">
              <w:t>responsiveness slows due to time-difference between Africa and CBA.</w:t>
            </w:r>
          </w:p>
          <w:p w14:paraId="06184F6E" w14:textId="77777777" w:rsidR="00C64377" w:rsidRPr="000E2D9A" w:rsidRDefault="00C64377" w:rsidP="00ED1244">
            <w:pPr>
              <w:pStyle w:val="Table-list-bullet"/>
            </w:pPr>
            <w:r w:rsidRPr="000E2D9A">
              <w:t>Leverage opportunities missed.</w:t>
            </w:r>
          </w:p>
          <w:p w14:paraId="6DABE189" w14:textId="77777777" w:rsidR="0054230D" w:rsidRPr="000E2D9A" w:rsidRDefault="00F82AD6" w:rsidP="008E313F">
            <w:pPr>
              <w:pStyle w:val="Table-list-bullet"/>
            </w:pPr>
            <w:r>
              <w:t>MC</w:t>
            </w:r>
            <w:r w:rsidR="0054230D" w:rsidRPr="000E2D9A">
              <w:t xml:space="preserve"> not aware of key </w:t>
            </w:r>
            <w:r w:rsidR="008E313F">
              <w:t>E4G Component</w:t>
            </w:r>
            <w:r w:rsidR="008E313F" w:rsidRPr="000E2D9A">
              <w:t xml:space="preserve"> </w:t>
            </w:r>
            <w:r w:rsidR="0054230D" w:rsidRPr="000E2D9A">
              <w:t>decisions and upcoming demands</w:t>
            </w:r>
            <w:r w:rsidR="001B7DCB">
              <w:t xml:space="preserve"> / </w:t>
            </w:r>
            <w:r w:rsidR="0054230D" w:rsidRPr="000E2D9A">
              <w:t>activities.</w:t>
            </w:r>
          </w:p>
        </w:tc>
        <w:tc>
          <w:tcPr>
            <w:tcW w:w="385" w:type="pct"/>
            <w:shd w:val="clear" w:color="auto" w:fill="auto"/>
          </w:tcPr>
          <w:p w14:paraId="75F835E9" w14:textId="77777777" w:rsidR="0088384C" w:rsidRPr="000E2D9A" w:rsidRDefault="00F82AD6" w:rsidP="00ED1244">
            <w:pPr>
              <w:pStyle w:val="TableTEXT"/>
            </w:pPr>
            <w:r>
              <w:t>MC</w:t>
            </w:r>
          </w:p>
          <w:p w14:paraId="4E391046" w14:textId="77777777" w:rsidR="0088384C" w:rsidRPr="000E2D9A" w:rsidRDefault="0088384C" w:rsidP="00ED1244">
            <w:pPr>
              <w:pStyle w:val="TableTEXT"/>
            </w:pPr>
            <w:r w:rsidRPr="000E2D9A">
              <w:t>DFAT</w:t>
            </w:r>
          </w:p>
        </w:tc>
        <w:tc>
          <w:tcPr>
            <w:tcW w:w="1634" w:type="pct"/>
            <w:shd w:val="clear" w:color="auto" w:fill="auto"/>
          </w:tcPr>
          <w:p w14:paraId="7E32252B" w14:textId="77777777" w:rsidR="0088384C" w:rsidRPr="000E2D9A" w:rsidRDefault="0088384C" w:rsidP="00ED1244">
            <w:pPr>
              <w:pStyle w:val="TableTEXT"/>
            </w:pPr>
            <w:r w:rsidRPr="000E2D9A">
              <w:t>Design</w:t>
            </w:r>
            <w:r w:rsidR="001B7DCB">
              <w:t xml:space="preserve"> / </w:t>
            </w:r>
            <w:r w:rsidRPr="000E2D9A">
              <w:t>contract management arrangements for frequent DFAT-</w:t>
            </w:r>
            <w:r w:rsidR="00F82AD6">
              <w:t>MC</w:t>
            </w:r>
            <w:r w:rsidRPr="000E2D9A">
              <w:t xml:space="preserve"> meetings at operational level implemented</w:t>
            </w:r>
            <w:r w:rsidR="00C64377" w:rsidRPr="000E2D9A">
              <w:t>.</w:t>
            </w:r>
          </w:p>
          <w:p w14:paraId="64C8D75C" w14:textId="77777777" w:rsidR="0088384C" w:rsidRPr="000E2D9A" w:rsidRDefault="0088384C" w:rsidP="008E313F">
            <w:pPr>
              <w:pStyle w:val="TableTEXT"/>
            </w:pPr>
            <w:r w:rsidRPr="000E2D9A">
              <w:t xml:space="preserve">Priority given to </w:t>
            </w:r>
            <w:r w:rsidR="00F82AD6">
              <w:t>MC</w:t>
            </w:r>
            <w:r w:rsidRPr="000E2D9A">
              <w:t xml:space="preserve"> developing a</w:t>
            </w:r>
            <w:r w:rsidR="008E313F">
              <w:t xml:space="preserve"> relevant </w:t>
            </w:r>
            <w:r w:rsidRPr="000E2D9A">
              <w:t xml:space="preserve">Communications </w:t>
            </w:r>
            <w:r w:rsidR="00C64377" w:rsidRPr="000E2D9A">
              <w:t xml:space="preserve">Plan </w:t>
            </w:r>
            <w:r w:rsidR="008E313F">
              <w:t xml:space="preserve">covering the E4G Component </w:t>
            </w:r>
            <w:r w:rsidR="00C64377" w:rsidRPr="000E2D9A">
              <w:t>and</w:t>
            </w:r>
            <w:r w:rsidR="009C7197">
              <w:t xml:space="preserve"> </w:t>
            </w:r>
            <w:r w:rsidR="00C64377" w:rsidRPr="000E2D9A">
              <w:t>Plan accepted by DFAT.</w:t>
            </w:r>
          </w:p>
        </w:tc>
        <w:tc>
          <w:tcPr>
            <w:tcW w:w="288" w:type="pct"/>
            <w:shd w:val="clear" w:color="auto" w:fill="auto"/>
          </w:tcPr>
          <w:p w14:paraId="07FABE44" w14:textId="77777777" w:rsidR="0088384C" w:rsidRPr="000E2D9A" w:rsidRDefault="003A0BFE" w:rsidP="00ED1244">
            <w:pPr>
              <w:pStyle w:val="TableTEXT"/>
            </w:pPr>
            <w:r w:rsidRPr="000E2D9A">
              <w:t>Moderate</w:t>
            </w:r>
          </w:p>
        </w:tc>
      </w:tr>
      <w:tr w:rsidR="0088384C" w:rsidRPr="000E2D9A" w14:paraId="13891C0A" w14:textId="77777777" w:rsidTr="007D3192">
        <w:tc>
          <w:tcPr>
            <w:tcW w:w="1300" w:type="pct"/>
            <w:shd w:val="clear" w:color="auto" w:fill="auto"/>
          </w:tcPr>
          <w:p w14:paraId="7B28667A" w14:textId="77777777" w:rsidR="0088384C" w:rsidRPr="000E2D9A" w:rsidRDefault="0088384C" w:rsidP="008E313F">
            <w:pPr>
              <w:pStyle w:val="TableTEXT"/>
            </w:pPr>
            <w:r w:rsidRPr="000E2D9A">
              <w:t xml:space="preserve">Fragmentation and reduced cohesion of </w:t>
            </w:r>
            <w:r w:rsidR="008E313F">
              <w:t>E4G Component activities</w:t>
            </w:r>
            <w:r w:rsidR="008E313F" w:rsidRPr="000E2D9A">
              <w:t xml:space="preserve"> </w:t>
            </w:r>
            <w:r w:rsidRPr="000E2D9A">
              <w:t xml:space="preserve">due to a large number of small </w:t>
            </w:r>
            <w:r w:rsidR="00C7185D">
              <w:t>Extractive</w:t>
            </w:r>
            <w:r w:rsidRPr="000E2D9A">
              <w:t xml:space="preserve"> activities initiated by </w:t>
            </w:r>
            <w:proofErr w:type="spellStart"/>
            <w:r w:rsidRPr="000E2D9A">
              <w:t>HoMs</w:t>
            </w:r>
            <w:proofErr w:type="spellEnd"/>
            <w:r w:rsidR="00287803" w:rsidRPr="000E2D9A">
              <w:t xml:space="preserve"> across a number of countries in Africa.</w:t>
            </w:r>
          </w:p>
        </w:tc>
        <w:tc>
          <w:tcPr>
            <w:tcW w:w="167" w:type="pct"/>
            <w:shd w:val="clear" w:color="auto" w:fill="auto"/>
          </w:tcPr>
          <w:p w14:paraId="57F04AE8" w14:textId="77777777" w:rsidR="0088384C" w:rsidRPr="000E2D9A" w:rsidRDefault="0088384C" w:rsidP="00ED1244">
            <w:pPr>
              <w:pStyle w:val="TableTEXT"/>
              <w:jc w:val="center"/>
            </w:pPr>
            <w:r w:rsidRPr="000E2D9A">
              <w:t>3</w:t>
            </w:r>
          </w:p>
        </w:tc>
        <w:tc>
          <w:tcPr>
            <w:tcW w:w="128" w:type="pct"/>
            <w:shd w:val="clear" w:color="auto" w:fill="auto"/>
          </w:tcPr>
          <w:p w14:paraId="38769866" w14:textId="77777777" w:rsidR="0088384C" w:rsidRPr="000E2D9A" w:rsidRDefault="00EB2046" w:rsidP="00ED1244">
            <w:pPr>
              <w:pStyle w:val="TableTEXT"/>
              <w:jc w:val="center"/>
            </w:pPr>
            <w:r>
              <w:t>4</w:t>
            </w:r>
          </w:p>
        </w:tc>
        <w:tc>
          <w:tcPr>
            <w:tcW w:w="127" w:type="pct"/>
            <w:shd w:val="clear" w:color="auto" w:fill="auto"/>
          </w:tcPr>
          <w:p w14:paraId="38C14D08" w14:textId="77777777" w:rsidR="0088384C" w:rsidRPr="000E2D9A" w:rsidRDefault="00EB2046" w:rsidP="00EB2046">
            <w:pPr>
              <w:pStyle w:val="TableTEXT"/>
              <w:jc w:val="center"/>
            </w:pPr>
            <w:r>
              <w:t>12</w:t>
            </w:r>
          </w:p>
        </w:tc>
        <w:tc>
          <w:tcPr>
            <w:tcW w:w="971" w:type="pct"/>
            <w:shd w:val="clear" w:color="auto" w:fill="auto"/>
          </w:tcPr>
          <w:p w14:paraId="6AB50CC9" w14:textId="4A375BF2" w:rsidR="0088384C" w:rsidRPr="000E2D9A" w:rsidRDefault="008E313F">
            <w:pPr>
              <w:pStyle w:val="TableTEXT"/>
            </w:pPr>
            <w:r>
              <w:t>E4G Component</w:t>
            </w:r>
            <w:r w:rsidRPr="000E2D9A">
              <w:t xml:space="preserve"> </w:t>
            </w:r>
            <w:r w:rsidR="00EB7878">
              <w:t>outcomes</w:t>
            </w:r>
            <w:r w:rsidR="00EB7878" w:rsidRPr="000E2D9A">
              <w:t xml:space="preserve"> </w:t>
            </w:r>
            <w:r w:rsidR="00964334" w:rsidRPr="000E2D9A">
              <w:t>would be poor.</w:t>
            </w:r>
            <w:r w:rsidR="009C7197">
              <w:t xml:space="preserve"> </w:t>
            </w:r>
            <w:r w:rsidR="00964334" w:rsidRPr="000E2D9A">
              <w:t>A scattered deliver</w:t>
            </w:r>
            <w:r>
              <w:t>y of E4G Component activities</w:t>
            </w:r>
            <w:r w:rsidR="00964334" w:rsidRPr="000E2D9A">
              <w:t xml:space="preserve">, which may be required to support </w:t>
            </w:r>
            <w:proofErr w:type="spellStart"/>
            <w:r w:rsidR="00964334" w:rsidRPr="000E2D9A">
              <w:t>HoMs</w:t>
            </w:r>
            <w:proofErr w:type="spellEnd"/>
            <w:r w:rsidR="00964334" w:rsidRPr="000E2D9A">
              <w:t xml:space="preserve"> bilateral objectives, will diminish the opportunities for program cohesion and for that cohesion to be leveraged for both development and economic diplomacy.</w:t>
            </w:r>
          </w:p>
        </w:tc>
        <w:tc>
          <w:tcPr>
            <w:tcW w:w="385" w:type="pct"/>
            <w:shd w:val="clear" w:color="auto" w:fill="auto"/>
          </w:tcPr>
          <w:p w14:paraId="3EB875E7" w14:textId="77777777" w:rsidR="0088384C" w:rsidRPr="000E2D9A" w:rsidRDefault="0088384C" w:rsidP="00ED1244">
            <w:pPr>
              <w:pStyle w:val="TableTEXT"/>
            </w:pPr>
            <w:r w:rsidRPr="000E2D9A">
              <w:t>DFAT</w:t>
            </w:r>
          </w:p>
        </w:tc>
        <w:tc>
          <w:tcPr>
            <w:tcW w:w="1634" w:type="pct"/>
            <w:shd w:val="clear" w:color="auto" w:fill="auto"/>
          </w:tcPr>
          <w:p w14:paraId="458FF490" w14:textId="77777777" w:rsidR="0088384C" w:rsidRPr="000E2D9A" w:rsidRDefault="0088384C" w:rsidP="00ED1244">
            <w:pPr>
              <w:pStyle w:val="Table-list-bullet"/>
            </w:pPr>
            <w:r w:rsidRPr="000E2D9A">
              <w:t xml:space="preserve">DFAT AFB has primary role in screening proposed </w:t>
            </w:r>
            <w:r w:rsidR="008E313F">
              <w:t>E4G Component</w:t>
            </w:r>
            <w:r w:rsidR="008E313F" w:rsidRPr="000E2D9A">
              <w:t xml:space="preserve"> </w:t>
            </w:r>
            <w:r w:rsidRPr="000E2D9A">
              <w:t>activities</w:t>
            </w:r>
            <w:r w:rsidR="00AB0FA8" w:rsidRPr="000E2D9A">
              <w:t>.</w:t>
            </w:r>
          </w:p>
          <w:p w14:paraId="3EA60364" w14:textId="77777777" w:rsidR="00AB0FA8" w:rsidRPr="000E2D9A" w:rsidRDefault="00AB0FA8" w:rsidP="008E313F">
            <w:pPr>
              <w:pStyle w:val="Table-list-bullet"/>
            </w:pPr>
            <w:r w:rsidRPr="000E2D9A">
              <w:t xml:space="preserve">Provision of </w:t>
            </w:r>
            <w:r w:rsidR="008E313F">
              <w:t xml:space="preserve">E4G Component Activity Programming </w:t>
            </w:r>
            <w:r w:rsidRPr="000E2D9A">
              <w:t>Guidelines</w:t>
            </w:r>
            <w:r w:rsidR="001B7DCB">
              <w:t xml:space="preserve"> / </w:t>
            </w:r>
            <w:r w:rsidRPr="000E2D9A">
              <w:t xml:space="preserve">Toolkit for </w:t>
            </w:r>
            <w:proofErr w:type="spellStart"/>
            <w:r w:rsidRPr="000E2D9A">
              <w:t>HoMs</w:t>
            </w:r>
            <w:proofErr w:type="spellEnd"/>
            <w:r w:rsidRPr="000E2D9A">
              <w:t xml:space="preserve"> to maximise Program cohesion and opportunity for mutual leveraging.</w:t>
            </w:r>
          </w:p>
        </w:tc>
        <w:tc>
          <w:tcPr>
            <w:tcW w:w="288" w:type="pct"/>
            <w:shd w:val="clear" w:color="auto" w:fill="auto"/>
          </w:tcPr>
          <w:p w14:paraId="01DCED52" w14:textId="77777777" w:rsidR="0088384C" w:rsidRPr="000E2D9A" w:rsidRDefault="00EB2046" w:rsidP="00ED1244">
            <w:pPr>
              <w:pStyle w:val="TableTEXT"/>
            </w:pPr>
            <w:r>
              <w:t>Moderate</w:t>
            </w:r>
          </w:p>
        </w:tc>
      </w:tr>
      <w:tr w:rsidR="0088384C" w:rsidRPr="000E2D9A" w14:paraId="56395222" w14:textId="77777777" w:rsidTr="007D3192">
        <w:tc>
          <w:tcPr>
            <w:tcW w:w="1300" w:type="pct"/>
            <w:shd w:val="clear" w:color="auto" w:fill="auto"/>
          </w:tcPr>
          <w:p w14:paraId="0E05566C" w14:textId="77777777" w:rsidR="0088384C" w:rsidRPr="000E2D9A" w:rsidRDefault="0088384C" w:rsidP="008E313F">
            <w:pPr>
              <w:pStyle w:val="TableTEXT"/>
            </w:pPr>
            <w:r w:rsidRPr="000E2D9A">
              <w:t xml:space="preserve">Reputational risk to DFAT over potential negative environmental or social impact of </w:t>
            </w:r>
            <w:r w:rsidR="008E313F">
              <w:t>E4G Component</w:t>
            </w:r>
            <w:r w:rsidR="008E313F" w:rsidRPr="000E2D9A">
              <w:t xml:space="preserve"> </w:t>
            </w:r>
            <w:r w:rsidRPr="000E2D9A">
              <w:t xml:space="preserve">activities. </w:t>
            </w:r>
          </w:p>
        </w:tc>
        <w:tc>
          <w:tcPr>
            <w:tcW w:w="167" w:type="pct"/>
            <w:shd w:val="clear" w:color="auto" w:fill="auto"/>
          </w:tcPr>
          <w:p w14:paraId="7DD12CD8" w14:textId="77777777" w:rsidR="0088384C" w:rsidRPr="000E2D9A" w:rsidRDefault="0088384C" w:rsidP="00ED1244">
            <w:pPr>
              <w:pStyle w:val="TableTEXT"/>
              <w:jc w:val="center"/>
            </w:pPr>
            <w:r w:rsidRPr="000E2D9A">
              <w:t>3</w:t>
            </w:r>
          </w:p>
        </w:tc>
        <w:tc>
          <w:tcPr>
            <w:tcW w:w="128" w:type="pct"/>
            <w:shd w:val="clear" w:color="auto" w:fill="auto"/>
          </w:tcPr>
          <w:p w14:paraId="5CB262D6" w14:textId="77777777" w:rsidR="0088384C" w:rsidRPr="000E2D9A" w:rsidRDefault="0088384C" w:rsidP="00ED1244">
            <w:pPr>
              <w:pStyle w:val="TableTEXT"/>
              <w:jc w:val="center"/>
            </w:pPr>
            <w:r w:rsidRPr="000E2D9A">
              <w:t>4</w:t>
            </w:r>
          </w:p>
        </w:tc>
        <w:tc>
          <w:tcPr>
            <w:tcW w:w="127" w:type="pct"/>
            <w:shd w:val="clear" w:color="auto" w:fill="auto"/>
          </w:tcPr>
          <w:p w14:paraId="42869C0F" w14:textId="77777777" w:rsidR="0088384C" w:rsidRPr="000E2D9A" w:rsidRDefault="0088384C" w:rsidP="00ED1244">
            <w:pPr>
              <w:pStyle w:val="TableTEXT"/>
              <w:jc w:val="center"/>
            </w:pPr>
            <w:r w:rsidRPr="000E2D9A">
              <w:t>12</w:t>
            </w:r>
          </w:p>
        </w:tc>
        <w:tc>
          <w:tcPr>
            <w:tcW w:w="971" w:type="pct"/>
            <w:shd w:val="clear" w:color="auto" w:fill="auto"/>
          </w:tcPr>
          <w:p w14:paraId="411DD001" w14:textId="48CF25EF" w:rsidR="0088384C" w:rsidRPr="000E2D9A" w:rsidRDefault="008E313F">
            <w:pPr>
              <w:pStyle w:val="TableTEXT"/>
            </w:pPr>
            <w:r>
              <w:t>E4G Component activity</w:t>
            </w:r>
            <w:r w:rsidRPr="000E2D9A">
              <w:t xml:space="preserve"> </w:t>
            </w:r>
            <w:r w:rsidR="00AE4EBF" w:rsidRPr="000E2D9A">
              <w:t>implementation slows and</w:t>
            </w:r>
            <w:r w:rsidR="001B7DCB">
              <w:t xml:space="preserve"> / </w:t>
            </w:r>
            <w:r w:rsidR="00AE4EBF" w:rsidRPr="000E2D9A">
              <w:t xml:space="preserve">or expected </w:t>
            </w:r>
            <w:r w:rsidR="00EB7878">
              <w:t>outcomes</w:t>
            </w:r>
            <w:r w:rsidR="00EB7878" w:rsidRPr="000E2D9A">
              <w:t xml:space="preserve"> </w:t>
            </w:r>
            <w:r w:rsidR="00AE4EBF" w:rsidRPr="000E2D9A">
              <w:t xml:space="preserve">not achieved due to actual or perceived controversy associated with </w:t>
            </w:r>
            <w:r>
              <w:t>E4G Component</w:t>
            </w:r>
            <w:r w:rsidRPr="000E2D9A">
              <w:t xml:space="preserve"> </w:t>
            </w:r>
            <w:r w:rsidR="00AE4EBF" w:rsidRPr="000E2D9A">
              <w:t>activities.</w:t>
            </w:r>
          </w:p>
        </w:tc>
        <w:tc>
          <w:tcPr>
            <w:tcW w:w="385" w:type="pct"/>
            <w:shd w:val="clear" w:color="auto" w:fill="auto"/>
          </w:tcPr>
          <w:p w14:paraId="2FC18710" w14:textId="77777777" w:rsidR="0088384C" w:rsidRPr="000E2D9A" w:rsidRDefault="0088384C" w:rsidP="00ED1244">
            <w:pPr>
              <w:pStyle w:val="TableTEXT"/>
            </w:pPr>
            <w:r w:rsidRPr="000E2D9A">
              <w:t>DFAT</w:t>
            </w:r>
          </w:p>
        </w:tc>
        <w:tc>
          <w:tcPr>
            <w:tcW w:w="1634" w:type="pct"/>
            <w:shd w:val="clear" w:color="auto" w:fill="auto"/>
          </w:tcPr>
          <w:p w14:paraId="2E673C57" w14:textId="352CB068" w:rsidR="0088384C" w:rsidRPr="000E2D9A" w:rsidRDefault="0088384C" w:rsidP="007D3192">
            <w:pPr>
              <w:pStyle w:val="Table-list-bullet"/>
            </w:pPr>
            <w:r w:rsidRPr="000E2D9A">
              <w:t xml:space="preserve">DFAT commission </w:t>
            </w:r>
            <w:r w:rsidR="00B61AD0">
              <w:t xml:space="preserve">development of </w:t>
            </w:r>
            <w:r w:rsidRPr="000E2D9A">
              <w:t>Strategic Environmental Risk Assessment</w:t>
            </w:r>
            <w:r w:rsidR="008E313F">
              <w:t xml:space="preserve"> </w:t>
            </w:r>
            <w:r w:rsidR="00B61AD0">
              <w:t xml:space="preserve">criteria and process </w:t>
            </w:r>
            <w:r w:rsidRPr="000E2D9A">
              <w:t xml:space="preserve">to assess potential risks and, to incorporate recommendations into </w:t>
            </w:r>
            <w:r w:rsidR="008E313F">
              <w:t>E4G Component activities’</w:t>
            </w:r>
            <w:r w:rsidR="008E313F" w:rsidRPr="000E2D9A">
              <w:t xml:space="preserve"> </w:t>
            </w:r>
            <w:r w:rsidRPr="000E2D9A">
              <w:t xml:space="preserve">operational procedures, if required. </w:t>
            </w:r>
          </w:p>
          <w:p w14:paraId="4982B30A" w14:textId="4DEF258E" w:rsidR="00AE4EBF" w:rsidRPr="000E2D9A" w:rsidRDefault="00AE4EBF" w:rsidP="007D3192">
            <w:pPr>
              <w:pStyle w:val="Table-list-bullet"/>
            </w:pPr>
            <w:r w:rsidRPr="000E2D9A">
              <w:t xml:space="preserve">All </w:t>
            </w:r>
            <w:r w:rsidR="008E313F">
              <w:t>E4G Component</w:t>
            </w:r>
            <w:r w:rsidR="008E313F" w:rsidRPr="000E2D9A">
              <w:t xml:space="preserve"> </w:t>
            </w:r>
            <w:r w:rsidRPr="000E2D9A">
              <w:t>activities vetted against Environmental and Reputational Risk criteria</w:t>
            </w:r>
            <w:r w:rsidR="00B61AD0">
              <w:t>, including AAPF activities rolled over to AADP (i.e. pilot activities in Focus Countries).</w:t>
            </w:r>
          </w:p>
        </w:tc>
        <w:tc>
          <w:tcPr>
            <w:tcW w:w="288" w:type="pct"/>
            <w:shd w:val="clear" w:color="auto" w:fill="auto"/>
          </w:tcPr>
          <w:p w14:paraId="361B73E1" w14:textId="77777777" w:rsidR="0088384C" w:rsidRPr="000E2D9A" w:rsidRDefault="003A0BFE" w:rsidP="00ED1244">
            <w:pPr>
              <w:pStyle w:val="TableTEXT"/>
            </w:pPr>
            <w:r w:rsidRPr="000E2D9A">
              <w:t>Moderate</w:t>
            </w:r>
          </w:p>
        </w:tc>
      </w:tr>
      <w:tr w:rsidR="007E43F1" w:rsidRPr="000E2D9A" w14:paraId="4E04CA7B" w14:textId="77777777" w:rsidTr="007D3192">
        <w:tc>
          <w:tcPr>
            <w:tcW w:w="5000" w:type="pct"/>
            <w:gridSpan w:val="8"/>
            <w:shd w:val="clear" w:color="auto" w:fill="DEEAF6" w:themeFill="accent1" w:themeFillTint="33"/>
          </w:tcPr>
          <w:p w14:paraId="7010C28F" w14:textId="77777777" w:rsidR="007E43F1" w:rsidRPr="000E2D9A" w:rsidRDefault="007E43F1" w:rsidP="008E313F">
            <w:pPr>
              <w:pStyle w:val="TableHeader"/>
            </w:pPr>
            <w:r w:rsidRPr="000E2D9A">
              <w:t xml:space="preserve">Transition </w:t>
            </w:r>
            <w:r w:rsidR="008E313F">
              <w:t>R</w:t>
            </w:r>
            <w:r w:rsidRPr="000E2D9A">
              <w:t>isks</w:t>
            </w:r>
            <w:r w:rsidR="008E313F">
              <w:t xml:space="preserve"> for E4G Component</w:t>
            </w:r>
          </w:p>
        </w:tc>
      </w:tr>
      <w:tr w:rsidR="0088384C" w:rsidRPr="000E2D9A" w14:paraId="44380606" w14:textId="77777777" w:rsidTr="007D3192">
        <w:tc>
          <w:tcPr>
            <w:tcW w:w="1300" w:type="pct"/>
            <w:shd w:val="clear" w:color="auto" w:fill="auto"/>
          </w:tcPr>
          <w:p w14:paraId="28D8A521" w14:textId="77777777" w:rsidR="0088384C" w:rsidRPr="000E2D9A" w:rsidRDefault="0088384C" w:rsidP="008E313F">
            <w:pPr>
              <w:pStyle w:val="TableTEXT"/>
            </w:pPr>
            <w:r w:rsidRPr="000E2D9A">
              <w:t xml:space="preserve">Protracted AADP tender process and contract negotiation impact adversely on transition arrangements and </w:t>
            </w:r>
            <w:r w:rsidR="008E313F">
              <w:t>E4G Component activity</w:t>
            </w:r>
            <w:r w:rsidR="008E313F" w:rsidRPr="000E2D9A">
              <w:t xml:space="preserve"> </w:t>
            </w:r>
            <w:r w:rsidRPr="000E2D9A">
              <w:t xml:space="preserve">implementation </w:t>
            </w:r>
          </w:p>
        </w:tc>
        <w:tc>
          <w:tcPr>
            <w:tcW w:w="167" w:type="pct"/>
            <w:shd w:val="clear" w:color="auto" w:fill="auto"/>
          </w:tcPr>
          <w:p w14:paraId="1A43B1AA" w14:textId="77777777" w:rsidR="0088384C" w:rsidRPr="000E2D9A" w:rsidRDefault="0088384C" w:rsidP="00ED1244">
            <w:pPr>
              <w:pStyle w:val="TableTEXT"/>
              <w:jc w:val="center"/>
            </w:pPr>
            <w:r w:rsidRPr="000E2D9A">
              <w:t>3</w:t>
            </w:r>
          </w:p>
        </w:tc>
        <w:tc>
          <w:tcPr>
            <w:tcW w:w="128" w:type="pct"/>
            <w:shd w:val="clear" w:color="auto" w:fill="auto"/>
          </w:tcPr>
          <w:p w14:paraId="320395F5" w14:textId="77777777" w:rsidR="0088384C" w:rsidRPr="000E2D9A" w:rsidRDefault="0088384C" w:rsidP="00ED1244">
            <w:pPr>
              <w:pStyle w:val="TableTEXT"/>
              <w:jc w:val="center"/>
            </w:pPr>
            <w:r w:rsidRPr="000E2D9A">
              <w:t>5</w:t>
            </w:r>
          </w:p>
        </w:tc>
        <w:tc>
          <w:tcPr>
            <w:tcW w:w="127" w:type="pct"/>
            <w:shd w:val="clear" w:color="auto" w:fill="auto"/>
          </w:tcPr>
          <w:p w14:paraId="4E9CB19E" w14:textId="77777777" w:rsidR="0088384C" w:rsidRPr="000E2D9A" w:rsidRDefault="0088384C" w:rsidP="00ED1244">
            <w:pPr>
              <w:pStyle w:val="TableTEXT"/>
              <w:jc w:val="center"/>
            </w:pPr>
            <w:r w:rsidRPr="000E2D9A">
              <w:t>15</w:t>
            </w:r>
          </w:p>
        </w:tc>
        <w:tc>
          <w:tcPr>
            <w:tcW w:w="971" w:type="pct"/>
            <w:shd w:val="clear" w:color="auto" w:fill="auto"/>
          </w:tcPr>
          <w:p w14:paraId="6C56DD87" w14:textId="77777777" w:rsidR="0088384C" w:rsidRPr="000E2D9A" w:rsidRDefault="008E313F" w:rsidP="00ED1244">
            <w:pPr>
              <w:pStyle w:val="TableTEXT"/>
            </w:pPr>
            <w:r>
              <w:t>E4G Component activity</w:t>
            </w:r>
            <w:r w:rsidRPr="000E2D9A">
              <w:t xml:space="preserve"> </w:t>
            </w:r>
            <w:r w:rsidR="00483089" w:rsidRPr="000E2D9A">
              <w:t>implementation would slow.</w:t>
            </w:r>
            <w:r w:rsidR="009C7197">
              <w:t xml:space="preserve"> </w:t>
            </w:r>
            <w:r w:rsidR="00483089" w:rsidRPr="000E2D9A">
              <w:t>Exemption Minutes for extensions required by January 2014 if tender timetable slips.</w:t>
            </w:r>
          </w:p>
        </w:tc>
        <w:tc>
          <w:tcPr>
            <w:tcW w:w="385" w:type="pct"/>
            <w:shd w:val="clear" w:color="auto" w:fill="auto"/>
          </w:tcPr>
          <w:p w14:paraId="5B7D69CB" w14:textId="77777777" w:rsidR="0088384C" w:rsidRPr="000E2D9A" w:rsidRDefault="0088384C" w:rsidP="00ED1244">
            <w:pPr>
              <w:pStyle w:val="TableTEXT"/>
            </w:pPr>
            <w:r w:rsidRPr="000E2D9A">
              <w:t>DFAT</w:t>
            </w:r>
          </w:p>
        </w:tc>
        <w:tc>
          <w:tcPr>
            <w:tcW w:w="1634" w:type="pct"/>
            <w:shd w:val="clear" w:color="auto" w:fill="auto"/>
          </w:tcPr>
          <w:p w14:paraId="7550845C" w14:textId="77777777" w:rsidR="0088384C" w:rsidRPr="000E2D9A" w:rsidRDefault="00483089" w:rsidP="007D3192">
            <w:pPr>
              <w:pStyle w:val="Table-list-bullet"/>
            </w:pPr>
            <w:r w:rsidRPr="000E2D9A">
              <w:t xml:space="preserve">Draw up draft Exemption Minutes in contemplation of </w:t>
            </w:r>
            <w:r w:rsidR="008D3FF1" w:rsidRPr="000E2D9A">
              <w:t xml:space="preserve">timetable </w:t>
            </w:r>
            <w:r w:rsidRPr="000E2D9A">
              <w:t>slippage.</w:t>
            </w:r>
          </w:p>
          <w:p w14:paraId="2CF2A1AD" w14:textId="77777777" w:rsidR="00483089" w:rsidRPr="000E2D9A" w:rsidRDefault="00483089" w:rsidP="007D3192">
            <w:pPr>
              <w:pStyle w:val="Table-list-bullet"/>
            </w:pPr>
            <w:r w:rsidRPr="000E2D9A">
              <w:t xml:space="preserve">Minimum three month </w:t>
            </w:r>
            <w:r w:rsidR="00F82AD6">
              <w:t>MC</w:t>
            </w:r>
            <w:r w:rsidR="005F3EE3" w:rsidRPr="000E2D9A">
              <w:t>-</w:t>
            </w:r>
            <w:r w:rsidR="00F82AD6">
              <w:t>MC</w:t>
            </w:r>
            <w:r w:rsidR="005F3EE3" w:rsidRPr="000E2D9A">
              <w:t xml:space="preserve"> </w:t>
            </w:r>
            <w:r w:rsidRPr="000E2D9A">
              <w:t>handover period.</w:t>
            </w:r>
          </w:p>
        </w:tc>
        <w:tc>
          <w:tcPr>
            <w:tcW w:w="288" w:type="pct"/>
            <w:shd w:val="clear" w:color="auto" w:fill="auto"/>
          </w:tcPr>
          <w:p w14:paraId="7331452F" w14:textId="77777777" w:rsidR="0088384C" w:rsidRPr="000E2D9A" w:rsidRDefault="003A0BFE" w:rsidP="00ED1244">
            <w:pPr>
              <w:pStyle w:val="TableTEXT"/>
            </w:pPr>
            <w:r w:rsidRPr="000E2D9A">
              <w:t>High</w:t>
            </w:r>
          </w:p>
        </w:tc>
      </w:tr>
      <w:tr w:rsidR="0088384C" w:rsidRPr="000E2D9A" w14:paraId="611208F9" w14:textId="77777777" w:rsidTr="007D3192">
        <w:tc>
          <w:tcPr>
            <w:tcW w:w="1300" w:type="pct"/>
            <w:shd w:val="clear" w:color="auto" w:fill="auto"/>
          </w:tcPr>
          <w:p w14:paraId="344BE807" w14:textId="77777777" w:rsidR="0088384C" w:rsidRPr="000E2D9A" w:rsidRDefault="0088384C" w:rsidP="008E313F">
            <w:pPr>
              <w:pStyle w:val="TableTEXT"/>
            </w:pPr>
            <w:r w:rsidRPr="000E2D9A">
              <w:t xml:space="preserve">Loss of experienced staff from </w:t>
            </w:r>
            <w:r w:rsidR="009F4B04" w:rsidRPr="000E2D9A">
              <w:t xml:space="preserve">existing </w:t>
            </w:r>
            <w:r w:rsidRPr="000E2D9A">
              <w:t xml:space="preserve">AAPF </w:t>
            </w:r>
            <w:r w:rsidR="00F82AD6">
              <w:t>MC</w:t>
            </w:r>
            <w:r w:rsidRPr="000E2D9A">
              <w:t xml:space="preserve"> adversely affect</w:t>
            </w:r>
            <w:r w:rsidR="009F4B04" w:rsidRPr="000E2D9A">
              <w:t>s</w:t>
            </w:r>
            <w:r w:rsidRPr="000E2D9A">
              <w:t xml:space="preserve"> AADP implementation</w:t>
            </w:r>
          </w:p>
        </w:tc>
        <w:tc>
          <w:tcPr>
            <w:tcW w:w="167" w:type="pct"/>
            <w:shd w:val="clear" w:color="auto" w:fill="auto"/>
          </w:tcPr>
          <w:p w14:paraId="5F1111D5" w14:textId="77777777" w:rsidR="0088384C" w:rsidRPr="000E2D9A" w:rsidRDefault="00EB2046" w:rsidP="00EB2046">
            <w:pPr>
              <w:pStyle w:val="TableTEXT"/>
              <w:jc w:val="center"/>
            </w:pPr>
            <w:r>
              <w:t>3</w:t>
            </w:r>
          </w:p>
        </w:tc>
        <w:tc>
          <w:tcPr>
            <w:tcW w:w="128" w:type="pct"/>
            <w:shd w:val="clear" w:color="auto" w:fill="auto"/>
          </w:tcPr>
          <w:p w14:paraId="2CE6088C" w14:textId="77777777" w:rsidR="0088384C" w:rsidRPr="007C284F" w:rsidRDefault="00EB2046" w:rsidP="00ED1244">
            <w:pPr>
              <w:pStyle w:val="TableTEXT"/>
              <w:jc w:val="center"/>
            </w:pPr>
            <w:r>
              <w:t>4</w:t>
            </w:r>
          </w:p>
        </w:tc>
        <w:tc>
          <w:tcPr>
            <w:tcW w:w="127" w:type="pct"/>
            <w:shd w:val="clear" w:color="auto" w:fill="auto"/>
          </w:tcPr>
          <w:p w14:paraId="0FE2B97B" w14:textId="77777777" w:rsidR="0088384C" w:rsidRPr="007C284F" w:rsidRDefault="00EB2046" w:rsidP="00EB2046">
            <w:pPr>
              <w:pStyle w:val="TableTEXT"/>
              <w:jc w:val="center"/>
            </w:pPr>
            <w:r>
              <w:t>1</w:t>
            </w:r>
            <w:r w:rsidR="00BC71AB" w:rsidRPr="007C284F">
              <w:t>2</w:t>
            </w:r>
          </w:p>
        </w:tc>
        <w:tc>
          <w:tcPr>
            <w:tcW w:w="971" w:type="pct"/>
            <w:shd w:val="clear" w:color="auto" w:fill="auto"/>
          </w:tcPr>
          <w:p w14:paraId="07F25644" w14:textId="77777777" w:rsidR="0088384C" w:rsidRPr="007C284F" w:rsidRDefault="008E313F" w:rsidP="008E313F">
            <w:pPr>
              <w:pStyle w:val="TableTEXT"/>
            </w:pPr>
            <w:r>
              <w:t>E4G Component activity</w:t>
            </w:r>
            <w:r w:rsidRPr="007C284F">
              <w:t xml:space="preserve"> </w:t>
            </w:r>
            <w:r w:rsidR="000B5BE3" w:rsidRPr="007C284F">
              <w:t>implementation</w:t>
            </w:r>
            <w:r w:rsidR="0050345D" w:rsidRPr="007C284F">
              <w:t xml:space="preserve"> would slow if key </w:t>
            </w:r>
            <w:r>
              <w:t xml:space="preserve">E4G </w:t>
            </w:r>
            <w:r w:rsidR="007D3192">
              <w:t>Component</w:t>
            </w:r>
            <w:r>
              <w:t xml:space="preserve"> </w:t>
            </w:r>
            <w:proofErr w:type="gramStart"/>
            <w:r w:rsidR="0050345D" w:rsidRPr="007C284F">
              <w:t>staff decide</w:t>
            </w:r>
            <w:proofErr w:type="gramEnd"/>
            <w:r w:rsidR="0050345D" w:rsidRPr="007C284F">
              <w:t xml:space="preserve"> to leave prior to re-contracting.</w:t>
            </w:r>
          </w:p>
        </w:tc>
        <w:tc>
          <w:tcPr>
            <w:tcW w:w="385" w:type="pct"/>
            <w:shd w:val="clear" w:color="auto" w:fill="auto"/>
          </w:tcPr>
          <w:p w14:paraId="76E4131E" w14:textId="77777777" w:rsidR="0088384C" w:rsidRPr="007C284F" w:rsidRDefault="0088384C" w:rsidP="00ED1244">
            <w:pPr>
              <w:pStyle w:val="TableTEXT"/>
            </w:pPr>
            <w:r w:rsidRPr="007C284F">
              <w:t>DFAT</w:t>
            </w:r>
          </w:p>
        </w:tc>
        <w:tc>
          <w:tcPr>
            <w:tcW w:w="1634" w:type="pct"/>
            <w:shd w:val="clear" w:color="auto" w:fill="auto"/>
          </w:tcPr>
          <w:p w14:paraId="26BE4A61" w14:textId="77777777" w:rsidR="0088384C" w:rsidRPr="007C284F" w:rsidRDefault="00BD2D01" w:rsidP="007E78F8">
            <w:pPr>
              <w:pStyle w:val="Table-list-bullet"/>
            </w:pPr>
            <w:r w:rsidRPr="007C284F">
              <w:t>Preferred Option:</w:t>
            </w:r>
            <w:r w:rsidR="009C7197">
              <w:t xml:space="preserve"> </w:t>
            </w:r>
            <w:r w:rsidRPr="007C284F">
              <w:t>Incoming</w:t>
            </w:r>
            <w:r w:rsidR="009C7197">
              <w:t xml:space="preserve"> </w:t>
            </w:r>
            <w:r w:rsidRPr="007C284F">
              <w:t xml:space="preserve">AADP </w:t>
            </w:r>
            <w:r w:rsidR="00F82AD6">
              <w:t>MC</w:t>
            </w:r>
            <w:r w:rsidRPr="007C284F">
              <w:t xml:space="preserve"> </w:t>
            </w:r>
            <w:r w:rsidR="0088384C" w:rsidRPr="007C284F">
              <w:t>retain</w:t>
            </w:r>
            <w:r w:rsidRPr="007C284F">
              <w:t xml:space="preserve">s Pretoria as </w:t>
            </w:r>
            <w:r w:rsidR="007E78F8" w:rsidRPr="007E78F8">
              <w:t>Program Implementation Unit</w:t>
            </w:r>
            <w:r w:rsidRPr="007C284F">
              <w:t xml:space="preserve"> </w:t>
            </w:r>
            <w:r w:rsidR="0088384C" w:rsidRPr="007C284F">
              <w:t>location</w:t>
            </w:r>
          </w:p>
          <w:p w14:paraId="6D38350A" w14:textId="77777777" w:rsidR="0088384C" w:rsidRPr="007C284F" w:rsidRDefault="0088384C" w:rsidP="007D3192">
            <w:pPr>
              <w:pStyle w:val="Table-list-bullet"/>
            </w:pPr>
            <w:r w:rsidRPr="007C284F">
              <w:t xml:space="preserve">Subject to legal advice, novation of existing AAPF staff to AADP </w:t>
            </w:r>
            <w:r w:rsidR="00F82AD6">
              <w:t>MC</w:t>
            </w:r>
          </w:p>
        </w:tc>
        <w:tc>
          <w:tcPr>
            <w:tcW w:w="288" w:type="pct"/>
            <w:shd w:val="clear" w:color="auto" w:fill="auto"/>
          </w:tcPr>
          <w:p w14:paraId="2057BD9E" w14:textId="77777777" w:rsidR="0088384C" w:rsidRPr="007C284F" w:rsidRDefault="00EB2046" w:rsidP="00ED1244">
            <w:pPr>
              <w:pStyle w:val="TableTEXT"/>
            </w:pPr>
            <w:r>
              <w:t>Moderate</w:t>
            </w:r>
          </w:p>
        </w:tc>
      </w:tr>
      <w:tr w:rsidR="007D3192" w:rsidRPr="007D3192" w14:paraId="711BB70F" w14:textId="77777777" w:rsidTr="007D3192">
        <w:tc>
          <w:tcPr>
            <w:tcW w:w="5000" w:type="pct"/>
            <w:gridSpan w:val="8"/>
            <w:shd w:val="clear" w:color="auto" w:fill="DEEAF6" w:themeFill="accent1" w:themeFillTint="33"/>
          </w:tcPr>
          <w:p w14:paraId="0BEF299A" w14:textId="77777777" w:rsidR="007D3192" w:rsidRPr="007D3192" w:rsidRDefault="007D3192" w:rsidP="007D3192">
            <w:pPr>
              <w:pStyle w:val="TableTEXT"/>
              <w:rPr>
                <w:b/>
              </w:rPr>
            </w:pPr>
            <w:r w:rsidRPr="007D3192">
              <w:rPr>
                <w:b/>
              </w:rPr>
              <w:t>Value for Money</w:t>
            </w:r>
          </w:p>
        </w:tc>
      </w:tr>
      <w:tr w:rsidR="007D3192" w:rsidRPr="000E2D9A" w14:paraId="2AFA0016" w14:textId="77777777" w:rsidTr="007D3192">
        <w:tc>
          <w:tcPr>
            <w:tcW w:w="1300" w:type="pct"/>
            <w:shd w:val="clear" w:color="auto" w:fill="auto"/>
          </w:tcPr>
          <w:p w14:paraId="4F4AAA8B" w14:textId="77777777" w:rsidR="007D3192" w:rsidRPr="000E2D9A" w:rsidRDefault="007D3192" w:rsidP="007D3192">
            <w:pPr>
              <w:pStyle w:val="TableTEXT"/>
            </w:pPr>
            <w:r>
              <w:t>E4G Component</w:t>
            </w:r>
            <w:r w:rsidRPr="00ED1244">
              <w:t xml:space="preserve"> </w:t>
            </w:r>
            <w:r>
              <w:t>sub-contractors</w:t>
            </w:r>
            <w:r w:rsidRPr="00ED1244">
              <w:t>’</w:t>
            </w:r>
            <w:r>
              <w:t xml:space="preserve"> / </w:t>
            </w:r>
            <w:r w:rsidRPr="00ED1244">
              <w:t>private sector agencies’ poor performance</w:t>
            </w:r>
          </w:p>
        </w:tc>
        <w:tc>
          <w:tcPr>
            <w:tcW w:w="167" w:type="pct"/>
            <w:shd w:val="clear" w:color="auto" w:fill="auto"/>
          </w:tcPr>
          <w:p w14:paraId="7E7D6624" w14:textId="77777777" w:rsidR="007D3192" w:rsidRDefault="007D3192" w:rsidP="007D3192">
            <w:pPr>
              <w:pStyle w:val="TableTEXT"/>
              <w:jc w:val="center"/>
            </w:pPr>
            <w:r w:rsidRPr="00ED1244">
              <w:t>3</w:t>
            </w:r>
          </w:p>
        </w:tc>
        <w:tc>
          <w:tcPr>
            <w:tcW w:w="128" w:type="pct"/>
            <w:shd w:val="clear" w:color="auto" w:fill="auto"/>
          </w:tcPr>
          <w:p w14:paraId="2BC47681" w14:textId="77777777" w:rsidR="007D3192" w:rsidRDefault="007D3192" w:rsidP="007D3192">
            <w:pPr>
              <w:pStyle w:val="TableTEXT"/>
              <w:jc w:val="center"/>
            </w:pPr>
            <w:r w:rsidRPr="00ED1244">
              <w:t>4</w:t>
            </w:r>
          </w:p>
        </w:tc>
        <w:tc>
          <w:tcPr>
            <w:tcW w:w="127" w:type="pct"/>
            <w:shd w:val="clear" w:color="auto" w:fill="auto"/>
          </w:tcPr>
          <w:p w14:paraId="2B02FD6B" w14:textId="77777777" w:rsidR="007D3192" w:rsidRDefault="007D3192" w:rsidP="007D3192">
            <w:pPr>
              <w:pStyle w:val="TableTEXT"/>
              <w:jc w:val="center"/>
            </w:pPr>
            <w:r w:rsidRPr="00ED1244">
              <w:t>12</w:t>
            </w:r>
          </w:p>
        </w:tc>
        <w:tc>
          <w:tcPr>
            <w:tcW w:w="971" w:type="pct"/>
            <w:shd w:val="clear" w:color="auto" w:fill="auto"/>
          </w:tcPr>
          <w:p w14:paraId="2CC0C172" w14:textId="77777777" w:rsidR="007D3192" w:rsidRPr="00ED1244" w:rsidRDefault="007D3192" w:rsidP="007D3192">
            <w:pPr>
              <w:pStyle w:val="TableTEXT"/>
            </w:pPr>
            <w:r>
              <w:t>E4G Component</w:t>
            </w:r>
            <w:r w:rsidRPr="00ED1244">
              <w:t xml:space="preserve"> </w:t>
            </w:r>
            <w:r>
              <w:t xml:space="preserve">sub-contractors/ </w:t>
            </w:r>
            <w:r w:rsidRPr="00ED1244">
              <w:t xml:space="preserve">private sector agencies unable to demonstrate performance or </w:t>
            </w:r>
            <w:r w:rsidR="00ED2B41" w:rsidRPr="00ED2B41">
              <w:t xml:space="preserve">value for money </w:t>
            </w:r>
            <w:r w:rsidRPr="00ED1244">
              <w:t>outcomes to DFAT.</w:t>
            </w:r>
          </w:p>
          <w:p w14:paraId="79CA0881" w14:textId="77777777" w:rsidR="007D3192" w:rsidRDefault="007D3192" w:rsidP="007D3192">
            <w:pPr>
              <w:pStyle w:val="TableTEXT"/>
            </w:pPr>
            <w:r w:rsidRPr="00ED1244">
              <w:t>Risk of Fraud or lowering of service levels</w:t>
            </w:r>
            <w:r>
              <w:t xml:space="preserve"> / </w:t>
            </w:r>
            <w:r w:rsidRPr="00ED1244">
              <w:t>quality received from providers.</w:t>
            </w:r>
          </w:p>
        </w:tc>
        <w:tc>
          <w:tcPr>
            <w:tcW w:w="385" w:type="pct"/>
            <w:shd w:val="clear" w:color="auto" w:fill="auto"/>
          </w:tcPr>
          <w:p w14:paraId="56B531C0" w14:textId="77777777" w:rsidR="007D3192" w:rsidRPr="007C284F" w:rsidRDefault="007D3192" w:rsidP="007D3192">
            <w:pPr>
              <w:pStyle w:val="TableTEXT"/>
            </w:pPr>
            <w:r w:rsidRPr="00ED1244">
              <w:t>MC</w:t>
            </w:r>
          </w:p>
        </w:tc>
        <w:tc>
          <w:tcPr>
            <w:tcW w:w="1634" w:type="pct"/>
            <w:shd w:val="clear" w:color="auto" w:fill="auto"/>
          </w:tcPr>
          <w:p w14:paraId="00427A61" w14:textId="77777777" w:rsidR="007D3192" w:rsidRPr="00ED1244" w:rsidRDefault="007D3192" w:rsidP="007D3192">
            <w:pPr>
              <w:pStyle w:val="Table-list-bullet"/>
            </w:pPr>
            <w:r w:rsidRPr="00ED1244">
              <w:t>Ongoing monitoring of the quality of work and level of service provision.</w:t>
            </w:r>
          </w:p>
          <w:p w14:paraId="115D96BC" w14:textId="77777777" w:rsidR="007D3192" w:rsidRPr="00ED1244" w:rsidRDefault="007D3192" w:rsidP="007D3192">
            <w:pPr>
              <w:pStyle w:val="Table-list-bullet"/>
            </w:pPr>
            <w:r w:rsidRPr="00ED1244">
              <w:t>Use Operations Manual and finance procedures to confirm quality before payment.</w:t>
            </w:r>
          </w:p>
          <w:p w14:paraId="4E6C6651" w14:textId="77777777" w:rsidR="007D3192" w:rsidRPr="00ED1244" w:rsidRDefault="007D3192" w:rsidP="007D3192">
            <w:pPr>
              <w:pStyle w:val="Table-list-bullet"/>
            </w:pPr>
            <w:r w:rsidRPr="00ED1244">
              <w:t>Use of Outputs-based contracting preferred for sub-</w:t>
            </w:r>
            <w:r>
              <w:t>contractor</w:t>
            </w:r>
            <w:r w:rsidRPr="00ED1244">
              <w:t>s.</w:t>
            </w:r>
          </w:p>
          <w:p w14:paraId="2F9E063A" w14:textId="77777777" w:rsidR="007D3192" w:rsidRPr="007C284F" w:rsidRDefault="007D3192" w:rsidP="00ED2B41">
            <w:pPr>
              <w:pStyle w:val="Table-list-bullet"/>
            </w:pPr>
            <w:r w:rsidRPr="00ED1244">
              <w:t>Monitor performance of all providers against the sub-</w:t>
            </w:r>
            <w:r>
              <w:t>contractors’</w:t>
            </w:r>
            <w:r w:rsidRPr="00ED1244">
              <w:t xml:space="preserve"> </w:t>
            </w:r>
            <w:r w:rsidR="00ED2B41">
              <w:t>Terms of Reference</w:t>
            </w:r>
            <w:r w:rsidRPr="00ED1244">
              <w:t xml:space="preserve"> and contract.</w:t>
            </w:r>
          </w:p>
        </w:tc>
        <w:tc>
          <w:tcPr>
            <w:tcW w:w="288" w:type="pct"/>
            <w:shd w:val="clear" w:color="auto" w:fill="auto"/>
          </w:tcPr>
          <w:p w14:paraId="5C61B217" w14:textId="77777777" w:rsidR="007D3192" w:rsidRDefault="007D3192" w:rsidP="007D3192">
            <w:pPr>
              <w:pStyle w:val="TableTEXT"/>
            </w:pPr>
            <w:r w:rsidRPr="00F67772">
              <w:rPr>
                <w:sz w:val="14"/>
                <w:szCs w:val="14"/>
              </w:rPr>
              <w:t>Moderate</w:t>
            </w:r>
          </w:p>
        </w:tc>
      </w:tr>
      <w:tr w:rsidR="007D3192" w:rsidRPr="007D3192" w14:paraId="24765DB4" w14:textId="77777777" w:rsidTr="007D3192">
        <w:tc>
          <w:tcPr>
            <w:tcW w:w="5000" w:type="pct"/>
            <w:gridSpan w:val="8"/>
            <w:shd w:val="clear" w:color="auto" w:fill="DEEAF6" w:themeFill="accent1" w:themeFillTint="33"/>
          </w:tcPr>
          <w:p w14:paraId="53E21CC4" w14:textId="77777777" w:rsidR="007D3192" w:rsidRPr="007D3192" w:rsidRDefault="007D3192" w:rsidP="007D3192">
            <w:pPr>
              <w:pStyle w:val="TableTEXT"/>
              <w:rPr>
                <w:b/>
              </w:rPr>
            </w:pPr>
            <w:r w:rsidRPr="007D3192">
              <w:rPr>
                <w:b/>
              </w:rPr>
              <w:t>Financial Management and Fraud</w:t>
            </w:r>
          </w:p>
        </w:tc>
      </w:tr>
    </w:tbl>
    <w:p w14:paraId="6BF57557" w14:textId="77777777" w:rsidR="00875993" w:rsidRDefault="00875993">
      <w:pPr>
        <w:spacing w:before="0"/>
      </w:pPr>
    </w:p>
    <w:p w14:paraId="42A3783A" w14:textId="77777777" w:rsidR="007E43F1" w:rsidRDefault="007E43F1">
      <w:pPr>
        <w:spacing w:before="0"/>
        <w:rPr>
          <w:rFonts w:cs="Arial"/>
          <w:b/>
          <w:iCs/>
          <w:sz w:val="24"/>
          <w:szCs w:val="22"/>
          <w:lang w:eastAsia="en-AU"/>
        </w:rPr>
      </w:pPr>
      <w:r>
        <w:br w:type="page"/>
      </w:r>
    </w:p>
    <w:p w14:paraId="14481906" w14:textId="77777777" w:rsidR="00F962D5" w:rsidRPr="007E43F1" w:rsidRDefault="00F962D5" w:rsidP="00E71325">
      <w:pPr>
        <w:pStyle w:val="annexsubheading"/>
      </w:pPr>
      <w:r w:rsidRPr="007E43F1">
        <w:t>AusAID Risk Matrix Rating Descriptors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000" w:firstRow="0" w:lastRow="0" w:firstColumn="0" w:lastColumn="0" w:noHBand="0" w:noVBand="0"/>
      </w:tblPr>
      <w:tblGrid>
        <w:gridCol w:w="2368"/>
        <w:gridCol w:w="2369"/>
        <w:gridCol w:w="2369"/>
        <w:gridCol w:w="2369"/>
        <w:gridCol w:w="2369"/>
        <w:gridCol w:w="2374"/>
      </w:tblGrid>
      <w:tr w:rsidR="00820F80" w:rsidRPr="00F556AC" w14:paraId="158D9763" w14:textId="77777777" w:rsidTr="00455992">
        <w:tc>
          <w:tcPr>
            <w:tcW w:w="833" w:type="pct"/>
            <w:vMerge w:val="restart"/>
            <w:vAlign w:val="bottom"/>
          </w:tcPr>
          <w:p w14:paraId="2CF4A764" w14:textId="77777777" w:rsidR="00820F80" w:rsidRPr="00F556AC" w:rsidRDefault="00820F80" w:rsidP="00820F80">
            <w:pPr>
              <w:pStyle w:val="tablecrossheading"/>
              <w:spacing w:after="40"/>
            </w:pPr>
            <w:r w:rsidRPr="00F556AC">
              <w:t>Likelihood</w:t>
            </w:r>
          </w:p>
        </w:tc>
        <w:tc>
          <w:tcPr>
            <w:tcW w:w="4167" w:type="pct"/>
            <w:gridSpan w:val="5"/>
            <w:shd w:val="clear" w:color="auto" w:fill="auto"/>
            <w:vAlign w:val="center"/>
          </w:tcPr>
          <w:p w14:paraId="40C6613F" w14:textId="77777777" w:rsidR="00820F80" w:rsidRPr="00F556AC" w:rsidRDefault="00820F80" w:rsidP="00820F80">
            <w:pPr>
              <w:pStyle w:val="TableHeader"/>
              <w:spacing w:after="40"/>
              <w:jc w:val="center"/>
            </w:pPr>
            <w:r w:rsidRPr="00F556AC">
              <w:t>Consequences</w:t>
            </w:r>
          </w:p>
        </w:tc>
      </w:tr>
      <w:tr w:rsidR="00820F80" w:rsidRPr="00F556AC" w14:paraId="366C1A8B" w14:textId="77777777" w:rsidTr="00455992">
        <w:tc>
          <w:tcPr>
            <w:tcW w:w="833" w:type="pct"/>
            <w:vMerge/>
            <w:vAlign w:val="center"/>
          </w:tcPr>
          <w:p w14:paraId="73F58136" w14:textId="77777777" w:rsidR="00820F80" w:rsidRPr="00F556AC" w:rsidRDefault="00820F80" w:rsidP="00ED1244">
            <w:pPr>
              <w:rPr>
                <w:rFonts w:ascii="Cambria" w:hAnsi="Cambria"/>
                <w:b/>
                <w:bCs/>
              </w:rPr>
            </w:pPr>
          </w:p>
        </w:tc>
        <w:tc>
          <w:tcPr>
            <w:tcW w:w="833" w:type="pct"/>
            <w:shd w:val="clear" w:color="auto" w:fill="auto"/>
          </w:tcPr>
          <w:p w14:paraId="2C6AE310" w14:textId="77777777" w:rsidR="00820F80" w:rsidRPr="00820F80" w:rsidRDefault="00820F80" w:rsidP="00820F80">
            <w:pPr>
              <w:pStyle w:val="tablecrossheading"/>
              <w:spacing w:before="0" w:after="0"/>
              <w:rPr>
                <w:sz w:val="14"/>
              </w:rPr>
            </w:pPr>
            <w:r w:rsidRPr="00820F80">
              <w:rPr>
                <w:sz w:val="14"/>
              </w:rPr>
              <w:t>Negligible (1)</w:t>
            </w:r>
          </w:p>
          <w:p w14:paraId="1B95ACC3" w14:textId="77777777" w:rsidR="00820F80" w:rsidRPr="00820F80" w:rsidRDefault="00820F80" w:rsidP="00820F80">
            <w:pPr>
              <w:pStyle w:val="TableTEXT"/>
              <w:rPr>
                <w:rFonts w:ascii="Cambria" w:hAnsi="Cambria"/>
                <w:bCs/>
                <w:sz w:val="14"/>
                <w:szCs w:val="16"/>
              </w:rPr>
            </w:pPr>
            <w:r w:rsidRPr="00820F80">
              <w:rPr>
                <w:bCs/>
                <w:sz w:val="14"/>
              </w:rPr>
              <w:t xml:space="preserve">A </w:t>
            </w:r>
            <w:r w:rsidRPr="00820F80">
              <w:rPr>
                <w:b/>
                <w:bCs/>
                <w:sz w:val="14"/>
              </w:rPr>
              <w:t>NEGLIGIBLE IMPACT</w:t>
            </w:r>
            <w:r w:rsidRPr="00820F80">
              <w:rPr>
                <w:sz w:val="14"/>
              </w:rPr>
              <w:t xml:space="preserve"> on </w:t>
            </w:r>
            <w:r w:rsidRPr="00820F80">
              <w:rPr>
                <w:bCs/>
                <w:sz w:val="14"/>
              </w:rPr>
              <w:t>AusAID</w:t>
            </w:r>
            <w:r w:rsidRPr="00820F80">
              <w:rPr>
                <w:sz w:val="14"/>
              </w:rPr>
              <w:t xml:space="preserve"> which should be possible to be handled at the operational level.</w:t>
            </w:r>
          </w:p>
        </w:tc>
        <w:tc>
          <w:tcPr>
            <w:tcW w:w="833" w:type="pct"/>
            <w:shd w:val="clear" w:color="auto" w:fill="auto"/>
          </w:tcPr>
          <w:p w14:paraId="58118769" w14:textId="77777777" w:rsidR="00820F80" w:rsidRPr="00820F80" w:rsidRDefault="00820F80" w:rsidP="00820F80">
            <w:pPr>
              <w:pStyle w:val="tablecrossheading"/>
              <w:spacing w:before="0" w:after="0"/>
              <w:rPr>
                <w:sz w:val="14"/>
              </w:rPr>
            </w:pPr>
            <w:r w:rsidRPr="00820F80">
              <w:rPr>
                <w:sz w:val="14"/>
              </w:rPr>
              <w:t>Minor (2)</w:t>
            </w:r>
          </w:p>
          <w:p w14:paraId="3384A76E" w14:textId="77777777" w:rsidR="00820F80" w:rsidRPr="00820F80" w:rsidRDefault="00820F80" w:rsidP="00820F80">
            <w:pPr>
              <w:pStyle w:val="TableTEXT"/>
              <w:rPr>
                <w:sz w:val="14"/>
              </w:rPr>
            </w:pPr>
            <w:r w:rsidRPr="00820F80">
              <w:rPr>
                <w:bCs/>
                <w:sz w:val="14"/>
              </w:rPr>
              <w:t xml:space="preserve">A </w:t>
            </w:r>
            <w:r w:rsidRPr="00820F80">
              <w:rPr>
                <w:b/>
                <w:bCs/>
                <w:sz w:val="14"/>
              </w:rPr>
              <w:t>MINOR IMPACT</w:t>
            </w:r>
            <w:r w:rsidRPr="00820F80">
              <w:rPr>
                <w:sz w:val="14"/>
              </w:rPr>
              <w:t xml:space="preserve"> on </w:t>
            </w:r>
            <w:r w:rsidRPr="00820F80">
              <w:rPr>
                <w:bCs/>
                <w:sz w:val="14"/>
              </w:rPr>
              <w:t>AusAID</w:t>
            </w:r>
            <w:r w:rsidRPr="00820F80">
              <w:rPr>
                <w:sz w:val="14"/>
              </w:rPr>
              <w:t>. It could involve such things as:</w:t>
            </w:r>
          </w:p>
          <w:p w14:paraId="0317EA1A" w14:textId="77777777" w:rsidR="00820F80" w:rsidRPr="00820F80" w:rsidRDefault="00820F80" w:rsidP="00820F80">
            <w:pPr>
              <w:pStyle w:val="Table-list-bullet"/>
              <w:spacing w:after="0"/>
              <w:rPr>
                <w:sz w:val="14"/>
              </w:rPr>
            </w:pPr>
            <w:r w:rsidRPr="00820F80">
              <w:rPr>
                <w:sz w:val="14"/>
              </w:rPr>
              <w:t xml:space="preserve">Minor delays in providing services or achieving objectives </w:t>
            </w:r>
          </w:p>
          <w:p w14:paraId="477C9155" w14:textId="77777777" w:rsidR="00820F80" w:rsidRPr="00820F80" w:rsidRDefault="00820F80" w:rsidP="00820F80">
            <w:pPr>
              <w:pStyle w:val="Table-list-bullet"/>
              <w:spacing w:after="0"/>
              <w:rPr>
                <w:sz w:val="14"/>
              </w:rPr>
            </w:pPr>
            <w:r w:rsidRPr="00820F80">
              <w:rPr>
                <w:sz w:val="14"/>
              </w:rPr>
              <w:t>Minor dissatisfaction of clients or stakeholders</w:t>
            </w:r>
          </w:p>
          <w:p w14:paraId="10E031F7" w14:textId="77777777" w:rsidR="00820F80" w:rsidRPr="00820F80" w:rsidRDefault="00820F80" w:rsidP="00820F80">
            <w:pPr>
              <w:pStyle w:val="Table-list-bullet"/>
              <w:spacing w:after="0"/>
              <w:rPr>
                <w:sz w:val="14"/>
              </w:rPr>
            </w:pPr>
            <w:r w:rsidRPr="00820F80">
              <w:rPr>
                <w:sz w:val="14"/>
              </w:rPr>
              <w:t>AusAID suffers a minor adverse financial impact (&lt;$50K)</w:t>
            </w:r>
          </w:p>
          <w:p w14:paraId="03E9912C" w14:textId="77777777" w:rsidR="00820F80" w:rsidRPr="00820F80" w:rsidRDefault="00820F80" w:rsidP="00820F80">
            <w:pPr>
              <w:pStyle w:val="Table-list-bullet"/>
              <w:spacing w:after="0"/>
              <w:rPr>
                <w:rFonts w:ascii="Cambria" w:hAnsi="Cambria"/>
                <w:b/>
                <w:bCs/>
                <w:sz w:val="14"/>
                <w:szCs w:val="16"/>
              </w:rPr>
            </w:pPr>
            <w:r w:rsidRPr="00820F80">
              <w:rPr>
                <w:sz w:val="14"/>
              </w:rPr>
              <w:t>Minor breach of public sector accountability requirements</w:t>
            </w:r>
          </w:p>
        </w:tc>
        <w:tc>
          <w:tcPr>
            <w:tcW w:w="833" w:type="pct"/>
            <w:shd w:val="clear" w:color="auto" w:fill="auto"/>
          </w:tcPr>
          <w:p w14:paraId="3273008E" w14:textId="77777777" w:rsidR="00820F80" w:rsidRPr="00820F80" w:rsidRDefault="00820F80" w:rsidP="00820F80">
            <w:pPr>
              <w:pStyle w:val="tablecrossheading"/>
              <w:spacing w:before="0" w:after="0"/>
              <w:rPr>
                <w:sz w:val="14"/>
              </w:rPr>
            </w:pPr>
            <w:r w:rsidRPr="00820F80">
              <w:rPr>
                <w:sz w:val="14"/>
              </w:rPr>
              <w:t>Moderate (3)</w:t>
            </w:r>
          </w:p>
          <w:p w14:paraId="00E90A93" w14:textId="77777777" w:rsidR="00820F80" w:rsidRPr="00820F80" w:rsidRDefault="00820F80" w:rsidP="00820F80">
            <w:pPr>
              <w:pStyle w:val="TableTEXT"/>
              <w:rPr>
                <w:sz w:val="14"/>
              </w:rPr>
            </w:pPr>
            <w:r w:rsidRPr="00820F80">
              <w:rPr>
                <w:sz w:val="14"/>
              </w:rPr>
              <w:t xml:space="preserve">A </w:t>
            </w:r>
            <w:r w:rsidRPr="00820F80">
              <w:rPr>
                <w:b/>
                <w:bCs/>
                <w:sz w:val="14"/>
              </w:rPr>
              <w:t xml:space="preserve">MODERATE IMPACT </w:t>
            </w:r>
            <w:r w:rsidRPr="00820F80">
              <w:rPr>
                <w:sz w:val="14"/>
              </w:rPr>
              <w:t xml:space="preserve">on </w:t>
            </w:r>
            <w:r w:rsidRPr="00820F80">
              <w:rPr>
                <w:bCs/>
                <w:sz w:val="14"/>
              </w:rPr>
              <w:t>AusAID</w:t>
            </w:r>
            <w:r w:rsidRPr="00820F80">
              <w:rPr>
                <w:sz w:val="14"/>
              </w:rPr>
              <w:t>. It could involve such things as:</w:t>
            </w:r>
          </w:p>
          <w:p w14:paraId="07476BB8" w14:textId="77777777" w:rsidR="00820F80" w:rsidRPr="00820F80" w:rsidRDefault="00820F80" w:rsidP="00820F80">
            <w:pPr>
              <w:pStyle w:val="Table-list-bullet"/>
              <w:spacing w:after="0"/>
              <w:rPr>
                <w:sz w:val="14"/>
              </w:rPr>
            </w:pPr>
            <w:r w:rsidRPr="00820F80">
              <w:rPr>
                <w:sz w:val="14"/>
              </w:rPr>
              <w:t xml:space="preserve">Significant delays in providing services or achieving key objectives </w:t>
            </w:r>
          </w:p>
          <w:p w14:paraId="59FC1BCE" w14:textId="77777777" w:rsidR="00820F80" w:rsidRPr="00820F80" w:rsidRDefault="00820F80" w:rsidP="00820F80">
            <w:pPr>
              <w:pStyle w:val="Table-list-bullet"/>
              <w:spacing w:after="0"/>
              <w:rPr>
                <w:sz w:val="14"/>
              </w:rPr>
            </w:pPr>
            <w:r w:rsidRPr="00820F80">
              <w:rPr>
                <w:sz w:val="14"/>
              </w:rPr>
              <w:t>Limited dissatisfaction of clients and stakeholders</w:t>
            </w:r>
          </w:p>
          <w:p w14:paraId="37C38863" w14:textId="77777777" w:rsidR="00820F80" w:rsidRPr="00820F80" w:rsidRDefault="00820F80" w:rsidP="00820F80">
            <w:pPr>
              <w:pStyle w:val="Table-list-bullet"/>
              <w:spacing w:after="0"/>
              <w:rPr>
                <w:sz w:val="14"/>
              </w:rPr>
            </w:pPr>
            <w:r w:rsidRPr="00820F80">
              <w:rPr>
                <w:sz w:val="14"/>
              </w:rPr>
              <w:t>A minor breach of physical or information security</w:t>
            </w:r>
          </w:p>
          <w:p w14:paraId="63541854" w14:textId="77777777" w:rsidR="00820F80" w:rsidRPr="00820F80" w:rsidRDefault="00820F80" w:rsidP="00820F80">
            <w:pPr>
              <w:pStyle w:val="Table-list-bullet"/>
              <w:spacing w:after="0"/>
              <w:rPr>
                <w:sz w:val="14"/>
              </w:rPr>
            </w:pPr>
            <w:r w:rsidRPr="00820F80">
              <w:rPr>
                <w:sz w:val="14"/>
              </w:rPr>
              <w:t>AusAID is exposed to minor criticism and adverse publicity</w:t>
            </w:r>
          </w:p>
          <w:p w14:paraId="2C362A9B" w14:textId="77777777" w:rsidR="00820F80" w:rsidRPr="00820F80" w:rsidRDefault="00820F80" w:rsidP="00820F80">
            <w:pPr>
              <w:pStyle w:val="Table-list-bullet"/>
              <w:spacing w:after="0"/>
              <w:rPr>
                <w:sz w:val="14"/>
              </w:rPr>
            </w:pPr>
            <w:r w:rsidRPr="00820F80">
              <w:rPr>
                <w:sz w:val="14"/>
              </w:rPr>
              <w:t xml:space="preserve">AusAID suffers minor damage to its reputation </w:t>
            </w:r>
          </w:p>
          <w:p w14:paraId="350D38DA" w14:textId="77777777" w:rsidR="00820F80" w:rsidRPr="00820F80" w:rsidRDefault="00820F80" w:rsidP="00820F80">
            <w:pPr>
              <w:pStyle w:val="Table-list-bullet"/>
              <w:spacing w:after="0"/>
              <w:rPr>
                <w:sz w:val="14"/>
              </w:rPr>
            </w:pPr>
            <w:r w:rsidRPr="00820F80">
              <w:rPr>
                <w:sz w:val="14"/>
              </w:rPr>
              <w:t>AusAID suffers a moderate adverse financial impact ($50</w:t>
            </w:r>
            <w:r w:rsidR="002A7736">
              <w:rPr>
                <w:sz w:val="14"/>
              </w:rPr>
              <w:t>–2</w:t>
            </w:r>
            <w:r w:rsidRPr="00820F80">
              <w:rPr>
                <w:sz w:val="14"/>
              </w:rPr>
              <w:t>50K)</w:t>
            </w:r>
          </w:p>
          <w:p w14:paraId="574AD40B" w14:textId="77777777" w:rsidR="00820F80" w:rsidRPr="00820F80" w:rsidRDefault="00820F80" w:rsidP="00820F80">
            <w:pPr>
              <w:pStyle w:val="Table-list-bullet"/>
              <w:spacing w:after="0"/>
              <w:rPr>
                <w:rFonts w:ascii="Cambria" w:hAnsi="Cambria"/>
                <w:b/>
                <w:bCs/>
                <w:sz w:val="14"/>
                <w:szCs w:val="16"/>
              </w:rPr>
            </w:pPr>
            <w:r w:rsidRPr="00820F80">
              <w:rPr>
                <w:sz w:val="14"/>
              </w:rPr>
              <w:t>Moderate breach of public sector accountability requirements</w:t>
            </w:r>
          </w:p>
        </w:tc>
        <w:tc>
          <w:tcPr>
            <w:tcW w:w="833" w:type="pct"/>
            <w:shd w:val="clear" w:color="auto" w:fill="auto"/>
          </w:tcPr>
          <w:p w14:paraId="6CB58375" w14:textId="77777777" w:rsidR="00820F80" w:rsidRPr="00820F80" w:rsidRDefault="00820F80" w:rsidP="00820F80">
            <w:pPr>
              <w:pStyle w:val="tablecrossheading"/>
              <w:spacing w:before="0" w:after="0"/>
              <w:rPr>
                <w:sz w:val="14"/>
              </w:rPr>
            </w:pPr>
            <w:r w:rsidRPr="00820F80">
              <w:rPr>
                <w:sz w:val="14"/>
              </w:rPr>
              <w:t>Major (4)</w:t>
            </w:r>
          </w:p>
          <w:p w14:paraId="0A811B10" w14:textId="77777777" w:rsidR="00820F80" w:rsidRPr="00820F80" w:rsidRDefault="00820F80" w:rsidP="00820F80">
            <w:pPr>
              <w:pStyle w:val="TableTEXT"/>
              <w:rPr>
                <w:sz w:val="14"/>
              </w:rPr>
            </w:pPr>
            <w:r w:rsidRPr="00820F80">
              <w:rPr>
                <w:sz w:val="14"/>
              </w:rPr>
              <w:t xml:space="preserve">A </w:t>
            </w:r>
            <w:r w:rsidRPr="00820F80">
              <w:rPr>
                <w:b/>
                <w:bCs/>
                <w:sz w:val="14"/>
              </w:rPr>
              <w:t>MAJOR IMPACT</w:t>
            </w:r>
            <w:r w:rsidRPr="00820F80">
              <w:rPr>
                <w:sz w:val="14"/>
              </w:rPr>
              <w:t xml:space="preserve"> on </w:t>
            </w:r>
            <w:r w:rsidRPr="00820F80">
              <w:rPr>
                <w:bCs/>
                <w:sz w:val="14"/>
              </w:rPr>
              <w:t>AusAID</w:t>
            </w:r>
            <w:r w:rsidRPr="00820F80">
              <w:rPr>
                <w:sz w:val="14"/>
              </w:rPr>
              <w:t>. It could involve such things as:</w:t>
            </w:r>
          </w:p>
          <w:p w14:paraId="15F7FC86" w14:textId="77777777" w:rsidR="00820F80" w:rsidRPr="00820F80" w:rsidRDefault="00820F80" w:rsidP="00820F80">
            <w:pPr>
              <w:pStyle w:val="Table-list-bullet"/>
              <w:spacing w:after="0"/>
              <w:rPr>
                <w:sz w:val="14"/>
              </w:rPr>
            </w:pPr>
            <w:r w:rsidRPr="00820F80">
              <w:rPr>
                <w:sz w:val="14"/>
              </w:rPr>
              <w:t>Major delays in providing services or achieving key objectives</w:t>
            </w:r>
          </w:p>
          <w:p w14:paraId="659F4DA2" w14:textId="77777777" w:rsidR="00820F80" w:rsidRPr="00820F80" w:rsidRDefault="00820F80" w:rsidP="00820F80">
            <w:pPr>
              <w:pStyle w:val="Table-list-bullet"/>
              <w:spacing w:after="0"/>
              <w:rPr>
                <w:sz w:val="14"/>
              </w:rPr>
            </w:pPr>
            <w:r w:rsidRPr="00820F80">
              <w:rPr>
                <w:sz w:val="14"/>
              </w:rPr>
              <w:t>Significant dissatisfaction of clients and stakeholders</w:t>
            </w:r>
          </w:p>
          <w:p w14:paraId="2B723F75" w14:textId="77777777" w:rsidR="00820F80" w:rsidRPr="00820F80" w:rsidRDefault="00820F80" w:rsidP="00820F80">
            <w:pPr>
              <w:pStyle w:val="Table-list-bullet"/>
              <w:spacing w:after="0"/>
              <w:rPr>
                <w:sz w:val="14"/>
              </w:rPr>
            </w:pPr>
            <w:r w:rsidRPr="00820F80">
              <w:rPr>
                <w:sz w:val="14"/>
              </w:rPr>
              <w:t>A major breach of information security which adversely affects relationships with other agencies</w:t>
            </w:r>
          </w:p>
          <w:p w14:paraId="58F92BCB" w14:textId="77777777" w:rsidR="00820F80" w:rsidRPr="00820F80" w:rsidRDefault="00820F80" w:rsidP="00820F80">
            <w:pPr>
              <w:pStyle w:val="Table-list-bullet"/>
              <w:spacing w:after="0"/>
              <w:rPr>
                <w:sz w:val="14"/>
              </w:rPr>
            </w:pPr>
            <w:r w:rsidRPr="00820F80">
              <w:rPr>
                <w:sz w:val="14"/>
              </w:rPr>
              <w:t>A physical security incident resulting in injury to an employee</w:t>
            </w:r>
          </w:p>
          <w:p w14:paraId="6A11DEBD" w14:textId="77777777" w:rsidR="00820F80" w:rsidRPr="00820F80" w:rsidRDefault="00820F80" w:rsidP="00820F80">
            <w:pPr>
              <w:pStyle w:val="Table-list-bullet"/>
              <w:spacing w:after="0"/>
              <w:rPr>
                <w:sz w:val="14"/>
              </w:rPr>
            </w:pPr>
            <w:r w:rsidRPr="00820F80">
              <w:rPr>
                <w:sz w:val="14"/>
              </w:rPr>
              <w:t>AusAID is exposed to significant criticism and moderate adverse publicity</w:t>
            </w:r>
          </w:p>
          <w:p w14:paraId="4A9AEA40" w14:textId="77777777" w:rsidR="00820F80" w:rsidRPr="00820F80" w:rsidRDefault="00820F80" w:rsidP="00820F80">
            <w:pPr>
              <w:pStyle w:val="Table-list-bullet"/>
              <w:spacing w:after="0"/>
              <w:rPr>
                <w:sz w:val="14"/>
              </w:rPr>
            </w:pPr>
            <w:r w:rsidRPr="00820F80">
              <w:rPr>
                <w:sz w:val="14"/>
              </w:rPr>
              <w:t xml:space="preserve">AusAID suffers moderate damage to its reputation </w:t>
            </w:r>
          </w:p>
          <w:p w14:paraId="3419812D" w14:textId="77777777" w:rsidR="00820F80" w:rsidRPr="00820F80" w:rsidRDefault="00820F80" w:rsidP="00820F80">
            <w:pPr>
              <w:pStyle w:val="Table-list-bullet"/>
              <w:spacing w:after="0"/>
              <w:rPr>
                <w:sz w:val="14"/>
              </w:rPr>
            </w:pPr>
            <w:r w:rsidRPr="00820F80">
              <w:rPr>
                <w:sz w:val="14"/>
              </w:rPr>
              <w:t>AusAID suffers a significant adverse financial impact ($250-5000K)</w:t>
            </w:r>
          </w:p>
          <w:p w14:paraId="517D72B7" w14:textId="77777777" w:rsidR="00820F80" w:rsidRPr="00820F80" w:rsidRDefault="00820F80" w:rsidP="00820F80">
            <w:pPr>
              <w:pStyle w:val="Table-list-bullet"/>
              <w:spacing w:after="0"/>
              <w:rPr>
                <w:sz w:val="14"/>
              </w:rPr>
            </w:pPr>
            <w:r w:rsidRPr="00820F80">
              <w:rPr>
                <w:sz w:val="14"/>
              </w:rPr>
              <w:t>AusAID breaches legislative or contractual obligations</w:t>
            </w:r>
          </w:p>
          <w:p w14:paraId="54A6A860" w14:textId="77777777" w:rsidR="00820F80" w:rsidRPr="00820F80" w:rsidRDefault="00820F80" w:rsidP="00820F80">
            <w:pPr>
              <w:pStyle w:val="Table-list-bullet"/>
              <w:spacing w:after="0"/>
              <w:rPr>
                <w:sz w:val="14"/>
              </w:rPr>
            </w:pPr>
            <w:r w:rsidRPr="00820F80">
              <w:rPr>
                <w:sz w:val="14"/>
              </w:rPr>
              <w:t>Major breach of public sector accountability requirements</w:t>
            </w:r>
          </w:p>
        </w:tc>
        <w:tc>
          <w:tcPr>
            <w:tcW w:w="835" w:type="pct"/>
            <w:shd w:val="clear" w:color="auto" w:fill="auto"/>
          </w:tcPr>
          <w:p w14:paraId="1896592C" w14:textId="77777777" w:rsidR="00820F80" w:rsidRPr="00820F80" w:rsidRDefault="00820F80" w:rsidP="00820F80">
            <w:pPr>
              <w:pStyle w:val="tablecrossheading"/>
              <w:spacing w:before="0" w:after="0"/>
              <w:rPr>
                <w:sz w:val="14"/>
              </w:rPr>
            </w:pPr>
            <w:r w:rsidRPr="00820F80">
              <w:rPr>
                <w:sz w:val="14"/>
              </w:rPr>
              <w:t>Severe (5)</w:t>
            </w:r>
          </w:p>
          <w:p w14:paraId="5AE7AED8" w14:textId="77777777" w:rsidR="00820F80" w:rsidRPr="00820F80" w:rsidRDefault="00820F80" w:rsidP="00820F80">
            <w:pPr>
              <w:pStyle w:val="TableTEXT"/>
              <w:rPr>
                <w:sz w:val="14"/>
              </w:rPr>
            </w:pPr>
            <w:r w:rsidRPr="00820F80">
              <w:rPr>
                <w:sz w:val="14"/>
              </w:rPr>
              <w:t xml:space="preserve">A </w:t>
            </w:r>
            <w:r w:rsidRPr="00820F80">
              <w:rPr>
                <w:b/>
                <w:bCs/>
                <w:sz w:val="14"/>
              </w:rPr>
              <w:t>SEVERE IMPACT</w:t>
            </w:r>
            <w:r w:rsidRPr="00820F80">
              <w:rPr>
                <w:sz w:val="14"/>
              </w:rPr>
              <w:t xml:space="preserve"> on </w:t>
            </w:r>
            <w:r w:rsidRPr="00820F80">
              <w:rPr>
                <w:bCs/>
                <w:sz w:val="14"/>
              </w:rPr>
              <w:t>AusAID</w:t>
            </w:r>
            <w:r w:rsidRPr="00820F80">
              <w:rPr>
                <w:sz w:val="14"/>
              </w:rPr>
              <w:t>. It could involve such things as:</w:t>
            </w:r>
          </w:p>
          <w:p w14:paraId="052B87B6" w14:textId="77777777" w:rsidR="00820F80" w:rsidRPr="00820F80" w:rsidRDefault="00820F80" w:rsidP="00820F80">
            <w:pPr>
              <w:pStyle w:val="Table-list-bullet"/>
              <w:spacing w:after="0"/>
              <w:rPr>
                <w:sz w:val="14"/>
              </w:rPr>
            </w:pPr>
            <w:r w:rsidRPr="00820F80">
              <w:rPr>
                <w:sz w:val="14"/>
              </w:rPr>
              <w:t>A critical business failure resulting in non-achievement of key business objectives</w:t>
            </w:r>
          </w:p>
          <w:p w14:paraId="72021287" w14:textId="77777777" w:rsidR="00820F80" w:rsidRPr="00820F80" w:rsidRDefault="00820F80" w:rsidP="00820F80">
            <w:pPr>
              <w:pStyle w:val="Table-list-bullet"/>
              <w:spacing w:after="0"/>
              <w:rPr>
                <w:sz w:val="14"/>
              </w:rPr>
            </w:pPr>
            <w:r w:rsidRPr="00820F80">
              <w:rPr>
                <w:sz w:val="14"/>
              </w:rPr>
              <w:t>Extensive loss of stakeholder support</w:t>
            </w:r>
          </w:p>
          <w:p w14:paraId="548DB4D6" w14:textId="77777777" w:rsidR="00820F80" w:rsidRPr="00820F80" w:rsidRDefault="00820F80" w:rsidP="00820F80">
            <w:pPr>
              <w:pStyle w:val="Table-list-bullet"/>
              <w:spacing w:after="0"/>
              <w:rPr>
                <w:sz w:val="14"/>
              </w:rPr>
            </w:pPr>
            <w:r w:rsidRPr="00820F80">
              <w:rPr>
                <w:sz w:val="14"/>
              </w:rPr>
              <w:t>Loss of Government confidence in and</w:t>
            </w:r>
            <w:r w:rsidR="001B7DCB">
              <w:rPr>
                <w:sz w:val="14"/>
              </w:rPr>
              <w:t xml:space="preserve"> / </w:t>
            </w:r>
            <w:r w:rsidRPr="00820F80">
              <w:rPr>
                <w:sz w:val="14"/>
              </w:rPr>
              <w:t xml:space="preserve">or support for AusAID </w:t>
            </w:r>
          </w:p>
          <w:p w14:paraId="5B5F4FE1" w14:textId="77777777" w:rsidR="00820F80" w:rsidRPr="00820F80" w:rsidRDefault="00820F80" w:rsidP="00820F80">
            <w:pPr>
              <w:pStyle w:val="Table-list-bullet"/>
              <w:spacing w:after="0"/>
              <w:rPr>
                <w:sz w:val="14"/>
              </w:rPr>
            </w:pPr>
            <w:r w:rsidRPr="00820F80">
              <w:rPr>
                <w:sz w:val="14"/>
              </w:rPr>
              <w:t>An extensive breach of information security which damages Australia’s interests</w:t>
            </w:r>
          </w:p>
          <w:p w14:paraId="72885848" w14:textId="77777777" w:rsidR="00820F80" w:rsidRPr="00820F80" w:rsidRDefault="00820F80" w:rsidP="00820F80">
            <w:pPr>
              <w:pStyle w:val="Table-list-bullet"/>
              <w:spacing w:after="0"/>
              <w:rPr>
                <w:sz w:val="14"/>
              </w:rPr>
            </w:pPr>
            <w:r w:rsidRPr="00820F80">
              <w:rPr>
                <w:sz w:val="14"/>
              </w:rPr>
              <w:t>A breach of physical security resulting in the death of an employee</w:t>
            </w:r>
          </w:p>
          <w:p w14:paraId="73AFB16C" w14:textId="77777777" w:rsidR="00820F80" w:rsidRPr="00820F80" w:rsidRDefault="00820F80" w:rsidP="00820F80">
            <w:pPr>
              <w:pStyle w:val="Table-list-bullet"/>
              <w:spacing w:after="0"/>
              <w:rPr>
                <w:sz w:val="14"/>
              </w:rPr>
            </w:pPr>
            <w:r w:rsidRPr="00820F80">
              <w:rPr>
                <w:sz w:val="14"/>
              </w:rPr>
              <w:t>AusAID is exposed to extensive criticism and adverse publicity</w:t>
            </w:r>
          </w:p>
          <w:p w14:paraId="36367266" w14:textId="77777777" w:rsidR="00820F80" w:rsidRPr="00820F80" w:rsidRDefault="00820F80" w:rsidP="00820F80">
            <w:pPr>
              <w:pStyle w:val="Table-list-bullet"/>
              <w:spacing w:after="0"/>
              <w:rPr>
                <w:sz w:val="14"/>
              </w:rPr>
            </w:pPr>
            <w:r w:rsidRPr="00820F80">
              <w:rPr>
                <w:sz w:val="14"/>
              </w:rPr>
              <w:t xml:space="preserve">AusAID suffers extensive damage to its reputation </w:t>
            </w:r>
          </w:p>
          <w:p w14:paraId="61CF77C3" w14:textId="77777777" w:rsidR="00820F80" w:rsidRPr="00820F80" w:rsidRDefault="00820F80" w:rsidP="00820F80">
            <w:pPr>
              <w:pStyle w:val="Table-list-bullet"/>
              <w:spacing w:after="0"/>
              <w:rPr>
                <w:sz w:val="14"/>
              </w:rPr>
            </w:pPr>
            <w:r w:rsidRPr="00820F80">
              <w:rPr>
                <w:sz w:val="14"/>
              </w:rPr>
              <w:t>AusAID suffers a major adverse financial impact (&gt;$500K)</w:t>
            </w:r>
          </w:p>
          <w:p w14:paraId="6F326355" w14:textId="77777777" w:rsidR="00820F80" w:rsidRPr="00820F80" w:rsidRDefault="00820F80" w:rsidP="00820F80">
            <w:pPr>
              <w:pStyle w:val="Table-list-bullet"/>
              <w:spacing w:after="0"/>
              <w:rPr>
                <w:sz w:val="14"/>
              </w:rPr>
            </w:pPr>
            <w:r w:rsidRPr="00820F80">
              <w:rPr>
                <w:sz w:val="14"/>
              </w:rPr>
              <w:t>Extensive breaches of legislative or contractual obligations by AusAID</w:t>
            </w:r>
          </w:p>
          <w:p w14:paraId="7B199881" w14:textId="77777777" w:rsidR="00820F80" w:rsidRPr="00820F80" w:rsidRDefault="00820F80" w:rsidP="00820F80">
            <w:pPr>
              <w:pStyle w:val="Table-list-bullet"/>
              <w:spacing w:after="0"/>
              <w:rPr>
                <w:sz w:val="14"/>
              </w:rPr>
            </w:pPr>
            <w:r w:rsidRPr="00820F80">
              <w:rPr>
                <w:sz w:val="14"/>
              </w:rPr>
              <w:t>Extensive breach of public sector accountability requirements</w:t>
            </w:r>
          </w:p>
          <w:p w14:paraId="1FFC8AF8" w14:textId="77777777" w:rsidR="00820F80" w:rsidRPr="00820F80" w:rsidRDefault="00820F80" w:rsidP="00820F80">
            <w:pPr>
              <w:pStyle w:val="Table-list-bullet"/>
              <w:spacing w:after="0"/>
              <w:rPr>
                <w:sz w:val="14"/>
              </w:rPr>
            </w:pPr>
            <w:r w:rsidRPr="00820F80">
              <w:rPr>
                <w:sz w:val="14"/>
              </w:rPr>
              <w:t>Establishment of Parliamentary or other external inquiry</w:t>
            </w:r>
          </w:p>
        </w:tc>
      </w:tr>
      <w:tr w:rsidR="00820F80" w:rsidRPr="00F556AC" w14:paraId="5A651971" w14:textId="77777777" w:rsidTr="00455992">
        <w:tc>
          <w:tcPr>
            <w:tcW w:w="833" w:type="pct"/>
            <w:vAlign w:val="center"/>
          </w:tcPr>
          <w:p w14:paraId="6C432727" w14:textId="77777777" w:rsidR="00820F80" w:rsidRPr="00820F80" w:rsidRDefault="00820F80" w:rsidP="00820F80">
            <w:pPr>
              <w:pStyle w:val="TableTEXT"/>
              <w:keepNext/>
              <w:rPr>
                <w:b/>
                <w:sz w:val="14"/>
              </w:rPr>
            </w:pPr>
            <w:r w:rsidRPr="00820F80">
              <w:rPr>
                <w:b/>
                <w:sz w:val="14"/>
              </w:rPr>
              <w:t>Almost Certain (5)</w:t>
            </w:r>
          </w:p>
          <w:p w14:paraId="6741E925" w14:textId="77777777" w:rsidR="00820F80" w:rsidRPr="00820F80" w:rsidRDefault="00820F80" w:rsidP="00820F80">
            <w:pPr>
              <w:pStyle w:val="TableTEXT"/>
              <w:keepNext/>
              <w:rPr>
                <w:sz w:val="14"/>
              </w:rPr>
            </w:pPr>
            <w:r w:rsidRPr="00820F80">
              <w:rPr>
                <w:sz w:val="14"/>
              </w:rPr>
              <w:t xml:space="preserve">Expected to occur in most circumstances </w:t>
            </w:r>
          </w:p>
        </w:tc>
        <w:tc>
          <w:tcPr>
            <w:tcW w:w="833" w:type="pct"/>
            <w:shd w:val="clear" w:color="auto" w:fill="FFFF00"/>
            <w:vAlign w:val="center"/>
          </w:tcPr>
          <w:p w14:paraId="669A1285" w14:textId="77777777" w:rsidR="00820F80" w:rsidRPr="00820F80" w:rsidRDefault="00820F80" w:rsidP="00820F80">
            <w:pPr>
              <w:pStyle w:val="TableTEXT"/>
              <w:keepNext/>
              <w:jc w:val="center"/>
              <w:rPr>
                <w:b/>
              </w:rPr>
            </w:pPr>
            <w:r w:rsidRPr="00820F80">
              <w:rPr>
                <w:b/>
              </w:rPr>
              <w:t>Moderate</w:t>
            </w:r>
          </w:p>
        </w:tc>
        <w:tc>
          <w:tcPr>
            <w:tcW w:w="833" w:type="pct"/>
            <w:shd w:val="clear" w:color="auto" w:fill="FFFF00"/>
            <w:vAlign w:val="center"/>
          </w:tcPr>
          <w:p w14:paraId="3FC56F9A" w14:textId="77777777" w:rsidR="00820F80" w:rsidRPr="00820F80" w:rsidRDefault="00820F80" w:rsidP="00820F80">
            <w:pPr>
              <w:pStyle w:val="TableTEXT"/>
              <w:keepNext/>
              <w:jc w:val="center"/>
              <w:rPr>
                <w:b/>
              </w:rPr>
            </w:pPr>
            <w:r w:rsidRPr="00820F80">
              <w:rPr>
                <w:b/>
              </w:rPr>
              <w:t>Moderate</w:t>
            </w:r>
          </w:p>
        </w:tc>
        <w:tc>
          <w:tcPr>
            <w:tcW w:w="833" w:type="pct"/>
            <w:shd w:val="clear" w:color="auto" w:fill="FF9900"/>
            <w:vAlign w:val="center"/>
          </w:tcPr>
          <w:p w14:paraId="14574762" w14:textId="77777777" w:rsidR="00820F80" w:rsidRPr="00820F80" w:rsidRDefault="00820F80" w:rsidP="00820F80">
            <w:pPr>
              <w:pStyle w:val="TableTEXT"/>
              <w:keepNext/>
              <w:jc w:val="center"/>
              <w:rPr>
                <w:b/>
              </w:rPr>
            </w:pPr>
            <w:r w:rsidRPr="00820F80">
              <w:rPr>
                <w:b/>
              </w:rPr>
              <w:t>High</w:t>
            </w:r>
          </w:p>
        </w:tc>
        <w:tc>
          <w:tcPr>
            <w:tcW w:w="833" w:type="pct"/>
            <w:shd w:val="clear" w:color="auto" w:fill="FF0000"/>
            <w:vAlign w:val="center"/>
          </w:tcPr>
          <w:p w14:paraId="735A254F" w14:textId="77777777" w:rsidR="00820F80" w:rsidRPr="00820F80" w:rsidRDefault="00820F80" w:rsidP="00820F80">
            <w:pPr>
              <w:pStyle w:val="TableTEXT"/>
              <w:keepNext/>
              <w:jc w:val="center"/>
              <w:rPr>
                <w:b/>
              </w:rPr>
            </w:pPr>
            <w:r w:rsidRPr="00820F80">
              <w:rPr>
                <w:b/>
              </w:rPr>
              <w:t>Very High</w:t>
            </w:r>
          </w:p>
        </w:tc>
        <w:tc>
          <w:tcPr>
            <w:tcW w:w="835" w:type="pct"/>
            <w:shd w:val="clear" w:color="auto" w:fill="FF0000"/>
            <w:vAlign w:val="center"/>
          </w:tcPr>
          <w:p w14:paraId="64563611" w14:textId="77777777" w:rsidR="00820F80" w:rsidRPr="00820F80" w:rsidRDefault="00820F80" w:rsidP="00820F80">
            <w:pPr>
              <w:pStyle w:val="TableTEXT"/>
              <w:keepNext/>
              <w:jc w:val="center"/>
              <w:rPr>
                <w:b/>
              </w:rPr>
            </w:pPr>
            <w:r w:rsidRPr="00820F80">
              <w:rPr>
                <w:b/>
              </w:rPr>
              <w:t>Very High</w:t>
            </w:r>
          </w:p>
        </w:tc>
      </w:tr>
      <w:tr w:rsidR="00820F80" w:rsidRPr="00F556AC" w14:paraId="6488A806" w14:textId="77777777" w:rsidTr="00455992">
        <w:tc>
          <w:tcPr>
            <w:tcW w:w="833" w:type="pct"/>
            <w:vAlign w:val="center"/>
          </w:tcPr>
          <w:p w14:paraId="738DFA23" w14:textId="77777777" w:rsidR="00820F80" w:rsidRPr="00820F80" w:rsidRDefault="00820F80" w:rsidP="00820F80">
            <w:pPr>
              <w:pStyle w:val="TableTEXT"/>
              <w:rPr>
                <w:b/>
                <w:sz w:val="14"/>
              </w:rPr>
            </w:pPr>
            <w:r w:rsidRPr="00820F80">
              <w:rPr>
                <w:b/>
                <w:sz w:val="14"/>
              </w:rPr>
              <w:t>Likely (4)</w:t>
            </w:r>
          </w:p>
          <w:p w14:paraId="28C1F4BF" w14:textId="77777777" w:rsidR="00820F80" w:rsidRPr="00820F80" w:rsidRDefault="00820F80" w:rsidP="00820F80">
            <w:pPr>
              <w:pStyle w:val="TableTEXT"/>
              <w:rPr>
                <w:sz w:val="14"/>
              </w:rPr>
            </w:pPr>
            <w:r w:rsidRPr="00820F80">
              <w:rPr>
                <w:sz w:val="14"/>
              </w:rPr>
              <w:t xml:space="preserve">Will probably occur in most circumstances </w:t>
            </w:r>
          </w:p>
        </w:tc>
        <w:tc>
          <w:tcPr>
            <w:tcW w:w="833" w:type="pct"/>
            <w:shd w:val="clear" w:color="auto" w:fill="FFFF00"/>
            <w:vAlign w:val="center"/>
          </w:tcPr>
          <w:p w14:paraId="33D709BF" w14:textId="77777777" w:rsidR="00820F80" w:rsidRPr="00820F80" w:rsidRDefault="00820F80" w:rsidP="00820F80">
            <w:pPr>
              <w:pStyle w:val="TableTEXT"/>
              <w:jc w:val="center"/>
              <w:rPr>
                <w:b/>
              </w:rPr>
            </w:pPr>
            <w:r w:rsidRPr="00820F80">
              <w:rPr>
                <w:b/>
              </w:rPr>
              <w:t>Moderate</w:t>
            </w:r>
          </w:p>
        </w:tc>
        <w:tc>
          <w:tcPr>
            <w:tcW w:w="833" w:type="pct"/>
            <w:shd w:val="clear" w:color="auto" w:fill="FFFF00"/>
            <w:vAlign w:val="center"/>
          </w:tcPr>
          <w:p w14:paraId="5B9DAD5E" w14:textId="77777777" w:rsidR="00820F80" w:rsidRPr="00820F80" w:rsidRDefault="00820F80" w:rsidP="00820F80">
            <w:pPr>
              <w:pStyle w:val="TableTEXT"/>
              <w:jc w:val="center"/>
              <w:rPr>
                <w:b/>
              </w:rPr>
            </w:pPr>
            <w:r w:rsidRPr="00820F80">
              <w:rPr>
                <w:b/>
              </w:rPr>
              <w:t>Moderate</w:t>
            </w:r>
          </w:p>
        </w:tc>
        <w:tc>
          <w:tcPr>
            <w:tcW w:w="833" w:type="pct"/>
            <w:shd w:val="clear" w:color="auto" w:fill="FF9900"/>
            <w:vAlign w:val="center"/>
          </w:tcPr>
          <w:p w14:paraId="4B10C5D7" w14:textId="77777777" w:rsidR="00820F80" w:rsidRPr="00820F80" w:rsidRDefault="00820F80" w:rsidP="00820F80">
            <w:pPr>
              <w:pStyle w:val="TableTEXT"/>
              <w:jc w:val="center"/>
              <w:rPr>
                <w:b/>
              </w:rPr>
            </w:pPr>
            <w:r w:rsidRPr="00820F80">
              <w:rPr>
                <w:b/>
              </w:rPr>
              <w:t>High</w:t>
            </w:r>
          </w:p>
        </w:tc>
        <w:tc>
          <w:tcPr>
            <w:tcW w:w="833" w:type="pct"/>
            <w:shd w:val="clear" w:color="auto" w:fill="FF9900"/>
            <w:vAlign w:val="center"/>
          </w:tcPr>
          <w:p w14:paraId="5D82A903" w14:textId="77777777" w:rsidR="00820F80" w:rsidRPr="00820F80" w:rsidRDefault="00820F80" w:rsidP="00820F80">
            <w:pPr>
              <w:pStyle w:val="TableTEXT"/>
              <w:jc w:val="center"/>
              <w:rPr>
                <w:b/>
              </w:rPr>
            </w:pPr>
            <w:r w:rsidRPr="00820F80">
              <w:rPr>
                <w:b/>
              </w:rPr>
              <w:t>High</w:t>
            </w:r>
          </w:p>
        </w:tc>
        <w:tc>
          <w:tcPr>
            <w:tcW w:w="835" w:type="pct"/>
            <w:shd w:val="clear" w:color="auto" w:fill="FF0000"/>
            <w:vAlign w:val="center"/>
          </w:tcPr>
          <w:p w14:paraId="789AC51B" w14:textId="77777777" w:rsidR="00820F80" w:rsidRPr="00820F80" w:rsidRDefault="00820F80" w:rsidP="00820F80">
            <w:pPr>
              <w:pStyle w:val="TableTEXT"/>
              <w:jc w:val="center"/>
              <w:rPr>
                <w:b/>
              </w:rPr>
            </w:pPr>
            <w:r w:rsidRPr="00820F80">
              <w:rPr>
                <w:b/>
              </w:rPr>
              <w:t>Very High</w:t>
            </w:r>
          </w:p>
        </w:tc>
      </w:tr>
      <w:tr w:rsidR="00820F80" w:rsidRPr="00F556AC" w14:paraId="72F2596F" w14:textId="77777777" w:rsidTr="00455992">
        <w:tc>
          <w:tcPr>
            <w:tcW w:w="833" w:type="pct"/>
            <w:vAlign w:val="center"/>
          </w:tcPr>
          <w:p w14:paraId="69A2DAE6" w14:textId="77777777" w:rsidR="00820F80" w:rsidRPr="00820F80" w:rsidRDefault="00820F80" w:rsidP="00820F80">
            <w:pPr>
              <w:pStyle w:val="TableTEXT"/>
              <w:rPr>
                <w:b/>
                <w:sz w:val="14"/>
              </w:rPr>
            </w:pPr>
            <w:r w:rsidRPr="00820F80">
              <w:rPr>
                <w:b/>
                <w:sz w:val="14"/>
              </w:rPr>
              <w:t>Possible (3)</w:t>
            </w:r>
          </w:p>
          <w:p w14:paraId="27B498E6" w14:textId="77777777" w:rsidR="00820F80" w:rsidRPr="00820F80" w:rsidRDefault="00820F80" w:rsidP="00820F80">
            <w:pPr>
              <w:pStyle w:val="TableTEXT"/>
              <w:rPr>
                <w:sz w:val="14"/>
              </w:rPr>
            </w:pPr>
            <w:r w:rsidRPr="00820F80">
              <w:rPr>
                <w:sz w:val="14"/>
              </w:rPr>
              <w:t>Could occur at some time</w:t>
            </w:r>
          </w:p>
        </w:tc>
        <w:tc>
          <w:tcPr>
            <w:tcW w:w="833" w:type="pct"/>
            <w:shd w:val="clear" w:color="auto" w:fill="00FF00"/>
            <w:vAlign w:val="center"/>
          </w:tcPr>
          <w:p w14:paraId="565A863F" w14:textId="77777777" w:rsidR="00820F80" w:rsidRPr="00820F80" w:rsidRDefault="00820F80" w:rsidP="00820F80">
            <w:pPr>
              <w:pStyle w:val="TableTEXT"/>
              <w:jc w:val="center"/>
              <w:rPr>
                <w:b/>
              </w:rPr>
            </w:pPr>
            <w:r w:rsidRPr="00820F80">
              <w:rPr>
                <w:b/>
              </w:rPr>
              <w:t>Low</w:t>
            </w:r>
          </w:p>
        </w:tc>
        <w:tc>
          <w:tcPr>
            <w:tcW w:w="833" w:type="pct"/>
            <w:shd w:val="clear" w:color="auto" w:fill="FFFF00"/>
            <w:vAlign w:val="center"/>
          </w:tcPr>
          <w:p w14:paraId="69DCFECB" w14:textId="77777777" w:rsidR="00820F80" w:rsidRPr="00820F80" w:rsidRDefault="00820F80" w:rsidP="00820F80">
            <w:pPr>
              <w:pStyle w:val="TableTEXT"/>
              <w:jc w:val="center"/>
              <w:rPr>
                <w:b/>
              </w:rPr>
            </w:pPr>
            <w:r w:rsidRPr="00820F80">
              <w:rPr>
                <w:b/>
              </w:rPr>
              <w:t>Moderate</w:t>
            </w:r>
          </w:p>
        </w:tc>
        <w:tc>
          <w:tcPr>
            <w:tcW w:w="833" w:type="pct"/>
            <w:shd w:val="clear" w:color="auto" w:fill="FF9900"/>
            <w:vAlign w:val="center"/>
          </w:tcPr>
          <w:p w14:paraId="5E279EC4" w14:textId="77777777" w:rsidR="00820F80" w:rsidRPr="00820F80" w:rsidRDefault="00820F80" w:rsidP="00820F80">
            <w:pPr>
              <w:pStyle w:val="TableTEXT"/>
              <w:jc w:val="center"/>
              <w:rPr>
                <w:b/>
              </w:rPr>
            </w:pPr>
            <w:r w:rsidRPr="00820F80">
              <w:rPr>
                <w:b/>
              </w:rPr>
              <w:t>High</w:t>
            </w:r>
          </w:p>
        </w:tc>
        <w:tc>
          <w:tcPr>
            <w:tcW w:w="833" w:type="pct"/>
            <w:shd w:val="clear" w:color="auto" w:fill="FF9900"/>
            <w:vAlign w:val="center"/>
          </w:tcPr>
          <w:p w14:paraId="3102AA0F" w14:textId="77777777" w:rsidR="00820F80" w:rsidRPr="00820F80" w:rsidRDefault="00820F80" w:rsidP="00820F80">
            <w:pPr>
              <w:pStyle w:val="TableTEXT"/>
              <w:jc w:val="center"/>
              <w:rPr>
                <w:b/>
              </w:rPr>
            </w:pPr>
            <w:r w:rsidRPr="00820F80">
              <w:rPr>
                <w:b/>
              </w:rPr>
              <w:t>High</w:t>
            </w:r>
          </w:p>
        </w:tc>
        <w:tc>
          <w:tcPr>
            <w:tcW w:w="835" w:type="pct"/>
            <w:shd w:val="clear" w:color="auto" w:fill="FF9900"/>
            <w:vAlign w:val="center"/>
          </w:tcPr>
          <w:p w14:paraId="4E42C7A8" w14:textId="77777777" w:rsidR="00820F80" w:rsidRPr="00820F80" w:rsidRDefault="00820F80" w:rsidP="00820F80">
            <w:pPr>
              <w:pStyle w:val="TableTEXT"/>
              <w:jc w:val="center"/>
              <w:rPr>
                <w:b/>
              </w:rPr>
            </w:pPr>
            <w:r w:rsidRPr="00820F80">
              <w:rPr>
                <w:b/>
              </w:rPr>
              <w:t>High</w:t>
            </w:r>
          </w:p>
        </w:tc>
      </w:tr>
      <w:tr w:rsidR="00820F80" w:rsidRPr="00F556AC" w14:paraId="4A088225" w14:textId="77777777" w:rsidTr="00455992">
        <w:tc>
          <w:tcPr>
            <w:tcW w:w="833" w:type="pct"/>
            <w:vAlign w:val="center"/>
          </w:tcPr>
          <w:p w14:paraId="565DFC9F" w14:textId="77777777" w:rsidR="00820F80" w:rsidRPr="00820F80" w:rsidRDefault="00820F80" w:rsidP="00820F80">
            <w:pPr>
              <w:pStyle w:val="TableTEXT"/>
              <w:rPr>
                <w:b/>
                <w:sz w:val="14"/>
              </w:rPr>
            </w:pPr>
            <w:r w:rsidRPr="00820F80">
              <w:rPr>
                <w:b/>
                <w:sz w:val="14"/>
              </w:rPr>
              <w:t>Unlikely (2)</w:t>
            </w:r>
          </w:p>
          <w:p w14:paraId="6EB13EFE" w14:textId="77777777" w:rsidR="00820F80" w:rsidRPr="00820F80" w:rsidRDefault="00820F80" w:rsidP="00820F80">
            <w:pPr>
              <w:pStyle w:val="TableTEXT"/>
              <w:rPr>
                <w:sz w:val="14"/>
              </w:rPr>
            </w:pPr>
            <w:r w:rsidRPr="00820F80">
              <w:rPr>
                <w:sz w:val="14"/>
              </w:rPr>
              <w:t xml:space="preserve">Not expected to occur </w:t>
            </w:r>
          </w:p>
        </w:tc>
        <w:tc>
          <w:tcPr>
            <w:tcW w:w="833" w:type="pct"/>
            <w:shd w:val="clear" w:color="auto" w:fill="00FF00"/>
            <w:vAlign w:val="center"/>
          </w:tcPr>
          <w:p w14:paraId="20CA914F" w14:textId="77777777" w:rsidR="00820F80" w:rsidRPr="00820F80" w:rsidRDefault="00820F80" w:rsidP="00820F80">
            <w:pPr>
              <w:pStyle w:val="TableTEXT"/>
              <w:jc w:val="center"/>
              <w:rPr>
                <w:b/>
              </w:rPr>
            </w:pPr>
            <w:r w:rsidRPr="00820F80">
              <w:rPr>
                <w:b/>
              </w:rPr>
              <w:t>Low</w:t>
            </w:r>
          </w:p>
        </w:tc>
        <w:tc>
          <w:tcPr>
            <w:tcW w:w="833" w:type="pct"/>
            <w:shd w:val="clear" w:color="auto" w:fill="00FF00"/>
            <w:vAlign w:val="center"/>
          </w:tcPr>
          <w:p w14:paraId="16354112" w14:textId="77777777" w:rsidR="00820F80" w:rsidRPr="00820F80" w:rsidRDefault="00820F80" w:rsidP="00820F80">
            <w:pPr>
              <w:pStyle w:val="TableTEXT"/>
              <w:jc w:val="center"/>
              <w:rPr>
                <w:b/>
              </w:rPr>
            </w:pPr>
            <w:r w:rsidRPr="00820F80">
              <w:rPr>
                <w:b/>
              </w:rPr>
              <w:t>Low</w:t>
            </w:r>
          </w:p>
        </w:tc>
        <w:tc>
          <w:tcPr>
            <w:tcW w:w="833" w:type="pct"/>
            <w:shd w:val="clear" w:color="auto" w:fill="FFFF00"/>
            <w:vAlign w:val="center"/>
          </w:tcPr>
          <w:p w14:paraId="140DF9F4" w14:textId="77777777" w:rsidR="00820F80" w:rsidRPr="00820F80" w:rsidRDefault="00820F80" w:rsidP="00820F80">
            <w:pPr>
              <w:pStyle w:val="TableTEXT"/>
              <w:jc w:val="center"/>
              <w:rPr>
                <w:b/>
              </w:rPr>
            </w:pPr>
            <w:r w:rsidRPr="00820F80">
              <w:rPr>
                <w:b/>
              </w:rPr>
              <w:t>Moderate</w:t>
            </w:r>
          </w:p>
        </w:tc>
        <w:tc>
          <w:tcPr>
            <w:tcW w:w="833" w:type="pct"/>
            <w:shd w:val="clear" w:color="auto" w:fill="FFFF00"/>
            <w:vAlign w:val="center"/>
          </w:tcPr>
          <w:p w14:paraId="773AB1C5" w14:textId="77777777" w:rsidR="00820F80" w:rsidRPr="00820F80" w:rsidRDefault="00820F80" w:rsidP="00820F80">
            <w:pPr>
              <w:pStyle w:val="TableTEXT"/>
              <w:jc w:val="center"/>
              <w:rPr>
                <w:b/>
              </w:rPr>
            </w:pPr>
            <w:r w:rsidRPr="00820F80">
              <w:rPr>
                <w:b/>
              </w:rPr>
              <w:t>Moderate</w:t>
            </w:r>
          </w:p>
        </w:tc>
        <w:tc>
          <w:tcPr>
            <w:tcW w:w="835" w:type="pct"/>
            <w:shd w:val="clear" w:color="auto" w:fill="FF9900"/>
            <w:vAlign w:val="center"/>
          </w:tcPr>
          <w:p w14:paraId="21C2D23F" w14:textId="77777777" w:rsidR="00820F80" w:rsidRPr="00820F80" w:rsidRDefault="00820F80" w:rsidP="00820F80">
            <w:pPr>
              <w:pStyle w:val="TableTEXT"/>
              <w:jc w:val="center"/>
              <w:rPr>
                <w:b/>
              </w:rPr>
            </w:pPr>
            <w:r w:rsidRPr="00820F80">
              <w:rPr>
                <w:b/>
              </w:rPr>
              <w:t>High</w:t>
            </w:r>
          </w:p>
        </w:tc>
      </w:tr>
      <w:tr w:rsidR="00820F80" w:rsidRPr="00F556AC" w14:paraId="38257352" w14:textId="77777777" w:rsidTr="00455992">
        <w:tc>
          <w:tcPr>
            <w:tcW w:w="833" w:type="pct"/>
            <w:vAlign w:val="center"/>
          </w:tcPr>
          <w:p w14:paraId="43759551" w14:textId="77777777" w:rsidR="00820F80" w:rsidRPr="00820F80" w:rsidRDefault="00820F80" w:rsidP="00820F80">
            <w:pPr>
              <w:pStyle w:val="TableTEXT"/>
              <w:rPr>
                <w:b/>
                <w:sz w:val="14"/>
              </w:rPr>
            </w:pPr>
            <w:r w:rsidRPr="00820F80">
              <w:rPr>
                <w:b/>
                <w:sz w:val="14"/>
              </w:rPr>
              <w:t>Rare (1)</w:t>
            </w:r>
          </w:p>
          <w:p w14:paraId="10EE1008" w14:textId="77777777" w:rsidR="00820F80" w:rsidRPr="00820F80" w:rsidRDefault="00820F80" w:rsidP="00820F80">
            <w:pPr>
              <w:pStyle w:val="TableTEXT"/>
              <w:rPr>
                <w:sz w:val="14"/>
              </w:rPr>
            </w:pPr>
            <w:r w:rsidRPr="00820F80">
              <w:rPr>
                <w:sz w:val="14"/>
              </w:rPr>
              <w:t>May occur only in exceptional circumstances</w:t>
            </w:r>
          </w:p>
        </w:tc>
        <w:tc>
          <w:tcPr>
            <w:tcW w:w="833" w:type="pct"/>
            <w:shd w:val="clear" w:color="auto" w:fill="00FF00"/>
            <w:vAlign w:val="center"/>
          </w:tcPr>
          <w:p w14:paraId="17E9C0F3" w14:textId="77777777" w:rsidR="00820F80" w:rsidRPr="00820F80" w:rsidRDefault="00820F80" w:rsidP="00820F80">
            <w:pPr>
              <w:pStyle w:val="TableTEXT"/>
              <w:jc w:val="center"/>
              <w:rPr>
                <w:b/>
              </w:rPr>
            </w:pPr>
            <w:r w:rsidRPr="00820F80">
              <w:rPr>
                <w:b/>
              </w:rPr>
              <w:t>Low</w:t>
            </w:r>
          </w:p>
        </w:tc>
        <w:tc>
          <w:tcPr>
            <w:tcW w:w="833" w:type="pct"/>
            <w:shd w:val="clear" w:color="auto" w:fill="00FF00"/>
            <w:vAlign w:val="center"/>
          </w:tcPr>
          <w:p w14:paraId="7D9BED09" w14:textId="77777777" w:rsidR="00820F80" w:rsidRPr="00820F80" w:rsidRDefault="00820F80" w:rsidP="00820F80">
            <w:pPr>
              <w:pStyle w:val="TableTEXT"/>
              <w:jc w:val="center"/>
              <w:rPr>
                <w:b/>
              </w:rPr>
            </w:pPr>
            <w:r w:rsidRPr="00820F80">
              <w:rPr>
                <w:b/>
              </w:rPr>
              <w:t>Low</w:t>
            </w:r>
          </w:p>
        </w:tc>
        <w:tc>
          <w:tcPr>
            <w:tcW w:w="833" w:type="pct"/>
            <w:shd w:val="clear" w:color="auto" w:fill="FFFF00"/>
            <w:vAlign w:val="center"/>
          </w:tcPr>
          <w:p w14:paraId="61E16C67" w14:textId="77777777" w:rsidR="00820F80" w:rsidRPr="00820F80" w:rsidRDefault="00820F80" w:rsidP="00820F80">
            <w:pPr>
              <w:pStyle w:val="TableTEXT"/>
              <w:jc w:val="center"/>
              <w:rPr>
                <w:b/>
              </w:rPr>
            </w:pPr>
            <w:r w:rsidRPr="00820F80">
              <w:rPr>
                <w:b/>
              </w:rPr>
              <w:t>Moderate</w:t>
            </w:r>
          </w:p>
        </w:tc>
        <w:tc>
          <w:tcPr>
            <w:tcW w:w="833" w:type="pct"/>
            <w:shd w:val="clear" w:color="auto" w:fill="FFFF00"/>
            <w:vAlign w:val="center"/>
          </w:tcPr>
          <w:p w14:paraId="20088842" w14:textId="77777777" w:rsidR="00820F80" w:rsidRPr="00820F80" w:rsidRDefault="00820F80" w:rsidP="00820F80">
            <w:pPr>
              <w:pStyle w:val="TableTEXT"/>
              <w:jc w:val="center"/>
              <w:rPr>
                <w:b/>
              </w:rPr>
            </w:pPr>
            <w:r w:rsidRPr="00820F80">
              <w:rPr>
                <w:b/>
              </w:rPr>
              <w:t>Moderate</w:t>
            </w:r>
          </w:p>
        </w:tc>
        <w:tc>
          <w:tcPr>
            <w:tcW w:w="835" w:type="pct"/>
            <w:shd w:val="clear" w:color="auto" w:fill="FF9900"/>
            <w:vAlign w:val="center"/>
          </w:tcPr>
          <w:p w14:paraId="0260017B" w14:textId="77777777" w:rsidR="00820F80" w:rsidRPr="00820F80" w:rsidRDefault="00820F80" w:rsidP="00820F80">
            <w:pPr>
              <w:pStyle w:val="TableTEXT"/>
              <w:jc w:val="center"/>
              <w:rPr>
                <w:b/>
              </w:rPr>
            </w:pPr>
            <w:r w:rsidRPr="00820F80">
              <w:rPr>
                <w:b/>
              </w:rPr>
              <w:t>High</w:t>
            </w:r>
          </w:p>
        </w:tc>
      </w:tr>
    </w:tbl>
    <w:p w14:paraId="0FC5EE01" w14:textId="77777777" w:rsidR="009C7197" w:rsidRPr="00820F80" w:rsidRDefault="009C7197">
      <w:pPr>
        <w:spacing w:before="0"/>
        <w:rPr>
          <w:sz w:val="2"/>
          <w:szCs w:val="2"/>
        </w:rPr>
      </w:pPr>
    </w:p>
    <w:p w14:paraId="37486558" w14:textId="77777777" w:rsidR="003573BE" w:rsidRPr="00820F80" w:rsidRDefault="003573BE">
      <w:pPr>
        <w:spacing w:before="0"/>
        <w:rPr>
          <w:sz w:val="2"/>
          <w:szCs w:val="2"/>
        </w:rPr>
        <w:sectPr w:rsidR="003573BE" w:rsidRPr="00820F80" w:rsidSect="00F76705">
          <w:pgSz w:w="16838" w:h="11906" w:orient="landscape"/>
          <w:pgMar w:top="1418" w:right="1418" w:bottom="1418" w:left="1418" w:header="568" w:footer="430" w:gutter="0"/>
          <w:cols w:space="708"/>
          <w:docGrid w:linePitch="360"/>
        </w:sectPr>
      </w:pPr>
    </w:p>
    <w:p w14:paraId="6F64B7A9" w14:textId="6A80895B" w:rsidR="00095C05" w:rsidRPr="004A17FE" w:rsidRDefault="00095C05" w:rsidP="00460FD7">
      <w:pPr>
        <w:pStyle w:val="annexheading"/>
        <w:tabs>
          <w:tab w:val="left" w:pos="1701"/>
        </w:tabs>
      </w:pPr>
      <w:bookmarkStart w:id="78" w:name="_Toc387590508"/>
      <w:bookmarkStart w:id="79" w:name="_Toc399104641"/>
      <w:bookmarkStart w:id="80" w:name="_Toc401578439"/>
      <w:bookmarkStart w:id="81" w:name="_Toc387590518"/>
      <w:r w:rsidRPr="004A17FE">
        <w:t xml:space="preserve">Annex </w:t>
      </w:r>
      <w:r w:rsidR="00880C45">
        <w:t>H</w:t>
      </w:r>
      <w:r w:rsidRPr="004A17FE">
        <w:t>:</w:t>
      </w:r>
      <w:bookmarkEnd w:id="78"/>
      <w:r w:rsidR="00FC709A">
        <w:t xml:space="preserve"> </w:t>
      </w:r>
      <w:r w:rsidR="006D1B35">
        <w:t xml:space="preserve">Indicative </w:t>
      </w:r>
      <w:r>
        <w:t>Budget and Cost Estimates</w:t>
      </w:r>
      <w:bookmarkEnd w:id="79"/>
      <w:bookmarkEnd w:id="80"/>
      <w:r>
        <w:t xml:space="preserve"> </w:t>
      </w:r>
    </w:p>
    <w:p w14:paraId="05E6AE4E" w14:textId="77777777" w:rsidR="006D1B35" w:rsidRPr="006D1B35" w:rsidRDefault="006D1B35" w:rsidP="00E71325">
      <w:pPr>
        <w:pStyle w:val="annexsubheading"/>
      </w:pPr>
      <w:r>
        <w:t xml:space="preserve">AADP </w:t>
      </w:r>
      <w:r w:rsidRPr="006D1B35">
        <w:t>Financial Envelope</w:t>
      </w:r>
    </w:p>
    <w:p w14:paraId="7DB9ACFD" w14:textId="77777777" w:rsidR="007C39CF" w:rsidRDefault="006D1B35" w:rsidP="00A04F30">
      <w:pPr>
        <w:pStyle w:val="BodyText"/>
        <w:rPr>
          <w:rFonts w:cs="Arial"/>
          <w:szCs w:val="20"/>
        </w:rPr>
      </w:pPr>
      <w:r w:rsidRPr="00516325">
        <w:t>The proposed financial envelope for the AADP is AU</w:t>
      </w:r>
      <w:r w:rsidR="00F927CB">
        <w:t>$</w:t>
      </w:r>
      <w:r w:rsidRPr="00516325">
        <w:t>2</w:t>
      </w:r>
      <w:r w:rsidR="00925F69">
        <w:t>1</w:t>
      </w:r>
      <w:r w:rsidRPr="00516325">
        <w:t>0 million over the four year term</w:t>
      </w:r>
      <w:r w:rsidR="00B912A7">
        <w:t xml:space="preserve"> and AU$62 </w:t>
      </w:r>
      <w:r w:rsidR="0023363B">
        <w:t>million for the E4G Component</w:t>
      </w:r>
      <w:r w:rsidRPr="00516325">
        <w:t>.</w:t>
      </w:r>
      <w:r w:rsidR="009C7197" w:rsidRPr="00516325">
        <w:t xml:space="preserve"> </w:t>
      </w:r>
      <w:r w:rsidR="00925F69" w:rsidRPr="003C0DBE">
        <w:t xml:space="preserve">The </w:t>
      </w:r>
      <w:r w:rsidR="0023363B">
        <w:t xml:space="preserve">value of the </w:t>
      </w:r>
      <w:r w:rsidR="00925F69" w:rsidRPr="003C0DBE">
        <w:t xml:space="preserve">E4G Component </w:t>
      </w:r>
      <w:r w:rsidR="00925F69">
        <w:t>of the AADP contract is estimated at $50 million over four years</w:t>
      </w:r>
      <w:r w:rsidRPr="00516325">
        <w:t>.</w:t>
      </w:r>
      <w:r w:rsidR="001D3D55">
        <w:t xml:space="preserve"> </w:t>
      </w:r>
      <w:proofErr w:type="gramStart"/>
      <w:r w:rsidR="008A208E">
        <w:rPr>
          <w:rFonts w:cs="Arial"/>
          <w:szCs w:val="20"/>
        </w:rPr>
        <w:t xml:space="preserve">Indicative Program activity costs for the E4G Component </w:t>
      </w:r>
      <w:r w:rsidR="001D3D55">
        <w:rPr>
          <w:rFonts w:cs="Arial"/>
          <w:szCs w:val="20"/>
        </w:rPr>
        <w:t>is</w:t>
      </w:r>
      <w:proofErr w:type="gramEnd"/>
      <w:r w:rsidR="008A208E">
        <w:rPr>
          <w:rFonts w:cs="Arial"/>
          <w:szCs w:val="20"/>
        </w:rPr>
        <w:t xml:space="preserve"> set out below.</w:t>
      </w:r>
      <w:r w:rsidR="009C7197">
        <w:rPr>
          <w:rFonts w:cs="Arial"/>
          <w:szCs w:val="20"/>
        </w:rPr>
        <w:t xml:space="preserve"> </w:t>
      </w:r>
      <w:proofErr w:type="gramStart"/>
      <w:r w:rsidR="001A1201" w:rsidRPr="001A1201">
        <w:rPr>
          <w:rFonts w:cs="Arial"/>
          <w:szCs w:val="20"/>
        </w:rPr>
        <w:t xml:space="preserve">(Table </w:t>
      </w:r>
      <w:r w:rsidR="001D3D55">
        <w:rPr>
          <w:rFonts w:cs="Arial"/>
          <w:szCs w:val="20"/>
        </w:rPr>
        <w:t>2)</w:t>
      </w:r>
      <w:r w:rsidR="002F224C">
        <w:rPr>
          <w:rFonts w:cs="Arial"/>
          <w:szCs w:val="20"/>
        </w:rPr>
        <w:t>.</w:t>
      </w:r>
      <w:proofErr w:type="gramEnd"/>
      <w:r w:rsidR="009C7197">
        <w:rPr>
          <w:rFonts w:cs="Arial"/>
          <w:szCs w:val="20"/>
        </w:rPr>
        <w:t xml:space="preserve"> </w:t>
      </w:r>
      <w:r w:rsidR="00666551">
        <w:rPr>
          <w:rFonts w:cs="Arial"/>
          <w:szCs w:val="20"/>
        </w:rPr>
        <w:t>It is important to note that some Program activity costs, although funded from the Program’s financial envelope, will lie outside DFAT’s contract with the MC</w:t>
      </w:r>
      <w:r w:rsidR="006C61B5">
        <w:rPr>
          <w:rStyle w:val="FootnoteReference"/>
          <w:rFonts w:cs="Arial"/>
          <w:szCs w:val="20"/>
        </w:rPr>
        <w:footnoteReference w:id="45"/>
      </w:r>
      <w:r w:rsidR="00666551">
        <w:rPr>
          <w:rFonts w:cs="Arial"/>
          <w:szCs w:val="20"/>
        </w:rPr>
        <w:t xml:space="preserve">. </w:t>
      </w:r>
    </w:p>
    <w:p w14:paraId="572E7120" w14:textId="77777777" w:rsidR="001D3D55" w:rsidRPr="001D3D55" w:rsidRDefault="001D3D55" w:rsidP="001D3D55">
      <w:pPr>
        <w:pStyle w:val="Caption"/>
        <w:rPr>
          <w:szCs w:val="16"/>
        </w:rPr>
      </w:pPr>
      <w:r w:rsidRPr="001D3D55">
        <w:rPr>
          <w:szCs w:val="16"/>
        </w:rPr>
        <w:t xml:space="preserve"> Table </w:t>
      </w:r>
      <w:r>
        <w:rPr>
          <w:szCs w:val="16"/>
        </w:rPr>
        <w:t>2</w:t>
      </w:r>
      <w:r w:rsidRPr="001D3D55">
        <w:rPr>
          <w:szCs w:val="16"/>
        </w:rPr>
        <w:t xml:space="preserve">: Indicative </w:t>
      </w:r>
      <w:r>
        <w:rPr>
          <w:szCs w:val="16"/>
        </w:rPr>
        <w:t>AADP Funding</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4378"/>
        <w:gridCol w:w="2453"/>
        <w:gridCol w:w="2455"/>
      </w:tblGrid>
      <w:tr w:rsidR="001D3D55" w:rsidRPr="00B912A7" w14:paraId="575FA305" w14:textId="77777777" w:rsidTr="00B912A7">
        <w:trPr>
          <w:cantSplit/>
        </w:trPr>
        <w:tc>
          <w:tcPr>
            <w:tcW w:w="2357" w:type="pct"/>
            <w:shd w:val="clear" w:color="auto" w:fill="FFC000"/>
          </w:tcPr>
          <w:p w14:paraId="2BB6C559" w14:textId="77777777" w:rsidR="001D3D55" w:rsidRPr="00B912A7" w:rsidRDefault="001D3D55" w:rsidP="00B912A7">
            <w:pPr>
              <w:pStyle w:val="ListParagraph"/>
              <w:tabs>
                <w:tab w:val="left" w:pos="567"/>
              </w:tabs>
              <w:autoSpaceDE w:val="0"/>
              <w:autoSpaceDN w:val="0"/>
              <w:adjustRightInd w:val="0"/>
              <w:spacing w:after="0" w:line="240" w:lineRule="auto"/>
              <w:ind w:left="0"/>
              <w:contextualSpacing w:val="0"/>
              <w:jc w:val="center"/>
              <w:rPr>
                <w:rFonts w:ascii="Arial" w:hAnsi="Arial" w:cs="Arial"/>
                <w:b/>
                <w:sz w:val="16"/>
                <w:szCs w:val="18"/>
              </w:rPr>
            </w:pPr>
            <w:r w:rsidRPr="00B912A7">
              <w:rPr>
                <w:rFonts w:ascii="Arial" w:hAnsi="Arial" w:cs="Arial"/>
                <w:b/>
                <w:sz w:val="16"/>
                <w:szCs w:val="18"/>
              </w:rPr>
              <w:t>Item</w:t>
            </w:r>
          </w:p>
        </w:tc>
        <w:tc>
          <w:tcPr>
            <w:tcW w:w="1321" w:type="pct"/>
            <w:shd w:val="clear" w:color="auto" w:fill="FFC000"/>
          </w:tcPr>
          <w:p w14:paraId="1DBDB051" w14:textId="77777777" w:rsidR="001D3D55" w:rsidRPr="00B912A7" w:rsidRDefault="001D3D55" w:rsidP="00B912A7">
            <w:pPr>
              <w:pStyle w:val="ListParagraph"/>
              <w:tabs>
                <w:tab w:val="left" w:pos="567"/>
              </w:tabs>
              <w:autoSpaceDE w:val="0"/>
              <w:autoSpaceDN w:val="0"/>
              <w:adjustRightInd w:val="0"/>
              <w:spacing w:after="0" w:line="240" w:lineRule="auto"/>
              <w:ind w:left="0"/>
              <w:contextualSpacing w:val="0"/>
              <w:jc w:val="center"/>
              <w:rPr>
                <w:rFonts w:ascii="Arial" w:hAnsi="Arial" w:cs="Arial"/>
                <w:b/>
                <w:sz w:val="16"/>
                <w:szCs w:val="18"/>
              </w:rPr>
            </w:pPr>
            <w:r w:rsidRPr="00B912A7">
              <w:rPr>
                <w:rFonts w:ascii="Arial" w:hAnsi="Arial" w:cs="Arial"/>
                <w:b/>
                <w:sz w:val="16"/>
                <w:szCs w:val="18"/>
              </w:rPr>
              <w:t>Annual</w:t>
            </w:r>
          </w:p>
        </w:tc>
        <w:tc>
          <w:tcPr>
            <w:tcW w:w="1322" w:type="pct"/>
            <w:shd w:val="clear" w:color="auto" w:fill="FFC000"/>
          </w:tcPr>
          <w:p w14:paraId="1121C3C2" w14:textId="77777777" w:rsidR="001D3D55" w:rsidRPr="00B912A7" w:rsidRDefault="001D3D55" w:rsidP="00B912A7">
            <w:pPr>
              <w:pStyle w:val="ListParagraph"/>
              <w:tabs>
                <w:tab w:val="left" w:pos="567"/>
              </w:tabs>
              <w:autoSpaceDE w:val="0"/>
              <w:autoSpaceDN w:val="0"/>
              <w:adjustRightInd w:val="0"/>
              <w:spacing w:after="0" w:line="240" w:lineRule="auto"/>
              <w:ind w:left="0"/>
              <w:contextualSpacing w:val="0"/>
              <w:jc w:val="center"/>
              <w:rPr>
                <w:rFonts w:ascii="Arial" w:hAnsi="Arial" w:cs="Arial"/>
                <w:b/>
                <w:sz w:val="16"/>
                <w:szCs w:val="18"/>
              </w:rPr>
            </w:pPr>
            <w:r w:rsidRPr="00B912A7">
              <w:rPr>
                <w:rFonts w:ascii="Arial" w:hAnsi="Arial" w:cs="Arial"/>
                <w:b/>
                <w:sz w:val="16"/>
                <w:szCs w:val="18"/>
              </w:rPr>
              <w:t>Over 4 Years</w:t>
            </w:r>
          </w:p>
        </w:tc>
      </w:tr>
      <w:tr w:rsidR="001D3D55" w:rsidRPr="00B912A7" w14:paraId="491A6D98" w14:textId="77777777" w:rsidTr="00B912A7">
        <w:trPr>
          <w:cantSplit/>
        </w:trPr>
        <w:tc>
          <w:tcPr>
            <w:tcW w:w="5000" w:type="pct"/>
            <w:gridSpan w:val="3"/>
            <w:shd w:val="clear" w:color="auto" w:fill="DEEAF6" w:themeFill="accent1" w:themeFillTint="33"/>
          </w:tcPr>
          <w:p w14:paraId="0AFDE3D7" w14:textId="77777777" w:rsidR="001D3D55" w:rsidRPr="00B912A7" w:rsidRDefault="001D3D55" w:rsidP="00B912A7">
            <w:pPr>
              <w:pStyle w:val="ListParagraph"/>
              <w:tabs>
                <w:tab w:val="left" w:pos="567"/>
              </w:tabs>
              <w:autoSpaceDE w:val="0"/>
              <w:autoSpaceDN w:val="0"/>
              <w:adjustRightInd w:val="0"/>
              <w:spacing w:after="0" w:line="240" w:lineRule="auto"/>
              <w:ind w:left="0"/>
              <w:contextualSpacing w:val="0"/>
              <w:rPr>
                <w:rFonts w:ascii="Arial" w:hAnsi="Arial" w:cs="Arial"/>
                <w:b/>
                <w:sz w:val="16"/>
                <w:szCs w:val="18"/>
              </w:rPr>
            </w:pPr>
            <w:r w:rsidRPr="00B912A7">
              <w:rPr>
                <w:rFonts w:ascii="Arial" w:hAnsi="Arial" w:cs="Arial"/>
                <w:b/>
                <w:sz w:val="16"/>
                <w:szCs w:val="18"/>
              </w:rPr>
              <w:t>Value of DFAT-MC AADP Contract Throughput</w:t>
            </w:r>
          </w:p>
        </w:tc>
      </w:tr>
      <w:tr w:rsidR="001D3D55" w:rsidRPr="00B912A7" w14:paraId="500468A9" w14:textId="77777777" w:rsidTr="00B912A7">
        <w:trPr>
          <w:cantSplit/>
        </w:trPr>
        <w:tc>
          <w:tcPr>
            <w:tcW w:w="2357" w:type="pct"/>
            <w:shd w:val="clear" w:color="auto" w:fill="auto"/>
          </w:tcPr>
          <w:p w14:paraId="15EB4CCB" w14:textId="77777777" w:rsidR="001D3D55" w:rsidRPr="00B912A7" w:rsidRDefault="001D3D55" w:rsidP="00B912A7">
            <w:pPr>
              <w:pStyle w:val="ListParagraph"/>
              <w:tabs>
                <w:tab w:val="left" w:pos="567"/>
              </w:tabs>
              <w:autoSpaceDE w:val="0"/>
              <w:autoSpaceDN w:val="0"/>
              <w:adjustRightInd w:val="0"/>
              <w:spacing w:after="0" w:line="240" w:lineRule="auto"/>
              <w:ind w:left="0"/>
              <w:contextualSpacing w:val="0"/>
              <w:jc w:val="both"/>
              <w:rPr>
                <w:rFonts w:ascii="Arial" w:hAnsi="Arial" w:cs="Arial"/>
                <w:sz w:val="16"/>
                <w:szCs w:val="18"/>
              </w:rPr>
            </w:pPr>
            <w:r w:rsidRPr="00B912A7">
              <w:rPr>
                <w:rFonts w:ascii="Arial" w:hAnsi="Arial" w:cs="Arial"/>
                <w:sz w:val="16"/>
                <w:szCs w:val="18"/>
              </w:rPr>
              <w:t>Australia Awards Activity Costs</w:t>
            </w:r>
          </w:p>
        </w:tc>
        <w:tc>
          <w:tcPr>
            <w:tcW w:w="1321" w:type="pct"/>
            <w:shd w:val="clear" w:color="auto" w:fill="auto"/>
          </w:tcPr>
          <w:p w14:paraId="7EEDC2C9" w14:textId="77777777" w:rsidR="001D3D55" w:rsidRPr="00B912A7" w:rsidRDefault="001D3D55" w:rsidP="00B912A7">
            <w:pPr>
              <w:pStyle w:val="ListParagraph"/>
              <w:tabs>
                <w:tab w:val="left" w:pos="567"/>
              </w:tabs>
              <w:autoSpaceDE w:val="0"/>
              <w:autoSpaceDN w:val="0"/>
              <w:adjustRightInd w:val="0"/>
              <w:spacing w:after="0" w:line="240" w:lineRule="auto"/>
              <w:ind w:left="0" w:right="406"/>
              <w:contextualSpacing w:val="0"/>
              <w:jc w:val="right"/>
              <w:rPr>
                <w:rFonts w:ascii="Arial" w:hAnsi="Arial" w:cs="Arial"/>
                <w:sz w:val="16"/>
                <w:szCs w:val="18"/>
              </w:rPr>
            </w:pPr>
            <w:r w:rsidRPr="00B912A7">
              <w:rPr>
                <w:rFonts w:ascii="Arial" w:hAnsi="Arial" w:cs="Arial"/>
                <w:sz w:val="16"/>
                <w:szCs w:val="18"/>
              </w:rPr>
              <w:t>$17 million</w:t>
            </w:r>
          </w:p>
        </w:tc>
        <w:tc>
          <w:tcPr>
            <w:tcW w:w="1322" w:type="pct"/>
            <w:shd w:val="clear" w:color="auto" w:fill="auto"/>
          </w:tcPr>
          <w:p w14:paraId="02569E52" w14:textId="77777777" w:rsidR="001D3D55" w:rsidRPr="00B912A7" w:rsidRDefault="001D3D55" w:rsidP="00B912A7">
            <w:pPr>
              <w:pStyle w:val="ListParagraph"/>
              <w:tabs>
                <w:tab w:val="left" w:pos="567"/>
              </w:tabs>
              <w:autoSpaceDE w:val="0"/>
              <w:autoSpaceDN w:val="0"/>
              <w:adjustRightInd w:val="0"/>
              <w:spacing w:after="0" w:line="240" w:lineRule="auto"/>
              <w:ind w:left="0" w:right="406"/>
              <w:contextualSpacing w:val="0"/>
              <w:jc w:val="right"/>
              <w:rPr>
                <w:rFonts w:ascii="Arial" w:hAnsi="Arial" w:cs="Arial"/>
                <w:sz w:val="16"/>
                <w:szCs w:val="18"/>
              </w:rPr>
            </w:pPr>
            <w:r w:rsidRPr="00B912A7">
              <w:rPr>
                <w:rFonts w:ascii="Arial" w:hAnsi="Arial" w:cs="Arial"/>
                <w:sz w:val="16"/>
                <w:szCs w:val="18"/>
              </w:rPr>
              <w:t>$68 million</w:t>
            </w:r>
          </w:p>
        </w:tc>
      </w:tr>
      <w:tr w:rsidR="001D3D55" w:rsidRPr="00B912A7" w14:paraId="3E074437" w14:textId="77777777" w:rsidTr="00B912A7">
        <w:trPr>
          <w:cantSplit/>
        </w:trPr>
        <w:tc>
          <w:tcPr>
            <w:tcW w:w="2357" w:type="pct"/>
            <w:shd w:val="clear" w:color="auto" w:fill="auto"/>
          </w:tcPr>
          <w:p w14:paraId="542FF011" w14:textId="77777777" w:rsidR="001D3D55" w:rsidRPr="00B912A7" w:rsidRDefault="001D3D55" w:rsidP="00B912A7">
            <w:pPr>
              <w:pStyle w:val="ListParagraph"/>
              <w:tabs>
                <w:tab w:val="left" w:pos="567"/>
              </w:tabs>
              <w:autoSpaceDE w:val="0"/>
              <w:autoSpaceDN w:val="0"/>
              <w:adjustRightInd w:val="0"/>
              <w:spacing w:after="0" w:line="240" w:lineRule="auto"/>
              <w:ind w:left="0"/>
              <w:contextualSpacing w:val="0"/>
              <w:jc w:val="both"/>
              <w:rPr>
                <w:rFonts w:ascii="Arial" w:hAnsi="Arial" w:cs="Arial"/>
                <w:sz w:val="16"/>
                <w:szCs w:val="18"/>
              </w:rPr>
            </w:pPr>
            <w:r w:rsidRPr="00B912A7">
              <w:rPr>
                <w:rFonts w:ascii="Arial" w:hAnsi="Arial" w:cs="Arial"/>
                <w:sz w:val="16"/>
                <w:szCs w:val="18"/>
              </w:rPr>
              <w:t>E4G Activity Costs</w:t>
            </w:r>
          </w:p>
        </w:tc>
        <w:tc>
          <w:tcPr>
            <w:tcW w:w="1321" w:type="pct"/>
            <w:shd w:val="clear" w:color="auto" w:fill="auto"/>
          </w:tcPr>
          <w:p w14:paraId="4E199065" w14:textId="77777777" w:rsidR="001D3D55" w:rsidRPr="00B912A7" w:rsidRDefault="001D3D55" w:rsidP="00B912A7">
            <w:pPr>
              <w:pStyle w:val="ListParagraph"/>
              <w:tabs>
                <w:tab w:val="left" w:pos="567"/>
              </w:tabs>
              <w:autoSpaceDE w:val="0"/>
              <w:autoSpaceDN w:val="0"/>
              <w:adjustRightInd w:val="0"/>
              <w:spacing w:after="0" w:line="240" w:lineRule="auto"/>
              <w:ind w:left="0" w:right="406"/>
              <w:contextualSpacing w:val="0"/>
              <w:jc w:val="right"/>
              <w:rPr>
                <w:rFonts w:ascii="Arial" w:hAnsi="Arial" w:cs="Arial"/>
                <w:sz w:val="16"/>
                <w:szCs w:val="18"/>
              </w:rPr>
            </w:pPr>
            <w:r w:rsidRPr="00B912A7">
              <w:rPr>
                <w:rFonts w:ascii="Arial" w:hAnsi="Arial" w:cs="Arial"/>
                <w:sz w:val="16"/>
                <w:szCs w:val="18"/>
              </w:rPr>
              <w:t>$12.5 million</w:t>
            </w:r>
          </w:p>
        </w:tc>
        <w:tc>
          <w:tcPr>
            <w:tcW w:w="1322" w:type="pct"/>
            <w:shd w:val="clear" w:color="auto" w:fill="auto"/>
          </w:tcPr>
          <w:p w14:paraId="45C552D3" w14:textId="77777777" w:rsidR="001D3D55" w:rsidRPr="00B912A7" w:rsidRDefault="001D3D55" w:rsidP="00B912A7">
            <w:pPr>
              <w:pStyle w:val="ListParagraph"/>
              <w:tabs>
                <w:tab w:val="left" w:pos="567"/>
              </w:tabs>
              <w:autoSpaceDE w:val="0"/>
              <w:autoSpaceDN w:val="0"/>
              <w:adjustRightInd w:val="0"/>
              <w:spacing w:after="0" w:line="240" w:lineRule="auto"/>
              <w:ind w:left="0" w:right="406"/>
              <w:contextualSpacing w:val="0"/>
              <w:jc w:val="right"/>
              <w:rPr>
                <w:rFonts w:ascii="Arial" w:hAnsi="Arial" w:cs="Arial"/>
                <w:sz w:val="16"/>
                <w:szCs w:val="18"/>
              </w:rPr>
            </w:pPr>
            <w:r w:rsidRPr="00B912A7">
              <w:rPr>
                <w:rFonts w:ascii="Arial" w:hAnsi="Arial" w:cs="Arial"/>
                <w:sz w:val="16"/>
                <w:szCs w:val="18"/>
              </w:rPr>
              <w:t>$50 million</w:t>
            </w:r>
          </w:p>
        </w:tc>
      </w:tr>
      <w:tr w:rsidR="001D3D55" w:rsidRPr="00B912A7" w14:paraId="4FBD0E80" w14:textId="77777777" w:rsidTr="00B912A7">
        <w:trPr>
          <w:cantSplit/>
        </w:trPr>
        <w:tc>
          <w:tcPr>
            <w:tcW w:w="2357" w:type="pct"/>
            <w:shd w:val="clear" w:color="auto" w:fill="D9D9D9" w:themeFill="background1" w:themeFillShade="D9"/>
          </w:tcPr>
          <w:p w14:paraId="37D0CA79" w14:textId="77777777" w:rsidR="001D3D55" w:rsidRPr="00B912A7" w:rsidRDefault="001D3D55" w:rsidP="00B912A7">
            <w:pPr>
              <w:pStyle w:val="ListParagraph"/>
              <w:tabs>
                <w:tab w:val="left" w:pos="567"/>
              </w:tabs>
              <w:autoSpaceDE w:val="0"/>
              <w:autoSpaceDN w:val="0"/>
              <w:adjustRightInd w:val="0"/>
              <w:spacing w:after="0" w:line="240" w:lineRule="auto"/>
              <w:ind w:left="0"/>
              <w:contextualSpacing w:val="0"/>
              <w:rPr>
                <w:rFonts w:ascii="Arial" w:hAnsi="Arial" w:cs="Arial"/>
                <w:b/>
                <w:sz w:val="16"/>
                <w:szCs w:val="18"/>
              </w:rPr>
            </w:pPr>
            <w:r w:rsidRPr="00B912A7">
              <w:rPr>
                <w:rFonts w:ascii="Arial" w:hAnsi="Arial" w:cs="Arial"/>
                <w:b/>
                <w:sz w:val="16"/>
                <w:szCs w:val="18"/>
              </w:rPr>
              <w:t>Sub-Total:</w:t>
            </w:r>
          </w:p>
        </w:tc>
        <w:tc>
          <w:tcPr>
            <w:tcW w:w="1321" w:type="pct"/>
            <w:shd w:val="clear" w:color="auto" w:fill="D9D9D9" w:themeFill="background1" w:themeFillShade="D9"/>
          </w:tcPr>
          <w:p w14:paraId="5FF44B4A" w14:textId="77777777" w:rsidR="001D3D55" w:rsidRPr="00B912A7" w:rsidRDefault="001D3D55" w:rsidP="00B912A7">
            <w:pPr>
              <w:pStyle w:val="ListParagraph"/>
              <w:tabs>
                <w:tab w:val="left" w:pos="567"/>
              </w:tabs>
              <w:autoSpaceDE w:val="0"/>
              <w:autoSpaceDN w:val="0"/>
              <w:adjustRightInd w:val="0"/>
              <w:spacing w:after="0" w:line="240" w:lineRule="auto"/>
              <w:ind w:left="0" w:right="406"/>
              <w:contextualSpacing w:val="0"/>
              <w:jc w:val="right"/>
              <w:rPr>
                <w:rFonts w:ascii="Arial" w:hAnsi="Arial" w:cs="Arial"/>
                <w:b/>
                <w:sz w:val="16"/>
                <w:szCs w:val="18"/>
              </w:rPr>
            </w:pPr>
            <w:r w:rsidRPr="00B912A7">
              <w:rPr>
                <w:rFonts w:ascii="Arial" w:hAnsi="Arial" w:cs="Arial"/>
                <w:b/>
                <w:sz w:val="16"/>
                <w:szCs w:val="18"/>
              </w:rPr>
              <w:t>$29.5 million</w:t>
            </w:r>
          </w:p>
        </w:tc>
        <w:tc>
          <w:tcPr>
            <w:tcW w:w="1322" w:type="pct"/>
            <w:shd w:val="clear" w:color="auto" w:fill="D9D9D9" w:themeFill="background1" w:themeFillShade="D9"/>
          </w:tcPr>
          <w:p w14:paraId="39F92CBA" w14:textId="77777777" w:rsidR="001D3D55" w:rsidRPr="00B912A7" w:rsidRDefault="001D3D55" w:rsidP="00B912A7">
            <w:pPr>
              <w:pStyle w:val="ListParagraph"/>
              <w:tabs>
                <w:tab w:val="left" w:pos="567"/>
              </w:tabs>
              <w:autoSpaceDE w:val="0"/>
              <w:autoSpaceDN w:val="0"/>
              <w:adjustRightInd w:val="0"/>
              <w:spacing w:after="120" w:line="240" w:lineRule="auto"/>
              <w:ind w:left="0" w:right="406"/>
              <w:contextualSpacing w:val="0"/>
              <w:jc w:val="right"/>
              <w:rPr>
                <w:rFonts w:ascii="Arial" w:hAnsi="Arial" w:cs="Arial"/>
                <w:b/>
                <w:sz w:val="16"/>
                <w:szCs w:val="18"/>
              </w:rPr>
            </w:pPr>
            <w:r w:rsidRPr="00B912A7">
              <w:rPr>
                <w:rFonts w:ascii="Arial" w:hAnsi="Arial" w:cs="Arial"/>
                <w:b/>
                <w:sz w:val="16"/>
                <w:szCs w:val="18"/>
              </w:rPr>
              <w:t xml:space="preserve">$118 million </w:t>
            </w:r>
          </w:p>
          <w:p w14:paraId="2735A30E" w14:textId="77777777" w:rsidR="001D3D55" w:rsidRPr="00B912A7" w:rsidRDefault="001D3D55" w:rsidP="00B912A7">
            <w:pPr>
              <w:pStyle w:val="ListParagraph"/>
              <w:tabs>
                <w:tab w:val="left" w:pos="567"/>
              </w:tabs>
              <w:autoSpaceDE w:val="0"/>
              <w:autoSpaceDN w:val="0"/>
              <w:adjustRightInd w:val="0"/>
              <w:spacing w:before="120" w:after="0" w:line="240" w:lineRule="auto"/>
              <w:ind w:left="0" w:right="406"/>
              <w:contextualSpacing w:val="0"/>
              <w:jc w:val="right"/>
              <w:rPr>
                <w:rFonts w:ascii="Arial" w:hAnsi="Arial" w:cs="Arial"/>
                <w:b/>
                <w:sz w:val="16"/>
                <w:szCs w:val="18"/>
              </w:rPr>
            </w:pPr>
            <w:r w:rsidRPr="00B912A7">
              <w:rPr>
                <w:rFonts w:ascii="Arial" w:hAnsi="Arial" w:cs="Arial"/>
                <w:b/>
                <w:sz w:val="16"/>
                <w:szCs w:val="18"/>
              </w:rPr>
              <w:t>($120 million)</w:t>
            </w:r>
          </w:p>
        </w:tc>
      </w:tr>
      <w:tr w:rsidR="001D3D55" w:rsidRPr="00B912A7" w14:paraId="59760CF9" w14:textId="77777777" w:rsidTr="00B912A7">
        <w:trPr>
          <w:cantSplit/>
        </w:trPr>
        <w:tc>
          <w:tcPr>
            <w:tcW w:w="5000" w:type="pct"/>
            <w:gridSpan w:val="3"/>
            <w:shd w:val="clear" w:color="auto" w:fill="DEEAF6" w:themeFill="accent1" w:themeFillTint="33"/>
          </w:tcPr>
          <w:p w14:paraId="22E22A1B" w14:textId="77777777" w:rsidR="001D3D55" w:rsidRPr="00B912A7" w:rsidRDefault="001D3D55" w:rsidP="00B912A7">
            <w:pPr>
              <w:pStyle w:val="ListParagraph"/>
              <w:tabs>
                <w:tab w:val="left" w:pos="567"/>
              </w:tabs>
              <w:autoSpaceDE w:val="0"/>
              <w:autoSpaceDN w:val="0"/>
              <w:adjustRightInd w:val="0"/>
              <w:spacing w:after="0" w:line="240" w:lineRule="auto"/>
              <w:ind w:left="0" w:right="406"/>
              <w:contextualSpacing w:val="0"/>
              <w:rPr>
                <w:rFonts w:ascii="Arial" w:hAnsi="Arial" w:cs="Arial"/>
                <w:b/>
                <w:sz w:val="16"/>
                <w:szCs w:val="18"/>
              </w:rPr>
            </w:pPr>
            <w:r w:rsidRPr="00B912A7">
              <w:rPr>
                <w:rFonts w:ascii="Arial" w:hAnsi="Arial" w:cs="Arial"/>
                <w:b/>
                <w:sz w:val="16"/>
                <w:szCs w:val="18"/>
              </w:rPr>
              <w:t>Value of DFAT AADP Direct Costs</w:t>
            </w:r>
          </w:p>
        </w:tc>
      </w:tr>
      <w:tr w:rsidR="001D3D55" w:rsidRPr="00B912A7" w14:paraId="53D2F7DC" w14:textId="77777777" w:rsidTr="00B912A7">
        <w:trPr>
          <w:cantSplit/>
        </w:trPr>
        <w:tc>
          <w:tcPr>
            <w:tcW w:w="2357" w:type="pct"/>
            <w:shd w:val="clear" w:color="auto" w:fill="auto"/>
          </w:tcPr>
          <w:p w14:paraId="20DC8B05" w14:textId="77777777" w:rsidR="001D3D55" w:rsidRPr="00B912A7" w:rsidRDefault="001D3D55" w:rsidP="00B912A7">
            <w:pPr>
              <w:pStyle w:val="ListParagraph"/>
              <w:tabs>
                <w:tab w:val="left" w:pos="567"/>
              </w:tabs>
              <w:autoSpaceDE w:val="0"/>
              <w:autoSpaceDN w:val="0"/>
              <w:adjustRightInd w:val="0"/>
              <w:spacing w:after="0" w:line="240" w:lineRule="auto"/>
              <w:ind w:left="0"/>
              <w:contextualSpacing w:val="0"/>
              <w:jc w:val="both"/>
              <w:rPr>
                <w:rFonts w:ascii="Arial" w:hAnsi="Arial" w:cs="Arial"/>
                <w:sz w:val="16"/>
                <w:szCs w:val="18"/>
              </w:rPr>
            </w:pPr>
            <w:r w:rsidRPr="00B912A7">
              <w:rPr>
                <w:rFonts w:ascii="Arial" w:hAnsi="Arial" w:cs="Arial"/>
                <w:sz w:val="16"/>
                <w:szCs w:val="18"/>
              </w:rPr>
              <w:t>Scholarships Payments to Universities</w:t>
            </w:r>
          </w:p>
        </w:tc>
        <w:tc>
          <w:tcPr>
            <w:tcW w:w="1321" w:type="pct"/>
            <w:shd w:val="clear" w:color="auto" w:fill="auto"/>
          </w:tcPr>
          <w:p w14:paraId="47CDFB22" w14:textId="77777777" w:rsidR="001D3D55" w:rsidRPr="00B912A7" w:rsidRDefault="001D3D55" w:rsidP="00B912A7">
            <w:pPr>
              <w:pStyle w:val="ListParagraph"/>
              <w:tabs>
                <w:tab w:val="left" w:pos="567"/>
              </w:tabs>
              <w:autoSpaceDE w:val="0"/>
              <w:autoSpaceDN w:val="0"/>
              <w:adjustRightInd w:val="0"/>
              <w:spacing w:after="0" w:line="240" w:lineRule="auto"/>
              <w:ind w:left="0" w:right="406"/>
              <w:contextualSpacing w:val="0"/>
              <w:jc w:val="right"/>
              <w:rPr>
                <w:rFonts w:ascii="Arial" w:hAnsi="Arial" w:cs="Arial"/>
                <w:sz w:val="16"/>
                <w:szCs w:val="18"/>
              </w:rPr>
            </w:pPr>
            <w:r w:rsidRPr="00B912A7">
              <w:rPr>
                <w:rFonts w:ascii="Arial" w:hAnsi="Arial" w:cs="Arial"/>
                <w:sz w:val="16"/>
                <w:szCs w:val="18"/>
              </w:rPr>
              <w:t>$18 million</w:t>
            </w:r>
          </w:p>
        </w:tc>
        <w:tc>
          <w:tcPr>
            <w:tcW w:w="1322" w:type="pct"/>
            <w:shd w:val="clear" w:color="auto" w:fill="auto"/>
          </w:tcPr>
          <w:p w14:paraId="442829A8" w14:textId="77777777" w:rsidR="001D3D55" w:rsidRPr="00B912A7" w:rsidRDefault="001D3D55" w:rsidP="00B912A7">
            <w:pPr>
              <w:pStyle w:val="ListParagraph"/>
              <w:tabs>
                <w:tab w:val="left" w:pos="567"/>
              </w:tabs>
              <w:autoSpaceDE w:val="0"/>
              <w:autoSpaceDN w:val="0"/>
              <w:adjustRightInd w:val="0"/>
              <w:spacing w:after="0" w:line="240" w:lineRule="auto"/>
              <w:ind w:left="0" w:right="406"/>
              <w:contextualSpacing w:val="0"/>
              <w:jc w:val="right"/>
              <w:rPr>
                <w:rFonts w:ascii="Arial" w:hAnsi="Arial" w:cs="Arial"/>
                <w:sz w:val="16"/>
                <w:szCs w:val="18"/>
              </w:rPr>
            </w:pPr>
            <w:r w:rsidRPr="00B912A7">
              <w:rPr>
                <w:rFonts w:ascii="Arial" w:hAnsi="Arial" w:cs="Arial"/>
                <w:sz w:val="16"/>
                <w:szCs w:val="18"/>
              </w:rPr>
              <w:t>$72 million</w:t>
            </w:r>
          </w:p>
        </w:tc>
      </w:tr>
      <w:tr w:rsidR="001D3D55" w:rsidRPr="00B912A7" w14:paraId="645433CB" w14:textId="77777777" w:rsidTr="00B912A7">
        <w:trPr>
          <w:cantSplit/>
        </w:trPr>
        <w:tc>
          <w:tcPr>
            <w:tcW w:w="2357" w:type="pct"/>
            <w:shd w:val="clear" w:color="auto" w:fill="auto"/>
          </w:tcPr>
          <w:p w14:paraId="5F7B86FD" w14:textId="77777777" w:rsidR="001D3D55" w:rsidRPr="00B912A7" w:rsidRDefault="001D3D55" w:rsidP="00B912A7">
            <w:pPr>
              <w:pStyle w:val="ListParagraph"/>
              <w:tabs>
                <w:tab w:val="left" w:pos="567"/>
              </w:tabs>
              <w:autoSpaceDE w:val="0"/>
              <w:autoSpaceDN w:val="0"/>
              <w:adjustRightInd w:val="0"/>
              <w:spacing w:after="0" w:line="240" w:lineRule="auto"/>
              <w:ind w:left="0"/>
              <w:contextualSpacing w:val="0"/>
              <w:jc w:val="both"/>
              <w:rPr>
                <w:rFonts w:ascii="Arial" w:hAnsi="Arial" w:cs="Arial"/>
                <w:sz w:val="16"/>
                <w:szCs w:val="18"/>
              </w:rPr>
            </w:pPr>
            <w:r w:rsidRPr="00B912A7">
              <w:rPr>
                <w:rFonts w:ascii="Arial" w:hAnsi="Arial" w:cs="Arial"/>
                <w:sz w:val="16"/>
                <w:szCs w:val="18"/>
              </w:rPr>
              <w:t xml:space="preserve">Direct </w:t>
            </w:r>
            <w:r w:rsidR="0025246F">
              <w:rPr>
                <w:rFonts w:ascii="Arial" w:hAnsi="Arial" w:cs="Arial"/>
                <w:sz w:val="16"/>
                <w:szCs w:val="18"/>
              </w:rPr>
              <w:t>extractive</w:t>
            </w:r>
            <w:r w:rsidRPr="00B912A7">
              <w:rPr>
                <w:rFonts w:ascii="Arial" w:hAnsi="Arial" w:cs="Arial"/>
                <w:sz w:val="16"/>
                <w:szCs w:val="18"/>
              </w:rPr>
              <w:t xml:space="preserve"> costs</w:t>
            </w:r>
          </w:p>
        </w:tc>
        <w:tc>
          <w:tcPr>
            <w:tcW w:w="1321" w:type="pct"/>
            <w:shd w:val="clear" w:color="auto" w:fill="auto"/>
          </w:tcPr>
          <w:p w14:paraId="20F69079" w14:textId="77777777" w:rsidR="001D3D55" w:rsidRPr="00B912A7" w:rsidRDefault="001D3D55" w:rsidP="00B912A7">
            <w:pPr>
              <w:pStyle w:val="ListParagraph"/>
              <w:tabs>
                <w:tab w:val="left" w:pos="567"/>
              </w:tabs>
              <w:autoSpaceDE w:val="0"/>
              <w:autoSpaceDN w:val="0"/>
              <w:adjustRightInd w:val="0"/>
              <w:spacing w:after="0" w:line="240" w:lineRule="auto"/>
              <w:ind w:left="0" w:right="406"/>
              <w:contextualSpacing w:val="0"/>
              <w:jc w:val="right"/>
              <w:rPr>
                <w:rFonts w:ascii="Arial" w:hAnsi="Arial" w:cs="Arial"/>
                <w:sz w:val="16"/>
                <w:szCs w:val="18"/>
              </w:rPr>
            </w:pPr>
            <w:r w:rsidRPr="00B912A7">
              <w:rPr>
                <w:rFonts w:ascii="Arial" w:hAnsi="Arial" w:cs="Arial"/>
                <w:sz w:val="16"/>
                <w:szCs w:val="18"/>
              </w:rPr>
              <w:t>$2 million</w:t>
            </w:r>
          </w:p>
        </w:tc>
        <w:tc>
          <w:tcPr>
            <w:tcW w:w="1322" w:type="pct"/>
            <w:shd w:val="clear" w:color="auto" w:fill="auto"/>
          </w:tcPr>
          <w:p w14:paraId="2E112F66" w14:textId="77777777" w:rsidR="001D3D55" w:rsidRPr="00B912A7" w:rsidRDefault="001D3D55" w:rsidP="00B912A7">
            <w:pPr>
              <w:pStyle w:val="ListParagraph"/>
              <w:tabs>
                <w:tab w:val="left" w:pos="567"/>
              </w:tabs>
              <w:autoSpaceDE w:val="0"/>
              <w:autoSpaceDN w:val="0"/>
              <w:adjustRightInd w:val="0"/>
              <w:spacing w:after="0" w:line="240" w:lineRule="auto"/>
              <w:ind w:left="0" w:right="406"/>
              <w:contextualSpacing w:val="0"/>
              <w:jc w:val="right"/>
              <w:rPr>
                <w:rFonts w:ascii="Arial" w:hAnsi="Arial" w:cs="Arial"/>
                <w:sz w:val="16"/>
                <w:szCs w:val="18"/>
              </w:rPr>
            </w:pPr>
            <w:r w:rsidRPr="00B912A7">
              <w:rPr>
                <w:rFonts w:ascii="Arial" w:hAnsi="Arial" w:cs="Arial"/>
                <w:sz w:val="16"/>
                <w:szCs w:val="18"/>
              </w:rPr>
              <w:t>$8 million</w:t>
            </w:r>
          </w:p>
        </w:tc>
      </w:tr>
      <w:tr w:rsidR="001D3D55" w:rsidRPr="00B912A7" w14:paraId="584BE352" w14:textId="77777777" w:rsidTr="00B912A7">
        <w:trPr>
          <w:cantSplit/>
        </w:trPr>
        <w:tc>
          <w:tcPr>
            <w:tcW w:w="2357" w:type="pct"/>
            <w:shd w:val="clear" w:color="auto" w:fill="auto"/>
          </w:tcPr>
          <w:p w14:paraId="0D53E77D" w14:textId="77777777" w:rsidR="001D3D55" w:rsidRPr="00B912A7" w:rsidRDefault="001D3D55" w:rsidP="00B912A7">
            <w:pPr>
              <w:pStyle w:val="ListParagraph"/>
              <w:tabs>
                <w:tab w:val="left" w:pos="567"/>
              </w:tabs>
              <w:autoSpaceDE w:val="0"/>
              <w:autoSpaceDN w:val="0"/>
              <w:adjustRightInd w:val="0"/>
              <w:spacing w:after="0" w:line="240" w:lineRule="auto"/>
              <w:ind w:left="0"/>
              <w:contextualSpacing w:val="0"/>
              <w:jc w:val="both"/>
              <w:rPr>
                <w:rFonts w:ascii="Arial" w:hAnsi="Arial" w:cs="Arial"/>
                <w:sz w:val="16"/>
                <w:szCs w:val="18"/>
              </w:rPr>
            </w:pPr>
            <w:r w:rsidRPr="00B912A7">
              <w:rPr>
                <w:rFonts w:ascii="Arial" w:hAnsi="Arial" w:cs="Arial"/>
                <w:sz w:val="16"/>
                <w:szCs w:val="18"/>
              </w:rPr>
              <w:t>DFAT Program Management costs (DFAT staff)</w:t>
            </w:r>
            <w:r w:rsidRPr="00B912A7">
              <w:rPr>
                <w:rFonts w:ascii="Arial" w:hAnsi="Arial" w:cs="Arial"/>
                <w:sz w:val="16"/>
                <w:szCs w:val="18"/>
              </w:rPr>
              <w:tab/>
            </w:r>
          </w:p>
        </w:tc>
        <w:tc>
          <w:tcPr>
            <w:tcW w:w="1321" w:type="pct"/>
            <w:shd w:val="clear" w:color="auto" w:fill="auto"/>
          </w:tcPr>
          <w:p w14:paraId="66E459BC" w14:textId="77777777" w:rsidR="001D3D55" w:rsidRPr="00B912A7" w:rsidRDefault="001D3D55" w:rsidP="00B912A7">
            <w:pPr>
              <w:pStyle w:val="ListParagraph"/>
              <w:tabs>
                <w:tab w:val="left" w:pos="567"/>
              </w:tabs>
              <w:autoSpaceDE w:val="0"/>
              <w:autoSpaceDN w:val="0"/>
              <w:adjustRightInd w:val="0"/>
              <w:spacing w:after="0" w:line="240" w:lineRule="auto"/>
              <w:ind w:left="0" w:right="406"/>
              <w:contextualSpacing w:val="0"/>
              <w:jc w:val="right"/>
              <w:rPr>
                <w:rFonts w:ascii="Arial" w:hAnsi="Arial" w:cs="Arial"/>
                <w:sz w:val="16"/>
                <w:szCs w:val="18"/>
              </w:rPr>
            </w:pPr>
            <w:r w:rsidRPr="00B912A7">
              <w:rPr>
                <w:rFonts w:ascii="Arial" w:hAnsi="Arial" w:cs="Arial"/>
                <w:sz w:val="16"/>
                <w:szCs w:val="18"/>
              </w:rPr>
              <w:t>$2 million</w:t>
            </w:r>
          </w:p>
        </w:tc>
        <w:tc>
          <w:tcPr>
            <w:tcW w:w="1322" w:type="pct"/>
            <w:shd w:val="clear" w:color="auto" w:fill="auto"/>
          </w:tcPr>
          <w:p w14:paraId="61536B65" w14:textId="77777777" w:rsidR="001D3D55" w:rsidRPr="00B912A7" w:rsidRDefault="001D3D55" w:rsidP="00B912A7">
            <w:pPr>
              <w:pStyle w:val="ListParagraph"/>
              <w:tabs>
                <w:tab w:val="left" w:pos="567"/>
              </w:tabs>
              <w:autoSpaceDE w:val="0"/>
              <w:autoSpaceDN w:val="0"/>
              <w:adjustRightInd w:val="0"/>
              <w:spacing w:after="0" w:line="240" w:lineRule="auto"/>
              <w:ind w:left="0" w:right="406"/>
              <w:contextualSpacing w:val="0"/>
              <w:jc w:val="right"/>
              <w:rPr>
                <w:rFonts w:ascii="Arial" w:hAnsi="Arial" w:cs="Arial"/>
                <w:sz w:val="16"/>
                <w:szCs w:val="18"/>
              </w:rPr>
            </w:pPr>
            <w:r w:rsidRPr="00B912A7">
              <w:rPr>
                <w:rFonts w:ascii="Arial" w:hAnsi="Arial" w:cs="Arial"/>
                <w:sz w:val="16"/>
                <w:szCs w:val="18"/>
              </w:rPr>
              <w:t>$8 million</w:t>
            </w:r>
          </w:p>
        </w:tc>
      </w:tr>
      <w:tr w:rsidR="001D3D55" w:rsidRPr="00B912A7" w14:paraId="670FAA12" w14:textId="77777777" w:rsidTr="00B912A7">
        <w:trPr>
          <w:cantSplit/>
        </w:trPr>
        <w:tc>
          <w:tcPr>
            <w:tcW w:w="2357" w:type="pct"/>
            <w:shd w:val="clear" w:color="auto" w:fill="D9D9D9" w:themeFill="background1" w:themeFillShade="D9"/>
          </w:tcPr>
          <w:p w14:paraId="725CB4A0" w14:textId="77777777" w:rsidR="001D3D55" w:rsidRPr="00B912A7" w:rsidRDefault="001D3D55" w:rsidP="00B912A7">
            <w:pPr>
              <w:pStyle w:val="ListParagraph"/>
              <w:tabs>
                <w:tab w:val="left" w:pos="567"/>
              </w:tabs>
              <w:autoSpaceDE w:val="0"/>
              <w:autoSpaceDN w:val="0"/>
              <w:adjustRightInd w:val="0"/>
              <w:spacing w:after="0" w:line="240" w:lineRule="auto"/>
              <w:ind w:left="0"/>
              <w:contextualSpacing w:val="0"/>
              <w:rPr>
                <w:rFonts w:ascii="Arial" w:hAnsi="Arial" w:cs="Arial"/>
                <w:sz w:val="16"/>
                <w:szCs w:val="18"/>
              </w:rPr>
            </w:pPr>
            <w:r w:rsidRPr="00B912A7">
              <w:rPr>
                <w:rFonts w:ascii="Arial" w:hAnsi="Arial" w:cs="Arial"/>
                <w:b/>
                <w:sz w:val="16"/>
                <w:szCs w:val="18"/>
              </w:rPr>
              <w:t>Sub-Total:</w:t>
            </w:r>
          </w:p>
        </w:tc>
        <w:tc>
          <w:tcPr>
            <w:tcW w:w="1321" w:type="pct"/>
            <w:shd w:val="clear" w:color="auto" w:fill="D9D9D9" w:themeFill="background1" w:themeFillShade="D9"/>
          </w:tcPr>
          <w:p w14:paraId="698A5748" w14:textId="77777777" w:rsidR="001D3D55" w:rsidRPr="00B912A7" w:rsidRDefault="001D3D55" w:rsidP="00B912A7">
            <w:pPr>
              <w:pStyle w:val="ListParagraph"/>
              <w:tabs>
                <w:tab w:val="left" w:pos="567"/>
              </w:tabs>
              <w:autoSpaceDE w:val="0"/>
              <w:autoSpaceDN w:val="0"/>
              <w:adjustRightInd w:val="0"/>
              <w:spacing w:after="0" w:line="240" w:lineRule="auto"/>
              <w:ind w:left="0" w:right="406"/>
              <w:contextualSpacing w:val="0"/>
              <w:jc w:val="right"/>
              <w:rPr>
                <w:rFonts w:ascii="Arial" w:hAnsi="Arial" w:cs="Arial"/>
                <w:b/>
                <w:sz w:val="16"/>
                <w:szCs w:val="18"/>
              </w:rPr>
            </w:pPr>
            <w:r w:rsidRPr="00B912A7">
              <w:rPr>
                <w:rFonts w:ascii="Arial" w:hAnsi="Arial" w:cs="Arial"/>
                <w:b/>
                <w:sz w:val="16"/>
                <w:szCs w:val="18"/>
              </w:rPr>
              <w:t>$22 million</w:t>
            </w:r>
          </w:p>
        </w:tc>
        <w:tc>
          <w:tcPr>
            <w:tcW w:w="1322" w:type="pct"/>
            <w:shd w:val="clear" w:color="auto" w:fill="D9D9D9" w:themeFill="background1" w:themeFillShade="D9"/>
          </w:tcPr>
          <w:p w14:paraId="7B435A6A" w14:textId="77777777" w:rsidR="001D3D55" w:rsidRPr="00B912A7" w:rsidRDefault="001D3D55" w:rsidP="00B912A7">
            <w:pPr>
              <w:pStyle w:val="ListParagraph"/>
              <w:tabs>
                <w:tab w:val="left" w:pos="567"/>
              </w:tabs>
              <w:autoSpaceDE w:val="0"/>
              <w:autoSpaceDN w:val="0"/>
              <w:adjustRightInd w:val="0"/>
              <w:spacing w:after="120" w:line="240" w:lineRule="auto"/>
              <w:ind w:left="0" w:right="406"/>
              <w:contextualSpacing w:val="0"/>
              <w:jc w:val="right"/>
              <w:rPr>
                <w:rFonts w:ascii="Arial" w:hAnsi="Arial" w:cs="Arial"/>
                <w:b/>
                <w:sz w:val="16"/>
                <w:szCs w:val="18"/>
              </w:rPr>
            </w:pPr>
            <w:r w:rsidRPr="00B912A7">
              <w:rPr>
                <w:rFonts w:ascii="Arial" w:hAnsi="Arial" w:cs="Arial"/>
                <w:b/>
                <w:sz w:val="16"/>
                <w:szCs w:val="18"/>
              </w:rPr>
              <w:t>$88 million</w:t>
            </w:r>
          </w:p>
          <w:p w14:paraId="61F09EF9" w14:textId="77777777" w:rsidR="001D3D55" w:rsidRPr="00B912A7" w:rsidRDefault="001D3D55" w:rsidP="00B912A7">
            <w:pPr>
              <w:pStyle w:val="ListParagraph"/>
              <w:tabs>
                <w:tab w:val="left" w:pos="567"/>
              </w:tabs>
              <w:autoSpaceDE w:val="0"/>
              <w:autoSpaceDN w:val="0"/>
              <w:adjustRightInd w:val="0"/>
              <w:spacing w:after="0" w:line="240" w:lineRule="auto"/>
              <w:ind w:left="0" w:right="406"/>
              <w:contextualSpacing w:val="0"/>
              <w:jc w:val="right"/>
              <w:rPr>
                <w:rFonts w:ascii="Arial" w:hAnsi="Arial" w:cs="Arial"/>
                <w:b/>
                <w:sz w:val="16"/>
                <w:szCs w:val="18"/>
              </w:rPr>
            </w:pPr>
            <w:r w:rsidRPr="00B912A7">
              <w:rPr>
                <w:rFonts w:ascii="Arial" w:hAnsi="Arial" w:cs="Arial"/>
                <w:b/>
                <w:sz w:val="16"/>
                <w:szCs w:val="18"/>
              </w:rPr>
              <w:t>($90 million)</w:t>
            </w:r>
          </w:p>
        </w:tc>
      </w:tr>
      <w:tr w:rsidR="001D3D55" w:rsidRPr="00B912A7" w14:paraId="4CF6F4AC" w14:textId="77777777" w:rsidTr="00B912A7">
        <w:trPr>
          <w:cantSplit/>
        </w:trPr>
        <w:tc>
          <w:tcPr>
            <w:tcW w:w="2357" w:type="pct"/>
            <w:shd w:val="clear" w:color="auto" w:fill="A6A6A6" w:themeFill="background1" w:themeFillShade="A6"/>
          </w:tcPr>
          <w:p w14:paraId="5EFC58CB" w14:textId="77777777" w:rsidR="001D3D55" w:rsidRPr="00B912A7" w:rsidRDefault="001D3D55" w:rsidP="00B912A7">
            <w:pPr>
              <w:pStyle w:val="ListParagraph"/>
              <w:tabs>
                <w:tab w:val="left" w:pos="567"/>
              </w:tabs>
              <w:autoSpaceDE w:val="0"/>
              <w:autoSpaceDN w:val="0"/>
              <w:adjustRightInd w:val="0"/>
              <w:spacing w:after="0" w:line="240" w:lineRule="auto"/>
              <w:ind w:left="0"/>
              <w:contextualSpacing w:val="0"/>
              <w:jc w:val="both"/>
              <w:rPr>
                <w:rFonts w:ascii="Arial" w:hAnsi="Arial" w:cs="Arial"/>
                <w:b/>
                <w:sz w:val="16"/>
                <w:szCs w:val="18"/>
              </w:rPr>
            </w:pPr>
            <w:r w:rsidRPr="00B912A7">
              <w:rPr>
                <w:rFonts w:ascii="Arial" w:hAnsi="Arial" w:cs="Arial"/>
                <w:b/>
                <w:sz w:val="16"/>
                <w:szCs w:val="18"/>
              </w:rPr>
              <w:t>Total AADP Financial Envelope</w:t>
            </w:r>
          </w:p>
        </w:tc>
        <w:tc>
          <w:tcPr>
            <w:tcW w:w="1321" w:type="pct"/>
            <w:shd w:val="clear" w:color="auto" w:fill="A6A6A6" w:themeFill="background1" w:themeFillShade="A6"/>
          </w:tcPr>
          <w:p w14:paraId="11E73EF0" w14:textId="77777777" w:rsidR="001D3D55" w:rsidRPr="00B912A7" w:rsidRDefault="001D3D55" w:rsidP="00B912A7">
            <w:pPr>
              <w:pStyle w:val="ListParagraph"/>
              <w:tabs>
                <w:tab w:val="left" w:pos="567"/>
              </w:tabs>
              <w:autoSpaceDE w:val="0"/>
              <w:autoSpaceDN w:val="0"/>
              <w:adjustRightInd w:val="0"/>
              <w:spacing w:after="0" w:line="240" w:lineRule="auto"/>
              <w:ind w:left="0" w:right="406"/>
              <w:contextualSpacing w:val="0"/>
              <w:jc w:val="right"/>
              <w:rPr>
                <w:rFonts w:ascii="Arial" w:hAnsi="Arial" w:cs="Arial"/>
                <w:b/>
                <w:sz w:val="16"/>
                <w:szCs w:val="18"/>
              </w:rPr>
            </w:pPr>
            <w:r w:rsidRPr="00B912A7">
              <w:rPr>
                <w:rFonts w:ascii="Arial" w:hAnsi="Arial" w:cs="Arial"/>
                <w:b/>
                <w:sz w:val="16"/>
                <w:szCs w:val="18"/>
              </w:rPr>
              <w:t>$51.5 million</w:t>
            </w:r>
          </w:p>
          <w:p w14:paraId="6F6632D5" w14:textId="77777777" w:rsidR="001D3D55" w:rsidRPr="00B912A7" w:rsidRDefault="001D3D55" w:rsidP="00B912A7">
            <w:pPr>
              <w:pStyle w:val="ListParagraph"/>
              <w:tabs>
                <w:tab w:val="left" w:pos="567"/>
              </w:tabs>
              <w:autoSpaceDE w:val="0"/>
              <w:autoSpaceDN w:val="0"/>
              <w:adjustRightInd w:val="0"/>
              <w:spacing w:after="0" w:line="240" w:lineRule="auto"/>
              <w:ind w:left="0" w:right="406"/>
              <w:contextualSpacing w:val="0"/>
              <w:jc w:val="right"/>
              <w:rPr>
                <w:rFonts w:ascii="Arial" w:hAnsi="Arial" w:cs="Arial"/>
                <w:b/>
                <w:sz w:val="16"/>
                <w:szCs w:val="18"/>
              </w:rPr>
            </w:pPr>
          </w:p>
        </w:tc>
        <w:tc>
          <w:tcPr>
            <w:tcW w:w="1322" w:type="pct"/>
            <w:shd w:val="clear" w:color="auto" w:fill="A6A6A6" w:themeFill="background1" w:themeFillShade="A6"/>
          </w:tcPr>
          <w:p w14:paraId="3EB917AE" w14:textId="77777777" w:rsidR="001D3D55" w:rsidRPr="00B912A7" w:rsidRDefault="001D3D55" w:rsidP="00B912A7">
            <w:pPr>
              <w:pStyle w:val="ListParagraph"/>
              <w:tabs>
                <w:tab w:val="left" w:pos="567"/>
              </w:tabs>
              <w:autoSpaceDE w:val="0"/>
              <w:autoSpaceDN w:val="0"/>
              <w:adjustRightInd w:val="0"/>
              <w:spacing w:after="120" w:line="240" w:lineRule="auto"/>
              <w:ind w:left="0" w:right="406"/>
              <w:contextualSpacing w:val="0"/>
              <w:jc w:val="right"/>
              <w:rPr>
                <w:rFonts w:ascii="Arial" w:hAnsi="Arial" w:cs="Arial"/>
                <w:b/>
                <w:sz w:val="16"/>
                <w:szCs w:val="18"/>
              </w:rPr>
            </w:pPr>
            <w:r w:rsidRPr="00B912A7">
              <w:rPr>
                <w:rFonts w:ascii="Arial" w:hAnsi="Arial" w:cs="Arial"/>
                <w:b/>
                <w:sz w:val="16"/>
                <w:szCs w:val="18"/>
              </w:rPr>
              <w:t>$206 million</w:t>
            </w:r>
          </w:p>
          <w:p w14:paraId="5DCE4341" w14:textId="77777777" w:rsidR="001D3D55" w:rsidRPr="00B912A7" w:rsidRDefault="001D3D55" w:rsidP="00B912A7">
            <w:pPr>
              <w:pStyle w:val="ListParagraph"/>
              <w:tabs>
                <w:tab w:val="left" w:pos="567"/>
              </w:tabs>
              <w:autoSpaceDE w:val="0"/>
              <w:autoSpaceDN w:val="0"/>
              <w:adjustRightInd w:val="0"/>
              <w:spacing w:after="0" w:line="240" w:lineRule="auto"/>
              <w:ind w:left="0" w:right="406"/>
              <w:contextualSpacing w:val="0"/>
              <w:jc w:val="right"/>
              <w:rPr>
                <w:rFonts w:ascii="Arial" w:hAnsi="Arial" w:cs="Arial"/>
                <w:b/>
                <w:sz w:val="16"/>
                <w:szCs w:val="18"/>
              </w:rPr>
            </w:pPr>
            <w:r w:rsidRPr="00B912A7">
              <w:rPr>
                <w:rFonts w:ascii="Arial" w:hAnsi="Arial" w:cs="Arial"/>
                <w:b/>
                <w:sz w:val="16"/>
                <w:szCs w:val="18"/>
              </w:rPr>
              <w:t>($210 million)</w:t>
            </w:r>
          </w:p>
        </w:tc>
      </w:tr>
    </w:tbl>
    <w:p w14:paraId="39153F14" w14:textId="77777777" w:rsidR="007C39CF" w:rsidRDefault="007C39CF" w:rsidP="00E71325">
      <w:pPr>
        <w:pStyle w:val="annexsubheading"/>
      </w:pPr>
      <w:r w:rsidRPr="007C39CF">
        <w:t>Program Management Costs</w:t>
      </w:r>
    </w:p>
    <w:p w14:paraId="7F21BEE0" w14:textId="77777777" w:rsidR="00A04F30" w:rsidRDefault="00382CF2" w:rsidP="00382CF2">
      <w:pPr>
        <w:pStyle w:val="BodyText"/>
        <w:rPr>
          <w:rFonts w:cs="Arial"/>
          <w:szCs w:val="20"/>
        </w:rPr>
      </w:pPr>
      <w:r w:rsidRPr="00085A46">
        <w:rPr>
          <w:rFonts w:cs="Arial"/>
          <w:szCs w:val="20"/>
        </w:rPr>
        <w:t xml:space="preserve">No cost estimates for Program </w:t>
      </w:r>
      <w:r>
        <w:rPr>
          <w:rFonts w:cs="Arial"/>
          <w:szCs w:val="20"/>
        </w:rPr>
        <w:t>management</w:t>
      </w:r>
      <w:r w:rsidRPr="00085A46">
        <w:rPr>
          <w:rFonts w:cs="Arial"/>
          <w:szCs w:val="20"/>
        </w:rPr>
        <w:t xml:space="preserve"> staffing are provided in this </w:t>
      </w:r>
      <w:r>
        <w:rPr>
          <w:rFonts w:cs="Arial"/>
          <w:szCs w:val="20"/>
        </w:rPr>
        <w:t>IDD</w:t>
      </w:r>
      <w:r w:rsidRPr="00085A46">
        <w:rPr>
          <w:rFonts w:cs="Arial"/>
          <w:szCs w:val="20"/>
        </w:rPr>
        <w:t>.</w:t>
      </w:r>
      <w:r w:rsidR="009C7197">
        <w:rPr>
          <w:rFonts w:cs="Arial"/>
          <w:szCs w:val="20"/>
        </w:rPr>
        <w:t xml:space="preserve"> </w:t>
      </w:r>
      <w:r w:rsidR="007C39CF">
        <w:rPr>
          <w:rFonts w:cs="Arial"/>
          <w:szCs w:val="20"/>
        </w:rPr>
        <w:t xml:space="preserve">Given the desire to seek cost efficiencies, synergies, and leveraging of benefits across both the E4G and </w:t>
      </w:r>
      <w:r w:rsidR="008458CC">
        <w:rPr>
          <w:rFonts w:cs="Arial"/>
          <w:szCs w:val="20"/>
        </w:rPr>
        <w:t>Australia Awards</w:t>
      </w:r>
      <w:r w:rsidR="007C39CF">
        <w:rPr>
          <w:rFonts w:cs="Arial"/>
          <w:szCs w:val="20"/>
        </w:rPr>
        <w:t xml:space="preserve"> Components, t</w:t>
      </w:r>
      <w:r w:rsidR="00A04F30" w:rsidRPr="00A04F30">
        <w:rPr>
          <w:rFonts w:cs="Arial"/>
          <w:szCs w:val="20"/>
        </w:rPr>
        <w:t>he</w:t>
      </w:r>
      <w:r w:rsidR="00A04F30">
        <w:rPr>
          <w:rFonts w:cs="Arial"/>
          <w:szCs w:val="20"/>
        </w:rPr>
        <w:t xml:space="preserve"> RFT will require </w:t>
      </w:r>
      <w:r w:rsidR="00A04F30" w:rsidRPr="00A04F30">
        <w:rPr>
          <w:rFonts w:cs="Arial"/>
          <w:szCs w:val="20"/>
        </w:rPr>
        <w:t>tenderers</w:t>
      </w:r>
      <w:r w:rsidR="00A04F30">
        <w:rPr>
          <w:rFonts w:cs="Arial"/>
          <w:szCs w:val="20"/>
        </w:rPr>
        <w:t xml:space="preserve"> to submit a proposal for staffing </w:t>
      </w:r>
      <w:r w:rsidR="006C61B5">
        <w:rPr>
          <w:rFonts w:cs="Arial"/>
          <w:szCs w:val="20"/>
        </w:rPr>
        <w:t xml:space="preserve">structure </w:t>
      </w:r>
      <w:r w:rsidR="00A04F30">
        <w:rPr>
          <w:rFonts w:cs="Arial"/>
          <w:szCs w:val="20"/>
        </w:rPr>
        <w:t xml:space="preserve">and costs for </w:t>
      </w:r>
      <w:r w:rsidR="007C39CF">
        <w:rPr>
          <w:rFonts w:cs="Arial"/>
          <w:szCs w:val="20"/>
        </w:rPr>
        <w:t xml:space="preserve">a </w:t>
      </w:r>
      <w:r w:rsidR="007C39CF" w:rsidRPr="0064206D">
        <w:rPr>
          <w:rFonts w:cs="Arial"/>
          <w:szCs w:val="20"/>
        </w:rPr>
        <w:t xml:space="preserve">combined </w:t>
      </w:r>
      <w:r w:rsidR="00666551" w:rsidRPr="0064206D">
        <w:rPr>
          <w:rFonts w:cs="Arial"/>
          <w:b/>
          <w:szCs w:val="20"/>
        </w:rPr>
        <w:t>Program Implementation</w:t>
      </w:r>
      <w:r w:rsidR="002F224C" w:rsidRPr="0064206D">
        <w:rPr>
          <w:rFonts w:cs="Arial"/>
          <w:b/>
          <w:szCs w:val="20"/>
        </w:rPr>
        <w:t xml:space="preserve"> </w:t>
      </w:r>
      <w:r w:rsidR="00666551" w:rsidRPr="0064206D">
        <w:rPr>
          <w:rFonts w:cs="Arial"/>
          <w:b/>
          <w:szCs w:val="20"/>
        </w:rPr>
        <w:t xml:space="preserve">Unit, </w:t>
      </w:r>
      <w:r w:rsidR="00666551" w:rsidRPr="0064206D">
        <w:rPr>
          <w:rFonts w:cs="Arial"/>
          <w:szCs w:val="20"/>
        </w:rPr>
        <w:t xml:space="preserve">including </w:t>
      </w:r>
      <w:r w:rsidR="00F31576" w:rsidRPr="0064206D">
        <w:rPr>
          <w:rFonts w:cs="Arial"/>
          <w:szCs w:val="20"/>
        </w:rPr>
        <w:t>full-time</w:t>
      </w:r>
      <w:r w:rsidR="00666551" w:rsidRPr="0064206D">
        <w:rPr>
          <w:rFonts w:cs="Arial"/>
          <w:szCs w:val="20"/>
        </w:rPr>
        <w:t xml:space="preserve"> </w:t>
      </w:r>
      <w:r w:rsidRPr="0064206D">
        <w:rPr>
          <w:rFonts w:cs="Arial"/>
          <w:szCs w:val="20"/>
        </w:rPr>
        <w:t xml:space="preserve">program management </w:t>
      </w:r>
      <w:r w:rsidR="00F31576" w:rsidRPr="0064206D">
        <w:rPr>
          <w:rFonts w:cs="Arial"/>
          <w:szCs w:val="20"/>
        </w:rPr>
        <w:t xml:space="preserve">and administration </w:t>
      </w:r>
      <w:r w:rsidR="00666551" w:rsidRPr="0064206D">
        <w:rPr>
          <w:rFonts w:cs="Arial"/>
          <w:szCs w:val="20"/>
        </w:rPr>
        <w:t xml:space="preserve">staff </w:t>
      </w:r>
      <w:r w:rsidR="0013054C">
        <w:rPr>
          <w:rFonts w:cs="Arial"/>
          <w:szCs w:val="20"/>
        </w:rPr>
        <w:t xml:space="preserve">who would also manage </w:t>
      </w:r>
      <w:r w:rsidR="00666551" w:rsidRPr="0064206D">
        <w:rPr>
          <w:rFonts w:cs="Arial"/>
          <w:szCs w:val="20"/>
        </w:rPr>
        <w:t>a panel of expert TA personnel</w:t>
      </w:r>
      <w:r w:rsidR="00F31576" w:rsidRPr="0064206D">
        <w:rPr>
          <w:rFonts w:cs="Arial"/>
          <w:szCs w:val="20"/>
        </w:rPr>
        <w:t xml:space="preserve"> </w:t>
      </w:r>
      <w:r w:rsidR="0064206D">
        <w:rPr>
          <w:rFonts w:cs="Arial"/>
          <w:szCs w:val="20"/>
        </w:rPr>
        <w:t>(</w:t>
      </w:r>
      <w:r w:rsidR="0064206D" w:rsidRPr="008458CC">
        <w:t>A</w:t>
      </w:r>
      <w:r w:rsidR="00F133FF">
        <w:t>frican Program Support Group</w:t>
      </w:r>
      <w:r w:rsidR="0064206D">
        <w:t>)</w:t>
      </w:r>
      <w:r w:rsidR="0064206D" w:rsidRPr="0064206D">
        <w:rPr>
          <w:rFonts w:cs="Arial"/>
          <w:szCs w:val="20"/>
        </w:rPr>
        <w:t xml:space="preserve"> </w:t>
      </w:r>
      <w:r w:rsidR="00F31576" w:rsidRPr="0064206D">
        <w:rPr>
          <w:rFonts w:cs="Arial"/>
          <w:szCs w:val="20"/>
        </w:rPr>
        <w:t xml:space="preserve">used on an on-call basis, as well as a </w:t>
      </w:r>
      <w:r w:rsidR="007E78F8" w:rsidRPr="007E78F8">
        <w:rPr>
          <w:rFonts w:cs="Arial"/>
          <w:szCs w:val="20"/>
        </w:rPr>
        <w:t>Program Director</w:t>
      </w:r>
      <w:r w:rsidR="00A04F30" w:rsidRPr="0064206D">
        <w:rPr>
          <w:rFonts w:cs="Arial"/>
          <w:szCs w:val="20"/>
        </w:rPr>
        <w:t>.</w:t>
      </w:r>
      <w:r w:rsidR="009C7197">
        <w:rPr>
          <w:rFonts w:cs="Arial"/>
          <w:szCs w:val="20"/>
        </w:rPr>
        <w:t xml:space="preserve"> </w:t>
      </w:r>
    </w:p>
    <w:p w14:paraId="4CA484B2" w14:textId="77777777" w:rsidR="006D1B35" w:rsidRPr="008F0224" w:rsidRDefault="006D1B35" w:rsidP="00516325">
      <w:pPr>
        <w:pStyle w:val="Caption"/>
      </w:pPr>
      <w:r>
        <w:rPr>
          <w:sz w:val="26"/>
          <w:szCs w:val="26"/>
        </w:rPr>
        <w:t> </w:t>
      </w:r>
      <w:r w:rsidRPr="008F0224">
        <w:t xml:space="preserve">Table </w:t>
      </w:r>
      <w:r w:rsidR="001D3D55">
        <w:t>2</w:t>
      </w:r>
      <w:r w:rsidRPr="008F0224">
        <w:t>: Indicative E4G Component Activity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892"/>
        <w:gridCol w:w="1285"/>
        <w:gridCol w:w="1283"/>
        <w:gridCol w:w="1283"/>
        <w:gridCol w:w="1543"/>
      </w:tblGrid>
      <w:tr w:rsidR="00A41544" w:rsidRPr="00516325" w14:paraId="21347B72" w14:textId="77777777" w:rsidTr="00FC709A">
        <w:trPr>
          <w:tblHeader/>
        </w:trPr>
        <w:tc>
          <w:tcPr>
            <w:tcW w:w="2095" w:type="pct"/>
            <w:shd w:val="clear" w:color="auto" w:fill="FFC000" w:themeFill="accent4"/>
            <w:noWrap/>
            <w:vAlign w:val="bottom"/>
            <w:hideMark/>
          </w:tcPr>
          <w:p w14:paraId="5E837B1A" w14:textId="77777777" w:rsidR="00A41544" w:rsidRPr="00516325" w:rsidRDefault="00696490" w:rsidP="00516325">
            <w:pPr>
              <w:pStyle w:val="TableHeader"/>
            </w:pPr>
            <w:r w:rsidRPr="00516325">
              <w:t>E4G</w:t>
            </w:r>
            <w:r w:rsidR="00A41544" w:rsidRPr="00516325">
              <w:t xml:space="preserve"> Component</w:t>
            </w:r>
          </w:p>
        </w:tc>
        <w:tc>
          <w:tcPr>
            <w:tcW w:w="692" w:type="pct"/>
            <w:shd w:val="clear" w:color="auto" w:fill="FFC000" w:themeFill="accent4"/>
            <w:noWrap/>
            <w:vAlign w:val="center"/>
            <w:hideMark/>
          </w:tcPr>
          <w:p w14:paraId="7516777F" w14:textId="77777777" w:rsidR="00A41544" w:rsidRPr="00516325" w:rsidRDefault="00A41544" w:rsidP="00516325">
            <w:pPr>
              <w:pStyle w:val="TableHeader"/>
              <w:jc w:val="center"/>
            </w:pPr>
            <w:r w:rsidRPr="00516325">
              <w:t>2015</w:t>
            </w:r>
            <w:r w:rsidR="00516325">
              <w:t>–20</w:t>
            </w:r>
            <w:r w:rsidRPr="00516325">
              <w:t>16</w:t>
            </w:r>
          </w:p>
        </w:tc>
        <w:tc>
          <w:tcPr>
            <w:tcW w:w="691" w:type="pct"/>
            <w:shd w:val="clear" w:color="auto" w:fill="FFC000" w:themeFill="accent4"/>
            <w:noWrap/>
            <w:vAlign w:val="center"/>
            <w:hideMark/>
          </w:tcPr>
          <w:p w14:paraId="79F34848" w14:textId="77777777" w:rsidR="00A41544" w:rsidRPr="00516325" w:rsidRDefault="00A41544" w:rsidP="00516325">
            <w:pPr>
              <w:pStyle w:val="TableHeader"/>
              <w:jc w:val="center"/>
            </w:pPr>
            <w:r w:rsidRPr="00516325">
              <w:t>2016</w:t>
            </w:r>
            <w:r w:rsidR="00516325">
              <w:t>–20</w:t>
            </w:r>
            <w:r w:rsidRPr="00516325">
              <w:t>17</w:t>
            </w:r>
          </w:p>
        </w:tc>
        <w:tc>
          <w:tcPr>
            <w:tcW w:w="691" w:type="pct"/>
            <w:shd w:val="clear" w:color="auto" w:fill="FFC000" w:themeFill="accent4"/>
            <w:noWrap/>
            <w:vAlign w:val="center"/>
            <w:hideMark/>
          </w:tcPr>
          <w:p w14:paraId="0528E9D2" w14:textId="77777777" w:rsidR="00A41544" w:rsidRPr="00516325" w:rsidRDefault="00A41544" w:rsidP="00516325">
            <w:pPr>
              <w:pStyle w:val="TableHeader"/>
              <w:jc w:val="center"/>
            </w:pPr>
            <w:r w:rsidRPr="00516325">
              <w:t>2017</w:t>
            </w:r>
            <w:r w:rsidR="00516325">
              <w:t>–20</w:t>
            </w:r>
            <w:r w:rsidRPr="00516325">
              <w:t>18</w:t>
            </w:r>
          </w:p>
        </w:tc>
        <w:tc>
          <w:tcPr>
            <w:tcW w:w="831" w:type="pct"/>
            <w:shd w:val="clear" w:color="auto" w:fill="FFC000" w:themeFill="accent4"/>
            <w:noWrap/>
            <w:vAlign w:val="center"/>
            <w:hideMark/>
          </w:tcPr>
          <w:p w14:paraId="0D9ED3EA" w14:textId="77777777" w:rsidR="00A41544" w:rsidRPr="00516325" w:rsidRDefault="00A41544" w:rsidP="00516325">
            <w:pPr>
              <w:pStyle w:val="TableHeader"/>
              <w:jc w:val="center"/>
            </w:pPr>
            <w:r w:rsidRPr="00516325">
              <w:t>2018</w:t>
            </w:r>
            <w:r w:rsidR="00516325">
              <w:t>–20</w:t>
            </w:r>
            <w:r w:rsidRPr="00516325">
              <w:t>19</w:t>
            </w:r>
          </w:p>
        </w:tc>
      </w:tr>
      <w:tr w:rsidR="00516325" w:rsidRPr="00516325" w14:paraId="797197F1" w14:textId="77777777" w:rsidTr="00516325">
        <w:tc>
          <w:tcPr>
            <w:tcW w:w="5000" w:type="pct"/>
            <w:gridSpan w:val="5"/>
            <w:shd w:val="clear" w:color="auto" w:fill="DEEAF6" w:themeFill="accent1" w:themeFillTint="33"/>
            <w:noWrap/>
            <w:vAlign w:val="bottom"/>
            <w:hideMark/>
          </w:tcPr>
          <w:p w14:paraId="75708A2B" w14:textId="77777777" w:rsidR="00516325" w:rsidRPr="00516325" w:rsidRDefault="00516325" w:rsidP="00516325">
            <w:pPr>
              <w:pStyle w:val="TableHeader"/>
            </w:pPr>
            <w:r w:rsidRPr="00516325">
              <w:t xml:space="preserve">(A) Multi-Country </w:t>
            </w:r>
          </w:p>
        </w:tc>
      </w:tr>
      <w:tr w:rsidR="00A41544" w:rsidRPr="00516325" w14:paraId="49878D87" w14:textId="77777777" w:rsidTr="00516325">
        <w:tc>
          <w:tcPr>
            <w:tcW w:w="2095" w:type="pct"/>
            <w:shd w:val="clear" w:color="000000" w:fill="FFFFFF"/>
            <w:noWrap/>
            <w:vAlign w:val="bottom"/>
            <w:hideMark/>
          </w:tcPr>
          <w:p w14:paraId="15DEF05D" w14:textId="77777777" w:rsidR="00A41544" w:rsidRPr="00516325" w:rsidRDefault="00A41544" w:rsidP="00516325">
            <w:pPr>
              <w:pStyle w:val="TableTEXT"/>
            </w:pPr>
            <w:r w:rsidRPr="00516325">
              <w:t>Study Tours</w:t>
            </w:r>
          </w:p>
        </w:tc>
        <w:tc>
          <w:tcPr>
            <w:tcW w:w="692" w:type="pct"/>
            <w:shd w:val="clear" w:color="000000" w:fill="FFFFFF"/>
            <w:noWrap/>
            <w:hideMark/>
          </w:tcPr>
          <w:p w14:paraId="24B7E459" w14:textId="77777777" w:rsidR="00A41544" w:rsidRPr="00516325" w:rsidRDefault="00A41544" w:rsidP="00516325">
            <w:pPr>
              <w:pStyle w:val="TableTEXT"/>
              <w:jc w:val="right"/>
            </w:pPr>
            <w:r w:rsidRPr="00516325">
              <w:t xml:space="preserve"> 1,400,000 </w:t>
            </w:r>
          </w:p>
        </w:tc>
        <w:tc>
          <w:tcPr>
            <w:tcW w:w="691" w:type="pct"/>
            <w:shd w:val="clear" w:color="000000" w:fill="FFFFFF"/>
            <w:noWrap/>
            <w:hideMark/>
          </w:tcPr>
          <w:p w14:paraId="3DBFE587" w14:textId="77777777" w:rsidR="00A41544" w:rsidRPr="00516325" w:rsidRDefault="00A41544" w:rsidP="00516325">
            <w:pPr>
              <w:pStyle w:val="TableTEXT"/>
              <w:jc w:val="right"/>
            </w:pPr>
            <w:r w:rsidRPr="00516325">
              <w:t xml:space="preserve"> 1,400,000 </w:t>
            </w:r>
          </w:p>
        </w:tc>
        <w:tc>
          <w:tcPr>
            <w:tcW w:w="691" w:type="pct"/>
            <w:shd w:val="clear" w:color="000000" w:fill="FFFFFF"/>
            <w:noWrap/>
            <w:hideMark/>
          </w:tcPr>
          <w:p w14:paraId="05D5328E" w14:textId="77777777" w:rsidR="00A41544" w:rsidRPr="00516325" w:rsidRDefault="00A41544" w:rsidP="00516325">
            <w:pPr>
              <w:pStyle w:val="TableTEXT"/>
              <w:jc w:val="right"/>
            </w:pPr>
            <w:r w:rsidRPr="00516325">
              <w:t xml:space="preserve"> 1,400,000 </w:t>
            </w:r>
          </w:p>
        </w:tc>
        <w:tc>
          <w:tcPr>
            <w:tcW w:w="831" w:type="pct"/>
            <w:shd w:val="clear" w:color="000000" w:fill="FFFFFF"/>
            <w:noWrap/>
            <w:hideMark/>
          </w:tcPr>
          <w:p w14:paraId="5F012223" w14:textId="77777777" w:rsidR="00A41544" w:rsidRPr="00516325" w:rsidRDefault="00A41544" w:rsidP="00516325">
            <w:pPr>
              <w:pStyle w:val="TableTEXT"/>
              <w:jc w:val="right"/>
            </w:pPr>
            <w:r w:rsidRPr="00516325">
              <w:t xml:space="preserve"> 1,400,000 </w:t>
            </w:r>
          </w:p>
        </w:tc>
      </w:tr>
      <w:tr w:rsidR="00A41544" w:rsidRPr="00516325" w14:paraId="2B611FEC" w14:textId="77777777" w:rsidTr="00516325">
        <w:tc>
          <w:tcPr>
            <w:tcW w:w="2095" w:type="pct"/>
            <w:shd w:val="clear" w:color="000000" w:fill="FFFFFF"/>
            <w:noWrap/>
            <w:vAlign w:val="bottom"/>
            <w:hideMark/>
          </w:tcPr>
          <w:p w14:paraId="704D54B3" w14:textId="77777777" w:rsidR="00A41544" w:rsidRPr="00516325" w:rsidRDefault="00A41544" w:rsidP="00516325">
            <w:pPr>
              <w:pStyle w:val="TableTEXT"/>
            </w:pPr>
            <w:r w:rsidRPr="00516325">
              <w:t>Infrastructure Planning Skills</w:t>
            </w:r>
          </w:p>
        </w:tc>
        <w:tc>
          <w:tcPr>
            <w:tcW w:w="692" w:type="pct"/>
            <w:shd w:val="clear" w:color="000000" w:fill="FFFFFF"/>
            <w:noWrap/>
            <w:hideMark/>
          </w:tcPr>
          <w:p w14:paraId="61B73D01" w14:textId="77777777" w:rsidR="00A41544" w:rsidRPr="00516325" w:rsidRDefault="00A41544" w:rsidP="00516325">
            <w:pPr>
              <w:pStyle w:val="TableTEXT"/>
              <w:jc w:val="right"/>
            </w:pPr>
            <w:r w:rsidRPr="00516325">
              <w:t xml:space="preserve"> 2,000,000 </w:t>
            </w:r>
          </w:p>
        </w:tc>
        <w:tc>
          <w:tcPr>
            <w:tcW w:w="691" w:type="pct"/>
            <w:shd w:val="clear" w:color="000000" w:fill="FFFFFF"/>
            <w:noWrap/>
            <w:hideMark/>
          </w:tcPr>
          <w:p w14:paraId="4DAC3172" w14:textId="77777777" w:rsidR="00A41544" w:rsidRPr="00516325" w:rsidRDefault="00A41544" w:rsidP="00516325">
            <w:pPr>
              <w:pStyle w:val="TableTEXT"/>
              <w:jc w:val="right"/>
            </w:pPr>
            <w:r w:rsidRPr="00516325">
              <w:t xml:space="preserve"> 2,000,000 </w:t>
            </w:r>
          </w:p>
        </w:tc>
        <w:tc>
          <w:tcPr>
            <w:tcW w:w="691" w:type="pct"/>
            <w:shd w:val="clear" w:color="000000" w:fill="FFFFFF"/>
            <w:noWrap/>
            <w:hideMark/>
          </w:tcPr>
          <w:p w14:paraId="61F1B356" w14:textId="77777777" w:rsidR="00A41544" w:rsidRPr="00516325" w:rsidRDefault="00A41544" w:rsidP="00516325">
            <w:pPr>
              <w:pStyle w:val="TableTEXT"/>
              <w:jc w:val="right"/>
            </w:pPr>
            <w:r w:rsidRPr="00516325">
              <w:t xml:space="preserve"> 2,000,000 </w:t>
            </w:r>
          </w:p>
        </w:tc>
        <w:tc>
          <w:tcPr>
            <w:tcW w:w="831" w:type="pct"/>
            <w:shd w:val="clear" w:color="000000" w:fill="FFFFFF"/>
            <w:noWrap/>
            <w:hideMark/>
          </w:tcPr>
          <w:p w14:paraId="1079CAAE" w14:textId="77777777" w:rsidR="00A41544" w:rsidRPr="00516325" w:rsidRDefault="00A41544" w:rsidP="00516325">
            <w:pPr>
              <w:pStyle w:val="TableTEXT"/>
              <w:jc w:val="right"/>
            </w:pPr>
            <w:r w:rsidRPr="00516325">
              <w:t xml:space="preserve"> 2,000,000 </w:t>
            </w:r>
          </w:p>
        </w:tc>
      </w:tr>
      <w:tr w:rsidR="00A41544" w:rsidRPr="00516325" w14:paraId="7C532F5C" w14:textId="77777777" w:rsidTr="00516325">
        <w:tc>
          <w:tcPr>
            <w:tcW w:w="2095" w:type="pct"/>
            <w:shd w:val="clear" w:color="000000" w:fill="FFFFFF"/>
            <w:noWrap/>
            <w:vAlign w:val="bottom"/>
            <w:hideMark/>
          </w:tcPr>
          <w:p w14:paraId="481268BE" w14:textId="77777777" w:rsidR="00A41544" w:rsidRPr="00516325" w:rsidRDefault="00A41544" w:rsidP="00516325">
            <w:pPr>
              <w:pStyle w:val="TableTEXT"/>
            </w:pPr>
            <w:r w:rsidRPr="00516325">
              <w:t>Negotiation Skills Support</w:t>
            </w:r>
          </w:p>
        </w:tc>
        <w:tc>
          <w:tcPr>
            <w:tcW w:w="692" w:type="pct"/>
            <w:shd w:val="clear" w:color="000000" w:fill="FFFFFF"/>
            <w:noWrap/>
            <w:hideMark/>
          </w:tcPr>
          <w:p w14:paraId="054909DC" w14:textId="77777777" w:rsidR="00A41544" w:rsidRPr="00516325" w:rsidRDefault="00A41544" w:rsidP="00516325">
            <w:pPr>
              <w:pStyle w:val="TableTEXT"/>
              <w:jc w:val="right"/>
            </w:pPr>
            <w:r w:rsidRPr="00516325">
              <w:t xml:space="preserve"> 250,000 </w:t>
            </w:r>
          </w:p>
        </w:tc>
        <w:tc>
          <w:tcPr>
            <w:tcW w:w="691" w:type="pct"/>
            <w:shd w:val="clear" w:color="000000" w:fill="FFFFFF"/>
            <w:noWrap/>
            <w:hideMark/>
          </w:tcPr>
          <w:p w14:paraId="5E0BDF50" w14:textId="77777777" w:rsidR="00A41544" w:rsidRPr="00516325" w:rsidRDefault="00A41544" w:rsidP="00516325">
            <w:pPr>
              <w:pStyle w:val="TableTEXT"/>
              <w:jc w:val="right"/>
            </w:pPr>
            <w:r w:rsidRPr="00516325">
              <w:t xml:space="preserve"> 500,000 </w:t>
            </w:r>
          </w:p>
        </w:tc>
        <w:tc>
          <w:tcPr>
            <w:tcW w:w="691" w:type="pct"/>
            <w:shd w:val="clear" w:color="000000" w:fill="FFFFFF"/>
            <w:noWrap/>
            <w:hideMark/>
          </w:tcPr>
          <w:p w14:paraId="0882E837" w14:textId="77777777" w:rsidR="00A41544" w:rsidRPr="00516325" w:rsidRDefault="00A41544" w:rsidP="00516325">
            <w:pPr>
              <w:pStyle w:val="TableTEXT"/>
              <w:jc w:val="right"/>
            </w:pPr>
            <w:r w:rsidRPr="00516325">
              <w:t xml:space="preserve"> 500,000 </w:t>
            </w:r>
          </w:p>
        </w:tc>
        <w:tc>
          <w:tcPr>
            <w:tcW w:w="831" w:type="pct"/>
            <w:shd w:val="clear" w:color="000000" w:fill="FFFFFF"/>
            <w:noWrap/>
            <w:hideMark/>
          </w:tcPr>
          <w:p w14:paraId="21134BE4" w14:textId="77777777" w:rsidR="00A41544" w:rsidRPr="00516325" w:rsidRDefault="00A41544" w:rsidP="00516325">
            <w:pPr>
              <w:pStyle w:val="TableTEXT"/>
              <w:jc w:val="right"/>
            </w:pPr>
            <w:r w:rsidRPr="00516325">
              <w:t xml:space="preserve"> 500,000 </w:t>
            </w:r>
          </w:p>
        </w:tc>
      </w:tr>
      <w:tr w:rsidR="00A41544" w:rsidRPr="00516325" w14:paraId="21E279C1" w14:textId="77777777" w:rsidTr="00516325">
        <w:tc>
          <w:tcPr>
            <w:tcW w:w="2095" w:type="pct"/>
            <w:shd w:val="clear" w:color="000000" w:fill="FFFFFF"/>
            <w:noWrap/>
            <w:vAlign w:val="bottom"/>
            <w:hideMark/>
          </w:tcPr>
          <w:p w14:paraId="1E4CCBD8" w14:textId="77777777" w:rsidR="00A41544" w:rsidRPr="00516325" w:rsidRDefault="00A41544" w:rsidP="00516325">
            <w:pPr>
              <w:pStyle w:val="TableTEXT"/>
            </w:pPr>
            <w:r w:rsidRPr="00516325">
              <w:t>Sub Total (A)</w:t>
            </w:r>
          </w:p>
        </w:tc>
        <w:tc>
          <w:tcPr>
            <w:tcW w:w="692" w:type="pct"/>
            <w:shd w:val="clear" w:color="000000" w:fill="FFFFFF"/>
            <w:noWrap/>
            <w:hideMark/>
          </w:tcPr>
          <w:p w14:paraId="0334D4D8" w14:textId="77777777" w:rsidR="00A41544" w:rsidRPr="00516325" w:rsidRDefault="00A41544" w:rsidP="00516325">
            <w:pPr>
              <w:pStyle w:val="TableTEXT"/>
              <w:jc w:val="right"/>
            </w:pPr>
            <w:r w:rsidRPr="00516325">
              <w:t xml:space="preserve"> 3,650,000 </w:t>
            </w:r>
          </w:p>
        </w:tc>
        <w:tc>
          <w:tcPr>
            <w:tcW w:w="691" w:type="pct"/>
            <w:shd w:val="clear" w:color="000000" w:fill="FFFFFF"/>
            <w:noWrap/>
            <w:hideMark/>
          </w:tcPr>
          <w:p w14:paraId="1CD61EDD" w14:textId="77777777" w:rsidR="00A41544" w:rsidRPr="00516325" w:rsidRDefault="00A41544" w:rsidP="00516325">
            <w:pPr>
              <w:pStyle w:val="TableTEXT"/>
              <w:jc w:val="right"/>
            </w:pPr>
            <w:r w:rsidRPr="00516325">
              <w:t xml:space="preserve"> 3,900,000 </w:t>
            </w:r>
          </w:p>
        </w:tc>
        <w:tc>
          <w:tcPr>
            <w:tcW w:w="691" w:type="pct"/>
            <w:shd w:val="clear" w:color="000000" w:fill="FFFFFF"/>
            <w:noWrap/>
            <w:hideMark/>
          </w:tcPr>
          <w:p w14:paraId="5D6AC732" w14:textId="77777777" w:rsidR="00A41544" w:rsidRPr="00516325" w:rsidRDefault="00A41544" w:rsidP="00516325">
            <w:pPr>
              <w:pStyle w:val="TableTEXT"/>
              <w:jc w:val="right"/>
            </w:pPr>
            <w:r w:rsidRPr="00516325">
              <w:t xml:space="preserve">3,900,000 </w:t>
            </w:r>
          </w:p>
        </w:tc>
        <w:tc>
          <w:tcPr>
            <w:tcW w:w="831" w:type="pct"/>
            <w:shd w:val="clear" w:color="000000" w:fill="FFFFFF"/>
            <w:noWrap/>
            <w:hideMark/>
          </w:tcPr>
          <w:p w14:paraId="6468C1DF" w14:textId="77777777" w:rsidR="00A41544" w:rsidRPr="00516325" w:rsidRDefault="00A41544" w:rsidP="00516325">
            <w:pPr>
              <w:pStyle w:val="TableTEXT"/>
              <w:jc w:val="right"/>
            </w:pPr>
            <w:r w:rsidRPr="00516325">
              <w:t xml:space="preserve">3,900,000 </w:t>
            </w:r>
          </w:p>
        </w:tc>
      </w:tr>
      <w:tr w:rsidR="00A41544" w:rsidRPr="00516325" w14:paraId="578D27CE" w14:textId="77777777" w:rsidTr="00516325">
        <w:tc>
          <w:tcPr>
            <w:tcW w:w="2095" w:type="pct"/>
            <w:shd w:val="clear" w:color="auto" w:fill="DEEAF6" w:themeFill="accent1" w:themeFillTint="33"/>
            <w:noWrap/>
            <w:vAlign w:val="bottom"/>
            <w:hideMark/>
          </w:tcPr>
          <w:p w14:paraId="0865B09E" w14:textId="77777777" w:rsidR="00A41544" w:rsidRPr="00516325" w:rsidRDefault="00A41544" w:rsidP="00516325">
            <w:pPr>
              <w:pStyle w:val="TableHeader"/>
            </w:pPr>
            <w:r w:rsidRPr="00516325">
              <w:t>(B) Pilots Skills</w:t>
            </w:r>
            <w:r w:rsidR="009C7197" w:rsidRPr="00516325">
              <w:t xml:space="preserve"> and </w:t>
            </w:r>
            <w:r w:rsidRPr="00516325">
              <w:t xml:space="preserve">Communities </w:t>
            </w:r>
          </w:p>
        </w:tc>
        <w:tc>
          <w:tcPr>
            <w:tcW w:w="692" w:type="pct"/>
            <w:shd w:val="clear" w:color="auto" w:fill="DEEAF6" w:themeFill="accent1" w:themeFillTint="33"/>
            <w:noWrap/>
            <w:hideMark/>
          </w:tcPr>
          <w:p w14:paraId="40354629" w14:textId="77777777" w:rsidR="00A41544" w:rsidRPr="00516325" w:rsidRDefault="00A41544" w:rsidP="00516325">
            <w:pPr>
              <w:pStyle w:val="TableHeader"/>
              <w:jc w:val="right"/>
            </w:pPr>
            <w:r w:rsidRPr="00516325">
              <w:t xml:space="preserve"> 3,000,000 </w:t>
            </w:r>
          </w:p>
        </w:tc>
        <w:tc>
          <w:tcPr>
            <w:tcW w:w="691" w:type="pct"/>
            <w:shd w:val="clear" w:color="auto" w:fill="DEEAF6" w:themeFill="accent1" w:themeFillTint="33"/>
            <w:noWrap/>
            <w:hideMark/>
          </w:tcPr>
          <w:p w14:paraId="56D1658A" w14:textId="77777777" w:rsidR="00A41544" w:rsidRPr="00516325" w:rsidRDefault="00A41544" w:rsidP="00516325">
            <w:pPr>
              <w:pStyle w:val="TableHeader"/>
              <w:jc w:val="right"/>
            </w:pPr>
            <w:r w:rsidRPr="00516325">
              <w:t xml:space="preserve"> 4,500,000 </w:t>
            </w:r>
          </w:p>
        </w:tc>
        <w:tc>
          <w:tcPr>
            <w:tcW w:w="691" w:type="pct"/>
            <w:shd w:val="clear" w:color="auto" w:fill="DEEAF6" w:themeFill="accent1" w:themeFillTint="33"/>
            <w:noWrap/>
            <w:hideMark/>
          </w:tcPr>
          <w:p w14:paraId="3A314662" w14:textId="77777777" w:rsidR="00A41544" w:rsidRPr="00516325" w:rsidRDefault="00A41544" w:rsidP="00516325">
            <w:pPr>
              <w:pStyle w:val="TableHeader"/>
              <w:jc w:val="right"/>
            </w:pPr>
            <w:r w:rsidRPr="00516325">
              <w:t xml:space="preserve"> 4,500,000 </w:t>
            </w:r>
          </w:p>
        </w:tc>
        <w:tc>
          <w:tcPr>
            <w:tcW w:w="831" w:type="pct"/>
            <w:shd w:val="clear" w:color="auto" w:fill="DEEAF6" w:themeFill="accent1" w:themeFillTint="33"/>
            <w:noWrap/>
            <w:hideMark/>
          </w:tcPr>
          <w:p w14:paraId="0F6602FC" w14:textId="77777777" w:rsidR="00A41544" w:rsidRPr="00516325" w:rsidRDefault="00A41544" w:rsidP="00516325">
            <w:pPr>
              <w:pStyle w:val="TableHeader"/>
              <w:jc w:val="right"/>
            </w:pPr>
            <w:r w:rsidRPr="00516325">
              <w:t xml:space="preserve"> 4,500,000 </w:t>
            </w:r>
          </w:p>
        </w:tc>
      </w:tr>
      <w:tr w:rsidR="00516325" w:rsidRPr="00516325" w14:paraId="06869809" w14:textId="77777777" w:rsidTr="00516325">
        <w:tc>
          <w:tcPr>
            <w:tcW w:w="5000" w:type="pct"/>
            <w:gridSpan w:val="5"/>
            <w:shd w:val="clear" w:color="auto" w:fill="DEEAF6" w:themeFill="accent1" w:themeFillTint="33"/>
            <w:noWrap/>
            <w:vAlign w:val="bottom"/>
          </w:tcPr>
          <w:p w14:paraId="5D3CF4C2" w14:textId="77777777" w:rsidR="00516325" w:rsidRPr="00516325" w:rsidRDefault="00516325" w:rsidP="00516325">
            <w:pPr>
              <w:pStyle w:val="TableHeader"/>
            </w:pPr>
            <w:r w:rsidRPr="00516325">
              <w:t>(C) Bilateral (Posts)</w:t>
            </w:r>
          </w:p>
        </w:tc>
      </w:tr>
      <w:tr w:rsidR="00A41544" w:rsidRPr="00516325" w14:paraId="1DEDA9F5" w14:textId="77777777" w:rsidTr="00516325">
        <w:tc>
          <w:tcPr>
            <w:tcW w:w="2095" w:type="pct"/>
            <w:shd w:val="clear" w:color="000000" w:fill="FFFFFF"/>
            <w:noWrap/>
            <w:vAlign w:val="bottom"/>
            <w:hideMark/>
          </w:tcPr>
          <w:p w14:paraId="748357C6" w14:textId="77777777" w:rsidR="00A41544" w:rsidRPr="00516325" w:rsidRDefault="00A41544" w:rsidP="00516325">
            <w:pPr>
              <w:pStyle w:val="TableTEXT"/>
            </w:pPr>
            <w:r w:rsidRPr="00516325">
              <w:t>Nairobi</w:t>
            </w:r>
          </w:p>
        </w:tc>
        <w:tc>
          <w:tcPr>
            <w:tcW w:w="692" w:type="pct"/>
            <w:shd w:val="clear" w:color="000000" w:fill="FFFFFF"/>
            <w:noWrap/>
            <w:hideMark/>
          </w:tcPr>
          <w:p w14:paraId="6DCB4435" w14:textId="77777777" w:rsidR="00A41544" w:rsidRPr="00516325" w:rsidRDefault="00A41544" w:rsidP="00516325">
            <w:pPr>
              <w:pStyle w:val="TableTEXT"/>
              <w:jc w:val="right"/>
            </w:pPr>
            <w:r w:rsidRPr="00516325">
              <w:t xml:space="preserve">625,000 </w:t>
            </w:r>
          </w:p>
        </w:tc>
        <w:tc>
          <w:tcPr>
            <w:tcW w:w="691" w:type="pct"/>
            <w:shd w:val="clear" w:color="000000" w:fill="FFFFFF"/>
            <w:noWrap/>
            <w:hideMark/>
          </w:tcPr>
          <w:p w14:paraId="2A049A12" w14:textId="77777777" w:rsidR="00A41544" w:rsidRPr="00516325" w:rsidRDefault="00A41544" w:rsidP="00516325">
            <w:pPr>
              <w:pStyle w:val="TableTEXT"/>
              <w:jc w:val="right"/>
            </w:pPr>
            <w:r w:rsidRPr="00516325">
              <w:t xml:space="preserve"> 750,000 </w:t>
            </w:r>
          </w:p>
        </w:tc>
        <w:tc>
          <w:tcPr>
            <w:tcW w:w="691" w:type="pct"/>
            <w:shd w:val="clear" w:color="000000" w:fill="FFFFFF"/>
            <w:noWrap/>
            <w:hideMark/>
          </w:tcPr>
          <w:p w14:paraId="0D975EE9" w14:textId="77777777" w:rsidR="00A41544" w:rsidRPr="00516325" w:rsidRDefault="00A41544" w:rsidP="00516325">
            <w:pPr>
              <w:pStyle w:val="TableTEXT"/>
              <w:jc w:val="right"/>
            </w:pPr>
            <w:r w:rsidRPr="00516325">
              <w:t xml:space="preserve"> 750,000 </w:t>
            </w:r>
          </w:p>
        </w:tc>
        <w:tc>
          <w:tcPr>
            <w:tcW w:w="831" w:type="pct"/>
            <w:shd w:val="clear" w:color="000000" w:fill="FFFFFF"/>
            <w:noWrap/>
            <w:hideMark/>
          </w:tcPr>
          <w:p w14:paraId="0320D73B" w14:textId="77777777" w:rsidR="00A41544" w:rsidRPr="00516325" w:rsidRDefault="00A41544" w:rsidP="00516325">
            <w:pPr>
              <w:pStyle w:val="TableTEXT"/>
              <w:jc w:val="right"/>
            </w:pPr>
            <w:r w:rsidRPr="00516325">
              <w:t xml:space="preserve"> 750,000 </w:t>
            </w:r>
          </w:p>
        </w:tc>
      </w:tr>
      <w:tr w:rsidR="00A41544" w:rsidRPr="00516325" w14:paraId="76255A9E" w14:textId="77777777" w:rsidTr="00516325">
        <w:tc>
          <w:tcPr>
            <w:tcW w:w="2095" w:type="pct"/>
            <w:shd w:val="clear" w:color="000000" w:fill="FFFFFF"/>
            <w:noWrap/>
            <w:vAlign w:val="bottom"/>
            <w:hideMark/>
          </w:tcPr>
          <w:p w14:paraId="419DE656" w14:textId="77777777" w:rsidR="00A41544" w:rsidRPr="00516325" w:rsidRDefault="00A41544" w:rsidP="00516325">
            <w:pPr>
              <w:pStyle w:val="TableTEXT"/>
            </w:pPr>
            <w:r w:rsidRPr="00516325">
              <w:t>Pretoria</w:t>
            </w:r>
          </w:p>
        </w:tc>
        <w:tc>
          <w:tcPr>
            <w:tcW w:w="692" w:type="pct"/>
            <w:shd w:val="clear" w:color="000000" w:fill="FFFFFF"/>
            <w:noWrap/>
            <w:hideMark/>
          </w:tcPr>
          <w:p w14:paraId="619A42EA" w14:textId="77777777" w:rsidR="00A41544" w:rsidRPr="00516325" w:rsidRDefault="00A41544" w:rsidP="00516325">
            <w:pPr>
              <w:pStyle w:val="TableTEXT"/>
              <w:jc w:val="right"/>
            </w:pPr>
            <w:r w:rsidRPr="00516325">
              <w:t xml:space="preserve"> 1,000,000 </w:t>
            </w:r>
          </w:p>
        </w:tc>
        <w:tc>
          <w:tcPr>
            <w:tcW w:w="691" w:type="pct"/>
            <w:shd w:val="clear" w:color="000000" w:fill="FFFFFF"/>
            <w:noWrap/>
            <w:hideMark/>
          </w:tcPr>
          <w:p w14:paraId="7605E465" w14:textId="77777777" w:rsidR="00A41544" w:rsidRPr="00516325" w:rsidRDefault="00A41544" w:rsidP="00516325">
            <w:pPr>
              <w:pStyle w:val="TableTEXT"/>
              <w:jc w:val="right"/>
            </w:pPr>
            <w:r w:rsidRPr="00516325">
              <w:t xml:space="preserve"> 750,000 </w:t>
            </w:r>
          </w:p>
        </w:tc>
        <w:tc>
          <w:tcPr>
            <w:tcW w:w="691" w:type="pct"/>
            <w:shd w:val="clear" w:color="000000" w:fill="FFFFFF"/>
            <w:noWrap/>
            <w:hideMark/>
          </w:tcPr>
          <w:p w14:paraId="5B17EB47" w14:textId="77777777" w:rsidR="00A41544" w:rsidRPr="00516325" w:rsidRDefault="00A41544" w:rsidP="00516325">
            <w:pPr>
              <w:pStyle w:val="TableTEXT"/>
              <w:jc w:val="right"/>
            </w:pPr>
            <w:r w:rsidRPr="00516325">
              <w:t xml:space="preserve"> 750,000 </w:t>
            </w:r>
          </w:p>
        </w:tc>
        <w:tc>
          <w:tcPr>
            <w:tcW w:w="831" w:type="pct"/>
            <w:shd w:val="clear" w:color="000000" w:fill="FFFFFF"/>
            <w:noWrap/>
            <w:hideMark/>
          </w:tcPr>
          <w:p w14:paraId="3FA9F4E9" w14:textId="77777777" w:rsidR="00A41544" w:rsidRPr="00516325" w:rsidRDefault="00A41544" w:rsidP="00516325">
            <w:pPr>
              <w:pStyle w:val="TableTEXT"/>
              <w:jc w:val="right"/>
            </w:pPr>
            <w:r w:rsidRPr="00516325">
              <w:t xml:space="preserve"> 750,000 </w:t>
            </w:r>
          </w:p>
        </w:tc>
      </w:tr>
      <w:tr w:rsidR="00A41544" w:rsidRPr="00516325" w14:paraId="476CF726" w14:textId="77777777" w:rsidTr="00516325">
        <w:tc>
          <w:tcPr>
            <w:tcW w:w="2095" w:type="pct"/>
            <w:shd w:val="clear" w:color="000000" w:fill="FFFFFF"/>
            <w:noWrap/>
            <w:vAlign w:val="bottom"/>
            <w:hideMark/>
          </w:tcPr>
          <w:p w14:paraId="121266A6" w14:textId="77777777" w:rsidR="00A41544" w:rsidRPr="00516325" w:rsidRDefault="00A41544" w:rsidP="00516325">
            <w:pPr>
              <w:pStyle w:val="TableTEXT"/>
            </w:pPr>
            <w:r w:rsidRPr="00516325">
              <w:t>Harare</w:t>
            </w:r>
          </w:p>
        </w:tc>
        <w:tc>
          <w:tcPr>
            <w:tcW w:w="692" w:type="pct"/>
            <w:shd w:val="clear" w:color="000000" w:fill="FFFFFF"/>
            <w:noWrap/>
            <w:hideMark/>
          </w:tcPr>
          <w:p w14:paraId="66F89C89" w14:textId="77777777" w:rsidR="00A41544" w:rsidRPr="00516325" w:rsidRDefault="00A41544" w:rsidP="00516325">
            <w:pPr>
              <w:pStyle w:val="TableTEXT"/>
              <w:jc w:val="right"/>
            </w:pPr>
            <w:r w:rsidRPr="00516325">
              <w:t xml:space="preserve"> 625,000 </w:t>
            </w:r>
          </w:p>
        </w:tc>
        <w:tc>
          <w:tcPr>
            <w:tcW w:w="691" w:type="pct"/>
            <w:shd w:val="clear" w:color="000000" w:fill="FFFFFF"/>
            <w:noWrap/>
            <w:hideMark/>
          </w:tcPr>
          <w:p w14:paraId="6A9A1061" w14:textId="77777777" w:rsidR="00A41544" w:rsidRPr="00516325" w:rsidRDefault="00A41544" w:rsidP="00516325">
            <w:pPr>
              <w:pStyle w:val="TableTEXT"/>
              <w:jc w:val="right"/>
            </w:pPr>
            <w:r w:rsidRPr="00516325">
              <w:t xml:space="preserve"> 750,000 </w:t>
            </w:r>
          </w:p>
        </w:tc>
        <w:tc>
          <w:tcPr>
            <w:tcW w:w="691" w:type="pct"/>
            <w:shd w:val="clear" w:color="000000" w:fill="FFFFFF"/>
            <w:noWrap/>
            <w:hideMark/>
          </w:tcPr>
          <w:p w14:paraId="3373468F" w14:textId="77777777" w:rsidR="00A41544" w:rsidRPr="00516325" w:rsidRDefault="00A41544" w:rsidP="00516325">
            <w:pPr>
              <w:pStyle w:val="TableTEXT"/>
              <w:jc w:val="right"/>
            </w:pPr>
            <w:r w:rsidRPr="00516325">
              <w:t xml:space="preserve"> 750,000 </w:t>
            </w:r>
          </w:p>
        </w:tc>
        <w:tc>
          <w:tcPr>
            <w:tcW w:w="831" w:type="pct"/>
            <w:shd w:val="clear" w:color="000000" w:fill="FFFFFF"/>
            <w:noWrap/>
            <w:hideMark/>
          </w:tcPr>
          <w:p w14:paraId="6866B650" w14:textId="77777777" w:rsidR="00A41544" w:rsidRPr="00516325" w:rsidRDefault="00A41544" w:rsidP="00516325">
            <w:pPr>
              <w:pStyle w:val="TableTEXT"/>
              <w:jc w:val="right"/>
            </w:pPr>
            <w:r w:rsidRPr="00516325">
              <w:t xml:space="preserve"> 750,000 </w:t>
            </w:r>
          </w:p>
        </w:tc>
      </w:tr>
      <w:tr w:rsidR="00A41544" w:rsidRPr="00516325" w14:paraId="6C569FBC" w14:textId="77777777" w:rsidTr="00516325">
        <w:tc>
          <w:tcPr>
            <w:tcW w:w="2095" w:type="pct"/>
            <w:shd w:val="clear" w:color="000000" w:fill="FFFFFF"/>
            <w:noWrap/>
            <w:vAlign w:val="bottom"/>
            <w:hideMark/>
          </w:tcPr>
          <w:p w14:paraId="3A524FB6" w14:textId="77777777" w:rsidR="00A41544" w:rsidRPr="00516325" w:rsidRDefault="00A41544" w:rsidP="00516325">
            <w:pPr>
              <w:pStyle w:val="TableTEXT"/>
            </w:pPr>
            <w:r w:rsidRPr="00516325">
              <w:t>Accra</w:t>
            </w:r>
          </w:p>
        </w:tc>
        <w:tc>
          <w:tcPr>
            <w:tcW w:w="692" w:type="pct"/>
            <w:shd w:val="clear" w:color="000000" w:fill="FFFFFF"/>
            <w:noWrap/>
            <w:hideMark/>
          </w:tcPr>
          <w:p w14:paraId="02C8C9F8" w14:textId="77777777" w:rsidR="00A41544" w:rsidRPr="00516325" w:rsidRDefault="00A41544" w:rsidP="00516325">
            <w:pPr>
              <w:pStyle w:val="TableTEXT"/>
              <w:jc w:val="right"/>
            </w:pPr>
            <w:r w:rsidRPr="00516325">
              <w:t xml:space="preserve"> 500,000 </w:t>
            </w:r>
          </w:p>
        </w:tc>
        <w:tc>
          <w:tcPr>
            <w:tcW w:w="691" w:type="pct"/>
            <w:shd w:val="clear" w:color="000000" w:fill="FFFFFF"/>
            <w:noWrap/>
            <w:hideMark/>
          </w:tcPr>
          <w:p w14:paraId="6BF8E231" w14:textId="77777777" w:rsidR="00A41544" w:rsidRPr="00516325" w:rsidRDefault="00A41544" w:rsidP="00516325">
            <w:pPr>
              <w:pStyle w:val="TableTEXT"/>
              <w:jc w:val="right"/>
            </w:pPr>
            <w:r w:rsidRPr="00516325">
              <w:t xml:space="preserve"> 500,000 </w:t>
            </w:r>
          </w:p>
        </w:tc>
        <w:tc>
          <w:tcPr>
            <w:tcW w:w="691" w:type="pct"/>
            <w:shd w:val="clear" w:color="000000" w:fill="FFFFFF"/>
            <w:noWrap/>
            <w:hideMark/>
          </w:tcPr>
          <w:p w14:paraId="460A6D5C" w14:textId="77777777" w:rsidR="00A41544" w:rsidRPr="00516325" w:rsidRDefault="00A41544" w:rsidP="00516325">
            <w:pPr>
              <w:pStyle w:val="TableTEXT"/>
              <w:jc w:val="right"/>
            </w:pPr>
            <w:r w:rsidRPr="00516325">
              <w:t xml:space="preserve"> 500,000 </w:t>
            </w:r>
          </w:p>
        </w:tc>
        <w:tc>
          <w:tcPr>
            <w:tcW w:w="831" w:type="pct"/>
            <w:shd w:val="clear" w:color="000000" w:fill="FFFFFF"/>
            <w:noWrap/>
            <w:hideMark/>
          </w:tcPr>
          <w:p w14:paraId="1912410F" w14:textId="77777777" w:rsidR="00A41544" w:rsidRPr="00516325" w:rsidRDefault="00A41544" w:rsidP="00516325">
            <w:pPr>
              <w:pStyle w:val="TableTEXT"/>
              <w:jc w:val="right"/>
            </w:pPr>
            <w:r w:rsidRPr="00516325">
              <w:t xml:space="preserve"> 500,000 </w:t>
            </w:r>
          </w:p>
        </w:tc>
      </w:tr>
      <w:tr w:rsidR="00A41544" w:rsidRPr="00516325" w14:paraId="3013DE80" w14:textId="77777777" w:rsidTr="00516325">
        <w:tc>
          <w:tcPr>
            <w:tcW w:w="2095" w:type="pct"/>
            <w:shd w:val="clear" w:color="000000" w:fill="FFFFFF"/>
            <w:noWrap/>
            <w:vAlign w:val="bottom"/>
            <w:hideMark/>
          </w:tcPr>
          <w:p w14:paraId="523ACD7B" w14:textId="77777777" w:rsidR="00A41544" w:rsidRPr="00516325" w:rsidRDefault="00A41544" w:rsidP="00516325">
            <w:pPr>
              <w:pStyle w:val="TableTEXT"/>
            </w:pPr>
            <w:r w:rsidRPr="00516325">
              <w:t>Abuja</w:t>
            </w:r>
          </w:p>
        </w:tc>
        <w:tc>
          <w:tcPr>
            <w:tcW w:w="692" w:type="pct"/>
            <w:shd w:val="clear" w:color="000000" w:fill="FFFFFF"/>
            <w:noWrap/>
            <w:hideMark/>
          </w:tcPr>
          <w:p w14:paraId="34E9CDF6" w14:textId="77777777" w:rsidR="00A41544" w:rsidRPr="00516325" w:rsidRDefault="00A41544" w:rsidP="00516325">
            <w:pPr>
              <w:pStyle w:val="TableTEXT"/>
              <w:jc w:val="right"/>
            </w:pPr>
            <w:r w:rsidRPr="00516325">
              <w:t xml:space="preserve"> 500,000 </w:t>
            </w:r>
          </w:p>
        </w:tc>
        <w:tc>
          <w:tcPr>
            <w:tcW w:w="691" w:type="pct"/>
            <w:shd w:val="clear" w:color="000000" w:fill="FFFFFF"/>
            <w:noWrap/>
            <w:hideMark/>
          </w:tcPr>
          <w:p w14:paraId="088F2DE3" w14:textId="77777777" w:rsidR="00A41544" w:rsidRPr="00516325" w:rsidRDefault="00A41544" w:rsidP="00516325">
            <w:pPr>
              <w:pStyle w:val="TableTEXT"/>
              <w:jc w:val="right"/>
            </w:pPr>
            <w:r w:rsidRPr="00516325">
              <w:t xml:space="preserve"> 500,000 </w:t>
            </w:r>
          </w:p>
        </w:tc>
        <w:tc>
          <w:tcPr>
            <w:tcW w:w="691" w:type="pct"/>
            <w:shd w:val="clear" w:color="000000" w:fill="FFFFFF"/>
            <w:noWrap/>
            <w:hideMark/>
          </w:tcPr>
          <w:p w14:paraId="77E016EF" w14:textId="77777777" w:rsidR="00A41544" w:rsidRPr="00516325" w:rsidRDefault="00A41544" w:rsidP="00516325">
            <w:pPr>
              <w:pStyle w:val="TableTEXT"/>
              <w:jc w:val="right"/>
            </w:pPr>
            <w:r w:rsidRPr="00516325">
              <w:t xml:space="preserve"> 500,000 </w:t>
            </w:r>
          </w:p>
        </w:tc>
        <w:tc>
          <w:tcPr>
            <w:tcW w:w="831" w:type="pct"/>
            <w:shd w:val="clear" w:color="000000" w:fill="FFFFFF"/>
            <w:noWrap/>
            <w:hideMark/>
          </w:tcPr>
          <w:p w14:paraId="6ADCB4E0" w14:textId="77777777" w:rsidR="00A41544" w:rsidRPr="00516325" w:rsidRDefault="00A41544" w:rsidP="00516325">
            <w:pPr>
              <w:pStyle w:val="TableTEXT"/>
              <w:jc w:val="right"/>
            </w:pPr>
            <w:r w:rsidRPr="00516325">
              <w:t xml:space="preserve"> 500,000 </w:t>
            </w:r>
          </w:p>
        </w:tc>
      </w:tr>
      <w:tr w:rsidR="00A41544" w:rsidRPr="00516325" w14:paraId="4EA15708" w14:textId="77777777" w:rsidTr="00516325">
        <w:tc>
          <w:tcPr>
            <w:tcW w:w="2095" w:type="pct"/>
            <w:shd w:val="clear" w:color="000000" w:fill="FFFFFF"/>
            <w:noWrap/>
            <w:vAlign w:val="bottom"/>
            <w:hideMark/>
          </w:tcPr>
          <w:p w14:paraId="054BA859" w14:textId="77777777" w:rsidR="00A41544" w:rsidRPr="00516325" w:rsidRDefault="00A41544" w:rsidP="00516325">
            <w:pPr>
              <w:pStyle w:val="TableTEXT"/>
            </w:pPr>
            <w:r w:rsidRPr="00516325">
              <w:t>Addis Ababa</w:t>
            </w:r>
          </w:p>
        </w:tc>
        <w:tc>
          <w:tcPr>
            <w:tcW w:w="692" w:type="pct"/>
            <w:shd w:val="clear" w:color="000000" w:fill="FFFFFF"/>
            <w:noWrap/>
            <w:hideMark/>
          </w:tcPr>
          <w:p w14:paraId="42861BA0" w14:textId="77777777" w:rsidR="00A41544" w:rsidRPr="00516325" w:rsidRDefault="00A41544" w:rsidP="00516325">
            <w:pPr>
              <w:pStyle w:val="TableTEXT"/>
              <w:jc w:val="right"/>
            </w:pPr>
            <w:r w:rsidRPr="00516325">
              <w:t xml:space="preserve"> 300,000 </w:t>
            </w:r>
          </w:p>
        </w:tc>
        <w:tc>
          <w:tcPr>
            <w:tcW w:w="691" w:type="pct"/>
            <w:shd w:val="clear" w:color="000000" w:fill="FFFFFF"/>
            <w:noWrap/>
            <w:hideMark/>
          </w:tcPr>
          <w:p w14:paraId="2DDE92EE" w14:textId="77777777" w:rsidR="00A41544" w:rsidRPr="00516325" w:rsidRDefault="00A41544" w:rsidP="00516325">
            <w:pPr>
              <w:pStyle w:val="TableTEXT"/>
              <w:jc w:val="right"/>
            </w:pPr>
            <w:r w:rsidRPr="00516325">
              <w:t xml:space="preserve"> 300,000 </w:t>
            </w:r>
          </w:p>
        </w:tc>
        <w:tc>
          <w:tcPr>
            <w:tcW w:w="691" w:type="pct"/>
            <w:shd w:val="clear" w:color="000000" w:fill="FFFFFF"/>
            <w:noWrap/>
            <w:hideMark/>
          </w:tcPr>
          <w:p w14:paraId="4EB78B14" w14:textId="77777777" w:rsidR="00A41544" w:rsidRPr="00516325" w:rsidRDefault="00A41544" w:rsidP="00516325">
            <w:pPr>
              <w:pStyle w:val="TableTEXT"/>
              <w:jc w:val="right"/>
            </w:pPr>
            <w:r w:rsidRPr="00516325">
              <w:t xml:space="preserve"> 300,000 </w:t>
            </w:r>
          </w:p>
        </w:tc>
        <w:tc>
          <w:tcPr>
            <w:tcW w:w="831" w:type="pct"/>
            <w:shd w:val="clear" w:color="000000" w:fill="FFFFFF"/>
            <w:noWrap/>
            <w:hideMark/>
          </w:tcPr>
          <w:p w14:paraId="725F5734" w14:textId="77777777" w:rsidR="00A41544" w:rsidRPr="00516325" w:rsidRDefault="00A41544" w:rsidP="00516325">
            <w:pPr>
              <w:pStyle w:val="TableTEXT"/>
              <w:jc w:val="right"/>
            </w:pPr>
            <w:r w:rsidRPr="00516325">
              <w:t xml:space="preserve"> 300,000 </w:t>
            </w:r>
          </w:p>
        </w:tc>
      </w:tr>
      <w:tr w:rsidR="00A41544" w:rsidRPr="00516325" w14:paraId="14833E5D" w14:textId="77777777" w:rsidTr="00516325">
        <w:tc>
          <w:tcPr>
            <w:tcW w:w="2095" w:type="pct"/>
            <w:shd w:val="clear" w:color="000000" w:fill="FFFFFF"/>
            <w:noWrap/>
            <w:vAlign w:val="bottom"/>
            <w:hideMark/>
          </w:tcPr>
          <w:p w14:paraId="1E94B28A" w14:textId="77777777" w:rsidR="00A41544" w:rsidRPr="00516325" w:rsidRDefault="00A41544" w:rsidP="00516325">
            <w:pPr>
              <w:pStyle w:val="TableTEXT"/>
            </w:pPr>
            <w:r w:rsidRPr="00516325">
              <w:t>Port Louis</w:t>
            </w:r>
          </w:p>
        </w:tc>
        <w:tc>
          <w:tcPr>
            <w:tcW w:w="692" w:type="pct"/>
            <w:shd w:val="clear" w:color="000000" w:fill="FFFFFF"/>
            <w:noWrap/>
            <w:hideMark/>
          </w:tcPr>
          <w:p w14:paraId="4992096F" w14:textId="77777777" w:rsidR="00A41544" w:rsidRPr="00516325" w:rsidRDefault="00A41544" w:rsidP="00516325">
            <w:pPr>
              <w:pStyle w:val="TableTEXT"/>
              <w:jc w:val="right"/>
            </w:pPr>
            <w:r w:rsidRPr="00516325">
              <w:t xml:space="preserve"> 300,000 </w:t>
            </w:r>
          </w:p>
        </w:tc>
        <w:tc>
          <w:tcPr>
            <w:tcW w:w="691" w:type="pct"/>
            <w:shd w:val="clear" w:color="000000" w:fill="FFFFFF"/>
            <w:noWrap/>
            <w:hideMark/>
          </w:tcPr>
          <w:p w14:paraId="0280D519" w14:textId="77777777" w:rsidR="00A41544" w:rsidRPr="00516325" w:rsidRDefault="00A41544" w:rsidP="00516325">
            <w:pPr>
              <w:pStyle w:val="TableTEXT"/>
              <w:jc w:val="right"/>
            </w:pPr>
            <w:r w:rsidRPr="00516325">
              <w:t xml:space="preserve"> 300,000 </w:t>
            </w:r>
          </w:p>
        </w:tc>
        <w:tc>
          <w:tcPr>
            <w:tcW w:w="691" w:type="pct"/>
            <w:shd w:val="clear" w:color="000000" w:fill="FFFFFF"/>
            <w:noWrap/>
            <w:hideMark/>
          </w:tcPr>
          <w:p w14:paraId="237BD788" w14:textId="77777777" w:rsidR="00A41544" w:rsidRPr="00516325" w:rsidRDefault="00A41544" w:rsidP="00516325">
            <w:pPr>
              <w:pStyle w:val="TableTEXT"/>
              <w:jc w:val="right"/>
            </w:pPr>
            <w:r w:rsidRPr="00516325">
              <w:t xml:space="preserve"> 300,000 </w:t>
            </w:r>
          </w:p>
        </w:tc>
        <w:tc>
          <w:tcPr>
            <w:tcW w:w="831" w:type="pct"/>
            <w:shd w:val="clear" w:color="000000" w:fill="FFFFFF"/>
            <w:noWrap/>
            <w:hideMark/>
          </w:tcPr>
          <w:p w14:paraId="61083FC4" w14:textId="77777777" w:rsidR="00A41544" w:rsidRPr="00516325" w:rsidRDefault="00A41544" w:rsidP="00516325">
            <w:pPr>
              <w:pStyle w:val="TableTEXT"/>
              <w:jc w:val="right"/>
            </w:pPr>
            <w:r w:rsidRPr="00516325">
              <w:t xml:space="preserve"> 300,000 </w:t>
            </w:r>
          </w:p>
        </w:tc>
      </w:tr>
      <w:tr w:rsidR="00A41544" w:rsidRPr="00516325" w14:paraId="3C407C10" w14:textId="77777777" w:rsidTr="00516325">
        <w:tc>
          <w:tcPr>
            <w:tcW w:w="2095" w:type="pct"/>
            <w:shd w:val="clear" w:color="000000" w:fill="FFFFFF"/>
            <w:noWrap/>
            <w:vAlign w:val="bottom"/>
            <w:hideMark/>
          </w:tcPr>
          <w:p w14:paraId="09FC2871" w14:textId="77777777" w:rsidR="00A41544" w:rsidRPr="00516325" w:rsidRDefault="00A41544" w:rsidP="00516325">
            <w:pPr>
              <w:pStyle w:val="TableTEXT"/>
            </w:pPr>
            <w:r w:rsidRPr="00516325">
              <w:t>Sub Total (C)</w:t>
            </w:r>
          </w:p>
        </w:tc>
        <w:tc>
          <w:tcPr>
            <w:tcW w:w="692" w:type="pct"/>
            <w:shd w:val="clear" w:color="000000" w:fill="FFFFFF"/>
            <w:noWrap/>
            <w:hideMark/>
          </w:tcPr>
          <w:p w14:paraId="29A82270" w14:textId="77777777" w:rsidR="00A41544" w:rsidRPr="00516325" w:rsidRDefault="00A41544" w:rsidP="00516325">
            <w:pPr>
              <w:pStyle w:val="TableTEXT"/>
              <w:jc w:val="right"/>
            </w:pPr>
            <w:r w:rsidRPr="00516325">
              <w:t xml:space="preserve"> 3,850,000 </w:t>
            </w:r>
          </w:p>
        </w:tc>
        <w:tc>
          <w:tcPr>
            <w:tcW w:w="691" w:type="pct"/>
            <w:shd w:val="clear" w:color="000000" w:fill="FFFFFF"/>
            <w:noWrap/>
            <w:hideMark/>
          </w:tcPr>
          <w:p w14:paraId="323DDCAF" w14:textId="77777777" w:rsidR="00A41544" w:rsidRPr="00516325" w:rsidRDefault="00A41544" w:rsidP="00516325">
            <w:pPr>
              <w:pStyle w:val="TableTEXT"/>
              <w:jc w:val="right"/>
            </w:pPr>
            <w:r w:rsidRPr="00516325">
              <w:t xml:space="preserve"> 3,850,000 </w:t>
            </w:r>
          </w:p>
        </w:tc>
        <w:tc>
          <w:tcPr>
            <w:tcW w:w="691" w:type="pct"/>
            <w:shd w:val="clear" w:color="000000" w:fill="FFFFFF"/>
            <w:noWrap/>
            <w:hideMark/>
          </w:tcPr>
          <w:p w14:paraId="0A47EFAF" w14:textId="77777777" w:rsidR="00A41544" w:rsidRPr="00516325" w:rsidRDefault="00A41544" w:rsidP="00516325">
            <w:pPr>
              <w:pStyle w:val="TableTEXT"/>
              <w:jc w:val="right"/>
            </w:pPr>
            <w:r w:rsidRPr="00516325">
              <w:t xml:space="preserve"> 3,850,000 </w:t>
            </w:r>
          </w:p>
        </w:tc>
        <w:tc>
          <w:tcPr>
            <w:tcW w:w="831" w:type="pct"/>
            <w:shd w:val="clear" w:color="000000" w:fill="FFFFFF"/>
            <w:noWrap/>
            <w:hideMark/>
          </w:tcPr>
          <w:p w14:paraId="04C2B258" w14:textId="77777777" w:rsidR="00A41544" w:rsidRPr="00516325" w:rsidRDefault="00A41544" w:rsidP="00516325">
            <w:pPr>
              <w:pStyle w:val="TableTEXT"/>
              <w:jc w:val="right"/>
            </w:pPr>
            <w:r w:rsidRPr="00516325">
              <w:t xml:space="preserve"> 3,850,000 </w:t>
            </w:r>
          </w:p>
        </w:tc>
      </w:tr>
      <w:tr w:rsidR="00A41544" w:rsidRPr="00516325" w14:paraId="4A79548B" w14:textId="77777777" w:rsidTr="00516325">
        <w:tc>
          <w:tcPr>
            <w:tcW w:w="2095" w:type="pct"/>
            <w:shd w:val="clear" w:color="auto" w:fill="D9D9D9" w:themeFill="background1" w:themeFillShade="D9"/>
            <w:noWrap/>
            <w:vAlign w:val="bottom"/>
            <w:hideMark/>
          </w:tcPr>
          <w:p w14:paraId="10E43E18" w14:textId="77777777" w:rsidR="00A41544" w:rsidRPr="00516325" w:rsidRDefault="00A41544" w:rsidP="00516325">
            <w:pPr>
              <w:pStyle w:val="TableTEXT"/>
              <w:rPr>
                <w:b/>
              </w:rPr>
            </w:pPr>
            <w:r w:rsidRPr="00516325">
              <w:rPr>
                <w:b/>
              </w:rPr>
              <w:t>Total (A)+(B)+(C)</w:t>
            </w:r>
          </w:p>
        </w:tc>
        <w:tc>
          <w:tcPr>
            <w:tcW w:w="692" w:type="pct"/>
            <w:shd w:val="clear" w:color="auto" w:fill="D9D9D9" w:themeFill="background1" w:themeFillShade="D9"/>
            <w:noWrap/>
            <w:hideMark/>
          </w:tcPr>
          <w:p w14:paraId="1F2ECEC0" w14:textId="77777777" w:rsidR="00A41544" w:rsidRPr="00516325" w:rsidRDefault="00A41544" w:rsidP="00516325">
            <w:pPr>
              <w:pStyle w:val="TableTEXT"/>
              <w:jc w:val="right"/>
              <w:rPr>
                <w:b/>
              </w:rPr>
            </w:pPr>
            <w:r w:rsidRPr="00516325">
              <w:rPr>
                <w:b/>
              </w:rPr>
              <w:t xml:space="preserve"> 10,500,000 </w:t>
            </w:r>
          </w:p>
        </w:tc>
        <w:tc>
          <w:tcPr>
            <w:tcW w:w="691" w:type="pct"/>
            <w:shd w:val="clear" w:color="auto" w:fill="D9D9D9" w:themeFill="background1" w:themeFillShade="D9"/>
            <w:noWrap/>
            <w:hideMark/>
          </w:tcPr>
          <w:p w14:paraId="61BE5FC8" w14:textId="77777777" w:rsidR="00A41544" w:rsidRPr="00516325" w:rsidRDefault="00A41544" w:rsidP="00516325">
            <w:pPr>
              <w:pStyle w:val="TableTEXT"/>
              <w:jc w:val="right"/>
              <w:rPr>
                <w:b/>
              </w:rPr>
            </w:pPr>
            <w:r w:rsidRPr="00516325">
              <w:rPr>
                <w:b/>
              </w:rPr>
              <w:t xml:space="preserve"> 12,250,000 </w:t>
            </w:r>
          </w:p>
        </w:tc>
        <w:tc>
          <w:tcPr>
            <w:tcW w:w="691" w:type="pct"/>
            <w:shd w:val="clear" w:color="auto" w:fill="D9D9D9" w:themeFill="background1" w:themeFillShade="D9"/>
            <w:noWrap/>
            <w:hideMark/>
          </w:tcPr>
          <w:p w14:paraId="5F6D7929" w14:textId="77777777" w:rsidR="00A41544" w:rsidRPr="00516325" w:rsidRDefault="00A41544" w:rsidP="00516325">
            <w:pPr>
              <w:pStyle w:val="TableTEXT"/>
              <w:jc w:val="right"/>
              <w:rPr>
                <w:b/>
              </w:rPr>
            </w:pPr>
            <w:r w:rsidRPr="00516325">
              <w:rPr>
                <w:b/>
              </w:rPr>
              <w:t xml:space="preserve"> 12,250,000 </w:t>
            </w:r>
          </w:p>
        </w:tc>
        <w:tc>
          <w:tcPr>
            <w:tcW w:w="831" w:type="pct"/>
            <w:shd w:val="clear" w:color="auto" w:fill="D9D9D9" w:themeFill="background1" w:themeFillShade="D9"/>
            <w:noWrap/>
            <w:hideMark/>
          </w:tcPr>
          <w:p w14:paraId="05CDFD41" w14:textId="77777777" w:rsidR="00A41544" w:rsidRPr="00516325" w:rsidRDefault="00A41544" w:rsidP="00516325">
            <w:pPr>
              <w:pStyle w:val="TableTEXT"/>
              <w:jc w:val="right"/>
              <w:rPr>
                <w:b/>
              </w:rPr>
            </w:pPr>
            <w:r w:rsidRPr="00516325">
              <w:rPr>
                <w:b/>
              </w:rPr>
              <w:t xml:space="preserve"> 12,250,000 </w:t>
            </w:r>
          </w:p>
        </w:tc>
      </w:tr>
    </w:tbl>
    <w:p w14:paraId="2BAD3F99" w14:textId="77777777" w:rsidR="006D1B35" w:rsidRDefault="006D1B35" w:rsidP="006D1B35"/>
    <w:p w14:paraId="306DA806" w14:textId="77777777" w:rsidR="002D7276" w:rsidRDefault="002D7276" w:rsidP="002D7276">
      <w:bookmarkStart w:id="82" w:name="_Toc399104642"/>
      <w:bookmarkEnd w:id="81"/>
    </w:p>
    <w:p w14:paraId="79D3C70B" w14:textId="77777777" w:rsidR="002D7276" w:rsidRDefault="002D7276">
      <w:pPr>
        <w:spacing w:before="0"/>
      </w:pPr>
      <w:r>
        <w:br w:type="page"/>
      </w:r>
    </w:p>
    <w:p w14:paraId="4C87DB2B" w14:textId="602260EB" w:rsidR="002D7276" w:rsidRPr="004A17FE" w:rsidRDefault="001C2BDA" w:rsidP="002D7276">
      <w:pPr>
        <w:pStyle w:val="annexheading"/>
        <w:tabs>
          <w:tab w:val="left" w:pos="1701"/>
        </w:tabs>
      </w:pPr>
      <w:bookmarkStart w:id="83" w:name="_Toc401578440"/>
      <w:r>
        <w:t xml:space="preserve">Annex </w:t>
      </w:r>
      <w:r w:rsidR="00880C45">
        <w:t>I</w:t>
      </w:r>
      <w:r w:rsidR="00FC709A">
        <w:t xml:space="preserve">: </w:t>
      </w:r>
      <w:r w:rsidR="002D7276" w:rsidRPr="004A17FE">
        <w:t>List of Persons Consulted</w:t>
      </w:r>
      <w:r w:rsidR="002D7276">
        <w:t xml:space="preserve"> During Design</w:t>
      </w:r>
      <w:bookmarkEnd w:id="83"/>
    </w:p>
    <w:bookmarkEnd w:id="82"/>
    <w:p w14:paraId="12EFE94D" w14:textId="77777777" w:rsidR="00F41926" w:rsidRPr="00FC709A" w:rsidRDefault="00F41926" w:rsidP="00455992">
      <w:pPr>
        <w:pStyle w:val="annexsubheading"/>
        <w:spacing w:before="120"/>
        <w:rPr>
          <w:sz w:val="20"/>
        </w:rPr>
      </w:pPr>
      <w:r w:rsidRPr="00FC709A">
        <w:rPr>
          <w:sz w:val="20"/>
        </w:rPr>
        <w:t>DFAT Canberra</w:t>
      </w:r>
    </w:p>
    <w:p w14:paraId="18D5D8EF" w14:textId="77777777" w:rsidR="005306F4" w:rsidRPr="006A6AEC" w:rsidRDefault="007F551E" w:rsidP="005306F4">
      <w:pPr>
        <w:rPr>
          <w:sz w:val="18"/>
          <w:szCs w:val="18"/>
        </w:rPr>
      </w:pPr>
      <w:r w:rsidRPr="006A6AEC">
        <w:rPr>
          <w:sz w:val="18"/>
          <w:szCs w:val="18"/>
        </w:rPr>
        <w:t>Mr Adam McCarthy</w:t>
      </w:r>
      <w:r w:rsidRPr="006A6AEC">
        <w:rPr>
          <w:sz w:val="18"/>
          <w:szCs w:val="18"/>
        </w:rPr>
        <w:tab/>
      </w:r>
      <w:r w:rsidRPr="006A6AEC">
        <w:rPr>
          <w:sz w:val="18"/>
          <w:szCs w:val="18"/>
        </w:rPr>
        <w:tab/>
      </w:r>
      <w:r w:rsidRPr="006A6AEC">
        <w:rPr>
          <w:sz w:val="18"/>
          <w:szCs w:val="18"/>
        </w:rPr>
        <w:tab/>
      </w:r>
      <w:r w:rsidR="005306F4" w:rsidRPr="006A6AEC">
        <w:rPr>
          <w:sz w:val="18"/>
          <w:szCs w:val="18"/>
        </w:rPr>
        <w:t>Assistant Secretary, AFB</w:t>
      </w:r>
      <w:r w:rsidR="009C7197">
        <w:rPr>
          <w:sz w:val="18"/>
          <w:szCs w:val="18"/>
        </w:rPr>
        <w:t xml:space="preserve"> </w:t>
      </w:r>
    </w:p>
    <w:p w14:paraId="5EF017DF" w14:textId="77777777" w:rsidR="00ED0B34" w:rsidRPr="006A6AEC" w:rsidRDefault="007F551E" w:rsidP="005306F4">
      <w:pPr>
        <w:spacing w:before="0"/>
        <w:ind w:left="3600" w:hanging="3600"/>
        <w:rPr>
          <w:rFonts w:cs="Arial"/>
          <w:sz w:val="18"/>
          <w:szCs w:val="18"/>
        </w:rPr>
      </w:pPr>
      <w:r w:rsidRPr="006A6AEC">
        <w:rPr>
          <w:rFonts w:cs="Arial"/>
          <w:sz w:val="18"/>
          <w:szCs w:val="18"/>
        </w:rPr>
        <w:t xml:space="preserve">Ms </w:t>
      </w:r>
      <w:r w:rsidR="00C80110" w:rsidRPr="006A6AEC">
        <w:rPr>
          <w:rFonts w:cs="Arial"/>
          <w:sz w:val="18"/>
          <w:szCs w:val="18"/>
        </w:rPr>
        <w:t>Catherine Gill</w:t>
      </w:r>
      <w:r w:rsidR="005306F4" w:rsidRPr="006A6AEC">
        <w:rPr>
          <w:rFonts w:cs="Arial"/>
          <w:sz w:val="18"/>
          <w:szCs w:val="18"/>
        </w:rPr>
        <w:tab/>
        <w:t xml:space="preserve">Director, </w:t>
      </w:r>
      <w:r w:rsidR="00ED0B34" w:rsidRPr="006A6AEC">
        <w:rPr>
          <w:rFonts w:cs="Arial"/>
          <w:sz w:val="18"/>
          <w:szCs w:val="18"/>
        </w:rPr>
        <w:t xml:space="preserve">Pan Africa and Effectiveness, </w:t>
      </w:r>
      <w:r w:rsidR="005306F4" w:rsidRPr="006A6AEC">
        <w:rPr>
          <w:rFonts w:cs="Arial"/>
          <w:sz w:val="18"/>
          <w:szCs w:val="18"/>
        </w:rPr>
        <w:t>AFB, DFAT Canberra</w:t>
      </w:r>
      <w:r w:rsidR="009C7197">
        <w:rPr>
          <w:rFonts w:cs="Arial"/>
          <w:sz w:val="18"/>
          <w:szCs w:val="18"/>
        </w:rPr>
        <w:t xml:space="preserve"> </w:t>
      </w:r>
    </w:p>
    <w:p w14:paraId="3BD0B80E" w14:textId="77777777" w:rsidR="005306F4" w:rsidRPr="006A6AEC" w:rsidRDefault="007F551E" w:rsidP="005306F4">
      <w:pPr>
        <w:spacing w:before="0"/>
        <w:ind w:left="3600" w:hanging="3600"/>
        <w:rPr>
          <w:rFonts w:cs="Arial"/>
          <w:sz w:val="18"/>
          <w:szCs w:val="18"/>
        </w:rPr>
      </w:pPr>
      <w:r w:rsidRPr="006A6AEC">
        <w:rPr>
          <w:rFonts w:cs="Arial"/>
          <w:sz w:val="18"/>
          <w:szCs w:val="18"/>
        </w:rPr>
        <w:t xml:space="preserve">Mr </w:t>
      </w:r>
      <w:r w:rsidR="005306F4" w:rsidRPr="006A6AEC">
        <w:rPr>
          <w:rFonts w:cs="Arial"/>
          <w:sz w:val="18"/>
          <w:szCs w:val="18"/>
        </w:rPr>
        <w:t>Andrew Barnes</w:t>
      </w:r>
      <w:r w:rsidR="005306F4" w:rsidRPr="006A6AEC">
        <w:rPr>
          <w:rFonts w:cs="Arial"/>
          <w:sz w:val="18"/>
          <w:szCs w:val="18"/>
        </w:rPr>
        <w:tab/>
      </w:r>
      <w:r w:rsidR="00ED0B34" w:rsidRPr="006A6AEC">
        <w:rPr>
          <w:rFonts w:cs="Arial"/>
          <w:sz w:val="18"/>
          <w:szCs w:val="18"/>
        </w:rPr>
        <w:t>Director for Southern Africa, AFB, DFAT Canberra</w:t>
      </w:r>
      <w:r w:rsidR="005306F4" w:rsidRPr="006A6AEC">
        <w:rPr>
          <w:rFonts w:cs="Arial"/>
          <w:sz w:val="18"/>
          <w:szCs w:val="18"/>
        </w:rPr>
        <w:tab/>
      </w:r>
    </w:p>
    <w:p w14:paraId="5131B618" w14:textId="77777777" w:rsidR="00F41926" w:rsidRPr="006A6AEC" w:rsidRDefault="007F551E" w:rsidP="005306F4">
      <w:pPr>
        <w:spacing w:before="0"/>
        <w:ind w:left="3600" w:hanging="3600"/>
        <w:rPr>
          <w:rFonts w:cs="Arial"/>
          <w:sz w:val="18"/>
          <w:szCs w:val="18"/>
        </w:rPr>
      </w:pPr>
      <w:r w:rsidRPr="006A6AEC">
        <w:rPr>
          <w:rFonts w:cs="Arial"/>
          <w:sz w:val="18"/>
          <w:szCs w:val="18"/>
        </w:rPr>
        <w:t xml:space="preserve">Mr </w:t>
      </w:r>
      <w:r w:rsidR="00F41926" w:rsidRPr="006A6AEC">
        <w:rPr>
          <w:rFonts w:cs="Arial"/>
          <w:sz w:val="18"/>
          <w:szCs w:val="18"/>
        </w:rPr>
        <w:t xml:space="preserve">Paul </w:t>
      </w:r>
      <w:proofErr w:type="spellStart"/>
      <w:r w:rsidR="00F41926" w:rsidRPr="006A6AEC">
        <w:rPr>
          <w:rFonts w:cs="Arial"/>
          <w:sz w:val="18"/>
          <w:szCs w:val="18"/>
        </w:rPr>
        <w:t>Harrigan</w:t>
      </w:r>
      <w:proofErr w:type="spellEnd"/>
      <w:r w:rsidR="00F41926" w:rsidRPr="006A6AEC">
        <w:rPr>
          <w:rFonts w:cs="Arial"/>
          <w:sz w:val="18"/>
          <w:szCs w:val="18"/>
        </w:rPr>
        <w:tab/>
        <w:t xml:space="preserve">Executive Officer, Southern Africa and Indian Ocean Section, AFB, DFAT Canberra </w:t>
      </w:r>
    </w:p>
    <w:p w14:paraId="7B239BB8" w14:textId="77777777" w:rsidR="00F41926" w:rsidRPr="006A6AEC" w:rsidRDefault="007F551E" w:rsidP="00F41926">
      <w:pPr>
        <w:spacing w:before="0"/>
        <w:rPr>
          <w:rFonts w:cs="Arial"/>
          <w:sz w:val="18"/>
          <w:szCs w:val="18"/>
        </w:rPr>
      </w:pPr>
      <w:r w:rsidRPr="006A6AEC">
        <w:rPr>
          <w:rFonts w:cs="Arial"/>
          <w:sz w:val="18"/>
          <w:szCs w:val="18"/>
        </w:rPr>
        <w:t xml:space="preserve">Mr </w:t>
      </w:r>
      <w:r w:rsidR="00C80110" w:rsidRPr="006A6AEC">
        <w:rPr>
          <w:rFonts w:cs="Arial"/>
          <w:sz w:val="18"/>
          <w:szCs w:val="18"/>
        </w:rPr>
        <w:t xml:space="preserve">Matt </w:t>
      </w:r>
      <w:proofErr w:type="spellStart"/>
      <w:r w:rsidR="00C80110" w:rsidRPr="006A6AEC">
        <w:rPr>
          <w:rFonts w:cs="Arial"/>
          <w:sz w:val="18"/>
          <w:szCs w:val="18"/>
        </w:rPr>
        <w:t>Kellam</w:t>
      </w:r>
      <w:proofErr w:type="spellEnd"/>
      <w:r w:rsidR="00F41926" w:rsidRPr="006A6AEC">
        <w:rPr>
          <w:rFonts w:cs="Arial"/>
          <w:sz w:val="18"/>
          <w:szCs w:val="18"/>
        </w:rPr>
        <w:tab/>
      </w:r>
      <w:r w:rsidR="00F41926" w:rsidRPr="006A6AEC">
        <w:rPr>
          <w:rFonts w:cs="Arial"/>
          <w:sz w:val="18"/>
          <w:szCs w:val="18"/>
        </w:rPr>
        <w:tab/>
      </w:r>
      <w:r w:rsidR="00F41926" w:rsidRPr="006A6AEC">
        <w:rPr>
          <w:rFonts w:cs="Arial"/>
          <w:sz w:val="18"/>
          <w:szCs w:val="18"/>
        </w:rPr>
        <w:tab/>
      </w:r>
      <w:r w:rsidR="00F41926" w:rsidRPr="006A6AEC">
        <w:rPr>
          <w:rFonts w:cs="Arial"/>
          <w:sz w:val="18"/>
          <w:szCs w:val="18"/>
        </w:rPr>
        <w:tab/>
        <w:t>Executive Officer – Southern Africa, AFB, DFAT Canberra</w:t>
      </w:r>
    </w:p>
    <w:p w14:paraId="2019DC5B" w14:textId="77777777" w:rsidR="00A74748" w:rsidRPr="006A6AEC" w:rsidRDefault="007F551E" w:rsidP="00ED0B34">
      <w:pPr>
        <w:spacing w:before="0"/>
        <w:rPr>
          <w:sz w:val="18"/>
          <w:szCs w:val="18"/>
        </w:rPr>
      </w:pPr>
      <w:r w:rsidRPr="006A6AEC">
        <w:rPr>
          <w:rFonts w:cs="Arial"/>
          <w:sz w:val="18"/>
          <w:szCs w:val="18"/>
        </w:rPr>
        <w:t xml:space="preserve">Mr </w:t>
      </w:r>
      <w:r w:rsidR="00A74748" w:rsidRPr="006A6AEC">
        <w:rPr>
          <w:rFonts w:cs="Arial"/>
          <w:sz w:val="18"/>
          <w:szCs w:val="18"/>
        </w:rPr>
        <w:t>James Roop</w:t>
      </w:r>
      <w:r w:rsidR="00442DBD" w:rsidRPr="006A6AEC">
        <w:rPr>
          <w:rFonts w:cs="Arial"/>
          <w:sz w:val="18"/>
          <w:szCs w:val="18"/>
        </w:rPr>
        <w:tab/>
      </w:r>
      <w:r w:rsidR="00442DBD" w:rsidRPr="006A6AEC">
        <w:rPr>
          <w:rFonts w:cs="Arial"/>
          <w:sz w:val="18"/>
          <w:szCs w:val="18"/>
        </w:rPr>
        <w:tab/>
      </w:r>
      <w:r w:rsidR="00442DBD" w:rsidRPr="006A6AEC">
        <w:rPr>
          <w:rFonts w:cs="Arial"/>
          <w:sz w:val="18"/>
          <w:szCs w:val="18"/>
        </w:rPr>
        <w:tab/>
      </w:r>
      <w:r w:rsidR="00A74748" w:rsidRPr="006A6AEC">
        <w:rPr>
          <w:rFonts w:cs="Arial"/>
          <w:sz w:val="18"/>
          <w:szCs w:val="18"/>
        </w:rPr>
        <w:tab/>
      </w:r>
      <w:r w:rsidR="00A74748" w:rsidRPr="006A6AEC">
        <w:rPr>
          <w:sz w:val="18"/>
          <w:szCs w:val="18"/>
        </w:rPr>
        <w:t>Environment Safeguards Team</w:t>
      </w:r>
      <w:r w:rsidR="009C7197">
        <w:rPr>
          <w:sz w:val="18"/>
          <w:szCs w:val="18"/>
        </w:rPr>
        <w:t xml:space="preserve"> </w:t>
      </w:r>
    </w:p>
    <w:p w14:paraId="1B2741F0" w14:textId="77777777" w:rsidR="00A74748" w:rsidRPr="006A6AEC" w:rsidRDefault="007F551E" w:rsidP="00ED0B34">
      <w:pPr>
        <w:spacing w:before="0"/>
        <w:rPr>
          <w:sz w:val="18"/>
          <w:szCs w:val="18"/>
        </w:rPr>
      </w:pPr>
      <w:r w:rsidRPr="006A6AEC">
        <w:rPr>
          <w:sz w:val="18"/>
          <w:szCs w:val="18"/>
        </w:rPr>
        <w:t xml:space="preserve">Ms </w:t>
      </w:r>
      <w:r w:rsidR="00A74748" w:rsidRPr="006A6AEC">
        <w:rPr>
          <w:sz w:val="18"/>
          <w:szCs w:val="18"/>
        </w:rPr>
        <w:t>Esther Ewagata</w:t>
      </w:r>
      <w:r w:rsidR="006A6AEC" w:rsidRPr="006A6AEC">
        <w:rPr>
          <w:sz w:val="18"/>
          <w:szCs w:val="18"/>
        </w:rPr>
        <w:tab/>
      </w:r>
      <w:r w:rsidR="006A6AEC" w:rsidRPr="006A6AEC">
        <w:rPr>
          <w:sz w:val="18"/>
          <w:szCs w:val="18"/>
        </w:rPr>
        <w:tab/>
      </w:r>
      <w:r w:rsidR="006A6AEC" w:rsidRPr="006A6AEC">
        <w:rPr>
          <w:sz w:val="18"/>
          <w:szCs w:val="18"/>
        </w:rPr>
        <w:tab/>
        <w:t>Executive Officer, Environment and Safeguards Section, Canberr</w:t>
      </w:r>
      <w:r w:rsidR="00FB39A4">
        <w:rPr>
          <w:sz w:val="18"/>
          <w:szCs w:val="18"/>
        </w:rPr>
        <w:t>a</w:t>
      </w:r>
    </w:p>
    <w:p w14:paraId="4C19547A" w14:textId="77777777" w:rsidR="00A74748" w:rsidRPr="006A6AEC" w:rsidRDefault="007F551E" w:rsidP="006A6AEC">
      <w:pPr>
        <w:spacing w:before="0"/>
        <w:ind w:left="3600" w:hanging="3600"/>
        <w:rPr>
          <w:sz w:val="18"/>
          <w:szCs w:val="18"/>
        </w:rPr>
      </w:pPr>
      <w:r w:rsidRPr="006A6AEC">
        <w:rPr>
          <w:sz w:val="18"/>
          <w:szCs w:val="18"/>
        </w:rPr>
        <w:t xml:space="preserve">Ms </w:t>
      </w:r>
      <w:r w:rsidR="00A74748" w:rsidRPr="006A6AEC">
        <w:rPr>
          <w:sz w:val="18"/>
          <w:szCs w:val="18"/>
        </w:rPr>
        <w:t xml:space="preserve">Kate </w:t>
      </w:r>
      <w:proofErr w:type="spellStart"/>
      <w:r w:rsidR="00A74748" w:rsidRPr="006A6AEC">
        <w:rPr>
          <w:sz w:val="18"/>
          <w:szCs w:val="18"/>
        </w:rPr>
        <w:t>Thelander</w:t>
      </w:r>
      <w:proofErr w:type="spellEnd"/>
      <w:r w:rsidR="006A6AEC" w:rsidRPr="006A6AEC">
        <w:rPr>
          <w:sz w:val="18"/>
          <w:szCs w:val="18"/>
        </w:rPr>
        <w:tab/>
        <w:t>Senior Policy Officer, Environment and Safeguards Section, Canberra</w:t>
      </w:r>
    </w:p>
    <w:p w14:paraId="02CAA052" w14:textId="77777777" w:rsidR="00A74748" w:rsidRPr="006A6AEC" w:rsidRDefault="007F551E" w:rsidP="00ED0B34">
      <w:pPr>
        <w:spacing w:before="0"/>
        <w:rPr>
          <w:sz w:val="18"/>
          <w:szCs w:val="18"/>
        </w:rPr>
      </w:pPr>
      <w:r w:rsidRPr="006A6AEC">
        <w:rPr>
          <w:sz w:val="18"/>
          <w:szCs w:val="18"/>
        </w:rPr>
        <w:t xml:space="preserve">Ms Natasha </w:t>
      </w:r>
      <w:proofErr w:type="spellStart"/>
      <w:r w:rsidRPr="006A6AEC">
        <w:rPr>
          <w:sz w:val="18"/>
          <w:szCs w:val="18"/>
        </w:rPr>
        <w:t>Allit</w:t>
      </w:r>
      <w:proofErr w:type="spellEnd"/>
      <w:r w:rsidRPr="006A6AEC">
        <w:rPr>
          <w:sz w:val="18"/>
          <w:szCs w:val="18"/>
        </w:rPr>
        <w:tab/>
      </w:r>
      <w:r w:rsidRPr="006A6AEC">
        <w:rPr>
          <w:sz w:val="18"/>
          <w:szCs w:val="18"/>
        </w:rPr>
        <w:tab/>
      </w:r>
      <w:r w:rsidRPr="006A6AEC">
        <w:rPr>
          <w:sz w:val="18"/>
          <w:szCs w:val="18"/>
        </w:rPr>
        <w:tab/>
      </w:r>
      <w:r w:rsidR="006A6AEC">
        <w:rPr>
          <w:sz w:val="18"/>
          <w:szCs w:val="18"/>
        </w:rPr>
        <w:tab/>
      </w:r>
      <w:r w:rsidR="00A74748" w:rsidRPr="006A6AEC">
        <w:rPr>
          <w:sz w:val="18"/>
          <w:szCs w:val="18"/>
        </w:rPr>
        <w:t>Africa Performance and Quality Manager, AFB</w:t>
      </w:r>
      <w:r w:rsidR="00A74748" w:rsidRPr="006A6AEC">
        <w:rPr>
          <w:sz w:val="18"/>
          <w:szCs w:val="18"/>
        </w:rPr>
        <w:tab/>
      </w:r>
      <w:r w:rsidR="00A74748" w:rsidRPr="006A6AEC">
        <w:rPr>
          <w:sz w:val="18"/>
          <w:szCs w:val="18"/>
        </w:rPr>
        <w:tab/>
      </w:r>
    </w:p>
    <w:p w14:paraId="32750EA8" w14:textId="77777777" w:rsidR="00442DBD" w:rsidRPr="006A6AEC" w:rsidRDefault="007F551E" w:rsidP="00F41926">
      <w:pPr>
        <w:spacing w:before="0"/>
        <w:ind w:left="3600" w:hanging="3600"/>
        <w:rPr>
          <w:rFonts w:cs="Arial"/>
          <w:sz w:val="18"/>
          <w:szCs w:val="18"/>
        </w:rPr>
      </w:pPr>
      <w:r w:rsidRPr="006A6AEC">
        <w:rPr>
          <w:rFonts w:cs="Arial"/>
          <w:sz w:val="18"/>
          <w:szCs w:val="18"/>
        </w:rPr>
        <w:t xml:space="preserve">Ms </w:t>
      </w:r>
      <w:r w:rsidR="00A74748" w:rsidRPr="006A6AEC">
        <w:rPr>
          <w:rFonts w:cs="Arial"/>
          <w:sz w:val="18"/>
          <w:szCs w:val="18"/>
        </w:rPr>
        <w:t>Rebecca Bryant</w:t>
      </w:r>
      <w:r w:rsidR="00A74748" w:rsidRPr="006A6AEC">
        <w:rPr>
          <w:rFonts w:cs="Arial"/>
          <w:sz w:val="18"/>
          <w:szCs w:val="18"/>
        </w:rPr>
        <w:tab/>
        <w:t xml:space="preserve">Assistant Secretary, </w:t>
      </w:r>
      <w:r w:rsidR="00A74748" w:rsidRPr="006A6AEC">
        <w:rPr>
          <w:sz w:val="18"/>
          <w:szCs w:val="18"/>
        </w:rPr>
        <w:t>Assistant Secretary, Economic Engagement Branch, Trade and Economic Diplomacy Division)</w:t>
      </w:r>
    </w:p>
    <w:p w14:paraId="4FC00498" w14:textId="77777777" w:rsidR="00A74748" w:rsidRPr="006A6AEC" w:rsidRDefault="007F551E" w:rsidP="00ED0B34">
      <w:pPr>
        <w:spacing w:before="0"/>
        <w:rPr>
          <w:sz w:val="18"/>
          <w:szCs w:val="18"/>
        </w:rPr>
      </w:pPr>
      <w:r w:rsidRPr="006A6AEC">
        <w:rPr>
          <w:sz w:val="18"/>
          <w:szCs w:val="18"/>
        </w:rPr>
        <w:t xml:space="preserve">Mr </w:t>
      </w:r>
      <w:r w:rsidR="00A74748" w:rsidRPr="006A6AEC">
        <w:rPr>
          <w:sz w:val="18"/>
          <w:szCs w:val="18"/>
        </w:rPr>
        <w:t xml:space="preserve">Jim Downey </w:t>
      </w:r>
      <w:r w:rsidR="00A74748" w:rsidRPr="006A6AEC">
        <w:rPr>
          <w:sz w:val="18"/>
          <w:szCs w:val="18"/>
        </w:rPr>
        <w:tab/>
      </w:r>
      <w:r w:rsidR="00A74748" w:rsidRPr="006A6AEC">
        <w:rPr>
          <w:sz w:val="18"/>
          <w:szCs w:val="18"/>
        </w:rPr>
        <w:tab/>
      </w:r>
      <w:r w:rsidR="00A74748" w:rsidRPr="006A6AEC">
        <w:rPr>
          <w:sz w:val="18"/>
          <w:szCs w:val="18"/>
        </w:rPr>
        <w:tab/>
      </w:r>
      <w:r w:rsidR="00A74748" w:rsidRPr="006A6AEC">
        <w:rPr>
          <w:sz w:val="18"/>
          <w:szCs w:val="18"/>
        </w:rPr>
        <w:tab/>
        <w:t>Private Sector Team</w:t>
      </w:r>
    </w:p>
    <w:p w14:paraId="147D2997" w14:textId="77777777" w:rsidR="00A74748" w:rsidRPr="006A6AEC" w:rsidRDefault="007F551E" w:rsidP="00ED0B34">
      <w:pPr>
        <w:spacing w:before="0"/>
        <w:rPr>
          <w:sz w:val="18"/>
          <w:szCs w:val="18"/>
        </w:rPr>
      </w:pPr>
      <w:r w:rsidRPr="006A6AEC">
        <w:rPr>
          <w:sz w:val="18"/>
          <w:szCs w:val="18"/>
        </w:rPr>
        <w:t xml:space="preserve">Mr </w:t>
      </w:r>
      <w:r w:rsidR="00A74748" w:rsidRPr="006A6AEC">
        <w:rPr>
          <w:sz w:val="18"/>
          <w:szCs w:val="18"/>
        </w:rPr>
        <w:t xml:space="preserve">Robert Tulip </w:t>
      </w:r>
      <w:r w:rsidR="00A74748" w:rsidRPr="006A6AEC">
        <w:rPr>
          <w:sz w:val="18"/>
          <w:szCs w:val="18"/>
        </w:rPr>
        <w:tab/>
      </w:r>
      <w:r w:rsidR="00A74748" w:rsidRPr="006A6AEC">
        <w:rPr>
          <w:sz w:val="18"/>
          <w:szCs w:val="18"/>
        </w:rPr>
        <w:tab/>
      </w:r>
      <w:r w:rsidR="00A74748" w:rsidRPr="006A6AEC">
        <w:rPr>
          <w:sz w:val="18"/>
          <w:szCs w:val="18"/>
        </w:rPr>
        <w:tab/>
      </w:r>
      <w:r w:rsidR="00A74748" w:rsidRPr="006A6AEC">
        <w:rPr>
          <w:sz w:val="18"/>
          <w:szCs w:val="18"/>
        </w:rPr>
        <w:tab/>
      </w:r>
      <w:r w:rsidRPr="006A6AEC">
        <w:rPr>
          <w:sz w:val="18"/>
          <w:szCs w:val="18"/>
        </w:rPr>
        <w:t>Resources and Energy Section</w:t>
      </w:r>
    </w:p>
    <w:p w14:paraId="20B14EB0" w14:textId="77777777" w:rsidR="00A74748" w:rsidRPr="006A6AEC" w:rsidRDefault="007F551E" w:rsidP="00ED0B34">
      <w:pPr>
        <w:spacing w:before="0"/>
        <w:rPr>
          <w:sz w:val="18"/>
          <w:szCs w:val="18"/>
        </w:rPr>
      </w:pPr>
      <w:r w:rsidRPr="006A6AEC">
        <w:rPr>
          <w:sz w:val="18"/>
          <w:szCs w:val="18"/>
        </w:rPr>
        <w:t xml:space="preserve">Ms </w:t>
      </w:r>
      <w:r w:rsidR="00A74748" w:rsidRPr="006A6AEC">
        <w:rPr>
          <w:sz w:val="18"/>
          <w:szCs w:val="18"/>
        </w:rPr>
        <w:t xml:space="preserve">Michela Luzzi Tulip </w:t>
      </w:r>
      <w:r w:rsidR="00A74748" w:rsidRPr="006A6AEC">
        <w:rPr>
          <w:sz w:val="18"/>
          <w:szCs w:val="18"/>
        </w:rPr>
        <w:tab/>
      </w:r>
      <w:r w:rsidR="00A74748" w:rsidRPr="006A6AEC">
        <w:rPr>
          <w:sz w:val="18"/>
          <w:szCs w:val="18"/>
        </w:rPr>
        <w:tab/>
      </w:r>
      <w:r w:rsidR="00A74748" w:rsidRPr="006A6AEC">
        <w:rPr>
          <w:sz w:val="18"/>
          <w:szCs w:val="18"/>
        </w:rPr>
        <w:tab/>
      </w:r>
      <w:r w:rsidRPr="006A6AEC">
        <w:rPr>
          <w:sz w:val="18"/>
          <w:szCs w:val="18"/>
        </w:rPr>
        <w:t>Resources and Energy Section</w:t>
      </w:r>
    </w:p>
    <w:p w14:paraId="4D247EB1" w14:textId="77777777" w:rsidR="00442DBD" w:rsidRPr="006A6AEC" w:rsidRDefault="007F551E" w:rsidP="00F41926">
      <w:pPr>
        <w:spacing w:before="0"/>
        <w:rPr>
          <w:sz w:val="18"/>
          <w:szCs w:val="18"/>
        </w:rPr>
      </w:pPr>
      <w:r w:rsidRPr="006A6AEC">
        <w:rPr>
          <w:sz w:val="18"/>
          <w:szCs w:val="18"/>
        </w:rPr>
        <w:t xml:space="preserve">Mr </w:t>
      </w:r>
      <w:r w:rsidR="00A74748" w:rsidRPr="006A6AEC">
        <w:rPr>
          <w:sz w:val="18"/>
          <w:szCs w:val="18"/>
        </w:rPr>
        <w:t xml:space="preserve">Rohan </w:t>
      </w:r>
      <w:proofErr w:type="spellStart"/>
      <w:r w:rsidR="00A74748" w:rsidRPr="006A6AEC">
        <w:rPr>
          <w:sz w:val="18"/>
          <w:szCs w:val="18"/>
        </w:rPr>
        <w:t>Nandan</w:t>
      </w:r>
      <w:proofErr w:type="spellEnd"/>
      <w:r w:rsidR="00A74748" w:rsidRPr="006A6AEC">
        <w:rPr>
          <w:sz w:val="18"/>
          <w:szCs w:val="18"/>
        </w:rPr>
        <w:t xml:space="preserve"> </w:t>
      </w:r>
      <w:r w:rsidR="00A74748" w:rsidRPr="006A6AEC">
        <w:rPr>
          <w:sz w:val="18"/>
          <w:szCs w:val="18"/>
        </w:rPr>
        <w:tab/>
      </w:r>
      <w:r w:rsidR="00A74748" w:rsidRPr="006A6AEC">
        <w:rPr>
          <w:sz w:val="18"/>
          <w:szCs w:val="18"/>
        </w:rPr>
        <w:tab/>
      </w:r>
      <w:r w:rsidR="00A74748" w:rsidRPr="006A6AEC">
        <w:rPr>
          <w:sz w:val="18"/>
          <w:szCs w:val="18"/>
        </w:rPr>
        <w:tab/>
      </w:r>
      <w:r w:rsidRPr="006A6AEC">
        <w:rPr>
          <w:sz w:val="18"/>
          <w:szCs w:val="18"/>
        </w:rPr>
        <w:t>Infrastructure Team</w:t>
      </w:r>
    </w:p>
    <w:p w14:paraId="0C1D3474" w14:textId="77777777" w:rsidR="00A74748" w:rsidRPr="006A6AEC" w:rsidRDefault="007F551E" w:rsidP="00F41926">
      <w:pPr>
        <w:spacing w:before="0"/>
        <w:rPr>
          <w:rFonts w:cs="Arial"/>
          <w:sz w:val="18"/>
          <w:szCs w:val="18"/>
        </w:rPr>
      </w:pPr>
      <w:r w:rsidRPr="006A6AEC">
        <w:rPr>
          <w:sz w:val="18"/>
          <w:szCs w:val="18"/>
        </w:rPr>
        <w:t xml:space="preserve">Ms </w:t>
      </w:r>
      <w:r w:rsidR="00A74748" w:rsidRPr="006A6AEC">
        <w:rPr>
          <w:sz w:val="18"/>
          <w:szCs w:val="18"/>
        </w:rPr>
        <w:t xml:space="preserve">Tracey Austwick </w:t>
      </w:r>
      <w:r w:rsidR="00A74748" w:rsidRPr="006A6AEC">
        <w:rPr>
          <w:sz w:val="18"/>
          <w:szCs w:val="18"/>
        </w:rPr>
        <w:tab/>
      </w:r>
      <w:r w:rsidR="00A74748" w:rsidRPr="006A6AEC">
        <w:rPr>
          <w:sz w:val="18"/>
          <w:szCs w:val="18"/>
        </w:rPr>
        <w:tab/>
      </w:r>
      <w:r w:rsidR="00A74748" w:rsidRPr="006A6AEC">
        <w:rPr>
          <w:sz w:val="18"/>
          <w:szCs w:val="18"/>
        </w:rPr>
        <w:tab/>
      </w:r>
      <w:r w:rsidRPr="006A6AEC">
        <w:rPr>
          <w:sz w:val="18"/>
          <w:szCs w:val="18"/>
        </w:rPr>
        <w:t>Infrastructure Team</w:t>
      </w:r>
    </w:p>
    <w:p w14:paraId="57720C0C" w14:textId="77777777" w:rsidR="00442DBD" w:rsidRPr="006A6AEC" w:rsidRDefault="007F551E" w:rsidP="00F41926">
      <w:pPr>
        <w:spacing w:before="0"/>
        <w:rPr>
          <w:sz w:val="18"/>
          <w:szCs w:val="18"/>
        </w:rPr>
      </w:pPr>
      <w:r w:rsidRPr="006A6AEC">
        <w:rPr>
          <w:sz w:val="18"/>
          <w:szCs w:val="18"/>
        </w:rPr>
        <w:t xml:space="preserve">Mr </w:t>
      </w:r>
      <w:r w:rsidR="00A74748" w:rsidRPr="006A6AEC">
        <w:rPr>
          <w:sz w:val="18"/>
          <w:szCs w:val="18"/>
        </w:rPr>
        <w:t xml:space="preserve">Brian Hearn </w:t>
      </w:r>
      <w:r w:rsidR="00A74748" w:rsidRPr="006A6AEC">
        <w:rPr>
          <w:sz w:val="18"/>
          <w:szCs w:val="18"/>
        </w:rPr>
        <w:tab/>
      </w:r>
      <w:r w:rsidR="00A74748" w:rsidRPr="006A6AEC">
        <w:rPr>
          <w:sz w:val="18"/>
          <w:szCs w:val="18"/>
        </w:rPr>
        <w:tab/>
      </w:r>
      <w:r w:rsidR="00A74748" w:rsidRPr="006A6AEC">
        <w:rPr>
          <w:sz w:val="18"/>
          <w:szCs w:val="18"/>
        </w:rPr>
        <w:tab/>
      </w:r>
      <w:r w:rsidR="00A74748" w:rsidRPr="006A6AEC">
        <w:rPr>
          <w:sz w:val="18"/>
          <w:szCs w:val="18"/>
        </w:rPr>
        <w:tab/>
        <w:t>Contract Services Branch</w:t>
      </w:r>
    </w:p>
    <w:p w14:paraId="4D451441" w14:textId="77777777" w:rsidR="00A74748" w:rsidRPr="006A6AEC" w:rsidRDefault="007F551E" w:rsidP="00D87243">
      <w:pPr>
        <w:spacing w:before="0"/>
        <w:ind w:left="3600" w:hanging="3600"/>
        <w:rPr>
          <w:sz w:val="18"/>
          <w:szCs w:val="18"/>
        </w:rPr>
      </w:pPr>
      <w:r w:rsidRPr="006A6AEC">
        <w:rPr>
          <w:sz w:val="18"/>
          <w:szCs w:val="18"/>
        </w:rPr>
        <w:t xml:space="preserve">Mr </w:t>
      </w:r>
      <w:r w:rsidR="00A74748" w:rsidRPr="006A6AEC">
        <w:rPr>
          <w:sz w:val="18"/>
          <w:szCs w:val="18"/>
        </w:rPr>
        <w:t xml:space="preserve">Michael </w:t>
      </w:r>
      <w:proofErr w:type="spellStart"/>
      <w:r w:rsidR="00A74748" w:rsidRPr="006A6AEC">
        <w:rPr>
          <w:sz w:val="18"/>
          <w:szCs w:val="18"/>
        </w:rPr>
        <w:t>Pilbrow</w:t>
      </w:r>
      <w:proofErr w:type="spellEnd"/>
      <w:r w:rsidR="00A74748" w:rsidRPr="006A6AEC">
        <w:rPr>
          <w:sz w:val="18"/>
          <w:szCs w:val="18"/>
        </w:rPr>
        <w:t xml:space="preserve"> </w:t>
      </w:r>
      <w:r w:rsidR="00A74748" w:rsidRPr="006A6AEC">
        <w:rPr>
          <w:sz w:val="18"/>
          <w:szCs w:val="18"/>
        </w:rPr>
        <w:tab/>
        <w:t>Independent consultant charged with exploring design options for Phase II of IM4DC</w:t>
      </w:r>
    </w:p>
    <w:p w14:paraId="6E26F107" w14:textId="77777777" w:rsidR="00A74748" w:rsidRPr="006A6AEC" w:rsidRDefault="007F551E" w:rsidP="00F41926">
      <w:pPr>
        <w:spacing w:before="0"/>
        <w:rPr>
          <w:sz w:val="18"/>
          <w:szCs w:val="18"/>
        </w:rPr>
      </w:pPr>
      <w:r w:rsidRPr="006A6AEC">
        <w:rPr>
          <w:sz w:val="18"/>
          <w:szCs w:val="18"/>
        </w:rPr>
        <w:t xml:space="preserve">Ms </w:t>
      </w:r>
      <w:r w:rsidR="00A74748" w:rsidRPr="006A6AEC">
        <w:rPr>
          <w:sz w:val="18"/>
          <w:szCs w:val="18"/>
        </w:rPr>
        <w:t xml:space="preserve">Ishara Davey </w:t>
      </w:r>
      <w:r w:rsidR="00A74748" w:rsidRPr="006A6AEC">
        <w:rPr>
          <w:sz w:val="18"/>
          <w:szCs w:val="18"/>
        </w:rPr>
        <w:tab/>
      </w:r>
      <w:r w:rsidR="00A74748" w:rsidRPr="006A6AEC">
        <w:rPr>
          <w:sz w:val="18"/>
          <w:szCs w:val="18"/>
        </w:rPr>
        <w:tab/>
      </w:r>
      <w:r w:rsidR="00A74748" w:rsidRPr="006A6AEC">
        <w:rPr>
          <w:sz w:val="18"/>
          <w:szCs w:val="18"/>
        </w:rPr>
        <w:tab/>
      </w:r>
      <w:r w:rsidR="006A6AEC">
        <w:rPr>
          <w:sz w:val="18"/>
          <w:szCs w:val="18"/>
        </w:rPr>
        <w:tab/>
      </w:r>
      <w:r w:rsidR="00A74748" w:rsidRPr="006A6AEC">
        <w:rPr>
          <w:sz w:val="18"/>
          <w:szCs w:val="18"/>
        </w:rPr>
        <w:t>DFAT Res</w:t>
      </w:r>
      <w:r w:rsidRPr="006A6AEC">
        <w:rPr>
          <w:sz w:val="18"/>
          <w:szCs w:val="18"/>
        </w:rPr>
        <w:t>ources and Energy Section</w:t>
      </w:r>
    </w:p>
    <w:p w14:paraId="66F99D91" w14:textId="77777777" w:rsidR="00C80110" w:rsidRPr="006A6AEC" w:rsidRDefault="007F551E" w:rsidP="00F41926">
      <w:pPr>
        <w:spacing w:before="0"/>
        <w:rPr>
          <w:sz w:val="18"/>
          <w:szCs w:val="18"/>
        </w:rPr>
      </w:pPr>
      <w:r w:rsidRPr="006A6AEC">
        <w:rPr>
          <w:sz w:val="18"/>
          <w:szCs w:val="18"/>
        </w:rPr>
        <w:t xml:space="preserve">Ms </w:t>
      </w:r>
      <w:r w:rsidR="00C80110" w:rsidRPr="006A6AEC">
        <w:rPr>
          <w:sz w:val="18"/>
          <w:szCs w:val="18"/>
        </w:rPr>
        <w:t>Emma Stone</w:t>
      </w:r>
      <w:r w:rsidR="006A6AEC" w:rsidRPr="006A6AEC">
        <w:rPr>
          <w:sz w:val="18"/>
          <w:szCs w:val="18"/>
        </w:rPr>
        <w:tab/>
      </w:r>
      <w:r w:rsidR="006A6AEC" w:rsidRPr="006A6AEC">
        <w:rPr>
          <w:sz w:val="18"/>
          <w:szCs w:val="18"/>
        </w:rPr>
        <w:tab/>
      </w:r>
      <w:r w:rsidR="006A6AEC" w:rsidRPr="006A6AEC">
        <w:rPr>
          <w:sz w:val="18"/>
          <w:szCs w:val="18"/>
        </w:rPr>
        <w:tab/>
      </w:r>
      <w:r w:rsidR="006A6AEC">
        <w:rPr>
          <w:sz w:val="18"/>
          <w:szCs w:val="18"/>
        </w:rPr>
        <w:tab/>
      </w:r>
      <w:r w:rsidR="006A6AEC" w:rsidRPr="006A6AEC">
        <w:rPr>
          <w:sz w:val="18"/>
          <w:szCs w:val="18"/>
        </w:rPr>
        <w:t>Program Manager, Pan Africa and Effectiveness Section</w:t>
      </w:r>
    </w:p>
    <w:p w14:paraId="111E9F9E" w14:textId="77777777" w:rsidR="00A74748" w:rsidRPr="006A6AEC" w:rsidRDefault="007F551E" w:rsidP="00F41926">
      <w:pPr>
        <w:spacing w:before="0"/>
        <w:rPr>
          <w:sz w:val="18"/>
          <w:szCs w:val="18"/>
        </w:rPr>
      </w:pPr>
      <w:r w:rsidRPr="006A6AEC">
        <w:rPr>
          <w:sz w:val="18"/>
          <w:szCs w:val="18"/>
        </w:rPr>
        <w:t xml:space="preserve">Mr </w:t>
      </w:r>
      <w:r w:rsidR="00A74748" w:rsidRPr="006A6AEC">
        <w:rPr>
          <w:sz w:val="18"/>
          <w:szCs w:val="18"/>
        </w:rPr>
        <w:t>Tim Vistarini</w:t>
      </w:r>
      <w:r w:rsidR="00A74748" w:rsidRPr="006A6AEC">
        <w:rPr>
          <w:sz w:val="18"/>
          <w:szCs w:val="18"/>
        </w:rPr>
        <w:tab/>
      </w:r>
      <w:r w:rsidR="00A74748" w:rsidRPr="006A6AEC">
        <w:rPr>
          <w:sz w:val="18"/>
          <w:szCs w:val="18"/>
        </w:rPr>
        <w:tab/>
      </w:r>
      <w:r w:rsidR="00A74748" w:rsidRPr="006A6AEC">
        <w:rPr>
          <w:sz w:val="18"/>
          <w:szCs w:val="18"/>
        </w:rPr>
        <w:tab/>
      </w:r>
      <w:r w:rsidR="00A74748" w:rsidRPr="006A6AEC">
        <w:rPr>
          <w:sz w:val="18"/>
          <w:szCs w:val="18"/>
        </w:rPr>
        <w:tab/>
        <w:t>Investment Design Section</w:t>
      </w:r>
    </w:p>
    <w:p w14:paraId="5EDE1F01" w14:textId="77777777" w:rsidR="00A74748" w:rsidRPr="006A6AEC" w:rsidRDefault="007F551E" w:rsidP="00F41926">
      <w:pPr>
        <w:spacing w:before="0"/>
        <w:rPr>
          <w:rFonts w:cs="Arial"/>
          <w:sz w:val="18"/>
          <w:szCs w:val="18"/>
        </w:rPr>
      </w:pPr>
      <w:r w:rsidRPr="006A6AEC">
        <w:rPr>
          <w:sz w:val="18"/>
          <w:szCs w:val="18"/>
        </w:rPr>
        <w:t xml:space="preserve">Mr </w:t>
      </w:r>
      <w:r w:rsidR="002822F1">
        <w:rPr>
          <w:sz w:val="18"/>
          <w:szCs w:val="18"/>
        </w:rPr>
        <w:t>Chad Clark</w:t>
      </w:r>
      <w:r w:rsidR="002822F1">
        <w:rPr>
          <w:sz w:val="18"/>
          <w:szCs w:val="18"/>
        </w:rPr>
        <w:tab/>
      </w:r>
      <w:r w:rsidR="002822F1">
        <w:rPr>
          <w:sz w:val="18"/>
          <w:szCs w:val="18"/>
        </w:rPr>
        <w:tab/>
      </w:r>
      <w:r w:rsidR="002822F1">
        <w:rPr>
          <w:sz w:val="18"/>
          <w:szCs w:val="18"/>
        </w:rPr>
        <w:tab/>
      </w:r>
      <w:r w:rsidR="002822F1">
        <w:rPr>
          <w:sz w:val="18"/>
          <w:szCs w:val="18"/>
        </w:rPr>
        <w:tab/>
        <w:t>Investment Design Section</w:t>
      </w:r>
      <w:r w:rsidR="00A74748" w:rsidRPr="006A6AEC">
        <w:rPr>
          <w:sz w:val="18"/>
          <w:szCs w:val="18"/>
        </w:rPr>
        <w:tab/>
      </w:r>
    </w:p>
    <w:p w14:paraId="0A584275" w14:textId="77777777" w:rsidR="00A74748" w:rsidRPr="006A6AEC" w:rsidRDefault="007F551E" w:rsidP="00ED0B34">
      <w:pPr>
        <w:spacing w:before="0"/>
        <w:rPr>
          <w:sz w:val="18"/>
          <w:szCs w:val="18"/>
        </w:rPr>
      </w:pPr>
      <w:r w:rsidRPr="006A6AEC">
        <w:rPr>
          <w:sz w:val="18"/>
          <w:szCs w:val="18"/>
        </w:rPr>
        <w:t xml:space="preserve">Mr </w:t>
      </w:r>
      <w:r w:rsidR="00A74748" w:rsidRPr="006A6AEC">
        <w:rPr>
          <w:sz w:val="18"/>
          <w:szCs w:val="18"/>
        </w:rPr>
        <w:t xml:space="preserve">Michael Carnahan </w:t>
      </w:r>
      <w:r w:rsidR="00A74748" w:rsidRPr="006A6AEC">
        <w:rPr>
          <w:sz w:val="18"/>
          <w:szCs w:val="18"/>
        </w:rPr>
        <w:tab/>
      </w:r>
      <w:r w:rsidR="00A74748" w:rsidRPr="006A6AEC">
        <w:rPr>
          <w:sz w:val="18"/>
          <w:szCs w:val="18"/>
        </w:rPr>
        <w:tab/>
      </w:r>
      <w:r w:rsidR="00A74748" w:rsidRPr="006A6AEC">
        <w:rPr>
          <w:sz w:val="18"/>
          <w:szCs w:val="18"/>
        </w:rPr>
        <w:tab/>
      </w:r>
      <w:r w:rsidRPr="006A6AEC">
        <w:rPr>
          <w:sz w:val="18"/>
          <w:szCs w:val="18"/>
        </w:rPr>
        <w:t>Chief Economist, Development</w:t>
      </w:r>
    </w:p>
    <w:p w14:paraId="76FA34DA" w14:textId="77777777" w:rsidR="00F41926" w:rsidRPr="00FC709A" w:rsidRDefault="00F41926" w:rsidP="00455992">
      <w:pPr>
        <w:pStyle w:val="annexsubheading"/>
        <w:spacing w:before="120"/>
        <w:rPr>
          <w:sz w:val="20"/>
        </w:rPr>
      </w:pPr>
      <w:r w:rsidRPr="00FC709A">
        <w:rPr>
          <w:sz w:val="20"/>
        </w:rPr>
        <w:t>Australian High Commission, Pretoria, South Africa</w:t>
      </w:r>
    </w:p>
    <w:p w14:paraId="77CA91CB" w14:textId="77777777" w:rsidR="00FF416A" w:rsidRPr="006A6AEC" w:rsidRDefault="007F551E" w:rsidP="00F41926">
      <w:pPr>
        <w:rPr>
          <w:sz w:val="18"/>
          <w:szCs w:val="18"/>
        </w:rPr>
      </w:pPr>
      <w:r w:rsidRPr="006A6AEC">
        <w:rPr>
          <w:sz w:val="18"/>
          <w:szCs w:val="18"/>
        </w:rPr>
        <w:t xml:space="preserve">Mr </w:t>
      </w:r>
      <w:r w:rsidR="00C80110" w:rsidRPr="006A6AEC">
        <w:rPr>
          <w:sz w:val="18"/>
          <w:szCs w:val="18"/>
        </w:rPr>
        <w:t>Chris Munn</w:t>
      </w:r>
      <w:r w:rsidR="00C80110" w:rsidRPr="006A6AEC">
        <w:rPr>
          <w:sz w:val="18"/>
          <w:szCs w:val="18"/>
        </w:rPr>
        <w:tab/>
      </w:r>
      <w:r w:rsidR="00C80110" w:rsidRPr="006A6AEC">
        <w:rPr>
          <w:sz w:val="18"/>
          <w:szCs w:val="18"/>
        </w:rPr>
        <w:tab/>
      </w:r>
      <w:r w:rsidR="00C80110" w:rsidRPr="006A6AEC">
        <w:rPr>
          <w:sz w:val="18"/>
          <w:szCs w:val="18"/>
        </w:rPr>
        <w:tab/>
      </w:r>
      <w:r w:rsidR="00C80110" w:rsidRPr="006A6AEC">
        <w:rPr>
          <w:sz w:val="18"/>
          <w:szCs w:val="18"/>
        </w:rPr>
        <w:tab/>
        <w:t xml:space="preserve">Deputy High Commissioner, </w:t>
      </w:r>
      <w:r w:rsidR="00F41926" w:rsidRPr="006A6AEC">
        <w:rPr>
          <w:sz w:val="18"/>
          <w:szCs w:val="18"/>
        </w:rPr>
        <w:t>Australian High Commission, Pretoria</w:t>
      </w:r>
    </w:p>
    <w:p w14:paraId="314809AA" w14:textId="77777777" w:rsidR="00C80110" w:rsidRPr="006A6AEC" w:rsidRDefault="007F551E" w:rsidP="00F41926">
      <w:pPr>
        <w:spacing w:before="0"/>
        <w:rPr>
          <w:rFonts w:cs="Arial"/>
          <w:sz w:val="18"/>
          <w:szCs w:val="18"/>
        </w:rPr>
      </w:pPr>
      <w:r w:rsidRPr="006A6AEC">
        <w:rPr>
          <w:rFonts w:cs="Arial"/>
          <w:sz w:val="18"/>
          <w:szCs w:val="18"/>
        </w:rPr>
        <w:t xml:space="preserve">Mr </w:t>
      </w:r>
      <w:r w:rsidR="00C80110" w:rsidRPr="006A6AEC">
        <w:rPr>
          <w:rFonts w:cs="Arial"/>
          <w:sz w:val="18"/>
          <w:szCs w:val="18"/>
        </w:rPr>
        <w:t>Jaimie Isbister</w:t>
      </w:r>
      <w:r w:rsidR="006A6AEC" w:rsidRPr="006A6AEC">
        <w:rPr>
          <w:rFonts w:cs="Arial"/>
          <w:sz w:val="18"/>
          <w:szCs w:val="18"/>
        </w:rPr>
        <w:tab/>
      </w:r>
      <w:r w:rsidR="006A6AEC" w:rsidRPr="006A6AEC">
        <w:rPr>
          <w:rFonts w:cs="Arial"/>
          <w:sz w:val="18"/>
          <w:szCs w:val="18"/>
        </w:rPr>
        <w:tab/>
      </w:r>
      <w:r w:rsidR="006A6AEC" w:rsidRPr="006A6AEC">
        <w:rPr>
          <w:rFonts w:cs="Arial"/>
          <w:sz w:val="18"/>
          <w:szCs w:val="18"/>
        </w:rPr>
        <w:tab/>
      </w:r>
      <w:r w:rsidR="006A6AEC">
        <w:rPr>
          <w:rFonts w:cs="Arial"/>
          <w:sz w:val="18"/>
          <w:szCs w:val="18"/>
        </w:rPr>
        <w:tab/>
      </w:r>
      <w:r w:rsidR="006A6AEC" w:rsidRPr="006A6AEC">
        <w:rPr>
          <w:sz w:val="18"/>
          <w:szCs w:val="18"/>
        </w:rPr>
        <w:t>Minister Counsellor (Development Cooperation) Africa</w:t>
      </w:r>
    </w:p>
    <w:p w14:paraId="33A78E68" w14:textId="77777777" w:rsidR="00C80110" w:rsidRPr="006A6AEC" w:rsidRDefault="007F551E" w:rsidP="006A6AEC">
      <w:pPr>
        <w:spacing w:before="0"/>
        <w:ind w:left="3600" w:hanging="3600"/>
        <w:rPr>
          <w:rFonts w:cs="Arial"/>
          <w:sz w:val="18"/>
          <w:szCs w:val="18"/>
        </w:rPr>
      </w:pPr>
      <w:r w:rsidRPr="006A6AEC">
        <w:rPr>
          <w:rFonts w:cs="Arial"/>
          <w:sz w:val="18"/>
          <w:szCs w:val="18"/>
        </w:rPr>
        <w:t xml:space="preserve">Mr </w:t>
      </w:r>
      <w:r w:rsidR="00F41926" w:rsidRPr="006A6AEC">
        <w:rPr>
          <w:rFonts w:cs="Arial"/>
          <w:sz w:val="18"/>
          <w:szCs w:val="18"/>
        </w:rPr>
        <w:t>Andrew E</w:t>
      </w:r>
      <w:r w:rsidR="006A6AEC" w:rsidRPr="006A6AEC">
        <w:rPr>
          <w:rFonts w:cs="Arial"/>
          <w:sz w:val="18"/>
          <w:szCs w:val="18"/>
        </w:rPr>
        <w:t>dge</w:t>
      </w:r>
      <w:r w:rsidR="006A6AEC" w:rsidRPr="006A6AEC">
        <w:rPr>
          <w:rFonts w:cs="Arial"/>
          <w:sz w:val="18"/>
          <w:szCs w:val="18"/>
        </w:rPr>
        <w:tab/>
      </w:r>
      <w:r w:rsidR="00F41926" w:rsidRPr="006A6AEC">
        <w:rPr>
          <w:rFonts w:cs="Arial"/>
          <w:sz w:val="18"/>
          <w:szCs w:val="18"/>
        </w:rPr>
        <w:t>Counsellor</w:t>
      </w:r>
      <w:r w:rsidR="006A6AEC" w:rsidRPr="006A6AEC">
        <w:rPr>
          <w:rFonts w:cs="Arial"/>
          <w:sz w:val="18"/>
          <w:szCs w:val="18"/>
        </w:rPr>
        <w:t xml:space="preserve"> (Development Cooperation)</w:t>
      </w:r>
      <w:r w:rsidR="00F41926" w:rsidRPr="006A6AEC">
        <w:rPr>
          <w:rFonts w:cs="Arial"/>
          <w:sz w:val="18"/>
          <w:szCs w:val="18"/>
        </w:rPr>
        <w:t>, Australian High Commission, Pretoria</w:t>
      </w:r>
    </w:p>
    <w:p w14:paraId="3E0F08D8" w14:textId="77777777" w:rsidR="00C80110" w:rsidRPr="006A6AEC" w:rsidRDefault="007F551E" w:rsidP="006A6AEC">
      <w:pPr>
        <w:spacing w:before="0"/>
        <w:ind w:left="3600" w:hanging="3600"/>
        <w:rPr>
          <w:rFonts w:cs="Arial"/>
          <w:sz w:val="18"/>
          <w:szCs w:val="18"/>
        </w:rPr>
      </w:pPr>
      <w:r w:rsidRPr="006A6AEC">
        <w:rPr>
          <w:rFonts w:cs="Arial"/>
          <w:sz w:val="18"/>
          <w:szCs w:val="18"/>
        </w:rPr>
        <w:t xml:space="preserve">Ms </w:t>
      </w:r>
      <w:r w:rsidR="00C80110" w:rsidRPr="006A6AEC">
        <w:rPr>
          <w:rFonts w:cs="Arial"/>
          <w:sz w:val="18"/>
          <w:szCs w:val="18"/>
        </w:rPr>
        <w:t>Toni Redden</w:t>
      </w:r>
      <w:r w:rsidR="00767644" w:rsidRPr="006A6AEC">
        <w:rPr>
          <w:rFonts w:cs="Arial"/>
          <w:sz w:val="18"/>
          <w:szCs w:val="18"/>
        </w:rPr>
        <w:tab/>
      </w:r>
      <w:r w:rsidR="0090729C" w:rsidRPr="006A6AEC">
        <w:rPr>
          <w:sz w:val="18"/>
          <w:szCs w:val="18"/>
          <w:lang w:eastAsia="en-AU"/>
        </w:rPr>
        <w:t xml:space="preserve">First Secretary (Development Cooperation) Program </w:t>
      </w:r>
      <w:r w:rsidR="006A6AEC">
        <w:rPr>
          <w:sz w:val="18"/>
          <w:szCs w:val="18"/>
          <w:lang w:eastAsia="en-AU"/>
        </w:rPr>
        <w:t xml:space="preserve">Effectiveness, </w:t>
      </w:r>
      <w:r w:rsidR="0090729C" w:rsidRPr="006A6AEC">
        <w:rPr>
          <w:sz w:val="18"/>
          <w:szCs w:val="18"/>
          <w:lang w:eastAsia="en-AU"/>
        </w:rPr>
        <w:t xml:space="preserve">Agreements and Compliance – Africa Region, </w:t>
      </w:r>
      <w:r w:rsidR="0090729C" w:rsidRPr="006A6AEC">
        <w:rPr>
          <w:rFonts w:cs="Arial"/>
          <w:sz w:val="18"/>
          <w:szCs w:val="18"/>
        </w:rPr>
        <w:t xml:space="preserve">Australian High Commission, Pretoria </w:t>
      </w:r>
      <w:r w:rsidR="00767644" w:rsidRPr="006A6AEC">
        <w:rPr>
          <w:rFonts w:cs="Arial"/>
          <w:sz w:val="18"/>
          <w:szCs w:val="18"/>
        </w:rPr>
        <w:t>(AAPF)</w:t>
      </w:r>
    </w:p>
    <w:p w14:paraId="61D310DF" w14:textId="77777777" w:rsidR="00F41926" w:rsidRPr="006A6AEC" w:rsidRDefault="007F551E" w:rsidP="00ED0B34">
      <w:pPr>
        <w:spacing w:before="0" w:line="280" w:lineRule="atLeast"/>
        <w:ind w:left="3600" w:hanging="3600"/>
        <w:rPr>
          <w:rFonts w:cs="Arial"/>
          <w:sz w:val="18"/>
          <w:szCs w:val="18"/>
        </w:rPr>
      </w:pPr>
      <w:r w:rsidRPr="006A6AEC">
        <w:rPr>
          <w:rFonts w:cs="Arial"/>
          <w:sz w:val="18"/>
          <w:szCs w:val="18"/>
        </w:rPr>
        <w:t xml:space="preserve">Mr </w:t>
      </w:r>
      <w:r w:rsidR="00C80110" w:rsidRPr="006A6AEC">
        <w:rPr>
          <w:rFonts w:cs="Arial"/>
          <w:sz w:val="18"/>
          <w:szCs w:val="18"/>
        </w:rPr>
        <w:t>Alan Yuen</w:t>
      </w:r>
      <w:r w:rsidR="00F41926" w:rsidRPr="006A6AEC">
        <w:rPr>
          <w:rFonts w:cs="Arial"/>
          <w:sz w:val="18"/>
          <w:szCs w:val="18"/>
        </w:rPr>
        <w:tab/>
        <w:t>Program Effectiveness, Agreements and Compliance Officer, Australian High Commission, Pretoria</w:t>
      </w:r>
    </w:p>
    <w:p w14:paraId="793B2302" w14:textId="77777777" w:rsidR="00C80110" w:rsidRPr="006A6AEC" w:rsidRDefault="007F551E" w:rsidP="00ED0B34">
      <w:pPr>
        <w:spacing w:before="0"/>
        <w:ind w:left="3600" w:hanging="3600"/>
        <w:rPr>
          <w:rFonts w:cs="Arial"/>
          <w:sz w:val="18"/>
          <w:szCs w:val="18"/>
        </w:rPr>
      </w:pPr>
      <w:r w:rsidRPr="006A6AEC">
        <w:rPr>
          <w:rFonts w:cs="Arial"/>
          <w:sz w:val="18"/>
          <w:szCs w:val="18"/>
        </w:rPr>
        <w:t xml:space="preserve">Ms </w:t>
      </w:r>
      <w:r w:rsidR="00C80110" w:rsidRPr="006A6AEC">
        <w:rPr>
          <w:rFonts w:cs="Arial"/>
          <w:sz w:val="18"/>
          <w:szCs w:val="18"/>
        </w:rPr>
        <w:t>Gaye Moore</w:t>
      </w:r>
      <w:r w:rsidR="00767644" w:rsidRPr="006A6AEC">
        <w:rPr>
          <w:rFonts w:cs="Arial"/>
          <w:sz w:val="18"/>
          <w:szCs w:val="18"/>
        </w:rPr>
        <w:tab/>
        <w:t>First Secretary – Development Cooperation, Department of Foreign Affairs and Trade (Awards)</w:t>
      </w:r>
    </w:p>
    <w:p w14:paraId="6CBB086C" w14:textId="77777777" w:rsidR="00C8139F" w:rsidRPr="006A6AEC" w:rsidRDefault="001F5542" w:rsidP="00ED0B34">
      <w:pPr>
        <w:spacing w:before="0"/>
        <w:ind w:left="3600" w:hanging="3600"/>
        <w:rPr>
          <w:rFonts w:cs="Arial"/>
          <w:sz w:val="18"/>
          <w:szCs w:val="18"/>
        </w:rPr>
      </w:pPr>
      <w:r w:rsidRPr="006A6AEC">
        <w:rPr>
          <w:rFonts w:cs="Arial"/>
          <w:sz w:val="18"/>
          <w:szCs w:val="18"/>
        </w:rPr>
        <w:t xml:space="preserve">Ms </w:t>
      </w:r>
      <w:r w:rsidR="00C8139F" w:rsidRPr="006A6AEC">
        <w:rPr>
          <w:rFonts w:cs="Arial"/>
          <w:sz w:val="18"/>
          <w:szCs w:val="18"/>
        </w:rPr>
        <w:t xml:space="preserve">Karen </w:t>
      </w:r>
      <w:proofErr w:type="spellStart"/>
      <w:r w:rsidR="00C8139F" w:rsidRPr="006A6AEC">
        <w:rPr>
          <w:rFonts w:cs="Arial"/>
          <w:sz w:val="18"/>
          <w:szCs w:val="18"/>
        </w:rPr>
        <w:t>Scoble</w:t>
      </w:r>
      <w:proofErr w:type="spellEnd"/>
      <w:r w:rsidR="006A6AEC" w:rsidRPr="006A6AEC">
        <w:rPr>
          <w:rFonts w:cs="Arial"/>
          <w:sz w:val="18"/>
          <w:szCs w:val="18"/>
        </w:rPr>
        <w:tab/>
      </w:r>
      <w:r w:rsidR="006A6AEC" w:rsidRPr="006A6AEC">
        <w:rPr>
          <w:sz w:val="18"/>
          <w:szCs w:val="18"/>
        </w:rPr>
        <w:t>Operations Manager (Development Cooperation), Australian High Commission, Pretoria</w:t>
      </w:r>
    </w:p>
    <w:p w14:paraId="5E3F0B72" w14:textId="77777777" w:rsidR="00C8139F" w:rsidRPr="006A6AEC" w:rsidRDefault="001F5542" w:rsidP="00ED0B34">
      <w:pPr>
        <w:spacing w:before="0"/>
        <w:ind w:left="3600" w:hanging="3600"/>
        <w:rPr>
          <w:rFonts w:cs="Arial"/>
          <w:sz w:val="18"/>
          <w:szCs w:val="18"/>
        </w:rPr>
      </w:pPr>
      <w:r w:rsidRPr="006A6AEC">
        <w:rPr>
          <w:rFonts w:cs="Arial"/>
          <w:sz w:val="18"/>
          <w:szCs w:val="18"/>
        </w:rPr>
        <w:t xml:space="preserve">Ms </w:t>
      </w:r>
      <w:r w:rsidR="00C8139F" w:rsidRPr="006A6AEC">
        <w:rPr>
          <w:rFonts w:cs="Arial"/>
          <w:sz w:val="18"/>
          <w:szCs w:val="18"/>
        </w:rPr>
        <w:t>Anita</w:t>
      </w:r>
      <w:r w:rsidR="006A6AEC" w:rsidRPr="006A6AEC">
        <w:rPr>
          <w:rFonts w:cs="Arial"/>
          <w:sz w:val="18"/>
          <w:szCs w:val="18"/>
        </w:rPr>
        <w:t xml:space="preserve"> Menete</w:t>
      </w:r>
      <w:r w:rsidR="006A6AEC" w:rsidRPr="006A6AEC">
        <w:rPr>
          <w:rFonts w:cs="Arial"/>
          <w:sz w:val="18"/>
          <w:szCs w:val="18"/>
        </w:rPr>
        <w:tab/>
      </w:r>
      <w:r w:rsidR="006A6AEC" w:rsidRPr="006A6AEC">
        <w:rPr>
          <w:sz w:val="18"/>
          <w:szCs w:val="18"/>
        </w:rPr>
        <w:t>Program Manager (Development Cooperation), Australian High Commission, Pretoria</w:t>
      </w:r>
    </w:p>
    <w:p w14:paraId="33A70A21" w14:textId="77777777" w:rsidR="00C8139F" w:rsidRPr="006A6AEC" w:rsidRDefault="001F5542" w:rsidP="00ED0B34">
      <w:pPr>
        <w:spacing w:before="0"/>
        <w:ind w:left="3600" w:hanging="3600"/>
        <w:rPr>
          <w:rFonts w:cs="Arial"/>
          <w:sz w:val="18"/>
          <w:szCs w:val="18"/>
        </w:rPr>
      </w:pPr>
      <w:r w:rsidRPr="006A6AEC">
        <w:rPr>
          <w:rFonts w:cs="Arial"/>
          <w:sz w:val="18"/>
          <w:szCs w:val="18"/>
        </w:rPr>
        <w:t xml:space="preserve">Ms </w:t>
      </w:r>
      <w:r w:rsidR="00C8139F" w:rsidRPr="006A6AEC">
        <w:rPr>
          <w:rFonts w:cs="Arial"/>
          <w:sz w:val="18"/>
          <w:szCs w:val="18"/>
        </w:rPr>
        <w:t>Anna</w:t>
      </w:r>
      <w:r w:rsidR="006A6AEC" w:rsidRPr="006A6AEC">
        <w:rPr>
          <w:rFonts w:cs="Arial"/>
          <w:sz w:val="18"/>
          <w:szCs w:val="18"/>
        </w:rPr>
        <w:t xml:space="preserve"> </w:t>
      </w:r>
      <w:proofErr w:type="spellStart"/>
      <w:r w:rsidR="006A6AEC" w:rsidRPr="006A6AEC">
        <w:rPr>
          <w:rFonts w:cs="Arial"/>
          <w:sz w:val="18"/>
          <w:szCs w:val="18"/>
        </w:rPr>
        <w:t>Kabalu</w:t>
      </w:r>
      <w:proofErr w:type="spellEnd"/>
      <w:r w:rsidRPr="006A6AEC">
        <w:rPr>
          <w:rFonts w:cs="Arial"/>
          <w:sz w:val="18"/>
          <w:szCs w:val="18"/>
        </w:rPr>
        <w:tab/>
      </w:r>
      <w:r w:rsidR="006A6AEC" w:rsidRPr="006A6AEC">
        <w:rPr>
          <w:sz w:val="18"/>
          <w:szCs w:val="18"/>
        </w:rPr>
        <w:t>Program Coordinator (Development Cooperation)-Awards, Australian High Commission, Pretoria</w:t>
      </w:r>
    </w:p>
    <w:p w14:paraId="2A3C552D" w14:textId="77777777" w:rsidR="001F5542" w:rsidRPr="006A6AEC" w:rsidRDefault="006A6AEC" w:rsidP="00ED0B34">
      <w:pPr>
        <w:spacing w:before="0"/>
        <w:ind w:left="3600" w:hanging="3600"/>
        <w:rPr>
          <w:rFonts w:cs="Arial"/>
          <w:sz w:val="18"/>
          <w:szCs w:val="18"/>
        </w:rPr>
      </w:pPr>
      <w:r w:rsidRPr="006A6AEC">
        <w:rPr>
          <w:sz w:val="18"/>
          <w:szCs w:val="18"/>
        </w:rPr>
        <w:t xml:space="preserve">Ms Jane </w:t>
      </w:r>
      <w:proofErr w:type="spellStart"/>
      <w:r w:rsidRPr="006A6AEC">
        <w:rPr>
          <w:sz w:val="18"/>
          <w:szCs w:val="18"/>
        </w:rPr>
        <w:t>Kabaki</w:t>
      </w:r>
      <w:proofErr w:type="spellEnd"/>
      <w:r w:rsidRPr="006A6AEC">
        <w:rPr>
          <w:sz w:val="18"/>
          <w:szCs w:val="18"/>
        </w:rPr>
        <w:tab/>
        <w:t xml:space="preserve">Program Manager (Development Cooperation)-Awards, Australian </w:t>
      </w:r>
      <w:r w:rsidR="00516325">
        <w:rPr>
          <w:sz w:val="18"/>
          <w:szCs w:val="18"/>
        </w:rPr>
        <w:t>H</w:t>
      </w:r>
      <w:r w:rsidRPr="006A6AEC">
        <w:rPr>
          <w:sz w:val="18"/>
          <w:szCs w:val="18"/>
        </w:rPr>
        <w:t>igh Commission, Pretoria</w:t>
      </w:r>
    </w:p>
    <w:p w14:paraId="679C7A3C" w14:textId="77777777" w:rsidR="00FC11B4" w:rsidRPr="00FC709A" w:rsidRDefault="00FC11B4" w:rsidP="00455992">
      <w:pPr>
        <w:pStyle w:val="annexsubheading"/>
        <w:spacing w:before="120"/>
        <w:rPr>
          <w:sz w:val="20"/>
        </w:rPr>
      </w:pPr>
      <w:proofErr w:type="spellStart"/>
      <w:r w:rsidRPr="00FC709A">
        <w:rPr>
          <w:sz w:val="20"/>
        </w:rPr>
        <w:t>AusTrade</w:t>
      </w:r>
      <w:proofErr w:type="spellEnd"/>
      <w:r w:rsidRPr="00FC709A">
        <w:rPr>
          <w:sz w:val="20"/>
        </w:rPr>
        <w:t>, Southern Africa</w:t>
      </w:r>
    </w:p>
    <w:p w14:paraId="790A364C" w14:textId="77777777" w:rsidR="00FC11B4" w:rsidRPr="006A6AEC" w:rsidRDefault="007F551E" w:rsidP="00FC11B4">
      <w:pPr>
        <w:spacing w:before="0"/>
        <w:rPr>
          <w:sz w:val="18"/>
          <w:szCs w:val="18"/>
        </w:rPr>
      </w:pPr>
      <w:r w:rsidRPr="006A6AEC">
        <w:rPr>
          <w:sz w:val="18"/>
          <w:szCs w:val="18"/>
        </w:rPr>
        <w:t>Mr Patrick Hanlon</w:t>
      </w:r>
      <w:r w:rsidRPr="006A6AEC">
        <w:rPr>
          <w:sz w:val="18"/>
          <w:szCs w:val="18"/>
        </w:rPr>
        <w:tab/>
      </w:r>
      <w:r w:rsidRPr="006A6AEC">
        <w:rPr>
          <w:sz w:val="18"/>
          <w:szCs w:val="18"/>
        </w:rPr>
        <w:tab/>
      </w:r>
      <w:r w:rsidRPr="006A6AEC">
        <w:rPr>
          <w:sz w:val="18"/>
          <w:szCs w:val="18"/>
        </w:rPr>
        <w:tab/>
      </w:r>
      <w:r w:rsidR="006A6AEC">
        <w:rPr>
          <w:sz w:val="18"/>
          <w:szCs w:val="18"/>
        </w:rPr>
        <w:tab/>
      </w:r>
      <w:r w:rsidR="006A6AEC" w:rsidRPr="006A6AEC">
        <w:rPr>
          <w:sz w:val="18"/>
          <w:szCs w:val="18"/>
        </w:rPr>
        <w:t xml:space="preserve">Assistant </w:t>
      </w:r>
      <w:r w:rsidR="00FC11B4" w:rsidRPr="006A6AEC">
        <w:rPr>
          <w:sz w:val="18"/>
          <w:szCs w:val="18"/>
        </w:rPr>
        <w:t xml:space="preserve">Trade Commissioner – Southern Africa, </w:t>
      </w:r>
      <w:proofErr w:type="spellStart"/>
      <w:r w:rsidR="00FC11B4" w:rsidRPr="006A6AEC">
        <w:rPr>
          <w:sz w:val="18"/>
          <w:szCs w:val="18"/>
        </w:rPr>
        <w:t>AusTrade</w:t>
      </w:r>
      <w:proofErr w:type="spellEnd"/>
    </w:p>
    <w:p w14:paraId="17D1EE09" w14:textId="77777777" w:rsidR="009C7197" w:rsidRDefault="007F551E" w:rsidP="00FC11B4">
      <w:pPr>
        <w:spacing w:before="0"/>
        <w:rPr>
          <w:sz w:val="18"/>
          <w:szCs w:val="18"/>
        </w:rPr>
      </w:pPr>
      <w:r w:rsidRPr="006A6AEC">
        <w:rPr>
          <w:sz w:val="18"/>
          <w:szCs w:val="18"/>
        </w:rPr>
        <w:t xml:space="preserve">Ms Elizabeth </w:t>
      </w:r>
      <w:proofErr w:type="spellStart"/>
      <w:r w:rsidRPr="006A6AEC">
        <w:rPr>
          <w:sz w:val="18"/>
          <w:szCs w:val="18"/>
        </w:rPr>
        <w:t>Dietrichsen</w:t>
      </w:r>
      <w:proofErr w:type="spellEnd"/>
      <w:r w:rsidRPr="006A6AEC">
        <w:rPr>
          <w:sz w:val="18"/>
          <w:szCs w:val="18"/>
        </w:rPr>
        <w:tab/>
      </w:r>
      <w:r w:rsidRPr="006A6AEC">
        <w:rPr>
          <w:sz w:val="18"/>
          <w:szCs w:val="18"/>
        </w:rPr>
        <w:tab/>
      </w:r>
      <w:r w:rsidR="006A6AEC">
        <w:rPr>
          <w:sz w:val="18"/>
          <w:szCs w:val="18"/>
        </w:rPr>
        <w:tab/>
      </w:r>
      <w:r w:rsidR="00FC11B4" w:rsidRPr="006A6AEC">
        <w:rPr>
          <w:sz w:val="18"/>
          <w:szCs w:val="18"/>
        </w:rPr>
        <w:t>Business Development Manager</w:t>
      </w:r>
      <w:r w:rsidR="006A6AEC" w:rsidRPr="006A6AEC">
        <w:rPr>
          <w:sz w:val="18"/>
          <w:szCs w:val="18"/>
        </w:rPr>
        <w:t>-Education</w:t>
      </w:r>
      <w:r w:rsidR="00FC11B4" w:rsidRPr="006A6AEC">
        <w:rPr>
          <w:sz w:val="18"/>
          <w:szCs w:val="18"/>
        </w:rPr>
        <w:t xml:space="preserve">, </w:t>
      </w:r>
      <w:proofErr w:type="spellStart"/>
      <w:r w:rsidR="00FC11B4" w:rsidRPr="006A6AEC">
        <w:rPr>
          <w:sz w:val="18"/>
          <w:szCs w:val="18"/>
        </w:rPr>
        <w:t>AusTrade</w:t>
      </w:r>
      <w:proofErr w:type="spellEnd"/>
    </w:p>
    <w:p w14:paraId="6BA57C73" w14:textId="77777777" w:rsidR="00FC11B4" w:rsidRPr="00FC709A" w:rsidRDefault="00FC11B4" w:rsidP="00455992">
      <w:pPr>
        <w:pStyle w:val="annexsubheading"/>
        <w:spacing w:before="120"/>
        <w:rPr>
          <w:sz w:val="20"/>
        </w:rPr>
      </w:pPr>
      <w:r w:rsidRPr="00FC709A">
        <w:rPr>
          <w:sz w:val="20"/>
        </w:rPr>
        <w:t>GRM International, Pretoria</w:t>
      </w:r>
    </w:p>
    <w:p w14:paraId="46A435EC" w14:textId="77777777" w:rsidR="00C80110" w:rsidRPr="006A6AEC" w:rsidRDefault="007F551E" w:rsidP="00F41926">
      <w:pPr>
        <w:spacing w:before="0"/>
        <w:rPr>
          <w:sz w:val="18"/>
          <w:szCs w:val="18"/>
        </w:rPr>
      </w:pPr>
      <w:r w:rsidRPr="006A6AEC">
        <w:rPr>
          <w:sz w:val="18"/>
          <w:szCs w:val="18"/>
        </w:rPr>
        <w:t xml:space="preserve">Ms Fiona </w:t>
      </w:r>
      <w:proofErr w:type="spellStart"/>
      <w:r w:rsidRPr="006A6AEC">
        <w:rPr>
          <w:sz w:val="18"/>
          <w:szCs w:val="18"/>
        </w:rPr>
        <w:t>Pako</w:t>
      </w:r>
      <w:r w:rsidR="007E3B15">
        <w:rPr>
          <w:sz w:val="18"/>
          <w:szCs w:val="18"/>
        </w:rPr>
        <w:t>a</w:t>
      </w:r>
      <w:proofErr w:type="spellEnd"/>
      <w:r w:rsidRPr="006A6AEC">
        <w:rPr>
          <w:sz w:val="18"/>
          <w:szCs w:val="18"/>
        </w:rPr>
        <w:tab/>
      </w:r>
      <w:r w:rsidRPr="006A6AEC">
        <w:rPr>
          <w:sz w:val="18"/>
          <w:szCs w:val="18"/>
        </w:rPr>
        <w:tab/>
      </w:r>
      <w:r w:rsidRPr="006A6AEC">
        <w:rPr>
          <w:sz w:val="18"/>
          <w:szCs w:val="18"/>
        </w:rPr>
        <w:tab/>
      </w:r>
      <w:r w:rsidR="006A6AEC">
        <w:rPr>
          <w:sz w:val="18"/>
          <w:szCs w:val="18"/>
        </w:rPr>
        <w:tab/>
      </w:r>
      <w:r w:rsidR="00C80110" w:rsidRPr="006A6AEC">
        <w:rPr>
          <w:sz w:val="18"/>
          <w:szCs w:val="18"/>
        </w:rPr>
        <w:t xml:space="preserve">Team Leader, </w:t>
      </w:r>
      <w:r w:rsidR="003472F3">
        <w:rPr>
          <w:sz w:val="18"/>
          <w:szCs w:val="18"/>
        </w:rPr>
        <w:t>Australia Awards</w:t>
      </w:r>
      <w:r w:rsidR="00C80110" w:rsidRPr="006A6AEC">
        <w:rPr>
          <w:sz w:val="18"/>
          <w:szCs w:val="18"/>
        </w:rPr>
        <w:t>, Pretoria, GRM International</w:t>
      </w:r>
    </w:p>
    <w:p w14:paraId="24B5792D" w14:textId="77777777" w:rsidR="00C80110" w:rsidRPr="006A6AEC" w:rsidRDefault="007F551E" w:rsidP="00F41926">
      <w:pPr>
        <w:spacing w:before="0"/>
        <w:ind w:left="3600" w:hanging="3600"/>
        <w:rPr>
          <w:sz w:val="18"/>
          <w:szCs w:val="18"/>
        </w:rPr>
      </w:pPr>
      <w:r w:rsidRPr="006A6AEC">
        <w:rPr>
          <w:sz w:val="18"/>
          <w:szCs w:val="18"/>
        </w:rPr>
        <w:t xml:space="preserve">Ms </w:t>
      </w:r>
      <w:r w:rsidR="00C80110" w:rsidRPr="006A6AEC">
        <w:rPr>
          <w:sz w:val="18"/>
          <w:szCs w:val="18"/>
        </w:rPr>
        <w:t>Tracey Johnson</w:t>
      </w:r>
      <w:r w:rsidR="00C80110" w:rsidRPr="006A6AEC">
        <w:rPr>
          <w:sz w:val="18"/>
          <w:szCs w:val="18"/>
        </w:rPr>
        <w:tab/>
        <w:t xml:space="preserve">Deputy Team Leader, </w:t>
      </w:r>
      <w:r w:rsidR="003472F3">
        <w:rPr>
          <w:sz w:val="18"/>
          <w:szCs w:val="18"/>
        </w:rPr>
        <w:t>Australia Awards</w:t>
      </w:r>
      <w:r w:rsidR="00C80110" w:rsidRPr="006A6AEC">
        <w:rPr>
          <w:sz w:val="18"/>
          <w:szCs w:val="18"/>
        </w:rPr>
        <w:t>, Pretoria, GRM International</w:t>
      </w:r>
    </w:p>
    <w:p w14:paraId="60F6700A" w14:textId="77777777" w:rsidR="00FC11B4" w:rsidRPr="00FC709A" w:rsidRDefault="00FC11B4" w:rsidP="00455992">
      <w:pPr>
        <w:pStyle w:val="annexsubheading"/>
        <w:spacing w:before="120"/>
        <w:rPr>
          <w:sz w:val="20"/>
        </w:rPr>
      </w:pPr>
      <w:r w:rsidRPr="00FC709A">
        <w:rPr>
          <w:sz w:val="20"/>
        </w:rPr>
        <w:t>CEM Pretoria</w:t>
      </w:r>
    </w:p>
    <w:p w14:paraId="69350E6A" w14:textId="77777777" w:rsidR="00807C27" w:rsidRDefault="007F551E" w:rsidP="00F41926">
      <w:pPr>
        <w:spacing w:before="0"/>
        <w:rPr>
          <w:sz w:val="18"/>
          <w:szCs w:val="18"/>
        </w:rPr>
      </w:pPr>
      <w:r w:rsidRPr="006A6AEC">
        <w:rPr>
          <w:sz w:val="18"/>
          <w:szCs w:val="18"/>
        </w:rPr>
        <w:t xml:space="preserve">Mr </w:t>
      </w:r>
      <w:r w:rsidR="00C80110" w:rsidRPr="006A6AEC">
        <w:rPr>
          <w:sz w:val="18"/>
          <w:szCs w:val="18"/>
        </w:rPr>
        <w:t>Gerome</w:t>
      </w:r>
      <w:r w:rsidRPr="006A6AEC">
        <w:rPr>
          <w:sz w:val="18"/>
          <w:szCs w:val="18"/>
        </w:rPr>
        <w:t xml:space="preserve"> Rich</w:t>
      </w:r>
      <w:r w:rsidRPr="006A6AEC">
        <w:rPr>
          <w:sz w:val="18"/>
          <w:szCs w:val="18"/>
        </w:rPr>
        <w:tab/>
      </w:r>
      <w:r w:rsidRPr="006A6AEC">
        <w:rPr>
          <w:sz w:val="18"/>
          <w:szCs w:val="18"/>
        </w:rPr>
        <w:tab/>
      </w:r>
      <w:r w:rsidRPr="006A6AEC">
        <w:rPr>
          <w:sz w:val="18"/>
          <w:szCs w:val="18"/>
        </w:rPr>
        <w:tab/>
      </w:r>
      <w:r w:rsidR="006A6AEC">
        <w:rPr>
          <w:sz w:val="18"/>
          <w:szCs w:val="18"/>
        </w:rPr>
        <w:tab/>
      </w:r>
      <w:r w:rsidR="003F1660" w:rsidRPr="006A6AEC">
        <w:rPr>
          <w:sz w:val="18"/>
          <w:szCs w:val="18"/>
        </w:rPr>
        <w:t xml:space="preserve">Facility Manager, AAPF, Pretoria, </w:t>
      </w:r>
      <w:proofErr w:type="spellStart"/>
      <w:r w:rsidR="003F1660" w:rsidRPr="006A6AEC">
        <w:rPr>
          <w:sz w:val="18"/>
          <w:szCs w:val="18"/>
        </w:rPr>
        <w:t>Cardno</w:t>
      </w:r>
      <w:proofErr w:type="spellEnd"/>
      <w:r w:rsidR="003F1660" w:rsidRPr="006A6AEC">
        <w:rPr>
          <w:sz w:val="18"/>
          <w:szCs w:val="18"/>
        </w:rPr>
        <w:t xml:space="preserve"> Emerging Markets</w:t>
      </w:r>
    </w:p>
    <w:p w14:paraId="3376F018" w14:textId="77777777" w:rsidR="007E3B15" w:rsidRDefault="007F551E" w:rsidP="00A12D78">
      <w:pPr>
        <w:spacing w:before="0"/>
        <w:ind w:left="3600" w:hanging="3600"/>
        <w:rPr>
          <w:sz w:val="18"/>
          <w:szCs w:val="18"/>
        </w:rPr>
      </w:pPr>
      <w:r w:rsidRPr="006A6AEC">
        <w:rPr>
          <w:sz w:val="18"/>
          <w:szCs w:val="18"/>
        </w:rPr>
        <w:t xml:space="preserve">Mr </w:t>
      </w:r>
      <w:r w:rsidR="003F1660" w:rsidRPr="006A6AEC">
        <w:rPr>
          <w:sz w:val="18"/>
          <w:szCs w:val="18"/>
        </w:rPr>
        <w:t xml:space="preserve">Laurent </w:t>
      </w:r>
      <w:proofErr w:type="spellStart"/>
      <w:r w:rsidR="003F1660" w:rsidRPr="006A6AEC">
        <w:rPr>
          <w:sz w:val="18"/>
          <w:szCs w:val="18"/>
        </w:rPr>
        <w:t>Coche</w:t>
      </w:r>
      <w:proofErr w:type="spellEnd"/>
      <w:r w:rsidR="003F1660" w:rsidRPr="006A6AEC">
        <w:rPr>
          <w:sz w:val="18"/>
          <w:szCs w:val="18"/>
        </w:rPr>
        <w:tab/>
      </w:r>
      <w:r w:rsidR="00C80110" w:rsidRPr="006A6AEC">
        <w:rPr>
          <w:sz w:val="18"/>
          <w:szCs w:val="18"/>
        </w:rPr>
        <w:t xml:space="preserve">Deputy Facility Manager, AAPF, Pretoria, </w:t>
      </w:r>
      <w:proofErr w:type="spellStart"/>
      <w:r w:rsidR="00C80110" w:rsidRPr="006A6AEC">
        <w:rPr>
          <w:sz w:val="18"/>
          <w:szCs w:val="18"/>
        </w:rPr>
        <w:t>Cardno</w:t>
      </w:r>
      <w:proofErr w:type="spellEnd"/>
      <w:r w:rsidR="003F1660" w:rsidRPr="006A6AEC">
        <w:rPr>
          <w:sz w:val="18"/>
          <w:szCs w:val="18"/>
        </w:rPr>
        <w:t xml:space="preserve"> Emerging Markets</w:t>
      </w:r>
      <w:r w:rsidR="007E3B15">
        <w:rPr>
          <w:sz w:val="18"/>
          <w:szCs w:val="18"/>
        </w:rPr>
        <w:br w:type="page"/>
      </w:r>
    </w:p>
    <w:p w14:paraId="74E59EA9" w14:textId="21ECF0B0" w:rsidR="007E3B15" w:rsidRPr="007E3B15" w:rsidRDefault="001C2BDA" w:rsidP="00A12D78">
      <w:pPr>
        <w:pStyle w:val="annexheading"/>
        <w:tabs>
          <w:tab w:val="left" w:pos="1701"/>
        </w:tabs>
      </w:pPr>
      <w:bookmarkStart w:id="84" w:name="_Toc401578441"/>
      <w:r>
        <w:t xml:space="preserve">Annex </w:t>
      </w:r>
      <w:r w:rsidR="00880C45">
        <w:t>J</w:t>
      </w:r>
      <w:r w:rsidR="00A12D78">
        <w:t>:</w:t>
      </w:r>
      <w:r w:rsidR="00FC709A">
        <w:t xml:space="preserve"> </w:t>
      </w:r>
      <w:r w:rsidR="007E3B15" w:rsidRPr="007E3B15">
        <w:t>List of Reference Documents</w:t>
      </w:r>
      <w:bookmarkEnd w:id="84"/>
    </w:p>
    <w:p w14:paraId="2804A059" w14:textId="77777777" w:rsidR="007E3B15" w:rsidRPr="008B3EB9" w:rsidRDefault="007E3B15" w:rsidP="003D3010">
      <w:pPr>
        <w:rPr>
          <w:b/>
          <w:lang w:val="en-NZ"/>
        </w:rPr>
      </w:pPr>
      <w:r w:rsidRPr="008B3EB9">
        <w:rPr>
          <w:b/>
          <w:lang w:val="en-NZ"/>
        </w:rPr>
        <w:t xml:space="preserve">DFAT </w:t>
      </w:r>
    </w:p>
    <w:p w14:paraId="54883FFC" w14:textId="77777777" w:rsidR="007E3B15" w:rsidRPr="007E3B15" w:rsidRDefault="007E3B15" w:rsidP="00FC709A">
      <w:pPr>
        <w:pStyle w:val="BodyText"/>
        <w:jc w:val="left"/>
        <w:rPr>
          <w:rFonts w:cs="Arial"/>
          <w:szCs w:val="20"/>
        </w:rPr>
      </w:pPr>
      <w:r w:rsidRPr="007E3B15">
        <w:rPr>
          <w:rFonts w:cs="Arial"/>
          <w:szCs w:val="20"/>
        </w:rPr>
        <w:t>AusAID (2009</w:t>
      </w:r>
      <w:r w:rsidR="00B912A7">
        <w:rPr>
          <w:rFonts w:cs="Arial"/>
          <w:szCs w:val="20"/>
        </w:rPr>
        <w:t>)</w:t>
      </w:r>
      <w:r w:rsidRPr="007E3B15">
        <w:rPr>
          <w:rFonts w:cs="Arial"/>
          <w:szCs w:val="20"/>
        </w:rPr>
        <w:t xml:space="preserve"> Development </w:t>
      </w:r>
      <w:r w:rsidR="00730865" w:rsidRPr="007E3B15">
        <w:rPr>
          <w:rFonts w:cs="Arial"/>
          <w:szCs w:val="20"/>
        </w:rPr>
        <w:t>for</w:t>
      </w:r>
      <w:r w:rsidRPr="007E3B15">
        <w:rPr>
          <w:rFonts w:cs="Arial"/>
          <w:szCs w:val="20"/>
        </w:rPr>
        <w:t xml:space="preserve"> All: Towards a Disability-Inclusive Australian Aid Program 2009</w:t>
      </w:r>
      <w:r w:rsidR="002A7736">
        <w:rPr>
          <w:rFonts w:cs="Arial"/>
          <w:szCs w:val="20"/>
        </w:rPr>
        <w:t>–2</w:t>
      </w:r>
      <w:r w:rsidRPr="007E3B15">
        <w:rPr>
          <w:rFonts w:cs="Arial"/>
          <w:szCs w:val="20"/>
        </w:rPr>
        <w:t>014</w:t>
      </w:r>
    </w:p>
    <w:p w14:paraId="0A0B9598" w14:textId="77777777" w:rsidR="007E3B15" w:rsidRPr="007E3B15" w:rsidRDefault="007E3B15" w:rsidP="00FC709A">
      <w:pPr>
        <w:pStyle w:val="BodyText"/>
        <w:jc w:val="left"/>
        <w:rPr>
          <w:rFonts w:cs="Arial"/>
          <w:szCs w:val="20"/>
        </w:rPr>
      </w:pPr>
      <w:r w:rsidRPr="007E3B15">
        <w:rPr>
          <w:rFonts w:cs="Arial"/>
          <w:szCs w:val="20"/>
        </w:rPr>
        <w:t>AusAID (2009</w:t>
      </w:r>
      <w:r w:rsidR="00B912A7">
        <w:rPr>
          <w:rFonts w:cs="Arial"/>
          <w:szCs w:val="20"/>
        </w:rPr>
        <w:t>)</w:t>
      </w:r>
      <w:r w:rsidRPr="007E3B15">
        <w:rPr>
          <w:rFonts w:cs="Arial"/>
          <w:szCs w:val="20"/>
        </w:rPr>
        <w:t xml:space="preserve"> </w:t>
      </w:r>
      <w:r w:rsidR="002F30BC">
        <w:rPr>
          <w:rFonts w:cs="Arial"/>
          <w:szCs w:val="20"/>
        </w:rPr>
        <w:t>Australia–Africa</w:t>
      </w:r>
      <w:r w:rsidRPr="007E3B15">
        <w:rPr>
          <w:rFonts w:cs="Arial"/>
          <w:szCs w:val="20"/>
        </w:rPr>
        <w:t xml:space="preserve"> Partnerships Facility</w:t>
      </w:r>
      <w:r w:rsidR="00730865">
        <w:rPr>
          <w:rFonts w:cs="Arial"/>
          <w:szCs w:val="20"/>
        </w:rPr>
        <w:t>,</w:t>
      </w:r>
      <w:r w:rsidRPr="007E3B15">
        <w:rPr>
          <w:rFonts w:cs="Arial"/>
          <w:szCs w:val="20"/>
        </w:rPr>
        <w:t xml:space="preserve"> Final Design Document</w:t>
      </w:r>
      <w:r w:rsidR="00730865">
        <w:rPr>
          <w:rFonts w:cs="Arial"/>
          <w:szCs w:val="20"/>
        </w:rPr>
        <w:t>,</w:t>
      </w:r>
      <w:r w:rsidRPr="007E3B15">
        <w:rPr>
          <w:rFonts w:cs="Arial"/>
          <w:szCs w:val="20"/>
        </w:rPr>
        <w:t xml:space="preserve"> 26 November 2009</w:t>
      </w:r>
    </w:p>
    <w:p w14:paraId="7976A309" w14:textId="77777777" w:rsidR="007E3B15" w:rsidRPr="007E3B15" w:rsidRDefault="007E3B15" w:rsidP="00FC709A">
      <w:pPr>
        <w:pStyle w:val="BodyText"/>
        <w:jc w:val="left"/>
        <w:rPr>
          <w:rFonts w:cs="Arial"/>
          <w:szCs w:val="20"/>
        </w:rPr>
      </w:pPr>
      <w:r w:rsidRPr="007E3B15">
        <w:rPr>
          <w:rFonts w:cs="Arial"/>
          <w:szCs w:val="20"/>
        </w:rPr>
        <w:t>DFAT (2010</w:t>
      </w:r>
      <w:r w:rsidR="00B912A7">
        <w:rPr>
          <w:rFonts w:cs="Arial"/>
          <w:szCs w:val="20"/>
        </w:rPr>
        <w:t>)</w:t>
      </w:r>
      <w:r w:rsidRPr="007E3B15">
        <w:rPr>
          <w:rFonts w:cs="Arial"/>
          <w:szCs w:val="20"/>
        </w:rPr>
        <w:t xml:space="preserve"> Australia’s trade with Africa and the Middle East</w:t>
      </w:r>
      <w:r w:rsidR="00730865">
        <w:rPr>
          <w:rFonts w:cs="Arial"/>
          <w:szCs w:val="20"/>
        </w:rPr>
        <w:t>,</w:t>
      </w:r>
      <w:r w:rsidRPr="007E3B15">
        <w:rPr>
          <w:rFonts w:cs="Arial"/>
          <w:szCs w:val="20"/>
        </w:rPr>
        <w:t xml:space="preserve"> 2010</w:t>
      </w:r>
    </w:p>
    <w:p w14:paraId="575980A9" w14:textId="77777777" w:rsidR="007E3B15" w:rsidRPr="007E3B15" w:rsidRDefault="007E3B15" w:rsidP="00FC709A">
      <w:pPr>
        <w:pStyle w:val="BodyText"/>
        <w:jc w:val="left"/>
        <w:rPr>
          <w:rFonts w:cs="Arial"/>
          <w:szCs w:val="20"/>
        </w:rPr>
      </w:pPr>
      <w:r w:rsidRPr="007E3B15">
        <w:rPr>
          <w:rFonts w:cs="Arial"/>
          <w:szCs w:val="20"/>
        </w:rPr>
        <w:t>AusAID (2010</w:t>
      </w:r>
      <w:r w:rsidR="00B912A7">
        <w:rPr>
          <w:rFonts w:cs="Arial"/>
          <w:szCs w:val="20"/>
        </w:rPr>
        <w:t>)</w:t>
      </w:r>
      <w:r w:rsidRPr="007E3B15">
        <w:rPr>
          <w:rFonts w:cs="Arial"/>
          <w:szCs w:val="20"/>
        </w:rPr>
        <w:t xml:space="preserve"> Australian Scholarships for Africa Program</w:t>
      </w:r>
      <w:r w:rsidR="005B3032">
        <w:rPr>
          <w:rFonts w:cs="Arial"/>
          <w:szCs w:val="20"/>
        </w:rPr>
        <w:t xml:space="preserve"> </w:t>
      </w:r>
      <w:r w:rsidRPr="007E3B15">
        <w:rPr>
          <w:rFonts w:cs="Arial"/>
          <w:szCs w:val="20"/>
        </w:rPr>
        <w:t>2010</w:t>
      </w:r>
      <w:r w:rsidR="002A7736">
        <w:rPr>
          <w:rFonts w:cs="Arial"/>
          <w:szCs w:val="20"/>
        </w:rPr>
        <w:t>–2</w:t>
      </w:r>
      <w:r w:rsidRPr="007E3B15">
        <w:rPr>
          <w:rFonts w:cs="Arial"/>
          <w:szCs w:val="20"/>
        </w:rPr>
        <w:t>015</w:t>
      </w:r>
      <w:r w:rsidR="00730865">
        <w:rPr>
          <w:rFonts w:cs="Arial"/>
          <w:szCs w:val="20"/>
        </w:rPr>
        <w:t>,</w:t>
      </w:r>
      <w:r w:rsidRPr="007E3B15">
        <w:rPr>
          <w:rFonts w:cs="Arial"/>
          <w:szCs w:val="20"/>
        </w:rPr>
        <w:t xml:space="preserve"> Design Document</w:t>
      </w:r>
      <w:r w:rsidR="00730865">
        <w:rPr>
          <w:rFonts w:cs="Arial"/>
          <w:szCs w:val="20"/>
        </w:rPr>
        <w:t>,</w:t>
      </w:r>
      <w:r w:rsidR="005B3032">
        <w:rPr>
          <w:rFonts w:cs="Arial"/>
          <w:szCs w:val="20"/>
        </w:rPr>
        <w:t xml:space="preserve"> </w:t>
      </w:r>
      <w:r w:rsidR="00730865">
        <w:rPr>
          <w:rFonts w:cs="Arial"/>
          <w:szCs w:val="20"/>
        </w:rPr>
        <w:t>February </w:t>
      </w:r>
      <w:r w:rsidRPr="007E3B15">
        <w:rPr>
          <w:rFonts w:cs="Arial"/>
          <w:szCs w:val="20"/>
        </w:rPr>
        <w:t>2010</w:t>
      </w:r>
    </w:p>
    <w:p w14:paraId="1FA9BEEB" w14:textId="77777777" w:rsidR="007E3B15" w:rsidRPr="007E3B15" w:rsidRDefault="007E3B15" w:rsidP="00FC709A">
      <w:pPr>
        <w:pStyle w:val="BodyText"/>
        <w:jc w:val="left"/>
        <w:rPr>
          <w:rFonts w:cs="Arial"/>
          <w:szCs w:val="20"/>
        </w:rPr>
      </w:pPr>
      <w:r w:rsidRPr="007E3B15">
        <w:rPr>
          <w:rFonts w:cs="Arial"/>
          <w:szCs w:val="20"/>
        </w:rPr>
        <w:t>AusAID (2010</w:t>
      </w:r>
      <w:r w:rsidR="00B912A7">
        <w:rPr>
          <w:rFonts w:cs="Arial"/>
          <w:szCs w:val="20"/>
        </w:rPr>
        <w:t>)</w:t>
      </w:r>
      <w:r w:rsidRPr="007E3B15">
        <w:rPr>
          <w:rFonts w:cs="Arial"/>
          <w:szCs w:val="20"/>
        </w:rPr>
        <w:t xml:space="preserve"> Looking West: Australia’s strategic approach to aid in Africa 2011</w:t>
      </w:r>
      <w:r w:rsidR="002A7736">
        <w:rPr>
          <w:rFonts w:cs="Arial"/>
          <w:szCs w:val="20"/>
        </w:rPr>
        <w:t>–2</w:t>
      </w:r>
      <w:r w:rsidRPr="007E3B15">
        <w:rPr>
          <w:rFonts w:cs="Arial"/>
          <w:szCs w:val="20"/>
        </w:rPr>
        <w:t>015</w:t>
      </w:r>
      <w:r w:rsidR="00730865">
        <w:rPr>
          <w:rFonts w:cs="Arial"/>
          <w:szCs w:val="20"/>
        </w:rPr>
        <w:t>, December </w:t>
      </w:r>
      <w:r w:rsidRPr="007E3B15">
        <w:rPr>
          <w:rFonts w:cs="Arial"/>
          <w:szCs w:val="20"/>
        </w:rPr>
        <w:t>2010</w:t>
      </w:r>
    </w:p>
    <w:p w14:paraId="4E0E09F3" w14:textId="77777777" w:rsidR="007E3B15" w:rsidRPr="007E3B15" w:rsidRDefault="007E3B15" w:rsidP="00FC709A">
      <w:pPr>
        <w:pStyle w:val="BodyText"/>
        <w:jc w:val="left"/>
        <w:rPr>
          <w:rFonts w:cs="Arial"/>
          <w:szCs w:val="20"/>
        </w:rPr>
      </w:pPr>
      <w:r w:rsidRPr="007E3B15">
        <w:rPr>
          <w:rFonts w:cs="Arial"/>
          <w:szCs w:val="20"/>
        </w:rPr>
        <w:t>AusAID (2011</w:t>
      </w:r>
      <w:r w:rsidR="00B912A7">
        <w:rPr>
          <w:rFonts w:cs="Arial"/>
          <w:szCs w:val="20"/>
        </w:rPr>
        <w:t>)</w:t>
      </w:r>
      <w:r w:rsidRPr="007E3B15">
        <w:rPr>
          <w:rFonts w:cs="Arial"/>
          <w:szCs w:val="20"/>
        </w:rPr>
        <w:t xml:space="preserve"> Promoting Opportunities for All: Gender equality and women’s empowerment, 2011</w:t>
      </w:r>
    </w:p>
    <w:p w14:paraId="0BA07B2F" w14:textId="77777777" w:rsidR="007E3B15" w:rsidRPr="007E3B15" w:rsidRDefault="007E3B15" w:rsidP="00FC709A">
      <w:pPr>
        <w:pStyle w:val="BodyText"/>
        <w:jc w:val="left"/>
        <w:rPr>
          <w:rFonts w:cs="Arial"/>
          <w:szCs w:val="20"/>
        </w:rPr>
      </w:pPr>
      <w:r w:rsidRPr="007E3B15">
        <w:rPr>
          <w:rFonts w:cs="Arial"/>
          <w:szCs w:val="20"/>
        </w:rPr>
        <w:t>AusAID (2012</w:t>
      </w:r>
      <w:r w:rsidR="00B912A7">
        <w:rPr>
          <w:rFonts w:cs="Arial"/>
          <w:szCs w:val="20"/>
        </w:rPr>
        <w:t>)</w:t>
      </w:r>
      <w:r w:rsidR="005B3032">
        <w:rPr>
          <w:rFonts w:cs="Arial"/>
          <w:szCs w:val="20"/>
        </w:rPr>
        <w:t xml:space="preserve"> </w:t>
      </w:r>
      <w:r w:rsidRPr="007E3B15">
        <w:rPr>
          <w:rFonts w:cs="Arial"/>
          <w:szCs w:val="20"/>
        </w:rPr>
        <w:t>Sustainable economic development</w:t>
      </w:r>
      <w:r w:rsidR="00730865">
        <w:rPr>
          <w:rFonts w:cs="Arial"/>
          <w:szCs w:val="20"/>
        </w:rPr>
        <w:t>,</w:t>
      </w:r>
      <w:r w:rsidR="005B3032">
        <w:rPr>
          <w:rFonts w:cs="Arial"/>
          <w:szCs w:val="20"/>
        </w:rPr>
        <w:t xml:space="preserve"> </w:t>
      </w:r>
      <w:r w:rsidRPr="007E3B15">
        <w:rPr>
          <w:rFonts w:cs="Arial"/>
          <w:szCs w:val="20"/>
        </w:rPr>
        <w:t>Private sector development</w:t>
      </w:r>
      <w:r w:rsidR="00730865">
        <w:rPr>
          <w:rFonts w:cs="Arial"/>
          <w:szCs w:val="20"/>
        </w:rPr>
        <w:t>,</w:t>
      </w:r>
      <w:r w:rsidRPr="007E3B15">
        <w:rPr>
          <w:rFonts w:cs="Arial"/>
          <w:szCs w:val="20"/>
        </w:rPr>
        <w:t xml:space="preserve"> </w:t>
      </w:r>
      <w:r w:rsidR="00730865" w:rsidRPr="007E3B15">
        <w:rPr>
          <w:rFonts w:cs="Arial"/>
          <w:szCs w:val="20"/>
        </w:rPr>
        <w:t>thematic</w:t>
      </w:r>
      <w:r w:rsidRPr="007E3B15">
        <w:rPr>
          <w:rFonts w:cs="Arial"/>
          <w:szCs w:val="20"/>
        </w:rPr>
        <w:t xml:space="preserve"> strategy</w:t>
      </w:r>
      <w:r w:rsidR="00730865">
        <w:rPr>
          <w:rFonts w:cs="Arial"/>
          <w:szCs w:val="20"/>
        </w:rPr>
        <w:t>,</w:t>
      </w:r>
      <w:r w:rsidRPr="007E3B15">
        <w:rPr>
          <w:rFonts w:cs="Arial"/>
          <w:szCs w:val="20"/>
        </w:rPr>
        <w:t xml:space="preserve"> August 2012</w:t>
      </w:r>
    </w:p>
    <w:p w14:paraId="26A26DA0" w14:textId="77777777" w:rsidR="007E3B15" w:rsidRPr="007E3B15" w:rsidRDefault="007E3B15" w:rsidP="00FC709A">
      <w:pPr>
        <w:pStyle w:val="BodyText"/>
        <w:jc w:val="left"/>
        <w:rPr>
          <w:rFonts w:cs="Arial"/>
          <w:szCs w:val="20"/>
        </w:rPr>
      </w:pPr>
      <w:r w:rsidRPr="007E3B15">
        <w:rPr>
          <w:rFonts w:cs="Arial"/>
          <w:szCs w:val="20"/>
        </w:rPr>
        <w:t>DFAT (2012</w:t>
      </w:r>
      <w:r w:rsidR="00B912A7">
        <w:rPr>
          <w:rFonts w:cs="Arial"/>
          <w:szCs w:val="20"/>
        </w:rPr>
        <w:t>)</w:t>
      </w:r>
      <w:r w:rsidRPr="007E3B15">
        <w:rPr>
          <w:rFonts w:cs="Arial"/>
          <w:szCs w:val="20"/>
        </w:rPr>
        <w:t xml:space="preserve"> Launch of the </w:t>
      </w:r>
      <w:r w:rsidR="002F30BC">
        <w:rPr>
          <w:rFonts w:cs="Arial"/>
          <w:szCs w:val="20"/>
        </w:rPr>
        <w:t>Australia–Africa</w:t>
      </w:r>
      <w:r w:rsidRPr="007E3B15">
        <w:rPr>
          <w:rFonts w:cs="Arial"/>
          <w:szCs w:val="20"/>
        </w:rPr>
        <w:t xml:space="preserve"> University Network http://www.dfat.gov.au/media/speeches/department/120725-</w:t>
      </w:r>
      <w:r w:rsidR="002F30BC">
        <w:rPr>
          <w:rFonts w:cs="Arial"/>
          <w:szCs w:val="20"/>
        </w:rPr>
        <w:t>Australia–Africa</w:t>
      </w:r>
      <w:r w:rsidRPr="007E3B15">
        <w:rPr>
          <w:rFonts w:cs="Arial"/>
          <w:szCs w:val="20"/>
        </w:rPr>
        <w:t>-Universities-Network.html</w:t>
      </w:r>
    </w:p>
    <w:p w14:paraId="40546BC4" w14:textId="77777777" w:rsidR="007E3B15" w:rsidRPr="007E3B15" w:rsidRDefault="007E3B15" w:rsidP="00FC709A">
      <w:pPr>
        <w:pStyle w:val="BodyText"/>
        <w:jc w:val="left"/>
        <w:rPr>
          <w:rFonts w:cs="Arial"/>
          <w:szCs w:val="20"/>
        </w:rPr>
      </w:pPr>
      <w:r w:rsidRPr="007E3B15">
        <w:rPr>
          <w:rFonts w:cs="Arial"/>
          <w:szCs w:val="20"/>
        </w:rPr>
        <w:t>AusAID (2013</w:t>
      </w:r>
      <w:r w:rsidR="00B912A7">
        <w:rPr>
          <w:rFonts w:cs="Arial"/>
          <w:szCs w:val="20"/>
        </w:rPr>
        <w:t>)</w:t>
      </w:r>
      <w:r w:rsidRPr="007E3B15">
        <w:rPr>
          <w:rFonts w:cs="Arial"/>
          <w:szCs w:val="20"/>
        </w:rPr>
        <w:t xml:space="preserve"> </w:t>
      </w:r>
      <w:r w:rsidR="002F30BC">
        <w:rPr>
          <w:rFonts w:cs="Arial"/>
          <w:szCs w:val="20"/>
        </w:rPr>
        <w:t>Australia–Africa</w:t>
      </w:r>
      <w:r w:rsidRPr="007E3B15">
        <w:rPr>
          <w:rFonts w:cs="Arial"/>
          <w:szCs w:val="20"/>
        </w:rPr>
        <w:t xml:space="preserve"> Partnership Facility</w:t>
      </w:r>
      <w:r w:rsidR="00730865">
        <w:rPr>
          <w:rFonts w:cs="Arial"/>
          <w:szCs w:val="20"/>
        </w:rPr>
        <w:t>,</w:t>
      </w:r>
      <w:r w:rsidRPr="007E3B15">
        <w:rPr>
          <w:rFonts w:cs="Arial"/>
          <w:szCs w:val="20"/>
        </w:rPr>
        <w:t xml:space="preserve"> Infrastructure Planning in Africa</w:t>
      </w:r>
    </w:p>
    <w:p w14:paraId="01B7137A" w14:textId="77777777" w:rsidR="007E3B15" w:rsidRPr="007E3B15" w:rsidRDefault="007E3B15" w:rsidP="00FC709A">
      <w:pPr>
        <w:pStyle w:val="BodyText"/>
        <w:jc w:val="left"/>
        <w:rPr>
          <w:rFonts w:cs="Arial"/>
          <w:szCs w:val="20"/>
        </w:rPr>
      </w:pPr>
      <w:r w:rsidRPr="007E3B15">
        <w:rPr>
          <w:rFonts w:cs="Arial"/>
          <w:szCs w:val="20"/>
        </w:rPr>
        <w:t>AusAID (2013</w:t>
      </w:r>
      <w:r w:rsidR="00B912A7">
        <w:rPr>
          <w:rFonts w:cs="Arial"/>
          <w:szCs w:val="20"/>
        </w:rPr>
        <w:t>)</w:t>
      </w:r>
      <w:r w:rsidRPr="007E3B15">
        <w:rPr>
          <w:rFonts w:cs="Arial"/>
          <w:szCs w:val="20"/>
        </w:rPr>
        <w:t xml:space="preserve"> Promoting Australia's national interests: Contributing to international economic growth and poverty reduction in Africa in support of Australian foreign and trade policy</w:t>
      </w:r>
      <w:r w:rsidR="00730865">
        <w:rPr>
          <w:rFonts w:cs="Arial"/>
          <w:szCs w:val="20"/>
        </w:rPr>
        <w:t>,</w:t>
      </w:r>
      <w:r w:rsidRPr="007E3B15">
        <w:rPr>
          <w:rFonts w:cs="Arial"/>
          <w:szCs w:val="20"/>
        </w:rPr>
        <w:t xml:space="preserve"> Draft</w:t>
      </w:r>
      <w:r w:rsidR="00730865">
        <w:rPr>
          <w:rFonts w:cs="Arial"/>
          <w:szCs w:val="20"/>
        </w:rPr>
        <w:t>,</w:t>
      </w:r>
      <w:r w:rsidRPr="007E3B15">
        <w:rPr>
          <w:rFonts w:cs="Arial"/>
          <w:szCs w:val="20"/>
        </w:rPr>
        <w:t xml:space="preserve"> Internal working paper</w:t>
      </w:r>
      <w:r w:rsidR="00730865">
        <w:rPr>
          <w:rFonts w:cs="Arial"/>
          <w:szCs w:val="20"/>
        </w:rPr>
        <w:t>,</w:t>
      </w:r>
      <w:r w:rsidRPr="007E3B15">
        <w:rPr>
          <w:rFonts w:cs="Arial"/>
          <w:szCs w:val="20"/>
        </w:rPr>
        <w:t xml:space="preserve"> Nov</w:t>
      </w:r>
      <w:r w:rsidR="00730865">
        <w:rPr>
          <w:rFonts w:cs="Arial"/>
          <w:szCs w:val="20"/>
        </w:rPr>
        <w:t>ember</w:t>
      </w:r>
      <w:r w:rsidRPr="007E3B15">
        <w:rPr>
          <w:rFonts w:cs="Arial"/>
          <w:szCs w:val="20"/>
        </w:rPr>
        <w:t xml:space="preserve"> 2013</w:t>
      </w:r>
    </w:p>
    <w:p w14:paraId="6772D78E" w14:textId="77777777" w:rsidR="007E3B15" w:rsidRPr="007E3B15" w:rsidRDefault="007E3B15" w:rsidP="00FC709A">
      <w:pPr>
        <w:pStyle w:val="BodyText"/>
        <w:jc w:val="left"/>
        <w:rPr>
          <w:rFonts w:cs="Arial"/>
          <w:szCs w:val="20"/>
        </w:rPr>
      </w:pPr>
      <w:r w:rsidRPr="007E3B15">
        <w:rPr>
          <w:rFonts w:cs="Arial"/>
          <w:szCs w:val="20"/>
        </w:rPr>
        <w:t>AusAID (2013</w:t>
      </w:r>
      <w:r w:rsidR="00B912A7">
        <w:rPr>
          <w:rFonts w:cs="Arial"/>
          <w:szCs w:val="20"/>
        </w:rPr>
        <w:t>)</w:t>
      </w:r>
      <w:r w:rsidRPr="007E3B15">
        <w:rPr>
          <w:rFonts w:cs="Arial"/>
          <w:szCs w:val="20"/>
        </w:rPr>
        <w:t xml:space="preserve"> Engagement with the private sector in </w:t>
      </w:r>
      <w:proofErr w:type="spellStart"/>
      <w:r w:rsidRPr="007E3B15">
        <w:rPr>
          <w:rFonts w:cs="Arial"/>
          <w:szCs w:val="20"/>
        </w:rPr>
        <w:t>AusAID’s</w:t>
      </w:r>
      <w:proofErr w:type="spellEnd"/>
      <w:r w:rsidRPr="007E3B15">
        <w:rPr>
          <w:rFonts w:cs="Arial"/>
          <w:szCs w:val="20"/>
        </w:rPr>
        <w:t xml:space="preserve"> development programs in Africa</w:t>
      </w:r>
      <w:r w:rsidR="00730865">
        <w:rPr>
          <w:rFonts w:cs="Arial"/>
          <w:szCs w:val="20"/>
        </w:rPr>
        <w:t>,</w:t>
      </w:r>
      <w:r w:rsidR="00B912A7">
        <w:rPr>
          <w:rFonts w:cs="Arial"/>
          <w:szCs w:val="20"/>
        </w:rPr>
        <w:t xml:space="preserve"> Draft</w:t>
      </w:r>
      <w:r w:rsidR="00730865">
        <w:rPr>
          <w:rFonts w:cs="Arial"/>
          <w:szCs w:val="20"/>
        </w:rPr>
        <w:t>,</w:t>
      </w:r>
      <w:r w:rsidR="00B912A7">
        <w:rPr>
          <w:rFonts w:cs="Arial"/>
          <w:szCs w:val="20"/>
        </w:rPr>
        <w:t xml:space="preserve"> </w:t>
      </w:r>
      <w:proofErr w:type="gramStart"/>
      <w:r w:rsidR="00B912A7">
        <w:rPr>
          <w:rFonts w:cs="Arial"/>
          <w:szCs w:val="20"/>
        </w:rPr>
        <w:t>Internal</w:t>
      </w:r>
      <w:proofErr w:type="gramEnd"/>
      <w:r w:rsidR="00B912A7">
        <w:rPr>
          <w:rFonts w:cs="Arial"/>
          <w:szCs w:val="20"/>
        </w:rPr>
        <w:t xml:space="preserve"> working paper</w:t>
      </w:r>
    </w:p>
    <w:p w14:paraId="3BC4512F" w14:textId="77777777" w:rsidR="007E3B15" w:rsidRPr="007E3B15" w:rsidRDefault="007E3B15" w:rsidP="00FC709A">
      <w:pPr>
        <w:pStyle w:val="BodyText"/>
        <w:jc w:val="left"/>
        <w:rPr>
          <w:rFonts w:cs="Arial"/>
          <w:szCs w:val="20"/>
        </w:rPr>
      </w:pPr>
      <w:r w:rsidRPr="007E3B15">
        <w:rPr>
          <w:rFonts w:cs="Arial"/>
          <w:szCs w:val="20"/>
        </w:rPr>
        <w:t>AusAID (2013</w:t>
      </w:r>
      <w:r w:rsidR="00B912A7">
        <w:rPr>
          <w:rFonts w:cs="Arial"/>
          <w:szCs w:val="20"/>
        </w:rPr>
        <w:t>)</w:t>
      </w:r>
      <w:r w:rsidR="005B3032">
        <w:rPr>
          <w:rFonts w:cs="Arial"/>
          <w:szCs w:val="20"/>
        </w:rPr>
        <w:t xml:space="preserve"> </w:t>
      </w:r>
      <w:r w:rsidRPr="007E3B15">
        <w:rPr>
          <w:rFonts w:cs="Arial"/>
          <w:szCs w:val="20"/>
        </w:rPr>
        <w:t>QAI 2012 for Australia Awards</w:t>
      </w:r>
      <w:r w:rsidR="00730865">
        <w:rPr>
          <w:rFonts w:cs="Arial"/>
          <w:szCs w:val="20"/>
        </w:rPr>
        <w:t>,</w:t>
      </w:r>
      <w:r w:rsidRPr="007E3B15">
        <w:rPr>
          <w:rFonts w:cs="Arial"/>
          <w:szCs w:val="20"/>
        </w:rPr>
        <w:t xml:space="preserve"> Draft Mar</w:t>
      </w:r>
      <w:r w:rsidR="00730865">
        <w:rPr>
          <w:rFonts w:cs="Arial"/>
          <w:szCs w:val="20"/>
        </w:rPr>
        <w:t>ch</w:t>
      </w:r>
      <w:r w:rsidRPr="007E3B15">
        <w:rPr>
          <w:rFonts w:cs="Arial"/>
          <w:szCs w:val="20"/>
        </w:rPr>
        <w:t xml:space="preserve"> 2013</w:t>
      </w:r>
    </w:p>
    <w:p w14:paraId="756B4672" w14:textId="77777777" w:rsidR="007E3B15" w:rsidRPr="007E3B15" w:rsidRDefault="007E3B15" w:rsidP="00FC709A">
      <w:pPr>
        <w:pStyle w:val="BodyText"/>
        <w:jc w:val="left"/>
        <w:rPr>
          <w:rFonts w:cs="Arial"/>
          <w:szCs w:val="20"/>
        </w:rPr>
      </w:pPr>
      <w:r w:rsidRPr="007E3B15">
        <w:rPr>
          <w:rFonts w:cs="Arial"/>
          <w:szCs w:val="20"/>
        </w:rPr>
        <w:t>DFAT (2014</w:t>
      </w:r>
      <w:r w:rsidR="00B912A7">
        <w:rPr>
          <w:rFonts w:cs="Arial"/>
          <w:szCs w:val="20"/>
        </w:rPr>
        <w:t>)</w:t>
      </w:r>
      <w:r w:rsidRPr="007E3B15">
        <w:rPr>
          <w:rFonts w:cs="Arial"/>
          <w:szCs w:val="20"/>
        </w:rPr>
        <w:t xml:space="preserve"> Australia Awards in Africa Investment Concept Note</w:t>
      </w:r>
    </w:p>
    <w:p w14:paraId="2F7A8378" w14:textId="77777777" w:rsidR="007E3B15" w:rsidRPr="007E3B15" w:rsidRDefault="007E3B15" w:rsidP="00FC709A">
      <w:pPr>
        <w:pStyle w:val="BodyText"/>
        <w:jc w:val="left"/>
        <w:rPr>
          <w:rFonts w:cs="Arial"/>
          <w:szCs w:val="20"/>
        </w:rPr>
      </w:pPr>
      <w:r w:rsidRPr="007E3B15">
        <w:rPr>
          <w:rFonts w:cs="Arial"/>
          <w:szCs w:val="20"/>
        </w:rPr>
        <w:t>AusAID (2011</w:t>
      </w:r>
      <w:r w:rsidR="00B912A7">
        <w:rPr>
          <w:rFonts w:cs="Arial"/>
          <w:szCs w:val="20"/>
        </w:rPr>
        <w:t>)</w:t>
      </w:r>
      <w:r w:rsidRPr="007E3B15">
        <w:rPr>
          <w:rFonts w:cs="Arial"/>
          <w:szCs w:val="20"/>
        </w:rPr>
        <w:t xml:space="preserve"> Introductory Guidance on Monitoring and Evaluation for AusAID Development Awards</w:t>
      </w:r>
      <w:r w:rsidR="00730865">
        <w:rPr>
          <w:rFonts w:cs="Arial"/>
          <w:szCs w:val="20"/>
        </w:rPr>
        <w:t>,</w:t>
      </w:r>
      <w:r w:rsidRPr="007E3B15">
        <w:rPr>
          <w:rFonts w:cs="Arial"/>
          <w:szCs w:val="20"/>
        </w:rPr>
        <w:t xml:space="preserve"> August 2011</w:t>
      </w:r>
    </w:p>
    <w:p w14:paraId="0A125668" w14:textId="77777777" w:rsidR="007E3B15" w:rsidRPr="007E3B15" w:rsidRDefault="007E3B15" w:rsidP="00FC709A">
      <w:pPr>
        <w:pStyle w:val="BodyText"/>
        <w:jc w:val="left"/>
        <w:rPr>
          <w:rFonts w:cs="Arial"/>
          <w:szCs w:val="20"/>
        </w:rPr>
      </w:pPr>
      <w:r w:rsidRPr="007E3B15">
        <w:rPr>
          <w:rFonts w:cs="Arial"/>
          <w:szCs w:val="20"/>
        </w:rPr>
        <w:t>AusAID (2012</w:t>
      </w:r>
      <w:r w:rsidR="00B912A7">
        <w:rPr>
          <w:rFonts w:cs="Arial"/>
          <w:szCs w:val="20"/>
        </w:rPr>
        <w:t>)</w:t>
      </w:r>
      <w:r w:rsidRPr="007E3B15">
        <w:rPr>
          <w:rFonts w:cs="Arial"/>
          <w:szCs w:val="20"/>
        </w:rPr>
        <w:t xml:space="preserve"> Best Practice in Australia Awards Scholarships Selections</w:t>
      </w:r>
    </w:p>
    <w:p w14:paraId="7C899604" w14:textId="77777777" w:rsidR="007E3B15" w:rsidRPr="007E3B15" w:rsidRDefault="007E3B15" w:rsidP="00FC709A">
      <w:pPr>
        <w:pStyle w:val="BodyText"/>
        <w:jc w:val="left"/>
        <w:rPr>
          <w:rFonts w:cs="Arial"/>
          <w:szCs w:val="20"/>
        </w:rPr>
      </w:pPr>
      <w:r w:rsidRPr="007E3B15">
        <w:rPr>
          <w:rFonts w:cs="Arial"/>
          <w:szCs w:val="20"/>
        </w:rPr>
        <w:t>AusAID (2012</w:t>
      </w:r>
      <w:r w:rsidR="00B912A7">
        <w:rPr>
          <w:rFonts w:cs="Arial"/>
          <w:szCs w:val="20"/>
        </w:rPr>
        <w:t>)</w:t>
      </w:r>
      <w:r w:rsidRPr="007E3B15">
        <w:rPr>
          <w:rFonts w:cs="Arial"/>
          <w:szCs w:val="20"/>
        </w:rPr>
        <w:t xml:space="preserve"> Practical guidelines for including disability in Develop</w:t>
      </w:r>
      <w:r w:rsidR="00B912A7">
        <w:rPr>
          <w:rFonts w:cs="Arial"/>
          <w:szCs w:val="20"/>
        </w:rPr>
        <w:t>ment Awards</w:t>
      </w:r>
      <w:r w:rsidR="00730865">
        <w:rPr>
          <w:rFonts w:cs="Arial"/>
          <w:szCs w:val="20"/>
        </w:rPr>
        <w:t>,</w:t>
      </w:r>
      <w:r w:rsidR="00B912A7">
        <w:rPr>
          <w:rFonts w:cs="Arial"/>
          <w:szCs w:val="20"/>
        </w:rPr>
        <w:t xml:space="preserve"> Updated April 2012</w:t>
      </w:r>
    </w:p>
    <w:p w14:paraId="454D072C" w14:textId="77777777" w:rsidR="007E3B15" w:rsidRPr="007E3B15" w:rsidRDefault="007E3B15" w:rsidP="00FC709A">
      <w:pPr>
        <w:pStyle w:val="BodyText"/>
        <w:jc w:val="left"/>
        <w:rPr>
          <w:rFonts w:cs="Arial"/>
          <w:szCs w:val="20"/>
        </w:rPr>
      </w:pPr>
      <w:r w:rsidRPr="007E3B15">
        <w:rPr>
          <w:rFonts w:cs="Arial"/>
          <w:szCs w:val="20"/>
        </w:rPr>
        <w:t>AusAID (2012</w:t>
      </w:r>
      <w:r w:rsidR="00B912A7">
        <w:rPr>
          <w:rFonts w:cs="Arial"/>
          <w:szCs w:val="20"/>
        </w:rPr>
        <w:t>)</w:t>
      </w:r>
      <w:r w:rsidRPr="007E3B15">
        <w:rPr>
          <w:rFonts w:cs="Arial"/>
          <w:szCs w:val="20"/>
        </w:rPr>
        <w:t xml:space="preserve"> AusAID Alumni Networks Implementation Plan 2012</w:t>
      </w:r>
      <w:r w:rsidR="002A7736">
        <w:rPr>
          <w:rFonts w:cs="Arial"/>
          <w:szCs w:val="20"/>
        </w:rPr>
        <w:t>–2</w:t>
      </w:r>
      <w:r w:rsidRPr="007E3B15">
        <w:rPr>
          <w:rFonts w:cs="Arial"/>
          <w:szCs w:val="20"/>
        </w:rPr>
        <w:t>014</w:t>
      </w:r>
    </w:p>
    <w:p w14:paraId="3718F63B" w14:textId="77777777" w:rsidR="007E3B15" w:rsidRPr="007E3B15" w:rsidRDefault="007E3B15" w:rsidP="00FC709A">
      <w:pPr>
        <w:pStyle w:val="BodyText"/>
        <w:jc w:val="left"/>
        <w:rPr>
          <w:rFonts w:cs="Arial"/>
          <w:szCs w:val="20"/>
        </w:rPr>
      </w:pPr>
      <w:r w:rsidRPr="007E3B15">
        <w:rPr>
          <w:rFonts w:cs="Arial"/>
          <w:szCs w:val="20"/>
        </w:rPr>
        <w:t>AusAID (2013</w:t>
      </w:r>
      <w:r w:rsidR="00B912A7">
        <w:rPr>
          <w:rFonts w:cs="Arial"/>
          <w:szCs w:val="20"/>
        </w:rPr>
        <w:t>)</w:t>
      </w:r>
      <w:r w:rsidRPr="007E3B15">
        <w:rPr>
          <w:rFonts w:cs="Arial"/>
          <w:szCs w:val="20"/>
        </w:rPr>
        <w:t xml:space="preserve"> Australia Awards Alumni Network Strategy</w:t>
      </w:r>
    </w:p>
    <w:p w14:paraId="53AB07B4" w14:textId="77777777" w:rsidR="007E3B15" w:rsidRPr="007E3B15" w:rsidRDefault="007E3B15" w:rsidP="00FC709A">
      <w:pPr>
        <w:pStyle w:val="BodyText"/>
        <w:jc w:val="left"/>
        <w:rPr>
          <w:rFonts w:cs="Arial"/>
          <w:szCs w:val="20"/>
        </w:rPr>
      </w:pPr>
      <w:r w:rsidRPr="007E3B15">
        <w:rPr>
          <w:rFonts w:cs="Arial"/>
          <w:szCs w:val="20"/>
        </w:rPr>
        <w:t>AusAID (2013</w:t>
      </w:r>
      <w:r w:rsidR="00B912A7">
        <w:rPr>
          <w:rFonts w:cs="Arial"/>
          <w:szCs w:val="20"/>
        </w:rPr>
        <w:t>)</w:t>
      </w:r>
      <w:r w:rsidRPr="007E3B15">
        <w:rPr>
          <w:rFonts w:cs="Arial"/>
          <w:szCs w:val="20"/>
        </w:rPr>
        <w:t xml:space="preserve"> Returning Home Guidebook Australia Awards Scholarships</w:t>
      </w:r>
    </w:p>
    <w:p w14:paraId="63536F29" w14:textId="77777777" w:rsidR="007E3B15" w:rsidRPr="007E3B15" w:rsidRDefault="007E3B15" w:rsidP="00FC709A">
      <w:pPr>
        <w:pStyle w:val="BodyText"/>
        <w:jc w:val="left"/>
        <w:rPr>
          <w:rFonts w:cs="Arial"/>
          <w:szCs w:val="20"/>
        </w:rPr>
      </w:pPr>
      <w:r w:rsidRPr="007E3B15">
        <w:rPr>
          <w:rFonts w:cs="Arial"/>
          <w:szCs w:val="20"/>
        </w:rPr>
        <w:t>DFAT (2014</w:t>
      </w:r>
      <w:r w:rsidR="00B912A7">
        <w:rPr>
          <w:rFonts w:cs="Arial"/>
          <w:szCs w:val="20"/>
        </w:rPr>
        <w:t>)</w:t>
      </w:r>
      <w:r w:rsidRPr="007E3B15">
        <w:rPr>
          <w:rFonts w:cs="Arial"/>
          <w:szCs w:val="20"/>
        </w:rPr>
        <w:t xml:space="preserve"> Australia Awards Scholarships Policy Handbook 2014</w:t>
      </w:r>
    </w:p>
    <w:p w14:paraId="12DC71E2" w14:textId="77777777" w:rsidR="007E3B15" w:rsidRPr="007E3B15" w:rsidRDefault="007E3B15" w:rsidP="00FC709A">
      <w:pPr>
        <w:pStyle w:val="BodyText"/>
        <w:jc w:val="left"/>
        <w:rPr>
          <w:rFonts w:cs="Arial"/>
          <w:szCs w:val="20"/>
        </w:rPr>
      </w:pPr>
      <w:r w:rsidRPr="007E3B15">
        <w:rPr>
          <w:rFonts w:cs="Arial"/>
          <w:szCs w:val="20"/>
        </w:rPr>
        <w:t>AusAID (2013</w:t>
      </w:r>
      <w:r w:rsidR="00B912A7">
        <w:rPr>
          <w:rFonts w:cs="Arial"/>
          <w:szCs w:val="20"/>
        </w:rPr>
        <w:t>)</w:t>
      </w:r>
      <w:r w:rsidRPr="007E3B15">
        <w:rPr>
          <w:rFonts w:cs="Arial"/>
          <w:szCs w:val="20"/>
        </w:rPr>
        <w:t xml:space="preserve"> AusAID Monitoring and Evaluation Standards</w:t>
      </w:r>
    </w:p>
    <w:p w14:paraId="2E09937D" w14:textId="77777777" w:rsidR="007E3B15" w:rsidRPr="007E3B15" w:rsidRDefault="007E3B15" w:rsidP="00FC709A">
      <w:pPr>
        <w:pStyle w:val="BodyText"/>
        <w:jc w:val="left"/>
        <w:rPr>
          <w:rFonts w:cs="Arial"/>
          <w:szCs w:val="20"/>
        </w:rPr>
      </w:pPr>
      <w:r w:rsidRPr="007E3B15">
        <w:rPr>
          <w:rFonts w:cs="Arial"/>
          <w:szCs w:val="20"/>
        </w:rPr>
        <w:t>AusAID (2013</w:t>
      </w:r>
      <w:r w:rsidR="00B912A7">
        <w:rPr>
          <w:rFonts w:cs="Arial"/>
          <w:szCs w:val="20"/>
        </w:rPr>
        <w:t>)</w:t>
      </w:r>
      <w:r w:rsidRPr="007E3B15">
        <w:rPr>
          <w:rFonts w:cs="Arial"/>
          <w:szCs w:val="20"/>
        </w:rPr>
        <w:t xml:space="preserve"> Integrating Gender Equality into Investment Development</w:t>
      </w:r>
    </w:p>
    <w:p w14:paraId="406BF894" w14:textId="77777777" w:rsidR="007E3B15" w:rsidRPr="007E3B15" w:rsidRDefault="007E3B15" w:rsidP="00FC709A">
      <w:pPr>
        <w:pStyle w:val="BodyText"/>
        <w:jc w:val="left"/>
        <w:rPr>
          <w:rFonts w:cs="Arial"/>
          <w:szCs w:val="20"/>
        </w:rPr>
      </w:pPr>
      <w:r w:rsidRPr="007E3B15">
        <w:rPr>
          <w:rFonts w:cs="Arial"/>
          <w:szCs w:val="20"/>
        </w:rPr>
        <w:t>AusAID (2012</w:t>
      </w:r>
      <w:r w:rsidR="00B912A7">
        <w:rPr>
          <w:rFonts w:cs="Arial"/>
          <w:szCs w:val="20"/>
        </w:rPr>
        <w:t>)</w:t>
      </w:r>
      <w:r w:rsidRPr="007E3B15">
        <w:rPr>
          <w:rFonts w:cs="Arial"/>
          <w:szCs w:val="20"/>
        </w:rPr>
        <w:t xml:space="preserve"> T-Investment Design Template</w:t>
      </w:r>
    </w:p>
    <w:p w14:paraId="092C1B43" w14:textId="77777777" w:rsidR="007E3B15" w:rsidRPr="007E3B15" w:rsidRDefault="007E3B15" w:rsidP="00FC709A">
      <w:pPr>
        <w:pStyle w:val="BodyText"/>
        <w:jc w:val="left"/>
        <w:rPr>
          <w:rFonts w:cs="Arial"/>
          <w:szCs w:val="20"/>
        </w:rPr>
      </w:pPr>
      <w:r w:rsidRPr="007E3B15">
        <w:rPr>
          <w:rFonts w:cs="Arial"/>
          <w:szCs w:val="20"/>
        </w:rPr>
        <w:t>AusAID (2013</w:t>
      </w:r>
      <w:r w:rsidR="00B912A7">
        <w:rPr>
          <w:rFonts w:cs="Arial"/>
          <w:szCs w:val="20"/>
        </w:rPr>
        <w:t>)</w:t>
      </w:r>
      <w:r w:rsidRPr="007E3B15">
        <w:rPr>
          <w:rFonts w:cs="Arial"/>
          <w:szCs w:val="20"/>
        </w:rPr>
        <w:t xml:space="preserve"> Child Protection Policy</w:t>
      </w:r>
      <w:r w:rsidR="00730865">
        <w:rPr>
          <w:rFonts w:cs="Arial"/>
          <w:szCs w:val="20"/>
        </w:rPr>
        <w:t>,</w:t>
      </w:r>
      <w:r w:rsidRPr="007E3B15">
        <w:rPr>
          <w:rFonts w:cs="Arial"/>
          <w:szCs w:val="20"/>
        </w:rPr>
        <w:t xml:space="preserve"> Downloaded from the AusAID website at: </w:t>
      </w:r>
      <w:hyperlink r:id="rId62" w:history="1">
        <w:r w:rsidRPr="007E3B15">
          <w:rPr>
            <w:rFonts w:cs="Arial"/>
            <w:szCs w:val="20"/>
          </w:rPr>
          <w:t>http://www.ausaid.gov.au/Publications/Pages/child-protection-policy.aspx?utm_source=Devpolicy&amp;utm_campaign=405de8dc62-RSS_DAILY_EMAIL&amp;utm_medium=email</w:t>
        </w:r>
      </w:hyperlink>
    </w:p>
    <w:p w14:paraId="7C1E967A" w14:textId="77777777" w:rsidR="007E3B15" w:rsidRPr="00CD7BA3" w:rsidRDefault="007E3B15" w:rsidP="003D3010">
      <w:pPr>
        <w:pStyle w:val="ColorfulList-Accent11"/>
        <w:numPr>
          <w:ilvl w:val="0"/>
          <w:numId w:val="0"/>
        </w:numPr>
        <w:spacing w:before="240"/>
        <w:ind w:left="306" w:hanging="306"/>
        <w:rPr>
          <w:b/>
        </w:rPr>
      </w:pPr>
      <w:r w:rsidRPr="00CD7BA3">
        <w:rPr>
          <w:b/>
        </w:rPr>
        <w:t>Other</w:t>
      </w:r>
    </w:p>
    <w:p w14:paraId="3C7FCEEA" w14:textId="77777777" w:rsidR="007E3B15" w:rsidRPr="007E3B15" w:rsidRDefault="007E3B15" w:rsidP="00FC709A">
      <w:pPr>
        <w:pStyle w:val="BodyText"/>
        <w:jc w:val="left"/>
        <w:rPr>
          <w:rFonts w:cs="Arial"/>
          <w:szCs w:val="20"/>
        </w:rPr>
      </w:pPr>
      <w:r w:rsidRPr="007E3B15">
        <w:rPr>
          <w:rFonts w:cs="Arial"/>
          <w:szCs w:val="20"/>
        </w:rPr>
        <w:t>Africa Enterprise Challenge Fund (2015</w:t>
      </w:r>
      <w:r w:rsidR="00B912A7">
        <w:rPr>
          <w:rFonts w:cs="Arial"/>
          <w:szCs w:val="20"/>
        </w:rPr>
        <w:t>)</w:t>
      </w:r>
      <w:r w:rsidR="005B3032">
        <w:rPr>
          <w:rFonts w:cs="Arial"/>
          <w:szCs w:val="20"/>
        </w:rPr>
        <w:t xml:space="preserve"> </w:t>
      </w:r>
      <w:r w:rsidRPr="007E3B15">
        <w:rPr>
          <w:rFonts w:cs="Arial"/>
          <w:szCs w:val="20"/>
        </w:rPr>
        <w:t>AECF Medium-term Strategic View (2015</w:t>
      </w:r>
      <w:r w:rsidR="002A7736">
        <w:rPr>
          <w:rFonts w:cs="Arial"/>
          <w:szCs w:val="20"/>
        </w:rPr>
        <w:t>–2</w:t>
      </w:r>
      <w:r w:rsidRPr="007E3B15">
        <w:rPr>
          <w:rFonts w:cs="Arial"/>
          <w:szCs w:val="20"/>
        </w:rPr>
        <w:t>022)</w:t>
      </w:r>
    </w:p>
    <w:p w14:paraId="0E31C5F2" w14:textId="77777777" w:rsidR="007E3B15" w:rsidRPr="007E3B15" w:rsidRDefault="007E3B15" w:rsidP="00FC709A">
      <w:pPr>
        <w:pStyle w:val="BodyText"/>
        <w:jc w:val="left"/>
        <w:rPr>
          <w:rFonts w:cs="Arial"/>
          <w:szCs w:val="20"/>
        </w:rPr>
      </w:pPr>
      <w:r w:rsidRPr="007E3B15">
        <w:rPr>
          <w:rFonts w:cs="Arial"/>
          <w:szCs w:val="20"/>
        </w:rPr>
        <w:t>African Development Bank Group</w:t>
      </w:r>
      <w:r w:rsidR="00730865">
        <w:rPr>
          <w:rFonts w:cs="Arial"/>
          <w:szCs w:val="20"/>
        </w:rPr>
        <w:t>,</w:t>
      </w:r>
      <w:r w:rsidRPr="007E3B15">
        <w:rPr>
          <w:rFonts w:cs="Arial"/>
          <w:szCs w:val="20"/>
        </w:rPr>
        <w:t xml:space="preserve"> (2008</w:t>
      </w:r>
      <w:r w:rsidR="00B912A7">
        <w:rPr>
          <w:rFonts w:cs="Arial"/>
          <w:szCs w:val="20"/>
        </w:rPr>
        <w:t>)</w:t>
      </w:r>
      <w:r w:rsidRPr="007E3B15">
        <w:rPr>
          <w:rFonts w:cs="Arial"/>
          <w:szCs w:val="20"/>
        </w:rPr>
        <w:t xml:space="preserve"> </w:t>
      </w:r>
      <w:r w:rsidR="00C929E7">
        <w:rPr>
          <w:rFonts w:cs="Arial"/>
          <w:szCs w:val="20"/>
        </w:rPr>
        <w:t>Strategy for Higher Education, Science and Technology</w:t>
      </w:r>
    </w:p>
    <w:p w14:paraId="26838DB6" w14:textId="77777777" w:rsidR="007E3B15" w:rsidRPr="007E3B15" w:rsidRDefault="007E3B15" w:rsidP="00FC709A">
      <w:pPr>
        <w:pStyle w:val="BodyText"/>
        <w:jc w:val="left"/>
        <w:rPr>
          <w:rFonts w:cs="Arial"/>
          <w:szCs w:val="20"/>
        </w:rPr>
      </w:pPr>
      <w:r w:rsidRPr="007E3B15">
        <w:rPr>
          <w:rFonts w:cs="Arial"/>
          <w:szCs w:val="20"/>
        </w:rPr>
        <w:t>African Mineral Skills Initiative (2013</w:t>
      </w:r>
      <w:r w:rsidR="00B912A7">
        <w:rPr>
          <w:rFonts w:cs="Arial"/>
          <w:szCs w:val="20"/>
        </w:rPr>
        <w:t>)</w:t>
      </w:r>
      <w:r w:rsidRPr="007E3B15">
        <w:rPr>
          <w:rFonts w:cs="Arial"/>
          <w:szCs w:val="20"/>
        </w:rPr>
        <w:t xml:space="preserve"> AMSI Business Plan</w:t>
      </w:r>
    </w:p>
    <w:p w14:paraId="1FE04CD2" w14:textId="77777777" w:rsidR="007E3B15" w:rsidRPr="007E3B15" w:rsidRDefault="007E3B15" w:rsidP="00FC709A">
      <w:pPr>
        <w:pStyle w:val="BodyText"/>
        <w:jc w:val="left"/>
        <w:rPr>
          <w:rFonts w:cs="Arial"/>
          <w:szCs w:val="20"/>
        </w:rPr>
      </w:pPr>
      <w:r w:rsidRPr="007E3B15">
        <w:rPr>
          <w:rFonts w:cs="Arial"/>
          <w:szCs w:val="20"/>
        </w:rPr>
        <w:t>ANAO (2011</w:t>
      </w:r>
      <w:r w:rsidR="00B912A7">
        <w:rPr>
          <w:rFonts w:cs="Arial"/>
          <w:szCs w:val="20"/>
        </w:rPr>
        <w:t>)</w:t>
      </w:r>
      <w:r w:rsidRPr="007E3B15">
        <w:rPr>
          <w:rFonts w:cs="Arial"/>
          <w:szCs w:val="20"/>
        </w:rPr>
        <w:t xml:space="preserve"> AusAID Management of Tertiary Training Assistance, ANAO Report No</w:t>
      </w:r>
      <w:r w:rsidR="00730865">
        <w:rPr>
          <w:rFonts w:cs="Arial"/>
          <w:szCs w:val="20"/>
        </w:rPr>
        <w:t>.</w:t>
      </w:r>
      <w:r w:rsidRPr="007E3B15">
        <w:rPr>
          <w:rFonts w:cs="Arial"/>
          <w:szCs w:val="20"/>
        </w:rPr>
        <w:t xml:space="preserve"> 44 (2011)</w:t>
      </w:r>
    </w:p>
    <w:p w14:paraId="7AEFD5A0" w14:textId="77777777" w:rsidR="007E3B15" w:rsidRPr="007E3B15" w:rsidRDefault="007E3B15" w:rsidP="00FC709A">
      <w:pPr>
        <w:pStyle w:val="BodyText"/>
        <w:jc w:val="left"/>
        <w:rPr>
          <w:rFonts w:cs="Arial"/>
          <w:szCs w:val="20"/>
        </w:rPr>
      </w:pPr>
      <w:proofErr w:type="spellStart"/>
      <w:r w:rsidRPr="007E3B15">
        <w:rPr>
          <w:rFonts w:cs="Arial"/>
          <w:szCs w:val="20"/>
        </w:rPr>
        <w:t>Bysouth</w:t>
      </w:r>
      <w:proofErr w:type="spellEnd"/>
      <w:r w:rsidRPr="007E3B15">
        <w:rPr>
          <w:rFonts w:cs="Arial"/>
          <w:szCs w:val="20"/>
        </w:rPr>
        <w:t xml:space="preserve"> (2012</w:t>
      </w:r>
      <w:r w:rsidR="00B912A7">
        <w:rPr>
          <w:rFonts w:cs="Arial"/>
          <w:szCs w:val="20"/>
        </w:rPr>
        <w:t>)</w:t>
      </w:r>
      <w:r w:rsidRPr="007E3B15">
        <w:rPr>
          <w:rFonts w:cs="Arial"/>
          <w:szCs w:val="20"/>
        </w:rPr>
        <w:t xml:space="preserve"> Outcomes Evaluation In-Africa Australian Development Scholarships Program</w:t>
      </w:r>
      <w:r w:rsidR="00730865">
        <w:rPr>
          <w:rFonts w:cs="Arial"/>
          <w:szCs w:val="20"/>
        </w:rPr>
        <w:t>,</w:t>
      </w:r>
      <w:r w:rsidR="005B3032">
        <w:rPr>
          <w:rFonts w:cs="Arial"/>
          <w:szCs w:val="20"/>
        </w:rPr>
        <w:t xml:space="preserve"> </w:t>
      </w:r>
      <w:r w:rsidRPr="007E3B15">
        <w:rPr>
          <w:rFonts w:cs="Arial"/>
          <w:szCs w:val="20"/>
        </w:rPr>
        <w:t xml:space="preserve">Kaye </w:t>
      </w:r>
      <w:proofErr w:type="spellStart"/>
      <w:r w:rsidRPr="007E3B15">
        <w:rPr>
          <w:rFonts w:cs="Arial"/>
          <w:szCs w:val="20"/>
        </w:rPr>
        <w:t>Bysouth</w:t>
      </w:r>
      <w:proofErr w:type="spellEnd"/>
      <w:r w:rsidR="00730865">
        <w:rPr>
          <w:rFonts w:cs="Arial"/>
          <w:szCs w:val="20"/>
        </w:rPr>
        <w:t>,</w:t>
      </w:r>
      <w:r w:rsidR="005B3032">
        <w:rPr>
          <w:rFonts w:cs="Arial"/>
          <w:szCs w:val="20"/>
        </w:rPr>
        <w:t xml:space="preserve"> </w:t>
      </w:r>
      <w:r w:rsidRPr="007E3B15">
        <w:rPr>
          <w:rFonts w:cs="Arial"/>
          <w:szCs w:val="20"/>
        </w:rPr>
        <w:t>(June 2012)</w:t>
      </w:r>
    </w:p>
    <w:p w14:paraId="5DE343F3" w14:textId="77777777" w:rsidR="007E3B15" w:rsidRPr="007E3B15" w:rsidRDefault="007E3B15" w:rsidP="00FC709A">
      <w:pPr>
        <w:pStyle w:val="BodyText"/>
        <w:jc w:val="left"/>
        <w:rPr>
          <w:rFonts w:cs="Arial"/>
          <w:szCs w:val="20"/>
        </w:rPr>
      </w:pPr>
      <w:r w:rsidRPr="007E3B15">
        <w:rPr>
          <w:rFonts w:cs="Arial"/>
          <w:szCs w:val="20"/>
        </w:rPr>
        <w:t>Canadian Council for International Co-operation (2013</w:t>
      </w:r>
      <w:r w:rsidR="00B912A7">
        <w:rPr>
          <w:rFonts w:cs="Arial"/>
          <w:szCs w:val="20"/>
        </w:rPr>
        <w:t>)</w:t>
      </w:r>
      <w:r w:rsidR="005B3032">
        <w:rPr>
          <w:rFonts w:cs="Arial"/>
          <w:szCs w:val="20"/>
        </w:rPr>
        <w:t xml:space="preserve"> </w:t>
      </w:r>
      <w:r w:rsidRPr="007E3B15">
        <w:rPr>
          <w:rFonts w:cs="Arial"/>
          <w:szCs w:val="20"/>
        </w:rPr>
        <w:t>Investing in the Business of Development</w:t>
      </w:r>
      <w:r w:rsidR="00730865">
        <w:rPr>
          <w:rFonts w:cs="Arial"/>
          <w:szCs w:val="20"/>
        </w:rPr>
        <w:t>,</w:t>
      </w:r>
      <w:r w:rsidRPr="007E3B15">
        <w:rPr>
          <w:rFonts w:cs="Arial"/>
          <w:szCs w:val="20"/>
        </w:rPr>
        <w:t xml:space="preserve"> Bilateral donor approaches to engaging the private sector</w:t>
      </w:r>
    </w:p>
    <w:p w14:paraId="72B29F9C" w14:textId="77777777" w:rsidR="007E3B15" w:rsidRPr="007E3B15" w:rsidRDefault="007E3B15" w:rsidP="00FC709A">
      <w:pPr>
        <w:pStyle w:val="BodyText"/>
        <w:jc w:val="left"/>
        <w:rPr>
          <w:rFonts w:cs="Arial"/>
          <w:szCs w:val="20"/>
        </w:rPr>
      </w:pPr>
      <w:r w:rsidRPr="007E3B15">
        <w:rPr>
          <w:rFonts w:cs="Arial"/>
          <w:szCs w:val="20"/>
        </w:rPr>
        <w:t>Deloitte (2014</w:t>
      </w:r>
      <w:r w:rsidR="00B912A7">
        <w:rPr>
          <w:rFonts w:cs="Arial"/>
          <w:szCs w:val="20"/>
        </w:rPr>
        <w:t>)</w:t>
      </w:r>
      <w:r w:rsidRPr="007E3B15">
        <w:rPr>
          <w:rFonts w:cs="Arial"/>
          <w:szCs w:val="20"/>
        </w:rPr>
        <w:t xml:space="preserve"> Addressing the skills gap in Africa</w:t>
      </w:r>
      <w:r w:rsidR="00730865">
        <w:rPr>
          <w:rFonts w:cs="Arial"/>
          <w:szCs w:val="20"/>
        </w:rPr>
        <w:t>,</w:t>
      </w:r>
      <w:r w:rsidRPr="007E3B15">
        <w:rPr>
          <w:rFonts w:cs="Arial"/>
          <w:szCs w:val="20"/>
        </w:rPr>
        <w:t xml:space="preserve"> </w:t>
      </w:r>
      <w:r w:rsidR="00730865" w:rsidRPr="007E3B15">
        <w:rPr>
          <w:rFonts w:cs="Arial"/>
          <w:szCs w:val="20"/>
        </w:rPr>
        <w:t xml:space="preserve">available </w:t>
      </w:r>
      <w:r w:rsidRPr="007E3B15">
        <w:rPr>
          <w:rFonts w:cs="Arial"/>
          <w:szCs w:val="20"/>
        </w:rPr>
        <w:t xml:space="preserve">at http://www.deloitte.com/assets/Dcom-SouthAfrica/Local%20Assets/Documents/Addressing%20the%20skills%20gap%20in%20Africa%206%20October%202011.pdf </w:t>
      </w:r>
    </w:p>
    <w:p w14:paraId="49A217CF" w14:textId="77777777" w:rsidR="007E3B15" w:rsidRPr="007E3B15" w:rsidRDefault="007E3B15" w:rsidP="00FC709A">
      <w:pPr>
        <w:pStyle w:val="BodyText"/>
        <w:jc w:val="left"/>
        <w:rPr>
          <w:rFonts w:cs="Arial"/>
          <w:szCs w:val="20"/>
        </w:rPr>
      </w:pPr>
      <w:r w:rsidRPr="007E3B15">
        <w:rPr>
          <w:rFonts w:cs="Arial"/>
          <w:szCs w:val="20"/>
        </w:rPr>
        <w:t>GRM International (2013</w:t>
      </w:r>
      <w:r w:rsidR="00B912A7">
        <w:rPr>
          <w:rFonts w:cs="Arial"/>
          <w:szCs w:val="20"/>
        </w:rPr>
        <w:t>)</w:t>
      </w:r>
      <w:r w:rsidRPr="007E3B15">
        <w:rPr>
          <w:rFonts w:cs="Arial"/>
          <w:szCs w:val="20"/>
        </w:rPr>
        <w:t xml:space="preserve"> Australia Awards Annual Plan</w:t>
      </w:r>
      <w:r w:rsidR="00730865">
        <w:rPr>
          <w:rFonts w:cs="Arial"/>
          <w:szCs w:val="20"/>
        </w:rPr>
        <w:t>,</w:t>
      </w:r>
      <w:r w:rsidRPr="007E3B15">
        <w:rPr>
          <w:rFonts w:cs="Arial"/>
          <w:szCs w:val="20"/>
        </w:rPr>
        <w:t xml:space="preserve"> 1 October 2013 – 31 December 2014</w:t>
      </w:r>
    </w:p>
    <w:p w14:paraId="6A784F04" w14:textId="77777777" w:rsidR="007E3B15" w:rsidRPr="007E3B15" w:rsidRDefault="007E3B15" w:rsidP="00FC709A">
      <w:pPr>
        <w:pStyle w:val="BodyText"/>
        <w:jc w:val="left"/>
        <w:rPr>
          <w:rFonts w:cs="Arial"/>
          <w:szCs w:val="20"/>
        </w:rPr>
      </w:pPr>
      <w:r w:rsidRPr="007E3B15">
        <w:rPr>
          <w:rFonts w:cs="Arial"/>
          <w:szCs w:val="20"/>
        </w:rPr>
        <w:t>GRM International (2013</w:t>
      </w:r>
      <w:r w:rsidR="00B912A7">
        <w:rPr>
          <w:rFonts w:cs="Arial"/>
          <w:szCs w:val="20"/>
        </w:rPr>
        <w:t>)</w:t>
      </w:r>
      <w:r w:rsidRPr="007E3B15">
        <w:rPr>
          <w:rFonts w:cs="Arial"/>
          <w:szCs w:val="20"/>
        </w:rPr>
        <w:t xml:space="preserve"> Summary of Provider Reports: Africa Fellowship 2013 Course 1 Delivery Cycle</w:t>
      </w:r>
      <w:r w:rsidR="00730865">
        <w:rPr>
          <w:rFonts w:cs="Arial"/>
          <w:szCs w:val="20"/>
        </w:rPr>
        <w:t>,</w:t>
      </w:r>
      <w:r w:rsidRPr="007E3B15">
        <w:rPr>
          <w:rFonts w:cs="Arial"/>
          <w:szCs w:val="20"/>
        </w:rPr>
        <w:t xml:space="preserve"> November 2013</w:t>
      </w:r>
    </w:p>
    <w:p w14:paraId="247C3F18" w14:textId="77777777" w:rsidR="007E3B15" w:rsidRPr="007E3B15" w:rsidRDefault="007E3B15" w:rsidP="00FC709A">
      <w:pPr>
        <w:pStyle w:val="BodyText"/>
        <w:jc w:val="left"/>
        <w:rPr>
          <w:rFonts w:cs="Arial"/>
          <w:szCs w:val="20"/>
        </w:rPr>
      </w:pPr>
      <w:r w:rsidRPr="007E3B15">
        <w:rPr>
          <w:rFonts w:cs="Arial"/>
          <w:szCs w:val="20"/>
        </w:rPr>
        <w:t>GRM International (2013</w:t>
      </w:r>
      <w:r w:rsidR="00B912A7">
        <w:rPr>
          <w:rFonts w:cs="Arial"/>
          <w:szCs w:val="20"/>
        </w:rPr>
        <w:t>)</w:t>
      </w:r>
      <w:r w:rsidRPr="007E3B15">
        <w:rPr>
          <w:rFonts w:cs="Arial"/>
          <w:szCs w:val="20"/>
        </w:rPr>
        <w:t xml:space="preserve"> Review of short course delivery in Africa</w:t>
      </w:r>
    </w:p>
    <w:p w14:paraId="4D8D521C" w14:textId="77777777" w:rsidR="007E3B15" w:rsidRPr="007E3B15" w:rsidRDefault="007E3B15" w:rsidP="00FC709A">
      <w:pPr>
        <w:pStyle w:val="BodyText"/>
        <w:jc w:val="left"/>
        <w:rPr>
          <w:rFonts w:cs="Arial"/>
          <w:szCs w:val="20"/>
        </w:rPr>
      </w:pPr>
      <w:r w:rsidRPr="007E3B15">
        <w:rPr>
          <w:rFonts w:cs="Arial"/>
          <w:szCs w:val="20"/>
        </w:rPr>
        <w:t>IMF (2012</w:t>
      </w:r>
      <w:r w:rsidR="00B912A7">
        <w:rPr>
          <w:rFonts w:cs="Arial"/>
          <w:szCs w:val="20"/>
        </w:rPr>
        <w:t>)</w:t>
      </w:r>
      <w:r w:rsidRPr="007E3B15">
        <w:rPr>
          <w:rFonts w:cs="Arial"/>
          <w:szCs w:val="20"/>
        </w:rPr>
        <w:t xml:space="preserve"> Regional economic outlook</w:t>
      </w:r>
      <w:r w:rsidR="00730865">
        <w:rPr>
          <w:rFonts w:cs="Arial"/>
          <w:szCs w:val="20"/>
        </w:rPr>
        <w:t>,</w:t>
      </w:r>
      <w:r w:rsidRPr="007E3B15">
        <w:rPr>
          <w:rFonts w:cs="Arial"/>
          <w:szCs w:val="20"/>
        </w:rPr>
        <w:t xml:space="preserve"> Sub-Saharan Africa- Maintaining Growth in an Uncertain World</w:t>
      </w:r>
      <w:r w:rsidR="00730865">
        <w:rPr>
          <w:rFonts w:cs="Arial"/>
          <w:szCs w:val="20"/>
        </w:rPr>
        <w:t>,</w:t>
      </w:r>
      <w:r w:rsidRPr="007E3B15">
        <w:rPr>
          <w:rFonts w:cs="Arial"/>
          <w:szCs w:val="20"/>
        </w:rPr>
        <w:t xml:space="preserve"> Oct</w:t>
      </w:r>
      <w:r w:rsidR="00730865">
        <w:rPr>
          <w:rFonts w:cs="Arial"/>
          <w:szCs w:val="20"/>
        </w:rPr>
        <w:t>ober</w:t>
      </w:r>
      <w:r w:rsidRPr="007E3B15">
        <w:rPr>
          <w:rFonts w:cs="Arial"/>
          <w:szCs w:val="20"/>
        </w:rPr>
        <w:t xml:space="preserve"> 12</w:t>
      </w:r>
    </w:p>
    <w:p w14:paraId="4193E692" w14:textId="77777777" w:rsidR="007E3B15" w:rsidRPr="004E4D1C" w:rsidRDefault="007E3B15" w:rsidP="00FC709A">
      <w:pPr>
        <w:pStyle w:val="BodyText"/>
        <w:jc w:val="left"/>
        <w:rPr>
          <w:rFonts w:cs="Arial"/>
          <w:szCs w:val="20"/>
        </w:rPr>
      </w:pPr>
      <w:proofErr w:type="spellStart"/>
      <w:r w:rsidRPr="007E3B15">
        <w:rPr>
          <w:rFonts w:cs="Arial"/>
          <w:szCs w:val="20"/>
        </w:rPr>
        <w:t>Negin</w:t>
      </w:r>
      <w:proofErr w:type="spellEnd"/>
      <w:r w:rsidRPr="007E3B15">
        <w:rPr>
          <w:rFonts w:cs="Arial"/>
          <w:szCs w:val="20"/>
        </w:rPr>
        <w:t xml:space="preserve"> (2011</w:t>
      </w:r>
      <w:r w:rsidR="00B912A7">
        <w:rPr>
          <w:rFonts w:cs="Arial"/>
          <w:szCs w:val="20"/>
        </w:rPr>
        <w:t>)</w:t>
      </w:r>
      <w:r w:rsidRPr="007E3B15">
        <w:rPr>
          <w:rFonts w:cs="Arial"/>
          <w:szCs w:val="20"/>
        </w:rPr>
        <w:t xml:space="preserve"> Study of Australia’s approach to aid in Africa</w:t>
      </w:r>
      <w:r w:rsidR="00730865">
        <w:rPr>
          <w:rFonts w:cs="Arial"/>
          <w:szCs w:val="20"/>
        </w:rPr>
        <w:t>,</w:t>
      </w:r>
      <w:r w:rsidRPr="007E3B15">
        <w:rPr>
          <w:rFonts w:cs="Arial"/>
          <w:szCs w:val="20"/>
        </w:rPr>
        <w:t xml:space="preserve"> Commissioned study as part of the Independent Review of Aid Effectiveness</w:t>
      </w:r>
      <w:r w:rsidR="00730865">
        <w:rPr>
          <w:rFonts w:cs="Arial"/>
          <w:szCs w:val="20"/>
        </w:rPr>
        <w:t>,</w:t>
      </w:r>
      <w:r w:rsidRPr="007E3B15">
        <w:rPr>
          <w:rFonts w:cs="Arial"/>
          <w:szCs w:val="20"/>
        </w:rPr>
        <w:t xml:space="preserve"> Joel </w:t>
      </w:r>
      <w:proofErr w:type="spellStart"/>
      <w:r w:rsidRPr="007E3B15">
        <w:rPr>
          <w:rFonts w:cs="Arial"/>
          <w:szCs w:val="20"/>
        </w:rPr>
        <w:t>Negin</w:t>
      </w:r>
      <w:proofErr w:type="spellEnd"/>
      <w:r w:rsidRPr="007E3B15">
        <w:rPr>
          <w:rFonts w:cs="Arial"/>
          <w:szCs w:val="20"/>
        </w:rPr>
        <w:t xml:space="preserve"> and Glenn Denning</w:t>
      </w:r>
      <w:r w:rsidR="00730865">
        <w:rPr>
          <w:rFonts w:cs="Arial"/>
          <w:szCs w:val="20"/>
        </w:rPr>
        <w:t>,</w:t>
      </w:r>
      <w:r w:rsidRPr="007E3B15">
        <w:rPr>
          <w:rFonts w:cs="Arial"/>
          <w:szCs w:val="20"/>
        </w:rPr>
        <w:t xml:space="preserve"> </w:t>
      </w:r>
      <w:r w:rsidR="00730865" w:rsidRPr="007E3B15">
        <w:rPr>
          <w:rFonts w:cs="Arial"/>
          <w:szCs w:val="20"/>
        </w:rPr>
        <w:t xml:space="preserve">final </w:t>
      </w:r>
      <w:r w:rsidRPr="007E3B15">
        <w:rPr>
          <w:rFonts w:cs="Arial"/>
          <w:szCs w:val="20"/>
        </w:rPr>
        <w:t>report</w:t>
      </w:r>
      <w:r w:rsidR="00730865">
        <w:rPr>
          <w:rFonts w:cs="Arial"/>
          <w:szCs w:val="20"/>
        </w:rPr>
        <w:t>, 21 February </w:t>
      </w:r>
      <w:r w:rsidRPr="007E3B15">
        <w:rPr>
          <w:rFonts w:cs="Arial"/>
          <w:szCs w:val="20"/>
        </w:rPr>
        <w:t>2011</w:t>
      </w:r>
    </w:p>
    <w:p w14:paraId="6201462E" w14:textId="77777777" w:rsidR="007E3B15" w:rsidRPr="004E4D1C" w:rsidRDefault="007E3B15" w:rsidP="00FC709A">
      <w:pPr>
        <w:pStyle w:val="BodyText"/>
        <w:jc w:val="left"/>
        <w:rPr>
          <w:rFonts w:cs="Arial"/>
          <w:szCs w:val="20"/>
        </w:rPr>
      </w:pPr>
      <w:proofErr w:type="spellStart"/>
      <w:r w:rsidRPr="007E3B15">
        <w:rPr>
          <w:rFonts w:cs="Arial"/>
          <w:szCs w:val="20"/>
        </w:rPr>
        <w:t>O’Kane</w:t>
      </w:r>
      <w:proofErr w:type="spellEnd"/>
      <w:r w:rsidRPr="007E3B15">
        <w:rPr>
          <w:rFonts w:cs="Arial"/>
          <w:szCs w:val="20"/>
        </w:rPr>
        <w:t xml:space="preserve"> (2013</w:t>
      </w:r>
      <w:r w:rsidR="00B912A7">
        <w:rPr>
          <w:rFonts w:cs="Arial"/>
          <w:szCs w:val="20"/>
        </w:rPr>
        <w:t>)</w:t>
      </w:r>
      <w:r w:rsidRPr="007E3B15">
        <w:rPr>
          <w:rFonts w:cs="Arial"/>
          <w:szCs w:val="20"/>
        </w:rPr>
        <w:t xml:space="preserve"> Africa Vocational and Tertiary Education Institution Capacity Building Analysis</w:t>
      </w:r>
      <w:r w:rsidR="00730865">
        <w:rPr>
          <w:rFonts w:cs="Arial"/>
          <w:szCs w:val="20"/>
        </w:rPr>
        <w:t>,</w:t>
      </w:r>
      <w:r w:rsidR="005B3032">
        <w:rPr>
          <w:rFonts w:cs="Arial"/>
          <w:szCs w:val="20"/>
        </w:rPr>
        <w:t xml:space="preserve"> </w:t>
      </w:r>
      <w:r w:rsidRPr="007E3B15">
        <w:rPr>
          <w:rFonts w:cs="Arial"/>
          <w:szCs w:val="20"/>
        </w:rPr>
        <w:t>Internal working paper for DFAT</w:t>
      </w:r>
    </w:p>
    <w:p w14:paraId="65EE3610" w14:textId="77777777" w:rsidR="007E3B15" w:rsidRPr="003D66C6" w:rsidRDefault="007E3B15" w:rsidP="00FC709A">
      <w:pPr>
        <w:pStyle w:val="BodyText"/>
        <w:jc w:val="left"/>
        <w:rPr>
          <w:rFonts w:cs="Arial"/>
          <w:szCs w:val="20"/>
        </w:rPr>
      </w:pPr>
      <w:r w:rsidRPr="007E3B15">
        <w:rPr>
          <w:rFonts w:cs="Arial"/>
          <w:szCs w:val="20"/>
        </w:rPr>
        <w:t>ORIMA (2013</w:t>
      </w:r>
      <w:r w:rsidR="00B912A7">
        <w:rPr>
          <w:rFonts w:cs="Arial"/>
          <w:szCs w:val="20"/>
        </w:rPr>
        <w:t>)</w:t>
      </w:r>
      <w:r w:rsidRPr="007E3B15">
        <w:rPr>
          <w:rFonts w:cs="Arial"/>
          <w:szCs w:val="20"/>
        </w:rPr>
        <w:t xml:space="preserve"> Australia Awards Scholarship Surveys</w:t>
      </w:r>
      <w:r w:rsidR="00730865">
        <w:rPr>
          <w:rFonts w:cs="Arial"/>
          <w:szCs w:val="20"/>
        </w:rPr>
        <w:t>,</w:t>
      </w:r>
      <w:r w:rsidRPr="007E3B15">
        <w:rPr>
          <w:rFonts w:cs="Arial"/>
          <w:szCs w:val="20"/>
        </w:rPr>
        <w:t xml:space="preserve"> 2013 Post Report Pretoria</w:t>
      </w:r>
    </w:p>
    <w:p w14:paraId="7E9CFE77" w14:textId="77777777" w:rsidR="007E3B15" w:rsidRPr="00025233" w:rsidRDefault="007E3B15" w:rsidP="00FC709A">
      <w:pPr>
        <w:pStyle w:val="BodyText"/>
        <w:jc w:val="left"/>
        <w:rPr>
          <w:szCs w:val="20"/>
        </w:rPr>
      </w:pPr>
      <w:r w:rsidRPr="003D66C6">
        <w:rPr>
          <w:rFonts w:cs="Arial"/>
          <w:szCs w:val="20"/>
        </w:rPr>
        <w:t>Reynolds</w:t>
      </w:r>
      <w:r w:rsidR="005B3032">
        <w:rPr>
          <w:rFonts w:cs="Arial"/>
          <w:szCs w:val="20"/>
        </w:rPr>
        <w:t xml:space="preserve"> </w:t>
      </w:r>
      <w:r w:rsidRPr="003D66C6">
        <w:rPr>
          <w:rFonts w:cs="Arial"/>
          <w:szCs w:val="20"/>
        </w:rPr>
        <w:t>(2012</w:t>
      </w:r>
      <w:r w:rsidR="00B912A7">
        <w:rPr>
          <w:rFonts w:cs="Arial"/>
          <w:szCs w:val="20"/>
        </w:rPr>
        <w:t>)</w:t>
      </w:r>
      <w:r w:rsidR="005B3032">
        <w:rPr>
          <w:rFonts w:cs="Arial"/>
          <w:szCs w:val="20"/>
        </w:rPr>
        <w:t xml:space="preserve"> </w:t>
      </w:r>
      <w:r w:rsidRPr="003D66C6">
        <w:rPr>
          <w:rFonts w:cs="Arial"/>
          <w:szCs w:val="20"/>
        </w:rPr>
        <w:t>Australia</w:t>
      </w:r>
      <w:r w:rsidRPr="00025233">
        <w:rPr>
          <w:rFonts w:cs="Arial"/>
          <w:szCs w:val="20"/>
        </w:rPr>
        <w:t xml:space="preserve"> Awards in Africa Independent Progress Report</w:t>
      </w:r>
      <w:r w:rsidR="00730865">
        <w:rPr>
          <w:rFonts w:cs="Arial"/>
          <w:szCs w:val="20"/>
        </w:rPr>
        <w:t>,</w:t>
      </w:r>
      <w:r w:rsidRPr="00025233">
        <w:rPr>
          <w:rFonts w:cs="Arial"/>
          <w:szCs w:val="20"/>
        </w:rPr>
        <w:t xml:space="preserve"> Colin Reynolds</w:t>
      </w:r>
    </w:p>
    <w:p w14:paraId="67DB28B1" w14:textId="77777777" w:rsidR="0051249A" w:rsidRDefault="007E3B15" w:rsidP="00FC709A">
      <w:pPr>
        <w:pStyle w:val="BodyText"/>
        <w:jc w:val="left"/>
      </w:pPr>
      <w:r w:rsidRPr="004E4D1C">
        <w:rPr>
          <w:rFonts w:cs="Arial"/>
          <w:szCs w:val="20"/>
        </w:rPr>
        <w:t>World Bank (2011</w:t>
      </w:r>
      <w:r w:rsidR="00B912A7">
        <w:rPr>
          <w:rFonts w:cs="Arial"/>
          <w:szCs w:val="20"/>
        </w:rPr>
        <w:t>)</w:t>
      </w:r>
      <w:r w:rsidRPr="004E4D1C">
        <w:rPr>
          <w:rFonts w:cs="Arial"/>
          <w:szCs w:val="20"/>
        </w:rPr>
        <w:t xml:space="preserve"> </w:t>
      </w:r>
      <w:proofErr w:type="gramStart"/>
      <w:r w:rsidRPr="004E4D1C">
        <w:rPr>
          <w:rFonts w:cs="Arial"/>
          <w:szCs w:val="20"/>
        </w:rPr>
        <w:t>The</w:t>
      </w:r>
      <w:proofErr w:type="gramEnd"/>
      <w:r w:rsidRPr="004E4D1C">
        <w:rPr>
          <w:rFonts w:cs="Arial"/>
          <w:szCs w:val="20"/>
        </w:rPr>
        <w:t xml:space="preserve"> Africa Competitiveness Report</w:t>
      </w:r>
    </w:p>
    <w:p w14:paraId="5DB50C1B" w14:textId="77777777" w:rsidR="007E3B15" w:rsidRDefault="007E3B15" w:rsidP="00F41926">
      <w:pPr>
        <w:spacing w:before="0"/>
        <w:ind w:left="3600" w:hanging="3600"/>
        <w:rPr>
          <w:sz w:val="18"/>
          <w:szCs w:val="18"/>
        </w:rPr>
      </w:pPr>
    </w:p>
    <w:sectPr w:rsidR="007E3B15" w:rsidSect="009C7197">
      <w:headerReference w:type="first" r:id="rId63"/>
      <w:pgSz w:w="11906" w:h="16838"/>
      <w:pgMar w:top="1418" w:right="1418" w:bottom="1418" w:left="1418" w:header="568" w:footer="43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76D0D3" w15:done="0"/>
  <w15:commentEx w15:paraId="6C73F16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77ADC" w14:textId="77777777" w:rsidR="0052414B" w:rsidRDefault="0052414B"/>
  </w:endnote>
  <w:endnote w:type="continuationSeparator" w:id="0">
    <w:p w14:paraId="303F9A46" w14:textId="77777777" w:rsidR="0052414B" w:rsidRDefault="00524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aunPenh">
    <w:panose1 w:val="01010101010101010101"/>
    <w:charset w:val="00"/>
    <w:family w:val="auto"/>
    <w:pitch w:val="variable"/>
    <w:sig w:usb0="00000003" w:usb1="00000000" w:usb2="00010000" w:usb3="00000000" w:csb0="00000001" w:csb1="00000000"/>
  </w:font>
  <w:font w:name="Frutiger 45 Light">
    <w:altName w:val="Arial Narrow"/>
    <w:charset w:val="00"/>
    <w:family w:val="swiss"/>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RotisSerif">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he Sans">
    <w:altName w:val="The Sans"/>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MyriadPro-BoldCondI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0568A" w14:textId="77777777" w:rsidR="00940EEC" w:rsidRDefault="00940E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2A18A" w14:textId="77777777" w:rsidR="00940EEC" w:rsidRDefault="00940E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BA3CD" w14:textId="77777777" w:rsidR="00940EEC" w:rsidRDefault="00940E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894262"/>
      <w:docPartObj>
        <w:docPartGallery w:val="Page Numbers (Bottom of Page)"/>
        <w:docPartUnique/>
      </w:docPartObj>
    </w:sdtPr>
    <w:sdtEndPr>
      <w:rPr>
        <w:color w:val="7F7F7F" w:themeColor="background1" w:themeShade="7F"/>
        <w:spacing w:val="60"/>
      </w:rPr>
    </w:sdtEndPr>
    <w:sdtContent>
      <w:p w14:paraId="44C4A074" w14:textId="77777777" w:rsidR="0052414B" w:rsidRPr="005B3032" w:rsidRDefault="0052414B">
        <w:pPr>
          <w:pStyle w:val="Footer"/>
          <w:pBdr>
            <w:top w:val="single" w:sz="4" w:space="1" w:color="D9D9D9" w:themeColor="background1" w:themeShade="D9"/>
          </w:pBdr>
          <w:jc w:val="right"/>
        </w:pPr>
        <w:r w:rsidRPr="005B3032">
          <w:fldChar w:fldCharType="begin"/>
        </w:r>
        <w:r w:rsidRPr="005B3032">
          <w:instrText xml:space="preserve"> PAGE   \* MERGEFORMAT </w:instrText>
        </w:r>
        <w:r w:rsidRPr="005B3032">
          <w:fldChar w:fldCharType="separate"/>
        </w:r>
        <w:r w:rsidR="00940EEC">
          <w:rPr>
            <w:noProof/>
          </w:rPr>
          <w:t>i</w:t>
        </w:r>
        <w:r w:rsidRPr="005B3032">
          <w:rPr>
            <w:noProof/>
          </w:rPr>
          <w:fldChar w:fldCharType="end"/>
        </w:r>
        <w:r w:rsidRPr="005B3032">
          <w:t xml:space="preserve"> | </w:t>
        </w:r>
        <w:r w:rsidRPr="005B3032">
          <w:rPr>
            <w:color w:val="7F7F7F" w:themeColor="background1" w:themeShade="7F"/>
            <w:spacing w:val="60"/>
          </w:rPr>
          <w:t>Page</w:t>
        </w:r>
      </w:p>
    </w:sdtContent>
  </w:sdt>
  <w:p w14:paraId="464C6379" w14:textId="77777777" w:rsidR="0052414B" w:rsidRPr="005B3032" w:rsidRDefault="0052414B" w:rsidP="009C7197">
    <w:pPr>
      <w:pStyle w:val="Footer"/>
      <w:tabs>
        <w:tab w:val="clear" w:pos="4153"/>
        <w:tab w:val="clear" w:pos="8306"/>
        <w:tab w:val="right" w:pos="9639"/>
      </w:tabs>
      <w:spacing w:before="0"/>
    </w:pPr>
    <w:r>
      <w:t>E4G Component IDD – Australia–</w:t>
    </w:r>
    <w:r w:rsidRPr="005B3032">
      <w:t>Africa Development Program</w:t>
    </w:r>
  </w:p>
  <w:p w14:paraId="7B90F0EB" w14:textId="4B2C1233" w:rsidR="0052414B" w:rsidRPr="005B3032" w:rsidRDefault="0052414B" w:rsidP="009C7197">
    <w:pPr>
      <w:pStyle w:val="Footer"/>
      <w:tabs>
        <w:tab w:val="clear" w:pos="4153"/>
        <w:tab w:val="clear" w:pos="8306"/>
        <w:tab w:val="right" w:pos="9639"/>
      </w:tabs>
      <w:spacing w:before="0"/>
    </w:pPr>
    <w:r>
      <w:t>2</w:t>
    </w:r>
    <w:r w:rsidRPr="005B3032">
      <w:t xml:space="preserve">0 </w:t>
    </w:r>
    <w:r>
      <w:t>October</w:t>
    </w:r>
    <w:r w:rsidRPr="005B3032">
      <w:t xml:space="preserv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717E5" w14:textId="77777777" w:rsidR="0052414B" w:rsidRDefault="0052414B"/>
  </w:footnote>
  <w:footnote w:type="continuationSeparator" w:id="0">
    <w:p w14:paraId="569D6F1A" w14:textId="77777777" w:rsidR="0052414B" w:rsidRDefault="0052414B"/>
  </w:footnote>
  <w:footnote w:id="1">
    <w:p w14:paraId="1076B441" w14:textId="77777777" w:rsidR="0052414B" w:rsidRPr="00E4527B" w:rsidRDefault="0052414B" w:rsidP="007B1130">
      <w:pPr>
        <w:pStyle w:val="BodyText"/>
        <w:spacing w:before="0" w:after="0"/>
        <w:rPr>
          <w:rFonts w:cs="Arial"/>
          <w:sz w:val="16"/>
          <w:szCs w:val="16"/>
        </w:rPr>
      </w:pPr>
      <w:r w:rsidRPr="00E4527B">
        <w:rPr>
          <w:rStyle w:val="FootnoteReference"/>
          <w:rFonts w:cs="Arial"/>
          <w:sz w:val="16"/>
          <w:szCs w:val="16"/>
        </w:rPr>
        <w:footnoteRef/>
      </w:r>
      <w:r w:rsidRPr="00E4527B">
        <w:rPr>
          <w:rFonts w:cs="Arial"/>
          <w:sz w:val="16"/>
          <w:szCs w:val="16"/>
        </w:rPr>
        <w:t xml:space="preserve"> </w:t>
      </w:r>
      <w:r w:rsidRPr="00E4527B">
        <w:rPr>
          <w:rFonts w:cs="Arial"/>
          <w:sz w:val="16"/>
          <w:szCs w:val="16"/>
          <w:lang w:val="en-US"/>
        </w:rPr>
        <w:t>A risk matrix for the AADP as a whole is set out in Annex E of the overarching AADP IDD and draft risk matrix for the E4G Component is set out in Annex H to this E4G IDD.</w:t>
      </w:r>
      <w:r>
        <w:rPr>
          <w:rFonts w:cs="Arial"/>
          <w:sz w:val="16"/>
          <w:szCs w:val="16"/>
          <w:lang w:val="en-US"/>
        </w:rPr>
        <w:t xml:space="preserve"> </w:t>
      </w:r>
      <w:r w:rsidRPr="00E4527B">
        <w:rPr>
          <w:rFonts w:cs="Arial"/>
          <w:sz w:val="16"/>
          <w:szCs w:val="16"/>
          <w:lang w:val="en-US"/>
        </w:rPr>
        <w:t xml:space="preserve">The MC will be required to </w:t>
      </w:r>
      <w:proofErr w:type="spellStart"/>
      <w:r w:rsidRPr="00E4527B">
        <w:rPr>
          <w:rFonts w:cs="Arial"/>
          <w:sz w:val="16"/>
          <w:szCs w:val="16"/>
          <w:lang w:val="en-US"/>
        </w:rPr>
        <w:t>analyse</w:t>
      </w:r>
      <w:proofErr w:type="spellEnd"/>
      <w:r w:rsidRPr="00E4527B">
        <w:rPr>
          <w:rFonts w:cs="Arial"/>
          <w:sz w:val="16"/>
          <w:szCs w:val="16"/>
          <w:lang w:val="en-US"/>
        </w:rPr>
        <w:t xml:space="preserve"> risks and refine the E4G Component risk matrix during the first three months of combined implementation.</w:t>
      </w:r>
    </w:p>
    <w:p w14:paraId="34EDD218" w14:textId="77777777" w:rsidR="0052414B" w:rsidRPr="00E4527B" w:rsidRDefault="0052414B" w:rsidP="007B1130">
      <w:pPr>
        <w:pStyle w:val="FootnoteText"/>
        <w:spacing w:before="0"/>
        <w:rPr>
          <w:rFonts w:cs="Arial"/>
          <w:sz w:val="16"/>
          <w:szCs w:val="16"/>
          <w:lang w:val="en-US"/>
        </w:rPr>
      </w:pPr>
    </w:p>
  </w:footnote>
  <w:footnote w:id="2">
    <w:p w14:paraId="22A1AA34" w14:textId="77777777" w:rsidR="0052414B" w:rsidRPr="00E4527B" w:rsidRDefault="0052414B" w:rsidP="009C02E6">
      <w:pPr>
        <w:pStyle w:val="TableTEXT"/>
        <w:rPr>
          <w:rFonts w:cs="Arial"/>
          <w:szCs w:val="16"/>
        </w:rPr>
      </w:pPr>
      <w:r w:rsidRPr="00E4527B">
        <w:rPr>
          <w:rStyle w:val="FootnoteReference"/>
          <w:rFonts w:cs="Arial"/>
          <w:szCs w:val="16"/>
        </w:rPr>
        <w:footnoteRef/>
      </w:r>
      <w:r w:rsidRPr="00E4527B">
        <w:rPr>
          <w:rFonts w:cs="Arial"/>
          <w:szCs w:val="16"/>
        </w:rPr>
        <w:t xml:space="preserve"> DFAT will directly manage AMDC and CSO / NGO support and this will not form part of the managing contractor’s contract value for the proposed program.</w:t>
      </w:r>
    </w:p>
    <w:p w14:paraId="2F0B4B4F" w14:textId="77777777" w:rsidR="0052414B" w:rsidRPr="00E4527B" w:rsidRDefault="0052414B" w:rsidP="009C02E6">
      <w:pPr>
        <w:pStyle w:val="FootnoteText"/>
        <w:spacing w:before="0"/>
        <w:rPr>
          <w:rFonts w:cs="Arial"/>
          <w:sz w:val="16"/>
          <w:szCs w:val="16"/>
          <w:lang w:val="en-US"/>
        </w:rPr>
      </w:pPr>
    </w:p>
  </w:footnote>
  <w:footnote w:id="3">
    <w:p w14:paraId="5F54D4F0"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Africa's Pulse, World Bank, Volume 6, October 2012, p. 13.</w:t>
      </w:r>
    </w:p>
  </w:footnote>
  <w:footnote w:id="4">
    <w:p w14:paraId="5479E0B7"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Africa's Pulse, World Bank, Volume 6, October 2012, p. 14.</w:t>
      </w:r>
    </w:p>
  </w:footnote>
  <w:footnote w:id="5">
    <w:p w14:paraId="62AEAB0A"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McKinsey Global Institute (MGI), ‘Reverse the Curse: Maximising the Potential of Resource-Driven Economies’, p. 1.</w:t>
      </w:r>
    </w:p>
  </w:footnote>
  <w:footnote w:id="6">
    <w:p w14:paraId="61E48150"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This section is drawn from the Investment Concept Note for the AADP, and draws on analytical pieces and significant consultations, including with Australian businesses operating in Africa.</w:t>
      </w:r>
    </w:p>
  </w:footnote>
  <w:footnote w:id="7">
    <w:p w14:paraId="1641BC5F"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International Council on Mining and Metals (2014) Approaches to Understanding Development Outcomes from mining.</w:t>
      </w:r>
    </w:p>
  </w:footnote>
  <w:footnote w:id="8">
    <w:p w14:paraId="72E447F9"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Style w:val="FootnoteReference"/>
          <w:rFonts w:cs="Arial"/>
          <w:sz w:val="16"/>
          <w:szCs w:val="16"/>
        </w:rPr>
        <w:t xml:space="preserve"> </w:t>
      </w:r>
      <w:r w:rsidRPr="00E4527B">
        <w:rPr>
          <w:rFonts w:cs="Arial"/>
          <w:sz w:val="16"/>
          <w:szCs w:val="16"/>
        </w:rPr>
        <w:t xml:space="preserve">Jonathan Berman. Seven Reasons Why Africa’s Time is </w:t>
      </w:r>
      <w:proofErr w:type="gramStart"/>
      <w:r w:rsidRPr="00E4527B">
        <w:rPr>
          <w:rFonts w:cs="Arial"/>
          <w:sz w:val="16"/>
          <w:szCs w:val="16"/>
        </w:rPr>
        <w:t>Now</w:t>
      </w:r>
      <w:proofErr w:type="gramEnd"/>
      <w:r w:rsidRPr="00E4527B">
        <w:rPr>
          <w:rFonts w:cs="Arial"/>
          <w:sz w:val="16"/>
          <w:szCs w:val="16"/>
        </w:rPr>
        <w:t>. Harvard Business Review Magazine (2013)</w:t>
      </w:r>
    </w:p>
  </w:footnote>
  <w:footnote w:id="9">
    <w:p w14:paraId="3AAA15E4"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African Economic Outlook: Country Experts Survey 2012.</w:t>
      </w:r>
    </w:p>
  </w:footnote>
  <w:footnote w:id="10">
    <w:p w14:paraId="2A169E2D"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Ernst and Young: ‘Business Risks Facing Mining and Metals 2013</w:t>
      </w:r>
      <w:r>
        <w:rPr>
          <w:rFonts w:cs="Arial"/>
          <w:sz w:val="16"/>
          <w:szCs w:val="16"/>
        </w:rPr>
        <w:t>–2</w:t>
      </w:r>
      <w:r w:rsidRPr="00E4527B">
        <w:rPr>
          <w:rFonts w:cs="Arial"/>
          <w:sz w:val="16"/>
          <w:szCs w:val="16"/>
        </w:rPr>
        <w:t>014’.</w:t>
      </w:r>
    </w:p>
  </w:footnote>
  <w:footnote w:id="11">
    <w:p w14:paraId="40BEEFBA"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Ernst and Young: ‘Business Risks Facing Mining and Metals 2013</w:t>
      </w:r>
      <w:r>
        <w:rPr>
          <w:rFonts w:cs="Arial"/>
          <w:sz w:val="16"/>
          <w:szCs w:val="16"/>
        </w:rPr>
        <w:t>–2</w:t>
      </w:r>
      <w:r w:rsidRPr="00E4527B">
        <w:rPr>
          <w:rFonts w:cs="Arial"/>
          <w:sz w:val="16"/>
          <w:szCs w:val="16"/>
        </w:rPr>
        <w:t>014’.</w:t>
      </w:r>
    </w:p>
  </w:footnote>
  <w:footnote w:id="12">
    <w:p w14:paraId="77FF8211"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MGI, ‘Reverse the Curse: Maximising the Potential of Resource-Driven Economies’, p. 13.</w:t>
      </w:r>
    </w:p>
  </w:footnote>
  <w:footnote w:id="13">
    <w:p w14:paraId="202DBBAA"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African Economic Outlook: Country Experts Survey 2012.</w:t>
      </w:r>
    </w:p>
  </w:footnote>
  <w:footnote w:id="14">
    <w:p w14:paraId="15853B68"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Although there is no strict definition of frontier markets, they are usually seen as the next generation of emerging markets. Frontier markets can be characterised as those countries that are enjoying high economic growth rates but have made limited progress to date in developing liquid capital markets. They are generally either not represented in mainstream emerging market indices </w:t>
      </w:r>
      <w:proofErr w:type="spellStart"/>
      <w:r w:rsidRPr="00E4527B">
        <w:rPr>
          <w:rFonts w:cs="Arial"/>
          <w:sz w:val="16"/>
          <w:szCs w:val="16"/>
        </w:rPr>
        <w:t>or</w:t>
      </w:r>
      <w:proofErr w:type="spellEnd"/>
      <w:r w:rsidRPr="00E4527B">
        <w:rPr>
          <w:rFonts w:cs="Arial"/>
          <w:sz w:val="16"/>
          <w:szCs w:val="16"/>
        </w:rPr>
        <w:t xml:space="preserve"> today only have a very small weighting in them (HSBC Website).</w:t>
      </w:r>
    </w:p>
  </w:footnote>
  <w:footnote w:id="15">
    <w:p w14:paraId="3344C5AC"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MGI, ‘Reverse the Curse: Maximising the Potential of Resource-Driven Economies’, p. 12.</w:t>
      </w:r>
    </w:p>
  </w:footnote>
  <w:footnote w:id="16">
    <w:p w14:paraId="7060167F"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Ernst and Young: ‘Business Risks Facing Mining and Metals 2013</w:t>
      </w:r>
      <w:r>
        <w:rPr>
          <w:rFonts w:cs="Arial"/>
          <w:sz w:val="16"/>
          <w:szCs w:val="16"/>
        </w:rPr>
        <w:t>–2</w:t>
      </w:r>
      <w:r w:rsidRPr="00E4527B">
        <w:rPr>
          <w:rFonts w:cs="Arial"/>
          <w:sz w:val="16"/>
          <w:szCs w:val="16"/>
        </w:rPr>
        <w:t>014’.</w:t>
      </w:r>
    </w:p>
  </w:footnote>
  <w:footnote w:id="17">
    <w:p w14:paraId="314BFD20"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MGI, ‘Reverse the Curse: Maximising the Potential of Resource-Driven Economies’, p. 7.</w:t>
      </w:r>
    </w:p>
  </w:footnote>
  <w:footnote w:id="18">
    <w:p w14:paraId="4B3A792F"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MGI, ‘Reverse the Curse: Maximising the Potential of Resource-Driven Economies’, p. 10.</w:t>
      </w:r>
    </w:p>
  </w:footnote>
  <w:footnote w:id="19">
    <w:p w14:paraId="1D47E1A2"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Speech by Mark </w:t>
      </w:r>
      <w:proofErr w:type="spellStart"/>
      <w:r w:rsidRPr="00E4527B">
        <w:rPr>
          <w:rFonts w:cs="Arial"/>
          <w:sz w:val="16"/>
          <w:szCs w:val="16"/>
        </w:rPr>
        <w:t>Cutifani</w:t>
      </w:r>
      <w:proofErr w:type="spellEnd"/>
      <w:r w:rsidRPr="00E4527B">
        <w:rPr>
          <w:rFonts w:cs="Arial"/>
          <w:sz w:val="16"/>
          <w:szCs w:val="16"/>
        </w:rPr>
        <w:t xml:space="preserve"> at Mining </w:t>
      </w:r>
      <w:proofErr w:type="spellStart"/>
      <w:r w:rsidRPr="00E4527B">
        <w:rPr>
          <w:rFonts w:cs="Arial"/>
          <w:sz w:val="16"/>
          <w:szCs w:val="16"/>
        </w:rPr>
        <w:t>Lekgotla</w:t>
      </w:r>
      <w:proofErr w:type="spellEnd"/>
      <w:r w:rsidRPr="00E4527B">
        <w:rPr>
          <w:rFonts w:cs="Arial"/>
          <w:sz w:val="16"/>
          <w:szCs w:val="16"/>
        </w:rPr>
        <w:t xml:space="preserve"> 27 August 2013: http://www.angloamerican.com/~/media/Files/A/Anglo-American-Plc/investors/presentations/2013pres/Mining-Lekgotla-gala-dinner-speech.pdf</w:t>
      </w:r>
    </w:p>
  </w:footnote>
  <w:footnote w:id="20">
    <w:p w14:paraId="69A7CA5B"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GDP growth in sub-Saharan Africa is projected to strengthen to 4.9% in 2013, rising to 5.3% in 2014 and 5.5% in 2015. Global GDP is expected to expand by a still subdued 2.3% in 2013, and strengthen to about 3.1% and 3.4% in 2014 and 2015, respectively (October 2013 Edition of the World Bank’s ‘Africa Pulse’).</w:t>
      </w:r>
    </w:p>
  </w:footnote>
  <w:footnote w:id="21">
    <w:p w14:paraId="650B0256"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Article by </w:t>
      </w:r>
      <w:proofErr w:type="spellStart"/>
      <w:r w:rsidRPr="00E4527B">
        <w:rPr>
          <w:rFonts w:cs="Arial"/>
          <w:sz w:val="16"/>
          <w:szCs w:val="16"/>
        </w:rPr>
        <w:t>Corrs</w:t>
      </w:r>
      <w:proofErr w:type="spellEnd"/>
      <w:r w:rsidRPr="00E4527B">
        <w:rPr>
          <w:rFonts w:cs="Arial"/>
          <w:sz w:val="16"/>
          <w:szCs w:val="16"/>
        </w:rPr>
        <w:t xml:space="preserve"> Chambers Westgarth titled ‘</w:t>
      </w:r>
      <w:r w:rsidRPr="00E4527B">
        <w:rPr>
          <w:rFonts w:cs="Arial"/>
          <w:i/>
          <w:sz w:val="16"/>
          <w:szCs w:val="16"/>
        </w:rPr>
        <w:t>Investing in Africa via Australia – Why it makes sense</w:t>
      </w:r>
      <w:r w:rsidRPr="00E4527B">
        <w:rPr>
          <w:rFonts w:cs="Arial"/>
          <w:sz w:val="16"/>
          <w:szCs w:val="16"/>
        </w:rPr>
        <w:t>’ (October 2012)</w:t>
      </w:r>
    </w:p>
  </w:footnote>
  <w:footnote w:id="22">
    <w:p w14:paraId="7265920D"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Chinese companies, particularly those with no prior African dealings, are attracted to the reduced risk associated with investment in Australian companies with established projects, experience and presence in Africa. Australian mining companies find Chinese entities’ access to funding appealing, particularly in the current depressed equity and debt market global landscape. (Herbert Smith </w:t>
      </w:r>
      <w:proofErr w:type="spellStart"/>
      <w:r w:rsidRPr="00E4527B">
        <w:rPr>
          <w:rFonts w:cs="Arial"/>
          <w:sz w:val="16"/>
          <w:szCs w:val="16"/>
        </w:rPr>
        <w:t>Freehills</w:t>
      </w:r>
      <w:proofErr w:type="spellEnd"/>
      <w:r w:rsidRPr="00E4527B">
        <w:rPr>
          <w:rFonts w:cs="Arial"/>
          <w:sz w:val="16"/>
          <w:szCs w:val="16"/>
        </w:rPr>
        <w:t xml:space="preserve"> article titled ‘Australia – A Gateway to Africa’ from March 2013)</w:t>
      </w:r>
    </w:p>
  </w:footnote>
  <w:footnote w:id="23">
    <w:p w14:paraId="3DA103BE" w14:textId="77777777" w:rsidR="0052414B" w:rsidRPr="00E4527B" w:rsidRDefault="0052414B" w:rsidP="005B3032">
      <w:pPr>
        <w:pStyle w:val="TableTEXT"/>
        <w:rPr>
          <w:rFonts w:cs="Arial"/>
          <w:szCs w:val="16"/>
        </w:rPr>
      </w:pPr>
      <w:r w:rsidRPr="00E4527B">
        <w:rPr>
          <w:rStyle w:val="FootnoteReference"/>
          <w:rFonts w:cs="Arial"/>
          <w:szCs w:val="16"/>
        </w:rPr>
        <w:footnoteRef/>
      </w:r>
      <w:r w:rsidRPr="00E4527B">
        <w:rPr>
          <w:rFonts w:cs="Arial"/>
          <w:szCs w:val="16"/>
        </w:rPr>
        <w:t xml:space="preserve"> DFAT will directly manage AMDC and CSO / NGO support and this will not form part of the MC’s contract value.</w:t>
      </w:r>
    </w:p>
    <w:p w14:paraId="65197626" w14:textId="77777777" w:rsidR="0052414B" w:rsidRPr="00E4527B" w:rsidRDefault="0052414B" w:rsidP="005B3032">
      <w:pPr>
        <w:pStyle w:val="FootnoteText"/>
        <w:spacing w:before="0"/>
        <w:rPr>
          <w:rFonts w:cs="Arial"/>
          <w:sz w:val="16"/>
          <w:szCs w:val="16"/>
          <w:lang w:val="en-US"/>
        </w:rPr>
      </w:pPr>
    </w:p>
  </w:footnote>
  <w:footnote w:id="24">
    <w:p w14:paraId="1CD67FC0" w14:textId="77777777" w:rsidR="0052414B" w:rsidRPr="00E4527B" w:rsidRDefault="0052414B" w:rsidP="005B3032">
      <w:pPr>
        <w:pStyle w:val="FootnoteText"/>
        <w:spacing w:before="0"/>
        <w:rPr>
          <w:rFonts w:cs="Arial"/>
          <w:sz w:val="16"/>
          <w:szCs w:val="16"/>
        </w:rPr>
      </w:pPr>
      <w:r w:rsidRPr="00E4527B">
        <w:rPr>
          <w:rStyle w:val="FootnoteReference"/>
          <w:rFonts w:cs="Arial"/>
          <w:sz w:val="16"/>
          <w:szCs w:val="16"/>
        </w:rPr>
        <w:footnoteRef/>
      </w:r>
      <w:r w:rsidRPr="00E4527B">
        <w:rPr>
          <w:rFonts w:cs="Arial"/>
          <w:sz w:val="16"/>
          <w:szCs w:val="16"/>
        </w:rPr>
        <w:t xml:space="preserve"> This includes reports </w:t>
      </w:r>
      <w:r w:rsidRPr="00E4527B">
        <w:rPr>
          <w:rFonts w:cs="Arial"/>
          <w:bCs/>
          <w:sz w:val="16"/>
          <w:szCs w:val="16"/>
        </w:rPr>
        <w:t>from the African Centre for Economic Transformation; European Centre for Development Policy Management; McKinsey Global Institute; Oxford Policy Management; the African Capacity Building Foundation; the Africa Progress Panel; Deloitte; Ernst &amp; Young etc.</w:t>
      </w:r>
    </w:p>
  </w:footnote>
  <w:footnote w:id="25">
    <w:p w14:paraId="6BEFAA76"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MGI_Africa_at_work_August_2012_Full_Report.pdf</w:t>
      </w:r>
    </w:p>
  </w:footnote>
  <w:footnote w:id="26">
    <w:p w14:paraId="646B562B"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Seven Reasons Why Africa’s Time is Now</w:t>
      </w:r>
    </w:p>
  </w:footnote>
  <w:footnote w:id="27">
    <w:p w14:paraId="04D59FA5"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http: /</w:t>
      </w:r>
      <w:r>
        <w:rPr>
          <w:rFonts w:cs="Arial"/>
          <w:sz w:val="16"/>
          <w:szCs w:val="16"/>
        </w:rPr>
        <w:t xml:space="preserve"> </w:t>
      </w:r>
      <w:r w:rsidRPr="00E4527B">
        <w:rPr>
          <w:rFonts w:cs="Arial"/>
          <w:sz w:val="16"/>
          <w:szCs w:val="16"/>
        </w:rPr>
        <w:t xml:space="preserve">/ africaprogresspanel.org / </w:t>
      </w:r>
      <w:proofErr w:type="spellStart"/>
      <w:r w:rsidRPr="00E4527B">
        <w:rPr>
          <w:rFonts w:cs="Arial"/>
          <w:sz w:val="16"/>
          <w:szCs w:val="16"/>
        </w:rPr>
        <w:t>wp</w:t>
      </w:r>
      <w:proofErr w:type="spellEnd"/>
      <w:r w:rsidRPr="00E4527B">
        <w:rPr>
          <w:rFonts w:cs="Arial"/>
          <w:sz w:val="16"/>
          <w:szCs w:val="16"/>
        </w:rPr>
        <w:t>-content / uploads / 2013 / 08 / 2013_APR_Equity_in_Extractive_25062013_ENG_HR.pdf</w:t>
      </w:r>
    </w:p>
  </w:footnote>
  <w:footnote w:id="28">
    <w:p w14:paraId="125A1F43"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http: /</w:t>
      </w:r>
      <w:r>
        <w:rPr>
          <w:rFonts w:cs="Arial"/>
          <w:sz w:val="16"/>
          <w:szCs w:val="16"/>
        </w:rPr>
        <w:t xml:space="preserve"> </w:t>
      </w:r>
      <w:r w:rsidRPr="00E4527B">
        <w:rPr>
          <w:rFonts w:cs="Arial"/>
          <w:sz w:val="16"/>
          <w:szCs w:val="16"/>
        </w:rPr>
        <w:t xml:space="preserve">/ africaprogresspanel.org / </w:t>
      </w:r>
      <w:proofErr w:type="spellStart"/>
      <w:r w:rsidRPr="00E4527B">
        <w:rPr>
          <w:rFonts w:cs="Arial"/>
          <w:sz w:val="16"/>
          <w:szCs w:val="16"/>
        </w:rPr>
        <w:t>wp</w:t>
      </w:r>
      <w:proofErr w:type="spellEnd"/>
      <w:r w:rsidRPr="00E4527B">
        <w:rPr>
          <w:rFonts w:cs="Arial"/>
          <w:sz w:val="16"/>
          <w:szCs w:val="16"/>
        </w:rPr>
        <w:t>-content / uploads / 2013 / 08 / 2013_APR_Equity_in_Extractive_25062013_ENG_HR.pdf</w:t>
      </w:r>
    </w:p>
  </w:footnote>
  <w:footnote w:id="29">
    <w:p w14:paraId="266E0829"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Treasure </w:t>
      </w:r>
      <w:proofErr w:type="spellStart"/>
      <w:r w:rsidRPr="00E4527B">
        <w:rPr>
          <w:rFonts w:cs="Arial"/>
          <w:sz w:val="16"/>
          <w:szCs w:val="16"/>
        </w:rPr>
        <w:t>Maphanga</w:t>
      </w:r>
      <w:proofErr w:type="spellEnd"/>
      <w:r w:rsidRPr="00E4527B">
        <w:rPr>
          <w:rFonts w:cs="Arial"/>
          <w:sz w:val="16"/>
          <w:szCs w:val="16"/>
        </w:rPr>
        <w:t>, Director of Trade and Industry at the African Union Commission. At 3rd African Union Conference of Ministers Responsible for Mineral Resources Development in Maputo, Mozambique December 2013http://www.uneca.org/media-centre/stories/africas-mineral-sector-requires-urgent-homegrown-skills-development#.VAcNq_mSyFn</w:t>
      </w:r>
    </w:p>
  </w:footnote>
  <w:footnote w:id="30">
    <w:p w14:paraId="663BD6EC"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Ernst and Young: ‘Business Risks Facing Mining and Metals 2013</w:t>
      </w:r>
      <w:r>
        <w:rPr>
          <w:rFonts w:cs="Arial"/>
          <w:sz w:val="16"/>
          <w:szCs w:val="16"/>
        </w:rPr>
        <w:t>–2</w:t>
      </w:r>
      <w:r w:rsidRPr="00E4527B">
        <w:rPr>
          <w:rFonts w:cs="Arial"/>
          <w:sz w:val="16"/>
          <w:szCs w:val="16"/>
        </w:rPr>
        <w:t>014</w:t>
      </w:r>
    </w:p>
  </w:footnote>
  <w:footnote w:id="31">
    <w:p w14:paraId="20B10742"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Ernst and Young: ‘Business Risks Facing Mining and Metals 2013</w:t>
      </w:r>
      <w:r>
        <w:rPr>
          <w:rFonts w:cs="Arial"/>
          <w:sz w:val="16"/>
          <w:szCs w:val="16"/>
        </w:rPr>
        <w:t>–2</w:t>
      </w:r>
      <w:r w:rsidRPr="00E4527B">
        <w:rPr>
          <w:rFonts w:cs="Arial"/>
          <w:sz w:val="16"/>
          <w:szCs w:val="16"/>
        </w:rPr>
        <w:t>014</w:t>
      </w:r>
    </w:p>
  </w:footnote>
  <w:footnote w:id="32">
    <w:p w14:paraId="42703B8E"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MGI, ‘Reverse the Curse: Maximising the Potential of Resource-Driven Economies’, p. 13.</w:t>
      </w:r>
    </w:p>
  </w:footnote>
  <w:footnote w:id="33">
    <w:p w14:paraId="66A9827C"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African Economic Outlook: Country Experts Survey 2012.</w:t>
      </w:r>
    </w:p>
  </w:footnote>
  <w:footnote w:id="34">
    <w:p w14:paraId="0FFFCF54"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http://www.newmont.com/africa/african-press-releases/20100430</w:t>
      </w:r>
    </w:p>
  </w:footnote>
  <w:footnote w:id="35">
    <w:p w14:paraId="63C17BCA"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http://africaprogresspanel.org/wp-content/uploads/2013/08/2013_APR_Equity_in_Extractive_25062013_ENG_HR.pdf</w:t>
      </w:r>
    </w:p>
  </w:footnote>
  <w:footnote w:id="36">
    <w:p w14:paraId="10B6F005"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http://africaprogresspanel.org/wp-content/uploads/2013/08/2013_APR_Equity_in_Extractive_25062013_ENG_HR.pdf</w:t>
      </w:r>
    </w:p>
  </w:footnote>
  <w:footnote w:id="37">
    <w:p w14:paraId="5522980D"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Ernst and Young: ‘Business Risks Facing Mining and Metals 2013</w:t>
      </w:r>
      <w:r>
        <w:rPr>
          <w:rFonts w:cs="Arial"/>
          <w:sz w:val="16"/>
          <w:szCs w:val="16"/>
        </w:rPr>
        <w:t>–2</w:t>
      </w:r>
      <w:r w:rsidRPr="00E4527B">
        <w:rPr>
          <w:rFonts w:cs="Arial"/>
          <w:sz w:val="16"/>
          <w:szCs w:val="16"/>
        </w:rPr>
        <w:t>014’.</w:t>
      </w:r>
    </w:p>
  </w:footnote>
  <w:footnote w:id="38">
    <w:p w14:paraId="2B301952"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w:t>
      </w:r>
      <w:proofErr w:type="spellStart"/>
      <w:r w:rsidRPr="00E4527B">
        <w:rPr>
          <w:rFonts w:cs="Arial"/>
          <w:sz w:val="16"/>
          <w:szCs w:val="16"/>
        </w:rPr>
        <w:t>Anvaripour</w:t>
      </w:r>
      <w:proofErr w:type="spellEnd"/>
      <w:r w:rsidRPr="00E4527B">
        <w:rPr>
          <w:rFonts w:cs="Arial"/>
          <w:sz w:val="16"/>
          <w:szCs w:val="16"/>
        </w:rPr>
        <w:t xml:space="preserve">, </w:t>
      </w:r>
      <w:proofErr w:type="spellStart"/>
      <w:proofErr w:type="gramStart"/>
      <w:r w:rsidRPr="00E4527B">
        <w:rPr>
          <w:rFonts w:cs="Arial"/>
          <w:sz w:val="16"/>
          <w:szCs w:val="16"/>
        </w:rPr>
        <w:t>Tas</w:t>
      </w:r>
      <w:proofErr w:type="spellEnd"/>
      <w:proofErr w:type="gramEnd"/>
      <w:r w:rsidRPr="00E4527B">
        <w:rPr>
          <w:rFonts w:cs="Arial"/>
          <w:sz w:val="16"/>
          <w:szCs w:val="16"/>
        </w:rPr>
        <w:t xml:space="preserve"> (2013) Changing the Investment Approach in Africa. World Finance, November 2013.</w:t>
      </w:r>
    </w:p>
  </w:footnote>
  <w:footnote w:id="39">
    <w:p w14:paraId="6F481629"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w:t>
      </w:r>
      <w:proofErr w:type="gramStart"/>
      <w:r w:rsidRPr="00E4527B">
        <w:rPr>
          <w:rFonts w:cs="Arial"/>
          <w:sz w:val="16"/>
          <w:szCs w:val="16"/>
        </w:rPr>
        <w:t>AAPF (2013) Infrastructure Planning in Africa Analytical Paper.</w:t>
      </w:r>
      <w:proofErr w:type="gramEnd"/>
    </w:p>
  </w:footnote>
  <w:footnote w:id="40">
    <w:p w14:paraId="3B8705A7"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w:t>
      </w:r>
      <w:proofErr w:type="gramStart"/>
      <w:r w:rsidRPr="00E4527B">
        <w:rPr>
          <w:rFonts w:cs="Arial"/>
          <w:sz w:val="16"/>
          <w:szCs w:val="16"/>
        </w:rPr>
        <w:t xml:space="preserve">Appendix E to the E4G Investment Concept Note, </w:t>
      </w:r>
      <w:r w:rsidRPr="00E4527B">
        <w:rPr>
          <w:rFonts w:cs="Arial"/>
          <w:i/>
          <w:sz w:val="16"/>
          <w:szCs w:val="16"/>
        </w:rPr>
        <w:t>Issues for further consideration by the E4G team,</w:t>
      </w:r>
      <w:r w:rsidRPr="00E4527B">
        <w:rPr>
          <w:rFonts w:cs="Arial"/>
          <w:sz w:val="16"/>
          <w:szCs w:val="16"/>
        </w:rPr>
        <w:t xml:space="preserve"> p. 1</w:t>
      </w:r>
      <w:r w:rsidRPr="00E4527B">
        <w:rPr>
          <w:rFonts w:cs="Arial"/>
          <w:i/>
          <w:sz w:val="16"/>
          <w:szCs w:val="16"/>
        </w:rPr>
        <w:t>.</w:t>
      </w:r>
      <w:proofErr w:type="gramEnd"/>
    </w:p>
  </w:footnote>
  <w:footnote w:id="41">
    <w:p w14:paraId="45F09ABB"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See </w:t>
      </w:r>
      <w:r w:rsidRPr="00E4527B">
        <w:rPr>
          <w:rFonts w:eastAsia="Calibri" w:cs="Arial"/>
          <w:sz w:val="16"/>
          <w:szCs w:val="16"/>
        </w:rPr>
        <w:t xml:space="preserve">Keenan, J. C. and D. L. Kemp (2014). </w:t>
      </w:r>
      <w:r w:rsidRPr="00E4527B">
        <w:rPr>
          <w:rFonts w:eastAsia="Calibri" w:cs="Arial"/>
          <w:i/>
          <w:iCs/>
          <w:sz w:val="16"/>
          <w:szCs w:val="16"/>
        </w:rPr>
        <w:t xml:space="preserve">Mining and local-level development: Examining the gender dimensions of agreements between companies and communities. </w:t>
      </w:r>
      <w:r w:rsidRPr="00E4527B">
        <w:rPr>
          <w:rFonts w:eastAsia="Calibri" w:cs="Arial"/>
          <w:sz w:val="16"/>
          <w:szCs w:val="16"/>
        </w:rPr>
        <w:t>Centre for Social Responsibility in Mining, The University of Queensland, for an examination of these processes, although not based on African examples.</w:t>
      </w:r>
    </w:p>
  </w:footnote>
  <w:footnote w:id="42">
    <w:p w14:paraId="3A6CC137"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w:t>
      </w:r>
      <w:proofErr w:type="gramStart"/>
      <w:r w:rsidRPr="00E4527B">
        <w:rPr>
          <w:rFonts w:cs="Arial"/>
          <w:sz w:val="16"/>
          <w:szCs w:val="16"/>
        </w:rPr>
        <w:t>UN Women (2014).</w:t>
      </w:r>
      <w:proofErr w:type="gramEnd"/>
      <w:r w:rsidRPr="00E4527B">
        <w:rPr>
          <w:rFonts w:cs="Arial"/>
          <w:sz w:val="16"/>
          <w:szCs w:val="16"/>
        </w:rPr>
        <w:t xml:space="preserve"> </w:t>
      </w:r>
      <w:proofErr w:type="gramStart"/>
      <w:r w:rsidRPr="00E4527B">
        <w:rPr>
          <w:rFonts w:cs="Arial"/>
          <w:i/>
          <w:sz w:val="16"/>
          <w:szCs w:val="16"/>
        </w:rPr>
        <w:t>Gender Equality in the Extractive Industries in Africa.</w:t>
      </w:r>
      <w:proofErr w:type="gramEnd"/>
      <w:r w:rsidRPr="00E4527B">
        <w:rPr>
          <w:rFonts w:cs="Arial"/>
          <w:i/>
          <w:sz w:val="16"/>
          <w:szCs w:val="16"/>
        </w:rPr>
        <w:t xml:space="preserve"> </w:t>
      </w:r>
      <w:proofErr w:type="gramStart"/>
      <w:r w:rsidRPr="00E4527B">
        <w:rPr>
          <w:rFonts w:cs="Arial"/>
          <w:i/>
          <w:sz w:val="16"/>
          <w:szCs w:val="16"/>
        </w:rPr>
        <w:t>Policy Brief.</w:t>
      </w:r>
      <w:proofErr w:type="gramEnd"/>
      <w:r w:rsidRPr="00E4527B">
        <w:rPr>
          <w:rFonts w:cs="Arial"/>
          <w:sz w:val="16"/>
          <w:szCs w:val="16"/>
        </w:rPr>
        <w:t xml:space="preserve"> </w:t>
      </w:r>
      <w:r w:rsidRPr="00E4527B">
        <w:rPr>
          <w:rFonts w:cs="Arial"/>
          <w:color w:val="000000"/>
          <w:sz w:val="16"/>
          <w:szCs w:val="16"/>
        </w:rPr>
        <w:t>Eastern and Southern Africa Regional Office, Nairobi, p. 1.</w:t>
      </w:r>
    </w:p>
  </w:footnote>
  <w:footnote w:id="43">
    <w:p w14:paraId="793D272E" w14:textId="77777777" w:rsidR="0052414B" w:rsidRPr="00E4527B" w:rsidRDefault="0052414B" w:rsidP="005B3032">
      <w:pPr>
        <w:pStyle w:val="FootnoteText"/>
        <w:spacing w:before="0"/>
        <w:rPr>
          <w:rFonts w:cs="Arial"/>
          <w:sz w:val="16"/>
          <w:szCs w:val="16"/>
          <w:lang w:val="en-US"/>
        </w:rPr>
      </w:pPr>
      <w:r w:rsidRPr="00E4527B">
        <w:rPr>
          <w:rStyle w:val="FootnoteReference"/>
          <w:rFonts w:cs="Arial"/>
          <w:sz w:val="16"/>
          <w:szCs w:val="16"/>
        </w:rPr>
        <w:footnoteRef/>
      </w:r>
      <w:r w:rsidRPr="00E4527B">
        <w:rPr>
          <w:rFonts w:cs="Arial"/>
          <w:sz w:val="16"/>
          <w:szCs w:val="16"/>
        </w:rPr>
        <w:t xml:space="preserve"> </w:t>
      </w:r>
      <w:r w:rsidRPr="00E4527B">
        <w:rPr>
          <w:rStyle w:val="A2"/>
          <w:rFonts w:cs="Arial"/>
        </w:rPr>
        <w:t xml:space="preserve">Commonwealth of Australia, DFAT, </w:t>
      </w:r>
      <w:r w:rsidRPr="00E4527B">
        <w:rPr>
          <w:rStyle w:val="A2"/>
          <w:rFonts w:cs="Arial"/>
          <w:i/>
          <w:iCs/>
        </w:rPr>
        <w:t>Australian aid: promoting prosperity, reducing poverty, enhancing stability, June 2014</w:t>
      </w:r>
      <w:r w:rsidRPr="00E4527B">
        <w:rPr>
          <w:rStyle w:val="A2"/>
          <w:rFonts w:cs="Arial"/>
          <w:iCs/>
        </w:rPr>
        <w:t>, Canberra, p. iii</w:t>
      </w:r>
      <w:r w:rsidRPr="00E4527B">
        <w:rPr>
          <w:rStyle w:val="A2"/>
          <w:rFonts w:cs="Arial"/>
        </w:rPr>
        <w:t>.</w:t>
      </w:r>
    </w:p>
  </w:footnote>
  <w:footnote w:id="44">
    <w:p w14:paraId="061134A5" w14:textId="77777777" w:rsidR="0052414B" w:rsidRPr="009C7197" w:rsidRDefault="0052414B" w:rsidP="005B3032">
      <w:pPr>
        <w:pStyle w:val="TableTEXT"/>
        <w:rPr>
          <w:rFonts w:cs="Arial"/>
        </w:rPr>
      </w:pPr>
      <w:r w:rsidRPr="009C7197">
        <w:rPr>
          <w:rStyle w:val="FootnoteReference"/>
          <w:rFonts w:cs="Arial"/>
          <w:szCs w:val="16"/>
        </w:rPr>
        <w:footnoteRef/>
      </w:r>
      <w:r w:rsidRPr="009C7197">
        <w:rPr>
          <w:rFonts w:cs="Arial"/>
        </w:rPr>
        <w:t xml:space="preserve"> </w:t>
      </w:r>
      <w:proofErr w:type="gramStart"/>
      <w:r w:rsidRPr="009C7197">
        <w:rPr>
          <w:rFonts w:cs="Arial"/>
          <w:lang w:val="en-US"/>
        </w:rPr>
        <w:t>E.g. using World Bank’s Extractive Industries Governance Assessment (FEIGA) tool</w:t>
      </w:r>
      <w:r>
        <w:rPr>
          <w:rFonts w:cs="Arial"/>
          <w:lang w:val="en-US"/>
        </w:rPr>
        <w:t>.</w:t>
      </w:r>
      <w:proofErr w:type="gramEnd"/>
    </w:p>
  </w:footnote>
  <w:footnote w:id="45">
    <w:p w14:paraId="5D1D60A0" w14:textId="77777777" w:rsidR="0052414B" w:rsidRPr="00E4527B" w:rsidRDefault="0052414B" w:rsidP="005B3032">
      <w:pPr>
        <w:pStyle w:val="TableTEXT"/>
        <w:rPr>
          <w:rFonts w:cs="Arial"/>
          <w:szCs w:val="16"/>
        </w:rPr>
      </w:pPr>
      <w:r w:rsidRPr="00E4527B">
        <w:rPr>
          <w:rStyle w:val="FootnoteReference"/>
          <w:rFonts w:cs="Arial"/>
          <w:szCs w:val="16"/>
        </w:rPr>
        <w:footnoteRef/>
      </w:r>
      <w:r w:rsidRPr="00E4527B">
        <w:rPr>
          <w:rFonts w:cs="Arial"/>
          <w:szCs w:val="16"/>
        </w:rPr>
        <w:t xml:space="preserve"> These will not be considered DFAT-MC contractual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631F7" w14:textId="77777777" w:rsidR="00940EEC" w:rsidRDefault="00940E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284086"/>
      <w:docPartObj>
        <w:docPartGallery w:val="Watermarks"/>
        <w:docPartUnique/>
      </w:docPartObj>
    </w:sdtPr>
    <w:sdtEndPr/>
    <w:sdtContent>
      <w:p w14:paraId="5BFCE742" w14:textId="1200223C" w:rsidR="00EA2AC4" w:rsidRDefault="00940EEC">
        <w:pPr>
          <w:pStyle w:val="Header"/>
        </w:pPr>
        <w:r>
          <w:rPr>
            <w:noProof/>
            <w:lang w:val="en-US" w:eastAsia="zh-TW"/>
          </w:rPr>
          <w:pict w14:anchorId="4CC0BF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5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53D0B" w14:textId="77777777" w:rsidR="00940EEC" w:rsidRDefault="00940E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773DB" w14:textId="4CF31C27" w:rsidR="0052414B" w:rsidRPr="009E0DBA" w:rsidRDefault="00940EEC" w:rsidP="009E0DBA">
    <w:pPr>
      <w:pStyle w:val="Header"/>
      <w:jc w:val="right"/>
    </w:pPr>
    <w:r>
      <w:rPr>
        <w:noProof/>
        <w:lang w:eastAsia="en-AU"/>
      </w:rPr>
      <w:pict w14:anchorId="4CC0BF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1" type="#_x0000_t136" style="position:absolute;left:0;text-align:left;margin-left:32.55pt;margin-top:257.4pt;width:412.4pt;height:247.45pt;rotation:315;z-index:-251656192;mso-position-horizontal-relative:margin;mso-position-vertical-relative:margin" o:allowincell="f" fillcolor="silver" stroked="f">
          <v:fill opacity=".5"/>
          <v:textpath style="font-family:&quot;Calibri&quot;;font-size:1pt" string="DRAFT"/>
          <w10:wrap anchorx="margin" anchory="margin"/>
        </v:shape>
      </w:pict>
    </w:r>
    <w:r>
      <w:fldChar w:fldCharType="begin"/>
    </w:r>
    <w:r>
      <w:instrText xml:space="preserve"> STYLEREF  "Heading 1"  \* MERGEFORMAT </w:instrText>
    </w:r>
    <w:r>
      <w:fldChar w:fldCharType="separate"/>
    </w:r>
    <w:r>
      <w:rPr>
        <w:noProof/>
      </w:rPr>
      <w:t>Implementation Arrangements</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C13E9" w14:textId="04D6019D" w:rsidR="0052414B" w:rsidRPr="00376822" w:rsidRDefault="00940EEC" w:rsidP="00376822">
    <w:pPr>
      <w:pStyle w:val="Header"/>
      <w:jc w:val="right"/>
    </w:pPr>
    <w:r>
      <w:rPr>
        <w:noProof/>
        <w:lang w:eastAsia="en-AU"/>
      </w:rPr>
      <w:pict w14:anchorId="4CC0BF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2" type="#_x0000_t136" style="position:absolute;left:0;text-align:left;margin-left:44.55pt;margin-top:269.4pt;width:412.4pt;height:247.45pt;rotation:315;z-index:-251655168;mso-position-horizontal-relative:margin;mso-position-vertical-relative:margin" o:allowincell="f" fillcolor="silver" stroked="f">
          <v:fill opacity=".5"/>
          <v:textpath style="font-family:&quot;Calibri&quot;;font-size:1pt" string="DRAFT"/>
          <w10:wrap anchorx="margin" anchory="margin"/>
        </v:shape>
      </w:pict>
    </w:r>
    <w:r>
      <w:fldChar w:fldCharType="begin"/>
    </w:r>
    <w:r>
      <w:instrText xml:space="preserve"> STYLEREF  "annex heading</w:instrText>
    </w:r>
    <w:r>
      <w:instrText xml:space="preserve">"  \* MERGEFORMAT </w:instrText>
    </w:r>
    <w:r>
      <w:fldChar w:fldCharType="separate"/>
    </w:r>
    <w:r>
      <w:rPr>
        <w:noProof/>
      </w:rPr>
      <w:t>Annex J: List of Reference Documents</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78E2E" w14:textId="77777777" w:rsidR="0052414B" w:rsidRDefault="0052414B" w:rsidP="009C7197">
    <w:pPr>
      <w:pStyle w:val="Footer"/>
      <w:tabs>
        <w:tab w:val="clear" w:pos="4153"/>
        <w:tab w:val="clear" w:pos="8306"/>
        <w:tab w:val="right" w:pos="9639"/>
      </w:tabs>
      <w:spacing w:before="0"/>
    </w:pPr>
    <w:r>
      <w:t>, 2013</w:t>
    </w:r>
  </w:p>
  <w:p w14:paraId="32267A2A" w14:textId="77777777" w:rsidR="0052414B" w:rsidRDefault="0052414B"/>
  <w:p w14:paraId="0929760D" w14:textId="77777777" w:rsidR="0052414B" w:rsidRDefault="0052414B">
    <w:r>
      <w:t xml:space="preserve"> STY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3370"/>
    <w:multiLevelType w:val="hybridMultilevel"/>
    <w:tmpl w:val="14A43F9E"/>
    <w:lvl w:ilvl="0" w:tplc="EC5C0DEC">
      <w:start w:val="1"/>
      <w:numFmt w:val="lowerRoman"/>
      <w:lvlText w:val="(%1)"/>
      <w:lvlJc w:val="left"/>
      <w:pPr>
        <w:ind w:left="720" w:hanging="360"/>
      </w:pPr>
      <w:rPr>
        <w:rFonts w:ascii="Arial Narrow" w:hAnsi="Arial Narrow"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1E641F"/>
    <w:multiLevelType w:val="hybridMultilevel"/>
    <w:tmpl w:val="24A42B8A"/>
    <w:lvl w:ilvl="0" w:tplc="F4946794">
      <w:start w:val="1"/>
      <w:numFmt w:val="bullet"/>
      <w:pStyle w:val="TableBullet"/>
      <w:lvlText w:val=""/>
      <w:lvlJc w:val="left"/>
      <w:pPr>
        <w:tabs>
          <w:tab w:val="num" w:pos="284"/>
        </w:tabs>
        <w:ind w:left="284" w:hanging="284"/>
      </w:pPr>
      <w:rPr>
        <w:rFonts w:ascii="Symbol" w:hAnsi="Symbol" w:hint="default"/>
        <w:color w:val="8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A854A26"/>
    <w:multiLevelType w:val="hybridMultilevel"/>
    <w:tmpl w:val="03C848EC"/>
    <w:lvl w:ilvl="0" w:tplc="DF36BFD8">
      <w:start w:val="1"/>
      <w:numFmt w:val="bullet"/>
      <w:pStyle w:val="Bulletedlist"/>
      <w:lvlText w:val=""/>
      <w:lvlJc w:val="left"/>
      <w:pPr>
        <w:tabs>
          <w:tab w:val="num" w:pos="425"/>
        </w:tabs>
        <w:ind w:left="425" w:hanging="425"/>
      </w:pPr>
      <w:rPr>
        <w:rFonts w:ascii="Symbol" w:hAnsi="Symbol" w:hint="default"/>
        <w:color w:val="auto"/>
        <w:position w:val="3"/>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color w:val="auto"/>
        <w:position w:val="3"/>
        <w:sz w:val="20"/>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E0D7EE6"/>
    <w:multiLevelType w:val="hybridMultilevel"/>
    <w:tmpl w:val="454E3C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FED72E9"/>
    <w:multiLevelType w:val="hybridMultilevel"/>
    <w:tmpl w:val="0FCC5C9E"/>
    <w:lvl w:ilvl="0" w:tplc="635E6E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626476"/>
    <w:multiLevelType w:val="multilevel"/>
    <w:tmpl w:val="DE76F31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35939C1"/>
    <w:multiLevelType w:val="multilevel"/>
    <w:tmpl w:val="E988948E"/>
    <w:lvl w:ilvl="0">
      <w:start w:val="1"/>
      <w:numFmt w:val="lowerRoman"/>
      <w:pStyle w:val="Tableroman"/>
      <w:lvlText w:val="%1."/>
      <w:lvlJc w:val="left"/>
      <w:pPr>
        <w:tabs>
          <w:tab w:val="num" w:pos="284"/>
        </w:tabs>
        <w:ind w:left="284" w:hanging="284"/>
      </w:pPr>
      <w:rPr>
        <w:rFonts w:hint="default"/>
        <w:b w:val="0"/>
        <w:i w:val="0"/>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23CE6171"/>
    <w:multiLevelType w:val="hybridMultilevel"/>
    <w:tmpl w:val="EBC0CD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nsid w:val="25FD169E"/>
    <w:multiLevelType w:val="multilevel"/>
    <w:tmpl w:val="78F83A6A"/>
    <w:lvl w:ilvl="0">
      <w:start w:val="2"/>
      <w:numFmt w:val="decimal"/>
      <w:lvlText w:val="%1."/>
      <w:lvlJc w:val="left"/>
      <w:pPr>
        <w:tabs>
          <w:tab w:val="num" w:pos="720"/>
        </w:tabs>
        <w:ind w:left="720" w:hanging="720"/>
      </w:pPr>
      <w:rPr>
        <w:rFonts w:ascii="Times New Roman" w:hAnsi="Times New Roman" w:hint="default"/>
        <w:b w:val="0"/>
        <w:i w:val="0"/>
        <w:sz w:val="24"/>
      </w:rPr>
    </w:lvl>
    <w:lvl w:ilvl="1">
      <w:start w:val="1"/>
      <w:numFmt w:val="none"/>
      <w:lvlRestart w:val="0"/>
      <w:pStyle w:val="RFTLevel11"/>
      <w:lvlText w:val="8.1"/>
      <w:lvlJc w:val="left"/>
      <w:pPr>
        <w:tabs>
          <w:tab w:val="num" w:pos="720"/>
        </w:tabs>
        <w:ind w:left="720" w:hanging="706"/>
      </w:pPr>
      <w:rPr>
        <w:rFonts w:ascii="Times New Roman" w:hAnsi="Times New Roman" w:hint="default"/>
        <w:b w:val="0"/>
        <w:i w:val="0"/>
        <w:sz w:val="24"/>
      </w:rPr>
    </w:lvl>
    <w:lvl w:ilvl="2">
      <w:start w:val="1"/>
      <w:numFmt w:val="lowerLetter"/>
      <w:lvlText w:val="(%3)"/>
      <w:lvlJc w:val="left"/>
      <w:pPr>
        <w:tabs>
          <w:tab w:val="num" w:pos="1440"/>
        </w:tabs>
        <w:ind w:left="1440" w:hanging="720"/>
      </w:pPr>
      <w:rPr>
        <w:rFonts w:ascii="Times New Roman" w:hAnsi="Times New Roman" w:hint="default"/>
        <w:b w:val="0"/>
        <w:i w:val="0"/>
        <w:sz w:val="24"/>
      </w:rPr>
    </w:lvl>
    <w:lvl w:ilvl="3">
      <w:start w:val="1"/>
      <w:numFmt w:val="lowerRoman"/>
      <w:pStyle w:val="RECITALSi"/>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942026E"/>
    <w:multiLevelType w:val="hybridMultilevel"/>
    <w:tmpl w:val="B9904268"/>
    <w:lvl w:ilvl="0" w:tplc="F3B4C1E0">
      <w:numFmt w:val="bullet"/>
      <w:lvlText w:val="-"/>
      <w:lvlJc w:val="left"/>
      <w:pPr>
        <w:ind w:left="36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145F16"/>
    <w:multiLevelType w:val="multilevel"/>
    <w:tmpl w:val="0FB2A50E"/>
    <w:lvl w:ilvl="0">
      <w:start w:val="1"/>
      <w:numFmt w:val="lowerRoman"/>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b w:val="0"/>
        <w:i w:val="0"/>
      </w:rPr>
    </w:lvl>
    <w:lvl w:ilvl="2">
      <w:start w:val="1"/>
      <w:numFmt w:val="lowerLetter"/>
      <w:lvlText w:val="(%3)"/>
      <w:lvlJc w:val="left"/>
      <w:pPr>
        <w:tabs>
          <w:tab w:val="num" w:pos="1474"/>
        </w:tabs>
        <w:ind w:left="1474" w:hanging="737"/>
      </w:pPr>
    </w:lvl>
    <w:lvl w:ilvl="3">
      <w:start w:val="1"/>
      <w:numFmt w:val="lowerRoman"/>
      <w:lvlText w:val="(%4)"/>
      <w:lvlJc w:val="left"/>
      <w:pPr>
        <w:tabs>
          <w:tab w:val="num" w:pos="2211"/>
        </w:tabs>
        <w:ind w:left="2211" w:hanging="737"/>
      </w:pPr>
    </w:lvl>
    <w:lvl w:ilvl="4">
      <w:start w:val="1"/>
      <w:numFmt w:val="upperLetter"/>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lvl>
  </w:abstractNum>
  <w:abstractNum w:abstractNumId="13">
    <w:nsid w:val="2FBD11B4"/>
    <w:multiLevelType w:val="multilevel"/>
    <w:tmpl w:val="99E805F8"/>
    <w:lvl w:ilvl="0">
      <w:start w:val="1"/>
      <w:numFmt w:val="decimal"/>
      <w:pStyle w:val="List-number-1"/>
      <w:lvlText w:val="%1."/>
      <w:lvlJc w:val="left"/>
      <w:pPr>
        <w:tabs>
          <w:tab w:val="num" w:pos="360"/>
        </w:tabs>
        <w:ind w:left="360" w:hanging="360"/>
      </w:pPr>
      <w:rPr>
        <w:rFonts w:hint="default"/>
        <w:b w:val="0"/>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FE35935"/>
    <w:multiLevelType w:val="hybridMultilevel"/>
    <w:tmpl w:val="AEDEED06"/>
    <w:lvl w:ilvl="0" w:tplc="6E645748">
      <w:start w:val="1"/>
      <w:numFmt w:val="bullet"/>
      <w:pStyle w:val="ColorfulList-Accent11"/>
      <w:lvlText w:val=""/>
      <w:lvlJc w:val="left"/>
      <w:pPr>
        <w:ind w:left="306" w:hanging="360"/>
      </w:pPr>
      <w:rPr>
        <w:rFonts w:ascii="Symbol" w:hAnsi="Symbol" w:hint="default"/>
      </w:rPr>
    </w:lvl>
    <w:lvl w:ilvl="1" w:tplc="FDD8D20A" w:tentative="1">
      <w:start w:val="1"/>
      <w:numFmt w:val="bullet"/>
      <w:lvlText w:val="o"/>
      <w:lvlJc w:val="left"/>
      <w:pPr>
        <w:ind w:left="1026" w:hanging="360"/>
      </w:pPr>
      <w:rPr>
        <w:rFonts w:ascii="Courier New" w:hAnsi="Courier New" w:hint="default"/>
      </w:rPr>
    </w:lvl>
    <w:lvl w:ilvl="2" w:tplc="7304D492" w:tentative="1">
      <w:start w:val="1"/>
      <w:numFmt w:val="bullet"/>
      <w:lvlText w:val=""/>
      <w:lvlJc w:val="left"/>
      <w:pPr>
        <w:ind w:left="1746" w:hanging="360"/>
      </w:pPr>
      <w:rPr>
        <w:rFonts w:ascii="Wingdings" w:hAnsi="Wingdings" w:hint="default"/>
      </w:rPr>
    </w:lvl>
    <w:lvl w:ilvl="3" w:tplc="75BAE352" w:tentative="1">
      <w:start w:val="1"/>
      <w:numFmt w:val="bullet"/>
      <w:lvlText w:val=""/>
      <w:lvlJc w:val="left"/>
      <w:pPr>
        <w:ind w:left="2466" w:hanging="360"/>
      </w:pPr>
      <w:rPr>
        <w:rFonts w:ascii="Symbol" w:hAnsi="Symbol" w:hint="default"/>
      </w:rPr>
    </w:lvl>
    <w:lvl w:ilvl="4" w:tplc="67E2A22E" w:tentative="1">
      <w:start w:val="1"/>
      <w:numFmt w:val="bullet"/>
      <w:lvlText w:val="o"/>
      <w:lvlJc w:val="left"/>
      <w:pPr>
        <w:ind w:left="3186" w:hanging="360"/>
      </w:pPr>
      <w:rPr>
        <w:rFonts w:ascii="Courier New" w:hAnsi="Courier New" w:hint="default"/>
      </w:rPr>
    </w:lvl>
    <w:lvl w:ilvl="5" w:tplc="41FEFDE2" w:tentative="1">
      <w:start w:val="1"/>
      <w:numFmt w:val="bullet"/>
      <w:lvlText w:val=""/>
      <w:lvlJc w:val="left"/>
      <w:pPr>
        <w:ind w:left="3906" w:hanging="360"/>
      </w:pPr>
      <w:rPr>
        <w:rFonts w:ascii="Wingdings" w:hAnsi="Wingdings" w:hint="default"/>
      </w:rPr>
    </w:lvl>
    <w:lvl w:ilvl="6" w:tplc="5FB046B4" w:tentative="1">
      <w:start w:val="1"/>
      <w:numFmt w:val="bullet"/>
      <w:lvlText w:val=""/>
      <w:lvlJc w:val="left"/>
      <w:pPr>
        <w:ind w:left="4626" w:hanging="360"/>
      </w:pPr>
      <w:rPr>
        <w:rFonts w:ascii="Symbol" w:hAnsi="Symbol" w:hint="default"/>
      </w:rPr>
    </w:lvl>
    <w:lvl w:ilvl="7" w:tplc="DBF29070" w:tentative="1">
      <w:start w:val="1"/>
      <w:numFmt w:val="bullet"/>
      <w:lvlText w:val="o"/>
      <w:lvlJc w:val="left"/>
      <w:pPr>
        <w:ind w:left="5346" w:hanging="360"/>
      </w:pPr>
      <w:rPr>
        <w:rFonts w:ascii="Courier New" w:hAnsi="Courier New" w:hint="default"/>
      </w:rPr>
    </w:lvl>
    <w:lvl w:ilvl="8" w:tplc="7BA85B16" w:tentative="1">
      <w:start w:val="1"/>
      <w:numFmt w:val="bullet"/>
      <w:lvlText w:val=""/>
      <w:lvlJc w:val="left"/>
      <w:pPr>
        <w:ind w:left="6066" w:hanging="360"/>
      </w:pPr>
      <w:rPr>
        <w:rFonts w:ascii="Wingdings" w:hAnsi="Wingdings" w:hint="default"/>
      </w:rPr>
    </w:lvl>
  </w:abstractNum>
  <w:abstractNum w:abstractNumId="15">
    <w:nsid w:val="321B6DCB"/>
    <w:multiLevelType w:val="hybridMultilevel"/>
    <w:tmpl w:val="C20E3AC8"/>
    <w:lvl w:ilvl="0" w:tplc="F3B4C1E0">
      <w:numFmt w:val="bullet"/>
      <w:lvlText w:val="-"/>
      <w:lvlJc w:val="left"/>
      <w:pPr>
        <w:ind w:left="36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FE38C1"/>
    <w:multiLevelType w:val="hybridMultilevel"/>
    <w:tmpl w:val="240EB5EC"/>
    <w:lvl w:ilvl="0" w:tplc="9C04EC12">
      <w:numFmt w:val="bullet"/>
      <w:lvlText w:val=""/>
      <w:lvlJc w:val="left"/>
      <w:pPr>
        <w:ind w:left="360" w:hanging="360"/>
      </w:pPr>
      <w:rPr>
        <w:rFonts w:ascii="Symbol" w:eastAsia="Times New Roman" w:hAnsi="Symbo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E2D0BF3"/>
    <w:multiLevelType w:val="hybridMultilevel"/>
    <w:tmpl w:val="2BC4753C"/>
    <w:lvl w:ilvl="0" w:tplc="8E8AB1EE">
      <w:start w:val="1"/>
      <w:numFmt w:val="lowerRoman"/>
      <w:lvlText w:val="(%1)"/>
      <w:lvlJc w:val="left"/>
      <w:pPr>
        <w:tabs>
          <w:tab w:val="num" w:pos="720"/>
        </w:tabs>
        <w:ind w:left="720" w:hanging="363"/>
      </w:pPr>
      <w:rPr>
        <w:rFonts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nsid w:val="3F63089D"/>
    <w:multiLevelType w:val="multilevel"/>
    <w:tmpl w:val="C5EEF6AE"/>
    <w:lvl w:ilvl="0">
      <w:start w:val="1"/>
      <w:numFmt w:val="upperLetter"/>
      <w:pStyle w:val="TableAlpha"/>
      <w:lvlText w:val="%1."/>
      <w:lvlJc w:val="left"/>
      <w:pPr>
        <w:tabs>
          <w:tab w:val="num" w:pos="852"/>
        </w:tabs>
        <w:ind w:left="852" w:hanging="28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454D5401"/>
    <w:multiLevelType w:val="multilevel"/>
    <w:tmpl w:val="78D26FF8"/>
    <w:lvl w:ilvl="0">
      <w:start w:val="1"/>
      <w:numFmt w:val="bullet"/>
      <w:lvlText w:val=""/>
      <w:lvlJc w:val="left"/>
      <w:pPr>
        <w:tabs>
          <w:tab w:val="num" w:pos="284"/>
        </w:tabs>
        <w:ind w:left="284" w:hanging="284"/>
      </w:pPr>
      <w:rPr>
        <w:rFonts w:ascii="Wingdings" w:hAnsi="Wingdings" w:hint="default"/>
        <w:b w:val="0"/>
        <w:i w:val="0"/>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47531147"/>
    <w:multiLevelType w:val="hybridMultilevel"/>
    <w:tmpl w:val="D5B06BB0"/>
    <w:lvl w:ilvl="0" w:tplc="C5B0958A">
      <w:start w:val="1"/>
      <w:numFmt w:val="bullet"/>
      <w:pStyle w:val="List-bullet-2"/>
      <w:lvlText w:val="–"/>
      <w:lvlJc w:val="left"/>
      <w:pPr>
        <w:tabs>
          <w:tab w:val="num" w:pos="1055"/>
        </w:tabs>
        <w:ind w:left="1055" w:hanging="301"/>
      </w:pPr>
      <w:rPr>
        <w:rFonts w:hint="default"/>
        <w:color w:val="auto"/>
        <w:sz w:val="20"/>
      </w:rPr>
    </w:lvl>
    <w:lvl w:ilvl="1" w:tplc="416EABDE">
      <w:start w:val="1"/>
      <w:numFmt w:val="bullet"/>
      <w:lvlText w:val="–"/>
      <w:lvlJc w:val="left"/>
      <w:pPr>
        <w:tabs>
          <w:tab w:val="num" w:pos="1758"/>
        </w:tabs>
        <w:ind w:left="1758" w:hanging="363"/>
      </w:pPr>
      <w:rPr>
        <w:rFonts w:hint="default"/>
      </w:rPr>
    </w:lvl>
    <w:lvl w:ilvl="2" w:tplc="04090005" w:tentative="1">
      <w:start w:val="1"/>
      <w:numFmt w:val="bullet"/>
      <w:lvlText w:val=""/>
      <w:lvlJc w:val="left"/>
      <w:pPr>
        <w:tabs>
          <w:tab w:val="num" w:pos="2478"/>
        </w:tabs>
        <w:ind w:left="2478" w:hanging="360"/>
      </w:pPr>
      <w:rPr>
        <w:rFonts w:ascii="Wingdings" w:hAnsi="Wingdings" w:hint="default"/>
      </w:rPr>
    </w:lvl>
    <w:lvl w:ilvl="3" w:tplc="04090001" w:tentative="1">
      <w:start w:val="1"/>
      <w:numFmt w:val="bullet"/>
      <w:lvlText w:val=""/>
      <w:lvlJc w:val="left"/>
      <w:pPr>
        <w:tabs>
          <w:tab w:val="num" w:pos="3198"/>
        </w:tabs>
        <w:ind w:left="3198" w:hanging="360"/>
      </w:pPr>
      <w:rPr>
        <w:rFonts w:ascii="Symbol" w:hAnsi="Symbol" w:hint="default"/>
      </w:rPr>
    </w:lvl>
    <w:lvl w:ilvl="4" w:tplc="04090003" w:tentative="1">
      <w:start w:val="1"/>
      <w:numFmt w:val="bullet"/>
      <w:lvlText w:val="o"/>
      <w:lvlJc w:val="left"/>
      <w:pPr>
        <w:tabs>
          <w:tab w:val="num" w:pos="3918"/>
        </w:tabs>
        <w:ind w:left="3918" w:hanging="360"/>
      </w:pPr>
      <w:rPr>
        <w:rFonts w:ascii="Courier New" w:hAnsi="Courier New" w:hint="default"/>
      </w:rPr>
    </w:lvl>
    <w:lvl w:ilvl="5" w:tplc="04090005" w:tentative="1">
      <w:start w:val="1"/>
      <w:numFmt w:val="bullet"/>
      <w:lvlText w:val=""/>
      <w:lvlJc w:val="left"/>
      <w:pPr>
        <w:tabs>
          <w:tab w:val="num" w:pos="4638"/>
        </w:tabs>
        <w:ind w:left="4638" w:hanging="360"/>
      </w:pPr>
      <w:rPr>
        <w:rFonts w:ascii="Wingdings" w:hAnsi="Wingdings" w:hint="default"/>
      </w:rPr>
    </w:lvl>
    <w:lvl w:ilvl="6" w:tplc="04090001" w:tentative="1">
      <w:start w:val="1"/>
      <w:numFmt w:val="bullet"/>
      <w:lvlText w:val=""/>
      <w:lvlJc w:val="left"/>
      <w:pPr>
        <w:tabs>
          <w:tab w:val="num" w:pos="5358"/>
        </w:tabs>
        <w:ind w:left="5358" w:hanging="360"/>
      </w:pPr>
      <w:rPr>
        <w:rFonts w:ascii="Symbol" w:hAnsi="Symbol" w:hint="default"/>
      </w:rPr>
    </w:lvl>
    <w:lvl w:ilvl="7" w:tplc="04090003" w:tentative="1">
      <w:start w:val="1"/>
      <w:numFmt w:val="bullet"/>
      <w:lvlText w:val="o"/>
      <w:lvlJc w:val="left"/>
      <w:pPr>
        <w:tabs>
          <w:tab w:val="num" w:pos="6078"/>
        </w:tabs>
        <w:ind w:left="6078" w:hanging="360"/>
      </w:pPr>
      <w:rPr>
        <w:rFonts w:ascii="Courier New" w:hAnsi="Courier New" w:hint="default"/>
      </w:rPr>
    </w:lvl>
    <w:lvl w:ilvl="8" w:tplc="04090005" w:tentative="1">
      <w:start w:val="1"/>
      <w:numFmt w:val="bullet"/>
      <w:lvlText w:val=""/>
      <w:lvlJc w:val="left"/>
      <w:pPr>
        <w:tabs>
          <w:tab w:val="num" w:pos="6798"/>
        </w:tabs>
        <w:ind w:left="6798" w:hanging="360"/>
      </w:pPr>
      <w:rPr>
        <w:rFonts w:ascii="Wingdings" w:hAnsi="Wingdings" w:hint="default"/>
      </w:rPr>
    </w:lvl>
  </w:abstractNum>
  <w:abstractNum w:abstractNumId="21">
    <w:nsid w:val="4797377F"/>
    <w:multiLevelType w:val="hybridMultilevel"/>
    <w:tmpl w:val="15B66AD0"/>
    <w:lvl w:ilvl="0" w:tplc="604A6BDC">
      <w:start w:val="1"/>
      <w:numFmt w:val="bullet"/>
      <w:pStyle w:val="Bullet"/>
      <w:lvlText w:val=""/>
      <w:lvlJc w:val="left"/>
      <w:pPr>
        <w:tabs>
          <w:tab w:val="num" w:pos="720"/>
        </w:tabs>
        <w:ind w:left="720" w:hanging="360"/>
      </w:pPr>
      <w:rPr>
        <w:rFonts w:ascii="Symbol" w:hAnsi="Symbol" w:hint="default"/>
      </w:rPr>
    </w:lvl>
    <w:lvl w:ilvl="1" w:tplc="1C928F5C"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4E123DD9"/>
    <w:multiLevelType w:val="hybridMultilevel"/>
    <w:tmpl w:val="F38493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543C5C32"/>
    <w:multiLevelType w:val="hybridMultilevel"/>
    <w:tmpl w:val="7356397A"/>
    <w:lvl w:ilvl="0" w:tplc="9090499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C741348"/>
    <w:multiLevelType w:val="hybridMultilevel"/>
    <w:tmpl w:val="14763F88"/>
    <w:lvl w:ilvl="0" w:tplc="528AC9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6547BE"/>
    <w:multiLevelType w:val="multilevel"/>
    <w:tmpl w:val="56464514"/>
    <w:lvl w:ilvl="0">
      <w:start w:val="1"/>
      <w:numFmt w:val="decimal"/>
      <w:pStyle w:val="PDDLevel1"/>
      <w:lvlText w:val="%1"/>
      <w:lvlJc w:val="left"/>
      <w:pPr>
        <w:tabs>
          <w:tab w:val="num" w:pos="360"/>
        </w:tabs>
        <w:ind w:left="360" w:hanging="360"/>
      </w:pPr>
      <w:rPr>
        <w:rFonts w:hint="default"/>
      </w:rPr>
    </w:lvl>
    <w:lvl w:ilvl="1">
      <w:start w:val="1"/>
      <w:numFmt w:val="decimal"/>
      <w:pStyle w:val="PDDLevel2"/>
      <w:lvlText w:val="%1.%2"/>
      <w:lvlJc w:val="left"/>
      <w:pPr>
        <w:tabs>
          <w:tab w:val="num" w:pos="2160"/>
        </w:tabs>
        <w:ind w:left="2160" w:hanging="360"/>
      </w:pPr>
      <w:rPr>
        <w:rFonts w:hint="default"/>
        <w:i w:val="0"/>
      </w:rPr>
    </w:lvl>
    <w:lvl w:ilvl="2">
      <w:start w:val="1"/>
      <w:numFmt w:val="decimal"/>
      <w:lvlText w:val="%1.5.%3"/>
      <w:lvlJc w:val="left"/>
      <w:pPr>
        <w:tabs>
          <w:tab w:val="num" w:pos="720"/>
        </w:tabs>
        <w:ind w:left="720" w:hanging="720"/>
      </w:pPr>
      <w:rPr>
        <w:rFonts w:hint="default"/>
      </w:rPr>
    </w:lvl>
    <w:lvl w:ilvl="3">
      <w:start w:val="1"/>
      <w:numFmt w:val="decimal"/>
      <w:pStyle w:val="PDDLevel4"/>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5F9773DA"/>
    <w:multiLevelType w:val="multilevel"/>
    <w:tmpl w:val="C7E8BEA0"/>
    <w:styleLink w:val="ListBullets"/>
    <w:lvl w:ilvl="0">
      <w:start w:val="1"/>
      <w:numFmt w:val="bullet"/>
      <w:lvlText w:val=""/>
      <w:lvlJc w:val="left"/>
      <w:pPr>
        <w:ind w:left="295" w:hanging="295"/>
      </w:pPr>
      <w:rPr>
        <w:rFonts w:ascii="Symbol" w:hAnsi="Symbol" w:hint="default"/>
        <w:color w:val="ED174F"/>
      </w:rPr>
    </w:lvl>
    <w:lvl w:ilvl="1">
      <w:start w:val="1"/>
      <w:numFmt w:val="bullet"/>
      <w:lvlText w:val=""/>
      <w:lvlJc w:val="left"/>
      <w:pPr>
        <w:ind w:left="590" w:hanging="295"/>
      </w:pPr>
      <w:rPr>
        <w:rFonts w:ascii="Symbol" w:hAnsi="Symbol" w:hint="default"/>
        <w:color w:val="ED174F"/>
      </w:rPr>
    </w:lvl>
    <w:lvl w:ilvl="2">
      <w:start w:val="1"/>
      <w:numFmt w:val="bullet"/>
      <w:lvlText w:val=""/>
      <w:lvlJc w:val="left"/>
      <w:pPr>
        <w:ind w:left="885" w:hanging="295"/>
      </w:pPr>
      <w:rPr>
        <w:rFonts w:ascii="Symbol" w:hAnsi="Symbol" w:hint="default"/>
        <w:color w:val="ED174F"/>
      </w:rPr>
    </w:lvl>
    <w:lvl w:ilvl="3">
      <w:start w:val="1"/>
      <w:numFmt w:val="bullet"/>
      <w:lvlText w:val=""/>
      <w:lvlJc w:val="left"/>
      <w:pPr>
        <w:ind w:left="1180" w:hanging="295"/>
      </w:pPr>
      <w:rPr>
        <w:rFonts w:ascii="Symbol" w:hAnsi="Symbol" w:hint="default"/>
        <w:color w:val="ED174F"/>
      </w:rPr>
    </w:lvl>
    <w:lvl w:ilvl="4">
      <w:start w:val="1"/>
      <w:numFmt w:val="bullet"/>
      <w:lvlText w:val=""/>
      <w:lvlJc w:val="left"/>
      <w:pPr>
        <w:ind w:left="1475" w:hanging="295"/>
      </w:pPr>
      <w:rPr>
        <w:rFonts w:ascii="Symbol" w:hAnsi="Symbol" w:hint="default"/>
        <w:color w:val="ED174F"/>
      </w:rPr>
    </w:lvl>
    <w:lvl w:ilvl="5">
      <w:start w:val="1"/>
      <w:numFmt w:val="none"/>
      <w:lvlText w:val=""/>
      <w:lvlJc w:val="left"/>
      <w:pPr>
        <w:ind w:left="1770" w:hanging="295"/>
      </w:pPr>
      <w:rPr>
        <w:rFonts w:hint="default"/>
      </w:rPr>
    </w:lvl>
    <w:lvl w:ilvl="6">
      <w:start w:val="1"/>
      <w:numFmt w:val="none"/>
      <w:lvlText w:val="%7"/>
      <w:lvlJc w:val="left"/>
      <w:pPr>
        <w:ind w:left="2065" w:hanging="295"/>
      </w:pPr>
      <w:rPr>
        <w:rFonts w:hint="default"/>
      </w:rPr>
    </w:lvl>
    <w:lvl w:ilvl="7">
      <w:start w:val="1"/>
      <w:numFmt w:val="none"/>
      <w:lvlText w:val="%8"/>
      <w:lvlJc w:val="left"/>
      <w:pPr>
        <w:ind w:left="2360" w:hanging="295"/>
      </w:pPr>
      <w:rPr>
        <w:rFonts w:hint="default"/>
      </w:rPr>
    </w:lvl>
    <w:lvl w:ilvl="8">
      <w:start w:val="1"/>
      <w:numFmt w:val="none"/>
      <w:lvlText w:val="%9"/>
      <w:lvlJc w:val="left"/>
      <w:pPr>
        <w:ind w:left="2655" w:hanging="295"/>
      </w:pPr>
      <w:rPr>
        <w:rFonts w:hint="default"/>
      </w:rPr>
    </w:lvl>
  </w:abstractNum>
  <w:abstractNum w:abstractNumId="27">
    <w:nsid w:val="6CD270D7"/>
    <w:multiLevelType w:val="multilevel"/>
    <w:tmpl w:val="60E0DC34"/>
    <w:lvl w:ilvl="0">
      <w:start w:val="1"/>
      <w:numFmt w:val="decimal"/>
      <w:pStyle w:val="5SubjectTitle"/>
      <w:lvlText w:val="%1"/>
      <w:lvlJc w:val="left"/>
      <w:pPr>
        <w:tabs>
          <w:tab w:val="num" w:pos="737"/>
        </w:tabs>
        <w:ind w:left="737" w:hanging="737"/>
      </w:pPr>
    </w:lvl>
    <w:lvl w:ilvl="1">
      <w:start w:val="1"/>
      <w:numFmt w:val="decimal"/>
      <w:lvlText w:val="%1.%2"/>
      <w:lvlJc w:val="left"/>
      <w:pPr>
        <w:tabs>
          <w:tab w:val="num" w:pos="737"/>
        </w:tabs>
        <w:ind w:left="737" w:hanging="737"/>
      </w:pPr>
      <w:rPr>
        <w:b w:val="0"/>
        <w:i w:val="0"/>
      </w:rPr>
    </w:lvl>
    <w:lvl w:ilvl="2">
      <w:start w:val="1"/>
      <w:numFmt w:val="lowerLetter"/>
      <w:lvlText w:val="(%3)"/>
      <w:lvlJc w:val="left"/>
      <w:pPr>
        <w:tabs>
          <w:tab w:val="num" w:pos="1474"/>
        </w:tabs>
        <w:ind w:left="1474" w:hanging="737"/>
      </w:pPr>
    </w:lvl>
    <w:lvl w:ilvl="3">
      <w:start w:val="1"/>
      <w:numFmt w:val="lowerRoman"/>
      <w:lvlText w:val="(%4)"/>
      <w:lvlJc w:val="left"/>
      <w:pPr>
        <w:tabs>
          <w:tab w:val="num" w:pos="2211"/>
        </w:tabs>
        <w:ind w:left="2211" w:hanging="737"/>
      </w:pPr>
    </w:lvl>
    <w:lvl w:ilvl="4">
      <w:start w:val="1"/>
      <w:numFmt w:val="upperLetter"/>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lvl>
  </w:abstractNum>
  <w:abstractNum w:abstractNumId="28">
    <w:nsid w:val="71713EEB"/>
    <w:multiLevelType w:val="hybridMultilevel"/>
    <w:tmpl w:val="404C0374"/>
    <w:lvl w:ilvl="0" w:tplc="F3B4C1E0">
      <w:numFmt w:val="bullet"/>
      <w:lvlText w:val="-"/>
      <w:lvlJc w:val="left"/>
      <w:pPr>
        <w:ind w:left="360" w:hanging="360"/>
      </w:pPr>
      <w:rPr>
        <w:rFonts w:ascii="Arial" w:eastAsia="Times New Roman" w:hAnsi="Aria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286401F"/>
    <w:multiLevelType w:val="multilevel"/>
    <w:tmpl w:val="DE7251F4"/>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18"/>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30">
    <w:nsid w:val="750B65EA"/>
    <w:multiLevelType w:val="multilevel"/>
    <w:tmpl w:val="507C149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ascii="Times New Roman" w:hAnsi="Times New Roman" w:cs="Times New Roman"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774868B9"/>
    <w:multiLevelType w:val="hybridMultilevel"/>
    <w:tmpl w:val="79FC5342"/>
    <w:lvl w:ilvl="0" w:tplc="04090001">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A46D800"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0"/>
  </w:num>
  <w:num w:numId="3">
    <w:abstractNumId w:val="29"/>
  </w:num>
  <w:num w:numId="4">
    <w:abstractNumId w:val="31"/>
  </w:num>
  <w:num w:numId="5">
    <w:abstractNumId w:val="1"/>
  </w:num>
  <w:num w:numId="6">
    <w:abstractNumId w:val="21"/>
  </w:num>
  <w:num w:numId="7">
    <w:abstractNumId w:val="18"/>
  </w:num>
  <w:num w:numId="8">
    <w:abstractNumId w:val="2"/>
  </w:num>
  <w:num w:numId="9">
    <w:abstractNumId w:val="7"/>
  </w:num>
  <w:num w:numId="10">
    <w:abstractNumId w:val="3"/>
  </w:num>
  <w:num w:numId="1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6"/>
  </w:num>
  <w:num w:numId="14">
    <w:abstractNumId w:val="14"/>
  </w:num>
  <w:num w:numId="15">
    <w:abstractNumId w:val="27"/>
  </w:num>
  <w:num w:numId="16">
    <w:abstractNumId w:val="12"/>
  </w:num>
  <w:num w:numId="17">
    <w:abstractNumId w:val="4"/>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2"/>
  </w:num>
  <w:num w:numId="23">
    <w:abstractNumId w:val="6"/>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5"/>
  </w:num>
  <w:num w:numId="32">
    <w:abstractNumId w:val="11"/>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3"/>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9"/>
  </w:num>
  <w:num w:numId="46">
    <w:abstractNumId w:val="9"/>
  </w:num>
  <w:num w:numId="47">
    <w:abstractNumId w:val="9"/>
  </w:num>
  <w:num w:numId="48">
    <w:abstractNumId w:val="13"/>
  </w:num>
  <w:num w:numId="49">
    <w:abstractNumId w:val="24"/>
  </w:num>
  <w:num w:numId="50">
    <w:abstractNumId w:val="9"/>
  </w:num>
  <w:num w:numId="51">
    <w:abstractNumId w:val="9"/>
  </w:num>
  <w:num w:numId="52">
    <w:abstractNumId w:val="9"/>
  </w:num>
  <w:num w:numId="53">
    <w:abstractNumId w:val="27"/>
  </w:num>
  <w:num w:numId="54">
    <w:abstractNumId w:val="27"/>
  </w:num>
  <w:num w:numId="55">
    <w:abstractNumId w:val="27"/>
  </w:num>
  <w:num w:numId="56">
    <w:abstractNumId w:val="9"/>
  </w:num>
  <w:num w:numId="57">
    <w:abstractNumId w:val="9"/>
  </w:num>
  <w:num w:numId="58">
    <w:abstractNumId w:val="9"/>
  </w:num>
  <w:num w:numId="59">
    <w:abstractNumId w:val="9"/>
  </w:num>
  <w:num w:numId="60">
    <w:abstractNumId w:val="27"/>
  </w:num>
  <w:num w:numId="61">
    <w:abstractNumId w:val="27"/>
  </w:num>
  <w:num w:numId="62">
    <w:abstractNumId w:val="27"/>
  </w:num>
  <w:num w:numId="63">
    <w:abstractNumId w:val="27"/>
  </w:num>
  <w:num w:numId="64">
    <w:abstractNumId w:val="27"/>
  </w:num>
  <w:num w:numId="65">
    <w:abstractNumId w:val="27"/>
  </w:num>
  <w:num w:numId="66">
    <w:abstractNumId w:val="27"/>
  </w:num>
  <w:num w:numId="67">
    <w:abstractNumId w:val="27"/>
  </w:num>
  <w:num w:numId="68">
    <w:abstractNumId w:val="27"/>
  </w:num>
  <w:num w:numId="69">
    <w:abstractNumId w:val="9"/>
  </w:num>
  <w:num w:numId="70">
    <w:abstractNumId w:val="9"/>
  </w:num>
  <w:num w:numId="71">
    <w:abstractNumId w:val="9"/>
  </w:num>
  <w:num w:numId="72">
    <w:abstractNumId w:val="9"/>
  </w:num>
  <w:num w:numId="73">
    <w:abstractNumId w:val="27"/>
  </w:num>
  <w:num w:numId="74">
    <w:abstractNumId w:val="27"/>
  </w:num>
  <w:num w:numId="75">
    <w:abstractNumId w:val="27"/>
  </w:num>
  <w:num w:numId="76">
    <w:abstractNumId w:val="27"/>
  </w:num>
  <w:num w:numId="77">
    <w:abstractNumId w:val="27"/>
  </w:num>
  <w:num w:numId="78">
    <w:abstractNumId w:val="9"/>
  </w:num>
  <w:num w:numId="79">
    <w:abstractNumId w:val="27"/>
  </w:num>
  <w:num w:numId="80">
    <w:abstractNumId w:val="27"/>
  </w:num>
  <w:num w:numId="81">
    <w:abstractNumId w:val="27"/>
  </w:num>
  <w:num w:numId="82">
    <w:abstractNumId w:val="27"/>
  </w:num>
  <w:num w:numId="83">
    <w:abstractNumId w:val="27"/>
  </w:num>
  <w:num w:numId="84">
    <w:abstractNumId w:val="30"/>
  </w:num>
  <w:num w:numId="85">
    <w:abstractNumId w:val="23"/>
  </w:num>
  <w:num w:numId="86">
    <w:abstractNumId w:val="8"/>
  </w:num>
  <w:num w:numId="87">
    <w:abstractNumId w:val="19"/>
  </w:num>
  <w:numIdMacAtCleanup w:val="8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mes McGovern">
    <w15:presenceInfo w15:providerId="Windows Live" w15:userId="1ba75c046c18d6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efaultTableStyle w:val="Tablewithnoheader"/>
  <w:drawingGridHorizontalSpacing w:val="57"/>
  <w:drawingGridVerticalSpacing w:val="181"/>
  <w:displayVerticalDrawingGridEvery w:val="2"/>
  <w:noPunctuationKerning/>
  <w:characterSpacingControl w:val="doNotCompress"/>
  <w:hdrShapeDefaults>
    <o:shapedefaults v:ext="edit" spidmax="6153"/>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19C5BF4-7407-4D79-A439-AAB69CEE0825}"/>
    <w:docVar w:name="dgnword-eventsink" w:val="203461016"/>
  </w:docVars>
  <w:rsids>
    <w:rsidRoot w:val="00BF3735"/>
    <w:rsid w:val="00000AAD"/>
    <w:rsid w:val="00001078"/>
    <w:rsid w:val="00001EDE"/>
    <w:rsid w:val="00002097"/>
    <w:rsid w:val="000049CE"/>
    <w:rsid w:val="00004C71"/>
    <w:rsid w:val="000055D9"/>
    <w:rsid w:val="00005718"/>
    <w:rsid w:val="000064B1"/>
    <w:rsid w:val="000069C1"/>
    <w:rsid w:val="00007A8D"/>
    <w:rsid w:val="00010CBA"/>
    <w:rsid w:val="00011E84"/>
    <w:rsid w:val="00012070"/>
    <w:rsid w:val="00013947"/>
    <w:rsid w:val="00014753"/>
    <w:rsid w:val="00014D8F"/>
    <w:rsid w:val="0001628E"/>
    <w:rsid w:val="00016FED"/>
    <w:rsid w:val="00017031"/>
    <w:rsid w:val="000221DB"/>
    <w:rsid w:val="00023060"/>
    <w:rsid w:val="00023988"/>
    <w:rsid w:val="0002520A"/>
    <w:rsid w:val="00025233"/>
    <w:rsid w:val="000252AD"/>
    <w:rsid w:val="000258BF"/>
    <w:rsid w:val="00025F6C"/>
    <w:rsid w:val="000276AF"/>
    <w:rsid w:val="00027E76"/>
    <w:rsid w:val="000306F4"/>
    <w:rsid w:val="00030D42"/>
    <w:rsid w:val="00031E2B"/>
    <w:rsid w:val="0003239E"/>
    <w:rsid w:val="00032A89"/>
    <w:rsid w:val="00032F1A"/>
    <w:rsid w:val="0003368D"/>
    <w:rsid w:val="0003405D"/>
    <w:rsid w:val="00034123"/>
    <w:rsid w:val="00034677"/>
    <w:rsid w:val="000347F6"/>
    <w:rsid w:val="000349DC"/>
    <w:rsid w:val="0003682B"/>
    <w:rsid w:val="00037C30"/>
    <w:rsid w:val="00040230"/>
    <w:rsid w:val="000416D7"/>
    <w:rsid w:val="00042404"/>
    <w:rsid w:val="00042F60"/>
    <w:rsid w:val="00044758"/>
    <w:rsid w:val="000453BD"/>
    <w:rsid w:val="00045BB7"/>
    <w:rsid w:val="00045DB6"/>
    <w:rsid w:val="00047AD2"/>
    <w:rsid w:val="00050100"/>
    <w:rsid w:val="00050649"/>
    <w:rsid w:val="00050C72"/>
    <w:rsid w:val="00051808"/>
    <w:rsid w:val="00051D81"/>
    <w:rsid w:val="00051E2F"/>
    <w:rsid w:val="0005239F"/>
    <w:rsid w:val="000523F2"/>
    <w:rsid w:val="0005259F"/>
    <w:rsid w:val="00052F97"/>
    <w:rsid w:val="00053071"/>
    <w:rsid w:val="00054FF1"/>
    <w:rsid w:val="000551FC"/>
    <w:rsid w:val="00055770"/>
    <w:rsid w:val="00055F95"/>
    <w:rsid w:val="00056355"/>
    <w:rsid w:val="000571AB"/>
    <w:rsid w:val="00057E1A"/>
    <w:rsid w:val="00057EC2"/>
    <w:rsid w:val="000609F0"/>
    <w:rsid w:val="00060E46"/>
    <w:rsid w:val="00061AB8"/>
    <w:rsid w:val="0006228E"/>
    <w:rsid w:val="000624F3"/>
    <w:rsid w:val="000625F4"/>
    <w:rsid w:val="00063471"/>
    <w:rsid w:val="00064385"/>
    <w:rsid w:val="00065BA3"/>
    <w:rsid w:val="00066123"/>
    <w:rsid w:val="000672FA"/>
    <w:rsid w:val="00067F62"/>
    <w:rsid w:val="00070911"/>
    <w:rsid w:val="00070A79"/>
    <w:rsid w:val="00071CEC"/>
    <w:rsid w:val="00071E80"/>
    <w:rsid w:val="00072808"/>
    <w:rsid w:val="00073154"/>
    <w:rsid w:val="00073EBC"/>
    <w:rsid w:val="00075BDC"/>
    <w:rsid w:val="00075BFF"/>
    <w:rsid w:val="00076ABB"/>
    <w:rsid w:val="00076AEA"/>
    <w:rsid w:val="00076E2D"/>
    <w:rsid w:val="00080475"/>
    <w:rsid w:val="00080DC2"/>
    <w:rsid w:val="0008122F"/>
    <w:rsid w:val="0008159B"/>
    <w:rsid w:val="000817A3"/>
    <w:rsid w:val="00081C57"/>
    <w:rsid w:val="00081EB1"/>
    <w:rsid w:val="00082CC4"/>
    <w:rsid w:val="00082DBC"/>
    <w:rsid w:val="00082E19"/>
    <w:rsid w:val="00083ABC"/>
    <w:rsid w:val="00084768"/>
    <w:rsid w:val="00085837"/>
    <w:rsid w:val="00085A46"/>
    <w:rsid w:val="000869CE"/>
    <w:rsid w:val="000872FC"/>
    <w:rsid w:val="00087D45"/>
    <w:rsid w:val="00091142"/>
    <w:rsid w:val="00091230"/>
    <w:rsid w:val="00091939"/>
    <w:rsid w:val="000928EB"/>
    <w:rsid w:val="00093995"/>
    <w:rsid w:val="00094B15"/>
    <w:rsid w:val="00094CAD"/>
    <w:rsid w:val="0009506E"/>
    <w:rsid w:val="000950F4"/>
    <w:rsid w:val="000957E7"/>
    <w:rsid w:val="00095C05"/>
    <w:rsid w:val="0009696D"/>
    <w:rsid w:val="00097002"/>
    <w:rsid w:val="00097541"/>
    <w:rsid w:val="00097919"/>
    <w:rsid w:val="000A076C"/>
    <w:rsid w:val="000A07D8"/>
    <w:rsid w:val="000A0A6F"/>
    <w:rsid w:val="000A0FA1"/>
    <w:rsid w:val="000A1490"/>
    <w:rsid w:val="000A2159"/>
    <w:rsid w:val="000A2D86"/>
    <w:rsid w:val="000A2EF5"/>
    <w:rsid w:val="000A3D1E"/>
    <w:rsid w:val="000A3D96"/>
    <w:rsid w:val="000A47CD"/>
    <w:rsid w:val="000A4BDA"/>
    <w:rsid w:val="000A58BC"/>
    <w:rsid w:val="000A6575"/>
    <w:rsid w:val="000A7C36"/>
    <w:rsid w:val="000B17E2"/>
    <w:rsid w:val="000B1CB8"/>
    <w:rsid w:val="000B1EC0"/>
    <w:rsid w:val="000B1FA9"/>
    <w:rsid w:val="000B25BC"/>
    <w:rsid w:val="000B279B"/>
    <w:rsid w:val="000B2F96"/>
    <w:rsid w:val="000B3852"/>
    <w:rsid w:val="000B39BD"/>
    <w:rsid w:val="000B3C01"/>
    <w:rsid w:val="000B4E8C"/>
    <w:rsid w:val="000B59DF"/>
    <w:rsid w:val="000B5BE3"/>
    <w:rsid w:val="000B625A"/>
    <w:rsid w:val="000B687E"/>
    <w:rsid w:val="000B7037"/>
    <w:rsid w:val="000B73AC"/>
    <w:rsid w:val="000B7AFD"/>
    <w:rsid w:val="000C0C1C"/>
    <w:rsid w:val="000C1DF5"/>
    <w:rsid w:val="000C1E23"/>
    <w:rsid w:val="000C2627"/>
    <w:rsid w:val="000C2AAD"/>
    <w:rsid w:val="000C383E"/>
    <w:rsid w:val="000C3E1A"/>
    <w:rsid w:val="000C43D5"/>
    <w:rsid w:val="000C4A62"/>
    <w:rsid w:val="000C4B2E"/>
    <w:rsid w:val="000C5394"/>
    <w:rsid w:val="000C5544"/>
    <w:rsid w:val="000C57CE"/>
    <w:rsid w:val="000C6691"/>
    <w:rsid w:val="000C70DA"/>
    <w:rsid w:val="000C7638"/>
    <w:rsid w:val="000D0050"/>
    <w:rsid w:val="000D0921"/>
    <w:rsid w:val="000D1882"/>
    <w:rsid w:val="000D1BBD"/>
    <w:rsid w:val="000D1EE2"/>
    <w:rsid w:val="000D2075"/>
    <w:rsid w:val="000D28CA"/>
    <w:rsid w:val="000D4621"/>
    <w:rsid w:val="000D4731"/>
    <w:rsid w:val="000D550E"/>
    <w:rsid w:val="000D5DC7"/>
    <w:rsid w:val="000D5F9C"/>
    <w:rsid w:val="000D7AAB"/>
    <w:rsid w:val="000D7C48"/>
    <w:rsid w:val="000E02F3"/>
    <w:rsid w:val="000E1389"/>
    <w:rsid w:val="000E140F"/>
    <w:rsid w:val="000E2338"/>
    <w:rsid w:val="000E2658"/>
    <w:rsid w:val="000E26B9"/>
    <w:rsid w:val="000E28BD"/>
    <w:rsid w:val="000E2D35"/>
    <w:rsid w:val="000E2D9A"/>
    <w:rsid w:val="000E3CB9"/>
    <w:rsid w:val="000E3E4D"/>
    <w:rsid w:val="000E4007"/>
    <w:rsid w:val="000E4A3D"/>
    <w:rsid w:val="000E6349"/>
    <w:rsid w:val="000E64A4"/>
    <w:rsid w:val="000E6F72"/>
    <w:rsid w:val="000F0B87"/>
    <w:rsid w:val="000F17CD"/>
    <w:rsid w:val="000F1E76"/>
    <w:rsid w:val="000F3589"/>
    <w:rsid w:val="000F36B7"/>
    <w:rsid w:val="000F4219"/>
    <w:rsid w:val="000F424B"/>
    <w:rsid w:val="000F46BB"/>
    <w:rsid w:val="000F4FF5"/>
    <w:rsid w:val="000F5341"/>
    <w:rsid w:val="000F59D2"/>
    <w:rsid w:val="000F7B76"/>
    <w:rsid w:val="000F7C05"/>
    <w:rsid w:val="000F7D90"/>
    <w:rsid w:val="0010006D"/>
    <w:rsid w:val="001001DD"/>
    <w:rsid w:val="00100314"/>
    <w:rsid w:val="001024ED"/>
    <w:rsid w:val="00103C37"/>
    <w:rsid w:val="0010485B"/>
    <w:rsid w:val="00104B26"/>
    <w:rsid w:val="001056FA"/>
    <w:rsid w:val="001059F6"/>
    <w:rsid w:val="00107286"/>
    <w:rsid w:val="0011149A"/>
    <w:rsid w:val="00111D0A"/>
    <w:rsid w:val="001121EC"/>
    <w:rsid w:val="001130B8"/>
    <w:rsid w:val="00114008"/>
    <w:rsid w:val="0011401F"/>
    <w:rsid w:val="0011536F"/>
    <w:rsid w:val="0011567C"/>
    <w:rsid w:val="00116E2B"/>
    <w:rsid w:val="001176B9"/>
    <w:rsid w:val="001225D0"/>
    <w:rsid w:val="00122690"/>
    <w:rsid w:val="00122A1A"/>
    <w:rsid w:val="0012396C"/>
    <w:rsid w:val="001254BA"/>
    <w:rsid w:val="001265E7"/>
    <w:rsid w:val="001273C4"/>
    <w:rsid w:val="00127915"/>
    <w:rsid w:val="00127ACB"/>
    <w:rsid w:val="0013054C"/>
    <w:rsid w:val="00132DA4"/>
    <w:rsid w:val="00133185"/>
    <w:rsid w:val="001337E7"/>
    <w:rsid w:val="00133C7A"/>
    <w:rsid w:val="00136607"/>
    <w:rsid w:val="001367DC"/>
    <w:rsid w:val="0013766B"/>
    <w:rsid w:val="0013767E"/>
    <w:rsid w:val="001408F8"/>
    <w:rsid w:val="0014152D"/>
    <w:rsid w:val="001420C4"/>
    <w:rsid w:val="0014254C"/>
    <w:rsid w:val="00142887"/>
    <w:rsid w:val="001429C9"/>
    <w:rsid w:val="00142C3C"/>
    <w:rsid w:val="00143794"/>
    <w:rsid w:val="00143DF8"/>
    <w:rsid w:val="001446DC"/>
    <w:rsid w:val="001449B3"/>
    <w:rsid w:val="00146367"/>
    <w:rsid w:val="00146C17"/>
    <w:rsid w:val="00146D59"/>
    <w:rsid w:val="00146DAE"/>
    <w:rsid w:val="00147FBD"/>
    <w:rsid w:val="00151EA1"/>
    <w:rsid w:val="0015200C"/>
    <w:rsid w:val="001535FF"/>
    <w:rsid w:val="001536D6"/>
    <w:rsid w:val="00154F8B"/>
    <w:rsid w:val="00155564"/>
    <w:rsid w:val="00155C9D"/>
    <w:rsid w:val="00156471"/>
    <w:rsid w:val="00156991"/>
    <w:rsid w:val="00157670"/>
    <w:rsid w:val="00161A22"/>
    <w:rsid w:val="00161D6D"/>
    <w:rsid w:val="00163557"/>
    <w:rsid w:val="0016355F"/>
    <w:rsid w:val="00163786"/>
    <w:rsid w:val="00163886"/>
    <w:rsid w:val="00165129"/>
    <w:rsid w:val="0016610D"/>
    <w:rsid w:val="00166759"/>
    <w:rsid w:val="00166868"/>
    <w:rsid w:val="001704DF"/>
    <w:rsid w:val="00173077"/>
    <w:rsid w:val="00173676"/>
    <w:rsid w:val="0017386D"/>
    <w:rsid w:val="00173A45"/>
    <w:rsid w:val="00174082"/>
    <w:rsid w:val="001742A6"/>
    <w:rsid w:val="00174AAA"/>
    <w:rsid w:val="0018017F"/>
    <w:rsid w:val="0018148F"/>
    <w:rsid w:val="0018214E"/>
    <w:rsid w:val="0018366D"/>
    <w:rsid w:val="00184728"/>
    <w:rsid w:val="00184CFB"/>
    <w:rsid w:val="0018744A"/>
    <w:rsid w:val="00187B09"/>
    <w:rsid w:val="00187C75"/>
    <w:rsid w:val="001907D1"/>
    <w:rsid w:val="001907FB"/>
    <w:rsid w:val="00190B66"/>
    <w:rsid w:val="0019116D"/>
    <w:rsid w:val="001917F6"/>
    <w:rsid w:val="00191973"/>
    <w:rsid w:val="001919D9"/>
    <w:rsid w:val="00191DB3"/>
    <w:rsid w:val="00194E50"/>
    <w:rsid w:val="001950C6"/>
    <w:rsid w:val="001951AB"/>
    <w:rsid w:val="0019553E"/>
    <w:rsid w:val="00196147"/>
    <w:rsid w:val="00197D86"/>
    <w:rsid w:val="00197E2A"/>
    <w:rsid w:val="00197ED8"/>
    <w:rsid w:val="001A065B"/>
    <w:rsid w:val="001A1201"/>
    <w:rsid w:val="001A1616"/>
    <w:rsid w:val="001A1CAD"/>
    <w:rsid w:val="001A2259"/>
    <w:rsid w:val="001A316B"/>
    <w:rsid w:val="001A34C4"/>
    <w:rsid w:val="001A359D"/>
    <w:rsid w:val="001A49B3"/>
    <w:rsid w:val="001A5271"/>
    <w:rsid w:val="001A6EE8"/>
    <w:rsid w:val="001A70B7"/>
    <w:rsid w:val="001A753E"/>
    <w:rsid w:val="001A7D18"/>
    <w:rsid w:val="001B04F8"/>
    <w:rsid w:val="001B0949"/>
    <w:rsid w:val="001B163B"/>
    <w:rsid w:val="001B1C6F"/>
    <w:rsid w:val="001B227B"/>
    <w:rsid w:val="001B2D37"/>
    <w:rsid w:val="001B36C5"/>
    <w:rsid w:val="001B4D04"/>
    <w:rsid w:val="001B4E5C"/>
    <w:rsid w:val="001B65A2"/>
    <w:rsid w:val="001B74B3"/>
    <w:rsid w:val="001B77EB"/>
    <w:rsid w:val="001B7DCB"/>
    <w:rsid w:val="001C125E"/>
    <w:rsid w:val="001C2BDA"/>
    <w:rsid w:val="001C3485"/>
    <w:rsid w:val="001C34D9"/>
    <w:rsid w:val="001C3A05"/>
    <w:rsid w:val="001C4090"/>
    <w:rsid w:val="001C4BEB"/>
    <w:rsid w:val="001C61ED"/>
    <w:rsid w:val="001C71B3"/>
    <w:rsid w:val="001D024A"/>
    <w:rsid w:val="001D04CE"/>
    <w:rsid w:val="001D16CC"/>
    <w:rsid w:val="001D1FB9"/>
    <w:rsid w:val="001D2884"/>
    <w:rsid w:val="001D3A4A"/>
    <w:rsid w:val="001D3D55"/>
    <w:rsid w:val="001D4806"/>
    <w:rsid w:val="001D5C02"/>
    <w:rsid w:val="001D72A2"/>
    <w:rsid w:val="001D7B4C"/>
    <w:rsid w:val="001E1134"/>
    <w:rsid w:val="001E2799"/>
    <w:rsid w:val="001E2C98"/>
    <w:rsid w:val="001E2F65"/>
    <w:rsid w:val="001E3E9C"/>
    <w:rsid w:val="001E47C5"/>
    <w:rsid w:val="001E4994"/>
    <w:rsid w:val="001E5604"/>
    <w:rsid w:val="001E656D"/>
    <w:rsid w:val="001E65EF"/>
    <w:rsid w:val="001E6DFD"/>
    <w:rsid w:val="001E73EF"/>
    <w:rsid w:val="001E7EF3"/>
    <w:rsid w:val="001F0254"/>
    <w:rsid w:val="001F0F8A"/>
    <w:rsid w:val="001F11C4"/>
    <w:rsid w:val="001F19F0"/>
    <w:rsid w:val="001F2167"/>
    <w:rsid w:val="001F381C"/>
    <w:rsid w:val="001F4680"/>
    <w:rsid w:val="001F4748"/>
    <w:rsid w:val="001F548E"/>
    <w:rsid w:val="001F5542"/>
    <w:rsid w:val="001F5B04"/>
    <w:rsid w:val="001F757C"/>
    <w:rsid w:val="001F77C2"/>
    <w:rsid w:val="00200762"/>
    <w:rsid w:val="0020313A"/>
    <w:rsid w:val="0020489F"/>
    <w:rsid w:val="00205243"/>
    <w:rsid w:val="0020547B"/>
    <w:rsid w:val="00206746"/>
    <w:rsid w:val="0020727A"/>
    <w:rsid w:val="00210036"/>
    <w:rsid w:val="00210AA9"/>
    <w:rsid w:val="00210D48"/>
    <w:rsid w:val="0021154F"/>
    <w:rsid w:val="00211FD5"/>
    <w:rsid w:val="00213D76"/>
    <w:rsid w:val="00214C94"/>
    <w:rsid w:val="002200EB"/>
    <w:rsid w:val="00220EC2"/>
    <w:rsid w:val="00221019"/>
    <w:rsid w:val="00221964"/>
    <w:rsid w:val="00222044"/>
    <w:rsid w:val="00222097"/>
    <w:rsid w:val="00222E97"/>
    <w:rsid w:val="00223998"/>
    <w:rsid w:val="002239BF"/>
    <w:rsid w:val="00223A22"/>
    <w:rsid w:val="00223DD0"/>
    <w:rsid w:val="00224D22"/>
    <w:rsid w:val="00225BB0"/>
    <w:rsid w:val="00227298"/>
    <w:rsid w:val="002272E2"/>
    <w:rsid w:val="002272EE"/>
    <w:rsid w:val="0022741C"/>
    <w:rsid w:val="00227FB6"/>
    <w:rsid w:val="00230441"/>
    <w:rsid w:val="00230A3F"/>
    <w:rsid w:val="002312A0"/>
    <w:rsid w:val="0023197E"/>
    <w:rsid w:val="00231AFF"/>
    <w:rsid w:val="00232253"/>
    <w:rsid w:val="0023297A"/>
    <w:rsid w:val="00232BAF"/>
    <w:rsid w:val="00232C5D"/>
    <w:rsid w:val="00233396"/>
    <w:rsid w:val="0023363B"/>
    <w:rsid w:val="00234695"/>
    <w:rsid w:val="00234726"/>
    <w:rsid w:val="00234B7B"/>
    <w:rsid w:val="00234F57"/>
    <w:rsid w:val="002356A6"/>
    <w:rsid w:val="00235C1F"/>
    <w:rsid w:val="00236023"/>
    <w:rsid w:val="00237079"/>
    <w:rsid w:val="00237C84"/>
    <w:rsid w:val="00237E12"/>
    <w:rsid w:val="00237FC6"/>
    <w:rsid w:val="0024140A"/>
    <w:rsid w:val="00242412"/>
    <w:rsid w:val="002436CF"/>
    <w:rsid w:val="002441A6"/>
    <w:rsid w:val="002443FC"/>
    <w:rsid w:val="002449B0"/>
    <w:rsid w:val="002458D0"/>
    <w:rsid w:val="00245B51"/>
    <w:rsid w:val="00246630"/>
    <w:rsid w:val="00247528"/>
    <w:rsid w:val="00247794"/>
    <w:rsid w:val="002505A6"/>
    <w:rsid w:val="0025087E"/>
    <w:rsid w:val="00250F6A"/>
    <w:rsid w:val="00251623"/>
    <w:rsid w:val="00251C62"/>
    <w:rsid w:val="00251F2B"/>
    <w:rsid w:val="0025246F"/>
    <w:rsid w:val="002538DE"/>
    <w:rsid w:val="00253BC3"/>
    <w:rsid w:val="00254C26"/>
    <w:rsid w:val="00255197"/>
    <w:rsid w:val="00261A49"/>
    <w:rsid w:val="00261B9B"/>
    <w:rsid w:val="00262F68"/>
    <w:rsid w:val="00263A32"/>
    <w:rsid w:val="00263CE1"/>
    <w:rsid w:val="00263D10"/>
    <w:rsid w:val="00264FF2"/>
    <w:rsid w:val="002651D7"/>
    <w:rsid w:val="00266579"/>
    <w:rsid w:val="00266664"/>
    <w:rsid w:val="002667A9"/>
    <w:rsid w:val="002704B2"/>
    <w:rsid w:val="002706D4"/>
    <w:rsid w:val="00270C5E"/>
    <w:rsid w:val="00271BD7"/>
    <w:rsid w:val="00271C61"/>
    <w:rsid w:val="00271ECA"/>
    <w:rsid w:val="002739F9"/>
    <w:rsid w:val="00273FB0"/>
    <w:rsid w:val="0027464D"/>
    <w:rsid w:val="00276A80"/>
    <w:rsid w:val="00277E20"/>
    <w:rsid w:val="002822D7"/>
    <w:rsid w:val="002822F1"/>
    <w:rsid w:val="00282377"/>
    <w:rsid w:val="00282A8B"/>
    <w:rsid w:val="00283883"/>
    <w:rsid w:val="00283961"/>
    <w:rsid w:val="00283A6F"/>
    <w:rsid w:val="00284156"/>
    <w:rsid w:val="00284EBD"/>
    <w:rsid w:val="002864ED"/>
    <w:rsid w:val="002874F7"/>
    <w:rsid w:val="00287803"/>
    <w:rsid w:val="002878DB"/>
    <w:rsid w:val="00291C49"/>
    <w:rsid w:val="002926BA"/>
    <w:rsid w:val="00292D3C"/>
    <w:rsid w:val="00292DF5"/>
    <w:rsid w:val="002940EA"/>
    <w:rsid w:val="00295B66"/>
    <w:rsid w:val="002A030E"/>
    <w:rsid w:val="002A11B1"/>
    <w:rsid w:val="002A1D12"/>
    <w:rsid w:val="002A33FC"/>
    <w:rsid w:val="002A3434"/>
    <w:rsid w:val="002A4826"/>
    <w:rsid w:val="002A5618"/>
    <w:rsid w:val="002A56CE"/>
    <w:rsid w:val="002A68C4"/>
    <w:rsid w:val="002A7736"/>
    <w:rsid w:val="002B0229"/>
    <w:rsid w:val="002B0536"/>
    <w:rsid w:val="002B1190"/>
    <w:rsid w:val="002B1210"/>
    <w:rsid w:val="002B19EE"/>
    <w:rsid w:val="002B2EE9"/>
    <w:rsid w:val="002B3271"/>
    <w:rsid w:val="002B4C4B"/>
    <w:rsid w:val="002B5C7C"/>
    <w:rsid w:val="002B5F40"/>
    <w:rsid w:val="002B6171"/>
    <w:rsid w:val="002B7D31"/>
    <w:rsid w:val="002C0785"/>
    <w:rsid w:val="002C14CE"/>
    <w:rsid w:val="002C34AB"/>
    <w:rsid w:val="002C423B"/>
    <w:rsid w:val="002C61EC"/>
    <w:rsid w:val="002C6D25"/>
    <w:rsid w:val="002C6F13"/>
    <w:rsid w:val="002D0D6E"/>
    <w:rsid w:val="002D2152"/>
    <w:rsid w:val="002D231E"/>
    <w:rsid w:val="002D5136"/>
    <w:rsid w:val="002D5DE2"/>
    <w:rsid w:val="002D6C9C"/>
    <w:rsid w:val="002D6F08"/>
    <w:rsid w:val="002D7276"/>
    <w:rsid w:val="002E0954"/>
    <w:rsid w:val="002E16EF"/>
    <w:rsid w:val="002E214C"/>
    <w:rsid w:val="002E2482"/>
    <w:rsid w:val="002E2DD6"/>
    <w:rsid w:val="002E32A4"/>
    <w:rsid w:val="002E3FFE"/>
    <w:rsid w:val="002E4DF3"/>
    <w:rsid w:val="002E56F0"/>
    <w:rsid w:val="002E5D7A"/>
    <w:rsid w:val="002E6072"/>
    <w:rsid w:val="002E67FE"/>
    <w:rsid w:val="002E6B23"/>
    <w:rsid w:val="002E6BBB"/>
    <w:rsid w:val="002E6E24"/>
    <w:rsid w:val="002E71A3"/>
    <w:rsid w:val="002E748B"/>
    <w:rsid w:val="002E74A0"/>
    <w:rsid w:val="002E7DF8"/>
    <w:rsid w:val="002F059B"/>
    <w:rsid w:val="002F09E8"/>
    <w:rsid w:val="002F0E31"/>
    <w:rsid w:val="002F0F67"/>
    <w:rsid w:val="002F176D"/>
    <w:rsid w:val="002F1A54"/>
    <w:rsid w:val="002F1B1D"/>
    <w:rsid w:val="002F224C"/>
    <w:rsid w:val="002F2AA4"/>
    <w:rsid w:val="002F2ADB"/>
    <w:rsid w:val="002F30BC"/>
    <w:rsid w:val="002F3477"/>
    <w:rsid w:val="002F3F8F"/>
    <w:rsid w:val="002F4164"/>
    <w:rsid w:val="002F4D17"/>
    <w:rsid w:val="002F6000"/>
    <w:rsid w:val="002F6142"/>
    <w:rsid w:val="002F653F"/>
    <w:rsid w:val="002F757D"/>
    <w:rsid w:val="002F77A3"/>
    <w:rsid w:val="002F7D41"/>
    <w:rsid w:val="0030054C"/>
    <w:rsid w:val="00300E68"/>
    <w:rsid w:val="00301F53"/>
    <w:rsid w:val="00303AAD"/>
    <w:rsid w:val="00303D01"/>
    <w:rsid w:val="00305CF1"/>
    <w:rsid w:val="003067F3"/>
    <w:rsid w:val="0030693F"/>
    <w:rsid w:val="00306B0E"/>
    <w:rsid w:val="00310132"/>
    <w:rsid w:val="0031038A"/>
    <w:rsid w:val="00310B0E"/>
    <w:rsid w:val="00311092"/>
    <w:rsid w:val="003113EC"/>
    <w:rsid w:val="00311D08"/>
    <w:rsid w:val="00314956"/>
    <w:rsid w:val="00314CFE"/>
    <w:rsid w:val="00315DE2"/>
    <w:rsid w:val="00315EB8"/>
    <w:rsid w:val="00316E14"/>
    <w:rsid w:val="00317DC8"/>
    <w:rsid w:val="00320262"/>
    <w:rsid w:val="00320A34"/>
    <w:rsid w:val="003216A5"/>
    <w:rsid w:val="003217D8"/>
    <w:rsid w:val="00321867"/>
    <w:rsid w:val="00321B7F"/>
    <w:rsid w:val="00321BBC"/>
    <w:rsid w:val="00322AF1"/>
    <w:rsid w:val="00323F26"/>
    <w:rsid w:val="00324EBA"/>
    <w:rsid w:val="00325052"/>
    <w:rsid w:val="00325467"/>
    <w:rsid w:val="00325691"/>
    <w:rsid w:val="00325FEC"/>
    <w:rsid w:val="003303A2"/>
    <w:rsid w:val="00330D52"/>
    <w:rsid w:val="003312B4"/>
    <w:rsid w:val="00331389"/>
    <w:rsid w:val="00331A97"/>
    <w:rsid w:val="00332AC5"/>
    <w:rsid w:val="00332CD9"/>
    <w:rsid w:val="003332DC"/>
    <w:rsid w:val="003340E8"/>
    <w:rsid w:val="0033427A"/>
    <w:rsid w:val="00335B6E"/>
    <w:rsid w:val="003361CD"/>
    <w:rsid w:val="003366D9"/>
    <w:rsid w:val="00336CD8"/>
    <w:rsid w:val="003370B8"/>
    <w:rsid w:val="00340ED6"/>
    <w:rsid w:val="0034108F"/>
    <w:rsid w:val="0034130B"/>
    <w:rsid w:val="003420AD"/>
    <w:rsid w:val="00344999"/>
    <w:rsid w:val="003452FE"/>
    <w:rsid w:val="003472F3"/>
    <w:rsid w:val="00347C0A"/>
    <w:rsid w:val="003506FA"/>
    <w:rsid w:val="00350843"/>
    <w:rsid w:val="0035280A"/>
    <w:rsid w:val="00352851"/>
    <w:rsid w:val="00352FA4"/>
    <w:rsid w:val="003530E4"/>
    <w:rsid w:val="003531F6"/>
    <w:rsid w:val="003532AF"/>
    <w:rsid w:val="003545A4"/>
    <w:rsid w:val="0035485B"/>
    <w:rsid w:val="0035497D"/>
    <w:rsid w:val="00354F01"/>
    <w:rsid w:val="00354F96"/>
    <w:rsid w:val="003560DE"/>
    <w:rsid w:val="00356E43"/>
    <w:rsid w:val="003573BE"/>
    <w:rsid w:val="00357B8F"/>
    <w:rsid w:val="00357C98"/>
    <w:rsid w:val="003608EA"/>
    <w:rsid w:val="00360E4E"/>
    <w:rsid w:val="00362854"/>
    <w:rsid w:val="00362D25"/>
    <w:rsid w:val="00362F6A"/>
    <w:rsid w:val="0036318F"/>
    <w:rsid w:val="003634F9"/>
    <w:rsid w:val="00364464"/>
    <w:rsid w:val="0036447A"/>
    <w:rsid w:val="00364875"/>
    <w:rsid w:val="003668B8"/>
    <w:rsid w:val="00367293"/>
    <w:rsid w:val="003706E3"/>
    <w:rsid w:val="00370D0B"/>
    <w:rsid w:val="003724F8"/>
    <w:rsid w:val="00372506"/>
    <w:rsid w:val="00373469"/>
    <w:rsid w:val="00373DB5"/>
    <w:rsid w:val="003758B5"/>
    <w:rsid w:val="003759A5"/>
    <w:rsid w:val="00375E2D"/>
    <w:rsid w:val="003760F1"/>
    <w:rsid w:val="00376822"/>
    <w:rsid w:val="003771C1"/>
    <w:rsid w:val="00377B8A"/>
    <w:rsid w:val="0038014B"/>
    <w:rsid w:val="003823D4"/>
    <w:rsid w:val="003827B2"/>
    <w:rsid w:val="00382CF2"/>
    <w:rsid w:val="00383A12"/>
    <w:rsid w:val="00384397"/>
    <w:rsid w:val="0038501C"/>
    <w:rsid w:val="00385546"/>
    <w:rsid w:val="003860AC"/>
    <w:rsid w:val="0038668D"/>
    <w:rsid w:val="003866E0"/>
    <w:rsid w:val="003867CC"/>
    <w:rsid w:val="00386BD0"/>
    <w:rsid w:val="00386DE0"/>
    <w:rsid w:val="00386E54"/>
    <w:rsid w:val="0039002F"/>
    <w:rsid w:val="00390A66"/>
    <w:rsid w:val="00390B51"/>
    <w:rsid w:val="00392EE0"/>
    <w:rsid w:val="0039304C"/>
    <w:rsid w:val="00393373"/>
    <w:rsid w:val="00393906"/>
    <w:rsid w:val="00394749"/>
    <w:rsid w:val="00395533"/>
    <w:rsid w:val="00396906"/>
    <w:rsid w:val="003A0BFE"/>
    <w:rsid w:val="003A108B"/>
    <w:rsid w:val="003A19CF"/>
    <w:rsid w:val="003A1BC5"/>
    <w:rsid w:val="003A3521"/>
    <w:rsid w:val="003A4330"/>
    <w:rsid w:val="003A468F"/>
    <w:rsid w:val="003A4704"/>
    <w:rsid w:val="003A4C10"/>
    <w:rsid w:val="003A668B"/>
    <w:rsid w:val="003A698B"/>
    <w:rsid w:val="003A77D8"/>
    <w:rsid w:val="003B016F"/>
    <w:rsid w:val="003B0355"/>
    <w:rsid w:val="003B0A12"/>
    <w:rsid w:val="003B0E7B"/>
    <w:rsid w:val="003B171C"/>
    <w:rsid w:val="003B2351"/>
    <w:rsid w:val="003B2A65"/>
    <w:rsid w:val="003B2BAD"/>
    <w:rsid w:val="003B45F5"/>
    <w:rsid w:val="003B47FC"/>
    <w:rsid w:val="003B50DF"/>
    <w:rsid w:val="003B516B"/>
    <w:rsid w:val="003B56F5"/>
    <w:rsid w:val="003B6CCC"/>
    <w:rsid w:val="003B7634"/>
    <w:rsid w:val="003C0509"/>
    <w:rsid w:val="003C0A67"/>
    <w:rsid w:val="003C0DBE"/>
    <w:rsid w:val="003C13D8"/>
    <w:rsid w:val="003C19B4"/>
    <w:rsid w:val="003C2819"/>
    <w:rsid w:val="003C2DBE"/>
    <w:rsid w:val="003C7791"/>
    <w:rsid w:val="003C78AE"/>
    <w:rsid w:val="003C78C1"/>
    <w:rsid w:val="003C7E3F"/>
    <w:rsid w:val="003C7FFD"/>
    <w:rsid w:val="003D0352"/>
    <w:rsid w:val="003D07F4"/>
    <w:rsid w:val="003D1155"/>
    <w:rsid w:val="003D1F8A"/>
    <w:rsid w:val="003D260A"/>
    <w:rsid w:val="003D2DD0"/>
    <w:rsid w:val="003D3010"/>
    <w:rsid w:val="003D36C7"/>
    <w:rsid w:val="003D3B50"/>
    <w:rsid w:val="003D54D7"/>
    <w:rsid w:val="003D590E"/>
    <w:rsid w:val="003D5928"/>
    <w:rsid w:val="003D5BFF"/>
    <w:rsid w:val="003D5CC2"/>
    <w:rsid w:val="003D66C6"/>
    <w:rsid w:val="003E072A"/>
    <w:rsid w:val="003E0C1A"/>
    <w:rsid w:val="003E2250"/>
    <w:rsid w:val="003E2C13"/>
    <w:rsid w:val="003E30D6"/>
    <w:rsid w:val="003E3E54"/>
    <w:rsid w:val="003E49ED"/>
    <w:rsid w:val="003E6561"/>
    <w:rsid w:val="003E6EC8"/>
    <w:rsid w:val="003E7847"/>
    <w:rsid w:val="003F01CA"/>
    <w:rsid w:val="003F09E6"/>
    <w:rsid w:val="003F1077"/>
    <w:rsid w:val="003F1660"/>
    <w:rsid w:val="003F2A36"/>
    <w:rsid w:val="003F355D"/>
    <w:rsid w:val="003F3807"/>
    <w:rsid w:val="003F568D"/>
    <w:rsid w:val="003F5C8F"/>
    <w:rsid w:val="003F744E"/>
    <w:rsid w:val="003F74BB"/>
    <w:rsid w:val="003F7874"/>
    <w:rsid w:val="004000C1"/>
    <w:rsid w:val="0040010D"/>
    <w:rsid w:val="00400C3F"/>
    <w:rsid w:val="004018FC"/>
    <w:rsid w:val="00402306"/>
    <w:rsid w:val="004024EE"/>
    <w:rsid w:val="0040356D"/>
    <w:rsid w:val="00405403"/>
    <w:rsid w:val="00405863"/>
    <w:rsid w:val="004059D7"/>
    <w:rsid w:val="00407CD6"/>
    <w:rsid w:val="004107C3"/>
    <w:rsid w:val="0041123A"/>
    <w:rsid w:val="00411B00"/>
    <w:rsid w:val="004141DA"/>
    <w:rsid w:val="00414C24"/>
    <w:rsid w:val="00417ECA"/>
    <w:rsid w:val="00420525"/>
    <w:rsid w:val="00420ED2"/>
    <w:rsid w:val="0042138D"/>
    <w:rsid w:val="00425AF5"/>
    <w:rsid w:val="00425F2A"/>
    <w:rsid w:val="00427C73"/>
    <w:rsid w:val="00430350"/>
    <w:rsid w:val="00430A39"/>
    <w:rsid w:val="0043119B"/>
    <w:rsid w:val="004319F6"/>
    <w:rsid w:val="004328D9"/>
    <w:rsid w:val="00432C06"/>
    <w:rsid w:val="004335D7"/>
    <w:rsid w:val="0043362E"/>
    <w:rsid w:val="00433B5F"/>
    <w:rsid w:val="00433D73"/>
    <w:rsid w:val="0043401B"/>
    <w:rsid w:val="0043438C"/>
    <w:rsid w:val="00435A2A"/>
    <w:rsid w:val="00435DC7"/>
    <w:rsid w:val="0043715C"/>
    <w:rsid w:val="00437567"/>
    <w:rsid w:val="00437D98"/>
    <w:rsid w:val="004401E0"/>
    <w:rsid w:val="004402B9"/>
    <w:rsid w:val="004405C6"/>
    <w:rsid w:val="00442B77"/>
    <w:rsid w:val="00442DBD"/>
    <w:rsid w:val="00444560"/>
    <w:rsid w:val="00444CF2"/>
    <w:rsid w:val="0044547E"/>
    <w:rsid w:val="004459F4"/>
    <w:rsid w:val="00445CAE"/>
    <w:rsid w:val="0044630E"/>
    <w:rsid w:val="0044724E"/>
    <w:rsid w:val="004472BC"/>
    <w:rsid w:val="004472DB"/>
    <w:rsid w:val="00447526"/>
    <w:rsid w:val="00447896"/>
    <w:rsid w:val="00447A49"/>
    <w:rsid w:val="004501AD"/>
    <w:rsid w:val="0045023C"/>
    <w:rsid w:val="00450E03"/>
    <w:rsid w:val="00450FEE"/>
    <w:rsid w:val="00451038"/>
    <w:rsid w:val="004512C3"/>
    <w:rsid w:val="0045239B"/>
    <w:rsid w:val="00452CBB"/>
    <w:rsid w:val="00452F32"/>
    <w:rsid w:val="00453126"/>
    <w:rsid w:val="004546E5"/>
    <w:rsid w:val="00455992"/>
    <w:rsid w:val="004564C8"/>
    <w:rsid w:val="004566E5"/>
    <w:rsid w:val="00456A79"/>
    <w:rsid w:val="0046014C"/>
    <w:rsid w:val="00460F7D"/>
    <w:rsid w:val="00460FD7"/>
    <w:rsid w:val="00461C0C"/>
    <w:rsid w:val="00463024"/>
    <w:rsid w:val="00463365"/>
    <w:rsid w:val="00463733"/>
    <w:rsid w:val="0046392A"/>
    <w:rsid w:val="004644DF"/>
    <w:rsid w:val="00465CC1"/>
    <w:rsid w:val="004669DB"/>
    <w:rsid w:val="00467B36"/>
    <w:rsid w:val="00471330"/>
    <w:rsid w:val="004720FE"/>
    <w:rsid w:val="0047224C"/>
    <w:rsid w:val="00473A1E"/>
    <w:rsid w:val="00473B0F"/>
    <w:rsid w:val="00473C51"/>
    <w:rsid w:val="00474902"/>
    <w:rsid w:val="00474CDC"/>
    <w:rsid w:val="00474D78"/>
    <w:rsid w:val="00476207"/>
    <w:rsid w:val="00476274"/>
    <w:rsid w:val="00480308"/>
    <w:rsid w:val="004803E2"/>
    <w:rsid w:val="004806D0"/>
    <w:rsid w:val="004807C0"/>
    <w:rsid w:val="00481181"/>
    <w:rsid w:val="004812F3"/>
    <w:rsid w:val="00482110"/>
    <w:rsid w:val="00483089"/>
    <w:rsid w:val="0048358B"/>
    <w:rsid w:val="00483882"/>
    <w:rsid w:val="0048474D"/>
    <w:rsid w:val="00485BA2"/>
    <w:rsid w:val="00485D8B"/>
    <w:rsid w:val="00486753"/>
    <w:rsid w:val="00486B08"/>
    <w:rsid w:val="00487875"/>
    <w:rsid w:val="00490799"/>
    <w:rsid w:val="00491B67"/>
    <w:rsid w:val="004921CE"/>
    <w:rsid w:val="00493857"/>
    <w:rsid w:val="00493A68"/>
    <w:rsid w:val="004946A7"/>
    <w:rsid w:val="004950D9"/>
    <w:rsid w:val="0049688D"/>
    <w:rsid w:val="00497704"/>
    <w:rsid w:val="00497C83"/>
    <w:rsid w:val="004A03CE"/>
    <w:rsid w:val="004A0CF6"/>
    <w:rsid w:val="004A11E6"/>
    <w:rsid w:val="004A17FE"/>
    <w:rsid w:val="004A1B54"/>
    <w:rsid w:val="004A1D3C"/>
    <w:rsid w:val="004A2659"/>
    <w:rsid w:val="004A4098"/>
    <w:rsid w:val="004A4FD5"/>
    <w:rsid w:val="004A5B26"/>
    <w:rsid w:val="004A5ECB"/>
    <w:rsid w:val="004A7514"/>
    <w:rsid w:val="004A7D25"/>
    <w:rsid w:val="004B0AB6"/>
    <w:rsid w:val="004B1406"/>
    <w:rsid w:val="004B3247"/>
    <w:rsid w:val="004B5BFA"/>
    <w:rsid w:val="004C3A3D"/>
    <w:rsid w:val="004C4442"/>
    <w:rsid w:val="004C45F9"/>
    <w:rsid w:val="004C477E"/>
    <w:rsid w:val="004C4C60"/>
    <w:rsid w:val="004C51D9"/>
    <w:rsid w:val="004C5B28"/>
    <w:rsid w:val="004C5BCF"/>
    <w:rsid w:val="004C66FB"/>
    <w:rsid w:val="004C6BCB"/>
    <w:rsid w:val="004D09F1"/>
    <w:rsid w:val="004D1479"/>
    <w:rsid w:val="004D157D"/>
    <w:rsid w:val="004D1AA7"/>
    <w:rsid w:val="004E0B21"/>
    <w:rsid w:val="004E1810"/>
    <w:rsid w:val="004E1A9D"/>
    <w:rsid w:val="004E23FD"/>
    <w:rsid w:val="004E2789"/>
    <w:rsid w:val="004E29AB"/>
    <w:rsid w:val="004E3719"/>
    <w:rsid w:val="004E39E3"/>
    <w:rsid w:val="004E41A3"/>
    <w:rsid w:val="004E4D1C"/>
    <w:rsid w:val="004E4E39"/>
    <w:rsid w:val="004E54C9"/>
    <w:rsid w:val="004E55F2"/>
    <w:rsid w:val="004E5ED0"/>
    <w:rsid w:val="004E6556"/>
    <w:rsid w:val="004E7B20"/>
    <w:rsid w:val="004F108E"/>
    <w:rsid w:val="004F128D"/>
    <w:rsid w:val="004F23BD"/>
    <w:rsid w:val="004F2C34"/>
    <w:rsid w:val="004F33E7"/>
    <w:rsid w:val="004F433E"/>
    <w:rsid w:val="004F5680"/>
    <w:rsid w:val="004F6B8C"/>
    <w:rsid w:val="004F6E69"/>
    <w:rsid w:val="004F7866"/>
    <w:rsid w:val="004F7AC8"/>
    <w:rsid w:val="00501A8F"/>
    <w:rsid w:val="00502739"/>
    <w:rsid w:val="0050345D"/>
    <w:rsid w:val="0050419E"/>
    <w:rsid w:val="0050482F"/>
    <w:rsid w:val="00505771"/>
    <w:rsid w:val="00507846"/>
    <w:rsid w:val="0050794A"/>
    <w:rsid w:val="00507DB5"/>
    <w:rsid w:val="00511284"/>
    <w:rsid w:val="0051249A"/>
    <w:rsid w:val="0051255F"/>
    <w:rsid w:val="00512986"/>
    <w:rsid w:val="00512E25"/>
    <w:rsid w:val="00513FE2"/>
    <w:rsid w:val="00514EF3"/>
    <w:rsid w:val="00514F86"/>
    <w:rsid w:val="00515E01"/>
    <w:rsid w:val="00516325"/>
    <w:rsid w:val="005171E7"/>
    <w:rsid w:val="0051723D"/>
    <w:rsid w:val="005177C3"/>
    <w:rsid w:val="005206E8"/>
    <w:rsid w:val="00520F41"/>
    <w:rsid w:val="005210B1"/>
    <w:rsid w:val="00522C02"/>
    <w:rsid w:val="00522F1F"/>
    <w:rsid w:val="0052319C"/>
    <w:rsid w:val="005231C5"/>
    <w:rsid w:val="0052375C"/>
    <w:rsid w:val="0052414B"/>
    <w:rsid w:val="0052521B"/>
    <w:rsid w:val="005259B2"/>
    <w:rsid w:val="005265F0"/>
    <w:rsid w:val="0052666B"/>
    <w:rsid w:val="0052792B"/>
    <w:rsid w:val="0052798C"/>
    <w:rsid w:val="0053069C"/>
    <w:rsid w:val="005306F4"/>
    <w:rsid w:val="005316FF"/>
    <w:rsid w:val="0053193B"/>
    <w:rsid w:val="00531D5E"/>
    <w:rsid w:val="0053255E"/>
    <w:rsid w:val="005325BA"/>
    <w:rsid w:val="005325EA"/>
    <w:rsid w:val="00533341"/>
    <w:rsid w:val="005338CB"/>
    <w:rsid w:val="00536780"/>
    <w:rsid w:val="00541F6A"/>
    <w:rsid w:val="00542000"/>
    <w:rsid w:val="005421D5"/>
    <w:rsid w:val="0054230D"/>
    <w:rsid w:val="0054247F"/>
    <w:rsid w:val="00546310"/>
    <w:rsid w:val="0054644E"/>
    <w:rsid w:val="0054652F"/>
    <w:rsid w:val="00546E66"/>
    <w:rsid w:val="0055016F"/>
    <w:rsid w:val="00550C71"/>
    <w:rsid w:val="005512E9"/>
    <w:rsid w:val="005515C3"/>
    <w:rsid w:val="00551901"/>
    <w:rsid w:val="0055298F"/>
    <w:rsid w:val="00553BCD"/>
    <w:rsid w:val="00554663"/>
    <w:rsid w:val="00554977"/>
    <w:rsid w:val="00554D17"/>
    <w:rsid w:val="005577DB"/>
    <w:rsid w:val="00560011"/>
    <w:rsid w:val="00560284"/>
    <w:rsid w:val="00560FB6"/>
    <w:rsid w:val="0056292D"/>
    <w:rsid w:val="005629DD"/>
    <w:rsid w:val="00562D82"/>
    <w:rsid w:val="00563B39"/>
    <w:rsid w:val="00563EE0"/>
    <w:rsid w:val="0056441B"/>
    <w:rsid w:val="005644B4"/>
    <w:rsid w:val="00565E13"/>
    <w:rsid w:val="00566547"/>
    <w:rsid w:val="00566974"/>
    <w:rsid w:val="00567538"/>
    <w:rsid w:val="005700D3"/>
    <w:rsid w:val="00571706"/>
    <w:rsid w:val="005727BF"/>
    <w:rsid w:val="00573283"/>
    <w:rsid w:val="005735C2"/>
    <w:rsid w:val="005735E1"/>
    <w:rsid w:val="00574D21"/>
    <w:rsid w:val="00575647"/>
    <w:rsid w:val="00575FCE"/>
    <w:rsid w:val="0057672B"/>
    <w:rsid w:val="00577CD4"/>
    <w:rsid w:val="00577D1A"/>
    <w:rsid w:val="005806A9"/>
    <w:rsid w:val="00582216"/>
    <w:rsid w:val="00582D90"/>
    <w:rsid w:val="00583710"/>
    <w:rsid w:val="005861C8"/>
    <w:rsid w:val="005863E1"/>
    <w:rsid w:val="0058651F"/>
    <w:rsid w:val="00586529"/>
    <w:rsid w:val="00587E90"/>
    <w:rsid w:val="00590ED1"/>
    <w:rsid w:val="00591159"/>
    <w:rsid w:val="00591542"/>
    <w:rsid w:val="00591605"/>
    <w:rsid w:val="005932E4"/>
    <w:rsid w:val="005953D1"/>
    <w:rsid w:val="00596437"/>
    <w:rsid w:val="00597B4E"/>
    <w:rsid w:val="005A1D70"/>
    <w:rsid w:val="005A2ED5"/>
    <w:rsid w:val="005A3773"/>
    <w:rsid w:val="005A3D9B"/>
    <w:rsid w:val="005A3E47"/>
    <w:rsid w:val="005A60CF"/>
    <w:rsid w:val="005A77C6"/>
    <w:rsid w:val="005B0EBC"/>
    <w:rsid w:val="005B21A8"/>
    <w:rsid w:val="005B3032"/>
    <w:rsid w:val="005B39FA"/>
    <w:rsid w:val="005B4022"/>
    <w:rsid w:val="005B4339"/>
    <w:rsid w:val="005B5787"/>
    <w:rsid w:val="005B691C"/>
    <w:rsid w:val="005B6D65"/>
    <w:rsid w:val="005B72DD"/>
    <w:rsid w:val="005C1143"/>
    <w:rsid w:val="005C1517"/>
    <w:rsid w:val="005C17E9"/>
    <w:rsid w:val="005C2C8B"/>
    <w:rsid w:val="005C2CC4"/>
    <w:rsid w:val="005C37BE"/>
    <w:rsid w:val="005C6BC3"/>
    <w:rsid w:val="005C7C87"/>
    <w:rsid w:val="005D1527"/>
    <w:rsid w:val="005D214A"/>
    <w:rsid w:val="005D4632"/>
    <w:rsid w:val="005D67E2"/>
    <w:rsid w:val="005D68FF"/>
    <w:rsid w:val="005D6E98"/>
    <w:rsid w:val="005D6F83"/>
    <w:rsid w:val="005D746D"/>
    <w:rsid w:val="005D7687"/>
    <w:rsid w:val="005D78B0"/>
    <w:rsid w:val="005D7D09"/>
    <w:rsid w:val="005E1F22"/>
    <w:rsid w:val="005E2735"/>
    <w:rsid w:val="005E341A"/>
    <w:rsid w:val="005E4230"/>
    <w:rsid w:val="005E494D"/>
    <w:rsid w:val="005E54DD"/>
    <w:rsid w:val="005E6342"/>
    <w:rsid w:val="005E695B"/>
    <w:rsid w:val="005E69D7"/>
    <w:rsid w:val="005E6CB9"/>
    <w:rsid w:val="005F0562"/>
    <w:rsid w:val="005F0BF6"/>
    <w:rsid w:val="005F0D15"/>
    <w:rsid w:val="005F0DED"/>
    <w:rsid w:val="005F1147"/>
    <w:rsid w:val="005F1242"/>
    <w:rsid w:val="005F34CA"/>
    <w:rsid w:val="005F39FA"/>
    <w:rsid w:val="005F3EE3"/>
    <w:rsid w:val="005F413E"/>
    <w:rsid w:val="005F4EFD"/>
    <w:rsid w:val="005F5E77"/>
    <w:rsid w:val="00600768"/>
    <w:rsid w:val="00601694"/>
    <w:rsid w:val="00601DBF"/>
    <w:rsid w:val="00601F67"/>
    <w:rsid w:val="006034FA"/>
    <w:rsid w:val="00603856"/>
    <w:rsid w:val="00604775"/>
    <w:rsid w:val="006048B9"/>
    <w:rsid w:val="00604B5E"/>
    <w:rsid w:val="006059D1"/>
    <w:rsid w:val="00610640"/>
    <w:rsid w:val="00610A95"/>
    <w:rsid w:val="00610F01"/>
    <w:rsid w:val="00611B50"/>
    <w:rsid w:val="006124CD"/>
    <w:rsid w:val="00612687"/>
    <w:rsid w:val="00613189"/>
    <w:rsid w:val="006137A0"/>
    <w:rsid w:val="0061523E"/>
    <w:rsid w:val="00615587"/>
    <w:rsid w:val="00616D0A"/>
    <w:rsid w:val="00617617"/>
    <w:rsid w:val="00620119"/>
    <w:rsid w:val="0062028A"/>
    <w:rsid w:val="006245EE"/>
    <w:rsid w:val="00624916"/>
    <w:rsid w:val="00624C31"/>
    <w:rsid w:val="006272B2"/>
    <w:rsid w:val="00627CAD"/>
    <w:rsid w:val="0063074A"/>
    <w:rsid w:val="006317F3"/>
    <w:rsid w:val="0063280A"/>
    <w:rsid w:val="00632B76"/>
    <w:rsid w:val="00632E03"/>
    <w:rsid w:val="00633AF6"/>
    <w:rsid w:val="00636435"/>
    <w:rsid w:val="006369DB"/>
    <w:rsid w:val="0063710B"/>
    <w:rsid w:val="006371FD"/>
    <w:rsid w:val="00637CFA"/>
    <w:rsid w:val="0064066E"/>
    <w:rsid w:val="0064078F"/>
    <w:rsid w:val="006412C4"/>
    <w:rsid w:val="0064206D"/>
    <w:rsid w:val="006422BA"/>
    <w:rsid w:val="00643223"/>
    <w:rsid w:val="00643B18"/>
    <w:rsid w:val="006449A8"/>
    <w:rsid w:val="006466D4"/>
    <w:rsid w:val="00647647"/>
    <w:rsid w:val="00647F3E"/>
    <w:rsid w:val="0065019F"/>
    <w:rsid w:val="00650261"/>
    <w:rsid w:val="006505D6"/>
    <w:rsid w:val="0065108C"/>
    <w:rsid w:val="00651F22"/>
    <w:rsid w:val="00652D30"/>
    <w:rsid w:val="00652E26"/>
    <w:rsid w:val="006549B9"/>
    <w:rsid w:val="00654F46"/>
    <w:rsid w:val="00655082"/>
    <w:rsid w:val="006553F3"/>
    <w:rsid w:val="006574AD"/>
    <w:rsid w:val="0066136E"/>
    <w:rsid w:val="00661E97"/>
    <w:rsid w:val="00662143"/>
    <w:rsid w:val="00662E16"/>
    <w:rsid w:val="00663016"/>
    <w:rsid w:val="006638D7"/>
    <w:rsid w:val="006639CC"/>
    <w:rsid w:val="0066450E"/>
    <w:rsid w:val="00666551"/>
    <w:rsid w:val="00666DCB"/>
    <w:rsid w:val="00676CB9"/>
    <w:rsid w:val="00676E9B"/>
    <w:rsid w:val="0068130E"/>
    <w:rsid w:val="00681953"/>
    <w:rsid w:val="00681FCD"/>
    <w:rsid w:val="006825B3"/>
    <w:rsid w:val="00682E46"/>
    <w:rsid w:val="006841D9"/>
    <w:rsid w:val="006847AE"/>
    <w:rsid w:val="00684BAD"/>
    <w:rsid w:val="006853E4"/>
    <w:rsid w:val="00685793"/>
    <w:rsid w:val="0068639B"/>
    <w:rsid w:val="0068686B"/>
    <w:rsid w:val="00687A46"/>
    <w:rsid w:val="00687C96"/>
    <w:rsid w:val="006900C6"/>
    <w:rsid w:val="006905CE"/>
    <w:rsid w:val="00690CDA"/>
    <w:rsid w:val="00691110"/>
    <w:rsid w:val="00693224"/>
    <w:rsid w:val="00693C4B"/>
    <w:rsid w:val="00695384"/>
    <w:rsid w:val="00696490"/>
    <w:rsid w:val="006A02E7"/>
    <w:rsid w:val="006A1B36"/>
    <w:rsid w:val="006A2AEE"/>
    <w:rsid w:val="006A2B03"/>
    <w:rsid w:val="006A365A"/>
    <w:rsid w:val="006A481E"/>
    <w:rsid w:val="006A6AEC"/>
    <w:rsid w:val="006A70F2"/>
    <w:rsid w:val="006A7299"/>
    <w:rsid w:val="006A7D56"/>
    <w:rsid w:val="006A7F22"/>
    <w:rsid w:val="006B03BF"/>
    <w:rsid w:val="006B0A62"/>
    <w:rsid w:val="006B10E0"/>
    <w:rsid w:val="006B20CB"/>
    <w:rsid w:val="006B21B4"/>
    <w:rsid w:val="006B2F52"/>
    <w:rsid w:val="006B4641"/>
    <w:rsid w:val="006B4F80"/>
    <w:rsid w:val="006B571A"/>
    <w:rsid w:val="006B5E84"/>
    <w:rsid w:val="006B6908"/>
    <w:rsid w:val="006B75FC"/>
    <w:rsid w:val="006B7E81"/>
    <w:rsid w:val="006C072A"/>
    <w:rsid w:val="006C0CF1"/>
    <w:rsid w:val="006C2271"/>
    <w:rsid w:val="006C26C1"/>
    <w:rsid w:val="006C2F2F"/>
    <w:rsid w:val="006C31AA"/>
    <w:rsid w:val="006C3BF3"/>
    <w:rsid w:val="006C3EF8"/>
    <w:rsid w:val="006C3F54"/>
    <w:rsid w:val="006C3FAA"/>
    <w:rsid w:val="006C437B"/>
    <w:rsid w:val="006C61B5"/>
    <w:rsid w:val="006C6244"/>
    <w:rsid w:val="006C68D6"/>
    <w:rsid w:val="006C6DCF"/>
    <w:rsid w:val="006D1B35"/>
    <w:rsid w:val="006D1BD8"/>
    <w:rsid w:val="006D31BA"/>
    <w:rsid w:val="006D3F88"/>
    <w:rsid w:val="006D54AC"/>
    <w:rsid w:val="006D6B2E"/>
    <w:rsid w:val="006D7483"/>
    <w:rsid w:val="006D778C"/>
    <w:rsid w:val="006E0622"/>
    <w:rsid w:val="006E1478"/>
    <w:rsid w:val="006E1ED2"/>
    <w:rsid w:val="006E2039"/>
    <w:rsid w:val="006E2BBC"/>
    <w:rsid w:val="006E336D"/>
    <w:rsid w:val="006E395E"/>
    <w:rsid w:val="006E4CD7"/>
    <w:rsid w:val="006E4E60"/>
    <w:rsid w:val="006E52A5"/>
    <w:rsid w:val="006E52DD"/>
    <w:rsid w:val="006E5DCE"/>
    <w:rsid w:val="006E76F6"/>
    <w:rsid w:val="006E79A8"/>
    <w:rsid w:val="006F1803"/>
    <w:rsid w:val="006F2794"/>
    <w:rsid w:val="006F2C40"/>
    <w:rsid w:val="006F2D00"/>
    <w:rsid w:val="006F3810"/>
    <w:rsid w:val="006F47C3"/>
    <w:rsid w:val="006F573C"/>
    <w:rsid w:val="007009AF"/>
    <w:rsid w:val="007016AD"/>
    <w:rsid w:val="0070180C"/>
    <w:rsid w:val="00702AC4"/>
    <w:rsid w:val="007035E1"/>
    <w:rsid w:val="00703F0A"/>
    <w:rsid w:val="00706C04"/>
    <w:rsid w:val="00710939"/>
    <w:rsid w:val="00713CD8"/>
    <w:rsid w:val="00713D53"/>
    <w:rsid w:val="00716948"/>
    <w:rsid w:val="00716ED7"/>
    <w:rsid w:val="007172A2"/>
    <w:rsid w:val="00717B84"/>
    <w:rsid w:val="0072108A"/>
    <w:rsid w:val="007214FF"/>
    <w:rsid w:val="007221F7"/>
    <w:rsid w:val="00722ABE"/>
    <w:rsid w:val="00723380"/>
    <w:rsid w:val="00725295"/>
    <w:rsid w:val="007253DF"/>
    <w:rsid w:val="00725801"/>
    <w:rsid w:val="00726EBE"/>
    <w:rsid w:val="007278F3"/>
    <w:rsid w:val="00727FCE"/>
    <w:rsid w:val="0073003B"/>
    <w:rsid w:val="00730865"/>
    <w:rsid w:val="00730976"/>
    <w:rsid w:val="00730AE3"/>
    <w:rsid w:val="00730E97"/>
    <w:rsid w:val="00731152"/>
    <w:rsid w:val="007311F0"/>
    <w:rsid w:val="0073189B"/>
    <w:rsid w:val="00731ED9"/>
    <w:rsid w:val="007332A6"/>
    <w:rsid w:val="007336A5"/>
    <w:rsid w:val="00733F0B"/>
    <w:rsid w:val="00733F34"/>
    <w:rsid w:val="00734C51"/>
    <w:rsid w:val="007351E6"/>
    <w:rsid w:val="007370A7"/>
    <w:rsid w:val="00737CBF"/>
    <w:rsid w:val="00737DEF"/>
    <w:rsid w:val="007405A4"/>
    <w:rsid w:val="00741597"/>
    <w:rsid w:val="00743451"/>
    <w:rsid w:val="0074396D"/>
    <w:rsid w:val="007444A9"/>
    <w:rsid w:val="00746968"/>
    <w:rsid w:val="007469FC"/>
    <w:rsid w:val="00746F7F"/>
    <w:rsid w:val="007479E0"/>
    <w:rsid w:val="0075039B"/>
    <w:rsid w:val="00750425"/>
    <w:rsid w:val="007506A5"/>
    <w:rsid w:val="00750FC3"/>
    <w:rsid w:val="00751088"/>
    <w:rsid w:val="00751329"/>
    <w:rsid w:val="00752825"/>
    <w:rsid w:val="00752ACF"/>
    <w:rsid w:val="00752C69"/>
    <w:rsid w:val="007534F0"/>
    <w:rsid w:val="00753BDC"/>
    <w:rsid w:val="00753D1D"/>
    <w:rsid w:val="0075480D"/>
    <w:rsid w:val="00755366"/>
    <w:rsid w:val="00756AEB"/>
    <w:rsid w:val="007574FF"/>
    <w:rsid w:val="00757D56"/>
    <w:rsid w:val="00757E89"/>
    <w:rsid w:val="00761115"/>
    <w:rsid w:val="00762C3F"/>
    <w:rsid w:val="007632CF"/>
    <w:rsid w:val="00765653"/>
    <w:rsid w:val="007660C0"/>
    <w:rsid w:val="0076639E"/>
    <w:rsid w:val="00766761"/>
    <w:rsid w:val="0076734B"/>
    <w:rsid w:val="00767644"/>
    <w:rsid w:val="00767E76"/>
    <w:rsid w:val="00770872"/>
    <w:rsid w:val="007715D4"/>
    <w:rsid w:val="0077192F"/>
    <w:rsid w:val="007738DB"/>
    <w:rsid w:val="0077495A"/>
    <w:rsid w:val="00774F0F"/>
    <w:rsid w:val="007769F7"/>
    <w:rsid w:val="00777187"/>
    <w:rsid w:val="0077724F"/>
    <w:rsid w:val="00780A35"/>
    <w:rsid w:val="00780C82"/>
    <w:rsid w:val="007810FE"/>
    <w:rsid w:val="00782300"/>
    <w:rsid w:val="00782A69"/>
    <w:rsid w:val="00782E79"/>
    <w:rsid w:val="007830E3"/>
    <w:rsid w:val="00783C26"/>
    <w:rsid w:val="00783E53"/>
    <w:rsid w:val="00784B1F"/>
    <w:rsid w:val="00786452"/>
    <w:rsid w:val="00787AE0"/>
    <w:rsid w:val="00787CEC"/>
    <w:rsid w:val="00787E0A"/>
    <w:rsid w:val="00790852"/>
    <w:rsid w:val="007909CC"/>
    <w:rsid w:val="00790C3B"/>
    <w:rsid w:val="007913F7"/>
    <w:rsid w:val="007914E7"/>
    <w:rsid w:val="00792055"/>
    <w:rsid w:val="0079215F"/>
    <w:rsid w:val="0079231C"/>
    <w:rsid w:val="007931B5"/>
    <w:rsid w:val="00793B93"/>
    <w:rsid w:val="00794414"/>
    <w:rsid w:val="00794E68"/>
    <w:rsid w:val="0079501F"/>
    <w:rsid w:val="007955FD"/>
    <w:rsid w:val="00795DA6"/>
    <w:rsid w:val="00797763"/>
    <w:rsid w:val="00797791"/>
    <w:rsid w:val="00797FC3"/>
    <w:rsid w:val="007A078E"/>
    <w:rsid w:val="007A0EB2"/>
    <w:rsid w:val="007A0EE0"/>
    <w:rsid w:val="007A134C"/>
    <w:rsid w:val="007A2494"/>
    <w:rsid w:val="007A275A"/>
    <w:rsid w:val="007A27A7"/>
    <w:rsid w:val="007A3455"/>
    <w:rsid w:val="007A395D"/>
    <w:rsid w:val="007A3C15"/>
    <w:rsid w:val="007A4B45"/>
    <w:rsid w:val="007A4D2A"/>
    <w:rsid w:val="007A50DB"/>
    <w:rsid w:val="007A689D"/>
    <w:rsid w:val="007A7F08"/>
    <w:rsid w:val="007B002C"/>
    <w:rsid w:val="007B0800"/>
    <w:rsid w:val="007B0CB4"/>
    <w:rsid w:val="007B1130"/>
    <w:rsid w:val="007B1A7B"/>
    <w:rsid w:val="007B1E5E"/>
    <w:rsid w:val="007B2E97"/>
    <w:rsid w:val="007B3026"/>
    <w:rsid w:val="007B34FD"/>
    <w:rsid w:val="007B422F"/>
    <w:rsid w:val="007B461D"/>
    <w:rsid w:val="007B59B3"/>
    <w:rsid w:val="007B5DF6"/>
    <w:rsid w:val="007C284F"/>
    <w:rsid w:val="007C3342"/>
    <w:rsid w:val="007C39CF"/>
    <w:rsid w:val="007C5D9E"/>
    <w:rsid w:val="007C698E"/>
    <w:rsid w:val="007C6BDB"/>
    <w:rsid w:val="007C74C7"/>
    <w:rsid w:val="007C7C52"/>
    <w:rsid w:val="007D0377"/>
    <w:rsid w:val="007D1C20"/>
    <w:rsid w:val="007D237C"/>
    <w:rsid w:val="007D2733"/>
    <w:rsid w:val="007D3192"/>
    <w:rsid w:val="007D32AF"/>
    <w:rsid w:val="007D4432"/>
    <w:rsid w:val="007D4A93"/>
    <w:rsid w:val="007D4CA0"/>
    <w:rsid w:val="007D5EA9"/>
    <w:rsid w:val="007D6B52"/>
    <w:rsid w:val="007D6C2A"/>
    <w:rsid w:val="007D77B0"/>
    <w:rsid w:val="007D7CE7"/>
    <w:rsid w:val="007E1292"/>
    <w:rsid w:val="007E2143"/>
    <w:rsid w:val="007E25D2"/>
    <w:rsid w:val="007E2B43"/>
    <w:rsid w:val="007E2CF1"/>
    <w:rsid w:val="007E2D16"/>
    <w:rsid w:val="007E328E"/>
    <w:rsid w:val="007E3A43"/>
    <w:rsid w:val="007E3B15"/>
    <w:rsid w:val="007E43F1"/>
    <w:rsid w:val="007E4F85"/>
    <w:rsid w:val="007E533E"/>
    <w:rsid w:val="007E565A"/>
    <w:rsid w:val="007E57CB"/>
    <w:rsid w:val="007E601C"/>
    <w:rsid w:val="007E61A8"/>
    <w:rsid w:val="007E67A3"/>
    <w:rsid w:val="007E78F8"/>
    <w:rsid w:val="007E7BC9"/>
    <w:rsid w:val="007F015A"/>
    <w:rsid w:val="007F1200"/>
    <w:rsid w:val="007F126F"/>
    <w:rsid w:val="007F1FC3"/>
    <w:rsid w:val="007F26A4"/>
    <w:rsid w:val="007F483F"/>
    <w:rsid w:val="007F503C"/>
    <w:rsid w:val="007F551E"/>
    <w:rsid w:val="007F5CF9"/>
    <w:rsid w:val="007F67CC"/>
    <w:rsid w:val="007F7913"/>
    <w:rsid w:val="00800452"/>
    <w:rsid w:val="0080113F"/>
    <w:rsid w:val="00801369"/>
    <w:rsid w:val="0080148F"/>
    <w:rsid w:val="00801C4F"/>
    <w:rsid w:val="00801F26"/>
    <w:rsid w:val="008021E9"/>
    <w:rsid w:val="008025D3"/>
    <w:rsid w:val="00802A37"/>
    <w:rsid w:val="00802EB0"/>
    <w:rsid w:val="0080413F"/>
    <w:rsid w:val="008044B6"/>
    <w:rsid w:val="0080516A"/>
    <w:rsid w:val="008063D9"/>
    <w:rsid w:val="00806586"/>
    <w:rsid w:val="0080748E"/>
    <w:rsid w:val="00807C27"/>
    <w:rsid w:val="00807ECC"/>
    <w:rsid w:val="00811E43"/>
    <w:rsid w:val="00813344"/>
    <w:rsid w:val="008137A4"/>
    <w:rsid w:val="008149BD"/>
    <w:rsid w:val="00815C05"/>
    <w:rsid w:val="00816B45"/>
    <w:rsid w:val="0081763F"/>
    <w:rsid w:val="00817CF5"/>
    <w:rsid w:val="00817D25"/>
    <w:rsid w:val="00820804"/>
    <w:rsid w:val="00820F80"/>
    <w:rsid w:val="00822754"/>
    <w:rsid w:val="00822873"/>
    <w:rsid w:val="00822B61"/>
    <w:rsid w:val="00823481"/>
    <w:rsid w:val="00823BEC"/>
    <w:rsid w:val="00823E74"/>
    <w:rsid w:val="00824BEB"/>
    <w:rsid w:val="0082527B"/>
    <w:rsid w:val="00825C64"/>
    <w:rsid w:val="00825F9D"/>
    <w:rsid w:val="00827A3A"/>
    <w:rsid w:val="0083171E"/>
    <w:rsid w:val="00831A8A"/>
    <w:rsid w:val="00831EB2"/>
    <w:rsid w:val="008330E5"/>
    <w:rsid w:val="00834A64"/>
    <w:rsid w:val="0083616E"/>
    <w:rsid w:val="00836D76"/>
    <w:rsid w:val="008375F7"/>
    <w:rsid w:val="00840403"/>
    <w:rsid w:val="00842576"/>
    <w:rsid w:val="008434D3"/>
    <w:rsid w:val="008448D0"/>
    <w:rsid w:val="0084561E"/>
    <w:rsid w:val="008458CC"/>
    <w:rsid w:val="00846995"/>
    <w:rsid w:val="008477B9"/>
    <w:rsid w:val="00847AE2"/>
    <w:rsid w:val="00851058"/>
    <w:rsid w:val="00852377"/>
    <w:rsid w:val="00852B1A"/>
    <w:rsid w:val="00855519"/>
    <w:rsid w:val="00855ABE"/>
    <w:rsid w:val="008561E8"/>
    <w:rsid w:val="00856345"/>
    <w:rsid w:val="00856458"/>
    <w:rsid w:val="0085666E"/>
    <w:rsid w:val="0085667C"/>
    <w:rsid w:val="00856B05"/>
    <w:rsid w:val="008578E7"/>
    <w:rsid w:val="00857BFF"/>
    <w:rsid w:val="0086030E"/>
    <w:rsid w:val="008622A9"/>
    <w:rsid w:val="008630EA"/>
    <w:rsid w:val="00863523"/>
    <w:rsid w:val="008643FA"/>
    <w:rsid w:val="00864724"/>
    <w:rsid w:val="00865006"/>
    <w:rsid w:val="008655F4"/>
    <w:rsid w:val="00865A19"/>
    <w:rsid w:val="00865BD8"/>
    <w:rsid w:val="00866E4C"/>
    <w:rsid w:val="008702F3"/>
    <w:rsid w:val="008710E7"/>
    <w:rsid w:val="00871D38"/>
    <w:rsid w:val="00871FA3"/>
    <w:rsid w:val="0087230C"/>
    <w:rsid w:val="00872E00"/>
    <w:rsid w:val="00872E07"/>
    <w:rsid w:val="0087331F"/>
    <w:rsid w:val="008733E5"/>
    <w:rsid w:val="0087401F"/>
    <w:rsid w:val="0087416A"/>
    <w:rsid w:val="00874184"/>
    <w:rsid w:val="00875547"/>
    <w:rsid w:val="00875946"/>
    <w:rsid w:val="00875993"/>
    <w:rsid w:val="00875F84"/>
    <w:rsid w:val="0087652A"/>
    <w:rsid w:val="008765B1"/>
    <w:rsid w:val="00876AC6"/>
    <w:rsid w:val="008770F4"/>
    <w:rsid w:val="0087774E"/>
    <w:rsid w:val="00877F00"/>
    <w:rsid w:val="00880C45"/>
    <w:rsid w:val="008810BB"/>
    <w:rsid w:val="00881539"/>
    <w:rsid w:val="00881B6D"/>
    <w:rsid w:val="00881C0E"/>
    <w:rsid w:val="008825C3"/>
    <w:rsid w:val="008831EC"/>
    <w:rsid w:val="0088384C"/>
    <w:rsid w:val="008848BF"/>
    <w:rsid w:val="00884BF6"/>
    <w:rsid w:val="008865D7"/>
    <w:rsid w:val="008865EC"/>
    <w:rsid w:val="00890851"/>
    <w:rsid w:val="008914E6"/>
    <w:rsid w:val="00891B4E"/>
    <w:rsid w:val="00892069"/>
    <w:rsid w:val="008932AD"/>
    <w:rsid w:val="0089500A"/>
    <w:rsid w:val="0089527B"/>
    <w:rsid w:val="00895CBC"/>
    <w:rsid w:val="008970CF"/>
    <w:rsid w:val="00897447"/>
    <w:rsid w:val="008A0284"/>
    <w:rsid w:val="008A1545"/>
    <w:rsid w:val="008A17B1"/>
    <w:rsid w:val="008A208E"/>
    <w:rsid w:val="008A4B8B"/>
    <w:rsid w:val="008A5BFD"/>
    <w:rsid w:val="008A631F"/>
    <w:rsid w:val="008B1131"/>
    <w:rsid w:val="008B236F"/>
    <w:rsid w:val="008B254E"/>
    <w:rsid w:val="008B3993"/>
    <w:rsid w:val="008B3FC7"/>
    <w:rsid w:val="008B4CB2"/>
    <w:rsid w:val="008B512C"/>
    <w:rsid w:val="008B5221"/>
    <w:rsid w:val="008B5328"/>
    <w:rsid w:val="008B6870"/>
    <w:rsid w:val="008B68EA"/>
    <w:rsid w:val="008B7666"/>
    <w:rsid w:val="008B7B0A"/>
    <w:rsid w:val="008B7B47"/>
    <w:rsid w:val="008B7ECF"/>
    <w:rsid w:val="008C02C0"/>
    <w:rsid w:val="008C07B3"/>
    <w:rsid w:val="008C0BCC"/>
    <w:rsid w:val="008C3122"/>
    <w:rsid w:val="008C3881"/>
    <w:rsid w:val="008C4D81"/>
    <w:rsid w:val="008C5480"/>
    <w:rsid w:val="008C6F3D"/>
    <w:rsid w:val="008D05E4"/>
    <w:rsid w:val="008D13EB"/>
    <w:rsid w:val="008D1FE3"/>
    <w:rsid w:val="008D27C0"/>
    <w:rsid w:val="008D2A27"/>
    <w:rsid w:val="008D3FF1"/>
    <w:rsid w:val="008D4068"/>
    <w:rsid w:val="008D4078"/>
    <w:rsid w:val="008D4914"/>
    <w:rsid w:val="008D4C0D"/>
    <w:rsid w:val="008D4EE7"/>
    <w:rsid w:val="008D5196"/>
    <w:rsid w:val="008D5350"/>
    <w:rsid w:val="008D5722"/>
    <w:rsid w:val="008D74F4"/>
    <w:rsid w:val="008E050D"/>
    <w:rsid w:val="008E1504"/>
    <w:rsid w:val="008E1531"/>
    <w:rsid w:val="008E1EEA"/>
    <w:rsid w:val="008E252C"/>
    <w:rsid w:val="008E282E"/>
    <w:rsid w:val="008E313F"/>
    <w:rsid w:val="008E419D"/>
    <w:rsid w:val="008E4918"/>
    <w:rsid w:val="008E605A"/>
    <w:rsid w:val="008E614F"/>
    <w:rsid w:val="008E6672"/>
    <w:rsid w:val="008E68D7"/>
    <w:rsid w:val="008E7FDA"/>
    <w:rsid w:val="008F0224"/>
    <w:rsid w:val="008F26C3"/>
    <w:rsid w:val="008F68E4"/>
    <w:rsid w:val="008F6D97"/>
    <w:rsid w:val="009007FB"/>
    <w:rsid w:val="00901477"/>
    <w:rsid w:val="0090163F"/>
    <w:rsid w:val="0090327A"/>
    <w:rsid w:val="00904BA0"/>
    <w:rsid w:val="009051F5"/>
    <w:rsid w:val="009057C9"/>
    <w:rsid w:val="00906EC5"/>
    <w:rsid w:val="0090729C"/>
    <w:rsid w:val="009072D8"/>
    <w:rsid w:val="00907D02"/>
    <w:rsid w:val="00910DA7"/>
    <w:rsid w:val="0091137B"/>
    <w:rsid w:val="00911441"/>
    <w:rsid w:val="00911DED"/>
    <w:rsid w:val="00912101"/>
    <w:rsid w:val="00912772"/>
    <w:rsid w:val="00912D33"/>
    <w:rsid w:val="009135CA"/>
    <w:rsid w:val="009144B5"/>
    <w:rsid w:val="009145BD"/>
    <w:rsid w:val="00914B28"/>
    <w:rsid w:val="009152EE"/>
    <w:rsid w:val="0091606E"/>
    <w:rsid w:val="009170FD"/>
    <w:rsid w:val="0091736C"/>
    <w:rsid w:val="009174FC"/>
    <w:rsid w:val="00917574"/>
    <w:rsid w:val="0092207E"/>
    <w:rsid w:val="0092394E"/>
    <w:rsid w:val="00923962"/>
    <w:rsid w:val="00923C51"/>
    <w:rsid w:val="009243F4"/>
    <w:rsid w:val="00924A7B"/>
    <w:rsid w:val="00925F69"/>
    <w:rsid w:val="0092639D"/>
    <w:rsid w:val="00926873"/>
    <w:rsid w:val="0093048C"/>
    <w:rsid w:val="00931488"/>
    <w:rsid w:val="00931DDA"/>
    <w:rsid w:val="009335BD"/>
    <w:rsid w:val="00933D00"/>
    <w:rsid w:val="009400B5"/>
    <w:rsid w:val="00940E34"/>
    <w:rsid w:val="00940EEC"/>
    <w:rsid w:val="00941AE9"/>
    <w:rsid w:val="00942393"/>
    <w:rsid w:val="00942476"/>
    <w:rsid w:val="00942A68"/>
    <w:rsid w:val="00942AE9"/>
    <w:rsid w:val="00943710"/>
    <w:rsid w:val="009453DD"/>
    <w:rsid w:val="00945C56"/>
    <w:rsid w:val="009460F8"/>
    <w:rsid w:val="0094628E"/>
    <w:rsid w:val="00946A6D"/>
    <w:rsid w:val="009505EE"/>
    <w:rsid w:val="009507C4"/>
    <w:rsid w:val="00951E43"/>
    <w:rsid w:val="009542C5"/>
    <w:rsid w:val="00955F67"/>
    <w:rsid w:val="00957405"/>
    <w:rsid w:val="00957CC8"/>
    <w:rsid w:val="00957DAF"/>
    <w:rsid w:val="00960DF9"/>
    <w:rsid w:val="00961056"/>
    <w:rsid w:val="00961789"/>
    <w:rsid w:val="009636F1"/>
    <w:rsid w:val="009639ED"/>
    <w:rsid w:val="00963A4C"/>
    <w:rsid w:val="00964334"/>
    <w:rsid w:val="00964851"/>
    <w:rsid w:val="00965823"/>
    <w:rsid w:val="00965F86"/>
    <w:rsid w:val="00967DD3"/>
    <w:rsid w:val="00967F9F"/>
    <w:rsid w:val="00970732"/>
    <w:rsid w:val="0097075A"/>
    <w:rsid w:val="00970994"/>
    <w:rsid w:val="00971E2B"/>
    <w:rsid w:val="009725B2"/>
    <w:rsid w:val="00973AAC"/>
    <w:rsid w:val="00974C3B"/>
    <w:rsid w:val="00975047"/>
    <w:rsid w:val="009753FD"/>
    <w:rsid w:val="00975E79"/>
    <w:rsid w:val="00976191"/>
    <w:rsid w:val="009763EA"/>
    <w:rsid w:val="0097705E"/>
    <w:rsid w:val="00980438"/>
    <w:rsid w:val="00980B22"/>
    <w:rsid w:val="00981502"/>
    <w:rsid w:val="00981EB1"/>
    <w:rsid w:val="0098391F"/>
    <w:rsid w:val="00985961"/>
    <w:rsid w:val="00985C9C"/>
    <w:rsid w:val="00985D34"/>
    <w:rsid w:val="009861BC"/>
    <w:rsid w:val="00986313"/>
    <w:rsid w:val="009873E8"/>
    <w:rsid w:val="009878BA"/>
    <w:rsid w:val="00990DD4"/>
    <w:rsid w:val="00990DE8"/>
    <w:rsid w:val="0099244A"/>
    <w:rsid w:val="00992F0C"/>
    <w:rsid w:val="00993669"/>
    <w:rsid w:val="00993AAB"/>
    <w:rsid w:val="00993DF2"/>
    <w:rsid w:val="00995292"/>
    <w:rsid w:val="00996102"/>
    <w:rsid w:val="0099675B"/>
    <w:rsid w:val="009A0269"/>
    <w:rsid w:val="009A28AE"/>
    <w:rsid w:val="009A3500"/>
    <w:rsid w:val="009A46E5"/>
    <w:rsid w:val="009A486B"/>
    <w:rsid w:val="009A4ACF"/>
    <w:rsid w:val="009A5C26"/>
    <w:rsid w:val="009A6690"/>
    <w:rsid w:val="009A6DAB"/>
    <w:rsid w:val="009A6EC9"/>
    <w:rsid w:val="009A731A"/>
    <w:rsid w:val="009A756F"/>
    <w:rsid w:val="009A75FF"/>
    <w:rsid w:val="009B0B3A"/>
    <w:rsid w:val="009B1303"/>
    <w:rsid w:val="009B1E5C"/>
    <w:rsid w:val="009B22B7"/>
    <w:rsid w:val="009B2747"/>
    <w:rsid w:val="009B320B"/>
    <w:rsid w:val="009B6ABB"/>
    <w:rsid w:val="009B6DDC"/>
    <w:rsid w:val="009B76F0"/>
    <w:rsid w:val="009B7BAA"/>
    <w:rsid w:val="009C02E6"/>
    <w:rsid w:val="009C0A93"/>
    <w:rsid w:val="009C0BEE"/>
    <w:rsid w:val="009C0C26"/>
    <w:rsid w:val="009C235A"/>
    <w:rsid w:val="009C3AE1"/>
    <w:rsid w:val="009C5D97"/>
    <w:rsid w:val="009C7197"/>
    <w:rsid w:val="009C7200"/>
    <w:rsid w:val="009C73C5"/>
    <w:rsid w:val="009D21F2"/>
    <w:rsid w:val="009D3562"/>
    <w:rsid w:val="009D46FA"/>
    <w:rsid w:val="009D4B08"/>
    <w:rsid w:val="009D563F"/>
    <w:rsid w:val="009D5DD6"/>
    <w:rsid w:val="009D667C"/>
    <w:rsid w:val="009E0DBA"/>
    <w:rsid w:val="009E108A"/>
    <w:rsid w:val="009E1B95"/>
    <w:rsid w:val="009E1FB3"/>
    <w:rsid w:val="009E334C"/>
    <w:rsid w:val="009E3AB4"/>
    <w:rsid w:val="009E425A"/>
    <w:rsid w:val="009E4D07"/>
    <w:rsid w:val="009E4E5C"/>
    <w:rsid w:val="009E510F"/>
    <w:rsid w:val="009E55F0"/>
    <w:rsid w:val="009E685F"/>
    <w:rsid w:val="009F0809"/>
    <w:rsid w:val="009F2440"/>
    <w:rsid w:val="009F2C68"/>
    <w:rsid w:val="009F3310"/>
    <w:rsid w:val="009F3716"/>
    <w:rsid w:val="009F4064"/>
    <w:rsid w:val="009F4B04"/>
    <w:rsid w:val="009F4CAE"/>
    <w:rsid w:val="009F564B"/>
    <w:rsid w:val="009F5897"/>
    <w:rsid w:val="009F642E"/>
    <w:rsid w:val="009F66AE"/>
    <w:rsid w:val="00A005AB"/>
    <w:rsid w:val="00A005E5"/>
    <w:rsid w:val="00A0337A"/>
    <w:rsid w:val="00A0382F"/>
    <w:rsid w:val="00A038D2"/>
    <w:rsid w:val="00A03B8B"/>
    <w:rsid w:val="00A04888"/>
    <w:rsid w:val="00A049F3"/>
    <w:rsid w:val="00A04F30"/>
    <w:rsid w:val="00A051EF"/>
    <w:rsid w:val="00A053B7"/>
    <w:rsid w:val="00A061E0"/>
    <w:rsid w:val="00A06638"/>
    <w:rsid w:val="00A06651"/>
    <w:rsid w:val="00A07239"/>
    <w:rsid w:val="00A0785B"/>
    <w:rsid w:val="00A07968"/>
    <w:rsid w:val="00A07F6B"/>
    <w:rsid w:val="00A1016C"/>
    <w:rsid w:val="00A10471"/>
    <w:rsid w:val="00A10D55"/>
    <w:rsid w:val="00A112CA"/>
    <w:rsid w:val="00A12A51"/>
    <w:rsid w:val="00A12D78"/>
    <w:rsid w:val="00A14505"/>
    <w:rsid w:val="00A14C4D"/>
    <w:rsid w:val="00A1780B"/>
    <w:rsid w:val="00A17B51"/>
    <w:rsid w:val="00A17CBA"/>
    <w:rsid w:val="00A21E52"/>
    <w:rsid w:val="00A23133"/>
    <w:rsid w:val="00A235B3"/>
    <w:rsid w:val="00A235F4"/>
    <w:rsid w:val="00A243ED"/>
    <w:rsid w:val="00A250BE"/>
    <w:rsid w:val="00A2580B"/>
    <w:rsid w:val="00A26D30"/>
    <w:rsid w:val="00A26F31"/>
    <w:rsid w:val="00A2759E"/>
    <w:rsid w:val="00A27C78"/>
    <w:rsid w:val="00A3076B"/>
    <w:rsid w:val="00A30F6D"/>
    <w:rsid w:val="00A31E27"/>
    <w:rsid w:val="00A3281E"/>
    <w:rsid w:val="00A328F8"/>
    <w:rsid w:val="00A32D61"/>
    <w:rsid w:val="00A33015"/>
    <w:rsid w:val="00A33891"/>
    <w:rsid w:val="00A339B0"/>
    <w:rsid w:val="00A341ED"/>
    <w:rsid w:val="00A34B37"/>
    <w:rsid w:val="00A360D8"/>
    <w:rsid w:val="00A3644C"/>
    <w:rsid w:val="00A37C2E"/>
    <w:rsid w:val="00A37EDE"/>
    <w:rsid w:val="00A40100"/>
    <w:rsid w:val="00A40305"/>
    <w:rsid w:val="00A40DB5"/>
    <w:rsid w:val="00A40F4D"/>
    <w:rsid w:val="00A4126D"/>
    <w:rsid w:val="00A41544"/>
    <w:rsid w:val="00A41B35"/>
    <w:rsid w:val="00A42C9A"/>
    <w:rsid w:val="00A44329"/>
    <w:rsid w:val="00A44BE1"/>
    <w:rsid w:val="00A46484"/>
    <w:rsid w:val="00A467C0"/>
    <w:rsid w:val="00A46DF1"/>
    <w:rsid w:val="00A47E6F"/>
    <w:rsid w:val="00A50856"/>
    <w:rsid w:val="00A5121D"/>
    <w:rsid w:val="00A51D3B"/>
    <w:rsid w:val="00A520F2"/>
    <w:rsid w:val="00A52D71"/>
    <w:rsid w:val="00A52E60"/>
    <w:rsid w:val="00A5321E"/>
    <w:rsid w:val="00A538FA"/>
    <w:rsid w:val="00A53DC5"/>
    <w:rsid w:val="00A54FE2"/>
    <w:rsid w:val="00A5589F"/>
    <w:rsid w:val="00A56AFB"/>
    <w:rsid w:val="00A57314"/>
    <w:rsid w:val="00A57858"/>
    <w:rsid w:val="00A60659"/>
    <w:rsid w:val="00A6086F"/>
    <w:rsid w:val="00A608D2"/>
    <w:rsid w:val="00A60F7E"/>
    <w:rsid w:val="00A61EAA"/>
    <w:rsid w:val="00A62AF6"/>
    <w:rsid w:val="00A62B98"/>
    <w:rsid w:val="00A62DED"/>
    <w:rsid w:val="00A6396B"/>
    <w:rsid w:val="00A64255"/>
    <w:rsid w:val="00A64261"/>
    <w:rsid w:val="00A65C43"/>
    <w:rsid w:val="00A66773"/>
    <w:rsid w:val="00A66B56"/>
    <w:rsid w:val="00A67AC4"/>
    <w:rsid w:val="00A7060C"/>
    <w:rsid w:val="00A71523"/>
    <w:rsid w:val="00A73580"/>
    <w:rsid w:val="00A73F99"/>
    <w:rsid w:val="00A74049"/>
    <w:rsid w:val="00A74748"/>
    <w:rsid w:val="00A753D5"/>
    <w:rsid w:val="00A755A2"/>
    <w:rsid w:val="00A7595A"/>
    <w:rsid w:val="00A769DD"/>
    <w:rsid w:val="00A807A6"/>
    <w:rsid w:val="00A80D91"/>
    <w:rsid w:val="00A80ECB"/>
    <w:rsid w:val="00A80FE8"/>
    <w:rsid w:val="00A81CCA"/>
    <w:rsid w:val="00A8346F"/>
    <w:rsid w:val="00A83E07"/>
    <w:rsid w:val="00A846A9"/>
    <w:rsid w:val="00A84E08"/>
    <w:rsid w:val="00A85C7C"/>
    <w:rsid w:val="00A86158"/>
    <w:rsid w:val="00A86855"/>
    <w:rsid w:val="00A8722D"/>
    <w:rsid w:val="00A90743"/>
    <w:rsid w:val="00A91CC5"/>
    <w:rsid w:val="00A92DF0"/>
    <w:rsid w:val="00A93430"/>
    <w:rsid w:val="00A945C8"/>
    <w:rsid w:val="00A95D18"/>
    <w:rsid w:val="00A95F52"/>
    <w:rsid w:val="00A962B0"/>
    <w:rsid w:val="00A974EA"/>
    <w:rsid w:val="00A97ADF"/>
    <w:rsid w:val="00AA0278"/>
    <w:rsid w:val="00AA036C"/>
    <w:rsid w:val="00AA11C0"/>
    <w:rsid w:val="00AA1722"/>
    <w:rsid w:val="00AA2A71"/>
    <w:rsid w:val="00AA2D03"/>
    <w:rsid w:val="00AA44E3"/>
    <w:rsid w:val="00AA5955"/>
    <w:rsid w:val="00AB02A4"/>
    <w:rsid w:val="00AB0812"/>
    <w:rsid w:val="00AB0C52"/>
    <w:rsid w:val="00AB0FA8"/>
    <w:rsid w:val="00AB1669"/>
    <w:rsid w:val="00AB2A23"/>
    <w:rsid w:val="00AB2D9A"/>
    <w:rsid w:val="00AB31F8"/>
    <w:rsid w:val="00AB34AD"/>
    <w:rsid w:val="00AB4FE3"/>
    <w:rsid w:val="00AB5E5A"/>
    <w:rsid w:val="00AB7B07"/>
    <w:rsid w:val="00AC13AD"/>
    <w:rsid w:val="00AC2370"/>
    <w:rsid w:val="00AC314C"/>
    <w:rsid w:val="00AC3514"/>
    <w:rsid w:val="00AC4075"/>
    <w:rsid w:val="00AC5B26"/>
    <w:rsid w:val="00AC65FC"/>
    <w:rsid w:val="00AD2A80"/>
    <w:rsid w:val="00AD2BCF"/>
    <w:rsid w:val="00AD3D2B"/>
    <w:rsid w:val="00AD53F0"/>
    <w:rsid w:val="00AD663F"/>
    <w:rsid w:val="00AD7432"/>
    <w:rsid w:val="00AE1EA7"/>
    <w:rsid w:val="00AE29E1"/>
    <w:rsid w:val="00AE417A"/>
    <w:rsid w:val="00AE4AB0"/>
    <w:rsid w:val="00AE4B1E"/>
    <w:rsid w:val="00AE4EBF"/>
    <w:rsid w:val="00AE51F4"/>
    <w:rsid w:val="00AE5510"/>
    <w:rsid w:val="00AE5662"/>
    <w:rsid w:val="00AE575E"/>
    <w:rsid w:val="00AE6066"/>
    <w:rsid w:val="00AE6778"/>
    <w:rsid w:val="00AE7196"/>
    <w:rsid w:val="00AF0E10"/>
    <w:rsid w:val="00AF1F7F"/>
    <w:rsid w:val="00AF2A2A"/>
    <w:rsid w:val="00AF367C"/>
    <w:rsid w:val="00AF4342"/>
    <w:rsid w:val="00AF4880"/>
    <w:rsid w:val="00AF54D7"/>
    <w:rsid w:val="00AF6011"/>
    <w:rsid w:val="00AF6691"/>
    <w:rsid w:val="00AF6887"/>
    <w:rsid w:val="00AF6969"/>
    <w:rsid w:val="00AF7627"/>
    <w:rsid w:val="00AF7769"/>
    <w:rsid w:val="00AF7BDD"/>
    <w:rsid w:val="00AF7D1A"/>
    <w:rsid w:val="00B02B29"/>
    <w:rsid w:val="00B0381D"/>
    <w:rsid w:val="00B04A7D"/>
    <w:rsid w:val="00B04D7E"/>
    <w:rsid w:val="00B05980"/>
    <w:rsid w:val="00B05ECA"/>
    <w:rsid w:val="00B06611"/>
    <w:rsid w:val="00B06921"/>
    <w:rsid w:val="00B06F4F"/>
    <w:rsid w:val="00B1011A"/>
    <w:rsid w:val="00B10454"/>
    <w:rsid w:val="00B10651"/>
    <w:rsid w:val="00B10BA8"/>
    <w:rsid w:val="00B112D0"/>
    <w:rsid w:val="00B11ACC"/>
    <w:rsid w:val="00B11F55"/>
    <w:rsid w:val="00B12B21"/>
    <w:rsid w:val="00B1478E"/>
    <w:rsid w:val="00B166DE"/>
    <w:rsid w:val="00B16785"/>
    <w:rsid w:val="00B170B8"/>
    <w:rsid w:val="00B172E3"/>
    <w:rsid w:val="00B17390"/>
    <w:rsid w:val="00B173CC"/>
    <w:rsid w:val="00B17713"/>
    <w:rsid w:val="00B2046C"/>
    <w:rsid w:val="00B2117E"/>
    <w:rsid w:val="00B21419"/>
    <w:rsid w:val="00B21C74"/>
    <w:rsid w:val="00B23328"/>
    <w:rsid w:val="00B23781"/>
    <w:rsid w:val="00B23CA0"/>
    <w:rsid w:val="00B252ED"/>
    <w:rsid w:val="00B25434"/>
    <w:rsid w:val="00B255A2"/>
    <w:rsid w:val="00B2567B"/>
    <w:rsid w:val="00B25D64"/>
    <w:rsid w:val="00B27F4A"/>
    <w:rsid w:val="00B30B95"/>
    <w:rsid w:val="00B33675"/>
    <w:rsid w:val="00B33FDD"/>
    <w:rsid w:val="00B34547"/>
    <w:rsid w:val="00B34B51"/>
    <w:rsid w:val="00B3669D"/>
    <w:rsid w:val="00B379D2"/>
    <w:rsid w:val="00B4045F"/>
    <w:rsid w:val="00B4124E"/>
    <w:rsid w:val="00B4179C"/>
    <w:rsid w:val="00B41B73"/>
    <w:rsid w:val="00B41DE1"/>
    <w:rsid w:val="00B42106"/>
    <w:rsid w:val="00B424A1"/>
    <w:rsid w:val="00B424FA"/>
    <w:rsid w:val="00B42E68"/>
    <w:rsid w:val="00B43BD5"/>
    <w:rsid w:val="00B4671D"/>
    <w:rsid w:val="00B467B3"/>
    <w:rsid w:val="00B46CA0"/>
    <w:rsid w:val="00B46D05"/>
    <w:rsid w:val="00B47614"/>
    <w:rsid w:val="00B477BA"/>
    <w:rsid w:val="00B478D4"/>
    <w:rsid w:val="00B47BC3"/>
    <w:rsid w:val="00B47C57"/>
    <w:rsid w:val="00B5007A"/>
    <w:rsid w:val="00B50891"/>
    <w:rsid w:val="00B50F31"/>
    <w:rsid w:val="00B515B7"/>
    <w:rsid w:val="00B51F2F"/>
    <w:rsid w:val="00B52664"/>
    <w:rsid w:val="00B52FBD"/>
    <w:rsid w:val="00B534AB"/>
    <w:rsid w:val="00B55170"/>
    <w:rsid w:val="00B55653"/>
    <w:rsid w:val="00B55A3D"/>
    <w:rsid w:val="00B56532"/>
    <w:rsid w:val="00B575B3"/>
    <w:rsid w:val="00B602F7"/>
    <w:rsid w:val="00B61AD0"/>
    <w:rsid w:val="00B61B6C"/>
    <w:rsid w:val="00B623E8"/>
    <w:rsid w:val="00B62417"/>
    <w:rsid w:val="00B62BA7"/>
    <w:rsid w:val="00B6466D"/>
    <w:rsid w:val="00B65606"/>
    <w:rsid w:val="00B65675"/>
    <w:rsid w:val="00B660CB"/>
    <w:rsid w:val="00B66570"/>
    <w:rsid w:val="00B66D0C"/>
    <w:rsid w:val="00B67E5A"/>
    <w:rsid w:val="00B701A3"/>
    <w:rsid w:val="00B70219"/>
    <w:rsid w:val="00B716DA"/>
    <w:rsid w:val="00B71FE9"/>
    <w:rsid w:val="00B72294"/>
    <w:rsid w:val="00B72E6E"/>
    <w:rsid w:val="00B73962"/>
    <w:rsid w:val="00B73D07"/>
    <w:rsid w:val="00B73D0C"/>
    <w:rsid w:val="00B74C0F"/>
    <w:rsid w:val="00B75497"/>
    <w:rsid w:val="00B759FD"/>
    <w:rsid w:val="00B7767E"/>
    <w:rsid w:val="00B819FA"/>
    <w:rsid w:val="00B833A6"/>
    <w:rsid w:val="00B837D6"/>
    <w:rsid w:val="00B83B22"/>
    <w:rsid w:val="00B856A7"/>
    <w:rsid w:val="00B85C61"/>
    <w:rsid w:val="00B86DD2"/>
    <w:rsid w:val="00B87067"/>
    <w:rsid w:val="00B87B2A"/>
    <w:rsid w:val="00B87CB9"/>
    <w:rsid w:val="00B90113"/>
    <w:rsid w:val="00B912A7"/>
    <w:rsid w:val="00B92A15"/>
    <w:rsid w:val="00B92FE0"/>
    <w:rsid w:val="00B93962"/>
    <w:rsid w:val="00B93F6B"/>
    <w:rsid w:val="00B9411D"/>
    <w:rsid w:val="00B95D55"/>
    <w:rsid w:val="00B965E1"/>
    <w:rsid w:val="00B967A4"/>
    <w:rsid w:val="00B9697C"/>
    <w:rsid w:val="00B970A2"/>
    <w:rsid w:val="00B97A73"/>
    <w:rsid w:val="00B97CBA"/>
    <w:rsid w:val="00B97FB1"/>
    <w:rsid w:val="00BA017C"/>
    <w:rsid w:val="00BA0224"/>
    <w:rsid w:val="00BA19C7"/>
    <w:rsid w:val="00BA2527"/>
    <w:rsid w:val="00BA29D3"/>
    <w:rsid w:val="00BA3DCF"/>
    <w:rsid w:val="00BA4450"/>
    <w:rsid w:val="00BA4ADF"/>
    <w:rsid w:val="00BA4D71"/>
    <w:rsid w:val="00BA5E8A"/>
    <w:rsid w:val="00BA5FC1"/>
    <w:rsid w:val="00BA6734"/>
    <w:rsid w:val="00BA6AE2"/>
    <w:rsid w:val="00BB0DEC"/>
    <w:rsid w:val="00BB1B3C"/>
    <w:rsid w:val="00BB26D1"/>
    <w:rsid w:val="00BB3393"/>
    <w:rsid w:val="00BB3431"/>
    <w:rsid w:val="00BB3947"/>
    <w:rsid w:val="00BB3E5B"/>
    <w:rsid w:val="00BB4180"/>
    <w:rsid w:val="00BB439F"/>
    <w:rsid w:val="00BB47B5"/>
    <w:rsid w:val="00BB53E9"/>
    <w:rsid w:val="00BB594F"/>
    <w:rsid w:val="00BB6021"/>
    <w:rsid w:val="00BB6823"/>
    <w:rsid w:val="00BB6C44"/>
    <w:rsid w:val="00BB7E1D"/>
    <w:rsid w:val="00BC0FD7"/>
    <w:rsid w:val="00BC1FD3"/>
    <w:rsid w:val="00BC255F"/>
    <w:rsid w:val="00BC3655"/>
    <w:rsid w:val="00BC36D9"/>
    <w:rsid w:val="00BC3F0D"/>
    <w:rsid w:val="00BC48BE"/>
    <w:rsid w:val="00BC5113"/>
    <w:rsid w:val="00BC6DDC"/>
    <w:rsid w:val="00BC6EDD"/>
    <w:rsid w:val="00BC701E"/>
    <w:rsid w:val="00BC70A9"/>
    <w:rsid w:val="00BC71AB"/>
    <w:rsid w:val="00BC7641"/>
    <w:rsid w:val="00BD0253"/>
    <w:rsid w:val="00BD07C1"/>
    <w:rsid w:val="00BD091D"/>
    <w:rsid w:val="00BD15FB"/>
    <w:rsid w:val="00BD2D01"/>
    <w:rsid w:val="00BD43A9"/>
    <w:rsid w:val="00BD5668"/>
    <w:rsid w:val="00BD56AC"/>
    <w:rsid w:val="00BD595B"/>
    <w:rsid w:val="00BD59ED"/>
    <w:rsid w:val="00BD670E"/>
    <w:rsid w:val="00BD675E"/>
    <w:rsid w:val="00BD6931"/>
    <w:rsid w:val="00BD77F2"/>
    <w:rsid w:val="00BE0052"/>
    <w:rsid w:val="00BE171A"/>
    <w:rsid w:val="00BE2640"/>
    <w:rsid w:val="00BE3BE2"/>
    <w:rsid w:val="00BE3F45"/>
    <w:rsid w:val="00BE48DB"/>
    <w:rsid w:val="00BE7211"/>
    <w:rsid w:val="00BE76ED"/>
    <w:rsid w:val="00BF1ACF"/>
    <w:rsid w:val="00BF2252"/>
    <w:rsid w:val="00BF2543"/>
    <w:rsid w:val="00BF257F"/>
    <w:rsid w:val="00BF2BC7"/>
    <w:rsid w:val="00BF2ECF"/>
    <w:rsid w:val="00BF368F"/>
    <w:rsid w:val="00BF36C4"/>
    <w:rsid w:val="00BF3735"/>
    <w:rsid w:val="00BF3DF7"/>
    <w:rsid w:val="00BF3E4D"/>
    <w:rsid w:val="00BF4541"/>
    <w:rsid w:val="00BF5156"/>
    <w:rsid w:val="00BF58E1"/>
    <w:rsid w:val="00BF5C59"/>
    <w:rsid w:val="00BF623D"/>
    <w:rsid w:val="00BF746E"/>
    <w:rsid w:val="00BF7EAB"/>
    <w:rsid w:val="00BF7F81"/>
    <w:rsid w:val="00C00009"/>
    <w:rsid w:val="00C00C83"/>
    <w:rsid w:val="00C01386"/>
    <w:rsid w:val="00C014F3"/>
    <w:rsid w:val="00C01B9F"/>
    <w:rsid w:val="00C02121"/>
    <w:rsid w:val="00C05871"/>
    <w:rsid w:val="00C05C2C"/>
    <w:rsid w:val="00C06521"/>
    <w:rsid w:val="00C06661"/>
    <w:rsid w:val="00C06974"/>
    <w:rsid w:val="00C06D97"/>
    <w:rsid w:val="00C10F50"/>
    <w:rsid w:val="00C112D7"/>
    <w:rsid w:val="00C122ED"/>
    <w:rsid w:val="00C123D9"/>
    <w:rsid w:val="00C1437D"/>
    <w:rsid w:val="00C147A3"/>
    <w:rsid w:val="00C14B3C"/>
    <w:rsid w:val="00C20D8A"/>
    <w:rsid w:val="00C21408"/>
    <w:rsid w:val="00C21476"/>
    <w:rsid w:val="00C22AE8"/>
    <w:rsid w:val="00C23C6A"/>
    <w:rsid w:val="00C24BE9"/>
    <w:rsid w:val="00C25CAF"/>
    <w:rsid w:val="00C269DF"/>
    <w:rsid w:val="00C26EE2"/>
    <w:rsid w:val="00C2701D"/>
    <w:rsid w:val="00C31264"/>
    <w:rsid w:val="00C31D92"/>
    <w:rsid w:val="00C324C4"/>
    <w:rsid w:val="00C32818"/>
    <w:rsid w:val="00C32AA5"/>
    <w:rsid w:val="00C33444"/>
    <w:rsid w:val="00C3379D"/>
    <w:rsid w:val="00C339B9"/>
    <w:rsid w:val="00C33E36"/>
    <w:rsid w:val="00C34777"/>
    <w:rsid w:val="00C35553"/>
    <w:rsid w:val="00C35AE5"/>
    <w:rsid w:val="00C35B27"/>
    <w:rsid w:val="00C40B34"/>
    <w:rsid w:val="00C40EEE"/>
    <w:rsid w:val="00C41CC1"/>
    <w:rsid w:val="00C42A9A"/>
    <w:rsid w:val="00C431A0"/>
    <w:rsid w:val="00C43760"/>
    <w:rsid w:val="00C44806"/>
    <w:rsid w:val="00C44DC0"/>
    <w:rsid w:val="00C47364"/>
    <w:rsid w:val="00C50211"/>
    <w:rsid w:val="00C50D27"/>
    <w:rsid w:val="00C51448"/>
    <w:rsid w:val="00C51611"/>
    <w:rsid w:val="00C51E58"/>
    <w:rsid w:val="00C52499"/>
    <w:rsid w:val="00C5467E"/>
    <w:rsid w:val="00C55C7C"/>
    <w:rsid w:val="00C57FA2"/>
    <w:rsid w:val="00C608AC"/>
    <w:rsid w:val="00C618D5"/>
    <w:rsid w:val="00C61B44"/>
    <w:rsid w:val="00C61CAB"/>
    <w:rsid w:val="00C62D95"/>
    <w:rsid w:val="00C630F2"/>
    <w:rsid w:val="00C63474"/>
    <w:rsid w:val="00C64377"/>
    <w:rsid w:val="00C649C1"/>
    <w:rsid w:val="00C64E71"/>
    <w:rsid w:val="00C64EF0"/>
    <w:rsid w:val="00C66470"/>
    <w:rsid w:val="00C71646"/>
    <w:rsid w:val="00C7185D"/>
    <w:rsid w:val="00C73756"/>
    <w:rsid w:val="00C73F99"/>
    <w:rsid w:val="00C75405"/>
    <w:rsid w:val="00C76C1B"/>
    <w:rsid w:val="00C76E2C"/>
    <w:rsid w:val="00C778DD"/>
    <w:rsid w:val="00C77D03"/>
    <w:rsid w:val="00C80110"/>
    <w:rsid w:val="00C804FB"/>
    <w:rsid w:val="00C80C4D"/>
    <w:rsid w:val="00C8139F"/>
    <w:rsid w:val="00C817EA"/>
    <w:rsid w:val="00C81985"/>
    <w:rsid w:val="00C81D4B"/>
    <w:rsid w:val="00C82EDD"/>
    <w:rsid w:val="00C83226"/>
    <w:rsid w:val="00C83345"/>
    <w:rsid w:val="00C83D5B"/>
    <w:rsid w:val="00C83F11"/>
    <w:rsid w:val="00C84742"/>
    <w:rsid w:val="00C854B0"/>
    <w:rsid w:val="00C85D2E"/>
    <w:rsid w:val="00C861A3"/>
    <w:rsid w:val="00C86728"/>
    <w:rsid w:val="00C914AB"/>
    <w:rsid w:val="00C91729"/>
    <w:rsid w:val="00C922EB"/>
    <w:rsid w:val="00C922FE"/>
    <w:rsid w:val="00C925BF"/>
    <w:rsid w:val="00C92694"/>
    <w:rsid w:val="00C92901"/>
    <w:rsid w:val="00C929E7"/>
    <w:rsid w:val="00C9488B"/>
    <w:rsid w:val="00C96BEA"/>
    <w:rsid w:val="00C9797E"/>
    <w:rsid w:val="00C97EF2"/>
    <w:rsid w:val="00CA1172"/>
    <w:rsid w:val="00CA2E0C"/>
    <w:rsid w:val="00CA421D"/>
    <w:rsid w:val="00CA50E2"/>
    <w:rsid w:val="00CA5614"/>
    <w:rsid w:val="00CA65C2"/>
    <w:rsid w:val="00CA67D9"/>
    <w:rsid w:val="00CB0220"/>
    <w:rsid w:val="00CB1A8A"/>
    <w:rsid w:val="00CB1FC7"/>
    <w:rsid w:val="00CB3CCA"/>
    <w:rsid w:val="00CB3F28"/>
    <w:rsid w:val="00CB50B3"/>
    <w:rsid w:val="00CB6495"/>
    <w:rsid w:val="00CB7B34"/>
    <w:rsid w:val="00CC0BB0"/>
    <w:rsid w:val="00CC0C74"/>
    <w:rsid w:val="00CC0E04"/>
    <w:rsid w:val="00CC1365"/>
    <w:rsid w:val="00CC2220"/>
    <w:rsid w:val="00CC242D"/>
    <w:rsid w:val="00CC25E9"/>
    <w:rsid w:val="00CC2651"/>
    <w:rsid w:val="00CC2C0C"/>
    <w:rsid w:val="00CC31BF"/>
    <w:rsid w:val="00CC37FA"/>
    <w:rsid w:val="00CC4035"/>
    <w:rsid w:val="00CC4202"/>
    <w:rsid w:val="00CC4AEE"/>
    <w:rsid w:val="00CC4EFE"/>
    <w:rsid w:val="00CC5447"/>
    <w:rsid w:val="00CC733D"/>
    <w:rsid w:val="00CC79E3"/>
    <w:rsid w:val="00CC7C2D"/>
    <w:rsid w:val="00CD07E3"/>
    <w:rsid w:val="00CD109E"/>
    <w:rsid w:val="00CD1BA9"/>
    <w:rsid w:val="00CD28EC"/>
    <w:rsid w:val="00CD2A6B"/>
    <w:rsid w:val="00CD2B3A"/>
    <w:rsid w:val="00CD5CA8"/>
    <w:rsid w:val="00CD71BA"/>
    <w:rsid w:val="00CE21FC"/>
    <w:rsid w:val="00CE240E"/>
    <w:rsid w:val="00CE26AA"/>
    <w:rsid w:val="00CE2BCF"/>
    <w:rsid w:val="00CE2C36"/>
    <w:rsid w:val="00CE5E21"/>
    <w:rsid w:val="00CE71BD"/>
    <w:rsid w:val="00CE760F"/>
    <w:rsid w:val="00CE7F13"/>
    <w:rsid w:val="00CF0700"/>
    <w:rsid w:val="00CF0F02"/>
    <w:rsid w:val="00CF118C"/>
    <w:rsid w:val="00CF1DAE"/>
    <w:rsid w:val="00CF39E2"/>
    <w:rsid w:val="00CF4E57"/>
    <w:rsid w:val="00CF51AA"/>
    <w:rsid w:val="00CF6047"/>
    <w:rsid w:val="00CF6BC0"/>
    <w:rsid w:val="00CF6E46"/>
    <w:rsid w:val="00CF75C6"/>
    <w:rsid w:val="00D00EE4"/>
    <w:rsid w:val="00D0189C"/>
    <w:rsid w:val="00D019A5"/>
    <w:rsid w:val="00D01E2A"/>
    <w:rsid w:val="00D022E2"/>
    <w:rsid w:val="00D02683"/>
    <w:rsid w:val="00D03A5B"/>
    <w:rsid w:val="00D045BD"/>
    <w:rsid w:val="00D04A5D"/>
    <w:rsid w:val="00D05B98"/>
    <w:rsid w:val="00D06B85"/>
    <w:rsid w:val="00D0782A"/>
    <w:rsid w:val="00D07E27"/>
    <w:rsid w:val="00D11466"/>
    <w:rsid w:val="00D1160E"/>
    <w:rsid w:val="00D11D1A"/>
    <w:rsid w:val="00D11E3C"/>
    <w:rsid w:val="00D12535"/>
    <w:rsid w:val="00D12F42"/>
    <w:rsid w:val="00D15B41"/>
    <w:rsid w:val="00D15BA3"/>
    <w:rsid w:val="00D16F26"/>
    <w:rsid w:val="00D17566"/>
    <w:rsid w:val="00D179EA"/>
    <w:rsid w:val="00D17FB8"/>
    <w:rsid w:val="00D21460"/>
    <w:rsid w:val="00D22CD4"/>
    <w:rsid w:val="00D23BC3"/>
    <w:rsid w:val="00D249CC"/>
    <w:rsid w:val="00D25C3A"/>
    <w:rsid w:val="00D25C9A"/>
    <w:rsid w:val="00D3056C"/>
    <w:rsid w:val="00D31D4F"/>
    <w:rsid w:val="00D31FA2"/>
    <w:rsid w:val="00D32931"/>
    <w:rsid w:val="00D32EC1"/>
    <w:rsid w:val="00D33123"/>
    <w:rsid w:val="00D33474"/>
    <w:rsid w:val="00D33875"/>
    <w:rsid w:val="00D33E17"/>
    <w:rsid w:val="00D3763D"/>
    <w:rsid w:val="00D40B10"/>
    <w:rsid w:val="00D40DBD"/>
    <w:rsid w:val="00D40E66"/>
    <w:rsid w:val="00D436E3"/>
    <w:rsid w:val="00D43741"/>
    <w:rsid w:val="00D44944"/>
    <w:rsid w:val="00D45999"/>
    <w:rsid w:val="00D45B0A"/>
    <w:rsid w:val="00D45E53"/>
    <w:rsid w:val="00D46447"/>
    <w:rsid w:val="00D46733"/>
    <w:rsid w:val="00D46786"/>
    <w:rsid w:val="00D47907"/>
    <w:rsid w:val="00D47992"/>
    <w:rsid w:val="00D50AC4"/>
    <w:rsid w:val="00D510DB"/>
    <w:rsid w:val="00D51B79"/>
    <w:rsid w:val="00D5250E"/>
    <w:rsid w:val="00D52529"/>
    <w:rsid w:val="00D535B7"/>
    <w:rsid w:val="00D55D02"/>
    <w:rsid w:val="00D56DF7"/>
    <w:rsid w:val="00D57155"/>
    <w:rsid w:val="00D57307"/>
    <w:rsid w:val="00D575D2"/>
    <w:rsid w:val="00D6005F"/>
    <w:rsid w:val="00D602DD"/>
    <w:rsid w:val="00D604EB"/>
    <w:rsid w:val="00D624D8"/>
    <w:rsid w:val="00D64CE7"/>
    <w:rsid w:val="00D65079"/>
    <w:rsid w:val="00D677A5"/>
    <w:rsid w:val="00D7129E"/>
    <w:rsid w:val="00D71471"/>
    <w:rsid w:val="00D72C10"/>
    <w:rsid w:val="00D763E3"/>
    <w:rsid w:val="00D774D0"/>
    <w:rsid w:val="00D80729"/>
    <w:rsid w:val="00D80D49"/>
    <w:rsid w:val="00D81A39"/>
    <w:rsid w:val="00D81BDA"/>
    <w:rsid w:val="00D833A4"/>
    <w:rsid w:val="00D840FA"/>
    <w:rsid w:val="00D8447C"/>
    <w:rsid w:val="00D8483B"/>
    <w:rsid w:val="00D85D7A"/>
    <w:rsid w:val="00D85D8F"/>
    <w:rsid w:val="00D865C6"/>
    <w:rsid w:val="00D867D9"/>
    <w:rsid w:val="00D86EAD"/>
    <w:rsid w:val="00D87243"/>
    <w:rsid w:val="00D87547"/>
    <w:rsid w:val="00D90765"/>
    <w:rsid w:val="00D907AE"/>
    <w:rsid w:val="00D9161A"/>
    <w:rsid w:val="00D91B81"/>
    <w:rsid w:val="00D92793"/>
    <w:rsid w:val="00D92CA1"/>
    <w:rsid w:val="00D93533"/>
    <w:rsid w:val="00D936A8"/>
    <w:rsid w:val="00D94052"/>
    <w:rsid w:val="00D94055"/>
    <w:rsid w:val="00D9423C"/>
    <w:rsid w:val="00D94DC5"/>
    <w:rsid w:val="00D94F55"/>
    <w:rsid w:val="00D9567C"/>
    <w:rsid w:val="00DA002F"/>
    <w:rsid w:val="00DA0556"/>
    <w:rsid w:val="00DA092F"/>
    <w:rsid w:val="00DA14A7"/>
    <w:rsid w:val="00DA1DFD"/>
    <w:rsid w:val="00DA2B17"/>
    <w:rsid w:val="00DA3EA2"/>
    <w:rsid w:val="00DA3F97"/>
    <w:rsid w:val="00DA4884"/>
    <w:rsid w:val="00DA79D0"/>
    <w:rsid w:val="00DB0C7B"/>
    <w:rsid w:val="00DB0FBD"/>
    <w:rsid w:val="00DB15CC"/>
    <w:rsid w:val="00DB37B0"/>
    <w:rsid w:val="00DB526A"/>
    <w:rsid w:val="00DB5DEB"/>
    <w:rsid w:val="00DB6375"/>
    <w:rsid w:val="00DB691E"/>
    <w:rsid w:val="00DB6D2F"/>
    <w:rsid w:val="00DB70A7"/>
    <w:rsid w:val="00DB741A"/>
    <w:rsid w:val="00DB7B94"/>
    <w:rsid w:val="00DC043D"/>
    <w:rsid w:val="00DC0553"/>
    <w:rsid w:val="00DC26BD"/>
    <w:rsid w:val="00DC3180"/>
    <w:rsid w:val="00DC3A13"/>
    <w:rsid w:val="00DC436E"/>
    <w:rsid w:val="00DD1EA6"/>
    <w:rsid w:val="00DD2447"/>
    <w:rsid w:val="00DD351B"/>
    <w:rsid w:val="00DD3774"/>
    <w:rsid w:val="00DD3827"/>
    <w:rsid w:val="00DD4049"/>
    <w:rsid w:val="00DD4411"/>
    <w:rsid w:val="00DD48D2"/>
    <w:rsid w:val="00DD4EA1"/>
    <w:rsid w:val="00DD6D53"/>
    <w:rsid w:val="00DD7D29"/>
    <w:rsid w:val="00DD7EEC"/>
    <w:rsid w:val="00DE016B"/>
    <w:rsid w:val="00DE137D"/>
    <w:rsid w:val="00DE182B"/>
    <w:rsid w:val="00DE2487"/>
    <w:rsid w:val="00DE2B25"/>
    <w:rsid w:val="00DE32CC"/>
    <w:rsid w:val="00DE3400"/>
    <w:rsid w:val="00DE4FF9"/>
    <w:rsid w:val="00DE62D1"/>
    <w:rsid w:val="00DE63C2"/>
    <w:rsid w:val="00DE7F0F"/>
    <w:rsid w:val="00DF3489"/>
    <w:rsid w:val="00DF3D23"/>
    <w:rsid w:val="00DF48A7"/>
    <w:rsid w:val="00DF4FED"/>
    <w:rsid w:val="00DF634B"/>
    <w:rsid w:val="00DF6A52"/>
    <w:rsid w:val="00DF7424"/>
    <w:rsid w:val="00DF7DDA"/>
    <w:rsid w:val="00E02A2F"/>
    <w:rsid w:val="00E02AEE"/>
    <w:rsid w:val="00E03346"/>
    <w:rsid w:val="00E037DB"/>
    <w:rsid w:val="00E04195"/>
    <w:rsid w:val="00E05A3F"/>
    <w:rsid w:val="00E05E16"/>
    <w:rsid w:val="00E05E47"/>
    <w:rsid w:val="00E06BDC"/>
    <w:rsid w:val="00E06EE9"/>
    <w:rsid w:val="00E0744F"/>
    <w:rsid w:val="00E0765E"/>
    <w:rsid w:val="00E07702"/>
    <w:rsid w:val="00E07A38"/>
    <w:rsid w:val="00E07C75"/>
    <w:rsid w:val="00E101E8"/>
    <w:rsid w:val="00E103A1"/>
    <w:rsid w:val="00E10A89"/>
    <w:rsid w:val="00E11554"/>
    <w:rsid w:val="00E119EC"/>
    <w:rsid w:val="00E12123"/>
    <w:rsid w:val="00E132E8"/>
    <w:rsid w:val="00E1378A"/>
    <w:rsid w:val="00E13E55"/>
    <w:rsid w:val="00E14F9C"/>
    <w:rsid w:val="00E15B59"/>
    <w:rsid w:val="00E16CA6"/>
    <w:rsid w:val="00E16E6F"/>
    <w:rsid w:val="00E209A3"/>
    <w:rsid w:val="00E21F92"/>
    <w:rsid w:val="00E22409"/>
    <w:rsid w:val="00E229D6"/>
    <w:rsid w:val="00E23364"/>
    <w:rsid w:val="00E233A8"/>
    <w:rsid w:val="00E2362F"/>
    <w:rsid w:val="00E24812"/>
    <w:rsid w:val="00E26F2E"/>
    <w:rsid w:val="00E2730F"/>
    <w:rsid w:val="00E30FC0"/>
    <w:rsid w:val="00E32001"/>
    <w:rsid w:val="00E32045"/>
    <w:rsid w:val="00E32CBF"/>
    <w:rsid w:val="00E3338B"/>
    <w:rsid w:val="00E334EE"/>
    <w:rsid w:val="00E34D2C"/>
    <w:rsid w:val="00E369A2"/>
    <w:rsid w:val="00E36FDA"/>
    <w:rsid w:val="00E37207"/>
    <w:rsid w:val="00E37689"/>
    <w:rsid w:val="00E401CA"/>
    <w:rsid w:val="00E41556"/>
    <w:rsid w:val="00E416C3"/>
    <w:rsid w:val="00E419EF"/>
    <w:rsid w:val="00E42C2C"/>
    <w:rsid w:val="00E4527B"/>
    <w:rsid w:val="00E45F12"/>
    <w:rsid w:val="00E46DDC"/>
    <w:rsid w:val="00E50483"/>
    <w:rsid w:val="00E50648"/>
    <w:rsid w:val="00E50869"/>
    <w:rsid w:val="00E509FD"/>
    <w:rsid w:val="00E51B18"/>
    <w:rsid w:val="00E52682"/>
    <w:rsid w:val="00E52C97"/>
    <w:rsid w:val="00E5324B"/>
    <w:rsid w:val="00E53B6D"/>
    <w:rsid w:val="00E53F49"/>
    <w:rsid w:val="00E5421F"/>
    <w:rsid w:val="00E55A0E"/>
    <w:rsid w:val="00E5673A"/>
    <w:rsid w:val="00E56F68"/>
    <w:rsid w:val="00E60970"/>
    <w:rsid w:val="00E60B44"/>
    <w:rsid w:val="00E61E60"/>
    <w:rsid w:val="00E62688"/>
    <w:rsid w:val="00E64FE1"/>
    <w:rsid w:val="00E65020"/>
    <w:rsid w:val="00E6597D"/>
    <w:rsid w:val="00E65A21"/>
    <w:rsid w:val="00E66629"/>
    <w:rsid w:val="00E66B26"/>
    <w:rsid w:val="00E70212"/>
    <w:rsid w:val="00E71325"/>
    <w:rsid w:val="00E72C89"/>
    <w:rsid w:val="00E744F6"/>
    <w:rsid w:val="00E76176"/>
    <w:rsid w:val="00E763A4"/>
    <w:rsid w:val="00E77BC2"/>
    <w:rsid w:val="00E77EAF"/>
    <w:rsid w:val="00E8025F"/>
    <w:rsid w:val="00E80D86"/>
    <w:rsid w:val="00E81034"/>
    <w:rsid w:val="00E812D7"/>
    <w:rsid w:val="00E8147E"/>
    <w:rsid w:val="00E815BA"/>
    <w:rsid w:val="00E81D98"/>
    <w:rsid w:val="00E83B95"/>
    <w:rsid w:val="00E84361"/>
    <w:rsid w:val="00E84CD1"/>
    <w:rsid w:val="00E85C65"/>
    <w:rsid w:val="00E861A8"/>
    <w:rsid w:val="00E8727B"/>
    <w:rsid w:val="00E90409"/>
    <w:rsid w:val="00E90DB0"/>
    <w:rsid w:val="00E91EA0"/>
    <w:rsid w:val="00E92A72"/>
    <w:rsid w:val="00E946C2"/>
    <w:rsid w:val="00E94AD4"/>
    <w:rsid w:val="00E95028"/>
    <w:rsid w:val="00E95F25"/>
    <w:rsid w:val="00E96532"/>
    <w:rsid w:val="00E96F9C"/>
    <w:rsid w:val="00E9781B"/>
    <w:rsid w:val="00E97FF8"/>
    <w:rsid w:val="00EA16DD"/>
    <w:rsid w:val="00EA19A6"/>
    <w:rsid w:val="00EA1F31"/>
    <w:rsid w:val="00EA2AC4"/>
    <w:rsid w:val="00EA2C71"/>
    <w:rsid w:val="00EA2F47"/>
    <w:rsid w:val="00EA595F"/>
    <w:rsid w:val="00EA5AF3"/>
    <w:rsid w:val="00EA5F49"/>
    <w:rsid w:val="00EA7B61"/>
    <w:rsid w:val="00EB151B"/>
    <w:rsid w:val="00EB1C2B"/>
    <w:rsid w:val="00EB2046"/>
    <w:rsid w:val="00EB27A1"/>
    <w:rsid w:val="00EB45E3"/>
    <w:rsid w:val="00EB4A68"/>
    <w:rsid w:val="00EB663F"/>
    <w:rsid w:val="00EB68BA"/>
    <w:rsid w:val="00EB6923"/>
    <w:rsid w:val="00EB7878"/>
    <w:rsid w:val="00EB7EE3"/>
    <w:rsid w:val="00EC0BCB"/>
    <w:rsid w:val="00EC295D"/>
    <w:rsid w:val="00EC2B70"/>
    <w:rsid w:val="00EC3005"/>
    <w:rsid w:val="00EC38FF"/>
    <w:rsid w:val="00EC3D5E"/>
    <w:rsid w:val="00EC451D"/>
    <w:rsid w:val="00EC4842"/>
    <w:rsid w:val="00EC5A58"/>
    <w:rsid w:val="00EC5B9F"/>
    <w:rsid w:val="00EC5D98"/>
    <w:rsid w:val="00EC64FD"/>
    <w:rsid w:val="00EC6FF4"/>
    <w:rsid w:val="00EC738A"/>
    <w:rsid w:val="00ED0B34"/>
    <w:rsid w:val="00ED1244"/>
    <w:rsid w:val="00ED1A58"/>
    <w:rsid w:val="00ED1D61"/>
    <w:rsid w:val="00ED2B41"/>
    <w:rsid w:val="00ED3026"/>
    <w:rsid w:val="00ED3B80"/>
    <w:rsid w:val="00ED44BC"/>
    <w:rsid w:val="00ED5586"/>
    <w:rsid w:val="00ED6A75"/>
    <w:rsid w:val="00ED71D5"/>
    <w:rsid w:val="00ED78E6"/>
    <w:rsid w:val="00EE2092"/>
    <w:rsid w:val="00EE27CC"/>
    <w:rsid w:val="00EE2D23"/>
    <w:rsid w:val="00EE2E8C"/>
    <w:rsid w:val="00EE525F"/>
    <w:rsid w:val="00EE5865"/>
    <w:rsid w:val="00EE5942"/>
    <w:rsid w:val="00EE69C1"/>
    <w:rsid w:val="00EE69CB"/>
    <w:rsid w:val="00EE758D"/>
    <w:rsid w:val="00EE7971"/>
    <w:rsid w:val="00EF0212"/>
    <w:rsid w:val="00EF0E76"/>
    <w:rsid w:val="00EF1301"/>
    <w:rsid w:val="00EF1957"/>
    <w:rsid w:val="00EF45CE"/>
    <w:rsid w:val="00EF465C"/>
    <w:rsid w:val="00EF4FB0"/>
    <w:rsid w:val="00EF698B"/>
    <w:rsid w:val="00F01597"/>
    <w:rsid w:val="00F028B9"/>
    <w:rsid w:val="00F04665"/>
    <w:rsid w:val="00F05139"/>
    <w:rsid w:val="00F05529"/>
    <w:rsid w:val="00F06262"/>
    <w:rsid w:val="00F063F2"/>
    <w:rsid w:val="00F10714"/>
    <w:rsid w:val="00F10826"/>
    <w:rsid w:val="00F133D3"/>
    <w:rsid w:val="00F133FF"/>
    <w:rsid w:val="00F146F5"/>
    <w:rsid w:val="00F15C40"/>
    <w:rsid w:val="00F1718A"/>
    <w:rsid w:val="00F17B4B"/>
    <w:rsid w:val="00F20093"/>
    <w:rsid w:val="00F20668"/>
    <w:rsid w:val="00F212DC"/>
    <w:rsid w:val="00F21B02"/>
    <w:rsid w:val="00F21BCF"/>
    <w:rsid w:val="00F21D0D"/>
    <w:rsid w:val="00F23423"/>
    <w:rsid w:val="00F235F4"/>
    <w:rsid w:val="00F23F67"/>
    <w:rsid w:val="00F25946"/>
    <w:rsid w:val="00F25CE4"/>
    <w:rsid w:val="00F2669D"/>
    <w:rsid w:val="00F27170"/>
    <w:rsid w:val="00F27408"/>
    <w:rsid w:val="00F274B9"/>
    <w:rsid w:val="00F27766"/>
    <w:rsid w:val="00F2776A"/>
    <w:rsid w:val="00F27C1D"/>
    <w:rsid w:val="00F30434"/>
    <w:rsid w:val="00F3060D"/>
    <w:rsid w:val="00F31576"/>
    <w:rsid w:val="00F31ACE"/>
    <w:rsid w:val="00F32139"/>
    <w:rsid w:val="00F32AD3"/>
    <w:rsid w:val="00F32EF1"/>
    <w:rsid w:val="00F335E2"/>
    <w:rsid w:val="00F34138"/>
    <w:rsid w:val="00F342DE"/>
    <w:rsid w:val="00F3477B"/>
    <w:rsid w:val="00F34FED"/>
    <w:rsid w:val="00F3530E"/>
    <w:rsid w:val="00F35955"/>
    <w:rsid w:val="00F35ACF"/>
    <w:rsid w:val="00F36DA3"/>
    <w:rsid w:val="00F36FC4"/>
    <w:rsid w:val="00F379F0"/>
    <w:rsid w:val="00F4125F"/>
    <w:rsid w:val="00F413F4"/>
    <w:rsid w:val="00F41563"/>
    <w:rsid w:val="00F41926"/>
    <w:rsid w:val="00F41C41"/>
    <w:rsid w:val="00F41F9C"/>
    <w:rsid w:val="00F4337F"/>
    <w:rsid w:val="00F434B3"/>
    <w:rsid w:val="00F43B28"/>
    <w:rsid w:val="00F43BDE"/>
    <w:rsid w:val="00F4515A"/>
    <w:rsid w:val="00F45B46"/>
    <w:rsid w:val="00F45BCC"/>
    <w:rsid w:val="00F46436"/>
    <w:rsid w:val="00F46E18"/>
    <w:rsid w:val="00F50A91"/>
    <w:rsid w:val="00F50F40"/>
    <w:rsid w:val="00F50F76"/>
    <w:rsid w:val="00F51069"/>
    <w:rsid w:val="00F51148"/>
    <w:rsid w:val="00F521FC"/>
    <w:rsid w:val="00F5305F"/>
    <w:rsid w:val="00F5323C"/>
    <w:rsid w:val="00F540CF"/>
    <w:rsid w:val="00F544B0"/>
    <w:rsid w:val="00F54934"/>
    <w:rsid w:val="00F5530F"/>
    <w:rsid w:val="00F57551"/>
    <w:rsid w:val="00F5763D"/>
    <w:rsid w:val="00F60384"/>
    <w:rsid w:val="00F604FF"/>
    <w:rsid w:val="00F60AC7"/>
    <w:rsid w:val="00F63191"/>
    <w:rsid w:val="00F63888"/>
    <w:rsid w:val="00F63E45"/>
    <w:rsid w:val="00F64624"/>
    <w:rsid w:val="00F6547E"/>
    <w:rsid w:val="00F66555"/>
    <w:rsid w:val="00F67772"/>
    <w:rsid w:val="00F67830"/>
    <w:rsid w:val="00F679DB"/>
    <w:rsid w:val="00F71171"/>
    <w:rsid w:val="00F71231"/>
    <w:rsid w:val="00F71A1F"/>
    <w:rsid w:val="00F72FEC"/>
    <w:rsid w:val="00F74EB2"/>
    <w:rsid w:val="00F74F66"/>
    <w:rsid w:val="00F76705"/>
    <w:rsid w:val="00F770E1"/>
    <w:rsid w:val="00F80281"/>
    <w:rsid w:val="00F80BA0"/>
    <w:rsid w:val="00F80CBA"/>
    <w:rsid w:val="00F816C5"/>
    <w:rsid w:val="00F81AA4"/>
    <w:rsid w:val="00F82AD6"/>
    <w:rsid w:val="00F82DBE"/>
    <w:rsid w:val="00F830DB"/>
    <w:rsid w:val="00F83DB7"/>
    <w:rsid w:val="00F83F20"/>
    <w:rsid w:val="00F84F4B"/>
    <w:rsid w:val="00F8554F"/>
    <w:rsid w:val="00F86E8E"/>
    <w:rsid w:val="00F904B1"/>
    <w:rsid w:val="00F906DB"/>
    <w:rsid w:val="00F90862"/>
    <w:rsid w:val="00F91836"/>
    <w:rsid w:val="00F9223E"/>
    <w:rsid w:val="00F927CB"/>
    <w:rsid w:val="00F93F2A"/>
    <w:rsid w:val="00F94082"/>
    <w:rsid w:val="00F94F34"/>
    <w:rsid w:val="00F962D5"/>
    <w:rsid w:val="00F96B4B"/>
    <w:rsid w:val="00F96D7C"/>
    <w:rsid w:val="00FA0944"/>
    <w:rsid w:val="00FA0A59"/>
    <w:rsid w:val="00FA0AAA"/>
    <w:rsid w:val="00FA0DBF"/>
    <w:rsid w:val="00FA139B"/>
    <w:rsid w:val="00FA2313"/>
    <w:rsid w:val="00FA29E2"/>
    <w:rsid w:val="00FA2AF5"/>
    <w:rsid w:val="00FA4F87"/>
    <w:rsid w:val="00FA5790"/>
    <w:rsid w:val="00FA5AC3"/>
    <w:rsid w:val="00FA60A4"/>
    <w:rsid w:val="00FA63E7"/>
    <w:rsid w:val="00FA67CD"/>
    <w:rsid w:val="00FB0292"/>
    <w:rsid w:val="00FB22EE"/>
    <w:rsid w:val="00FB2AE5"/>
    <w:rsid w:val="00FB2CA3"/>
    <w:rsid w:val="00FB39A4"/>
    <w:rsid w:val="00FB3DD2"/>
    <w:rsid w:val="00FB45EB"/>
    <w:rsid w:val="00FB469A"/>
    <w:rsid w:val="00FB5207"/>
    <w:rsid w:val="00FB548B"/>
    <w:rsid w:val="00FB57FE"/>
    <w:rsid w:val="00FB6343"/>
    <w:rsid w:val="00FB6BA9"/>
    <w:rsid w:val="00FC09F3"/>
    <w:rsid w:val="00FC10EC"/>
    <w:rsid w:val="00FC11B4"/>
    <w:rsid w:val="00FC18C1"/>
    <w:rsid w:val="00FC25C4"/>
    <w:rsid w:val="00FC33EB"/>
    <w:rsid w:val="00FC37BC"/>
    <w:rsid w:val="00FC5AF7"/>
    <w:rsid w:val="00FC709A"/>
    <w:rsid w:val="00FD0C5D"/>
    <w:rsid w:val="00FD28FA"/>
    <w:rsid w:val="00FD4621"/>
    <w:rsid w:val="00FD4AE0"/>
    <w:rsid w:val="00FD5AB3"/>
    <w:rsid w:val="00FD68EC"/>
    <w:rsid w:val="00FD7441"/>
    <w:rsid w:val="00FD7D76"/>
    <w:rsid w:val="00FE299A"/>
    <w:rsid w:val="00FE3CEE"/>
    <w:rsid w:val="00FE4C53"/>
    <w:rsid w:val="00FE57D6"/>
    <w:rsid w:val="00FE7252"/>
    <w:rsid w:val="00FE7BBE"/>
    <w:rsid w:val="00FF021C"/>
    <w:rsid w:val="00FF0F48"/>
    <w:rsid w:val="00FF20C0"/>
    <w:rsid w:val="00FF346F"/>
    <w:rsid w:val="00FF3B74"/>
    <w:rsid w:val="00FF40E9"/>
    <w:rsid w:val="00FF416A"/>
    <w:rsid w:val="00FF5321"/>
    <w:rsid w:val="00FF5D76"/>
    <w:rsid w:val="00FF65A4"/>
    <w:rsid w:val="00FF7D5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53"/>
    <o:shapelayout v:ext="edit">
      <o:idmap v:ext="edit" data="1"/>
    </o:shapelayout>
  </w:shapeDefaults>
  <w:decimalSymbol w:val="."/>
  <w:listSeparator w:val=","/>
  <w14:docId w14:val="315E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Bullet 2" w:uiPriority="99"/>
    <w:lsdException w:name="List Bullet 3" w:uiPriority="99"/>
    <w:lsdException w:name="List Bullet 4" w:uiPriority="99"/>
    <w:lsdException w:name="List Bullet 5" w:uiPriority="99"/>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71325"/>
    <w:pPr>
      <w:spacing w:before="120"/>
    </w:pPr>
    <w:rPr>
      <w:rFonts w:ascii="Arial" w:hAnsi="Arial"/>
      <w:szCs w:val="24"/>
      <w:lang w:eastAsia="en-US"/>
    </w:rPr>
  </w:style>
  <w:style w:type="paragraph" w:styleId="Heading1">
    <w:name w:val="heading 1"/>
    <w:next w:val="Normal"/>
    <w:link w:val="Heading1Char"/>
    <w:uiPriority w:val="9"/>
    <w:qFormat/>
    <w:rsid w:val="00C97EF2"/>
    <w:pPr>
      <w:keepNext/>
      <w:pageBreakBefore/>
      <w:numPr>
        <w:numId w:val="23"/>
      </w:numPr>
      <w:spacing w:after="360"/>
      <w:ind w:left="851" w:hanging="851"/>
      <w:outlineLvl w:val="0"/>
    </w:pPr>
    <w:rPr>
      <w:rFonts w:ascii="Arial" w:hAnsi="Arial" w:cs="Arial"/>
      <w:sz w:val="36"/>
      <w:szCs w:val="32"/>
    </w:rPr>
  </w:style>
  <w:style w:type="paragraph" w:styleId="Heading2">
    <w:name w:val="heading 2"/>
    <w:basedOn w:val="Heading1"/>
    <w:next w:val="BodyText"/>
    <w:link w:val="Heading2Char"/>
    <w:qFormat/>
    <w:rsid w:val="00C97EF2"/>
    <w:pPr>
      <w:pageBreakBefore w:val="0"/>
      <w:numPr>
        <w:ilvl w:val="1"/>
      </w:numPr>
      <w:spacing w:before="240" w:after="120"/>
      <w:ind w:left="851" w:hanging="851"/>
      <w:outlineLvl w:val="1"/>
    </w:pPr>
    <w:rPr>
      <w:b/>
      <w:iCs/>
      <w:sz w:val="24"/>
      <w:szCs w:val="22"/>
    </w:rPr>
  </w:style>
  <w:style w:type="paragraph" w:styleId="Heading3">
    <w:name w:val="heading 3"/>
    <w:next w:val="Normal"/>
    <w:link w:val="Heading3Char"/>
    <w:qFormat/>
    <w:rsid w:val="00C97EF2"/>
    <w:pPr>
      <w:keepNext/>
      <w:numPr>
        <w:ilvl w:val="2"/>
        <w:numId w:val="23"/>
      </w:numPr>
      <w:spacing w:before="240" w:after="120"/>
      <w:ind w:left="851" w:hanging="851"/>
      <w:outlineLvl w:val="2"/>
    </w:pPr>
    <w:rPr>
      <w:rFonts w:ascii="Arial" w:hAnsi="Arial"/>
      <w:b/>
      <w:bCs/>
      <w:iCs/>
      <w:szCs w:val="26"/>
      <w:lang w:eastAsia="en-US"/>
    </w:rPr>
  </w:style>
  <w:style w:type="paragraph" w:styleId="Heading4">
    <w:name w:val="heading 4"/>
    <w:basedOn w:val="Normal"/>
    <w:link w:val="Heading4Char"/>
    <w:rsid w:val="00C778DD"/>
    <w:pPr>
      <w:numPr>
        <w:ilvl w:val="3"/>
        <w:numId w:val="23"/>
      </w:numPr>
      <w:tabs>
        <w:tab w:val="num" w:pos="4179"/>
      </w:tabs>
      <w:spacing w:before="0" w:after="240"/>
      <w:jc w:val="both"/>
      <w:outlineLvl w:val="3"/>
    </w:pPr>
    <w:rPr>
      <w:sz w:val="22"/>
      <w:szCs w:val="20"/>
      <w:lang w:val="en-US"/>
    </w:rPr>
  </w:style>
  <w:style w:type="paragraph" w:styleId="Heading5">
    <w:name w:val="heading 5"/>
    <w:basedOn w:val="Normal"/>
    <w:next w:val="Normal"/>
    <w:link w:val="Heading5Char"/>
    <w:rsid w:val="000F7B76"/>
    <w:pPr>
      <w:widowControl w:val="0"/>
      <w:numPr>
        <w:ilvl w:val="4"/>
        <w:numId w:val="23"/>
      </w:numPr>
      <w:adjustRightInd w:val="0"/>
      <w:spacing w:before="240"/>
      <w:jc w:val="both"/>
      <w:textAlignment w:val="baseline"/>
      <w:outlineLvl w:val="4"/>
    </w:pPr>
    <w:rPr>
      <w:rFonts w:ascii="Times New Roman" w:hAnsi="Times New Roman"/>
      <w:sz w:val="24"/>
    </w:rPr>
  </w:style>
  <w:style w:type="paragraph" w:styleId="Heading6">
    <w:name w:val="heading 6"/>
    <w:basedOn w:val="Normal"/>
    <w:next w:val="Normal"/>
    <w:link w:val="Heading6Char"/>
    <w:unhideWhenUsed/>
    <w:rsid w:val="003573BE"/>
    <w:pPr>
      <w:keepNext/>
      <w:keepLines/>
      <w:numPr>
        <w:ilvl w:val="5"/>
        <w:numId w:val="23"/>
      </w:numPr>
      <w:spacing w:before="200"/>
      <w:outlineLvl w:val="5"/>
    </w:pPr>
    <w:rPr>
      <w:rFonts w:ascii="Times New Roman" w:hAnsi="Times New Roman"/>
      <w:sz w:val="24"/>
    </w:rPr>
  </w:style>
  <w:style w:type="paragraph" w:styleId="Heading7">
    <w:name w:val="heading 7"/>
    <w:basedOn w:val="Normal"/>
    <w:next w:val="Normal"/>
    <w:link w:val="Heading7Char"/>
    <w:unhideWhenUsed/>
    <w:rsid w:val="003573BE"/>
    <w:pPr>
      <w:keepNext/>
      <w:keepLines/>
      <w:numPr>
        <w:ilvl w:val="6"/>
        <w:numId w:val="23"/>
      </w:numPr>
      <w:spacing w:before="200"/>
      <w:outlineLvl w:val="6"/>
    </w:pPr>
    <w:rPr>
      <w:rFonts w:ascii="Times New Roman" w:hAnsi="Times New Roman"/>
      <w:sz w:val="24"/>
    </w:rPr>
  </w:style>
  <w:style w:type="paragraph" w:styleId="Heading8">
    <w:name w:val="heading 8"/>
    <w:basedOn w:val="Normal"/>
    <w:next w:val="Normal"/>
    <w:link w:val="Heading8Char"/>
    <w:unhideWhenUsed/>
    <w:rsid w:val="003573BE"/>
    <w:pPr>
      <w:keepNext/>
      <w:keepLines/>
      <w:numPr>
        <w:ilvl w:val="7"/>
        <w:numId w:val="23"/>
      </w:numPr>
      <w:spacing w:before="200"/>
      <w:outlineLvl w:val="7"/>
    </w:pPr>
    <w:rPr>
      <w:rFonts w:ascii="Times New Roman" w:hAnsi="Times New Roman"/>
      <w:sz w:val="24"/>
    </w:rPr>
  </w:style>
  <w:style w:type="paragraph" w:styleId="Heading9">
    <w:name w:val="heading 9"/>
    <w:basedOn w:val="Normal"/>
    <w:next w:val="Normal"/>
    <w:link w:val="Heading9Char"/>
    <w:unhideWhenUsed/>
    <w:rsid w:val="003573BE"/>
    <w:pPr>
      <w:keepNext/>
      <w:keepLines/>
      <w:numPr>
        <w:ilvl w:val="8"/>
        <w:numId w:val="23"/>
      </w:numPr>
      <w:spacing w:before="200"/>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D12535"/>
    <w:pPr>
      <w:spacing w:before="0"/>
      <w:jc w:val="center"/>
    </w:pPr>
    <w:rPr>
      <w:b/>
      <w:bCs/>
      <w:sz w:val="28"/>
    </w:rPr>
  </w:style>
  <w:style w:type="paragraph" w:customStyle="1" w:styleId="DocStatus">
    <w:name w:val="DocStatus"/>
    <w:basedOn w:val="Normal"/>
    <w:rsid w:val="00D12535"/>
    <w:pPr>
      <w:spacing w:after="60"/>
      <w:jc w:val="center"/>
    </w:pPr>
    <w:rPr>
      <w:b/>
      <w:sz w:val="22"/>
    </w:rPr>
  </w:style>
  <w:style w:type="table" w:customStyle="1" w:styleId="TableGridLight1">
    <w:name w:val="Table Grid Light1"/>
    <w:basedOn w:val="TableNormal"/>
    <w:uiPriority w:val="40"/>
    <w:rsid w:val="00263CE1"/>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Heading3numbered">
    <w:name w:val="Heading 3 numbered"/>
    <w:basedOn w:val="Heading3"/>
    <w:next w:val="Normal"/>
    <w:rsid w:val="00D12535"/>
    <w:pPr>
      <w:numPr>
        <w:numId w:val="3"/>
      </w:numPr>
    </w:pPr>
  </w:style>
  <w:style w:type="paragraph" w:customStyle="1" w:styleId="List-bullet-2">
    <w:name w:val="List-bullet-2"/>
    <w:basedOn w:val="Normal"/>
    <w:link w:val="List-bullet-2Char"/>
    <w:qFormat/>
    <w:rsid w:val="005B3032"/>
    <w:pPr>
      <w:numPr>
        <w:numId w:val="2"/>
      </w:numPr>
      <w:spacing w:before="80"/>
      <w:ind w:left="1020" w:hanging="340"/>
      <w:jc w:val="both"/>
    </w:pPr>
    <w:rPr>
      <w:szCs w:val="22"/>
      <w:lang w:val="en-US"/>
    </w:rPr>
  </w:style>
  <w:style w:type="paragraph" w:customStyle="1" w:styleId="List-number-2">
    <w:name w:val="List-number-2"/>
    <w:basedOn w:val="Normal"/>
    <w:link w:val="List-number-2Char"/>
    <w:rsid w:val="00D12535"/>
    <w:pPr>
      <w:numPr>
        <w:ilvl w:val="1"/>
        <w:numId w:val="18"/>
      </w:numPr>
    </w:pPr>
  </w:style>
  <w:style w:type="paragraph" w:customStyle="1" w:styleId="Normal-indent">
    <w:name w:val="Normal-indent"/>
    <w:basedOn w:val="Normal"/>
    <w:rsid w:val="00D12535"/>
    <w:pPr>
      <w:ind w:left="357"/>
    </w:pPr>
    <w:rPr>
      <w:lang w:eastAsia="en-AU"/>
    </w:rPr>
  </w:style>
  <w:style w:type="character" w:styleId="CommentReference">
    <w:name w:val="annotation reference"/>
    <w:uiPriority w:val="99"/>
    <w:semiHidden/>
    <w:rsid w:val="00D12535"/>
    <w:rPr>
      <w:sz w:val="16"/>
      <w:szCs w:val="16"/>
    </w:rPr>
  </w:style>
  <w:style w:type="paragraph" w:customStyle="1" w:styleId="TableHeader">
    <w:name w:val="TableHeader"/>
    <w:basedOn w:val="Normal"/>
    <w:qFormat/>
    <w:rsid w:val="000D5F9C"/>
    <w:pPr>
      <w:keepNext/>
      <w:spacing w:before="0"/>
    </w:pPr>
    <w:rPr>
      <w:rFonts w:cs="Arial"/>
      <w:b/>
      <w:sz w:val="16"/>
    </w:rPr>
  </w:style>
  <w:style w:type="paragraph" w:customStyle="1" w:styleId="TableTEXT">
    <w:name w:val="Table TEXT"/>
    <w:uiPriority w:val="99"/>
    <w:qFormat/>
    <w:rsid w:val="000D5F9C"/>
    <w:rPr>
      <w:rFonts w:ascii="Arial" w:hAnsi="Arial"/>
      <w:sz w:val="16"/>
      <w:szCs w:val="24"/>
      <w:lang w:eastAsia="en-US"/>
    </w:rPr>
  </w:style>
  <w:style w:type="paragraph" w:customStyle="1" w:styleId="Table-list-bullet">
    <w:name w:val="Table-list-bullet"/>
    <w:basedOn w:val="TableTEXT"/>
    <w:qFormat/>
    <w:rsid w:val="000D5F9C"/>
    <w:pPr>
      <w:spacing w:after="40"/>
    </w:pPr>
  </w:style>
  <w:style w:type="paragraph" w:customStyle="1" w:styleId="Table-list-number">
    <w:name w:val="Table-list-number"/>
    <w:basedOn w:val="TableTEXT"/>
    <w:rsid w:val="00D12535"/>
    <w:pPr>
      <w:numPr>
        <w:numId w:val="5"/>
      </w:numPr>
    </w:pPr>
  </w:style>
  <w:style w:type="paragraph" w:customStyle="1" w:styleId="TableTitle">
    <w:name w:val="TableTitle"/>
    <w:basedOn w:val="Normal"/>
    <w:next w:val="TableTEXT"/>
    <w:rsid w:val="00D12535"/>
    <w:pPr>
      <w:keepNext/>
      <w:spacing w:before="240" w:after="120"/>
      <w:jc w:val="center"/>
    </w:pPr>
    <w:rPr>
      <w:b/>
    </w:rPr>
  </w:style>
  <w:style w:type="paragraph" w:styleId="Header">
    <w:name w:val="header"/>
    <w:basedOn w:val="Normal"/>
    <w:link w:val="HeaderChar"/>
    <w:uiPriority w:val="99"/>
    <w:rsid w:val="00D12535"/>
    <w:pPr>
      <w:tabs>
        <w:tab w:val="center" w:pos="4153"/>
        <w:tab w:val="right" w:pos="8306"/>
      </w:tabs>
    </w:pPr>
    <w:rPr>
      <w:sz w:val="16"/>
    </w:rPr>
  </w:style>
  <w:style w:type="paragraph" w:styleId="Footer">
    <w:name w:val="footer"/>
    <w:basedOn w:val="Normal"/>
    <w:link w:val="FooterChar"/>
    <w:uiPriority w:val="99"/>
    <w:rsid w:val="00D12535"/>
    <w:pPr>
      <w:tabs>
        <w:tab w:val="center" w:pos="4153"/>
        <w:tab w:val="right" w:pos="8306"/>
      </w:tabs>
    </w:pPr>
    <w:rPr>
      <w:sz w:val="16"/>
    </w:rPr>
  </w:style>
  <w:style w:type="character" w:styleId="PageNumber">
    <w:name w:val="page number"/>
    <w:rsid w:val="00D12535"/>
    <w:rPr>
      <w:rFonts w:ascii="Arial" w:hAnsi="Arial"/>
      <w:sz w:val="16"/>
    </w:rPr>
  </w:style>
  <w:style w:type="character" w:styleId="Hyperlink">
    <w:name w:val="Hyperlink"/>
    <w:uiPriority w:val="99"/>
    <w:rsid w:val="00D12535"/>
    <w:rPr>
      <w:rFonts w:ascii="Arial" w:hAnsi="Arial"/>
      <w:color w:val="0000FF"/>
      <w:u w:val="single"/>
    </w:rPr>
  </w:style>
  <w:style w:type="paragraph" w:customStyle="1" w:styleId="List-outline-numbered">
    <w:name w:val="List-outline-numbered"/>
    <w:basedOn w:val="Normal"/>
    <w:rsid w:val="00D12535"/>
    <w:pPr>
      <w:numPr>
        <w:ilvl w:val="3"/>
        <w:numId w:val="3"/>
      </w:numPr>
    </w:pPr>
  </w:style>
  <w:style w:type="paragraph" w:customStyle="1" w:styleId="List-bullet-1">
    <w:name w:val="List-bullet-1"/>
    <w:basedOn w:val="Normal"/>
    <w:qFormat/>
    <w:rsid w:val="005B3032"/>
    <w:pPr>
      <w:numPr>
        <w:numId w:val="1"/>
      </w:numPr>
      <w:spacing w:before="0" w:after="120"/>
      <w:jc w:val="both"/>
    </w:pPr>
    <w:rPr>
      <w:rFonts w:cs="Arial"/>
      <w:szCs w:val="22"/>
    </w:rPr>
  </w:style>
  <w:style w:type="paragraph" w:customStyle="1" w:styleId="List-number-1">
    <w:name w:val="List-number-1"/>
    <w:basedOn w:val="Normal"/>
    <w:link w:val="List-number-1Char"/>
    <w:qFormat/>
    <w:rsid w:val="000F5341"/>
    <w:pPr>
      <w:numPr>
        <w:numId w:val="18"/>
      </w:numPr>
      <w:spacing w:after="120"/>
    </w:pPr>
  </w:style>
  <w:style w:type="paragraph" w:styleId="BalloonText">
    <w:name w:val="Balloon Text"/>
    <w:basedOn w:val="Normal"/>
    <w:link w:val="BalloonTextChar"/>
    <w:uiPriority w:val="99"/>
    <w:semiHidden/>
    <w:rsid w:val="00D12535"/>
    <w:rPr>
      <w:rFonts w:ascii="Tahoma" w:hAnsi="Tahoma" w:cs="Tahoma"/>
      <w:sz w:val="16"/>
      <w:szCs w:val="16"/>
    </w:rPr>
  </w:style>
  <w:style w:type="table" w:styleId="TableGrid">
    <w:name w:val="Table Grid"/>
    <w:basedOn w:val="TableNormal"/>
    <w:uiPriority w:val="59"/>
    <w:rsid w:val="00F27408"/>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D12535"/>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D12535"/>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link w:val="CommentTextChar"/>
    <w:uiPriority w:val="99"/>
    <w:semiHidden/>
    <w:rsid w:val="00D12535"/>
    <w:rPr>
      <w:szCs w:val="20"/>
    </w:rPr>
  </w:style>
  <w:style w:type="paragraph" w:styleId="CommentSubject">
    <w:name w:val="annotation subject"/>
    <w:basedOn w:val="CommentText"/>
    <w:next w:val="CommentText"/>
    <w:link w:val="CommentSubjectChar"/>
    <w:uiPriority w:val="99"/>
    <w:semiHidden/>
    <w:rsid w:val="00D12535"/>
    <w:rPr>
      <w:b/>
      <w:bCs/>
    </w:rPr>
  </w:style>
  <w:style w:type="character" w:customStyle="1" w:styleId="List-number-2Char">
    <w:name w:val="List-number-2 Char"/>
    <w:link w:val="List-number-2"/>
    <w:rsid w:val="00D12535"/>
    <w:rPr>
      <w:rFonts w:ascii="Arial" w:hAnsi="Arial"/>
      <w:szCs w:val="24"/>
      <w:lang w:eastAsia="en-US"/>
    </w:rPr>
  </w:style>
  <w:style w:type="paragraph" w:styleId="TOC1">
    <w:name w:val="toc 1"/>
    <w:basedOn w:val="Normal"/>
    <w:next w:val="Normal"/>
    <w:uiPriority w:val="39"/>
    <w:rsid w:val="00C97EF2"/>
    <w:pPr>
      <w:tabs>
        <w:tab w:val="right" w:leader="dot" w:pos="9072"/>
      </w:tabs>
      <w:ind w:left="567" w:hanging="567"/>
    </w:pPr>
    <w:rPr>
      <w:b/>
    </w:rPr>
  </w:style>
  <w:style w:type="paragraph" w:styleId="TOC2">
    <w:name w:val="toc 2"/>
    <w:basedOn w:val="Normal"/>
    <w:next w:val="Normal"/>
    <w:uiPriority w:val="39"/>
    <w:rsid w:val="00B11F55"/>
    <w:pPr>
      <w:tabs>
        <w:tab w:val="left" w:pos="1311"/>
        <w:tab w:val="right" w:leader="dot" w:pos="9072"/>
      </w:tabs>
      <w:spacing w:before="0" w:after="40"/>
      <w:ind w:left="567" w:hanging="567"/>
    </w:pPr>
    <w:rPr>
      <w:noProof/>
    </w:rPr>
  </w:style>
  <w:style w:type="paragraph" w:styleId="TOC3">
    <w:name w:val="toc 3"/>
    <w:basedOn w:val="Normal"/>
    <w:next w:val="Normal"/>
    <w:autoRedefine/>
    <w:uiPriority w:val="39"/>
    <w:rsid w:val="00755366"/>
    <w:pPr>
      <w:tabs>
        <w:tab w:val="left" w:pos="1311"/>
      </w:tabs>
      <w:spacing w:before="40"/>
      <w:ind w:left="856"/>
      <w:jc w:val="both"/>
    </w:pPr>
  </w:style>
  <w:style w:type="table" w:customStyle="1" w:styleId="Tablewithnoheader">
    <w:name w:val="Table with no header"/>
    <w:basedOn w:val="TableNormal"/>
    <w:rsid w:val="00D12535"/>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D12535"/>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character" w:customStyle="1" w:styleId="DocNameChar">
    <w:name w:val="DocName Char"/>
    <w:link w:val="DocName"/>
    <w:rsid w:val="00F27408"/>
    <w:rPr>
      <w:rFonts w:ascii="Arial" w:hAnsi="Arial"/>
      <w:b/>
      <w:bCs/>
      <w:sz w:val="28"/>
      <w:szCs w:val="24"/>
      <w:lang w:val="en-AU" w:eastAsia="en-US" w:bidi="ar-SA"/>
    </w:rPr>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Footnote Text Char2,fn"/>
    <w:basedOn w:val="Normal"/>
    <w:link w:val="FootnoteTextChar"/>
    <w:uiPriority w:val="99"/>
    <w:rsid w:val="00F27408"/>
    <w:rPr>
      <w:szCs w:val="20"/>
    </w:rPr>
  </w:style>
  <w:style w:type="character" w:styleId="FootnoteReference">
    <w:name w:val="footnote reference"/>
    <w:aliases w:val="Normal + Font:9 Point,Superscript 3 Point Times,ftref,FnR-ANZDEC,(NECG) Footnote Reference,Fußnotenzeichen DISS,de nota al pie,Ref,fr,16 Point,Superscript 6 Point,Footnote Ref in FtNote,SUPERS,Footnote text,BVI fnr"/>
    <w:uiPriority w:val="99"/>
    <w:rsid w:val="00F27408"/>
    <w:rPr>
      <w:vertAlign w:val="superscript"/>
    </w:rPr>
  </w:style>
  <w:style w:type="character" w:customStyle="1" w:styleId="List-number-1Char">
    <w:name w:val="List-number-1 Char"/>
    <w:link w:val="List-number-1"/>
    <w:rsid w:val="000F5341"/>
    <w:rPr>
      <w:rFonts w:ascii="Arial" w:hAnsi="Arial"/>
      <w:szCs w:val="24"/>
      <w:lang w:eastAsia="en-US"/>
    </w:rPr>
  </w:style>
  <w:style w:type="character" w:customStyle="1" w:styleId="List-bullet-2Char">
    <w:name w:val="List-bullet-2 Char"/>
    <w:link w:val="List-bullet-2"/>
    <w:rsid w:val="005B3032"/>
    <w:rPr>
      <w:rFonts w:ascii="Arial" w:hAnsi="Arial"/>
      <w:szCs w:val="22"/>
      <w:lang w:val="en-US" w:eastAsia="en-US"/>
    </w:rPr>
  </w:style>
  <w:style w:type="character" w:customStyle="1" w:styleId="HeaderChar">
    <w:name w:val="Header Char"/>
    <w:link w:val="Header"/>
    <w:uiPriority w:val="99"/>
    <w:rsid w:val="001121EC"/>
    <w:rPr>
      <w:rFonts w:ascii="Arial" w:hAnsi="Arial"/>
      <w:sz w:val="16"/>
      <w:szCs w:val="24"/>
      <w:lang w:eastAsia="en-US"/>
    </w:rPr>
  </w:style>
  <w:style w:type="character" w:customStyle="1" w:styleId="FooterChar">
    <w:name w:val="Footer Char"/>
    <w:link w:val="Footer"/>
    <w:uiPriority w:val="99"/>
    <w:rsid w:val="001121EC"/>
    <w:rPr>
      <w:rFonts w:ascii="Arial" w:hAnsi="Arial"/>
      <w:sz w:val="16"/>
      <w:szCs w:val="24"/>
      <w:lang w:eastAsia="en-US"/>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fn Char"/>
    <w:link w:val="FootnoteText"/>
    <w:uiPriority w:val="99"/>
    <w:rsid w:val="005F413E"/>
    <w:rPr>
      <w:rFonts w:ascii="Arial" w:hAnsi="Arial"/>
      <w:lang w:eastAsia="en-US"/>
    </w:rPr>
  </w:style>
  <w:style w:type="character" w:styleId="FollowedHyperlink">
    <w:name w:val="FollowedHyperlink"/>
    <w:rsid w:val="005F413E"/>
    <w:rPr>
      <w:color w:val="800080"/>
      <w:u w:val="single"/>
    </w:rPr>
  </w:style>
  <w:style w:type="table" w:styleId="TableTheme">
    <w:name w:val="Table Theme"/>
    <w:basedOn w:val="TableNormal"/>
    <w:rsid w:val="00904BA0"/>
    <w:pPr>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rossheading">
    <w:name w:val="table crossheading"/>
    <w:basedOn w:val="TableTEXT"/>
    <w:qFormat/>
    <w:rsid w:val="00A32D61"/>
    <w:pPr>
      <w:keepNext/>
      <w:spacing w:before="120" w:after="60"/>
    </w:pPr>
    <w:rPr>
      <w:b/>
    </w:rPr>
  </w:style>
  <w:style w:type="character" w:customStyle="1" w:styleId="CommentTextChar">
    <w:name w:val="Comment Text Char"/>
    <w:link w:val="CommentText"/>
    <w:uiPriority w:val="99"/>
    <w:semiHidden/>
    <w:rsid w:val="002441A6"/>
    <w:rPr>
      <w:rFonts w:ascii="Arial" w:hAnsi="Arial"/>
      <w:lang w:eastAsia="en-US"/>
    </w:rPr>
  </w:style>
  <w:style w:type="character" w:customStyle="1" w:styleId="Heading4Char">
    <w:name w:val="Heading 4 Char"/>
    <w:link w:val="Heading4"/>
    <w:rsid w:val="00C778DD"/>
    <w:rPr>
      <w:rFonts w:ascii="Arial" w:hAnsi="Arial"/>
      <w:sz w:val="22"/>
      <w:lang w:val="en-US" w:eastAsia="en-US"/>
    </w:rPr>
  </w:style>
  <w:style w:type="character" w:customStyle="1" w:styleId="Heading1Char">
    <w:name w:val="Heading 1 Char"/>
    <w:link w:val="Heading1"/>
    <w:uiPriority w:val="9"/>
    <w:rsid w:val="00C97EF2"/>
    <w:rPr>
      <w:rFonts w:ascii="Arial" w:hAnsi="Arial" w:cs="Arial"/>
      <w:sz w:val="36"/>
      <w:szCs w:val="32"/>
    </w:rPr>
  </w:style>
  <w:style w:type="character" w:customStyle="1" w:styleId="Heading2Char">
    <w:name w:val="Heading 2 Char"/>
    <w:link w:val="Heading2"/>
    <w:rsid w:val="00C97EF2"/>
    <w:rPr>
      <w:rFonts w:ascii="Arial" w:hAnsi="Arial" w:cs="Arial"/>
      <w:b/>
      <w:iCs/>
      <w:sz w:val="24"/>
      <w:szCs w:val="22"/>
    </w:rPr>
  </w:style>
  <w:style w:type="character" w:customStyle="1" w:styleId="Heading3Char">
    <w:name w:val="Heading 3 Char"/>
    <w:link w:val="Heading3"/>
    <w:rsid w:val="00C97EF2"/>
    <w:rPr>
      <w:rFonts w:ascii="Arial" w:hAnsi="Arial"/>
      <w:b/>
      <w:bCs/>
      <w:iCs/>
      <w:szCs w:val="26"/>
      <w:lang w:eastAsia="en-US"/>
    </w:rPr>
  </w:style>
  <w:style w:type="paragraph" w:customStyle="1" w:styleId="DocumentTitleSub">
    <w:name w:val="Document Title (Sub)"/>
    <w:basedOn w:val="Normal"/>
    <w:uiPriority w:val="99"/>
    <w:rsid w:val="00C778DD"/>
    <w:pPr>
      <w:spacing w:after="480"/>
      <w:jc w:val="center"/>
    </w:pPr>
    <w:rPr>
      <w:rFonts w:cs="Arial"/>
      <w:b/>
      <w:noProof/>
      <w:sz w:val="22"/>
      <w:szCs w:val="22"/>
    </w:rPr>
  </w:style>
  <w:style w:type="paragraph" w:customStyle="1" w:styleId="Heading50">
    <w:name w:val="Heading5"/>
    <w:basedOn w:val="Normal"/>
    <w:uiPriority w:val="99"/>
    <w:rsid w:val="00C778DD"/>
    <w:pPr>
      <w:tabs>
        <w:tab w:val="left" w:pos="4905"/>
        <w:tab w:val="num" w:pos="5902"/>
      </w:tabs>
      <w:spacing w:before="0" w:after="240"/>
      <w:ind w:left="5902" w:hanging="1723"/>
      <w:jc w:val="both"/>
    </w:pPr>
    <w:rPr>
      <w:rFonts w:cs="Arial"/>
      <w:sz w:val="22"/>
      <w:szCs w:val="20"/>
      <w:lang w:val="en-US"/>
    </w:rPr>
  </w:style>
  <w:style w:type="paragraph" w:customStyle="1" w:styleId="Heading60">
    <w:name w:val="Heading6"/>
    <w:basedOn w:val="Normal"/>
    <w:uiPriority w:val="99"/>
    <w:rsid w:val="00C778DD"/>
    <w:pPr>
      <w:tabs>
        <w:tab w:val="num" w:pos="1152"/>
      </w:tabs>
      <w:spacing w:before="0" w:after="240"/>
      <w:ind w:left="1152" w:hanging="1152"/>
      <w:jc w:val="both"/>
    </w:pPr>
    <w:rPr>
      <w:rFonts w:cs="Arial"/>
      <w:sz w:val="22"/>
      <w:szCs w:val="20"/>
      <w:lang w:val="en-US"/>
    </w:rPr>
  </w:style>
  <w:style w:type="paragraph" w:customStyle="1" w:styleId="Bullet">
    <w:name w:val="Bullet"/>
    <w:basedOn w:val="Normal"/>
    <w:link w:val="BulletChar"/>
    <w:rsid w:val="00C778DD"/>
    <w:pPr>
      <w:numPr>
        <w:numId w:val="6"/>
      </w:numPr>
      <w:spacing w:before="0" w:after="120"/>
    </w:pPr>
    <w:rPr>
      <w:noProof/>
      <w:sz w:val="22"/>
      <w:szCs w:val="22"/>
    </w:rPr>
  </w:style>
  <w:style w:type="paragraph" w:customStyle="1" w:styleId="DocumentTitle">
    <w:name w:val="Document Title"/>
    <w:basedOn w:val="Normal"/>
    <w:link w:val="DocumentTitleChar"/>
    <w:uiPriority w:val="99"/>
    <w:rsid w:val="00C778DD"/>
    <w:pPr>
      <w:spacing w:after="120"/>
      <w:jc w:val="center"/>
    </w:pPr>
    <w:rPr>
      <w:b/>
      <w:noProof/>
      <w:sz w:val="22"/>
      <w:szCs w:val="22"/>
    </w:rPr>
  </w:style>
  <w:style w:type="character" w:customStyle="1" w:styleId="DocumentTitleChar">
    <w:name w:val="Document Title Char"/>
    <w:link w:val="DocumentTitle"/>
    <w:uiPriority w:val="99"/>
    <w:locked/>
    <w:rsid w:val="00C778DD"/>
    <w:rPr>
      <w:rFonts w:ascii="Arial" w:hAnsi="Arial" w:cs="Arial"/>
      <w:b/>
      <w:noProof/>
      <w:sz w:val="22"/>
      <w:szCs w:val="22"/>
      <w:lang w:eastAsia="en-US"/>
    </w:rPr>
  </w:style>
  <w:style w:type="character" w:customStyle="1" w:styleId="BulletChar">
    <w:name w:val="Bullet Char"/>
    <w:link w:val="Bullet"/>
    <w:locked/>
    <w:rsid w:val="00C778DD"/>
    <w:rPr>
      <w:rFonts w:ascii="Arial" w:hAnsi="Arial"/>
      <w:noProof/>
      <w:sz w:val="22"/>
      <w:szCs w:val="22"/>
      <w:lang w:eastAsia="en-US"/>
    </w:rPr>
  </w:style>
  <w:style w:type="paragraph" w:styleId="BodyText">
    <w:name w:val="Body Text"/>
    <w:basedOn w:val="Normal"/>
    <w:link w:val="BodyTextChar"/>
    <w:qFormat/>
    <w:rsid w:val="00C97EF2"/>
    <w:pPr>
      <w:spacing w:after="120"/>
      <w:jc w:val="both"/>
    </w:pPr>
    <w:rPr>
      <w:lang w:eastAsia="en-AU"/>
    </w:rPr>
  </w:style>
  <w:style w:type="character" w:customStyle="1" w:styleId="BodyTextChar">
    <w:name w:val="Body Text Char"/>
    <w:link w:val="BodyText"/>
    <w:rsid w:val="00C97EF2"/>
    <w:rPr>
      <w:rFonts w:ascii="Arial" w:hAnsi="Arial"/>
      <w:szCs w:val="24"/>
    </w:rPr>
  </w:style>
  <w:style w:type="paragraph" w:customStyle="1" w:styleId="Heading2numbered">
    <w:name w:val="Heading 2 numbered"/>
    <w:basedOn w:val="Heading2"/>
    <w:next w:val="Normal"/>
    <w:rsid w:val="000F5341"/>
    <w:pPr>
      <w:tabs>
        <w:tab w:val="num" w:pos="357"/>
      </w:tabs>
      <w:spacing w:after="60"/>
      <w:ind w:left="357" w:hanging="357"/>
    </w:pPr>
  </w:style>
  <w:style w:type="paragraph" w:customStyle="1" w:styleId="TableRow">
    <w:name w:val="Table Row"/>
    <w:basedOn w:val="BodyText"/>
    <w:link w:val="TableRowChar"/>
    <w:rsid w:val="001907FB"/>
    <w:pPr>
      <w:spacing w:before="40" w:after="40"/>
    </w:pPr>
    <w:rPr>
      <w:sz w:val="18"/>
      <w:szCs w:val="20"/>
    </w:rPr>
  </w:style>
  <w:style w:type="character" w:customStyle="1" w:styleId="TableRowChar">
    <w:name w:val="Table Row Char"/>
    <w:link w:val="TableRow"/>
    <w:rsid w:val="001907FB"/>
    <w:rPr>
      <w:rFonts w:ascii="Arial" w:hAnsi="Arial"/>
      <w:sz w:val="18"/>
    </w:rPr>
  </w:style>
  <w:style w:type="numbering" w:customStyle="1" w:styleId="NoList1">
    <w:name w:val="No List1"/>
    <w:next w:val="NoList"/>
    <w:uiPriority w:val="99"/>
    <w:semiHidden/>
    <w:unhideWhenUsed/>
    <w:rsid w:val="00A112CA"/>
  </w:style>
  <w:style w:type="character" w:customStyle="1" w:styleId="CommentSubjectChar">
    <w:name w:val="Comment Subject Char"/>
    <w:link w:val="CommentSubject"/>
    <w:uiPriority w:val="99"/>
    <w:semiHidden/>
    <w:rsid w:val="00A112CA"/>
    <w:rPr>
      <w:rFonts w:ascii="Arial" w:hAnsi="Arial"/>
      <w:b/>
      <w:bCs/>
      <w:lang w:eastAsia="en-US"/>
    </w:rPr>
  </w:style>
  <w:style w:type="character" w:customStyle="1" w:styleId="BalloonTextChar">
    <w:name w:val="Balloon Text Char"/>
    <w:link w:val="BalloonText"/>
    <w:uiPriority w:val="99"/>
    <w:semiHidden/>
    <w:rsid w:val="00A112CA"/>
    <w:rPr>
      <w:rFonts w:ascii="Tahoma" w:hAnsi="Tahoma" w:cs="Tahoma"/>
      <w:sz w:val="16"/>
      <w:szCs w:val="16"/>
      <w:lang w:eastAsia="en-US"/>
    </w:rPr>
  </w:style>
  <w:style w:type="paragraph" w:styleId="TOCHeading">
    <w:name w:val="TOC Heading"/>
    <w:basedOn w:val="Heading1"/>
    <w:next w:val="Normal"/>
    <w:uiPriority w:val="39"/>
    <w:semiHidden/>
    <w:unhideWhenUsed/>
    <w:qFormat/>
    <w:rsid w:val="008B6870"/>
    <w:pPr>
      <w:keepLines/>
      <w:spacing w:before="480" w:after="0" w:line="276" w:lineRule="auto"/>
      <w:outlineLvl w:val="9"/>
    </w:pPr>
    <w:rPr>
      <w:rFonts w:ascii="Cambria" w:eastAsia="MS Gothic" w:hAnsi="Cambria" w:cs="MoolBoran"/>
      <w:bCs/>
      <w:color w:val="365F91"/>
      <w:sz w:val="28"/>
      <w:szCs w:val="28"/>
      <w:lang w:val="en-US" w:eastAsia="ja-JP"/>
    </w:rPr>
  </w:style>
  <w:style w:type="paragraph" w:customStyle="1" w:styleId="TableAlpha">
    <w:name w:val="Table Alpha"/>
    <w:basedOn w:val="Normal"/>
    <w:rsid w:val="003573BE"/>
    <w:pPr>
      <w:numPr>
        <w:numId w:val="7"/>
      </w:numPr>
      <w:spacing w:before="60" w:after="60"/>
    </w:pPr>
    <w:rPr>
      <w:rFonts w:cs="Arial"/>
      <w:szCs w:val="20"/>
      <w:lang w:eastAsia="en-AU"/>
    </w:rPr>
  </w:style>
  <w:style w:type="paragraph" w:customStyle="1" w:styleId="TableBullet">
    <w:name w:val="Table Bullet"/>
    <w:basedOn w:val="Normal"/>
    <w:rsid w:val="003573BE"/>
    <w:pPr>
      <w:numPr>
        <w:numId w:val="8"/>
      </w:numPr>
      <w:spacing w:before="60" w:after="60"/>
    </w:pPr>
    <w:rPr>
      <w:lang w:eastAsia="en-AU"/>
    </w:rPr>
  </w:style>
  <w:style w:type="paragraph" w:customStyle="1" w:styleId="Tableroman">
    <w:name w:val="Table roman"/>
    <w:rsid w:val="003573BE"/>
    <w:pPr>
      <w:numPr>
        <w:numId w:val="9"/>
      </w:numPr>
      <w:spacing w:before="60" w:after="60"/>
    </w:pPr>
    <w:rPr>
      <w:rFonts w:ascii="Arial" w:hAnsi="Arial"/>
      <w:szCs w:val="24"/>
    </w:rPr>
  </w:style>
  <w:style w:type="character" w:customStyle="1" w:styleId="Heading6Char">
    <w:name w:val="Heading 6 Char"/>
    <w:link w:val="Heading6"/>
    <w:rsid w:val="003573BE"/>
    <w:rPr>
      <w:sz w:val="24"/>
      <w:szCs w:val="24"/>
      <w:lang w:eastAsia="en-US"/>
    </w:rPr>
  </w:style>
  <w:style w:type="character" w:customStyle="1" w:styleId="Heading7Char">
    <w:name w:val="Heading 7 Char"/>
    <w:link w:val="Heading7"/>
    <w:rsid w:val="003573BE"/>
    <w:rPr>
      <w:sz w:val="24"/>
      <w:szCs w:val="24"/>
      <w:lang w:eastAsia="en-US"/>
    </w:rPr>
  </w:style>
  <w:style w:type="character" w:customStyle="1" w:styleId="Heading8Char">
    <w:name w:val="Heading 8 Char"/>
    <w:link w:val="Heading8"/>
    <w:rsid w:val="003573BE"/>
    <w:rPr>
      <w:sz w:val="24"/>
      <w:szCs w:val="24"/>
      <w:lang w:eastAsia="en-US"/>
    </w:rPr>
  </w:style>
  <w:style w:type="character" w:customStyle="1" w:styleId="Heading9Char">
    <w:name w:val="Heading 9 Char"/>
    <w:link w:val="Heading9"/>
    <w:rsid w:val="003573BE"/>
    <w:rPr>
      <w:sz w:val="24"/>
      <w:szCs w:val="24"/>
      <w:lang w:eastAsia="en-US"/>
    </w:rPr>
  </w:style>
  <w:style w:type="character" w:customStyle="1" w:styleId="Heading6Char1">
    <w:name w:val="Heading 6 Char1"/>
    <w:semiHidden/>
    <w:rsid w:val="003573BE"/>
    <w:rPr>
      <w:rFonts w:ascii="Cambria" w:eastAsia="MS Gothic" w:hAnsi="Cambria" w:cs="MoolBoran"/>
      <w:i/>
      <w:iCs/>
      <w:color w:val="243F60"/>
      <w:szCs w:val="24"/>
      <w:lang w:eastAsia="en-US"/>
    </w:rPr>
  </w:style>
  <w:style w:type="character" w:customStyle="1" w:styleId="Heading7Char1">
    <w:name w:val="Heading 7 Char1"/>
    <w:semiHidden/>
    <w:rsid w:val="003573BE"/>
    <w:rPr>
      <w:rFonts w:ascii="Cambria" w:eastAsia="MS Gothic" w:hAnsi="Cambria" w:cs="MoolBoran"/>
      <w:i/>
      <w:iCs/>
      <w:color w:val="404040"/>
      <w:szCs w:val="24"/>
      <w:lang w:eastAsia="en-US"/>
    </w:rPr>
  </w:style>
  <w:style w:type="character" w:customStyle="1" w:styleId="Heading8Char1">
    <w:name w:val="Heading 8 Char1"/>
    <w:semiHidden/>
    <w:rsid w:val="003573BE"/>
    <w:rPr>
      <w:rFonts w:ascii="Cambria" w:eastAsia="MS Gothic" w:hAnsi="Cambria" w:cs="MoolBoran"/>
      <w:color w:val="404040"/>
      <w:lang w:eastAsia="en-US"/>
    </w:rPr>
  </w:style>
  <w:style w:type="character" w:customStyle="1" w:styleId="Heading9Char1">
    <w:name w:val="Heading 9 Char1"/>
    <w:semiHidden/>
    <w:rsid w:val="003573BE"/>
    <w:rPr>
      <w:rFonts w:ascii="Cambria" w:eastAsia="MS Gothic" w:hAnsi="Cambria" w:cs="MoolBoran"/>
      <w:i/>
      <w:iCs/>
      <w:color w:val="404040"/>
      <w:lang w:eastAsia="en-US"/>
    </w:rPr>
  </w:style>
  <w:style w:type="character" w:styleId="Strong">
    <w:name w:val="Strong"/>
    <w:rsid w:val="006F2D00"/>
    <w:rPr>
      <w:b/>
      <w:bCs/>
    </w:rPr>
  </w:style>
  <w:style w:type="paragraph" w:customStyle="1" w:styleId="Default">
    <w:name w:val="Default"/>
    <w:rsid w:val="00D91B81"/>
    <w:pPr>
      <w:autoSpaceDE w:val="0"/>
      <w:autoSpaceDN w:val="0"/>
      <w:adjustRightInd w:val="0"/>
    </w:pPr>
    <w:rPr>
      <w:rFonts w:ascii="Arial Narrow" w:hAnsi="Arial Narrow" w:cs="Arial Narrow"/>
      <w:color w:val="000000"/>
      <w:sz w:val="24"/>
      <w:szCs w:val="24"/>
      <w:lang w:bidi="km-KH"/>
    </w:rPr>
  </w:style>
  <w:style w:type="paragraph" w:customStyle="1" w:styleId="Table-normal-text">
    <w:name w:val="Table-normal-text"/>
    <w:basedOn w:val="Normal"/>
    <w:rsid w:val="000F5341"/>
    <w:pPr>
      <w:spacing w:before="60"/>
    </w:pPr>
  </w:style>
  <w:style w:type="paragraph" w:styleId="ListParagraph">
    <w:name w:val="List Paragraph"/>
    <w:aliases w:val="List Paragraph1,Recommendation,List Paragraph11,List Paragraph2,Bulit List -  Paragraph,AusAID List Paragraph,Bullet text"/>
    <w:basedOn w:val="Normal"/>
    <w:link w:val="ListParagraphChar"/>
    <w:uiPriority w:val="34"/>
    <w:qFormat/>
    <w:rsid w:val="000F5341"/>
    <w:pPr>
      <w:spacing w:before="0" w:after="200" w:line="276" w:lineRule="auto"/>
      <w:ind w:left="720"/>
      <w:contextualSpacing/>
    </w:pPr>
    <w:rPr>
      <w:rFonts w:ascii="Calibri" w:eastAsia="Calibri" w:hAnsi="Calibri"/>
      <w:sz w:val="22"/>
      <w:szCs w:val="22"/>
    </w:rPr>
  </w:style>
  <w:style w:type="paragraph" w:customStyle="1" w:styleId="Bulletedlist">
    <w:name w:val="Bulleted list"/>
    <w:basedOn w:val="Normal"/>
    <w:rsid w:val="00D04A5D"/>
    <w:pPr>
      <w:numPr>
        <w:numId w:val="10"/>
      </w:numPr>
      <w:spacing w:before="0" w:after="120" w:line="300" w:lineRule="atLeast"/>
      <w:jc w:val="both"/>
    </w:pPr>
    <w:rPr>
      <w:rFonts w:cs="Arial"/>
      <w:szCs w:val="20"/>
      <w:lang w:eastAsia="en-AU"/>
    </w:rPr>
  </w:style>
  <w:style w:type="paragraph" w:styleId="Revision">
    <w:name w:val="Revision"/>
    <w:hidden/>
    <w:uiPriority w:val="99"/>
    <w:rsid w:val="00D04A5D"/>
    <w:rPr>
      <w:rFonts w:ascii="Calibri" w:eastAsia="MS Mincho" w:hAnsi="Calibri" w:cs="DaunPenh"/>
      <w:sz w:val="24"/>
      <w:szCs w:val="24"/>
      <w:lang w:val="en-US" w:eastAsia="en-US"/>
    </w:rPr>
  </w:style>
  <w:style w:type="character" w:customStyle="1" w:styleId="Heading5Char">
    <w:name w:val="Heading 5 Char"/>
    <w:link w:val="Heading5"/>
    <w:rsid w:val="000F7B76"/>
    <w:rPr>
      <w:sz w:val="24"/>
      <w:szCs w:val="24"/>
      <w:lang w:eastAsia="en-US"/>
    </w:rPr>
  </w:style>
  <w:style w:type="character" w:customStyle="1" w:styleId="FooterChar1">
    <w:name w:val="Footer Char1"/>
    <w:locked/>
    <w:rsid w:val="000F7B76"/>
    <w:rPr>
      <w:rFonts w:ascii="Times New Roman" w:eastAsia="Times New Roman" w:hAnsi="Times New Roman" w:cs="Times New Roman"/>
      <w:sz w:val="24"/>
      <w:szCs w:val="24"/>
    </w:rPr>
  </w:style>
  <w:style w:type="character" w:customStyle="1" w:styleId="CommentTextChar1">
    <w:name w:val="Comment Text Char1"/>
    <w:semiHidden/>
    <w:locked/>
    <w:rsid w:val="000F7B76"/>
    <w:rPr>
      <w:rFonts w:ascii="Times New Roman" w:eastAsia="Times New Roman" w:hAnsi="Times New Roman" w:cs="Times New Roman"/>
      <w:sz w:val="24"/>
      <w:szCs w:val="24"/>
    </w:rPr>
  </w:style>
  <w:style w:type="paragraph" w:customStyle="1" w:styleId="CONHeading">
    <w:name w:val=".CON  Heading"/>
    <w:basedOn w:val="Normal"/>
    <w:rsid w:val="000F7B76"/>
    <w:pPr>
      <w:widowControl w:val="0"/>
      <w:adjustRightInd w:val="0"/>
      <w:spacing w:before="720"/>
      <w:jc w:val="center"/>
      <w:textAlignment w:val="baseline"/>
      <w:outlineLvl w:val="0"/>
    </w:pPr>
    <w:rPr>
      <w:rFonts w:ascii="Times New Roman" w:hAnsi="Times New Roman"/>
      <w:b/>
      <w:bCs/>
      <w:caps/>
      <w:sz w:val="24"/>
    </w:rPr>
  </w:style>
  <w:style w:type="paragraph" w:customStyle="1" w:styleId="CONLevel1">
    <w:name w:val=".CON  Level   1."/>
    <w:basedOn w:val="Normal"/>
    <w:next w:val="Normal"/>
    <w:link w:val="CONLevel1Char"/>
    <w:rsid w:val="000F7B76"/>
    <w:pPr>
      <w:keepNext/>
      <w:tabs>
        <w:tab w:val="num" w:pos="720"/>
      </w:tabs>
      <w:spacing w:before="240"/>
      <w:ind w:left="720" w:hanging="720"/>
      <w:outlineLvl w:val="1"/>
    </w:pPr>
    <w:rPr>
      <w:rFonts w:ascii="Times New Roman" w:hAnsi="Times New Roman"/>
      <w:b/>
      <w:sz w:val="24"/>
      <w:szCs w:val="22"/>
    </w:rPr>
  </w:style>
  <w:style w:type="paragraph" w:customStyle="1" w:styleId="CONLevel11">
    <w:name w:val=".CON  Level   1.1"/>
    <w:basedOn w:val="Normal"/>
    <w:next w:val="Normal"/>
    <w:link w:val="CONLevel11Char"/>
    <w:rsid w:val="000F7B76"/>
    <w:pPr>
      <w:tabs>
        <w:tab w:val="num" w:pos="720"/>
      </w:tabs>
      <w:spacing w:before="240"/>
      <w:ind w:left="720" w:hanging="706"/>
      <w:outlineLvl w:val="2"/>
    </w:pPr>
    <w:rPr>
      <w:rFonts w:ascii="Times New Roman" w:hAnsi="Times New Roman"/>
      <w:sz w:val="24"/>
      <w:szCs w:val="22"/>
    </w:rPr>
  </w:style>
  <w:style w:type="paragraph" w:customStyle="1" w:styleId="CONLevela">
    <w:name w:val=".CON  Level  (a)"/>
    <w:basedOn w:val="Normal"/>
    <w:next w:val="Normal"/>
    <w:link w:val="CONLevelaChar"/>
    <w:rsid w:val="000F7B76"/>
    <w:pPr>
      <w:tabs>
        <w:tab w:val="num" w:pos="1440"/>
      </w:tabs>
      <w:spacing w:before="240"/>
      <w:ind w:left="1440" w:hanging="720"/>
      <w:outlineLvl w:val="3"/>
    </w:pPr>
    <w:rPr>
      <w:rFonts w:ascii="Times New Roman" w:hAnsi="Times New Roman"/>
      <w:sz w:val="24"/>
      <w:szCs w:val="22"/>
    </w:rPr>
  </w:style>
  <w:style w:type="paragraph" w:customStyle="1" w:styleId="CONLeveli">
    <w:name w:val=".CON  Level  (i)"/>
    <w:basedOn w:val="Normal"/>
    <w:next w:val="Normal"/>
    <w:rsid w:val="000F7B76"/>
    <w:pPr>
      <w:tabs>
        <w:tab w:val="num" w:pos="2160"/>
      </w:tabs>
      <w:spacing w:before="240"/>
      <w:ind w:left="2160" w:hanging="720"/>
      <w:outlineLvl w:val="4"/>
    </w:pPr>
    <w:rPr>
      <w:rFonts w:ascii="Times New Roman" w:hAnsi="Times New Roman"/>
      <w:sz w:val="24"/>
      <w:szCs w:val="22"/>
    </w:rPr>
  </w:style>
  <w:style w:type="paragraph" w:customStyle="1" w:styleId="CONLevelA0">
    <w:name w:val=".CON  Level (A)"/>
    <w:basedOn w:val="Normal"/>
    <w:next w:val="Normal"/>
    <w:rsid w:val="000F7B76"/>
    <w:pPr>
      <w:tabs>
        <w:tab w:val="num" w:pos="2880"/>
      </w:tabs>
      <w:spacing w:before="240"/>
      <w:ind w:left="2880" w:hanging="720"/>
      <w:outlineLvl w:val="5"/>
    </w:pPr>
    <w:rPr>
      <w:rFonts w:ascii="Times New Roman" w:hAnsi="Times New Roman"/>
      <w:sz w:val="24"/>
      <w:szCs w:val="22"/>
    </w:rPr>
  </w:style>
  <w:style w:type="paragraph" w:customStyle="1" w:styleId="CONLevelI0">
    <w:name w:val=".CON  Level (I)"/>
    <w:basedOn w:val="Normal"/>
    <w:next w:val="Normal"/>
    <w:rsid w:val="000F7B76"/>
    <w:pPr>
      <w:tabs>
        <w:tab w:val="num" w:pos="3600"/>
      </w:tabs>
      <w:spacing w:before="240"/>
      <w:ind w:left="3600" w:hanging="720"/>
      <w:outlineLvl w:val="6"/>
    </w:pPr>
    <w:rPr>
      <w:rFonts w:ascii="Times New Roman" w:hAnsi="Times New Roman"/>
      <w:sz w:val="24"/>
      <w:szCs w:val="22"/>
    </w:rPr>
  </w:style>
  <w:style w:type="character" w:customStyle="1" w:styleId="CONLevel11Char">
    <w:name w:val=".CON  Level   1.1 Char"/>
    <w:link w:val="CONLevel11"/>
    <w:locked/>
    <w:rsid w:val="000F7B76"/>
    <w:rPr>
      <w:sz w:val="24"/>
      <w:szCs w:val="22"/>
      <w:lang w:eastAsia="en-US"/>
    </w:rPr>
  </w:style>
  <w:style w:type="paragraph" w:customStyle="1" w:styleId="Leveli">
    <w:name w:val="Level (i)"/>
    <w:basedOn w:val="Normal"/>
    <w:rsid w:val="000F7B76"/>
    <w:pPr>
      <w:tabs>
        <w:tab w:val="num" w:pos="2160"/>
      </w:tabs>
      <w:spacing w:before="240"/>
      <w:ind w:left="2160" w:hanging="720"/>
    </w:pPr>
    <w:rPr>
      <w:rFonts w:ascii="Times New Roman" w:hAnsi="Times New Roman"/>
      <w:sz w:val="24"/>
      <w:szCs w:val="22"/>
    </w:rPr>
  </w:style>
  <w:style w:type="character" w:customStyle="1" w:styleId="CONLevel1Char">
    <w:name w:val=".CON  Level   1. Char"/>
    <w:link w:val="CONLevel1"/>
    <w:locked/>
    <w:rsid w:val="000F7B76"/>
    <w:rPr>
      <w:b/>
      <w:sz w:val="24"/>
      <w:szCs w:val="22"/>
      <w:lang w:eastAsia="en-US"/>
    </w:rPr>
  </w:style>
  <w:style w:type="character" w:customStyle="1" w:styleId="ListParagraphChar">
    <w:name w:val="List Paragraph Char"/>
    <w:aliases w:val="List Paragraph1 Char,Recommendation Char,List Paragraph11 Char,List Paragraph2 Char,Bulit List -  Paragraph Char,AusAID List Paragraph Char,Bullet text Char"/>
    <w:link w:val="ListParagraph"/>
    <w:uiPriority w:val="34"/>
    <w:locked/>
    <w:rsid w:val="000F5341"/>
    <w:rPr>
      <w:rFonts w:ascii="Calibri" w:eastAsia="Calibri" w:hAnsi="Calibri"/>
      <w:sz w:val="22"/>
      <w:szCs w:val="22"/>
      <w:lang w:eastAsia="en-US"/>
    </w:rPr>
  </w:style>
  <w:style w:type="paragraph" w:customStyle="1" w:styleId="Levelifo">
    <w:name w:val="Level (i)fo"/>
    <w:basedOn w:val="Normal"/>
    <w:rsid w:val="000F7B76"/>
    <w:pPr>
      <w:widowControl w:val="0"/>
      <w:adjustRightInd w:val="0"/>
      <w:spacing w:before="240"/>
      <w:ind w:left="2160"/>
      <w:jc w:val="both"/>
      <w:textAlignment w:val="baseline"/>
    </w:pPr>
    <w:rPr>
      <w:rFonts w:ascii="Times New Roman" w:hAnsi="Times New Roman"/>
      <w:sz w:val="24"/>
    </w:rPr>
  </w:style>
  <w:style w:type="paragraph" w:customStyle="1" w:styleId="LevelA">
    <w:name w:val="Level (A)"/>
    <w:basedOn w:val="Normal"/>
    <w:next w:val="LevelAfo"/>
    <w:rsid w:val="000F7B76"/>
    <w:pPr>
      <w:widowControl w:val="0"/>
      <w:adjustRightInd w:val="0"/>
      <w:spacing w:before="240"/>
      <w:ind w:left="2880" w:hanging="720"/>
      <w:jc w:val="both"/>
      <w:textAlignment w:val="baseline"/>
    </w:pPr>
    <w:rPr>
      <w:rFonts w:ascii="Times New Roman" w:hAnsi="Times New Roman"/>
      <w:sz w:val="24"/>
    </w:rPr>
  </w:style>
  <w:style w:type="paragraph" w:customStyle="1" w:styleId="LevelAfo">
    <w:name w:val="Level (A)fo"/>
    <w:basedOn w:val="Normal"/>
    <w:rsid w:val="000F7B76"/>
    <w:pPr>
      <w:widowControl w:val="0"/>
      <w:adjustRightInd w:val="0"/>
      <w:spacing w:before="240"/>
      <w:ind w:left="2880"/>
      <w:jc w:val="both"/>
      <w:textAlignment w:val="baseline"/>
    </w:pPr>
    <w:rPr>
      <w:rFonts w:ascii="Times New Roman" w:hAnsi="Times New Roman"/>
      <w:sz w:val="24"/>
    </w:rPr>
  </w:style>
  <w:style w:type="paragraph" w:customStyle="1" w:styleId="LevelI0">
    <w:name w:val="Level (I)"/>
    <w:basedOn w:val="Normal"/>
    <w:next w:val="LevelIfo0"/>
    <w:rsid w:val="000F7B76"/>
    <w:pPr>
      <w:widowControl w:val="0"/>
      <w:adjustRightInd w:val="0"/>
      <w:spacing w:before="240"/>
      <w:ind w:left="3600" w:hanging="720"/>
      <w:jc w:val="both"/>
      <w:textAlignment w:val="baseline"/>
    </w:pPr>
    <w:rPr>
      <w:rFonts w:ascii="Times New Roman" w:hAnsi="Times New Roman"/>
      <w:sz w:val="24"/>
    </w:rPr>
  </w:style>
  <w:style w:type="paragraph" w:customStyle="1" w:styleId="LevelIfo0">
    <w:name w:val="Level (I)fo"/>
    <w:basedOn w:val="Normal"/>
    <w:rsid w:val="000F7B76"/>
    <w:pPr>
      <w:widowControl w:val="0"/>
      <w:adjustRightInd w:val="0"/>
      <w:spacing w:before="240"/>
      <w:ind w:left="3600"/>
      <w:jc w:val="both"/>
      <w:textAlignment w:val="baseline"/>
    </w:pPr>
    <w:rPr>
      <w:rFonts w:ascii="Times New Roman" w:hAnsi="Times New Roman"/>
      <w:sz w:val="24"/>
    </w:rPr>
  </w:style>
  <w:style w:type="paragraph" w:styleId="TOC8">
    <w:name w:val="toc 8"/>
    <w:basedOn w:val="Normal"/>
    <w:next w:val="Normal"/>
    <w:uiPriority w:val="39"/>
    <w:rsid w:val="000F7B76"/>
    <w:pPr>
      <w:widowControl w:val="0"/>
      <w:tabs>
        <w:tab w:val="right" w:pos="9000"/>
      </w:tabs>
      <w:adjustRightInd w:val="0"/>
      <w:spacing w:before="0"/>
      <w:ind w:left="5040" w:right="907" w:hanging="720"/>
      <w:jc w:val="both"/>
      <w:textAlignment w:val="baseline"/>
    </w:pPr>
    <w:rPr>
      <w:rFonts w:ascii="Times New Roman" w:hAnsi="Times New Roman"/>
      <w:sz w:val="24"/>
    </w:rPr>
  </w:style>
  <w:style w:type="paragraph" w:styleId="TOC7">
    <w:name w:val="toc 7"/>
    <w:basedOn w:val="Normal"/>
    <w:next w:val="Normal"/>
    <w:uiPriority w:val="39"/>
    <w:rsid w:val="000F7B76"/>
    <w:pPr>
      <w:widowControl w:val="0"/>
      <w:tabs>
        <w:tab w:val="right" w:pos="9000"/>
      </w:tabs>
      <w:adjustRightInd w:val="0"/>
      <w:spacing w:before="0"/>
      <w:ind w:left="4320" w:right="907" w:hanging="720"/>
      <w:jc w:val="both"/>
      <w:textAlignment w:val="baseline"/>
    </w:pPr>
    <w:rPr>
      <w:rFonts w:ascii="Times New Roman" w:hAnsi="Times New Roman"/>
      <w:sz w:val="24"/>
    </w:rPr>
  </w:style>
  <w:style w:type="paragraph" w:styleId="TOC6">
    <w:name w:val="toc 6"/>
    <w:basedOn w:val="Normal"/>
    <w:next w:val="Normal"/>
    <w:uiPriority w:val="39"/>
    <w:rsid w:val="000F7B76"/>
    <w:pPr>
      <w:widowControl w:val="0"/>
      <w:tabs>
        <w:tab w:val="right" w:pos="9000"/>
      </w:tabs>
      <w:adjustRightInd w:val="0"/>
      <w:spacing w:before="0"/>
      <w:ind w:left="3600" w:right="907" w:hanging="720"/>
      <w:jc w:val="both"/>
      <w:textAlignment w:val="baseline"/>
    </w:pPr>
    <w:rPr>
      <w:rFonts w:ascii="Times New Roman" w:hAnsi="Times New Roman"/>
      <w:sz w:val="24"/>
    </w:rPr>
  </w:style>
  <w:style w:type="paragraph" w:styleId="TOC5">
    <w:name w:val="toc 5"/>
    <w:basedOn w:val="Normal"/>
    <w:next w:val="Normal"/>
    <w:uiPriority w:val="39"/>
    <w:rsid w:val="000F7B76"/>
    <w:pPr>
      <w:widowControl w:val="0"/>
      <w:tabs>
        <w:tab w:val="right" w:pos="9000"/>
      </w:tabs>
      <w:adjustRightInd w:val="0"/>
      <w:spacing w:before="0"/>
      <w:ind w:left="2880" w:right="907" w:hanging="720"/>
      <w:jc w:val="both"/>
      <w:textAlignment w:val="baseline"/>
    </w:pPr>
    <w:rPr>
      <w:rFonts w:ascii="Times New Roman" w:hAnsi="Times New Roman"/>
      <w:sz w:val="24"/>
    </w:rPr>
  </w:style>
  <w:style w:type="paragraph" w:styleId="TOC4">
    <w:name w:val="toc 4"/>
    <w:basedOn w:val="Normal"/>
    <w:next w:val="Normal"/>
    <w:uiPriority w:val="39"/>
    <w:rsid w:val="000F7B76"/>
    <w:pPr>
      <w:widowControl w:val="0"/>
      <w:tabs>
        <w:tab w:val="right" w:pos="9000"/>
      </w:tabs>
      <w:adjustRightInd w:val="0"/>
      <w:spacing w:before="0"/>
      <w:ind w:left="2160" w:right="907" w:hanging="720"/>
      <w:jc w:val="both"/>
      <w:textAlignment w:val="baseline"/>
    </w:pPr>
    <w:rPr>
      <w:rFonts w:ascii="Times New Roman" w:hAnsi="Times New Roman"/>
      <w:sz w:val="24"/>
    </w:rPr>
  </w:style>
  <w:style w:type="paragraph" w:customStyle="1" w:styleId="footnotetextfo">
    <w:name w:val="footnote text fo"/>
    <w:basedOn w:val="FootnoteText"/>
    <w:rsid w:val="000F7B76"/>
    <w:pPr>
      <w:widowControl w:val="0"/>
      <w:adjustRightInd w:val="0"/>
      <w:spacing w:before="240"/>
      <w:jc w:val="both"/>
      <w:textAlignment w:val="baseline"/>
    </w:pPr>
    <w:rPr>
      <w:rFonts w:ascii="Times New Roman" w:hAnsi="Times New Roman"/>
    </w:rPr>
  </w:style>
  <w:style w:type="paragraph" w:styleId="TOC9">
    <w:name w:val="toc 9"/>
    <w:basedOn w:val="Normal"/>
    <w:next w:val="Normal"/>
    <w:uiPriority w:val="39"/>
    <w:rsid w:val="000F7B76"/>
    <w:pPr>
      <w:widowControl w:val="0"/>
      <w:tabs>
        <w:tab w:val="right" w:pos="9000"/>
      </w:tabs>
      <w:adjustRightInd w:val="0"/>
      <w:spacing w:before="0"/>
      <w:ind w:left="5760" w:right="907" w:hanging="720"/>
      <w:jc w:val="both"/>
      <w:textAlignment w:val="baseline"/>
    </w:pPr>
    <w:rPr>
      <w:rFonts w:ascii="Times New Roman" w:hAnsi="Times New Roman"/>
      <w:sz w:val="24"/>
    </w:rPr>
  </w:style>
  <w:style w:type="paragraph" w:customStyle="1" w:styleId="Level1">
    <w:name w:val="Level 1."/>
    <w:basedOn w:val="Normal"/>
    <w:next w:val="Level1fo"/>
    <w:rsid w:val="000F7B76"/>
    <w:pPr>
      <w:widowControl w:val="0"/>
      <w:tabs>
        <w:tab w:val="num" w:pos="720"/>
      </w:tabs>
      <w:adjustRightInd w:val="0"/>
      <w:spacing w:before="240"/>
      <w:ind w:left="720" w:hanging="720"/>
      <w:jc w:val="both"/>
      <w:textAlignment w:val="baseline"/>
      <w:outlineLvl w:val="1"/>
    </w:pPr>
    <w:rPr>
      <w:rFonts w:ascii="Times New Roman" w:hAnsi="Times New Roman"/>
      <w:sz w:val="24"/>
    </w:rPr>
  </w:style>
  <w:style w:type="paragraph" w:customStyle="1" w:styleId="Level1fo">
    <w:name w:val="Level 1.fo"/>
    <w:basedOn w:val="Normal"/>
    <w:rsid w:val="000F7B76"/>
    <w:pPr>
      <w:widowControl w:val="0"/>
      <w:adjustRightInd w:val="0"/>
      <w:spacing w:before="240"/>
      <w:ind w:left="720"/>
      <w:jc w:val="both"/>
      <w:textAlignment w:val="baseline"/>
    </w:pPr>
    <w:rPr>
      <w:rFonts w:ascii="Times New Roman" w:hAnsi="Times New Roman"/>
      <w:sz w:val="24"/>
    </w:rPr>
  </w:style>
  <w:style w:type="paragraph" w:customStyle="1" w:styleId="Heading31">
    <w:name w:val="Heading 31"/>
    <w:aliases w:val="Para3"/>
    <w:basedOn w:val="Level11"/>
    <w:next w:val="Level11fo"/>
    <w:rsid w:val="000F7B76"/>
    <w:pPr>
      <w:tabs>
        <w:tab w:val="clear" w:pos="720"/>
      </w:tabs>
      <w:ind w:left="0" w:firstLine="0"/>
    </w:pPr>
  </w:style>
  <w:style w:type="paragraph" w:customStyle="1" w:styleId="Level11">
    <w:name w:val="Level 1.1"/>
    <w:basedOn w:val="Normal"/>
    <w:next w:val="Level11fo"/>
    <w:rsid w:val="000F7B76"/>
    <w:pPr>
      <w:widowControl w:val="0"/>
      <w:tabs>
        <w:tab w:val="num" w:pos="720"/>
      </w:tabs>
      <w:adjustRightInd w:val="0"/>
      <w:spacing w:before="240"/>
      <w:ind w:left="720" w:hanging="706"/>
      <w:jc w:val="both"/>
      <w:textAlignment w:val="baseline"/>
      <w:outlineLvl w:val="2"/>
    </w:pPr>
    <w:rPr>
      <w:rFonts w:ascii="Times New Roman" w:hAnsi="Times New Roman"/>
      <w:sz w:val="24"/>
    </w:rPr>
  </w:style>
  <w:style w:type="paragraph" w:customStyle="1" w:styleId="Level11fo">
    <w:name w:val="Level 1.1fo"/>
    <w:basedOn w:val="Normal"/>
    <w:rsid w:val="000F7B76"/>
    <w:pPr>
      <w:widowControl w:val="0"/>
      <w:adjustRightInd w:val="0"/>
      <w:spacing w:before="240"/>
      <w:ind w:left="720"/>
      <w:jc w:val="both"/>
      <w:textAlignment w:val="baseline"/>
    </w:pPr>
    <w:rPr>
      <w:rFonts w:ascii="Times New Roman" w:hAnsi="Times New Roman"/>
      <w:sz w:val="24"/>
    </w:rPr>
  </w:style>
  <w:style w:type="paragraph" w:customStyle="1" w:styleId="Heading41">
    <w:name w:val="Heading 41"/>
    <w:aliases w:val="Para4"/>
    <w:basedOn w:val="Levela0"/>
    <w:next w:val="Levelafo0"/>
    <w:rsid w:val="000F7B76"/>
  </w:style>
  <w:style w:type="paragraph" w:customStyle="1" w:styleId="Levela0">
    <w:name w:val="Level (a)"/>
    <w:basedOn w:val="Normal"/>
    <w:next w:val="Levelafo0"/>
    <w:rsid w:val="000F7B76"/>
    <w:pPr>
      <w:widowControl w:val="0"/>
      <w:tabs>
        <w:tab w:val="num" w:pos="1440"/>
      </w:tabs>
      <w:adjustRightInd w:val="0"/>
      <w:spacing w:before="240"/>
      <w:ind w:left="1440" w:hanging="720"/>
      <w:jc w:val="both"/>
      <w:textAlignment w:val="baseline"/>
      <w:outlineLvl w:val="3"/>
    </w:pPr>
    <w:rPr>
      <w:rFonts w:ascii="Times New Roman" w:hAnsi="Times New Roman"/>
      <w:sz w:val="24"/>
    </w:rPr>
  </w:style>
  <w:style w:type="paragraph" w:customStyle="1" w:styleId="Levelafo0">
    <w:name w:val="Level (a)fo"/>
    <w:basedOn w:val="Normal"/>
    <w:rsid w:val="000F7B76"/>
    <w:pPr>
      <w:widowControl w:val="0"/>
      <w:adjustRightInd w:val="0"/>
      <w:spacing w:before="240"/>
      <w:ind w:left="1440"/>
      <w:jc w:val="both"/>
      <w:textAlignment w:val="baseline"/>
    </w:pPr>
    <w:rPr>
      <w:rFonts w:ascii="Times New Roman" w:hAnsi="Times New Roman"/>
      <w:sz w:val="24"/>
    </w:rPr>
  </w:style>
  <w:style w:type="paragraph" w:styleId="Subtitle">
    <w:name w:val="Subtitle"/>
    <w:basedOn w:val="Title"/>
    <w:next w:val="Normal"/>
    <w:link w:val="SubtitleChar"/>
    <w:rsid w:val="000F7B76"/>
    <w:pPr>
      <w:jc w:val="left"/>
    </w:pPr>
  </w:style>
  <w:style w:type="character" w:customStyle="1" w:styleId="SubtitleChar">
    <w:name w:val="Subtitle Char"/>
    <w:link w:val="Subtitle"/>
    <w:rsid w:val="000F7B76"/>
    <w:rPr>
      <w:rFonts w:ascii="Frutiger 45 Light" w:hAnsi="Frutiger 45 Light"/>
      <w:b/>
      <w:bCs/>
      <w:sz w:val="24"/>
      <w:szCs w:val="24"/>
    </w:rPr>
  </w:style>
  <w:style w:type="paragraph" w:styleId="Title">
    <w:name w:val="Title"/>
    <w:basedOn w:val="Normal"/>
    <w:next w:val="Normal"/>
    <w:link w:val="TitleChar"/>
    <w:rsid w:val="000F7B76"/>
    <w:pPr>
      <w:widowControl w:val="0"/>
      <w:adjustRightInd w:val="0"/>
      <w:spacing w:before="240"/>
      <w:jc w:val="center"/>
      <w:textAlignment w:val="baseline"/>
      <w:outlineLvl w:val="0"/>
    </w:pPr>
    <w:rPr>
      <w:rFonts w:ascii="Frutiger 45 Light" w:hAnsi="Frutiger 45 Light"/>
      <w:b/>
      <w:bCs/>
      <w:sz w:val="24"/>
    </w:rPr>
  </w:style>
  <w:style w:type="character" w:customStyle="1" w:styleId="TitleChar">
    <w:name w:val="Title Char"/>
    <w:link w:val="Title"/>
    <w:rsid w:val="000F7B76"/>
    <w:rPr>
      <w:rFonts w:ascii="Frutiger 45 Light" w:hAnsi="Frutiger 45 Light"/>
      <w:b/>
      <w:bCs/>
      <w:sz w:val="24"/>
      <w:szCs w:val="24"/>
    </w:rPr>
  </w:style>
  <w:style w:type="paragraph" w:customStyle="1" w:styleId="Style1">
    <w:name w:val="Style1"/>
    <w:basedOn w:val="Normal"/>
    <w:rsid w:val="000F7B76"/>
    <w:pPr>
      <w:widowControl w:val="0"/>
      <w:tabs>
        <w:tab w:val="left" w:pos="1134"/>
      </w:tabs>
      <w:adjustRightInd w:val="0"/>
      <w:spacing w:before="0"/>
      <w:ind w:left="1134" w:hanging="1134"/>
      <w:jc w:val="both"/>
      <w:textAlignment w:val="baseline"/>
    </w:pPr>
    <w:rPr>
      <w:rFonts w:ascii="New York" w:hAnsi="New York"/>
      <w:sz w:val="24"/>
    </w:rPr>
  </w:style>
  <w:style w:type="paragraph" w:customStyle="1" w:styleId="ExecutionClause">
    <w:name w:val="Execution Clause"/>
    <w:basedOn w:val="Normal"/>
    <w:rsid w:val="000F7B76"/>
    <w:pPr>
      <w:widowControl w:val="0"/>
      <w:adjustRightInd w:val="0"/>
      <w:spacing w:before="240" w:after="720"/>
      <w:jc w:val="both"/>
      <w:textAlignment w:val="baseline"/>
    </w:pPr>
    <w:rPr>
      <w:rFonts w:ascii="Times New Roman" w:hAnsi="Times New Roman"/>
      <w:b/>
      <w:bCs/>
      <w:sz w:val="24"/>
    </w:rPr>
  </w:style>
  <w:style w:type="paragraph" w:customStyle="1" w:styleId="cstopsignature">
    <w:name w:val="cstopsignature"/>
    <w:basedOn w:val="Normal"/>
    <w:rsid w:val="000F7B76"/>
    <w:pPr>
      <w:widowControl w:val="0"/>
      <w:pBdr>
        <w:top w:val="single" w:sz="2" w:space="1" w:color="auto"/>
      </w:pBdr>
      <w:adjustRightInd w:val="0"/>
      <w:spacing w:before="2160" w:after="720"/>
      <w:ind w:left="692"/>
      <w:jc w:val="both"/>
      <w:textAlignment w:val="baseline"/>
    </w:pPr>
    <w:rPr>
      <w:rFonts w:ascii="Times New Roman" w:hAnsi="Times New Roman"/>
      <w:szCs w:val="20"/>
    </w:rPr>
  </w:style>
  <w:style w:type="paragraph" w:customStyle="1" w:styleId="leftsignature">
    <w:name w:val="leftsignature"/>
    <w:basedOn w:val="Normal"/>
    <w:rsid w:val="000F7B76"/>
    <w:pPr>
      <w:widowControl w:val="0"/>
      <w:pBdr>
        <w:top w:val="single" w:sz="2" w:space="1" w:color="auto"/>
      </w:pBdr>
      <w:adjustRightInd w:val="0"/>
      <w:spacing w:before="0" w:after="240"/>
      <w:ind w:right="432"/>
      <w:jc w:val="both"/>
      <w:textAlignment w:val="baseline"/>
    </w:pPr>
    <w:rPr>
      <w:rFonts w:ascii="Times New Roman" w:hAnsi="Times New Roman"/>
      <w:szCs w:val="20"/>
    </w:rPr>
  </w:style>
  <w:style w:type="paragraph" w:customStyle="1" w:styleId="topsignature">
    <w:name w:val="topsignature"/>
    <w:basedOn w:val="Normal"/>
    <w:rsid w:val="000F7B76"/>
    <w:pPr>
      <w:widowControl w:val="0"/>
      <w:pBdr>
        <w:top w:val="single" w:sz="2" w:space="1" w:color="auto"/>
      </w:pBdr>
      <w:adjustRightInd w:val="0"/>
      <w:spacing w:before="720" w:after="240"/>
      <w:jc w:val="both"/>
      <w:textAlignment w:val="baseline"/>
    </w:pPr>
    <w:rPr>
      <w:rFonts w:ascii="Times New Roman" w:hAnsi="Times New Roman"/>
      <w:szCs w:val="20"/>
    </w:rPr>
  </w:style>
  <w:style w:type="paragraph" w:customStyle="1" w:styleId="rightsignature">
    <w:name w:val="rightsignature"/>
    <w:basedOn w:val="leftsignature"/>
    <w:next w:val="rightsignaturefo"/>
    <w:rsid w:val="000F7B76"/>
    <w:pPr>
      <w:ind w:right="0"/>
    </w:pPr>
  </w:style>
  <w:style w:type="paragraph" w:customStyle="1" w:styleId="rightsignaturefo">
    <w:name w:val="rightsignaturefo"/>
    <w:basedOn w:val="Normal"/>
    <w:rsid w:val="000F7B76"/>
    <w:pPr>
      <w:widowControl w:val="0"/>
      <w:adjustRightInd w:val="0"/>
      <w:spacing w:before="240"/>
      <w:ind w:left="720"/>
      <w:jc w:val="both"/>
      <w:textAlignment w:val="baseline"/>
    </w:pPr>
    <w:rPr>
      <w:rFonts w:ascii="Times New Roman" w:hAnsi="Times New Roman"/>
      <w:sz w:val="24"/>
    </w:rPr>
  </w:style>
  <w:style w:type="paragraph" w:customStyle="1" w:styleId="csright">
    <w:name w:val="csright"/>
    <w:basedOn w:val="Normal"/>
    <w:rsid w:val="000F7B76"/>
    <w:pPr>
      <w:widowControl w:val="0"/>
      <w:adjustRightInd w:val="0"/>
      <w:spacing w:before="1440" w:after="720"/>
      <w:jc w:val="both"/>
      <w:textAlignment w:val="baseline"/>
    </w:pPr>
    <w:rPr>
      <w:rFonts w:ascii="Times New Roman" w:hAnsi="Times New Roman"/>
      <w:sz w:val="24"/>
    </w:rPr>
  </w:style>
  <w:style w:type="paragraph" w:styleId="PlainText">
    <w:name w:val="Plain Text"/>
    <w:basedOn w:val="Normal"/>
    <w:link w:val="PlainTextChar"/>
    <w:uiPriority w:val="99"/>
    <w:rsid w:val="000F7B76"/>
    <w:pPr>
      <w:widowControl w:val="0"/>
      <w:tabs>
        <w:tab w:val="num" w:pos="2880"/>
      </w:tabs>
      <w:adjustRightInd w:val="0"/>
      <w:spacing w:before="240"/>
      <w:ind w:left="2880" w:hanging="720"/>
      <w:jc w:val="both"/>
      <w:textAlignment w:val="baseline"/>
    </w:pPr>
    <w:rPr>
      <w:rFonts w:ascii="Times New Roman" w:hAnsi="Times New Roman"/>
      <w:sz w:val="24"/>
    </w:rPr>
  </w:style>
  <w:style w:type="character" w:customStyle="1" w:styleId="PlainTextChar">
    <w:name w:val="Plain Text Char"/>
    <w:link w:val="PlainText"/>
    <w:uiPriority w:val="99"/>
    <w:rsid w:val="000F7B76"/>
    <w:rPr>
      <w:sz w:val="24"/>
      <w:szCs w:val="24"/>
    </w:rPr>
  </w:style>
  <w:style w:type="paragraph" w:customStyle="1" w:styleId="LevelA1">
    <w:name w:val="Level(A)"/>
    <w:basedOn w:val="Normal"/>
    <w:next w:val="LevelAfo"/>
    <w:rsid w:val="000F7B76"/>
    <w:pPr>
      <w:widowControl w:val="0"/>
      <w:tabs>
        <w:tab w:val="num" w:pos="3600"/>
      </w:tabs>
      <w:adjustRightInd w:val="0"/>
      <w:spacing w:before="240"/>
      <w:ind w:left="3600" w:hanging="720"/>
      <w:jc w:val="both"/>
      <w:textAlignment w:val="baseline"/>
      <w:outlineLvl w:val="5"/>
    </w:pPr>
    <w:rPr>
      <w:rFonts w:ascii="Times New Roman" w:hAnsi="Times New Roman"/>
      <w:sz w:val="24"/>
    </w:rPr>
  </w:style>
  <w:style w:type="paragraph" w:customStyle="1" w:styleId="LevelI1">
    <w:name w:val="Level(I)"/>
    <w:basedOn w:val="Normal"/>
    <w:next w:val="LevelIfo0"/>
    <w:rsid w:val="000F7B76"/>
    <w:pPr>
      <w:widowControl w:val="0"/>
      <w:tabs>
        <w:tab w:val="num" w:pos="3600"/>
      </w:tabs>
      <w:adjustRightInd w:val="0"/>
      <w:spacing w:before="240"/>
      <w:ind w:left="3600" w:hanging="720"/>
      <w:jc w:val="both"/>
      <w:textAlignment w:val="baseline"/>
      <w:outlineLvl w:val="6"/>
    </w:pPr>
    <w:rPr>
      <w:rFonts w:ascii="Times New Roman" w:hAnsi="Times New Roman"/>
      <w:sz w:val="24"/>
    </w:rPr>
  </w:style>
  <w:style w:type="paragraph" w:customStyle="1" w:styleId="TableHeader0">
    <w:name w:val="Table Header"/>
    <w:basedOn w:val="BodyText"/>
    <w:next w:val="Normal"/>
    <w:rsid w:val="000F5341"/>
    <w:pPr>
      <w:spacing w:before="60" w:after="60"/>
    </w:pPr>
    <w:rPr>
      <w:rFonts w:ascii="Arial Black" w:hAnsi="Arial Black" w:cs="Arial"/>
      <w:sz w:val="18"/>
      <w:szCs w:val="20"/>
      <w:lang w:eastAsia="en-US"/>
    </w:rPr>
  </w:style>
  <w:style w:type="paragraph" w:styleId="BlockText">
    <w:name w:val="Block Text"/>
    <w:basedOn w:val="Normal"/>
    <w:rsid w:val="000F7B76"/>
    <w:pPr>
      <w:widowControl w:val="0"/>
      <w:adjustRightInd w:val="0"/>
      <w:spacing w:before="240"/>
      <w:ind w:left="1440" w:right="1440"/>
      <w:jc w:val="both"/>
      <w:textAlignment w:val="baseline"/>
    </w:pPr>
    <w:rPr>
      <w:rFonts w:ascii="Times New Roman" w:hAnsi="Times New Roman"/>
      <w:sz w:val="24"/>
    </w:rPr>
  </w:style>
  <w:style w:type="paragraph" w:styleId="BodyText2">
    <w:name w:val="Body Text 2"/>
    <w:basedOn w:val="Normal"/>
    <w:link w:val="BodyText2Char"/>
    <w:rsid w:val="000F5341"/>
    <w:pPr>
      <w:spacing w:after="120" w:line="480" w:lineRule="auto"/>
    </w:pPr>
  </w:style>
  <w:style w:type="character" w:customStyle="1" w:styleId="BodyText2Char">
    <w:name w:val="Body Text 2 Char"/>
    <w:basedOn w:val="DefaultParagraphFont"/>
    <w:link w:val="BodyText2"/>
    <w:rsid w:val="000F5341"/>
    <w:rPr>
      <w:rFonts w:ascii="Arial" w:hAnsi="Arial"/>
      <w:szCs w:val="24"/>
      <w:lang w:eastAsia="en-US"/>
    </w:rPr>
  </w:style>
  <w:style w:type="character" w:customStyle="1" w:styleId="Heading2Char1">
    <w:name w:val="Heading 2 Char1"/>
    <w:locked/>
    <w:rsid w:val="000F5341"/>
    <w:rPr>
      <w:rFonts w:ascii="Times New Roman" w:eastAsia="Times New Roman" w:hAnsi="Times New Roman"/>
      <w:sz w:val="24"/>
      <w:szCs w:val="24"/>
    </w:rPr>
  </w:style>
  <w:style w:type="character" w:customStyle="1" w:styleId="BodyTextChar1">
    <w:name w:val="Body Text Char1"/>
    <w:locked/>
    <w:rsid w:val="000F5341"/>
    <w:rPr>
      <w:rFonts w:ascii="Times New Roman" w:eastAsia="Times New Roman" w:hAnsi="Times New Roman"/>
      <w:sz w:val="24"/>
      <w:szCs w:val="24"/>
    </w:rPr>
  </w:style>
  <w:style w:type="paragraph" w:styleId="BodyText3">
    <w:name w:val="Body Text 3"/>
    <w:basedOn w:val="Normal"/>
    <w:link w:val="BodyText3Char"/>
    <w:rsid w:val="000F5341"/>
    <w:pPr>
      <w:widowControl w:val="0"/>
      <w:adjustRightInd w:val="0"/>
      <w:spacing w:before="720" w:line="720" w:lineRule="auto"/>
      <w:jc w:val="both"/>
      <w:textAlignment w:val="baseline"/>
    </w:pPr>
    <w:rPr>
      <w:rFonts w:ascii="Times New Roman" w:hAnsi="Times New Roman"/>
      <w:sz w:val="24"/>
    </w:rPr>
  </w:style>
  <w:style w:type="character" w:customStyle="1" w:styleId="BodyText3Char">
    <w:name w:val="Body Text 3 Char"/>
    <w:basedOn w:val="DefaultParagraphFont"/>
    <w:link w:val="BodyText3"/>
    <w:rsid w:val="000F5341"/>
    <w:rPr>
      <w:sz w:val="24"/>
      <w:szCs w:val="24"/>
    </w:rPr>
  </w:style>
  <w:style w:type="paragraph" w:styleId="BodyTextFirstIndent">
    <w:name w:val="Body Text First Indent"/>
    <w:basedOn w:val="BodyText"/>
    <w:link w:val="BodyTextFirstIndentChar"/>
    <w:rsid w:val="000F5341"/>
    <w:pPr>
      <w:widowControl w:val="0"/>
      <w:adjustRightInd w:val="0"/>
      <w:spacing w:before="240" w:after="0"/>
      <w:ind w:firstLine="720"/>
      <w:textAlignment w:val="baseline"/>
    </w:pPr>
    <w:rPr>
      <w:rFonts w:ascii="Times New Roman" w:hAnsi="Times New Roman"/>
      <w:sz w:val="24"/>
    </w:rPr>
  </w:style>
  <w:style w:type="character" w:customStyle="1" w:styleId="BodyTextFirstIndentChar">
    <w:name w:val="Body Text First Indent Char"/>
    <w:basedOn w:val="BodyTextChar"/>
    <w:link w:val="BodyTextFirstIndent"/>
    <w:rsid w:val="000F5341"/>
    <w:rPr>
      <w:rFonts w:ascii="Arial" w:hAnsi="Arial"/>
      <w:sz w:val="24"/>
      <w:szCs w:val="24"/>
    </w:rPr>
  </w:style>
  <w:style w:type="paragraph" w:styleId="BodyTextIndent">
    <w:name w:val="Body Text Indent"/>
    <w:basedOn w:val="Normal"/>
    <w:link w:val="BodyTextIndentChar"/>
    <w:rsid w:val="000F5341"/>
    <w:pPr>
      <w:widowControl w:val="0"/>
      <w:adjustRightInd w:val="0"/>
      <w:spacing w:before="240"/>
      <w:ind w:left="720"/>
      <w:jc w:val="both"/>
      <w:textAlignment w:val="baseline"/>
    </w:pPr>
    <w:rPr>
      <w:rFonts w:ascii="Times New Roman" w:hAnsi="Times New Roman"/>
      <w:sz w:val="24"/>
    </w:rPr>
  </w:style>
  <w:style w:type="character" w:customStyle="1" w:styleId="BodyTextIndentChar">
    <w:name w:val="Body Text Indent Char"/>
    <w:basedOn w:val="DefaultParagraphFont"/>
    <w:link w:val="BodyTextIndent"/>
    <w:rsid w:val="000F5341"/>
    <w:rPr>
      <w:sz w:val="24"/>
      <w:szCs w:val="24"/>
    </w:rPr>
  </w:style>
  <w:style w:type="paragraph" w:styleId="BodyTextIndent3">
    <w:name w:val="Body Text Indent 3"/>
    <w:basedOn w:val="Normal"/>
    <w:link w:val="BodyTextIndent3Char"/>
    <w:rsid w:val="000F7B76"/>
    <w:pPr>
      <w:widowControl w:val="0"/>
      <w:adjustRightInd w:val="0"/>
      <w:spacing w:before="720" w:line="720" w:lineRule="auto"/>
      <w:ind w:left="720"/>
      <w:jc w:val="both"/>
      <w:textAlignment w:val="baseline"/>
    </w:pPr>
    <w:rPr>
      <w:rFonts w:ascii="Times New Roman" w:hAnsi="Times New Roman"/>
      <w:sz w:val="24"/>
    </w:rPr>
  </w:style>
  <w:style w:type="character" w:customStyle="1" w:styleId="BodyTextIndent3Char">
    <w:name w:val="Body Text Indent 3 Char"/>
    <w:link w:val="BodyTextIndent3"/>
    <w:rsid w:val="000F7B76"/>
    <w:rPr>
      <w:sz w:val="24"/>
      <w:szCs w:val="24"/>
    </w:rPr>
  </w:style>
  <w:style w:type="paragraph" w:styleId="Caption">
    <w:name w:val="caption"/>
    <w:basedOn w:val="Normal"/>
    <w:next w:val="BodyText"/>
    <w:qFormat/>
    <w:rsid w:val="00097002"/>
    <w:pPr>
      <w:keepNext/>
      <w:widowControl w:val="0"/>
      <w:adjustRightInd w:val="0"/>
      <w:spacing w:before="360" w:after="120"/>
      <w:jc w:val="both"/>
      <w:textAlignment w:val="baseline"/>
    </w:pPr>
    <w:rPr>
      <w:b/>
      <w:sz w:val="16"/>
    </w:rPr>
  </w:style>
  <w:style w:type="paragraph" w:styleId="Closing">
    <w:name w:val="Closing"/>
    <w:basedOn w:val="Normal"/>
    <w:link w:val="ClosingChar"/>
    <w:rsid w:val="000F7B76"/>
    <w:pPr>
      <w:widowControl w:val="0"/>
      <w:adjustRightInd w:val="0"/>
      <w:spacing w:before="240"/>
      <w:jc w:val="both"/>
      <w:textAlignment w:val="baseline"/>
    </w:pPr>
    <w:rPr>
      <w:rFonts w:ascii="Times New Roman" w:hAnsi="Times New Roman"/>
      <w:sz w:val="24"/>
    </w:rPr>
  </w:style>
  <w:style w:type="character" w:customStyle="1" w:styleId="ClosingChar">
    <w:name w:val="Closing Char"/>
    <w:link w:val="Closing"/>
    <w:rsid w:val="000F7B76"/>
    <w:rPr>
      <w:sz w:val="24"/>
      <w:szCs w:val="24"/>
    </w:rPr>
  </w:style>
  <w:style w:type="paragraph" w:styleId="DocumentMap">
    <w:name w:val="Document Map"/>
    <w:basedOn w:val="Normal"/>
    <w:link w:val="DocumentMapChar"/>
    <w:rsid w:val="000F7B76"/>
    <w:pPr>
      <w:widowControl w:val="0"/>
      <w:shd w:val="clear" w:color="auto" w:fill="000080"/>
      <w:adjustRightInd w:val="0"/>
      <w:spacing w:before="240"/>
      <w:jc w:val="both"/>
      <w:textAlignment w:val="baseline"/>
    </w:pPr>
    <w:rPr>
      <w:rFonts w:ascii="Times New Roman" w:hAnsi="Times New Roman"/>
      <w:sz w:val="24"/>
    </w:rPr>
  </w:style>
  <w:style w:type="character" w:customStyle="1" w:styleId="DocumentMapChar">
    <w:name w:val="Document Map Char"/>
    <w:link w:val="DocumentMap"/>
    <w:rsid w:val="000F7B76"/>
    <w:rPr>
      <w:sz w:val="24"/>
      <w:szCs w:val="24"/>
      <w:shd w:val="clear" w:color="auto" w:fill="000080"/>
    </w:rPr>
  </w:style>
  <w:style w:type="character" w:styleId="EndnoteReference">
    <w:name w:val="endnote reference"/>
    <w:uiPriority w:val="99"/>
    <w:rsid w:val="000F7B76"/>
    <w:rPr>
      <w:sz w:val="18"/>
      <w:szCs w:val="18"/>
      <w:vertAlign w:val="superscript"/>
    </w:rPr>
  </w:style>
  <w:style w:type="paragraph" w:styleId="EnvelopeAddress">
    <w:name w:val="envelope address"/>
    <w:basedOn w:val="Normal"/>
    <w:rsid w:val="000F7B76"/>
    <w:pPr>
      <w:framePr w:w="7920" w:h="1980" w:hRule="exact" w:hSpace="180" w:wrap="auto" w:hAnchor="page" w:xAlign="center" w:yAlign="bottom"/>
      <w:widowControl w:val="0"/>
      <w:adjustRightInd w:val="0"/>
      <w:spacing w:before="240"/>
      <w:ind w:left="2880"/>
      <w:jc w:val="both"/>
      <w:textAlignment w:val="baseline"/>
    </w:pPr>
    <w:rPr>
      <w:rFonts w:ascii="Times New Roman" w:hAnsi="Times New Roman"/>
      <w:sz w:val="24"/>
    </w:rPr>
  </w:style>
  <w:style w:type="paragraph" w:styleId="EnvelopeReturn">
    <w:name w:val="envelope return"/>
    <w:basedOn w:val="Normal"/>
    <w:rsid w:val="000F7B76"/>
    <w:pPr>
      <w:widowControl w:val="0"/>
      <w:adjustRightInd w:val="0"/>
      <w:spacing w:before="240"/>
      <w:jc w:val="both"/>
      <w:textAlignment w:val="baseline"/>
    </w:pPr>
    <w:rPr>
      <w:rFonts w:ascii="Times New Roman" w:hAnsi="Times New Roman"/>
      <w:sz w:val="24"/>
    </w:rPr>
  </w:style>
  <w:style w:type="paragraph" w:styleId="ListBullet">
    <w:name w:val="List Bullet"/>
    <w:basedOn w:val="Normal"/>
    <w:autoRedefine/>
    <w:rsid w:val="000F7B76"/>
    <w:pPr>
      <w:widowControl w:val="0"/>
      <w:adjustRightInd w:val="0"/>
      <w:spacing w:before="240"/>
      <w:ind w:left="720" w:hanging="720"/>
      <w:jc w:val="both"/>
      <w:textAlignment w:val="baseline"/>
    </w:pPr>
    <w:rPr>
      <w:rFonts w:ascii="Times New Roman" w:hAnsi="Times New Roman"/>
      <w:sz w:val="24"/>
    </w:rPr>
  </w:style>
  <w:style w:type="paragraph" w:styleId="List">
    <w:name w:val="List"/>
    <w:basedOn w:val="Normal"/>
    <w:next w:val="ListContinue"/>
    <w:rsid w:val="000F7B76"/>
    <w:pPr>
      <w:widowControl w:val="0"/>
      <w:adjustRightInd w:val="0"/>
      <w:spacing w:before="240"/>
      <w:ind w:left="720" w:hanging="720"/>
      <w:jc w:val="both"/>
      <w:textAlignment w:val="baseline"/>
    </w:pPr>
    <w:rPr>
      <w:rFonts w:ascii="Times New Roman" w:hAnsi="Times New Roman"/>
      <w:sz w:val="24"/>
    </w:rPr>
  </w:style>
  <w:style w:type="paragraph" w:styleId="ListContinue">
    <w:name w:val="List Continue"/>
    <w:basedOn w:val="Normal"/>
    <w:rsid w:val="000F7B76"/>
    <w:pPr>
      <w:widowControl w:val="0"/>
      <w:adjustRightInd w:val="0"/>
      <w:spacing w:before="240"/>
      <w:ind w:left="720"/>
      <w:jc w:val="both"/>
      <w:textAlignment w:val="baseline"/>
    </w:pPr>
    <w:rPr>
      <w:rFonts w:ascii="Times New Roman" w:hAnsi="Times New Roman"/>
      <w:sz w:val="24"/>
    </w:rPr>
  </w:style>
  <w:style w:type="paragraph" w:styleId="List3">
    <w:name w:val="List 3"/>
    <w:basedOn w:val="Normal"/>
    <w:next w:val="ListContinue3"/>
    <w:rsid w:val="000F7B76"/>
    <w:pPr>
      <w:widowControl w:val="0"/>
      <w:adjustRightInd w:val="0"/>
      <w:spacing w:before="240"/>
      <w:ind w:left="2160" w:hanging="720"/>
      <w:jc w:val="both"/>
      <w:textAlignment w:val="baseline"/>
    </w:pPr>
    <w:rPr>
      <w:rFonts w:ascii="Times New Roman" w:hAnsi="Times New Roman"/>
      <w:sz w:val="24"/>
    </w:rPr>
  </w:style>
  <w:style w:type="paragraph" w:styleId="ListContinue3">
    <w:name w:val="List Continue 3"/>
    <w:basedOn w:val="Normal"/>
    <w:rsid w:val="000F7B76"/>
    <w:pPr>
      <w:widowControl w:val="0"/>
      <w:adjustRightInd w:val="0"/>
      <w:spacing w:before="240"/>
      <w:ind w:left="2160"/>
      <w:jc w:val="both"/>
      <w:textAlignment w:val="baseline"/>
    </w:pPr>
    <w:rPr>
      <w:rFonts w:ascii="Times New Roman" w:hAnsi="Times New Roman"/>
      <w:sz w:val="24"/>
    </w:rPr>
  </w:style>
  <w:style w:type="paragraph" w:styleId="List4">
    <w:name w:val="List 4"/>
    <w:basedOn w:val="Normal"/>
    <w:next w:val="ListContinue4"/>
    <w:rsid w:val="000F7B76"/>
    <w:pPr>
      <w:widowControl w:val="0"/>
      <w:adjustRightInd w:val="0"/>
      <w:spacing w:before="240"/>
      <w:ind w:left="2880" w:hanging="720"/>
      <w:jc w:val="both"/>
      <w:textAlignment w:val="baseline"/>
    </w:pPr>
    <w:rPr>
      <w:rFonts w:ascii="Times New Roman" w:hAnsi="Times New Roman"/>
      <w:sz w:val="24"/>
    </w:rPr>
  </w:style>
  <w:style w:type="paragraph" w:styleId="ListContinue4">
    <w:name w:val="List Continue 4"/>
    <w:basedOn w:val="Normal"/>
    <w:rsid w:val="000F7B76"/>
    <w:pPr>
      <w:widowControl w:val="0"/>
      <w:adjustRightInd w:val="0"/>
      <w:spacing w:before="240"/>
      <w:ind w:left="2880"/>
      <w:jc w:val="both"/>
      <w:textAlignment w:val="baseline"/>
    </w:pPr>
    <w:rPr>
      <w:rFonts w:ascii="Times New Roman" w:hAnsi="Times New Roman"/>
      <w:sz w:val="24"/>
    </w:rPr>
  </w:style>
  <w:style w:type="paragraph" w:styleId="List5">
    <w:name w:val="List 5"/>
    <w:basedOn w:val="Normal"/>
    <w:next w:val="ListContinue5"/>
    <w:rsid w:val="000F7B76"/>
    <w:pPr>
      <w:widowControl w:val="0"/>
      <w:adjustRightInd w:val="0"/>
      <w:spacing w:before="240"/>
      <w:ind w:left="3600" w:hanging="720"/>
      <w:jc w:val="both"/>
      <w:textAlignment w:val="baseline"/>
    </w:pPr>
    <w:rPr>
      <w:rFonts w:ascii="Times New Roman" w:hAnsi="Times New Roman"/>
      <w:sz w:val="24"/>
    </w:rPr>
  </w:style>
  <w:style w:type="paragraph" w:styleId="ListContinue5">
    <w:name w:val="List Continue 5"/>
    <w:basedOn w:val="Normal"/>
    <w:rsid w:val="000F7B76"/>
    <w:pPr>
      <w:widowControl w:val="0"/>
      <w:adjustRightInd w:val="0"/>
      <w:spacing w:before="240"/>
      <w:ind w:left="3600"/>
      <w:jc w:val="both"/>
      <w:textAlignment w:val="baseline"/>
    </w:pPr>
    <w:rPr>
      <w:rFonts w:ascii="Times New Roman" w:hAnsi="Times New Roman"/>
      <w:sz w:val="24"/>
    </w:rPr>
  </w:style>
  <w:style w:type="paragraph" w:styleId="ListBullet2">
    <w:name w:val="List Bullet 2"/>
    <w:basedOn w:val="Normal"/>
    <w:autoRedefine/>
    <w:uiPriority w:val="99"/>
    <w:rsid w:val="000F7B76"/>
    <w:pPr>
      <w:widowControl w:val="0"/>
      <w:adjustRightInd w:val="0"/>
      <w:spacing w:before="240"/>
      <w:ind w:left="720" w:hanging="720"/>
      <w:jc w:val="both"/>
      <w:textAlignment w:val="baseline"/>
    </w:pPr>
    <w:rPr>
      <w:rFonts w:ascii="Times New Roman" w:hAnsi="Times New Roman"/>
      <w:sz w:val="24"/>
    </w:rPr>
  </w:style>
  <w:style w:type="paragraph" w:styleId="ListBullet3">
    <w:name w:val="List Bullet 3"/>
    <w:basedOn w:val="Normal"/>
    <w:autoRedefine/>
    <w:uiPriority w:val="99"/>
    <w:rsid w:val="000F7B76"/>
    <w:pPr>
      <w:widowControl w:val="0"/>
      <w:adjustRightInd w:val="0"/>
      <w:spacing w:before="240"/>
      <w:ind w:left="720" w:hanging="720"/>
      <w:jc w:val="both"/>
      <w:textAlignment w:val="baseline"/>
    </w:pPr>
    <w:rPr>
      <w:rFonts w:ascii="Times New Roman" w:hAnsi="Times New Roman"/>
      <w:sz w:val="24"/>
    </w:rPr>
  </w:style>
  <w:style w:type="paragraph" w:styleId="ListBullet4">
    <w:name w:val="List Bullet 4"/>
    <w:basedOn w:val="Normal"/>
    <w:autoRedefine/>
    <w:uiPriority w:val="99"/>
    <w:rsid w:val="000F7B76"/>
    <w:pPr>
      <w:widowControl w:val="0"/>
      <w:adjustRightInd w:val="0"/>
      <w:spacing w:before="240"/>
      <w:ind w:left="720" w:hanging="720"/>
      <w:jc w:val="both"/>
      <w:textAlignment w:val="baseline"/>
    </w:pPr>
    <w:rPr>
      <w:rFonts w:ascii="Times New Roman" w:hAnsi="Times New Roman"/>
      <w:sz w:val="24"/>
    </w:rPr>
  </w:style>
  <w:style w:type="paragraph" w:styleId="ListBullet5">
    <w:name w:val="List Bullet 5"/>
    <w:basedOn w:val="Normal"/>
    <w:autoRedefine/>
    <w:uiPriority w:val="99"/>
    <w:rsid w:val="000F7B76"/>
    <w:pPr>
      <w:widowControl w:val="0"/>
      <w:adjustRightInd w:val="0"/>
      <w:spacing w:before="240"/>
      <w:ind w:left="720" w:hanging="720"/>
      <w:jc w:val="both"/>
      <w:textAlignment w:val="baseline"/>
    </w:pPr>
    <w:rPr>
      <w:rFonts w:ascii="Times New Roman" w:hAnsi="Times New Roman"/>
      <w:sz w:val="24"/>
    </w:rPr>
  </w:style>
  <w:style w:type="paragraph" w:styleId="ListContinue2">
    <w:name w:val="List Continue 2"/>
    <w:basedOn w:val="Normal"/>
    <w:rsid w:val="000F7B76"/>
    <w:pPr>
      <w:widowControl w:val="0"/>
      <w:adjustRightInd w:val="0"/>
      <w:spacing w:before="240"/>
      <w:ind w:left="1440"/>
      <w:jc w:val="both"/>
      <w:textAlignment w:val="baseline"/>
    </w:pPr>
    <w:rPr>
      <w:rFonts w:ascii="Times New Roman" w:hAnsi="Times New Roman"/>
      <w:sz w:val="24"/>
    </w:rPr>
  </w:style>
  <w:style w:type="paragraph" w:styleId="ListNumber">
    <w:name w:val="List Number"/>
    <w:basedOn w:val="Normal"/>
    <w:rsid w:val="000F7B76"/>
    <w:pPr>
      <w:widowControl w:val="0"/>
      <w:tabs>
        <w:tab w:val="num" w:pos="720"/>
      </w:tabs>
      <w:adjustRightInd w:val="0"/>
      <w:spacing w:before="240"/>
      <w:ind w:left="720" w:hanging="720"/>
      <w:jc w:val="both"/>
      <w:textAlignment w:val="baseline"/>
    </w:pPr>
    <w:rPr>
      <w:rFonts w:ascii="Times New Roman" w:hAnsi="Times New Roman"/>
      <w:sz w:val="24"/>
    </w:rPr>
  </w:style>
  <w:style w:type="paragraph" w:styleId="ListNumber2">
    <w:name w:val="List Number 2"/>
    <w:basedOn w:val="Normal"/>
    <w:rsid w:val="000F7B76"/>
    <w:pPr>
      <w:widowControl w:val="0"/>
      <w:adjustRightInd w:val="0"/>
      <w:spacing w:before="240"/>
      <w:ind w:left="720" w:hanging="720"/>
      <w:jc w:val="both"/>
      <w:textAlignment w:val="baseline"/>
    </w:pPr>
    <w:rPr>
      <w:rFonts w:ascii="Times New Roman" w:hAnsi="Times New Roman"/>
      <w:sz w:val="24"/>
    </w:rPr>
  </w:style>
  <w:style w:type="paragraph" w:styleId="ListNumber3">
    <w:name w:val="List Number 3"/>
    <w:basedOn w:val="Normal"/>
    <w:rsid w:val="000F7B76"/>
    <w:pPr>
      <w:widowControl w:val="0"/>
      <w:adjustRightInd w:val="0"/>
      <w:spacing w:before="240"/>
      <w:ind w:left="720" w:hanging="720"/>
      <w:jc w:val="both"/>
      <w:textAlignment w:val="baseline"/>
    </w:pPr>
    <w:rPr>
      <w:rFonts w:ascii="Times New Roman" w:hAnsi="Times New Roman"/>
      <w:sz w:val="24"/>
    </w:rPr>
  </w:style>
  <w:style w:type="paragraph" w:styleId="ListNumber4">
    <w:name w:val="List Number 4"/>
    <w:basedOn w:val="Normal"/>
    <w:rsid w:val="000F7B76"/>
    <w:pPr>
      <w:widowControl w:val="0"/>
      <w:adjustRightInd w:val="0"/>
      <w:spacing w:before="240"/>
      <w:ind w:left="720" w:hanging="720"/>
      <w:jc w:val="both"/>
      <w:textAlignment w:val="baseline"/>
    </w:pPr>
    <w:rPr>
      <w:rFonts w:ascii="Times New Roman" w:hAnsi="Times New Roman"/>
      <w:sz w:val="24"/>
    </w:rPr>
  </w:style>
  <w:style w:type="paragraph" w:styleId="ListNumber5">
    <w:name w:val="List Number 5"/>
    <w:basedOn w:val="Normal"/>
    <w:rsid w:val="000F7B76"/>
    <w:pPr>
      <w:widowControl w:val="0"/>
      <w:adjustRightInd w:val="0"/>
      <w:spacing w:before="240"/>
      <w:ind w:left="720" w:hanging="720"/>
      <w:jc w:val="both"/>
      <w:textAlignment w:val="baseline"/>
    </w:pPr>
    <w:rPr>
      <w:rFonts w:ascii="Times New Roman" w:hAnsi="Times New Roman"/>
      <w:sz w:val="24"/>
    </w:rPr>
  </w:style>
  <w:style w:type="paragraph" w:styleId="MessageHeader">
    <w:name w:val="Message Header"/>
    <w:basedOn w:val="Normal"/>
    <w:link w:val="MessageHeaderChar"/>
    <w:rsid w:val="000F7B76"/>
    <w:pPr>
      <w:widowControl w:val="0"/>
      <w:pBdr>
        <w:top w:val="single" w:sz="6" w:space="1" w:color="auto"/>
        <w:left w:val="single" w:sz="6" w:space="1" w:color="auto"/>
        <w:bottom w:val="single" w:sz="6" w:space="1" w:color="auto"/>
        <w:right w:val="single" w:sz="6" w:space="1" w:color="auto"/>
      </w:pBdr>
      <w:shd w:val="pct20" w:color="auto" w:fill="auto"/>
      <w:adjustRightInd w:val="0"/>
      <w:spacing w:before="240"/>
      <w:jc w:val="both"/>
      <w:textAlignment w:val="baseline"/>
    </w:pPr>
    <w:rPr>
      <w:rFonts w:ascii="Times New Roman" w:hAnsi="Times New Roman"/>
      <w:sz w:val="24"/>
    </w:rPr>
  </w:style>
  <w:style w:type="character" w:customStyle="1" w:styleId="MessageHeaderChar">
    <w:name w:val="Message Header Char"/>
    <w:link w:val="MessageHeader"/>
    <w:rsid w:val="000F7B76"/>
    <w:rPr>
      <w:sz w:val="24"/>
      <w:szCs w:val="24"/>
      <w:shd w:val="pct20" w:color="auto" w:fill="auto"/>
    </w:rPr>
  </w:style>
  <w:style w:type="paragraph" w:styleId="Signature">
    <w:name w:val="Signature"/>
    <w:basedOn w:val="Normal"/>
    <w:link w:val="SignatureChar"/>
    <w:rsid w:val="000F7B76"/>
    <w:pPr>
      <w:widowControl w:val="0"/>
      <w:adjustRightInd w:val="0"/>
      <w:spacing w:before="240"/>
      <w:jc w:val="both"/>
      <w:textAlignment w:val="baseline"/>
    </w:pPr>
    <w:rPr>
      <w:rFonts w:ascii="Times New Roman" w:hAnsi="Times New Roman"/>
      <w:sz w:val="24"/>
    </w:rPr>
  </w:style>
  <w:style w:type="character" w:customStyle="1" w:styleId="SignatureChar">
    <w:name w:val="Signature Char"/>
    <w:link w:val="Signature"/>
    <w:rsid w:val="000F7B76"/>
    <w:rPr>
      <w:sz w:val="24"/>
      <w:szCs w:val="24"/>
    </w:rPr>
  </w:style>
  <w:style w:type="paragraph" w:styleId="TableofAuthorities">
    <w:name w:val="table of authorities"/>
    <w:basedOn w:val="Normal"/>
    <w:next w:val="Normal"/>
    <w:rsid w:val="000F7B76"/>
    <w:pPr>
      <w:widowControl w:val="0"/>
      <w:tabs>
        <w:tab w:val="right" w:pos="9360"/>
      </w:tabs>
      <w:adjustRightInd w:val="0"/>
      <w:spacing w:before="240"/>
      <w:ind w:left="360" w:right="907" w:hanging="360"/>
      <w:jc w:val="both"/>
      <w:textAlignment w:val="baseline"/>
    </w:pPr>
    <w:rPr>
      <w:rFonts w:ascii="Times New Roman" w:hAnsi="Times New Roman"/>
      <w:noProof/>
      <w:sz w:val="24"/>
    </w:rPr>
  </w:style>
  <w:style w:type="paragraph" w:styleId="TableofFigures">
    <w:name w:val="table of figures"/>
    <w:basedOn w:val="Normal"/>
    <w:next w:val="Normal"/>
    <w:rsid w:val="000F7B76"/>
    <w:pPr>
      <w:widowControl w:val="0"/>
      <w:tabs>
        <w:tab w:val="right" w:pos="9000"/>
      </w:tabs>
      <w:adjustRightInd w:val="0"/>
      <w:spacing w:before="240"/>
      <w:ind w:left="360" w:right="907" w:hanging="360"/>
      <w:jc w:val="both"/>
      <w:textAlignment w:val="baseline"/>
    </w:pPr>
    <w:rPr>
      <w:rFonts w:ascii="Times New Roman" w:hAnsi="Times New Roman"/>
      <w:sz w:val="24"/>
    </w:rPr>
  </w:style>
  <w:style w:type="paragraph" w:styleId="TOAHeading">
    <w:name w:val="toa heading"/>
    <w:basedOn w:val="Normal"/>
    <w:next w:val="Normal"/>
    <w:rsid w:val="000F7B76"/>
    <w:pPr>
      <w:widowControl w:val="0"/>
      <w:adjustRightInd w:val="0"/>
      <w:spacing w:before="240"/>
      <w:jc w:val="both"/>
      <w:textAlignment w:val="baseline"/>
    </w:pPr>
    <w:rPr>
      <w:rFonts w:ascii="Times New Roman" w:hAnsi="Times New Roman"/>
      <w:b/>
      <w:bCs/>
      <w:sz w:val="24"/>
    </w:rPr>
  </w:style>
  <w:style w:type="paragraph" w:styleId="List2">
    <w:name w:val="List 2"/>
    <w:basedOn w:val="Normal"/>
    <w:next w:val="ListContinue2"/>
    <w:rsid w:val="000F7B76"/>
    <w:pPr>
      <w:widowControl w:val="0"/>
      <w:adjustRightInd w:val="0"/>
      <w:spacing w:before="240"/>
      <w:ind w:left="1440" w:hanging="720"/>
      <w:jc w:val="both"/>
      <w:textAlignment w:val="baseline"/>
    </w:pPr>
    <w:rPr>
      <w:rFonts w:ascii="Times New Roman" w:hAnsi="Times New Roman"/>
      <w:sz w:val="24"/>
    </w:rPr>
  </w:style>
  <w:style w:type="paragraph" w:styleId="Index1">
    <w:name w:val="index 1"/>
    <w:basedOn w:val="Normal"/>
    <w:next w:val="Normal"/>
    <w:autoRedefine/>
    <w:rsid w:val="000F7B76"/>
    <w:pPr>
      <w:widowControl w:val="0"/>
      <w:adjustRightInd w:val="0"/>
      <w:spacing w:before="240"/>
      <w:ind w:left="240" w:hanging="240"/>
      <w:jc w:val="both"/>
      <w:textAlignment w:val="baseline"/>
    </w:pPr>
    <w:rPr>
      <w:rFonts w:ascii="Times New Roman" w:hAnsi="Times New Roman"/>
      <w:sz w:val="24"/>
    </w:rPr>
  </w:style>
  <w:style w:type="paragraph" w:styleId="IndexHeading">
    <w:name w:val="index heading"/>
    <w:basedOn w:val="Normal"/>
    <w:next w:val="Index1"/>
    <w:rsid w:val="000F7B76"/>
    <w:pPr>
      <w:widowControl w:val="0"/>
      <w:adjustRightInd w:val="0"/>
      <w:spacing w:before="240"/>
      <w:jc w:val="center"/>
      <w:textAlignment w:val="baseline"/>
    </w:pPr>
    <w:rPr>
      <w:rFonts w:ascii="Times New Roman" w:hAnsi="Times New Roman"/>
      <w:b/>
      <w:bCs/>
      <w:sz w:val="24"/>
    </w:rPr>
  </w:style>
  <w:style w:type="paragraph" w:customStyle="1" w:styleId="TableofContents">
    <w:name w:val="Table of Contents"/>
    <w:basedOn w:val="Title"/>
    <w:rsid w:val="00E71325"/>
    <w:pPr>
      <w:spacing w:after="480"/>
      <w:jc w:val="left"/>
      <w:outlineLvl w:val="9"/>
    </w:pPr>
    <w:rPr>
      <w:rFonts w:ascii="Arial" w:hAnsi="Arial"/>
      <w:b w:val="0"/>
      <w:sz w:val="36"/>
    </w:rPr>
  </w:style>
  <w:style w:type="paragraph" w:customStyle="1" w:styleId="Bulletslevel1">
    <w:name w:val="Bullets level 1"/>
    <w:basedOn w:val="Normal"/>
    <w:autoRedefine/>
    <w:rsid w:val="000F7B76"/>
    <w:pPr>
      <w:widowControl w:val="0"/>
      <w:tabs>
        <w:tab w:val="num" w:pos="709"/>
      </w:tabs>
      <w:adjustRightInd w:val="0"/>
      <w:spacing w:before="40" w:line="240" w:lineRule="atLeast"/>
      <w:ind w:left="709" w:right="992" w:hanging="425"/>
      <w:jc w:val="both"/>
      <w:textAlignment w:val="baseline"/>
    </w:pPr>
    <w:rPr>
      <w:rFonts w:ascii="RotisSerif" w:hAnsi="RotisSerif"/>
      <w:sz w:val="22"/>
      <w:szCs w:val="22"/>
      <w:lang w:val="en-GB"/>
    </w:rPr>
  </w:style>
  <w:style w:type="paragraph" w:customStyle="1" w:styleId="normla">
    <w:name w:val="normla"/>
    <w:basedOn w:val="Levela0"/>
    <w:rsid w:val="000F7B76"/>
  </w:style>
  <w:style w:type="character" w:customStyle="1" w:styleId="FrutigerBold">
    <w:name w:val="FrutigerBold"/>
    <w:rsid w:val="000F7B76"/>
    <w:rPr>
      <w:rFonts w:ascii="Frutiger 45 Light" w:hAnsi="Frutiger 45 Light"/>
      <w:b/>
      <w:bCs/>
    </w:rPr>
  </w:style>
  <w:style w:type="paragraph" w:styleId="Index2">
    <w:name w:val="index 2"/>
    <w:basedOn w:val="Normal"/>
    <w:next w:val="Normal"/>
    <w:autoRedefine/>
    <w:rsid w:val="000F7B76"/>
    <w:pPr>
      <w:widowControl w:val="0"/>
      <w:adjustRightInd w:val="0"/>
      <w:spacing w:before="0"/>
      <w:ind w:left="480" w:hanging="240"/>
      <w:jc w:val="both"/>
      <w:textAlignment w:val="baseline"/>
    </w:pPr>
    <w:rPr>
      <w:rFonts w:ascii="Times New Roman" w:hAnsi="Times New Roman"/>
      <w:sz w:val="24"/>
    </w:rPr>
  </w:style>
  <w:style w:type="paragraph" w:styleId="Index3">
    <w:name w:val="index 3"/>
    <w:basedOn w:val="Normal"/>
    <w:next w:val="Normal"/>
    <w:autoRedefine/>
    <w:rsid w:val="000F7B76"/>
    <w:pPr>
      <w:widowControl w:val="0"/>
      <w:adjustRightInd w:val="0"/>
      <w:spacing w:before="0"/>
      <w:ind w:left="720" w:hanging="240"/>
      <w:jc w:val="both"/>
      <w:textAlignment w:val="baseline"/>
    </w:pPr>
    <w:rPr>
      <w:rFonts w:ascii="Times New Roman" w:hAnsi="Times New Roman"/>
      <w:sz w:val="24"/>
    </w:rPr>
  </w:style>
  <w:style w:type="paragraph" w:styleId="Index4">
    <w:name w:val="index 4"/>
    <w:basedOn w:val="Normal"/>
    <w:next w:val="Normal"/>
    <w:autoRedefine/>
    <w:rsid w:val="000F7B76"/>
    <w:pPr>
      <w:widowControl w:val="0"/>
      <w:adjustRightInd w:val="0"/>
      <w:spacing w:before="0"/>
      <w:ind w:left="960" w:hanging="240"/>
      <w:jc w:val="both"/>
      <w:textAlignment w:val="baseline"/>
    </w:pPr>
    <w:rPr>
      <w:rFonts w:ascii="Times New Roman" w:hAnsi="Times New Roman"/>
      <w:sz w:val="24"/>
    </w:rPr>
  </w:style>
  <w:style w:type="paragraph" w:styleId="Index5">
    <w:name w:val="index 5"/>
    <w:basedOn w:val="Normal"/>
    <w:next w:val="Normal"/>
    <w:autoRedefine/>
    <w:rsid w:val="000F7B76"/>
    <w:pPr>
      <w:widowControl w:val="0"/>
      <w:adjustRightInd w:val="0"/>
      <w:spacing w:before="0"/>
      <w:ind w:left="1200" w:hanging="240"/>
      <w:jc w:val="both"/>
      <w:textAlignment w:val="baseline"/>
    </w:pPr>
    <w:rPr>
      <w:rFonts w:ascii="Times New Roman" w:hAnsi="Times New Roman"/>
      <w:sz w:val="24"/>
    </w:rPr>
  </w:style>
  <w:style w:type="paragraph" w:styleId="Index6">
    <w:name w:val="index 6"/>
    <w:basedOn w:val="Normal"/>
    <w:next w:val="Normal"/>
    <w:autoRedefine/>
    <w:rsid w:val="000F7B76"/>
    <w:pPr>
      <w:widowControl w:val="0"/>
      <w:adjustRightInd w:val="0"/>
      <w:spacing w:before="0"/>
      <w:ind w:left="1440" w:hanging="240"/>
      <w:jc w:val="both"/>
      <w:textAlignment w:val="baseline"/>
    </w:pPr>
    <w:rPr>
      <w:rFonts w:ascii="Times New Roman" w:hAnsi="Times New Roman"/>
      <w:sz w:val="24"/>
    </w:rPr>
  </w:style>
  <w:style w:type="paragraph" w:styleId="Index7">
    <w:name w:val="index 7"/>
    <w:basedOn w:val="Normal"/>
    <w:next w:val="Normal"/>
    <w:autoRedefine/>
    <w:rsid w:val="000F7B76"/>
    <w:pPr>
      <w:widowControl w:val="0"/>
      <w:adjustRightInd w:val="0"/>
      <w:spacing w:before="0"/>
      <w:ind w:left="1680" w:hanging="240"/>
      <w:jc w:val="both"/>
      <w:textAlignment w:val="baseline"/>
    </w:pPr>
    <w:rPr>
      <w:rFonts w:ascii="Times New Roman" w:hAnsi="Times New Roman"/>
      <w:sz w:val="24"/>
    </w:rPr>
  </w:style>
  <w:style w:type="paragraph" w:styleId="Index8">
    <w:name w:val="index 8"/>
    <w:basedOn w:val="Normal"/>
    <w:next w:val="Normal"/>
    <w:autoRedefine/>
    <w:rsid w:val="000F7B76"/>
    <w:pPr>
      <w:widowControl w:val="0"/>
      <w:adjustRightInd w:val="0"/>
      <w:spacing w:before="0"/>
      <w:ind w:left="1920" w:hanging="240"/>
      <w:jc w:val="both"/>
      <w:textAlignment w:val="baseline"/>
    </w:pPr>
    <w:rPr>
      <w:rFonts w:ascii="Times New Roman" w:hAnsi="Times New Roman"/>
      <w:sz w:val="24"/>
    </w:rPr>
  </w:style>
  <w:style w:type="paragraph" w:styleId="Index9">
    <w:name w:val="index 9"/>
    <w:basedOn w:val="Normal"/>
    <w:next w:val="Normal"/>
    <w:autoRedefine/>
    <w:rsid w:val="000F7B76"/>
    <w:pPr>
      <w:widowControl w:val="0"/>
      <w:adjustRightInd w:val="0"/>
      <w:spacing w:before="0"/>
      <w:ind w:left="2160" w:hanging="240"/>
      <w:jc w:val="both"/>
      <w:textAlignment w:val="baseline"/>
    </w:pPr>
    <w:rPr>
      <w:rFonts w:ascii="Times New Roman" w:hAnsi="Times New Roman"/>
      <w:sz w:val="24"/>
    </w:rPr>
  </w:style>
  <w:style w:type="paragraph" w:styleId="MacroText">
    <w:name w:val="macro"/>
    <w:link w:val="MacroTextChar"/>
    <w:rsid w:val="000F7B76"/>
    <w:pPr>
      <w:widowControl w:val="0"/>
      <w:tabs>
        <w:tab w:val="left" w:pos="480"/>
        <w:tab w:val="left" w:pos="960"/>
        <w:tab w:val="left" w:pos="1440"/>
        <w:tab w:val="left" w:pos="1920"/>
        <w:tab w:val="left" w:pos="2400"/>
        <w:tab w:val="left" w:pos="2880"/>
        <w:tab w:val="left" w:pos="3360"/>
        <w:tab w:val="left" w:pos="3840"/>
        <w:tab w:val="left" w:pos="4320"/>
      </w:tabs>
      <w:adjustRightInd w:val="0"/>
      <w:spacing w:before="240" w:line="360" w:lineRule="atLeast"/>
      <w:jc w:val="both"/>
      <w:textAlignment w:val="baseline"/>
    </w:pPr>
    <w:rPr>
      <w:rFonts w:ascii="Courier New" w:hAnsi="Courier New"/>
      <w:lang w:eastAsia="en-US"/>
    </w:rPr>
  </w:style>
  <w:style w:type="character" w:customStyle="1" w:styleId="MacroTextChar">
    <w:name w:val="Macro Text Char"/>
    <w:link w:val="MacroText"/>
    <w:rsid w:val="000F7B76"/>
    <w:rPr>
      <w:rFonts w:ascii="Courier New" w:hAnsi="Courier New"/>
      <w:lang w:val="en-AU" w:eastAsia="en-US" w:bidi="ar-SA"/>
    </w:rPr>
  </w:style>
  <w:style w:type="paragraph" w:styleId="NoteHeading">
    <w:name w:val="Note Heading"/>
    <w:basedOn w:val="Normal"/>
    <w:next w:val="Normal"/>
    <w:link w:val="NoteHeadingChar"/>
    <w:rsid w:val="000F7B76"/>
    <w:pPr>
      <w:widowControl w:val="0"/>
      <w:adjustRightInd w:val="0"/>
      <w:spacing w:before="240"/>
      <w:jc w:val="both"/>
      <w:textAlignment w:val="baseline"/>
    </w:pPr>
    <w:rPr>
      <w:rFonts w:ascii="Times New Roman" w:hAnsi="Times New Roman"/>
      <w:sz w:val="24"/>
    </w:rPr>
  </w:style>
  <w:style w:type="character" w:customStyle="1" w:styleId="NoteHeadingChar">
    <w:name w:val="Note Heading Char"/>
    <w:link w:val="NoteHeading"/>
    <w:rsid w:val="000F7B76"/>
    <w:rPr>
      <w:sz w:val="24"/>
      <w:szCs w:val="24"/>
    </w:rPr>
  </w:style>
  <w:style w:type="paragraph" w:customStyle="1" w:styleId="Heading3Text">
    <w:name w:val="Heading 3 Text"/>
    <w:basedOn w:val="Normal"/>
    <w:rsid w:val="000F7B76"/>
    <w:pPr>
      <w:widowControl w:val="0"/>
      <w:adjustRightInd w:val="0"/>
      <w:spacing w:before="0" w:after="120"/>
      <w:ind w:left="2160"/>
      <w:jc w:val="both"/>
      <w:textAlignment w:val="baseline"/>
    </w:pPr>
    <w:rPr>
      <w:rFonts w:ascii="Times New Roman" w:hAnsi="Times New Roman"/>
      <w:sz w:val="24"/>
    </w:rPr>
  </w:style>
  <w:style w:type="character" w:customStyle="1" w:styleId="CONLevelaChar">
    <w:name w:val=".CON  Level  (a) Char"/>
    <w:link w:val="CONLevela"/>
    <w:locked/>
    <w:rsid w:val="000F7B76"/>
    <w:rPr>
      <w:sz w:val="24"/>
      <w:szCs w:val="22"/>
      <w:lang w:eastAsia="en-US"/>
    </w:rPr>
  </w:style>
  <w:style w:type="paragraph" w:customStyle="1" w:styleId="CONLevel1textonly">
    <w:name w:val=".CON Level    1. (text only)"/>
    <w:basedOn w:val="Normal"/>
    <w:rsid w:val="000F7B76"/>
    <w:pPr>
      <w:widowControl w:val="0"/>
      <w:adjustRightInd w:val="0"/>
      <w:spacing w:before="240"/>
      <w:ind w:left="720"/>
      <w:jc w:val="both"/>
      <w:textAlignment w:val="baseline"/>
      <w:outlineLvl w:val="1"/>
    </w:pPr>
    <w:rPr>
      <w:rFonts w:ascii="Times New Roman" w:hAnsi="Times New Roman"/>
      <w:sz w:val="24"/>
    </w:rPr>
  </w:style>
  <w:style w:type="paragraph" w:customStyle="1" w:styleId="CONLevel11textonly">
    <w:name w:val=".CON Level   1.1 (text only)"/>
    <w:basedOn w:val="Normal"/>
    <w:link w:val="CONLevel11textonlyChar"/>
    <w:rsid w:val="000F7B76"/>
    <w:pPr>
      <w:widowControl w:val="0"/>
      <w:adjustRightInd w:val="0"/>
      <w:spacing w:before="240"/>
      <w:ind w:left="720"/>
      <w:jc w:val="both"/>
      <w:textAlignment w:val="baseline"/>
    </w:pPr>
    <w:rPr>
      <w:rFonts w:ascii="Times New Roman" w:hAnsi="Times New Roman"/>
      <w:sz w:val="24"/>
    </w:rPr>
  </w:style>
  <w:style w:type="character" w:customStyle="1" w:styleId="CONLevel11textonlyChar">
    <w:name w:val=".CON Level   1.1 (text only) Char"/>
    <w:link w:val="CONLevel11textonly"/>
    <w:locked/>
    <w:rsid w:val="000F7B76"/>
    <w:rPr>
      <w:sz w:val="24"/>
      <w:szCs w:val="24"/>
    </w:rPr>
  </w:style>
  <w:style w:type="paragraph" w:customStyle="1" w:styleId="CONLevelatextonly">
    <w:name w:val=".CON Level  (a) (text only)"/>
    <w:basedOn w:val="Normal"/>
    <w:rsid w:val="000F7B76"/>
    <w:pPr>
      <w:widowControl w:val="0"/>
      <w:adjustRightInd w:val="0"/>
      <w:spacing w:before="240"/>
      <w:ind w:left="1440"/>
      <w:jc w:val="both"/>
      <w:textAlignment w:val="baseline"/>
    </w:pPr>
    <w:rPr>
      <w:rFonts w:ascii="Times New Roman" w:hAnsi="Times New Roman"/>
      <w:sz w:val="24"/>
    </w:rPr>
  </w:style>
  <w:style w:type="paragraph" w:customStyle="1" w:styleId="CONLevelitextonly">
    <w:name w:val=".CON Level  (i) (text only)"/>
    <w:basedOn w:val="Normal"/>
    <w:rsid w:val="000F7B76"/>
    <w:pPr>
      <w:widowControl w:val="0"/>
      <w:adjustRightInd w:val="0"/>
      <w:spacing w:before="240"/>
      <w:ind w:left="2160"/>
      <w:jc w:val="both"/>
      <w:textAlignment w:val="baseline"/>
    </w:pPr>
    <w:rPr>
      <w:rFonts w:ascii="Times New Roman" w:hAnsi="Times New Roman"/>
      <w:sz w:val="24"/>
    </w:rPr>
  </w:style>
  <w:style w:type="paragraph" w:customStyle="1" w:styleId="CONLevelAtextonly0">
    <w:name w:val=".CON Level (A) (text only)"/>
    <w:basedOn w:val="Normal"/>
    <w:rsid w:val="000F7B76"/>
    <w:pPr>
      <w:widowControl w:val="0"/>
      <w:adjustRightInd w:val="0"/>
      <w:spacing w:before="240"/>
      <w:ind w:left="2880"/>
      <w:jc w:val="both"/>
      <w:textAlignment w:val="baseline"/>
    </w:pPr>
    <w:rPr>
      <w:rFonts w:ascii="Times New Roman" w:hAnsi="Times New Roman"/>
      <w:sz w:val="24"/>
    </w:rPr>
  </w:style>
  <w:style w:type="paragraph" w:customStyle="1" w:styleId="CONLevelItextonly0">
    <w:name w:val=".CON Level (I) (text only)"/>
    <w:basedOn w:val="Normal"/>
    <w:rsid w:val="000F7B76"/>
    <w:pPr>
      <w:widowControl w:val="0"/>
      <w:adjustRightInd w:val="0"/>
      <w:spacing w:before="240"/>
      <w:ind w:left="3600"/>
      <w:jc w:val="both"/>
      <w:textAlignment w:val="baseline"/>
    </w:pPr>
    <w:rPr>
      <w:rFonts w:ascii="Times New Roman" w:hAnsi="Times New Roman"/>
      <w:sz w:val="24"/>
    </w:rPr>
  </w:style>
  <w:style w:type="paragraph" w:customStyle="1" w:styleId="RECITALSA">
    <w:name w:val=".RECITALS   A."/>
    <w:basedOn w:val="Normal"/>
    <w:rsid w:val="000F7B76"/>
    <w:pPr>
      <w:widowControl w:val="0"/>
      <w:tabs>
        <w:tab w:val="num" w:pos="720"/>
      </w:tabs>
      <w:adjustRightInd w:val="0"/>
      <w:spacing w:before="240"/>
      <w:ind w:left="720" w:hanging="720"/>
      <w:jc w:val="both"/>
      <w:textAlignment w:val="baseline"/>
    </w:pPr>
    <w:rPr>
      <w:rFonts w:ascii="Times New Roman" w:hAnsi="Times New Roman"/>
      <w:sz w:val="24"/>
    </w:rPr>
  </w:style>
  <w:style w:type="paragraph" w:customStyle="1" w:styleId="RECITALSa0">
    <w:name w:val=".RECITALS (a)"/>
    <w:basedOn w:val="CONLevel11textonly"/>
    <w:rsid w:val="000F7B76"/>
    <w:pPr>
      <w:tabs>
        <w:tab w:val="num" w:pos="1440"/>
      </w:tabs>
      <w:ind w:left="1440" w:hanging="720"/>
    </w:pPr>
  </w:style>
  <w:style w:type="paragraph" w:customStyle="1" w:styleId="RECITALSi">
    <w:name w:val=".RECITALS (i)"/>
    <w:basedOn w:val="CONLeveli"/>
    <w:rsid w:val="000F7B76"/>
    <w:pPr>
      <w:widowControl w:val="0"/>
      <w:numPr>
        <w:ilvl w:val="3"/>
        <w:numId w:val="11"/>
      </w:numPr>
      <w:adjustRightInd w:val="0"/>
      <w:jc w:val="both"/>
      <w:textAlignment w:val="baseline"/>
    </w:pPr>
    <w:rPr>
      <w:szCs w:val="24"/>
    </w:rPr>
  </w:style>
  <w:style w:type="paragraph" w:customStyle="1" w:styleId="RECITALSAtextonly">
    <w:name w:val=".RECITALS A. (text only)"/>
    <w:basedOn w:val="CONLevel11textonly"/>
    <w:rsid w:val="000F7B76"/>
  </w:style>
  <w:style w:type="paragraph" w:customStyle="1" w:styleId="notTOCLevel1">
    <w:name w:val="not TOC Level 1."/>
    <w:basedOn w:val="CONLevel1"/>
    <w:next w:val="CONLevel11"/>
    <w:rsid w:val="000F7B76"/>
    <w:pPr>
      <w:widowControl w:val="0"/>
      <w:adjustRightInd w:val="0"/>
      <w:ind w:right="1701"/>
      <w:jc w:val="both"/>
      <w:textAlignment w:val="baseline"/>
    </w:pPr>
    <w:rPr>
      <w:rFonts w:ascii="Calibri" w:eastAsia="Calibri" w:hAnsi="Calibri"/>
      <w:bCs/>
      <w:szCs w:val="24"/>
    </w:rPr>
  </w:style>
  <w:style w:type="paragraph" w:customStyle="1" w:styleId="RFTLevel11">
    <w:name w:val="RFT Level 1.1"/>
    <w:basedOn w:val="CONLevel11"/>
    <w:autoRedefine/>
    <w:rsid w:val="000F7B76"/>
    <w:pPr>
      <w:widowControl w:val="0"/>
      <w:numPr>
        <w:ilvl w:val="1"/>
        <w:numId w:val="11"/>
      </w:numPr>
      <w:tabs>
        <w:tab w:val="clear" w:pos="720"/>
        <w:tab w:val="num" w:pos="567"/>
      </w:tabs>
      <w:adjustRightInd w:val="0"/>
      <w:spacing w:after="240"/>
      <w:ind w:left="567" w:hanging="567"/>
      <w:jc w:val="both"/>
      <w:textAlignment w:val="baseline"/>
      <w:outlineLvl w:val="9"/>
    </w:pPr>
    <w:rPr>
      <w:rFonts w:ascii="Calibri" w:eastAsia="Calibri" w:hAnsi="Calibri"/>
    </w:rPr>
  </w:style>
  <w:style w:type="paragraph" w:customStyle="1" w:styleId="notTOCLevel11">
    <w:name w:val="not TOC Level 1.1"/>
    <w:basedOn w:val="CONLevel11"/>
    <w:next w:val="CONLevela"/>
    <w:rsid w:val="000F7B76"/>
    <w:pPr>
      <w:widowControl w:val="0"/>
      <w:adjustRightInd w:val="0"/>
      <w:jc w:val="both"/>
      <w:textAlignment w:val="baseline"/>
    </w:pPr>
    <w:rPr>
      <w:rFonts w:ascii="Calibri" w:eastAsia="Calibri" w:hAnsi="Calibri"/>
      <w:sz w:val="23"/>
      <w:szCs w:val="24"/>
    </w:rPr>
  </w:style>
  <w:style w:type="paragraph" w:styleId="Date">
    <w:name w:val="Date"/>
    <w:basedOn w:val="Normal"/>
    <w:next w:val="Normal"/>
    <w:link w:val="DateChar"/>
    <w:rsid w:val="000F7B76"/>
    <w:pPr>
      <w:widowControl w:val="0"/>
      <w:adjustRightInd w:val="0"/>
      <w:spacing w:before="0"/>
      <w:jc w:val="both"/>
      <w:textAlignment w:val="baseline"/>
    </w:pPr>
    <w:rPr>
      <w:rFonts w:ascii="Times New Roman" w:hAnsi="Times New Roman"/>
      <w:szCs w:val="20"/>
    </w:rPr>
  </w:style>
  <w:style w:type="character" w:customStyle="1" w:styleId="DateChar">
    <w:name w:val="Date Char"/>
    <w:link w:val="Date"/>
    <w:rsid w:val="000F7B76"/>
  </w:style>
  <w:style w:type="paragraph" w:customStyle="1" w:styleId="NormDash">
    <w:name w:val="Norm_Dash"/>
    <w:basedOn w:val="Normal"/>
    <w:rsid w:val="000F7B76"/>
    <w:pPr>
      <w:widowControl w:val="0"/>
      <w:tabs>
        <w:tab w:val="num" w:pos="794"/>
      </w:tabs>
      <w:adjustRightInd w:val="0"/>
      <w:spacing w:before="0"/>
      <w:ind w:left="794" w:hanging="397"/>
      <w:jc w:val="both"/>
      <w:textAlignment w:val="baseline"/>
    </w:pPr>
    <w:rPr>
      <w:rFonts w:ascii="Times New Roman" w:hAnsi="Times New Roman"/>
      <w:sz w:val="24"/>
    </w:rPr>
  </w:style>
  <w:style w:type="paragraph" w:customStyle="1" w:styleId="Heading4A">
    <w:name w:val="Heading 4 A"/>
    <w:basedOn w:val="Heading4"/>
    <w:rsid w:val="000F7B76"/>
    <w:pPr>
      <w:widowControl w:val="0"/>
      <w:tabs>
        <w:tab w:val="clear" w:pos="4179"/>
        <w:tab w:val="left" w:pos="0"/>
        <w:tab w:val="left" w:pos="1009"/>
        <w:tab w:val="left" w:pos="2018"/>
        <w:tab w:val="left" w:pos="4036"/>
        <w:tab w:val="left" w:pos="5046"/>
        <w:tab w:val="left" w:pos="6054"/>
        <w:tab w:val="left" w:pos="7063"/>
        <w:tab w:val="left" w:pos="8072"/>
        <w:tab w:val="left" w:pos="9081"/>
      </w:tabs>
      <w:adjustRightInd w:val="0"/>
      <w:spacing w:before="56" w:after="60"/>
      <w:ind w:left="2948" w:hanging="680"/>
      <w:textAlignment w:val="baseline"/>
    </w:pPr>
    <w:rPr>
      <w:rFonts w:ascii="Times New Roman" w:hAnsi="Times New Roman"/>
      <w:color w:val="000000"/>
      <w:sz w:val="24"/>
      <w:szCs w:val="24"/>
    </w:rPr>
  </w:style>
  <w:style w:type="character" w:styleId="HTMLDefinition">
    <w:name w:val="HTML Definition"/>
    <w:rsid w:val="000F7B76"/>
    <w:rPr>
      <w:i/>
      <w:iCs/>
    </w:rPr>
  </w:style>
  <w:style w:type="paragraph" w:customStyle="1" w:styleId="paragraphsub">
    <w:name w:val="paragraph(sub)"/>
    <w:aliases w:val="aa"/>
    <w:basedOn w:val="Normal"/>
    <w:rsid w:val="000F7B76"/>
    <w:pPr>
      <w:widowControl w:val="0"/>
      <w:tabs>
        <w:tab w:val="right" w:pos="1985"/>
      </w:tabs>
      <w:adjustRightInd w:val="0"/>
      <w:spacing w:before="40"/>
      <w:ind w:left="2098" w:hanging="2098"/>
      <w:jc w:val="both"/>
      <w:textAlignment w:val="baseline"/>
    </w:pPr>
    <w:rPr>
      <w:rFonts w:ascii="Times New Roman" w:hAnsi="Times New Roman"/>
      <w:sz w:val="22"/>
      <w:lang w:eastAsia="en-AU"/>
    </w:rPr>
  </w:style>
  <w:style w:type="paragraph" w:customStyle="1" w:styleId="conlevel110">
    <w:name w:val="conlevel11"/>
    <w:basedOn w:val="Normal"/>
    <w:rsid w:val="000F7B76"/>
    <w:pPr>
      <w:widowControl w:val="0"/>
      <w:tabs>
        <w:tab w:val="num" w:pos="720"/>
      </w:tabs>
      <w:adjustRightInd w:val="0"/>
      <w:spacing w:before="240"/>
      <w:ind w:left="720" w:hanging="720"/>
      <w:jc w:val="both"/>
      <w:textAlignment w:val="baseline"/>
    </w:pPr>
    <w:rPr>
      <w:rFonts w:ascii="Times New Roman" w:hAnsi="Times New Roman"/>
      <w:sz w:val="24"/>
      <w:lang w:val="en-US"/>
    </w:rPr>
  </w:style>
  <w:style w:type="character" w:customStyle="1" w:styleId="detailsalignedbold">
    <w:name w:val="detailsaligned bold"/>
    <w:rsid w:val="000F7B76"/>
  </w:style>
  <w:style w:type="paragraph" w:customStyle="1" w:styleId="Style2">
    <w:name w:val="Style2"/>
    <w:basedOn w:val="Normal"/>
    <w:rsid w:val="000F7B76"/>
    <w:pPr>
      <w:widowControl w:val="0"/>
      <w:tabs>
        <w:tab w:val="left" w:pos="8505"/>
      </w:tabs>
      <w:adjustRightInd w:val="0"/>
      <w:spacing w:before="0"/>
      <w:jc w:val="both"/>
      <w:textAlignment w:val="baseline"/>
    </w:pPr>
    <w:rPr>
      <w:rFonts w:cs="Arial"/>
      <w:sz w:val="24"/>
    </w:rPr>
  </w:style>
  <w:style w:type="paragraph" w:styleId="BodyTextFirstIndent2">
    <w:name w:val="Body Text First Indent 2"/>
    <w:basedOn w:val="BodyTextIndent"/>
    <w:link w:val="BodyTextFirstIndent2Char"/>
    <w:rsid w:val="000F5341"/>
    <w:pPr>
      <w:spacing w:before="480" w:line="480" w:lineRule="auto"/>
      <w:ind w:left="0" w:firstLine="720"/>
    </w:pPr>
  </w:style>
  <w:style w:type="paragraph" w:customStyle="1" w:styleId="bullet11">
    <w:name w:val="bullet 1.1"/>
    <w:basedOn w:val="Normal"/>
    <w:rsid w:val="000F7B76"/>
    <w:pPr>
      <w:widowControl w:val="0"/>
      <w:tabs>
        <w:tab w:val="left" w:pos="567"/>
      </w:tabs>
      <w:suppressAutoHyphens/>
      <w:autoSpaceDE w:val="0"/>
      <w:autoSpaceDN w:val="0"/>
      <w:adjustRightInd w:val="0"/>
      <w:spacing w:after="120"/>
      <w:ind w:left="567" w:hanging="567"/>
      <w:jc w:val="both"/>
      <w:textAlignment w:val="center"/>
    </w:pPr>
    <w:rPr>
      <w:rFonts w:ascii="Times New Roman" w:hAnsi="Times New Roman"/>
      <w:color w:val="000000"/>
      <w:spacing w:val="-2"/>
      <w:sz w:val="24"/>
      <w:lang w:val="en-GB"/>
    </w:rPr>
  </w:style>
  <w:style w:type="paragraph" w:customStyle="1" w:styleId="Indentiaftera">
    <w:name w:val="Indent (i) after (a)"/>
    <w:basedOn w:val="Normal"/>
    <w:rsid w:val="000F7B76"/>
    <w:pPr>
      <w:widowControl w:val="0"/>
      <w:tabs>
        <w:tab w:val="left" w:pos="980"/>
        <w:tab w:val="left" w:pos="1340"/>
      </w:tabs>
      <w:suppressAutoHyphens/>
      <w:autoSpaceDE w:val="0"/>
      <w:autoSpaceDN w:val="0"/>
      <w:adjustRightInd w:val="0"/>
      <w:spacing w:before="28" w:line="250" w:lineRule="atLeast"/>
      <w:ind w:left="1340" w:hanging="783"/>
      <w:jc w:val="both"/>
      <w:textAlignment w:val="center"/>
    </w:pPr>
    <w:rPr>
      <w:rFonts w:ascii="Times New Roman" w:hAnsi="Times New Roman"/>
      <w:color w:val="000000"/>
      <w:spacing w:val="-2"/>
      <w:sz w:val="24"/>
      <w:lang w:val="en-GB"/>
    </w:rPr>
  </w:style>
  <w:style w:type="character" w:customStyle="1" w:styleId="FootnoteTextChar2Char1">
    <w:name w:val="Footnote Text Char2 Char1"/>
    <w:aliases w:val="Footnote Text Char1 Char Char Char1,Footnote Text Char Char1 Char Char Char1,Footnote Text Char1 Char1 Char1,Footnote Text Char Char1 Char1 Char1,Footnote Text Char1 Char Char2"/>
    <w:locked/>
    <w:rsid w:val="000F7B76"/>
    <w:rPr>
      <w:rFonts w:ascii="Times New Roman" w:hAnsi="Times New Roman" w:cs="Times New Roman"/>
    </w:rPr>
  </w:style>
  <w:style w:type="character" w:styleId="Emphasis">
    <w:name w:val="Emphasis"/>
    <w:rsid w:val="000F7B76"/>
    <w:rPr>
      <w:rFonts w:cs="Times New Roman"/>
      <w:i/>
      <w:iCs/>
    </w:rPr>
  </w:style>
  <w:style w:type="paragraph" w:customStyle="1" w:styleId="Heading40">
    <w:name w:val="Heading4"/>
    <w:basedOn w:val="Normal"/>
    <w:rsid w:val="000F7B76"/>
    <w:pPr>
      <w:keepNext/>
      <w:widowControl w:val="0"/>
      <w:adjustRightInd w:val="0"/>
      <w:spacing w:before="180" w:after="120" w:line="264" w:lineRule="auto"/>
      <w:jc w:val="both"/>
      <w:textAlignment w:val="baseline"/>
    </w:pPr>
    <w:rPr>
      <w:rFonts w:ascii="Garamond" w:eastAsia="Calibri" w:hAnsi="Garamond"/>
      <w:b/>
      <w:sz w:val="24"/>
      <w:szCs w:val="20"/>
      <w:lang w:eastAsia="en-AU"/>
    </w:rPr>
  </w:style>
  <w:style w:type="paragraph" w:styleId="NoSpacing">
    <w:name w:val="No Spacing"/>
    <w:link w:val="NoSpacingChar"/>
    <w:uiPriority w:val="1"/>
    <w:rsid w:val="000F7B76"/>
    <w:pPr>
      <w:widowControl w:val="0"/>
      <w:adjustRightInd w:val="0"/>
      <w:spacing w:line="360" w:lineRule="atLeast"/>
      <w:jc w:val="both"/>
      <w:textAlignment w:val="baseline"/>
    </w:pPr>
    <w:rPr>
      <w:sz w:val="24"/>
      <w:szCs w:val="22"/>
      <w:lang w:eastAsia="en-US"/>
    </w:rPr>
  </w:style>
  <w:style w:type="character" w:customStyle="1" w:styleId="BodyTextFirstIndent2Char">
    <w:name w:val="Body Text First Indent 2 Char"/>
    <w:basedOn w:val="BodyTextIndentChar"/>
    <w:link w:val="BodyTextFirstIndent2"/>
    <w:rsid w:val="000F5341"/>
    <w:rPr>
      <w:sz w:val="24"/>
      <w:szCs w:val="24"/>
    </w:rPr>
  </w:style>
  <w:style w:type="paragraph" w:customStyle="1" w:styleId="PDDLevel1">
    <w:name w:val="PDD Level 1"/>
    <w:basedOn w:val="Heading1"/>
    <w:next w:val="PDDLevel2"/>
    <w:rsid w:val="006F2794"/>
    <w:pPr>
      <w:numPr>
        <w:numId w:val="12"/>
      </w:numPr>
      <w:tabs>
        <w:tab w:val="left" w:pos="426"/>
      </w:tabs>
      <w:spacing w:after="160"/>
    </w:pPr>
    <w:rPr>
      <w:rFonts w:ascii="Arial Narrow" w:hAnsi="Arial Narrow" w:cs="Times New Roman"/>
      <w:bCs/>
      <w:caps/>
      <w:color w:val="000080"/>
      <w:sz w:val="24"/>
      <w:szCs w:val="24"/>
      <w:lang w:eastAsia="en-US"/>
    </w:rPr>
  </w:style>
  <w:style w:type="paragraph" w:customStyle="1" w:styleId="PDDLevel2">
    <w:name w:val="PDD Level 2"/>
    <w:basedOn w:val="Heading2"/>
    <w:next w:val="Normal"/>
    <w:rsid w:val="006F2794"/>
    <w:pPr>
      <w:numPr>
        <w:numId w:val="12"/>
      </w:numPr>
      <w:tabs>
        <w:tab w:val="left" w:pos="426"/>
      </w:tabs>
    </w:pPr>
    <w:rPr>
      <w:rFonts w:ascii="Arial Narrow" w:hAnsi="Arial Narrow" w:cs="Times New Roman"/>
      <w:iCs w:val="0"/>
      <w:szCs w:val="24"/>
      <w:lang w:eastAsia="en-US"/>
    </w:rPr>
  </w:style>
  <w:style w:type="paragraph" w:customStyle="1" w:styleId="PDDLevel4">
    <w:name w:val="PDD Level 4"/>
    <w:basedOn w:val="Heading4"/>
    <w:next w:val="Normal"/>
    <w:rsid w:val="006F2794"/>
    <w:pPr>
      <w:keepNext/>
      <w:numPr>
        <w:numId w:val="12"/>
      </w:numPr>
      <w:spacing w:before="120" w:after="0"/>
      <w:jc w:val="left"/>
    </w:pPr>
    <w:rPr>
      <w:rFonts w:ascii="Arial Narrow" w:hAnsi="Arial Narrow"/>
      <w:bCs/>
      <w:i/>
      <w:iCs/>
      <w:sz w:val="24"/>
      <w:szCs w:val="28"/>
      <w:lang w:val="en-AU"/>
    </w:rPr>
  </w:style>
  <w:style w:type="paragraph" w:customStyle="1" w:styleId="IntroSectionLevel2">
    <w:name w:val="Intro Section Level 2"/>
    <w:basedOn w:val="Normal"/>
    <w:rsid w:val="006F2794"/>
    <w:pPr>
      <w:spacing w:before="0" w:after="80"/>
    </w:pPr>
    <w:rPr>
      <w:rFonts w:ascii="Arial Narrow" w:hAnsi="Arial Narrow"/>
      <w:b/>
      <w:bCs/>
      <w:color w:val="008000"/>
      <w:sz w:val="24"/>
      <w:szCs w:val="20"/>
    </w:rPr>
  </w:style>
  <w:style w:type="paragraph" w:styleId="EndnoteText">
    <w:name w:val="endnote text"/>
    <w:basedOn w:val="Normal"/>
    <w:link w:val="EndnoteTextChar"/>
    <w:uiPriority w:val="99"/>
    <w:rsid w:val="008C07B3"/>
    <w:pPr>
      <w:spacing w:before="0"/>
    </w:pPr>
    <w:rPr>
      <w:szCs w:val="20"/>
    </w:rPr>
  </w:style>
  <w:style w:type="character" w:customStyle="1" w:styleId="EndnoteTextChar">
    <w:name w:val="Endnote Text Char"/>
    <w:link w:val="EndnoteText"/>
    <w:uiPriority w:val="99"/>
    <w:rsid w:val="008C07B3"/>
    <w:rPr>
      <w:rFonts w:ascii="Arial" w:hAnsi="Arial"/>
      <w:lang w:eastAsia="en-US"/>
    </w:rPr>
  </w:style>
  <w:style w:type="numbering" w:customStyle="1" w:styleId="ListBullets">
    <w:name w:val="ListBullets"/>
    <w:uiPriority w:val="99"/>
    <w:rsid w:val="008C07B3"/>
    <w:pPr>
      <w:numPr>
        <w:numId w:val="13"/>
      </w:numPr>
    </w:pPr>
  </w:style>
  <w:style w:type="paragraph" w:customStyle="1" w:styleId="ColorfulList-Accent11">
    <w:name w:val="Colorful List - Accent 11"/>
    <w:aliases w:val="List Paragraph - Dani,List Paragraph 1 - Dani"/>
    <w:basedOn w:val="Normal"/>
    <w:uiPriority w:val="34"/>
    <w:qFormat/>
    <w:rsid w:val="008C07B3"/>
    <w:pPr>
      <w:numPr>
        <w:numId w:val="14"/>
      </w:numPr>
      <w:tabs>
        <w:tab w:val="num" w:pos="360"/>
      </w:tabs>
      <w:spacing w:before="0" w:after="120"/>
      <w:ind w:left="0" w:firstLine="0"/>
      <w:contextualSpacing/>
    </w:pPr>
    <w:rPr>
      <w:rFonts w:eastAsia="Calibri" w:cs="Arial"/>
      <w:sz w:val="22"/>
      <w:szCs w:val="22"/>
      <w:lang w:val="en-NZ" w:eastAsia="en-AU"/>
    </w:rPr>
  </w:style>
  <w:style w:type="paragraph" w:styleId="BodyTextIndent2">
    <w:name w:val="Body Text Indent 2"/>
    <w:basedOn w:val="Normal"/>
    <w:link w:val="BodyTextIndent2Char"/>
    <w:rsid w:val="000F5341"/>
    <w:pPr>
      <w:widowControl w:val="0"/>
      <w:adjustRightInd w:val="0"/>
      <w:spacing w:before="480" w:line="480" w:lineRule="auto"/>
      <w:ind w:left="720"/>
      <w:jc w:val="both"/>
      <w:textAlignment w:val="baseline"/>
    </w:pPr>
    <w:rPr>
      <w:rFonts w:ascii="Times New Roman" w:hAnsi="Times New Roman"/>
      <w:sz w:val="24"/>
    </w:rPr>
  </w:style>
  <w:style w:type="paragraph" w:styleId="NormalWeb">
    <w:name w:val="Normal (Web)"/>
    <w:basedOn w:val="Normal"/>
    <w:uiPriority w:val="99"/>
    <w:rsid w:val="00CD2B3A"/>
    <w:pPr>
      <w:spacing w:before="100" w:beforeAutospacing="1" w:after="115"/>
    </w:pPr>
    <w:rPr>
      <w:rFonts w:ascii="Times" w:eastAsia="Times" w:hAnsi="Times"/>
      <w:szCs w:val="20"/>
      <w:lang w:val="en-US"/>
    </w:rPr>
  </w:style>
  <w:style w:type="paragraph" w:customStyle="1" w:styleId="Pa4">
    <w:name w:val="Pa4"/>
    <w:basedOn w:val="Default"/>
    <w:next w:val="Default"/>
    <w:uiPriority w:val="99"/>
    <w:rsid w:val="00CD2B3A"/>
    <w:pPr>
      <w:spacing w:line="191" w:lineRule="atLeast"/>
    </w:pPr>
    <w:rPr>
      <w:rFonts w:ascii="The Sans" w:eastAsia="Calibri" w:hAnsi="The Sans" w:cs="Times New Roman"/>
      <w:color w:val="auto"/>
      <w:lang w:eastAsia="en-US" w:bidi="ar-SA"/>
    </w:rPr>
  </w:style>
  <w:style w:type="character" w:customStyle="1" w:styleId="A2">
    <w:name w:val="A2"/>
    <w:uiPriority w:val="99"/>
    <w:rsid w:val="00CD2B3A"/>
    <w:rPr>
      <w:rFonts w:cs="Helvetica 55 Roman"/>
      <w:color w:val="000000"/>
      <w:sz w:val="16"/>
      <w:szCs w:val="16"/>
    </w:rPr>
  </w:style>
  <w:style w:type="character" w:customStyle="1" w:styleId="BodyTextIndent2Char">
    <w:name w:val="Body Text Indent 2 Char"/>
    <w:basedOn w:val="DefaultParagraphFont"/>
    <w:link w:val="BodyTextIndent2"/>
    <w:rsid w:val="000F5341"/>
    <w:rPr>
      <w:sz w:val="24"/>
      <w:szCs w:val="24"/>
    </w:rPr>
  </w:style>
  <w:style w:type="paragraph" w:customStyle="1" w:styleId="5SubjectTitle">
    <w:name w:val="5. Subject/Title"/>
    <w:basedOn w:val="Normal"/>
    <w:rsid w:val="007D3192"/>
    <w:pPr>
      <w:numPr>
        <w:numId w:val="15"/>
      </w:numPr>
      <w:spacing w:before="0" w:after="120"/>
      <w:jc w:val="both"/>
    </w:pPr>
    <w:rPr>
      <w:rFonts w:eastAsia="MS Mincho"/>
      <w:lang w:val="en-US"/>
    </w:rPr>
  </w:style>
  <w:style w:type="table" w:styleId="LightGrid-Accent3">
    <w:name w:val="Light Grid Accent 3"/>
    <w:basedOn w:val="TableNormal"/>
    <w:uiPriority w:val="62"/>
    <w:rsid w:val="002C0785"/>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Light" w:eastAsia="MS Gothic"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MS Gothic"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CoverText">
    <w:name w:val="CoverText"/>
    <w:basedOn w:val="Normal"/>
    <w:rsid w:val="002C0785"/>
    <w:pPr>
      <w:spacing w:before="0" w:after="200" w:line="260" w:lineRule="atLeast"/>
      <w:ind w:left="57"/>
    </w:pPr>
    <w:rPr>
      <w:rFonts w:eastAsia="MS Mincho"/>
      <w:szCs w:val="22"/>
      <w:lang w:eastAsia="en-AU"/>
    </w:rPr>
  </w:style>
  <w:style w:type="character" w:customStyle="1" w:styleId="apple-tab-span">
    <w:name w:val="apple-tab-span"/>
    <w:rsid w:val="00824BEB"/>
  </w:style>
  <w:style w:type="character" w:customStyle="1" w:styleId="menu-title">
    <w:name w:val="menu-title"/>
    <w:rsid w:val="00A0337A"/>
  </w:style>
  <w:style w:type="paragraph" w:customStyle="1" w:styleId="BodyText1">
    <w:name w:val="Body Text1"/>
    <w:rsid w:val="000F5341"/>
    <w:pPr>
      <w:widowControl w:val="0"/>
      <w:autoSpaceDE w:val="0"/>
      <w:autoSpaceDN w:val="0"/>
      <w:adjustRightInd w:val="0"/>
      <w:spacing w:before="113" w:after="113" w:line="280" w:lineRule="atLeast"/>
      <w:jc w:val="both"/>
      <w:textAlignment w:val="baseline"/>
    </w:pPr>
    <w:rPr>
      <w:color w:val="000000"/>
      <w:sz w:val="24"/>
      <w:szCs w:val="24"/>
      <w:lang w:val="en-US" w:eastAsia="en-US"/>
    </w:rPr>
  </w:style>
  <w:style w:type="character" w:customStyle="1" w:styleId="CharChar5">
    <w:name w:val="Char Char5"/>
    <w:locked/>
    <w:rsid w:val="000F5341"/>
    <w:rPr>
      <w:sz w:val="24"/>
      <w:szCs w:val="24"/>
      <w:lang w:val="en-AU" w:eastAsia="en-US" w:bidi="ar-SA"/>
    </w:rPr>
  </w:style>
  <w:style w:type="paragraph" w:customStyle="1" w:styleId="TableHeading">
    <w:name w:val="Table Heading"/>
    <w:basedOn w:val="BodyText"/>
    <w:rsid w:val="000F5341"/>
    <w:pPr>
      <w:spacing w:after="0" w:line="276" w:lineRule="auto"/>
    </w:pPr>
    <w:rPr>
      <w:rFonts w:ascii="Verdana" w:hAnsi="Verdana"/>
      <w:b/>
      <w:sz w:val="18"/>
      <w:lang w:val="en-NZ" w:eastAsia="en-US" w:bidi="ar-DZ"/>
    </w:rPr>
  </w:style>
  <w:style w:type="character" w:customStyle="1" w:styleId="bookabs">
    <w:name w:val="bookabs"/>
    <w:rsid w:val="000F5341"/>
  </w:style>
  <w:style w:type="character" w:customStyle="1" w:styleId="NoSpacingChar">
    <w:name w:val="No Spacing Char"/>
    <w:link w:val="NoSpacing"/>
    <w:uiPriority w:val="1"/>
    <w:locked/>
    <w:rsid w:val="000F5341"/>
    <w:rPr>
      <w:sz w:val="24"/>
      <w:szCs w:val="22"/>
      <w:lang w:eastAsia="en-US"/>
    </w:rPr>
  </w:style>
  <w:style w:type="paragraph" w:customStyle="1" w:styleId="annexheading">
    <w:name w:val="annex heading"/>
    <w:basedOn w:val="Heading1"/>
    <w:rsid w:val="007D3192"/>
    <w:pPr>
      <w:numPr>
        <w:numId w:val="0"/>
      </w:numPr>
    </w:pPr>
    <w:rPr>
      <w:sz w:val="32"/>
    </w:rPr>
  </w:style>
  <w:style w:type="paragraph" w:customStyle="1" w:styleId="annexsubheading">
    <w:name w:val="annex subheading"/>
    <w:basedOn w:val="Heading2"/>
    <w:rsid w:val="00E71325"/>
    <w:pPr>
      <w:numPr>
        <w:ilvl w:val="0"/>
        <w:numId w:val="0"/>
      </w:num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Bullet 2" w:uiPriority="99"/>
    <w:lsdException w:name="List Bullet 3" w:uiPriority="99"/>
    <w:lsdException w:name="List Bullet 4" w:uiPriority="99"/>
    <w:lsdException w:name="List Bullet 5" w:uiPriority="99"/>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71325"/>
    <w:pPr>
      <w:spacing w:before="120"/>
    </w:pPr>
    <w:rPr>
      <w:rFonts w:ascii="Arial" w:hAnsi="Arial"/>
      <w:szCs w:val="24"/>
      <w:lang w:eastAsia="en-US"/>
    </w:rPr>
  </w:style>
  <w:style w:type="paragraph" w:styleId="Heading1">
    <w:name w:val="heading 1"/>
    <w:next w:val="Normal"/>
    <w:link w:val="Heading1Char"/>
    <w:uiPriority w:val="9"/>
    <w:qFormat/>
    <w:rsid w:val="00C97EF2"/>
    <w:pPr>
      <w:keepNext/>
      <w:pageBreakBefore/>
      <w:numPr>
        <w:numId w:val="23"/>
      </w:numPr>
      <w:spacing w:after="360"/>
      <w:ind w:left="851" w:hanging="851"/>
      <w:outlineLvl w:val="0"/>
    </w:pPr>
    <w:rPr>
      <w:rFonts w:ascii="Arial" w:hAnsi="Arial" w:cs="Arial"/>
      <w:sz w:val="36"/>
      <w:szCs w:val="32"/>
    </w:rPr>
  </w:style>
  <w:style w:type="paragraph" w:styleId="Heading2">
    <w:name w:val="heading 2"/>
    <w:basedOn w:val="Heading1"/>
    <w:next w:val="BodyText"/>
    <w:link w:val="Heading2Char"/>
    <w:qFormat/>
    <w:rsid w:val="00C97EF2"/>
    <w:pPr>
      <w:pageBreakBefore w:val="0"/>
      <w:numPr>
        <w:ilvl w:val="1"/>
      </w:numPr>
      <w:spacing w:before="240" w:after="120"/>
      <w:ind w:left="851" w:hanging="851"/>
      <w:outlineLvl w:val="1"/>
    </w:pPr>
    <w:rPr>
      <w:b/>
      <w:iCs/>
      <w:sz w:val="24"/>
      <w:szCs w:val="22"/>
    </w:rPr>
  </w:style>
  <w:style w:type="paragraph" w:styleId="Heading3">
    <w:name w:val="heading 3"/>
    <w:next w:val="Normal"/>
    <w:link w:val="Heading3Char"/>
    <w:qFormat/>
    <w:rsid w:val="00C97EF2"/>
    <w:pPr>
      <w:keepNext/>
      <w:numPr>
        <w:ilvl w:val="2"/>
        <w:numId w:val="23"/>
      </w:numPr>
      <w:spacing w:before="240" w:after="120"/>
      <w:ind w:left="851" w:hanging="851"/>
      <w:outlineLvl w:val="2"/>
    </w:pPr>
    <w:rPr>
      <w:rFonts w:ascii="Arial" w:hAnsi="Arial"/>
      <w:b/>
      <w:bCs/>
      <w:iCs/>
      <w:szCs w:val="26"/>
      <w:lang w:eastAsia="en-US"/>
    </w:rPr>
  </w:style>
  <w:style w:type="paragraph" w:styleId="Heading4">
    <w:name w:val="heading 4"/>
    <w:basedOn w:val="Normal"/>
    <w:link w:val="Heading4Char"/>
    <w:rsid w:val="00C778DD"/>
    <w:pPr>
      <w:numPr>
        <w:ilvl w:val="3"/>
        <w:numId w:val="23"/>
      </w:numPr>
      <w:tabs>
        <w:tab w:val="num" w:pos="4179"/>
      </w:tabs>
      <w:spacing w:before="0" w:after="240"/>
      <w:jc w:val="both"/>
      <w:outlineLvl w:val="3"/>
    </w:pPr>
    <w:rPr>
      <w:sz w:val="22"/>
      <w:szCs w:val="20"/>
      <w:lang w:val="en-US"/>
    </w:rPr>
  </w:style>
  <w:style w:type="paragraph" w:styleId="Heading5">
    <w:name w:val="heading 5"/>
    <w:basedOn w:val="Normal"/>
    <w:next w:val="Normal"/>
    <w:link w:val="Heading5Char"/>
    <w:rsid w:val="000F7B76"/>
    <w:pPr>
      <w:widowControl w:val="0"/>
      <w:numPr>
        <w:ilvl w:val="4"/>
        <w:numId w:val="23"/>
      </w:numPr>
      <w:adjustRightInd w:val="0"/>
      <w:spacing w:before="240"/>
      <w:jc w:val="both"/>
      <w:textAlignment w:val="baseline"/>
      <w:outlineLvl w:val="4"/>
    </w:pPr>
    <w:rPr>
      <w:rFonts w:ascii="Times New Roman" w:hAnsi="Times New Roman"/>
      <w:sz w:val="24"/>
    </w:rPr>
  </w:style>
  <w:style w:type="paragraph" w:styleId="Heading6">
    <w:name w:val="heading 6"/>
    <w:basedOn w:val="Normal"/>
    <w:next w:val="Normal"/>
    <w:link w:val="Heading6Char"/>
    <w:unhideWhenUsed/>
    <w:rsid w:val="003573BE"/>
    <w:pPr>
      <w:keepNext/>
      <w:keepLines/>
      <w:numPr>
        <w:ilvl w:val="5"/>
        <w:numId w:val="23"/>
      </w:numPr>
      <w:spacing w:before="200"/>
      <w:outlineLvl w:val="5"/>
    </w:pPr>
    <w:rPr>
      <w:rFonts w:ascii="Times New Roman" w:hAnsi="Times New Roman"/>
      <w:sz w:val="24"/>
    </w:rPr>
  </w:style>
  <w:style w:type="paragraph" w:styleId="Heading7">
    <w:name w:val="heading 7"/>
    <w:basedOn w:val="Normal"/>
    <w:next w:val="Normal"/>
    <w:link w:val="Heading7Char"/>
    <w:unhideWhenUsed/>
    <w:rsid w:val="003573BE"/>
    <w:pPr>
      <w:keepNext/>
      <w:keepLines/>
      <w:numPr>
        <w:ilvl w:val="6"/>
        <w:numId w:val="23"/>
      </w:numPr>
      <w:spacing w:before="200"/>
      <w:outlineLvl w:val="6"/>
    </w:pPr>
    <w:rPr>
      <w:rFonts w:ascii="Times New Roman" w:hAnsi="Times New Roman"/>
      <w:sz w:val="24"/>
    </w:rPr>
  </w:style>
  <w:style w:type="paragraph" w:styleId="Heading8">
    <w:name w:val="heading 8"/>
    <w:basedOn w:val="Normal"/>
    <w:next w:val="Normal"/>
    <w:link w:val="Heading8Char"/>
    <w:unhideWhenUsed/>
    <w:rsid w:val="003573BE"/>
    <w:pPr>
      <w:keepNext/>
      <w:keepLines/>
      <w:numPr>
        <w:ilvl w:val="7"/>
        <w:numId w:val="23"/>
      </w:numPr>
      <w:spacing w:before="200"/>
      <w:outlineLvl w:val="7"/>
    </w:pPr>
    <w:rPr>
      <w:rFonts w:ascii="Times New Roman" w:hAnsi="Times New Roman"/>
      <w:sz w:val="24"/>
    </w:rPr>
  </w:style>
  <w:style w:type="paragraph" w:styleId="Heading9">
    <w:name w:val="heading 9"/>
    <w:basedOn w:val="Normal"/>
    <w:next w:val="Normal"/>
    <w:link w:val="Heading9Char"/>
    <w:unhideWhenUsed/>
    <w:rsid w:val="003573BE"/>
    <w:pPr>
      <w:keepNext/>
      <w:keepLines/>
      <w:numPr>
        <w:ilvl w:val="8"/>
        <w:numId w:val="23"/>
      </w:numPr>
      <w:spacing w:before="200"/>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D12535"/>
    <w:pPr>
      <w:spacing w:before="0"/>
      <w:jc w:val="center"/>
    </w:pPr>
    <w:rPr>
      <w:b/>
      <w:bCs/>
      <w:sz w:val="28"/>
    </w:rPr>
  </w:style>
  <w:style w:type="paragraph" w:customStyle="1" w:styleId="DocStatus">
    <w:name w:val="DocStatus"/>
    <w:basedOn w:val="Normal"/>
    <w:rsid w:val="00D12535"/>
    <w:pPr>
      <w:spacing w:after="60"/>
      <w:jc w:val="center"/>
    </w:pPr>
    <w:rPr>
      <w:b/>
      <w:sz w:val="22"/>
    </w:rPr>
  </w:style>
  <w:style w:type="table" w:customStyle="1" w:styleId="TableGridLight1">
    <w:name w:val="Table Grid Light1"/>
    <w:basedOn w:val="TableNormal"/>
    <w:uiPriority w:val="40"/>
    <w:rsid w:val="00263CE1"/>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Heading3numbered">
    <w:name w:val="Heading 3 numbered"/>
    <w:basedOn w:val="Heading3"/>
    <w:next w:val="Normal"/>
    <w:rsid w:val="00D12535"/>
    <w:pPr>
      <w:numPr>
        <w:numId w:val="3"/>
      </w:numPr>
    </w:pPr>
  </w:style>
  <w:style w:type="paragraph" w:customStyle="1" w:styleId="List-bullet-2">
    <w:name w:val="List-bullet-2"/>
    <w:basedOn w:val="Normal"/>
    <w:link w:val="List-bullet-2Char"/>
    <w:qFormat/>
    <w:rsid w:val="005B3032"/>
    <w:pPr>
      <w:numPr>
        <w:numId w:val="2"/>
      </w:numPr>
      <w:spacing w:before="80"/>
      <w:ind w:left="1020" w:hanging="340"/>
      <w:jc w:val="both"/>
    </w:pPr>
    <w:rPr>
      <w:szCs w:val="22"/>
      <w:lang w:val="en-US"/>
    </w:rPr>
  </w:style>
  <w:style w:type="paragraph" w:customStyle="1" w:styleId="List-number-2">
    <w:name w:val="List-number-2"/>
    <w:basedOn w:val="Normal"/>
    <w:link w:val="List-number-2Char"/>
    <w:rsid w:val="00D12535"/>
    <w:pPr>
      <w:numPr>
        <w:ilvl w:val="1"/>
        <w:numId w:val="18"/>
      </w:numPr>
    </w:pPr>
  </w:style>
  <w:style w:type="paragraph" w:customStyle="1" w:styleId="Normal-indent">
    <w:name w:val="Normal-indent"/>
    <w:basedOn w:val="Normal"/>
    <w:rsid w:val="00D12535"/>
    <w:pPr>
      <w:ind w:left="357"/>
    </w:pPr>
    <w:rPr>
      <w:lang w:eastAsia="en-AU"/>
    </w:rPr>
  </w:style>
  <w:style w:type="character" w:styleId="CommentReference">
    <w:name w:val="annotation reference"/>
    <w:uiPriority w:val="99"/>
    <w:semiHidden/>
    <w:rsid w:val="00D12535"/>
    <w:rPr>
      <w:sz w:val="16"/>
      <w:szCs w:val="16"/>
    </w:rPr>
  </w:style>
  <w:style w:type="paragraph" w:customStyle="1" w:styleId="TableHeader">
    <w:name w:val="TableHeader"/>
    <w:basedOn w:val="Normal"/>
    <w:qFormat/>
    <w:rsid w:val="000D5F9C"/>
    <w:pPr>
      <w:keepNext/>
      <w:spacing w:before="0"/>
    </w:pPr>
    <w:rPr>
      <w:rFonts w:cs="Arial"/>
      <w:b/>
      <w:sz w:val="16"/>
    </w:rPr>
  </w:style>
  <w:style w:type="paragraph" w:customStyle="1" w:styleId="TableTEXT">
    <w:name w:val="Table TEXT"/>
    <w:uiPriority w:val="99"/>
    <w:qFormat/>
    <w:rsid w:val="000D5F9C"/>
    <w:rPr>
      <w:rFonts w:ascii="Arial" w:hAnsi="Arial"/>
      <w:sz w:val="16"/>
      <w:szCs w:val="24"/>
      <w:lang w:eastAsia="en-US"/>
    </w:rPr>
  </w:style>
  <w:style w:type="paragraph" w:customStyle="1" w:styleId="Table-list-bullet">
    <w:name w:val="Table-list-bullet"/>
    <w:basedOn w:val="TableTEXT"/>
    <w:qFormat/>
    <w:rsid w:val="000D5F9C"/>
    <w:pPr>
      <w:spacing w:after="40"/>
    </w:pPr>
  </w:style>
  <w:style w:type="paragraph" w:customStyle="1" w:styleId="Table-list-number">
    <w:name w:val="Table-list-number"/>
    <w:basedOn w:val="TableTEXT"/>
    <w:rsid w:val="00D12535"/>
    <w:pPr>
      <w:numPr>
        <w:numId w:val="5"/>
      </w:numPr>
    </w:pPr>
  </w:style>
  <w:style w:type="paragraph" w:customStyle="1" w:styleId="TableTitle">
    <w:name w:val="TableTitle"/>
    <w:basedOn w:val="Normal"/>
    <w:next w:val="TableTEXT"/>
    <w:rsid w:val="00D12535"/>
    <w:pPr>
      <w:keepNext/>
      <w:spacing w:before="240" w:after="120"/>
      <w:jc w:val="center"/>
    </w:pPr>
    <w:rPr>
      <w:b/>
    </w:rPr>
  </w:style>
  <w:style w:type="paragraph" w:styleId="Header">
    <w:name w:val="header"/>
    <w:basedOn w:val="Normal"/>
    <w:link w:val="HeaderChar"/>
    <w:uiPriority w:val="99"/>
    <w:rsid w:val="00D12535"/>
    <w:pPr>
      <w:tabs>
        <w:tab w:val="center" w:pos="4153"/>
        <w:tab w:val="right" w:pos="8306"/>
      </w:tabs>
    </w:pPr>
    <w:rPr>
      <w:sz w:val="16"/>
    </w:rPr>
  </w:style>
  <w:style w:type="paragraph" w:styleId="Footer">
    <w:name w:val="footer"/>
    <w:basedOn w:val="Normal"/>
    <w:link w:val="FooterChar"/>
    <w:uiPriority w:val="99"/>
    <w:rsid w:val="00D12535"/>
    <w:pPr>
      <w:tabs>
        <w:tab w:val="center" w:pos="4153"/>
        <w:tab w:val="right" w:pos="8306"/>
      </w:tabs>
    </w:pPr>
    <w:rPr>
      <w:sz w:val="16"/>
    </w:rPr>
  </w:style>
  <w:style w:type="character" w:styleId="PageNumber">
    <w:name w:val="page number"/>
    <w:rsid w:val="00D12535"/>
    <w:rPr>
      <w:rFonts w:ascii="Arial" w:hAnsi="Arial"/>
      <w:sz w:val="16"/>
    </w:rPr>
  </w:style>
  <w:style w:type="character" w:styleId="Hyperlink">
    <w:name w:val="Hyperlink"/>
    <w:uiPriority w:val="99"/>
    <w:rsid w:val="00D12535"/>
    <w:rPr>
      <w:rFonts w:ascii="Arial" w:hAnsi="Arial"/>
      <w:color w:val="0000FF"/>
      <w:u w:val="single"/>
    </w:rPr>
  </w:style>
  <w:style w:type="paragraph" w:customStyle="1" w:styleId="List-outline-numbered">
    <w:name w:val="List-outline-numbered"/>
    <w:basedOn w:val="Normal"/>
    <w:rsid w:val="00D12535"/>
    <w:pPr>
      <w:numPr>
        <w:ilvl w:val="3"/>
        <w:numId w:val="3"/>
      </w:numPr>
    </w:pPr>
  </w:style>
  <w:style w:type="paragraph" w:customStyle="1" w:styleId="List-bullet-1">
    <w:name w:val="List-bullet-1"/>
    <w:basedOn w:val="Normal"/>
    <w:qFormat/>
    <w:rsid w:val="005B3032"/>
    <w:pPr>
      <w:numPr>
        <w:numId w:val="1"/>
      </w:numPr>
      <w:spacing w:before="0" w:after="120"/>
      <w:jc w:val="both"/>
    </w:pPr>
    <w:rPr>
      <w:rFonts w:cs="Arial"/>
      <w:szCs w:val="22"/>
    </w:rPr>
  </w:style>
  <w:style w:type="paragraph" w:customStyle="1" w:styleId="List-number-1">
    <w:name w:val="List-number-1"/>
    <w:basedOn w:val="Normal"/>
    <w:link w:val="List-number-1Char"/>
    <w:qFormat/>
    <w:rsid w:val="000F5341"/>
    <w:pPr>
      <w:numPr>
        <w:numId w:val="18"/>
      </w:numPr>
      <w:spacing w:after="120"/>
    </w:pPr>
  </w:style>
  <w:style w:type="paragraph" w:styleId="BalloonText">
    <w:name w:val="Balloon Text"/>
    <w:basedOn w:val="Normal"/>
    <w:link w:val="BalloonTextChar"/>
    <w:uiPriority w:val="99"/>
    <w:semiHidden/>
    <w:rsid w:val="00D12535"/>
    <w:rPr>
      <w:rFonts w:ascii="Tahoma" w:hAnsi="Tahoma" w:cs="Tahoma"/>
      <w:sz w:val="16"/>
      <w:szCs w:val="16"/>
    </w:rPr>
  </w:style>
  <w:style w:type="table" w:styleId="TableGrid">
    <w:name w:val="Table Grid"/>
    <w:basedOn w:val="TableNormal"/>
    <w:uiPriority w:val="59"/>
    <w:rsid w:val="00F27408"/>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D12535"/>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D12535"/>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link w:val="CommentTextChar"/>
    <w:uiPriority w:val="99"/>
    <w:semiHidden/>
    <w:rsid w:val="00D12535"/>
    <w:rPr>
      <w:szCs w:val="20"/>
    </w:rPr>
  </w:style>
  <w:style w:type="paragraph" w:styleId="CommentSubject">
    <w:name w:val="annotation subject"/>
    <w:basedOn w:val="CommentText"/>
    <w:next w:val="CommentText"/>
    <w:link w:val="CommentSubjectChar"/>
    <w:uiPriority w:val="99"/>
    <w:semiHidden/>
    <w:rsid w:val="00D12535"/>
    <w:rPr>
      <w:b/>
      <w:bCs/>
    </w:rPr>
  </w:style>
  <w:style w:type="character" w:customStyle="1" w:styleId="List-number-2Char">
    <w:name w:val="List-number-2 Char"/>
    <w:link w:val="List-number-2"/>
    <w:rsid w:val="00D12535"/>
    <w:rPr>
      <w:rFonts w:ascii="Arial" w:hAnsi="Arial"/>
      <w:szCs w:val="24"/>
      <w:lang w:eastAsia="en-US"/>
    </w:rPr>
  </w:style>
  <w:style w:type="paragraph" w:styleId="TOC1">
    <w:name w:val="toc 1"/>
    <w:basedOn w:val="Normal"/>
    <w:next w:val="Normal"/>
    <w:uiPriority w:val="39"/>
    <w:rsid w:val="00C97EF2"/>
    <w:pPr>
      <w:tabs>
        <w:tab w:val="right" w:leader="dot" w:pos="9072"/>
      </w:tabs>
      <w:ind w:left="567" w:hanging="567"/>
    </w:pPr>
    <w:rPr>
      <w:b/>
    </w:rPr>
  </w:style>
  <w:style w:type="paragraph" w:styleId="TOC2">
    <w:name w:val="toc 2"/>
    <w:basedOn w:val="Normal"/>
    <w:next w:val="Normal"/>
    <w:uiPriority w:val="39"/>
    <w:rsid w:val="00B11F55"/>
    <w:pPr>
      <w:tabs>
        <w:tab w:val="left" w:pos="1311"/>
        <w:tab w:val="right" w:leader="dot" w:pos="9072"/>
      </w:tabs>
      <w:spacing w:before="0" w:after="40"/>
      <w:ind w:left="567" w:hanging="567"/>
    </w:pPr>
    <w:rPr>
      <w:noProof/>
    </w:rPr>
  </w:style>
  <w:style w:type="paragraph" w:styleId="TOC3">
    <w:name w:val="toc 3"/>
    <w:basedOn w:val="Normal"/>
    <w:next w:val="Normal"/>
    <w:autoRedefine/>
    <w:uiPriority w:val="39"/>
    <w:rsid w:val="00755366"/>
    <w:pPr>
      <w:tabs>
        <w:tab w:val="left" w:pos="1311"/>
      </w:tabs>
      <w:spacing w:before="40"/>
      <w:ind w:left="856"/>
      <w:jc w:val="both"/>
    </w:pPr>
  </w:style>
  <w:style w:type="table" w:customStyle="1" w:styleId="Tablewithnoheader">
    <w:name w:val="Table with no header"/>
    <w:basedOn w:val="TableNormal"/>
    <w:rsid w:val="00D12535"/>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D12535"/>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character" w:customStyle="1" w:styleId="DocNameChar">
    <w:name w:val="DocName Char"/>
    <w:link w:val="DocName"/>
    <w:rsid w:val="00F27408"/>
    <w:rPr>
      <w:rFonts w:ascii="Arial" w:hAnsi="Arial"/>
      <w:b/>
      <w:bCs/>
      <w:sz w:val="28"/>
      <w:szCs w:val="24"/>
      <w:lang w:val="en-AU" w:eastAsia="en-US" w:bidi="ar-SA"/>
    </w:rPr>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Footnote Text Char2,fn"/>
    <w:basedOn w:val="Normal"/>
    <w:link w:val="FootnoteTextChar"/>
    <w:uiPriority w:val="99"/>
    <w:rsid w:val="00F27408"/>
    <w:rPr>
      <w:szCs w:val="20"/>
    </w:rPr>
  </w:style>
  <w:style w:type="character" w:styleId="FootnoteReference">
    <w:name w:val="footnote reference"/>
    <w:aliases w:val="Normal + Font:9 Point,Superscript 3 Point Times,ftref,FnR-ANZDEC,(NECG) Footnote Reference,Fußnotenzeichen DISS,de nota al pie,Ref,fr,16 Point,Superscript 6 Point,Footnote Ref in FtNote,SUPERS,Footnote text,BVI fnr"/>
    <w:uiPriority w:val="99"/>
    <w:rsid w:val="00F27408"/>
    <w:rPr>
      <w:vertAlign w:val="superscript"/>
    </w:rPr>
  </w:style>
  <w:style w:type="character" w:customStyle="1" w:styleId="List-number-1Char">
    <w:name w:val="List-number-1 Char"/>
    <w:link w:val="List-number-1"/>
    <w:rsid w:val="000F5341"/>
    <w:rPr>
      <w:rFonts w:ascii="Arial" w:hAnsi="Arial"/>
      <w:szCs w:val="24"/>
      <w:lang w:eastAsia="en-US"/>
    </w:rPr>
  </w:style>
  <w:style w:type="character" w:customStyle="1" w:styleId="List-bullet-2Char">
    <w:name w:val="List-bullet-2 Char"/>
    <w:link w:val="List-bullet-2"/>
    <w:rsid w:val="005B3032"/>
    <w:rPr>
      <w:rFonts w:ascii="Arial" w:hAnsi="Arial"/>
      <w:szCs w:val="22"/>
      <w:lang w:val="en-US" w:eastAsia="en-US"/>
    </w:rPr>
  </w:style>
  <w:style w:type="character" w:customStyle="1" w:styleId="HeaderChar">
    <w:name w:val="Header Char"/>
    <w:link w:val="Header"/>
    <w:uiPriority w:val="99"/>
    <w:rsid w:val="001121EC"/>
    <w:rPr>
      <w:rFonts w:ascii="Arial" w:hAnsi="Arial"/>
      <w:sz w:val="16"/>
      <w:szCs w:val="24"/>
      <w:lang w:eastAsia="en-US"/>
    </w:rPr>
  </w:style>
  <w:style w:type="character" w:customStyle="1" w:styleId="FooterChar">
    <w:name w:val="Footer Char"/>
    <w:link w:val="Footer"/>
    <w:uiPriority w:val="99"/>
    <w:rsid w:val="001121EC"/>
    <w:rPr>
      <w:rFonts w:ascii="Arial" w:hAnsi="Arial"/>
      <w:sz w:val="16"/>
      <w:szCs w:val="24"/>
      <w:lang w:eastAsia="en-US"/>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fn Char"/>
    <w:link w:val="FootnoteText"/>
    <w:uiPriority w:val="99"/>
    <w:rsid w:val="005F413E"/>
    <w:rPr>
      <w:rFonts w:ascii="Arial" w:hAnsi="Arial"/>
      <w:lang w:eastAsia="en-US"/>
    </w:rPr>
  </w:style>
  <w:style w:type="character" w:styleId="FollowedHyperlink">
    <w:name w:val="FollowedHyperlink"/>
    <w:rsid w:val="005F413E"/>
    <w:rPr>
      <w:color w:val="800080"/>
      <w:u w:val="single"/>
    </w:rPr>
  </w:style>
  <w:style w:type="table" w:styleId="TableTheme">
    <w:name w:val="Table Theme"/>
    <w:basedOn w:val="TableNormal"/>
    <w:rsid w:val="00904BA0"/>
    <w:pPr>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rossheading">
    <w:name w:val="table crossheading"/>
    <w:basedOn w:val="TableTEXT"/>
    <w:qFormat/>
    <w:rsid w:val="00A32D61"/>
    <w:pPr>
      <w:keepNext/>
      <w:spacing w:before="120" w:after="60"/>
    </w:pPr>
    <w:rPr>
      <w:b/>
    </w:rPr>
  </w:style>
  <w:style w:type="character" w:customStyle="1" w:styleId="CommentTextChar">
    <w:name w:val="Comment Text Char"/>
    <w:link w:val="CommentText"/>
    <w:uiPriority w:val="99"/>
    <w:semiHidden/>
    <w:rsid w:val="002441A6"/>
    <w:rPr>
      <w:rFonts w:ascii="Arial" w:hAnsi="Arial"/>
      <w:lang w:eastAsia="en-US"/>
    </w:rPr>
  </w:style>
  <w:style w:type="character" w:customStyle="1" w:styleId="Heading4Char">
    <w:name w:val="Heading 4 Char"/>
    <w:link w:val="Heading4"/>
    <w:rsid w:val="00C778DD"/>
    <w:rPr>
      <w:rFonts w:ascii="Arial" w:hAnsi="Arial"/>
      <w:sz w:val="22"/>
      <w:lang w:val="en-US" w:eastAsia="en-US"/>
    </w:rPr>
  </w:style>
  <w:style w:type="character" w:customStyle="1" w:styleId="Heading1Char">
    <w:name w:val="Heading 1 Char"/>
    <w:link w:val="Heading1"/>
    <w:uiPriority w:val="9"/>
    <w:rsid w:val="00C97EF2"/>
    <w:rPr>
      <w:rFonts w:ascii="Arial" w:hAnsi="Arial" w:cs="Arial"/>
      <w:sz w:val="36"/>
      <w:szCs w:val="32"/>
    </w:rPr>
  </w:style>
  <w:style w:type="character" w:customStyle="1" w:styleId="Heading2Char">
    <w:name w:val="Heading 2 Char"/>
    <w:link w:val="Heading2"/>
    <w:rsid w:val="00C97EF2"/>
    <w:rPr>
      <w:rFonts w:ascii="Arial" w:hAnsi="Arial" w:cs="Arial"/>
      <w:b/>
      <w:iCs/>
      <w:sz w:val="24"/>
      <w:szCs w:val="22"/>
    </w:rPr>
  </w:style>
  <w:style w:type="character" w:customStyle="1" w:styleId="Heading3Char">
    <w:name w:val="Heading 3 Char"/>
    <w:link w:val="Heading3"/>
    <w:rsid w:val="00C97EF2"/>
    <w:rPr>
      <w:rFonts w:ascii="Arial" w:hAnsi="Arial"/>
      <w:b/>
      <w:bCs/>
      <w:iCs/>
      <w:szCs w:val="26"/>
      <w:lang w:eastAsia="en-US"/>
    </w:rPr>
  </w:style>
  <w:style w:type="paragraph" w:customStyle="1" w:styleId="DocumentTitleSub">
    <w:name w:val="Document Title (Sub)"/>
    <w:basedOn w:val="Normal"/>
    <w:uiPriority w:val="99"/>
    <w:rsid w:val="00C778DD"/>
    <w:pPr>
      <w:spacing w:after="480"/>
      <w:jc w:val="center"/>
    </w:pPr>
    <w:rPr>
      <w:rFonts w:cs="Arial"/>
      <w:b/>
      <w:noProof/>
      <w:sz w:val="22"/>
      <w:szCs w:val="22"/>
    </w:rPr>
  </w:style>
  <w:style w:type="paragraph" w:customStyle="1" w:styleId="Heading50">
    <w:name w:val="Heading5"/>
    <w:basedOn w:val="Normal"/>
    <w:uiPriority w:val="99"/>
    <w:rsid w:val="00C778DD"/>
    <w:pPr>
      <w:tabs>
        <w:tab w:val="left" w:pos="4905"/>
        <w:tab w:val="num" w:pos="5902"/>
      </w:tabs>
      <w:spacing w:before="0" w:after="240"/>
      <w:ind w:left="5902" w:hanging="1723"/>
      <w:jc w:val="both"/>
    </w:pPr>
    <w:rPr>
      <w:rFonts w:cs="Arial"/>
      <w:sz w:val="22"/>
      <w:szCs w:val="20"/>
      <w:lang w:val="en-US"/>
    </w:rPr>
  </w:style>
  <w:style w:type="paragraph" w:customStyle="1" w:styleId="Heading60">
    <w:name w:val="Heading6"/>
    <w:basedOn w:val="Normal"/>
    <w:uiPriority w:val="99"/>
    <w:rsid w:val="00C778DD"/>
    <w:pPr>
      <w:tabs>
        <w:tab w:val="num" w:pos="1152"/>
      </w:tabs>
      <w:spacing w:before="0" w:after="240"/>
      <w:ind w:left="1152" w:hanging="1152"/>
      <w:jc w:val="both"/>
    </w:pPr>
    <w:rPr>
      <w:rFonts w:cs="Arial"/>
      <w:sz w:val="22"/>
      <w:szCs w:val="20"/>
      <w:lang w:val="en-US"/>
    </w:rPr>
  </w:style>
  <w:style w:type="paragraph" w:customStyle="1" w:styleId="Bullet">
    <w:name w:val="Bullet"/>
    <w:basedOn w:val="Normal"/>
    <w:link w:val="BulletChar"/>
    <w:rsid w:val="00C778DD"/>
    <w:pPr>
      <w:numPr>
        <w:numId w:val="6"/>
      </w:numPr>
      <w:spacing w:before="0" w:after="120"/>
    </w:pPr>
    <w:rPr>
      <w:noProof/>
      <w:sz w:val="22"/>
      <w:szCs w:val="22"/>
    </w:rPr>
  </w:style>
  <w:style w:type="paragraph" w:customStyle="1" w:styleId="DocumentTitle">
    <w:name w:val="Document Title"/>
    <w:basedOn w:val="Normal"/>
    <w:link w:val="DocumentTitleChar"/>
    <w:uiPriority w:val="99"/>
    <w:rsid w:val="00C778DD"/>
    <w:pPr>
      <w:spacing w:after="120"/>
      <w:jc w:val="center"/>
    </w:pPr>
    <w:rPr>
      <w:b/>
      <w:noProof/>
      <w:sz w:val="22"/>
      <w:szCs w:val="22"/>
    </w:rPr>
  </w:style>
  <w:style w:type="character" w:customStyle="1" w:styleId="DocumentTitleChar">
    <w:name w:val="Document Title Char"/>
    <w:link w:val="DocumentTitle"/>
    <w:uiPriority w:val="99"/>
    <w:locked/>
    <w:rsid w:val="00C778DD"/>
    <w:rPr>
      <w:rFonts w:ascii="Arial" w:hAnsi="Arial" w:cs="Arial"/>
      <w:b/>
      <w:noProof/>
      <w:sz w:val="22"/>
      <w:szCs w:val="22"/>
      <w:lang w:eastAsia="en-US"/>
    </w:rPr>
  </w:style>
  <w:style w:type="character" w:customStyle="1" w:styleId="BulletChar">
    <w:name w:val="Bullet Char"/>
    <w:link w:val="Bullet"/>
    <w:locked/>
    <w:rsid w:val="00C778DD"/>
    <w:rPr>
      <w:rFonts w:ascii="Arial" w:hAnsi="Arial"/>
      <w:noProof/>
      <w:sz w:val="22"/>
      <w:szCs w:val="22"/>
      <w:lang w:eastAsia="en-US"/>
    </w:rPr>
  </w:style>
  <w:style w:type="paragraph" w:styleId="BodyText">
    <w:name w:val="Body Text"/>
    <w:basedOn w:val="Normal"/>
    <w:link w:val="BodyTextChar"/>
    <w:qFormat/>
    <w:rsid w:val="00C97EF2"/>
    <w:pPr>
      <w:spacing w:after="120"/>
      <w:jc w:val="both"/>
    </w:pPr>
    <w:rPr>
      <w:lang w:eastAsia="en-AU"/>
    </w:rPr>
  </w:style>
  <w:style w:type="character" w:customStyle="1" w:styleId="BodyTextChar">
    <w:name w:val="Body Text Char"/>
    <w:link w:val="BodyText"/>
    <w:rsid w:val="00C97EF2"/>
    <w:rPr>
      <w:rFonts w:ascii="Arial" w:hAnsi="Arial"/>
      <w:szCs w:val="24"/>
    </w:rPr>
  </w:style>
  <w:style w:type="paragraph" w:customStyle="1" w:styleId="Heading2numbered">
    <w:name w:val="Heading 2 numbered"/>
    <w:basedOn w:val="Heading2"/>
    <w:next w:val="Normal"/>
    <w:rsid w:val="000F5341"/>
    <w:pPr>
      <w:tabs>
        <w:tab w:val="num" w:pos="357"/>
      </w:tabs>
      <w:spacing w:after="60"/>
      <w:ind w:left="357" w:hanging="357"/>
    </w:pPr>
  </w:style>
  <w:style w:type="paragraph" w:customStyle="1" w:styleId="TableRow">
    <w:name w:val="Table Row"/>
    <w:basedOn w:val="BodyText"/>
    <w:link w:val="TableRowChar"/>
    <w:rsid w:val="001907FB"/>
    <w:pPr>
      <w:spacing w:before="40" w:after="40"/>
    </w:pPr>
    <w:rPr>
      <w:sz w:val="18"/>
      <w:szCs w:val="20"/>
    </w:rPr>
  </w:style>
  <w:style w:type="character" w:customStyle="1" w:styleId="TableRowChar">
    <w:name w:val="Table Row Char"/>
    <w:link w:val="TableRow"/>
    <w:rsid w:val="001907FB"/>
    <w:rPr>
      <w:rFonts w:ascii="Arial" w:hAnsi="Arial"/>
      <w:sz w:val="18"/>
    </w:rPr>
  </w:style>
  <w:style w:type="numbering" w:customStyle="1" w:styleId="NoList1">
    <w:name w:val="No List1"/>
    <w:next w:val="NoList"/>
    <w:uiPriority w:val="99"/>
    <w:semiHidden/>
    <w:unhideWhenUsed/>
    <w:rsid w:val="00A112CA"/>
  </w:style>
  <w:style w:type="character" w:customStyle="1" w:styleId="CommentSubjectChar">
    <w:name w:val="Comment Subject Char"/>
    <w:link w:val="CommentSubject"/>
    <w:uiPriority w:val="99"/>
    <w:semiHidden/>
    <w:rsid w:val="00A112CA"/>
    <w:rPr>
      <w:rFonts w:ascii="Arial" w:hAnsi="Arial"/>
      <w:b/>
      <w:bCs/>
      <w:lang w:eastAsia="en-US"/>
    </w:rPr>
  </w:style>
  <w:style w:type="character" w:customStyle="1" w:styleId="BalloonTextChar">
    <w:name w:val="Balloon Text Char"/>
    <w:link w:val="BalloonText"/>
    <w:uiPriority w:val="99"/>
    <w:semiHidden/>
    <w:rsid w:val="00A112CA"/>
    <w:rPr>
      <w:rFonts w:ascii="Tahoma" w:hAnsi="Tahoma" w:cs="Tahoma"/>
      <w:sz w:val="16"/>
      <w:szCs w:val="16"/>
      <w:lang w:eastAsia="en-US"/>
    </w:rPr>
  </w:style>
  <w:style w:type="paragraph" w:styleId="TOCHeading">
    <w:name w:val="TOC Heading"/>
    <w:basedOn w:val="Heading1"/>
    <w:next w:val="Normal"/>
    <w:uiPriority w:val="39"/>
    <w:semiHidden/>
    <w:unhideWhenUsed/>
    <w:qFormat/>
    <w:rsid w:val="008B6870"/>
    <w:pPr>
      <w:keepLines/>
      <w:spacing w:before="480" w:after="0" w:line="276" w:lineRule="auto"/>
      <w:outlineLvl w:val="9"/>
    </w:pPr>
    <w:rPr>
      <w:rFonts w:ascii="Cambria" w:eastAsia="MS Gothic" w:hAnsi="Cambria" w:cs="MoolBoran"/>
      <w:bCs/>
      <w:color w:val="365F91"/>
      <w:sz w:val="28"/>
      <w:szCs w:val="28"/>
      <w:lang w:val="en-US" w:eastAsia="ja-JP"/>
    </w:rPr>
  </w:style>
  <w:style w:type="paragraph" w:customStyle="1" w:styleId="TableAlpha">
    <w:name w:val="Table Alpha"/>
    <w:basedOn w:val="Normal"/>
    <w:rsid w:val="003573BE"/>
    <w:pPr>
      <w:numPr>
        <w:numId w:val="7"/>
      </w:numPr>
      <w:spacing w:before="60" w:after="60"/>
    </w:pPr>
    <w:rPr>
      <w:rFonts w:cs="Arial"/>
      <w:szCs w:val="20"/>
      <w:lang w:eastAsia="en-AU"/>
    </w:rPr>
  </w:style>
  <w:style w:type="paragraph" w:customStyle="1" w:styleId="TableBullet">
    <w:name w:val="Table Bullet"/>
    <w:basedOn w:val="Normal"/>
    <w:rsid w:val="003573BE"/>
    <w:pPr>
      <w:numPr>
        <w:numId w:val="8"/>
      </w:numPr>
      <w:spacing w:before="60" w:after="60"/>
    </w:pPr>
    <w:rPr>
      <w:lang w:eastAsia="en-AU"/>
    </w:rPr>
  </w:style>
  <w:style w:type="paragraph" w:customStyle="1" w:styleId="Tableroman">
    <w:name w:val="Table roman"/>
    <w:rsid w:val="003573BE"/>
    <w:pPr>
      <w:numPr>
        <w:numId w:val="9"/>
      </w:numPr>
      <w:spacing w:before="60" w:after="60"/>
    </w:pPr>
    <w:rPr>
      <w:rFonts w:ascii="Arial" w:hAnsi="Arial"/>
      <w:szCs w:val="24"/>
    </w:rPr>
  </w:style>
  <w:style w:type="character" w:customStyle="1" w:styleId="Heading6Char">
    <w:name w:val="Heading 6 Char"/>
    <w:link w:val="Heading6"/>
    <w:rsid w:val="003573BE"/>
    <w:rPr>
      <w:sz w:val="24"/>
      <w:szCs w:val="24"/>
      <w:lang w:eastAsia="en-US"/>
    </w:rPr>
  </w:style>
  <w:style w:type="character" w:customStyle="1" w:styleId="Heading7Char">
    <w:name w:val="Heading 7 Char"/>
    <w:link w:val="Heading7"/>
    <w:rsid w:val="003573BE"/>
    <w:rPr>
      <w:sz w:val="24"/>
      <w:szCs w:val="24"/>
      <w:lang w:eastAsia="en-US"/>
    </w:rPr>
  </w:style>
  <w:style w:type="character" w:customStyle="1" w:styleId="Heading8Char">
    <w:name w:val="Heading 8 Char"/>
    <w:link w:val="Heading8"/>
    <w:rsid w:val="003573BE"/>
    <w:rPr>
      <w:sz w:val="24"/>
      <w:szCs w:val="24"/>
      <w:lang w:eastAsia="en-US"/>
    </w:rPr>
  </w:style>
  <w:style w:type="character" w:customStyle="1" w:styleId="Heading9Char">
    <w:name w:val="Heading 9 Char"/>
    <w:link w:val="Heading9"/>
    <w:rsid w:val="003573BE"/>
    <w:rPr>
      <w:sz w:val="24"/>
      <w:szCs w:val="24"/>
      <w:lang w:eastAsia="en-US"/>
    </w:rPr>
  </w:style>
  <w:style w:type="character" w:customStyle="1" w:styleId="Heading6Char1">
    <w:name w:val="Heading 6 Char1"/>
    <w:semiHidden/>
    <w:rsid w:val="003573BE"/>
    <w:rPr>
      <w:rFonts w:ascii="Cambria" w:eastAsia="MS Gothic" w:hAnsi="Cambria" w:cs="MoolBoran"/>
      <w:i/>
      <w:iCs/>
      <w:color w:val="243F60"/>
      <w:szCs w:val="24"/>
      <w:lang w:eastAsia="en-US"/>
    </w:rPr>
  </w:style>
  <w:style w:type="character" w:customStyle="1" w:styleId="Heading7Char1">
    <w:name w:val="Heading 7 Char1"/>
    <w:semiHidden/>
    <w:rsid w:val="003573BE"/>
    <w:rPr>
      <w:rFonts w:ascii="Cambria" w:eastAsia="MS Gothic" w:hAnsi="Cambria" w:cs="MoolBoran"/>
      <w:i/>
      <w:iCs/>
      <w:color w:val="404040"/>
      <w:szCs w:val="24"/>
      <w:lang w:eastAsia="en-US"/>
    </w:rPr>
  </w:style>
  <w:style w:type="character" w:customStyle="1" w:styleId="Heading8Char1">
    <w:name w:val="Heading 8 Char1"/>
    <w:semiHidden/>
    <w:rsid w:val="003573BE"/>
    <w:rPr>
      <w:rFonts w:ascii="Cambria" w:eastAsia="MS Gothic" w:hAnsi="Cambria" w:cs="MoolBoran"/>
      <w:color w:val="404040"/>
      <w:lang w:eastAsia="en-US"/>
    </w:rPr>
  </w:style>
  <w:style w:type="character" w:customStyle="1" w:styleId="Heading9Char1">
    <w:name w:val="Heading 9 Char1"/>
    <w:semiHidden/>
    <w:rsid w:val="003573BE"/>
    <w:rPr>
      <w:rFonts w:ascii="Cambria" w:eastAsia="MS Gothic" w:hAnsi="Cambria" w:cs="MoolBoran"/>
      <w:i/>
      <w:iCs/>
      <w:color w:val="404040"/>
      <w:lang w:eastAsia="en-US"/>
    </w:rPr>
  </w:style>
  <w:style w:type="character" w:styleId="Strong">
    <w:name w:val="Strong"/>
    <w:rsid w:val="006F2D00"/>
    <w:rPr>
      <w:b/>
      <w:bCs/>
    </w:rPr>
  </w:style>
  <w:style w:type="paragraph" w:customStyle="1" w:styleId="Default">
    <w:name w:val="Default"/>
    <w:rsid w:val="00D91B81"/>
    <w:pPr>
      <w:autoSpaceDE w:val="0"/>
      <w:autoSpaceDN w:val="0"/>
      <w:adjustRightInd w:val="0"/>
    </w:pPr>
    <w:rPr>
      <w:rFonts w:ascii="Arial Narrow" w:hAnsi="Arial Narrow" w:cs="Arial Narrow"/>
      <w:color w:val="000000"/>
      <w:sz w:val="24"/>
      <w:szCs w:val="24"/>
      <w:lang w:bidi="km-KH"/>
    </w:rPr>
  </w:style>
  <w:style w:type="paragraph" w:customStyle="1" w:styleId="Table-normal-text">
    <w:name w:val="Table-normal-text"/>
    <w:basedOn w:val="Normal"/>
    <w:rsid w:val="000F5341"/>
    <w:pPr>
      <w:spacing w:before="60"/>
    </w:pPr>
  </w:style>
  <w:style w:type="paragraph" w:styleId="ListParagraph">
    <w:name w:val="List Paragraph"/>
    <w:aliases w:val="List Paragraph1,Recommendation,List Paragraph11,List Paragraph2,Bulit List -  Paragraph,AusAID List Paragraph,Bullet text"/>
    <w:basedOn w:val="Normal"/>
    <w:link w:val="ListParagraphChar"/>
    <w:uiPriority w:val="34"/>
    <w:qFormat/>
    <w:rsid w:val="000F5341"/>
    <w:pPr>
      <w:spacing w:before="0" w:after="200" w:line="276" w:lineRule="auto"/>
      <w:ind w:left="720"/>
      <w:contextualSpacing/>
    </w:pPr>
    <w:rPr>
      <w:rFonts w:ascii="Calibri" w:eastAsia="Calibri" w:hAnsi="Calibri"/>
      <w:sz w:val="22"/>
      <w:szCs w:val="22"/>
    </w:rPr>
  </w:style>
  <w:style w:type="paragraph" w:customStyle="1" w:styleId="Bulletedlist">
    <w:name w:val="Bulleted list"/>
    <w:basedOn w:val="Normal"/>
    <w:rsid w:val="00D04A5D"/>
    <w:pPr>
      <w:numPr>
        <w:numId w:val="10"/>
      </w:numPr>
      <w:spacing w:before="0" w:after="120" w:line="300" w:lineRule="atLeast"/>
      <w:jc w:val="both"/>
    </w:pPr>
    <w:rPr>
      <w:rFonts w:cs="Arial"/>
      <w:szCs w:val="20"/>
      <w:lang w:eastAsia="en-AU"/>
    </w:rPr>
  </w:style>
  <w:style w:type="paragraph" w:styleId="Revision">
    <w:name w:val="Revision"/>
    <w:hidden/>
    <w:uiPriority w:val="99"/>
    <w:rsid w:val="00D04A5D"/>
    <w:rPr>
      <w:rFonts w:ascii="Calibri" w:eastAsia="MS Mincho" w:hAnsi="Calibri" w:cs="DaunPenh"/>
      <w:sz w:val="24"/>
      <w:szCs w:val="24"/>
      <w:lang w:val="en-US" w:eastAsia="en-US"/>
    </w:rPr>
  </w:style>
  <w:style w:type="character" w:customStyle="1" w:styleId="Heading5Char">
    <w:name w:val="Heading 5 Char"/>
    <w:link w:val="Heading5"/>
    <w:rsid w:val="000F7B76"/>
    <w:rPr>
      <w:sz w:val="24"/>
      <w:szCs w:val="24"/>
      <w:lang w:eastAsia="en-US"/>
    </w:rPr>
  </w:style>
  <w:style w:type="character" w:customStyle="1" w:styleId="FooterChar1">
    <w:name w:val="Footer Char1"/>
    <w:locked/>
    <w:rsid w:val="000F7B76"/>
    <w:rPr>
      <w:rFonts w:ascii="Times New Roman" w:eastAsia="Times New Roman" w:hAnsi="Times New Roman" w:cs="Times New Roman"/>
      <w:sz w:val="24"/>
      <w:szCs w:val="24"/>
    </w:rPr>
  </w:style>
  <w:style w:type="character" w:customStyle="1" w:styleId="CommentTextChar1">
    <w:name w:val="Comment Text Char1"/>
    <w:semiHidden/>
    <w:locked/>
    <w:rsid w:val="000F7B76"/>
    <w:rPr>
      <w:rFonts w:ascii="Times New Roman" w:eastAsia="Times New Roman" w:hAnsi="Times New Roman" w:cs="Times New Roman"/>
      <w:sz w:val="24"/>
      <w:szCs w:val="24"/>
    </w:rPr>
  </w:style>
  <w:style w:type="paragraph" w:customStyle="1" w:styleId="CONHeading">
    <w:name w:val=".CON  Heading"/>
    <w:basedOn w:val="Normal"/>
    <w:rsid w:val="000F7B76"/>
    <w:pPr>
      <w:widowControl w:val="0"/>
      <w:adjustRightInd w:val="0"/>
      <w:spacing w:before="720"/>
      <w:jc w:val="center"/>
      <w:textAlignment w:val="baseline"/>
      <w:outlineLvl w:val="0"/>
    </w:pPr>
    <w:rPr>
      <w:rFonts w:ascii="Times New Roman" w:hAnsi="Times New Roman"/>
      <w:b/>
      <w:bCs/>
      <w:caps/>
      <w:sz w:val="24"/>
    </w:rPr>
  </w:style>
  <w:style w:type="paragraph" w:customStyle="1" w:styleId="CONLevel1">
    <w:name w:val=".CON  Level   1."/>
    <w:basedOn w:val="Normal"/>
    <w:next w:val="Normal"/>
    <w:link w:val="CONLevel1Char"/>
    <w:rsid w:val="000F7B76"/>
    <w:pPr>
      <w:keepNext/>
      <w:tabs>
        <w:tab w:val="num" w:pos="720"/>
      </w:tabs>
      <w:spacing w:before="240"/>
      <w:ind w:left="720" w:hanging="720"/>
      <w:outlineLvl w:val="1"/>
    </w:pPr>
    <w:rPr>
      <w:rFonts w:ascii="Times New Roman" w:hAnsi="Times New Roman"/>
      <w:b/>
      <w:sz w:val="24"/>
      <w:szCs w:val="22"/>
    </w:rPr>
  </w:style>
  <w:style w:type="paragraph" w:customStyle="1" w:styleId="CONLevel11">
    <w:name w:val=".CON  Level   1.1"/>
    <w:basedOn w:val="Normal"/>
    <w:next w:val="Normal"/>
    <w:link w:val="CONLevel11Char"/>
    <w:rsid w:val="000F7B76"/>
    <w:pPr>
      <w:tabs>
        <w:tab w:val="num" w:pos="720"/>
      </w:tabs>
      <w:spacing w:before="240"/>
      <w:ind w:left="720" w:hanging="706"/>
      <w:outlineLvl w:val="2"/>
    </w:pPr>
    <w:rPr>
      <w:rFonts w:ascii="Times New Roman" w:hAnsi="Times New Roman"/>
      <w:sz w:val="24"/>
      <w:szCs w:val="22"/>
    </w:rPr>
  </w:style>
  <w:style w:type="paragraph" w:customStyle="1" w:styleId="CONLevela">
    <w:name w:val=".CON  Level  (a)"/>
    <w:basedOn w:val="Normal"/>
    <w:next w:val="Normal"/>
    <w:link w:val="CONLevelaChar"/>
    <w:rsid w:val="000F7B76"/>
    <w:pPr>
      <w:tabs>
        <w:tab w:val="num" w:pos="1440"/>
      </w:tabs>
      <w:spacing w:before="240"/>
      <w:ind w:left="1440" w:hanging="720"/>
      <w:outlineLvl w:val="3"/>
    </w:pPr>
    <w:rPr>
      <w:rFonts w:ascii="Times New Roman" w:hAnsi="Times New Roman"/>
      <w:sz w:val="24"/>
      <w:szCs w:val="22"/>
    </w:rPr>
  </w:style>
  <w:style w:type="paragraph" w:customStyle="1" w:styleId="CONLeveli">
    <w:name w:val=".CON  Level  (i)"/>
    <w:basedOn w:val="Normal"/>
    <w:next w:val="Normal"/>
    <w:rsid w:val="000F7B76"/>
    <w:pPr>
      <w:tabs>
        <w:tab w:val="num" w:pos="2160"/>
      </w:tabs>
      <w:spacing w:before="240"/>
      <w:ind w:left="2160" w:hanging="720"/>
      <w:outlineLvl w:val="4"/>
    </w:pPr>
    <w:rPr>
      <w:rFonts w:ascii="Times New Roman" w:hAnsi="Times New Roman"/>
      <w:sz w:val="24"/>
      <w:szCs w:val="22"/>
    </w:rPr>
  </w:style>
  <w:style w:type="paragraph" w:customStyle="1" w:styleId="CONLevelA0">
    <w:name w:val=".CON  Level (A)"/>
    <w:basedOn w:val="Normal"/>
    <w:next w:val="Normal"/>
    <w:rsid w:val="000F7B76"/>
    <w:pPr>
      <w:tabs>
        <w:tab w:val="num" w:pos="2880"/>
      </w:tabs>
      <w:spacing w:before="240"/>
      <w:ind w:left="2880" w:hanging="720"/>
      <w:outlineLvl w:val="5"/>
    </w:pPr>
    <w:rPr>
      <w:rFonts w:ascii="Times New Roman" w:hAnsi="Times New Roman"/>
      <w:sz w:val="24"/>
      <w:szCs w:val="22"/>
    </w:rPr>
  </w:style>
  <w:style w:type="paragraph" w:customStyle="1" w:styleId="CONLevelI0">
    <w:name w:val=".CON  Level (I)"/>
    <w:basedOn w:val="Normal"/>
    <w:next w:val="Normal"/>
    <w:rsid w:val="000F7B76"/>
    <w:pPr>
      <w:tabs>
        <w:tab w:val="num" w:pos="3600"/>
      </w:tabs>
      <w:spacing w:before="240"/>
      <w:ind w:left="3600" w:hanging="720"/>
      <w:outlineLvl w:val="6"/>
    </w:pPr>
    <w:rPr>
      <w:rFonts w:ascii="Times New Roman" w:hAnsi="Times New Roman"/>
      <w:sz w:val="24"/>
      <w:szCs w:val="22"/>
    </w:rPr>
  </w:style>
  <w:style w:type="character" w:customStyle="1" w:styleId="CONLevel11Char">
    <w:name w:val=".CON  Level   1.1 Char"/>
    <w:link w:val="CONLevel11"/>
    <w:locked/>
    <w:rsid w:val="000F7B76"/>
    <w:rPr>
      <w:sz w:val="24"/>
      <w:szCs w:val="22"/>
      <w:lang w:eastAsia="en-US"/>
    </w:rPr>
  </w:style>
  <w:style w:type="paragraph" w:customStyle="1" w:styleId="Leveli">
    <w:name w:val="Level (i)"/>
    <w:basedOn w:val="Normal"/>
    <w:rsid w:val="000F7B76"/>
    <w:pPr>
      <w:tabs>
        <w:tab w:val="num" w:pos="2160"/>
      </w:tabs>
      <w:spacing w:before="240"/>
      <w:ind w:left="2160" w:hanging="720"/>
    </w:pPr>
    <w:rPr>
      <w:rFonts w:ascii="Times New Roman" w:hAnsi="Times New Roman"/>
      <w:sz w:val="24"/>
      <w:szCs w:val="22"/>
    </w:rPr>
  </w:style>
  <w:style w:type="character" w:customStyle="1" w:styleId="CONLevel1Char">
    <w:name w:val=".CON  Level   1. Char"/>
    <w:link w:val="CONLevel1"/>
    <w:locked/>
    <w:rsid w:val="000F7B76"/>
    <w:rPr>
      <w:b/>
      <w:sz w:val="24"/>
      <w:szCs w:val="22"/>
      <w:lang w:eastAsia="en-US"/>
    </w:rPr>
  </w:style>
  <w:style w:type="character" w:customStyle="1" w:styleId="ListParagraphChar">
    <w:name w:val="List Paragraph Char"/>
    <w:aliases w:val="List Paragraph1 Char,Recommendation Char,List Paragraph11 Char,List Paragraph2 Char,Bulit List -  Paragraph Char,AusAID List Paragraph Char,Bullet text Char"/>
    <w:link w:val="ListParagraph"/>
    <w:uiPriority w:val="34"/>
    <w:locked/>
    <w:rsid w:val="000F5341"/>
    <w:rPr>
      <w:rFonts w:ascii="Calibri" w:eastAsia="Calibri" w:hAnsi="Calibri"/>
      <w:sz w:val="22"/>
      <w:szCs w:val="22"/>
      <w:lang w:eastAsia="en-US"/>
    </w:rPr>
  </w:style>
  <w:style w:type="paragraph" w:customStyle="1" w:styleId="Levelifo">
    <w:name w:val="Level (i)fo"/>
    <w:basedOn w:val="Normal"/>
    <w:rsid w:val="000F7B76"/>
    <w:pPr>
      <w:widowControl w:val="0"/>
      <w:adjustRightInd w:val="0"/>
      <w:spacing w:before="240"/>
      <w:ind w:left="2160"/>
      <w:jc w:val="both"/>
      <w:textAlignment w:val="baseline"/>
    </w:pPr>
    <w:rPr>
      <w:rFonts w:ascii="Times New Roman" w:hAnsi="Times New Roman"/>
      <w:sz w:val="24"/>
    </w:rPr>
  </w:style>
  <w:style w:type="paragraph" w:customStyle="1" w:styleId="LevelA">
    <w:name w:val="Level (A)"/>
    <w:basedOn w:val="Normal"/>
    <w:next w:val="LevelAfo"/>
    <w:rsid w:val="000F7B76"/>
    <w:pPr>
      <w:widowControl w:val="0"/>
      <w:adjustRightInd w:val="0"/>
      <w:spacing w:before="240"/>
      <w:ind w:left="2880" w:hanging="720"/>
      <w:jc w:val="both"/>
      <w:textAlignment w:val="baseline"/>
    </w:pPr>
    <w:rPr>
      <w:rFonts w:ascii="Times New Roman" w:hAnsi="Times New Roman"/>
      <w:sz w:val="24"/>
    </w:rPr>
  </w:style>
  <w:style w:type="paragraph" w:customStyle="1" w:styleId="LevelAfo">
    <w:name w:val="Level (A)fo"/>
    <w:basedOn w:val="Normal"/>
    <w:rsid w:val="000F7B76"/>
    <w:pPr>
      <w:widowControl w:val="0"/>
      <w:adjustRightInd w:val="0"/>
      <w:spacing w:before="240"/>
      <w:ind w:left="2880"/>
      <w:jc w:val="both"/>
      <w:textAlignment w:val="baseline"/>
    </w:pPr>
    <w:rPr>
      <w:rFonts w:ascii="Times New Roman" w:hAnsi="Times New Roman"/>
      <w:sz w:val="24"/>
    </w:rPr>
  </w:style>
  <w:style w:type="paragraph" w:customStyle="1" w:styleId="LevelI0">
    <w:name w:val="Level (I)"/>
    <w:basedOn w:val="Normal"/>
    <w:next w:val="LevelIfo0"/>
    <w:rsid w:val="000F7B76"/>
    <w:pPr>
      <w:widowControl w:val="0"/>
      <w:adjustRightInd w:val="0"/>
      <w:spacing w:before="240"/>
      <w:ind w:left="3600" w:hanging="720"/>
      <w:jc w:val="both"/>
      <w:textAlignment w:val="baseline"/>
    </w:pPr>
    <w:rPr>
      <w:rFonts w:ascii="Times New Roman" w:hAnsi="Times New Roman"/>
      <w:sz w:val="24"/>
    </w:rPr>
  </w:style>
  <w:style w:type="paragraph" w:customStyle="1" w:styleId="LevelIfo0">
    <w:name w:val="Level (I)fo"/>
    <w:basedOn w:val="Normal"/>
    <w:rsid w:val="000F7B76"/>
    <w:pPr>
      <w:widowControl w:val="0"/>
      <w:adjustRightInd w:val="0"/>
      <w:spacing w:before="240"/>
      <w:ind w:left="3600"/>
      <w:jc w:val="both"/>
      <w:textAlignment w:val="baseline"/>
    </w:pPr>
    <w:rPr>
      <w:rFonts w:ascii="Times New Roman" w:hAnsi="Times New Roman"/>
      <w:sz w:val="24"/>
    </w:rPr>
  </w:style>
  <w:style w:type="paragraph" w:styleId="TOC8">
    <w:name w:val="toc 8"/>
    <w:basedOn w:val="Normal"/>
    <w:next w:val="Normal"/>
    <w:uiPriority w:val="39"/>
    <w:rsid w:val="000F7B76"/>
    <w:pPr>
      <w:widowControl w:val="0"/>
      <w:tabs>
        <w:tab w:val="right" w:pos="9000"/>
      </w:tabs>
      <w:adjustRightInd w:val="0"/>
      <w:spacing w:before="0"/>
      <w:ind w:left="5040" w:right="907" w:hanging="720"/>
      <w:jc w:val="both"/>
      <w:textAlignment w:val="baseline"/>
    </w:pPr>
    <w:rPr>
      <w:rFonts w:ascii="Times New Roman" w:hAnsi="Times New Roman"/>
      <w:sz w:val="24"/>
    </w:rPr>
  </w:style>
  <w:style w:type="paragraph" w:styleId="TOC7">
    <w:name w:val="toc 7"/>
    <w:basedOn w:val="Normal"/>
    <w:next w:val="Normal"/>
    <w:uiPriority w:val="39"/>
    <w:rsid w:val="000F7B76"/>
    <w:pPr>
      <w:widowControl w:val="0"/>
      <w:tabs>
        <w:tab w:val="right" w:pos="9000"/>
      </w:tabs>
      <w:adjustRightInd w:val="0"/>
      <w:spacing w:before="0"/>
      <w:ind w:left="4320" w:right="907" w:hanging="720"/>
      <w:jc w:val="both"/>
      <w:textAlignment w:val="baseline"/>
    </w:pPr>
    <w:rPr>
      <w:rFonts w:ascii="Times New Roman" w:hAnsi="Times New Roman"/>
      <w:sz w:val="24"/>
    </w:rPr>
  </w:style>
  <w:style w:type="paragraph" w:styleId="TOC6">
    <w:name w:val="toc 6"/>
    <w:basedOn w:val="Normal"/>
    <w:next w:val="Normal"/>
    <w:uiPriority w:val="39"/>
    <w:rsid w:val="000F7B76"/>
    <w:pPr>
      <w:widowControl w:val="0"/>
      <w:tabs>
        <w:tab w:val="right" w:pos="9000"/>
      </w:tabs>
      <w:adjustRightInd w:val="0"/>
      <w:spacing w:before="0"/>
      <w:ind w:left="3600" w:right="907" w:hanging="720"/>
      <w:jc w:val="both"/>
      <w:textAlignment w:val="baseline"/>
    </w:pPr>
    <w:rPr>
      <w:rFonts w:ascii="Times New Roman" w:hAnsi="Times New Roman"/>
      <w:sz w:val="24"/>
    </w:rPr>
  </w:style>
  <w:style w:type="paragraph" w:styleId="TOC5">
    <w:name w:val="toc 5"/>
    <w:basedOn w:val="Normal"/>
    <w:next w:val="Normal"/>
    <w:uiPriority w:val="39"/>
    <w:rsid w:val="000F7B76"/>
    <w:pPr>
      <w:widowControl w:val="0"/>
      <w:tabs>
        <w:tab w:val="right" w:pos="9000"/>
      </w:tabs>
      <w:adjustRightInd w:val="0"/>
      <w:spacing w:before="0"/>
      <w:ind w:left="2880" w:right="907" w:hanging="720"/>
      <w:jc w:val="both"/>
      <w:textAlignment w:val="baseline"/>
    </w:pPr>
    <w:rPr>
      <w:rFonts w:ascii="Times New Roman" w:hAnsi="Times New Roman"/>
      <w:sz w:val="24"/>
    </w:rPr>
  </w:style>
  <w:style w:type="paragraph" w:styleId="TOC4">
    <w:name w:val="toc 4"/>
    <w:basedOn w:val="Normal"/>
    <w:next w:val="Normal"/>
    <w:uiPriority w:val="39"/>
    <w:rsid w:val="000F7B76"/>
    <w:pPr>
      <w:widowControl w:val="0"/>
      <w:tabs>
        <w:tab w:val="right" w:pos="9000"/>
      </w:tabs>
      <w:adjustRightInd w:val="0"/>
      <w:spacing w:before="0"/>
      <w:ind w:left="2160" w:right="907" w:hanging="720"/>
      <w:jc w:val="both"/>
      <w:textAlignment w:val="baseline"/>
    </w:pPr>
    <w:rPr>
      <w:rFonts w:ascii="Times New Roman" w:hAnsi="Times New Roman"/>
      <w:sz w:val="24"/>
    </w:rPr>
  </w:style>
  <w:style w:type="paragraph" w:customStyle="1" w:styleId="footnotetextfo">
    <w:name w:val="footnote text fo"/>
    <w:basedOn w:val="FootnoteText"/>
    <w:rsid w:val="000F7B76"/>
    <w:pPr>
      <w:widowControl w:val="0"/>
      <w:adjustRightInd w:val="0"/>
      <w:spacing w:before="240"/>
      <w:jc w:val="both"/>
      <w:textAlignment w:val="baseline"/>
    </w:pPr>
    <w:rPr>
      <w:rFonts w:ascii="Times New Roman" w:hAnsi="Times New Roman"/>
    </w:rPr>
  </w:style>
  <w:style w:type="paragraph" w:styleId="TOC9">
    <w:name w:val="toc 9"/>
    <w:basedOn w:val="Normal"/>
    <w:next w:val="Normal"/>
    <w:uiPriority w:val="39"/>
    <w:rsid w:val="000F7B76"/>
    <w:pPr>
      <w:widowControl w:val="0"/>
      <w:tabs>
        <w:tab w:val="right" w:pos="9000"/>
      </w:tabs>
      <w:adjustRightInd w:val="0"/>
      <w:spacing w:before="0"/>
      <w:ind w:left="5760" w:right="907" w:hanging="720"/>
      <w:jc w:val="both"/>
      <w:textAlignment w:val="baseline"/>
    </w:pPr>
    <w:rPr>
      <w:rFonts w:ascii="Times New Roman" w:hAnsi="Times New Roman"/>
      <w:sz w:val="24"/>
    </w:rPr>
  </w:style>
  <w:style w:type="paragraph" w:customStyle="1" w:styleId="Level1">
    <w:name w:val="Level 1."/>
    <w:basedOn w:val="Normal"/>
    <w:next w:val="Level1fo"/>
    <w:rsid w:val="000F7B76"/>
    <w:pPr>
      <w:widowControl w:val="0"/>
      <w:tabs>
        <w:tab w:val="num" w:pos="720"/>
      </w:tabs>
      <w:adjustRightInd w:val="0"/>
      <w:spacing w:before="240"/>
      <w:ind w:left="720" w:hanging="720"/>
      <w:jc w:val="both"/>
      <w:textAlignment w:val="baseline"/>
      <w:outlineLvl w:val="1"/>
    </w:pPr>
    <w:rPr>
      <w:rFonts w:ascii="Times New Roman" w:hAnsi="Times New Roman"/>
      <w:sz w:val="24"/>
    </w:rPr>
  </w:style>
  <w:style w:type="paragraph" w:customStyle="1" w:styleId="Level1fo">
    <w:name w:val="Level 1.fo"/>
    <w:basedOn w:val="Normal"/>
    <w:rsid w:val="000F7B76"/>
    <w:pPr>
      <w:widowControl w:val="0"/>
      <w:adjustRightInd w:val="0"/>
      <w:spacing w:before="240"/>
      <w:ind w:left="720"/>
      <w:jc w:val="both"/>
      <w:textAlignment w:val="baseline"/>
    </w:pPr>
    <w:rPr>
      <w:rFonts w:ascii="Times New Roman" w:hAnsi="Times New Roman"/>
      <w:sz w:val="24"/>
    </w:rPr>
  </w:style>
  <w:style w:type="paragraph" w:customStyle="1" w:styleId="Heading31">
    <w:name w:val="Heading 31"/>
    <w:aliases w:val="Para3"/>
    <w:basedOn w:val="Level11"/>
    <w:next w:val="Level11fo"/>
    <w:rsid w:val="000F7B76"/>
    <w:pPr>
      <w:tabs>
        <w:tab w:val="clear" w:pos="720"/>
      </w:tabs>
      <w:ind w:left="0" w:firstLine="0"/>
    </w:pPr>
  </w:style>
  <w:style w:type="paragraph" w:customStyle="1" w:styleId="Level11">
    <w:name w:val="Level 1.1"/>
    <w:basedOn w:val="Normal"/>
    <w:next w:val="Level11fo"/>
    <w:rsid w:val="000F7B76"/>
    <w:pPr>
      <w:widowControl w:val="0"/>
      <w:tabs>
        <w:tab w:val="num" w:pos="720"/>
      </w:tabs>
      <w:adjustRightInd w:val="0"/>
      <w:spacing w:before="240"/>
      <w:ind w:left="720" w:hanging="706"/>
      <w:jc w:val="both"/>
      <w:textAlignment w:val="baseline"/>
      <w:outlineLvl w:val="2"/>
    </w:pPr>
    <w:rPr>
      <w:rFonts w:ascii="Times New Roman" w:hAnsi="Times New Roman"/>
      <w:sz w:val="24"/>
    </w:rPr>
  </w:style>
  <w:style w:type="paragraph" w:customStyle="1" w:styleId="Level11fo">
    <w:name w:val="Level 1.1fo"/>
    <w:basedOn w:val="Normal"/>
    <w:rsid w:val="000F7B76"/>
    <w:pPr>
      <w:widowControl w:val="0"/>
      <w:adjustRightInd w:val="0"/>
      <w:spacing w:before="240"/>
      <w:ind w:left="720"/>
      <w:jc w:val="both"/>
      <w:textAlignment w:val="baseline"/>
    </w:pPr>
    <w:rPr>
      <w:rFonts w:ascii="Times New Roman" w:hAnsi="Times New Roman"/>
      <w:sz w:val="24"/>
    </w:rPr>
  </w:style>
  <w:style w:type="paragraph" w:customStyle="1" w:styleId="Heading41">
    <w:name w:val="Heading 41"/>
    <w:aliases w:val="Para4"/>
    <w:basedOn w:val="Levela0"/>
    <w:next w:val="Levelafo0"/>
    <w:rsid w:val="000F7B76"/>
  </w:style>
  <w:style w:type="paragraph" w:customStyle="1" w:styleId="Levela0">
    <w:name w:val="Level (a)"/>
    <w:basedOn w:val="Normal"/>
    <w:next w:val="Levelafo0"/>
    <w:rsid w:val="000F7B76"/>
    <w:pPr>
      <w:widowControl w:val="0"/>
      <w:tabs>
        <w:tab w:val="num" w:pos="1440"/>
      </w:tabs>
      <w:adjustRightInd w:val="0"/>
      <w:spacing w:before="240"/>
      <w:ind w:left="1440" w:hanging="720"/>
      <w:jc w:val="both"/>
      <w:textAlignment w:val="baseline"/>
      <w:outlineLvl w:val="3"/>
    </w:pPr>
    <w:rPr>
      <w:rFonts w:ascii="Times New Roman" w:hAnsi="Times New Roman"/>
      <w:sz w:val="24"/>
    </w:rPr>
  </w:style>
  <w:style w:type="paragraph" w:customStyle="1" w:styleId="Levelafo0">
    <w:name w:val="Level (a)fo"/>
    <w:basedOn w:val="Normal"/>
    <w:rsid w:val="000F7B76"/>
    <w:pPr>
      <w:widowControl w:val="0"/>
      <w:adjustRightInd w:val="0"/>
      <w:spacing w:before="240"/>
      <w:ind w:left="1440"/>
      <w:jc w:val="both"/>
      <w:textAlignment w:val="baseline"/>
    </w:pPr>
    <w:rPr>
      <w:rFonts w:ascii="Times New Roman" w:hAnsi="Times New Roman"/>
      <w:sz w:val="24"/>
    </w:rPr>
  </w:style>
  <w:style w:type="paragraph" w:styleId="Subtitle">
    <w:name w:val="Subtitle"/>
    <w:basedOn w:val="Title"/>
    <w:next w:val="Normal"/>
    <w:link w:val="SubtitleChar"/>
    <w:rsid w:val="000F7B76"/>
    <w:pPr>
      <w:jc w:val="left"/>
    </w:pPr>
  </w:style>
  <w:style w:type="character" w:customStyle="1" w:styleId="SubtitleChar">
    <w:name w:val="Subtitle Char"/>
    <w:link w:val="Subtitle"/>
    <w:rsid w:val="000F7B76"/>
    <w:rPr>
      <w:rFonts w:ascii="Frutiger 45 Light" w:hAnsi="Frutiger 45 Light"/>
      <w:b/>
      <w:bCs/>
      <w:sz w:val="24"/>
      <w:szCs w:val="24"/>
    </w:rPr>
  </w:style>
  <w:style w:type="paragraph" w:styleId="Title">
    <w:name w:val="Title"/>
    <w:basedOn w:val="Normal"/>
    <w:next w:val="Normal"/>
    <w:link w:val="TitleChar"/>
    <w:rsid w:val="000F7B76"/>
    <w:pPr>
      <w:widowControl w:val="0"/>
      <w:adjustRightInd w:val="0"/>
      <w:spacing w:before="240"/>
      <w:jc w:val="center"/>
      <w:textAlignment w:val="baseline"/>
      <w:outlineLvl w:val="0"/>
    </w:pPr>
    <w:rPr>
      <w:rFonts w:ascii="Frutiger 45 Light" w:hAnsi="Frutiger 45 Light"/>
      <w:b/>
      <w:bCs/>
      <w:sz w:val="24"/>
    </w:rPr>
  </w:style>
  <w:style w:type="character" w:customStyle="1" w:styleId="TitleChar">
    <w:name w:val="Title Char"/>
    <w:link w:val="Title"/>
    <w:rsid w:val="000F7B76"/>
    <w:rPr>
      <w:rFonts w:ascii="Frutiger 45 Light" w:hAnsi="Frutiger 45 Light"/>
      <w:b/>
      <w:bCs/>
      <w:sz w:val="24"/>
      <w:szCs w:val="24"/>
    </w:rPr>
  </w:style>
  <w:style w:type="paragraph" w:customStyle="1" w:styleId="Style1">
    <w:name w:val="Style1"/>
    <w:basedOn w:val="Normal"/>
    <w:rsid w:val="000F7B76"/>
    <w:pPr>
      <w:widowControl w:val="0"/>
      <w:tabs>
        <w:tab w:val="left" w:pos="1134"/>
      </w:tabs>
      <w:adjustRightInd w:val="0"/>
      <w:spacing w:before="0"/>
      <w:ind w:left="1134" w:hanging="1134"/>
      <w:jc w:val="both"/>
      <w:textAlignment w:val="baseline"/>
    </w:pPr>
    <w:rPr>
      <w:rFonts w:ascii="New York" w:hAnsi="New York"/>
      <w:sz w:val="24"/>
    </w:rPr>
  </w:style>
  <w:style w:type="paragraph" w:customStyle="1" w:styleId="ExecutionClause">
    <w:name w:val="Execution Clause"/>
    <w:basedOn w:val="Normal"/>
    <w:rsid w:val="000F7B76"/>
    <w:pPr>
      <w:widowControl w:val="0"/>
      <w:adjustRightInd w:val="0"/>
      <w:spacing w:before="240" w:after="720"/>
      <w:jc w:val="both"/>
      <w:textAlignment w:val="baseline"/>
    </w:pPr>
    <w:rPr>
      <w:rFonts w:ascii="Times New Roman" w:hAnsi="Times New Roman"/>
      <w:b/>
      <w:bCs/>
      <w:sz w:val="24"/>
    </w:rPr>
  </w:style>
  <w:style w:type="paragraph" w:customStyle="1" w:styleId="cstopsignature">
    <w:name w:val="cstopsignature"/>
    <w:basedOn w:val="Normal"/>
    <w:rsid w:val="000F7B76"/>
    <w:pPr>
      <w:widowControl w:val="0"/>
      <w:pBdr>
        <w:top w:val="single" w:sz="2" w:space="1" w:color="auto"/>
      </w:pBdr>
      <w:adjustRightInd w:val="0"/>
      <w:spacing w:before="2160" w:after="720"/>
      <w:ind w:left="692"/>
      <w:jc w:val="both"/>
      <w:textAlignment w:val="baseline"/>
    </w:pPr>
    <w:rPr>
      <w:rFonts w:ascii="Times New Roman" w:hAnsi="Times New Roman"/>
      <w:szCs w:val="20"/>
    </w:rPr>
  </w:style>
  <w:style w:type="paragraph" w:customStyle="1" w:styleId="leftsignature">
    <w:name w:val="leftsignature"/>
    <w:basedOn w:val="Normal"/>
    <w:rsid w:val="000F7B76"/>
    <w:pPr>
      <w:widowControl w:val="0"/>
      <w:pBdr>
        <w:top w:val="single" w:sz="2" w:space="1" w:color="auto"/>
      </w:pBdr>
      <w:adjustRightInd w:val="0"/>
      <w:spacing w:before="0" w:after="240"/>
      <w:ind w:right="432"/>
      <w:jc w:val="both"/>
      <w:textAlignment w:val="baseline"/>
    </w:pPr>
    <w:rPr>
      <w:rFonts w:ascii="Times New Roman" w:hAnsi="Times New Roman"/>
      <w:szCs w:val="20"/>
    </w:rPr>
  </w:style>
  <w:style w:type="paragraph" w:customStyle="1" w:styleId="topsignature">
    <w:name w:val="topsignature"/>
    <w:basedOn w:val="Normal"/>
    <w:rsid w:val="000F7B76"/>
    <w:pPr>
      <w:widowControl w:val="0"/>
      <w:pBdr>
        <w:top w:val="single" w:sz="2" w:space="1" w:color="auto"/>
      </w:pBdr>
      <w:adjustRightInd w:val="0"/>
      <w:spacing w:before="720" w:after="240"/>
      <w:jc w:val="both"/>
      <w:textAlignment w:val="baseline"/>
    </w:pPr>
    <w:rPr>
      <w:rFonts w:ascii="Times New Roman" w:hAnsi="Times New Roman"/>
      <w:szCs w:val="20"/>
    </w:rPr>
  </w:style>
  <w:style w:type="paragraph" w:customStyle="1" w:styleId="rightsignature">
    <w:name w:val="rightsignature"/>
    <w:basedOn w:val="leftsignature"/>
    <w:next w:val="rightsignaturefo"/>
    <w:rsid w:val="000F7B76"/>
    <w:pPr>
      <w:ind w:right="0"/>
    </w:pPr>
  </w:style>
  <w:style w:type="paragraph" w:customStyle="1" w:styleId="rightsignaturefo">
    <w:name w:val="rightsignaturefo"/>
    <w:basedOn w:val="Normal"/>
    <w:rsid w:val="000F7B76"/>
    <w:pPr>
      <w:widowControl w:val="0"/>
      <w:adjustRightInd w:val="0"/>
      <w:spacing w:before="240"/>
      <w:ind w:left="720"/>
      <w:jc w:val="both"/>
      <w:textAlignment w:val="baseline"/>
    </w:pPr>
    <w:rPr>
      <w:rFonts w:ascii="Times New Roman" w:hAnsi="Times New Roman"/>
      <w:sz w:val="24"/>
    </w:rPr>
  </w:style>
  <w:style w:type="paragraph" w:customStyle="1" w:styleId="csright">
    <w:name w:val="csright"/>
    <w:basedOn w:val="Normal"/>
    <w:rsid w:val="000F7B76"/>
    <w:pPr>
      <w:widowControl w:val="0"/>
      <w:adjustRightInd w:val="0"/>
      <w:spacing w:before="1440" w:after="720"/>
      <w:jc w:val="both"/>
      <w:textAlignment w:val="baseline"/>
    </w:pPr>
    <w:rPr>
      <w:rFonts w:ascii="Times New Roman" w:hAnsi="Times New Roman"/>
      <w:sz w:val="24"/>
    </w:rPr>
  </w:style>
  <w:style w:type="paragraph" w:styleId="PlainText">
    <w:name w:val="Plain Text"/>
    <w:basedOn w:val="Normal"/>
    <w:link w:val="PlainTextChar"/>
    <w:uiPriority w:val="99"/>
    <w:rsid w:val="000F7B76"/>
    <w:pPr>
      <w:widowControl w:val="0"/>
      <w:tabs>
        <w:tab w:val="num" w:pos="2880"/>
      </w:tabs>
      <w:adjustRightInd w:val="0"/>
      <w:spacing w:before="240"/>
      <w:ind w:left="2880" w:hanging="720"/>
      <w:jc w:val="both"/>
      <w:textAlignment w:val="baseline"/>
    </w:pPr>
    <w:rPr>
      <w:rFonts w:ascii="Times New Roman" w:hAnsi="Times New Roman"/>
      <w:sz w:val="24"/>
    </w:rPr>
  </w:style>
  <w:style w:type="character" w:customStyle="1" w:styleId="PlainTextChar">
    <w:name w:val="Plain Text Char"/>
    <w:link w:val="PlainText"/>
    <w:uiPriority w:val="99"/>
    <w:rsid w:val="000F7B76"/>
    <w:rPr>
      <w:sz w:val="24"/>
      <w:szCs w:val="24"/>
    </w:rPr>
  </w:style>
  <w:style w:type="paragraph" w:customStyle="1" w:styleId="LevelA1">
    <w:name w:val="Level(A)"/>
    <w:basedOn w:val="Normal"/>
    <w:next w:val="LevelAfo"/>
    <w:rsid w:val="000F7B76"/>
    <w:pPr>
      <w:widowControl w:val="0"/>
      <w:tabs>
        <w:tab w:val="num" w:pos="3600"/>
      </w:tabs>
      <w:adjustRightInd w:val="0"/>
      <w:spacing w:before="240"/>
      <w:ind w:left="3600" w:hanging="720"/>
      <w:jc w:val="both"/>
      <w:textAlignment w:val="baseline"/>
      <w:outlineLvl w:val="5"/>
    </w:pPr>
    <w:rPr>
      <w:rFonts w:ascii="Times New Roman" w:hAnsi="Times New Roman"/>
      <w:sz w:val="24"/>
    </w:rPr>
  </w:style>
  <w:style w:type="paragraph" w:customStyle="1" w:styleId="LevelI1">
    <w:name w:val="Level(I)"/>
    <w:basedOn w:val="Normal"/>
    <w:next w:val="LevelIfo0"/>
    <w:rsid w:val="000F7B76"/>
    <w:pPr>
      <w:widowControl w:val="0"/>
      <w:tabs>
        <w:tab w:val="num" w:pos="3600"/>
      </w:tabs>
      <w:adjustRightInd w:val="0"/>
      <w:spacing w:before="240"/>
      <w:ind w:left="3600" w:hanging="720"/>
      <w:jc w:val="both"/>
      <w:textAlignment w:val="baseline"/>
      <w:outlineLvl w:val="6"/>
    </w:pPr>
    <w:rPr>
      <w:rFonts w:ascii="Times New Roman" w:hAnsi="Times New Roman"/>
      <w:sz w:val="24"/>
    </w:rPr>
  </w:style>
  <w:style w:type="paragraph" w:customStyle="1" w:styleId="TableHeader0">
    <w:name w:val="Table Header"/>
    <w:basedOn w:val="BodyText"/>
    <w:next w:val="Normal"/>
    <w:rsid w:val="000F5341"/>
    <w:pPr>
      <w:spacing w:before="60" w:after="60"/>
    </w:pPr>
    <w:rPr>
      <w:rFonts w:ascii="Arial Black" w:hAnsi="Arial Black" w:cs="Arial"/>
      <w:sz w:val="18"/>
      <w:szCs w:val="20"/>
      <w:lang w:eastAsia="en-US"/>
    </w:rPr>
  </w:style>
  <w:style w:type="paragraph" w:styleId="BlockText">
    <w:name w:val="Block Text"/>
    <w:basedOn w:val="Normal"/>
    <w:rsid w:val="000F7B76"/>
    <w:pPr>
      <w:widowControl w:val="0"/>
      <w:adjustRightInd w:val="0"/>
      <w:spacing w:before="240"/>
      <w:ind w:left="1440" w:right="1440"/>
      <w:jc w:val="both"/>
      <w:textAlignment w:val="baseline"/>
    </w:pPr>
    <w:rPr>
      <w:rFonts w:ascii="Times New Roman" w:hAnsi="Times New Roman"/>
      <w:sz w:val="24"/>
    </w:rPr>
  </w:style>
  <w:style w:type="paragraph" w:styleId="BodyText2">
    <w:name w:val="Body Text 2"/>
    <w:basedOn w:val="Normal"/>
    <w:link w:val="BodyText2Char"/>
    <w:rsid w:val="000F5341"/>
    <w:pPr>
      <w:spacing w:after="120" w:line="480" w:lineRule="auto"/>
    </w:pPr>
  </w:style>
  <w:style w:type="character" w:customStyle="1" w:styleId="BodyText2Char">
    <w:name w:val="Body Text 2 Char"/>
    <w:basedOn w:val="DefaultParagraphFont"/>
    <w:link w:val="BodyText2"/>
    <w:rsid w:val="000F5341"/>
    <w:rPr>
      <w:rFonts w:ascii="Arial" w:hAnsi="Arial"/>
      <w:szCs w:val="24"/>
      <w:lang w:eastAsia="en-US"/>
    </w:rPr>
  </w:style>
  <w:style w:type="character" w:customStyle="1" w:styleId="Heading2Char1">
    <w:name w:val="Heading 2 Char1"/>
    <w:locked/>
    <w:rsid w:val="000F5341"/>
    <w:rPr>
      <w:rFonts w:ascii="Times New Roman" w:eastAsia="Times New Roman" w:hAnsi="Times New Roman"/>
      <w:sz w:val="24"/>
      <w:szCs w:val="24"/>
    </w:rPr>
  </w:style>
  <w:style w:type="character" w:customStyle="1" w:styleId="BodyTextChar1">
    <w:name w:val="Body Text Char1"/>
    <w:locked/>
    <w:rsid w:val="000F5341"/>
    <w:rPr>
      <w:rFonts w:ascii="Times New Roman" w:eastAsia="Times New Roman" w:hAnsi="Times New Roman"/>
      <w:sz w:val="24"/>
      <w:szCs w:val="24"/>
    </w:rPr>
  </w:style>
  <w:style w:type="paragraph" w:styleId="BodyText3">
    <w:name w:val="Body Text 3"/>
    <w:basedOn w:val="Normal"/>
    <w:link w:val="BodyText3Char"/>
    <w:rsid w:val="000F5341"/>
    <w:pPr>
      <w:widowControl w:val="0"/>
      <w:adjustRightInd w:val="0"/>
      <w:spacing w:before="720" w:line="720" w:lineRule="auto"/>
      <w:jc w:val="both"/>
      <w:textAlignment w:val="baseline"/>
    </w:pPr>
    <w:rPr>
      <w:rFonts w:ascii="Times New Roman" w:hAnsi="Times New Roman"/>
      <w:sz w:val="24"/>
    </w:rPr>
  </w:style>
  <w:style w:type="character" w:customStyle="1" w:styleId="BodyText3Char">
    <w:name w:val="Body Text 3 Char"/>
    <w:basedOn w:val="DefaultParagraphFont"/>
    <w:link w:val="BodyText3"/>
    <w:rsid w:val="000F5341"/>
    <w:rPr>
      <w:sz w:val="24"/>
      <w:szCs w:val="24"/>
    </w:rPr>
  </w:style>
  <w:style w:type="paragraph" w:styleId="BodyTextFirstIndent">
    <w:name w:val="Body Text First Indent"/>
    <w:basedOn w:val="BodyText"/>
    <w:link w:val="BodyTextFirstIndentChar"/>
    <w:rsid w:val="000F5341"/>
    <w:pPr>
      <w:widowControl w:val="0"/>
      <w:adjustRightInd w:val="0"/>
      <w:spacing w:before="240" w:after="0"/>
      <w:ind w:firstLine="720"/>
      <w:textAlignment w:val="baseline"/>
    </w:pPr>
    <w:rPr>
      <w:rFonts w:ascii="Times New Roman" w:hAnsi="Times New Roman"/>
      <w:sz w:val="24"/>
    </w:rPr>
  </w:style>
  <w:style w:type="character" w:customStyle="1" w:styleId="BodyTextFirstIndentChar">
    <w:name w:val="Body Text First Indent Char"/>
    <w:basedOn w:val="BodyTextChar"/>
    <w:link w:val="BodyTextFirstIndent"/>
    <w:rsid w:val="000F5341"/>
    <w:rPr>
      <w:rFonts w:ascii="Arial" w:hAnsi="Arial"/>
      <w:sz w:val="24"/>
      <w:szCs w:val="24"/>
    </w:rPr>
  </w:style>
  <w:style w:type="paragraph" w:styleId="BodyTextIndent">
    <w:name w:val="Body Text Indent"/>
    <w:basedOn w:val="Normal"/>
    <w:link w:val="BodyTextIndentChar"/>
    <w:rsid w:val="000F5341"/>
    <w:pPr>
      <w:widowControl w:val="0"/>
      <w:adjustRightInd w:val="0"/>
      <w:spacing w:before="240"/>
      <w:ind w:left="720"/>
      <w:jc w:val="both"/>
      <w:textAlignment w:val="baseline"/>
    </w:pPr>
    <w:rPr>
      <w:rFonts w:ascii="Times New Roman" w:hAnsi="Times New Roman"/>
      <w:sz w:val="24"/>
    </w:rPr>
  </w:style>
  <w:style w:type="character" w:customStyle="1" w:styleId="BodyTextIndentChar">
    <w:name w:val="Body Text Indent Char"/>
    <w:basedOn w:val="DefaultParagraphFont"/>
    <w:link w:val="BodyTextIndent"/>
    <w:rsid w:val="000F5341"/>
    <w:rPr>
      <w:sz w:val="24"/>
      <w:szCs w:val="24"/>
    </w:rPr>
  </w:style>
  <w:style w:type="paragraph" w:styleId="BodyTextIndent3">
    <w:name w:val="Body Text Indent 3"/>
    <w:basedOn w:val="Normal"/>
    <w:link w:val="BodyTextIndent3Char"/>
    <w:rsid w:val="000F7B76"/>
    <w:pPr>
      <w:widowControl w:val="0"/>
      <w:adjustRightInd w:val="0"/>
      <w:spacing w:before="720" w:line="720" w:lineRule="auto"/>
      <w:ind w:left="720"/>
      <w:jc w:val="both"/>
      <w:textAlignment w:val="baseline"/>
    </w:pPr>
    <w:rPr>
      <w:rFonts w:ascii="Times New Roman" w:hAnsi="Times New Roman"/>
      <w:sz w:val="24"/>
    </w:rPr>
  </w:style>
  <w:style w:type="character" w:customStyle="1" w:styleId="BodyTextIndent3Char">
    <w:name w:val="Body Text Indent 3 Char"/>
    <w:link w:val="BodyTextIndent3"/>
    <w:rsid w:val="000F7B76"/>
    <w:rPr>
      <w:sz w:val="24"/>
      <w:szCs w:val="24"/>
    </w:rPr>
  </w:style>
  <w:style w:type="paragraph" w:styleId="Caption">
    <w:name w:val="caption"/>
    <w:basedOn w:val="Normal"/>
    <w:next w:val="BodyText"/>
    <w:qFormat/>
    <w:rsid w:val="00097002"/>
    <w:pPr>
      <w:keepNext/>
      <w:widowControl w:val="0"/>
      <w:adjustRightInd w:val="0"/>
      <w:spacing w:before="360" w:after="120"/>
      <w:jc w:val="both"/>
      <w:textAlignment w:val="baseline"/>
    </w:pPr>
    <w:rPr>
      <w:b/>
      <w:sz w:val="16"/>
    </w:rPr>
  </w:style>
  <w:style w:type="paragraph" w:styleId="Closing">
    <w:name w:val="Closing"/>
    <w:basedOn w:val="Normal"/>
    <w:link w:val="ClosingChar"/>
    <w:rsid w:val="000F7B76"/>
    <w:pPr>
      <w:widowControl w:val="0"/>
      <w:adjustRightInd w:val="0"/>
      <w:spacing w:before="240"/>
      <w:jc w:val="both"/>
      <w:textAlignment w:val="baseline"/>
    </w:pPr>
    <w:rPr>
      <w:rFonts w:ascii="Times New Roman" w:hAnsi="Times New Roman"/>
      <w:sz w:val="24"/>
    </w:rPr>
  </w:style>
  <w:style w:type="character" w:customStyle="1" w:styleId="ClosingChar">
    <w:name w:val="Closing Char"/>
    <w:link w:val="Closing"/>
    <w:rsid w:val="000F7B76"/>
    <w:rPr>
      <w:sz w:val="24"/>
      <w:szCs w:val="24"/>
    </w:rPr>
  </w:style>
  <w:style w:type="paragraph" w:styleId="DocumentMap">
    <w:name w:val="Document Map"/>
    <w:basedOn w:val="Normal"/>
    <w:link w:val="DocumentMapChar"/>
    <w:rsid w:val="000F7B76"/>
    <w:pPr>
      <w:widowControl w:val="0"/>
      <w:shd w:val="clear" w:color="auto" w:fill="000080"/>
      <w:adjustRightInd w:val="0"/>
      <w:spacing w:before="240"/>
      <w:jc w:val="both"/>
      <w:textAlignment w:val="baseline"/>
    </w:pPr>
    <w:rPr>
      <w:rFonts w:ascii="Times New Roman" w:hAnsi="Times New Roman"/>
      <w:sz w:val="24"/>
    </w:rPr>
  </w:style>
  <w:style w:type="character" w:customStyle="1" w:styleId="DocumentMapChar">
    <w:name w:val="Document Map Char"/>
    <w:link w:val="DocumentMap"/>
    <w:rsid w:val="000F7B76"/>
    <w:rPr>
      <w:sz w:val="24"/>
      <w:szCs w:val="24"/>
      <w:shd w:val="clear" w:color="auto" w:fill="000080"/>
    </w:rPr>
  </w:style>
  <w:style w:type="character" w:styleId="EndnoteReference">
    <w:name w:val="endnote reference"/>
    <w:uiPriority w:val="99"/>
    <w:rsid w:val="000F7B76"/>
    <w:rPr>
      <w:sz w:val="18"/>
      <w:szCs w:val="18"/>
      <w:vertAlign w:val="superscript"/>
    </w:rPr>
  </w:style>
  <w:style w:type="paragraph" w:styleId="EnvelopeAddress">
    <w:name w:val="envelope address"/>
    <w:basedOn w:val="Normal"/>
    <w:rsid w:val="000F7B76"/>
    <w:pPr>
      <w:framePr w:w="7920" w:h="1980" w:hRule="exact" w:hSpace="180" w:wrap="auto" w:hAnchor="page" w:xAlign="center" w:yAlign="bottom"/>
      <w:widowControl w:val="0"/>
      <w:adjustRightInd w:val="0"/>
      <w:spacing w:before="240"/>
      <w:ind w:left="2880"/>
      <w:jc w:val="both"/>
      <w:textAlignment w:val="baseline"/>
    </w:pPr>
    <w:rPr>
      <w:rFonts w:ascii="Times New Roman" w:hAnsi="Times New Roman"/>
      <w:sz w:val="24"/>
    </w:rPr>
  </w:style>
  <w:style w:type="paragraph" w:styleId="EnvelopeReturn">
    <w:name w:val="envelope return"/>
    <w:basedOn w:val="Normal"/>
    <w:rsid w:val="000F7B76"/>
    <w:pPr>
      <w:widowControl w:val="0"/>
      <w:adjustRightInd w:val="0"/>
      <w:spacing w:before="240"/>
      <w:jc w:val="both"/>
      <w:textAlignment w:val="baseline"/>
    </w:pPr>
    <w:rPr>
      <w:rFonts w:ascii="Times New Roman" w:hAnsi="Times New Roman"/>
      <w:sz w:val="24"/>
    </w:rPr>
  </w:style>
  <w:style w:type="paragraph" w:styleId="ListBullet">
    <w:name w:val="List Bullet"/>
    <w:basedOn w:val="Normal"/>
    <w:autoRedefine/>
    <w:rsid w:val="000F7B76"/>
    <w:pPr>
      <w:widowControl w:val="0"/>
      <w:adjustRightInd w:val="0"/>
      <w:spacing w:before="240"/>
      <w:ind w:left="720" w:hanging="720"/>
      <w:jc w:val="both"/>
      <w:textAlignment w:val="baseline"/>
    </w:pPr>
    <w:rPr>
      <w:rFonts w:ascii="Times New Roman" w:hAnsi="Times New Roman"/>
      <w:sz w:val="24"/>
    </w:rPr>
  </w:style>
  <w:style w:type="paragraph" w:styleId="List">
    <w:name w:val="List"/>
    <w:basedOn w:val="Normal"/>
    <w:next w:val="ListContinue"/>
    <w:rsid w:val="000F7B76"/>
    <w:pPr>
      <w:widowControl w:val="0"/>
      <w:adjustRightInd w:val="0"/>
      <w:spacing w:before="240"/>
      <w:ind w:left="720" w:hanging="720"/>
      <w:jc w:val="both"/>
      <w:textAlignment w:val="baseline"/>
    </w:pPr>
    <w:rPr>
      <w:rFonts w:ascii="Times New Roman" w:hAnsi="Times New Roman"/>
      <w:sz w:val="24"/>
    </w:rPr>
  </w:style>
  <w:style w:type="paragraph" w:styleId="ListContinue">
    <w:name w:val="List Continue"/>
    <w:basedOn w:val="Normal"/>
    <w:rsid w:val="000F7B76"/>
    <w:pPr>
      <w:widowControl w:val="0"/>
      <w:adjustRightInd w:val="0"/>
      <w:spacing w:before="240"/>
      <w:ind w:left="720"/>
      <w:jc w:val="both"/>
      <w:textAlignment w:val="baseline"/>
    </w:pPr>
    <w:rPr>
      <w:rFonts w:ascii="Times New Roman" w:hAnsi="Times New Roman"/>
      <w:sz w:val="24"/>
    </w:rPr>
  </w:style>
  <w:style w:type="paragraph" w:styleId="List3">
    <w:name w:val="List 3"/>
    <w:basedOn w:val="Normal"/>
    <w:next w:val="ListContinue3"/>
    <w:rsid w:val="000F7B76"/>
    <w:pPr>
      <w:widowControl w:val="0"/>
      <w:adjustRightInd w:val="0"/>
      <w:spacing w:before="240"/>
      <w:ind w:left="2160" w:hanging="720"/>
      <w:jc w:val="both"/>
      <w:textAlignment w:val="baseline"/>
    </w:pPr>
    <w:rPr>
      <w:rFonts w:ascii="Times New Roman" w:hAnsi="Times New Roman"/>
      <w:sz w:val="24"/>
    </w:rPr>
  </w:style>
  <w:style w:type="paragraph" w:styleId="ListContinue3">
    <w:name w:val="List Continue 3"/>
    <w:basedOn w:val="Normal"/>
    <w:rsid w:val="000F7B76"/>
    <w:pPr>
      <w:widowControl w:val="0"/>
      <w:adjustRightInd w:val="0"/>
      <w:spacing w:before="240"/>
      <w:ind w:left="2160"/>
      <w:jc w:val="both"/>
      <w:textAlignment w:val="baseline"/>
    </w:pPr>
    <w:rPr>
      <w:rFonts w:ascii="Times New Roman" w:hAnsi="Times New Roman"/>
      <w:sz w:val="24"/>
    </w:rPr>
  </w:style>
  <w:style w:type="paragraph" w:styleId="List4">
    <w:name w:val="List 4"/>
    <w:basedOn w:val="Normal"/>
    <w:next w:val="ListContinue4"/>
    <w:rsid w:val="000F7B76"/>
    <w:pPr>
      <w:widowControl w:val="0"/>
      <w:adjustRightInd w:val="0"/>
      <w:spacing w:before="240"/>
      <w:ind w:left="2880" w:hanging="720"/>
      <w:jc w:val="both"/>
      <w:textAlignment w:val="baseline"/>
    </w:pPr>
    <w:rPr>
      <w:rFonts w:ascii="Times New Roman" w:hAnsi="Times New Roman"/>
      <w:sz w:val="24"/>
    </w:rPr>
  </w:style>
  <w:style w:type="paragraph" w:styleId="ListContinue4">
    <w:name w:val="List Continue 4"/>
    <w:basedOn w:val="Normal"/>
    <w:rsid w:val="000F7B76"/>
    <w:pPr>
      <w:widowControl w:val="0"/>
      <w:adjustRightInd w:val="0"/>
      <w:spacing w:before="240"/>
      <w:ind w:left="2880"/>
      <w:jc w:val="both"/>
      <w:textAlignment w:val="baseline"/>
    </w:pPr>
    <w:rPr>
      <w:rFonts w:ascii="Times New Roman" w:hAnsi="Times New Roman"/>
      <w:sz w:val="24"/>
    </w:rPr>
  </w:style>
  <w:style w:type="paragraph" w:styleId="List5">
    <w:name w:val="List 5"/>
    <w:basedOn w:val="Normal"/>
    <w:next w:val="ListContinue5"/>
    <w:rsid w:val="000F7B76"/>
    <w:pPr>
      <w:widowControl w:val="0"/>
      <w:adjustRightInd w:val="0"/>
      <w:spacing w:before="240"/>
      <w:ind w:left="3600" w:hanging="720"/>
      <w:jc w:val="both"/>
      <w:textAlignment w:val="baseline"/>
    </w:pPr>
    <w:rPr>
      <w:rFonts w:ascii="Times New Roman" w:hAnsi="Times New Roman"/>
      <w:sz w:val="24"/>
    </w:rPr>
  </w:style>
  <w:style w:type="paragraph" w:styleId="ListContinue5">
    <w:name w:val="List Continue 5"/>
    <w:basedOn w:val="Normal"/>
    <w:rsid w:val="000F7B76"/>
    <w:pPr>
      <w:widowControl w:val="0"/>
      <w:adjustRightInd w:val="0"/>
      <w:spacing w:before="240"/>
      <w:ind w:left="3600"/>
      <w:jc w:val="both"/>
      <w:textAlignment w:val="baseline"/>
    </w:pPr>
    <w:rPr>
      <w:rFonts w:ascii="Times New Roman" w:hAnsi="Times New Roman"/>
      <w:sz w:val="24"/>
    </w:rPr>
  </w:style>
  <w:style w:type="paragraph" w:styleId="ListBullet2">
    <w:name w:val="List Bullet 2"/>
    <w:basedOn w:val="Normal"/>
    <w:autoRedefine/>
    <w:uiPriority w:val="99"/>
    <w:rsid w:val="000F7B76"/>
    <w:pPr>
      <w:widowControl w:val="0"/>
      <w:adjustRightInd w:val="0"/>
      <w:spacing w:before="240"/>
      <w:ind w:left="720" w:hanging="720"/>
      <w:jc w:val="both"/>
      <w:textAlignment w:val="baseline"/>
    </w:pPr>
    <w:rPr>
      <w:rFonts w:ascii="Times New Roman" w:hAnsi="Times New Roman"/>
      <w:sz w:val="24"/>
    </w:rPr>
  </w:style>
  <w:style w:type="paragraph" w:styleId="ListBullet3">
    <w:name w:val="List Bullet 3"/>
    <w:basedOn w:val="Normal"/>
    <w:autoRedefine/>
    <w:uiPriority w:val="99"/>
    <w:rsid w:val="000F7B76"/>
    <w:pPr>
      <w:widowControl w:val="0"/>
      <w:adjustRightInd w:val="0"/>
      <w:spacing w:before="240"/>
      <w:ind w:left="720" w:hanging="720"/>
      <w:jc w:val="both"/>
      <w:textAlignment w:val="baseline"/>
    </w:pPr>
    <w:rPr>
      <w:rFonts w:ascii="Times New Roman" w:hAnsi="Times New Roman"/>
      <w:sz w:val="24"/>
    </w:rPr>
  </w:style>
  <w:style w:type="paragraph" w:styleId="ListBullet4">
    <w:name w:val="List Bullet 4"/>
    <w:basedOn w:val="Normal"/>
    <w:autoRedefine/>
    <w:uiPriority w:val="99"/>
    <w:rsid w:val="000F7B76"/>
    <w:pPr>
      <w:widowControl w:val="0"/>
      <w:adjustRightInd w:val="0"/>
      <w:spacing w:before="240"/>
      <w:ind w:left="720" w:hanging="720"/>
      <w:jc w:val="both"/>
      <w:textAlignment w:val="baseline"/>
    </w:pPr>
    <w:rPr>
      <w:rFonts w:ascii="Times New Roman" w:hAnsi="Times New Roman"/>
      <w:sz w:val="24"/>
    </w:rPr>
  </w:style>
  <w:style w:type="paragraph" w:styleId="ListBullet5">
    <w:name w:val="List Bullet 5"/>
    <w:basedOn w:val="Normal"/>
    <w:autoRedefine/>
    <w:uiPriority w:val="99"/>
    <w:rsid w:val="000F7B76"/>
    <w:pPr>
      <w:widowControl w:val="0"/>
      <w:adjustRightInd w:val="0"/>
      <w:spacing w:before="240"/>
      <w:ind w:left="720" w:hanging="720"/>
      <w:jc w:val="both"/>
      <w:textAlignment w:val="baseline"/>
    </w:pPr>
    <w:rPr>
      <w:rFonts w:ascii="Times New Roman" w:hAnsi="Times New Roman"/>
      <w:sz w:val="24"/>
    </w:rPr>
  </w:style>
  <w:style w:type="paragraph" w:styleId="ListContinue2">
    <w:name w:val="List Continue 2"/>
    <w:basedOn w:val="Normal"/>
    <w:rsid w:val="000F7B76"/>
    <w:pPr>
      <w:widowControl w:val="0"/>
      <w:adjustRightInd w:val="0"/>
      <w:spacing w:before="240"/>
      <w:ind w:left="1440"/>
      <w:jc w:val="both"/>
      <w:textAlignment w:val="baseline"/>
    </w:pPr>
    <w:rPr>
      <w:rFonts w:ascii="Times New Roman" w:hAnsi="Times New Roman"/>
      <w:sz w:val="24"/>
    </w:rPr>
  </w:style>
  <w:style w:type="paragraph" w:styleId="ListNumber">
    <w:name w:val="List Number"/>
    <w:basedOn w:val="Normal"/>
    <w:rsid w:val="000F7B76"/>
    <w:pPr>
      <w:widowControl w:val="0"/>
      <w:tabs>
        <w:tab w:val="num" w:pos="720"/>
      </w:tabs>
      <w:adjustRightInd w:val="0"/>
      <w:spacing w:before="240"/>
      <w:ind w:left="720" w:hanging="720"/>
      <w:jc w:val="both"/>
      <w:textAlignment w:val="baseline"/>
    </w:pPr>
    <w:rPr>
      <w:rFonts w:ascii="Times New Roman" w:hAnsi="Times New Roman"/>
      <w:sz w:val="24"/>
    </w:rPr>
  </w:style>
  <w:style w:type="paragraph" w:styleId="ListNumber2">
    <w:name w:val="List Number 2"/>
    <w:basedOn w:val="Normal"/>
    <w:rsid w:val="000F7B76"/>
    <w:pPr>
      <w:widowControl w:val="0"/>
      <w:adjustRightInd w:val="0"/>
      <w:spacing w:before="240"/>
      <w:ind w:left="720" w:hanging="720"/>
      <w:jc w:val="both"/>
      <w:textAlignment w:val="baseline"/>
    </w:pPr>
    <w:rPr>
      <w:rFonts w:ascii="Times New Roman" w:hAnsi="Times New Roman"/>
      <w:sz w:val="24"/>
    </w:rPr>
  </w:style>
  <w:style w:type="paragraph" w:styleId="ListNumber3">
    <w:name w:val="List Number 3"/>
    <w:basedOn w:val="Normal"/>
    <w:rsid w:val="000F7B76"/>
    <w:pPr>
      <w:widowControl w:val="0"/>
      <w:adjustRightInd w:val="0"/>
      <w:spacing w:before="240"/>
      <w:ind w:left="720" w:hanging="720"/>
      <w:jc w:val="both"/>
      <w:textAlignment w:val="baseline"/>
    </w:pPr>
    <w:rPr>
      <w:rFonts w:ascii="Times New Roman" w:hAnsi="Times New Roman"/>
      <w:sz w:val="24"/>
    </w:rPr>
  </w:style>
  <w:style w:type="paragraph" w:styleId="ListNumber4">
    <w:name w:val="List Number 4"/>
    <w:basedOn w:val="Normal"/>
    <w:rsid w:val="000F7B76"/>
    <w:pPr>
      <w:widowControl w:val="0"/>
      <w:adjustRightInd w:val="0"/>
      <w:spacing w:before="240"/>
      <w:ind w:left="720" w:hanging="720"/>
      <w:jc w:val="both"/>
      <w:textAlignment w:val="baseline"/>
    </w:pPr>
    <w:rPr>
      <w:rFonts w:ascii="Times New Roman" w:hAnsi="Times New Roman"/>
      <w:sz w:val="24"/>
    </w:rPr>
  </w:style>
  <w:style w:type="paragraph" w:styleId="ListNumber5">
    <w:name w:val="List Number 5"/>
    <w:basedOn w:val="Normal"/>
    <w:rsid w:val="000F7B76"/>
    <w:pPr>
      <w:widowControl w:val="0"/>
      <w:adjustRightInd w:val="0"/>
      <w:spacing w:before="240"/>
      <w:ind w:left="720" w:hanging="720"/>
      <w:jc w:val="both"/>
      <w:textAlignment w:val="baseline"/>
    </w:pPr>
    <w:rPr>
      <w:rFonts w:ascii="Times New Roman" w:hAnsi="Times New Roman"/>
      <w:sz w:val="24"/>
    </w:rPr>
  </w:style>
  <w:style w:type="paragraph" w:styleId="MessageHeader">
    <w:name w:val="Message Header"/>
    <w:basedOn w:val="Normal"/>
    <w:link w:val="MessageHeaderChar"/>
    <w:rsid w:val="000F7B76"/>
    <w:pPr>
      <w:widowControl w:val="0"/>
      <w:pBdr>
        <w:top w:val="single" w:sz="6" w:space="1" w:color="auto"/>
        <w:left w:val="single" w:sz="6" w:space="1" w:color="auto"/>
        <w:bottom w:val="single" w:sz="6" w:space="1" w:color="auto"/>
        <w:right w:val="single" w:sz="6" w:space="1" w:color="auto"/>
      </w:pBdr>
      <w:shd w:val="pct20" w:color="auto" w:fill="auto"/>
      <w:adjustRightInd w:val="0"/>
      <w:spacing w:before="240"/>
      <w:jc w:val="both"/>
      <w:textAlignment w:val="baseline"/>
    </w:pPr>
    <w:rPr>
      <w:rFonts w:ascii="Times New Roman" w:hAnsi="Times New Roman"/>
      <w:sz w:val="24"/>
    </w:rPr>
  </w:style>
  <w:style w:type="character" w:customStyle="1" w:styleId="MessageHeaderChar">
    <w:name w:val="Message Header Char"/>
    <w:link w:val="MessageHeader"/>
    <w:rsid w:val="000F7B76"/>
    <w:rPr>
      <w:sz w:val="24"/>
      <w:szCs w:val="24"/>
      <w:shd w:val="pct20" w:color="auto" w:fill="auto"/>
    </w:rPr>
  </w:style>
  <w:style w:type="paragraph" w:styleId="Signature">
    <w:name w:val="Signature"/>
    <w:basedOn w:val="Normal"/>
    <w:link w:val="SignatureChar"/>
    <w:rsid w:val="000F7B76"/>
    <w:pPr>
      <w:widowControl w:val="0"/>
      <w:adjustRightInd w:val="0"/>
      <w:spacing w:before="240"/>
      <w:jc w:val="both"/>
      <w:textAlignment w:val="baseline"/>
    </w:pPr>
    <w:rPr>
      <w:rFonts w:ascii="Times New Roman" w:hAnsi="Times New Roman"/>
      <w:sz w:val="24"/>
    </w:rPr>
  </w:style>
  <w:style w:type="character" w:customStyle="1" w:styleId="SignatureChar">
    <w:name w:val="Signature Char"/>
    <w:link w:val="Signature"/>
    <w:rsid w:val="000F7B76"/>
    <w:rPr>
      <w:sz w:val="24"/>
      <w:szCs w:val="24"/>
    </w:rPr>
  </w:style>
  <w:style w:type="paragraph" w:styleId="TableofAuthorities">
    <w:name w:val="table of authorities"/>
    <w:basedOn w:val="Normal"/>
    <w:next w:val="Normal"/>
    <w:rsid w:val="000F7B76"/>
    <w:pPr>
      <w:widowControl w:val="0"/>
      <w:tabs>
        <w:tab w:val="right" w:pos="9360"/>
      </w:tabs>
      <w:adjustRightInd w:val="0"/>
      <w:spacing w:before="240"/>
      <w:ind w:left="360" w:right="907" w:hanging="360"/>
      <w:jc w:val="both"/>
      <w:textAlignment w:val="baseline"/>
    </w:pPr>
    <w:rPr>
      <w:rFonts w:ascii="Times New Roman" w:hAnsi="Times New Roman"/>
      <w:noProof/>
      <w:sz w:val="24"/>
    </w:rPr>
  </w:style>
  <w:style w:type="paragraph" w:styleId="TableofFigures">
    <w:name w:val="table of figures"/>
    <w:basedOn w:val="Normal"/>
    <w:next w:val="Normal"/>
    <w:rsid w:val="000F7B76"/>
    <w:pPr>
      <w:widowControl w:val="0"/>
      <w:tabs>
        <w:tab w:val="right" w:pos="9000"/>
      </w:tabs>
      <w:adjustRightInd w:val="0"/>
      <w:spacing w:before="240"/>
      <w:ind w:left="360" w:right="907" w:hanging="360"/>
      <w:jc w:val="both"/>
      <w:textAlignment w:val="baseline"/>
    </w:pPr>
    <w:rPr>
      <w:rFonts w:ascii="Times New Roman" w:hAnsi="Times New Roman"/>
      <w:sz w:val="24"/>
    </w:rPr>
  </w:style>
  <w:style w:type="paragraph" w:styleId="TOAHeading">
    <w:name w:val="toa heading"/>
    <w:basedOn w:val="Normal"/>
    <w:next w:val="Normal"/>
    <w:rsid w:val="000F7B76"/>
    <w:pPr>
      <w:widowControl w:val="0"/>
      <w:adjustRightInd w:val="0"/>
      <w:spacing w:before="240"/>
      <w:jc w:val="both"/>
      <w:textAlignment w:val="baseline"/>
    </w:pPr>
    <w:rPr>
      <w:rFonts w:ascii="Times New Roman" w:hAnsi="Times New Roman"/>
      <w:b/>
      <w:bCs/>
      <w:sz w:val="24"/>
    </w:rPr>
  </w:style>
  <w:style w:type="paragraph" w:styleId="List2">
    <w:name w:val="List 2"/>
    <w:basedOn w:val="Normal"/>
    <w:next w:val="ListContinue2"/>
    <w:rsid w:val="000F7B76"/>
    <w:pPr>
      <w:widowControl w:val="0"/>
      <w:adjustRightInd w:val="0"/>
      <w:spacing w:before="240"/>
      <w:ind w:left="1440" w:hanging="720"/>
      <w:jc w:val="both"/>
      <w:textAlignment w:val="baseline"/>
    </w:pPr>
    <w:rPr>
      <w:rFonts w:ascii="Times New Roman" w:hAnsi="Times New Roman"/>
      <w:sz w:val="24"/>
    </w:rPr>
  </w:style>
  <w:style w:type="paragraph" w:styleId="Index1">
    <w:name w:val="index 1"/>
    <w:basedOn w:val="Normal"/>
    <w:next w:val="Normal"/>
    <w:autoRedefine/>
    <w:rsid w:val="000F7B76"/>
    <w:pPr>
      <w:widowControl w:val="0"/>
      <w:adjustRightInd w:val="0"/>
      <w:spacing w:before="240"/>
      <w:ind w:left="240" w:hanging="240"/>
      <w:jc w:val="both"/>
      <w:textAlignment w:val="baseline"/>
    </w:pPr>
    <w:rPr>
      <w:rFonts w:ascii="Times New Roman" w:hAnsi="Times New Roman"/>
      <w:sz w:val="24"/>
    </w:rPr>
  </w:style>
  <w:style w:type="paragraph" w:styleId="IndexHeading">
    <w:name w:val="index heading"/>
    <w:basedOn w:val="Normal"/>
    <w:next w:val="Index1"/>
    <w:rsid w:val="000F7B76"/>
    <w:pPr>
      <w:widowControl w:val="0"/>
      <w:adjustRightInd w:val="0"/>
      <w:spacing w:before="240"/>
      <w:jc w:val="center"/>
      <w:textAlignment w:val="baseline"/>
    </w:pPr>
    <w:rPr>
      <w:rFonts w:ascii="Times New Roman" w:hAnsi="Times New Roman"/>
      <w:b/>
      <w:bCs/>
      <w:sz w:val="24"/>
    </w:rPr>
  </w:style>
  <w:style w:type="paragraph" w:customStyle="1" w:styleId="TableofContents">
    <w:name w:val="Table of Contents"/>
    <w:basedOn w:val="Title"/>
    <w:rsid w:val="00E71325"/>
    <w:pPr>
      <w:spacing w:after="480"/>
      <w:jc w:val="left"/>
      <w:outlineLvl w:val="9"/>
    </w:pPr>
    <w:rPr>
      <w:rFonts w:ascii="Arial" w:hAnsi="Arial"/>
      <w:b w:val="0"/>
      <w:sz w:val="36"/>
    </w:rPr>
  </w:style>
  <w:style w:type="paragraph" w:customStyle="1" w:styleId="Bulletslevel1">
    <w:name w:val="Bullets level 1"/>
    <w:basedOn w:val="Normal"/>
    <w:autoRedefine/>
    <w:rsid w:val="000F7B76"/>
    <w:pPr>
      <w:widowControl w:val="0"/>
      <w:tabs>
        <w:tab w:val="num" w:pos="709"/>
      </w:tabs>
      <w:adjustRightInd w:val="0"/>
      <w:spacing w:before="40" w:line="240" w:lineRule="atLeast"/>
      <w:ind w:left="709" w:right="992" w:hanging="425"/>
      <w:jc w:val="both"/>
      <w:textAlignment w:val="baseline"/>
    </w:pPr>
    <w:rPr>
      <w:rFonts w:ascii="RotisSerif" w:hAnsi="RotisSerif"/>
      <w:sz w:val="22"/>
      <w:szCs w:val="22"/>
      <w:lang w:val="en-GB"/>
    </w:rPr>
  </w:style>
  <w:style w:type="paragraph" w:customStyle="1" w:styleId="normla">
    <w:name w:val="normla"/>
    <w:basedOn w:val="Levela0"/>
    <w:rsid w:val="000F7B76"/>
  </w:style>
  <w:style w:type="character" w:customStyle="1" w:styleId="FrutigerBold">
    <w:name w:val="FrutigerBold"/>
    <w:rsid w:val="000F7B76"/>
    <w:rPr>
      <w:rFonts w:ascii="Frutiger 45 Light" w:hAnsi="Frutiger 45 Light"/>
      <w:b/>
      <w:bCs/>
    </w:rPr>
  </w:style>
  <w:style w:type="paragraph" w:styleId="Index2">
    <w:name w:val="index 2"/>
    <w:basedOn w:val="Normal"/>
    <w:next w:val="Normal"/>
    <w:autoRedefine/>
    <w:rsid w:val="000F7B76"/>
    <w:pPr>
      <w:widowControl w:val="0"/>
      <w:adjustRightInd w:val="0"/>
      <w:spacing w:before="0"/>
      <w:ind w:left="480" w:hanging="240"/>
      <w:jc w:val="both"/>
      <w:textAlignment w:val="baseline"/>
    </w:pPr>
    <w:rPr>
      <w:rFonts w:ascii="Times New Roman" w:hAnsi="Times New Roman"/>
      <w:sz w:val="24"/>
    </w:rPr>
  </w:style>
  <w:style w:type="paragraph" w:styleId="Index3">
    <w:name w:val="index 3"/>
    <w:basedOn w:val="Normal"/>
    <w:next w:val="Normal"/>
    <w:autoRedefine/>
    <w:rsid w:val="000F7B76"/>
    <w:pPr>
      <w:widowControl w:val="0"/>
      <w:adjustRightInd w:val="0"/>
      <w:spacing w:before="0"/>
      <w:ind w:left="720" w:hanging="240"/>
      <w:jc w:val="both"/>
      <w:textAlignment w:val="baseline"/>
    </w:pPr>
    <w:rPr>
      <w:rFonts w:ascii="Times New Roman" w:hAnsi="Times New Roman"/>
      <w:sz w:val="24"/>
    </w:rPr>
  </w:style>
  <w:style w:type="paragraph" w:styleId="Index4">
    <w:name w:val="index 4"/>
    <w:basedOn w:val="Normal"/>
    <w:next w:val="Normal"/>
    <w:autoRedefine/>
    <w:rsid w:val="000F7B76"/>
    <w:pPr>
      <w:widowControl w:val="0"/>
      <w:adjustRightInd w:val="0"/>
      <w:spacing w:before="0"/>
      <w:ind w:left="960" w:hanging="240"/>
      <w:jc w:val="both"/>
      <w:textAlignment w:val="baseline"/>
    </w:pPr>
    <w:rPr>
      <w:rFonts w:ascii="Times New Roman" w:hAnsi="Times New Roman"/>
      <w:sz w:val="24"/>
    </w:rPr>
  </w:style>
  <w:style w:type="paragraph" w:styleId="Index5">
    <w:name w:val="index 5"/>
    <w:basedOn w:val="Normal"/>
    <w:next w:val="Normal"/>
    <w:autoRedefine/>
    <w:rsid w:val="000F7B76"/>
    <w:pPr>
      <w:widowControl w:val="0"/>
      <w:adjustRightInd w:val="0"/>
      <w:spacing w:before="0"/>
      <w:ind w:left="1200" w:hanging="240"/>
      <w:jc w:val="both"/>
      <w:textAlignment w:val="baseline"/>
    </w:pPr>
    <w:rPr>
      <w:rFonts w:ascii="Times New Roman" w:hAnsi="Times New Roman"/>
      <w:sz w:val="24"/>
    </w:rPr>
  </w:style>
  <w:style w:type="paragraph" w:styleId="Index6">
    <w:name w:val="index 6"/>
    <w:basedOn w:val="Normal"/>
    <w:next w:val="Normal"/>
    <w:autoRedefine/>
    <w:rsid w:val="000F7B76"/>
    <w:pPr>
      <w:widowControl w:val="0"/>
      <w:adjustRightInd w:val="0"/>
      <w:spacing w:before="0"/>
      <w:ind w:left="1440" w:hanging="240"/>
      <w:jc w:val="both"/>
      <w:textAlignment w:val="baseline"/>
    </w:pPr>
    <w:rPr>
      <w:rFonts w:ascii="Times New Roman" w:hAnsi="Times New Roman"/>
      <w:sz w:val="24"/>
    </w:rPr>
  </w:style>
  <w:style w:type="paragraph" w:styleId="Index7">
    <w:name w:val="index 7"/>
    <w:basedOn w:val="Normal"/>
    <w:next w:val="Normal"/>
    <w:autoRedefine/>
    <w:rsid w:val="000F7B76"/>
    <w:pPr>
      <w:widowControl w:val="0"/>
      <w:adjustRightInd w:val="0"/>
      <w:spacing w:before="0"/>
      <w:ind w:left="1680" w:hanging="240"/>
      <w:jc w:val="both"/>
      <w:textAlignment w:val="baseline"/>
    </w:pPr>
    <w:rPr>
      <w:rFonts w:ascii="Times New Roman" w:hAnsi="Times New Roman"/>
      <w:sz w:val="24"/>
    </w:rPr>
  </w:style>
  <w:style w:type="paragraph" w:styleId="Index8">
    <w:name w:val="index 8"/>
    <w:basedOn w:val="Normal"/>
    <w:next w:val="Normal"/>
    <w:autoRedefine/>
    <w:rsid w:val="000F7B76"/>
    <w:pPr>
      <w:widowControl w:val="0"/>
      <w:adjustRightInd w:val="0"/>
      <w:spacing w:before="0"/>
      <w:ind w:left="1920" w:hanging="240"/>
      <w:jc w:val="both"/>
      <w:textAlignment w:val="baseline"/>
    </w:pPr>
    <w:rPr>
      <w:rFonts w:ascii="Times New Roman" w:hAnsi="Times New Roman"/>
      <w:sz w:val="24"/>
    </w:rPr>
  </w:style>
  <w:style w:type="paragraph" w:styleId="Index9">
    <w:name w:val="index 9"/>
    <w:basedOn w:val="Normal"/>
    <w:next w:val="Normal"/>
    <w:autoRedefine/>
    <w:rsid w:val="000F7B76"/>
    <w:pPr>
      <w:widowControl w:val="0"/>
      <w:adjustRightInd w:val="0"/>
      <w:spacing w:before="0"/>
      <w:ind w:left="2160" w:hanging="240"/>
      <w:jc w:val="both"/>
      <w:textAlignment w:val="baseline"/>
    </w:pPr>
    <w:rPr>
      <w:rFonts w:ascii="Times New Roman" w:hAnsi="Times New Roman"/>
      <w:sz w:val="24"/>
    </w:rPr>
  </w:style>
  <w:style w:type="paragraph" w:styleId="MacroText">
    <w:name w:val="macro"/>
    <w:link w:val="MacroTextChar"/>
    <w:rsid w:val="000F7B76"/>
    <w:pPr>
      <w:widowControl w:val="0"/>
      <w:tabs>
        <w:tab w:val="left" w:pos="480"/>
        <w:tab w:val="left" w:pos="960"/>
        <w:tab w:val="left" w:pos="1440"/>
        <w:tab w:val="left" w:pos="1920"/>
        <w:tab w:val="left" w:pos="2400"/>
        <w:tab w:val="left" w:pos="2880"/>
        <w:tab w:val="left" w:pos="3360"/>
        <w:tab w:val="left" w:pos="3840"/>
        <w:tab w:val="left" w:pos="4320"/>
      </w:tabs>
      <w:adjustRightInd w:val="0"/>
      <w:spacing w:before="240" w:line="360" w:lineRule="atLeast"/>
      <w:jc w:val="both"/>
      <w:textAlignment w:val="baseline"/>
    </w:pPr>
    <w:rPr>
      <w:rFonts w:ascii="Courier New" w:hAnsi="Courier New"/>
      <w:lang w:eastAsia="en-US"/>
    </w:rPr>
  </w:style>
  <w:style w:type="character" w:customStyle="1" w:styleId="MacroTextChar">
    <w:name w:val="Macro Text Char"/>
    <w:link w:val="MacroText"/>
    <w:rsid w:val="000F7B76"/>
    <w:rPr>
      <w:rFonts w:ascii="Courier New" w:hAnsi="Courier New"/>
      <w:lang w:val="en-AU" w:eastAsia="en-US" w:bidi="ar-SA"/>
    </w:rPr>
  </w:style>
  <w:style w:type="paragraph" w:styleId="NoteHeading">
    <w:name w:val="Note Heading"/>
    <w:basedOn w:val="Normal"/>
    <w:next w:val="Normal"/>
    <w:link w:val="NoteHeadingChar"/>
    <w:rsid w:val="000F7B76"/>
    <w:pPr>
      <w:widowControl w:val="0"/>
      <w:adjustRightInd w:val="0"/>
      <w:spacing w:before="240"/>
      <w:jc w:val="both"/>
      <w:textAlignment w:val="baseline"/>
    </w:pPr>
    <w:rPr>
      <w:rFonts w:ascii="Times New Roman" w:hAnsi="Times New Roman"/>
      <w:sz w:val="24"/>
    </w:rPr>
  </w:style>
  <w:style w:type="character" w:customStyle="1" w:styleId="NoteHeadingChar">
    <w:name w:val="Note Heading Char"/>
    <w:link w:val="NoteHeading"/>
    <w:rsid w:val="000F7B76"/>
    <w:rPr>
      <w:sz w:val="24"/>
      <w:szCs w:val="24"/>
    </w:rPr>
  </w:style>
  <w:style w:type="paragraph" w:customStyle="1" w:styleId="Heading3Text">
    <w:name w:val="Heading 3 Text"/>
    <w:basedOn w:val="Normal"/>
    <w:rsid w:val="000F7B76"/>
    <w:pPr>
      <w:widowControl w:val="0"/>
      <w:adjustRightInd w:val="0"/>
      <w:spacing w:before="0" w:after="120"/>
      <w:ind w:left="2160"/>
      <w:jc w:val="both"/>
      <w:textAlignment w:val="baseline"/>
    </w:pPr>
    <w:rPr>
      <w:rFonts w:ascii="Times New Roman" w:hAnsi="Times New Roman"/>
      <w:sz w:val="24"/>
    </w:rPr>
  </w:style>
  <w:style w:type="character" w:customStyle="1" w:styleId="CONLevelaChar">
    <w:name w:val=".CON  Level  (a) Char"/>
    <w:link w:val="CONLevela"/>
    <w:locked/>
    <w:rsid w:val="000F7B76"/>
    <w:rPr>
      <w:sz w:val="24"/>
      <w:szCs w:val="22"/>
      <w:lang w:eastAsia="en-US"/>
    </w:rPr>
  </w:style>
  <w:style w:type="paragraph" w:customStyle="1" w:styleId="CONLevel1textonly">
    <w:name w:val=".CON Level    1. (text only)"/>
    <w:basedOn w:val="Normal"/>
    <w:rsid w:val="000F7B76"/>
    <w:pPr>
      <w:widowControl w:val="0"/>
      <w:adjustRightInd w:val="0"/>
      <w:spacing w:before="240"/>
      <w:ind w:left="720"/>
      <w:jc w:val="both"/>
      <w:textAlignment w:val="baseline"/>
      <w:outlineLvl w:val="1"/>
    </w:pPr>
    <w:rPr>
      <w:rFonts w:ascii="Times New Roman" w:hAnsi="Times New Roman"/>
      <w:sz w:val="24"/>
    </w:rPr>
  </w:style>
  <w:style w:type="paragraph" w:customStyle="1" w:styleId="CONLevel11textonly">
    <w:name w:val=".CON Level   1.1 (text only)"/>
    <w:basedOn w:val="Normal"/>
    <w:link w:val="CONLevel11textonlyChar"/>
    <w:rsid w:val="000F7B76"/>
    <w:pPr>
      <w:widowControl w:val="0"/>
      <w:adjustRightInd w:val="0"/>
      <w:spacing w:before="240"/>
      <w:ind w:left="720"/>
      <w:jc w:val="both"/>
      <w:textAlignment w:val="baseline"/>
    </w:pPr>
    <w:rPr>
      <w:rFonts w:ascii="Times New Roman" w:hAnsi="Times New Roman"/>
      <w:sz w:val="24"/>
    </w:rPr>
  </w:style>
  <w:style w:type="character" w:customStyle="1" w:styleId="CONLevel11textonlyChar">
    <w:name w:val=".CON Level   1.1 (text only) Char"/>
    <w:link w:val="CONLevel11textonly"/>
    <w:locked/>
    <w:rsid w:val="000F7B76"/>
    <w:rPr>
      <w:sz w:val="24"/>
      <w:szCs w:val="24"/>
    </w:rPr>
  </w:style>
  <w:style w:type="paragraph" w:customStyle="1" w:styleId="CONLevelatextonly">
    <w:name w:val=".CON Level  (a) (text only)"/>
    <w:basedOn w:val="Normal"/>
    <w:rsid w:val="000F7B76"/>
    <w:pPr>
      <w:widowControl w:val="0"/>
      <w:adjustRightInd w:val="0"/>
      <w:spacing w:before="240"/>
      <w:ind w:left="1440"/>
      <w:jc w:val="both"/>
      <w:textAlignment w:val="baseline"/>
    </w:pPr>
    <w:rPr>
      <w:rFonts w:ascii="Times New Roman" w:hAnsi="Times New Roman"/>
      <w:sz w:val="24"/>
    </w:rPr>
  </w:style>
  <w:style w:type="paragraph" w:customStyle="1" w:styleId="CONLevelitextonly">
    <w:name w:val=".CON Level  (i) (text only)"/>
    <w:basedOn w:val="Normal"/>
    <w:rsid w:val="000F7B76"/>
    <w:pPr>
      <w:widowControl w:val="0"/>
      <w:adjustRightInd w:val="0"/>
      <w:spacing w:before="240"/>
      <w:ind w:left="2160"/>
      <w:jc w:val="both"/>
      <w:textAlignment w:val="baseline"/>
    </w:pPr>
    <w:rPr>
      <w:rFonts w:ascii="Times New Roman" w:hAnsi="Times New Roman"/>
      <w:sz w:val="24"/>
    </w:rPr>
  </w:style>
  <w:style w:type="paragraph" w:customStyle="1" w:styleId="CONLevelAtextonly0">
    <w:name w:val=".CON Level (A) (text only)"/>
    <w:basedOn w:val="Normal"/>
    <w:rsid w:val="000F7B76"/>
    <w:pPr>
      <w:widowControl w:val="0"/>
      <w:adjustRightInd w:val="0"/>
      <w:spacing w:before="240"/>
      <w:ind w:left="2880"/>
      <w:jc w:val="both"/>
      <w:textAlignment w:val="baseline"/>
    </w:pPr>
    <w:rPr>
      <w:rFonts w:ascii="Times New Roman" w:hAnsi="Times New Roman"/>
      <w:sz w:val="24"/>
    </w:rPr>
  </w:style>
  <w:style w:type="paragraph" w:customStyle="1" w:styleId="CONLevelItextonly0">
    <w:name w:val=".CON Level (I) (text only)"/>
    <w:basedOn w:val="Normal"/>
    <w:rsid w:val="000F7B76"/>
    <w:pPr>
      <w:widowControl w:val="0"/>
      <w:adjustRightInd w:val="0"/>
      <w:spacing w:before="240"/>
      <w:ind w:left="3600"/>
      <w:jc w:val="both"/>
      <w:textAlignment w:val="baseline"/>
    </w:pPr>
    <w:rPr>
      <w:rFonts w:ascii="Times New Roman" w:hAnsi="Times New Roman"/>
      <w:sz w:val="24"/>
    </w:rPr>
  </w:style>
  <w:style w:type="paragraph" w:customStyle="1" w:styleId="RECITALSA">
    <w:name w:val=".RECITALS   A."/>
    <w:basedOn w:val="Normal"/>
    <w:rsid w:val="000F7B76"/>
    <w:pPr>
      <w:widowControl w:val="0"/>
      <w:tabs>
        <w:tab w:val="num" w:pos="720"/>
      </w:tabs>
      <w:adjustRightInd w:val="0"/>
      <w:spacing w:before="240"/>
      <w:ind w:left="720" w:hanging="720"/>
      <w:jc w:val="both"/>
      <w:textAlignment w:val="baseline"/>
    </w:pPr>
    <w:rPr>
      <w:rFonts w:ascii="Times New Roman" w:hAnsi="Times New Roman"/>
      <w:sz w:val="24"/>
    </w:rPr>
  </w:style>
  <w:style w:type="paragraph" w:customStyle="1" w:styleId="RECITALSa0">
    <w:name w:val=".RECITALS (a)"/>
    <w:basedOn w:val="CONLevel11textonly"/>
    <w:rsid w:val="000F7B76"/>
    <w:pPr>
      <w:tabs>
        <w:tab w:val="num" w:pos="1440"/>
      </w:tabs>
      <w:ind w:left="1440" w:hanging="720"/>
    </w:pPr>
  </w:style>
  <w:style w:type="paragraph" w:customStyle="1" w:styleId="RECITALSi">
    <w:name w:val=".RECITALS (i)"/>
    <w:basedOn w:val="CONLeveli"/>
    <w:rsid w:val="000F7B76"/>
    <w:pPr>
      <w:widowControl w:val="0"/>
      <w:numPr>
        <w:ilvl w:val="3"/>
        <w:numId w:val="11"/>
      </w:numPr>
      <w:adjustRightInd w:val="0"/>
      <w:jc w:val="both"/>
      <w:textAlignment w:val="baseline"/>
    </w:pPr>
    <w:rPr>
      <w:szCs w:val="24"/>
    </w:rPr>
  </w:style>
  <w:style w:type="paragraph" w:customStyle="1" w:styleId="RECITALSAtextonly">
    <w:name w:val=".RECITALS A. (text only)"/>
    <w:basedOn w:val="CONLevel11textonly"/>
    <w:rsid w:val="000F7B76"/>
  </w:style>
  <w:style w:type="paragraph" w:customStyle="1" w:styleId="notTOCLevel1">
    <w:name w:val="not TOC Level 1."/>
    <w:basedOn w:val="CONLevel1"/>
    <w:next w:val="CONLevel11"/>
    <w:rsid w:val="000F7B76"/>
    <w:pPr>
      <w:widowControl w:val="0"/>
      <w:adjustRightInd w:val="0"/>
      <w:ind w:right="1701"/>
      <w:jc w:val="both"/>
      <w:textAlignment w:val="baseline"/>
    </w:pPr>
    <w:rPr>
      <w:rFonts w:ascii="Calibri" w:eastAsia="Calibri" w:hAnsi="Calibri"/>
      <w:bCs/>
      <w:szCs w:val="24"/>
    </w:rPr>
  </w:style>
  <w:style w:type="paragraph" w:customStyle="1" w:styleId="RFTLevel11">
    <w:name w:val="RFT Level 1.1"/>
    <w:basedOn w:val="CONLevel11"/>
    <w:autoRedefine/>
    <w:rsid w:val="000F7B76"/>
    <w:pPr>
      <w:widowControl w:val="0"/>
      <w:numPr>
        <w:ilvl w:val="1"/>
        <w:numId w:val="11"/>
      </w:numPr>
      <w:tabs>
        <w:tab w:val="clear" w:pos="720"/>
        <w:tab w:val="num" w:pos="567"/>
      </w:tabs>
      <w:adjustRightInd w:val="0"/>
      <w:spacing w:after="240"/>
      <w:ind w:left="567" w:hanging="567"/>
      <w:jc w:val="both"/>
      <w:textAlignment w:val="baseline"/>
      <w:outlineLvl w:val="9"/>
    </w:pPr>
    <w:rPr>
      <w:rFonts w:ascii="Calibri" w:eastAsia="Calibri" w:hAnsi="Calibri"/>
    </w:rPr>
  </w:style>
  <w:style w:type="paragraph" w:customStyle="1" w:styleId="notTOCLevel11">
    <w:name w:val="not TOC Level 1.1"/>
    <w:basedOn w:val="CONLevel11"/>
    <w:next w:val="CONLevela"/>
    <w:rsid w:val="000F7B76"/>
    <w:pPr>
      <w:widowControl w:val="0"/>
      <w:adjustRightInd w:val="0"/>
      <w:jc w:val="both"/>
      <w:textAlignment w:val="baseline"/>
    </w:pPr>
    <w:rPr>
      <w:rFonts w:ascii="Calibri" w:eastAsia="Calibri" w:hAnsi="Calibri"/>
      <w:sz w:val="23"/>
      <w:szCs w:val="24"/>
    </w:rPr>
  </w:style>
  <w:style w:type="paragraph" w:styleId="Date">
    <w:name w:val="Date"/>
    <w:basedOn w:val="Normal"/>
    <w:next w:val="Normal"/>
    <w:link w:val="DateChar"/>
    <w:rsid w:val="000F7B76"/>
    <w:pPr>
      <w:widowControl w:val="0"/>
      <w:adjustRightInd w:val="0"/>
      <w:spacing w:before="0"/>
      <w:jc w:val="both"/>
      <w:textAlignment w:val="baseline"/>
    </w:pPr>
    <w:rPr>
      <w:rFonts w:ascii="Times New Roman" w:hAnsi="Times New Roman"/>
      <w:szCs w:val="20"/>
    </w:rPr>
  </w:style>
  <w:style w:type="character" w:customStyle="1" w:styleId="DateChar">
    <w:name w:val="Date Char"/>
    <w:link w:val="Date"/>
    <w:rsid w:val="000F7B76"/>
  </w:style>
  <w:style w:type="paragraph" w:customStyle="1" w:styleId="NormDash">
    <w:name w:val="Norm_Dash"/>
    <w:basedOn w:val="Normal"/>
    <w:rsid w:val="000F7B76"/>
    <w:pPr>
      <w:widowControl w:val="0"/>
      <w:tabs>
        <w:tab w:val="num" w:pos="794"/>
      </w:tabs>
      <w:adjustRightInd w:val="0"/>
      <w:spacing w:before="0"/>
      <w:ind w:left="794" w:hanging="397"/>
      <w:jc w:val="both"/>
      <w:textAlignment w:val="baseline"/>
    </w:pPr>
    <w:rPr>
      <w:rFonts w:ascii="Times New Roman" w:hAnsi="Times New Roman"/>
      <w:sz w:val="24"/>
    </w:rPr>
  </w:style>
  <w:style w:type="paragraph" w:customStyle="1" w:styleId="Heading4A">
    <w:name w:val="Heading 4 A"/>
    <w:basedOn w:val="Heading4"/>
    <w:rsid w:val="000F7B76"/>
    <w:pPr>
      <w:widowControl w:val="0"/>
      <w:tabs>
        <w:tab w:val="clear" w:pos="4179"/>
        <w:tab w:val="left" w:pos="0"/>
        <w:tab w:val="left" w:pos="1009"/>
        <w:tab w:val="left" w:pos="2018"/>
        <w:tab w:val="left" w:pos="4036"/>
        <w:tab w:val="left" w:pos="5046"/>
        <w:tab w:val="left" w:pos="6054"/>
        <w:tab w:val="left" w:pos="7063"/>
        <w:tab w:val="left" w:pos="8072"/>
        <w:tab w:val="left" w:pos="9081"/>
      </w:tabs>
      <w:adjustRightInd w:val="0"/>
      <w:spacing w:before="56" w:after="60"/>
      <w:ind w:left="2948" w:hanging="680"/>
      <w:textAlignment w:val="baseline"/>
    </w:pPr>
    <w:rPr>
      <w:rFonts w:ascii="Times New Roman" w:hAnsi="Times New Roman"/>
      <w:color w:val="000000"/>
      <w:sz w:val="24"/>
      <w:szCs w:val="24"/>
    </w:rPr>
  </w:style>
  <w:style w:type="character" w:styleId="HTMLDefinition">
    <w:name w:val="HTML Definition"/>
    <w:rsid w:val="000F7B76"/>
    <w:rPr>
      <w:i/>
      <w:iCs/>
    </w:rPr>
  </w:style>
  <w:style w:type="paragraph" w:customStyle="1" w:styleId="paragraphsub">
    <w:name w:val="paragraph(sub)"/>
    <w:aliases w:val="aa"/>
    <w:basedOn w:val="Normal"/>
    <w:rsid w:val="000F7B76"/>
    <w:pPr>
      <w:widowControl w:val="0"/>
      <w:tabs>
        <w:tab w:val="right" w:pos="1985"/>
      </w:tabs>
      <w:adjustRightInd w:val="0"/>
      <w:spacing w:before="40"/>
      <w:ind w:left="2098" w:hanging="2098"/>
      <w:jc w:val="both"/>
      <w:textAlignment w:val="baseline"/>
    </w:pPr>
    <w:rPr>
      <w:rFonts w:ascii="Times New Roman" w:hAnsi="Times New Roman"/>
      <w:sz w:val="22"/>
      <w:lang w:eastAsia="en-AU"/>
    </w:rPr>
  </w:style>
  <w:style w:type="paragraph" w:customStyle="1" w:styleId="conlevel110">
    <w:name w:val="conlevel11"/>
    <w:basedOn w:val="Normal"/>
    <w:rsid w:val="000F7B76"/>
    <w:pPr>
      <w:widowControl w:val="0"/>
      <w:tabs>
        <w:tab w:val="num" w:pos="720"/>
      </w:tabs>
      <w:adjustRightInd w:val="0"/>
      <w:spacing w:before="240"/>
      <w:ind w:left="720" w:hanging="720"/>
      <w:jc w:val="both"/>
      <w:textAlignment w:val="baseline"/>
    </w:pPr>
    <w:rPr>
      <w:rFonts w:ascii="Times New Roman" w:hAnsi="Times New Roman"/>
      <w:sz w:val="24"/>
      <w:lang w:val="en-US"/>
    </w:rPr>
  </w:style>
  <w:style w:type="character" w:customStyle="1" w:styleId="detailsalignedbold">
    <w:name w:val="detailsaligned bold"/>
    <w:rsid w:val="000F7B76"/>
  </w:style>
  <w:style w:type="paragraph" w:customStyle="1" w:styleId="Style2">
    <w:name w:val="Style2"/>
    <w:basedOn w:val="Normal"/>
    <w:rsid w:val="000F7B76"/>
    <w:pPr>
      <w:widowControl w:val="0"/>
      <w:tabs>
        <w:tab w:val="left" w:pos="8505"/>
      </w:tabs>
      <w:adjustRightInd w:val="0"/>
      <w:spacing w:before="0"/>
      <w:jc w:val="both"/>
      <w:textAlignment w:val="baseline"/>
    </w:pPr>
    <w:rPr>
      <w:rFonts w:cs="Arial"/>
      <w:sz w:val="24"/>
    </w:rPr>
  </w:style>
  <w:style w:type="paragraph" w:styleId="BodyTextFirstIndent2">
    <w:name w:val="Body Text First Indent 2"/>
    <w:basedOn w:val="BodyTextIndent"/>
    <w:link w:val="BodyTextFirstIndent2Char"/>
    <w:rsid w:val="000F5341"/>
    <w:pPr>
      <w:spacing w:before="480" w:line="480" w:lineRule="auto"/>
      <w:ind w:left="0" w:firstLine="720"/>
    </w:pPr>
  </w:style>
  <w:style w:type="paragraph" w:customStyle="1" w:styleId="bullet11">
    <w:name w:val="bullet 1.1"/>
    <w:basedOn w:val="Normal"/>
    <w:rsid w:val="000F7B76"/>
    <w:pPr>
      <w:widowControl w:val="0"/>
      <w:tabs>
        <w:tab w:val="left" w:pos="567"/>
      </w:tabs>
      <w:suppressAutoHyphens/>
      <w:autoSpaceDE w:val="0"/>
      <w:autoSpaceDN w:val="0"/>
      <w:adjustRightInd w:val="0"/>
      <w:spacing w:after="120"/>
      <w:ind w:left="567" w:hanging="567"/>
      <w:jc w:val="both"/>
      <w:textAlignment w:val="center"/>
    </w:pPr>
    <w:rPr>
      <w:rFonts w:ascii="Times New Roman" w:hAnsi="Times New Roman"/>
      <w:color w:val="000000"/>
      <w:spacing w:val="-2"/>
      <w:sz w:val="24"/>
      <w:lang w:val="en-GB"/>
    </w:rPr>
  </w:style>
  <w:style w:type="paragraph" w:customStyle="1" w:styleId="Indentiaftera">
    <w:name w:val="Indent (i) after (a)"/>
    <w:basedOn w:val="Normal"/>
    <w:rsid w:val="000F7B76"/>
    <w:pPr>
      <w:widowControl w:val="0"/>
      <w:tabs>
        <w:tab w:val="left" w:pos="980"/>
        <w:tab w:val="left" w:pos="1340"/>
      </w:tabs>
      <w:suppressAutoHyphens/>
      <w:autoSpaceDE w:val="0"/>
      <w:autoSpaceDN w:val="0"/>
      <w:adjustRightInd w:val="0"/>
      <w:spacing w:before="28" w:line="250" w:lineRule="atLeast"/>
      <w:ind w:left="1340" w:hanging="783"/>
      <w:jc w:val="both"/>
      <w:textAlignment w:val="center"/>
    </w:pPr>
    <w:rPr>
      <w:rFonts w:ascii="Times New Roman" w:hAnsi="Times New Roman"/>
      <w:color w:val="000000"/>
      <w:spacing w:val="-2"/>
      <w:sz w:val="24"/>
      <w:lang w:val="en-GB"/>
    </w:rPr>
  </w:style>
  <w:style w:type="character" w:customStyle="1" w:styleId="FootnoteTextChar2Char1">
    <w:name w:val="Footnote Text Char2 Char1"/>
    <w:aliases w:val="Footnote Text Char1 Char Char Char1,Footnote Text Char Char1 Char Char Char1,Footnote Text Char1 Char1 Char1,Footnote Text Char Char1 Char1 Char1,Footnote Text Char1 Char Char2"/>
    <w:locked/>
    <w:rsid w:val="000F7B76"/>
    <w:rPr>
      <w:rFonts w:ascii="Times New Roman" w:hAnsi="Times New Roman" w:cs="Times New Roman"/>
    </w:rPr>
  </w:style>
  <w:style w:type="character" w:styleId="Emphasis">
    <w:name w:val="Emphasis"/>
    <w:rsid w:val="000F7B76"/>
    <w:rPr>
      <w:rFonts w:cs="Times New Roman"/>
      <w:i/>
      <w:iCs/>
    </w:rPr>
  </w:style>
  <w:style w:type="paragraph" w:customStyle="1" w:styleId="Heading40">
    <w:name w:val="Heading4"/>
    <w:basedOn w:val="Normal"/>
    <w:rsid w:val="000F7B76"/>
    <w:pPr>
      <w:keepNext/>
      <w:widowControl w:val="0"/>
      <w:adjustRightInd w:val="0"/>
      <w:spacing w:before="180" w:after="120" w:line="264" w:lineRule="auto"/>
      <w:jc w:val="both"/>
      <w:textAlignment w:val="baseline"/>
    </w:pPr>
    <w:rPr>
      <w:rFonts w:ascii="Garamond" w:eastAsia="Calibri" w:hAnsi="Garamond"/>
      <w:b/>
      <w:sz w:val="24"/>
      <w:szCs w:val="20"/>
      <w:lang w:eastAsia="en-AU"/>
    </w:rPr>
  </w:style>
  <w:style w:type="paragraph" w:styleId="NoSpacing">
    <w:name w:val="No Spacing"/>
    <w:link w:val="NoSpacingChar"/>
    <w:uiPriority w:val="1"/>
    <w:rsid w:val="000F7B76"/>
    <w:pPr>
      <w:widowControl w:val="0"/>
      <w:adjustRightInd w:val="0"/>
      <w:spacing w:line="360" w:lineRule="atLeast"/>
      <w:jc w:val="both"/>
      <w:textAlignment w:val="baseline"/>
    </w:pPr>
    <w:rPr>
      <w:sz w:val="24"/>
      <w:szCs w:val="22"/>
      <w:lang w:eastAsia="en-US"/>
    </w:rPr>
  </w:style>
  <w:style w:type="character" w:customStyle="1" w:styleId="BodyTextFirstIndent2Char">
    <w:name w:val="Body Text First Indent 2 Char"/>
    <w:basedOn w:val="BodyTextIndentChar"/>
    <w:link w:val="BodyTextFirstIndent2"/>
    <w:rsid w:val="000F5341"/>
    <w:rPr>
      <w:sz w:val="24"/>
      <w:szCs w:val="24"/>
    </w:rPr>
  </w:style>
  <w:style w:type="paragraph" w:customStyle="1" w:styleId="PDDLevel1">
    <w:name w:val="PDD Level 1"/>
    <w:basedOn w:val="Heading1"/>
    <w:next w:val="PDDLevel2"/>
    <w:rsid w:val="006F2794"/>
    <w:pPr>
      <w:numPr>
        <w:numId w:val="12"/>
      </w:numPr>
      <w:tabs>
        <w:tab w:val="left" w:pos="426"/>
      </w:tabs>
      <w:spacing w:after="160"/>
    </w:pPr>
    <w:rPr>
      <w:rFonts w:ascii="Arial Narrow" w:hAnsi="Arial Narrow" w:cs="Times New Roman"/>
      <w:bCs/>
      <w:caps/>
      <w:color w:val="000080"/>
      <w:sz w:val="24"/>
      <w:szCs w:val="24"/>
      <w:lang w:eastAsia="en-US"/>
    </w:rPr>
  </w:style>
  <w:style w:type="paragraph" w:customStyle="1" w:styleId="PDDLevel2">
    <w:name w:val="PDD Level 2"/>
    <w:basedOn w:val="Heading2"/>
    <w:next w:val="Normal"/>
    <w:rsid w:val="006F2794"/>
    <w:pPr>
      <w:numPr>
        <w:numId w:val="12"/>
      </w:numPr>
      <w:tabs>
        <w:tab w:val="left" w:pos="426"/>
      </w:tabs>
    </w:pPr>
    <w:rPr>
      <w:rFonts w:ascii="Arial Narrow" w:hAnsi="Arial Narrow" w:cs="Times New Roman"/>
      <w:iCs w:val="0"/>
      <w:szCs w:val="24"/>
      <w:lang w:eastAsia="en-US"/>
    </w:rPr>
  </w:style>
  <w:style w:type="paragraph" w:customStyle="1" w:styleId="PDDLevel4">
    <w:name w:val="PDD Level 4"/>
    <w:basedOn w:val="Heading4"/>
    <w:next w:val="Normal"/>
    <w:rsid w:val="006F2794"/>
    <w:pPr>
      <w:keepNext/>
      <w:numPr>
        <w:numId w:val="12"/>
      </w:numPr>
      <w:spacing w:before="120" w:after="0"/>
      <w:jc w:val="left"/>
    </w:pPr>
    <w:rPr>
      <w:rFonts w:ascii="Arial Narrow" w:hAnsi="Arial Narrow"/>
      <w:bCs/>
      <w:i/>
      <w:iCs/>
      <w:sz w:val="24"/>
      <w:szCs w:val="28"/>
      <w:lang w:val="en-AU"/>
    </w:rPr>
  </w:style>
  <w:style w:type="paragraph" w:customStyle="1" w:styleId="IntroSectionLevel2">
    <w:name w:val="Intro Section Level 2"/>
    <w:basedOn w:val="Normal"/>
    <w:rsid w:val="006F2794"/>
    <w:pPr>
      <w:spacing w:before="0" w:after="80"/>
    </w:pPr>
    <w:rPr>
      <w:rFonts w:ascii="Arial Narrow" w:hAnsi="Arial Narrow"/>
      <w:b/>
      <w:bCs/>
      <w:color w:val="008000"/>
      <w:sz w:val="24"/>
      <w:szCs w:val="20"/>
    </w:rPr>
  </w:style>
  <w:style w:type="paragraph" w:styleId="EndnoteText">
    <w:name w:val="endnote text"/>
    <w:basedOn w:val="Normal"/>
    <w:link w:val="EndnoteTextChar"/>
    <w:uiPriority w:val="99"/>
    <w:rsid w:val="008C07B3"/>
    <w:pPr>
      <w:spacing w:before="0"/>
    </w:pPr>
    <w:rPr>
      <w:szCs w:val="20"/>
    </w:rPr>
  </w:style>
  <w:style w:type="character" w:customStyle="1" w:styleId="EndnoteTextChar">
    <w:name w:val="Endnote Text Char"/>
    <w:link w:val="EndnoteText"/>
    <w:uiPriority w:val="99"/>
    <w:rsid w:val="008C07B3"/>
    <w:rPr>
      <w:rFonts w:ascii="Arial" w:hAnsi="Arial"/>
      <w:lang w:eastAsia="en-US"/>
    </w:rPr>
  </w:style>
  <w:style w:type="numbering" w:customStyle="1" w:styleId="ListBullets">
    <w:name w:val="ListBullets"/>
    <w:uiPriority w:val="99"/>
    <w:rsid w:val="008C07B3"/>
    <w:pPr>
      <w:numPr>
        <w:numId w:val="13"/>
      </w:numPr>
    </w:pPr>
  </w:style>
  <w:style w:type="paragraph" w:customStyle="1" w:styleId="ColorfulList-Accent11">
    <w:name w:val="Colorful List - Accent 11"/>
    <w:aliases w:val="List Paragraph - Dani,List Paragraph 1 - Dani"/>
    <w:basedOn w:val="Normal"/>
    <w:uiPriority w:val="34"/>
    <w:qFormat/>
    <w:rsid w:val="008C07B3"/>
    <w:pPr>
      <w:numPr>
        <w:numId w:val="14"/>
      </w:numPr>
      <w:tabs>
        <w:tab w:val="num" w:pos="360"/>
      </w:tabs>
      <w:spacing w:before="0" w:after="120"/>
      <w:ind w:left="0" w:firstLine="0"/>
      <w:contextualSpacing/>
    </w:pPr>
    <w:rPr>
      <w:rFonts w:eastAsia="Calibri" w:cs="Arial"/>
      <w:sz w:val="22"/>
      <w:szCs w:val="22"/>
      <w:lang w:val="en-NZ" w:eastAsia="en-AU"/>
    </w:rPr>
  </w:style>
  <w:style w:type="paragraph" w:styleId="BodyTextIndent2">
    <w:name w:val="Body Text Indent 2"/>
    <w:basedOn w:val="Normal"/>
    <w:link w:val="BodyTextIndent2Char"/>
    <w:rsid w:val="000F5341"/>
    <w:pPr>
      <w:widowControl w:val="0"/>
      <w:adjustRightInd w:val="0"/>
      <w:spacing w:before="480" w:line="480" w:lineRule="auto"/>
      <w:ind w:left="720"/>
      <w:jc w:val="both"/>
      <w:textAlignment w:val="baseline"/>
    </w:pPr>
    <w:rPr>
      <w:rFonts w:ascii="Times New Roman" w:hAnsi="Times New Roman"/>
      <w:sz w:val="24"/>
    </w:rPr>
  </w:style>
  <w:style w:type="paragraph" w:styleId="NormalWeb">
    <w:name w:val="Normal (Web)"/>
    <w:basedOn w:val="Normal"/>
    <w:uiPriority w:val="99"/>
    <w:rsid w:val="00CD2B3A"/>
    <w:pPr>
      <w:spacing w:before="100" w:beforeAutospacing="1" w:after="115"/>
    </w:pPr>
    <w:rPr>
      <w:rFonts w:ascii="Times" w:eastAsia="Times" w:hAnsi="Times"/>
      <w:szCs w:val="20"/>
      <w:lang w:val="en-US"/>
    </w:rPr>
  </w:style>
  <w:style w:type="paragraph" w:customStyle="1" w:styleId="Pa4">
    <w:name w:val="Pa4"/>
    <w:basedOn w:val="Default"/>
    <w:next w:val="Default"/>
    <w:uiPriority w:val="99"/>
    <w:rsid w:val="00CD2B3A"/>
    <w:pPr>
      <w:spacing w:line="191" w:lineRule="atLeast"/>
    </w:pPr>
    <w:rPr>
      <w:rFonts w:ascii="The Sans" w:eastAsia="Calibri" w:hAnsi="The Sans" w:cs="Times New Roman"/>
      <w:color w:val="auto"/>
      <w:lang w:eastAsia="en-US" w:bidi="ar-SA"/>
    </w:rPr>
  </w:style>
  <w:style w:type="character" w:customStyle="1" w:styleId="A2">
    <w:name w:val="A2"/>
    <w:uiPriority w:val="99"/>
    <w:rsid w:val="00CD2B3A"/>
    <w:rPr>
      <w:rFonts w:cs="Helvetica 55 Roman"/>
      <w:color w:val="000000"/>
      <w:sz w:val="16"/>
      <w:szCs w:val="16"/>
    </w:rPr>
  </w:style>
  <w:style w:type="character" w:customStyle="1" w:styleId="BodyTextIndent2Char">
    <w:name w:val="Body Text Indent 2 Char"/>
    <w:basedOn w:val="DefaultParagraphFont"/>
    <w:link w:val="BodyTextIndent2"/>
    <w:rsid w:val="000F5341"/>
    <w:rPr>
      <w:sz w:val="24"/>
      <w:szCs w:val="24"/>
    </w:rPr>
  </w:style>
  <w:style w:type="paragraph" w:customStyle="1" w:styleId="5SubjectTitle">
    <w:name w:val="5. Subject/Title"/>
    <w:basedOn w:val="Normal"/>
    <w:rsid w:val="007D3192"/>
    <w:pPr>
      <w:numPr>
        <w:numId w:val="15"/>
      </w:numPr>
      <w:spacing w:before="0" w:after="120"/>
      <w:jc w:val="both"/>
    </w:pPr>
    <w:rPr>
      <w:rFonts w:eastAsia="MS Mincho"/>
      <w:lang w:val="en-US"/>
    </w:rPr>
  </w:style>
  <w:style w:type="table" w:styleId="LightGrid-Accent3">
    <w:name w:val="Light Grid Accent 3"/>
    <w:basedOn w:val="TableNormal"/>
    <w:uiPriority w:val="62"/>
    <w:rsid w:val="002C0785"/>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Light" w:eastAsia="MS Gothic"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MS Gothic"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CoverText">
    <w:name w:val="CoverText"/>
    <w:basedOn w:val="Normal"/>
    <w:rsid w:val="002C0785"/>
    <w:pPr>
      <w:spacing w:before="0" w:after="200" w:line="260" w:lineRule="atLeast"/>
      <w:ind w:left="57"/>
    </w:pPr>
    <w:rPr>
      <w:rFonts w:eastAsia="MS Mincho"/>
      <w:szCs w:val="22"/>
      <w:lang w:eastAsia="en-AU"/>
    </w:rPr>
  </w:style>
  <w:style w:type="character" w:customStyle="1" w:styleId="apple-tab-span">
    <w:name w:val="apple-tab-span"/>
    <w:rsid w:val="00824BEB"/>
  </w:style>
  <w:style w:type="character" w:customStyle="1" w:styleId="menu-title">
    <w:name w:val="menu-title"/>
    <w:rsid w:val="00A0337A"/>
  </w:style>
  <w:style w:type="paragraph" w:customStyle="1" w:styleId="BodyText1">
    <w:name w:val="Body Text1"/>
    <w:rsid w:val="000F5341"/>
    <w:pPr>
      <w:widowControl w:val="0"/>
      <w:autoSpaceDE w:val="0"/>
      <w:autoSpaceDN w:val="0"/>
      <w:adjustRightInd w:val="0"/>
      <w:spacing w:before="113" w:after="113" w:line="280" w:lineRule="atLeast"/>
      <w:jc w:val="both"/>
      <w:textAlignment w:val="baseline"/>
    </w:pPr>
    <w:rPr>
      <w:color w:val="000000"/>
      <w:sz w:val="24"/>
      <w:szCs w:val="24"/>
      <w:lang w:val="en-US" w:eastAsia="en-US"/>
    </w:rPr>
  </w:style>
  <w:style w:type="character" w:customStyle="1" w:styleId="CharChar5">
    <w:name w:val="Char Char5"/>
    <w:locked/>
    <w:rsid w:val="000F5341"/>
    <w:rPr>
      <w:sz w:val="24"/>
      <w:szCs w:val="24"/>
      <w:lang w:val="en-AU" w:eastAsia="en-US" w:bidi="ar-SA"/>
    </w:rPr>
  </w:style>
  <w:style w:type="paragraph" w:customStyle="1" w:styleId="TableHeading">
    <w:name w:val="Table Heading"/>
    <w:basedOn w:val="BodyText"/>
    <w:rsid w:val="000F5341"/>
    <w:pPr>
      <w:spacing w:after="0" w:line="276" w:lineRule="auto"/>
    </w:pPr>
    <w:rPr>
      <w:rFonts w:ascii="Verdana" w:hAnsi="Verdana"/>
      <w:b/>
      <w:sz w:val="18"/>
      <w:lang w:val="en-NZ" w:eastAsia="en-US" w:bidi="ar-DZ"/>
    </w:rPr>
  </w:style>
  <w:style w:type="character" w:customStyle="1" w:styleId="bookabs">
    <w:name w:val="bookabs"/>
    <w:rsid w:val="000F5341"/>
  </w:style>
  <w:style w:type="character" w:customStyle="1" w:styleId="NoSpacingChar">
    <w:name w:val="No Spacing Char"/>
    <w:link w:val="NoSpacing"/>
    <w:uiPriority w:val="1"/>
    <w:locked/>
    <w:rsid w:val="000F5341"/>
    <w:rPr>
      <w:sz w:val="24"/>
      <w:szCs w:val="22"/>
      <w:lang w:eastAsia="en-US"/>
    </w:rPr>
  </w:style>
  <w:style w:type="paragraph" w:customStyle="1" w:styleId="annexheading">
    <w:name w:val="annex heading"/>
    <w:basedOn w:val="Heading1"/>
    <w:rsid w:val="007D3192"/>
    <w:pPr>
      <w:numPr>
        <w:numId w:val="0"/>
      </w:numPr>
    </w:pPr>
    <w:rPr>
      <w:sz w:val="32"/>
    </w:rPr>
  </w:style>
  <w:style w:type="paragraph" w:customStyle="1" w:styleId="annexsubheading">
    <w:name w:val="annex subheading"/>
    <w:basedOn w:val="Heading2"/>
    <w:rsid w:val="00E71325"/>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3887">
      <w:bodyDiv w:val="1"/>
      <w:marLeft w:val="0"/>
      <w:marRight w:val="0"/>
      <w:marTop w:val="0"/>
      <w:marBottom w:val="0"/>
      <w:divBdr>
        <w:top w:val="none" w:sz="0" w:space="0" w:color="auto"/>
        <w:left w:val="none" w:sz="0" w:space="0" w:color="auto"/>
        <w:bottom w:val="none" w:sz="0" w:space="0" w:color="auto"/>
        <w:right w:val="none" w:sz="0" w:space="0" w:color="auto"/>
      </w:divBdr>
    </w:div>
    <w:div w:id="31269868">
      <w:bodyDiv w:val="1"/>
      <w:marLeft w:val="0"/>
      <w:marRight w:val="0"/>
      <w:marTop w:val="0"/>
      <w:marBottom w:val="0"/>
      <w:divBdr>
        <w:top w:val="none" w:sz="0" w:space="0" w:color="auto"/>
        <w:left w:val="none" w:sz="0" w:space="0" w:color="auto"/>
        <w:bottom w:val="none" w:sz="0" w:space="0" w:color="auto"/>
        <w:right w:val="none" w:sz="0" w:space="0" w:color="auto"/>
      </w:divBdr>
    </w:div>
    <w:div w:id="163906331">
      <w:bodyDiv w:val="1"/>
      <w:marLeft w:val="0"/>
      <w:marRight w:val="0"/>
      <w:marTop w:val="0"/>
      <w:marBottom w:val="0"/>
      <w:divBdr>
        <w:top w:val="none" w:sz="0" w:space="0" w:color="auto"/>
        <w:left w:val="none" w:sz="0" w:space="0" w:color="auto"/>
        <w:bottom w:val="none" w:sz="0" w:space="0" w:color="auto"/>
        <w:right w:val="none" w:sz="0" w:space="0" w:color="auto"/>
      </w:divBdr>
    </w:div>
    <w:div w:id="216937054">
      <w:bodyDiv w:val="1"/>
      <w:marLeft w:val="0"/>
      <w:marRight w:val="0"/>
      <w:marTop w:val="0"/>
      <w:marBottom w:val="0"/>
      <w:divBdr>
        <w:top w:val="none" w:sz="0" w:space="0" w:color="auto"/>
        <w:left w:val="none" w:sz="0" w:space="0" w:color="auto"/>
        <w:bottom w:val="none" w:sz="0" w:space="0" w:color="auto"/>
        <w:right w:val="none" w:sz="0" w:space="0" w:color="auto"/>
      </w:divBdr>
    </w:div>
    <w:div w:id="266893957">
      <w:bodyDiv w:val="1"/>
      <w:marLeft w:val="0"/>
      <w:marRight w:val="0"/>
      <w:marTop w:val="0"/>
      <w:marBottom w:val="0"/>
      <w:divBdr>
        <w:top w:val="none" w:sz="0" w:space="0" w:color="auto"/>
        <w:left w:val="none" w:sz="0" w:space="0" w:color="auto"/>
        <w:bottom w:val="none" w:sz="0" w:space="0" w:color="auto"/>
        <w:right w:val="none" w:sz="0" w:space="0" w:color="auto"/>
      </w:divBdr>
    </w:div>
    <w:div w:id="292104953">
      <w:bodyDiv w:val="1"/>
      <w:marLeft w:val="0"/>
      <w:marRight w:val="0"/>
      <w:marTop w:val="0"/>
      <w:marBottom w:val="0"/>
      <w:divBdr>
        <w:top w:val="none" w:sz="0" w:space="0" w:color="auto"/>
        <w:left w:val="none" w:sz="0" w:space="0" w:color="auto"/>
        <w:bottom w:val="none" w:sz="0" w:space="0" w:color="auto"/>
        <w:right w:val="none" w:sz="0" w:space="0" w:color="auto"/>
      </w:divBdr>
    </w:div>
    <w:div w:id="336538419">
      <w:bodyDiv w:val="1"/>
      <w:marLeft w:val="0"/>
      <w:marRight w:val="0"/>
      <w:marTop w:val="0"/>
      <w:marBottom w:val="0"/>
      <w:divBdr>
        <w:top w:val="none" w:sz="0" w:space="0" w:color="auto"/>
        <w:left w:val="none" w:sz="0" w:space="0" w:color="auto"/>
        <w:bottom w:val="none" w:sz="0" w:space="0" w:color="auto"/>
        <w:right w:val="none" w:sz="0" w:space="0" w:color="auto"/>
      </w:divBdr>
    </w:div>
    <w:div w:id="366373353">
      <w:bodyDiv w:val="1"/>
      <w:marLeft w:val="0"/>
      <w:marRight w:val="0"/>
      <w:marTop w:val="0"/>
      <w:marBottom w:val="0"/>
      <w:divBdr>
        <w:top w:val="none" w:sz="0" w:space="0" w:color="auto"/>
        <w:left w:val="none" w:sz="0" w:space="0" w:color="auto"/>
        <w:bottom w:val="none" w:sz="0" w:space="0" w:color="auto"/>
        <w:right w:val="none" w:sz="0" w:space="0" w:color="auto"/>
      </w:divBdr>
    </w:div>
    <w:div w:id="541862613">
      <w:bodyDiv w:val="1"/>
      <w:marLeft w:val="0"/>
      <w:marRight w:val="0"/>
      <w:marTop w:val="0"/>
      <w:marBottom w:val="0"/>
      <w:divBdr>
        <w:top w:val="none" w:sz="0" w:space="0" w:color="auto"/>
        <w:left w:val="none" w:sz="0" w:space="0" w:color="auto"/>
        <w:bottom w:val="none" w:sz="0" w:space="0" w:color="auto"/>
        <w:right w:val="none" w:sz="0" w:space="0" w:color="auto"/>
      </w:divBdr>
    </w:div>
    <w:div w:id="546845137">
      <w:bodyDiv w:val="1"/>
      <w:marLeft w:val="0"/>
      <w:marRight w:val="0"/>
      <w:marTop w:val="0"/>
      <w:marBottom w:val="0"/>
      <w:divBdr>
        <w:top w:val="none" w:sz="0" w:space="0" w:color="auto"/>
        <w:left w:val="none" w:sz="0" w:space="0" w:color="auto"/>
        <w:bottom w:val="none" w:sz="0" w:space="0" w:color="auto"/>
        <w:right w:val="none" w:sz="0" w:space="0" w:color="auto"/>
      </w:divBdr>
    </w:div>
    <w:div w:id="937522258">
      <w:bodyDiv w:val="1"/>
      <w:marLeft w:val="0"/>
      <w:marRight w:val="0"/>
      <w:marTop w:val="0"/>
      <w:marBottom w:val="0"/>
      <w:divBdr>
        <w:top w:val="none" w:sz="0" w:space="0" w:color="auto"/>
        <w:left w:val="none" w:sz="0" w:space="0" w:color="auto"/>
        <w:bottom w:val="none" w:sz="0" w:space="0" w:color="auto"/>
        <w:right w:val="none" w:sz="0" w:space="0" w:color="auto"/>
      </w:divBdr>
    </w:div>
    <w:div w:id="1101217447">
      <w:bodyDiv w:val="1"/>
      <w:marLeft w:val="0"/>
      <w:marRight w:val="0"/>
      <w:marTop w:val="0"/>
      <w:marBottom w:val="0"/>
      <w:divBdr>
        <w:top w:val="none" w:sz="0" w:space="0" w:color="auto"/>
        <w:left w:val="none" w:sz="0" w:space="0" w:color="auto"/>
        <w:bottom w:val="none" w:sz="0" w:space="0" w:color="auto"/>
        <w:right w:val="none" w:sz="0" w:space="0" w:color="auto"/>
      </w:divBdr>
    </w:div>
    <w:div w:id="1150949155">
      <w:bodyDiv w:val="1"/>
      <w:marLeft w:val="0"/>
      <w:marRight w:val="0"/>
      <w:marTop w:val="0"/>
      <w:marBottom w:val="0"/>
      <w:divBdr>
        <w:top w:val="none" w:sz="0" w:space="0" w:color="auto"/>
        <w:left w:val="none" w:sz="0" w:space="0" w:color="auto"/>
        <w:bottom w:val="none" w:sz="0" w:space="0" w:color="auto"/>
        <w:right w:val="none" w:sz="0" w:space="0" w:color="auto"/>
      </w:divBdr>
    </w:div>
    <w:div w:id="1195848169">
      <w:bodyDiv w:val="1"/>
      <w:marLeft w:val="0"/>
      <w:marRight w:val="0"/>
      <w:marTop w:val="0"/>
      <w:marBottom w:val="0"/>
      <w:divBdr>
        <w:top w:val="none" w:sz="0" w:space="0" w:color="auto"/>
        <w:left w:val="none" w:sz="0" w:space="0" w:color="auto"/>
        <w:bottom w:val="none" w:sz="0" w:space="0" w:color="auto"/>
        <w:right w:val="none" w:sz="0" w:space="0" w:color="auto"/>
      </w:divBdr>
    </w:div>
    <w:div w:id="1285455571">
      <w:bodyDiv w:val="1"/>
      <w:marLeft w:val="0"/>
      <w:marRight w:val="0"/>
      <w:marTop w:val="0"/>
      <w:marBottom w:val="0"/>
      <w:divBdr>
        <w:top w:val="none" w:sz="0" w:space="0" w:color="auto"/>
        <w:left w:val="none" w:sz="0" w:space="0" w:color="auto"/>
        <w:bottom w:val="none" w:sz="0" w:space="0" w:color="auto"/>
        <w:right w:val="none" w:sz="0" w:space="0" w:color="auto"/>
      </w:divBdr>
    </w:div>
    <w:div w:id="1329482002">
      <w:bodyDiv w:val="1"/>
      <w:marLeft w:val="0"/>
      <w:marRight w:val="0"/>
      <w:marTop w:val="0"/>
      <w:marBottom w:val="0"/>
      <w:divBdr>
        <w:top w:val="none" w:sz="0" w:space="0" w:color="auto"/>
        <w:left w:val="none" w:sz="0" w:space="0" w:color="auto"/>
        <w:bottom w:val="none" w:sz="0" w:space="0" w:color="auto"/>
        <w:right w:val="none" w:sz="0" w:space="0" w:color="auto"/>
      </w:divBdr>
    </w:div>
    <w:div w:id="1399553548">
      <w:bodyDiv w:val="1"/>
      <w:marLeft w:val="0"/>
      <w:marRight w:val="0"/>
      <w:marTop w:val="0"/>
      <w:marBottom w:val="0"/>
      <w:divBdr>
        <w:top w:val="none" w:sz="0" w:space="0" w:color="auto"/>
        <w:left w:val="none" w:sz="0" w:space="0" w:color="auto"/>
        <w:bottom w:val="none" w:sz="0" w:space="0" w:color="auto"/>
        <w:right w:val="none" w:sz="0" w:space="0" w:color="auto"/>
      </w:divBdr>
    </w:div>
    <w:div w:id="1461992941">
      <w:bodyDiv w:val="1"/>
      <w:marLeft w:val="0"/>
      <w:marRight w:val="0"/>
      <w:marTop w:val="0"/>
      <w:marBottom w:val="0"/>
      <w:divBdr>
        <w:top w:val="none" w:sz="0" w:space="0" w:color="auto"/>
        <w:left w:val="none" w:sz="0" w:space="0" w:color="auto"/>
        <w:bottom w:val="none" w:sz="0" w:space="0" w:color="auto"/>
        <w:right w:val="none" w:sz="0" w:space="0" w:color="auto"/>
      </w:divBdr>
    </w:div>
    <w:div w:id="1471433828">
      <w:bodyDiv w:val="1"/>
      <w:marLeft w:val="0"/>
      <w:marRight w:val="0"/>
      <w:marTop w:val="0"/>
      <w:marBottom w:val="0"/>
      <w:divBdr>
        <w:top w:val="none" w:sz="0" w:space="0" w:color="auto"/>
        <w:left w:val="none" w:sz="0" w:space="0" w:color="auto"/>
        <w:bottom w:val="none" w:sz="0" w:space="0" w:color="auto"/>
        <w:right w:val="none" w:sz="0" w:space="0" w:color="auto"/>
      </w:divBdr>
    </w:div>
    <w:div w:id="1582832131">
      <w:bodyDiv w:val="1"/>
      <w:marLeft w:val="0"/>
      <w:marRight w:val="0"/>
      <w:marTop w:val="0"/>
      <w:marBottom w:val="0"/>
      <w:divBdr>
        <w:top w:val="none" w:sz="0" w:space="0" w:color="auto"/>
        <w:left w:val="none" w:sz="0" w:space="0" w:color="auto"/>
        <w:bottom w:val="none" w:sz="0" w:space="0" w:color="auto"/>
        <w:right w:val="none" w:sz="0" w:space="0" w:color="auto"/>
      </w:divBdr>
    </w:div>
    <w:div w:id="1602908682">
      <w:bodyDiv w:val="1"/>
      <w:marLeft w:val="0"/>
      <w:marRight w:val="0"/>
      <w:marTop w:val="0"/>
      <w:marBottom w:val="0"/>
      <w:divBdr>
        <w:top w:val="none" w:sz="0" w:space="0" w:color="auto"/>
        <w:left w:val="none" w:sz="0" w:space="0" w:color="auto"/>
        <w:bottom w:val="none" w:sz="0" w:space="0" w:color="auto"/>
        <w:right w:val="none" w:sz="0" w:space="0" w:color="auto"/>
      </w:divBdr>
    </w:div>
    <w:div w:id="1807157129">
      <w:bodyDiv w:val="1"/>
      <w:marLeft w:val="0"/>
      <w:marRight w:val="0"/>
      <w:marTop w:val="0"/>
      <w:marBottom w:val="0"/>
      <w:divBdr>
        <w:top w:val="none" w:sz="0" w:space="0" w:color="auto"/>
        <w:left w:val="none" w:sz="0" w:space="0" w:color="auto"/>
        <w:bottom w:val="none" w:sz="0" w:space="0" w:color="auto"/>
        <w:right w:val="none" w:sz="0" w:space="0" w:color="auto"/>
      </w:divBdr>
    </w:div>
    <w:div w:id="1922060600">
      <w:bodyDiv w:val="1"/>
      <w:marLeft w:val="0"/>
      <w:marRight w:val="0"/>
      <w:marTop w:val="0"/>
      <w:marBottom w:val="0"/>
      <w:divBdr>
        <w:top w:val="none" w:sz="0" w:space="0" w:color="auto"/>
        <w:left w:val="none" w:sz="0" w:space="0" w:color="auto"/>
        <w:bottom w:val="none" w:sz="0" w:space="0" w:color="auto"/>
        <w:right w:val="none" w:sz="0" w:space="0" w:color="auto"/>
      </w:divBdr>
    </w:div>
    <w:div w:id="1943223784">
      <w:bodyDiv w:val="1"/>
      <w:marLeft w:val="0"/>
      <w:marRight w:val="0"/>
      <w:marTop w:val="0"/>
      <w:marBottom w:val="0"/>
      <w:divBdr>
        <w:top w:val="none" w:sz="0" w:space="0" w:color="auto"/>
        <w:left w:val="none" w:sz="0" w:space="0" w:color="auto"/>
        <w:bottom w:val="none" w:sz="0" w:space="0" w:color="auto"/>
        <w:right w:val="none" w:sz="0" w:space="0" w:color="auto"/>
      </w:divBdr>
    </w:div>
    <w:div w:id="1954093110">
      <w:bodyDiv w:val="1"/>
      <w:marLeft w:val="0"/>
      <w:marRight w:val="0"/>
      <w:marTop w:val="0"/>
      <w:marBottom w:val="0"/>
      <w:divBdr>
        <w:top w:val="none" w:sz="0" w:space="0" w:color="auto"/>
        <w:left w:val="none" w:sz="0" w:space="0" w:color="auto"/>
        <w:bottom w:val="none" w:sz="0" w:space="0" w:color="auto"/>
        <w:right w:val="none" w:sz="0" w:space="0" w:color="auto"/>
      </w:divBdr>
    </w:div>
    <w:div w:id="2062555845">
      <w:bodyDiv w:val="1"/>
      <w:marLeft w:val="0"/>
      <w:marRight w:val="0"/>
      <w:marTop w:val="0"/>
      <w:marBottom w:val="0"/>
      <w:divBdr>
        <w:top w:val="none" w:sz="0" w:space="0" w:color="auto"/>
        <w:left w:val="none" w:sz="0" w:space="0" w:color="auto"/>
        <w:bottom w:val="none" w:sz="0" w:space="0" w:color="auto"/>
        <w:right w:val="none" w:sz="0" w:space="0" w:color="auto"/>
      </w:divBdr>
    </w:div>
    <w:div w:id="213282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bout.comesa.int/index.php?option=com_content&amp;view=article&amp;id=90&amp;Itemid=172" TargetMode="External"/><Relationship Id="rId21" Type="http://schemas.openxmlformats.org/officeDocument/2006/relationships/hyperlink" Target="http://www.nepad.org/regionalintegrationandinfrastructure" TargetMode="External"/><Relationship Id="rId42" Type="http://schemas.openxmlformats.org/officeDocument/2006/relationships/hyperlink" Target="http://about.comesa.int/index.php?option=com_content&amp;view=article&amp;id=93&amp;Itemid=188" TargetMode="External"/><Relationship Id="rId47" Type="http://schemas.openxmlformats.org/officeDocument/2006/relationships/hyperlink" Target="http://www.sadc.int/member-states/madagascar/" TargetMode="External"/><Relationship Id="rId63" Type="http://schemas.openxmlformats.org/officeDocument/2006/relationships/header" Target="header6.xml"/><Relationship Id="rId68"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about.comesa.int/index.php?option=com_content&amp;view=article&amp;id=91&amp;Itemid=175" TargetMode="External"/><Relationship Id="rId11" Type="http://schemas.openxmlformats.org/officeDocument/2006/relationships/header" Target="header1.xml"/><Relationship Id="rId24" Type="http://schemas.openxmlformats.org/officeDocument/2006/relationships/hyperlink" Target="http://www.nepad.org/crosscuttingissues" TargetMode="External"/><Relationship Id="rId32" Type="http://schemas.openxmlformats.org/officeDocument/2006/relationships/hyperlink" Target="http://about.comesa.int/index.php?option=com_content&amp;view=article&amp;id=92&amp;Itemid=178" TargetMode="External"/><Relationship Id="rId37" Type="http://schemas.openxmlformats.org/officeDocument/2006/relationships/hyperlink" Target="http://about.comesa.int/index.php?option=com_content&amp;view=article&amp;id=104&amp;Itemid=183" TargetMode="External"/><Relationship Id="rId40" Type="http://schemas.openxmlformats.org/officeDocument/2006/relationships/hyperlink" Target="http://about.comesa.int/index.php?option=com_content&amp;view=article&amp;id=107&amp;Itemid=186" TargetMode="External"/><Relationship Id="rId45" Type="http://schemas.openxmlformats.org/officeDocument/2006/relationships/hyperlink" Target="http://www.sadc.int/member-states/botswana/" TargetMode="External"/><Relationship Id="rId53" Type="http://schemas.openxmlformats.org/officeDocument/2006/relationships/hyperlink" Target="http://www.sadc.int/member-states/south-africa/" TargetMode="External"/><Relationship Id="rId58" Type="http://schemas.openxmlformats.org/officeDocument/2006/relationships/hyperlink" Target="http://www.qutguild.com/clubs/international/qutAustralia%20Awardsafrica" TargetMode="External"/><Relationship Id="rId66" Type="http://schemas.microsoft.com/office/2011/relationships/people" Target="people.xml"/><Relationship Id="rId5" Type="http://schemas.microsoft.com/office/2007/relationships/stylesWithEffects" Target="stylesWithEffects.xml"/><Relationship Id="rId61" Type="http://schemas.openxmlformats.org/officeDocument/2006/relationships/header" Target="header5.xml"/><Relationship Id="rId19" Type="http://schemas.openxmlformats.org/officeDocument/2006/relationships/hyperlink" Target="http://www.nepad.org/foodsecurity" TargetMode="External"/><Relationship Id="rId14" Type="http://schemas.openxmlformats.org/officeDocument/2006/relationships/footer" Target="footer2.xml"/><Relationship Id="rId22" Type="http://schemas.openxmlformats.org/officeDocument/2006/relationships/hyperlink" Target="http://www.nepad.org/humancapitaldevelopment" TargetMode="External"/><Relationship Id="rId27" Type="http://schemas.openxmlformats.org/officeDocument/2006/relationships/hyperlink" Target="http://about.comesa.int/index.php?option=com_content&amp;view=article&amp;id=106&amp;Itemid=173" TargetMode="External"/><Relationship Id="rId30" Type="http://schemas.openxmlformats.org/officeDocument/2006/relationships/hyperlink" Target="http://about.comesa.int/index.php?option=com_content&amp;view=article&amp;id=109&amp;Itemid=176" TargetMode="External"/><Relationship Id="rId35" Type="http://schemas.openxmlformats.org/officeDocument/2006/relationships/hyperlink" Target="http://about.comesa.int/index.php?option=com_content&amp;view=article&amp;id=111&amp;Itemid=181" TargetMode="External"/><Relationship Id="rId43" Type="http://schemas.openxmlformats.org/officeDocument/2006/relationships/hyperlink" Target="http://about.comesa.int/index.php?option=com_content&amp;view=article&amp;id=99&amp;Itemid=189" TargetMode="External"/><Relationship Id="rId48" Type="http://schemas.openxmlformats.org/officeDocument/2006/relationships/hyperlink" Target="http://www.sadc.int/member-states/malawi/" TargetMode="External"/><Relationship Id="rId56" Type="http://schemas.openxmlformats.org/officeDocument/2006/relationships/hyperlink" Target="http://www.sadc.int/member-states/zambia/"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footnotes" Target="footnotes.xml"/><Relationship Id="rId51" Type="http://schemas.openxmlformats.org/officeDocument/2006/relationships/hyperlink" Target="http://www.sadc.int/member-states/namibia/" TargetMode="Externa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about.comesa.int/index.php?option=com_content&amp;view=article&amp;id=89&amp;Itemid=171" TargetMode="External"/><Relationship Id="rId33" Type="http://schemas.openxmlformats.org/officeDocument/2006/relationships/hyperlink" Target="http://about.comesa.int/index.php?option=com_content&amp;view=article&amp;id=101&amp;Itemid=179" TargetMode="External"/><Relationship Id="rId38" Type="http://schemas.openxmlformats.org/officeDocument/2006/relationships/hyperlink" Target="http://about.comesa.int/index.php?option=com_content&amp;view=article&amp;id=102&amp;Itemid=184" TargetMode="External"/><Relationship Id="rId46" Type="http://schemas.openxmlformats.org/officeDocument/2006/relationships/hyperlink" Target="http://www.sadc.int/member-states/204/" TargetMode="External"/><Relationship Id="rId59" Type="http://schemas.openxmlformats.org/officeDocument/2006/relationships/hyperlink" Target="http://afsaap.org.au/%20" TargetMode="External"/><Relationship Id="rId67" Type="http://schemas.microsoft.com/office/2011/relationships/commentsExtended" Target="commentsExtended.xml"/><Relationship Id="rId20" Type="http://schemas.openxmlformats.org/officeDocument/2006/relationships/hyperlink" Target="http://www.nepad.org/climatechangeandsustainabledevelopment" TargetMode="External"/><Relationship Id="rId41" Type="http://schemas.openxmlformats.org/officeDocument/2006/relationships/hyperlink" Target="http://about.comesa.int/index.php?option=com_content&amp;view=article&amp;id=103&amp;Itemid=187" TargetMode="External"/><Relationship Id="rId54" Type="http://schemas.openxmlformats.org/officeDocument/2006/relationships/hyperlink" Target="http://www.sadc.int/member-states/swaziland/" TargetMode="External"/><Relationship Id="rId62" Type="http://schemas.openxmlformats.org/officeDocument/2006/relationships/hyperlink" Target="http://www.ausaid.gov.au/Publications/Pages/child-protection-policy.aspx?utm_source=Devpolicy&amp;utm_campaign=405de8dc62-RSS_DAILY_EMAIL&amp;utm_medium=email" TargetMode="External"/><Relationship Id="rId7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nepad.org/economicandcorporategovernance" TargetMode="External"/><Relationship Id="rId28" Type="http://schemas.openxmlformats.org/officeDocument/2006/relationships/hyperlink" Target="http://about.comesa.int/index.php?option=com_content&amp;view=article&amp;id=98&amp;Itemid=174" TargetMode="External"/><Relationship Id="rId36" Type="http://schemas.openxmlformats.org/officeDocument/2006/relationships/hyperlink" Target="http://about.comesa.int/index.php?option=com_content&amp;view=article&amp;id=108&amp;Itemid=182" TargetMode="External"/><Relationship Id="rId49" Type="http://schemas.openxmlformats.org/officeDocument/2006/relationships/hyperlink" Target="http://www.sadc.int/member-states/mauritius/" TargetMode="External"/><Relationship Id="rId57" Type="http://schemas.openxmlformats.org/officeDocument/2006/relationships/hyperlink" Target="http://www.sadc.int/member-states/zimbabwe/" TargetMode="External"/><Relationship Id="rId10" Type="http://schemas.openxmlformats.org/officeDocument/2006/relationships/image" Target="media/image1.png"/><Relationship Id="rId31" Type="http://schemas.openxmlformats.org/officeDocument/2006/relationships/hyperlink" Target="http://about.comesa.int/index.php?option=com_content&amp;view=article&amp;id=105&amp;Itemid=177" TargetMode="External"/><Relationship Id="rId44" Type="http://schemas.openxmlformats.org/officeDocument/2006/relationships/hyperlink" Target="http://www.sadc.int/member-states/angola/" TargetMode="External"/><Relationship Id="rId52" Type="http://schemas.openxmlformats.org/officeDocument/2006/relationships/hyperlink" Target="http://www.sadc.int/member-states/seychelles/" TargetMode="External"/><Relationship Id="rId60" Type="http://schemas.openxmlformats.org/officeDocument/2006/relationships/hyperlink" Target="http://m4dlink.org/" TargetMode="Externa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hyperlink" Target="http://about.comesa.int/index.php?option=com_content&amp;view=article&amp;id=110&amp;Itemid=185" TargetMode="External"/><Relationship Id="rId34" Type="http://schemas.openxmlformats.org/officeDocument/2006/relationships/hyperlink" Target="http://about.comesa.int/index.php?option=com_content&amp;view=article&amp;id=100&amp;Itemid=180" TargetMode="External"/><Relationship Id="rId50" Type="http://schemas.openxmlformats.org/officeDocument/2006/relationships/hyperlink" Target="http://www.sadc.int/member-states/mozambique/" TargetMode="External"/><Relationship Id="rId55" Type="http://schemas.openxmlformats.org/officeDocument/2006/relationships/hyperlink" Target="http://www.sadc.int/member-states/tanz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57E20F-68CD-4C44-BE1A-BB1A3A3F341A}"/>
</file>

<file path=customXml/itemProps2.xml><?xml version="1.0" encoding="utf-8"?>
<ds:datastoreItem xmlns:ds="http://schemas.openxmlformats.org/officeDocument/2006/customXml" ds:itemID="{D0F667DB-0171-4178-8538-852FF54C780D}"/>
</file>

<file path=customXml/itemProps3.xml><?xml version="1.0" encoding="utf-8"?>
<ds:datastoreItem xmlns:ds="http://schemas.openxmlformats.org/officeDocument/2006/customXml" ds:itemID="{41E96D35-457E-477F-B85B-52A9889B0794}"/>
</file>

<file path=customXml/itemProps4.xml><?xml version="1.0" encoding="utf-8"?>
<ds:datastoreItem xmlns:ds="http://schemas.openxmlformats.org/officeDocument/2006/customXml" ds:itemID="{D5F20BA7-8989-4550-A3DE-3E9342FB22B9}"/>
</file>

<file path=customXml/itemProps5.xml><?xml version="1.0" encoding="utf-8"?>
<ds:datastoreItem xmlns:ds="http://schemas.openxmlformats.org/officeDocument/2006/customXml" ds:itemID="{88ACA5AC-6F53-4D50-8F43-B60C3806C7D6}"/>
</file>

<file path=docProps/app.xml><?xml version="1.0" encoding="utf-8"?>
<Properties xmlns="http://schemas.openxmlformats.org/officeDocument/2006/extended-properties" xmlns:vt="http://schemas.openxmlformats.org/officeDocument/2006/docPropsVTypes">
  <Template>D13CE25F</Template>
  <TotalTime>0</TotalTime>
  <Pages>58</Pages>
  <Words>23160</Words>
  <Characters>143413</Characters>
  <Application>Microsoft Office Word</Application>
  <DocSecurity>0</DocSecurity>
  <Lines>3677</Lines>
  <Paragraphs>1753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164820</CharactersWithSpaces>
  <SharedDoc>false</SharedDoc>
  <HLinks>
    <vt:vector size="270" baseType="variant">
      <vt:variant>
        <vt:i4>2621539</vt:i4>
      </vt:variant>
      <vt:variant>
        <vt:i4>126</vt:i4>
      </vt:variant>
      <vt:variant>
        <vt:i4>0</vt:i4>
      </vt:variant>
      <vt:variant>
        <vt:i4>5</vt:i4>
      </vt:variant>
      <vt:variant>
        <vt:lpwstr>http://m4dlink.org/</vt:lpwstr>
      </vt:variant>
      <vt:variant>
        <vt:lpwstr/>
      </vt:variant>
      <vt:variant>
        <vt:i4>6225943</vt:i4>
      </vt:variant>
      <vt:variant>
        <vt:i4>123</vt:i4>
      </vt:variant>
      <vt:variant>
        <vt:i4>0</vt:i4>
      </vt:variant>
      <vt:variant>
        <vt:i4>5</vt:i4>
      </vt:variant>
      <vt:variant>
        <vt:lpwstr>http://afsaap.org.au/</vt:lpwstr>
      </vt:variant>
      <vt:variant>
        <vt:lpwstr/>
      </vt:variant>
      <vt:variant>
        <vt:i4>4456468</vt:i4>
      </vt:variant>
      <vt:variant>
        <vt:i4>120</vt:i4>
      </vt:variant>
      <vt:variant>
        <vt:i4>0</vt:i4>
      </vt:variant>
      <vt:variant>
        <vt:i4>5</vt:i4>
      </vt:variant>
      <vt:variant>
        <vt:lpwstr>http://www.qutguild.com/clubs/international/qutAustralia Awardsafrica</vt:lpwstr>
      </vt:variant>
      <vt:variant>
        <vt:lpwstr/>
      </vt:variant>
      <vt:variant>
        <vt:i4>7471221</vt:i4>
      </vt:variant>
      <vt:variant>
        <vt:i4>117</vt:i4>
      </vt:variant>
      <vt:variant>
        <vt:i4>0</vt:i4>
      </vt:variant>
      <vt:variant>
        <vt:i4>5</vt:i4>
      </vt:variant>
      <vt:variant>
        <vt:lpwstr>http://www.sadc.int/member-states/zimbabwe/</vt:lpwstr>
      </vt:variant>
      <vt:variant>
        <vt:lpwstr/>
      </vt:variant>
      <vt:variant>
        <vt:i4>1835018</vt:i4>
      </vt:variant>
      <vt:variant>
        <vt:i4>114</vt:i4>
      </vt:variant>
      <vt:variant>
        <vt:i4>0</vt:i4>
      </vt:variant>
      <vt:variant>
        <vt:i4>5</vt:i4>
      </vt:variant>
      <vt:variant>
        <vt:lpwstr>http://www.sadc.int/member-states/zambia/</vt:lpwstr>
      </vt:variant>
      <vt:variant>
        <vt:lpwstr/>
      </vt:variant>
      <vt:variant>
        <vt:i4>6946918</vt:i4>
      </vt:variant>
      <vt:variant>
        <vt:i4>111</vt:i4>
      </vt:variant>
      <vt:variant>
        <vt:i4>0</vt:i4>
      </vt:variant>
      <vt:variant>
        <vt:i4>5</vt:i4>
      </vt:variant>
      <vt:variant>
        <vt:lpwstr>http://www.sadc.int/member-states/tanzania/</vt:lpwstr>
      </vt:variant>
      <vt:variant>
        <vt:lpwstr/>
      </vt:variant>
      <vt:variant>
        <vt:i4>6160394</vt:i4>
      </vt:variant>
      <vt:variant>
        <vt:i4>108</vt:i4>
      </vt:variant>
      <vt:variant>
        <vt:i4>0</vt:i4>
      </vt:variant>
      <vt:variant>
        <vt:i4>5</vt:i4>
      </vt:variant>
      <vt:variant>
        <vt:lpwstr>http://www.sadc.int/member-states/swaziland/</vt:lpwstr>
      </vt:variant>
      <vt:variant>
        <vt:lpwstr/>
      </vt:variant>
      <vt:variant>
        <vt:i4>2490474</vt:i4>
      </vt:variant>
      <vt:variant>
        <vt:i4>105</vt:i4>
      </vt:variant>
      <vt:variant>
        <vt:i4>0</vt:i4>
      </vt:variant>
      <vt:variant>
        <vt:i4>5</vt:i4>
      </vt:variant>
      <vt:variant>
        <vt:lpwstr>http://www.sadc.int/member-states/south-africa/</vt:lpwstr>
      </vt:variant>
      <vt:variant>
        <vt:lpwstr/>
      </vt:variant>
      <vt:variant>
        <vt:i4>131103</vt:i4>
      </vt:variant>
      <vt:variant>
        <vt:i4>102</vt:i4>
      </vt:variant>
      <vt:variant>
        <vt:i4>0</vt:i4>
      </vt:variant>
      <vt:variant>
        <vt:i4>5</vt:i4>
      </vt:variant>
      <vt:variant>
        <vt:lpwstr>http://www.sadc.int/member-states/seychelles/</vt:lpwstr>
      </vt:variant>
      <vt:variant>
        <vt:lpwstr/>
      </vt:variant>
      <vt:variant>
        <vt:i4>3145844</vt:i4>
      </vt:variant>
      <vt:variant>
        <vt:i4>99</vt:i4>
      </vt:variant>
      <vt:variant>
        <vt:i4>0</vt:i4>
      </vt:variant>
      <vt:variant>
        <vt:i4>5</vt:i4>
      </vt:variant>
      <vt:variant>
        <vt:lpwstr>http://www.sadc.int/member-states/namibia/</vt:lpwstr>
      </vt:variant>
      <vt:variant>
        <vt:lpwstr/>
      </vt:variant>
      <vt:variant>
        <vt:i4>393234</vt:i4>
      </vt:variant>
      <vt:variant>
        <vt:i4>96</vt:i4>
      </vt:variant>
      <vt:variant>
        <vt:i4>0</vt:i4>
      </vt:variant>
      <vt:variant>
        <vt:i4>5</vt:i4>
      </vt:variant>
      <vt:variant>
        <vt:lpwstr>http://www.sadc.int/member-states/mozambique/</vt:lpwstr>
      </vt:variant>
      <vt:variant>
        <vt:lpwstr/>
      </vt:variant>
      <vt:variant>
        <vt:i4>4390943</vt:i4>
      </vt:variant>
      <vt:variant>
        <vt:i4>93</vt:i4>
      </vt:variant>
      <vt:variant>
        <vt:i4>0</vt:i4>
      </vt:variant>
      <vt:variant>
        <vt:i4>5</vt:i4>
      </vt:variant>
      <vt:variant>
        <vt:lpwstr>http://www.sadc.int/member-states/mauritius/</vt:lpwstr>
      </vt:variant>
      <vt:variant>
        <vt:lpwstr/>
      </vt:variant>
      <vt:variant>
        <vt:i4>1507330</vt:i4>
      </vt:variant>
      <vt:variant>
        <vt:i4>90</vt:i4>
      </vt:variant>
      <vt:variant>
        <vt:i4>0</vt:i4>
      </vt:variant>
      <vt:variant>
        <vt:i4>5</vt:i4>
      </vt:variant>
      <vt:variant>
        <vt:lpwstr>http://www.sadc.int/member-states/malawi/</vt:lpwstr>
      </vt:variant>
      <vt:variant>
        <vt:lpwstr/>
      </vt:variant>
      <vt:variant>
        <vt:i4>917512</vt:i4>
      </vt:variant>
      <vt:variant>
        <vt:i4>87</vt:i4>
      </vt:variant>
      <vt:variant>
        <vt:i4>0</vt:i4>
      </vt:variant>
      <vt:variant>
        <vt:i4>5</vt:i4>
      </vt:variant>
      <vt:variant>
        <vt:lpwstr>http://www.sadc.int/member-states/madagascar/</vt:lpwstr>
      </vt:variant>
      <vt:variant>
        <vt:lpwstr/>
      </vt:variant>
      <vt:variant>
        <vt:i4>6357106</vt:i4>
      </vt:variant>
      <vt:variant>
        <vt:i4>84</vt:i4>
      </vt:variant>
      <vt:variant>
        <vt:i4>0</vt:i4>
      </vt:variant>
      <vt:variant>
        <vt:i4>5</vt:i4>
      </vt:variant>
      <vt:variant>
        <vt:lpwstr>http://www.sadc.int/member-states/204/</vt:lpwstr>
      </vt:variant>
      <vt:variant>
        <vt:lpwstr/>
      </vt:variant>
      <vt:variant>
        <vt:i4>7209013</vt:i4>
      </vt:variant>
      <vt:variant>
        <vt:i4>81</vt:i4>
      </vt:variant>
      <vt:variant>
        <vt:i4>0</vt:i4>
      </vt:variant>
      <vt:variant>
        <vt:i4>5</vt:i4>
      </vt:variant>
      <vt:variant>
        <vt:lpwstr>http://www.sadc.int/member-states/dr-congo/</vt:lpwstr>
      </vt:variant>
      <vt:variant>
        <vt:lpwstr/>
      </vt:variant>
      <vt:variant>
        <vt:i4>6422651</vt:i4>
      </vt:variant>
      <vt:variant>
        <vt:i4>78</vt:i4>
      </vt:variant>
      <vt:variant>
        <vt:i4>0</vt:i4>
      </vt:variant>
      <vt:variant>
        <vt:i4>5</vt:i4>
      </vt:variant>
      <vt:variant>
        <vt:lpwstr>http://www.sadc.int/member-states/botswana/</vt:lpwstr>
      </vt:variant>
      <vt:variant>
        <vt:lpwstr/>
      </vt:variant>
      <vt:variant>
        <vt:i4>1966110</vt:i4>
      </vt:variant>
      <vt:variant>
        <vt:i4>75</vt:i4>
      </vt:variant>
      <vt:variant>
        <vt:i4>0</vt:i4>
      </vt:variant>
      <vt:variant>
        <vt:i4>5</vt:i4>
      </vt:variant>
      <vt:variant>
        <vt:lpwstr>http://www.sadc.int/member-states/angola/</vt:lpwstr>
      </vt:variant>
      <vt:variant>
        <vt:lpwstr/>
      </vt:variant>
      <vt:variant>
        <vt:i4>2424857</vt:i4>
      </vt:variant>
      <vt:variant>
        <vt:i4>72</vt:i4>
      </vt:variant>
      <vt:variant>
        <vt:i4>0</vt:i4>
      </vt:variant>
      <vt:variant>
        <vt:i4>5</vt:i4>
      </vt:variant>
      <vt:variant>
        <vt:lpwstr>http://about.comesa.int/index.php?option=com_content&amp;view=article&amp;id=99&amp;Itemid=189</vt:lpwstr>
      </vt:variant>
      <vt:variant>
        <vt:lpwstr/>
      </vt:variant>
      <vt:variant>
        <vt:i4>2359315</vt:i4>
      </vt:variant>
      <vt:variant>
        <vt:i4>69</vt:i4>
      </vt:variant>
      <vt:variant>
        <vt:i4>0</vt:i4>
      </vt:variant>
      <vt:variant>
        <vt:i4>5</vt:i4>
      </vt:variant>
      <vt:variant>
        <vt:lpwstr>http://about.comesa.int/index.php?option=com_content&amp;view=article&amp;id=93&amp;Itemid=188</vt:lpwstr>
      </vt:variant>
      <vt:variant>
        <vt:lpwstr/>
      </vt:variant>
      <vt:variant>
        <vt:i4>2949146</vt:i4>
      </vt:variant>
      <vt:variant>
        <vt:i4>66</vt:i4>
      </vt:variant>
      <vt:variant>
        <vt:i4>0</vt:i4>
      </vt:variant>
      <vt:variant>
        <vt:i4>5</vt:i4>
      </vt:variant>
      <vt:variant>
        <vt:lpwstr>http://about.comesa.int/index.php?option=com_content&amp;view=article&amp;id=103&amp;Itemid=187</vt:lpwstr>
      </vt:variant>
      <vt:variant>
        <vt:lpwstr/>
      </vt:variant>
      <vt:variant>
        <vt:i4>2687002</vt:i4>
      </vt:variant>
      <vt:variant>
        <vt:i4>63</vt:i4>
      </vt:variant>
      <vt:variant>
        <vt:i4>0</vt:i4>
      </vt:variant>
      <vt:variant>
        <vt:i4>5</vt:i4>
      </vt:variant>
      <vt:variant>
        <vt:lpwstr>http://about.comesa.int/index.php?option=com_content&amp;view=article&amp;id=107&amp;Itemid=186</vt:lpwstr>
      </vt:variant>
      <vt:variant>
        <vt:lpwstr/>
      </vt:variant>
      <vt:variant>
        <vt:i4>3014683</vt:i4>
      </vt:variant>
      <vt:variant>
        <vt:i4>60</vt:i4>
      </vt:variant>
      <vt:variant>
        <vt:i4>0</vt:i4>
      </vt:variant>
      <vt:variant>
        <vt:i4>5</vt:i4>
      </vt:variant>
      <vt:variant>
        <vt:lpwstr>http://about.comesa.int/index.php?option=com_content&amp;view=article&amp;id=110&amp;Itemid=185</vt:lpwstr>
      </vt:variant>
      <vt:variant>
        <vt:lpwstr/>
      </vt:variant>
      <vt:variant>
        <vt:i4>2883610</vt:i4>
      </vt:variant>
      <vt:variant>
        <vt:i4>57</vt:i4>
      </vt:variant>
      <vt:variant>
        <vt:i4>0</vt:i4>
      </vt:variant>
      <vt:variant>
        <vt:i4>5</vt:i4>
      </vt:variant>
      <vt:variant>
        <vt:lpwstr>http://about.comesa.int/index.php?option=com_content&amp;view=article&amp;id=102&amp;Itemid=184</vt:lpwstr>
      </vt:variant>
      <vt:variant>
        <vt:lpwstr/>
      </vt:variant>
      <vt:variant>
        <vt:i4>2752538</vt:i4>
      </vt:variant>
      <vt:variant>
        <vt:i4>54</vt:i4>
      </vt:variant>
      <vt:variant>
        <vt:i4>0</vt:i4>
      </vt:variant>
      <vt:variant>
        <vt:i4>5</vt:i4>
      </vt:variant>
      <vt:variant>
        <vt:lpwstr>http://about.comesa.int/index.php?option=com_content&amp;view=article&amp;id=104&amp;Itemid=183</vt:lpwstr>
      </vt:variant>
      <vt:variant>
        <vt:lpwstr/>
      </vt:variant>
      <vt:variant>
        <vt:i4>2490394</vt:i4>
      </vt:variant>
      <vt:variant>
        <vt:i4>51</vt:i4>
      </vt:variant>
      <vt:variant>
        <vt:i4>0</vt:i4>
      </vt:variant>
      <vt:variant>
        <vt:i4>5</vt:i4>
      </vt:variant>
      <vt:variant>
        <vt:lpwstr>http://about.comesa.int/index.php?option=com_content&amp;view=article&amp;id=108&amp;Itemid=182</vt:lpwstr>
      </vt:variant>
      <vt:variant>
        <vt:lpwstr/>
      </vt:variant>
      <vt:variant>
        <vt:i4>3080219</vt:i4>
      </vt:variant>
      <vt:variant>
        <vt:i4>48</vt:i4>
      </vt:variant>
      <vt:variant>
        <vt:i4>0</vt:i4>
      </vt:variant>
      <vt:variant>
        <vt:i4>5</vt:i4>
      </vt:variant>
      <vt:variant>
        <vt:lpwstr>http://about.comesa.int/index.php?option=com_content&amp;view=article&amp;id=111&amp;Itemid=181</vt:lpwstr>
      </vt:variant>
      <vt:variant>
        <vt:lpwstr/>
      </vt:variant>
      <vt:variant>
        <vt:i4>3014682</vt:i4>
      </vt:variant>
      <vt:variant>
        <vt:i4>45</vt:i4>
      </vt:variant>
      <vt:variant>
        <vt:i4>0</vt:i4>
      </vt:variant>
      <vt:variant>
        <vt:i4>5</vt:i4>
      </vt:variant>
      <vt:variant>
        <vt:lpwstr>http://about.comesa.int/index.php?option=com_content&amp;view=article&amp;id=100&amp;Itemid=180</vt:lpwstr>
      </vt:variant>
      <vt:variant>
        <vt:lpwstr/>
      </vt:variant>
      <vt:variant>
        <vt:i4>2097178</vt:i4>
      </vt:variant>
      <vt:variant>
        <vt:i4>42</vt:i4>
      </vt:variant>
      <vt:variant>
        <vt:i4>0</vt:i4>
      </vt:variant>
      <vt:variant>
        <vt:i4>5</vt:i4>
      </vt:variant>
      <vt:variant>
        <vt:lpwstr>http://about.comesa.int/index.php?option=com_content&amp;view=article&amp;id=101&amp;Itemid=179</vt:lpwstr>
      </vt:variant>
      <vt:variant>
        <vt:lpwstr/>
      </vt:variant>
      <vt:variant>
        <vt:i4>2359325</vt:i4>
      </vt:variant>
      <vt:variant>
        <vt:i4>39</vt:i4>
      </vt:variant>
      <vt:variant>
        <vt:i4>0</vt:i4>
      </vt:variant>
      <vt:variant>
        <vt:i4>5</vt:i4>
      </vt:variant>
      <vt:variant>
        <vt:lpwstr>http://about.comesa.int/index.php?option=com_content&amp;view=article&amp;id=92&amp;Itemid=178</vt:lpwstr>
      </vt:variant>
      <vt:variant>
        <vt:lpwstr/>
      </vt:variant>
      <vt:variant>
        <vt:i4>2359322</vt:i4>
      </vt:variant>
      <vt:variant>
        <vt:i4>36</vt:i4>
      </vt:variant>
      <vt:variant>
        <vt:i4>0</vt:i4>
      </vt:variant>
      <vt:variant>
        <vt:i4>5</vt:i4>
      </vt:variant>
      <vt:variant>
        <vt:lpwstr>http://about.comesa.int/index.php?option=com_content&amp;view=article&amp;id=105&amp;Itemid=177</vt:lpwstr>
      </vt:variant>
      <vt:variant>
        <vt:lpwstr/>
      </vt:variant>
      <vt:variant>
        <vt:i4>2621466</vt:i4>
      </vt:variant>
      <vt:variant>
        <vt:i4>33</vt:i4>
      </vt:variant>
      <vt:variant>
        <vt:i4>0</vt:i4>
      </vt:variant>
      <vt:variant>
        <vt:i4>5</vt:i4>
      </vt:variant>
      <vt:variant>
        <vt:lpwstr>http://about.comesa.int/index.php?option=com_content&amp;view=article&amp;id=109&amp;Itemid=176</vt:lpwstr>
      </vt:variant>
      <vt:variant>
        <vt:lpwstr/>
      </vt:variant>
      <vt:variant>
        <vt:i4>2687006</vt:i4>
      </vt:variant>
      <vt:variant>
        <vt:i4>30</vt:i4>
      </vt:variant>
      <vt:variant>
        <vt:i4>0</vt:i4>
      </vt:variant>
      <vt:variant>
        <vt:i4>5</vt:i4>
      </vt:variant>
      <vt:variant>
        <vt:lpwstr>http://about.comesa.int/index.php?option=com_content&amp;view=article&amp;id=91&amp;Itemid=175</vt:lpwstr>
      </vt:variant>
      <vt:variant>
        <vt:lpwstr/>
      </vt:variant>
      <vt:variant>
        <vt:i4>2621463</vt:i4>
      </vt:variant>
      <vt:variant>
        <vt:i4>27</vt:i4>
      </vt:variant>
      <vt:variant>
        <vt:i4>0</vt:i4>
      </vt:variant>
      <vt:variant>
        <vt:i4>5</vt:i4>
      </vt:variant>
      <vt:variant>
        <vt:lpwstr>http://about.comesa.int/index.php?option=com_content&amp;view=article&amp;id=98&amp;Itemid=174</vt:lpwstr>
      </vt:variant>
      <vt:variant>
        <vt:lpwstr/>
      </vt:variant>
      <vt:variant>
        <vt:i4>2555930</vt:i4>
      </vt:variant>
      <vt:variant>
        <vt:i4>24</vt:i4>
      </vt:variant>
      <vt:variant>
        <vt:i4>0</vt:i4>
      </vt:variant>
      <vt:variant>
        <vt:i4>5</vt:i4>
      </vt:variant>
      <vt:variant>
        <vt:lpwstr>http://about.comesa.int/index.php?option=com_content&amp;view=article&amp;id=106&amp;Itemid=173</vt:lpwstr>
      </vt:variant>
      <vt:variant>
        <vt:lpwstr/>
      </vt:variant>
      <vt:variant>
        <vt:i4>3014687</vt:i4>
      </vt:variant>
      <vt:variant>
        <vt:i4>21</vt:i4>
      </vt:variant>
      <vt:variant>
        <vt:i4>0</vt:i4>
      </vt:variant>
      <vt:variant>
        <vt:i4>5</vt:i4>
      </vt:variant>
      <vt:variant>
        <vt:lpwstr>http://about.comesa.int/index.php?option=com_content&amp;view=article&amp;id=90&amp;Itemid=172</vt:lpwstr>
      </vt:variant>
      <vt:variant>
        <vt:lpwstr/>
      </vt:variant>
      <vt:variant>
        <vt:i4>2883606</vt:i4>
      </vt:variant>
      <vt:variant>
        <vt:i4>18</vt:i4>
      </vt:variant>
      <vt:variant>
        <vt:i4>0</vt:i4>
      </vt:variant>
      <vt:variant>
        <vt:i4>5</vt:i4>
      </vt:variant>
      <vt:variant>
        <vt:lpwstr>http://about.comesa.int/index.php?option=com_content&amp;view=article&amp;id=89&amp;Itemid=171</vt:lpwstr>
      </vt:variant>
      <vt:variant>
        <vt:lpwstr/>
      </vt:variant>
      <vt:variant>
        <vt:i4>3539001</vt:i4>
      </vt:variant>
      <vt:variant>
        <vt:i4>15</vt:i4>
      </vt:variant>
      <vt:variant>
        <vt:i4>0</vt:i4>
      </vt:variant>
      <vt:variant>
        <vt:i4>5</vt:i4>
      </vt:variant>
      <vt:variant>
        <vt:lpwstr>http://www.nepad.org/crosscuttingissues</vt:lpwstr>
      </vt:variant>
      <vt:variant>
        <vt:lpwstr/>
      </vt:variant>
      <vt:variant>
        <vt:i4>2621498</vt:i4>
      </vt:variant>
      <vt:variant>
        <vt:i4>12</vt:i4>
      </vt:variant>
      <vt:variant>
        <vt:i4>0</vt:i4>
      </vt:variant>
      <vt:variant>
        <vt:i4>5</vt:i4>
      </vt:variant>
      <vt:variant>
        <vt:lpwstr>http://www.nepad.org/economicandcorporategovernance</vt:lpwstr>
      </vt:variant>
      <vt:variant>
        <vt:lpwstr/>
      </vt:variant>
      <vt:variant>
        <vt:i4>4456532</vt:i4>
      </vt:variant>
      <vt:variant>
        <vt:i4>9</vt:i4>
      </vt:variant>
      <vt:variant>
        <vt:i4>0</vt:i4>
      </vt:variant>
      <vt:variant>
        <vt:i4>5</vt:i4>
      </vt:variant>
      <vt:variant>
        <vt:lpwstr>http://www.nepad.org/humancapitaldevelopment</vt:lpwstr>
      </vt:variant>
      <vt:variant>
        <vt:lpwstr/>
      </vt:variant>
      <vt:variant>
        <vt:i4>5832773</vt:i4>
      </vt:variant>
      <vt:variant>
        <vt:i4>6</vt:i4>
      </vt:variant>
      <vt:variant>
        <vt:i4>0</vt:i4>
      </vt:variant>
      <vt:variant>
        <vt:i4>5</vt:i4>
      </vt:variant>
      <vt:variant>
        <vt:lpwstr>http://www.nepad.org/regionalintegrationandinfrastructure</vt:lpwstr>
      </vt:variant>
      <vt:variant>
        <vt:lpwstr/>
      </vt:variant>
      <vt:variant>
        <vt:i4>4063292</vt:i4>
      </vt:variant>
      <vt:variant>
        <vt:i4>3</vt:i4>
      </vt:variant>
      <vt:variant>
        <vt:i4>0</vt:i4>
      </vt:variant>
      <vt:variant>
        <vt:i4>5</vt:i4>
      </vt:variant>
      <vt:variant>
        <vt:lpwstr>http://www.nepad.org/climatechangeandsustainabledevelopment</vt:lpwstr>
      </vt:variant>
      <vt:variant>
        <vt:lpwstr/>
      </vt:variant>
      <vt:variant>
        <vt:i4>4587605</vt:i4>
      </vt:variant>
      <vt:variant>
        <vt:i4>0</vt:i4>
      </vt:variant>
      <vt:variant>
        <vt:i4>0</vt:i4>
      </vt:variant>
      <vt:variant>
        <vt:i4>5</vt:i4>
      </vt:variant>
      <vt:variant>
        <vt:lpwstr>http://www.nepad.org/foodsecurity</vt:lpwstr>
      </vt:variant>
      <vt:variant>
        <vt:lpwstr/>
      </vt:variant>
      <vt:variant>
        <vt:i4>8257637</vt:i4>
      </vt:variant>
      <vt:variant>
        <vt:i4>3</vt:i4>
      </vt:variant>
      <vt:variant>
        <vt:i4>0</vt:i4>
      </vt:variant>
      <vt:variant>
        <vt:i4>5</vt:i4>
      </vt:variant>
      <vt:variant>
        <vt:lpwstr>http://elibrary.worldbank.org/doi/abs/10.1596/978-1-4648-0057-3</vt:lpwstr>
      </vt:variant>
      <vt:variant>
        <vt:lpwstr/>
      </vt:variant>
      <vt:variant>
        <vt:i4>131152</vt:i4>
      </vt:variant>
      <vt:variant>
        <vt:i4>0</vt:i4>
      </vt:variant>
      <vt:variant>
        <vt:i4>0</vt:i4>
      </vt:variant>
      <vt:variant>
        <vt:i4>5</vt:i4>
      </vt:variant>
      <vt:variant>
        <vt:lpwstr>http://www.oecd.org/development/evaluation/daccriteriaforevaluatingdevelopmentassistance.htm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2014-10-23T02:31:00Z</dcterms:created>
  <dcterms:modified xsi:type="dcterms:W3CDTF">2014-10-23T02:31:00Z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Order">
    <vt:r8>8900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