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5EF31" w14:textId="77777777" w:rsidR="005A6BDD" w:rsidRDefault="008C352E" w:rsidP="005A6BDD">
      <w:pPr>
        <w:pStyle w:val="Covertitle"/>
        <w:spacing w:before="2520"/>
      </w:pPr>
      <w:bookmarkStart w:id="0" w:name="_Toc322614784"/>
      <w:bookmarkStart w:id="1" w:name="_Toc320802742"/>
      <w:bookmarkStart w:id="2" w:name="_Toc320802778"/>
      <w:bookmarkStart w:id="3" w:name="_Toc320802799"/>
      <w:bookmarkStart w:id="4" w:name="_GoBack"/>
      <w:bookmarkEnd w:id="4"/>
      <w:r>
        <w:t>AusAID’s</w:t>
      </w:r>
      <w:r w:rsidR="005A6BDD">
        <w:t xml:space="preserve"> Australia Awards</w:t>
      </w:r>
    </w:p>
    <w:p w14:paraId="17E5EF32" w14:textId="77777777" w:rsidR="005A6BDD" w:rsidRPr="00014842" w:rsidRDefault="005A6BDD" w:rsidP="005A6BDD">
      <w:pPr>
        <w:pStyle w:val="Covertitle"/>
      </w:pPr>
      <w:r>
        <w:t>Scholarships Annual Surveys</w:t>
      </w:r>
    </w:p>
    <w:p w14:paraId="17E5EF33" w14:textId="77777777" w:rsidR="005A6BDD" w:rsidRPr="00014842" w:rsidRDefault="005A6BDD" w:rsidP="005A6BDD">
      <w:pPr>
        <w:pStyle w:val="Covertitle"/>
      </w:pPr>
      <w:r>
        <w:t>Executive Summary of Trend Report (2008 to 2012)</w:t>
      </w:r>
    </w:p>
    <w:p w14:paraId="17E5EF34" w14:textId="77777777" w:rsidR="005A6BDD" w:rsidRDefault="005A6BDD" w:rsidP="005A6BDD">
      <w:pPr>
        <w:pStyle w:val="Covertitle"/>
        <w:spacing w:before="3120"/>
      </w:pPr>
      <w:r>
        <w:t>July 2012</w:t>
      </w:r>
    </w:p>
    <w:p w14:paraId="17E5EF35" w14:textId="77777777" w:rsidR="005A6BDD" w:rsidRDefault="005A6BDD" w:rsidP="005A6BDD">
      <w:pPr>
        <w:spacing w:before="3600"/>
        <w:jc w:val="center"/>
        <w:rPr>
          <w:highlight w:val="yellow"/>
        </w:rPr>
      </w:pPr>
      <w:r w:rsidRPr="00DB09D5">
        <w:t>This report was compiled by ORIMA Research</w:t>
      </w:r>
    </w:p>
    <w:p w14:paraId="17E5EF36" w14:textId="77777777" w:rsidR="005A6BDD" w:rsidRPr="00030757" w:rsidRDefault="005A6BDD" w:rsidP="005A6BDD">
      <w:pPr>
        <w:spacing w:before="3600"/>
        <w:rPr>
          <w:highlight w:val="yellow"/>
        </w:rPr>
        <w:sectPr w:rsidR="005A6BDD" w:rsidRPr="00030757" w:rsidSect="000A34DE">
          <w:headerReference w:type="even" r:id="rId11"/>
          <w:headerReference w:type="default" r:id="rId12"/>
          <w:footerReference w:type="even" r:id="rId13"/>
          <w:footerReference w:type="default" r:id="rId14"/>
          <w:headerReference w:type="first" r:id="rId15"/>
          <w:footerReference w:type="first" r:id="rId16"/>
          <w:pgSz w:w="11907" w:h="16840" w:code="9"/>
          <w:pgMar w:top="1985" w:right="1800" w:bottom="1276" w:left="1418" w:header="720" w:footer="720" w:gutter="0"/>
          <w:cols w:space="720"/>
          <w:titlePg/>
        </w:sectPr>
      </w:pPr>
    </w:p>
    <w:p w14:paraId="17E5EF37" w14:textId="77777777" w:rsidR="00A86BCC" w:rsidRPr="00ED067B" w:rsidRDefault="00D5133A" w:rsidP="00ED067B">
      <w:pPr>
        <w:pStyle w:val="Heading1"/>
      </w:pPr>
      <w:r w:rsidRPr="00ED067B">
        <w:lastRenderedPageBreak/>
        <w:t>Background and methodology</w:t>
      </w:r>
    </w:p>
    <w:p w14:paraId="17E5EF38" w14:textId="77777777" w:rsidR="00525344" w:rsidRDefault="00A86BCC" w:rsidP="00A86BCC">
      <w:pPr>
        <w:rPr>
          <w:lang w:val="en-US"/>
        </w:rPr>
      </w:pPr>
      <w:r w:rsidRPr="004A62D2">
        <w:rPr>
          <w:lang w:val="en-US"/>
        </w:rPr>
        <w:t xml:space="preserve">AusAID has been undertaking a survey of </w:t>
      </w:r>
      <w:r w:rsidR="00292E8B">
        <w:rPr>
          <w:lang w:val="en-US"/>
        </w:rPr>
        <w:t xml:space="preserve">its </w:t>
      </w:r>
      <w:r w:rsidR="00132BBE">
        <w:rPr>
          <w:lang w:val="en-US"/>
        </w:rPr>
        <w:t>Australia</w:t>
      </w:r>
      <w:r w:rsidR="00292E8B">
        <w:rPr>
          <w:lang w:val="en-US"/>
        </w:rPr>
        <w:t xml:space="preserve"> Award</w:t>
      </w:r>
      <w:r w:rsidRPr="004A62D2">
        <w:rPr>
          <w:lang w:val="en-US"/>
        </w:rPr>
        <w:t xml:space="preserve"> scholarship recipients for </w:t>
      </w:r>
      <w:r w:rsidR="0033711C">
        <w:rPr>
          <w:lang w:val="en-US"/>
        </w:rPr>
        <w:t>at least ten</w:t>
      </w:r>
      <w:r w:rsidRPr="004A62D2">
        <w:rPr>
          <w:lang w:val="en-US"/>
        </w:rPr>
        <w:t xml:space="preserve"> years. Three surveys are conducted annually – an </w:t>
      </w:r>
      <w:r w:rsidR="00A102AF">
        <w:rPr>
          <w:lang w:val="en-US"/>
        </w:rPr>
        <w:t>a</w:t>
      </w:r>
      <w:r w:rsidRPr="004A62D2">
        <w:rPr>
          <w:lang w:val="en-US"/>
        </w:rPr>
        <w:t xml:space="preserve">rrival </w:t>
      </w:r>
      <w:r w:rsidR="00A102AF">
        <w:rPr>
          <w:lang w:val="en-US"/>
        </w:rPr>
        <w:t>s</w:t>
      </w:r>
      <w:r w:rsidRPr="004A62D2">
        <w:rPr>
          <w:lang w:val="en-US"/>
        </w:rPr>
        <w:t xml:space="preserve">urvey for students arriving in semester one </w:t>
      </w:r>
      <w:r w:rsidR="00B800BB">
        <w:rPr>
          <w:lang w:val="en-US"/>
        </w:rPr>
        <w:t xml:space="preserve">(‘AS1’) </w:t>
      </w:r>
      <w:r w:rsidRPr="004A62D2">
        <w:rPr>
          <w:lang w:val="en-US"/>
        </w:rPr>
        <w:t>and semester two</w:t>
      </w:r>
      <w:r w:rsidR="00B800BB">
        <w:rPr>
          <w:lang w:val="en-US"/>
        </w:rPr>
        <w:t xml:space="preserve"> (‘AS2’)</w:t>
      </w:r>
      <w:r w:rsidRPr="004A62D2">
        <w:rPr>
          <w:lang w:val="en-US"/>
        </w:rPr>
        <w:t xml:space="preserve">, and an </w:t>
      </w:r>
      <w:r w:rsidR="00A102AF">
        <w:rPr>
          <w:lang w:val="en-US"/>
        </w:rPr>
        <w:t>o</w:t>
      </w:r>
      <w:r w:rsidRPr="004A62D2">
        <w:rPr>
          <w:lang w:val="en-US"/>
        </w:rPr>
        <w:t xml:space="preserve">ngoing </w:t>
      </w:r>
      <w:r w:rsidR="00A102AF">
        <w:rPr>
          <w:lang w:val="en-US"/>
        </w:rPr>
        <w:t>s</w:t>
      </w:r>
      <w:r w:rsidRPr="004A62D2">
        <w:rPr>
          <w:lang w:val="en-US"/>
        </w:rPr>
        <w:t xml:space="preserve">urvey </w:t>
      </w:r>
      <w:r w:rsidR="00B800BB">
        <w:rPr>
          <w:lang w:val="en-US"/>
        </w:rPr>
        <w:t xml:space="preserve">(‘OS’) </w:t>
      </w:r>
      <w:r w:rsidRPr="004A62D2">
        <w:rPr>
          <w:lang w:val="en-US"/>
        </w:rPr>
        <w:t xml:space="preserve">for </w:t>
      </w:r>
      <w:r w:rsidR="00A102AF">
        <w:rPr>
          <w:lang w:val="en-US"/>
        </w:rPr>
        <w:t xml:space="preserve">all </w:t>
      </w:r>
      <w:r w:rsidRPr="004A62D2">
        <w:rPr>
          <w:lang w:val="en-US"/>
        </w:rPr>
        <w:t xml:space="preserve">students </w:t>
      </w:r>
      <w:r w:rsidR="00A102AF">
        <w:rPr>
          <w:lang w:val="en-US"/>
        </w:rPr>
        <w:t>who had completed one semester</w:t>
      </w:r>
      <w:r w:rsidRPr="004A62D2">
        <w:rPr>
          <w:lang w:val="en-US"/>
        </w:rPr>
        <w:t xml:space="preserve"> of study. The surveys are conducted online based on a census design methodology.</w:t>
      </w:r>
    </w:p>
    <w:p w14:paraId="17E5EF39" w14:textId="77777777" w:rsidR="00A86BCC" w:rsidRDefault="00525344" w:rsidP="00A86BCC">
      <w:pPr>
        <w:rPr>
          <w:lang w:val="en-US"/>
        </w:rPr>
      </w:pPr>
      <w:r w:rsidRPr="00525344">
        <w:rPr>
          <w:lang w:val="en-US"/>
        </w:rPr>
        <w:t xml:space="preserve">This </w:t>
      </w:r>
      <w:r>
        <w:rPr>
          <w:lang w:val="en-US"/>
        </w:rPr>
        <w:t xml:space="preserve">executive summary report </w:t>
      </w:r>
      <w:r w:rsidRPr="00525344">
        <w:rPr>
          <w:lang w:val="en-US"/>
        </w:rPr>
        <w:t>covers the results of the student surveys conducted between 2009 and April 2012</w:t>
      </w:r>
      <w:r>
        <w:rPr>
          <w:lang w:val="en-US"/>
        </w:rPr>
        <w:t>, with c</w:t>
      </w:r>
      <w:r w:rsidRPr="00525344">
        <w:rPr>
          <w:lang w:val="en-US"/>
        </w:rPr>
        <w:t xml:space="preserve">omparisons with the </w:t>
      </w:r>
      <w:r>
        <w:rPr>
          <w:lang w:val="en-US"/>
        </w:rPr>
        <w:t xml:space="preserve">2008 </w:t>
      </w:r>
      <w:r w:rsidRPr="00525344">
        <w:rPr>
          <w:lang w:val="en-US"/>
        </w:rPr>
        <w:t>student surveys where possible.</w:t>
      </w:r>
    </w:p>
    <w:p w14:paraId="17E5EF3A" w14:textId="77777777" w:rsidR="00D5133A" w:rsidRDefault="00D5133A" w:rsidP="00D5133A">
      <w:r>
        <w:t>A total of 13,158 students completed the student surveys between 2008 and April 2012 out of a population of 16,688, giving an overall response rate of 79% across all the student survey</w:t>
      </w:r>
      <w:r w:rsidR="001703C8">
        <w:t xml:space="preserve"> cycle</w:t>
      </w:r>
      <w:r>
        <w:t xml:space="preserve">s. </w:t>
      </w:r>
      <w:r w:rsidR="00B800BB">
        <w:fldChar w:fldCharType="begin"/>
      </w:r>
      <w:r w:rsidR="00B800BB">
        <w:instrText xml:space="preserve"> REF _Ref329874186 \h </w:instrText>
      </w:r>
      <w:r w:rsidR="00B800BB">
        <w:fldChar w:fldCharType="separate"/>
      </w:r>
      <w:r w:rsidR="00FA1AAA" w:rsidRPr="00040C64">
        <w:t xml:space="preserve">Table </w:t>
      </w:r>
      <w:r w:rsidR="00FA1AAA">
        <w:rPr>
          <w:noProof/>
        </w:rPr>
        <w:t>1</w:t>
      </w:r>
      <w:r w:rsidR="00B800BB">
        <w:fldChar w:fldCharType="end"/>
      </w:r>
      <w:r>
        <w:t xml:space="preserve"> details fieldwork timeframes, student populations and response rates for the arrival and ongoing surveys conducted between 2008 and April 2012.</w:t>
      </w:r>
    </w:p>
    <w:p w14:paraId="17E5EF3B" w14:textId="77777777" w:rsidR="00D5133A" w:rsidRPr="00040C64" w:rsidRDefault="00D5133A" w:rsidP="00D5133A">
      <w:pPr>
        <w:pStyle w:val="Tablemainheading"/>
      </w:pPr>
      <w:bookmarkStart w:id="5" w:name="_Ref329874186"/>
      <w:r w:rsidRPr="00040C64">
        <w:t xml:space="preserve">Table </w:t>
      </w:r>
      <w:fldSimple w:instr=" SEQ Table \* ARABIC ">
        <w:r w:rsidR="00FA1AAA">
          <w:rPr>
            <w:noProof/>
          </w:rPr>
          <w:t>1</w:t>
        </w:r>
      </w:fldSimple>
      <w:bookmarkEnd w:id="5"/>
      <w:r w:rsidRPr="00040C64">
        <w:t xml:space="preserve">: </w:t>
      </w:r>
      <w:r>
        <w:t>Details of a</w:t>
      </w:r>
      <w:r w:rsidRPr="00D64827">
        <w:t xml:space="preserve">rrival and </w:t>
      </w:r>
      <w:r>
        <w:t>o</w:t>
      </w:r>
      <w:r w:rsidRPr="00D64827">
        <w:t xml:space="preserve">ngoing </w:t>
      </w:r>
      <w:r>
        <w:t>s</w:t>
      </w:r>
      <w:r w:rsidRPr="00D64827">
        <w:t>urvey</w:t>
      </w:r>
      <w:r>
        <w:t>s conducted since 2008</w:t>
      </w:r>
    </w:p>
    <w:tbl>
      <w:tblPr>
        <w:tblStyle w:val="TableGrid"/>
        <w:tblW w:w="9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EFF0F2"/>
        </w:tblBorders>
        <w:tblCellMar>
          <w:top w:w="85" w:type="dxa"/>
          <w:left w:w="85" w:type="dxa"/>
          <w:bottom w:w="85" w:type="dxa"/>
          <w:right w:w="85" w:type="dxa"/>
        </w:tblCellMar>
        <w:tblLook w:val="04A0" w:firstRow="1" w:lastRow="0" w:firstColumn="1" w:lastColumn="0" w:noHBand="0" w:noVBand="1"/>
        <w:tblCaption w:val="Table detailing the fieldwork timeframes, student populations, surveys completed and response rates for all arrival and ongoing surveys conducted since 2008"/>
        <w:tblDescription w:val="AS1 2012: conducted 15 March to 11 April 2012, student population = 1527, surveys completed = 1322, response rate = 87%&#10;OS 2011: conducted 28 October to 28 November 2011, student population = 2653, surveys completed = 1988, response rate = 75%&#10;AS2 2011: conducted 23 September to 17 October 2011, student population = 613, surveys completed = 572, response rate = 93%&#10;AS1 2011: conducted 21 March to 11 April 2012, student population = 1142, surveys completed = 1028, response rate = 90%&#10;OS 2010: conducted 15 Septemberto 4 October 2010, student population = 2454, surveys completed = 1866, response rate = 76%&#10;AS2 2010: conducted 9 to 23 August 2010, student population = 436, surveys completed = 398, response rate = 91%&#10;AS1 2010: conducted 15 March to 6 April 2010, student population = 926, surveys completed = 828, response rate = 89%&#10;OS 2009: conducted 14 September to 5 October 2009, student population = 2450, surveys completed = 1673, response rate = 68%&#10;AS2 2009: conducted 24 August to 7 September 2009, student population = 266, surveys completed = 220, response rate = 83%&#10;AS1 2009: conducted 22 May to 5 June 2009, student population = 1125, surveys completed = 976, response rate = 87%&#10;OS 2008: conducted 21 July to 19 September 2008, student population = 2182, surveys completed = 1466, response rate = 67%&#10;AS 2008: conducted April/May 2008, student population = 914, surveys completed = 821, response rate = 90%&#10;Total: student population = 16688, surveys completed = 13158, response rate = 79%"/>
      </w:tblPr>
      <w:tblGrid>
        <w:gridCol w:w="1333"/>
        <w:gridCol w:w="3969"/>
        <w:gridCol w:w="1332"/>
        <w:gridCol w:w="1332"/>
        <w:gridCol w:w="1333"/>
      </w:tblGrid>
      <w:tr w:rsidR="00D5133A" w14:paraId="17E5EF41" w14:textId="77777777" w:rsidTr="002657FA">
        <w:trPr>
          <w:tblHeader/>
        </w:trPr>
        <w:tc>
          <w:tcPr>
            <w:tcW w:w="1333" w:type="dxa"/>
            <w:tcBorders>
              <w:right w:val="single" w:sz="4" w:space="0" w:color="BFBFBF" w:themeColor="background1" w:themeShade="BF"/>
            </w:tcBorders>
            <w:shd w:val="clear" w:color="auto" w:fill="172983"/>
            <w:vAlign w:val="center"/>
          </w:tcPr>
          <w:p w14:paraId="17E5EF3C" w14:textId="77777777" w:rsidR="00D5133A" w:rsidRPr="00E634CA" w:rsidRDefault="00D5133A" w:rsidP="002657FA">
            <w:pPr>
              <w:pStyle w:val="Tableheading"/>
            </w:pPr>
            <w:r w:rsidRPr="00E634CA">
              <w:t>Survey cycle</w:t>
            </w:r>
          </w:p>
        </w:tc>
        <w:tc>
          <w:tcPr>
            <w:tcW w:w="3969" w:type="dxa"/>
            <w:tcBorders>
              <w:left w:val="single" w:sz="4" w:space="0" w:color="BFBFBF" w:themeColor="background1" w:themeShade="BF"/>
              <w:right w:val="single" w:sz="4" w:space="0" w:color="BFBFBF" w:themeColor="background1" w:themeShade="BF"/>
            </w:tcBorders>
            <w:shd w:val="clear" w:color="auto" w:fill="172983"/>
            <w:vAlign w:val="center"/>
          </w:tcPr>
          <w:p w14:paraId="17E5EF3D" w14:textId="77777777" w:rsidR="00D5133A" w:rsidRPr="00E634CA" w:rsidRDefault="00D5133A" w:rsidP="002657FA">
            <w:pPr>
              <w:pStyle w:val="Tableheading"/>
            </w:pPr>
            <w:r w:rsidRPr="00E634CA">
              <w:t>Fieldwork timeframe</w:t>
            </w:r>
            <w:r>
              <w:rPr>
                <w:rStyle w:val="FootnoteReference"/>
              </w:rPr>
              <w:footnoteReference w:id="2"/>
            </w:r>
          </w:p>
        </w:tc>
        <w:tc>
          <w:tcPr>
            <w:tcW w:w="1332" w:type="dxa"/>
            <w:tcBorders>
              <w:left w:val="single" w:sz="4" w:space="0" w:color="BFBFBF" w:themeColor="background1" w:themeShade="BF"/>
              <w:right w:val="single" w:sz="4" w:space="0" w:color="BFBFBF" w:themeColor="background1" w:themeShade="BF"/>
            </w:tcBorders>
            <w:shd w:val="clear" w:color="auto" w:fill="172983"/>
            <w:vAlign w:val="center"/>
          </w:tcPr>
          <w:p w14:paraId="17E5EF3E" w14:textId="77777777" w:rsidR="00D5133A" w:rsidRPr="00E634CA" w:rsidRDefault="00D5133A" w:rsidP="002657FA">
            <w:pPr>
              <w:pStyle w:val="Tableheading"/>
            </w:pPr>
            <w:r w:rsidRPr="00E634CA">
              <w:t>Student population</w:t>
            </w:r>
            <w:r>
              <w:rPr>
                <w:rStyle w:val="FootnoteReference"/>
              </w:rPr>
              <w:footnoteReference w:id="3"/>
            </w:r>
          </w:p>
        </w:tc>
        <w:tc>
          <w:tcPr>
            <w:tcW w:w="1332" w:type="dxa"/>
            <w:tcBorders>
              <w:left w:val="single" w:sz="4" w:space="0" w:color="BFBFBF" w:themeColor="background1" w:themeShade="BF"/>
              <w:right w:val="single" w:sz="4" w:space="0" w:color="BFBFBF" w:themeColor="background1" w:themeShade="BF"/>
            </w:tcBorders>
            <w:shd w:val="clear" w:color="auto" w:fill="172983"/>
            <w:vAlign w:val="center"/>
          </w:tcPr>
          <w:p w14:paraId="17E5EF3F" w14:textId="77777777" w:rsidR="00D5133A" w:rsidRPr="00E634CA" w:rsidRDefault="00D5133A" w:rsidP="002657FA">
            <w:pPr>
              <w:pStyle w:val="Tableheading"/>
            </w:pPr>
            <w:r w:rsidRPr="00E634CA">
              <w:t>Surveys completed</w:t>
            </w:r>
          </w:p>
        </w:tc>
        <w:tc>
          <w:tcPr>
            <w:tcW w:w="1333" w:type="dxa"/>
            <w:tcBorders>
              <w:left w:val="single" w:sz="4" w:space="0" w:color="BFBFBF" w:themeColor="background1" w:themeShade="BF"/>
            </w:tcBorders>
            <w:shd w:val="clear" w:color="auto" w:fill="172983"/>
            <w:vAlign w:val="center"/>
          </w:tcPr>
          <w:p w14:paraId="17E5EF40" w14:textId="77777777" w:rsidR="00D5133A" w:rsidRPr="00E634CA" w:rsidRDefault="00D5133A" w:rsidP="002657FA">
            <w:pPr>
              <w:pStyle w:val="Tableheading"/>
            </w:pPr>
            <w:r w:rsidRPr="00E634CA">
              <w:t>Response rate</w:t>
            </w:r>
          </w:p>
        </w:tc>
      </w:tr>
      <w:tr w:rsidR="00D5133A" w:rsidRPr="00977AD6" w14:paraId="17E5EF47" w14:textId="77777777" w:rsidTr="002657FA">
        <w:tc>
          <w:tcPr>
            <w:tcW w:w="1333" w:type="dxa"/>
            <w:tcBorders>
              <w:right w:val="single" w:sz="4" w:space="0" w:color="BFBFBF" w:themeColor="background1" w:themeShade="BF"/>
            </w:tcBorders>
            <w:vAlign w:val="center"/>
          </w:tcPr>
          <w:p w14:paraId="17E5EF42" w14:textId="77777777" w:rsidR="00D5133A" w:rsidRPr="00E634CA" w:rsidRDefault="00D5133A" w:rsidP="002657FA">
            <w:pPr>
              <w:pStyle w:val="Tableheading"/>
              <w:ind w:right="170"/>
              <w:jc w:val="right"/>
            </w:pPr>
            <w:r w:rsidRPr="00E634CA">
              <w:t>AS1 2012</w:t>
            </w:r>
          </w:p>
        </w:tc>
        <w:tc>
          <w:tcPr>
            <w:tcW w:w="3969" w:type="dxa"/>
            <w:tcBorders>
              <w:left w:val="single" w:sz="4" w:space="0" w:color="BFBFBF" w:themeColor="background1" w:themeShade="BF"/>
              <w:right w:val="single" w:sz="4" w:space="0" w:color="BFBFBF" w:themeColor="background1" w:themeShade="BF"/>
            </w:tcBorders>
            <w:vAlign w:val="center"/>
          </w:tcPr>
          <w:p w14:paraId="17E5EF43" w14:textId="77777777" w:rsidR="00D5133A" w:rsidRPr="00977AD6" w:rsidRDefault="00D5133A" w:rsidP="002657FA">
            <w:pPr>
              <w:pStyle w:val="Tabletext0"/>
              <w:jc w:val="left"/>
            </w:pPr>
            <w:r w:rsidRPr="00977AD6">
              <w:t>15 March to 11 April 2012</w:t>
            </w:r>
            <w:r w:rsidRPr="00C40548">
              <w:rPr>
                <w:sz w:val="24"/>
                <w:szCs w:val="24"/>
                <w:vertAlign w:val="superscript"/>
              </w:rPr>
              <w:t>R3+</w:t>
            </w:r>
          </w:p>
        </w:tc>
        <w:tc>
          <w:tcPr>
            <w:tcW w:w="1332" w:type="dxa"/>
            <w:tcBorders>
              <w:left w:val="single" w:sz="4" w:space="0" w:color="BFBFBF" w:themeColor="background1" w:themeShade="BF"/>
              <w:right w:val="single" w:sz="4" w:space="0" w:color="BFBFBF" w:themeColor="background1" w:themeShade="BF"/>
            </w:tcBorders>
          </w:tcPr>
          <w:p w14:paraId="17E5EF44" w14:textId="77777777" w:rsidR="00D5133A" w:rsidRPr="002C6295" w:rsidRDefault="00D5133A" w:rsidP="002657FA">
            <w:pPr>
              <w:pStyle w:val="Tabletext0"/>
              <w:ind w:right="304"/>
              <w:jc w:val="right"/>
            </w:pPr>
            <w:r w:rsidRPr="002C6295">
              <w:t>1,527</w:t>
            </w:r>
          </w:p>
        </w:tc>
        <w:tc>
          <w:tcPr>
            <w:tcW w:w="1332" w:type="dxa"/>
            <w:tcBorders>
              <w:left w:val="single" w:sz="4" w:space="0" w:color="BFBFBF" w:themeColor="background1" w:themeShade="BF"/>
              <w:right w:val="single" w:sz="4" w:space="0" w:color="BFBFBF" w:themeColor="background1" w:themeShade="BF"/>
            </w:tcBorders>
          </w:tcPr>
          <w:p w14:paraId="17E5EF45" w14:textId="77777777" w:rsidR="00D5133A" w:rsidRPr="002C6295" w:rsidRDefault="00D5133A" w:rsidP="002657FA">
            <w:pPr>
              <w:pStyle w:val="Tabletext0"/>
              <w:ind w:right="207"/>
              <w:jc w:val="right"/>
            </w:pPr>
            <w:r w:rsidRPr="002C6295">
              <w:t>1,322</w:t>
            </w:r>
          </w:p>
        </w:tc>
        <w:tc>
          <w:tcPr>
            <w:tcW w:w="1333" w:type="dxa"/>
            <w:tcBorders>
              <w:left w:val="single" w:sz="4" w:space="0" w:color="BFBFBF" w:themeColor="background1" w:themeShade="BF"/>
            </w:tcBorders>
          </w:tcPr>
          <w:p w14:paraId="17E5EF46" w14:textId="77777777" w:rsidR="00D5133A" w:rsidRDefault="00D5133A" w:rsidP="002657FA">
            <w:pPr>
              <w:pStyle w:val="Tabletext0"/>
            </w:pPr>
            <w:r w:rsidRPr="002C6295">
              <w:t>87%</w:t>
            </w:r>
          </w:p>
        </w:tc>
      </w:tr>
      <w:tr w:rsidR="00D5133A" w:rsidRPr="00977AD6" w14:paraId="17E5EF4D" w14:textId="77777777" w:rsidTr="002657FA">
        <w:tc>
          <w:tcPr>
            <w:tcW w:w="1333" w:type="dxa"/>
            <w:tcBorders>
              <w:right w:val="single" w:sz="4" w:space="0" w:color="BFBFBF" w:themeColor="background1" w:themeShade="BF"/>
            </w:tcBorders>
            <w:vAlign w:val="center"/>
          </w:tcPr>
          <w:p w14:paraId="17E5EF48" w14:textId="77777777" w:rsidR="00D5133A" w:rsidRPr="00E634CA" w:rsidRDefault="00D5133A" w:rsidP="002657FA">
            <w:pPr>
              <w:pStyle w:val="Tableheading"/>
              <w:ind w:right="170"/>
              <w:jc w:val="right"/>
            </w:pPr>
            <w:r w:rsidRPr="00E634CA">
              <w:t>OS 2011</w:t>
            </w:r>
          </w:p>
        </w:tc>
        <w:tc>
          <w:tcPr>
            <w:tcW w:w="3969" w:type="dxa"/>
            <w:tcBorders>
              <w:left w:val="single" w:sz="4" w:space="0" w:color="BFBFBF" w:themeColor="background1" w:themeShade="BF"/>
              <w:right w:val="single" w:sz="4" w:space="0" w:color="BFBFBF" w:themeColor="background1" w:themeShade="BF"/>
            </w:tcBorders>
            <w:vAlign w:val="center"/>
          </w:tcPr>
          <w:p w14:paraId="17E5EF49" w14:textId="77777777" w:rsidR="00D5133A" w:rsidRPr="00977AD6" w:rsidRDefault="00D5133A" w:rsidP="002657FA">
            <w:pPr>
              <w:pStyle w:val="Tabletext0"/>
              <w:jc w:val="left"/>
            </w:pPr>
            <w:r w:rsidRPr="00977AD6">
              <w:t>28 October to 28 November 2011</w:t>
            </w:r>
            <w:r w:rsidRPr="00C40548">
              <w:rPr>
                <w:sz w:val="24"/>
                <w:szCs w:val="24"/>
                <w:vertAlign w:val="superscript"/>
              </w:rPr>
              <w:t>R</w:t>
            </w:r>
            <w:r>
              <w:rPr>
                <w:sz w:val="24"/>
                <w:szCs w:val="24"/>
                <w:vertAlign w:val="superscript"/>
              </w:rPr>
              <w:t>2</w:t>
            </w:r>
            <w:r w:rsidRPr="00C40548">
              <w:rPr>
                <w:sz w:val="24"/>
                <w:szCs w:val="24"/>
                <w:vertAlign w:val="superscript"/>
              </w:rPr>
              <w:t>+</w:t>
            </w:r>
          </w:p>
        </w:tc>
        <w:tc>
          <w:tcPr>
            <w:tcW w:w="1332" w:type="dxa"/>
            <w:tcBorders>
              <w:left w:val="single" w:sz="4" w:space="0" w:color="BFBFBF" w:themeColor="background1" w:themeShade="BF"/>
              <w:right w:val="single" w:sz="4" w:space="0" w:color="BFBFBF" w:themeColor="background1" w:themeShade="BF"/>
            </w:tcBorders>
            <w:vAlign w:val="center"/>
          </w:tcPr>
          <w:p w14:paraId="17E5EF4A" w14:textId="77777777" w:rsidR="00D5133A" w:rsidRPr="00E634CA" w:rsidRDefault="00D5133A" w:rsidP="002657FA">
            <w:pPr>
              <w:pStyle w:val="Tabletext0"/>
              <w:ind w:right="304"/>
              <w:jc w:val="right"/>
            </w:pPr>
            <w:r w:rsidRPr="00E634CA">
              <w:t>2,653</w:t>
            </w:r>
          </w:p>
        </w:tc>
        <w:tc>
          <w:tcPr>
            <w:tcW w:w="1332" w:type="dxa"/>
            <w:tcBorders>
              <w:left w:val="single" w:sz="4" w:space="0" w:color="BFBFBF" w:themeColor="background1" w:themeShade="BF"/>
              <w:right w:val="single" w:sz="4" w:space="0" w:color="BFBFBF" w:themeColor="background1" w:themeShade="BF"/>
            </w:tcBorders>
            <w:vAlign w:val="center"/>
          </w:tcPr>
          <w:p w14:paraId="17E5EF4B" w14:textId="77777777" w:rsidR="00D5133A" w:rsidRPr="00E634CA" w:rsidRDefault="00D5133A" w:rsidP="002657FA">
            <w:pPr>
              <w:pStyle w:val="Tabletext0"/>
              <w:ind w:right="207"/>
              <w:jc w:val="right"/>
            </w:pPr>
            <w:r w:rsidRPr="00E634CA">
              <w:t>1</w:t>
            </w:r>
            <w:r>
              <w:t>,</w:t>
            </w:r>
            <w:r w:rsidRPr="00E634CA">
              <w:t>988</w:t>
            </w:r>
          </w:p>
        </w:tc>
        <w:tc>
          <w:tcPr>
            <w:tcW w:w="1333" w:type="dxa"/>
            <w:tcBorders>
              <w:left w:val="single" w:sz="4" w:space="0" w:color="BFBFBF" w:themeColor="background1" w:themeShade="BF"/>
            </w:tcBorders>
            <w:vAlign w:val="center"/>
          </w:tcPr>
          <w:p w14:paraId="17E5EF4C" w14:textId="77777777" w:rsidR="00D5133A" w:rsidRPr="00E634CA" w:rsidRDefault="00D5133A" w:rsidP="002657FA">
            <w:pPr>
              <w:pStyle w:val="Tabletext0"/>
            </w:pPr>
            <w:r w:rsidRPr="00E634CA">
              <w:t>75%</w:t>
            </w:r>
          </w:p>
        </w:tc>
      </w:tr>
      <w:tr w:rsidR="00D5133A" w:rsidRPr="00977AD6" w14:paraId="17E5EF53" w14:textId="77777777" w:rsidTr="002657FA">
        <w:tc>
          <w:tcPr>
            <w:tcW w:w="1333" w:type="dxa"/>
            <w:tcBorders>
              <w:right w:val="single" w:sz="4" w:space="0" w:color="BFBFBF" w:themeColor="background1" w:themeShade="BF"/>
            </w:tcBorders>
            <w:vAlign w:val="center"/>
          </w:tcPr>
          <w:p w14:paraId="17E5EF4E" w14:textId="77777777" w:rsidR="00D5133A" w:rsidRPr="00E634CA" w:rsidRDefault="00D5133A" w:rsidP="002657FA">
            <w:pPr>
              <w:pStyle w:val="Tableheading"/>
              <w:ind w:right="170"/>
              <w:jc w:val="right"/>
            </w:pPr>
            <w:r w:rsidRPr="00E634CA">
              <w:t>AS2 2011</w:t>
            </w:r>
          </w:p>
        </w:tc>
        <w:tc>
          <w:tcPr>
            <w:tcW w:w="3969" w:type="dxa"/>
            <w:tcBorders>
              <w:left w:val="single" w:sz="4" w:space="0" w:color="BFBFBF" w:themeColor="background1" w:themeShade="BF"/>
              <w:right w:val="single" w:sz="4" w:space="0" w:color="BFBFBF" w:themeColor="background1" w:themeShade="BF"/>
            </w:tcBorders>
            <w:vAlign w:val="center"/>
          </w:tcPr>
          <w:p w14:paraId="17E5EF4F" w14:textId="77777777" w:rsidR="00D5133A" w:rsidRPr="00977AD6" w:rsidRDefault="00D5133A" w:rsidP="002657FA">
            <w:pPr>
              <w:pStyle w:val="Tabletext0"/>
              <w:jc w:val="left"/>
            </w:pPr>
            <w:r w:rsidRPr="00977AD6">
              <w:t>23 Septe</w:t>
            </w:r>
            <w:r>
              <w:t>mber to 17 October 2011</w:t>
            </w:r>
            <w:r w:rsidRPr="00C40548">
              <w:rPr>
                <w:sz w:val="24"/>
                <w:szCs w:val="24"/>
                <w:vertAlign w:val="superscript"/>
              </w:rPr>
              <w:t>R</w:t>
            </w:r>
            <w:r>
              <w:rPr>
                <w:sz w:val="24"/>
                <w:szCs w:val="24"/>
                <w:vertAlign w:val="superscript"/>
              </w:rPr>
              <w:t>2</w:t>
            </w:r>
            <w:r w:rsidRPr="00C40548">
              <w:rPr>
                <w:sz w:val="24"/>
                <w:szCs w:val="24"/>
                <w:vertAlign w:val="superscript"/>
              </w:rPr>
              <w:t>+</w:t>
            </w:r>
          </w:p>
        </w:tc>
        <w:tc>
          <w:tcPr>
            <w:tcW w:w="1332" w:type="dxa"/>
            <w:tcBorders>
              <w:left w:val="single" w:sz="4" w:space="0" w:color="BFBFBF" w:themeColor="background1" w:themeShade="BF"/>
              <w:right w:val="single" w:sz="4" w:space="0" w:color="BFBFBF" w:themeColor="background1" w:themeShade="BF"/>
            </w:tcBorders>
            <w:vAlign w:val="center"/>
          </w:tcPr>
          <w:p w14:paraId="17E5EF50" w14:textId="77777777" w:rsidR="00D5133A" w:rsidRPr="00E634CA" w:rsidRDefault="00D5133A" w:rsidP="002657FA">
            <w:pPr>
              <w:pStyle w:val="Tabletext0"/>
              <w:ind w:right="304"/>
              <w:jc w:val="right"/>
            </w:pPr>
            <w:r w:rsidRPr="00E634CA">
              <w:t>613</w:t>
            </w:r>
          </w:p>
        </w:tc>
        <w:tc>
          <w:tcPr>
            <w:tcW w:w="1332" w:type="dxa"/>
            <w:tcBorders>
              <w:left w:val="single" w:sz="4" w:space="0" w:color="BFBFBF" w:themeColor="background1" w:themeShade="BF"/>
              <w:right w:val="single" w:sz="4" w:space="0" w:color="BFBFBF" w:themeColor="background1" w:themeShade="BF"/>
            </w:tcBorders>
            <w:vAlign w:val="center"/>
          </w:tcPr>
          <w:p w14:paraId="17E5EF51" w14:textId="77777777" w:rsidR="00D5133A" w:rsidRPr="00E634CA" w:rsidRDefault="00D5133A" w:rsidP="002657FA">
            <w:pPr>
              <w:pStyle w:val="Tabletext0"/>
              <w:ind w:right="207"/>
              <w:jc w:val="right"/>
            </w:pPr>
            <w:r w:rsidRPr="00E634CA">
              <w:t>572</w:t>
            </w:r>
          </w:p>
        </w:tc>
        <w:tc>
          <w:tcPr>
            <w:tcW w:w="1333" w:type="dxa"/>
            <w:tcBorders>
              <w:left w:val="single" w:sz="4" w:space="0" w:color="BFBFBF" w:themeColor="background1" w:themeShade="BF"/>
            </w:tcBorders>
            <w:vAlign w:val="center"/>
          </w:tcPr>
          <w:p w14:paraId="17E5EF52" w14:textId="77777777" w:rsidR="00D5133A" w:rsidRPr="00E634CA" w:rsidRDefault="00D5133A" w:rsidP="002657FA">
            <w:pPr>
              <w:pStyle w:val="Tabletext0"/>
            </w:pPr>
            <w:r w:rsidRPr="00E634CA">
              <w:t>93%</w:t>
            </w:r>
          </w:p>
        </w:tc>
      </w:tr>
      <w:tr w:rsidR="00D5133A" w:rsidRPr="00977AD6" w14:paraId="17E5EF59" w14:textId="77777777" w:rsidTr="002657FA">
        <w:tc>
          <w:tcPr>
            <w:tcW w:w="1333" w:type="dxa"/>
            <w:tcBorders>
              <w:right w:val="single" w:sz="4" w:space="0" w:color="BFBFBF" w:themeColor="background1" w:themeShade="BF"/>
            </w:tcBorders>
            <w:vAlign w:val="center"/>
          </w:tcPr>
          <w:p w14:paraId="17E5EF54" w14:textId="77777777" w:rsidR="00D5133A" w:rsidRPr="00E634CA" w:rsidRDefault="00D5133A" w:rsidP="002657FA">
            <w:pPr>
              <w:pStyle w:val="Tableheading"/>
              <w:ind w:right="170"/>
              <w:jc w:val="right"/>
            </w:pPr>
            <w:r w:rsidRPr="00E634CA">
              <w:t>AS1 2011</w:t>
            </w:r>
          </w:p>
        </w:tc>
        <w:tc>
          <w:tcPr>
            <w:tcW w:w="3969" w:type="dxa"/>
            <w:tcBorders>
              <w:left w:val="single" w:sz="4" w:space="0" w:color="BFBFBF" w:themeColor="background1" w:themeShade="BF"/>
              <w:right w:val="single" w:sz="4" w:space="0" w:color="BFBFBF" w:themeColor="background1" w:themeShade="BF"/>
            </w:tcBorders>
            <w:vAlign w:val="center"/>
          </w:tcPr>
          <w:p w14:paraId="17E5EF55" w14:textId="77777777" w:rsidR="00D5133A" w:rsidRPr="00977AD6" w:rsidRDefault="00D5133A" w:rsidP="002657FA">
            <w:pPr>
              <w:pStyle w:val="Tabletext0"/>
              <w:jc w:val="left"/>
            </w:pPr>
            <w:r w:rsidRPr="00977AD6">
              <w:t>21 March to 11 April 2011</w:t>
            </w:r>
            <w:r w:rsidRPr="00C40548">
              <w:rPr>
                <w:sz w:val="24"/>
                <w:szCs w:val="24"/>
                <w:vertAlign w:val="superscript"/>
              </w:rPr>
              <w:t>R3+</w:t>
            </w:r>
          </w:p>
        </w:tc>
        <w:tc>
          <w:tcPr>
            <w:tcW w:w="1332" w:type="dxa"/>
            <w:tcBorders>
              <w:left w:val="single" w:sz="4" w:space="0" w:color="BFBFBF" w:themeColor="background1" w:themeShade="BF"/>
              <w:right w:val="single" w:sz="4" w:space="0" w:color="BFBFBF" w:themeColor="background1" w:themeShade="BF"/>
            </w:tcBorders>
            <w:vAlign w:val="center"/>
          </w:tcPr>
          <w:p w14:paraId="17E5EF56" w14:textId="77777777" w:rsidR="00D5133A" w:rsidRPr="00E634CA" w:rsidRDefault="00D5133A" w:rsidP="002657FA">
            <w:pPr>
              <w:pStyle w:val="Tabletext0"/>
              <w:ind w:right="304"/>
              <w:jc w:val="right"/>
            </w:pPr>
            <w:r w:rsidRPr="00E634CA">
              <w:t>1,142</w:t>
            </w:r>
          </w:p>
        </w:tc>
        <w:tc>
          <w:tcPr>
            <w:tcW w:w="1332" w:type="dxa"/>
            <w:tcBorders>
              <w:left w:val="single" w:sz="4" w:space="0" w:color="BFBFBF" w:themeColor="background1" w:themeShade="BF"/>
              <w:right w:val="single" w:sz="4" w:space="0" w:color="BFBFBF" w:themeColor="background1" w:themeShade="BF"/>
            </w:tcBorders>
            <w:vAlign w:val="center"/>
          </w:tcPr>
          <w:p w14:paraId="17E5EF57" w14:textId="77777777" w:rsidR="00D5133A" w:rsidRPr="00E634CA" w:rsidRDefault="00D5133A" w:rsidP="002657FA">
            <w:pPr>
              <w:pStyle w:val="Tabletext0"/>
              <w:ind w:right="207"/>
              <w:jc w:val="right"/>
            </w:pPr>
            <w:r w:rsidRPr="00E634CA">
              <w:t>1,028</w:t>
            </w:r>
          </w:p>
        </w:tc>
        <w:tc>
          <w:tcPr>
            <w:tcW w:w="1333" w:type="dxa"/>
            <w:tcBorders>
              <w:left w:val="single" w:sz="4" w:space="0" w:color="BFBFBF" w:themeColor="background1" w:themeShade="BF"/>
            </w:tcBorders>
            <w:vAlign w:val="center"/>
          </w:tcPr>
          <w:p w14:paraId="17E5EF58" w14:textId="77777777" w:rsidR="00D5133A" w:rsidRPr="00E634CA" w:rsidRDefault="00D5133A" w:rsidP="002657FA">
            <w:pPr>
              <w:pStyle w:val="Tabletext0"/>
            </w:pPr>
            <w:r w:rsidRPr="00E634CA">
              <w:t>90%</w:t>
            </w:r>
          </w:p>
        </w:tc>
      </w:tr>
      <w:tr w:rsidR="00D5133A" w:rsidRPr="00977AD6" w14:paraId="17E5EF5F" w14:textId="77777777" w:rsidTr="002657FA">
        <w:tc>
          <w:tcPr>
            <w:tcW w:w="1333" w:type="dxa"/>
            <w:tcBorders>
              <w:right w:val="single" w:sz="4" w:space="0" w:color="BFBFBF" w:themeColor="background1" w:themeShade="BF"/>
            </w:tcBorders>
            <w:vAlign w:val="center"/>
          </w:tcPr>
          <w:p w14:paraId="17E5EF5A" w14:textId="77777777" w:rsidR="00D5133A" w:rsidRPr="00E634CA" w:rsidRDefault="00D5133A" w:rsidP="002657FA">
            <w:pPr>
              <w:pStyle w:val="Tableheading"/>
              <w:ind w:right="170"/>
              <w:jc w:val="right"/>
            </w:pPr>
            <w:r w:rsidRPr="00E634CA">
              <w:t>OS 2010</w:t>
            </w:r>
          </w:p>
        </w:tc>
        <w:tc>
          <w:tcPr>
            <w:tcW w:w="3969" w:type="dxa"/>
            <w:tcBorders>
              <w:left w:val="single" w:sz="4" w:space="0" w:color="BFBFBF" w:themeColor="background1" w:themeShade="BF"/>
              <w:right w:val="single" w:sz="4" w:space="0" w:color="BFBFBF" w:themeColor="background1" w:themeShade="BF"/>
            </w:tcBorders>
            <w:vAlign w:val="center"/>
          </w:tcPr>
          <w:p w14:paraId="17E5EF5B" w14:textId="77777777" w:rsidR="00D5133A" w:rsidRPr="00977AD6" w:rsidRDefault="00D5133A" w:rsidP="0056239D">
            <w:pPr>
              <w:pStyle w:val="Tabletext0"/>
              <w:jc w:val="left"/>
            </w:pPr>
            <w:r w:rsidRPr="00977AD6">
              <w:t>15 September to 4 October 2010</w:t>
            </w:r>
            <w:r w:rsidRPr="00C40548">
              <w:rPr>
                <w:sz w:val="24"/>
                <w:szCs w:val="24"/>
                <w:vertAlign w:val="superscript"/>
              </w:rPr>
              <w:t>R3+</w:t>
            </w:r>
          </w:p>
        </w:tc>
        <w:tc>
          <w:tcPr>
            <w:tcW w:w="1332" w:type="dxa"/>
            <w:tcBorders>
              <w:left w:val="single" w:sz="4" w:space="0" w:color="BFBFBF" w:themeColor="background1" w:themeShade="BF"/>
              <w:right w:val="single" w:sz="4" w:space="0" w:color="BFBFBF" w:themeColor="background1" w:themeShade="BF"/>
            </w:tcBorders>
            <w:vAlign w:val="center"/>
          </w:tcPr>
          <w:p w14:paraId="17E5EF5C" w14:textId="77777777" w:rsidR="00D5133A" w:rsidRPr="00E634CA" w:rsidRDefault="00D5133A" w:rsidP="002657FA">
            <w:pPr>
              <w:pStyle w:val="Tabletext0"/>
              <w:ind w:right="304"/>
              <w:jc w:val="right"/>
            </w:pPr>
            <w:r w:rsidRPr="00E634CA">
              <w:t>2,454</w:t>
            </w:r>
          </w:p>
        </w:tc>
        <w:tc>
          <w:tcPr>
            <w:tcW w:w="1332" w:type="dxa"/>
            <w:tcBorders>
              <w:left w:val="single" w:sz="4" w:space="0" w:color="BFBFBF" w:themeColor="background1" w:themeShade="BF"/>
              <w:right w:val="single" w:sz="4" w:space="0" w:color="BFBFBF" w:themeColor="background1" w:themeShade="BF"/>
            </w:tcBorders>
            <w:vAlign w:val="center"/>
          </w:tcPr>
          <w:p w14:paraId="17E5EF5D" w14:textId="77777777" w:rsidR="00D5133A" w:rsidRPr="00E634CA" w:rsidRDefault="00D5133A" w:rsidP="002657FA">
            <w:pPr>
              <w:pStyle w:val="Tabletext0"/>
              <w:ind w:right="207"/>
              <w:jc w:val="right"/>
            </w:pPr>
            <w:r w:rsidRPr="00E634CA">
              <w:t>1,866</w:t>
            </w:r>
          </w:p>
        </w:tc>
        <w:tc>
          <w:tcPr>
            <w:tcW w:w="1333" w:type="dxa"/>
            <w:tcBorders>
              <w:left w:val="single" w:sz="4" w:space="0" w:color="BFBFBF" w:themeColor="background1" w:themeShade="BF"/>
            </w:tcBorders>
            <w:vAlign w:val="center"/>
          </w:tcPr>
          <w:p w14:paraId="17E5EF5E" w14:textId="77777777" w:rsidR="00D5133A" w:rsidRPr="00E634CA" w:rsidRDefault="00D5133A" w:rsidP="002657FA">
            <w:pPr>
              <w:pStyle w:val="Tabletext0"/>
            </w:pPr>
            <w:r w:rsidRPr="00E634CA">
              <w:t>76%</w:t>
            </w:r>
          </w:p>
        </w:tc>
      </w:tr>
      <w:tr w:rsidR="00D5133A" w:rsidRPr="00977AD6" w14:paraId="17E5EF65" w14:textId="77777777" w:rsidTr="002657FA">
        <w:tc>
          <w:tcPr>
            <w:tcW w:w="1333" w:type="dxa"/>
            <w:tcBorders>
              <w:right w:val="single" w:sz="4" w:space="0" w:color="BFBFBF" w:themeColor="background1" w:themeShade="BF"/>
            </w:tcBorders>
            <w:vAlign w:val="center"/>
          </w:tcPr>
          <w:p w14:paraId="17E5EF60" w14:textId="77777777" w:rsidR="00D5133A" w:rsidRPr="00E634CA" w:rsidRDefault="00D5133A" w:rsidP="002657FA">
            <w:pPr>
              <w:pStyle w:val="Tableheading"/>
              <w:ind w:right="170"/>
              <w:jc w:val="right"/>
            </w:pPr>
            <w:r w:rsidRPr="00E634CA">
              <w:t>AS2 2010</w:t>
            </w:r>
          </w:p>
        </w:tc>
        <w:tc>
          <w:tcPr>
            <w:tcW w:w="3969" w:type="dxa"/>
            <w:tcBorders>
              <w:left w:val="single" w:sz="4" w:space="0" w:color="BFBFBF" w:themeColor="background1" w:themeShade="BF"/>
              <w:right w:val="single" w:sz="4" w:space="0" w:color="BFBFBF" w:themeColor="background1" w:themeShade="BF"/>
            </w:tcBorders>
            <w:vAlign w:val="center"/>
          </w:tcPr>
          <w:p w14:paraId="17E5EF61" w14:textId="77777777" w:rsidR="00D5133A" w:rsidRPr="00977AD6" w:rsidRDefault="00D5133A" w:rsidP="0056239D">
            <w:pPr>
              <w:pStyle w:val="Tabletext0"/>
              <w:jc w:val="left"/>
            </w:pPr>
            <w:r w:rsidRPr="00977AD6">
              <w:t>9 to 23 August 2010</w:t>
            </w:r>
            <w:r>
              <w:rPr>
                <w:sz w:val="24"/>
                <w:szCs w:val="24"/>
                <w:vertAlign w:val="superscript"/>
              </w:rPr>
              <w:t>R1</w:t>
            </w:r>
          </w:p>
        </w:tc>
        <w:tc>
          <w:tcPr>
            <w:tcW w:w="1332" w:type="dxa"/>
            <w:tcBorders>
              <w:left w:val="single" w:sz="4" w:space="0" w:color="BFBFBF" w:themeColor="background1" w:themeShade="BF"/>
              <w:right w:val="single" w:sz="4" w:space="0" w:color="BFBFBF" w:themeColor="background1" w:themeShade="BF"/>
            </w:tcBorders>
            <w:vAlign w:val="center"/>
          </w:tcPr>
          <w:p w14:paraId="17E5EF62" w14:textId="77777777" w:rsidR="00D5133A" w:rsidRPr="00E634CA" w:rsidRDefault="00D5133A" w:rsidP="002657FA">
            <w:pPr>
              <w:pStyle w:val="Tabletext0"/>
              <w:ind w:right="304"/>
              <w:jc w:val="right"/>
            </w:pPr>
            <w:r w:rsidRPr="00E634CA">
              <w:t>436</w:t>
            </w:r>
          </w:p>
        </w:tc>
        <w:tc>
          <w:tcPr>
            <w:tcW w:w="1332" w:type="dxa"/>
            <w:tcBorders>
              <w:left w:val="single" w:sz="4" w:space="0" w:color="BFBFBF" w:themeColor="background1" w:themeShade="BF"/>
              <w:right w:val="single" w:sz="4" w:space="0" w:color="BFBFBF" w:themeColor="background1" w:themeShade="BF"/>
            </w:tcBorders>
            <w:vAlign w:val="center"/>
          </w:tcPr>
          <w:p w14:paraId="17E5EF63" w14:textId="77777777" w:rsidR="00D5133A" w:rsidRPr="00E634CA" w:rsidRDefault="00D5133A" w:rsidP="002657FA">
            <w:pPr>
              <w:pStyle w:val="Tabletext0"/>
              <w:ind w:right="207"/>
              <w:jc w:val="right"/>
            </w:pPr>
            <w:r w:rsidRPr="00E634CA">
              <w:t>398</w:t>
            </w:r>
          </w:p>
        </w:tc>
        <w:tc>
          <w:tcPr>
            <w:tcW w:w="1333" w:type="dxa"/>
            <w:tcBorders>
              <w:left w:val="single" w:sz="4" w:space="0" w:color="BFBFBF" w:themeColor="background1" w:themeShade="BF"/>
            </w:tcBorders>
            <w:vAlign w:val="center"/>
          </w:tcPr>
          <w:p w14:paraId="17E5EF64" w14:textId="77777777" w:rsidR="00D5133A" w:rsidRPr="00E634CA" w:rsidRDefault="00D5133A" w:rsidP="002657FA">
            <w:pPr>
              <w:pStyle w:val="Tabletext0"/>
            </w:pPr>
            <w:r w:rsidRPr="00E634CA">
              <w:t>91%</w:t>
            </w:r>
          </w:p>
        </w:tc>
      </w:tr>
      <w:tr w:rsidR="00D5133A" w:rsidRPr="00977AD6" w14:paraId="17E5EF6B" w14:textId="77777777" w:rsidTr="002657FA">
        <w:tc>
          <w:tcPr>
            <w:tcW w:w="1333" w:type="dxa"/>
            <w:tcBorders>
              <w:right w:val="single" w:sz="4" w:space="0" w:color="BFBFBF" w:themeColor="background1" w:themeShade="BF"/>
            </w:tcBorders>
            <w:vAlign w:val="center"/>
          </w:tcPr>
          <w:p w14:paraId="17E5EF66" w14:textId="77777777" w:rsidR="00D5133A" w:rsidRPr="00E634CA" w:rsidRDefault="00D5133A" w:rsidP="002657FA">
            <w:pPr>
              <w:pStyle w:val="Tableheading"/>
              <w:ind w:right="170"/>
              <w:jc w:val="right"/>
            </w:pPr>
            <w:r w:rsidRPr="00E634CA">
              <w:t>AS1 2010</w:t>
            </w:r>
          </w:p>
        </w:tc>
        <w:tc>
          <w:tcPr>
            <w:tcW w:w="3969" w:type="dxa"/>
            <w:tcBorders>
              <w:left w:val="single" w:sz="4" w:space="0" w:color="BFBFBF" w:themeColor="background1" w:themeShade="BF"/>
              <w:right w:val="single" w:sz="4" w:space="0" w:color="BFBFBF" w:themeColor="background1" w:themeShade="BF"/>
            </w:tcBorders>
            <w:vAlign w:val="center"/>
          </w:tcPr>
          <w:p w14:paraId="17E5EF67" w14:textId="77777777" w:rsidR="00D5133A" w:rsidRPr="00977AD6" w:rsidRDefault="00D5133A" w:rsidP="002657FA">
            <w:pPr>
              <w:pStyle w:val="Tabletext0"/>
              <w:jc w:val="left"/>
            </w:pPr>
            <w:r w:rsidRPr="00977AD6">
              <w:t>15 March to 6 April 2010</w:t>
            </w:r>
            <w:r>
              <w:rPr>
                <w:sz w:val="24"/>
                <w:szCs w:val="24"/>
                <w:vertAlign w:val="superscript"/>
              </w:rPr>
              <w:t>R2</w:t>
            </w:r>
          </w:p>
        </w:tc>
        <w:tc>
          <w:tcPr>
            <w:tcW w:w="1332" w:type="dxa"/>
            <w:tcBorders>
              <w:left w:val="single" w:sz="4" w:space="0" w:color="BFBFBF" w:themeColor="background1" w:themeShade="BF"/>
              <w:right w:val="single" w:sz="4" w:space="0" w:color="BFBFBF" w:themeColor="background1" w:themeShade="BF"/>
            </w:tcBorders>
            <w:vAlign w:val="center"/>
          </w:tcPr>
          <w:p w14:paraId="17E5EF68" w14:textId="77777777" w:rsidR="00D5133A" w:rsidRPr="00E634CA" w:rsidRDefault="00D5133A" w:rsidP="002657FA">
            <w:pPr>
              <w:pStyle w:val="Tabletext0"/>
              <w:ind w:right="304"/>
              <w:jc w:val="right"/>
            </w:pPr>
            <w:r w:rsidRPr="00E634CA">
              <w:t>926</w:t>
            </w:r>
          </w:p>
        </w:tc>
        <w:tc>
          <w:tcPr>
            <w:tcW w:w="1332" w:type="dxa"/>
            <w:tcBorders>
              <w:left w:val="single" w:sz="4" w:space="0" w:color="BFBFBF" w:themeColor="background1" w:themeShade="BF"/>
              <w:right w:val="single" w:sz="4" w:space="0" w:color="BFBFBF" w:themeColor="background1" w:themeShade="BF"/>
            </w:tcBorders>
            <w:vAlign w:val="center"/>
          </w:tcPr>
          <w:p w14:paraId="17E5EF69" w14:textId="77777777" w:rsidR="00D5133A" w:rsidRPr="00E634CA" w:rsidRDefault="00D5133A" w:rsidP="002657FA">
            <w:pPr>
              <w:pStyle w:val="Tabletext0"/>
              <w:ind w:right="207"/>
              <w:jc w:val="right"/>
            </w:pPr>
            <w:r w:rsidRPr="00E634CA">
              <w:t>828</w:t>
            </w:r>
          </w:p>
        </w:tc>
        <w:tc>
          <w:tcPr>
            <w:tcW w:w="1333" w:type="dxa"/>
            <w:tcBorders>
              <w:left w:val="single" w:sz="4" w:space="0" w:color="BFBFBF" w:themeColor="background1" w:themeShade="BF"/>
            </w:tcBorders>
            <w:vAlign w:val="center"/>
          </w:tcPr>
          <w:p w14:paraId="17E5EF6A" w14:textId="77777777" w:rsidR="00D5133A" w:rsidRPr="00E634CA" w:rsidRDefault="00D5133A" w:rsidP="002657FA">
            <w:pPr>
              <w:pStyle w:val="Tabletext0"/>
            </w:pPr>
            <w:r w:rsidRPr="00E634CA">
              <w:t>89%</w:t>
            </w:r>
          </w:p>
        </w:tc>
      </w:tr>
      <w:tr w:rsidR="00D5133A" w:rsidRPr="00977AD6" w14:paraId="17E5EF71" w14:textId="77777777" w:rsidTr="002657FA">
        <w:tc>
          <w:tcPr>
            <w:tcW w:w="1333" w:type="dxa"/>
            <w:tcBorders>
              <w:right w:val="single" w:sz="4" w:space="0" w:color="BFBFBF" w:themeColor="background1" w:themeShade="BF"/>
            </w:tcBorders>
            <w:vAlign w:val="center"/>
          </w:tcPr>
          <w:p w14:paraId="17E5EF6C" w14:textId="77777777" w:rsidR="00D5133A" w:rsidRPr="00E634CA" w:rsidRDefault="00D5133A" w:rsidP="002657FA">
            <w:pPr>
              <w:pStyle w:val="Tableheading"/>
              <w:ind w:right="170"/>
              <w:jc w:val="right"/>
            </w:pPr>
            <w:r w:rsidRPr="00E634CA">
              <w:t>OS 2009</w:t>
            </w:r>
          </w:p>
        </w:tc>
        <w:tc>
          <w:tcPr>
            <w:tcW w:w="3969" w:type="dxa"/>
            <w:tcBorders>
              <w:left w:val="single" w:sz="4" w:space="0" w:color="BFBFBF" w:themeColor="background1" w:themeShade="BF"/>
              <w:right w:val="single" w:sz="4" w:space="0" w:color="BFBFBF" w:themeColor="background1" w:themeShade="BF"/>
            </w:tcBorders>
            <w:vAlign w:val="center"/>
          </w:tcPr>
          <w:p w14:paraId="17E5EF6D" w14:textId="77777777" w:rsidR="00D5133A" w:rsidRPr="00977AD6" w:rsidRDefault="00D5133A" w:rsidP="002657FA">
            <w:pPr>
              <w:pStyle w:val="Tabletext0"/>
              <w:jc w:val="left"/>
            </w:pPr>
            <w:r w:rsidRPr="00977AD6">
              <w:t>14 September to 5 October 2009</w:t>
            </w:r>
            <w:r>
              <w:rPr>
                <w:sz w:val="24"/>
                <w:szCs w:val="24"/>
                <w:vertAlign w:val="superscript"/>
              </w:rPr>
              <w:t>R1+</w:t>
            </w:r>
          </w:p>
        </w:tc>
        <w:tc>
          <w:tcPr>
            <w:tcW w:w="1332" w:type="dxa"/>
            <w:tcBorders>
              <w:left w:val="single" w:sz="4" w:space="0" w:color="BFBFBF" w:themeColor="background1" w:themeShade="BF"/>
              <w:right w:val="single" w:sz="4" w:space="0" w:color="BFBFBF" w:themeColor="background1" w:themeShade="BF"/>
            </w:tcBorders>
            <w:vAlign w:val="center"/>
          </w:tcPr>
          <w:p w14:paraId="17E5EF6E" w14:textId="77777777" w:rsidR="00D5133A" w:rsidRPr="00E634CA" w:rsidRDefault="00D5133A" w:rsidP="002657FA">
            <w:pPr>
              <w:pStyle w:val="Tabletext0"/>
              <w:ind w:right="304"/>
              <w:jc w:val="right"/>
            </w:pPr>
            <w:r w:rsidRPr="00E634CA">
              <w:t>2,450</w:t>
            </w:r>
          </w:p>
        </w:tc>
        <w:tc>
          <w:tcPr>
            <w:tcW w:w="1332" w:type="dxa"/>
            <w:tcBorders>
              <w:left w:val="single" w:sz="4" w:space="0" w:color="BFBFBF" w:themeColor="background1" w:themeShade="BF"/>
              <w:right w:val="single" w:sz="4" w:space="0" w:color="BFBFBF" w:themeColor="background1" w:themeShade="BF"/>
            </w:tcBorders>
            <w:vAlign w:val="center"/>
          </w:tcPr>
          <w:p w14:paraId="17E5EF6F" w14:textId="77777777" w:rsidR="00D5133A" w:rsidRPr="00E634CA" w:rsidRDefault="00D5133A" w:rsidP="002657FA">
            <w:pPr>
              <w:pStyle w:val="Tabletext0"/>
              <w:ind w:right="207"/>
              <w:jc w:val="right"/>
            </w:pPr>
            <w:r w:rsidRPr="00E634CA">
              <w:t>1,673</w:t>
            </w:r>
          </w:p>
        </w:tc>
        <w:tc>
          <w:tcPr>
            <w:tcW w:w="1333" w:type="dxa"/>
            <w:tcBorders>
              <w:left w:val="single" w:sz="4" w:space="0" w:color="BFBFBF" w:themeColor="background1" w:themeShade="BF"/>
            </w:tcBorders>
            <w:vAlign w:val="center"/>
          </w:tcPr>
          <w:p w14:paraId="17E5EF70" w14:textId="77777777" w:rsidR="00D5133A" w:rsidRPr="00E634CA" w:rsidRDefault="00D5133A" w:rsidP="002657FA">
            <w:pPr>
              <w:pStyle w:val="Tabletext0"/>
            </w:pPr>
            <w:r w:rsidRPr="00E634CA">
              <w:t>68%</w:t>
            </w:r>
          </w:p>
        </w:tc>
      </w:tr>
      <w:tr w:rsidR="00D5133A" w:rsidRPr="00977AD6" w14:paraId="17E5EF77" w14:textId="77777777" w:rsidTr="002657FA">
        <w:tc>
          <w:tcPr>
            <w:tcW w:w="1333" w:type="dxa"/>
            <w:tcBorders>
              <w:right w:val="single" w:sz="4" w:space="0" w:color="BFBFBF" w:themeColor="background1" w:themeShade="BF"/>
            </w:tcBorders>
            <w:vAlign w:val="center"/>
          </w:tcPr>
          <w:p w14:paraId="17E5EF72" w14:textId="77777777" w:rsidR="00D5133A" w:rsidRPr="00E634CA" w:rsidRDefault="00D5133A" w:rsidP="002657FA">
            <w:pPr>
              <w:pStyle w:val="Tableheading"/>
              <w:ind w:right="170"/>
              <w:jc w:val="right"/>
            </w:pPr>
            <w:r w:rsidRPr="00E634CA">
              <w:t>AS2 2009</w:t>
            </w:r>
          </w:p>
        </w:tc>
        <w:tc>
          <w:tcPr>
            <w:tcW w:w="3969" w:type="dxa"/>
            <w:tcBorders>
              <w:left w:val="single" w:sz="4" w:space="0" w:color="BFBFBF" w:themeColor="background1" w:themeShade="BF"/>
              <w:right w:val="single" w:sz="4" w:space="0" w:color="BFBFBF" w:themeColor="background1" w:themeShade="BF"/>
            </w:tcBorders>
            <w:vAlign w:val="center"/>
          </w:tcPr>
          <w:p w14:paraId="17E5EF73" w14:textId="77777777" w:rsidR="00D5133A" w:rsidRPr="00977AD6" w:rsidRDefault="00D5133A" w:rsidP="002657FA">
            <w:pPr>
              <w:pStyle w:val="Tabletext0"/>
              <w:jc w:val="left"/>
            </w:pPr>
            <w:r w:rsidRPr="00977AD6">
              <w:t>24 August to 7 September 2009</w:t>
            </w:r>
            <w:r>
              <w:rPr>
                <w:sz w:val="24"/>
                <w:szCs w:val="24"/>
                <w:vertAlign w:val="superscript"/>
              </w:rPr>
              <w:t>R1</w:t>
            </w:r>
          </w:p>
        </w:tc>
        <w:tc>
          <w:tcPr>
            <w:tcW w:w="1332" w:type="dxa"/>
            <w:tcBorders>
              <w:left w:val="single" w:sz="4" w:space="0" w:color="BFBFBF" w:themeColor="background1" w:themeShade="BF"/>
              <w:right w:val="single" w:sz="4" w:space="0" w:color="BFBFBF" w:themeColor="background1" w:themeShade="BF"/>
            </w:tcBorders>
            <w:vAlign w:val="center"/>
          </w:tcPr>
          <w:p w14:paraId="17E5EF74" w14:textId="77777777" w:rsidR="00D5133A" w:rsidRPr="00E634CA" w:rsidRDefault="00D5133A" w:rsidP="002657FA">
            <w:pPr>
              <w:pStyle w:val="Tabletext0"/>
              <w:ind w:right="304"/>
              <w:jc w:val="right"/>
            </w:pPr>
            <w:r w:rsidRPr="00E634CA">
              <w:t>266</w:t>
            </w:r>
          </w:p>
        </w:tc>
        <w:tc>
          <w:tcPr>
            <w:tcW w:w="1332" w:type="dxa"/>
            <w:tcBorders>
              <w:left w:val="single" w:sz="4" w:space="0" w:color="BFBFBF" w:themeColor="background1" w:themeShade="BF"/>
              <w:right w:val="single" w:sz="4" w:space="0" w:color="BFBFBF" w:themeColor="background1" w:themeShade="BF"/>
            </w:tcBorders>
            <w:vAlign w:val="center"/>
          </w:tcPr>
          <w:p w14:paraId="17E5EF75" w14:textId="77777777" w:rsidR="00D5133A" w:rsidRPr="00E634CA" w:rsidRDefault="00D5133A" w:rsidP="002657FA">
            <w:pPr>
              <w:pStyle w:val="Tabletext0"/>
              <w:ind w:right="207"/>
              <w:jc w:val="right"/>
            </w:pPr>
            <w:r w:rsidRPr="00E634CA">
              <w:t>220</w:t>
            </w:r>
          </w:p>
        </w:tc>
        <w:tc>
          <w:tcPr>
            <w:tcW w:w="1333" w:type="dxa"/>
            <w:tcBorders>
              <w:left w:val="single" w:sz="4" w:space="0" w:color="BFBFBF" w:themeColor="background1" w:themeShade="BF"/>
            </w:tcBorders>
            <w:vAlign w:val="center"/>
          </w:tcPr>
          <w:p w14:paraId="17E5EF76" w14:textId="77777777" w:rsidR="00D5133A" w:rsidRPr="00E634CA" w:rsidRDefault="00D5133A" w:rsidP="002657FA">
            <w:pPr>
              <w:pStyle w:val="Tabletext0"/>
            </w:pPr>
            <w:r w:rsidRPr="00E634CA">
              <w:t>83%</w:t>
            </w:r>
          </w:p>
        </w:tc>
      </w:tr>
      <w:tr w:rsidR="00D5133A" w:rsidRPr="00977AD6" w14:paraId="17E5EF7D" w14:textId="77777777" w:rsidTr="002657FA">
        <w:tc>
          <w:tcPr>
            <w:tcW w:w="1333" w:type="dxa"/>
            <w:tcBorders>
              <w:right w:val="single" w:sz="4" w:space="0" w:color="BFBFBF" w:themeColor="background1" w:themeShade="BF"/>
            </w:tcBorders>
            <w:vAlign w:val="center"/>
          </w:tcPr>
          <w:p w14:paraId="17E5EF78" w14:textId="77777777" w:rsidR="00D5133A" w:rsidRPr="00E634CA" w:rsidRDefault="00D5133A" w:rsidP="002657FA">
            <w:pPr>
              <w:pStyle w:val="Tableheading"/>
              <w:ind w:right="170"/>
              <w:jc w:val="right"/>
            </w:pPr>
            <w:r w:rsidRPr="00E634CA">
              <w:t>AS1 2009</w:t>
            </w:r>
          </w:p>
        </w:tc>
        <w:tc>
          <w:tcPr>
            <w:tcW w:w="3969" w:type="dxa"/>
            <w:tcBorders>
              <w:left w:val="single" w:sz="4" w:space="0" w:color="BFBFBF" w:themeColor="background1" w:themeShade="BF"/>
              <w:right w:val="single" w:sz="4" w:space="0" w:color="BFBFBF" w:themeColor="background1" w:themeShade="BF"/>
            </w:tcBorders>
            <w:vAlign w:val="center"/>
          </w:tcPr>
          <w:p w14:paraId="17E5EF79" w14:textId="77777777" w:rsidR="00D5133A" w:rsidRPr="00977AD6" w:rsidRDefault="00D5133A" w:rsidP="002657FA">
            <w:pPr>
              <w:pStyle w:val="Tabletext0"/>
              <w:jc w:val="left"/>
            </w:pPr>
            <w:r w:rsidRPr="00977AD6">
              <w:t>22 May to 5 June 2009</w:t>
            </w:r>
            <w:r>
              <w:rPr>
                <w:sz w:val="24"/>
                <w:szCs w:val="24"/>
                <w:vertAlign w:val="superscript"/>
              </w:rPr>
              <w:t>R2+</w:t>
            </w:r>
          </w:p>
        </w:tc>
        <w:tc>
          <w:tcPr>
            <w:tcW w:w="1332" w:type="dxa"/>
            <w:tcBorders>
              <w:left w:val="single" w:sz="4" w:space="0" w:color="BFBFBF" w:themeColor="background1" w:themeShade="BF"/>
              <w:right w:val="single" w:sz="4" w:space="0" w:color="BFBFBF" w:themeColor="background1" w:themeShade="BF"/>
            </w:tcBorders>
            <w:vAlign w:val="center"/>
          </w:tcPr>
          <w:p w14:paraId="17E5EF7A" w14:textId="77777777" w:rsidR="00D5133A" w:rsidRPr="00E634CA" w:rsidRDefault="00D5133A" w:rsidP="002657FA">
            <w:pPr>
              <w:pStyle w:val="Tabletext0"/>
              <w:ind w:right="304"/>
              <w:jc w:val="right"/>
            </w:pPr>
            <w:r w:rsidRPr="00E634CA">
              <w:t>1,125</w:t>
            </w:r>
          </w:p>
        </w:tc>
        <w:tc>
          <w:tcPr>
            <w:tcW w:w="1332" w:type="dxa"/>
            <w:tcBorders>
              <w:left w:val="single" w:sz="4" w:space="0" w:color="BFBFBF" w:themeColor="background1" w:themeShade="BF"/>
              <w:right w:val="single" w:sz="4" w:space="0" w:color="BFBFBF" w:themeColor="background1" w:themeShade="BF"/>
            </w:tcBorders>
            <w:vAlign w:val="center"/>
          </w:tcPr>
          <w:p w14:paraId="17E5EF7B" w14:textId="77777777" w:rsidR="00D5133A" w:rsidRPr="00E634CA" w:rsidRDefault="00D5133A" w:rsidP="002657FA">
            <w:pPr>
              <w:pStyle w:val="Tabletext0"/>
              <w:ind w:right="207"/>
              <w:jc w:val="right"/>
            </w:pPr>
            <w:r w:rsidRPr="00E634CA">
              <w:t>976</w:t>
            </w:r>
          </w:p>
        </w:tc>
        <w:tc>
          <w:tcPr>
            <w:tcW w:w="1333" w:type="dxa"/>
            <w:tcBorders>
              <w:left w:val="single" w:sz="4" w:space="0" w:color="BFBFBF" w:themeColor="background1" w:themeShade="BF"/>
            </w:tcBorders>
            <w:vAlign w:val="center"/>
          </w:tcPr>
          <w:p w14:paraId="17E5EF7C" w14:textId="77777777" w:rsidR="00D5133A" w:rsidRPr="00E634CA" w:rsidRDefault="00D5133A" w:rsidP="002657FA">
            <w:pPr>
              <w:pStyle w:val="Tabletext0"/>
            </w:pPr>
            <w:r w:rsidRPr="00E634CA">
              <w:t>87%</w:t>
            </w:r>
          </w:p>
        </w:tc>
      </w:tr>
      <w:tr w:rsidR="00D5133A" w:rsidRPr="00977AD6" w14:paraId="17E5EF83" w14:textId="77777777" w:rsidTr="002657FA">
        <w:tc>
          <w:tcPr>
            <w:tcW w:w="1333" w:type="dxa"/>
            <w:tcBorders>
              <w:right w:val="single" w:sz="4" w:space="0" w:color="BFBFBF" w:themeColor="background1" w:themeShade="BF"/>
            </w:tcBorders>
            <w:vAlign w:val="center"/>
          </w:tcPr>
          <w:p w14:paraId="17E5EF7E" w14:textId="77777777" w:rsidR="00D5133A" w:rsidRPr="00E634CA" w:rsidRDefault="00D5133A" w:rsidP="002657FA">
            <w:pPr>
              <w:pStyle w:val="Tableheading"/>
              <w:ind w:right="170"/>
              <w:jc w:val="right"/>
            </w:pPr>
            <w:r>
              <w:t>OS 2008</w:t>
            </w:r>
          </w:p>
        </w:tc>
        <w:tc>
          <w:tcPr>
            <w:tcW w:w="3969" w:type="dxa"/>
            <w:tcBorders>
              <w:left w:val="single" w:sz="4" w:space="0" w:color="BFBFBF" w:themeColor="background1" w:themeShade="BF"/>
              <w:right w:val="single" w:sz="4" w:space="0" w:color="BFBFBF" w:themeColor="background1" w:themeShade="BF"/>
            </w:tcBorders>
            <w:vAlign w:val="center"/>
          </w:tcPr>
          <w:p w14:paraId="17E5EF7F" w14:textId="77777777" w:rsidR="00D5133A" w:rsidRPr="00230DE4" w:rsidRDefault="00D5133A" w:rsidP="002657FA">
            <w:pPr>
              <w:pStyle w:val="Tabletext0"/>
              <w:jc w:val="left"/>
            </w:pPr>
            <w:r>
              <w:t>21 July to 19 September 2008</w:t>
            </w:r>
          </w:p>
        </w:tc>
        <w:tc>
          <w:tcPr>
            <w:tcW w:w="1332" w:type="dxa"/>
            <w:tcBorders>
              <w:left w:val="single" w:sz="4" w:space="0" w:color="BFBFBF" w:themeColor="background1" w:themeShade="BF"/>
              <w:right w:val="single" w:sz="4" w:space="0" w:color="BFBFBF" w:themeColor="background1" w:themeShade="BF"/>
            </w:tcBorders>
            <w:vAlign w:val="center"/>
          </w:tcPr>
          <w:p w14:paraId="17E5EF80" w14:textId="77777777" w:rsidR="00D5133A" w:rsidRPr="00230DE4" w:rsidRDefault="00D5133A" w:rsidP="002657FA">
            <w:pPr>
              <w:pStyle w:val="Tabletext0"/>
              <w:ind w:right="304"/>
              <w:jc w:val="right"/>
            </w:pPr>
            <w:r>
              <w:t>2,182</w:t>
            </w:r>
          </w:p>
        </w:tc>
        <w:tc>
          <w:tcPr>
            <w:tcW w:w="1332" w:type="dxa"/>
            <w:tcBorders>
              <w:left w:val="single" w:sz="4" w:space="0" w:color="BFBFBF" w:themeColor="background1" w:themeShade="BF"/>
              <w:right w:val="single" w:sz="4" w:space="0" w:color="BFBFBF" w:themeColor="background1" w:themeShade="BF"/>
            </w:tcBorders>
            <w:vAlign w:val="center"/>
          </w:tcPr>
          <w:p w14:paraId="17E5EF81" w14:textId="77777777" w:rsidR="00D5133A" w:rsidRPr="00230DE4" w:rsidRDefault="00D5133A" w:rsidP="002657FA">
            <w:pPr>
              <w:pStyle w:val="Tabletext0"/>
              <w:ind w:right="207"/>
              <w:jc w:val="right"/>
            </w:pPr>
            <w:r>
              <w:t>1,466</w:t>
            </w:r>
          </w:p>
        </w:tc>
        <w:tc>
          <w:tcPr>
            <w:tcW w:w="1333" w:type="dxa"/>
            <w:tcBorders>
              <w:left w:val="single" w:sz="4" w:space="0" w:color="BFBFBF" w:themeColor="background1" w:themeShade="BF"/>
            </w:tcBorders>
            <w:vAlign w:val="center"/>
          </w:tcPr>
          <w:p w14:paraId="17E5EF82" w14:textId="77777777" w:rsidR="00D5133A" w:rsidRPr="00230DE4" w:rsidRDefault="00D5133A" w:rsidP="002657FA">
            <w:pPr>
              <w:pStyle w:val="Tabletext0"/>
            </w:pPr>
            <w:r>
              <w:t>67%</w:t>
            </w:r>
          </w:p>
        </w:tc>
      </w:tr>
      <w:tr w:rsidR="00D5133A" w:rsidRPr="00977AD6" w14:paraId="17E5EF89" w14:textId="77777777" w:rsidTr="002657FA">
        <w:tc>
          <w:tcPr>
            <w:tcW w:w="1333" w:type="dxa"/>
            <w:tcBorders>
              <w:right w:val="single" w:sz="4" w:space="0" w:color="BFBFBF" w:themeColor="background1" w:themeShade="BF"/>
            </w:tcBorders>
            <w:vAlign w:val="center"/>
          </w:tcPr>
          <w:p w14:paraId="17E5EF84" w14:textId="77777777" w:rsidR="00D5133A" w:rsidRPr="00E634CA" w:rsidRDefault="00D5133A" w:rsidP="002657FA">
            <w:pPr>
              <w:pStyle w:val="Tableheading"/>
              <w:ind w:right="170"/>
              <w:jc w:val="right"/>
            </w:pPr>
            <w:r>
              <w:t>AS 2008</w:t>
            </w:r>
          </w:p>
        </w:tc>
        <w:tc>
          <w:tcPr>
            <w:tcW w:w="3969" w:type="dxa"/>
            <w:tcBorders>
              <w:left w:val="single" w:sz="4" w:space="0" w:color="BFBFBF" w:themeColor="background1" w:themeShade="BF"/>
              <w:right w:val="single" w:sz="4" w:space="0" w:color="BFBFBF" w:themeColor="background1" w:themeShade="BF"/>
            </w:tcBorders>
            <w:vAlign w:val="center"/>
          </w:tcPr>
          <w:p w14:paraId="17E5EF85" w14:textId="77777777" w:rsidR="00D5133A" w:rsidRPr="00230DE4" w:rsidRDefault="00D5133A" w:rsidP="002657FA">
            <w:pPr>
              <w:pStyle w:val="Tabletext0"/>
              <w:jc w:val="left"/>
            </w:pPr>
            <w:r>
              <w:t>April/May 2008</w:t>
            </w:r>
          </w:p>
        </w:tc>
        <w:tc>
          <w:tcPr>
            <w:tcW w:w="1332" w:type="dxa"/>
            <w:tcBorders>
              <w:left w:val="single" w:sz="4" w:space="0" w:color="BFBFBF" w:themeColor="background1" w:themeShade="BF"/>
              <w:right w:val="single" w:sz="4" w:space="0" w:color="BFBFBF" w:themeColor="background1" w:themeShade="BF"/>
            </w:tcBorders>
            <w:vAlign w:val="center"/>
          </w:tcPr>
          <w:p w14:paraId="17E5EF86" w14:textId="77777777" w:rsidR="00D5133A" w:rsidRPr="00230DE4" w:rsidRDefault="00D5133A" w:rsidP="002657FA">
            <w:pPr>
              <w:pStyle w:val="Tabletext0"/>
              <w:ind w:right="304"/>
              <w:jc w:val="right"/>
            </w:pPr>
            <w:r>
              <w:t>914</w:t>
            </w:r>
          </w:p>
        </w:tc>
        <w:tc>
          <w:tcPr>
            <w:tcW w:w="1332" w:type="dxa"/>
            <w:tcBorders>
              <w:left w:val="single" w:sz="4" w:space="0" w:color="BFBFBF" w:themeColor="background1" w:themeShade="BF"/>
              <w:right w:val="single" w:sz="4" w:space="0" w:color="BFBFBF" w:themeColor="background1" w:themeShade="BF"/>
            </w:tcBorders>
            <w:vAlign w:val="center"/>
          </w:tcPr>
          <w:p w14:paraId="17E5EF87" w14:textId="77777777" w:rsidR="00D5133A" w:rsidRPr="00230DE4" w:rsidRDefault="00D5133A" w:rsidP="002657FA">
            <w:pPr>
              <w:pStyle w:val="Tabletext0"/>
              <w:ind w:right="207"/>
              <w:jc w:val="right"/>
            </w:pPr>
            <w:r>
              <w:t>821</w:t>
            </w:r>
          </w:p>
        </w:tc>
        <w:tc>
          <w:tcPr>
            <w:tcW w:w="1333" w:type="dxa"/>
            <w:tcBorders>
              <w:left w:val="single" w:sz="4" w:space="0" w:color="BFBFBF" w:themeColor="background1" w:themeShade="BF"/>
            </w:tcBorders>
            <w:vAlign w:val="center"/>
          </w:tcPr>
          <w:p w14:paraId="17E5EF88" w14:textId="77777777" w:rsidR="00D5133A" w:rsidRPr="00230DE4" w:rsidRDefault="00D5133A" w:rsidP="002657FA">
            <w:pPr>
              <w:pStyle w:val="Tabletext0"/>
            </w:pPr>
            <w:r>
              <w:t>90%</w:t>
            </w:r>
          </w:p>
        </w:tc>
      </w:tr>
      <w:tr w:rsidR="00D5133A" w:rsidRPr="00977AD6" w14:paraId="17E5EF8F" w14:textId="77777777" w:rsidTr="002657FA">
        <w:tc>
          <w:tcPr>
            <w:tcW w:w="1333" w:type="dxa"/>
            <w:tcBorders>
              <w:right w:val="single" w:sz="4" w:space="0" w:color="BFBFBF" w:themeColor="background1" w:themeShade="BF"/>
            </w:tcBorders>
            <w:shd w:val="clear" w:color="auto" w:fill="EFF0F2"/>
            <w:vAlign w:val="center"/>
          </w:tcPr>
          <w:p w14:paraId="17E5EF8A" w14:textId="77777777" w:rsidR="00D5133A" w:rsidRDefault="00D5133A" w:rsidP="002657FA">
            <w:pPr>
              <w:pStyle w:val="Tableheading"/>
              <w:keepNext w:val="0"/>
              <w:ind w:right="170"/>
              <w:jc w:val="right"/>
            </w:pPr>
            <w:r>
              <w:t>Total</w:t>
            </w:r>
          </w:p>
        </w:tc>
        <w:tc>
          <w:tcPr>
            <w:tcW w:w="3969" w:type="dxa"/>
            <w:tcBorders>
              <w:left w:val="single" w:sz="4" w:space="0" w:color="BFBFBF" w:themeColor="background1" w:themeShade="BF"/>
              <w:right w:val="single" w:sz="4" w:space="0" w:color="BFBFBF" w:themeColor="background1" w:themeShade="BF"/>
            </w:tcBorders>
            <w:shd w:val="clear" w:color="auto" w:fill="EFF0F2"/>
            <w:vAlign w:val="center"/>
          </w:tcPr>
          <w:p w14:paraId="17E5EF8B" w14:textId="77777777" w:rsidR="00D5133A" w:rsidRDefault="00D5133A" w:rsidP="002657FA">
            <w:pPr>
              <w:pStyle w:val="Tabletext0"/>
              <w:jc w:val="left"/>
            </w:pPr>
          </w:p>
        </w:tc>
        <w:tc>
          <w:tcPr>
            <w:tcW w:w="1332" w:type="dxa"/>
            <w:tcBorders>
              <w:left w:val="single" w:sz="4" w:space="0" w:color="BFBFBF" w:themeColor="background1" w:themeShade="BF"/>
              <w:right w:val="single" w:sz="4" w:space="0" w:color="BFBFBF" w:themeColor="background1" w:themeShade="BF"/>
            </w:tcBorders>
            <w:shd w:val="clear" w:color="auto" w:fill="EFF0F2"/>
            <w:vAlign w:val="center"/>
          </w:tcPr>
          <w:p w14:paraId="17E5EF8C" w14:textId="77777777" w:rsidR="00D5133A" w:rsidRDefault="00D5133A" w:rsidP="002657FA">
            <w:pPr>
              <w:pStyle w:val="Tabletext0"/>
              <w:ind w:right="304"/>
              <w:jc w:val="right"/>
            </w:pPr>
            <w:r>
              <w:t>16,688</w:t>
            </w:r>
          </w:p>
        </w:tc>
        <w:tc>
          <w:tcPr>
            <w:tcW w:w="1332" w:type="dxa"/>
            <w:tcBorders>
              <w:left w:val="single" w:sz="4" w:space="0" w:color="BFBFBF" w:themeColor="background1" w:themeShade="BF"/>
              <w:right w:val="single" w:sz="4" w:space="0" w:color="BFBFBF" w:themeColor="background1" w:themeShade="BF"/>
            </w:tcBorders>
            <w:shd w:val="clear" w:color="auto" w:fill="EFF0F2"/>
            <w:vAlign w:val="center"/>
          </w:tcPr>
          <w:p w14:paraId="17E5EF8D" w14:textId="77777777" w:rsidR="00D5133A" w:rsidRDefault="00D5133A" w:rsidP="002657FA">
            <w:pPr>
              <w:pStyle w:val="Tabletext0"/>
              <w:ind w:right="207"/>
              <w:jc w:val="right"/>
            </w:pPr>
            <w:r>
              <w:t>13,158</w:t>
            </w:r>
          </w:p>
        </w:tc>
        <w:tc>
          <w:tcPr>
            <w:tcW w:w="1333" w:type="dxa"/>
            <w:tcBorders>
              <w:left w:val="single" w:sz="4" w:space="0" w:color="BFBFBF" w:themeColor="background1" w:themeShade="BF"/>
            </w:tcBorders>
            <w:shd w:val="clear" w:color="auto" w:fill="EFF0F2"/>
            <w:vAlign w:val="center"/>
          </w:tcPr>
          <w:p w14:paraId="17E5EF8E" w14:textId="77777777" w:rsidR="00D5133A" w:rsidRDefault="00D5133A" w:rsidP="002657FA">
            <w:pPr>
              <w:pStyle w:val="Tabletext0"/>
            </w:pPr>
            <w:r>
              <w:t>79%</w:t>
            </w:r>
          </w:p>
        </w:tc>
      </w:tr>
    </w:tbl>
    <w:p w14:paraId="17E5EF90" w14:textId="77777777" w:rsidR="00D5133A" w:rsidRPr="00ED067B" w:rsidRDefault="00D5133A" w:rsidP="00ED067B">
      <w:pPr>
        <w:pStyle w:val="Heading1"/>
      </w:pPr>
      <w:r w:rsidRPr="00ED067B">
        <w:lastRenderedPageBreak/>
        <w:t>Student profiles</w:t>
      </w:r>
    </w:p>
    <w:p w14:paraId="17E5EF91" w14:textId="77777777" w:rsidR="00D5133A" w:rsidRDefault="00D5133A" w:rsidP="00D5133A">
      <w:r>
        <w:rPr>
          <w:lang w:val="en-US"/>
        </w:rPr>
        <w:t>The student profile characteristics have largely remained steady across the student surveys</w:t>
      </w:r>
      <w:r>
        <w:t xml:space="preserve">. </w:t>
      </w:r>
      <w:r w:rsidR="00B800BB">
        <w:fldChar w:fldCharType="begin"/>
      </w:r>
      <w:r w:rsidR="00B800BB">
        <w:instrText xml:space="preserve"> REF _Ref329874196 \h </w:instrText>
      </w:r>
      <w:r w:rsidR="00B800BB">
        <w:fldChar w:fldCharType="separate"/>
      </w:r>
      <w:r w:rsidR="00FA1AAA" w:rsidRPr="00040C64">
        <w:t xml:space="preserve">Table </w:t>
      </w:r>
      <w:r w:rsidR="00FA1AAA">
        <w:rPr>
          <w:noProof/>
        </w:rPr>
        <w:t>2</w:t>
      </w:r>
      <w:r w:rsidR="00B800BB">
        <w:fldChar w:fldCharType="end"/>
      </w:r>
      <w:r w:rsidR="00B800BB">
        <w:t xml:space="preserve"> </w:t>
      </w:r>
      <w:r>
        <w:t>outlines the key demographic trends across the arrival and ongoing surveys conducted between 2009 and April 2012.</w:t>
      </w:r>
    </w:p>
    <w:p w14:paraId="17E5EF92" w14:textId="77777777" w:rsidR="00D5133A" w:rsidRPr="00040C64" w:rsidRDefault="00D5133A" w:rsidP="00D5133A">
      <w:pPr>
        <w:pStyle w:val="Tablemainheading"/>
      </w:pPr>
      <w:bookmarkStart w:id="6" w:name="_Ref329874196"/>
      <w:r w:rsidRPr="00040C64">
        <w:t xml:space="preserve">Table </w:t>
      </w:r>
      <w:fldSimple w:instr=" SEQ Table \* ARABIC ">
        <w:r w:rsidR="00FA1AAA">
          <w:rPr>
            <w:noProof/>
          </w:rPr>
          <w:t>2</w:t>
        </w:r>
      </w:fldSimple>
      <w:bookmarkEnd w:id="6"/>
      <w:r w:rsidRPr="00040C64">
        <w:t xml:space="preserve">: </w:t>
      </w:r>
      <w:r>
        <w:t>Trends in student profile characteristics</w:t>
      </w:r>
    </w:p>
    <w:tbl>
      <w:tblPr>
        <w:tblStyle w:val="TableGrid"/>
        <w:tblW w:w="92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Caption w:val="Table detailing arrival and ongoing survey trends for student profile characteristics"/>
        <w:tblDescription w:val="Characteristic: Gender, Arrival survey trends: 50% male on average (steady), Ongoing survey trends: 54% male on average (steady)&#10;Characteristic: Age, Arrival survey trends: Slightly older for semester one intakes (AS1 33% 30-35 (steady)) and younger for semester two intakes (AS2 38% 25-30 (steady)), Ongoing survey trends: 32% 30-35 (steady)&#10;Characteristic: Family composition, Arrival survey trends: 66%  not accompanied and 26% had no immediate family (steady), Ongoing survey trends: 42% not accompanied and 27% had no immediate family (steady). Main reason for not accompanied was insufficient funds available to support family&#10;Characteristic: Disabilities, Arrival survey trends: 2% (steady), Ongoing survey trends: 2% (steady)&#10;Characteristic: Socialising with other students and Australians, Arrival survey trends: N/A, Ongoing survey trends: 73% other international students (not from home country) and 68% students from home country (steady)&#10;Characteristic: Part-time work, Arrival survey trends: N/A, Ongoing survey trends: 28% undertook part-time work, with 57% of these working 5-10 hours per week (steady)&#10;Characteristic: Region of country of origin, Arrival survey trends: 57% East Asia (higher in semester two (71%, steady) than semester one (56%, steady)), Ongoing survey trends: 54% East Asia (steady)&#10;Characteristic: Income group of country of origin, Arrival survey trends: 78% lower middle income (decreasing from 83% in 2009 to 66% in 2012, higher in semester two (82%) than semester one (74%)), Ongoing survey trends: 78% lower middle income (decreasing from 83% in 2009 to 77% in 2011)&#10;Characteristic: State of institution, Arrival survey trends: 24% Victoria (steady) 21% Queensland (steady) 19% New South Wales (steady), Ongoing survey trends: 27% Victoria (steady) 24% Queensland (steady) 10% New South Wales (steady)&#10;Characteristic: Region of institution, Arrival survey trends: 89% capital city (steady), Ongoing survey trends: 89% capital city (steady)&#10;Characteristic: Type of study, Arrival survey trends: N/A, Ongoing survey trends: 69% course work and 25% research (steady)"/>
      </w:tblPr>
      <w:tblGrid>
        <w:gridCol w:w="2070"/>
        <w:gridCol w:w="3614"/>
        <w:gridCol w:w="3615"/>
      </w:tblGrid>
      <w:tr w:rsidR="00D5133A" w:rsidRPr="00D5133A" w14:paraId="17E5EF96" w14:textId="77777777" w:rsidTr="002657FA">
        <w:trPr>
          <w:tblHeader/>
        </w:trPr>
        <w:tc>
          <w:tcPr>
            <w:tcW w:w="2070" w:type="dxa"/>
            <w:shd w:val="clear" w:color="auto" w:fill="172983"/>
            <w:vAlign w:val="center"/>
          </w:tcPr>
          <w:p w14:paraId="17E5EF93" w14:textId="77777777" w:rsidR="00D5133A" w:rsidRPr="00D5133A" w:rsidRDefault="00D5133A" w:rsidP="002657FA">
            <w:pPr>
              <w:pStyle w:val="Tableheading"/>
            </w:pPr>
            <w:r w:rsidRPr="00D5133A">
              <w:t>Characteristic</w:t>
            </w:r>
          </w:p>
        </w:tc>
        <w:tc>
          <w:tcPr>
            <w:tcW w:w="3614" w:type="dxa"/>
            <w:shd w:val="clear" w:color="auto" w:fill="172983"/>
            <w:vAlign w:val="center"/>
          </w:tcPr>
          <w:p w14:paraId="17E5EF94" w14:textId="77777777" w:rsidR="00D5133A" w:rsidRPr="00D5133A" w:rsidRDefault="00D5133A" w:rsidP="002657FA">
            <w:pPr>
              <w:pStyle w:val="Tableheading"/>
            </w:pPr>
            <w:r w:rsidRPr="00D5133A">
              <w:t>Arrival survey trends</w:t>
            </w:r>
          </w:p>
        </w:tc>
        <w:tc>
          <w:tcPr>
            <w:tcW w:w="3615" w:type="dxa"/>
            <w:shd w:val="clear" w:color="auto" w:fill="172983"/>
            <w:vAlign w:val="center"/>
          </w:tcPr>
          <w:p w14:paraId="17E5EF95" w14:textId="77777777" w:rsidR="00D5133A" w:rsidRPr="00D5133A" w:rsidRDefault="00D5133A" w:rsidP="002657FA">
            <w:pPr>
              <w:pStyle w:val="Tableheading"/>
            </w:pPr>
            <w:r w:rsidRPr="00D5133A">
              <w:t>Ongoing survey trends</w:t>
            </w:r>
          </w:p>
        </w:tc>
      </w:tr>
      <w:tr w:rsidR="00D5133A" w:rsidRPr="00D5133A" w14:paraId="17E5EF9A" w14:textId="77777777" w:rsidTr="002657FA">
        <w:tc>
          <w:tcPr>
            <w:tcW w:w="2070" w:type="dxa"/>
            <w:vAlign w:val="center"/>
          </w:tcPr>
          <w:p w14:paraId="17E5EF97" w14:textId="77777777" w:rsidR="00D5133A" w:rsidRPr="00D5133A" w:rsidRDefault="00D5133A" w:rsidP="002657FA">
            <w:pPr>
              <w:pStyle w:val="Tableheading"/>
              <w:jc w:val="left"/>
              <w:rPr>
                <w:b w:val="0"/>
              </w:rPr>
            </w:pPr>
            <w:r w:rsidRPr="00D5133A">
              <w:rPr>
                <w:b w:val="0"/>
              </w:rPr>
              <w:t>Gender</w:t>
            </w:r>
          </w:p>
        </w:tc>
        <w:tc>
          <w:tcPr>
            <w:tcW w:w="3614" w:type="dxa"/>
          </w:tcPr>
          <w:p w14:paraId="17E5EF98" w14:textId="77777777" w:rsidR="00D5133A" w:rsidRPr="00D5133A" w:rsidRDefault="00D5133A" w:rsidP="002657FA">
            <w:pPr>
              <w:pStyle w:val="Tabletext0"/>
              <w:jc w:val="left"/>
            </w:pPr>
            <w:r w:rsidRPr="00D5133A">
              <w:t>50% male on average (steady)</w:t>
            </w:r>
          </w:p>
        </w:tc>
        <w:tc>
          <w:tcPr>
            <w:tcW w:w="3615" w:type="dxa"/>
          </w:tcPr>
          <w:p w14:paraId="17E5EF99" w14:textId="77777777" w:rsidR="00D5133A" w:rsidRPr="00D5133A" w:rsidRDefault="00D5133A" w:rsidP="002657FA">
            <w:pPr>
              <w:pStyle w:val="Tabletext0"/>
              <w:jc w:val="left"/>
            </w:pPr>
            <w:r w:rsidRPr="00D5133A">
              <w:t>54% male on average (steady)</w:t>
            </w:r>
          </w:p>
        </w:tc>
      </w:tr>
      <w:tr w:rsidR="00D5133A" w:rsidRPr="00D5133A" w14:paraId="17E5EF9E" w14:textId="77777777" w:rsidTr="002657FA">
        <w:tc>
          <w:tcPr>
            <w:tcW w:w="2070" w:type="dxa"/>
            <w:vAlign w:val="center"/>
          </w:tcPr>
          <w:p w14:paraId="17E5EF9B" w14:textId="77777777" w:rsidR="00D5133A" w:rsidRPr="00D5133A" w:rsidRDefault="00D5133A" w:rsidP="002657FA">
            <w:pPr>
              <w:pStyle w:val="Tableheading"/>
              <w:jc w:val="left"/>
              <w:rPr>
                <w:b w:val="0"/>
              </w:rPr>
            </w:pPr>
            <w:r w:rsidRPr="00D5133A">
              <w:rPr>
                <w:b w:val="0"/>
              </w:rPr>
              <w:t>Age</w:t>
            </w:r>
          </w:p>
        </w:tc>
        <w:tc>
          <w:tcPr>
            <w:tcW w:w="3614" w:type="dxa"/>
            <w:vAlign w:val="center"/>
          </w:tcPr>
          <w:p w14:paraId="17E5EF9C" w14:textId="77777777" w:rsidR="00D5133A" w:rsidRPr="00D5133A" w:rsidRDefault="00D5133A" w:rsidP="002657FA">
            <w:pPr>
              <w:pStyle w:val="Tabletext0"/>
              <w:jc w:val="left"/>
            </w:pPr>
            <w:r w:rsidRPr="00D5133A">
              <w:t>Slightly older for semester one intakes (AS1 33% 30-35 (steady)) and younger for semester two intakes (AS2 38% 25-30 (steady))</w:t>
            </w:r>
          </w:p>
        </w:tc>
        <w:tc>
          <w:tcPr>
            <w:tcW w:w="3615" w:type="dxa"/>
            <w:vAlign w:val="center"/>
          </w:tcPr>
          <w:p w14:paraId="17E5EF9D" w14:textId="77777777" w:rsidR="00D5133A" w:rsidRPr="00D5133A" w:rsidRDefault="00D5133A" w:rsidP="002657FA">
            <w:pPr>
              <w:pStyle w:val="Tabletext0"/>
              <w:jc w:val="left"/>
            </w:pPr>
            <w:r w:rsidRPr="00D5133A">
              <w:t>32% 30-35 (steady)</w:t>
            </w:r>
          </w:p>
        </w:tc>
      </w:tr>
      <w:tr w:rsidR="00D5133A" w:rsidRPr="00D5133A" w14:paraId="17E5EFA3" w14:textId="77777777" w:rsidTr="002657FA">
        <w:tc>
          <w:tcPr>
            <w:tcW w:w="2070" w:type="dxa"/>
            <w:vAlign w:val="center"/>
          </w:tcPr>
          <w:p w14:paraId="17E5EF9F" w14:textId="77777777" w:rsidR="00D5133A" w:rsidRPr="00D5133A" w:rsidRDefault="00D5133A" w:rsidP="002657FA">
            <w:pPr>
              <w:pStyle w:val="Tableheading"/>
              <w:jc w:val="left"/>
              <w:rPr>
                <w:b w:val="0"/>
              </w:rPr>
            </w:pPr>
            <w:r w:rsidRPr="00D5133A">
              <w:rPr>
                <w:b w:val="0"/>
              </w:rPr>
              <w:t>Family composition</w:t>
            </w:r>
          </w:p>
        </w:tc>
        <w:tc>
          <w:tcPr>
            <w:tcW w:w="3614" w:type="dxa"/>
            <w:vAlign w:val="center"/>
          </w:tcPr>
          <w:p w14:paraId="17E5EFA0" w14:textId="77777777" w:rsidR="00D5133A" w:rsidRPr="00D5133A" w:rsidRDefault="00D5133A" w:rsidP="002657FA">
            <w:pPr>
              <w:pStyle w:val="Tabletext0"/>
              <w:jc w:val="left"/>
            </w:pPr>
            <w:r w:rsidRPr="00D5133A">
              <w:t>66%  not accompanied and 26% had no immediate family (steady)</w:t>
            </w:r>
          </w:p>
        </w:tc>
        <w:tc>
          <w:tcPr>
            <w:tcW w:w="3615" w:type="dxa"/>
            <w:vAlign w:val="center"/>
          </w:tcPr>
          <w:p w14:paraId="17E5EFA1" w14:textId="77777777" w:rsidR="00D5133A" w:rsidRPr="00D5133A" w:rsidRDefault="00D5133A" w:rsidP="002657FA">
            <w:pPr>
              <w:pStyle w:val="Tabletext0"/>
              <w:jc w:val="left"/>
            </w:pPr>
            <w:r w:rsidRPr="00D5133A">
              <w:t>42% not accompanied and 27% had no immediate family (steady)</w:t>
            </w:r>
          </w:p>
          <w:p w14:paraId="17E5EFA2" w14:textId="77777777" w:rsidR="00D5133A" w:rsidRPr="00D5133A" w:rsidRDefault="00D5133A" w:rsidP="002657FA">
            <w:pPr>
              <w:pStyle w:val="Tabletext0"/>
              <w:jc w:val="left"/>
            </w:pPr>
            <w:r w:rsidRPr="00D5133A">
              <w:t>Main reason for not accompanied was insufficient funds available to support family</w:t>
            </w:r>
          </w:p>
        </w:tc>
      </w:tr>
      <w:tr w:rsidR="00D5133A" w:rsidRPr="00D5133A" w14:paraId="17E5EFA7" w14:textId="77777777" w:rsidTr="002657FA">
        <w:tc>
          <w:tcPr>
            <w:tcW w:w="2070" w:type="dxa"/>
            <w:vAlign w:val="center"/>
          </w:tcPr>
          <w:p w14:paraId="17E5EFA4" w14:textId="77777777" w:rsidR="00D5133A" w:rsidRPr="00D5133A" w:rsidRDefault="00D5133A" w:rsidP="002657FA">
            <w:pPr>
              <w:pStyle w:val="Tableheading"/>
              <w:jc w:val="left"/>
              <w:rPr>
                <w:b w:val="0"/>
              </w:rPr>
            </w:pPr>
            <w:r w:rsidRPr="00D5133A">
              <w:rPr>
                <w:b w:val="0"/>
              </w:rPr>
              <w:t>Disabilities</w:t>
            </w:r>
          </w:p>
        </w:tc>
        <w:tc>
          <w:tcPr>
            <w:tcW w:w="3614" w:type="dxa"/>
            <w:vAlign w:val="center"/>
          </w:tcPr>
          <w:p w14:paraId="17E5EFA5" w14:textId="77777777" w:rsidR="00D5133A" w:rsidRPr="00D5133A" w:rsidRDefault="00D5133A" w:rsidP="002657FA">
            <w:pPr>
              <w:pStyle w:val="Tabletext0"/>
              <w:jc w:val="left"/>
            </w:pPr>
            <w:r w:rsidRPr="00D5133A">
              <w:t>2% (steady)</w:t>
            </w:r>
          </w:p>
        </w:tc>
        <w:tc>
          <w:tcPr>
            <w:tcW w:w="3615" w:type="dxa"/>
            <w:vAlign w:val="center"/>
          </w:tcPr>
          <w:p w14:paraId="17E5EFA6" w14:textId="77777777" w:rsidR="00D5133A" w:rsidRPr="00D5133A" w:rsidRDefault="00D5133A" w:rsidP="002657FA">
            <w:pPr>
              <w:pStyle w:val="Tabletext0"/>
              <w:jc w:val="left"/>
            </w:pPr>
            <w:r w:rsidRPr="00D5133A">
              <w:t>2% (steady)</w:t>
            </w:r>
          </w:p>
        </w:tc>
      </w:tr>
      <w:tr w:rsidR="00D5133A" w:rsidRPr="00D5133A" w14:paraId="17E5EFAC" w14:textId="77777777" w:rsidTr="002657FA">
        <w:tc>
          <w:tcPr>
            <w:tcW w:w="2070" w:type="dxa"/>
            <w:vAlign w:val="center"/>
          </w:tcPr>
          <w:p w14:paraId="17E5EFA8" w14:textId="77777777" w:rsidR="00D5133A" w:rsidRPr="00D5133A" w:rsidRDefault="00D5133A" w:rsidP="002657FA">
            <w:pPr>
              <w:pStyle w:val="Tableheading"/>
              <w:jc w:val="left"/>
              <w:rPr>
                <w:b w:val="0"/>
              </w:rPr>
            </w:pPr>
            <w:r w:rsidRPr="00D5133A">
              <w:rPr>
                <w:b w:val="0"/>
              </w:rPr>
              <w:t>Socialising with other students and Australians</w:t>
            </w:r>
          </w:p>
        </w:tc>
        <w:tc>
          <w:tcPr>
            <w:tcW w:w="3614" w:type="dxa"/>
            <w:vAlign w:val="center"/>
          </w:tcPr>
          <w:p w14:paraId="17E5EFA9" w14:textId="77777777" w:rsidR="00D5133A" w:rsidRPr="00D5133A" w:rsidRDefault="00D5133A" w:rsidP="002657FA">
            <w:pPr>
              <w:pStyle w:val="Tabletext0"/>
              <w:jc w:val="left"/>
            </w:pPr>
            <w:r w:rsidRPr="00D5133A">
              <w:t>N/A</w:t>
            </w:r>
          </w:p>
        </w:tc>
        <w:tc>
          <w:tcPr>
            <w:tcW w:w="3615" w:type="dxa"/>
            <w:vAlign w:val="center"/>
          </w:tcPr>
          <w:p w14:paraId="17E5EFAA" w14:textId="77777777" w:rsidR="00D5133A" w:rsidRPr="00D5133A" w:rsidRDefault="00D5133A" w:rsidP="002657FA">
            <w:pPr>
              <w:pStyle w:val="Tabletext0"/>
              <w:jc w:val="left"/>
            </w:pPr>
            <w:r w:rsidRPr="00D5133A">
              <w:t>73% other international students (not from home country) and</w:t>
            </w:r>
          </w:p>
          <w:p w14:paraId="17E5EFAB" w14:textId="77777777" w:rsidR="00D5133A" w:rsidRPr="00D5133A" w:rsidRDefault="00D5133A" w:rsidP="002657FA">
            <w:pPr>
              <w:pStyle w:val="Tabletext0"/>
              <w:jc w:val="left"/>
            </w:pPr>
            <w:r w:rsidRPr="00D5133A">
              <w:t>68% students from home country (steady)</w:t>
            </w:r>
          </w:p>
        </w:tc>
      </w:tr>
      <w:tr w:rsidR="00D5133A" w:rsidRPr="00D5133A" w14:paraId="17E5EFB0" w14:textId="77777777" w:rsidTr="002657FA">
        <w:tc>
          <w:tcPr>
            <w:tcW w:w="2070" w:type="dxa"/>
            <w:vAlign w:val="center"/>
          </w:tcPr>
          <w:p w14:paraId="17E5EFAD" w14:textId="77777777" w:rsidR="00D5133A" w:rsidRPr="00D5133A" w:rsidRDefault="00D5133A" w:rsidP="002657FA">
            <w:pPr>
              <w:pStyle w:val="Tableheading"/>
              <w:jc w:val="left"/>
              <w:rPr>
                <w:b w:val="0"/>
              </w:rPr>
            </w:pPr>
            <w:r w:rsidRPr="00D5133A">
              <w:rPr>
                <w:b w:val="0"/>
              </w:rPr>
              <w:t>Part-time work</w:t>
            </w:r>
          </w:p>
        </w:tc>
        <w:tc>
          <w:tcPr>
            <w:tcW w:w="3614" w:type="dxa"/>
            <w:vAlign w:val="center"/>
          </w:tcPr>
          <w:p w14:paraId="17E5EFAE" w14:textId="77777777" w:rsidR="00D5133A" w:rsidRPr="00D5133A" w:rsidRDefault="00D5133A" w:rsidP="002657FA">
            <w:pPr>
              <w:pStyle w:val="Tabletext0"/>
              <w:jc w:val="left"/>
            </w:pPr>
            <w:r w:rsidRPr="00D5133A">
              <w:t>N/A</w:t>
            </w:r>
          </w:p>
        </w:tc>
        <w:tc>
          <w:tcPr>
            <w:tcW w:w="3615" w:type="dxa"/>
            <w:vAlign w:val="center"/>
          </w:tcPr>
          <w:p w14:paraId="17E5EFAF" w14:textId="77777777" w:rsidR="00D5133A" w:rsidRPr="00D5133A" w:rsidRDefault="00D5133A" w:rsidP="002657FA">
            <w:pPr>
              <w:pStyle w:val="Tabletext0"/>
              <w:jc w:val="left"/>
            </w:pPr>
            <w:r w:rsidRPr="00D5133A">
              <w:t>28% undertook part-time work, with 57% of these working 5-10 hours per week (steady)</w:t>
            </w:r>
          </w:p>
        </w:tc>
      </w:tr>
      <w:tr w:rsidR="00D5133A" w:rsidRPr="00D5133A" w14:paraId="17E5EFB4" w14:textId="77777777" w:rsidTr="002657FA">
        <w:tc>
          <w:tcPr>
            <w:tcW w:w="2070" w:type="dxa"/>
            <w:vAlign w:val="center"/>
          </w:tcPr>
          <w:p w14:paraId="17E5EFB1" w14:textId="77777777" w:rsidR="00D5133A" w:rsidRPr="00D5133A" w:rsidRDefault="00D5133A" w:rsidP="00D5133A">
            <w:pPr>
              <w:pStyle w:val="Tableheading"/>
              <w:jc w:val="left"/>
              <w:rPr>
                <w:b w:val="0"/>
              </w:rPr>
            </w:pPr>
            <w:r w:rsidRPr="00D5133A">
              <w:rPr>
                <w:b w:val="0"/>
              </w:rPr>
              <w:t>Region of country of origin</w:t>
            </w:r>
          </w:p>
        </w:tc>
        <w:tc>
          <w:tcPr>
            <w:tcW w:w="3614" w:type="dxa"/>
            <w:vAlign w:val="center"/>
          </w:tcPr>
          <w:p w14:paraId="17E5EFB2" w14:textId="77777777" w:rsidR="00D5133A" w:rsidRPr="00D5133A" w:rsidRDefault="00D5133A" w:rsidP="002657FA">
            <w:pPr>
              <w:pStyle w:val="Tabletext0"/>
              <w:jc w:val="left"/>
            </w:pPr>
            <w:r w:rsidRPr="00D5133A">
              <w:t>57% East Asia (higher in semester two (71%, steady) than semester one (56%, steady))</w:t>
            </w:r>
          </w:p>
        </w:tc>
        <w:tc>
          <w:tcPr>
            <w:tcW w:w="3615" w:type="dxa"/>
            <w:vAlign w:val="center"/>
          </w:tcPr>
          <w:p w14:paraId="17E5EFB3" w14:textId="77777777" w:rsidR="00D5133A" w:rsidRPr="00D5133A" w:rsidRDefault="00D5133A" w:rsidP="002657FA">
            <w:pPr>
              <w:pStyle w:val="Tabletext0"/>
              <w:jc w:val="left"/>
            </w:pPr>
            <w:r w:rsidRPr="00D5133A">
              <w:t>54% East Asia (steady)</w:t>
            </w:r>
          </w:p>
        </w:tc>
      </w:tr>
      <w:tr w:rsidR="00D5133A" w:rsidRPr="00D5133A" w14:paraId="17E5EFB8" w14:textId="77777777" w:rsidTr="002657FA">
        <w:tc>
          <w:tcPr>
            <w:tcW w:w="2070" w:type="dxa"/>
            <w:vAlign w:val="center"/>
          </w:tcPr>
          <w:p w14:paraId="17E5EFB5" w14:textId="77777777" w:rsidR="00D5133A" w:rsidRPr="00D5133A" w:rsidRDefault="00D5133A" w:rsidP="002657FA">
            <w:pPr>
              <w:pStyle w:val="Tableheading"/>
              <w:jc w:val="left"/>
              <w:rPr>
                <w:b w:val="0"/>
              </w:rPr>
            </w:pPr>
            <w:r w:rsidRPr="00D5133A">
              <w:rPr>
                <w:b w:val="0"/>
              </w:rPr>
              <w:t>Income group of country of origin</w:t>
            </w:r>
          </w:p>
        </w:tc>
        <w:tc>
          <w:tcPr>
            <w:tcW w:w="3614" w:type="dxa"/>
            <w:vAlign w:val="center"/>
          </w:tcPr>
          <w:p w14:paraId="17E5EFB6" w14:textId="77777777" w:rsidR="00D5133A" w:rsidRPr="00D5133A" w:rsidRDefault="00D5133A" w:rsidP="002657FA">
            <w:pPr>
              <w:pStyle w:val="Tabletext0"/>
              <w:jc w:val="left"/>
            </w:pPr>
            <w:r w:rsidRPr="00D5133A">
              <w:t>78% lower middle income (decreasing from 83% in 2009 to 66% in 2012, higher in semester two (82%) than semester one (74%))</w:t>
            </w:r>
          </w:p>
        </w:tc>
        <w:tc>
          <w:tcPr>
            <w:tcW w:w="3615" w:type="dxa"/>
            <w:vAlign w:val="center"/>
          </w:tcPr>
          <w:p w14:paraId="17E5EFB7" w14:textId="77777777" w:rsidR="00D5133A" w:rsidRPr="00D5133A" w:rsidRDefault="00D5133A" w:rsidP="002657FA">
            <w:pPr>
              <w:pStyle w:val="Tabletext0"/>
              <w:jc w:val="left"/>
            </w:pPr>
            <w:r w:rsidRPr="00D5133A">
              <w:t>78% lower middle income (decreasing from 83% in 2009 to 77% in 2011)</w:t>
            </w:r>
          </w:p>
        </w:tc>
      </w:tr>
      <w:tr w:rsidR="00D5133A" w:rsidRPr="00D5133A" w14:paraId="17E5EFC0" w14:textId="77777777" w:rsidTr="002657FA">
        <w:tc>
          <w:tcPr>
            <w:tcW w:w="2070" w:type="dxa"/>
            <w:vAlign w:val="center"/>
          </w:tcPr>
          <w:p w14:paraId="17E5EFB9" w14:textId="77777777" w:rsidR="00D5133A" w:rsidRPr="00D5133A" w:rsidRDefault="00D5133A" w:rsidP="002657FA">
            <w:pPr>
              <w:pStyle w:val="Tableheading"/>
              <w:jc w:val="left"/>
              <w:rPr>
                <w:b w:val="0"/>
              </w:rPr>
            </w:pPr>
            <w:r w:rsidRPr="00D5133A">
              <w:rPr>
                <w:b w:val="0"/>
              </w:rPr>
              <w:t>State of institution</w:t>
            </w:r>
          </w:p>
        </w:tc>
        <w:tc>
          <w:tcPr>
            <w:tcW w:w="3614" w:type="dxa"/>
            <w:vAlign w:val="center"/>
          </w:tcPr>
          <w:p w14:paraId="17E5EFBA" w14:textId="77777777" w:rsidR="00D5133A" w:rsidRPr="00D5133A" w:rsidRDefault="00D5133A" w:rsidP="002657FA">
            <w:pPr>
              <w:pStyle w:val="Tabletext0"/>
              <w:jc w:val="left"/>
            </w:pPr>
            <w:r w:rsidRPr="00D5133A">
              <w:t>24% Victoria (steady)</w:t>
            </w:r>
          </w:p>
          <w:p w14:paraId="17E5EFBB" w14:textId="77777777" w:rsidR="00D5133A" w:rsidRPr="00D5133A" w:rsidRDefault="00D5133A" w:rsidP="002657FA">
            <w:pPr>
              <w:pStyle w:val="Tabletext0"/>
              <w:jc w:val="left"/>
            </w:pPr>
            <w:r w:rsidRPr="00D5133A">
              <w:t>21% Queensland (steady)</w:t>
            </w:r>
          </w:p>
          <w:p w14:paraId="17E5EFBC" w14:textId="77777777" w:rsidR="00D5133A" w:rsidRPr="00D5133A" w:rsidRDefault="00D5133A" w:rsidP="002657FA">
            <w:pPr>
              <w:pStyle w:val="Tabletext0"/>
              <w:jc w:val="left"/>
            </w:pPr>
            <w:r w:rsidRPr="00D5133A">
              <w:t>19% New South Wales (steady)</w:t>
            </w:r>
          </w:p>
        </w:tc>
        <w:tc>
          <w:tcPr>
            <w:tcW w:w="3615" w:type="dxa"/>
            <w:vAlign w:val="center"/>
          </w:tcPr>
          <w:p w14:paraId="17E5EFBD" w14:textId="77777777" w:rsidR="00D5133A" w:rsidRPr="00D5133A" w:rsidRDefault="00D5133A" w:rsidP="002657FA">
            <w:pPr>
              <w:pStyle w:val="Tabletext0"/>
              <w:jc w:val="left"/>
            </w:pPr>
            <w:r w:rsidRPr="00D5133A">
              <w:t>27% Victoria (steady)</w:t>
            </w:r>
          </w:p>
          <w:p w14:paraId="17E5EFBE" w14:textId="77777777" w:rsidR="00D5133A" w:rsidRPr="00D5133A" w:rsidRDefault="00D5133A" w:rsidP="002657FA">
            <w:pPr>
              <w:pStyle w:val="Tabletext0"/>
              <w:jc w:val="left"/>
            </w:pPr>
            <w:r w:rsidRPr="00D5133A">
              <w:t>24% Queensland (steady)</w:t>
            </w:r>
          </w:p>
          <w:p w14:paraId="17E5EFBF" w14:textId="77777777" w:rsidR="00D5133A" w:rsidRPr="00D5133A" w:rsidRDefault="00D5133A" w:rsidP="002657FA">
            <w:pPr>
              <w:pStyle w:val="Tabletext0"/>
              <w:jc w:val="left"/>
            </w:pPr>
            <w:r w:rsidRPr="00D5133A">
              <w:t>10% New South Wales (steady)</w:t>
            </w:r>
          </w:p>
        </w:tc>
      </w:tr>
      <w:tr w:rsidR="00D5133A" w:rsidRPr="00D5133A" w14:paraId="17E5EFC4" w14:textId="77777777" w:rsidTr="002657FA">
        <w:tc>
          <w:tcPr>
            <w:tcW w:w="2070" w:type="dxa"/>
            <w:vAlign w:val="center"/>
          </w:tcPr>
          <w:p w14:paraId="17E5EFC1" w14:textId="77777777" w:rsidR="00D5133A" w:rsidRPr="00D5133A" w:rsidRDefault="00D5133A" w:rsidP="002657FA">
            <w:pPr>
              <w:pStyle w:val="Tableheading"/>
              <w:jc w:val="left"/>
              <w:rPr>
                <w:b w:val="0"/>
              </w:rPr>
            </w:pPr>
            <w:r w:rsidRPr="00D5133A">
              <w:rPr>
                <w:b w:val="0"/>
              </w:rPr>
              <w:t>Region of institution</w:t>
            </w:r>
          </w:p>
        </w:tc>
        <w:tc>
          <w:tcPr>
            <w:tcW w:w="3614" w:type="dxa"/>
            <w:vAlign w:val="center"/>
          </w:tcPr>
          <w:p w14:paraId="17E5EFC2" w14:textId="77777777" w:rsidR="00D5133A" w:rsidRPr="00D5133A" w:rsidRDefault="00D5133A" w:rsidP="002657FA">
            <w:pPr>
              <w:pStyle w:val="Tabletext0"/>
              <w:jc w:val="left"/>
            </w:pPr>
            <w:r w:rsidRPr="00D5133A">
              <w:t>89% capital city (steady)</w:t>
            </w:r>
          </w:p>
        </w:tc>
        <w:tc>
          <w:tcPr>
            <w:tcW w:w="3615" w:type="dxa"/>
            <w:vAlign w:val="center"/>
          </w:tcPr>
          <w:p w14:paraId="17E5EFC3" w14:textId="77777777" w:rsidR="00D5133A" w:rsidRPr="00D5133A" w:rsidRDefault="00D5133A" w:rsidP="002657FA">
            <w:pPr>
              <w:pStyle w:val="Tabletext0"/>
              <w:jc w:val="left"/>
            </w:pPr>
            <w:r w:rsidRPr="00D5133A">
              <w:t>89% capital city (steady)</w:t>
            </w:r>
          </w:p>
        </w:tc>
      </w:tr>
      <w:tr w:rsidR="00D5133A" w:rsidRPr="00D5133A" w14:paraId="17E5EFC8" w14:textId="77777777" w:rsidTr="002657FA">
        <w:tc>
          <w:tcPr>
            <w:tcW w:w="2070" w:type="dxa"/>
            <w:vAlign w:val="center"/>
          </w:tcPr>
          <w:p w14:paraId="17E5EFC5" w14:textId="77777777" w:rsidR="00D5133A" w:rsidRPr="00D5133A" w:rsidRDefault="00D5133A" w:rsidP="002657FA">
            <w:pPr>
              <w:pStyle w:val="Tableheading"/>
              <w:jc w:val="left"/>
              <w:rPr>
                <w:b w:val="0"/>
              </w:rPr>
            </w:pPr>
            <w:r w:rsidRPr="00D5133A">
              <w:rPr>
                <w:b w:val="0"/>
              </w:rPr>
              <w:t>Type of study</w:t>
            </w:r>
          </w:p>
        </w:tc>
        <w:tc>
          <w:tcPr>
            <w:tcW w:w="3614" w:type="dxa"/>
            <w:vAlign w:val="center"/>
          </w:tcPr>
          <w:p w14:paraId="17E5EFC6" w14:textId="77777777" w:rsidR="00D5133A" w:rsidRPr="00D5133A" w:rsidRDefault="00D5133A" w:rsidP="002657FA">
            <w:pPr>
              <w:pStyle w:val="Tabletext0"/>
              <w:jc w:val="left"/>
            </w:pPr>
            <w:r w:rsidRPr="00D5133A">
              <w:t>N/A</w:t>
            </w:r>
          </w:p>
        </w:tc>
        <w:tc>
          <w:tcPr>
            <w:tcW w:w="3615" w:type="dxa"/>
            <w:vAlign w:val="center"/>
          </w:tcPr>
          <w:p w14:paraId="17E5EFC7" w14:textId="77777777" w:rsidR="00D5133A" w:rsidRPr="00D5133A" w:rsidRDefault="00D5133A" w:rsidP="002657FA">
            <w:pPr>
              <w:pStyle w:val="Tabletext0"/>
              <w:jc w:val="left"/>
            </w:pPr>
            <w:r w:rsidRPr="00D5133A">
              <w:t>69% course work and 25% research (steady)</w:t>
            </w:r>
          </w:p>
        </w:tc>
      </w:tr>
    </w:tbl>
    <w:p w14:paraId="17E5EFC9" w14:textId="77777777" w:rsidR="00B800BB" w:rsidRDefault="00B800BB" w:rsidP="00B800BB">
      <w:pPr>
        <w:rPr>
          <w:lang w:val="en-US"/>
        </w:rPr>
      </w:pPr>
      <w:r>
        <w:rPr>
          <w:b/>
        </w:rPr>
        <w:br w:type="page"/>
      </w:r>
    </w:p>
    <w:p w14:paraId="17E5EFCA" w14:textId="77777777" w:rsidR="00D5133A" w:rsidRDefault="00D5133A" w:rsidP="00ED067B">
      <w:pPr>
        <w:pStyle w:val="Heading1"/>
      </w:pPr>
      <w:r>
        <w:lastRenderedPageBreak/>
        <w:t>Overall program outcomes</w:t>
      </w:r>
    </w:p>
    <w:p w14:paraId="17E5EFCB" w14:textId="77777777" w:rsidR="00B800BB" w:rsidRDefault="002657FA" w:rsidP="00B800BB">
      <w:pPr>
        <w:keepNext/>
        <w:rPr>
          <w:lang w:val="en-US"/>
        </w:rPr>
      </w:pPr>
      <w:r w:rsidRPr="004A62D2">
        <w:rPr>
          <w:lang w:val="en-US"/>
        </w:rPr>
        <w:t xml:space="preserve">The vast majority of students were consistently </w:t>
      </w:r>
      <w:r>
        <w:rPr>
          <w:lang w:val="en-US"/>
        </w:rPr>
        <w:t>‘</w:t>
      </w:r>
      <w:r w:rsidRPr="004A62D2">
        <w:rPr>
          <w:lang w:val="en-US"/>
        </w:rPr>
        <w:t>very satisfied</w:t>
      </w:r>
      <w:r>
        <w:rPr>
          <w:lang w:val="en-US"/>
        </w:rPr>
        <w:t>’</w:t>
      </w:r>
      <w:r w:rsidRPr="004A62D2">
        <w:rPr>
          <w:lang w:val="en-US"/>
        </w:rPr>
        <w:t xml:space="preserve"> or </w:t>
      </w:r>
      <w:r>
        <w:rPr>
          <w:lang w:val="en-US"/>
        </w:rPr>
        <w:t>‘</w:t>
      </w:r>
      <w:r w:rsidRPr="004A62D2">
        <w:rPr>
          <w:lang w:val="en-US"/>
        </w:rPr>
        <w:t>moderately satisfied</w:t>
      </w:r>
      <w:r>
        <w:rPr>
          <w:lang w:val="en-US"/>
        </w:rPr>
        <w:t>’</w:t>
      </w:r>
      <w:r w:rsidRPr="004A62D2">
        <w:rPr>
          <w:lang w:val="en-US"/>
        </w:rPr>
        <w:t xml:space="preserve"> with the AusAID scholarship overall </w:t>
      </w:r>
      <w:r>
        <w:rPr>
          <w:lang w:val="en-US"/>
        </w:rPr>
        <w:t>across</w:t>
      </w:r>
      <w:r w:rsidRPr="004A62D2">
        <w:rPr>
          <w:lang w:val="en-US"/>
        </w:rPr>
        <w:t xml:space="preserve"> the </w:t>
      </w:r>
      <w:r>
        <w:rPr>
          <w:lang w:val="en-US"/>
        </w:rPr>
        <w:t xml:space="preserve">arrival </w:t>
      </w:r>
      <w:r w:rsidR="001703C8">
        <w:rPr>
          <w:lang w:val="en-US"/>
        </w:rPr>
        <w:t xml:space="preserve">and ongoing </w:t>
      </w:r>
      <w:r w:rsidRPr="004A62D2">
        <w:rPr>
          <w:lang w:val="en-US"/>
        </w:rPr>
        <w:t xml:space="preserve">survey cycles, with </w:t>
      </w:r>
      <w:r>
        <w:rPr>
          <w:lang w:val="en-US"/>
        </w:rPr>
        <w:t>AS1 2012</w:t>
      </w:r>
      <w:r w:rsidRPr="004A62D2">
        <w:rPr>
          <w:lang w:val="en-US"/>
        </w:rPr>
        <w:t xml:space="preserve"> recording the highest level of </w:t>
      </w:r>
      <w:r>
        <w:rPr>
          <w:lang w:val="en-US"/>
        </w:rPr>
        <w:t xml:space="preserve">students </w:t>
      </w:r>
      <w:r w:rsidRPr="004A62D2">
        <w:rPr>
          <w:lang w:val="en-US"/>
        </w:rPr>
        <w:t>‘very satis</w:t>
      </w:r>
      <w:r>
        <w:rPr>
          <w:lang w:val="en-US"/>
        </w:rPr>
        <w:t xml:space="preserve">fied’ at </w:t>
      </w:r>
      <w:r w:rsidRPr="004A62D2">
        <w:rPr>
          <w:lang w:val="en-US"/>
        </w:rPr>
        <w:t>79%</w:t>
      </w:r>
      <w:r>
        <w:rPr>
          <w:lang w:val="en-US"/>
        </w:rPr>
        <w:t xml:space="preserve"> (see</w:t>
      </w:r>
      <w:r w:rsidR="00B800BB">
        <w:rPr>
          <w:lang w:val="en-US"/>
        </w:rPr>
        <w:t xml:space="preserve"> </w:t>
      </w:r>
      <w:r w:rsidR="00B800BB">
        <w:rPr>
          <w:lang w:val="en-US"/>
        </w:rPr>
        <w:fldChar w:fldCharType="begin"/>
      </w:r>
      <w:r w:rsidR="00B800BB">
        <w:rPr>
          <w:lang w:val="en-US"/>
        </w:rPr>
        <w:instrText xml:space="preserve"> REF _Ref329870129 \h </w:instrText>
      </w:r>
      <w:r w:rsidR="00B800BB">
        <w:rPr>
          <w:lang w:val="en-US"/>
        </w:rPr>
      </w:r>
      <w:r w:rsidR="00B800BB">
        <w:rPr>
          <w:lang w:val="en-US"/>
        </w:rPr>
        <w:fldChar w:fldCharType="separate"/>
      </w:r>
      <w:r w:rsidR="00FA1AAA" w:rsidRPr="00040C64">
        <w:t xml:space="preserve">Figure </w:t>
      </w:r>
      <w:r w:rsidR="00FA1AAA">
        <w:rPr>
          <w:noProof/>
        </w:rPr>
        <w:t>1</w:t>
      </w:r>
      <w:r w:rsidR="00B800BB">
        <w:rPr>
          <w:lang w:val="en-US"/>
        </w:rPr>
        <w:fldChar w:fldCharType="end"/>
      </w:r>
      <w:r>
        <w:rPr>
          <w:lang w:val="en-US"/>
        </w:rPr>
        <w:t>)</w:t>
      </w:r>
      <w:r w:rsidRPr="004A62D2">
        <w:rPr>
          <w:lang w:val="en-US"/>
        </w:rPr>
        <w:t>.</w:t>
      </w:r>
      <w:r w:rsidR="00B800BB">
        <w:rPr>
          <w:lang w:val="en-US"/>
        </w:rPr>
        <w:t xml:space="preserve"> Ongoing students were slightly less positive than new arrivals, with around 70% of ongoing students being ‘very satisfied’ (see </w:t>
      </w:r>
      <w:r w:rsidR="00B800BB">
        <w:rPr>
          <w:lang w:val="en-US"/>
        </w:rPr>
        <w:fldChar w:fldCharType="begin"/>
      </w:r>
      <w:r w:rsidR="00B800BB">
        <w:rPr>
          <w:lang w:val="en-US"/>
        </w:rPr>
        <w:instrText xml:space="preserve"> REF _Ref329870193 \h </w:instrText>
      </w:r>
      <w:r w:rsidR="00B800BB">
        <w:rPr>
          <w:lang w:val="en-US"/>
        </w:rPr>
      </w:r>
      <w:r w:rsidR="00B800BB">
        <w:rPr>
          <w:lang w:val="en-US"/>
        </w:rPr>
        <w:fldChar w:fldCharType="separate"/>
      </w:r>
      <w:r w:rsidR="00FA1AAA" w:rsidRPr="00040C64">
        <w:t xml:space="preserve">Figure </w:t>
      </w:r>
      <w:r w:rsidR="00FA1AAA">
        <w:rPr>
          <w:noProof/>
        </w:rPr>
        <w:t>2</w:t>
      </w:r>
      <w:r w:rsidR="00B800BB">
        <w:rPr>
          <w:lang w:val="en-US"/>
        </w:rPr>
        <w:fldChar w:fldCharType="end"/>
      </w:r>
      <w:r w:rsidR="00B800BB">
        <w:rPr>
          <w:lang w:val="en-US"/>
        </w:rPr>
        <w:t>).</w:t>
      </w:r>
    </w:p>
    <w:p w14:paraId="17E5EFCC" w14:textId="77777777" w:rsidR="002657FA" w:rsidRPr="00040C64" w:rsidRDefault="002657FA" w:rsidP="002657FA">
      <w:pPr>
        <w:pStyle w:val="Heading6"/>
      </w:pPr>
      <w:bookmarkStart w:id="7" w:name="_Ref329870129"/>
      <w:r w:rsidRPr="00040C64">
        <w:t xml:space="preserve">Figure </w:t>
      </w:r>
      <w:fldSimple w:instr=" SEQ Figure \* ARABIC ">
        <w:r w:rsidR="00FA1AAA">
          <w:rPr>
            <w:noProof/>
          </w:rPr>
          <w:t>1</w:t>
        </w:r>
      </w:fldSimple>
      <w:bookmarkEnd w:id="7"/>
      <w:r w:rsidRPr="00040C64">
        <w:t xml:space="preserve">: </w:t>
      </w:r>
      <w:r w:rsidRPr="001B2E67">
        <w:t>Overall satisfaction with the AusAID scholarship</w:t>
      </w:r>
      <w:r w:rsidR="00A64723">
        <w:t xml:space="preserve"> (new arrivals)</w:t>
      </w:r>
    </w:p>
    <w:p w14:paraId="17E5EFCD" w14:textId="77777777" w:rsidR="002657FA" w:rsidRPr="00E07ABD" w:rsidRDefault="002657FA" w:rsidP="002657FA">
      <w:pPr>
        <w:pStyle w:val="Heading7"/>
      </w:pPr>
      <w:r w:rsidRPr="00E07ABD">
        <w:t>Base: All respondents</w:t>
      </w:r>
    </w:p>
    <w:tbl>
      <w:tblPr>
        <w:tblW w:w="9072" w:type="dxa"/>
        <w:tblLayout w:type="fixed"/>
        <w:tblCellMar>
          <w:left w:w="0" w:type="dxa"/>
          <w:right w:w="0" w:type="dxa"/>
        </w:tblCellMar>
        <w:tblLook w:val="01E0" w:firstRow="1" w:lastRow="1" w:firstColumn="1" w:lastColumn="1" w:noHBand="0" w:noVBand="0"/>
      </w:tblPr>
      <w:tblGrid>
        <w:gridCol w:w="9072"/>
      </w:tblGrid>
      <w:tr w:rsidR="002657FA" w:rsidRPr="00A27237" w14:paraId="17E5EFCF" w14:textId="77777777" w:rsidTr="002657FA">
        <w:trPr>
          <w:trHeight w:val="1747"/>
        </w:trPr>
        <w:tc>
          <w:tcPr>
            <w:tcW w:w="9072" w:type="dxa"/>
          </w:tcPr>
          <w:p w14:paraId="17E5EFCE" w14:textId="77777777" w:rsidR="002657FA" w:rsidRPr="00A27237" w:rsidRDefault="002657FA" w:rsidP="002657FA">
            <w:pPr>
              <w:spacing w:before="0"/>
              <w:rPr>
                <w:noProof/>
                <w:lang w:eastAsia="en-AU"/>
              </w:rPr>
            </w:pPr>
            <w:r>
              <w:rPr>
                <w:noProof/>
                <w:lang w:eastAsia="en-AU"/>
              </w:rPr>
              <w:drawing>
                <wp:inline distT="0" distB="0" distL="0" distR="0" wp14:anchorId="17E5F079" wp14:editId="17E5F07A">
                  <wp:extent cx="5752214" cy="2041451"/>
                  <wp:effectExtent l="0" t="0" r="1270" b="0"/>
                  <wp:docPr id="6" name="Picture 6" descr="AS1 2009 (n=911) - 68% 'Very satisfied', 32% 'Moderately satisfied'&#10;AS2 2009 (n=210) - 76% 'Very satisfied', 23% 'Moderately satisfied', 1% 'Not satisfied'&#10;AS1 2010 (n=788) - 72% 'Very satisfied', 27% 'Moderately satisfied', 1% 'Not satisfied'&#10;AS2 2010 (n=390) - 75% 'Very satisfied', 25% 'Moderately satisfied'&#10;AS1 2011 (n=998) - 73% 'Very satisfied', 27% 'Moderately satisfied'&#10;AS2 2011 (n=541) - 74% 'Very satisfied', 26% 'Moderately satisfied'&#10;AS1 2012 (n=1256) - 79% 'Very satisfied', 21% 'Moderately satisfied'" title="Chart displaying overall satisfaction of new arrivals with the AusAID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b="45623"/>
                          <a:stretch/>
                        </pic:blipFill>
                        <pic:spPr bwMode="auto">
                          <a:xfrm>
                            <a:off x="0" y="0"/>
                            <a:ext cx="5749290" cy="20404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E5EFD0" w14:textId="77777777" w:rsidR="00A64723" w:rsidRPr="00040C64" w:rsidRDefault="00A64723" w:rsidP="00A64723">
      <w:pPr>
        <w:pStyle w:val="Heading6"/>
      </w:pPr>
      <w:bookmarkStart w:id="8" w:name="_Ref329870193"/>
      <w:r w:rsidRPr="00040C64">
        <w:t xml:space="preserve">Figure </w:t>
      </w:r>
      <w:fldSimple w:instr=" SEQ Figure \* ARABIC ">
        <w:r w:rsidR="00FA1AAA">
          <w:rPr>
            <w:noProof/>
          </w:rPr>
          <w:t>2</w:t>
        </w:r>
      </w:fldSimple>
      <w:bookmarkEnd w:id="8"/>
      <w:r w:rsidRPr="00040C64">
        <w:t xml:space="preserve">: </w:t>
      </w:r>
      <w:r w:rsidRPr="001B2E67">
        <w:t>Overall satisfaction with the AusAID scholarship</w:t>
      </w:r>
      <w:r>
        <w:t xml:space="preserve"> (ongoing students)</w:t>
      </w:r>
    </w:p>
    <w:p w14:paraId="17E5EFD1" w14:textId="77777777" w:rsidR="00A64723" w:rsidRPr="00E07ABD" w:rsidRDefault="00A64723" w:rsidP="00A64723">
      <w:pPr>
        <w:pStyle w:val="Heading7"/>
      </w:pPr>
      <w:r w:rsidRPr="00E07ABD">
        <w:t>Base: All respondents</w:t>
      </w:r>
    </w:p>
    <w:tbl>
      <w:tblPr>
        <w:tblW w:w="9072" w:type="dxa"/>
        <w:tblLayout w:type="fixed"/>
        <w:tblCellMar>
          <w:left w:w="0" w:type="dxa"/>
          <w:right w:w="0" w:type="dxa"/>
        </w:tblCellMar>
        <w:tblLook w:val="01E0" w:firstRow="1" w:lastRow="1" w:firstColumn="1" w:lastColumn="1" w:noHBand="0" w:noVBand="0"/>
      </w:tblPr>
      <w:tblGrid>
        <w:gridCol w:w="9072"/>
      </w:tblGrid>
      <w:tr w:rsidR="00A64723" w:rsidRPr="00A27237" w14:paraId="17E5EFD3" w14:textId="77777777" w:rsidTr="00A64723">
        <w:trPr>
          <w:trHeight w:val="1747"/>
        </w:trPr>
        <w:tc>
          <w:tcPr>
            <w:tcW w:w="9072" w:type="dxa"/>
          </w:tcPr>
          <w:p w14:paraId="17E5EFD2" w14:textId="77777777" w:rsidR="00A64723" w:rsidRPr="00A27237" w:rsidRDefault="00A64723" w:rsidP="00A64723">
            <w:pPr>
              <w:spacing w:before="0"/>
            </w:pPr>
            <w:r>
              <w:rPr>
                <w:noProof/>
                <w:lang w:eastAsia="en-AU"/>
              </w:rPr>
              <w:drawing>
                <wp:inline distT="0" distB="0" distL="0" distR="0" wp14:anchorId="17E5F07B" wp14:editId="17E5F07C">
                  <wp:extent cx="5762625" cy="2152650"/>
                  <wp:effectExtent l="0" t="0" r="9525" b="0"/>
                  <wp:docPr id="20" name="Picture 20" descr="OS 2009 (n=1606) - 72% 'Very satisfied', 27% 'Moderately satisfied', 1% 'Not satisfied'&#10;OS 2010 (n=1820) - 70% 'Very satisfied', 29% 'Moderately satisfied', 1% 'Not satisfied'&#10;OS 2011 (n=1916) - 71% 'Very satisfied', 28% 'Moderately satisfied', 1% 'Not satisfied'" title="Chart displaying overall satisfaction of ongoing students with the AusAID schola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2785"/>
                          <a:stretch/>
                        </pic:blipFill>
                        <pic:spPr bwMode="auto">
                          <a:xfrm>
                            <a:off x="0" y="0"/>
                            <a:ext cx="5762625" cy="2152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E5EFD4" w14:textId="77777777" w:rsidR="009F4258" w:rsidRDefault="009F4258" w:rsidP="009F4258">
      <w:pPr>
        <w:keepNext/>
      </w:pPr>
      <w:r>
        <w:rPr>
          <w:lang w:val="en-US"/>
        </w:rPr>
        <w:t xml:space="preserve">Levels of dissatisfaction have remained almost negligible at 1% and unchanged over the past four years for both new arrivals and ongoing students. </w:t>
      </w:r>
      <w:r w:rsidRPr="00660EC6">
        <w:t xml:space="preserve">Reasons provided by the minority of </w:t>
      </w:r>
      <w:r>
        <w:t>students who</w:t>
      </w:r>
      <w:r w:rsidRPr="00660EC6">
        <w:t xml:space="preserve"> were not satisfied overall with the AusAID scholarship included:</w:t>
      </w:r>
    </w:p>
    <w:p w14:paraId="17E5EFD5" w14:textId="77777777" w:rsidR="009F4258" w:rsidRDefault="009F4258" w:rsidP="009F4258">
      <w:pPr>
        <w:pStyle w:val="Bullets"/>
      </w:pPr>
      <w:r>
        <w:t>financial challenges, particularly in managing the cost of living (and often requesting that allowances be increased); and</w:t>
      </w:r>
    </w:p>
    <w:p w14:paraId="17E5EFD6" w14:textId="77777777" w:rsidR="009F4258" w:rsidRDefault="009F4258" w:rsidP="009F4258">
      <w:pPr>
        <w:pStyle w:val="Bullets"/>
      </w:pPr>
      <w:r>
        <w:t>requests for more support in relation to family issues, including child care and the payment of reunion airfares.</w:t>
      </w:r>
    </w:p>
    <w:p w14:paraId="17E5EFD7" w14:textId="77777777" w:rsidR="001703C8" w:rsidRDefault="001703C8">
      <w:pPr>
        <w:spacing w:before="0"/>
        <w:jc w:val="left"/>
      </w:pPr>
      <w:r>
        <w:br w:type="page"/>
      </w:r>
    </w:p>
    <w:p w14:paraId="17E5EFD8" w14:textId="77777777" w:rsidR="001703C8" w:rsidRPr="00664EC1" w:rsidRDefault="002657FA" w:rsidP="001703C8">
      <w:r w:rsidRPr="009F4258">
        <w:lastRenderedPageBreak/>
        <w:t xml:space="preserve">Satisfaction with the </w:t>
      </w:r>
      <w:r w:rsidRPr="00ED067B">
        <w:rPr>
          <w:b/>
        </w:rPr>
        <w:t>entitlements and other assistance provided by AusAID</w:t>
      </w:r>
      <w:r w:rsidRPr="009F4258">
        <w:t xml:space="preserve"> has remained steady between 2009 and 2011, with just under half of ongoing students ‘very satisfied’ and</w:t>
      </w:r>
      <w:r>
        <w:t xml:space="preserve"> ar</w:t>
      </w:r>
      <w:r w:rsidR="009F4258">
        <w:t>ound 45% ‘moderately satisfied’.</w:t>
      </w:r>
      <w:r w:rsidR="001703C8">
        <w:t xml:space="preserve"> The r</w:t>
      </w:r>
      <w:r w:rsidR="001703C8" w:rsidRPr="00664EC1">
        <w:t xml:space="preserve">easons </w:t>
      </w:r>
      <w:r w:rsidR="001703C8">
        <w:t xml:space="preserve">provided by the minority of students (around 5%) for being ‘not satisfied’ </w:t>
      </w:r>
      <w:r w:rsidR="001703C8" w:rsidRPr="00664EC1">
        <w:t>with the entitlements / other</w:t>
      </w:r>
      <w:r w:rsidR="001703C8">
        <w:t xml:space="preserve"> assistance provided by AusAID </w:t>
      </w:r>
      <w:r w:rsidR="001703C8" w:rsidRPr="00664EC1">
        <w:t>included:</w:t>
      </w:r>
    </w:p>
    <w:p w14:paraId="17E5EFD9" w14:textId="77777777" w:rsidR="001703C8" w:rsidRPr="00664EC1" w:rsidRDefault="001703C8" w:rsidP="001703C8">
      <w:pPr>
        <w:pStyle w:val="Bullets"/>
      </w:pPr>
      <w:r w:rsidRPr="00664EC1">
        <w:t>difficulties with cost of living and accommodation</w:t>
      </w:r>
      <w:r>
        <w:t xml:space="preserve"> – particularly in relation to</w:t>
      </w:r>
      <w:r w:rsidRPr="00664EC1">
        <w:t xml:space="preserve"> funding not </w:t>
      </w:r>
      <w:r>
        <w:t xml:space="preserve">being </w:t>
      </w:r>
      <w:r w:rsidRPr="00664EC1">
        <w:t xml:space="preserve">tailored to location factors (e.g. </w:t>
      </w:r>
      <w:r>
        <w:t xml:space="preserve">higher </w:t>
      </w:r>
      <w:r w:rsidRPr="00664EC1">
        <w:t>living costs in large cities);</w:t>
      </w:r>
    </w:p>
    <w:p w14:paraId="17E5EFDA" w14:textId="77777777" w:rsidR="001703C8" w:rsidRPr="00664EC1" w:rsidRDefault="001703C8" w:rsidP="001703C8">
      <w:pPr>
        <w:pStyle w:val="Bullets"/>
      </w:pPr>
      <w:r w:rsidRPr="00664EC1">
        <w:t>insufficient funding to cover family expenses (especially for students with dependent children);</w:t>
      </w:r>
    </w:p>
    <w:p w14:paraId="17E5EFDB" w14:textId="77777777" w:rsidR="001703C8" w:rsidRPr="00664EC1" w:rsidRDefault="001703C8" w:rsidP="001703C8">
      <w:pPr>
        <w:pStyle w:val="Bullets"/>
      </w:pPr>
      <w:r w:rsidRPr="00664EC1">
        <w:t>general insufficient funding for miscellaneous expenses;</w:t>
      </w:r>
    </w:p>
    <w:p w14:paraId="17E5EFDC" w14:textId="77777777" w:rsidR="001703C8" w:rsidRPr="00664EC1" w:rsidRDefault="001703C8" w:rsidP="001703C8">
      <w:pPr>
        <w:pStyle w:val="Bullets"/>
      </w:pPr>
      <w:r w:rsidRPr="00664EC1">
        <w:t>insufficient provisions for health-related expenses; and</w:t>
      </w:r>
    </w:p>
    <w:p w14:paraId="17E5EFDD" w14:textId="77777777" w:rsidR="004602F1" w:rsidRPr="004602F1" w:rsidRDefault="004602F1" w:rsidP="004602F1">
      <w:pPr>
        <w:pStyle w:val="Bullets"/>
      </w:pPr>
      <w:r w:rsidRPr="004602F1">
        <w:t>the non-payment of reunion airfares (from unaccompanied students who were in Australia for less than two years, who are not eligible to receive this entitlement).</w:t>
      </w:r>
    </w:p>
    <w:p w14:paraId="17E5EFDE" w14:textId="77777777" w:rsidR="00D5133A" w:rsidRDefault="009F4258" w:rsidP="00A86BCC">
      <w:pPr>
        <w:rPr>
          <w:lang w:val="en-US"/>
        </w:rPr>
      </w:pPr>
      <w:r>
        <w:t xml:space="preserve">Around two-thirds of ongoing students reported that they were ‘not likely’ to have </w:t>
      </w:r>
      <w:r w:rsidRPr="00F968F1">
        <w:rPr>
          <w:b/>
        </w:rPr>
        <w:t>studied in Australia without a scholarship</w:t>
      </w:r>
      <w:r>
        <w:t>, with around 13% of ongoing students reporting that they would ‘very likely’ have studied in Australia.</w:t>
      </w:r>
    </w:p>
    <w:p w14:paraId="17E5EFDF" w14:textId="77777777" w:rsidR="00D5133A" w:rsidRDefault="009F4258" w:rsidP="00A86BCC">
      <w:pPr>
        <w:rPr>
          <w:lang w:val="en-US"/>
        </w:rPr>
      </w:pPr>
      <w:r w:rsidRPr="009F4258">
        <w:rPr>
          <w:lang w:val="en-US"/>
        </w:rPr>
        <w:t xml:space="preserve">The vast majority of students found their course or field of research provided them with </w:t>
      </w:r>
      <w:r w:rsidRPr="00ED067B">
        <w:rPr>
          <w:b/>
          <w:lang w:val="en-US"/>
        </w:rPr>
        <w:t>useful knowledge and skills for working on development issues in their home country</w:t>
      </w:r>
      <w:r w:rsidRPr="009F4258">
        <w:rPr>
          <w:lang w:val="en-US"/>
        </w:rPr>
        <w:t xml:space="preserve">. Encouragingly, there has been a favorable trend in the proportion of students who found their course/research to be ‘very useful’, rising steadily </w:t>
      </w:r>
      <w:r w:rsidR="004547DB">
        <w:rPr>
          <w:lang w:val="en-US"/>
        </w:rPr>
        <w:t>from</w:t>
      </w:r>
      <w:r w:rsidRPr="009F4258">
        <w:rPr>
          <w:lang w:val="en-US"/>
        </w:rPr>
        <w:t xml:space="preserve"> </w:t>
      </w:r>
      <w:r>
        <w:rPr>
          <w:lang w:val="en-US"/>
        </w:rPr>
        <w:t xml:space="preserve">71% </w:t>
      </w:r>
      <w:r w:rsidR="004547DB">
        <w:rPr>
          <w:lang w:val="en-US"/>
        </w:rPr>
        <w:t>to</w:t>
      </w:r>
      <w:r w:rsidRPr="009F4258">
        <w:rPr>
          <w:lang w:val="en-US"/>
        </w:rPr>
        <w:t xml:space="preserve"> </w:t>
      </w:r>
      <w:r>
        <w:rPr>
          <w:lang w:val="en-US"/>
        </w:rPr>
        <w:t>75%.</w:t>
      </w:r>
    </w:p>
    <w:p w14:paraId="17E5EFE0" w14:textId="77777777" w:rsidR="001703C8" w:rsidRDefault="001703C8" w:rsidP="001703C8">
      <w:r>
        <w:t>Most</w:t>
      </w:r>
      <w:r w:rsidRPr="004D09F2">
        <w:t xml:space="preserve"> students took the opportunity to provide general comments (both positive and negative) about</w:t>
      </w:r>
      <w:r>
        <w:t xml:space="preserve"> their AusAID scholarship.</w:t>
      </w:r>
    </w:p>
    <w:p w14:paraId="17E5EFE1" w14:textId="77777777" w:rsidR="001703C8" w:rsidRPr="004D09F2" w:rsidRDefault="001703C8" w:rsidP="001703C8">
      <w:r>
        <w:t>The positive</w:t>
      </w:r>
      <w:r w:rsidRPr="004D09F2">
        <w:t xml:space="preserve"> comments </w:t>
      </w:r>
      <w:r>
        <w:t>provided by students were mostly in relation to</w:t>
      </w:r>
      <w:r w:rsidRPr="004D09F2">
        <w:t>:</w:t>
      </w:r>
    </w:p>
    <w:p w14:paraId="17E5EFE2" w14:textId="77777777" w:rsidR="001703C8" w:rsidRDefault="001703C8" w:rsidP="001703C8">
      <w:pPr>
        <w:pStyle w:val="Bullets"/>
      </w:pPr>
      <w:r w:rsidRPr="004D09F2">
        <w:t>the program and the opportunities it provides;</w:t>
      </w:r>
    </w:p>
    <w:p w14:paraId="17E5EFE3" w14:textId="77777777" w:rsidR="001703C8" w:rsidRPr="004D09F2" w:rsidRDefault="001703C8" w:rsidP="001703C8">
      <w:pPr>
        <w:pStyle w:val="Bullets"/>
      </w:pPr>
      <w:r w:rsidRPr="004D09F2">
        <w:t>the support provided by dedicated staff in their academic institution;</w:t>
      </w:r>
    </w:p>
    <w:p w14:paraId="17E5EFE4" w14:textId="77777777" w:rsidR="001703C8" w:rsidRPr="004D09F2" w:rsidRDefault="001703C8" w:rsidP="001703C8">
      <w:pPr>
        <w:pStyle w:val="Bullets"/>
      </w:pPr>
      <w:r w:rsidRPr="004D09F2">
        <w:t>benefits of the Introductory Academic Program;</w:t>
      </w:r>
      <w:r>
        <w:t xml:space="preserve"> and</w:t>
      </w:r>
    </w:p>
    <w:p w14:paraId="17E5EFE5" w14:textId="77777777" w:rsidR="001703C8" w:rsidRPr="004D09F2" w:rsidRDefault="001703C8" w:rsidP="001703C8">
      <w:pPr>
        <w:pStyle w:val="Bullets"/>
      </w:pPr>
      <w:r w:rsidRPr="004D09F2">
        <w:t>the level o</w:t>
      </w:r>
      <w:r>
        <w:t>f assistance provided by AusAID.</w:t>
      </w:r>
    </w:p>
    <w:p w14:paraId="17E5EFE6" w14:textId="77777777" w:rsidR="001703C8" w:rsidRDefault="001703C8" w:rsidP="001703C8">
      <w:r>
        <w:t>Comments on the challenges students faced included:</w:t>
      </w:r>
    </w:p>
    <w:p w14:paraId="17E5EFE7" w14:textId="77777777" w:rsidR="001703C8" w:rsidRPr="004D09F2" w:rsidRDefault="001703C8" w:rsidP="001703C8">
      <w:pPr>
        <w:pStyle w:val="Bullets"/>
      </w:pPr>
      <w:r w:rsidRPr="004D09F2">
        <w:t>financial challenges, particularly in managing the cost of living;</w:t>
      </w:r>
    </w:p>
    <w:p w14:paraId="17E5EFE8" w14:textId="77777777" w:rsidR="001703C8" w:rsidRPr="004D09F2" w:rsidRDefault="001703C8" w:rsidP="001703C8">
      <w:pPr>
        <w:pStyle w:val="Bullets"/>
      </w:pPr>
      <w:r w:rsidRPr="004D09F2">
        <w:t>challenges faced in finding appropriate accommodation;</w:t>
      </w:r>
    </w:p>
    <w:p w14:paraId="17E5EFE9" w14:textId="77777777" w:rsidR="001703C8" w:rsidRPr="004D09F2" w:rsidRDefault="001703C8" w:rsidP="001703C8">
      <w:pPr>
        <w:pStyle w:val="Bullets"/>
      </w:pPr>
      <w:r w:rsidRPr="004D09F2">
        <w:t>time pressures and other difficulties faced in arranging visas, travelling to Australia, settling in and immediately commencing the IAP;</w:t>
      </w:r>
    </w:p>
    <w:p w14:paraId="17E5EFEA" w14:textId="77777777" w:rsidR="001703C8" w:rsidRPr="004D09F2" w:rsidRDefault="001703C8" w:rsidP="001703C8">
      <w:pPr>
        <w:pStyle w:val="Bullets"/>
      </w:pPr>
      <w:r w:rsidRPr="004D09F2">
        <w:t>challenges faced in understanding English (Australian accent for some);</w:t>
      </w:r>
    </w:p>
    <w:p w14:paraId="17E5EFEB" w14:textId="77777777" w:rsidR="001703C8" w:rsidRPr="004D09F2" w:rsidRDefault="001703C8" w:rsidP="001703C8">
      <w:pPr>
        <w:pStyle w:val="Bullets"/>
      </w:pPr>
      <w:r w:rsidRPr="004D09F2">
        <w:t xml:space="preserve">challenges faced in dealing </w:t>
      </w:r>
      <w:r>
        <w:t>with the pressures of studying;</w:t>
      </w:r>
    </w:p>
    <w:p w14:paraId="17E5EFEC" w14:textId="77777777" w:rsidR="001703C8" w:rsidRDefault="001703C8" w:rsidP="001703C8">
      <w:pPr>
        <w:pStyle w:val="Bullets"/>
      </w:pPr>
      <w:r w:rsidRPr="004D09F2">
        <w:t>challenges faced in finding and performing</w:t>
      </w:r>
      <w:r>
        <w:t xml:space="preserve"> part-time work whilst studying;</w:t>
      </w:r>
      <w:r w:rsidR="004602F1">
        <w:t xml:space="preserve"> and</w:t>
      </w:r>
    </w:p>
    <w:p w14:paraId="17E5EFED" w14:textId="77777777" w:rsidR="001703C8" w:rsidRDefault="004602F1" w:rsidP="001703C8">
      <w:pPr>
        <w:pStyle w:val="Bullets"/>
      </w:pPr>
      <w:r>
        <w:t>the high cost of</w:t>
      </w:r>
      <w:r w:rsidR="001703C8">
        <w:t xml:space="preserve"> health care.</w:t>
      </w:r>
    </w:p>
    <w:p w14:paraId="17E5EFEE" w14:textId="77777777" w:rsidR="009F4258" w:rsidRDefault="009F4258" w:rsidP="001703C8">
      <w:pPr>
        <w:pStyle w:val="Heading1"/>
        <w:spacing w:before="480"/>
      </w:pPr>
      <w:r>
        <w:lastRenderedPageBreak/>
        <w:t>Obtaining an AusAID scholarship</w:t>
      </w:r>
    </w:p>
    <w:p w14:paraId="17E5EFEF" w14:textId="77777777" w:rsidR="00D5133A" w:rsidRDefault="00ED067B" w:rsidP="00A86BCC">
      <w:pPr>
        <w:rPr>
          <w:lang w:val="en-US"/>
        </w:rPr>
      </w:pPr>
      <w:r w:rsidRPr="00ED067B">
        <w:rPr>
          <w:lang w:val="en-US"/>
        </w:rPr>
        <w:t xml:space="preserve">Employers/workplaces in home countries were consistently the main source for new arrivals in gaining </w:t>
      </w:r>
      <w:r w:rsidRPr="00ED067B">
        <w:rPr>
          <w:b/>
          <w:lang w:val="en-US"/>
        </w:rPr>
        <w:t>initial awareness</w:t>
      </w:r>
      <w:r w:rsidRPr="00ED067B">
        <w:rPr>
          <w:lang w:val="en-US"/>
        </w:rPr>
        <w:t xml:space="preserve"> of AusAID scholarships, with friends/colleagues who have studied in Australia being the second-most common source</w:t>
      </w:r>
      <w:r>
        <w:rPr>
          <w:lang w:val="en-US"/>
        </w:rPr>
        <w:t>.</w:t>
      </w:r>
    </w:p>
    <w:p w14:paraId="17E5EFF0" w14:textId="77777777" w:rsidR="00D5133A" w:rsidRDefault="00441921" w:rsidP="00A86BCC">
      <w:pPr>
        <w:rPr>
          <w:lang w:val="en-US"/>
        </w:rPr>
      </w:pPr>
      <w:r>
        <w:rPr>
          <w:lang w:val="en-US"/>
        </w:rPr>
        <w:t>T</w:t>
      </w:r>
      <w:r w:rsidRPr="00441921">
        <w:rPr>
          <w:lang w:val="en-US"/>
        </w:rPr>
        <w:t xml:space="preserve">he most common reason for students </w:t>
      </w:r>
      <w:r w:rsidRPr="00441921">
        <w:rPr>
          <w:b/>
          <w:lang w:val="en-US"/>
        </w:rPr>
        <w:t>taking up an AusAID scholarship</w:t>
      </w:r>
      <w:r w:rsidRPr="00441921">
        <w:rPr>
          <w:lang w:val="en-US"/>
        </w:rPr>
        <w:t xml:space="preserve"> </w:t>
      </w:r>
      <w:r>
        <w:rPr>
          <w:lang w:val="en-US"/>
        </w:rPr>
        <w:t xml:space="preserve">and for </w:t>
      </w:r>
      <w:r w:rsidRPr="00441921">
        <w:rPr>
          <w:b/>
          <w:lang w:val="en-US"/>
        </w:rPr>
        <w:t>choice of course</w:t>
      </w:r>
      <w:r>
        <w:rPr>
          <w:lang w:val="en-US"/>
        </w:rPr>
        <w:t xml:space="preserve"> </w:t>
      </w:r>
      <w:r w:rsidRPr="00441921">
        <w:rPr>
          <w:lang w:val="en-US"/>
        </w:rPr>
        <w:t>was to contribute to their country's development</w:t>
      </w:r>
      <w:r>
        <w:rPr>
          <w:lang w:val="en-US"/>
        </w:rPr>
        <w:t xml:space="preserve">. </w:t>
      </w:r>
      <w:r w:rsidRPr="00441921">
        <w:rPr>
          <w:lang w:val="en-US"/>
        </w:rPr>
        <w:t xml:space="preserve">The two most dominant reasons influencing student </w:t>
      </w:r>
      <w:r w:rsidRPr="00441921">
        <w:rPr>
          <w:b/>
          <w:lang w:val="en-US"/>
        </w:rPr>
        <w:t>choice of institution</w:t>
      </w:r>
      <w:r w:rsidRPr="00441921">
        <w:rPr>
          <w:lang w:val="en-US"/>
        </w:rPr>
        <w:t xml:space="preserve"> have remained steady, being the availability of the course they wanted to do and the international reputation of the institution</w:t>
      </w:r>
      <w:r>
        <w:rPr>
          <w:lang w:val="en-US"/>
        </w:rPr>
        <w:t>.</w:t>
      </w:r>
    </w:p>
    <w:p w14:paraId="17E5EFF1" w14:textId="77777777" w:rsidR="00441921" w:rsidRDefault="00441921" w:rsidP="00A86BCC">
      <w:pPr>
        <w:rPr>
          <w:lang w:val="en-US"/>
        </w:rPr>
      </w:pPr>
      <w:r w:rsidRPr="00441921">
        <w:rPr>
          <w:lang w:val="en-US"/>
        </w:rPr>
        <w:t xml:space="preserve">The majority of new arrivals </w:t>
      </w:r>
      <w:r w:rsidRPr="00441921">
        <w:rPr>
          <w:b/>
          <w:lang w:val="en-US"/>
        </w:rPr>
        <w:t>obtained their scholarship application form</w:t>
      </w:r>
      <w:r w:rsidRPr="00441921">
        <w:rPr>
          <w:lang w:val="en-US"/>
        </w:rPr>
        <w:t xml:space="preserve"> through the AusAID website, increasing from 40% in AS1 2009 to 62% in AS1 2012</w:t>
      </w:r>
      <w:r>
        <w:rPr>
          <w:lang w:val="en-US"/>
        </w:rPr>
        <w:t>. T</w:t>
      </w:r>
      <w:r w:rsidRPr="00441921">
        <w:rPr>
          <w:lang w:val="en-US"/>
        </w:rPr>
        <w:t xml:space="preserve">he majority of new arrivals </w:t>
      </w:r>
      <w:r w:rsidRPr="00441921">
        <w:rPr>
          <w:b/>
          <w:lang w:val="en-US"/>
        </w:rPr>
        <w:t>submitted their application form</w:t>
      </w:r>
      <w:r w:rsidRPr="00441921">
        <w:rPr>
          <w:lang w:val="en-US"/>
        </w:rPr>
        <w:t xml:space="preserve"> </w:t>
      </w:r>
      <w:r>
        <w:rPr>
          <w:lang w:val="en-US"/>
        </w:rPr>
        <w:t xml:space="preserve">by paper copy </w:t>
      </w:r>
      <w:r w:rsidRPr="00441921">
        <w:rPr>
          <w:lang w:val="en-US"/>
        </w:rPr>
        <w:t>to the AusAID scholarship program</w:t>
      </w:r>
      <w:r>
        <w:rPr>
          <w:lang w:val="en-US"/>
        </w:rPr>
        <w:t>.</w:t>
      </w:r>
    </w:p>
    <w:p w14:paraId="17E5EFF2" w14:textId="77777777" w:rsidR="00441921" w:rsidRDefault="00441921" w:rsidP="00A86BCC">
      <w:pPr>
        <w:rPr>
          <w:lang w:val="en-US"/>
        </w:rPr>
      </w:pPr>
      <w:r w:rsidRPr="00441921">
        <w:rPr>
          <w:lang w:val="en-US"/>
        </w:rPr>
        <w:t xml:space="preserve">Around a quarter of new arrivals reported that they had </w:t>
      </w:r>
      <w:r w:rsidRPr="00441921">
        <w:rPr>
          <w:b/>
          <w:lang w:val="en-US"/>
        </w:rPr>
        <w:t>applied for another scholarship program</w:t>
      </w:r>
      <w:r>
        <w:rPr>
          <w:lang w:val="en-US"/>
        </w:rPr>
        <w:t>, with s</w:t>
      </w:r>
      <w:r w:rsidRPr="00441921">
        <w:rPr>
          <w:lang w:val="en-US"/>
        </w:rPr>
        <w:t xml:space="preserve">tudent interest </w:t>
      </w:r>
      <w:r>
        <w:rPr>
          <w:lang w:val="en-US"/>
        </w:rPr>
        <w:t>mostly being</w:t>
      </w:r>
      <w:r w:rsidRPr="00441921">
        <w:rPr>
          <w:lang w:val="en-US"/>
        </w:rPr>
        <w:t xml:space="preserve"> in relation to the Endeavour Scholarship, the Fullbright Scholarship and the British Chevening Scholarship</w:t>
      </w:r>
      <w:r>
        <w:rPr>
          <w:lang w:val="en-US"/>
        </w:rPr>
        <w:t>.</w:t>
      </w:r>
    </w:p>
    <w:p w14:paraId="17E5EFF3" w14:textId="77777777" w:rsidR="00441921" w:rsidRDefault="00441921" w:rsidP="00441921">
      <w:pPr>
        <w:rPr>
          <w:lang w:val="en-US"/>
        </w:rPr>
      </w:pPr>
      <w:r>
        <w:rPr>
          <w:lang w:val="en-US"/>
        </w:rPr>
        <w:t xml:space="preserve">The most common resource used by new arrivals in </w:t>
      </w:r>
      <w:r w:rsidRPr="00441921">
        <w:rPr>
          <w:b/>
          <w:lang w:val="en-US"/>
        </w:rPr>
        <w:t>preparing applications and interviews</w:t>
      </w:r>
      <w:r>
        <w:rPr>
          <w:lang w:val="en-US"/>
        </w:rPr>
        <w:t xml:space="preserve"> was the AusAID website, increasing steadily from 59% in AS1 2009 to 70% in AS1 2012</w:t>
      </w:r>
      <w:r w:rsidRPr="005A4804">
        <w:rPr>
          <w:lang w:val="en-US"/>
        </w:rPr>
        <w:t>.</w:t>
      </w:r>
      <w:r>
        <w:rPr>
          <w:lang w:val="en-US"/>
        </w:rPr>
        <w:t xml:space="preserve"> Encouragingly, the majority of students using the AusAID website reported that it was ‘very useful’ and this has remained steady at over 70%.</w:t>
      </w:r>
    </w:p>
    <w:p w14:paraId="17E5EFF4" w14:textId="77777777" w:rsidR="00F968F1" w:rsidRDefault="00441921" w:rsidP="00441921">
      <w:pPr>
        <w:rPr>
          <w:lang w:val="en-US"/>
        </w:rPr>
      </w:pPr>
      <w:r w:rsidRPr="00441921">
        <w:rPr>
          <w:lang w:val="en-US"/>
        </w:rPr>
        <w:t xml:space="preserve">Around 80% of new arrivals encountered </w:t>
      </w:r>
      <w:r w:rsidRPr="00441921">
        <w:rPr>
          <w:b/>
          <w:lang w:val="en-US"/>
        </w:rPr>
        <w:t>issues in relation to the scholarship application and selection processes</w:t>
      </w:r>
      <w:r w:rsidRPr="00441921">
        <w:rPr>
          <w:lang w:val="en-US"/>
        </w:rPr>
        <w:t>. These issues</w:t>
      </w:r>
      <w:r w:rsidR="00F968F1">
        <w:rPr>
          <w:lang w:val="en-US"/>
        </w:rPr>
        <w:t xml:space="preserve"> were generally in relation to:</w:t>
      </w:r>
    </w:p>
    <w:p w14:paraId="17E5EFF5" w14:textId="77777777" w:rsidR="00F968F1" w:rsidRDefault="00441921" w:rsidP="00F968F1">
      <w:pPr>
        <w:pStyle w:val="Bullets"/>
        <w:rPr>
          <w:lang w:val="en-US"/>
        </w:rPr>
      </w:pPr>
      <w:r w:rsidRPr="00441921">
        <w:rPr>
          <w:lang w:val="en-US"/>
        </w:rPr>
        <w:t>institutional issues, such as finding information about institutions, preparing app</w:t>
      </w:r>
      <w:r w:rsidR="00F968F1">
        <w:rPr>
          <w:lang w:val="en-US"/>
        </w:rPr>
        <w:t>lications and getting accepted;</w:t>
      </w:r>
    </w:p>
    <w:p w14:paraId="17E5EFF6" w14:textId="77777777" w:rsidR="00F968F1" w:rsidRDefault="00441921" w:rsidP="00F968F1">
      <w:pPr>
        <w:pStyle w:val="Bullets"/>
        <w:rPr>
          <w:lang w:val="en-US"/>
        </w:rPr>
      </w:pPr>
      <w:r w:rsidRPr="00441921">
        <w:rPr>
          <w:lang w:val="en-US"/>
        </w:rPr>
        <w:t>issues with obtaining employe</w:t>
      </w:r>
      <w:r w:rsidR="00F968F1">
        <w:rPr>
          <w:lang w:val="en-US"/>
        </w:rPr>
        <w:t>r approvals and references; and</w:t>
      </w:r>
    </w:p>
    <w:p w14:paraId="17E5EFF7" w14:textId="77777777" w:rsidR="00F968F1" w:rsidRDefault="00441921" w:rsidP="00F968F1">
      <w:pPr>
        <w:pStyle w:val="Bullets"/>
        <w:rPr>
          <w:lang w:val="en-US"/>
        </w:rPr>
      </w:pPr>
      <w:r w:rsidRPr="00441921">
        <w:rPr>
          <w:lang w:val="en-US"/>
        </w:rPr>
        <w:t>issues related to the International English Language Testing System (IELTS) / Test of English as a Foreign Language (TOEFL)</w:t>
      </w:r>
      <w:r w:rsidR="00F968F1">
        <w:rPr>
          <w:lang w:val="en-US"/>
        </w:rPr>
        <w:t>.</w:t>
      </w:r>
    </w:p>
    <w:p w14:paraId="17E5EFF8" w14:textId="77777777" w:rsidR="0033711C" w:rsidRDefault="00441921" w:rsidP="0033711C">
      <w:pPr>
        <w:rPr>
          <w:lang w:val="en-US"/>
        </w:rPr>
      </w:pPr>
      <w:r>
        <w:rPr>
          <w:lang w:val="en-US"/>
        </w:rPr>
        <w:t>Less than half of students who encountered issues in relation to the scholarship application and selection processes reported that any of these issues had a ‘major effect’ on them.</w:t>
      </w:r>
      <w:r w:rsidR="0033711C">
        <w:rPr>
          <w:lang w:val="en-US"/>
        </w:rPr>
        <w:br w:type="page"/>
      </w:r>
    </w:p>
    <w:p w14:paraId="17E5EFF9" w14:textId="77777777" w:rsidR="009D5719" w:rsidRPr="00F5496A" w:rsidRDefault="009D5719" w:rsidP="00F5496A">
      <w:pPr>
        <w:pStyle w:val="Heading1"/>
        <w:spacing w:before="480"/>
      </w:pPr>
      <w:r w:rsidRPr="00F5496A">
        <w:lastRenderedPageBreak/>
        <w:t>Preparing to come to Australia</w:t>
      </w:r>
    </w:p>
    <w:p w14:paraId="17E5EFFA" w14:textId="77777777" w:rsidR="009D5719" w:rsidRDefault="00DA78AC" w:rsidP="009D5719">
      <w:pPr>
        <w:rPr>
          <w:lang w:val="en-US"/>
        </w:rPr>
      </w:pPr>
      <w:r>
        <w:rPr>
          <w:lang w:val="en-US"/>
        </w:rPr>
        <w:t>Nearly all</w:t>
      </w:r>
      <w:r w:rsidR="00441921">
        <w:rPr>
          <w:lang w:val="en-US"/>
        </w:rPr>
        <w:t xml:space="preserve"> s</w:t>
      </w:r>
      <w:r w:rsidR="00441921" w:rsidRPr="000E68CC">
        <w:rPr>
          <w:lang w:val="en-US"/>
        </w:rPr>
        <w:t xml:space="preserve">tudents </w:t>
      </w:r>
      <w:r w:rsidR="00441921">
        <w:rPr>
          <w:lang w:val="en-US"/>
        </w:rPr>
        <w:t xml:space="preserve">(99% on average) </w:t>
      </w:r>
      <w:r w:rsidR="00441921" w:rsidRPr="00441921">
        <w:rPr>
          <w:b/>
          <w:lang w:val="en-US"/>
        </w:rPr>
        <w:t>sought information about a range of matters prior to coming to Australia</w:t>
      </w:r>
      <w:r>
        <w:rPr>
          <w:lang w:val="en-US"/>
        </w:rPr>
        <w:t>.</w:t>
      </w:r>
      <w:r w:rsidR="00F5496A">
        <w:rPr>
          <w:lang w:val="en-US"/>
        </w:rPr>
        <w:t xml:space="preserve"> </w:t>
      </w:r>
      <w:r w:rsidR="009D5719">
        <w:rPr>
          <w:lang w:val="en-US"/>
        </w:rPr>
        <w:t>The</w:t>
      </w:r>
      <w:r w:rsidR="009D5719" w:rsidRPr="000E68CC">
        <w:rPr>
          <w:lang w:val="en-US"/>
        </w:rPr>
        <w:t xml:space="preserve"> </w:t>
      </w:r>
      <w:r w:rsidR="009D5719" w:rsidRPr="009D5719">
        <w:rPr>
          <w:b/>
          <w:lang w:val="en-US"/>
        </w:rPr>
        <w:t>resources used by students in preparing to come to Australia</w:t>
      </w:r>
      <w:r w:rsidR="009D5719">
        <w:rPr>
          <w:lang w:val="en-US"/>
        </w:rPr>
        <w:t xml:space="preserve"> included AusAID resources, institution resources and personal networks</w:t>
      </w:r>
      <w:r w:rsidR="009D5719" w:rsidRPr="000E68CC">
        <w:rPr>
          <w:lang w:val="en-US"/>
        </w:rPr>
        <w:t xml:space="preserve">. </w:t>
      </w:r>
      <w:r w:rsidR="009D5719">
        <w:rPr>
          <w:lang w:val="en-US"/>
        </w:rPr>
        <w:t>A majority of</w:t>
      </w:r>
      <w:r w:rsidR="009D5719" w:rsidRPr="000E68CC">
        <w:rPr>
          <w:lang w:val="en-US"/>
        </w:rPr>
        <w:t xml:space="preserve"> students used materials provided by AusAID when preparing to come to Australia, with </w:t>
      </w:r>
      <w:r w:rsidR="009D5719">
        <w:rPr>
          <w:lang w:val="en-US"/>
        </w:rPr>
        <w:t>most</w:t>
      </w:r>
      <w:r w:rsidR="009D5719" w:rsidRPr="000E68CC">
        <w:rPr>
          <w:lang w:val="en-US"/>
        </w:rPr>
        <w:t xml:space="preserve"> of these </w:t>
      </w:r>
      <w:r w:rsidR="009D5719">
        <w:rPr>
          <w:lang w:val="en-US"/>
        </w:rPr>
        <w:t>students consistently finding them to be ‘very useful’.</w:t>
      </w:r>
    </w:p>
    <w:p w14:paraId="17E5EFFB" w14:textId="77777777" w:rsidR="00441921" w:rsidRDefault="009D5719" w:rsidP="00A86BCC">
      <w:pPr>
        <w:rPr>
          <w:lang w:val="en-US"/>
        </w:rPr>
      </w:pPr>
      <w:r>
        <w:rPr>
          <w:lang w:val="en-US"/>
        </w:rPr>
        <w:t xml:space="preserve">Around 80% of students reported that they </w:t>
      </w:r>
      <w:r w:rsidRPr="009D5719">
        <w:rPr>
          <w:b/>
          <w:lang w:val="en-US"/>
        </w:rPr>
        <w:t>encountered issues when getting ready to come to Australia</w:t>
      </w:r>
      <w:r>
        <w:rPr>
          <w:lang w:val="en-US"/>
        </w:rPr>
        <w:t xml:space="preserve">. </w:t>
      </w:r>
      <w:r w:rsidRPr="009D5719">
        <w:rPr>
          <w:lang w:val="en-US"/>
        </w:rPr>
        <w:t>The most common issue (experienced by around half of students) was the time gap between finishing work and leaving for Australia</w:t>
      </w:r>
      <w:r w:rsidR="0033711C">
        <w:rPr>
          <w:lang w:val="en-US"/>
        </w:rPr>
        <w:t>, however</w:t>
      </w:r>
      <w:r w:rsidRPr="009D5719">
        <w:rPr>
          <w:lang w:val="en-US"/>
        </w:rPr>
        <w:t xml:space="preserve"> only around two-thirds of these students reported that it had a ‘major effect’ on them.</w:t>
      </w:r>
      <w:r w:rsidR="0033711C">
        <w:rPr>
          <w:lang w:val="en-US"/>
        </w:rPr>
        <w:t xml:space="preserve"> </w:t>
      </w:r>
      <w:r w:rsidR="0033711C" w:rsidRPr="0033711C">
        <w:rPr>
          <w:lang w:val="en-US"/>
        </w:rPr>
        <w:t>The issue that had the greatest effect on students was in relation to obtaining an AusAID student visa</w:t>
      </w:r>
      <w:r w:rsidR="0033711C">
        <w:rPr>
          <w:lang w:val="en-US"/>
        </w:rPr>
        <w:t xml:space="preserve"> (</w:t>
      </w:r>
      <w:r w:rsidR="0033711C" w:rsidRPr="0033711C">
        <w:rPr>
          <w:lang w:val="en-US"/>
        </w:rPr>
        <w:t>between 40% and 60% reporting that it had a ‘major effect’ on them</w:t>
      </w:r>
      <w:r w:rsidR="0033711C">
        <w:rPr>
          <w:lang w:val="en-US"/>
        </w:rPr>
        <w:t>); however</w:t>
      </w:r>
      <w:r w:rsidR="0033711C" w:rsidRPr="0033711C">
        <w:rPr>
          <w:lang w:val="en-US"/>
        </w:rPr>
        <w:t xml:space="preserve"> this issue was encountered by only around one in five students.</w:t>
      </w:r>
    </w:p>
    <w:p w14:paraId="17E5EFFC" w14:textId="77777777" w:rsidR="009D5719" w:rsidRPr="00CA4D9A" w:rsidRDefault="009D5719" w:rsidP="001703C8">
      <w:pPr>
        <w:pStyle w:val="Heading1"/>
        <w:spacing w:before="480"/>
      </w:pPr>
      <w:r>
        <w:t>AusAID pre-departure briefing and guidebook / DVD</w:t>
      </w:r>
    </w:p>
    <w:p w14:paraId="17E5EFFD" w14:textId="77777777" w:rsidR="00F968F1" w:rsidRDefault="0002717D" w:rsidP="00A86BCC">
      <w:pPr>
        <w:rPr>
          <w:lang w:val="en-US"/>
        </w:rPr>
      </w:pPr>
      <w:r>
        <w:rPr>
          <w:lang w:val="en-US"/>
        </w:rPr>
        <w:t>Nearly all</w:t>
      </w:r>
      <w:r w:rsidR="009D5719">
        <w:rPr>
          <w:lang w:val="en-US"/>
        </w:rPr>
        <w:t xml:space="preserve"> students </w:t>
      </w:r>
      <w:r>
        <w:rPr>
          <w:lang w:val="en-US"/>
        </w:rPr>
        <w:t xml:space="preserve">(more than 90%) </w:t>
      </w:r>
      <w:r w:rsidR="009D5719" w:rsidRPr="009D5719">
        <w:rPr>
          <w:lang w:val="en-US"/>
        </w:rPr>
        <w:t xml:space="preserve">reported that they </w:t>
      </w:r>
      <w:r w:rsidR="009D5719" w:rsidRPr="009D5719">
        <w:rPr>
          <w:b/>
          <w:lang w:val="en-US"/>
        </w:rPr>
        <w:t>attended an AusAID pre-departure briefing</w:t>
      </w:r>
      <w:r w:rsidR="00F968F1">
        <w:rPr>
          <w:lang w:val="en-US"/>
        </w:rPr>
        <w:t>.</w:t>
      </w:r>
    </w:p>
    <w:p w14:paraId="17E5EFFE" w14:textId="77777777" w:rsidR="00F968F1" w:rsidRDefault="00F968F1" w:rsidP="00F968F1">
      <w:pPr>
        <w:pStyle w:val="Bullets"/>
        <w:rPr>
          <w:lang w:val="en-US"/>
        </w:rPr>
      </w:pPr>
      <w:r>
        <w:rPr>
          <w:lang w:val="en-US"/>
        </w:rPr>
        <w:t xml:space="preserve">The vast majority of students (more than 90%) reported that the topics on their </w:t>
      </w:r>
      <w:r w:rsidRPr="005501BB">
        <w:rPr>
          <w:b/>
          <w:lang w:val="en-US"/>
        </w:rPr>
        <w:t>AusAID obligations</w:t>
      </w:r>
      <w:r>
        <w:rPr>
          <w:lang w:val="en-US"/>
        </w:rPr>
        <w:t xml:space="preserve"> included in the survey were covered in their </w:t>
      </w:r>
      <w:r w:rsidRPr="000E68CC">
        <w:rPr>
          <w:lang w:val="en-US"/>
        </w:rPr>
        <w:t>AusAID pre</w:t>
      </w:r>
      <w:r>
        <w:rPr>
          <w:lang w:val="en-US"/>
        </w:rPr>
        <w:noBreakHyphen/>
      </w:r>
      <w:r w:rsidRPr="000E68CC">
        <w:rPr>
          <w:lang w:val="en-US"/>
        </w:rPr>
        <w:t>departure briefing</w:t>
      </w:r>
      <w:r>
        <w:rPr>
          <w:lang w:val="en-US"/>
        </w:rPr>
        <w:t>, with the majority (between 70% and 90%) reporting that the information covered was ‘very useful’.</w:t>
      </w:r>
    </w:p>
    <w:p w14:paraId="17E5EFFF" w14:textId="77777777" w:rsidR="00F968F1" w:rsidRDefault="00F968F1" w:rsidP="00F968F1">
      <w:pPr>
        <w:pStyle w:val="Bullets"/>
        <w:rPr>
          <w:lang w:val="en-US"/>
        </w:rPr>
      </w:pPr>
      <w:r>
        <w:rPr>
          <w:lang w:val="en-US"/>
        </w:rPr>
        <w:t xml:space="preserve">The vast majority of students (more than 90%) reported that the topics on </w:t>
      </w:r>
      <w:r w:rsidRPr="005501BB">
        <w:rPr>
          <w:b/>
          <w:lang w:val="en-US"/>
        </w:rPr>
        <w:t>preparation</w:t>
      </w:r>
      <w:r>
        <w:rPr>
          <w:lang w:val="en-US"/>
        </w:rPr>
        <w:t xml:space="preserve"> included in the survey (i.e. ‘arrival in Australia’, ‘settling in and cultural adjustment’ and bringing family to Australia’) were covered in their AusAID pre</w:t>
      </w:r>
      <w:r>
        <w:rPr>
          <w:lang w:val="en-US"/>
        </w:rPr>
        <w:noBreakHyphen/>
      </w:r>
      <w:r w:rsidRPr="000E68CC">
        <w:rPr>
          <w:lang w:val="en-US"/>
        </w:rPr>
        <w:t>departure briefing</w:t>
      </w:r>
      <w:r>
        <w:rPr>
          <w:lang w:val="en-US"/>
        </w:rPr>
        <w:t>, with slightly less (between 50% and 80%) reporting that the information covered was ‘very useful’.</w:t>
      </w:r>
    </w:p>
    <w:p w14:paraId="17E5F000" w14:textId="77777777" w:rsidR="0033711C" w:rsidRDefault="00F968F1" w:rsidP="00A86BCC">
      <w:pPr>
        <w:pStyle w:val="Bullets"/>
        <w:rPr>
          <w:lang w:val="en-US"/>
        </w:rPr>
      </w:pPr>
      <w:r w:rsidRPr="00A64723">
        <w:rPr>
          <w:lang w:val="en-US"/>
        </w:rPr>
        <w:t xml:space="preserve">Student reports on the topics covered in in the survey relating to </w:t>
      </w:r>
      <w:r w:rsidRPr="00A64723">
        <w:rPr>
          <w:b/>
          <w:lang w:val="en-US"/>
        </w:rPr>
        <w:t>day-to-day living</w:t>
      </w:r>
      <w:r w:rsidRPr="00A64723">
        <w:rPr>
          <w:lang w:val="en-US"/>
        </w:rPr>
        <w:t xml:space="preserve"> were more variable. While the majority of students reported that the topics on accommodation and living in Australia were covered in their AusAID pre-departure briefing (between 80% and 90%), less reported that the topics on academic programs and part-time employment were covered (between 60% and 75%). Between 40% and 60% of students reported the topics on </w:t>
      </w:r>
      <w:r w:rsidRPr="00A64723">
        <w:rPr>
          <w:b/>
          <w:lang w:val="en-US"/>
        </w:rPr>
        <w:t>accommodation</w:t>
      </w:r>
      <w:r w:rsidRPr="00A64723">
        <w:rPr>
          <w:lang w:val="en-US"/>
        </w:rPr>
        <w:t xml:space="preserve"> and </w:t>
      </w:r>
      <w:r w:rsidRPr="00A64723">
        <w:rPr>
          <w:b/>
          <w:lang w:val="en-US"/>
        </w:rPr>
        <w:t>part-time employment in Australia</w:t>
      </w:r>
      <w:r w:rsidRPr="00A64723">
        <w:rPr>
          <w:lang w:val="en-US"/>
        </w:rPr>
        <w:t xml:space="preserve"> were ‘very useful’.</w:t>
      </w:r>
    </w:p>
    <w:p w14:paraId="17E5F001" w14:textId="77777777" w:rsidR="0033711C" w:rsidRDefault="0033711C">
      <w:pPr>
        <w:spacing w:before="0"/>
        <w:jc w:val="left"/>
        <w:rPr>
          <w:rFonts w:cs="Times New Roman"/>
          <w:lang w:val="en-US"/>
        </w:rPr>
      </w:pPr>
      <w:r>
        <w:rPr>
          <w:lang w:val="en-US"/>
        </w:rPr>
        <w:br w:type="page"/>
      </w:r>
    </w:p>
    <w:p w14:paraId="17E5F002" w14:textId="77777777" w:rsidR="00F968F1" w:rsidRPr="00A64723" w:rsidRDefault="00F968F1" w:rsidP="00A64723">
      <w:pPr>
        <w:rPr>
          <w:lang w:val="en-US"/>
        </w:rPr>
      </w:pPr>
      <w:r w:rsidRPr="00A64723">
        <w:rPr>
          <w:lang w:val="en-US"/>
        </w:rPr>
        <w:lastRenderedPageBreak/>
        <w:t xml:space="preserve">Nearly all students (more than 90%) reported that they </w:t>
      </w:r>
      <w:r w:rsidR="0002717D" w:rsidRPr="00A64723">
        <w:rPr>
          <w:lang w:val="en-US"/>
        </w:rPr>
        <w:t xml:space="preserve">received a copy of the </w:t>
      </w:r>
      <w:r w:rsidR="0002717D" w:rsidRPr="00A64723">
        <w:rPr>
          <w:b/>
          <w:lang w:val="en-US"/>
        </w:rPr>
        <w:t>AusAID pre</w:t>
      </w:r>
      <w:r w:rsidR="0002717D" w:rsidRPr="00A64723">
        <w:rPr>
          <w:b/>
          <w:lang w:val="en-US"/>
        </w:rPr>
        <w:noBreakHyphen/>
        <w:t>departure guidebook/DVD</w:t>
      </w:r>
      <w:r w:rsidRPr="00A64723">
        <w:rPr>
          <w:lang w:val="en-US"/>
        </w:rPr>
        <w:t>.</w:t>
      </w:r>
    </w:p>
    <w:p w14:paraId="17E5F003" w14:textId="77777777" w:rsidR="00F968F1" w:rsidRDefault="00F968F1" w:rsidP="00F968F1">
      <w:pPr>
        <w:pStyle w:val="Bullets"/>
        <w:rPr>
          <w:lang w:val="en-US"/>
        </w:rPr>
      </w:pPr>
      <w:r>
        <w:rPr>
          <w:lang w:val="en-US"/>
        </w:rPr>
        <w:t xml:space="preserve">The majority of students (between 70% and 80%) reported that they read or viewed the topics covered in the survey on their </w:t>
      </w:r>
      <w:r w:rsidRPr="005501BB">
        <w:rPr>
          <w:b/>
          <w:lang w:val="en-US"/>
        </w:rPr>
        <w:t>AusAID obligations</w:t>
      </w:r>
      <w:r>
        <w:rPr>
          <w:lang w:val="en-US"/>
        </w:rPr>
        <w:t>, with between 70% and 80% of these students reporting that the information covered was ‘very useful’.</w:t>
      </w:r>
    </w:p>
    <w:p w14:paraId="17E5F004" w14:textId="77777777" w:rsidR="00F968F1" w:rsidRDefault="00F968F1" w:rsidP="00F968F1">
      <w:pPr>
        <w:pStyle w:val="Bullets"/>
      </w:pPr>
      <w:r>
        <w:rPr>
          <w:lang w:val="en-US"/>
        </w:rPr>
        <w:t xml:space="preserve">The majority of students (between 80% and 90%) reported that they read or viewed the </w:t>
      </w:r>
      <w:r w:rsidRPr="00F968F1">
        <w:rPr>
          <w:b/>
          <w:lang w:val="en-US"/>
        </w:rPr>
        <w:t>preparation</w:t>
      </w:r>
      <w:r>
        <w:rPr>
          <w:lang w:val="en-US"/>
        </w:rPr>
        <w:t xml:space="preserve"> topics on arrival and settling in / cultural adjustment, with between 60% and 80% of these students reporting that the information covered was ‘very useful’. </w:t>
      </w:r>
      <w:r>
        <w:t xml:space="preserve">Fewer students (around 70%) read or viewed the topics on </w:t>
      </w:r>
      <w:r w:rsidRPr="005501BB">
        <w:t>bringing family to Australia</w:t>
      </w:r>
      <w:r>
        <w:t xml:space="preserve">, with this topic only relevant to those with immediate family </w:t>
      </w:r>
      <w:r>
        <w:br/>
        <w:t>(i.e. a partner/spouse and/or children).</w:t>
      </w:r>
    </w:p>
    <w:p w14:paraId="17E5F005" w14:textId="77777777" w:rsidR="0033711C" w:rsidRDefault="00F968F1" w:rsidP="00A86BCC">
      <w:pPr>
        <w:pStyle w:val="Bullets"/>
        <w:rPr>
          <w:lang w:val="en-US"/>
        </w:rPr>
      </w:pPr>
      <w:r w:rsidRPr="0033711C">
        <w:rPr>
          <w:lang w:val="en-US"/>
        </w:rPr>
        <w:t xml:space="preserve">In relation to </w:t>
      </w:r>
      <w:r w:rsidRPr="0033711C">
        <w:rPr>
          <w:b/>
          <w:lang w:val="en-US"/>
        </w:rPr>
        <w:t>day-to-day living</w:t>
      </w:r>
      <w:r w:rsidRPr="0033711C">
        <w:rPr>
          <w:lang w:val="en-US"/>
        </w:rPr>
        <w:t>, the majority of students (between 80% and 90%) read/viewed the topics on accommodation and living in Australia, while around two</w:t>
      </w:r>
      <w:r w:rsidRPr="0033711C">
        <w:rPr>
          <w:lang w:val="en-US"/>
        </w:rPr>
        <w:noBreakHyphen/>
        <w:t>thirds read/viewed the topics on academic programs and part-time employment. As with the pre</w:t>
      </w:r>
      <w:r w:rsidRPr="0033711C">
        <w:rPr>
          <w:lang w:val="en-US"/>
        </w:rPr>
        <w:noBreakHyphen/>
        <w:t>departure briefing, between 50% and 60% of students reported the topics on accommodation and part-time employment in Australia were ‘very useful’.</w:t>
      </w:r>
    </w:p>
    <w:p w14:paraId="17E5F006" w14:textId="77777777" w:rsidR="009D5719" w:rsidRPr="0033711C" w:rsidRDefault="0002717D" w:rsidP="0033711C">
      <w:pPr>
        <w:rPr>
          <w:lang w:val="en-US"/>
        </w:rPr>
      </w:pPr>
      <w:r w:rsidRPr="0033711C">
        <w:rPr>
          <w:lang w:val="en-US"/>
        </w:rPr>
        <w:t xml:space="preserve">A minority of students (around one in ten on average) reported that the content on accommodation was ‘not useful’, with the main reason being the </w:t>
      </w:r>
      <w:r>
        <w:t>need for more detailed and specific information. Specifically, students wanted to know how to find accommodation, typical costs and more detail on specific cities/regions.</w:t>
      </w:r>
    </w:p>
    <w:p w14:paraId="17E5F007" w14:textId="77777777" w:rsidR="0002717D" w:rsidRDefault="0002717D" w:rsidP="001703C8">
      <w:pPr>
        <w:pStyle w:val="Heading1"/>
        <w:spacing w:before="480"/>
      </w:pPr>
      <w:r w:rsidRPr="00523893">
        <w:t xml:space="preserve">Australian academic institution </w:t>
      </w:r>
      <w:r>
        <w:t>services and facilities</w:t>
      </w:r>
    </w:p>
    <w:p w14:paraId="17E5F008" w14:textId="77777777" w:rsidR="009D5719" w:rsidRDefault="0002717D" w:rsidP="00A86BCC">
      <w:pPr>
        <w:rPr>
          <w:lang w:val="en-US"/>
        </w:rPr>
      </w:pPr>
      <w:r w:rsidRPr="000E68CC">
        <w:rPr>
          <w:lang w:val="en-US"/>
        </w:rPr>
        <w:t xml:space="preserve">Nearly all students </w:t>
      </w:r>
      <w:r>
        <w:rPr>
          <w:lang w:val="en-US"/>
        </w:rPr>
        <w:t xml:space="preserve">(more than 90%) </w:t>
      </w:r>
      <w:r w:rsidRPr="000E68CC">
        <w:rPr>
          <w:lang w:val="en-US"/>
        </w:rPr>
        <w:t xml:space="preserve">reported that they </w:t>
      </w:r>
      <w:r w:rsidRPr="0002717D">
        <w:rPr>
          <w:b/>
          <w:lang w:val="en-US"/>
        </w:rPr>
        <w:t>participated in an Introductory Academic Program</w:t>
      </w:r>
      <w:r w:rsidR="006033FC">
        <w:rPr>
          <w:b/>
          <w:lang w:val="en-US"/>
        </w:rPr>
        <w:t xml:space="preserve"> (IAP)</w:t>
      </w:r>
      <w:r w:rsidR="00DA78AC">
        <w:rPr>
          <w:lang w:val="en-US"/>
        </w:rPr>
        <w:t>.</w:t>
      </w:r>
    </w:p>
    <w:p w14:paraId="17E5F009" w14:textId="77777777" w:rsidR="00F968F1" w:rsidRDefault="00F968F1" w:rsidP="00F968F1">
      <w:pPr>
        <w:pStyle w:val="Bullets"/>
        <w:rPr>
          <w:lang w:val="en-US"/>
        </w:rPr>
      </w:pPr>
      <w:r>
        <w:rPr>
          <w:lang w:val="en-US"/>
        </w:rPr>
        <w:t xml:space="preserve">The vast majority of students (between 80% and 100%) reported that the topics in relation to </w:t>
      </w:r>
      <w:r w:rsidRPr="00CC28EC">
        <w:rPr>
          <w:b/>
          <w:lang w:val="en-US"/>
        </w:rPr>
        <w:t>learning tips</w:t>
      </w:r>
      <w:r>
        <w:rPr>
          <w:lang w:val="en-US"/>
        </w:rPr>
        <w:t xml:space="preserve"> were covered in their IAP. Although the majority of these students (between 80% and 90%) found these topics to be ‘very useful’, slightly less (around 70%) found the topics on time management and different teaching and learning styles to be ‘very useful’.</w:t>
      </w:r>
    </w:p>
    <w:p w14:paraId="17E5F00A" w14:textId="77777777" w:rsidR="00F968F1" w:rsidRDefault="00F968F1" w:rsidP="00F968F1">
      <w:pPr>
        <w:pStyle w:val="Bullets"/>
        <w:rPr>
          <w:lang w:val="en-US"/>
        </w:rPr>
      </w:pPr>
      <w:r w:rsidRPr="0066284C">
        <w:rPr>
          <w:lang w:val="en-US"/>
        </w:rPr>
        <w:t xml:space="preserve">Student reports on the topics covered in relation to </w:t>
      </w:r>
      <w:r w:rsidRPr="005D2ED9">
        <w:rPr>
          <w:b/>
          <w:lang w:val="en-US"/>
        </w:rPr>
        <w:t>campus orientation and support services</w:t>
      </w:r>
      <w:r w:rsidRPr="0066284C">
        <w:rPr>
          <w:lang w:val="en-US"/>
        </w:rPr>
        <w:t xml:space="preserve"> were more variable. While </w:t>
      </w:r>
      <w:r>
        <w:rPr>
          <w:lang w:val="en-US"/>
        </w:rPr>
        <w:t>the majority of</w:t>
      </w:r>
      <w:r w:rsidRPr="0066284C">
        <w:rPr>
          <w:lang w:val="en-US"/>
        </w:rPr>
        <w:t xml:space="preserve"> students reported that </w:t>
      </w:r>
      <w:r>
        <w:rPr>
          <w:lang w:val="en-US"/>
        </w:rPr>
        <w:t xml:space="preserve">an introduction/orientation to the university/college campus was conducted and the topics on support services, health services and culture shock were covered in their IAP, less than two-thirds reported that Australian history was covered and less than half reported that information on religious services and prayer rooms was covered in their IAP. While between 70% and 80% of students reported that </w:t>
      </w:r>
      <w:r w:rsidRPr="0066284C">
        <w:rPr>
          <w:lang w:val="en-US"/>
        </w:rPr>
        <w:t xml:space="preserve">campus orientation and support services </w:t>
      </w:r>
      <w:r>
        <w:rPr>
          <w:lang w:val="en-US"/>
        </w:rPr>
        <w:t xml:space="preserve">topics </w:t>
      </w:r>
      <w:r w:rsidRPr="0066284C">
        <w:rPr>
          <w:lang w:val="en-US"/>
        </w:rPr>
        <w:t xml:space="preserve">were </w:t>
      </w:r>
      <w:r>
        <w:rPr>
          <w:lang w:val="en-US"/>
        </w:rPr>
        <w:t>‘very useful’ less than two thirds of students reported the other support services to be ‘very useful’.</w:t>
      </w:r>
    </w:p>
    <w:p w14:paraId="17E5F00B" w14:textId="77777777" w:rsidR="00F968F1" w:rsidRPr="0066284C" w:rsidRDefault="00F968F1" w:rsidP="00F968F1">
      <w:pPr>
        <w:pStyle w:val="Bullets"/>
        <w:rPr>
          <w:lang w:val="en-US"/>
        </w:rPr>
      </w:pPr>
      <w:r>
        <w:rPr>
          <w:lang w:val="en-US"/>
        </w:rPr>
        <w:t>Most students reported that t</w:t>
      </w:r>
      <w:r w:rsidRPr="0066284C">
        <w:rPr>
          <w:lang w:val="en-US"/>
        </w:rPr>
        <w:t xml:space="preserve">he </w:t>
      </w:r>
      <w:r w:rsidRPr="008E039B">
        <w:rPr>
          <w:b/>
          <w:lang w:val="en-US"/>
        </w:rPr>
        <w:t>household and living</w:t>
      </w:r>
      <w:r w:rsidRPr="0066284C">
        <w:rPr>
          <w:lang w:val="en-US"/>
        </w:rPr>
        <w:t xml:space="preserve"> topics</w:t>
      </w:r>
      <w:r>
        <w:rPr>
          <w:lang w:val="en-US"/>
        </w:rPr>
        <w:t xml:space="preserve"> were covered in their IAP, with between 50% and 60% of these reporting that they were ‘very useful’.</w:t>
      </w:r>
    </w:p>
    <w:p w14:paraId="17E5F00C" w14:textId="77777777" w:rsidR="002332BC" w:rsidRDefault="006033FC" w:rsidP="00A86BCC">
      <w:pPr>
        <w:rPr>
          <w:lang w:val="en-US"/>
        </w:rPr>
      </w:pPr>
      <w:r w:rsidRPr="006033FC">
        <w:rPr>
          <w:lang w:val="en-US"/>
        </w:rPr>
        <w:lastRenderedPageBreak/>
        <w:t xml:space="preserve">Nearly all students </w:t>
      </w:r>
      <w:r>
        <w:rPr>
          <w:lang w:val="en-US"/>
        </w:rPr>
        <w:t xml:space="preserve">(around 98%) </w:t>
      </w:r>
      <w:r w:rsidRPr="006033FC">
        <w:rPr>
          <w:lang w:val="en-US"/>
        </w:rPr>
        <w:t>were either ‘very satisfied’ or ‘moderately satisfied’ with the</w:t>
      </w:r>
      <w:r>
        <w:rPr>
          <w:lang w:val="en-US"/>
        </w:rPr>
        <w:t>ir</w:t>
      </w:r>
      <w:r w:rsidRPr="006033FC">
        <w:rPr>
          <w:lang w:val="en-US"/>
        </w:rPr>
        <w:t xml:space="preserve"> IAP, and these satisfaction levels have remained steady across all arrival survey cycles</w:t>
      </w:r>
      <w:r>
        <w:rPr>
          <w:lang w:val="en-US"/>
        </w:rPr>
        <w:t>.</w:t>
      </w:r>
    </w:p>
    <w:p w14:paraId="17E5F00D" w14:textId="77777777" w:rsidR="00C91E39" w:rsidRDefault="006033FC" w:rsidP="00A86BCC">
      <w:pPr>
        <w:rPr>
          <w:lang w:val="en-US"/>
        </w:rPr>
      </w:pPr>
      <w:r w:rsidRPr="006033FC">
        <w:rPr>
          <w:lang w:val="en-US"/>
        </w:rPr>
        <w:t xml:space="preserve">Nearly all </w:t>
      </w:r>
      <w:r w:rsidR="00A27CF8">
        <w:rPr>
          <w:lang w:val="en-US"/>
        </w:rPr>
        <w:t>new arrivals</w:t>
      </w:r>
      <w:r w:rsidRPr="006033FC">
        <w:rPr>
          <w:lang w:val="en-US"/>
        </w:rPr>
        <w:t xml:space="preserve"> (97% on average) reported that one or more types of </w:t>
      </w:r>
      <w:r w:rsidRPr="006033FC">
        <w:rPr>
          <w:b/>
          <w:lang w:val="en-US"/>
        </w:rPr>
        <w:t>academic help</w:t>
      </w:r>
      <w:r w:rsidRPr="006033FC">
        <w:rPr>
          <w:lang w:val="en-US"/>
        </w:rPr>
        <w:t xml:space="preserve"> were </w:t>
      </w:r>
      <w:r w:rsidRPr="00C91E39">
        <w:rPr>
          <w:b/>
          <w:lang w:val="en-US"/>
        </w:rPr>
        <w:t>available</w:t>
      </w:r>
      <w:r w:rsidRPr="006033FC">
        <w:rPr>
          <w:lang w:val="en-US"/>
        </w:rPr>
        <w:t xml:space="preserve"> to them at their institution</w:t>
      </w:r>
      <w:r w:rsidR="00C91E39">
        <w:rPr>
          <w:lang w:val="en-US"/>
        </w:rPr>
        <w:t>.</w:t>
      </w:r>
    </w:p>
    <w:p w14:paraId="17E5F00E" w14:textId="77777777" w:rsidR="00A27CF8" w:rsidRDefault="00A27CF8" w:rsidP="00A27CF8">
      <w:pPr>
        <w:pStyle w:val="Bullets"/>
        <w:rPr>
          <w:lang w:val="en-US"/>
        </w:rPr>
      </w:pPr>
      <w:r>
        <w:rPr>
          <w:lang w:val="en-US"/>
        </w:rPr>
        <w:t xml:space="preserve">Most new arrivals (between 60% and 90%) reported that academic help in relation to </w:t>
      </w:r>
      <w:r w:rsidRPr="008072A3">
        <w:rPr>
          <w:b/>
          <w:lang w:val="en-US"/>
        </w:rPr>
        <w:t>core study skills</w:t>
      </w:r>
      <w:r>
        <w:rPr>
          <w:lang w:val="en-US"/>
        </w:rPr>
        <w:t xml:space="preserve"> was available at their university/college, apart from help with mathematics/statistics where around one-third reported that this form of academic help was available. The majority of new arrivals (between 60% and 80%) reported that access to help in relation to core study skills was ‘very easy’ and the ease of access had been gradually improving over time.</w:t>
      </w:r>
    </w:p>
    <w:p w14:paraId="17E5F00F" w14:textId="77777777" w:rsidR="00A27CF8" w:rsidRDefault="00A27CF8" w:rsidP="00A27CF8">
      <w:pPr>
        <w:pStyle w:val="Bullets"/>
        <w:rPr>
          <w:lang w:val="en-US"/>
        </w:rPr>
      </w:pPr>
      <w:r>
        <w:rPr>
          <w:lang w:val="en-US"/>
        </w:rPr>
        <w:t>New arrivals</w:t>
      </w:r>
      <w:r w:rsidRPr="00AE4E54">
        <w:rPr>
          <w:lang w:val="en-US"/>
        </w:rPr>
        <w:t xml:space="preserve"> reported that academic help in relation to </w:t>
      </w:r>
      <w:r w:rsidRPr="008072A3">
        <w:rPr>
          <w:b/>
          <w:lang w:val="en-US"/>
        </w:rPr>
        <w:t>general study skills</w:t>
      </w:r>
      <w:r w:rsidRPr="00AE4E54">
        <w:rPr>
          <w:lang w:val="en-US"/>
        </w:rPr>
        <w:t xml:space="preserve"> was more variable in terms of availability, with around one-third reporting help with other prerequisite knowledge was available, two-thirds reporting assistance with time management was available and eight in ten reporting </w:t>
      </w:r>
      <w:r>
        <w:rPr>
          <w:lang w:val="en-US"/>
        </w:rPr>
        <w:t xml:space="preserve">help with </w:t>
      </w:r>
      <w:r w:rsidRPr="00AE4E54">
        <w:rPr>
          <w:lang w:val="en-US"/>
        </w:rPr>
        <w:t xml:space="preserve">other </w:t>
      </w:r>
      <w:r>
        <w:rPr>
          <w:lang w:val="en-US"/>
        </w:rPr>
        <w:t>study skills was available at their institution. Between 60% and 80% of new arrivals reported that access to this help was ‘very easy’ and the ease of access has been gradually improving over time.</w:t>
      </w:r>
    </w:p>
    <w:p w14:paraId="17E5F010" w14:textId="77777777" w:rsidR="00A27CF8" w:rsidRDefault="00A27CF8" w:rsidP="00A86BCC">
      <w:r>
        <w:t>In general, similar proportions of ongoing students to new arrivals reported that academic help in relation to core and general study skills was available at their institution. However, a lower proportion of ongoing students reported that the academic help was ‘very easy’ to access when compared with new arrivals.</w:t>
      </w:r>
    </w:p>
    <w:p w14:paraId="17E5F011" w14:textId="77777777" w:rsidR="00A27CF8" w:rsidRDefault="00A27CF8" w:rsidP="00A27CF8">
      <w:pPr>
        <w:rPr>
          <w:lang w:val="en-US"/>
        </w:rPr>
      </w:pPr>
      <w:r>
        <w:t xml:space="preserve">Around 80% of new arrivals reported that they had </w:t>
      </w:r>
      <w:r w:rsidRPr="00A27CF8">
        <w:rPr>
          <w:b/>
        </w:rPr>
        <w:t>used some form of academic help</w:t>
      </w:r>
      <w:r w:rsidRPr="000E68CC">
        <w:t xml:space="preserve"> available at their </w:t>
      </w:r>
      <w:r>
        <w:rPr>
          <w:lang w:val="en-US"/>
        </w:rPr>
        <w:t>u</w:t>
      </w:r>
      <w:r w:rsidRPr="000E68CC">
        <w:rPr>
          <w:lang w:val="en-US"/>
        </w:rPr>
        <w:t xml:space="preserve">niversity or </w:t>
      </w:r>
      <w:r>
        <w:rPr>
          <w:lang w:val="en-US"/>
        </w:rPr>
        <w:t>c</w:t>
      </w:r>
      <w:r w:rsidRPr="000E68CC">
        <w:rPr>
          <w:lang w:val="en-US"/>
        </w:rPr>
        <w:t>ollege.</w:t>
      </w:r>
      <w:r>
        <w:rPr>
          <w:lang w:val="en-US"/>
        </w:rPr>
        <w:t xml:space="preserve"> Although around two-thirds of new arrivals used help with referencing, less than half used the other types of academic help available to them. Over two-thirds of new arrivals that had used any of the types of academic help available to them reported that it was ‘very useful’.</w:t>
      </w:r>
    </w:p>
    <w:p w14:paraId="17E5F012" w14:textId="77777777" w:rsidR="00A27CF8" w:rsidRDefault="00A27CF8" w:rsidP="00A86BCC">
      <w:r w:rsidRPr="00A27CF8">
        <w:t>Around 90% of ongoing students reported that they had accessed at least one of the forms of academic help available to them, slightly higher when compared with new arrivals. Around two-thirds or more of ongoing students reported that the forms of academic help were ‘very useful’</w:t>
      </w:r>
      <w:r>
        <w:t>.</w:t>
      </w:r>
    </w:p>
    <w:p w14:paraId="17E5F013" w14:textId="77777777" w:rsidR="00A27CF8" w:rsidRDefault="0087319F" w:rsidP="00A27CF8">
      <w:pPr>
        <w:rPr>
          <w:lang w:val="en-US"/>
        </w:rPr>
      </w:pPr>
      <w:r>
        <w:rPr>
          <w:lang w:val="en-US"/>
        </w:rPr>
        <w:t>Nearly all new arrivals and ongoing students</w:t>
      </w:r>
      <w:r w:rsidR="00A27CF8" w:rsidRPr="009241AD">
        <w:rPr>
          <w:lang w:val="en-US"/>
        </w:rPr>
        <w:t xml:space="preserve"> (99%) reported</w:t>
      </w:r>
      <w:r w:rsidR="00A27CF8">
        <w:rPr>
          <w:lang w:val="en-US"/>
        </w:rPr>
        <w:t xml:space="preserve"> that </w:t>
      </w:r>
      <w:r w:rsidR="00A27CF8" w:rsidRPr="000E68CC">
        <w:rPr>
          <w:lang w:val="en-US"/>
        </w:rPr>
        <w:t xml:space="preserve">a range of </w:t>
      </w:r>
      <w:r w:rsidR="00A27CF8" w:rsidRPr="00A27CF8">
        <w:rPr>
          <w:b/>
          <w:lang w:val="en-US"/>
        </w:rPr>
        <w:t>services and facilities</w:t>
      </w:r>
      <w:r w:rsidR="00A27CF8" w:rsidRPr="000E68CC">
        <w:rPr>
          <w:lang w:val="en-US"/>
        </w:rPr>
        <w:t xml:space="preserve"> were </w:t>
      </w:r>
      <w:r w:rsidR="00A27CF8" w:rsidRPr="00A27CF8">
        <w:rPr>
          <w:b/>
          <w:lang w:val="en-US"/>
        </w:rPr>
        <w:t>available</w:t>
      </w:r>
      <w:r w:rsidR="00A27CF8" w:rsidRPr="000E68CC">
        <w:rPr>
          <w:lang w:val="en-US"/>
        </w:rPr>
        <w:t xml:space="preserve"> to them at their </w:t>
      </w:r>
      <w:r w:rsidR="00A27CF8">
        <w:rPr>
          <w:lang w:val="en-US"/>
        </w:rPr>
        <w:t>u</w:t>
      </w:r>
      <w:r w:rsidR="00A27CF8" w:rsidRPr="000E68CC">
        <w:rPr>
          <w:lang w:val="en-US"/>
        </w:rPr>
        <w:t xml:space="preserve">niversity or </w:t>
      </w:r>
      <w:r w:rsidR="00A27CF8">
        <w:rPr>
          <w:lang w:val="en-US"/>
        </w:rPr>
        <w:t>c</w:t>
      </w:r>
      <w:r w:rsidR="00A27CF8" w:rsidRPr="000E68CC">
        <w:rPr>
          <w:lang w:val="en-US"/>
        </w:rPr>
        <w:t>ollege (other than through an IAP)</w:t>
      </w:r>
      <w:r w:rsidR="00A27CF8">
        <w:rPr>
          <w:lang w:val="en-US"/>
        </w:rPr>
        <w:t>.</w:t>
      </w:r>
    </w:p>
    <w:p w14:paraId="17E5F014" w14:textId="77777777" w:rsidR="00A27CF8" w:rsidRDefault="00A27CF8" w:rsidP="00A27CF8">
      <w:pPr>
        <w:pStyle w:val="Bullets"/>
        <w:rPr>
          <w:lang w:val="en-US"/>
        </w:rPr>
      </w:pPr>
      <w:r>
        <w:rPr>
          <w:lang w:val="en-US"/>
        </w:rPr>
        <w:t xml:space="preserve">The vast majority of </w:t>
      </w:r>
      <w:r w:rsidR="0087319F">
        <w:rPr>
          <w:lang w:val="en-US"/>
        </w:rPr>
        <w:t>students</w:t>
      </w:r>
      <w:r>
        <w:rPr>
          <w:lang w:val="en-US"/>
        </w:rPr>
        <w:t xml:space="preserve"> (between 70% and 100%) reported that the </w:t>
      </w:r>
      <w:r w:rsidRPr="00F33338">
        <w:rPr>
          <w:b/>
          <w:lang w:val="en-US"/>
        </w:rPr>
        <w:t xml:space="preserve">academic </w:t>
      </w:r>
      <w:r w:rsidRPr="00A27CF8">
        <w:rPr>
          <w:lang w:val="en-US"/>
        </w:rPr>
        <w:t>and</w:t>
      </w:r>
      <w:r w:rsidRPr="00F33338">
        <w:rPr>
          <w:b/>
          <w:lang w:val="en-US"/>
        </w:rPr>
        <w:t xml:space="preserve"> personal support services</w:t>
      </w:r>
      <w:r>
        <w:rPr>
          <w:lang w:val="en-US"/>
        </w:rPr>
        <w:t xml:space="preserve"> were available to them at their university/college, with most of these students (between 60% and 90%) reporting that they were ‘very easy’ to access.</w:t>
      </w:r>
    </w:p>
    <w:p w14:paraId="17E5F015" w14:textId="77777777" w:rsidR="00A27CF8" w:rsidRDefault="00A27CF8" w:rsidP="00A27CF8">
      <w:pPr>
        <w:pStyle w:val="Bullets"/>
        <w:rPr>
          <w:lang w:val="en-US"/>
        </w:rPr>
      </w:pPr>
      <w:r>
        <w:rPr>
          <w:lang w:val="en-US"/>
        </w:rPr>
        <w:t xml:space="preserve">The reported availability of </w:t>
      </w:r>
      <w:r w:rsidRPr="00F33338">
        <w:rPr>
          <w:b/>
          <w:lang w:val="en-US"/>
        </w:rPr>
        <w:t>other support services</w:t>
      </w:r>
      <w:r>
        <w:rPr>
          <w:lang w:val="en-US"/>
        </w:rPr>
        <w:t xml:space="preserve"> was more variable. Most </w:t>
      </w:r>
      <w:r w:rsidR="0087319F">
        <w:rPr>
          <w:lang w:val="en-US"/>
        </w:rPr>
        <w:t>students</w:t>
      </w:r>
      <w:r>
        <w:rPr>
          <w:lang w:val="en-US"/>
        </w:rPr>
        <w:t xml:space="preserve"> reported that a health service (around </w:t>
      </w:r>
      <w:r w:rsidR="00C42843">
        <w:rPr>
          <w:lang w:val="en-US"/>
        </w:rPr>
        <w:t>85%</w:t>
      </w:r>
      <w:r>
        <w:rPr>
          <w:lang w:val="en-US"/>
        </w:rPr>
        <w:t>)</w:t>
      </w:r>
      <w:r w:rsidR="00C42843">
        <w:rPr>
          <w:lang w:val="en-US"/>
        </w:rPr>
        <w:t xml:space="preserve"> </w:t>
      </w:r>
      <w:r>
        <w:rPr>
          <w:lang w:val="en-US"/>
        </w:rPr>
        <w:t xml:space="preserve">and help with finding accommodation </w:t>
      </w:r>
      <w:r w:rsidR="00C42843">
        <w:rPr>
          <w:lang w:val="en-US"/>
        </w:rPr>
        <w:t xml:space="preserve">(around 70%) </w:t>
      </w:r>
      <w:r>
        <w:rPr>
          <w:lang w:val="en-US"/>
        </w:rPr>
        <w:t xml:space="preserve">was available to them at their institution. However, less than half of all </w:t>
      </w:r>
      <w:r w:rsidR="0087319F">
        <w:rPr>
          <w:lang w:val="en-US"/>
        </w:rPr>
        <w:t>students</w:t>
      </w:r>
      <w:r>
        <w:rPr>
          <w:lang w:val="en-US"/>
        </w:rPr>
        <w:t xml:space="preserve"> reported financial advice, legal advice and childcare facilities were available. While between 40% and 70% of new arrivals found other support services ‘very easy’ to access, less than half found the accessibility of childcare facilities to be ‘very easy’.</w:t>
      </w:r>
    </w:p>
    <w:p w14:paraId="17E5F016" w14:textId="77777777" w:rsidR="00A27CF8" w:rsidRDefault="00C42843" w:rsidP="00A86BCC">
      <w:r w:rsidRPr="00C42843">
        <w:lastRenderedPageBreak/>
        <w:t xml:space="preserve">The vast majority of new arrivals (99% on average) reported that they had </w:t>
      </w:r>
      <w:r w:rsidRPr="00C42843">
        <w:rPr>
          <w:b/>
        </w:rPr>
        <w:t>used</w:t>
      </w:r>
      <w:r w:rsidRPr="00C42843">
        <w:t xml:space="preserve"> one or more </w:t>
      </w:r>
      <w:r w:rsidRPr="00C42843">
        <w:rPr>
          <w:b/>
        </w:rPr>
        <w:t>services and/or facilities</w:t>
      </w:r>
      <w:r w:rsidRPr="00C42843">
        <w:t xml:space="preserve"> that were available to them at their university or college. Usage of the range of services and facilities available to new arrivals at the university/college was quite variable and obviously dependent on individual needs</w:t>
      </w:r>
      <w:r>
        <w:t>.</w:t>
      </w:r>
    </w:p>
    <w:p w14:paraId="17E5F017" w14:textId="77777777" w:rsidR="00C42843" w:rsidRDefault="00C42843" w:rsidP="00C42843">
      <w:pPr>
        <w:pStyle w:val="Bullets"/>
        <w:rPr>
          <w:lang w:val="en-US"/>
        </w:rPr>
      </w:pPr>
      <w:r>
        <w:rPr>
          <w:lang w:val="en-US"/>
        </w:rPr>
        <w:t xml:space="preserve">In relation to </w:t>
      </w:r>
      <w:r>
        <w:rPr>
          <w:b/>
          <w:lang w:val="en-US"/>
        </w:rPr>
        <w:t>personal support services</w:t>
      </w:r>
      <w:r>
        <w:rPr>
          <w:lang w:val="en-US"/>
        </w:rPr>
        <w:t xml:space="preserve">, most new arrivals (around 80%) </w:t>
      </w:r>
      <w:r w:rsidR="0087319F">
        <w:rPr>
          <w:lang w:val="en-US"/>
        </w:rPr>
        <w:t xml:space="preserve">and ongoing students (around 85%) </w:t>
      </w:r>
      <w:r>
        <w:rPr>
          <w:lang w:val="en-US"/>
        </w:rPr>
        <w:t>had accessed the services of the s</w:t>
      </w:r>
      <w:r w:rsidRPr="000E68CC">
        <w:rPr>
          <w:lang w:val="en-US"/>
        </w:rPr>
        <w:t xml:space="preserve">tudent </w:t>
      </w:r>
      <w:r>
        <w:rPr>
          <w:lang w:val="en-US"/>
        </w:rPr>
        <w:t>c</w:t>
      </w:r>
      <w:r w:rsidRPr="000E68CC">
        <w:rPr>
          <w:lang w:val="en-US"/>
        </w:rPr>
        <w:t xml:space="preserve">ontact </w:t>
      </w:r>
      <w:r>
        <w:rPr>
          <w:lang w:val="en-US"/>
        </w:rPr>
        <w:t>o</w:t>
      </w:r>
      <w:r w:rsidRPr="000E68CC">
        <w:rPr>
          <w:lang w:val="en-US"/>
        </w:rPr>
        <w:t xml:space="preserve">fficer / AusAID </w:t>
      </w:r>
      <w:r>
        <w:rPr>
          <w:lang w:val="en-US"/>
        </w:rPr>
        <w:t>l</w:t>
      </w:r>
      <w:r w:rsidRPr="000E68CC">
        <w:rPr>
          <w:lang w:val="en-US"/>
        </w:rPr>
        <w:t xml:space="preserve">iaison </w:t>
      </w:r>
      <w:r>
        <w:rPr>
          <w:lang w:val="en-US"/>
        </w:rPr>
        <w:t>o</w:t>
      </w:r>
      <w:r w:rsidRPr="000E68CC">
        <w:rPr>
          <w:lang w:val="en-US"/>
        </w:rPr>
        <w:t>fficer</w:t>
      </w:r>
      <w:r>
        <w:rPr>
          <w:lang w:val="en-US"/>
        </w:rPr>
        <w:t>, with just over half accessing the international student support service. However, only around one in ten new arrivals reported that they had accessed a counseling service. The majority of new arrivals (between 70% and 90%) reported that the personal support services they had accessed was ’very useful’.</w:t>
      </w:r>
    </w:p>
    <w:p w14:paraId="17E5F018" w14:textId="77777777" w:rsidR="00C42843" w:rsidRDefault="00C42843" w:rsidP="00C42843">
      <w:pPr>
        <w:pStyle w:val="Bullets"/>
        <w:rPr>
          <w:lang w:val="en-US"/>
        </w:rPr>
      </w:pPr>
      <w:r>
        <w:rPr>
          <w:lang w:val="en-US"/>
        </w:rPr>
        <w:t xml:space="preserve">For </w:t>
      </w:r>
      <w:r>
        <w:rPr>
          <w:b/>
          <w:lang w:val="en-US"/>
        </w:rPr>
        <w:t>academic support services</w:t>
      </w:r>
      <w:r>
        <w:rPr>
          <w:lang w:val="en-US"/>
        </w:rPr>
        <w:t xml:space="preserve">, the majority of new arrivals used the library (around 90%) and computer facilities (around 80%), with around half </w:t>
      </w:r>
      <w:r w:rsidR="0087319F">
        <w:rPr>
          <w:lang w:val="en-US"/>
        </w:rPr>
        <w:t xml:space="preserve">of new arrivals and </w:t>
      </w:r>
      <w:r w:rsidR="001249BB">
        <w:rPr>
          <w:lang w:val="en-US"/>
        </w:rPr>
        <w:t>around 60%</w:t>
      </w:r>
      <w:r w:rsidR="0087319F">
        <w:rPr>
          <w:lang w:val="en-US"/>
        </w:rPr>
        <w:t xml:space="preserve"> of ongoing students </w:t>
      </w:r>
      <w:r>
        <w:rPr>
          <w:lang w:val="en-US"/>
        </w:rPr>
        <w:t xml:space="preserve">accessing academic skills services and help with computer skills. </w:t>
      </w:r>
      <w:r w:rsidR="001249BB">
        <w:rPr>
          <w:lang w:val="en-US"/>
        </w:rPr>
        <w:t>While b</w:t>
      </w:r>
      <w:r>
        <w:rPr>
          <w:lang w:val="en-US"/>
        </w:rPr>
        <w:t xml:space="preserve">etween 80% and 95% of </w:t>
      </w:r>
      <w:r w:rsidR="001249BB">
        <w:rPr>
          <w:lang w:val="en-US"/>
        </w:rPr>
        <w:t>students</w:t>
      </w:r>
      <w:r>
        <w:rPr>
          <w:lang w:val="en-US"/>
        </w:rPr>
        <w:t xml:space="preserve"> using </w:t>
      </w:r>
      <w:r w:rsidR="001249BB">
        <w:rPr>
          <w:lang w:val="en-US"/>
        </w:rPr>
        <w:t>the library and computer facilities</w:t>
      </w:r>
      <w:r>
        <w:rPr>
          <w:lang w:val="en-US"/>
        </w:rPr>
        <w:t xml:space="preserve"> reported that they were ‘very useful’</w:t>
      </w:r>
      <w:r w:rsidR="001249BB">
        <w:rPr>
          <w:lang w:val="en-US"/>
        </w:rPr>
        <w:t>, less ongoing students (between 60% and 70%) found academic skills services and help with computer skills to be ‘very useful’ than new arrivals (between 70% and 80%)</w:t>
      </w:r>
      <w:r>
        <w:rPr>
          <w:lang w:val="en-US"/>
        </w:rPr>
        <w:t>.</w:t>
      </w:r>
    </w:p>
    <w:p w14:paraId="17E5F019" w14:textId="77777777" w:rsidR="001249BB" w:rsidRDefault="001249BB" w:rsidP="00C42843">
      <w:pPr>
        <w:pStyle w:val="Bullets"/>
      </w:pPr>
      <w:r>
        <w:t>For</w:t>
      </w:r>
      <w:r w:rsidR="00C42843">
        <w:t xml:space="preserve"> </w:t>
      </w:r>
      <w:r w:rsidR="00C42843" w:rsidRPr="001249BB">
        <w:rPr>
          <w:b/>
        </w:rPr>
        <w:t>other support services</w:t>
      </w:r>
      <w:r w:rsidR="00C42843" w:rsidRPr="001249BB">
        <w:t>,</w:t>
      </w:r>
      <w:r w:rsidR="00C42843">
        <w:t xml:space="preserve"> </w:t>
      </w:r>
      <w:r>
        <w:t>more ongoing students (around 60%) used a health service than new arrivals (around one-third), whereas around the same proportion of new arrivals and ongoing students used help with finding accommodation (around one-third). Around three-quarters of students found the health service they had accessed to be ‘very useful’, however a higher proportion of new arrivals (between 50% and 60%) found help with finding accommodation to be ‘very useful’ than ongoing students (between 40% and 50%). Less than 10% of students used childcare facilities, financial advice and legal advice.</w:t>
      </w:r>
    </w:p>
    <w:p w14:paraId="17E5F01A" w14:textId="77777777" w:rsidR="00F5496A" w:rsidRDefault="00AB2DC9" w:rsidP="00F5496A">
      <w:r>
        <w:rPr>
          <w:lang w:val="en-US"/>
        </w:rPr>
        <w:t xml:space="preserve">Nearly all </w:t>
      </w:r>
      <w:r w:rsidR="0087319F">
        <w:rPr>
          <w:lang w:val="en-US"/>
        </w:rPr>
        <w:t>students (99%)</w:t>
      </w:r>
      <w:r>
        <w:rPr>
          <w:lang w:val="en-US"/>
        </w:rPr>
        <w:t xml:space="preserve"> were either ‘very satisfied’ or ‘moderately satisfied’ </w:t>
      </w:r>
      <w:r w:rsidRPr="00AB2DC9">
        <w:rPr>
          <w:b/>
          <w:lang w:val="en-US"/>
        </w:rPr>
        <w:t>overall</w:t>
      </w:r>
      <w:r>
        <w:rPr>
          <w:lang w:val="en-US"/>
        </w:rPr>
        <w:t xml:space="preserve"> with the </w:t>
      </w:r>
      <w:r w:rsidRPr="00AB2DC9">
        <w:rPr>
          <w:b/>
          <w:lang w:val="en-US"/>
        </w:rPr>
        <w:t>services and facilities</w:t>
      </w:r>
      <w:r>
        <w:rPr>
          <w:lang w:val="en-US"/>
        </w:rPr>
        <w:t xml:space="preserve"> available at their university or college</w:t>
      </w:r>
      <w:r w:rsidR="0087319F">
        <w:rPr>
          <w:lang w:val="en-US"/>
        </w:rPr>
        <w:t>, remaining steady</w:t>
      </w:r>
      <w:r>
        <w:rPr>
          <w:lang w:val="en-US"/>
        </w:rPr>
        <w:t>. Although the proportion of ongoing students ‘very satisfied’ was lower than that of new arrivals</w:t>
      </w:r>
      <w:r w:rsidR="0087319F">
        <w:rPr>
          <w:lang w:val="en-US"/>
        </w:rPr>
        <w:t xml:space="preserve"> (around 60% compared with just over two-thirds of new arrivals)</w:t>
      </w:r>
      <w:r>
        <w:rPr>
          <w:lang w:val="en-US"/>
        </w:rPr>
        <w:t>, this proportion has increased slightly between 2009 and 2011.</w:t>
      </w:r>
      <w:r w:rsidR="00F5496A">
        <w:rPr>
          <w:lang w:val="en-US"/>
        </w:rPr>
        <w:t xml:space="preserve"> </w:t>
      </w:r>
      <w:r w:rsidR="00F5496A">
        <w:t>Reasons provided by the minority of students (1%) for their ratings of ‘not satisfied’ included:</w:t>
      </w:r>
    </w:p>
    <w:p w14:paraId="17E5F01B" w14:textId="77777777" w:rsidR="00F5496A" w:rsidRPr="00A16A7A" w:rsidRDefault="00F5496A" w:rsidP="00F5496A">
      <w:pPr>
        <w:pStyle w:val="Bullets"/>
      </w:pPr>
      <w:r w:rsidRPr="00A16A7A">
        <w:t>difficulties in accessing or non-existence of particular services and/or facilities;</w:t>
      </w:r>
    </w:p>
    <w:p w14:paraId="17E5F01C" w14:textId="77777777" w:rsidR="00F5496A" w:rsidRPr="00A16A7A" w:rsidRDefault="00F5496A" w:rsidP="00F5496A">
      <w:pPr>
        <w:pStyle w:val="Bullets"/>
      </w:pPr>
      <w:r w:rsidRPr="00A16A7A">
        <w:t>some services and/or facilities were expensive to access (e.g. health service / sports facilities, computer and printing facilities); and</w:t>
      </w:r>
    </w:p>
    <w:p w14:paraId="17E5F01D" w14:textId="77777777" w:rsidR="0033711C" w:rsidRDefault="00F5496A" w:rsidP="00F5496A">
      <w:pPr>
        <w:pStyle w:val="Bullets"/>
      </w:pPr>
      <w:r w:rsidRPr="00A16A7A">
        <w:t>issues with the library facilities not keeping up with demand, in relation to the number and diversity of books.</w:t>
      </w:r>
    </w:p>
    <w:p w14:paraId="17E5F01E" w14:textId="77777777" w:rsidR="0033711C" w:rsidRDefault="0033711C">
      <w:pPr>
        <w:spacing w:before="0"/>
        <w:jc w:val="left"/>
        <w:rPr>
          <w:rFonts w:cs="Times New Roman"/>
        </w:rPr>
      </w:pPr>
      <w:r>
        <w:br w:type="page"/>
      </w:r>
    </w:p>
    <w:p w14:paraId="17E5F01F" w14:textId="77777777" w:rsidR="00744B2F" w:rsidRPr="00F60527" w:rsidRDefault="0087319F" w:rsidP="00744B2F">
      <w:pPr>
        <w:rPr>
          <w:lang w:val="en-US"/>
        </w:rPr>
      </w:pPr>
      <w:r>
        <w:rPr>
          <w:lang w:val="en-US"/>
        </w:rPr>
        <w:lastRenderedPageBreak/>
        <w:t>The majority of</w:t>
      </w:r>
      <w:r w:rsidR="00AB2DC9">
        <w:rPr>
          <w:lang w:val="en-US"/>
        </w:rPr>
        <w:t xml:space="preserve"> ongoing students (</w:t>
      </w:r>
      <w:r w:rsidR="00F5496A">
        <w:rPr>
          <w:lang w:val="en-US"/>
        </w:rPr>
        <w:t>93</w:t>
      </w:r>
      <w:r w:rsidR="00AB2DC9">
        <w:rPr>
          <w:lang w:val="en-US"/>
        </w:rPr>
        <w:t xml:space="preserve">%) reported that they still felt they had </w:t>
      </w:r>
      <w:r w:rsidR="00AB2DC9" w:rsidRPr="00AB2DC9">
        <w:rPr>
          <w:b/>
          <w:lang w:val="en-US"/>
        </w:rPr>
        <w:t>chosen the right course or research topic for them</w:t>
      </w:r>
      <w:r w:rsidR="00744B2F">
        <w:rPr>
          <w:lang w:val="en-US"/>
        </w:rPr>
        <w:t xml:space="preserve">. </w:t>
      </w:r>
      <w:r w:rsidR="00744B2F" w:rsidRPr="00F60527">
        <w:rPr>
          <w:lang w:val="en-US"/>
        </w:rPr>
        <w:t xml:space="preserve">Reasons provided by the minority of </w:t>
      </w:r>
      <w:r w:rsidR="00744B2F">
        <w:rPr>
          <w:lang w:val="en-US"/>
        </w:rPr>
        <w:t xml:space="preserve">ongoing </w:t>
      </w:r>
      <w:r w:rsidR="00744B2F" w:rsidRPr="00F60527">
        <w:rPr>
          <w:lang w:val="en-US"/>
        </w:rPr>
        <w:t>students who felt that they had not selected the right course or research topic for them included:</w:t>
      </w:r>
    </w:p>
    <w:p w14:paraId="17E5F020" w14:textId="77777777" w:rsidR="00744B2F" w:rsidRPr="00F60527" w:rsidRDefault="00744B2F" w:rsidP="00744B2F">
      <w:pPr>
        <w:pStyle w:val="Bullets"/>
      </w:pPr>
      <w:r w:rsidRPr="00F60527">
        <w:t>the course did not reflect their real interests, was not compatible with their existing qualifications, or did not match their abilities;</w:t>
      </w:r>
    </w:p>
    <w:p w14:paraId="17E5F021" w14:textId="77777777" w:rsidR="00744B2F" w:rsidRPr="00F60527" w:rsidRDefault="00744B2F" w:rsidP="00744B2F">
      <w:pPr>
        <w:pStyle w:val="Bullets"/>
      </w:pPr>
      <w:r>
        <w:t>students</w:t>
      </w:r>
      <w:r w:rsidRPr="00F60527">
        <w:t xml:space="preserve"> felt they had been restricted </w:t>
      </w:r>
      <w:r>
        <w:t>to a</w:t>
      </w:r>
      <w:r w:rsidRPr="00F60527">
        <w:t xml:space="preserve"> particular course they could choose (e.g.</w:t>
      </w:r>
      <w:r>
        <w:t> </w:t>
      </w:r>
      <w:r w:rsidRPr="00F60527">
        <w:t>by availability or other requirements);</w:t>
      </w:r>
    </w:p>
    <w:p w14:paraId="17E5F022" w14:textId="77777777" w:rsidR="00744B2F" w:rsidRPr="00F60527" w:rsidRDefault="00744B2F" w:rsidP="00744B2F">
      <w:pPr>
        <w:pStyle w:val="Bullets"/>
      </w:pPr>
      <w:r w:rsidRPr="00F60527">
        <w:t>the course w</w:t>
      </w:r>
      <w:r>
        <w:t>as not what they were expecting or</w:t>
      </w:r>
      <w:r w:rsidRPr="00F60527">
        <w:t xml:space="preserve"> they had received insufficient</w:t>
      </w:r>
      <w:r>
        <w:t xml:space="preserve"> or</w:t>
      </w:r>
      <w:r w:rsidRPr="00F60527">
        <w:t xml:space="preserve"> incorrect information to </w:t>
      </w:r>
      <w:r>
        <w:t xml:space="preserve">enable them to </w:t>
      </w:r>
      <w:r w:rsidRPr="00F60527">
        <w:t xml:space="preserve">select the right course; </w:t>
      </w:r>
    </w:p>
    <w:p w14:paraId="17E5F023" w14:textId="77777777" w:rsidR="00744B2F" w:rsidRPr="00F60527" w:rsidRDefault="00744B2F" w:rsidP="00744B2F">
      <w:pPr>
        <w:pStyle w:val="Bullets"/>
      </w:pPr>
      <w:r w:rsidRPr="00F60527">
        <w:t xml:space="preserve">the course type, level or duration was not according to their preference; </w:t>
      </w:r>
    </w:p>
    <w:p w14:paraId="17E5F024" w14:textId="77777777" w:rsidR="00744B2F" w:rsidRPr="00F60527" w:rsidRDefault="00744B2F" w:rsidP="00744B2F">
      <w:pPr>
        <w:pStyle w:val="Bullets"/>
      </w:pPr>
      <w:r w:rsidRPr="00F60527">
        <w:t>the course or research topic that they had originally selected ended up being altered;</w:t>
      </w:r>
    </w:p>
    <w:p w14:paraId="17E5F025" w14:textId="77777777" w:rsidR="00744B2F" w:rsidRPr="00F60527" w:rsidRDefault="00744B2F" w:rsidP="00744B2F">
      <w:pPr>
        <w:pStyle w:val="Bullets"/>
      </w:pPr>
      <w:r w:rsidRPr="00F60527">
        <w:t>the course was not fully suitable for their work or the needs in their home country;</w:t>
      </w:r>
    </w:p>
    <w:p w14:paraId="17E5F026" w14:textId="77777777" w:rsidR="00744B2F" w:rsidRPr="00F60527" w:rsidRDefault="00744B2F" w:rsidP="00744B2F">
      <w:pPr>
        <w:pStyle w:val="Bullets"/>
      </w:pPr>
      <w:r w:rsidRPr="00F60527">
        <w:t>the course was similar to studies they had already completed in their home country; and</w:t>
      </w:r>
    </w:p>
    <w:p w14:paraId="17E5F027" w14:textId="77777777" w:rsidR="0033711C" w:rsidRDefault="00744B2F" w:rsidP="00744B2F">
      <w:pPr>
        <w:pStyle w:val="Bullets"/>
      </w:pPr>
      <w:r w:rsidRPr="00F60527">
        <w:t>they found it difficult to cope with course requirements.</w:t>
      </w:r>
    </w:p>
    <w:p w14:paraId="17E5F028" w14:textId="77777777" w:rsidR="00744B2F" w:rsidRPr="00EC1720" w:rsidRDefault="00744B2F" w:rsidP="00744B2F">
      <w:r>
        <w:rPr>
          <w:lang w:val="en-US"/>
        </w:rPr>
        <w:t xml:space="preserve">The majority of ongoing students (91%) reported that they still felt </w:t>
      </w:r>
      <w:r w:rsidR="00AB2DC9">
        <w:rPr>
          <w:lang w:val="en-US"/>
        </w:rPr>
        <w:t xml:space="preserve">they had </w:t>
      </w:r>
      <w:r w:rsidR="00AB2DC9" w:rsidRPr="00AB2DC9">
        <w:rPr>
          <w:b/>
          <w:lang w:val="en-US"/>
        </w:rPr>
        <w:t>chosen the right university or college for them</w:t>
      </w:r>
      <w:r w:rsidR="00AB2DC9">
        <w:rPr>
          <w:lang w:val="en-US"/>
        </w:rPr>
        <w:t>, remaining consistent over the survey cycles.</w:t>
      </w:r>
      <w:r>
        <w:rPr>
          <w:lang w:val="en-US"/>
        </w:rPr>
        <w:t xml:space="preserve"> </w:t>
      </w:r>
      <w:r w:rsidRPr="00EC1720">
        <w:t xml:space="preserve">Reasons provided by the minority of </w:t>
      </w:r>
      <w:r>
        <w:t xml:space="preserve">ongoing </w:t>
      </w:r>
      <w:r w:rsidRPr="00EC1720">
        <w:t>students who felt they had not selected the right university or college included:</w:t>
      </w:r>
    </w:p>
    <w:p w14:paraId="17E5F029" w14:textId="77777777" w:rsidR="00744B2F" w:rsidRPr="00EC1720" w:rsidRDefault="00744B2F" w:rsidP="00744B2F">
      <w:pPr>
        <w:pStyle w:val="Bullets"/>
      </w:pPr>
      <w:r w:rsidRPr="00EC1720">
        <w:t xml:space="preserve">limited or poor facilities, </w:t>
      </w:r>
      <w:r>
        <w:t xml:space="preserve">poor staff availability, quality and/or </w:t>
      </w:r>
      <w:r w:rsidRPr="00EC1720">
        <w:t>expertise;</w:t>
      </w:r>
    </w:p>
    <w:p w14:paraId="17E5F02A" w14:textId="77777777" w:rsidR="00744B2F" w:rsidRPr="00EC1720" w:rsidRDefault="00744B2F" w:rsidP="00744B2F">
      <w:pPr>
        <w:pStyle w:val="Bullets"/>
      </w:pPr>
      <w:r w:rsidRPr="00EC1720">
        <w:t>desired courses/subjects were available or offered to a higher quality by other institutions;</w:t>
      </w:r>
    </w:p>
    <w:p w14:paraId="17E5F02B" w14:textId="77777777" w:rsidR="00744B2F" w:rsidRPr="00EC1720" w:rsidRDefault="00744B2F" w:rsidP="00744B2F">
      <w:pPr>
        <w:pStyle w:val="Bullets"/>
      </w:pPr>
      <w:r w:rsidRPr="00EC1720">
        <w:t>problems related to campus location (e.g. the cost of living, accommodation difficulties, weather);</w:t>
      </w:r>
    </w:p>
    <w:p w14:paraId="17E5F02C" w14:textId="77777777" w:rsidR="00744B2F" w:rsidRPr="00EC1720" w:rsidRDefault="00744B2F" w:rsidP="00744B2F">
      <w:pPr>
        <w:pStyle w:val="Bullets"/>
      </w:pPr>
      <w:r w:rsidRPr="00EC1720">
        <w:t>desired type of course or fieldwork / practical opportunities were not adequately offered by their institution;</w:t>
      </w:r>
    </w:p>
    <w:p w14:paraId="17E5F02D" w14:textId="77777777" w:rsidR="00744B2F" w:rsidRPr="00EC1720" w:rsidRDefault="00744B2F" w:rsidP="00744B2F">
      <w:pPr>
        <w:pStyle w:val="Bullets"/>
      </w:pPr>
      <w:r w:rsidRPr="00EC1720">
        <w:t>the learning experience did not meet student expectations — students felt they had received insufficient or incorrect information when selecting this institution, or felt they had no choice in their selection of institution;</w:t>
      </w:r>
    </w:p>
    <w:p w14:paraId="17E5F02E" w14:textId="77777777" w:rsidR="00744B2F" w:rsidRPr="00EC1720" w:rsidRDefault="00744B2F" w:rsidP="00744B2F">
      <w:pPr>
        <w:pStyle w:val="Bullets"/>
      </w:pPr>
      <w:r w:rsidRPr="00EC1720">
        <w:t>difficulties experienced in coping with university requirements or workloads; and</w:t>
      </w:r>
    </w:p>
    <w:p w14:paraId="17E5F02F" w14:textId="77777777" w:rsidR="00744B2F" w:rsidRDefault="00744B2F" w:rsidP="00744B2F">
      <w:pPr>
        <w:pStyle w:val="Bullets"/>
      </w:pPr>
      <w:r>
        <w:t>unforeseen changes affecting</w:t>
      </w:r>
      <w:r w:rsidRPr="00EC1720">
        <w:t xml:space="preserve"> their studies, such as supervisor leaving or the course subjects </w:t>
      </w:r>
      <w:r>
        <w:t xml:space="preserve">being </w:t>
      </w:r>
      <w:r w:rsidRPr="00EC1720">
        <w:t>changed after commencing</w:t>
      </w:r>
      <w:r>
        <w:t xml:space="preserve"> their studies</w:t>
      </w:r>
      <w:r w:rsidRPr="00EC1720">
        <w:t>.</w:t>
      </w:r>
    </w:p>
    <w:p w14:paraId="17E5F030" w14:textId="77777777" w:rsidR="00744B2F" w:rsidRDefault="00AB2DC9" w:rsidP="00744B2F">
      <w:r>
        <w:t>Nearly all ongoing students</w:t>
      </w:r>
      <w:r w:rsidRPr="0007786B">
        <w:t xml:space="preserve"> </w:t>
      </w:r>
      <w:r>
        <w:t xml:space="preserve">(99%) consistently rated the </w:t>
      </w:r>
      <w:r w:rsidRPr="00AB2DC9">
        <w:rPr>
          <w:b/>
        </w:rPr>
        <w:t>overall quality of their university or college</w:t>
      </w:r>
      <w:r w:rsidR="00744B2F">
        <w:t xml:space="preserve"> as either ‘high’ or ‘medium’. </w:t>
      </w:r>
      <w:r w:rsidR="00744B2F" w:rsidRPr="004D7E9D">
        <w:t xml:space="preserve">Reasons provided by </w:t>
      </w:r>
      <w:r w:rsidR="00744B2F">
        <w:t xml:space="preserve">the minority of </w:t>
      </w:r>
      <w:r w:rsidR="00A75B39">
        <w:t>students</w:t>
      </w:r>
      <w:r w:rsidR="00744B2F">
        <w:t xml:space="preserve"> who rated </w:t>
      </w:r>
      <w:r w:rsidR="00744B2F" w:rsidRPr="00A75B39">
        <w:t>the overall quality of their university or college as ‘low’</w:t>
      </w:r>
      <w:r w:rsidR="00744B2F">
        <w:t xml:space="preserve"> </w:t>
      </w:r>
      <w:r w:rsidR="00744B2F" w:rsidRPr="004D7E9D">
        <w:t>included:</w:t>
      </w:r>
    </w:p>
    <w:p w14:paraId="17E5F031" w14:textId="77777777" w:rsidR="00744B2F" w:rsidRDefault="00744B2F" w:rsidP="00744B2F">
      <w:pPr>
        <w:pStyle w:val="Bullets"/>
      </w:pPr>
      <w:r>
        <w:t>poor facilities;</w:t>
      </w:r>
    </w:p>
    <w:p w14:paraId="17E5F032" w14:textId="77777777" w:rsidR="00744B2F" w:rsidRDefault="00744B2F" w:rsidP="00744B2F">
      <w:pPr>
        <w:pStyle w:val="Bullets"/>
      </w:pPr>
      <w:r>
        <w:t>course content and delivery were not meeting expectations;</w:t>
      </w:r>
    </w:p>
    <w:p w14:paraId="17E5F033" w14:textId="77777777" w:rsidR="00744B2F" w:rsidRDefault="00744B2F" w:rsidP="00744B2F">
      <w:pPr>
        <w:pStyle w:val="Bullets"/>
      </w:pPr>
      <w:r>
        <w:t>lack of support; and</w:t>
      </w:r>
    </w:p>
    <w:p w14:paraId="17E5F034" w14:textId="77777777" w:rsidR="00744B2F" w:rsidRPr="00EC1720" w:rsidRDefault="00744B2F" w:rsidP="00744B2F">
      <w:pPr>
        <w:pStyle w:val="Bullets"/>
      </w:pPr>
      <w:r>
        <w:t>limited choice of elective courses.</w:t>
      </w:r>
    </w:p>
    <w:p w14:paraId="17E5F035" w14:textId="77777777" w:rsidR="00A75B39" w:rsidRPr="003B7577" w:rsidRDefault="00AB2DC9" w:rsidP="00A75B39">
      <w:r>
        <w:lastRenderedPageBreak/>
        <w:t xml:space="preserve">Nearly all ongoing students (98%) consistently rated the </w:t>
      </w:r>
      <w:r w:rsidRPr="00AB2DC9">
        <w:rPr>
          <w:b/>
        </w:rPr>
        <w:t>quality of their course or research supervision</w:t>
      </w:r>
      <w:r>
        <w:t xml:space="preserve"> as either ‘high’ or</w:t>
      </w:r>
      <w:r w:rsidR="00744B2F">
        <w:t xml:space="preserve"> ‘medium’.</w:t>
      </w:r>
      <w:r w:rsidR="00A75B39">
        <w:t xml:space="preserve"> Reasons provided by the minority of students who </w:t>
      </w:r>
      <w:r w:rsidR="00A75B39" w:rsidRPr="00A75B39">
        <w:t>rated the quality of their course or research supervision as</w:t>
      </w:r>
      <w:r w:rsidR="00A75B39">
        <w:t xml:space="preserve"> ‘low’ </w:t>
      </w:r>
      <w:r w:rsidR="00A75B39" w:rsidRPr="003B7577">
        <w:t>included:</w:t>
      </w:r>
    </w:p>
    <w:p w14:paraId="17E5F036" w14:textId="77777777" w:rsidR="00A75B39" w:rsidRPr="003B7577" w:rsidRDefault="00A75B39" w:rsidP="00A75B39">
      <w:pPr>
        <w:pStyle w:val="Bullets"/>
      </w:pPr>
      <w:r w:rsidRPr="003B7577">
        <w:t>course content and delivery were not meeting expectations;</w:t>
      </w:r>
    </w:p>
    <w:p w14:paraId="17E5F037" w14:textId="77777777" w:rsidR="00A75B39" w:rsidRDefault="00A75B39" w:rsidP="00A75B39">
      <w:pPr>
        <w:pStyle w:val="Bullets"/>
      </w:pPr>
      <w:r>
        <w:t>lack of support; and</w:t>
      </w:r>
    </w:p>
    <w:p w14:paraId="17E5F038" w14:textId="77777777" w:rsidR="0033711C" w:rsidRDefault="00A75B39" w:rsidP="00A75B39">
      <w:pPr>
        <w:pStyle w:val="Bullets"/>
      </w:pPr>
      <w:r>
        <w:t>class sizes being too large.</w:t>
      </w:r>
    </w:p>
    <w:p w14:paraId="17E5F039" w14:textId="77777777" w:rsidR="00A75B39" w:rsidRDefault="00AB2DC9" w:rsidP="00A75B39">
      <w:pPr>
        <w:rPr>
          <w:lang w:val="en-US"/>
        </w:rPr>
      </w:pPr>
      <w:r>
        <w:t xml:space="preserve">Nearly all ongoing students (95%) reported the </w:t>
      </w:r>
      <w:r w:rsidRPr="00AB2DC9">
        <w:rPr>
          <w:b/>
        </w:rPr>
        <w:t>theoretical and practical knowledge</w:t>
      </w:r>
      <w:r w:rsidRPr="0007786B">
        <w:t xml:space="preserve"> provided by </w:t>
      </w:r>
      <w:r>
        <w:t>their course/</w:t>
      </w:r>
      <w:r w:rsidRPr="0007786B">
        <w:t>research</w:t>
      </w:r>
      <w:r>
        <w:t xml:space="preserve"> was ‘very well balanced’ or ‘moderately well balanced’</w:t>
      </w:r>
      <w:r w:rsidR="001703C8">
        <w:t>.</w:t>
      </w:r>
      <w:r w:rsidR="00A75B39">
        <w:t xml:space="preserve"> Reasons provided by students for providing a rating of ‘not satisfied’ included</w:t>
      </w:r>
      <w:r w:rsidR="00A75B39">
        <w:rPr>
          <w:lang w:val="en-US"/>
        </w:rPr>
        <w:t>:</w:t>
      </w:r>
    </w:p>
    <w:p w14:paraId="17E5F03A" w14:textId="77777777" w:rsidR="00A75B39" w:rsidRDefault="00A75B39" w:rsidP="00A75B39">
      <w:pPr>
        <w:pStyle w:val="Bullets"/>
        <w:rPr>
          <w:lang w:val="en-US"/>
        </w:rPr>
      </w:pPr>
      <w:r>
        <w:rPr>
          <w:lang w:val="en-US"/>
        </w:rPr>
        <w:t>discrepancies between the expected and actual balance of</w:t>
      </w:r>
      <w:r w:rsidRPr="0011784B">
        <w:rPr>
          <w:lang w:val="en-US"/>
        </w:rPr>
        <w:t xml:space="preserve"> theoretical and practical knowledge provided by </w:t>
      </w:r>
      <w:r>
        <w:rPr>
          <w:lang w:val="en-US"/>
        </w:rPr>
        <w:t xml:space="preserve">the </w:t>
      </w:r>
      <w:r w:rsidRPr="0011784B">
        <w:rPr>
          <w:lang w:val="en-US"/>
        </w:rPr>
        <w:t>course or research</w:t>
      </w:r>
      <w:r>
        <w:rPr>
          <w:lang w:val="en-US"/>
        </w:rPr>
        <w:t xml:space="preserve"> (i.e. too much theory or too much practical application);</w:t>
      </w:r>
    </w:p>
    <w:p w14:paraId="17E5F03B" w14:textId="77777777" w:rsidR="00A75B39" w:rsidRDefault="00A75B39" w:rsidP="00A75B39">
      <w:pPr>
        <w:pStyle w:val="Bullets"/>
        <w:rPr>
          <w:lang w:val="en-US"/>
        </w:rPr>
      </w:pPr>
      <w:r>
        <w:rPr>
          <w:lang w:val="en-US"/>
        </w:rPr>
        <w:t>a lack of practical work experience amongst academic staff, leading to difficulties in knowing how the gained knowledge could be applied in practice;</w:t>
      </w:r>
    </w:p>
    <w:p w14:paraId="17E5F03C" w14:textId="77777777" w:rsidR="00A75B39" w:rsidRDefault="00A75B39" w:rsidP="00A75B39">
      <w:pPr>
        <w:pStyle w:val="Bullets"/>
        <w:rPr>
          <w:lang w:val="en-US"/>
        </w:rPr>
      </w:pPr>
      <w:r>
        <w:rPr>
          <w:lang w:val="en-US"/>
        </w:rPr>
        <w:t>the course included examples that were Australian-specific (e.g. taxation law); and</w:t>
      </w:r>
    </w:p>
    <w:p w14:paraId="17E5F03D" w14:textId="77777777" w:rsidR="00A75B39" w:rsidRPr="008D00EF" w:rsidRDefault="00A75B39" w:rsidP="00A75B39">
      <w:pPr>
        <w:pStyle w:val="Bullets"/>
        <w:rPr>
          <w:lang w:val="en-US"/>
        </w:rPr>
      </w:pPr>
      <w:r w:rsidRPr="0011784B">
        <w:rPr>
          <w:lang w:val="en-US"/>
        </w:rPr>
        <w:t>a lack of opportunity to apply their theoretical knowled</w:t>
      </w:r>
      <w:r>
        <w:rPr>
          <w:lang w:val="en-US"/>
        </w:rPr>
        <w:t>ge as part of their study (e.g. </w:t>
      </w:r>
      <w:r w:rsidRPr="0011784B">
        <w:rPr>
          <w:lang w:val="en-US"/>
        </w:rPr>
        <w:t>via internships)</w:t>
      </w:r>
      <w:r>
        <w:rPr>
          <w:lang w:val="en-US"/>
        </w:rPr>
        <w:t>.</w:t>
      </w:r>
    </w:p>
    <w:p w14:paraId="17E5F03E" w14:textId="77777777" w:rsidR="00AB2DC9" w:rsidRPr="001703C8" w:rsidRDefault="00AB2DC9" w:rsidP="0033711C">
      <w:pPr>
        <w:pStyle w:val="Heading1"/>
        <w:spacing w:before="480"/>
      </w:pPr>
      <w:bookmarkStart w:id="9" w:name="_Toc329685061"/>
      <w:r w:rsidRPr="001703C8">
        <w:t>Studying and living in Australia</w:t>
      </w:r>
      <w:bookmarkEnd w:id="9"/>
    </w:p>
    <w:p w14:paraId="17E5F03F" w14:textId="77777777" w:rsidR="00A27CF8" w:rsidRDefault="00800969" w:rsidP="00A86BCC">
      <w:r>
        <w:rPr>
          <w:lang w:val="en-US"/>
        </w:rPr>
        <w:t xml:space="preserve">Around 85% of students </w:t>
      </w:r>
      <w:r w:rsidR="000B2B41">
        <w:rPr>
          <w:lang w:val="en-US"/>
        </w:rPr>
        <w:t xml:space="preserve">reported that they encountered one or more </w:t>
      </w:r>
      <w:r w:rsidR="000B2B41" w:rsidRPr="001703C8">
        <w:rPr>
          <w:b/>
          <w:lang w:val="en-US"/>
        </w:rPr>
        <w:t>issues in relation to their studies</w:t>
      </w:r>
      <w:r w:rsidR="000B2B41">
        <w:rPr>
          <w:lang w:val="en-US"/>
        </w:rPr>
        <w:t xml:space="preserve"> whilst in Australia.</w:t>
      </w:r>
    </w:p>
    <w:bookmarkEnd w:id="0"/>
    <w:bookmarkEnd w:id="1"/>
    <w:bookmarkEnd w:id="2"/>
    <w:bookmarkEnd w:id="3"/>
    <w:p w14:paraId="17E5F040" w14:textId="77777777" w:rsidR="000B2B41" w:rsidRDefault="000B2B41" w:rsidP="000B2B41">
      <w:pPr>
        <w:pStyle w:val="Bullets"/>
        <w:rPr>
          <w:lang w:val="en-US"/>
        </w:rPr>
      </w:pPr>
      <w:r>
        <w:rPr>
          <w:lang w:val="en-US"/>
        </w:rPr>
        <w:t xml:space="preserve">Of the </w:t>
      </w:r>
      <w:r>
        <w:rPr>
          <w:b/>
          <w:lang w:val="en-US"/>
        </w:rPr>
        <w:t xml:space="preserve">study skills </w:t>
      </w:r>
      <w:r>
        <w:rPr>
          <w:lang w:val="en-US"/>
        </w:rPr>
        <w:t xml:space="preserve">issues encountered by new arrivals, the most commonly faced issue was in relation to general study skills (faced by around half of new arrivals </w:t>
      </w:r>
      <w:r w:rsidR="001249BB">
        <w:rPr>
          <w:lang w:val="en-US"/>
        </w:rPr>
        <w:t>and around 30% of ongoing students</w:t>
      </w:r>
      <w:r>
        <w:rPr>
          <w:lang w:val="en-US"/>
        </w:rPr>
        <w:t>). Other more commonly faced study skills issues were in relation to managing time and understanding or using English, encountered by between 30% and 40% of new arrivals</w:t>
      </w:r>
      <w:r w:rsidR="001249BB">
        <w:rPr>
          <w:lang w:val="en-US"/>
        </w:rPr>
        <w:t xml:space="preserve"> and between 20% and 30% of ongoing students</w:t>
      </w:r>
      <w:r>
        <w:rPr>
          <w:lang w:val="en-US"/>
        </w:rPr>
        <w:t xml:space="preserve">. Between 20% and 40% of students who encountered issues in relation to </w:t>
      </w:r>
      <w:r w:rsidR="001249BB">
        <w:rPr>
          <w:lang w:val="en-US"/>
        </w:rPr>
        <w:t xml:space="preserve">general </w:t>
      </w:r>
      <w:r>
        <w:rPr>
          <w:lang w:val="en-US"/>
        </w:rPr>
        <w:t>study skills reported that these issues had a ‘major effect’ on them.</w:t>
      </w:r>
    </w:p>
    <w:p w14:paraId="17E5F041" w14:textId="77777777" w:rsidR="000B2B41" w:rsidRDefault="000B2B41" w:rsidP="000B2B41">
      <w:pPr>
        <w:pStyle w:val="Bullets"/>
      </w:pPr>
      <w:r>
        <w:t xml:space="preserve">While </w:t>
      </w:r>
      <w:r>
        <w:rPr>
          <w:b/>
        </w:rPr>
        <w:t>interacting with others</w:t>
      </w:r>
      <w:r>
        <w:t xml:space="preserve">, most new arrivals encountered issues in participating in class discussions (faced by around one-third of new arrivals </w:t>
      </w:r>
      <w:r w:rsidR="001249BB">
        <w:t>and just under 30% of ongoing students</w:t>
      </w:r>
      <w:r>
        <w:t xml:space="preserve">). Around 20% of </w:t>
      </w:r>
      <w:r w:rsidR="001249BB">
        <w:t>students</w:t>
      </w:r>
      <w:r>
        <w:t xml:space="preserve"> had issues in working with classmates not from their home country and around 10% had issues approaching teachers and other staff. Between 10% and 30% of </w:t>
      </w:r>
      <w:r w:rsidR="001249BB">
        <w:t>students</w:t>
      </w:r>
      <w:r>
        <w:t xml:space="preserve"> that faced issues interacting with others reported that it had a ‘major effect’ on them.</w:t>
      </w:r>
    </w:p>
    <w:p w14:paraId="17E5F042" w14:textId="77777777" w:rsidR="000B2B41" w:rsidRPr="0023361D" w:rsidRDefault="001249BB" w:rsidP="000B2B41">
      <w:pPr>
        <w:pStyle w:val="Bullets"/>
      </w:pPr>
      <w:r>
        <w:t xml:space="preserve">A greater proportion of </w:t>
      </w:r>
      <w:r w:rsidR="000B2B41">
        <w:t xml:space="preserve">new arrivals </w:t>
      </w:r>
      <w:r>
        <w:t xml:space="preserve">(around 10%) </w:t>
      </w:r>
      <w:r w:rsidR="000B2B41">
        <w:t xml:space="preserve">faced issues in </w:t>
      </w:r>
      <w:r w:rsidR="000B2B41" w:rsidRPr="001703C8">
        <w:rPr>
          <w:b/>
        </w:rPr>
        <w:t>navigating to, from and around their campus</w:t>
      </w:r>
      <w:r>
        <w:t>, compared with around 2% of ongoing students</w:t>
      </w:r>
      <w:r w:rsidR="000B2B41">
        <w:t xml:space="preserve">. These navigation issues had a ‘major effect’ on around 10% of </w:t>
      </w:r>
      <w:r>
        <w:t>students</w:t>
      </w:r>
      <w:r w:rsidR="000B2B41">
        <w:t xml:space="preserve"> (apart from the AS2 2009 survey, where around one-third reported that the issue in finding their way to and from the campus had a ‘major effect’ on them).</w:t>
      </w:r>
    </w:p>
    <w:p w14:paraId="17E5F043" w14:textId="77777777" w:rsidR="0033711C" w:rsidRDefault="00800969" w:rsidP="0033711C">
      <w:pPr>
        <w:rPr>
          <w:lang w:val="en-US"/>
        </w:rPr>
      </w:pPr>
      <w:r>
        <w:rPr>
          <w:lang w:val="en-US"/>
        </w:rPr>
        <w:lastRenderedPageBreak/>
        <w:t>A greater proportion of new arrivals (b</w:t>
      </w:r>
      <w:r w:rsidR="000B2B41">
        <w:rPr>
          <w:lang w:val="en-US"/>
        </w:rPr>
        <w:t>etween 50% and 60%</w:t>
      </w:r>
      <w:r>
        <w:rPr>
          <w:lang w:val="en-US"/>
        </w:rPr>
        <w:t>)</w:t>
      </w:r>
      <w:r w:rsidR="000B2B41">
        <w:rPr>
          <w:lang w:val="en-US"/>
        </w:rPr>
        <w:t xml:space="preserve"> of new arrivals had </w:t>
      </w:r>
      <w:r w:rsidR="000B2B41" w:rsidRPr="000B2B41">
        <w:rPr>
          <w:b/>
          <w:lang w:val="en-US"/>
        </w:rPr>
        <w:t>issues in relation to finding accommodation of acceptable type and quality</w:t>
      </w:r>
      <w:r>
        <w:rPr>
          <w:lang w:val="en-US"/>
        </w:rPr>
        <w:t>, compared with around 40% of ongoing students. B</w:t>
      </w:r>
      <w:r w:rsidR="000B2B41">
        <w:rPr>
          <w:lang w:val="en-US"/>
        </w:rPr>
        <w:t xml:space="preserve">etween 40% and 50% of these </w:t>
      </w:r>
      <w:r>
        <w:rPr>
          <w:lang w:val="en-US"/>
        </w:rPr>
        <w:t xml:space="preserve">students </w:t>
      </w:r>
      <w:r w:rsidR="000B2B41">
        <w:rPr>
          <w:lang w:val="en-US"/>
        </w:rPr>
        <w:t>report</w:t>
      </w:r>
      <w:r>
        <w:rPr>
          <w:lang w:val="en-US"/>
        </w:rPr>
        <w:t>ed</w:t>
      </w:r>
      <w:r w:rsidR="000B2B41">
        <w:rPr>
          <w:lang w:val="en-US"/>
        </w:rPr>
        <w:t xml:space="preserve"> that this </w:t>
      </w:r>
      <w:r>
        <w:rPr>
          <w:lang w:val="en-US"/>
        </w:rPr>
        <w:t xml:space="preserve">accommodation </w:t>
      </w:r>
      <w:r w:rsidR="000B2B41">
        <w:rPr>
          <w:lang w:val="en-US"/>
        </w:rPr>
        <w:t>issue had a ‘major effect’ on them</w:t>
      </w:r>
      <w:r>
        <w:rPr>
          <w:lang w:val="en-US"/>
        </w:rPr>
        <w:t>, and this effect has been declining.</w:t>
      </w:r>
    </w:p>
    <w:p w14:paraId="17E5F044" w14:textId="77777777" w:rsidR="000B2B41" w:rsidRDefault="009D059C" w:rsidP="00A86BCC">
      <w:r>
        <w:rPr>
          <w:lang w:val="en-US"/>
        </w:rPr>
        <w:t>Around 90% of</w:t>
      </w:r>
      <w:r w:rsidRPr="000E68CC">
        <w:rPr>
          <w:lang w:val="en-US"/>
        </w:rPr>
        <w:t xml:space="preserve"> </w:t>
      </w:r>
      <w:r>
        <w:rPr>
          <w:lang w:val="en-US"/>
        </w:rPr>
        <w:t>students reported</w:t>
      </w:r>
      <w:r w:rsidRPr="000E68CC">
        <w:rPr>
          <w:lang w:val="en-US"/>
        </w:rPr>
        <w:t xml:space="preserve"> that they encounter</w:t>
      </w:r>
      <w:r>
        <w:rPr>
          <w:lang w:val="en-US"/>
        </w:rPr>
        <w:t>ed</w:t>
      </w:r>
      <w:r w:rsidRPr="000E68CC">
        <w:rPr>
          <w:lang w:val="en-US"/>
        </w:rPr>
        <w:t xml:space="preserve"> </w:t>
      </w:r>
      <w:r>
        <w:rPr>
          <w:lang w:val="en-US"/>
        </w:rPr>
        <w:t>one or more</w:t>
      </w:r>
      <w:r w:rsidRPr="000E68CC">
        <w:rPr>
          <w:lang w:val="en-US"/>
        </w:rPr>
        <w:t xml:space="preserve"> </w:t>
      </w:r>
      <w:r w:rsidRPr="001703C8">
        <w:rPr>
          <w:b/>
          <w:lang w:val="en-US"/>
        </w:rPr>
        <w:t>financial issues</w:t>
      </w:r>
      <w:r>
        <w:rPr>
          <w:lang w:val="en-US"/>
        </w:rPr>
        <w:t>.</w:t>
      </w:r>
    </w:p>
    <w:p w14:paraId="17E5F045" w14:textId="77777777" w:rsidR="009D059C" w:rsidRDefault="009D059C" w:rsidP="00800969">
      <w:pPr>
        <w:pStyle w:val="Bullets"/>
      </w:pPr>
      <w:r>
        <w:rPr>
          <w:lang w:val="en-US"/>
        </w:rPr>
        <w:t xml:space="preserve">The most common issue encountered by </w:t>
      </w:r>
      <w:r w:rsidR="00800969">
        <w:rPr>
          <w:lang w:val="en-US"/>
        </w:rPr>
        <w:t>students</w:t>
      </w:r>
      <w:r>
        <w:rPr>
          <w:lang w:val="en-US"/>
        </w:rPr>
        <w:t xml:space="preserve"> was in relation to </w:t>
      </w:r>
      <w:r w:rsidRPr="009D059C">
        <w:rPr>
          <w:b/>
          <w:lang w:val="en-US"/>
        </w:rPr>
        <w:t>finding affordable accommodation</w:t>
      </w:r>
      <w:r>
        <w:rPr>
          <w:lang w:val="en-US"/>
        </w:rPr>
        <w:t>, which was faced by between 50% and 60% of new arrivals</w:t>
      </w:r>
      <w:r w:rsidR="00800969">
        <w:rPr>
          <w:lang w:val="en-US"/>
        </w:rPr>
        <w:t xml:space="preserve"> and around 50% of ongoing students</w:t>
      </w:r>
      <w:r>
        <w:rPr>
          <w:lang w:val="en-US"/>
        </w:rPr>
        <w:t xml:space="preserve">. </w:t>
      </w:r>
      <w:r w:rsidR="00800969">
        <w:rPr>
          <w:lang w:val="en-US"/>
        </w:rPr>
        <w:t xml:space="preserve">Although the proportion of new arrivals (between 40% and 60%) reporting </w:t>
      </w:r>
      <w:r>
        <w:rPr>
          <w:lang w:val="en-US"/>
        </w:rPr>
        <w:t>that this issue had a ‘major effect’ on them</w:t>
      </w:r>
      <w:r w:rsidR="00800969">
        <w:rPr>
          <w:lang w:val="en-US"/>
        </w:rPr>
        <w:t xml:space="preserve"> was higher than ongoing students (around 45%)</w:t>
      </w:r>
      <w:r>
        <w:rPr>
          <w:lang w:val="en-US"/>
        </w:rPr>
        <w:t xml:space="preserve">, </w:t>
      </w:r>
      <w:r w:rsidR="00800969">
        <w:rPr>
          <w:lang w:val="en-US"/>
        </w:rPr>
        <w:t xml:space="preserve">this effect has been </w:t>
      </w:r>
      <w:r>
        <w:rPr>
          <w:lang w:val="en-US"/>
        </w:rPr>
        <w:t xml:space="preserve">steadily declining </w:t>
      </w:r>
      <w:r w:rsidR="00800969">
        <w:rPr>
          <w:lang w:val="en-US"/>
        </w:rPr>
        <w:t>for new arrivals</w:t>
      </w:r>
      <w:r>
        <w:rPr>
          <w:lang w:val="en-US"/>
        </w:rPr>
        <w:t>.</w:t>
      </w:r>
    </w:p>
    <w:p w14:paraId="17E5F046" w14:textId="77777777" w:rsidR="00385108" w:rsidRDefault="009D059C" w:rsidP="009D059C">
      <w:pPr>
        <w:pStyle w:val="Bullets"/>
        <w:rPr>
          <w:lang w:val="en-US"/>
        </w:rPr>
      </w:pPr>
      <w:r w:rsidRPr="00385108">
        <w:rPr>
          <w:lang w:val="en-US"/>
        </w:rPr>
        <w:t xml:space="preserve">The </w:t>
      </w:r>
      <w:r w:rsidRPr="00385108">
        <w:rPr>
          <w:b/>
          <w:lang w:val="en-US"/>
        </w:rPr>
        <w:t>cost of living</w:t>
      </w:r>
      <w:r w:rsidRPr="00385108">
        <w:rPr>
          <w:lang w:val="en-US"/>
        </w:rPr>
        <w:t xml:space="preserve"> was also a common issue faced by between 50% and 60% of new arrivals</w:t>
      </w:r>
      <w:r w:rsidR="00800969" w:rsidRPr="00385108">
        <w:rPr>
          <w:lang w:val="en-US"/>
        </w:rPr>
        <w:t xml:space="preserve"> and ongoing students</w:t>
      </w:r>
      <w:r w:rsidRPr="00385108">
        <w:rPr>
          <w:lang w:val="en-US"/>
        </w:rPr>
        <w:t xml:space="preserve">. </w:t>
      </w:r>
      <w:r w:rsidR="00385108" w:rsidRPr="00385108">
        <w:rPr>
          <w:lang w:val="en-US"/>
        </w:rPr>
        <w:t>Although a greater proportion of ongoing students</w:t>
      </w:r>
      <w:r w:rsidRPr="00385108">
        <w:rPr>
          <w:lang w:val="en-US"/>
        </w:rPr>
        <w:t xml:space="preserve"> </w:t>
      </w:r>
      <w:r w:rsidR="00385108">
        <w:rPr>
          <w:lang w:val="en-US"/>
        </w:rPr>
        <w:t xml:space="preserve">(between 45% and 50%) </w:t>
      </w:r>
      <w:r w:rsidRPr="00385108">
        <w:rPr>
          <w:lang w:val="en-US"/>
        </w:rPr>
        <w:t>encountering this issue reported that it had a ‘major effect’ on them</w:t>
      </w:r>
      <w:r w:rsidR="00385108">
        <w:rPr>
          <w:lang w:val="en-US"/>
        </w:rPr>
        <w:t xml:space="preserve"> than new arrivals (between 30% and 50%)</w:t>
      </w:r>
      <w:r w:rsidRPr="00385108">
        <w:rPr>
          <w:lang w:val="en-US"/>
        </w:rPr>
        <w:t xml:space="preserve">, </w:t>
      </w:r>
      <w:r w:rsidR="00385108">
        <w:rPr>
          <w:lang w:val="en-US"/>
        </w:rPr>
        <w:t>these proportions have been steadily decreasing.</w:t>
      </w:r>
    </w:p>
    <w:p w14:paraId="17E5F047" w14:textId="77777777" w:rsidR="0033711C" w:rsidRDefault="009D059C" w:rsidP="009D059C">
      <w:pPr>
        <w:pStyle w:val="Bullets"/>
        <w:rPr>
          <w:lang w:val="en-US"/>
        </w:rPr>
      </w:pPr>
      <w:r>
        <w:rPr>
          <w:lang w:val="en-US"/>
        </w:rPr>
        <w:t xml:space="preserve">The </w:t>
      </w:r>
      <w:r w:rsidRPr="009D059C">
        <w:rPr>
          <w:b/>
          <w:lang w:val="en-US"/>
        </w:rPr>
        <w:t>cost of caring for dependents</w:t>
      </w:r>
      <w:r w:rsidRPr="008444EF">
        <w:rPr>
          <w:lang w:val="en-US"/>
        </w:rPr>
        <w:t xml:space="preserve"> was </w:t>
      </w:r>
      <w:r>
        <w:rPr>
          <w:lang w:val="en-US"/>
        </w:rPr>
        <w:t xml:space="preserve">an issue for fewer </w:t>
      </w:r>
      <w:r w:rsidR="00385108">
        <w:rPr>
          <w:lang w:val="en-US"/>
        </w:rPr>
        <w:t>students</w:t>
      </w:r>
      <w:r w:rsidRPr="008444EF">
        <w:rPr>
          <w:lang w:val="en-US"/>
        </w:rPr>
        <w:t xml:space="preserve"> (around </w:t>
      </w:r>
      <w:r w:rsidR="00385108">
        <w:rPr>
          <w:lang w:val="en-US"/>
        </w:rPr>
        <w:t>20%</w:t>
      </w:r>
      <w:r w:rsidRPr="008444EF">
        <w:rPr>
          <w:lang w:val="en-US"/>
        </w:rPr>
        <w:t>)</w:t>
      </w:r>
      <w:r>
        <w:rPr>
          <w:lang w:val="en-US"/>
        </w:rPr>
        <w:t>. However, a high proportion of these students (between 50% and 70%) reported that this issue</w:t>
      </w:r>
      <w:r w:rsidRPr="00DB7667">
        <w:rPr>
          <w:lang w:val="en-US"/>
        </w:rPr>
        <w:t xml:space="preserve"> </w:t>
      </w:r>
      <w:r w:rsidRPr="008444EF">
        <w:rPr>
          <w:lang w:val="en-US"/>
        </w:rPr>
        <w:t>had a ‘major effect’ on them</w:t>
      </w:r>
      <w:r>
        <w:rPr>
          <w:lang w:val="en-US"/>
        </w:rPr>
        <w:t>.</w:t>
      </w:r>
    </w:p>
    <w:p w14:paraId="17E5F048" w14:textId="77777777" w:rsidR="00AB2DC9" w:rsidRDefault="009D059C" w:rsidP="00A86BCC">
      <w:pPr>
        <w:rPr>
          <w:lang w:val="en-US"/>
        </w:rPr>
      </w:pPr>
      <w:r w:rsidRPr="00DA3948">
        <w:rPr>
          <w:lang w:val="en-US"/>
        </w:rPr>
        <w:t xml:space="preserve">Around </w:t>
      </w:r>
      <w:r>
        <w:rPr>
          <w:lang w:val="en-US"/>
        </w:rPr>
        <w:t>90% of</w:t>
      </w:r>
      <w:r w:rsidRPr="00DA3948">
        <w:rPr>
          <w:lang w:val="en-US"/>
        </w:rPr>
        <w:t xml:space="preserve"> </w:t>
      </w:r>
      <w:r w:rsidR="00990864">
        <w:rPr>
          <w:lang w:val="en-US"/>
        </w:rPr>
        <w:t>students</w:t>
      </w:r>
      <w:r w:rsidRPr="00DA3948">
        <w:rPr>
          <w:lang w:val="en-US"/>
        </w:rPr>
        <w:t xml:space="preserve"> reported that they encounter</w:t>
      </w:r>
      <w:r>
        <w:rPr>
          <w:lang w:val="en-US"/>
        </w:rPr>
        <w:t>ed one or more</w:t>
      </w:r>
      <w:r w:rsidRPr="00DA3948">
        <w:rPr>
          <w:lang w:val="en-US"/>
        </w:rPr>
        <w:t xml:space="preserve"> </w:t>
      </w:r>
      <w:r w:rsidRPr="001703C8">
        <w:rPr>
          <w:b/>
          <w:lang w:val="en-US"/>
        </w:rPr>
        <w:t>‘other’ issues</w:t>
      </w:r>
      <w:r w:rsidRPr="00DA3948">
        <w:rPr>
          <w:lang w:val="en-US"/>
        </w:rPr>
        <w:t xml:space="preserve"> whilst in Australia.</w:t>
      </w:r>
    </w:p>
    <w:p w14:paraId="17E5F049" w14:textId="77777777" w:rsidR="009D059C" w:rsidRPr="009D059C" w:rsidRDefault="009D059C" w:rsidP="009D059C">
      <w:pPr>
        <w:pStyle w:val="Bullets"/>
      </w:pPr>
      <w:r w:rsidRPr="009D059C">
        <w:rPr>
          <w:b/>
        </w:rPr>
        <w:t>Spouse/dependent-related issues</w:t>
      </w:r>
      <w:r w:rsidRPr="009D059C">
        <w:t xml:space="preserve"> continued to have the highest effect on </w:t>
      </w:r>
      <w:r w:rsidR="00990864">
        <w:t>up to one</w:t>
      </w:r>
      <w:r w:rsidR="00990864">
        <w:noBreakHyphen/>
      </w:r>
      <w:r w:rsidRPr="009D059C">
        <w:t xml:space="preserve">quarter of </w:t>
      </w:r>
      <w:r w:rsidR="00990864">
        <w:t>students</w:t>
      </w:r>
      <w:r w:rsidRPr="009D059C">
        <w:t xml:space="preserve"> who encountered these issues, with around half of these students reporting that these issues generally had a ‘major effect’ on them.</w:t>
      </w:r>
    </w:p>
    <w:p w14:paraId="17E5F04A" w14:textId="77777777" w:rsidR="009D059C" w:rsidRPr="009D059C" w:rsidRDefault="009D059C" w:rsidP="00990864">
      <w:pPr>
        <w:pStyle w:val="Bullets"/>
      </w:pPr>
      <w:r w:rsidRPr="009D059C">
        <w:t xml:space="preserve">While the most frequently encountered issue was in relation to the </w:t>
      </w:r>
      <w:r w:rsidRPr="009D059C">
        <w:rPr>
          <w:b/>
        </w:rPr>
        <w:t>weather/climate</w:t>
      </w:r>
      <w:r w:rsidRPr="009D059C">
        <w:t xml:space="preserve"> in their city/town, </w:t>
      </w:r>
      <w:r w:rsidR="00990864">
        <w:t>it was only encountered by around</w:t>
      </w:r>
      <w:r w:rsidRPr="009D059C">
        <w:t xml:space="preserve"> 40% of new arrivals </w:t>
      </w:r>
      <w:r w:rsidR="00990864">
        <w:t>and one</w:t>
      </w:r>
      <w:r w:rsidR="00990864">
        <w:noBreakHyphen/>
        <w:t xml:space="preserve">quarter of ongoing students. Furthermore, less than one-third of students encountering this issue reported that it </w:t>
      </w:r>
      <w:r w:rsidRPr="009D059C">
        <w:t>had a ‘major effect’ on them.</w:t>
      </w:r>
    </w:p>
    <w:p w14:paraId="17E5F04B" w14:textId="77777777" w:rsidR="00A75B39" w:rsidRDefault="009D059C" w:rsidP="00A75B39">
      <w:r w:rsidRPr="009D059C">
        <w:t xml:space="preserve">Around 20% of ongoing students reported that they had </w:t>
      </w:r>
      <w:r w:rsidRPr="009D059C">
        <w:rPr>
          <w:b/>
        </w:rPr>
        <w:t>sought personal help or study assistance</w:t>
      </w:r>
      <w:r w:rsidRPr="009D059C">
        <w:t xml:space="preserve"> from a person or organisation not associated with either AusAID or their university or college, and this has remained steady between 2009 and 2011</w:t>
      </w:r>
      <w:r>
        <w:t>.</w:t>
      </w:r>
    </w:p>
    <w:p w14:paraId="17E5F04C" w14:textId="77777777" w:rsidR="00A75B39" w:rsidRDefault="00A75B39" w:rsidP="00A75B39">
      <w:pPr>
        <w:pStyle w:val="Bullets"/>
        <w:rPr>
          <w:lang w:val="en-US"/>
        </w:rPr>
      </w:pPr>
      <w:r w:rsidRPr="00903D2C">
        <w:rPr>
          <w:lang w:val="en-US"/>
        </w:rPr>
        <w:t>Persons/organisations that students sought assistance from included:</w:t>
      </w:r>
      <w:r>
        <w:rPr>
          <w:lang w:val="en-US"/>
        </w:rPr>
        <w:t xml:space="preserve"> </w:t>
      </w:r>
      <w:r w:rsidRPr="00903D2C">
        <w:rPr>
          <w:lang w:val="en-US"/>
        </w:rPr>
        <w:t>friends;</w:t>
      </w:r>
      <w:r>
        <w:rPr>
          <w:lang w:val="en-US"/>
        </w:rPr>
        <w:t xml:space="preserve"> </w:t>
      </w:r>
      <w:r w:rsidRPr="00903D2C">
        <w:rPr>
          <w:lang w:val="en-US"/>
        </w:rPr>
        <w:t>classmates/course mates/university students;</w:t>
      </w:r>
      <w:r>
        <w:rPr>
          <w:lang w:val="en-US"/>
        </w:rPr>
        <w:t xml:space="preserve"> </w:t>
      </w:r>
      <w:r w:rsidRPr="00903D2C">
        <w:rPr>
          <w:lang w:val="en-US"/>
        </w:rPr>
        <w:t>housemates/neighbours;</w:t>
      </w:r>
      <w:r>
        <w:rPr>
          <w:lang w:val="en-US"/>
        </w:rPr>
        <w:t xml:space="preserve"> </w:t>
      </w:r>
      <w:r w:rsidRPr="00903D2C">
        <w:rPr>
          <w:lang w:val="en-US"/>
        </w:rPr>
        <w:t>religious organisations (e.g. churches);</w:t>
      </w:r>
      <w:r>
        <w:rPr>
          <w:lang w:val="en-US"/>
        </w:rPr>
        <w:t xml:space="preserve"> colleagues/</w:t>
      </w:r>
      <w:r w:rsidRPr="00903D2C">
        <w:rPr>
          <w:lang w:val="en-US"/>
        </w:rPr>
        <w:t>workmates; and</w:t>
      </w:r>
      <w:r>
        <w:rPr>
          <w:lang w:val="en-US"/>
        </w:rPr>
        <w:t xml:space="preserve"> </w:t>
      </w:r>
      <w:r w:rsidRPr="00903D2C">
        <w:rPr>
          <w:lang w:val="en-US"/>
        </w:rPr>
        <w:t>organisations or clubs.</w:t>
      </w:r>
    </w:p>
    <w:p w14:paraId="17E5F04D" w14:textId="77777777" w:rsidR="0033711C" w:rsidRDefault="00A75B39" w:rsidP="00A75B39">
      <w:pPr>
        <w:pStyle w:val="Bullets"/>
        <w:rPr>
          <w:lang w:val="en-US"/>
        </w:rPr>
      </w:pPr>
      <w:r w:rsidRPr="00903D2C">
        <w:rPr>
          <w:lang w:val="en-US"/>
        </w:rPr>
        <w:t>Much of the assistance sought was in relation to English skills (e.g. proofreading) or specific study/academic skil</w:t>
      </w:r>
      <w:r>
        <w:rPr>
          <w:lang w:val="en-US"/>
        </w:rPr>
        <w:t xml:space="preserve">ls (e.g. computers, statistics or </w:t>
      </w:r>
      <w:r w:rsidRPr="00903D2C">
        <w:rPr>
          <w:lang w:val="en-US"/>
        </w:rPr>
        <w:t>course-related content).</w:t>
      </w:r>
    </w:p>
    <w:p w14:paraId="17E5F04E" w14:textId="77777777" w:rsidR="0033711C" w:rsidRDefault="0033711C">
      <w:pPr>
        <w:spacing w:before="0"/>
        <w:jc w:val="left"/>
        <w:rPr>
          <w:rFonts w:cs="Times New Roman"/>
          <w:lang w:val="en-US"/>
        </w:rPr>
      </w:pPr>
      <w:r>
        <w:rPr>
          <w:lang w:val="en-US"/>
        </w:rPr>
        <w:br w:type="page"/>
      </w:r>
    </w:p>
    <w:p w14:paraId="17E5F04F" w14:textId="77777777" w:rsidR="00AB2DC9" w:rsidRDefault="009D059C" w:rsidP="00A86BCC">
      <w:r w:rsidRPr="009D059C">
        <w:lastRenderedPageBreak/>
        <w:t xml:space="preserve">Between 15% and 25% of new arrivals reported that they had experienced </w:t>
      </w:r>
      <w:r w:rsidRPr="009D059C">
        <w:rPr>
          <w:b/>
        </w:rPr>
        <w:t>racism and/or discrimination</w:t>
      </w:r>
      <w:r w:rsidRPr="009D059C">
        <w:t xml:space="preserve"> during their time in Australia, compared with around a third of ongoing students</w:t>
      </w:r>
      <w:r w:rsidR="009940BB">
        <w:t>.</w:t>
      </w:r>
    </w:p>
    <w:p w14:paraId="17E5F050" w14:textId="77777777" w:rsidR="00AB2DC9" w:rsidRDefault="009D059C" w:rsidP="009D059C">
      <w:pPr>
        <w:pStyle w:val="Bullets"/>
      </w:pPr>
      <w:r w:rsidRPr="009D059C">
        <w:t xml:space="preserve">The majority of students </w:t>
      </w:r>
      <w:r w:rsidR="009940BB">
        <w:t>(</w:t>
      </w:r>
      <w:r>
        <w:t xml:space="preserve">between 60% and 75%) </w:t>
      </w:r>
      <w:r w:rsidRPr="009D059C">
        <w:t>who had experienced racism and/or discrimination during their time in Australia reported that it only happened once or twice</w:t>
      </w:r>
      <w:r w:rsidR="009940BB">
        <w:t>.</w:t>
      </w:r>
    </w:p>
    <w:p w14:paraId="17E5F051" w14:textId="77777777" w:rsidR="009D059C" w:rsidRDefault="009940BB" w:rsidP="009940BB">
      <w:pPr>
        <w:pStyle w:val="Bullets"/>
      </w:pPr>
      <w:r>
        <w:t>Students that had experienced racism/discrimination mainly reported that it was based on race — between 60% and 70% for new arrivals and around half for ongoing students.</w:t>
      </w:r>
    </w:p>
    <w:p w14:paraId="17E5F052" w14:textId="77777777" w:rsidR="009D059C" w:rsidRDefault="009940BB" w:rsidP="009940BB">
      <w:pPr>
        <w:pStyle w:val="Bullets"/>
      </w:pPr>
      <w:r>
        <w:t>Most occurrences of racism/discrimination were experienced in the general community — between 70% and 90% for new arrivals and between 70% and 80% for ongoing students</w:t>
      </w:r>
      <w:r w:rsidR="001703C8">
        <w:t>.</w:t>
      </w:r>
    </w:p>
    <w:p w14:paraId="17E5F053" w14:textId="77777777" w:rsidR="009D059C" w:rsidRDefault="009940BB" w:rsidP="009940BB">
      <w:pPr>
        <w:pStyle w:val="Bullets"/>
      </w:pPr>
      <w:r>
        <w:t>Only a minority of students (around 10%) reported that the racism/discrimination they encountered affected them a lot, with around half reporting that it affected them a little and around a third reporting that it did not affect them at all.</w:t>
      </w:r>
    </w:p>
    <w:p w14:paraId="17E5F054" w14:textId="77777777" w:rsidR="009940BB" w:rsidRPr="00B800BB" w:rsidRDefault="009940BB" w:rsidP="0033711C">
      <w:pPr>
        <w:pStyle w:val="Heading1"/>
        <w:spacing w:before="480"/>
      </w:pPr>
      <w:bookmarkStart w:id="10" w:name="_Toc322614815"/>
      <w:bookmarkStart w:id="11" w:name="_Toc329685067"/>
      <w:r w:rsidRPr="00B800BB">
        <w:t>Entitlements and other assistance provided by the AusAID scholarship program</w:t>
      </w:r>
      <w:bookmarkEnd w:id="10"/>
      <w:bookmarkEnd w:id="11"/>
    </w:p>
    <w:p w14:paraId="17E5F055" w14:textId="77777777" w:rsidR="003461D6" w:rsidRDefault="00990864" w:rsidP="009940BB">
      <w:r>
        <w:t xml:space="preserve">For </w:t>
      </w:r>
      <w:r w:rsidRPr="003461D6">
        <w:rPr>
          <w:b/>
        </w:rPr>
        <w:t>entitlements available to all students</w:t>
      </w:r>
      <w:r w:rsidR="003461D6">
        <w:t>, n</w:t>
      </w:r>
      <w:r w:rsidR="009940BB" w:rsidRPr="009940BB">
        <w:t xml:space="preserve">early all ongoing students </w:t>
      </w:r>
      <w:r w:rsidR="009940BB">
        <w:t xml:space="preserve">(around 95%) </w:t>
      </w:r>
      <w:r w:rsidR="009940BB" w:rsidRPr="009940BB">
        <w:t xml:space="preserve">reported that they had used the establishment allowance and the scholarship living allowance, with </w:t>
      </w:r>
      <w:r w:rsidR="009940BB">
        <w:t>around 80%</w:t>
      </w:r>
      <w:r w:rsidR="009940BB" w:rsidRPr="009940BB">
        <w:t xml:space="preserve"> also reporting that they had used the</w:t>
      </w:r>
      <w:r w:rsidR="009940BB">
        <w:t xml:space="preserve"> overseas student health cover</w:t>
      </w:r>
      <w:r w:rsidR="009940BB" w:rsidRPr="009940BB">
        <w:t xml:space="preserve">. </w:t>
      </w:r>
      <w:r w:rsidR="003461D6">
        <w:t>Between 70% and 80%</w:t>
      </w:r>
      <w:r w:rsidR="009940BB" w:rsidRPr="009940BB">
        <w:t xml:space="preserve"> of students ‘very satisfied’ with the establishment allowance</w:t>
      </w:r>
      <w:r w:rsidR="003461D6">
        <w:t xml:space="preserve"> and this proportion was increasing, while a</w:t>
      </w:r>
      <w:r w:rsidR="009940BB" w:rsidRPr="009940BB">
        <w:t>round half of students who had used the overseas student health cover were ‘very satisfied’ with this assistance. However, satisfaction with the scholarship living allowance was lower at around 40% ‘very satisfied’.</w:t>
      </w:r>
    </w:p>
    <w:p w14:paraId="17E5F056" w14:textId="77777777" w:rsidR="009940BB" w:rsidRDefault="003461D6" w:rsidP="009940BB">
      <w:pPr>
        <w:rPr>
          <w:lang w:val="en-US"/>
        </w:rPr>
      </w:pPr>
      <w:r>
        <w:rPr>
          <w:lang w:val="en-US"/>
        </w:rPr>
        <w:t xml:space="preserve">For </w:t>
      </w:r>
      <w:r w:rsidRPr="003461D6">
        <w:rPr>
          <w:b/>
          <w:lang w:val="en-US"/>
        </w:rPr>
        <w:t xml:space="preserve">entitlements only available to </w:t>
      </w:r>
      <w:r w:rsidR="00B800BB" w:rsidRPr="00B800BB">
        <w:rPr>
          <w:b/>
          <w:lang w:val="en-US"/>
        </w:rPr>
        <w:t>Australian Development Scholarship (ADS)</w:t>
      </w:r>
      <w:r w:rsidRPr="003461D6">
        <w:rPr>
          <w:b/>
          <w:lang w:val="en-US"/>
        </w:rPr>
        <w:t xml:space="preserve"> students</w:t>
      </w:r>
      <w:r>
        <w:rPr>
          <w:lang w:val="en-US"/>
        </w:rPr>
        <w:t>, a</w:t>
      </w:r>
      <w:r w:rsidR="009940BB">
        <w:rPr>
          <w:lang w:val="en-US"/>
        </w:rPr>
        <w:t>round a third of</w:t>
      </w:r>
      <w:r w:rsidR="009940BB" w:rsidRPr="005A230A">
        <w:rPr>
          <w:lang w:val="en-US"/>
        </w:rPr>
        <w:t xml:space="preserve"> ADS students used tutorial assistance funded by AusAID, with </w:t>
      </w:r>
      <w:r w:rsidR="009940BB">
        <w:rPr>
          <w:lang w:val="en-US"/>
        </w:rPr>
        <w:t>less using</w:t>
      </w:r>
      <w:r>
        <w:rPr>
          <w:lang w:val="en-US"/>
        </w:rPr>
        <w:t xml:space="preserve"> the reunion airfare (although increasing from 12% in OS 2009 to 24% in OS 2011</w:t>
      </w:r>
      <w:r w:rsidR="009940BB">
        <w:rPr>
          <w:lang w:val="en-US"/>
        </w:rPr>
        <w:t>) and the fieldwork entitlement (around 10%)</w:t>
      </w:r>
      <w:r w:rsidR="009940BB" w:rsidRPr="005A230A">
        <w:rPr>
          <w:lang w:val="en-US"/>
        </w:rPr>
        <w:t>.</w:t>
      </w:r>
      <w:r>
        <w:rPr>
          <w:lang w:val="en-US"/>
        </w:rPr>
        <w:t xml:space="preserve"> </w:t>
      </w:r>
      <w:r w:rsidR="009940BB">
        <w:rPr>
          <w:lang w:val="en-US"/>
        </w:rPr>
        <w:t>Satisfaction with the reunion airfare was the highest (</w:t>
      </w:r>
      <w:r>
        <w:rPr>
          <w:lang w:val="en-US"/>
        </w:rPr>
        <w:t>increasing from around</w:t>
      </w:r>
      <w:r w:rsidR="009940BB">
        <w:rPr>
          <w:lang w:val="en-US"/>
        </w:rPr>
        <w:t xml:space="preserve"> 70% </w:t>
      </w:r>
      <w:r>
        <w:rPr>
          <w:lang w:val="en-US"/>
        </w:rPr>
        <w:t>to</w:t>
      </w:r>
      <w:r w:rsidR="009940BB">
        <w:rPr>
          <w:lang w:val="en-US"/>
        </w:rPr>
        <w:t xml:space="preserve"> 80%), with around two-thirds being ‘very satisfied’ with the tutorial assistance and around half being ‘very satisfied’ </w:t>
      </w:r>
      <w:r>
        <w:rPr>
          <w:lang w:val="en-US"/>
        </w:rPr>
        <w:t>with the fieldwork entitlement.</w:t>
      </w:r>
    </w:p>
    <w:p w14:paraId="17E5F057" w14:textId="77777777" w:rsidR="009940BB" w:rsidRDefault="003461D6" w:rsidP="009940BB">
      <w:pPr>
        <w:rPr>
          <w:lang w:val="en-US"/>
        </w:rPr>
      </w:pPr>
      <w:r>
        <w:rPr>
          <w:lang w:val="en-US"/>
        </w:rPr>
        <w:t xml:space="preserve">For </w:t>
      </w:r>
      <w:r w:rsidRPr="003461D6">
        <w:rPr>
          <w:b/>
          <w:lang w:val="en-US"/>
        </w:rPr>
        <w:t xml:space="preserve">entitlements only available to </w:t>
      </w:r>
      <w:r w:rsidR="00B800BB" w:rsidRPr="00B800BB">
        <w:rPr>
          <w:b/>
          <w:lang w:val="en-US"/>
        </w:rPr>
        <w:t>Australian Leadership Awards Scholarship (ALAS)</w:t>
      </w:r>
      <w:r w:rsidR="00B800BB">
        <w:rPr>
          <w:b/>
          <w:lang w:val="en-US"/>
        </w:rPr>
        <w:t xml:space="preserve"> </w:t>
      </w:r>
      <w:r w:rsidRPr="003461D6">
        <w:rPr>
          <w:b/>
          <w:lang w:val="en-US"/>
        </w:rPr>
        <w:t>students</w:t>
      </w:r>
      <w:r>
        <w:rPr>
          <w:lang w:val="en-US"/>
        </w:rPr>
        <w:t xml:space="preserve">, </w:t>
      </w:r>
      <w:r w:rsidR="009940BB">
        <w:rPr>
          <w:lang w:val="en-US"/>
        </w:rPr>
        <w:t>between 50% and 70% access</w:t>
      </w:r>
      <w:r>
        <w:rPr>
          <w:lang w:val="en-US"/>
        </w:rPr>
        <w:t>ed</w:t>
      </w:r>
      <w:r w:rsidR="009940BB">
        <w:rPr>
          <w:lang w:val="en-US"/>
        </w:rPr>
        <w:t xml:space="preserve"> the </w:t>
      </w:r>
      <w:r w:rsidR="009940BB" w:rsidRPr="00AA2747">
        <w:rPr>
          <w:lang w:val="en-US"/>
        </w:rPr>
        <w:t>mobilisation allowance</w:t>
      </w:r>
      <w:r>
        <w:rPr>
          <w:lang w:val="en-US"/>
        </w:rPr>
        <w:t xml:space="preserve"> (decreasing)</w:t>
      </w:r>
      <w:r w:rsidR="009940BB">
        <w:rPr>
          <w:lang w:val="en-US"/>
        </w:rPr>
        <w:t xml:space="preserve"> and</w:t>
      </w:r>
      <w:r w:rsidR="00A64723">
        <w:rPr>
          <w:lang w:val="en-US"/>
        </w:rPr>
        <w:t xml:space="preserve"> the study enrichment allowance</w:t>
      </w:r>
      <w:r>
        <w:rPr>
          <w:lang w:val="en-US"/>
        </w:rPr>
        <w:t xml:space="preserve"> (increasing)</w:t>
      </w:r>
      <w:r w:rsidR="009940BB">
        <w:rPr>
          <w:lang w:val="en-US"/>
        </w:rPr>
        <w:t xml:space="preserve">. Satisfaction with ALAS entitlements and other assistance has remained steady, with around two-thirds being ‘very satisfied’ with the </w:t>
      </w:r>
      <w:r w:rsidR="009940BB" w:rsidRPr="00AA2747">
        <w:rPr>
          <w:lang w:val="en-US"/>
        </w:rPr>
        <w:t>mobilisation allowance</w:t>
      </w:r>
      <w:r w:rsidR="009940BB">
        <w:rPr>
          <w:lang w:val="en-US"/>
        </w:rPr>
        <w:t xml:space="preserve"> and </w:t>
      </w:r>
      <w:r>
        <w:rPr>
          <w:lang w:val="en-US"/>
        </w:rPr>
        <w:t xml:space="preserve">around </w:t>
      </w:r>
      <w:r w:rsidR="009940BB">
        <w:rPr>
          <w:lang w:val="en-US"/>
        </w:rPr>
        <w:t>half ‘very satisfied’ with the study enrichment allowance.</w:t>
      </w:r>
    </w:p>
    <w:p w14:paraId="17E5F058" w14:textId="77777777" w:rsidR="00A64723" w:rsidRDefault="00A64723" w:rsidP="00A64723">
      <w:pPr>
        <w:rPr>
          <w:lang w:val="en-US"/>
        </w:rPr>
      </w:pPr>
      <w:r>
        <w:rPr>
          <w:lang w:val="en-US"/>
        </w:rPr>
        <w:t>Prior to 2011, ALAS students received a higher contribution to living expenses (CLE) than ADS students. From 2011, there was a significant increase to the CLE amount, with both ADS and ALAS students receiving the same increased rate. Student satisfaction has increased in 2011 with the scholarship entitlements provided to all students and to ADS students, whereas student satisfaction with ALAS entitlements has remained steady.</w:t>
      </w:r>
    </w:p>
    <w:p w14:paraId="17E5F059" w14:textId="77777777" w:rsidR="00A64723" w:rsidRDefault="00A64723" w:rsidP="00A64723">
      <w:r>
        <w:lastRenderedPageBreak/>
        <w:t xml:space="preserve">As with new arrivals, nearly all ongoing students </w:t>
      </w:r>
      <w:r w:rsidR="00B800BB">
        <w:t xml:space="preserve">(97%) </w:t>
      </w:r>
      <w:r>
        <w:t xml:space="preserve">were ‘very satisfied’ or ‘moderately satisfied’ with the assistance provided by their </w:t>
      </w:r>
      <w:r>
        <w:rPr>
          <w:lang w:val="en-US"/>
        </w:rPr>
        <w:t>s</w:t>
      </w:r>
      <w:r w:rsidRPr="00320C0E">
        <w:rPr>
          <w:lang w:val="en-US"/>
        </w:rPr>
        <w:t xml:space="preserve">tudent </w:t>
      </w:r>
      <w:r>
        <w:rPr>
          <w:lang w:val="en-US"/>
        </w:rPr>
        <w:t>c</w:t>
      </w:r>
      <w:r w:rsidRPr="00320C0E">
        <w:rPr>
          <w:lang w:val="en-US"/>
        </w:rPr>
        <w:t xml:space="preserve">ontact </w:t>
      </w:r>
      <w:r>
        <w:rPr>
          <w:lang w:val="en-US"/>
        </w:rPr>
        <w:t>o</w:t>
      </w:r>
      <w:r w:rsidRPr="00320C0E">
        <w:rPr>
          <w:lang w:val="en-US"/>
        </w:rPr>
        <w:t xml:space="preserve">fficer / AusAID </w:t>
      </w:r>
      <w:r>
        <w:rPr>
          <w:lang w:val="en-US"/>
        </w:rPr>
        <w:t>l</w:t>
      </w:r>
      <w:r w:rsidRPr="00320C0E">
        <w:rPr>
          <w:lang w:val="en-US"/>
        </w:rPr>
        <w:t xml:space="preserve">iaison </w:t>
      </w:r>
      <w:r>
        <w:rPr>
          <w:lang w:val="en-US"/>
        </w:rPr>
        <w:t>o</w:t>
      </w:r>
      <w:r w:rsidRPr="00320C0E">
        <w:rPr>
          <w:lang w:val="en-US"/>
        </w:rPr>
        <w:t>fficer</w:t>
      </w:r>
      <w:r>
        <w:t>. However, less ongoing students were ‘very satisfied’ (around two</w:t>
      </w:r>
      <w:r>
        <w:noBreakHyphen/>
        <w:t>thirds, compared with around three-quarters of new arrivals).</w:t>
      </w:r>
    </w:p>
    <w:p w14:paraId="17E5F05A" w14:textId="77777777" w:rsidR="00A75B39" w:rsidRDefault="00A75B39" w:rsidP="00A75B39">
      <w:r>
        <w:t xml:space="preserve">Reasons provided by the minority of new arrivals and ongoing students who were not satisfied overall with the </w:t>
      </w:r>
      <w:r w:rsidRPr="008D18B1">
        <w:t xml:space="preserve">assistance provided by </w:t>
      </w:r>
      <w:r>
        <w:t>their s</w:t>
      </w:r>
      <w:r w:rsidRPr="008D18B1">
        <w:t xml:space="preserve">tudent </w:t>
      </w:r>
      <w:r>
        <w:t>c</w:t>
      </w:r>
      <w:r w:rsidRPr="008D18B1">
        <w:t xml:space="preserve">ontact </w:t>
      </w:r>
      <w:r>
        <w:t>o</w:t>
      </w:r>
      <w:r w:rsidRPr="008D18B1">
        <w:t xml:space="preserve">fficer / AusAID </w:t>
      </w:r>
      <w:r>
        <w:t>liaison o</w:t>
      </w:r>
      <w:r w:rsidRPr="008D18B1">
        <w:t>fficer</w:t>
      </w:r>
      <w:r>
        <w:t xml:space="preserve"> included:</w:t>
      </w:r>
    </w:p>
    <w:p w14:paraId="17E5F05B" w14:textId="77777777" w:rsidR="00A75B39" w:rsidRPr="001A7B5B" w:rsidRDefault="00A75B39" w:rsidP="00A75B39">
      <w:pPr>
        <w:pStyle w:val="Bullets"/>
      </w:pPr>
      <w:r w:rsidRPr="001A7B5B">
        <w:t>difficulties in access — lack of availability, difficulties in contacting, delays in responding to queries and/or changes in arrangements without timely advice;</w:t>
      </w:r>
    </w:p>
    <w:p w14:paraId="17E5F05C" w14:textId="77777777" w:rsidR="00A75B39" w:rsidRPr="001A7B5B" w:rsidRDefault="00A75B39" w:rsidP="00A75B39">
      <w:pPr>
        <w:pStyle w:val="Bullets"/>
      </w:pPr>
      <w:r w:rsidRPr="001A7B5B">
        <w:t>lack of professional expertise;</w:t>
      </w:r>
    </w:p>
    <w:p w14:paraId="17E5F05D" w14:textId="77777777" w:rsidR="00A75B39" w:rsidRPr="001A7B5B" w:rsidRDefault="00A75B39" w:rsidP="00A75B39">
      <w:pPr>
        <w:pStyle w:val="Bullets"/>
      </w:pPr>
      <w:r w:rsidRPr="001A7B5B">
        <w:t>lack of support/understanding/helpfulness; and</w:t>
      </w:r>
    </w:p>
    <w:p w14:paraId="17E5F05E" w14:textId="77777777" w:rsidR="00A75B39" w:rsidRDefault="00A75B39" w:rsidP="00A75B39">
      <w:pPr>
        <w:pStyle w:val="Bullets"/>
      </w:pPr>
      <w:r w:rsidRPr="001A7B5B">
        <w:t>unprofessional behaviour.</w:t>
      </w:r>
    </w:p>
    <w:p w14:paraId="17E5F05F" w14:textId="77777777" w:rsidR="00A75B39" w:rsidRPr="001A7B5B" w:rsidRDefault="00A75B39" w:rsidP="00A75B39">
      <w:r>
        <w:t>Some students also reported that they were unaware of the existence of a s</w:t>
      </w:r>
      <w:r w:rsidRPr="008D18B1">
        <w:t xml:space="preserve">tudent </w:t>
      </w:r>
      <w:r>
        <w:t>c</w:t>
      </w:r>
      <w:r w:rsidRPr="008D18B1">
        <w:t xml:space="preserve">ontact </w:t>
      </w:r>
      <w:r>
        <w:t>o</w:t>
      </w:r>
      <w:r w:rsidRPr="008D18B1">
        <w:t xml:space="preserve">fficer / AusAID </w:t>
      </w:r>
      <w:r>
        <w:t>liaison o</w:t>
      </w:r>
      <w:r w:rsidRPr="008D18B1">
        <w:t>fficer</w:t>
      </w:r>
      <w:r>
        <w:t xml:space="preserve"> at their institution, there was no officer at their institution, or the officer had left and had not yet been replaced.</w:t>
      </w:r>
    </w:p>
    <w:p w14:paraId="17E5F060" w14:textId="77777777" w:rsidR="00A64723" w:rsidRDefault="00A64723" w:rsidP="0033711C">
      <w:pPr>
        <w:pStyle w:val="Heading1"/>
        <w:spacing w:before="480"/>
      </w:pPr>
      <w:bookmarkStart w:id="12" w:name="_Toc329685070"/>
      <w:r>
        <w:t>Returning home</w:t>
      </w:r>
      <w:bookmarkEnd w:id="12"/>
    </w:p>
    <w:p w14:paraId="17E5F061" w14:textId="77777777" w:rsidR="00A64723" w:rsidRDefault="00A64723" w:rsidP="00A86BCC">
      <w:r>
        <w:rPr>
          <w:lang w:val="en-US"/>
        </w:rPr>
        <w:t xml:space="preserve">Around one-third of ongoing students reported that they </w:t>
      </w:r>
      <w:r w:rsidRPr="006B7EE0">
        <w:rPr>
          <w:lang w:val="en-US"/>
        </w:rPr>
        <w:t>would be completing their studies and returning home within the next four months</w:t>
      </w:r>
      <w:r>
        <w:rPr>
          <w:lang w:val="en-US"/>
        </w:rPr>
        <w:t>.</w:t>
      </w:r>
    </w:p>
    <w:p w14:paraId="17E5F062" w14:textId="77777777" w:rsidR="009940BB" w:rsidRDefault="00A64723" w:rsidP="00A86BCC">
      <w:r>
        <w:t>Of th</w:t>
      </w:r>
      <w:r w:rsidRPr="006B7EE0">
        <w:t>e</w:t>
      </w:r>
      <w:r>
        <w:t xml:space="preserve"> ongoing students </w:t>
      </w:r>
      <w:r w:rsidRPr="006B7EE0">
        <w:rPr>
          <w:lang w:val="en-US"/>
        </w:rPr>
        <w:t>returning home within the next four months</w:t>
      </w:r>
      <w:r>
        <w:t>, the majority reported that they were r</w:t>
      </w:r>
      <w:r w:rsidRPr="006B7EE0">
        <w:t>eturn</w:t>
      </w:r>
      <w:r>
        <w:t>ing</w:t>
      </w:r>
      <w:r w:rsidRPr="006B7EE0">
        <w:t xml:space="preserve"> to the same organis</w:t>
      </w:r>
      <w:r>
        <w:t xml:space="preserve">ation and the same (or similar) job, with this proportion increasing </w:t>
      </w:r>
      <w:r w:rsidRPr="0026666F">
        <w:t>from 49% in</w:t>
      </w:r>
      <w:r>
        <w:t xml:space="preserve"> 2008 to 57% in OS 2011.</w:t>
      </w:r>
    </w:p>
    <w:p w14:paraId="17E5F063" w14:textId="77777777" w:rsidR="00A75B39" w:rsidRDefault="00A75B39" w:rsidP="00A75B39">
      <w:pPr>
        <w:pStyle w:val="Bullets"/>
      </w:pPr>
      <w:r w:rsidRPr="001B07E4">
        <w:t>Around one in five ongoing students did not yet have any arrangements in place, with the majority of these indicating that they were either in the process of looking for a job or intended looking for a job in their home country on their return.</w:t>
      </w:r>
    </w:p>
    <w:p w14:paraId="17E5F064" w14:textId="77777777" w:rsidR="00A75B39" w:rsidRDefault="00A75B39" w:rsidP="00A75B39">
      <w:pPr>
        <w:pStyle w:val="Bullets"/>
      </w:pPr>
      <w:r>
        <w:t>A minority of students (2%) reported that they planned to undertake further studies.</w:t>
      </w:r>
    </w:p>
    <w:p w14:paraId="17E5F065" w14:textId="77777777" w:rsidR="009940BB" w:rsidRDefault="00A64723" w:rsidP="00A86BCC">
      <w:r>
        <w:t xml:space="preserve">Around 40% of ongoing students with work arrangements already in place reported </w:t>
      </w:r>
      <w:r w:rsidRPr="006B7EE0">
        <w:t xml:space="preserve">that their employer </w:t>
      </w:r>
      <w:r>
        <w:t>did not have</w:t>
      </w:r>
      <w:r w:rsidRPr="006B7EE0">
        <w:t xml:space="preserve"> a reintegration plan</w:t>
      </w:r>
      <w:r>
        <w:t xml:space="preserve"> in place.</w:t>
      </w:r>
    </w:p>
    <w:p w14:paraId="17E5F066" w14:textId="77777777" w:rsidR="009940BB" w:rsidRDefault="00A64723" w:rsidP="00A86BCC">
      <w:r>
        <w:t xml:space="preserve">Of the ongoing students whose employers had </w:t>
      </w:r>
      <w:r w:rsidRPr="006B7EE0">
        <w:t>a reintegration plan</w:t>
      </w:r>
      <w:r>
        <w:t xml:space="preserve"> in place, the majority (around two-thirds) reported that it was last updated before they left their home country to take up their scholarship, and this figure remained steady.</w:t>
      </w:r>
    </w:p>
    <w:p w14:paraId="17E5F067" w14:textId="77777777" w:rsidR="00A75B39" w:rsidRDefault="00A64723" w:rsidP="00A75B39">
      <w:r>
        <w:t xml:space="preserve">Around 30% of ongoing students returning home shortly expected that they would encounter </w:t>
      </w:r>
      <w:r w:rsidRPr="00A64723">
        <w:rPr>
          <w:b/>
        </w:rPr>
        <w:t>barriers in using their new qualifications</w:t>
      </w:r>
      <w:r w:rsidRPr="00B860FD">
        <w:t xml:space="preserve"> on </w:t>
      </w:r>
      <w:r>
        <w:t xml:space="preserve">their </w:t>
      </w:r>
      <w:r w:rsidRPr="00B860FD">
        <w:t>return home</w:t>
      </w:r>
      <w:r>
        <w:t>.</w:t>
      </w:r>
      <w:r w:rsidR="00A75B39">
        <w:t xml:space="preserve"> Reasons provided for why ongoing students were expecting to encounter barriers </w:t>
      </w:r>
      <w:r w:rsidR="00A75B39" w:rsidRPr="00B860FD">
        <w:t xml:space="preserve">in using </w:t>
      </w:r>
      <w:r w:rsidR="00A75B39">
        <w:t xml:space="preserve">their </w:t>
      </w:r>
      <w:r w:rsidR="00A75B39" w:rsidRPr="00B860FD">
        <w:t xml:space="preserve">new qualifications on </w:t>
      </w:r>
      <w:r w:rsidR="00A75B39">
        <w:t xml:space="preserve">their </w:t>
      </w:r>
      <w:r w:rsidR="00A75B39" w:rsidRPr="00B860FD">
        <w:t>return home</w:t>
      </w:r>
      <w:r w:rsidR="00A75B39">
        <w:t xml:space="preserve"> included:</w:t>
      </w:r>
    </w:p>
    <w:p w14:paraId="17E5F068" w14:textId="77777777" w:rsidR="00A75B39" w:rsidRPr="00841B28" w:rsidRDefault="00A75B39" w:rsidP="00A75B39">
      <w:pPr>
        <w:pStyle w:val="Bullets"/>
      </w:pPr>
      <w:r w:rsidRPr="00841B28">
        <w:t>their new knowledge may not be applicable in home countries (as it largely related to the Australian context) and new ideas may be resisted in home countries;</w:t>
      </w:r>
    </w:p>
    <w:p w14:paraId="17E5F069" w14:textId="77777777" w:rsidR="00A75B39" w:rsidRPr="00841B28" w:rsidRDefault="00A75B39" w:rsidP="00A75B39">
      <w:pPr>
        <w:pStyle w:val="Bullets"/>
      </w:pPr>
      <w:r w:rsidRPr="00841B28">
        <w:lastRenderedPageBreak/>
        <w:t>lack of available positions in home countries suitable for candidates with new knowledge, workplace scepticism and limited career development opportunities in chosen fields;</w:t>
      </w:r>
    </w:p>
    <w:p w14:paraId="17E5F06A" w14:textId="77777777" w:rsidR="00A75B39" w:rsidRPr="00841B28" w:rsidRDefault="00A75B39" w:rsidP="00A75B39">
      <w:pPr>
        <w:pStyle w:val="Bullets"/>
      </w:pPr>
      <w:r>
        <w:t>the degree/</w:t>
      </w:r>
      <w:r w:rsidRPr="00841B28">
        <w:t>course may not be recognised in home countries — students may have to work in areas different from their field of expertise — or the qualifications may be insufficient (i.e. students may require an honours or master’s degree, rather than a bachelor degree);</w:t>
      </w:r>
    </w:p>
    <w:p w14:paraId="17E5F06B" w14:textId="77777777" w:rsidR="00A75B39" w:rsidRPr="00841B28" w:rsidRDefault="00A75B39" w:rsidP="00A75B39">
      <w:pPr>
        <w:pStyle w:val="Bullets"/>
      </w:pPr>
      <w:r w:rsidRPr="00841B28">
        <w:t>home countries may not have the requisite infrastructure, systems or funding to support new skills; and</w:t>
      </w:r>
    </w:p>
    <w:p w14:paraId="17E5F06C" w14:textId="77777777" w:rsidR="0033711C" w:rsidRDefault="00A75B39" w:rsidP="00A75B39">
      <w:pPr>
        <w:pStyle w:val="Bullets"/>
      </w:pPr>
      <w:r w:rsidRPr="00841B28">
        <w:t>some students also cited cultural barriers, acceptance by work colleagues and adapting back to life in their home countries as expected issues.</w:t>
      </w:r>
    </w:p>
    <w:p w14:paraId="17E5F06D" w14:textId="77777777" w:rsidR="00DE1F02" w:rsidRDefault="00A64723" w:rsidP="00DE1F02">
      <w:r>
        <w:t xml:space="preserve">Around 85% of ALAS students returning home within four months in 2010 reported that the </w:t>
      </w:r>
      <w:r w:rsidRPr="00A64723">
        <w:rPr>
          <w:b/>
        </w:rPr>
        <w:t>leadership development program</w:t>
      </w:r>
      <w:r>
        <w:t xml:space="preserve"> met</w:t>
      </w:r>
      <w:r w:rsidRPr="00EE3435">
        <w:t xml:space="preserve"> </w:t>
      </w:r>
      <w:r>
        <w:t xml:space="preserve">their </w:t>
      </w:r>
      <w:r w:rsidRPr="00EE3435">
        <w:t>expectations</w:t>
      </w:r>
      <w:r>
        <w:t>, with this figure increasing to 94% in 2011.</w:t>
      </w:r>
      <w:r w:rsidR="00DE1F02">
        <w:t xml:space="preserve"> Reasons provided by the minority of students who reported the </w:t>
      </w:r>
      <w:r w:rsidR="00DE1F02" w:rsidRPr="000921DD">
        <w:t xml:space="preserve">leadership development program </w:t>
      </w:r>
      <w:r w:rsidR="00DE1F02">
        <w:t>was not meeting their</w:t>
      </w:r>
      <w:r w:rsidR="00DE1F02" w:rsidRPr="000921DD">
        <w:t xml:space="preserve"> expectations</w:t>
      </w:r>
      <w:r w:rsidR="00DE1F02">
        <w:t xml:space="preserve"> included:</w:t>
      </w:r>
    </w:p>
    <w:p w14:paraId="17E5F06E" w14:textId="77777777" w:rsidR="00DE1F02" w:rsidRPr="0072545C" w:rsidRDefault="00DE1F02" w:rsidP="00DE1F02">
      <w:pPr>
        <w:pStyle w:val="Bullets"/>
      </w:pPr>
      <w:r w:rsidRPr="0072545C">
        <w:t>the program should be ongoing;</w:t>
      </w:r>
    </w:p>
    <w:p w14:paraId="17E5F06F" w14:textId="77777777" w:rsidR="00DE1F02" w:rsidRPr="0072545C" w:rsidRDefault="00DE1F02" w:rsidP="00DE1F02">
      <w:pPr>
        <w:pStyle w:val="Bullets"/>
      </w:pPr>
      <w:r w:rsidRPr="0072545C">
        <w:t>the program was more theoretical than practical;</w:t>
      </w:r>
    </w:p>
    <w:p w14:paraId="17E5F070" w14:textId="77777777" w:rsidR="00DE1F02" w:rsidRPr="0072545C" w:rsidRDefault="00DE1F02" w:rsidP="00DE1F02">
      <w:pPr>
        <w:pStyle w:val="Bullets"/>
      </w:pPr>
      <w:r w:rsidRPr="0072545C">
        <w:t>students did not understand the concept of the program; and</w:t>
      </w:r>
    </w:p>
    <w:p w14:paraId="17E5F071" w14:textId="77777777" w:rsidR="00DE1F02" w:rsidRPr="0072545C" w:rsidRDefault="00DE1F02" w:rsidP="00DE1F02">
      <w:pPr>
        <w:pStyle w:val="Bullets"/>
      </w:pPr>
      <w:r w:rsidRPr="0072545C">
        <w:t>delivery was below expectations.</w:t>
      </w:r>
    </w:p>
    <w:p w14:paraId="17E5F072" w14:textId="77777777" w:rsidR="00DE1F02" w:rsidRDefault="00A64723" w:rsidP="00DE1F02">
      <w:r>
        <w:t xml:space="preserve">The proportion of ALAS students returning home within four months that expected </w:t>
      </w:r>
      <w:r w:rsidRPr="00A64723">
        <w:rPr>
          <w:b/>
        </w:rPr>
        <w:t>barriers in using their new leadership skills</w:t>
      </w:r>
      <w:r>
        <w:t xml:space="preserve"> on their return home decreased from around 40% in 2010 to around 30% in 2011.</w:t>
      </w:r>
      <w:r w:rsidR="00DE1F02">
        <w:t xml:space="preserve"> Reasons provided for why students were expecting to encounter barriers </w:t>
      </w:r>
      <w:r w:rsidR="00DE1F02" w:rsidRPr="00B860FD">
        <w:t xml:space="preserve">in using </w:t>
      </w:r>
      <w:r w:rsidR="00DE1F02">
        <w:t xml:space="preserve">their </w:t>
      </w:r>
      <w:r w:rsidR="00DE1F02" w:rsidRPr="00B860FD">
        <w:t xml:space="preserve">new </w:t>
      </w:r>
      <w:r w:rsidR="00DE1F02">
        <w:t>leadership skills</w:t>
      </w:r>
      <w:r w:rsidR="00DE1F02" w:rsidRPr="00B860FD">
        <w:t xml:space="preserve"> on </w:t>
      </w:r>
      <w:r w:rsidR="00DE1F02">
        <w:t xml:space="preserve">their </w:t>
      </w:r>
      <w:r w:rsidR="00DE1F02" w:rsidRPr="00B860FD">
        <w:t>return home</w:t>
      </w:r>
      <w:r w:rsidR="00DE1F02">
        <w:t xml:space="preserve"> included:</w:t>
      </w:r>
    </w:p>
    <w:p w14:paraId="17E5F073" w14:textId="77777777" w:rsidR="00DE1F02" w:rsidRDefault="00DE1F02" w:rsidP="00DE1F02">
      <w:pPr>
        <w:pStyle w:val="Bullets"/>
      </w:pPr>
      <w:r>
        <w:t>cultural barriers or a conservative mentality in home countries;</w:t>
      </w:r>
    </w:p>
    <w:p w14:paraId="17E5F074" w14:textId="77777777" w:rsidR="00DE1F02" w:rsidRDefault="00DE1F02" w:rsidP="00DE1F02">
      <w:pPr>
        <w:pStyle w:val="Bullets"/>
      </w:pPr>
      <w:r>
        <w:t>bureaucracy, political barriers, corruption and lack of freedom;</w:t>
      </w:r>
    </w:p>
    <w:p w14:paraId="17E5F075" w14:textId="77777777" w:rsidR="00DE1F02" w:rsidRDefault="00DE1F02" w:rsidP="00DE1F02">
      <w:pPr>
        <w:pStyle w:val="Bullets"/>
      </w:pPr>
      <w:r>
        <w:t>gender or age barriers; and</w:t>
      </w:r>
    </w:p>
    <w:p w14:paraId="17E5F076" w14:textId="77777777" w:rsidR="00DE1F02" w:rsidRDefault="00DE1F02" w:rsidP="00DE1F02">
      <w:pPr>
        <w:pStyle w:val="Bullets"/>
      </w:pPr>
      <w:r>
        <w:t>lack of opportunity to utilise new degrees in careers in home countries.</w:t>
      </w:r>
    </w:p>
    <w:p w14:paraId="17E5F077" w14:textId="77777777" w:rsidR="00A64723" w:rsidRDefault="00A64723" w:rsidP="00A86BCC">
      <w:r>
        <w:t>Around 15% of ongoing students were already a member of the AusAID alumni network for their home country at the time of completing the survey, and around three</w:t>
      </w:r>
      <w:r>
        <w:noBreakHyphen/>
        <w:t>quarters inten</w:t>
      </w:r>
      <w:r w:rsidR="00B800BB">
        <w:t>ded to join the AusAID network</w:t>
      </w:r>
      <w:r>
        <w:t>. Around half of students intended to join the a</w:t>
      </w:r>
      <w:r w:rsidRPr="000738E1">
        <w:t xml:space="preserve">lumni </w:t>
      </w:r>
      <w:r>
        <w:t>n</w:t>
      </w:r>
      <w:r w:rsidRPr="000738E1">
        <w:t xml:space="preserve">etwork of </w:t>
      </w:r>
      <w:r>
        <w:t>their particular u</w:t>
      </w:r>
      <w:r w:rsidRPr="000738E1">
        <w:t xml:space="preserve">niversity or </w:t>
      </w:r>
      <w:r>
        <w:t>c</w:t>
      </w:r>
      <w:r w:rsidRPr="000738E1">
        <w:t>ollege</w:t>
      </w:r>
      <w:r>
        <w:t>.</w:t>
      </w:r>
    </w:p>
    <w:p w14:paraId="17E5F078" w14:textId="77777777" w:rsidR="00DE1F02" w:rsidRDefault="00DE1F02" w:rsidP="00A86BCC">
      <w:pPr>
        <w:pStyle w:val="Bullets"/>
      </w:pPr>
      <w:r>
        <w:t>Between 10% and 15% of students reported that they were unaware of any relevant alumni networks to join.</w:t>
      </w:r>
    </w:p>
    <w:sectPr w:rsidR="00DE1F02" w:rsidSect="00F5496A">
      <w:headerReference w:type="first" r:id="rId19"/>
      <w:footerReference w:type="first" r:id="rId20"/>
      <w:pgSz w:w="11907" w:h="16840" w:code="9"/>
      <w:pgMar w:top="1276" w:right="1418" w:bottom="1134" w:left="1418" w:header="488" w:footer="59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5F080" w14:textId="77777777" w:rsidR="0033711C" w:rsidRDefault="0033711C" w:rsidP="00BD40A7">
      <w:r>
        <w:separator/>
      </w:r>
    </w:p>
    <w:p w14:paraId="17E5F081" w14:textId="77777777" w:rsidR="0033711C" w:rsidRDefault="0033711C" w:rsidP="00BD40A7"/>
    <w:p w14:paraId="17E5F082" w14:textId="77777777" w:rsidR="0033711C" w:rsidRDefault="0033711C" w:rsidP="00BD40A7"/>
    <w:p w14:paraId="17E5F083" w14:textId="77777777" w:rsidR="0033711C" w:rsidRDefault="0033711C" w:rsidP="00BD40A7"/>
  </w:endnote>
  <w:endnote w:type="continuationSeparator" w:id="0">
    <w:p w14:paraId="17E5F084" w14:textId="77777777" w:rsidR="0033711C" w:rsidRDefault="0033711C" w:rsidP="00BD40A7">
      <w:r>
        <w:continuationSeparator/>
      </w:r>
    </w:p>
    <w:p w14:paraId="17E5F085" w14:textId="77777777" w:rsidR="0033711C" w:rsidRDefault="0033711C" w:rsidP="00BD40A7"/>
    <w:p w14:paraId="17E5F086" w14:textId="77777777" w:rsidR="0033711C" w:rsidRDefault="0033711C" w:rsidP="00BD40A7"/>
    <w:p w14:paraId="17E5F087" w14:textId="77777777" w:rsidR="0033711C" w:rsidRDefault="0033711C" w:rsidP="00BD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A" w14:textId="77777777" w:rsidR="005A6BDD" w:rsidRDefault="005A6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B" w14:textId="77777777" w:rsidR="005A6BDD" w:rsidRPr="000B2B41" w:rsidRDefault="005A6BDD" w:rsidP="000B2B41">
    <w:pPr>
      <w:pStyle w:val="Footer"/>
      <w:jc w:val="right"/>
    </w:pPr>
    <w:r>
      <w:rPr>
        <w:noProof/>
        <w:lang w:eastAsia="en-AU"/>
      </w:rPr>
      <w:t xml:space="preserve">Page </w:t>
    </w:r>
    <w:r w:rsidRPr="00F67C8B">
      <w:rPr>
        <w:rStyle w:val="PageNumber"/>
        <w:sz w:val="22"/>
      </w:rPr>
      <w:fldChar w:fldCharType="begin"/>
    </w:r>
    <w:r w:rsidRPr="00F67C8B">
      <w:rPr>
        <w:rStyle w:val="PageNumber"/>
        <w:sz w:val="22"/>
      </w:rPr>
      <w:instrText xml:space="preserve"> PAGE </w:instrText>
    </w:r>
    <w:r w:rsidRPr="00F67C8B">
      <w:rPr>
        <w:rStyle w:val="PageNumber"/>
        <w:sz w:val="22"/>
      </w:rPr>
      <w:fldChar w:fldCharType="separate"/>
    </w:r>
    <w:r w:rsidR="00675EC8">
      <w:rPr>
        <w:rStyle w:val="PageNumber"/>
        <w:noProof/>
        <w:sz w:val="22"/>
      </w:rPr>
      <w:t>15</w:t>
    </w:r>
    <w:r w:rsidRPr="00F67C8B">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D" w14:textId="77777777" w:rsidR="005A6BDD" w:rsidRDefault="005A6B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F" w14:textId="77777777" w:rsidR="0033711C" w:rsidRDefault="0033711C" w:rsidP="00DB09D5">
    <w:pPr>
      <w:pStyle w:val="Footer"/>
      <w:jc w:val="right"/>
    </w:pPr>
    <w:r>
      <w:rPr>
        <w:noProof/>
        <w:lang w:eastAsia="en-AU"/>
      </w:rPr>
      <w:t xml:space="preserve">Page </w:t>
    </w:r>
    <w:r w:rsidRPr="00F67C8B">
      <w:rPr>
        <w:rStyle w:val="PageNumber"/>
        <w:sz w:val="22"/>
      </w:rPr>
      <w:fldChar w:fldCharType="begin"/>
    </w:r>
    <w:r w:rsidRPr="00F67C8B">
      <w:rPr>
        <w:rStyle w:val="PageNumber"/>
        <w:sz w:val="22"/>
      </w:rPr>
      <w:instrText xml:space="preserve"> PAGE </w:instrText>
    </w:r>
    <w:r w:rsidRPr="00F67C8B">
      <w:rPr>
        <w:rStyle w:val="PageNumber"/>
        <w:sz w:val="22"/>
      </w:rPr>
      <w:fldChar w:fldCharType="separate"/>
    </w:r>
    <w:r w:rsidR="00675EC8">
      <w:rPr>
        <w:rStyle w:val="PageNumber"/>
        <w:noProof/>
        <w:sz w:val="22"/>
      </w:rPr>
      <w:t>1</w:t>
    </w:r>
    <w:r w:rsidRPr="00F67C8B">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5F07D" w14:textId="77777777" w:rsidR="0033711C" w:rsidRDefault="0033711C" w:rsidP="00BD40A7">
      <w:r>
        <w:separator/>
      </w:r>
    </w:p>
  </w:footnote>
  <w:footnote w:type="continuationSeparator" w:id="0">
    <w:p w14:paraId="17E5F07E" w14:textId="77777777" w:rsidR="0033711C" w:rsidRDefault="0033711C" w:rsidP="00BD40A7">
      <w:r>
        <w:continuationSeparator/>
      </w:r>
    </w:p>
  </w:footnote>
  <w:footnote w:type="continuationNotice" w:id="1">
    <w:p w14:paraId="17E5F07F" w14:textId="77777777" w:rsidR="0033711C" w:rsidRDefault="0033711C" w:rsidP="00BD40A7"/>
  </w:footnote>
  <w:footnote w:id="2">
    <w:p w14:paraId="17E5F090" w14:textId="77777777" w:rsidR="0033711C" w:rsidRPr="004B04CA" w:rsidRDefault="0033711C" w:rsidP="00D5133A">
      <w:pPr>
        <w:pStyle w:val="footnote"/>
      </w:pPr>
      <w:r>
        <w:rPr>
          <w:rStyle w:val="FootnoteReference"/>
        </w:rPr>
        <w:footnoteRef/>
      </w:r>
      <w:r>
        <w:tab/>
        <w:t>The number of targeted reminder email rounds (1 to 3) is indicated by the R1, R2 or R3 symbols. A ‘plus’ symbol (+) is shown where the fieldwork period was extended beyond the original due date.</w:t>
      </w:r>
    </w:p>
  </w:footnote>
  <w:footnote w:id="3">
    <w:p w14:paraId="17E5F091" w14:textId="77777777" w:rsidR="0033711C" w:rsidRDefault="0033711C" w:rsidP="00D5133A">
      <w:pPr>
        <w:pStyle w:val="footnote"/>
      </w:pPr>
      <w:r>
        <w:rPr>
          <w:rStyle w:val="FootnoteReference"/>
        </w:rPr>
        <w:footnoteRef/>
      </w:r>
      <w:r>
        <w:t xml:space="preserve"> </w:t>
      </w:r>
      <w:r>
        <w:tab/>
      </w:r>
      <w:r w:rsidRPr="00802FCB">
        <w:t xml:space="preserve">Note that these population figures </w:t>
      </w:r>
      <w:r>
        <w:t>exclude students who</w:t>
      </w:r>
      <w:r w:rsidRPr="00802FCB">
        <w:t xml:space="preserve"> were not able to be contacted (i.e. their emails bounced).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8" w14:textId="77777777" w:rsidR="005A6BDD" w:rsidRDefault="005A6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9" w14:textId="77777777" w:rsidR="005A6BDD" w:rsidRDefault="005A6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C" w14:textId="77777777" w:rsidR="005A6BDD" w:rsidRDefault="005A6B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F08E" w14:textId="77777777" w:rsidR="0033711C" w:rsidRPr="000B2B41" w:rsidRDefault="0033711C" w:rsidP="000B2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A09C80"/>
    <w:lvl w:ilvl="0">
      <w:start w:val="1"/>
      <w:numFmt w:val="decimal"/>
      <w:pStyle w:val="ListNumber4"/>
      <w:lvlText w:val="%1."/>
      <w:lvlJc w:val="left"/>
      <w:pPr>
        <w:tabs>
          <w:tab w:val="num" w:pos="1209"/>
        </w:tabs>
        <w:ind w:left="1209" w:hanging="360"/>
      </w:pPr>
    </w:lvl>
  </w:abstractNum>
  <w:abstractNum w:abstractNumId="1">
    <w:nsid w:val="0EC55085"/>
    <w:multiLevelType w:val="multilevel"/>
    <w:tmpl w:val="0BBEDE78"/>
    <w:lvl w:ilvl="0">
      <w:start w:val="1"/>
      <w:numFmt w:val="bullet"/>
      <w:pStyle w:val="DotPoints1"/>
      <w:lvlText w:val=""/>
      <w:lvlJc w:val="left"/>
      <w:pPr>
        <w:tabs>
          <w:tab w:val="num" w:pos="425"/>
        </w:tabs>
        <w:ind w:left="425" w:hanging="425"/>
      </w:pPr>
      <w:rPr>
        <w:rFonts w:ascii="Wingdings" w:hAnsi="Wingdings" w:hint="default"/>
        <w:sz w:val="2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3914FFB"/>
    <w:multiLevelType w:val="multilevel"/>
    <w:tmpl w:val="31B8E28A"/>
    <w:lvl w:ilvl="0">
      <w:start w:val="1"/>
      <w:numFmt w:val="upperRoman"/>
      <w:pStyle w:val="Heading1"/>
      <w:lvlText w:val="%1."/>
      <w:lvlJc w:val="left"/>
      <w:pPr>
        <w:ind w:left="1106" w:hanging="1106"/>
      </w:pPr>
      <w:rPr>
        <w:rFonts w:asciiTheme="minorHAnsi" w:hAnsiTheme="minorHAnsi" w:hint="default"/>
        <w:b/>
        <w:i w:val="0"/>
        <w:strike w:val="0"/>
        <w:dstrike w:val="0"/>
        <w:vanish w:val="0"/>
        <w:color w:val="17298D"/>
        <w:sz w:val="40"/>
        <w:vertAlign w:val="baseline"/>
      </w:rPr>
    </w:lvl>
    <w:lvl w:ilvl="1">
      <w:start w:val="1"/>
      <w:numFmt w:val="upperLetter"/>
      <w:pStyle w:val="Heading2"/>
      <w:lvlText w:val="%2."/>
      <w:lvlJc w:val="left"/>
      <w:pPr>
        <w:tabs>
          <w:tab w:val="num" w:pos="1106"/>
        </w:tabs>
        <w:ind w:left="1106" w:hanging="1106"/>
      </w:pPr>
      <w:rPr>
        <w:b/>
        <w:bCs w:val="0"/>
        <w:i w:val="0"/>
        <w:iCs w:val="0"/>
        <w:caps w:val="0"/>
        <w:smallCaps w:val="0"/>
        <w:strike w:val="0"/>
        <w:dstrike w:val="0"/>
        <w:outline w:val="0"/>
        <w:shadow w:val="0"/>
        <w:emboss w:val="0"/>
        <w:imprint w:val="0"/>
        <w:noProof w:val="0"/>
        <w:vanish w:val="0"/>
        <w:color w:val="17298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644"/>
        </w:tabs>
        <w:ind w:left="284" w:firstLine="0"/>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3">
    <w:nsid w:val="1FA81BBC"/>
    <w:multiLevelType w:val="hybridMultilevel"/>
    <w:tmpl w:val="65027A72"/>
    <w:lvl w:ilvl="0" w:tplc="03B8F112">
      <w:start w:val="1"/>
      <w:numFmt w:val="bullet"/>
      <w:pStyle w:val="Bullets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693120"/>
    <w:multiLevelType w:val="multilevel"/>
    <w:tmpl w:val="7DA6C8B4"/>
    <w:lvl w:ilvl="0">
      <w:start w:val="1"/>
      <w:numFmt w:val="bullet"/>
      <w:pStyle w:val="footnotebullets"/>
      <w:lvlText w:val=""/>
      <w:lvlJc w:val="left"/>
      <w:pPr>
        <w:tabs>
          <w:tab w:val="num" w:pos="708"/>
        </w:tabs>
        <w:ind w:left="708" w:hanging="425"/>
      </w:pPr>
      <w:rPr>
        <w:rFonts w:ascii="Symbol" w:hAnsi="Symbol" w:hint="default"/>
        <w:color w:val="000000" w:themeColor="text1"/>
      </w:rPr>
    </w:lvl>
    <w:lvl w:ilvl="1">
      <w:start w:val="1"/>
      <w:numFmt w:val="bullet"/>
      <w:lvlText w:val=""/>
      <w:lvlJc w:val="left"/>
      <w:pPr>
        <w:tabs>
          <w:tab w:val="num" w:pos="993"/>
        </w:tabs>
        <w:ind w:left="993" w:hanging="426"/>
      </w:pPr>
      <w:rPr>
        <w:rFonts w:ascii="Symbol" w:hAnsi="Symbol" w:hint="default"/>
      </w:rPr>
    </w:lvl>
    <w:lvl w:ilvl="2">
      <w:start w:val="1"/>
      <w:numFmt w:val="bullet"/>
      <w:lvlRestart w:val="0"/>
      <w:lvlText w:val=""/>
      <w:lvlJc w:val="left"/>
      <w:pPr>
        <w:tabs>
          <w:tab w:val="num" w:pos="1276"/>
        </w:tabs>
        <w:ind w:left="1276" w:hanging="425"/>
      </w:pPr>
      <w:rPr>
        <w:rFonts w:ascii="Symbol" w:hAnsi="Symbol" w:hint="default"/>
      </w:rPr>
    </w:lvl>
    <w:lvl w:ilvl="3">
      <w:start w:val="1"/>
      <w:numFmt w:val="bullet"/>
      <w:lvlRestart w:val="0"/>
      <w:lvlText w:val=""/>
      <w:lvlJc w:val="left"/>
      <w:pPr>
        <w:tabs>
          <w:tab w:val="num" w:pos="1701"/>
        </w:tabs>
        <w:ind w:left="1701" w:hanging="425"/>
      </w:pPr>
      <w:rPr>
        <w:rFonts w:ascii="Wingdings" w:hAnsi="Wingding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262E78B5"/>
    <w:multiLevelType w:val="multilevel"/>
    <w:tmpl w:val="45DED4B8"/>
    <w:lvl w:ilvl="0">
      <w:start w:val="1"/>
      <w:numFmt w:val="decimal"/>
      <w:pStyle w:val="NumberedList"/>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1EA2186"/>
    <w:multiLevelType w:val="multilevel"/>
    <w:tmpl w:val="3ACCF08C"/>
    <w:lvl w:ilvl="0">
      <w:start w:val="1"/>
      <w:numFmt w:val="bullet"/>
      <w:pStyle w:val="DotPoints2"/>
      <w:lvlText w:val=""/>
      <w:lvlJc w:val="left"/>
      <w:pPr>
        <w:tabs>
          <w:tab w:val="num" w:pos="708"/>
        </w:tabs>
        <w:ind w:left="708" w:hanging="425"/>
      </w:pPr>
      <w:rPr>
        <w:rFonts w:ascii="Symbol" w:hAnsi="Symbol" w:hint="default"/>
        <w:color w:val="000000" w:themeColor="text1"/>
      </w:rPr>
    </w:lvl>
    <w:lvl w:ilvl="1">
      <w:start w:val="1"/>
      <w:numFmt w:val="bullet"/>
      <w:lvlRestart w:val="0"/>
      <w:pStyle w:val="Bullets2"/>
      <w:lvlText w:val=""/>
      <w:lvlJc w:val="left"/>
      <w:pPr>
        <w:tabs>
          <w:tab w:val="num" w:pos="993"/>
        </w:tabs>
        <w:ind w:left="993" w:hanging="426"/>
      </w:pPr>
      <w:rPr>
        <w:rFonts w:ascii="Wingdings" w:hAnsi="Wingdings" w:hint="default"/>
      </w:rPr>
    </w:lvl>
    <w:lvl w:ilvl="2">
      <w:start w:val="1"/>
      <w:numFmt w:val="bullet"/>
      <w:lvlRestart w:val="0"/>
      <w:lvlText w:val=""/>
      <w:lvlJc w:val="left"/>
      <w:pPr>
        <w:tabs>
          <w:tab w:val="num" w:pos="1276"/>
        </w:tabs>
        <w:ind w:left="1276" w:hanging="425"/>
      </w:pPr>
      <w:rPr>
        <w:rFonts w:ascii="Symbol" w:hAnsi="Symbol" w:hint="default"/>
      </w:rPr>
    </w:lvl>
    <w:lvl w:ilvl="3">
      <w:start w:val="1"/>
      <w:numFmt w:val="bullet"/>
      <w:lvlRestart w:val="0"/>
      <w:lvlText w:val=""/>
      <w:lvlJc w:val="left"/>
      <w:pPr>
        <w:tabs>
          <w:tab w:val="num" w:pos="1701"/>
        </w:tabs>
        <w:ind w:left="1701" w:hanging="425"/>
      </w:pPr>
      <w:rPr>
        <w:rFonts w:ascii="Wingdings" w:hAnsi="Wingding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54A63132"/>
    <w:multiLevelType w:val="multilevel"/>
    <w:tmpl w:val="474CB1BC"/>
    <w:styleLink w:val="Headings"/>
    <w:lvl w:ilvl="0">
      <w:start w:val="1"/>
      <w:numFmt w:val="upperRoman"/>
      <w:lvlText w:val="%1."/>
      <w:lvlJc w:val="left"/>
      <w:pPr>
        <w:ind w:left="1106" w:hanging="1106"/>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tabs>
          <w:tab w:val="num" w:pos="1106"/>
        </w:tabs>
        <w:ind w:left="1106" w:hanging="1106"/>
      </w:pPr>
      <w:rPr>
        <w:rFonts w:asciiTheme="minorHAnsi" w:hAnsiTheme="minorHAnsi" w:hint="default"/>
        <w:b/>
        <w:bCs/>
        <w:i w:val="0"/>
        <w:iCs w:val="0"/>
        <w:caps w:val="0"/>
        <w:smallCaps w:val="0"/>
        <w:strike w:val="0"/>
        <w:dstrike w:val="0"/>
        <w:outline w:val="0"/>
        <w:shadow w:val="0"/>
        <w:emboss w:val="0"/>
        <w:imprint w:val="0"/>
        <w:vanish w:val="0"/>
        <w:color w:val="172983"/>
        <w:spacing w:val="0"/>
        <w:kern w:val="0"/>
        <w:position w:val="0"/>
        <w:sz w:val="36"/>
        <w:u w:val="none"/>
        <w:effect w:val="none"/>
        <w:vertAlign w:val="baseline"/>
        <w:em w:val="none"/>
        <w14:ligatures w14:val="none"/>
        <w14:numForm w14:val="default"/>
        <w14:numSpacing w14:val="default"/>
        <w14:stylisticSets/>
        <w14:cntxtAlts w14:val="0"/>
      </w:rPr>
    </w:lvl>
    <w:lvl w:ilvl="2">
      <w:start w:val="1"/>
      <w:numFmt w:val="none"/>
      <w:lvlText w:val=""/>
      <w:lvlJc w:val="left"/>
      <w:pPr>
        <w:tabs>
          <w:tab w:val="num" w:pos="644"/>
        </w:tabs>
        <w:ind w:left="284" w:firstLine="0"/>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8">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4"/>
  </w:num>
  <w:num w:numId="10">
    <w:abstractNumId w:val="2"/>
  </w:num>
  <w:num w:numId="11">
    <w:abstractNumId w:val="2"/>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245"/>
  <w:displayHorizontalDrawingGridEvery w:val="0"/>
  <w:noPunctuationKerning/>
  <w:characterSpacingControl w:val="doNotCompress"/>
  <w:hdrShapeDefaults>
    <o:shapedefaults v:ext="edit" spidmax="3686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21"/>
    <w:rsid w:val="000004EE"/>
    <w:rsid w:val="000008D5"/>
    <w:rsid w:val="00001078"/>
    <w:rsid w:val="0000116D"/>
    <w:rsid w:val="00001F7B"/>
    <w:rsid w:val="00004117"/>
    <w:rsid w:val="0000412C"/>
    <w:rsid w:val="00004191"/>
    <w:rsid w:val="00005AF5"/>
    <w:rsid w:val="00005BA5"/>
    <w:rsid w:val="00005DDD"/>
    <w:rsid w:val="00005F67"/>
    <w:rsid w:val="0000692C"/>
    <w:rsid w:val="00006AFC"/>
    <w:rsid w:val="00007326"/>
    <w:rsid w:val="00007AC8"/>
    <w:rsid w:val="000101E8"/>
    <w:rsid w:val="0001045C"/>
    <w:rsid w:val="000105A8"/>
    <w:rsid w:val="00010DF0"/>
    <w:rsid w:val="0001183E"/>
    <w:rsid w:val="00011FE9"/>
    <w:rsid w:val="00012410"/>
    <w:rsid w:val="0001282D"/>
    <w:rsid w:val="00012BC1"/>
    <w:rsid w:val="000137C7"/>
    <w:rsid w:val="00013CEC"/>
    <w:rsid w:val="000141D8"/>
    <w:rsid w:val="000143E0"/>
    <w:rsid w:val="00014842"/>
    <w:rsid w:val="00014AD3"/>
    <w:rsid w:val="00015898"/>
    <w:rsid w:val="0001589A"/>
    <w:rsid w:val="0001603E"/>
    <w:rsid w:val="000169D3"/>
    <w:rsid w:val="00016DB3"/>
    <w:rsid w:val="00017190"/>
    <w:rsid w:val="0001743C"/>
    <w:rsid w:val="000201F6"/>
    <w:rsid w:val="000202E4"/>
    <w:rsid w:val="000211E8"/>
    <w:rsid w:val="000212D3"/>
    <w:rsid w:val="0002233E"/>
    <w:rsid w:val="000224EC"/>
    <w:rsid w:val="00023422"/>
    <w:rsid w:val="00023656"/>
    <w:rsid w:val="000238C8"/>
    <w:rsid w:val="00023F5B"/>
    <w:rsid w:val="00024B99"/>
    <w:rsid w:val="000253F2"/>
    <w:rsid w:val="0002563A"/>
    <w:rsid w:val="000256E3"/>
    <w:rsid w:val="00025C14"/>
    <w:rsid w:val="0002679B"/>
    <w:rsid w:val="000267F0"/>
    <w:rsid w:val="00026B91"/>
    <w:rsid w:val="00026DBF"/>
    <w:rsid w:val="0002717D"/>
    <w:rsid w:val="000273E4"/>
    <w:rsid w:val="00027B5E"/>
    <w:rsid w:val="00027B71"/>
    <w:rsid w:val="000306B0"/>
    <w:rsid w:val="00030706"/>
    <w:rsid w:val="00030757"/>
    <w:rsid w:val="0003088E"/>
    <w:rsid w:val="00030D46"/>
    <w:rsid w:val="00030E1A"/>
    <w:rsid w:val="000310A0"/>
    <w:rsid w:val="000312DC"/>
    <w:rsid w:val="0003143F"/>
    <w:rsid w:val="000317CE"/>
    <w:rsid w:val="0003184D"/>
    <w:rsid w:val="00031F79"/>
    <w:rsid w:val="00032AB2"/>
    <w:rsid w:val="00033EA6"/>
    <w:rsid w:val="0003475D"/>
    <w:rsid w:val="0003664D"/>
    <w:rsid w:val="00036E9D"/>
    <w:rsid w:val="00036F57"/>
    <w:rsid w:val="00037B3C"/>
    <w:rsid w:val="00040070"/>
    <w:rsid w:val="00040AEE"/>
    <w:rsid w:val="00040C64"/>
    <w:rsid w:val="00040FDC"/>
    <w:rsid w:val="0004191D"/>
    <w:rsid w:val="0004275D"/>
    <w:rsid w:val="00042781"/>
    <w:rsid w:val="00042C63"/>
    <w:rsid w:val="000431BE"/>
    <w:rsid w:val="0004387E"/>
    <w:rsid w:val="000438A0"/>
    <w:rsid w:val="0004410E"/>
    <w:rsid w:val="0004444E"/>
    <w:rsid w:val="000447D2"/>
    <w:rsid w:val="00044CC4"/>
    <w:rsid w:val="00044CE4"/>
    <w:rsid w:val="000451D2"/>
    <w:rsid w:val="00045B09"/>
    <w:rsid w:val="0004781C"/>
    <w:rsid w:val="00047FCC"/>
    <w:rsid w:val="00050248"/>
    <w:rsid w:val="00050E2A"/>
    <w:rsid w:val="00050E7A"/>
    <w:rsid w:val="00051078"/>
    <w:rsid w:val="000510FE"/>
    <w:rsid w:val="0005140D"/>
    <w:rsid w:val="00051E07"/>
    <w:rsid w:val="00051E5F"/>
    <w:rsid w:val="000523C0"/>
    <w:rsid w:val="00052FCD"/>
    <w:rsid w:val="0005387D"/>
    <w:rsid w:val="00053B14"/>
    <w:rsid w:val="00053D07"/>
    <w:rsid w:val="00054703"/>
    <w:rsid w:val="000547B7"/>
    <w:rsid w:val="000554E7"/>
    <w:rsid w:val="00055B11"/>
    <w:rsid w:val="00055B12"/>
    <w:rsid w:val="00056816"/>
    <w:rsid w:val="00056B1A"/>
    <w:rsid w:val="00056C5E"/>
    <w:rsid w:val="00056C94"/>
    <w:rsid w:val="00056EC9"/>
    <w:rsid w:val="000570EB"/>
    <w:rsid w:val="00057666"/>
    <w:rsid w:val="000579A2"/>
    <w:rsid w:val="0006029D"/>
    <w:rsid w:val="000603CE"/>
    <w:rsid w:val="0006049E"/>
    <w:rsid w:val="0006096F"/>
    <w:rsid w:val="00060A1A"/>
    <w:rsid w:val="00060A47"/>
    <w:rsid w:val="000615D3"/>
    <w:rsid w:val="00061945"/>
    <w:rsid w:val="00061AC7"/>
    <w:rsid w:val="000624CA"/>
    <w:rsid w:val="000631E4"/>
    <w:rsid w:val="00063693"/>
    <w:rsid w:val="00063F2E"/>
    <w:rsid w:val="00063F61"/>
    <w:rsid w:val="0006409B"/>
    <w:rsid w:val="000640DD"/>
    <w:rsid w:val="0006536E"/>
    <w:rsid w:val="00065E91"/>
    <w:rsid w:val="00066AC6"/>
    <w:rsid w:val="000679D9"/>
    <w:rsid w:val="00067BC8"/>
    <w:rsid w:val="00070280"/>
    <w:rsid w:val="00070450"/>
    <w:rsid w:val="000705D5"/>
    <w:rsid w:val="00070D07"/>
    <w:rsid w:val="00071265"/>
    <w:rsid w:val="0007160E"/>
    <w:rsid w:val="00072032"/>
    <w:rsid w:val="0007241B"/>
    <w:rsid w:val="0007251B"/>
    <w:rsid w:val="00072783"/>
    <w:rsid w:val="00072913"/>
    <w:rsid w:val="000738E1"/>
    <w:rsid w:val="00074471"/>
    <w:rsid w:val="000748D3"/>
    <w:rsid w:val="0007496F"/>
    <w:rsid w:val="00075B74"/>
    <w:rsid w:val="00076028"/>
    <w:rsid w:val="000770CE"/>
    <w:rsid w:val="00077100"/>
    <w:rsid w:val="00077336"/>
    <w:rsid w:val="00077555"/>
    <w:rsid w:val="000776B4"/>
    <w:rsid w:val="0007786B"/>
    <w:rsid w:val="00077F32"/>
    <w:rsid w:val="000803CA"/>
    <w:rsid w:val="000805ED"/>
    <w:rsid w:val="00080616"/>
    <w:rsid w:val="00081333"/>
    <w:rsid w:val="000815A9"/>
    <w:rsid w:val="000816CA"/>
    <w:rsid w:val="00081A7C"/>
    <w:rsid w:val="00081D19"/>
    <w:rsid w:val="0008263E"/>
    <w:rsid w:val="00082BC2"/>
    <w:rsid w:val="00082E6A"/>
    <w:rsid w:val="00082EBC"/>
    <w:rsid w:val="00083434"/>
    <w:rsid w:val="0008369D"/>
    <w:rsid w:val="000839EE"/>
    <w:rsid w:val="0008483B"/>
    <w:rsid w:val="00084E1B"/>
    <w:rsid w:val="00084FB2"/>
    <w:rsid w:val="00085262"/>
    <w:rsid w:val="0008537A"/>
    <w:rsid w:val="00085CB8"/>
    <w:rsid w:val="00085EA0"/>
    <w:rsid w:val="000876F2"/>
    <w:rsid w:val="00090DD1"/>
    <w:rsid w:val="00091326"/>
    <w:rsid w:val="0009139E"/>
    <w:rsid w:val="00091B0D"/>
    <w:rsid w:val="000920FE"/>
    <w:rsid w:val="000921DD"/>
    <w:rsid w:val="000926A8"/>
    <w:rsid w:val="000926ED"/>
    <w:rsid w:val="00092785"/>
    <w:rsid w:val="000927DE"/>
    <w:rsid w:val="00092A40"/>
    <w:rsid w:val="00092C21"/>
    <w:rsid w:val="00092F35"/>
    <w:rsid w:val="00093422"/>
    <w:rsid w:val="00094065"/>
    <w:rsid w:val="00094480"/>
    <w:rsid w:val="00094A71"/>
    <w:rsid w:val="0009550E"/>
    <w:rsid w:val="00096200"/>
    <w:rsid w:val="0009665A"/>
    <w:rsid w:val="00096E29"/>
    <w:rsid w:val="0009799F"/>
    <w:rsid w:val="00097EB3"/>
    <w:rsid w:val="000A07D6"/>
    <w:rsid w:val="000A084C"/>
    <w:rsid w:val="000A0A30"/>
    <w:rsid w:val="000A131D"/>
    <w:rsid w:val="000A14BC"/>
    <w:rsid w:val="000A1601"/>
    <w:rsid w:val="000A16EA"/>
    <w:rsid w:val="000A186D"/>
    <w:rsid w:val="000A1986"/>
    <w:rsid w:val="000A1E1B"/>
    <w:rsid w:val="000A23B1"/>
    <w:rsid w:val="000A330E"/>
    <w:rsid w:val="000A34DE"/>
    <w:rsid w:val="000A3562"/>
    <w:rsid w:val="000A36B1"/>
    <w:rsid w:val="000A3A63"/>
    <w:rsid w:val="000A3E22"/>
    <w:rsid w:val="000A4B86"/>
    <w:rsid w:val="000A5E0F"/>
    <w:rsid w:val="000A648E"/>
    <w:rsid w:val="000A64F4"/>
    <w:rsid w:val="000A6B65"/>
    <w:rsid w:val="000A7647"/>
    <w:rsid w:val="000A7674"/>
    <w:rsid w:val="000A782D"/>
    <w:rsid w:val="000A7B87"/>
    <w:rsid w:val="000A7D48"/>
    <w:rsid w:val="000A7D6A"/>
    <w:rsid w:val="000A7FEA"/>
    <w:rsid w:val="000B01DA"/>
    <w:rsid w:val="000B0351"/>
    <w:rsid w:val="000B06B1"/>
    <w:rsid w:val="000B0F3C"/>
    <w:rsid w:val="000B0F80"/>
    <w:rsid w:val="000B1198"/>
    <w:rsid w:val="000B1486"/>
    <w:rsid w:val="000B1C3C"/>
    <w:rsid w:val="000B2166"/>
    <w:rsid w:val="000B2225"/>
    <w:rsid w:val="000B24F1"/>
    <w:rsid w:val="000B25D7"/>
    <w:rsid w:val="000B26C9"/>
    <w:rsid w:val="000B270A"/>
    <w:rsid w:val="000B2B41"/>
    <w:rsid w:val="000B3435"/>
    <w:rsid w:val="000B3EB2"/>
    <w:rsid w:val="000B4DBD"/>
    <w:rsid w:val="000B53ED"/>
    <w:rsid w:val="000B5641"/>
    <w:rsid w:val="000B5795"/>
    <w:rsid w:val="000B5833"/>
    <w:rsid w:val="000B634F"/>
    <w:rsid w:val="000B6D89"/>
    <w:rsid w:val="000B70BB"/>
    <w:rsid w:val="000B7880"/>
    <w:rsid w:val="000B7885"/>
    <w:rsid w:val="000B7A26"/>
    <w:rsid w:val="000C0174"/>
    <w:rsid w:val="000C18E5"/>
    <w:rsid w:val="000C1A9D"/>
    <w:rsid w:val="000C2605"/>
    <w:rsid w:val="000C27D1"/>
    <w:rsid w:val="000C2BDA"/>
    <w:rsid w:val="000C2E92"/>
    <w:rsid w:val="000C2FAA"/>
    <w:rsid w:val="000C3241"/>
    <w:rsid w:val="000C4BC1"/>
    <w:rsid w:val="000C4ECF"/>
    <w:rsid w:val="000C4FA7"/>
    <w:rsid w:val="000C5282"/>
    <w:rsid w:val="000C54A1"/>
    <w:rsid w:val="000C6452"/>
    <w:rsid w:val="000C78A7"/>
    <w:rsid w:val="000C7AB3"/>
    <w:rsid w:val="000D071C"/>
    <w:rsid w:val="000D09C5"/>
    <w:rsid w:val="000D0D0F"/>
    <w:rsid w:val="000D130D"/>
    <w:rsid w:val="000D16F4"/>
    <w:rsid w:val="000D1A89"/>
    <w:rsid w:val="000D1D6A"/>
    <w:rsid w:val="000D2194"/>
    <w:rsid w:val="000D3064"/>
    <w:rsid w:val="000D31FE"/>
    <w:rsid w:val="000D3586"/>
    <w:rsid w:val="000D3B26"/>
    <w:rsid w:val="000D501D"/>
    <w:rsid w:val="000D5981"/>
    <w:rsid w:val="000D5E37"/>
    <w:rsid w:val="000D5F8B"/>
    <w:rsid w:val="000D643E"/>
    <w:rsid w:val="000D69CF"/>
    <w:rsid w:val="000D6EE3"/>
    <w:rsid w:val="000D74DC"/>
    <w:rsid w:val="000D78E5"/>
    <w:rsid w:val="000D7920"/>
    <w:rsid w:val="000E0FC5"/>
    <w:rsid w:val="000E13D4"/>
    <w:rsid w:val="000E16C8"/>
    <w:rsid w:val="000E1B16"/>
    <w:rsid w:val="000E1CF7"/>
    <w:rsid w:val="000E1EB6"/>
    <w:rsid w:val="000E26FD"/>
    <w:rsid w:val="000E2958"/>
    <w:rsid w:val="000E3511"/>
    <w:rsid w:val="000E3683"/>
    <w:rsid w:val="000E3DC4"/>
    <w:rsid w:val="000E436E"/>
    <w:rsid w:val="000E4B10"/>
    <w:rsid w:val="000E4E3F"/>
    <w:rsid w:val="000E4F46"/>
    <w:rsid w:val="000E61B8"/>
    <w:rsid w:val="000E684F"/>
    <w:rsid w:val="000E68CC"/>
    <w:rsid w:val="000E6DBF"/>
    <w:rsid w:val="000E789D"/>
    <w:rsid w:val="000E7908"/>
    <w:rsid w:val="000E7F2F"/>
    <w:rsid w:val="000F01A0"/>
    <w:rsid w:val="000F045F"/>
    <w:rsid w:val="000F0888"/>
    <w:rsid w:val="000F0B34"/>
    <w:rsid w:val="000F0E77"/>
    <w:rsid w:val="000F0F1B"/>
    <w:rsid w:val="000F173B"/>
    <w:rsid w:val="000F22E2"/>
    <w:rsid w:val="000F32BE"/>
    <w:rsid w:val="000F350D"/>
    <w:rsid w:val="000F3E04"/>
    <w:rsid w:val="000F41A3"/>
    <w:rsid w:val="000F439C"/>
    <w:rsid w:val="000F441D"/>
    <w:rsid w:val="000F46B9"/>
    <w:rsid w:val="000F55C6"/>
    <w:rsid w:val="000F5A76"/>
    <w:rsid w:val="000F66DD"/>
    <w:rsid w:val="000F67E4"/>
    <w:rsid w:val="000F7682"/>
    <w:rsid w:val="000F7A11"/>
    <w:rsid w:val="000F7F2D"/>
    <w:rsid w:val="001006B2"/>
    <w:rsid w:val="00100E5B"/>
    <w:rsid w:val="0010137A"/>
    <w:rsid w:val="0010138D"/>
    <w:rsid w:val="0010142F"/>
    <w:rsid w:val="0010201C"/>
    <w:rsid w:val="0010232E"/>
    <w:rsid w:val="00102473"/>
    <w:rsid w:val="00102876"/>
    <w:rsid w:val="00103301"/>
    <w:rsid w:val="0010389B"/>
    <w:rsid w:val="00103AA2"/>
    <w:rsid w:val="00104739"/>
    <w:rsid w:val="001047E8"/>
    <w:rsid w:val="00104B2F"/>
    <w:rsid w:val="00104F67"/>
    <w:rsid w:val="00105380"/>
    <w:rsid w:val="00105A6A"/>
    <w:rsid w:val="00106170"/>
    <w:rsid w:val="001061B8"/>
    <w:rsid w:val="00106288"/>
    <w:rsid w:val="0010715D"/>
    <w:rsid w:val="00110E04"/>
    <w:rsid w:val="00111B2F"/>
    <w:rsid w:val="001123CA"/>
    <w:rsid w:val="00113469"/>
    <w:rsid w:val="001135ED"/>
    <w:rsid w:val="00114C53"/>
    <w:rsid w:val="001150EA"/>
    <w:rsid w:val="0011565F"/>
    <w:rsid w:val="00115BA2"/>
    <w:rsid w:val="00115BAB"/>
    <w:rsid w:val="00115C6F"/>
    <w:rsid w:val="00115E76"/>
    <w:rsid w:val="001161AC"/>
    <w:rsid w:val="0011638E"/>
    <w:rsid w:val="001165EA"/>
    <w:rsid w:val="00116F8C"/>
    <w:rsid w:val="0011703D"/>
    <w:rsid w:val="001174B8"/>
    <w:rsid w:val="001176CE"/>
    <w:rsid w:val="0011784B"/>
    <w:rsid w:val="00117932"/>
    <w:rsid w:val="00117AA0"/>
    <w:rsid w:val="001200A8"/>
    <w:rsid w:val="001201A6"/>
    <w:rsid w:val="001206E3"/>
    <w:rsid w:val="00121435"/>
    <w:rsid w:val="00121873"/>
    <w:rsid w:val="00122592"/>
    <w:rsid w:val="00122ADF"/>
    <w:rsid w:val="00122D5B"/>
    <w:rsid w:val="00123005"/>
    <w:rsid w:val="0012302F"/>
    <w:rsid w:val="0012390F"/>
    <w:rsid w:val="00123AC4"/>
    <w:rsid w:val="001246F6"/>
    <w:rsid w:val="001249BB"/>
    <w:rsid w:val="00124C84"/>
    <w:rsid w:val="00124CAC"/>
    <w:rsid w:val="0012589E"/>
    <w:rsid w:val="0012594A"/>
    <w:rsid w:val="00125D81"/>
    <w:rsid w:val="00126087"/>
    <w:rsid w:val="00126455"/>
    <w:rsid w:val="00126657"/>
    <w:rsid w:val="00126AF5"/>
    <w:rsid w:val="00126B26"/>
    <w:rsid w:val="00127958"/>
    <w:rsid w:val="00127CD2"/>
    <w:rsid w:val="00127D1E"/>
    <w:rsid w:val="00130489"/>
    <w:rsid w:val="00130B5C"/>
    <w:rsid w:val="001316B7"/>
    <w:rsid w:val="00131ABF"/>
    <w:rsid w:val="0013279E"/>
    <w:rsid w:val="00132BBE"/>
    <w:rsid w:val="00132E8F"/>
    <w:rsid w:val="0013338B"/>
    <w:rsid w:val="001338B9"/>
    <w:rsid w:val="00134A35"/>
    <w:rsid w:val="00135C6E"/>
    <w:rsid w:val="00136262"/>
    <w:rsid w:val="00136537"/>
    <w:rsid w:val="00136C50"/>
    <w:rsid w:val="00137003"/>
    <w:rsid w:val="0013729E"/>
    <w:rsid w:val="00137327"/>
    <w:rsid w:val="001377FE"/>
    <w:rsid w:val="00140080"/>
    <w:rsid w:val="001407D5"/>
    <w:rsid w:val="001408F9"/>
    <w:rsid w:val="00140994"/>
    <w:rsid w:val="00140A6D"/>
    <w:rsid w:val="00141644"/>
    <w:rsid w:val="001419B6"/>
    <w:rsid w:val="00141ED5"/>
    <w:rsid w:val="001422A9"/>
    <w:rsid w:val="001425B4"/>
    <w:rsid w:val="00142660"/>
    <w:rsid w:val="001431C8"/>
    <w:rsid w:val="001432B3"/>
    <w:rsid w:val="001447CD"/>
    <w:rsid w:val="0014575C"/>
    <w:rsid w:val="00145B37"/>
    <w:rsid w:val="0014641B"/>
    <w:rsid w:val="00146869"/>
    <w:rsid w:val="00146D7C"/>
    <w:rsid w:val="0014750D"/>
    <w:rsid w:val="001478E9"/>
    <w:rsid w:val="00147D22"/>
    <w:rsid w:val="00150577"/>
    <w:rsid w:val="00151030"/>
    <w:rsid w:val="00151459"/>
    <w:rsid w:val="001514B2"/>
    <w:rsid w:val="00152215"/>
    <w:rsid w:val="00152660"/>
    <w:rsid w:val="00152F4F"/>
    <w:rsid w:val="001531CD"/>
    <w:rsid w:val="001547A4"/>
    <w:rsid w:val="00154922"/>
    <w:rsid w:val="00155B40"/>
    <w:rsid w:val="0015600C"/>
    <w:rsid w:val="00156032"/>
    <w:rsid w:val="00156128"/>
    <w:rsid w:val="00156536"/>
    <w:rsid w:val="00156752"/>
    <w:rsid w:val="00156C80"/>
    <w:rsid w:val="00156FC4"/>
    <w:rsid w:val="001571F3"/>
    <w:rsid w:val="001574A3"/>
    <w:rsid w:val="00157566"/>
    <w:rsid w:val="00157785"/>
    <w:rsid w:val="00160445"/>
    <w:rsid w:val="00160C35"/>
    <w:rsid w:val="00160D98"/>
    <w:rsid w:val="00162FEC"/>
    <w:rsid w:val="001635A9"/>
    <w:rsid w:val="001635E2"/>
    <w:rsid w:val="00163E87"/>
    <w:rsid w:val="0016453B"/>
    <w:rsid w:val="00164590"/>
    <w:rsid w:val="00164A52"/>
    <w:rsid w:val="001651BC"/>
    <w:rsid w:val="001661D9"/>
    <w:rsid w:val="0016667C"/>
    <w:rsid w:val="0016693A"/>
    <w:rsid w:val="00166C24"/>
    <w:rsid w:val="00166D70"/>
    <w:rsid w:val="00166DC5"/>
    <w:rsid w:val="0016703C"/>
    <w:rsid w:val="001674C5"/>
    <w:rsid w:val="00167811"/>
    <w:rsid w:val="00167EC2"/>
    <w:rsid w:val="001703C8"/>
    <w:rsid w:val="0017059F"/>
    <w:rsid w:val="001711F5"/>
    <w:rsid w:val="0017198F"/>
    <w:rsid w:val="00172762"/>
    <w:rsid w:val="001729A9"/>
    <w:rsid w:val="001731FE"/>
    <w:rsid w:val="00173A2D"/>
    <w:rsid w:val="001748FA"/>
    <w:rsid w:val="00174D48"/>
    <w:rsid w:val="00174FCC"/>
    <w:rsid w:val="001752A2"/>
    <w:rsid w:val="00175CAC"/>
    <w:rsid w:val="00176920"/>
    <w:rsid w:val="00176966"/>
    <w:rsid w:val="00176B81"/>
    <w:rsid w:val="0017714E"/>
    <w:rsid w:val="00177DD0"/>
    <w:rsid w:val="00177FD6"/>
    <w:rsid w:val="00180906"/>
    <w:rsid w:val="00180A85"/>
    <w:rsid w:val="001811A2"/>
    <w:rsid w:val="001812EC"/>
    <w:rsid w:val="00182B14"/>
    <w:rsid w:val="00182C33"/>
    <w:rsid w:val="0018370C"/>
    <w:rsid w:val="00183CAC"/>
    <w:rsid w:val="00184283"/>
    <w:rsid w:val="0018571D"/>
    <w:rsid w:val="0018580B"/>
    <w:rsid w:val="00185A11"/>
    <w:rsid w:val="00185AE6"/>
    <w:rsid w:val="0018677E"/>
    <w:rsid w:val="0018682B"/>
    <w:rsid w:val="00186DB3"/>
    <w:rsid w:val="00187204"/>
    <w:rsid w:val="00187B17"/>
    <w:rsid w:val="0019013E"/>
    <w:rsid w:val="001911B2"/>
    <w:rsid w:val="001916B8"/>
    <w:rsid w:val="00191CEB"/>
    <w:rsid w:val="0019206F"/>
    <w:rsid w:val="001921FC"/>
    <w:rsid w:val="001922EE"/>
    <w:rsid w:val="001924A1"/>
    <w:rsid w:val="00192EFA"/>
    <w:rsid w:val="00192F61"/>
    <w:rsid w:val="00192F6B"/>
    <w:rsid w:val="001931B8"/>
    <w:rsid w:val="0019357B"/>
    <w:rsid w:val="001939AE"/>
    <w:rsid w:val="00193E7B"/>
    <w:rsid w:val="00194280"/>
    <w:rsid w:val="001942F3"/>
    <w:rsid w:val="00194561"/>
    <w:rsid w:val="00195413"/>
    <w:rsid w:val="001955CF"/>
    <w:rsid w:val="00195B04"/>
    <w:rsid w:val="00195F9A"/>
    <w:rsid w:val="00195FD9"/>
    <w:rsid w:val="00196083"/>
    <w:rsid w:val="001961FB"/>
    <w:rsid w:val="0019660D"/>
    <w:rsid w:val="001966F8"/>
    <w:rsid w:val="00196D3A"/>
    <w:rsid w:val="00197CD0"/>
    <w:rsid w:val="001A0FBF"/>
    <w:rsid w:val="001A15A2"/>
    <w:rsid w:val="001A1813"/>
    <w:rsid w:val="001A1A43"/>
    <w:rsid w:val="001A223C"/>
    <w:rsid w:val="001A33E4"/>
    <w:rsid w:val="001A3851"/>
    <w:rsid w:val="001A3910"/>
    <w:rsid w:val="001A49B4"/>
    <w:rsid w:val="001A506D"/>
    <w:rsid w:val="001A5856"/>
    <w:rsid w:val="001A607F"/>
    <w:rsid w:val="001A6BEA"/>
    <w:rsid w:val="001A7198"/>
    <w:rsid w:val="001A7489"/>
    <w:rsid w:val="001A7B5B"/>
    <w:rsid w:val="001B0199"/>
    <w:rsid w:val="001B040F"/>
    <w:rsid w:val="001B07E4"/>
    <w:rsid w:val="001B1A18"/>
    <w:rsid w:val="001B2003"/>
    <w:rsid w:val="001B218A"/>
    <w:rsid w:val="001B2395"/>
    <w:rsid w:val="001B2567"/>
    <w:rsid w:val="001B2BB9"/>
    <w:rsid w:val="001B2E67"/>
    <w:rsid w:val="001B2FEA"/>
    <w:rsid w:val="001B3235"/>
    <w:rsid w:val="001B3539"/>
    <w:rsid w:val="001B35C3"/>
    <w:rsid w:val="001B4722"/>
    <w:rsid w:val="001B47E2"/>
    <w:rsid w:val="001B511C"/>
    <w:rsid w:val="001B525E"/>
    <w:rsid w:val="001B5600"/>
    <w:rsid w:val="001B5620"/>
    <w:rsid w:val="001B5748"/>
    <w:rsid w:val="001B709C"/>
    <w:rsid w:val="001B7403"/>
    <w:rsid w:val="001B7A3E"/>
    <w:rsid w:val="001C1EE4"/>
    <w:rsid w:val="001C24EA"/>
    <w:rsid w:val="001C2D71"/>
    <w:rsid w:val="001C32BF"/>
    <w:rsid w:val="001C3624"/>
    <w:rsid w:val="001C3902"/>
    <w:rsid w:val="001C39BB"/>
    <w:rsid w:val="001C39DB"/>
    <w:rsid w:val="001C4534"/>
    <w:rsid w:val="001C46A5"/>
    <w:rsid w:val="001C49B0"/>
    <w:rsid w:val="001C4C36"/>
    <w:rsid w:val="001C50F9"/>
    <w:rsid w:val="001C56A3"/>
    <w:rsid w:val="001C5DFE"/>
    <w:rsid w:val="001C6730"/>
    <w:rsid w:val="001C6808"/>
    <w:rsid w:val="001C69C2"/>
    <w:rsid w:val="001C6E03"/>
    <w:rsid w:val="001C7051"/>
    <w:rsid w:val="001C7B55"/>
    <w:rsid w:val="001D0074"/>
    <w:rsid w:val="001D016E"/>
    <w:rsid w:val="001D02CC"/>
    <w:rsid w:val="001D0923"/>
    <w:rsid w:val="001D0FD2"/>
    <w:rsid w:val="001D10AA"/>
    <w:rsid w:val="001D142B"/>
    <w:rsid w:val="001D15CC"/>
    <w:rsid w:val="001D1A39"/>
    <w:rsid w:val="001D1B17"/>
    <w:rsid w:val="001D1FDA"/>
    <w:rsid w:val="001D22B2"/>
    <w:rsid w:val="001D24B3"/>
    <w:rsid w:val="001D2544"/>
    <w:rsid w:val="001D3050"/>
    <w:rsid w:val="001D3199"/>
    <w:rsid w:val="001D356E"/>
    <w:rsid w:val="001D35A6"/>
    <w:rsid w:val="001D36DB"/>
    <w:rsid w:val="001D38E8"/>
    <w:rsid w:val="001D3B8D"/>
    <w:rsid w:val="001D3CD7"/>
    <w:rsid w:val="001D3EF0"/>
    <w:rsid w:val="001D3F12"/>
    <w:rsid w:val="001D4076"/>
    <w:rsid w:val="001D43CD"/>
    <w:rsid w:val="001D4F33"/>
    <w:rsid w:val="001D5339"/>
    <w:rsid w:val="001D54B7"/>
    <w:rsid w:val="001D5561"/>
    <w:rsid w:val="001D589B"/>
    <w:rsid w:val="001D59D1"/>
    <w:rsid w:val="001D796A"/>
    <w:rsid w:val="001D7A23"/>
    <w:rsid w:val="001D7B6F"/>
    <w:rsid w:val="001D7DA8"/>
    <w:rsid w:val="001E0124"/>
    <w:rsid w:val="001E0217"/>
    <w:rsid w:val="001E07FE"/>
    <w:rsid w:val="001E0C2D"/>
    <w:rsid w:val="001E10FC"/>
    <w:rsid w:val="001E1149"/>
    <w:rsid w:val="001E1306"/>
    <w:rsid w:val="001E1766"/>
    <w:rsid w:val="001E2B0A"/>
    <w:rsid w:val="001E32AC"/>
    <w:rsid w:val="001E3821"/>
    <w:rsid w:val="001E47A7"/>
    <w:rsid w:val="001E4B07"/>
    <w:rsid w:val="001E5096"/>
    <w:rsid w:val="001E57B2"/>
    <w:rsid w:val="001E612C"/>
    <w:rsid w:val="001E70E2"/>
    <w:rsid w:val="001E72C7"/>
    <w:rsid w:val="001E7802"/>
    <w:rsid w:val="001F19CF"/>
    <w:rsid w:val="001F1E69"/>
    <w:rsid w:val="001F246F"/>
    <w:rsid w:val="001F2749"/>
    <w:rsid w:val="001F2C81"/>
    <w:rsid w:val="001F300A"/>
    <w:rsid w:val="001F374A"/>
    <w:rsid w:val="001F37DF"/>
    <w:rsid w:val="001F461E"/>
    <w:rsid w:val="001F4F48"/>
    <w:rsid w:val="001F513F"/>
    <w:rsid w:val="001F56F5"/>
    <w:rsid w:val="001F616D"/>
    <w:rsid w:val="001F68C6"/>
    <w:rsid w:val="001F701A"/>
    <w:rsid w:val="001F7C11"/>
    <w:rsid w:val="001F7ED1"/>
    <w:rsid w:val="001F7FF2"/>
    <w:rsid w:val="002000C3"/>
    <w:rsid w:val="002008B1"/>
    <w:rsid w:val="00201158"/>
    <w:rsid w:val="00201E02"/>
    <w:rsid w:val="00201F9D"/>
    <w:rsid w:val="0020205D"/>
    <w:rsid w:val="00203440"/>
    <w:rsid w:val="00203512"/>
    <w:rsid w:val="0020361E"/>
    <w:rsid w:val="00205024"/>
    <w:rsid w:val="00205886"/>
    <w:rsid w:val="00206139"/>
    <w:rsid w:val="0020625F"/>
    <w:rsid w:val="00206766"/>
    <w:rsid w:val="00207005"/>
    <w:rsid w:val="002075BF"/>
    <w:rsid w:val="00207B46"/>
    <w:rsid w:val="00207ECC"/>
    <w:rsid w:val="00207F08"/>
    <w:rsid w:val="002108B2"/>
    <w:rsid w:val="002108C3"/>
    <w:rsid w:val="00210CEC"/>
    <w:rsid w:val="002119D1"/>
    <w:rsid w:val="00211EE5"/>
    <w:rsid w:val="00213012"/>
    <w:rsid w:val="00213041"/>
    <w:rsid w:val="002131C7"/>
    <w:rsid w:val="0021324A"/>
    <w:rsid w:val="00213453"/>
    <w:rsid w:val="00213818"/>
    <w:rsid w:val="00213832"/>
    <w:rsid w:val="0021494B"/>
    <w:rsid w:val="00215E5F"/>
    <w:rsid w:val="002164DA"/>
    <w:rsid w:val="002177B3"/>
    <w:rsid w:val="0021785A"/>
    <w:rsid w:val="00220269"/>
    <w:rsid w:val="00220D91"/>
    <w:rsid w:val="00221A2D"/>
    <w:rsid w:val="00222304"/>
    <w:rsid w:val="002226C1"/>
    <w:rsid w:val="00222934"/>
    <w:rsid w:val="00222BEC"/>
    <w:rsid w:val="00222D4F"/>
    <w:rsid w:val="002238DD"/>
    <w:rsid w:val="002243AB"/>
    <w:rsid w:val="00224520"/>
    <w:rsid w:val="002252FD"/>
    <w:rsid w:val="00225326"/>
    <w:rsid w:val="00225583"/>
    <w:rsid w:val="00225BDB"/>
    <w:rsid w:val="00226897"/>
    <w:rsid w:val="002270F9"/>
    <w:rsid w:val="00227DA7"/>
    <w:rsid w:val="00227FED"/>
    <w:rsid w:val="002304AE"/>
    <w:rsid w:val="00230DE4"/>
    <w:rsid w:val="002315B6"/>
    <w:rsid w:val="00231731"/>
    <w:rsid w:val="002317DC"/>
    <w:rsid w:val="0023186A"/>
    <w:rsid w:val="00231A04"/>
    <w:rsid w:val="002323B5"/>
    <w:rsid w:val="0023265D"/>
    <w:rsid w:val="0023303A"/>
    <w:rsid w:val="0023303B"/>
    <w:rsid w:val="002332BC"/>
    <w:rsid w:val="0023361D"/>
    <w:rsid w:val="0023377B"/>
    <w:rsid w:val="00233D5A"/>
    <w:rsid w:val="00233F1C"/>
    <w:rsid w:val="002340B4"/>
    <w:rsid w:val="0023448C"/>
    <w:rsid w:val="00234A55"/>
    <w:rsid w:val="00234CB0"/>
    <w:rsid w:val="00234E44"/>
    <w:rsid w:val="002359A3"/>
    <w:rsid w:val="00235BC8"/>
    <w:rsid w:val="00235C13"/>
    <w:rsid w:val="00235F03"/>
    <w:rsid w:val="002360F4"/>
    <w:rsid w:val="00236ACE"/>
    <w:rsid w:val="00236C34"/>
    <w:rsid w:val="002370FC"/>
    <w:rsid w:val="0023785E"/>
    <w:rsid w:val="00237A0B"/>
    <w:rsid w:val="00237B30"/>
    <w:rsid w:val="00240638"/>
    <w:rsid w:val="00240DF3"/>
    <w:rsid w:val="002411D0"/>
    <w:rsid w:val="00241891"/>
    <w:rsid w:val="00242443"/>
    <w:rsid w:val="0024267C"/>
    <w:rsid w:val="002429D7"/>
    <w:rsid w:val="00242B88"/>
    <w:rsid w:val="00242F85"/>
    <w:rsid w:val="00243369"/>
    <w:rsid w:val="00243620"/>
    <w:rsid w:val="00244085"/>
    <w:rsid w:val="0024418B"/>
    <w:rsid w:val="00244B56"/>
    <w:rsid w:val="00244ED9"/>
    <w:rsid w:val="0024507C"/>
    <w:rsid w:val="00245180"/>
    <w:rsid w:val="00245CE2"/>
    <w:rsid w:val="00245F39"/>
    <w:rsid w:val="0024654D"/>
    <w:rsid w:val="00246904"/>
    <w:rsid w:val="002474CB"/>
    <w:rsid w:val="00247FB9"/>
    <w:rsid w:val="0025021D"/>
    <w:rsid w:val="002504D6"/>
    <w:rsid w:val="00250BF6"/>
    <w:rsid w:val="002510DC"/>
    <w:rsid w:val="0025119F"/>
    <w:rsid w:val="00251670"/>
    <w:rsid w:val="0025192B"/>
    <w:rsid w:val="002525B5"/>
    <w:rsid w:val="0025278D"/>
    <w:rsid w:val="00253959"/>
    <w:rsid w:val="00253C3A"/>
    <w:rsid w:val="00253D14"/>
    <w:rsid w:val="00253E40"/>
    <w:rsid w:val="00253E92"/>
    <w:rsid w:val="00253EA1"/>
    <w:rsid w:val="00255953"/>
    <w:rsid w:val="002559A8"/>
    <w:rsid w:val="00255A38"/>
    <w:rsid w:val="00256CCB"/>
    <w:rsid w:val="00256FC3"/>
    <w:rsid w:val="00257139"/>
    <w:rsid w:val="00257E02"/>
    <w:rsid w:val="00257FD7"/>
    <w:rsid w:val="00260B21"/>
    <w:rsid w:val="00260B25"/>
    <w:rsid w:val="00261C0B"/>
    <w:rsid w:val="00263C94"/>
    <w:rsid w:val="00265053"/>
    <w:rsid w:val="002650AB"/>
    <w:rsid w:val="00265305"/>
    <w:rsid w:val="00265563"/>
    <w:rsid w:val="002657FA"/>
    <w:rsid w:val="002658DE"/>
    <w:rsid w:val="002661A1"/>
    <w:rsid w:val="002661D3"/>
    <w:rsid w:val="00266323"/>
    <w:rsid w:val="0026666F"/>
    <w:rsid w:val="002667FE"/>
    <w:rsid w:val="002677E2"/>
    <w:rsid w:val="00267804"/>
    <w:rsid w:val="00267AA9"/>
    <w:rsid w:val="00267B77"/>
    <w:rsid w:val="00267EB7"/>
    <w:rsid w:val="002706F4"/>
    <w:rsid w:val="0027090D"/>
    <w:rsid w:val="00270B24"/>
    <w:rsid w:val="00270C9C"/>
    <w:rsid w:val="0027152F"/>
    <w:rsid w:val="0027169D"/>
    <w:rsid w:val="0027181C"/>
    <w:rsid w:val="00271971"/>
    <w:rsid w:val="00271B2C"/>
    <w:rsid w:val="00271E22"/>
    <w:rsid w:val="002727AB"/>
    <w:rsid w:val="0027303E"/>
    <w:rsid w:val="00273892"/>
    <w:rsid w:val="00273BA1"/>
    <w:rsid w:val="00273D52"/>
    <w:rsid w:val="0027468D"/>
    <w:rsid w:val="00274D70"/>
    <w:rsid w:val="00274EE1"/>
    <w:rsid w:val="00275620"/>
    <w:rsid w:val="0027575C"/>
    <w:rsid w:val="00275BAF"/>
    <w:rsid w:val="00275F88"/>
    <w:rsid w:val="002763C9"/>
    <w:rsid w:val="00276534"/>
    <w:rsid w:val="00276648"/>
    <w:rsid w:val="00276A8B"/>
    <w:rsid w:val="0028039E"/>
    <w:rsid w:val="00280496"/>
    <w:rsid w:val="00280D4E"/>
    <w:rsid w:val="00280DE6"/>
    <w:rsid w:val="00280DE8"/>
    <w:rsid w:val="00280FAE"/>
    <w:rsid w:val="0028114F"/>
    <w:rsid w:val="00281C07"/>
    <w:rsid w:val="00282384"/>
    <w:rsid w:val="00282594"/>
    <w:rsid w:val="0028440A"/>
    <w:rsid w:val="002845FB"/>
    <w:rsid w:val="00284605"/>
    <w:rsid w:val="00284947"/>
    <w:rsid w:val="00284A62"/>
    <w:rsid w:val="00285064"/>
    <w:rsid w:val="00285987"/>
    <w:rsid w:val="00285E5E"/>
    <w:rsid w:val="00285EB9"/>
    <w:rsid w:val="00286843"/>
    <w:rsid w:val="00286ACE"/>
    <w:rsid w:val="00286C7C"/>
    <w:rsid w:val="00287766"/>
    <w:rsid w:val="00287B9F"/>
    <w:rsid w:val="002903BF"/>
    <w:rsid w:val="002903DA"/>
    <w:rsid w:val="002918CD"/>
    <w:rsid w:val="002927CD"/>
    <w:rsid w:val="00292E8B"/>
    <w:rsid w:val="00293164"/>
    <w:rsid w:val="0029326A"/>
    <w:rsid w:val="00293307"/>
    <w:rsid w:val="0029366E"/>
    <w:rsid w:val="00293770"/>
    <w:rsid w:val="00293B0F"/>
    <w:rsid w:val="00293B72"/>
    <w:rsid w:val="00293CA5"/>
    <w:rsid w:val="00293CB8"/>
    <w:rsid w:val="0029402F"/>
    <w:rsid w:val="00294878"/>
    <w:rsid w:val="002948AE"/>
    <w:rsid w:val="00295930"/>
    <w:rsid w:val="0029621B"/>
    <w:rsid w:val="00297D32"/>
    <w:rsid w:val="002A01D8"/>
    <w:rsid w:val="002A08A5"/>
    <w:rsid w:val="002A0A0D"/>
    <w:rsid w:val="002A0B68"/>
    <w:rsid w:val="002A0BEE"/>
    <w:rsid w:val="002A2288"/>
    <w:rsid w:val="002A2390"/>
    <w:rsid w:val="002A27F5"/>
    <w:rsid w:val="002A2851"/>
    <w:rsid w:val="002A2B8B"/>
    <w:rsid w:val="002A3136"/>
    <w:rsid w:val="002A37FB"/>
    <w:rsid w:val="002A415F"/>
    <w:rsid w:val="002A4F28"/>
    <w:rsid w:val="002A5002"/>
    <w:rsid w:val="002A503F"/>
    <w:rsid w:val="002A5347"/>
    <w:rsid w:val="002A570E"/>
    <w:rsid w:val="002B0610"/>
    <w:rsid w:val="002B096C"/>
    <w:rsid w:val="002B0C60"/>
    <w:rsid w:val="002B1117"/>
    <w:rsid w:val="002B11EE"/>
    <w:rsid w:val="002B1264"/>
    <w:rsid w:val="002B14AB"/>
    <w:rsid w:val="002B18AB"/>
    <w:rsid w:val="002B1E95"/>
    <w:rsid w:val="002B2001"/>
    <w:rsid w:val="002B2290"/>
    <w:rsid w:val="002B2732"/>
    <w:rsid w:val="002B3191"/>
    <w:rsid w:val="002B49BC"/>
    <w:rsid w:val="002B4E09"/>
    <w:rsid w:val="002B50FF"/>
    <w:rsid w:val="002B57AA"/>
    <w:rsid w:val="002B6020"/>
    <w:rsid w:val="002B68E8"/>
    <w:rsid w:val="002B69C5"/>
    <w:rsid w:val="002B7317"/>
    <w:rsid w:val="002B7EE1"/>
    <w:rsid w:val="002B7FF3"/>
    <w:rsid w:val="002C0B1E"/>
    <w:rsid w:val="002C0EA3"/>
    <w:rsid w:val="002C19AB"/>
    <w:rsid w:val="002C1E3D"/>
    <w:rsid w:val="002C2388"/>
    <w:rsid w:val="002C25EE"/>
    <w:rsid w:val="002C37D2"/>
    <w:rsid w:val="002C3A28"/>
    <w:rsid w:val="002C3B46"/>
    <w:rsid w:val="002C3EC7"/>
    <w:rsid w:val="002C411D"/>
    <w:rsid w:val="002C44C1"/>
    <w:rsid w:val="002C56D6"/>
    <w:rsid w:val="002C5A68"/>
    <w:rsid w:val="002C5D49"/>
    <w:rsid w:val="002C6195"/>
    <w:rsid w:val="002C6401"/>
    <w:rsid w:val="002C6D96"/>
    <w:rsid w:val="002C738A"/>
    <w:rsid w:val="002C7871"/>
    <w:rsid w:val="002C7C53"/>
    <w:rsid w:val="002C7E3F"/>
    <w:rsid w:val="002D0C97"/>
    <w:rsid w:val="002D0F86"/>
    <w:rsid w:val="002D1066"/>
    <w:rsid w:val="002D11F6"/>
    <w:rsid w:val="002D16FA"/>
    <w:rsid w:val="002D1716"/>
    <w:rsid w:val="002D2F26"/>
    <w:rsid w:val="002D327D"/>
    <w:rsid w:val="002D363E"/>
    <w:rsid w:val="002D3688"/>
    <w:rsid w:val="002D3A81"/>
    <w:rsid w:val="002D3C07"/>
    <w:rsid w:val="002D43EA"/>
    <w:rsid w:val="002D4669"/>
    <w:rsid w:val="002D4E53"/>
    <w:rsid w:val="002D4F22"/>
    <w:rsid w:val="002D562D"/>
    <w:rsid w:val="002D5EC9"/>
    <w:rsid w:val="002D6CB9"/>
    <w:rsid w:val="002D733D"/>
    <w:rsid w:val="002D7580"/>
    <w:rsid w:val="002D7BAD"/>
    <w:rsid w:val="002E0633"/>
    <w:rsid w:val="002E1803"/>
    <w:rsid w:val="002E211C"/>
    <w:rsid w:val="002E27B2"/>
    <w:rsid w:val="002E2921"/>
    <w:rsid w:val="002E2A08"/>
    <w:rsid w:val="002E4401"/>
    <w:rsid w:val="002E4BBB"/>
    <w:rsid w:val="002E4D70"/>
    <w:rsid w:val="002E50A9"/>
    <w:rsid w:val="002E5732"/>
    <w:rsid w:val="002E6808"/>
    <w:rsid w:val="002E68BD"/>
    <w:rsid w:val="002E6B6C"/>
    <w:rsid w:val="002E6E23"/>
    <w:rsid w:val="002E772E"/>
    <w:rsid w:val="002E77B2"/>
    <w:rsid w:val="002E7858"/>
    <w:rsid w:val="002E7E66"/>
    <w:rsid w:val="002F034D"/>
    <w:rsid w:val="002F0468"/>
    <w:rsid w:val="002F0CA3"/>
    <w:rsid w:val="002F1599"/>
    <w:rsid w:val="002F20DB"/>
    <w:rsid w:val="002F21CA"/>
    <w:rsid w:val="002F2CB2"/>
    <w:rsid w:val="002F2E2A"/>
    <w:rsid w:val="002F2E4D"/>
    <w:rsid w:val="002F2F55"/>
    <w:rsid w:val="002F31B5"/>
    <w:rsid w:val="002F36FA"/>
    <w:rsid w:val="002F3953"/>
    <w:rsid w:val="002F4715"/>
    <w:rsid w:val="002F47D7"/>
    <w:rsid w:val="002F4E92"/>
    <w:rsid w:val="002F5198"/>
    <w:rsid w:val="002F5422"/>
    <w:rsid w:val="002F5568"/>
    <w:rsid w:val="002F575B"/>
    <w:rsid w:val="002F6940"/>
    <w:rsid w:val="002F6FE2"/>
    <w:rsid w:val="002F7C79"/>
    <w:rsid w:val="002F7E45"/>
    <w:rsid w:val="00300054"/>
    <w:rsid w:val="00300B6A"/>
    <w:rsid w:val="00301000"/>
    <w:rsid w:val="00302314"/>
    <w:rsid w:val="0030284D"/>
    <w:rsid w:val="00302BBC"/>
    <w:rsid w:val="00303317"/>
    <w:rsid w:val="00303675"/>
    <w:rsid w:val="00303729"/>
    <w:rsid w:val="00303908"/>
    <w:rsid w:val="00303B60"/>
    <w:rsid w:val="00303B75"/>
    <w:rsid w:val="00303DA1"/>
    <w:rsid w:val="00303EDF"/>
    <w:rsid w:val="00304F22"/>
    <w:rsid w:val="0030563A"/>
    <w:rsid w:val="0030658B"/>
    <w:rsid w:val="0030661C"/>
    <w:rsid w:val="00306650"/>
    <w:rsid w:val="003076D0"/>
    <w:rsid w:val="003079A1"/>
    <w:rsid w:val="00307A37"/>
    <w:rsid w:val="00307DA3"/>
    <w:rsid w:val="00310392"/>
    <w:rsid w:val="003111BB"/>
    <w:rsid w:val="0031151A"/>
    <w:rsid w:val="003118E4"/>
    <w:rsid w:val="003119A4"/>
    <w:rsid w:val="00312984"/>
    <w:rsid w:val="00312B6D"/>
    <w:rsid w:val="00313102"/>
    <w:rsid w:val="00313FB7"/>
    <w:rsid w:val="003150C1"/>
    <w:rsid w:val="00315733"/>
    <w:rsid w:val="00315747"/>
    <w:rsid w:val="00315988"/>
    <w:rsid w:val="00315A3C"/>
    <w:rsid w:val="00315BAC"/>
    <w:rsid w:val="003169EA"/>
    <w:rsid w:val="0031783C"/>
    <w:rsid w:val="0031784C"/>
    <w:rsid w:val="00317D3C"/>
    <w:rsid w:val="00320A8E"/>
    <w:rsid w:val="00320C0E"/>
    <w:rsid w:val="00320C9C"/>
    <w:rsid w:val="0032212C"/>
    <w:rsid w:val="00322456"/>
    <w:rsid w:val="00322BA8"/>
    <w:rsid w:val="00322DE0"/>
    <w:rsid w:val="00323005"/>
    <w:rsid w:val="0032332A"/>
    <w:rsid w:val="00323458"/>
    <w:rsid w:val="00323649"/>
    <w:rsid w:val="003237CC"/>
    <w:rsid w:val="00323B83"/>
    <w:rsid w:val="00324AC9"/>
    <w:rsid w:val="00324B59"/>
    <w:rsid w:val="003262AC"/>
    <w:rsid w:val="003265D0"/>
    <w:rsid w:val="0032704F"/>
    <w:rsid w:val="00327E3B"/>
    <w:rsid w:val="00330069"/>
    <w:rsid w:val="00330D87"/>
    <w:rsid w:val="00330E9C"/>
    <w:rsid w:val="003314C8"/>
    <w:rsid w:val="003316A2"/>
    <w:rsid w:val="003318EF"/>
    <w:rsid w:val="00331909"/>
    <w:rsid w:val="00331EF7"/>
    <w:rsid w:val="0033236E"/>
    <w:rsid w:val="00332487"/>
    <w:rsid w:val="00332E39"/>
    <w:rsid w:val="00333B22"/>
    <w:rsid w:val="00333E28"/>
    <w:rsid w:val="00333F31"/>
    <w:rsid w:val="0033429D"/>
    <w:rsid w:val="003344D8"/>
    <w:rsid w:val="00334CD0"/>
    <w:rsid w:val="00334E38"/>
    <w:rsid w:val="0033572C"/>
    <w:rsid w:val="00335A2F"/>
    <w:rsid w:val="003368EC"/>
    <w:rsid w:val="00336AFA"/>
    <w:rsid w:val="0033711C"/>
    <w:rsid w:val="00337F3A"/>
    <w:rsid w:val="00340843"/>
    <w:rsid w:val="00340E11"/>
    <w:rsid w:val="00341786"/>
    <w:rsid w:val="00341946"/>
    <w:rsid w:val="00341B6C"/>
    <w:rsid w:val="00341BE0"/>
    <w:rsid w:val="00342542"/>
    <w:rsid w:val="00342613"/>
    <w:rsid w:val="00342E44"/>
    <w:rsid w:val="00343036"/>
    <w:rsid w:val="003432ED"/>
    <w:rsid w:val="00343B8D"/>
    <w:rsid w:val="00343D0E"/>
    <w:rsid w:val="00343D74"/>
    <w:rsid w:val="00343F79"/>
    <w:rsid w:val="00344085"/>
    <w:rsid w:val="00344297"/>
    <w:rsid w:val="00344417"/>
    <w:rsid w:val="0034467B"/>
    <w:rsid w:val="0034512F"/>
    <w:rsid w:val="00345521"/>
    <w:rsid w:val="00345869"/>
    <w:rsid w:val="003459E0"/>
    <w:rsid w:val="00345F49"/>
    <w:rsid w:val="003461C8"/>
    <w:rsid w:val="003461D6"/>
    <w:rsid w:val="00346241"/>
    <w:rsid w:val="00346384"/>
    <w:rsid w:val="003469D0"/>
    <w:rsid w:val="00346AF0"/>
    <w:rsid w:val="00346C44"/>
    <w:rsid w:val="00346DF8"/>
    <w:rsid w:val="00346E12"/>
    <w:rsid w:val="003471E6"/>
    <w:rsid w:val="003471E9"/>
    <w:rsid w:val="00347F6C"/>
    <w:rsid w:val="003502E8"/>
    <w:rsid w:val="0035048D"/>
    <w:rsid w:val="00350588"/>
    <w:rsid w:val="00350795"/>
    <w:rsid w:val="00350C6E"/>
    <w:rsid w:val="003513D2"/>
    <w:rsid w:val="00351BDE"/>
    <w:rsid w:val="00352439"/>
    <w:rsid w:val="003546FF"/>
    <w:rsid w:val="0035472E"/>
    <w:rsid w:val="00354C85"/>
    <w:rsid w:val="00354C9D"/>
    <w:rsid w:val="0035538B"/>
    <w:rsid w:val="00355443"/>
    <w:rsid w:val="003558EB"/>
    <w:rsid w:val="00356091"/>
    <w:rsid w:val="00356B08"/>
    <w:rsid w:val="00357443"/>
    <w:rsid w:val="0035754A"/>
    <w:rsid w:val="00357690"/>
    <w:rsid w:val="0035791F"/>
    <w:rsid w:val="00357C37"/>
    <w:rsid w:val="00357C88"/>
    <w:rsid w:val="00357D31"/>
    <w:rsid w:val="0036075E"/>
    <w:rsid w:val="003610A7"/>
    <w:rsid w:val="00361E71"/>
    <w:rsid w:val="003624F4"/>
    <w:rsid w:val="003626B4"/>
    <w:rsid w:val="00362A72"/>
    <w:rsid w:val="00362B01"/>
    <w:rsid w:val="00362FF9"/>
    <w:rsid w:val="0036353E"/>
    <w:rsid w:val="003635E7"/>
    <w:rsid w:val="00363EEC"/>
    <w:rsid w:val="00363F20"/>
    <w:rsid w:val="00363F62"/>
    <w:rsid w:val="0036417A"/>
    <w:rsid w:val="00364F17"/>
    <w:rsid w:val="0036525F"/>
    <w:rsid w:val="00366252"/>
    <w:rsid w:val="003663A6"/>
    <w:rsid w:val="0036689A"/>
    <w:rsid w:val="00366D55"/>
    <w:rsid w:val="0036713B"/>
    <w:rsid w:val="00367236"/>
    <w:rsid w:val="00367310"/>
    <w:rsid w:val="00367333"/>
    <w:rsid w:val="00367936"/>
    <w:rsid w:val="00372054"/>
    <w:rsid w:val="00372314"/>
    <w:rsid w:val="00373112"/>
    <w:rsid w:val="003739AD"/>
    <w:rsid w:val="00373C80"/>
    <w:rsid w:val="00373CD7"/>
    <w:rsid w:val="0037423B"/>
    <w:rsid w:val="00374C5D"/>
    <w:rsid w:val="00374FA5"/>
    <w:rsid w:val="003757C1"/>
    <w:rsid w:val="00375EC5"/>
    <w:rsid w:val="0037691F"/>
    <w:rsid w:val="003769E1"/>
    <w:rsid w:val="00376E88"/>
    <w:rsid w:val="003775C5"/>
    <w:rsid w:val="0038086F"/>
    <w:rsid w:val="0038094A"/>
    <w:rsid w:val="00381178"/>
    <w:rsid w:val="00381759"/>
    <w:rsid w:val="00381B50"/>
    <w:rsid w:val="003826E1"/>
    <w:rsid w:val="00382BD2"/>
    <w:rsid w:val="00382DC5"/>
    <w:rsid w:val="0038403C"/>
    <w:rsid w:val="00384AE3"/>
    <w:rsid w:val="00384C5B"/>
    <w:rsid w:val="00384D23"/>
    <w:rsid w:val="00385108"/>
    <w:rsid w:val="003852E0"/>
    <w:rsid w:val="00385435"/>
    <w:rsid w:val="00385831"/>
    <w:rsid w:val="00385E3F"/>
    <w:rsid w:val="00385EEE"/>
    <w:rsid w:val="00386279"/>
    <w:rsid w:val="003864EF"/>
    <w:rsid w:val="003875D1"/>
    <w:rsid w:val="00387642"/>
    <w:rsid w:val="00387EDE"/>
    <w:rsid w:val="003904C4"/>
    <w:rsid w:val="00390922"/>
    <w:rsid w:val="00390C76"/>
    <w:rsid w:val="00390C7D"/>
    <w:rsid w:val="003911A7"/>
    <w:rsid w:val="003917B9"/>
    <w:rsid w:val="003918B0"/>
    <w:rsid w:val="00391DB0"/>
    <w:rsid w:val="0039281E"/>
    <w:rsid w:val="00392907"/>
    <w:rsid w:val="00392C0F"/>
    <w:rsid w:val="00392E62"/>
    <w:rsid w:val="00392FD4"/>
    <w:rsid w:val="00393047"/>
    <w:rsid w:val="003936E2"/>
    <w:rsid w:val="00393C8E"/>
    <w:rsid w:val="00393E0C"/>
    <w:rsid w:val="0039447F"/>
    <w:rsid w:val="00394B90"/>
    <w:rsid w:val="003950A9"/>
    <w:rsid w:val="00395ED7"/>
    <w:rsid w:val="00396404"/>
    <w:rsid w:val="0039652F"/>
    <w:rsid w:val="00396A84"/>
    <w:rsid w:val="00396D26"/>
    <w:rsid w:val="00396F79"/>
    <w:rsid w:val="00397D04"/>
    <w:rsid w:val="003A0723"/>
    <w:rsid w:val="003A0EDC"/>
    <w:rsid w:val="003A1276"/>
    <w:rsid w:val="003A1299"/>
    <w:rsid w:val="003A1937"/>
    <w:rsid w:val="003A1B19"/>
    <w:rsid w:val="003A1D19"/>
    <w:rsid w:val="003A1F0A"/>
    <w:rsid w:val="003A220A"/>
    <w:rsid w:val="003A2216"/>
    <w:rsid w:val="003A2533"/>
    <w:rsid w:val="003A25FB"/>
    <w:rsid w:val="003A2ADE"/>
    <w:rsid w:val="003A2B53"/>
    <w:rsid w:val="003A3414"/>
    <w:rsid w:val="003A49D1"/>
    <w:rsid w:val="003A59E1"/>
    <w:rsid w:val="003A5D6A"/>
    <w:rsid w:val="003A5DCD"/>
    <w:rsid w:val="003A7811"/>
    <w:rsid w:val="003B0F96"/>
    <w:rsid w:val="003B0FBD"/>
    <w:rsid w:val="003B1389"/>
    <w:rsid w:val="003B1859"/>
    <w:rsid w:val="003B22A5"/>
    <w:rsid w:val="003B22EB"/>
    <w:rsid w:val="003B231D"/>
    <w:rsid w:val="003B25F1"/>
    <w:rsid w:val="003B27CD"/>
    <w:rsid w:val="003B3200"/>
    <w:rsid w:val="003B33A6"/>
    <w:rsid w:val="003B364F"/>
    <w:rsid w:val="003B4035"/>
    <w:rsid w:val="003B43F0"/>
    <w:rsid w:val="003B4A82"/>
    <w:rsid w:val="003B4DBE"/>
    <w:rsid w:val="003B4DCF"/>
    <w:rsid w:val="003B57E9"/>
    <w:rsid w:val="003B5A28"/>
    <w:rsid w:val="003B623B"/>
    <w:rsid w:val="003B6F19"/>
    <w:rsid w:val="003B7060"/>
    <w:rsid w:val="003B71C0"/>
    <w:rsid w:val="003B721C"/>
    <w:rsid w:val="003B73A6"/>
    <w:rsid w:val="003B7577"/>
    <w:rsid w:val="003B7C47"/>
    <w:rsid w:val="003B7EB4"/>
    <w:rsid w:val="003C0015"/>
    <w:rsid w:val="003C028B"/>
    <w:rsid w:val="003C03DD"/>
    <w:rsid w:val="003C051B"/>
    <w:rsid w:val="003C0A81"/>
    <w:rsid w:val="003C0ABB"/>
    <w:rsid w:val="003C198A"/>
    <w:rsid w:val="003C1D0A"/>
    <w:rsid w:val="003C1D5E"/>
    <w:rsid w:val="003C2A41"/>
    <w:rsid w:val="003C349B"/>
    <w:rsid w:val="003C5A8C"/>
    <w:rsid w:val="003C62D7"/>
    <w:rsid w:val="003C676E"/>
    <w:rsid w:val="003C685C"/>
    <w:rsid w:val="003C6DDB"/>
    <w:rsid w:val="003C6DDD"/>
    <w:rsid w:val="003C7DD2"/>
    <w:rsid w:val="003D0637"/>
    <w:rsid w:val="003D18E6"/>
    <w:rsid w:val="003D2179"/>
    <w:rsid w:val="003D2316"/>
    <w:rsid w:val="003D2963"/>
    <w:rsid w:val="003D358C"/>
    <w:rsid w:val="003D3999"/>
    <w:rsid w:val="003D4049"/>
    <w:rsid w:val="003D40DC"/>
    <w:rsid w:val="003D4547"/>
    <w:rsid w:val="003D53B3"/>
    <w:rsid w:val="003D54F9"/>
    <w:rsid w:val="003D550B"/>
    <w:rsid w:val="003D56D1"/>
    <w:rsid w:val="003D5B5E"/>
    <w:rsid w:val="003D5F83"/>
    <w:rsid w:val="003D6B37"/>
    <w:rsid w:val="003D6B72"/>
    <w:rsid w:val="003D766C"/>
    <w:rsid w:val="003E001B"/>
    <w:rsid w:val="003E001E"/>
    <w:rsid w:val="003E01DE"/>
    <w:rsid w:val="003E051C"/>
    <w:rsid w:val="003E0CE2"/>
    <w:rsid w:val="003E0F75"/>
    <w:rsid w:val="003E151E"/>
    <w:rsid w:val="003E167E"/>
    <w:rsid w:val="003E2287"/>
    <w:rsid w:val="003E2459"/>
    <w:rsid w:val="003E2B13"/>
    <w:rsid w:val="003E2E3F"/>
    <w:rsid w:val="003E3C23"/>
    <w:rsid w:val="003E4DCB"/>
    <w:rsid w:val="003E4ED4"/>
    <w:rsid w:val="003E5000"/>
    <w:rsid w:val="003E51D2"/>
    <w:rsid w:val="003E5388"/>
    <w:rsid w:val="003E5938"/>
    <w:rsid w:val="003E5A22"/>
    <w:rsid w:val="003E5A57"/>
    <w:rsid w:val="003E5C9F"/>
    <w:rsid w:val="003E5D37"/>
    <w:rsid w:val="003E6006"/>
    <w:rsid w:val="003E68D1"/>
    <w:rsid w:val="003E6B5D"/>
    <w:rsid w:val="003E6ED7"/>
    <w:rsid w:val="003E6EF3"/>
    <w:rsid w:val="003E70E3"/>
    <w:rsid w:val="003E79E5"/>
    <w:rsid w:val="003F0096"/>
    <w:rsid w:val="003F0FF1"/>
    <w:rsid w:val="003F15DF"/>
    <w:rsid w:val="003F19D4"/>
    <w:rsid w:val="003F1AA9"/>
    <w:rsid w:val="003F20A2"/>
    <w:rsid w:val="003F22EA"/>
    <w:rsid w:val="003F3200"/>
    <w:rsid w:val="003F34EB"/>
    <w:rsid w:val="003F56F3"/>
    <w:rsid w:val="003F5D4E"/>
    <w:rsid w:val="003F6874"/>
    <w:rsid w:val="003F6A13"/>
    <w:rsid w:val="004008BC"/>
    <w:rsid w:val="00400C10"/>
    <w:rsid w:val="00400C2E"/>
    <w:rsid w:val="00400D69"/>
    <w:rsid w:val="00401195"/>
    <w:rsid w:val="00401AFE"/>
    <w:rsid w:val="004024BB"/>
    <w:rsid w:val="00402A57"/>
    <w:rsid w:val="00402F8E"/>
    <w:rsid w:val="00403920"/>
    <w:rsid w:val="00404044"/>
    <w:rsid w:val="00404154"/>
    <w:rsid w:val="00404B93"/>
    <w:rsid w:val="00404EAE"/>
    <w:rsid w:val="00404F36"/>
    <w:rsid w:val="00405A7B"/>
    <w:rsid w:val="00406378"/>
    <w:rsid w:val="0040678D"/>
    <w:rsid w:val="00406999"/>
    <w:rsid w:val="00406BB6"/>
    <w:rsid w:val="00407ADA"/>
    <w:rsid w:val="00407CAF"/>
    <w:rsid w:val="004104D3"/>
    <w:rsid w:val="00410B46"/>
    <w:rsid w:val="00410C4E"/>
    <w:rsid w:val="00410C81"/>
    <w:rsid w:val="004110B0"/>
    <w:rsid w:val="00411ACF"/>
    <w:rsid w:val="00412106"/>
    <w:rsid w:val="0041239D"/>
    <w:rsid w:val="00412CA5"/>
    <w:rsid w:val="0041305B"/>
    <w:rsid w:val="00413062"/>
    <w:rsid w:val="00413198"/>
    <w:rsid w:val="004135AF"/>
    <w:rsid w:val="0041397E"/>
    <w:rsid w:val="00414BA4"/>
    <w:rsid w:val="0041503E"/>
    <w:rsid w:val="0041565E"/>
    <w:rsid w:val="00415F8C"/>
    <w:rsid w:val="00417164"/>
    <w:rsid w:val="00417389"/>
    <w:rsid w:val="004173FA"/>
    <w:rsid w:val="00417967"/>
    <w:rsid w:val="00417D26"/>
    <w:rsid w:val="00420232"/>
    <w:rsid w:val="00420489"/>
    <w:rsid w:val="00420658"/>
    <w:rsid w:val="004208A0"/>
    <w:rsid w:val="004210EA"/>
    <w:rsid w:val="00422CCE"/>
    <w:rsid w:val="0042411C"/>
    <w:rsid w:val="0042443C"/>
    <w:rsid w:val="0042470C"/>
    <w:rsid w:val="00424B41"/>
    <w:rsid w:val="00424CC7"/>
    <w:rsid w:val="00424E91"/>
    <w:rsid w:val="00425A49"/>
    <w:rsid w:val="00425CC3"/>
    <w:rsid w:val="00425CD8"/>
    <w:rsid w:val="00425DB3"/>
    <w:rsid w:val="00425F31"/>
    <w:rsid w:val="0042600A"/>
    <w:rsid w:val="004260BA"/>
    <w:rsid w:val="00426114"/>
    <w:rsid w:val="00426AB4"/>
    <w:rsid w:val="00426D46"/>
    <w:rsid w:val="00430D84"/>
    <w:rsid w:val="004312B6"/>
    <w:rsid w:val="0043251C"/>
    <w:rsid w:val="00432785"/>
    <w:rsid w:val="00432B04"/>
    <w:rsid w:val="0043395D"/>
    <w:rsid w:val="00433C19"/>
    <w:rsid w:val="00434B97"/>
    <w:rsid w:val="004353B0"/>
    <w:rsid w:val="004368BE"/>
    <w:rsid w:val="00436EE7"/>
    <w:rsid w:val="00437432"/>
    <w:rsid w:val="00437869"/>
    <w:rsid w:val="00437C17"/>
    <w:rsid w:val="00437FE9"/>
    <w:rsid w:val="0044036A"/>
    <w:rsid w:val="00440DF8"/>
    <w:rsid w:val="0044139A"/>
    <w:rsid w:val="0044156E"/>
    <w:rsid w:val="00441869"/>
    <w:rsid w:val="00441921"/>
    <w:rsid w:val="00441A9C"/>
    <w:rsid w:val="00441C9A"/>
    <w:rsid w:val="0044230C"/>
    <w:rsid w:val="0044250F"/>
    <w:rsid w:val="0044289E"/>
    <w:rsid w:val="00442D4B"/>
    <w:rsid w:val="0044392A"/>
    <w:rsid w:val="00444CD3"/>
    <w:rsid w:val="00445320"/>
    <w:rsid w:val="004453C9"/>
    <w:rsid w:val="00445410"/>
    <w:rsid w:val="004463A9"/>
    <w:rsid w:val="00446DA1"/>
    <w:rsid w:val="0044739A"/>
    <w:rsid w:val="0045003F"/>
    <w:rsid w:val="0045025A"/>
    <w:rsid w:val="0045129B"/>
    <w:rsid w:val="004514C1"/>
    <w:rsid w:val="0045171D"/>
    <w:rsid w:val="004523CE"/>
    <w:rsid w:val="00452440"/>
    <w:rsid w:val="00452C26"/>
    <w:rsid w:val="004531C3"/>
    <w:rsid w:val="0045375A"/>
    <w:rsid w:val="00453968"/>
    <w:rsid w:val="004539EE"/>
    <w:rsid w:val="00453AA9"/>
    <w:rsid w:val="00453B78"/>
    <w:rsid w:val="00454499"/>
    <w:rsid w:val="004547DB"/>
    <w:rsid w:val="004548C8"/>
    <w:rsid w:val="00454BEB"/>
    <w:rsid w:val="0045593A"/>
    <w:rsid w:val="0045637E"/>
    <w:rsid w:val="0045734F"/>
    <w:rsid w:val="0045795B"/>
    <w:rsid w:val="00457A14"/>
    <w:rsid w:val="00457A9D"/>
    <w:rsid w:val="004602AD"/>
    <w:rsid w:val="004602F1"/>
    <w:rsid w:val="004603B5"/>
    <w:rsid w:val="00460AE2"/>
    <w:rsid w:val="00460F7A"/>
    <w:rsid w:val="0046231C"/>
    <w:rsid w:val="00463171"/>
    <w:rsid w:val="004634C5"/>
    <w:rsid w:val="004634D5"/>
    <w:rsid w:val="0046363A"/>
    <w:rsid w:val="00463B8A"/>
    <w:rsid w:val="00463CCE"/>
    <w:rsid w:val="00463EEF"/>
    <w:rsid w:val="00464145"/>
    <w:rsid w:val="004646F5"/>
    <w:rsid w:val="00464DB7"/>
    <w:rsid w:val="0046534F"/>
    <w:rsid w:val="004654FC"/>
    <w:rsid w:val="00466133"/>
    <w:rsid w:val="004662A6"/>
    <w:rsid w:val="0046647A"/>
    <w:rsid w:val="004672C6"/>
    <w:rsid w:val="00467397"/>
    <w:rsid w:val="0046796C"/>
    <w:rsid w:val="004700C8"/>
    <w:rsid w:val="00470F75"/>
    <w:rsid w:val="004711B7"/>
    <w:rsid w:val="00471287"/>
    <w:rsid w:val="004728B3"/>
    <w:rsid w:val="0047291C"/>
    <w:rsid w:val="0047321F"/>
    <w:rsid w:val="0047372A"/>
    <w:rsid w:val="00473CD9"/>
    <w:rsid w:val="00473EE2"/>
    <w:rsid w:val="0047462D"/>
    <w:rsid w:val="0047469D"/>
    <w:rsid w:val="00474C11"/>
    <w:rsid w:val="00474E19"/>
    <w:rsid w:val="00474E27"/>
    <w:rsid w:val="0047523A"/>
    <w:rsid w:val="00475A4D"/>
    <w:rsid w:val="00475CB8"/>
    <w:rsid w:val="00475E4A"/>
    <w:rsid w:val="00476904"/>
    <w:rsid w:val="00477183"/>
    <w:rsid w:val="004774D9"/>
    <w:rsid w:val="00480310"/>
    <w:rsid w:val="004811B0"/>
    <w:rsid w:val="004818A8"/>
    <w:rsid w:val="0048208B"/>
    <w:rsid w:val="0048238C"/>
    <w:rsid w:val="00482A0A"/>
    <w:rsid w:val="004830B6"/>
    <w:rsid w:val="004832C8"/>
    <w:rsid w:val="00483366"/>
    <w:rsid w:val="0048364C"/>
    <w:rsid w:val="00483ABC"/>
    <w:rsid w:val="00483BF7"/>
    <w:rsid w:val="00484440"/>
    <w:rsid w:val="00485170"/>
    <w:rsid w:val="00485315"/>
    <w:rsid w:val="00486D6E"/>
    <w:rsid w:val="004873CC"/>
    <w:rsid w:val="00487D51"/>
    <w:rsid w:val="004903CC"/>
    <w:rsid w:val="004919E5"/>
    <w:rsid w:val="00492483"/>
    <w:rsid w:val="00492EAC"/>
    <w:rsid w:val="00493757"/>
    <w:rsid w:val="0049381B"/>
    <w:rsid w:val="004939C6"/>
    <w:rsid w:val="0049401A"/>
    <w:rsid w:val="00494229"/>
    <w:rsid w:val="00495A18"/>
    <w:rsid w:val="004963BF"/>
    <w:rsid w:val="004968E9"/>
    <w:rsid w:val="0049724A"/>
    <w:rsid w:val="004977C4"/>
    <w:rsid w:val="004A0973"/>
    <w:rsid w:val="004A15A6"/>
    <w:rsid w:val="004A1A1E"/>
    <w:rsid w:val="004A2171"/>
    <w:rsid w:val="004A241B"/>
    <w:rsid w:val="004A24CE"/>
    <w:rsid w:val="004A2897"/>
    <w:rsid w:val="004A3521"/>
    <w:rsid w:val="004A366D"/>
    <w:rsid w:val="004A3E7E"/>
    <w:rsid w:val="004A47F7"/>
    <w:rsid w:val="004A4B9F"/>
    <w:rsid w:val="004A5AF6"/>
    <w:rsid w:val="004A60E7"/>
    <w:rsid w:val="004A6270"/>
    <w:rsid w:val="004A62D2"/>
    <w:rsid w:val="004A73DE"/>
    <w:rsid w:val="004A756F"/>
    <w:rsid w:val="004A79CE"/>
    <w:rsid w:val="004A7CF0"/>
    <w:rsid w:val="004B04CA"/>
    <w:rsid w:val="004B07C4"/>
    <w:rsid w:val="004B0C89"/>
    <w:rsid w:val="004B0DD1"/>
    <w:rsid w:val="004B1557"/>
    <w:rsid w:val="004B163F"/>
    <w:rsid w:val="004B1848"/>
    <w:rsid w:val="004B188B"/>
    <w:rsid w:val="004B38E1"/>
    <w:rsid w:val="004B3CA4"/>
    <w:rsid w:val="004B4C81"/>
    <w:rsid w:val="004B4E45"/>
    <w:rsid w:val="004B4FFF"/>
    <w:rsid w:val="004B5141"/>
    <w:rsid w:val="004B59BC"/>
    <w:rsid w:val="004B5A73"/>
    <w:rsid w:val="004B65A1"/>
    <w:rsid w:val="004B6621"/>
    <w:rsid w:val="004B6A71"/>
    <w:rsid w:val="004B7790"/>
    <w:rsid w:val="004C035D"/>
    <w:rsid w:val="004C083D"/>
    <w:rsid w:val="004C0AFB"/>
    <w:rsid w:val="004C114F"/>
    <w:rsid w:val="004C1E17"/>
    <w:rsid w:val="004C376A"/>
    <w:rsid w:val="004C5835"/>
    <w:rsid w:val="004C671E"/>
    <w:rsid w:val="004C6E24"/>
    <w:rsid w:val="004C7023"/>
    <w:rsid w:val="004D09F2"/>
    <w:rsid w:val="004D147E"/>
    <w:rsid w:val="004D1FC3"/>
    <w:rsid w:val="004D2179"/>
    <w:rsid w:val="004D253B"/>
    <w:rsid w:val="004D2576"/>
    <w:rsid w:val="004D28EF"/>
    <w:rsid w:val="004D306E"/>
    <w:rsid w:val="004D3134"/>
    <w:rsid w:val="004D34F1"/>
    <w:rsid w:val="004D37E1"/>
    <w:rsid w:val="004D388B"/>
    <w:rsid w:val="004D4CA7"/>
    <w:rsid w:val="004D4D68"/>
    <w:rsid w:val="004D557A"/>
    <w:rsid w:val="004D598A"/>
    <w:rsid w:val="004D5B2E"/>
    <w:rsid w:val="004D5B81"/>
    <w:rsid w:val="004D6044"/>
    <w:rsid w:val="004D6245"/>
    <w:rsid w:val="004D6C12"/>
    <w:rsid w:val="004D6CF2"/>
    <w:rsid w:val="004D6FEF"/>
    <w:rsid w:val="004D7571"/>
    <w:rsid w:val="004D7642"/>
    <w:rsid w:val="004D7ACA"/>
    <w:rsid w:val="004D7E9D"/>
    <w:rsid w:val="004D7ED4"/>
    <w:rsid w:val="004E1060"/>
    <w:rsid w:val="004E1617"/>
    <w:rsid w:val="004E1CC6"/>
    <w:rsid w:val="004E2C70"/>
    <w:rsid w:val="004E3D07"/>
    <w:rsid w:val="004E3F95"/>
    <w:rsid w:val="004E4389"/>
    <w:rsid w:val="004E6110"/>
    <w:rsid w:val="004E6905"/>
    <w:rsid w:val="004E6A08"/>
    <w:rsid w:val="004E6BAE"/>
    <w:rsid w:val="004E6E47"/>
    <w:rsid w:val="004E701A"/>
    <w:rsid w:val="004E7342"/>
    <w:rsid w:val="004E7632"/>
    <w:rsid w:val="004E772B"/>
    <w:rsid w:val="004E7DBB"/>
    <w:rsid w:val="004F011A"/>
    <w:rsid w:val="004F0B32"/>
    <w:rsid w:val="004F0BC8"/>
    <w:rsid w:val="004F0DFC"/>
    <w:rsid w:val="004F10E9"/>
    <w:rsid w:val="004F133B"/>
    <w:rsid w:val="004F19BD"/>
    <w:rsid w:val="004F19D0"/>
    <w:rsid w:val="004F1D61"/>
    <w:rsid w:val="004F2269"/>
    <w:rsid w:val="004F29BA"/>
    <w:rsid w:val="004F29CE"/>
    <w:rsid w:val="004F2B3D"/>
    <w:rsid w:val="004F2E52"/>
    <w:rsid w:val="004F3484"/>
    <w:rsid w:val="004F3795"/>
    <w:rsid w:val="004F385D"/>
    <w:rsid w:val="004F3F4A"/>
    <w:rsid w:val="004F5608"/>
    <w:rsid w:val="004F565C"/>
    <w:rsid w:val="004F5C48"/>
    <w:rsid w:val="004F5CE8"/>
    <w:rsid w:val="004F5D87"/>
    <w:rsid w:val="004F5F8B"/>
    <w:rsid w:val="004F626A"/>
    <w:rsid w:val="004F6673"/>
    <w:rsid w:val="004F72EA"/>
    <w:rsid w:val="00500318"/>
    <w:rsid w:val="005003F2"/>
    <w:rsid w:val="00500641"/>
    <w:rsid w:val="00500A2C"/>
    <w:rsid w:val="00500B5B"/>
    <w:rsid w:val="00500C4B"/>
    <w:rsid w:val="00500FBA"/>
    <w:rsid w:val="005012BA"/>
    <w:rsid w:val="0050138D"/>
    <w:rsid w:val="00501AA2"/>
    <w:rsid w:val="00501F3F"/>
    <w:rsid w:val="00503342"/>
    <w:rsid w:val="00503CB9"/>
    <w:rsid w:val="00503D5A"/>
    <w:rsid w:val="00503E15"/>
    <w:rsid w:val="0050465E"/>
    <w:rsid w:val="00504821"/>
    <w:rsid w:val="00504D8E"/>
    <w:rsid w:val="00504E07"/>
    <w:rsid w:val="005055EE"/>
    <w:rsid w:val="00505917"/>
    <w:rsid w:val="00506155"/>
    <w:rsid w:val="005064D8"/>
    <w:rsid w:val="00510079"/>
    <w:rsid w:val="005107AB"/>
    <w:rsid w:val="0051104A"/>
    <w:rsid w:val="005111C7"/>
    <w:rsid w:val="00511720"/>
    <w:rsid w:val="005121E5"/>
    <w:rsid w:val="005126CC"/>
    <w:rsid w:val="00512EF5"/>
    <w:rsid w:val="0051312E"/>
    <w:rsid w:val="00513447"/>
    <w:rsid w:val="00514164"/>
    <w:rsid w:val="0051506C"/>
    <w:rsid w:val="005150CC"/>
    <w:rsid w:val="005152F8"/>
    <w:rsid w:val="00515404"/>
    <w:rsid w:val="00516233"/>
    <w:rsid w:val="00516BB4"/>
    <w:rsid w:val="00516FBD"/>
    <w:rsid w:val="0051760E"/>
    <w:rsid w:val="0051772A"/>
    <w:rsid w:val="00517BBE"/>
    <w:rsid w:val="00520437"/>
    <w:rsid w:val="00520AE1"/>
    <w:rsid w:val="00520BE4"/>
    <w:rsid w:val="00521345"/>
    <w:rsid w:val="00521D40"/>
    <w:rsid w:val="00523893"/>
    <w:rsid w:val="00523ADC"/>
    <w:rsid w:val="00523D6C"/>
    <w:rsid w:val="00524345"/>
    <w:rsid w:val="005247A5"/>
    <w:rsid w:val="0052492D"/>
    <w:rsid w:val="00525234"/>
    <w:rsid w:val="00525344"/>
    <w:rsid w:val="00525387"/>
    <w:rsid w:val="00525B43"/>
    <w:rsid w:val="005267C0"/>
    <w:rsid w:val="00526CDD"/>
    <w:rsid w:val="00527237"/>
    <w:rsid w:val="00527741"/>
    <w:rsid w:val="00527774"/>
    <w:rsid w:val="00527AD8"/>
    <w:rsid w:val="00527F46"/>
    <w:rsid w:val="0053006F"/>
    <w:rsid w:val="0053069D"/>
    <w:rsid w:val="00530A09"/>
    <w:rsid w:val="00530C48"/>
    <w:rsid w:val="00530ED8"/>
    <w:rsid w:val="00531A0E"/>
    <w:rsid w:val="005329A3"/>
    <w:rsid w:val="00533371"/>
    <w:rsid w:val="00533B2A"/>
    <w:rsid w:val="00533EFF"/>
    <w:rsid w:val="005342D0"/>
    <w:rsid w:val="00534DAD"/>
    <w:rsid w:val="00535147"/>
    <w:rsid w:val="0053518F"/>
    <w:rsid w:val="00535A9B"/>
    <w:rsid w:val="00535F6A"/>
    <w:rsid w:val="00537070"/>
    <w:rsid w:val="00537710"/>
    <w:rsid w:val="0054018A"/>
    <w:rsid w:val="005420B3"/>
    <w:rsid w:val="00542384"/>
    <w:rsid w:val="005423FF"/>
    <w:rsid w:val="00542924"/>
    <w:rsid w:val="00543AD8"/>
    <w:rsid w:val="00543C9A"/>
    <w:rsid w:val="00544213"/>
    <w:rsid w:val="005447BC"/>
    <w:rsid w:val="00545C4F"/>
    <w:rsid w:val="0054611F"/>
    <w:rsid w:val="00546D9D"/>
    <w:rsid w:val="005470F3"/>
    <w:rsid w:val="0054727A"/>
    <w:rsid w:val="0054798D"/>
    <w:rsid w:val="005501BB"/>
    <w:rsid w:val="00551102"/>
    <w:rsid w:val="0055135F"/>
    <w:rsid w:val="005513DB"/>
    <w:rsid w:val="0055192E"/>
    <w:rsid w:val="00552161"/>
    <w:rsid w:val="0055329C"/>
    <w:rsid w:val="00553DB2"/>
    <w:rsid w:val="0055489D"/>
    <w:rsid w:val="0055538F"/>
    <w:rsid w:val="00555A34"/>
    <w:rsid w:val="00556025"/>
    <w:rsid w:val="00556314"/>
    <w:rsid w:val="00556990"/>
    <w:rsid w:val="0055732A"/>
    <w:rsid w:val="0055777D"/>
    <w:rsid w:val="00557A62"/>
    <w:rsid w:val="005607AD"/>
    <w:rsid w:val="00560A1D"/>
    <w:rsid w:val="005614A8"/>
    <w:rsid w:val="005614D3"/>
    <w:rsid w:val="0056239D"/>
    <w:rsid w:val="00562856"/>
    <w:rsid w:val="0056303A"/>
    <w:rsid w:val="00564334"/>
    <w:rsid w:val="005646F9"/>
    <w:rsid w:val="00565482"/>
    <w:rsid w:val="0056575E"/>
    <w:rsid w:val="005658BD"/>
    <w:rsid w:val="00566634"/>
    <w:rsid w:val="0056738F"/>
    <w:rsid w:val="00567A88"/>
    <w:rsid w:val="00567BCE"/>
    <w:rsid w:val="00567C3C"/>
    <w:rsid w:val="00567DAA"/>
    <w:rsid w:val="005701FD"/>
    <w:rsid w:val="0057097F"/>
    <w:rsid w:val="00570B5F"/>
    <w:rsid w:val="00570FB5"/>
    <w:rsid w:val="00570FBE"/>
    <w:rsid w:val="0057120B"/>
    <w:rsid w:val="005716F8"/>
    <w:rsid w:val="00571CF1"/>
    <w:rsid w:val="00571E88"/>
    <w:rsid w:val="00572041"/>
    <w:rsid w:val="00572648"/>
    <w:rsid w:val="00572C92"/>
    <w:rsid w:val="0057343A"/>
    <w:rsid w:val="00573DEF"/>
    <w:rsid w:val="0057439E"/>
    <w:rsid w:val="00574537"/>
    <w:rsid w:val="005745EF"/>
    <w:rsid w:val="0057466F"/>
    <w:rsid w:val="0057575F"/>
    <w:rsid w:val="0057588F"/>
    <w:rsid w:val="00576264"/>
    <w:rsid w:val="0057642F"/>
    <w:rsid w:val="00576B4D"/>
    <w:rsid w:val="00576EDF"/>
    <w:rsid w:val="00576FB5"/>
    <w:rsid w:val="00576FD3"/>
    <w:rsid w:val="0057747D"/>
    <w:rsid w:val="0057764A"/>
    <w:rsid w:val="00577A5C"/>
    <w:rsid w:val="00577B93"/>
    <w:rsid w:val="00577B99"/>
    <w:rsid w:val="00577CAA"/>
    <w:rsid w:val="00580295"/>
    <w:rsid w:val="005810CB"/>
    <w:rsid w:val="00581A6E"/>
    <w:rsid w:val="00581FA0"/>
    <w:rsid w:val="005838E6"/>
    <w:rsid w:val="00583958"/>
    <w:rsid w:val="00583A10"/>
    <w:rsid w:val="00583C44"/>
    <w:rsid w:val="00584187"/>
    <w:rsid w:val="00584AC4"/>
    <w:rsid w:val="00584DBB"/>
    <w:rsid w:val="00585432"/>
    <w:rsid w:val="00585BA5"/>
    <w:rsid w:val="00586AFA"/>
    <w:rsid w:val="00586FE4"/>
    <w:rsid w:val="005873AF"/>
    <w:rsid w:val="005877E0"/>
    <w:rsid w:val="00587898"/>
    <w:rsid w:val="00587940"/>
    <w:rsid w:val="00590382"/>
    <w:rsid w:val="005903B9"/>
    <w:rsid w:val="005904A6"/>
    <w:rsid w:val="00590525"/>
    <w:rsid w:val="00590830"/>
    <w:rsid w:val="005908CB"/>
    <w:rsid w:val="00590A6C"/>
    <w:rsid w:val="00590F3D"/>
    <w:rsid w:val="0059169E"/>
    <w:rsid w:val="00591931"/>
    <w:rsid w:val="0059196E"/>
    <w:rsid w:val="00591A69"/>
    <w:rsid w:val="00591D40"/>
    <w:rsid w:val="00591E45"/>
    <w:rsid w:val="00592D56"/>
    <w:rsid w:val="005933EE"/>
    <w:rsid w:val="00594EDF"/>
    <w:rsid w:val="005952A0"/>
    <w:rsid w:val="0059541F"/>
    <w:rsid w:val="005956A0"/>
    <w:rsid w:val="00595A1E"/>
    <w:rsid w:val="00595B28"/>
    <w:rsid w:val="005968E8"/>
    <w:rsid w:val="005970A4"/>
    <w:rsid w:val="005979BA"/>
    <w:rsid w:val="00597C15"/>
    <w:rsid w:val="005A0389"/>
    <w:rsid w:val="005A043A"/>
    <w:rsid w:val="005A045E"/>
    <w:rsid w:val="005A09DB"/>
    <w:rsid w:val="005A0AEB"/>
    <w:rsid w:val="005A1105"/>
    <w:rsid w:val="005A1661"/>
    <w:rsid w:val="005A230A"/>
    <w:rsid w:val="005A2A8B"/>
    <w:rsid w:val="005A2C00"/>
    <w:rsid w:val="005A2EE4"/>
    <w:rsid w:val="005A30AC"/>
    <w:rsid w:val="005A30B8"/>
    <w:rsid w:val="005A389E"/>
    <w:rsid w:val="005A3D9A"/>
    <w:rsid w:val="005A4084"/>
    <w:rsid w:val="005A4500"/>
    <w:rsid w:val="005A4804"/>
    <w:rsid w:val="005A54A0"/>
    <w:rsid w:val="005A5724"/>
    <w:rsid w:val="005A634B"/>
    <w:rsid w:val="005A6BDD"/>
    <w:rsid w:val="005B06D4"/>
    <w:rsid w:val="005B08F5"/>
    <w:rsid w:val="005B096B"/>
    <w:rsid w:val="005B098D"/>
    <w:rsid w:val="005B0E9D"/>
    <w:rsid w:val="005B1246"/>
    <w:rsid w:val="005B2A54"/>
    <w:rsid w:val="005B2AAD"/>
    <w:rsid w:val="005B3053"/>
    <w:rsid w:val="005B3AB4"/>
    <w:rsid w:val="005B41AB"/>
    <w:rsid w:val="005B4CCE"/>
    <w:rsid w:val="005B5787"/>
    <w:rsid w:val="005B59E3"/>
    <w:rsid w:val="005B5EE5"/>
    <w:rsid w:val="005B6068"/>
    <w:rsid w:val="005B6A69"/>
    <w:rsid w:val="005B6C2D"/>
    <w:rsid w:val="005B6ED2"/>
    <w:rsid w:val="005B783D"/>
    <w:rsid w:val="005C02D9"/>
    <w:rsid w:val="005C0455"/>
    <w:rsid w:val="005C051F"/>
    <w:rsid w:val="005C0A57"/>
    <w:rsid w:val="005C0F26"/>
    <w:rsid w:val="005C116B"/>
    <w:rsid w:val="005C1271"/>
    <w:rsid w:val="005C1301"/>
    <w:rsid w:val="005C1773"/>
    <w:rsid w:val="005C28D6"/>
    <w:rsid w:val="005C305B"/>
    <w:rsid w:val="005C3E8F"/>
    <w:rsid w:val="005C3FDF"/>
    <w:rsid w:val="005C42D8"/>
    <w:rsid w:val="005C5389"/>
    <w:rsid w:val="005C569F"/>
    <w:rsid w:val="005C5CD3"/>
    <w:rsid w:val="005C7148"/>
    <w:rsid w:val="005C7FBC"/>
    <w:rsid w:val="005D0016"/>
    <w:rsid w:val="005D01F2"/>
    <w:rsid w:val="005D04A8"/>
    <w:rsid w:val="005D0CAA"/>
    <w:rsid w:val="005D0F9C"/>
    <w:rsid w:val="005D13B1"/>
    <w:rsid w:val="005D1664"/>
    <w:rsid w:val="005D1B64"/>
    <w:rsid w:val="005D1CB1"/>
    <w:rsid w:val="005D1CDD"/>
    <w:rsid w:val="005D1DD5"/>
    <w:rsid w:val="005D2C0D"/>
    <w:rsid w:val="005D2ED9"/>
    <w:rsid w:val="005D32A0"/>
    <w:rsid w:val="005D3FD3"/>
    <w:rsid w:val="005D4511"/>
    <w:rsid w:val="005D5678"/>
    <w:rsid w:val="005D625E"/>
    <w:rsid w:val="005D63EC"/>
    <w:rsid w:val="005D6634"/>
    <w:rsid w:val="005D66AE"/>
    <w:rsid w:val="005D71E3"/>
    <w:rsid w:val="005D77CA"/>
    <w:rsid w:val="005E0556"/>
    <w:rsid w:val="005E0B49"/>
    <w:rsid w:val="005E1677"/>
    <w:rsid w:val="005E16F7"/>
    <w:rsid w:val="005E21DC"/>
    <w:rsid w:val="005E22AB"/>
    <w:rsid w:val="005E2692"/>
    <w:rsid w:val="005E28C6"/>
    <w:rsid w:val="005E2F5F"/>
    <w:rsid w:val="005E3589"/>
    <w:rsid w:val="005E3619"/>
    <w:rsid w:val="005E46FF"/>
    <w:rsid w:val="005E47DB"/>
    <w:rsid w:val="005E4873"/>
    <w:rsid w:val="005E49FD"/>
    <w:rsid w:val="005E516B"/>
    <w:rsid w:val="005E52F7"/>
    <w:rsid w:val="005E57D3"/>
    <w:rsid w:val="005E618A"/>
    <w:rsid w:val="005E62EC"/>
    <w:rsid w:val="005E6414"/>
    <w:rsid w:val="005E6A69"/>
    <w:rsid w:val="005E6B0B"/>
    <w:rsid w:val="005F052F"/>
    <w:rsid w:val="005F0552"/>
    <w:rsid w:val="005F0C8F"/>
    <w:rsid w:val="005F1BF2"/>
    <w:rsid w:val="005F1F3E"/>
    <w:rsid w:val="005F2284"/>
    <w:rsid w:val="005F2E46"/>
    <w:rsid w:val="005F30D1"/>
    <w:rsid w:val="005F356B"/>
    <w:rsid w:val="005F35F6"/>
    <w:rsid w:val="005F3CA2"/>
    <w:rsid w:val="005F3CC5"/>
    <w:rsid w:val="005F3D33"/>
    <w:rsid w:val="005F49BD"/>
    <w:rsid w:val="005F564F"/>
    <w:rsid w:val="005F5AD0"/>
    <w:rsid w:val="005F6031"/>
    <w:rsid w:val="005F69FC"/>
    <w:rsid w:val="005F752E"/>
    <w:rsid w:val="005F780B"/>
    <w:rsid w:val="005F79C7"/>
    <w:rsid w:val="005F7D83"/>
    <w:rsid w:val="005F7E5A"/>
    <w:rsid w:val="005F7F77"/>
    <w:rsid w:val="006003DB"/>
    <w:rsid w:val="00600418"/>
    <w:rsid w:val="00600704"/>
    <w:rsid w:val="00600A64"/>
    <w:rsid w:val="00600EBA"/>
    <w:rsid w:val="0060121E"/>
    <w:rsid w:val="00601FE7"/>
    <w:rsid w:val="006021A0"/>
    <w:rsid w:val="006021B5"/>
    <w:rsid w:val="0060237A"/>
    <w:rsid w:val="00602589"/>
    <w:rsid w:val="006025A7"/>
    <w:rsid w:val="006033FC"/>
    <w:rsid w:val="0060356D"/>
    <w:rsid w:val="006036A0"/>
    <w:rsid w:val="0060377B"/>
    <w:rsid w:val="0060378B"/>
    <w:rsid w:val="0060435D"/>
    <w:rsid w:val="00604B72"/>
    <w:rsid w:val="00604D72"/>
    <w:rsid w:val="006053DA"/>
    <w:rsid w:val="00606540"/>
    <w:rsid w:val="00606E86"/>
    <w:rsid w:val="00607F8A"/>
    <w:rsid w:val="006100C0"/>
    <w:rsid w:val="00610573"/>
    <w:rsid w:val="00610670"/>
    <w:rsid w:val="00611482"/>
    <w:rsid w:val="00611CE5"/>
    <w:rsid w:val="00611F07"/>
    <w:rsid w:val="0061308B"/>
    <w:rsid w:val="00613998"/>
    <w:rsid w:val="00613F13"/>
    <w:rsid w:val="00613F58"/>
    <w:rsid w:val="00614604"/>
    <w:rsid w:val="00614F54"/>
    <w:rsid w:val="00615612"/>
    <w:rsid w:val="00615BD5"/>
    <w:rsid w:val="00616170"/>
    <w:rsid w:val="006161A5"/>
    <w:rsid w:val="00616242"/>
    <w:rsid w:val="00616BE3"/>
    <w:rsid w:val="00616BE7"/>
    <w:rsid w:val="00616DA5"/>
    <w:rsid w:val="00616E3C"/>
    <w:rsid w:val="00616F55"/>
    <w:rsid w:val="0061713B"/>
    <w:rsid w:val="00617363"/>
    <w:rsid w:val="00617FFA"/>
    <w:rsid w:val="0062052B"/>
    <w:rsid w:val="00620847"/>
    <w:rsid w:val="00620BD7"/>
    <w:rsid w:val="00620E1B"/>
    <w:rsid w:val="0062144C"/>
    <w:rsid w:val="006214F9"/>
    <w:rsid w:val="006220E8"/>
    <w:rsid w:val="00622121"/>
    <w:rsid w:val="00622423"/>
    <w:rsid w:val="00622477"/>
    <w:rsid w:val="00622B28"/>
    <w:rsid w:val="00622E1B"/>
    <w:rsid w:val="00622F94"/>
    <w:rsid w:val="00623673"/>
    <w:rsid w:val="00623A5D"/>
    <w:rsid w:val="00623DBD"/>
    <w:rsid w:val="00623F67"/>
    <w:rsid w:val="00624140"/>
    <w:rsid w:val="006241A0"/>
    <w:rsid w:val="006242B1"/>
    <w:rsid w:val="006243CA"/>
    <w:rsid w:val="00625768"/>
    <w:rsid w:val="006257F0"/>
    <w:rsid w:val="006273EB"/>
    <w:rsid w:val="00627D6A"/>
    <w:rsid w:val="00630152"/>
    <w:rsid w:val="00630293"/>
    <w:rsid w:val="0063031C"/>
    <w:rsid w:val="00630574"/>
    <w:rsid w:val="00631D00"/>
    <w:rsid w:val="00633781"/>
    <w:rsid w:val="00633E24"/>
    <w:rsid w:val="00633E40"/>
    <w:rsid w:val="00634249"/>
    <w:rsid w:val="00634742"/>
    <w:rsid w:val="00634DC0"/>
    <w:rsid w:val="00634EE3"/>
    <w:rsid w:val="0063544F"/>
    <w:rsid w:val="006358FE"/>
    <w:rsid w:val="00635B7A"/>
    <w:rsid w:val="00635B7C"/>
    <w:rsid w:val="006360B4"/>
    <w:rsid w:val="006361EE"/>
    <w:rsid w:val="006363E9"/>
    <w:rsid w:val="00636D09"/>
    <w:rsid w:val="00637406"/>
    <w:rsid w:val="00637518"/>
    <w:rsid w:val="00640230"/>
    <w:rsid w:val="00642117"/>
    <w:rsid w:val="006424DE"/>
    <w:rsid w:val="00642561"/>
    <w:rsid w:val="00642B09"/>
    <w:rsid w:val="00642B2B"/>
    <w:rsid w:val="00642B88"/>
    <w:rsid w:val="00642F49"/>
    <w:rsid w:val="006434DD"/>
    <w:rsid w:val="00643740"/>
    <w:rsid w:val="00643AE4"/>
    <w:rsid w:val="00643BEC"/>
    <w:rsid w:val="006441A5"/>
    <w:rsid w:val="006446D1"/>
    <w:rsid w:val="00644A51"/>
    <w:rsid w:val="00644A98"/>
    <w:rsid w:val="00644B25"/>
    <w:rsid w:val="00645495"/>
    <w:rsid w:val="00646411"/>
    <w:rsid w:val="00646FC8"/>
    <w:rsid w:val="0064718E"/>
    <w:rsid w:val="00647461"/>
    <w:rsid w:val="0064755E"/>
    <w:rsid w:val="00650A03"/>
    <w:rsid w:val="00651B99"/>
    <w:rsid w:val="00651E79"/>
    <w:rsid w:val="00652DB3"/>
    <w:rsid w:val="00652F05"/>
    <w:rsid w:val="00653A01"/>
    <w:rsid w:val="00654790"/>
    <w:rsid w:val="00654896"/>
    <w:rsid w:val="00655220"/>
    <w:rsid w:val="006552AB"/>
    <w:rsid w:val="0065545C"/>
    <w:rsid w:val="006558CB"/>
    <w:rsid w:val="00655962"/>
    <w:rsid w:val="006565B1"/>
    <w:rsid w:val="00656E69"/>
    <w:rsid w:val="0066014B"/>
    <w:rsid w:val="00660EC6"/>
    <w:rsid w:val="006617B1"/>
    <w:rsid w:val="00661966"/>
    <w:rsid w:val="00661ABC"/>
    <w:rsid w:val="00661E7A"/>
    <w:rsid w:val="0066284C"/>
    <w:rsid w:val="00663427"/>
    <w:rsid w:val="00663ACE"/>
    <w:rsid w:val="00664639"/>
    <w:rsid w:val="00664687"/>
    <w:rsid w:val="00664EC1"/>
    <w:rsid w:val="00665851"/>
    <w:rsid w:val="00665E83"/>
    <w:rsid w:val="00665E96"/>
    <w:rsid w:val="00666F01"/>
    <w:rsid w:val="006670BC"/>
    <w:rsid w:val="0066724D"/>
    <w:rsid w:val="0066741D"/>
    <w:rsid w:val="00667979"/>
    <w:rsid w:val="00667C13"/>
    <w:rsid w:val="00667CDD"/>
    <w:rsid w:val="00670755"/>
    <w:rsid w:val="00670DAB"/>
    <w:rsid w:val="00670E4B"/>
    <w:rsid w:val="00671310"/>
    <w:rsid w:val="00671975"/>
    <w:rsid w:val="006719EA"/>
    <w:rsid w:val="00671B9D"/>
    <w:rsid w:val="00671C00"/>
    <w:rsid w:val="00671F10"/>
    <w:rsid w:val="00672039"/>
    <w:rsid w:val="006724AF"/>
    <w:rsid w:val="00672528"/>
    <w:rsid w:val="006728EE"/>
    <w:rsid w:val="00672BEF"/>
    <w:rsid w:val="006730D7"/>
    <w:rsid w:val="006732EF"/>
    <w:rsid w:val="006736F3"/>
    <w:rsid w:val="006737CF"/>
    <w:rsid w:val="00673867"/>
    <w:rsid w:val="0067399A"/>
    <w:rsid w:val="006748A8"/>
    <w:rsid w:val="00674933"/>
    <w:rsid w:val="0067503E"/>
    <w:rsid w:val="006758C9"/>
    <w:rsid w:val="00675A84"/>
    <w:rsid w:val="00675C66"/>
    <w:rsid w:val="00675EC8"/>
    <w:rsid w:val="00675EEC"/>
    <w:rsid w:val="006761A9"/>
    <w:rsid w:val="00676454"/>
    <w:rsid w:val="00676558"/>
    <w:rsid w:val="00676583"/>
    <w:rsid w:val="00676A7D"/>
    <w:rsid w:val="00677171"/>
    <w:rsid w:val="00677224"/>
    <w:rsid w:val="00677369"/>
    <w:rsid w:val="00677561"/>
    <w:rsid w:val="00677AFE"/>
    <w:rsid w:val="00677BFF"/>
    <w:rsid w:val="00680542"/>
    <w:rsid w:val="0068084A"/>
    <w:rsid w:val="00680A99"/>
    <w:rsid w:val="00680B5E"/>
    <w:rsid w:val="00680B9F"/>
    <w:rsid w:val="00680D64"/>
    <w:rsid w:val="00681900"/>
    <w:rsid w:val="00682061"/>
    <w:rsid w:val="0068220F"/>
    <w:rsid w:val="00683643"/>
    <w:rsid w:val="00683731"/>
    <w:rsid w:val="00683846"/>
    <w:rsid w:val="0068397F"/>
    <w:rsid w:val="00683A8F"/>
    <w:rsid w:val="00683E1D"/>
    <w:rsid w:val="0068420B"/>
    <w:rsid w:val="00684AD9"/>
    <w:rsid w:val="00684D9B"/>
    <w:rsid w:val="006851DF"/>
    <w:rsid w:val="006856F2"/>
    <w:rsid w:val="0068570B"/>
    <w:rsid w:val="0068589F"/>
    <w:rsid w:val="006868F6"/>
    <w:rsid w:val="00686D12"/>
    <w:rsid w:val="0068735B"/>
    <w:rsid w:val="00687422"/>
    <w:rsid w:val="00687A7D"/>
    <w:rsid w:val="00687C3F"/>
    <w:rsid w:val="00687CAA"/>
    <w:rsid w:val="00687DD3"/>
    <w:rsid w:val="006900D6"/>
    <w:rsid w:val="006904F4"/>
    <w:rsid w:val="0069102D"/>
    <w:rsid w:val="00691D0A"/>
    <w:rsid w:val="00691E52"/>
    <w:rsid w:val="00691E7A"/>
    <w:rsid w:val="0069217D"/>
    <w:rsid w:val="006923BD"/>
    <w:rsid w:val="006924C7"/>
    <w:rsid w:val="00692885"/>
    <w:rsid w:val="00692DA1"/>
    <w:rsid w:val="00693069"/>
    <w:rsid w:val="0069330C"/>
    <w:rsid w:val="006936B3"/>
    <w:rsid w:val="006942A9"/>
    <w:rsid w:val="006952A6"/>
    <w:rsid w:val="006956E1"/>
    <w:rsid w:val="00695DF5"/>
    <w:rsid w:val="00696607"/>
    <w:rsid w:val="00696983"/>
    <w:rsid w:val="006975A1"/>
    <w:rsid w:val="006978E1"/>
    <w:rsid w:val="00697A76"/>
    <w:rsid w:val="00697DB7"/>
    <w:rsid w:val="00697F2C"/>
    <w:rsid w:val="00697F6C"/>
    <w:rsid w:val="006A044A"/>
    <w:rsid w:val="006A05DF"/>
    <w:rsid w:val="006A0F92"/>
    <w:rsid w:val="006A1044"/>
    <w:rsid w:val="006A12D9"/>
    <w:rsid w:val="006A1ACB"/>
    <w:rsid w:val="006A1CA0"/>
    <w:rsid w:val="006A212E"/>
    <w:rsid w:val="006A338B"/>
    <w:rsid w:val="006A379F"/>
    <w:rsid w:val="006A3A1D"/>
    <w:rsid w:val="006A449A"/>
    <w:rsid w:val="006A689D"/>
    <w:rsid w:val="006A6FD7"/>
    <w:rsid w:val="006A7994"/>
    <w:rsid w:val="006A7A79"/>
    <w:rsid w:val="006A7D62"/>
    <w:rsid w:val="006B14F7"/>
    <w:rsid w:val="006B1D74"/>
    <w:rsid w:val="006B2A00"/>
    <w:rsid w:val="006B2AC7"/>
    <w:rsid w:val="006B38ED"/>
    <w:rsid w:val="006B3BB1"/>
    <w:rsid w:val="006B46D0"/>
    <w:rsid w:val="006B47AF"/>
    <w:rsid w:val="006B4EE5"/>
    <w:rsid w:val="006B63DF"/>
    <w:rsid w:val="006B66A4"/>
    <w:rsid w:val="006B6BDE"/>
    <w:rsid w:val="006B6C85"/>
    <w:rsid w:val="006B7927"/>
    <w:rsid w:val="006B7DA1"/>
    <w:rsid w:val="006B7EE0"/>
    <w:rsid w:val="006C0020"/>
    <w:rsid w:val="006C0153"/>
    <w:rsid w:val="006C082B"/>
    <w:rsid w:val="006C0BEA"/>
    <w:rsid w:val="006C0C9C"/>
    <w:rsid w:val="006C0FE0"/>
    <w:rsid w:val="006C1334"/>
    <w:rsid w:val="006C1575"/>
    <w:rsid w:val="006C15B1"/>
    <w:rsid w:val="006C1D43"/>
    <w:rsid w:val="006C1E81"/>
    <w:rsid w:val="006C205F"/>
    <w:rsid w:val="006C22B7"/>
    <w:rsid w:val="006C22C9"/>
    <w:rsid w:val="006C25A0"/>
    <w:rsid w:val="006C2B8C"/>
    <w:rsid w:val="006C3300"/>
    <w:rsid w:val="006C37D4"/>
    <w:rsid w:val="006C4770"/>
    <w:rsid w:val="006C4B46"/>
    <w:rsid w:val="006C4CBB"/>
    <w:rsid w:val="006C4FCB"/>
    <w:rsid w:val="006C5671"/>
    <w:rsid w:val="006C5EBF"/>
    <w:rsid w:val="006C6007"/>
    <w:rsid w:val="006C75F2"/>
    <w:rsid w:val="006C7730"/>
    <w:rsid w:val="006C7B1D"/>
    <w:rsid w:val="006C7DF5"/>
    <w:rsid w:val="006C7FA9"/>
    <w:rsid w:val="006D1823"/>
    <w:rsid w:val="006D1849"/>
    <w:rsid w:val="006D241D"/>
    <w:rsid w:val="006D2616"/>
    <w:rsid w:val="006D32E7"/>
    <w:rsid w:val="006D3837"/>
    <w:rsid w:val="006D4BB1"/>
    <w:rsid w:val="006D53CA"/>
    <w:rsid w:val="006D598E"/>
    <w:rsid w:val="006D5D9D"/>
    <w:rsid w:val="006D61BC"/>
    <w:rsid w:val="006D650B"/>
    <w:rsid w:val="006D66E9"/>
    <w:rsid w:val="006D67D3"/>
    <w:rsid w:val="006D6DF8"/>
    <w:rsid w:val="006D7FD1"/>
    <w:rsid w:val="006E0AFE"/>
    <w:rsid w:val="006E15A8"/>
    <w:rsid w:val="006E15C1"/>
    <w:rsid w:val="006E1F4C"/>
    <w:rsid w:val="006E32EC"/>
    <w:rsid w:val="006E3558"/>
    <w:rsid w:val="006E4022"/>
    <w:rsid w:val="006E4296"/>
    <w:rsid w:val="006E4664"/>
    <w:rsid w:val="006E4934"/>
    <w:rsid w:val="006E4CB2"/>
    <w:rsid w:val="006E50B1"/>
    <w:rsid w:val="006E5604"/>
    <w:rsid w:val="006E65BE"/>
    <w:rsid w:val="006E67EC"/>
    <w:rsid w:val="006E6956"/>
    <w:rsid w:val="006E6A00"/>
    <w:rsid w:val="006E6C1A"/>
    <w:rsid w:val="006E6CD6"/>
    <w:rsid w:val="006E6D11"/>
    <w:rsid w:val="006E71E7"/>
    <w:rsid w:val="006E7686"/>
    <w:rsid w:val="006E7715"/>
    <w:rsid w:val="006E78B1"/>
    <w:rsid w:val="006E78BF"/>
    <w:rsid w:val="006E7A6F"/>
    <w:rsid w:val="006F0905"/>
    <w:rsid w:val="006F183C"/>
    <w:rsid w:val="006F188C"/>
    <w:rsid w:val="006F1947"/>
    <w:rsid w:val="006F1C4E"/>
    <w:rsid w:val="006F2337"/>
    <w:rsid w:val="006F2B08"/>
    <w:rsid w:val="006F4105"/>
    <w:rsid w:val="006F4903"/>
    <w:rsid w:val="006F4941"/>
    <w:rsid w:val="006F4B22"/>
    <w:rsid w:val="006F4BA1"/>
    <w:rsid w:val="006F550C"/>
    <w:rsid w:val="006F5805"/>
    <w:rsid w:val="006F5B7E"/>
    <w:rsid w:val="006F5D67"/>
    <w:rsid w:val="006F6173"/>
    <w:rsid w:val="006F625C"/>
    <w:rsid w:val="006F63BF"/>
    <w:rsid w:val="006F665B"/>
    <w:rsid w:val="006F69A0"/>
    <w:rsid w:val="006F6AC5"/>
    <w:rsid w:val="006F757F"/>
    <w:rsid w:val="0070007E"/>
    <w:rsid w:val="007000F6"/>
    <w:rsid w:val="00700148"/>
    <w:rsid w:val="00700305"/>
    <w:rsid w:val="0070058B"/>
    <w:rsid w:val="00700CF4"/>
    <w:rsid w:val="00700DBE"/>
    <w:rsid w:val="007015A4"/>
    <w:rsid w:val="0070166B"/>
    <w:rsid w:val="007018CC"/>
    <w:rsid w:val="00701FC5"/>
    <w:rsid w:val="00702419"/>
    <w:rsid w:val="00703A0C"/>
    <w:rsid w:val="00704127"/>
    <w:rsid w:val="00704BAD"/>
    <w:rsid w:val="00704C47"/>
    <w:rsid w:val="00705003"/>
    <w:rsid w:val="007063AA"/>
    <w:rsid w:val="00706AF3"/>
    <w:rsid w:val="007078F1"/>
    <w:rsid w:val="00711DE6"/>
    <w:rsid w:val="007123A4"/>
    <w:rsid w:val="00712E42"/>
    <w:rsid w:val="00713940"/>
    <w:rsid w:val="00713EB3"/>
    <w:rsid w:val="0071424B"/>
    <w:rsid w:val="007145F6"/>
    <w:rsid w:val="0071543D"/>
    <w:rsid w:val="00715AB9"/>
    <w:rsid w:val="007169F5"/>
    <w:rsid w:val="00716B10"/>
    <w:rsid w:val="0071768A"/>
    <w:rsid w:val="00717CD8"/>
    <w:rsid w:val="00720E40"/>
    <w:rsid w:val="0072139A"/>
    <w:rsid w:val="00721722"/>
    <w:rsid w:val="00721B28"/>
    <w:rsid w:val="00721DA1"/>
    <w:rsid w:val="00722276"/>
    <w:rsid w:val="00722288"/>
    <w:rsid w:val="00722692"/>
    <w:rsid w:val="00723FB5"/>
    <w:rsid w:val="00724BC6"/>
    <w:rsid w:val="00724ED8"/>
    <w:rsid w:val="00725153"/>
    <w:rsid w:val="0072545C"/>
    <w:rsid w:val="007256B1"/>
    <w:rsid w:val="00725B6C"/>
    <w:rsid w:val="00727132"/>
    <w:rsid w:val="00727A58"/>
    <w:rsid w:val="00727B25"/>
    <w:rsid w:val="007300D7"/>
    <w:rsid w:val="007303B5"/>
    <w:rsid w:val="00730CD1"/>
    <w:rsid w:val="00730D5D"/>
    <w:rsid w:val="00730E59"/>
    <w:rsid w:val="00730FC1"/>
    <w:rsid w:val="00731CD7"/>
    <w:rsid w:val="00732029"/>
    <w:rsid w:val="00732790"/>
    <w:rsid w:val="0073292D"/>
    <w:rsid w:val="00732C14"/>
    <w:rsid w:val="00732C8E"/>
    <w:rsid w:val="00733019"/>
    <w:rsid w:val="007330C4"/>
    <w:rsid w:val="007333EC"/>
    <w:rsid w:val="00733545"/>
    <w:rsid w:val="00733764"/>
    <w:rsid w:val="00734238"/>
    <w:rsid w:val="007346EB"/>
    <w:rsid w:val="007348AB"/>
    <w:rsid w:val="00735676"/>
    <w:rsid w:val="0073581C"/>
    <w:rsid w:val="00736892"/>
    <w:rsid w:val="00736B6E"/>
    <w:rsid w:val="007373C0"/>
    <w:rsid w:val="007379AD"/>
    <w:rsid w:val="00737E84"/>
    <w:rsid w:val="007408D3"/>
    <w:rsid w:val="007408FF"/>
    <w:rsid w:val="00741188"/>
    <w:rsid w:val="00741656"/>
    <w:rsid w:val="0074184F"/>
    <w:rsid w:val="007418C5"/>
    <w:rsid w:val="00741F21"/>
    <w:rsid w:val="007422E1"/>
    <w:rsid w:val="0074234E"/>
    <w:rsid w:val="0074243C"/>
    <w:rsid w:val="0074249C"/>
    <w:rsid w:val="0074280E"/>
    <w:rsid w:val="00742AA3"/>
    <w:rsid w:val="00742B35"/>
    <w:rsid w:val="007432F5"/>
    <w:rsid w:val="007441E1"/>
    <w:rsid w:val="007443EE"/>
    <w:rsid w:val="00744710"/>
    <w:rsid w:val="00744B2F"/>
    <w:rsid w:val="00745110"/>
    <w:rsid w:val="0074531F"/>
    <w:rsid w:val="0074568C"/>
    <w:rsid w:val="0074585A"/>
    <w:rsid w:val="00745D72"/>
    <w:rsid w:val="00745E68"/>
    <w:rsid w:val="00746347"/>
    <w:rsid w:val="00746864"/>
    <w:rsid w:val="00746B84"/>
    <w:rsid w:val="00747355"/>
    <w:rsid w:val="00747656"/>
    <w:rsid w:val="00747687"/>
    <w:rsid w:val="0074772D"/>
    <w:rsid w:val="00747CA4"/>
    <w:rsid w:val="0075084C"/>
    <w:rsid w:val="00750D3D"/>
    <w:rsid w:val="00750E82"/>
    <w:rsid w:val="00751290"/>
    <w:rsid w:val="00751ABC"/>
    <w:rsid w:val="00751DEA"/>
    <w:rsid w:val="00752400"/>
    <w:rsid w:val="00752A43"/>
    <w:rsid w:val="00753130"/>
    <w:rsid w:val="007532D0"/>
    <w:rsid w:val="0075364E"/>
    <w:rsid w:val="007536F7"/>
    <w:rsid w:val="007542DC"/>
    <w:rsid w:val="00754BD3"/>
    <w:rsid w:val="0075599B"/>
    <w:rsid w:val="00756AAC"/>
    <w:rsid w:val="00756B7C"/>
    <w:rsid w:val="00756CD4"/>
    <w:rsid w:val="00757B9A"/>
    <w:rsid w:val="00757F86"/>
    <w:rsid w:val="0076010F"/>
    <w:rsid w:val="00760256"/>
    <w:rsid w:val="0076172A"/>
    <w:rsid w:val="00761D0F"/>
    <w:rsid w:val="00761FAC"/>
    <w:rsid w:val="00762125"/>
    <w:rsid w:val="00762394"/>
    <w:rsid w:val="00762D65"/>
    <w:rsid w:val="00762DEA"/>
    <w:rsid w:val="00763278"/>
    <w:rsid w:val="00763775"/>
    <w:rsid w:val="0076482C"/>
    <w:rsid w:val="007659F3"/>
    <w:rsid w:val="00765C6F"/>
    <w:rsid w:val="00765EFE"/>
    <w:rsid w:val="00766444"/>
    <w:rsid w:val="00766FD7"/>
    <w:rsid w:val="0076792F"/>
    <w:rsid w:val="00767BE6"/>
    <w:rsid w:val="00767FFD"/>
    <w:rsid w:val="0077000D"/>
    <w:rsid w:val="0077035D"/>
    <w:rsid w:val="00770727"/>
    <w:rsid w:val="00770B3D"/>
    <w:rsid w:val="00770B68"/>
    <w:rsid w:val="00770C23"/>
    <w:rsid w:val="0077103B"/>
    <w:rsid w:val="0077193A"/>
    <w:rsid w:val="00771B4D"/>
    <w:rsid w:val="00772BFF"/>
    <w:rsid w:val="00772E3C"/>
    <w:rsid w:val="007732CF"/>
    <w:rsid w:val="007748ED"/>
    <w:rsid w:val="00774B0A"/>
    <w:rsid w:val="00774BFD"/>
    <w:rsid w:val="00775288"/>
    <w:rsid w:val="007759B0"/>
    <w:rsid w:val="007763C6"/>
    <w:rsid w:val="007774A7"/>
    <w:rsid w:val="007776A1"/>
    <w:rsid w:val="00777AAD"/>
    <w:rsid w:val="00777B84"/>
    <w:rsid w:val="007817E4"/>
    <w:rsid w:val="007818FA"/>
    <w:rsid w:val="00782291"/>
    <w:rsid w:val="007827AF"/>
    <w:rsid w:val="00782B5A"/>
    <w:rsid w:val="00782C03"/>
    <w:rsid w:val="007830AD"/>
    <w:rsid w:val="0078313C"/>
    <w:rsid w:val="007836F5"/>
    <w:rsid w:val="00783724"/>
    <w:rsid w:val="007850D7"/>
    <w:rsid w:val="007851D7"/>
    <w:rsid w:val="00785213"/>
    <w:rsid w:val="0078551C"/>
    <w:rsid w:val="007860DF"/>
    <w:rsid w:val="00786389"/>
    <w:rsid w:val="00786CBD"/>
    <w:rsid w:val="00786FE6"/>
    <w:rsid w:val="00787EA8"/>
    <w:rsid w:val="007901D8"/>
    <w:rsid w:val="00790349"/>
    <w:rsid w:val="007907AD"/>
    <w:rsid w:val="00790DB1"/>
    <w:rsid w:val="007911BA"/>
    <w:rsid w:val="0079127D"/>
    <w:rsid w:val="007913A9"/>
    <w:rsid w:val="00791735"/>
    <w:rsid w:val="007917FB"/>
    <w:rsid w:val="00791D2E"/>
    <w:rsid w:val="00793092"/>
    <w:rsid w:val="007933D6"/>
    <w:rsid w:val="00793D9D"/>
    <w:rsid w:val="00793EE7"/>
    <w:rsid w:val="00794C47"/>
    <w:rsid w:val="0079611E"/>
    <w:rsid w:val="00796700"/>
    <w:rsid w:val="007972A2"/>
    <w:rsid w:val="007972D5"/>
    <w:rsid w:val="0079784D"/>
    <w:rsid w:val="00797867"/>
    <w:rsid w:val="00797ABB"/>
    <w:rsid w:val="00797BE6"/>
    <w:rsid w:val="007A00ED"/>
    <w:rsid w:val="007A081D"/>
    <w:rsid w:val="007A081F"/>
    <w:rsid w:val="007A0ADF"/>
    <w:rsid w:val="007A0E59"/>
    <w:rsid w:val="007A1310"/>
    <w:rsid w:val="007A1433"/>
    <w:rsid w:val="007A1ABF"/>
    <w:rsid w:val="007A202B"/>
    <w:rsid w:val="007A31D4"/>
    <w:rsid w:val="007A3213"/>
    <w:rsid w:val="007A3838"/>
    <w:rsid w:val="007A43A3"/>
    <w:rsid w:val="007A46A2"/>
    <w:rsid w:val="007A483F"/>
    <w:rsid w:val="007A4BA3"/>
    <w:rsid w:val="007A50A4"/>
    <w:rsid w:val="007A53F3"/>
    <w:rsid w:val="007A5421"/>
    <w:rsid w:val="007A5900"/>
    <w:rsid w:val="007A5952"/>
    <w:rsid w:val="007A5EFC"/>
    <w:rsid w:val="007A64F9"/>
    <w:rsid w:val="007A673C"/>
    <w:rsid w:val="007A718B"/>
    <w:rsid w:val="007A73DE"/>
    <w:rsid w:val="007A7D38"/>
    <w:rsid w:val="007A7DB2"/>
    <w:rsid w:val="007B0B85"/>
    <w:rsid w:val="007B1440"/>
    <w:rsid w:val="007B15E0"/>
    <w:rsid w:val="007B1FA4"/>
    <w:rsid w:val="007B2540"/>
    <w:rsid w:val="007B2D06"/>
    <w:rsid w:val="007B363A"/>
    <w:rsid w:val="007B38B0"/>
    <w:rsid w:val="007B3AB7"/>
    <w:rsid w:val="007B41DB"/>
    <w:rsid w:val="007B49A1"/>
    <w:rsid w:val="007B5341"/>
    <w:rsid w:val="007B534C"/>
    <w:rsid w:val="007B5A4C"/>
    <w:rsid w:val="007B65F7"/>
    <w:rsid w:val="007B66B8"/>
    <w:rsid w:val="007B67B9"/>
    <w:rsid w:val="007B6DA2"/>
    <w:rsid w:val="007B72A9"/>
    <w:rsid w:val="007B7301"/>
    <w:rsid w:val="007C0060"/>
    <w:rsid w:val="007C0433"/>
    <w:rsid w:val="007C0AD6"/>
    <w:rsid w:val="007C0B36"/>
    <w:rsid w:val="007C1511"/>
    <w:rsid w:val="007C26DD"/>
    <w:rsid w:val="007C283D"/>
    <w:rsid w:val="007C2A42"/>
    <w:rsid w:val="007C2D9F"/>
    <w:rsid w:val="007C3476"/>
    <w:rsid w:val="007C3DD9"/>
    <w:rsid w:val="007C4D0E"/>
    <w:rsid w:val="007C5088"/>
    <w:rsid w:val="007C525A"/>
    <w:rsid w:val="007C5A21"/>
    <w:rsid w:val="007C6522"/>
    <w:rsid w:val="007C690A"/>
    <w:rsid w:val="007C6BF3"/>
    <w:rsid w:val="007C705A"/>
    <w:rsid w:val="007C7440"/>
    <w:rsid w:val="007C7553"/>
    <w:rsid w:val="007C7BC0"/>
    <w:rsid w:val="007D01D6"/>
    <w:rsid w:val="007D0372"/>
    <w:rsid w:val="007D04D2"/>
    <w:rsid w:val="007D0AED"/>
    <w:rsid w:val="007D1664"/>
    <w:rsid w:val="007D17AF"/>
    <w:rsid w:val="007D1970"/>
    <w:rsid w:val="007D1C91"/>
    <w:rsid w:val="007D2615"/>
    <w:rsid w:val="007D3305"/>
    <w:rsid w:val="007D33FB"/>
    <w:rsid w:val="007D3562"/>
    <w:rsid w:val="007D3774"/>
    <w:rsid w:val="007D379F"/>
    <w:rsid w:val="007D4143"/>
    <w:rsid w:val="007D41AB"/>
    <w:rsid w:val="007D42D6"/>
    <w:rsid w:val="007D43EB"/>
    <w:rsid w:val="007D4494"/>
    <w:rsid w:val="007D479F"/>
    <w:rsid w:val="007D57CE"/>
    <w:rsid w:val="007D5ABA"/>
    <w:rsid w:val="007D5AD6"/>
    <w:rsid w:val="007D5E86"/>
    <w:rsid w:val="007D64AA"/>
    <w:rsid w:val="007D6DA0"/>
    <w:rsid w:val="007D73CA"/>
    <w:rsid w:val="007D74F5"/>
    <w:rsid w:val="007D7DEF"/>
    <w:rsid w:val="007D7F83"/>
    <w:rsid w:val="007D7FA9"/>
    <w:rsid w:val="007E04F5"/>
    <w:rsid w:val="007E0F50"/>
    <w:rsid w:val="007E12ED"/>
    <w:rsid w:val="007E13A5"/>
    <w:rsid w:val="007E24D8"/>
    <w:rsid w:val="007E34E5"/>
    <w:rsid w:val="007E3984"/>
    <w:rsid w:val="007E3986"/>
    <w:rsid w:val="007E3BA7"/>
    <w:rsid w:val="007E3D0A"/>
    <w:rsid w:val="007E3E75"/>
    <w:rsid w:val="007E417F"/>
    <w:rsid w:val="007E46CF"/>
    <w:rsid w:val="007E4B50"/>
    <w:rsid w:val="007E50AA"/>
    <w:rsid w:val="007E6096"/>
    <w:rsid w:val="007E63A9"/>
    <w:rsid w:val="007E6401"/>
    <w:rsid w:val="007E6C6F"/>
    <w:rsid w:val="007E714C"/>
    <w:rsid w:val="007E787C"/>
    <w:rsid w:val="007E79D7"/>
    <w:rsid w:val="007E7ECD"/>
    <w:rsid w:val="007F0A8F"/>
    <w:rsid w:val="007F0FF6"/>
    <w:rsid w:val="007F1676"/>
    <w:rsid w:val="007F1D59"/>
    <w:rsid w:val="007F22D8"/>
    <w:rsid w:val="007F2D00"/>
    <w:rsid w:val="007F31F9"/>
    <w:rsid w:val="007F32C9"/>
    <w:rsid w:val="007F3E7A"/>
    <w:rsid w:val="007F442F"/>
    <w:rsid w:val="007F4F97"/>
    <w:rsid w:val="007F55ED"/>
    <w:rsid w:val="007F61D8"/>
    <w:rsid w:val="007F66E3"/>
    <w:rsid w:val="007F6BAC"/>
    <w:rsid w:val="007F713A"/>
    <w:rsid w:val="007F718F"/>
    <w:rsid w:val="007F7732"/>
    <w:rsid w:val="007F7938"/>
    <w:rsid w:val="007F7F22"/>
    <w:rsid w:val="008001B6"/>
    <w:rsid w:val="00800582"/>
    <w:rsid w:val="0080069A"/>
    <w:rsid w:val="00800729"/>
    <w:rsid w:val="00800969"/>
    <w:rsid w:val="00800C61"/>
    <w:rsid w:val="008018D9"/>
    <w:rsid w:val="00801AC0"/>
    <w:rsid w:val="00801AF8"/>
    <w:rsid w:val="0080253B"/>
    <w:rsid w:val="00802CFB"/>
    <w:rsid w:val="00802DF1"/>
    <w:rsid w:val="00802FCB"/>
    <w:rsid w:val="00803BA5"/>
    <w:rsid w:val="00804268"/>
    <w:rsid w:val="00804578"/>
    <w:rsid w:val="008054FC"/>
    <w:rsid w:val="00805D0A"/>
    <w:rsid w:val="008065D5"/>
    <w:rsid w:val="00806B5B"/>
    <w:rsid w:val="00806F8B"/>
    <w:rsid w:val="008072A3"/>
    <w:rsid w:val="00807818"/>
    <w:rsid w:val="00807F10"/>
    <w:rsid w:val="00810C6C"/>
    <w:rsid w:val="00810FA9"/>
    <w:rsid w:val="00810FD9"/>
    <w:rsid w:val="00811851"/>
    <w:rsid w:val="008119D5"/>
    <w:rsid w:val="00812046"/>
    <w:rsid w:val="008120D3"/>
    <w:rsid w:val="008132C2"/>
    <w:rsid w:val="008133F3"/>
    <w:rsid w:val="008136B2"/>
    <w:rsid w:val="00813B77"/>
    <w:rsid w:val="00813F84"/>
    <w:rsid w:val="00814C0F"/>
    <w:rsid w:val="008150D6"/>
    <w:rsid w:val="008154D6"/>
    <w:rsid w:val="008163DD"/>
    <w:rsid w:val="00816863"/>
    <w:rsid w:val="00816905"/>
    <w:rsid w:val="00816D48"/>
    <w:rsid w:val="00817F77"/>
    <w:rsid w:val="0082050F"/>
    <w:rsid w:val="00820A6F"/>
    <w:rsid w:val="00821701"/>
    <w:rsid w:val="00821BE5"/>
    <w:rsid w:val="0082359A"/>
    <w:rsid w:val="00823F27"/>
    <w:rsid w:val="00824082"/>
    <w:rsid w:val="008240A9"/>
    <w:rsid w:val="00824DCF"/>
    <w:rsid w:val="00825DCA"/>
    <w:rsid w:val="00825F09"/>
    <w:rsid w:val="00826240"/>
    <w:rsid w:val="0082624F"/>
    <w:rsid w:val="008278C2"/>
    <w:rsid w:val="00830536"/>
    <w:rsid w:val="008311A3"/>
    <w:rsid w:val="00831201"/>
    <w:rsid w:val="00831939"/>
    <w:rsid w:val="00831FB5"/>
    <w:rsid w:val="00832389"/>
    <w:rsid w:val="00832A64"/>
    <w:rsid w:val="00835303"/>
    <w:rsid w:val="00835E24"/>
    <w:rsid w:val="0083608D"/>
    <w:rsid w:val="00836572"/>
    <w:rsid w:val="00836CD6"/>
    <w:rsid w:val="008376A5"/>
    <w:rsid w:val="008378D0"/>
    <w:rsid w:val="00837F9C"/>
    <w:rsid w:val="00840125"/>
    <w:rsid w:val="0084056A"/>
    <w:rsid w:val="0084128B"/>
    <w:rsid w:val="00841B28"/>
    <w:rsid w:val="00841BAE"/>
    <w:rsid w:val="00841ED7"/>
    <w:rsid w:val="00841F03"/>
    <w:rsid w:val="00842361"/>
    <w:rsid w:val="00842798"/>
    <w:rsid w:val="008427F4"/>
    <w:rsid w:val="008429E4"/>
    <w:rsid w:val="00843359"/>
    <w:rsid w:val="00843559"/>
    <w:rsid w:val="0084366E"/>
    <w:rsid w:val="008440EC"/>
    <w:rsid w:val="008444EF"/>
    <w:rsid w:val="008448E1"/>
    <w:rsid w:val="008455A0"/>
    <w:rsid w:val="00845957"/>
    <w:rsid w:val="00845A4C"/>
    <w:rsid w:val="00845D61"/>
    <w:rsid w:val="00845D6C"/>
    <w:rsid w:val="008461F3"/>
    <w:rsid w:val="0084631D"/>
    <w:rsid w:val="0084653F"/>
    <w:rsid w:val="008471AF"/>
    <w:rsid w:val="0085012E"/>
    <w:rsid w:val="00850145"/>
    <w:rsid w:val="00850149"/>
    <w:rsid w:val="00851237"/>
    <w:rsid w:val="00851266"/>
    <w:rsid w:val="00851CBA"/>
    <w:rsid w:val="00852BC9"/>
    <w:rsid w:val="008531FC"/>
    <w:rsid w:val="00853396"/>
    <w:rsid w:val="00853827"/>
    <w:rsid w:val="00853B10"/>
    <w:rsid w:val="00854144"/>
    <w:rsid w:val="00854F5D"/>
    <w:rsid w:val="00855AC6"/>
    <w:rsid w:val="00856198"/>
    <w:rsid w:val="00856DCE"/>
    <w:rsid w:val="00857607"/>
    <w:rsid w:val="00857DB4"/>
    <w:rsid w:val="0086050F"/>
    <w:rsid w:val="008606F5"/>
    <w:rsid w:val="00861AD8"/>
    <w:rsid w:val="00861CCE"/>
    <w:rsid w:val="00862254"/>
    <w:rsid w:val="0086287B"/>
    <w:rsid w:val="00862F85"/>
    <w:rsid w:val="008630D3"/>
    <w:rsid w:val="0086331B"/>
    <w:rsid w:val="00863E56"/>
    <w:rsid w:val="00864598"/>
    <w:rsid w:val="008646DD"/>
    <w:rsid w:val="00864743"/>
    <w:rsid w:val="008648D5"/>
    <w:rsid w:val="00864BD3"/>
    <w:rsid w:val="00865782"/>
    <w:rsid w:val="00865AC5"/>
    <w:rsid w:val="00865EDA"/>
    <w:rsid w:val="00865F83"/>
    <w:rsid w:val="008662D9"/>
    <w:rsid w:val="008662FB"/>
    <w:rsid w:val="00866501"/>
    <w:rsid w:val="008666C1"/>
    <w:rsid w:val="00866FC2"/>
    <w:rsid w:val="008678DA"/>
    <w:rsid w:val="00867953"/>
    <w:rsid w:val="00867B25"/>
    <w:rsid w:val="00870817"/>
    <w:rsid w:val="0087096F"/>
    <w:rsid w:val="00870FA1"/>
    <w:rsid w:val="008711C5"/>
    <w:rsid w:val="008712EA"/>
    <w:rsid w:val="008715FF"/>
    <w:rsid w:val="00871C69"/>
    <w:rsid w:val="008723DF"/>
    <w:rsid w:val="00872E2F"/>
    <w:rsid w:val="00872ED7"/>
    <w:rsid w:val="0087319F"/>
    <w:rsid w:val="008734E2"/>
    <w:rsid w:val="00873FB1"/>
    <w:rsid w:val="0087405F"/>
    <w:rsid w:val="0087446A"/>
    <w:rsid w:val="00874734"/>
    <w:rsid w:val="00874794"/>
    <w:rsid w:val="00874C64"/>
    <w:rsid w:val="00874C7C"/>
    <w:rsid w:val="008751CF"/>
    <w:rsid w:val="00875B85"/>
    <w:rsid w:val="00875BA9"/>
    <w:rsid w:val="00875FD1"/>
    <w:rsid w:val="0087613E"/>
    <w:rsid w:val="0087622C"/>
    <w:rsid w:val="00876370"/>
    <w:rsid w:val="008767CF"/>
    <w:rsid w:val="00876B56"/>
    <w:rsid w:val="00876BC1"/>
    <w:rsid w:val="00877487"/>
    <w:rsid w:val="00877772"/>
    <w:rsid w:val="00877E99"/>
    <w:rsid w:val="008804BB"/>
    <w:rsid w:val="00881730"/>
    <w:rsid w:val="008818B8"/>
    <w:rsid w:val="00881EC7"/>
    <w:rsid w:val="00882298"/>
    <w:rsid w:val="00883646"/>
    <w:rsid w:val="00883B2F"/>
    <w:rsid w:val="00883FA0"/>
    <w:rsid w:val="00884430"/>
    <w:rsid w:val="00884955"/>
    <w:rsid w:val="008851BE"/>
    <w:rsid w:val="008852A5"/>
    <w:rsid w:val="00886F19"/>
    <w:rsid w:val="00887733"/>
    <w:rsid w:val="00887792"/>
    <w:rsid w:val="00890255"/>
    <w:rsid w:val="00890449"/>
    <w:rsid w:val="008904EE"/>
    <w:rsid w:val="00890DF9"/>
    <w:rsid w:val="00890F3C"/>
    <w:rsid w:val="00892742"/>
    <w:rsid w:val="00892B93"/>
    <w:rsid w:val="00893523"/>
    <w:rsid w:val="00895639"/>
    <w:rsid w:val="0089566C"/>
    <w:rsid w:val="00895B88"/>
    <w:rsid w:val="00896245"/>
    <w:rsid w:val="008962B3"/>
    <w:rsid w:val="008968BB"/>
    <w:rsid w:val="00896C36"/>
    <w:rsid w:val="008971A8"/>
    <w:rsid w:val="008975FE"/>
    <w:rsid w:val="008A0098"/>
    <w:rsid w:val="008A0111"/>
    <w:rsid w:val="008A0268"/>
    <w:rsid w:val="008A0B63"/>
    <w:rsid w:val="008A0DF4"/>
    <w:rsid w:val="008A2933"/>
    <w:rsid w:val="008A313A"/>
    <w:rsid w:val="008A3417"/>
    <w:rsid w:val="008A358D"/>
    <w:rsid w:val="008A3A1F"/>
    <w:rsid w:val="008A4345"/>
    <w:rsid w:val="008A4A5C"/>
    <w:rsid w:val="008A4FE6"/>
    <w:rsid w:val="008A5263"/>
    <w:rsid w:val="008A55A7"/>
    <w:rsid w:val="008A55C0"/>
    <w:rsid w:val="008A7119"/>
    <w:rsid w:val="008A7F8B"/>
    <w:rsid w:val="008B01CA"/>
    <w:rsid w:val="008B111F"/>
    <w:rsid w:val="008B1922"/>
    <w:rsid w:val="008B209E"/>
    <w:rsid w:val="008B2397"/>
    <w:rsid w:val="008B2866"/>
    <w:rsid w:val="008B313F"/>
    <w:rsid w:val="008B331C"/>
    <w:rsid w:val="008B33A6"/>
    <w:rsid w:val="008B33D1"/>
    <w:rsid w:val="008B357F"/>
    <w:rsid w:val="008B3786"/>
    <w:rsid w:val="008B4327"/>
    <w:rsid w:val="008B4740"/>
    <w:rsid w:val="008B4879"/>
    <w:rsid w:val="008B4A93"/>
    <w:rsid w:val="008B4AE1"/>
    <w:rsid w:val="008B4BEE"/>
    <w:rsid w:val="008B5643"/>
    <w:rsid w:val="008B6A94"/>
    <w:rsid w:val="008B734F"/>
    <w:rsid w:val="008B7C80"/>
    <w:rsid w:val="008C04CF"/>
    <w:rsid w:val="008C0524"/>
    <w:rsid w:val="008C08D6"/>
    <w:rsid w:val="008C0919"/>
    <w:rsid w:val="008C0B7C"/>
    <w:rsid w:val="008C1048"/>
    <w:rsid w:val="008C132F"/>
    <w:rsid w:val="008C178E"/>
    <w:rsid w:val="008C1BCC"/>
    <w:rsid w:val="008C1BE2"/>
    <w:rsid w:val="008C1D8D"/>
    <w:rsid w:val="008C1F6B"/>
    <w:rsid w:val="008C267C"/>
    <w:rsid w:val="008C2C9A"/>
    <w:rsid w:val="008C2F03"/>
    <w:rsid w:val="008C352E"/>
    <w:rsid w:val="008C4524"/>
    <w:rsid w:val="008C595A"/>
    <w:rsid w:val="008C5A0B"/>
    <w:rsid w:val="008C5B37"/>
    <w:rsid w:val="008C5FE6"/>
    <w:rsid w:val="008C61B3"/>
    <w:rsid w:val="008C6F59"/>
    <w:rsid w:val="008C782F"/>
    <w:rsid w:val="008C7841"/>
    <w:rsid w:val="008D00EF"/>
    <w:rsid w:val="008D072C"/>
    <w:rsid w:val="008D0A75"/>
    <w:rsid w:val="008D0D38"/>
    <w:rsid w:val="008D0DB2"/>
    <w:rsid w:val="008D11AA"/>
    <w:rsid w:val="008D128C"/>
    <w:rsid w:val="008D18B1"/>
    <w:rsid w:val="008D20D7"/>
    <w:rsid w:val="008D23CD"/>
    <w:rsid w:val="008D2651"/>
    <w:rsid w:val="008D3C98"/>
    <w:rsid w:val="008D48F1"/>
    <w:rsid w:val="008D51C1"/>
    <w:rsid w:val="008D5A72"/>
    <w:rsid w:val="008D7D3F"/>
    <w:rsid w:val="008D7F41"/>
    <w:rsid w:val="008E00C5"/>
    <w:rsid w:val="008E014B"/>
    <w:rsid w:val="008E028D"/>
    <w:rsid w:val="008E039B"/>
    <w:rsid w:val="008E04FE"/>
    <w:rsid w:val="008E068D"/>
    <w:rsid w:val="008E0976"/>
    <w:rsid w:val="008E1466"/>
    <w:rsid w:val="008E1A83"/>
    <w:rsid w:val="008E2224"/>
    <w:rsid w:val="008E2CCE"/>
    <w:rsid w:val="008E31F6"/>
    <w:rsid w:val="008E333B"/>
    <w:rsid w:val="008E3581"/>
    <w:rsid w:val="008E38B3"/>
    <w:rsid w:val="008E463A"/>
    <w:rsid w:val="008E4658"/>
    <w:rsid w:val="008E4A04"/>
    <w:rsid w:val="008E5C24"/>
    <w:rsid w:val="008E5D2F"/>
    <w:rsid w:val="008E6015"/>
    <w:rsid w:val="008E6F70"/>
    <w:rsid w:val="008E7140"/>
    <w:rsid w:val="008E7BAA"/>
    <w:rsid w:val="008E7CD4"/>
    <w:rsid w:val="008F02B4"/>
    <w:rsid w:val="008F07D7"/>
    <w:rsid w:val="008F0E1D"/>
    <w:rsid w:val="008F1044"/>
    <w:rsid w:val="008F1ED2"/>
    <w:rsid w:val="008F21F9"/>
    <w:rsid w:val="008F29E3"/>
    <w:rsid w:val="008F2D6B"/>
    <w:rsid w:val="008F2F60"/>
    <w:rsid w:val="008F45EB"/>
    <w:rsid w:val="008F4796"/>
    <w:rsid w:val="008F4A50"/>
    <w:rsid w:val="008F4B20"/>
    <w:rsid w:val="008F52FB"/>
    <w:rsid w:val="008F53B5"/>
    <w:rsid w:val="008F5D67"/>
    <w:rsid w:val="008F67D7"/>
    <w:rsid w:val="008F69BD"/>
    <w:rsid w:val="008F6A01"/>
    <w:rsid w:val="008F6F0F"/>
    <w:rsid w:val="008F7846"/>
    <w:rsid w:val="008F7BD6"/>
    <w:rsid w:val="009015B7"/>
    <w:rsid w:val="00901853"/>
    <w:rsid w:val="00901A6D"/>
    <w:rsid w:val="00901AE2"/>
    <w:rsid w:val="00901C4D"/>
    <w:rsid w:val="00901F65"/>
    <w:rsid w:val="009021C6"/>
    <w:rsid w:val="00902276"/>
    <w:rsid w:val="00902854"/>
    <w:rsid w:val="0090320D"/>
    <w:rsid w:val="00903213"/>
    <w:rsid w:val="0090391D"/>
    <w:rsid w:val="0090393A"/>
    <w:rsid w:val="00903C09"/>
    <w:rsid w:val="00903D2C"/>
    <w:rsid w:val="00903F32"/>
    <w:rsid w:val="009059E1"/>
    <w:rsid w:val="00906066"/>
    <w:rsid w:val="0090613E"/>
    <w:rsid w:val="0090617F"/>
    <w:rsid w:val="009067D9"/>
    <w:rsid w:val="009069DB"/>
    <w:rsid w:val="009069F4"/>
    <w:rsid w:val="00906E1A"/>
    <w:rsid w:val="00906F31"/>
    <w:rsid w:val="00907A1E"/>
    <w:rsid w:val="00907D7C"/>
    <w:rsid w:val="00910911"/>
    <w:rsid w:val="009113D1"/>
    <w:rsid w:val="00911ACB"/>
    <w:rsid w:val="00911D0A"/>
    <w:rsid w:val="009120C6"/>
    <w:rsid w:val="00912447"/>
    <w:rsid w:val="00912B37"/>
    <w:rsid w:val="009132F2"/>
    <w:rsid w:val="00913340"/>
    <w:rsid w:val="0091392D"/>
    <w:rsid w:val="0091392F"/>
    <w:rsid w:val="00913EE6"/>
    <w:rsid w:val="00915799"/>
    <w:rsid w:val="00915C65"/>
    <w:rsid w:val="00915DBE"/>
    <w:rsid w:val="00916072"/>
    <w:rsid w:val="00916958"/>
    <w:rsid w:val="00916D27"/>
    <w:rsid w:val="00916FA1"/>
    <w:rsid w:val="009170D7"/>
    <w:rsid w:val="0091774A"/>
    <w:rsid w:val="0091788D"/>
    <w:rsid w:val="00917B44"/>
    <w:rsid w:val="00917FBC"/>
    <w:rsid w:val="00920422"/>
    <w:rsid w:val="009204C4"/>
    <w:rsid w:val="009216B4"/>
    <w:rsid w:val="00922537"/>
    <w:rsid w:val="00922D05"/>
    <w:rsid w:val="009232F1"/>
    <w:rsid w:val="00923AB7"/>
    <w:rsid w:val="009241AD"/>
    <w:rsid w:val="00924813"/>
    <w:rsid w:val="00924860"/>
    <w:rsid w:val="00924E63"/>
    <w:rsid w:val="00924F02"/>
    <w:rsid w:val="0092503B"/>
    <w:rsid w:val="0092530F"/>
    <w:rsid w:val="009261EA"/>
    <w:rsid w:val="00926484"/>
    <w:rsid w:val="00926A46"/>
    <w:rsid w:val="00926C4B"/>
    <w:rsid w:val="00927224"/>
    <w:rsid w:val="009300B3"/>
    <w:rsid w:val="009301D1"/>
    <w:rsid w:val="009301F7"/>
    <w:rsid w:val="00930681"/>
    <w:rsid w:val="009306F0"/>
    <w:rsid w:val="009309BD"/>
    <w:rsid w:val="00930A0D"/>
    <w:rsid w:val="00931447"/>
    <w:rsid w:val="009314E6"/>
    <w:rsid w:val="009315EA"/>
    <w:rsid w:val="009329D9"/>
    <w:rsid w:val="00932B03"/>
    <w:rsid w:val="00932DA1"/>
    <w:rsid w:val="009334A1"/>
    <w:rsid w:val="009334A7"/>
    <w:rsid w:val="009336FC"/>
    <w:rsid w:val="00933A4C"/>
    <w:rsid w:val="009342B2"/>
    <w:rsid w:val="00934957"/>
    <w:rsid w:val="00934FCE"/>
    <w:rsid w:val="009355A6"/>
    <w:rsid w:val="00935960"/>
    <w:rsid w:val="009359A6"/>
    <w:rsid w:val="00935B98"/>
    <w:rsid w:val="0093655B"/>
    <w:rsid w:val="0093657E"/>
    <w:rsid w:val="009367DF"/>
    <w:rsid w:val="009377C8"/>
    <w:rsid w:val="0094086E"/>
    <w:rsid w:val="00940FC0"/>
    <w:rsid w:val="00941109"/>
    <w:rsid w:val="0094134E"/>
    <w:rsid w:val="009417C2"/>
    <w:rsid w:val="00943704"/>
    <w:rsid w:val="00943CFE"/>
    <w:rsid w:val="0094417D"/>
    <w:rsid w:val="00944366"/>
    <w:rsid w:val="00944E7A"/>
    <w:rsid w:val="009453A8"/>
    <w:rsid w:val="00945D9B"/>
    <w:rsid w:val="00945F7F"/>
    <w:rsid w:val="0094614D"/>
    <w:rsid w:val="009462E4"/>
    <w:rsid w:val="009462EA"/>
    <w:rsid w:val="00946545"/>
    <w:rsid w:val="00946D78"/>
    <w:rsid w:val="00946DD1"/>
    <w:rsid w:val="00946DF5"/>
    <w:rsid w:val="00946FCD"/>
    <w:rsid w:val="009475B3"/>
    <w:rsid w:val="00947EC0"/>
    <w:rsid w:val="009506C5"/>
    <w:rsid w:val="009517B3"/>
    <w:rsid w:val="00951D88"/>
    <w:rsid w:val="00952584"/>
    <w:rsid w:val="0095258B"/>
    <w:rsid w:val="00952764"/>
    <w:rsid w:val="00952901"/>
    <w:rsid w:val="0095342E"/>
    <w:rsid w:val="00953726"/>
    <w:rsid w:val="00953C40"/>
    <w:rsid w:val="00953CDF"/>
    <w:rsid w:val="009545C2"/>
    <w:rsid w:val="009546DD"/>
    <w:rsid w:val="00955C3B"/>
    <w:rsid w:val="00955C50"/>
    <w:rsid w:val="009561F7"/>
    <w:rsid w:val="00956757"/>
    <w:rsid w:val="009577E8"/>
    <w:rsid w:val="00957CC7"/>
    <w:rsid w:val="009600D0"/>
    <w:rsid w:val="00961899"/>
    <w:rsid w:val="0096231B"/>
    <w:rsid w:val="0096253F"/>
    <w:rsid w:val="00962B12"/>
    <w:rsid w:val="0096374B"/>
    <w:rsid w:val="0096407B"/>
    <w:rsid w:val="009643C7"/>
    <w:rsid w:val="009648FF"/>
    <w:rsid w:val="0096499F"/>
    <w:rsid w:val="00964A63"/>
    <w:rsid w:val="00964C6D"/>
    <w:rsid w:val="009652FC"/>
    <w:rsid w:val="009661C0"/>
    <w:rsid w:val="00966232"/>
    <w:rsid w:val="00967332"/>
    <w:rsid w:val="009705DD"/>
    <w:rsid w:val="00970741"/>
    <w:rsid w:val="009708A9"/>
    <w:rsid w:val="00971338"/>
    <w:rsid w:val="00971A55"/>
    <w:rsid w:val="00971FD3"/>
    <w:rsid w:val="009722DC"/>
    <w:rsid w:val="009725E1"/>
    <w:rsid w:val="00972B85"/>
    <w:rsid w:val="009730A5"/>
    <w:rsid w:val="00973BB2"/>
    <w:rsid w:val="00973CF4"/>
    <w:rsid w:val="00973ED5"/>
    <w:rsid w:val="00974091"/>
    <w:rsid w:val="009749C8"/>
    <w:rsid w:val="00974CB1"/>
    <w:rsid w:val="00974E93"/>
    <w:rsid w:val="00974F24"/>
    <w:rsid w:val="00975361"/>
    <w:rsid w:val="009760A7"/>
    <w:rsid w:val="00976118"/>
    <w:rsid w:val="0097625D"/>
    <w:rsid w:val="009769F5"/>
    <w:rsid w:val="009773EB"/>
    <w:rsid w:val="00977AD6"/>
    <w:rsid w:val="00980601"/>
    <w:rsid w:val="009808EA"/>
    <w:rsid w:val="009810CA"/>
    <w:rsid w:val="00981451"/>
    <w:rsid w:val="009816BD"/>
    <w:rsid w:val="00981707"/>
    <w:rsid w:val="00983DB5"/>
    <w:rsid w:val="0098472E"/>
    <w:rsid w:val="00984978"/>
    <w:rsid w:val="00984DAC"/>
    <w:rsid w:val="00985070"/>
    <w:rsid w:val="00986096"/>
    <w:rsid w:val="009870DB"/>
    <w:rsid w:val="009875A1"/>
    <w:rsid w:val="009875CB"/>
    <w:rsid w:val="00987F03"/>
    <w:rsid w:val="00990027"/>
    <w:rsid w:val="0099025C"/>
    <w:rsid w:val="009904EC"/>
    <w:rsid w:val="009905F0"/>
    <w:rsid w:val="00990864"/>
    <w:rsid w:val="00990E4C"/>
    <w:rsid w:val="00991372"/>
    <w:rsid w:val="00991C62"/>
    <w:rsid w:val="00992A9A"/>
    <w:rsid w:val="009931A6"/>
    <w:rsid w:val="00993F45"/>
    <w:rsid w:val="009940BB"/>
    <w:rsid w:val="00994281"/>
    <w:rsid w:val="00994A9A"/>
    <w:rsid w:val="00994D5C"/>
    <w:rsid w:val="00994F1D"/>
    <w:rsid w:val="00995B21"/>
    <w:rsid w:val="00995E5B"/>
    <w:rsid w:val="00996680"/>
    <w:rsid w:val="00996F48"/>
    <w:rsid w:val="009971EF"/>
    <w:rsid w:val="00997294"/>
    <w:rsid w:val="0099795E"/>
    <w:rsid w:val="00997FA9"/>
    <w:rsid w:val="009A19E9"/>
    <w:rsid w:val="009A1D0D"/>
    <w:rsid w:val="009A1F0E"/>
    <w:rsid w:val="009A2381"/>
    <w:rsid w:val="009A25AB"/>
    <w:rsid w:val="009A25D1"/>
    <w:rsid w:val="009A27C0"/>
    <w:rsid w:val="009A2F92"/>
    <w:rsid w:val="009A2FB4"/>
    <w:rsid w:val="009A466C"/>
    <w:rsid w:val="009A4F6C"/>
    <w:rsid w:val="009A4F8D"/>
    <w:rsid w:val="009A5551"/>
    <w:rsid w:val="009A5742"/>
    <w:rsid w:val="009A60B7"/>
    <w:rsid w:val="009A619C"/>
    <w:rsid w:val="009A68D4"/>
    <w:rsid w:val="009A6CC9"/>
    <w:rsid w:val="009A6DE6"/>
    <w:rsid w:val="009A7044"/>
    <w:rsid w:val="009A737E"/>
    <w:rsid w:val="009A7F79"/>
    <w:rsid w:val="009B11F2"/>
    <w:rsid w:val="009B1915"/>
    <w:rsid w:val="009B19FC"/>
    <w:rsid w:val="009B1F1F"/>
    <w:rsid w:val="009B2011"/>
    <w:rsid w:val="009B23BF"/>
    <w:rsid w:val="009B2962"/>
    <w:rsid w:val="009B3606"/>
    <w:rsid w:val="009B3F90"/>
    <w:rsid w:val="009B40D1"/>
    <w:rsid w:val="009B472C"/>
    <w:rsid w:val="009B50C0"/>
    <w:rsid w:val="009B526D"/>
    <w:rsid w:val="009B54B1"/>
    <w:rsid w:val="009B5794"/>
    <w:rsid w:val="009B584B"/>
    <w:rsid w:val="009B73A9"/>
    <w:rsid w:val="009B7531"/>
    <w:rsid w:val="009B7748"/>
    <w:rsid w:val="009B7B3D"/>
    <w:rsid w:val="009B7E14"/>
    <w:rsid w:val="009C0481"/>
    <w:rsid w:val="009C0AB2"/>
    <w:rsid w:val="009C1003"/>
    <w:rsid w:val="009C15F2"/>
    <w:rsid w:val="009C1D30"/>
    <w:rsid w:val="009C205F"/>
    <w:rsid w:val="009C34CB"/>
    <w:rsid w:val="009C3C99"/>
    <w:rsid w:val="009C3DB0"/>
    <w:rsid w:val="009C4587"/>
    <w:rsid w:val="009C4686"/>
    <w:rsid w:val="009C549E"/>
    <w:rsid w:val="009C61A0"/>
    <w:rsid w:val="009C7279"/>
    <w:rsid w:val="009C76CF"/>
    <w:rsid w:val="009C7B56"/>
    <w:rsid w:val="009D0147"/>
    <w:rsid w:val="009D02B6"/>
    <w:rsid w:val="009D059C"/>
    <w:rsid w:val="009D216E"/>
    <w:rsid w:val="009D2236"/>
    <w:rsid w:val="009D2AA0"/>
    <w:rsid w:val="009D2D50"/>
    <w:rsid w:val="009D31D6"/>
    <w:rsid w:val="009D3812"/>
    <w:rsid w:val="009D3B09"/>
    <w:rsid w:val="009D4BA5"/>
    <w:rsid w:val="009D4C93"/>
    <w:rsid w:val="009D5234"/>
    <w:rsid w:val="009D5719"/>
    <w:rsid w:val="009D593C"/>
    <w:rsid w:val="009D6344"/>
    <w:rsid w:val="009D67E7"/>
    <w:rsid w:val="009D6AE1"/>
    <w:rsid w:val="009D71B3"/>
    <w:rsid w:val="009D73F0"/>
    <w:rsid w:val="009E0887"/>
    <w:rsid w:val="009E0927"/>
    <w:rsid w:val="009E0C26"/>
    <w:rsid w:val="009E109A"/>
    <w:rsid w:val="009E15CB"/>
    <w:rsid w:val="009E177E"/>
    <w:rsid w:val="009E1B28"/>
    <w:rsid w:val="009E1EB2"/>
    <w:rsid w:val="009E2965"/>
    <w:rsid w:val="009E2D68"/>
    <w:rsid w:val="009E3129"/>
    <w:rsid w:val="009E3141"/>
    <w:rsid w:val="009E314F"/>
    <w:rsid w:val="009E32BA"/>
    <w:rsid w:val="009E3A48"/>
    <w:rsid w:val="009E3BE7"/>
    <w:rsid w:val="009E4314"/>
    <w:rsid w:val="009E4BE6"/>
    <w:rsid w:val="009E4EB4"/>
    <w:rsid w:val="009E51DC"/>
    <w:rsid w:val="009E57CF"/>
    <w:rsid w:val="009E59C0"/>
    <w:rsid w:val="009E5C31"/>
    <w:rsid w:val="009E6A78"/>
    <w:rsid w:val="009E6B84"/>
    <w:rsid w:val="009E6DBA"/>
    <w:rsid w:val="009E7789"/>
    <w:rsid w:val="009E7DA2"/>
    <w:rsid w:val="009E7FCA"/>
    <w:rsid w:val="009F078E"/>
    <w:rsid w:val="009F084E"/>
    <w:rsid w:val="009F0BA0"/>
    <w:rsid w:val="009F1614"/>
    <w:rsid w:val="009F27F7"/>
    <w:rsid w:val="009F29FB"/>
    <w:rsid w:val="009F2CF8"/>
    <w:rsid w:val="009F4106"/>
    <w:rsid w:val="009F4258"/>
    <w:rsid w:val="009F498C"/>
    <w:rsid w:val="009F5462"/>
    <w:rsid w:val="009F5484"/>
    <w:rsid w:val="009F58BE"/>
    <w:rsid w:val="009F5EC7"/>
    <w:rsid w:val="009F604A"/>
    <w:rsid w:val="009F6AFB"/>
    <w:rsid w:val="00A003B8"/>
    <w:rsid w:val="00A00482"/>
    <w:rsid w:val="00A007B6"/>
    <w:rsid w:val="00A007E9"/>
    <w:rsid w:val="00A00A31"/>
    <w:rsid w:val="00A00A6D"/>
    <w:rsid w:val="00A00B9A"/>
    <w:rsid w:val="00A011FF"/>
    <w:rsid w:val="00A015A8"/>
    <w:rsid w:val="00A01912"/>
    <w:rsid w:val="00A03F67"/>
    <w:rsid w:val="00A0414F"/>
    <w:rsid w:val="00A04680"/>
    <w:rsid w:val="00A04DE1"/>
    <w:rsid w:val="00A04F2C"/>
    <w:rsid w:val="00A05818"/>
    <w:rsid w:val="00A0595C"/>
    <w:rsid w:val="00A05B42"/>
    <w:rsid w:val="00A062CA"/>
    <w:rsid w:val="00A063C3"/>
    <w:rsid w:val="00A069AF"/>
    <w:rsid w:val="00A06E43"/>
    <w:rsid w:val="00A06F99"/>
    <w:rsid w:val="00A0794B"/>
    <w:rsid w:val="00A07A50"/>
    <w:rsid w:val="00A07B63"/>
    <w:rsid w:val="00A102AF"/>
    <w:rsid w:val="00A10E17"/>
    <w:rsid w:val="00A11192"/>
    <w:rsid w:val="00A1158A"/>
    <w:rsid w:val="00A1186D"/>
    <w:rsid w:val="00A118FF"/>
    <w:rsid w:val="00A11A27"/>
    <w:rsid w:val="00A127D9"/>
    <w:rsid w:val="00A13014"/>
    <w:rsid w:val="00A13179"/>
    <w:rsid w:val="00A13355"/>
    <w:rsid w:val="00A14C90"/>
    <w:rsid w:val="00A15646"/>
    <w:rsid w:val="00A1578D"/>
    <w:rsid w:val="00A15836"/>
    <w:rsid w:val="00A15BFE"/>
    <w:rsid w:val="00A15D04"/>
    <w:rsid w:val="00A16A7A"/>
    <w:rsid w:val="00A16A90"/>
    <w:rsid w:val="00A1732C"/>
    <w:rsid w:val="00A17F9B"/>
    <w:rsid w:val="00A203AF"/>
    <w:rsid w:val="00A20465"/>
    <w:rsid w:val="00A20CEE"/>
    <w:rsid w:val="00A211BF"/>
    <w:rsid w:val="00A21716"/>
    <w:rsid w:val="00A217DC"/>
    <w:rsid w:val="00A221FE"/>
    <w:rsid w:val="00A22500"/>
    <w:rsid w:val="00A2259E"/>
    <w:rsid w:val="00A227B4"/>
    <w:rsid w:val="00A2362E"/>
    <w:rsid w:val="00A2394F"/>
    <w:rsid w:val="00A23D8B"/>
    <w:rsid w:val="00A24574"/>
    <w:rsid w:val="00A24BC6"/>
    <w:rsid w:val="00A24F5F"/>
    <w:rsid w:val="00A25209"/>
    <w:rsid w:val="00A2581A"/>
    <w:rsid w:val="00A269CF"/>
    <w:rsid w:val="00A26EAF"/>
    <w:rsid w:val="00A27237"/>
    <w:rsid w:val="00A274E1"/>
    <w:rsid w:val="00A2766E"/>
    <w:rsid w:val="00A277DB"/>
    <w:rsid w:val="00A27BC7"/>
    <w:rsid w:val="00A27CF8"/>
    <w:rsid w:val="00A301C2"/>
    <w:rsid w:val="00A3032B"/>
    <w:rsid w:val="00A30920"/>
    <w:rsid w:val="00A32419"/>
    <w:rsid w:val="00A32A0E"/>
    <w:rsid w:val="00A32E57"/>
    <w:rsid w:val="00A33C32"/>
    <w:rsid w:val="00A33F9B"/>
    <w:rsid w:val="00A3459D"/>
    <w:rsid w:val="00A35965"/>
    <w:rsid w:val="00A35A2D"/>
    <w:rsid w:val="00A35BB9"/>
    <w:rsid w:val="00A367B5"/>
    <w:rsid w:val="00A36DC2"/>
    <w:rsid w:val="00A3716E"/>
    <w:rsid w:val="00A3798C"/>
    <w:rsid w:val="00A37C9B"/>
    <w:rsid w:val="00A403F8"/>
    <w:rsid w:val="00A40702"/>
    <w:rsid w:val="00A40B89"/>
    <w:rsid w:val="00A41193"/>
    <w:rsid w:val="00A41AE1"/>
    <w:rsid w:val="00A41BCB"/>
    <w:rsid w:val="00A4239F"/>
    <w:rsid w:val="00A426A9"/>
    <w:rsid w:val="00A42802"/>
    <w:rsid w:val="00A42803"/>
    <w:rsid w:val="00A4309F"/>
    <w:rsid w:val="00A4364A"/>
    <w:rsid w:val="00A43CCF"/>
    <w:rsid w:val="00A4447E"/>
    <w:rsid w:val="00A44B9B"/>
    <w:rsid w:val="00A4527D"/>
    <w:rsid w:val="00A45340"/>
    <w:rsid w:val="00A45362"/>
    <w:rsid w:val="00A45404"/>
    <w:rsid w:val="00A45727"/>
    <w:rsid w:val="00A45BBB"/>
    <w:rsid w:val="00A45CC9"/>
    <w:rsid w:val="00A4627D"/>
    <w:rsid w:val="00A464B2"/>
    <w:rsid w:val="00A464C3"/>
    <w:rsid w:val="00A478E8"/>
    <w:rsid w:val="00A47D8F"/>
    <w:rsid w:val="00A50236"/>
    <w:rsid w:val="00A51634"/>
    <w:rsid w:val="00A517E9"/>
    <w:rsid w:val="00A51879"/>
    <w:rsid w:val="00A51977"/>
    <w:rsid w:val="00A521EF"/>
    <w:rsid w:val="00A53DDF"/>
    <w:rsid w:val="00A53EEC"/>
    <w:rsid w:val="00A54190"/>
    <w:rsid w:val="00A54410"/>
    <w:rsid w:val="00A5529F"/>
    <w:rsid w:val="00A558DB"/>
    <w:rsid w:val="00A57A3E"/>
    <w:rsid w:val="00A60100"/>
    <w:rsid w:val="00A60343"/>
    <w:rsid w:val="00A60B84"/>
    <w:rsid w:val="00A614E3"/>
    <w:rsid w:val="00A617A6"/>
    <w:rsid w:val="00A61D21"/>
    <w:rsid w:val="00A6230C"/>
    <w:rsid w:val="00A623EF"/>
    <w:rsid w:val="00A6251E"/>
    <w:rsid w:val="00A629C4"/>
    <w:rsid w:val="00A6368B"/>
    <w:rsid w:val="00A63C38"/>
    <w:rsid w:val="00A641AA"/>
    <w:rsid w:val="00A64350"/>
    <w:rsid w:val="00A64463"/>
    <w:rsid w:val="00A64723"/>
    <w:rsid w:val="00A64F8F"/>
    <w:rsid w:val="00A662B1"/>
    <w:rsid w:val="00A66A10"/>
    <w:rsid w:val="00A6764F"/>
    <w:rsid w:val="00A67695"/>
    <w:rsid w:val="00A677DB"/>
    <w:rsid w:val="00A67C0C"/>
    <w:rsid w:val="00A71587"/>
    <w:rsid w:val="00A71E36"/>
    <w:rsid w:val="00A71FAE"/>
    <w:rsid w:val="00A7217C"/>
    <w:rsid w:val="00A722F0"/>
    <w:rsid w:val="00A72315"/>
    <w:rsid w:val="00A724F2"/>
    <w:rsid w:val="00A7336D"/>
    <w:rsid w:val="00A7348B"/>
    <w:rsid w:val="00A73731"/>
    <w:rsid w:val="00A73AD1"/>
    <w:rsid w:val="00A73CAA"/>
    <w:rsid w:val="00A74258"/>
    <w:rsid w:val="00A7597B"/>
    <w:rsid w:val="00A75B39"/>
    <w:rsid w:val="00A7640E"/>
    <w:rsid w:val="00A771E1"/>
    <w:rsid w:val="00A77A60"/>
    <w:rsid w:val="00A77B1F"/>
    <w:rsid w:val="00A77CE9"/>
    <w:rsid w:val="00A77D03"/>
    <w:rsid w:val="00A77EB5"/>
    <w:rsid w:val="00A804AA"/>
    <w:rsid w:val="00A808D6"/>
    <w:rsid w:val="00A80E04"/>
    <w:rsid w:val="00A80ECE"/>
    <w:rsid w:val="00A8130F"/>
    <w:rsid w:val="00A817DD"/>
    <w:rsid w:val="00A81E23"/>
    <w:rsid w:val="00A83597"/>
    <w:rsid w:val="00A83BC5"/>
    <w:rsid w:val="00A83C65"/>
    <w:rsid w:val="00A83F1E"/>
    <w:rsid w:val="00A842EA"/>
    <w:rsid w:val="00A8447E"/>
    <w:rsid w:val="00A84571"/>
    <w:rsid w:val="00A84A93"/>
    <w:rsid w:val="00A84ECD"/>
    <w:rsid w:val="00A856B2"/>
    <w:rsid w:val="00A85A96"/>
    <w:rsid w:val="00A861A4"/>
    <w:rsid w:val="00A869A9"/>
    <w:rsid w:val="00A86BCC"/>
    <w:rsid w:val="00A86CE0"/>
    <w:rsid w:val="00A87CE4"/>
    <w:rsid w:val="00A90110"/>
    <w:rsid w:val="00A906C5"/>
    <w:rsid w:val="00A90C3D"/>
    <w:rsid w:val="00A912E7"/>
    <w:rsid w:val="00A9145B"/>
    <w:rsid w:val="00A9193A"/>
    <w:rsid w:val="00A91B15"/>
    <w:rsid w:val="00A91F7B"/>
    <w:rsid w:val="00A9257C"/>
    <w:rsid w:val="00A92C2C"/>
    <w:rsid w:val="00A93944"/>
    <w:rsid w:val="00A93AFF"/>
    <w:rsid w:val="00A93BE9"/>
    <w:rsid w:val="00A9406E"/>
    <w:rsid w:val="00A94D31"/>
    <w:rsid w:val="00A94D43"/>
    <w:rsid w:val="00A9525F"/>
    <w:rsid w:val="00A96678"/>
    <w:rsid w:val="00A96B50"/>
    <w:rsid w:val="00A96D86"/>
    <w:rsid w:val="00A96E5E"/>
    <w:rsid w:val="00A97543"/>
    <w:rsid w:val="00A97B6F"/>
    <w:rsid w:val="00AA05AA"/>
    <w:rsid w:val="00AA06ED"/>
    <w:rsid w:val="00AA0993"/>
    <w:rsid w:val="00AA0A78"/>
    <w:rsid w:val="00AA0D75"/>
    <w:rsid w:val="00AA16B9"/>
    <w:rsid w:val="00AA1A9B"/>
    <w:rsid w:val="00AA211E"/>
    <w:rsid w:val="00AA24B8"/>
    <w:rsid w:val="00AA24BC"/>
    <w:rsid w:val="00AA2747"/>
    <w:rsid w:val="00AA2EEE"/>
    <w:rsid w:val="00AA2F2C"/>
    <w:rsid w:val="00AA35B9"/>
    <w:rsid w:val="00AA39DA"/>
    <w:rsid w:val="00AA3B11"/>
    <w:rsid w:val="00AA3BBC"/>
    <w:rsid w:val="00AA4284"/>
    <w:rsid w:val="00AA4984"/>
    <w:rsid w:val="00AA4C46"/>
    <w:rsid w:val="00AA4F29"/>
    <w:rsid w:val="00AA51A9"/>
    <w:rsid w:val="00AA5CCE"/>
    <w:rsid w:val="00AA712A"/>
    <w:rsid w:val="00AA794A"/>
    <w:rsid w:val="00AB03AF"/>
    <w:rsid w:val="00AB0609"/>
    <w:rsid w:val="00AB1333"/>
    <w:rsid w:val="00AB1581"/>
    <w:rsid w:val="00AB164C"/>
    <w:rsid w:val="00AB1BDD"/>
    <w:rsid w:val="00AB2DC9"/>
    <w:rsid w:val="00AB3B8C"/>
    <w:rsid w:val="00AB3CD6"/>
    <w:rsid w:val="00AB3CF6"/>
    <w:rsid w:val="00AB3E40"/>
    <w:rsid w:val="00AB46E4"/>
    <w:rsid w:val="00AB4E33"/>
    <w:rsid w:val="00AB4FA6"/>
    <w:rsid w:val="00AB519D"/>
    <w:rsid w:val="00AB54E6"/>
    <w:rsid w:val="00AB5A20"/>
    <w:rsid w:val="00AB5D7C"/>
    <w:rsid w:val="00AB71A1"/>
    <w:rsid w:val="00AC013A"/>
    <w:rsid w:val="00AC02CE"/>
    <w:rsid w:val="00AC06FD"/>
    <w:rsid w:val="00AC0875"/>
    <w:rsid w:val="00AC0DEA"/>
    <w:rsid w:val="00AC0E91"/>
    <w:rsid w:val="00AC13C0"/>
    <w:rsid w:val="00AC1C08"/>
    <w:rsid w:val="00AC1F7A"/>
    <w:rsid w:val="00AC2168"/>
    <w:rsid w:val="00AC2298"/>
    <w:rsid w:val="00AC2869"/>
    <w:rsid w:val="00AC2EEB"/>
    <w:rsid w:val="00AC3535"/>
    <w:rsid w:val="00AC441F"/>
    <w:rsid w:val="00AC4F4E"/>
    <w:rsid w:val="00AC551B"/>
    <w:rsid w:val="00AC5AEC"/>
    <w:rsid w:val="00AC62E3"/>
    <w:rsid w:val="00AC63A4"/>
    <w:rsid w:val="00AC6A56"/>
    <w:rsid w:val="00AC6BC0"/>
    <w:rsid w:val="00AC6DF2"/>
    <w:rsid w:val="00AC789C"/>
    <w:rsid w:val="00AC7CF9"/>
    <w:rsid w:val="00AD04E8"/>
    <w:rsid w:val="00AD0EEB"/>
    <w:rsid w:val="00AD1160"/>
    <w:rsid w:val="00AD1673"/>
    <w:rsid w:val="00AD1B5D"/>
    <w:rsid w:val="00AD370C"/>
    <w:rsid w:val="00AD456D"/>
    <w:rsid w:val="00AD52BB"/>
    <w:rsid w:val="00AD5906"/>
    <w:rsid w:val="00AD5B60"/>
    <w:rsid w:val="00AD5DC7"/>
    <w:rsid w:val="00AD5FDB"/>
    <w:rsid w:val="00AD6318"/>
    <w:rsid w:val="00AD635A"/>
    <w:rsid w:val="00AD6E0A"/>
    <w:rsid w:val="00AD6E28"/>
    <w:rsid w:val="00AD7B2E"/>
    <w:rsid w:val="00AE18A6"/>
    <w:rsid w:val="00AE18CF"/>
    <w:rsid w:val="00AE2C57"/>
    <w:rsid w:val="00AE3484"/>
    <w:rsid w:val="00AE381B"/>
    <w:rsid w:val="00AE3B39"/>
    <w:rsid w:val="00AE3D04"/>
    <w:rsid w:val="00AE3EFF"/>
    <w:rsid w:val="00AE410F"/>
    <w:rsid w:val="00AE421E"/>
    <w:rsid w:val="00AE4566"/>
    <w:rsid w:val="00AE4E54"/>
    <w:rsid w:val="00AE5433"/>
    <w:rsid w:val="00AE55A6"/>
    <w:rsid w:val="00AE605B"/>
    <w:rsid w:val="00AE636D"/>
    <w:rsid w:val="00AE6D5C"/>
    <w:rsid w:val="00AE6E74"/>
    <w:rsid w:val="00AE731B"/>
    <w:rsid w:val="00AE79E7"/>
    <w:rsid w:val="00AE7A57"/>
    <w:rsid w:val="00AE7B11"/>
    <w:rsid w:val="00AE7E8C"/>
    <w:rsid w:val="00AE7FD9"/>
    <w:rsid w:val="00AF0101"/>
    <w:rsid w:val="00AF0E0C"/>
    <w:rsid w:val="00AF11B4"/>
    <w:rsid w:val="00AF19FE"/>
    <w:rsid w:val="00AF21C2"/>
    <w:rsid w:val="00AF2690"/>
    <w:rsid w:val="00AF2747"/>
    <w:rsid w:val="00AF2987"/>
    <w:rsid w:val="00AF2B14"/>
    <w:rsid w:val="00AF2DAB"/>
    <w:rsid w:val="00AF390B"/>
    <w:rsid w:val="00AF3BAF"/>
    <w:rsid w:val="00AF3BE0"/>
    <w:rsid w:val="00AF4098"/>
    <w:rsid w:val="00AF4846"/>
    <w:rsid w:val="00AF4E2D"/>
    <w:rsid w:val="00AF4E70"/>
    <w:rsid w:val="00AF51AB"/>
    <w:rsid w:val="00AF59EA"/>
    <w:rsid w:val="00AF5ADF"/>
    <w:rsid w:val="00AF5D34"/>
    <w:rsid w:val="00AF62D7"/>
    <w:rsid w:val="00AF6DFD"/>
    <w:rsid w:val="00AF7163"/>
    <w:rsid w:val="00AF763A"/>
    <w:rsid w:val="00AF79BC"/>
    <w:rsid w:val="00B0079B"/>
    <w:rsid w:val="00B009CD"/>
    <w:rsid w:val="00B00AE3"/>
    <w:rsid w:val="00B00D18"/>
    <w:rsid w:val="00B014AA"/>
    <w:rsid w:val="00B014BB"/>
    <w:rsid w:val="00B0169B"/>
    <w:rsid w:val="00B01B38"/>
    <w:rsid w:val="00B01D06"/>
    <w:rsid w:val="00B03EB2"/>
    <w:rsid w:val="00B04121"/>
    <w:rsid w:val="00B04360"/>
    <w:rsid w:val="00B0473F"/>
    <w:rsid w:val="00B047AD"/>
    <w:rsid w:val="00B058B8"/>
    <w:rsid w:val="00B05B44"/>
    <w:rsid w:val="00B05C3B"/>
    <w:rsid w:val="00B062DF"/>
    <w:rsid w:val="00B063C0"/>
    <w:rsid w:val="00B06759"/>
    <w:rsid w:val="00B0677B"/>
    <w:rsid w:val="00B067CD"/>
    <w:rsid w:val="00B06D97"/>
    <w:rsid w:val="00B071A6"/>
    <w:rsid w:val="00B07C66"/>
    <w:rsid w:val="00B104F9"/>
    <w:rsid w:val="00B10BBA"/>
    <w:rsid w:val="00B1117F"/>
    <w:rsid w:val="00B111D1"/>
    <w:rsid w:val="00B1124F"/>
    <w:rsid w:val="00B112DC"/>
    <w:rsid w:val="00B11633"/>
    <w:rsid w:val="00B11F8F"/>
    <w:rsid w:val="00B1217E"/>
    <w:rsid w:val="00B1258A"/>
    <w:rsid w:val="00B1284E"/>
    <w:rsid w:val="00B131CA"/>
    <w:rsid w:val="00B13651"/>
    <w:rsid w:val="00B137F1"/>
    <w:rsid w:val="00B13821"/>
    <w:rsid w:val="00B13C4D"/>
    <w:rsid w:val="00B14707"/>
    <w:rsid w:val="00B14F2C"/>
    <w:rsid w:val="00B15189"/>
    <w:rsid w:val="00B15ECD"/>
    <w:rsid w:val="00B16389"/>
    <w:rsid w:val="00B16A3B"/>
    <w:rsid w:val="00B16E65"/>
    <w:rsid w:val="00B17BF4"/>
    <w:rsid w:val="00B201C1"/>
    <w:rsid w:val="00B20812"/>
    <w:rsid w:val="00B20B43"/>
    <w:rsid w:val="00B2222B"/>
    <w:rsid w:val="00B229A7"/>
    <w:rsid w:val="00B24125"/>
    <w:rsid w:val="00B24CA5"/>
    <w:rsid w:val="00B24E9D"/>
    <w:rsid w:val="00B258DF"/>
    <w:rsid w:val="00B25E46"/>
    <w:rsid w:val="00B26641"/>
    <w:rsid w:val="00B26C99"/>
    <w:rsid w:val="00B26E27"/>
    <w:rsid w:val="00B271CF"/>
    <w:rsid w:val="00B279B2"/>
    <w:rsid w:val="00B27B23"/>
    <w:rsid w:val="00B3005A"/>
    <w:rsid w:val="00B300A4"/>
    <w:rsid w:val="00B31197"/>
    <w:rsid w:val="00B316E9"/>
    <w:rsid w:val="00B318FF"/>
    <w:rsid w:val="00B319E5"/>
    <w:rsid w:val="00B32193"/>
    <w:rsid w:val="00B33075"/>
    <w:rsid w:val="00B33A9E"/>
    <w:rsid w:val="00B34073"/>
    <w:rsid w:val="00B345F2"/>
    <w:rsid w:val="00B3516A"/>
    <w:rsid w:val="00B35879"/>
    <w:rsid w:val="00B359F5"/>
    <w:rsid w:val="00B36B0E"/>
    <w:rsid w:val="00B37315"/>
    <w:rsid w:val="00B37349"/>
    <w:rsid w:val="00B37F18"/>
    <w:rsid w:val="00B37FB7"/>
    <w:rsid w:val="00B4051A"/>
    <w:rsid w:val="00B410BF"/>
    <w:rsid w:val="00B41473"/>
    <w:rsid w:val="00B414C2"/>
    <w:rsid w:val="00B4191B"/>
    <w:rsid w:val="00B426B8"/>
    <w:rsid w:val="00B42D12"/>
    <w:rsid w:val="00B4319E"/>
    <w:rsid w:val="00B43395"/>
    <w:rsid w:val="00B4358C"/>
    <w:rsid w:val="00B439F8"/>
    <w:rsid w:val="00B43ECD"/>
    <w:rsid w:val="00B444EC"/>
    <w:rsid w:val="00B4493E"/>
    <w:rsid w:val="00B44B39"/>
    <w:rsid w:val="00B44E33"/>
    <w:rsid w:val="00B44E50"/>
    <w:rsid w:val="00B4511D"/>
    <w:rsid w:val="00B45774"/>
    <w:rsid w:val="00B457D7"/>
    <w:rsid w:val="00B46B99"/>
    <w:rsid w:val="00B473C2"/>
    <w:rsid w:val="00B474AE"/>
    <w:rsid w:val="00B47B92"/>
    <w:rsid w:val="00B50BD7"/>
    <w:rsid w:val="00B50F2B"/>
    <w:rsid w:val="00B5109A"/>
    <w:rsid w:val="00B518CE"/>
    <w:rsid w:val="00B51D55"/>
    <w:rsid w:val="00B522CC"/>
    <w:rsid w:val="00B52503"/>
    <w:rsid w:val="00B5289B"/>
    <w:rsid w:val="00B53256"/>
    <w:rsid w:val="00B53D3C"/>
    <w:rsid w:val="00B53DCB"/>
    <w:rsid w:val="00B53DD1"/>
    <w:rsid w:val="00B53F6C"/>
    <w:rsid w:val="00B54B4E"/>
    <w:rsid w:val="00B55537"/>
    <w:rsid w:val="00B55549"/>
    <w:rsid w:val="00B55CD1"/>
    <w:rsid w:val="00B56051"/>
    <w:rsid w:val="00B56368"/>
    <w:rsid w:val="00B564D5"/>
    <w:rsid w:val="00B57627"/>
    <w:rsid w:val="00B57C02"/>
    <w:rsid w:val="00B60107"/>
    <w:rsid w:val="00B60350"/>
    <w:rsid w:val="00B6062D"/>
    <w:rsid w:val="00B609C3"/>
    <w:rsid w:val="00B615BD"/>
    <w:rsid w:val="00B61814"/>
    <w:rsid w:val="00B61853"/>
    <w:rsid w:val="00B62AB3"/>
    <w:rsid w:val="00B62B95"/>
    <w:rsid w:val="00B63C2D"/>
    <w:rsid w:val="00B641B8"/>
    <w:rsid w:val="00B65408"/>
    <w:rsid w:val="00B655E1"/>
    <w:rsid w:val="00B658AC"/>
    <w:rsid w:val="00B666C6"/>
    <w:rsid w:val="00B66F9B"/>
    <w:rsid w:val="00B67274"/>
    <w:rsid w:val="00B676C8"/>
    <w:rsid w:val="00B67934"/>
    <w:rsid w:val="00B67A15"/>
    <w:rsid w:val="00B67EB0"/>
    <w:rsid w:val="00B70597"/>
    <w:rsid w:val="00B71483"/>
    <w:rsid w:val="00B717EB"/>
    <w:rsid w:val="00B720F4"/>
    <w:rsid w:val="00B72403"/>
    <w:rsid w:val="00B727A5"/>
    <w:rsid w:val="00B73872"/>
    <w:rsid w:val="00B74EC4"/>
    <w:rsid w:val="00B754D3"/>
    <w:rsid w:val="00B7624D"/>
    <w:rsid w:val="00B76491"/>
    <w:rsid w:val="00B7694E"/>
    <w:rsid w:val="00B76DE3"/>
    <w:rsid w:val="00B76DFA"/>
    <w:rsid w:val="00B775C8"/>
    <w:rsid w:val="00B77614"/>
    <w:rsid w:val="00B800BB"/>
    <w:rsid w:val="00B80F0B"/>
    <w:rsid w:val="00B80F77"/>
    <w:rsid w:val="00B81055"/>
    <w:rsid w:val="00B818DD"/>
    <w:rsid w:val="00B81EEE"/>
    <w:rsid w:val="00B8200D"/>
    <w:rsid w:val="00B820A9"/>
    <w:rsid w:val="00B829A3"/>
    <w:rsid w:val="00B82C60"/>
    <w:rsid w:val="00B83127"/>
    <w:rsid w:val="00B831DB"/>
    <w:rsid w:val="00B841B6"/>
    <w:rsid w:val="00B84AB9"/>
    <w:rsid w:val="00B84C3E"/>
    <w:rsid w:val="00B85041"/>
    <w:rsid w:val="00B85467"/>
    <w:rsid w:val="00B85485"/>
    <w:rsid w:val="00B85A03"/>
    <w:rsid w:val="00B860FD"/>
    <w:rsid w:val="00B862BF"/>
    <w:rsid w:val="00B8652E"/>
    <w:rsid w:val="00B866ED"/>
    <w:rsid w:val="00B86F69"/>
    <w:rsid w:val="00B8739F"/>
    <w:rsid w:val="00B9027F"/>
    <w:rsid w:val="00B90399"/>
    <w:rsid w:val="00B913B8"/>
    <w:rsid w:val="00B91B27"/>
    <w:rsid w:val="00B91B28"/>
    <w:rsid w:val="00B91C46"/>
    <w:rsid w:val="00B91DD0"/>
    <w:rsid w:val="00B91EED"/>
    <w:rsid w:val="00B92E31"/>
    <w:rsid w:val="00B933A8"/>
    <w:rsid w:val="00B93C8D"/>
    <w:rsid w:val="00B944BE"/>
    <w:rsid w:val="00B94E81"/>
    <w:rsid w:val="00B951FF"/>
    <w:rsid w:val="00B954A3"/>
    <w:rsid w:val="00B968D5"/>
    <w:rsid w:val="00BA09A8"/>
    <w:rsid w:val="00BA0D91"/>
    <w:rsid w:val="00BA0F07"/>
    <w:rsid w:val="00BA10A8"/>
    <w:rsid w:val="00BA11B5"/>
    <w:rsid w:val="00BA1697"/>
    <w:rsid w:val="00BA1831"/>
    <w:rsid w:val="00BA230D"/>
    <w:rsid w:val="00BA25A2"/>
    <w:rsid w:val="00BA33A2"/>
    <w:rsid w:val="00BA353F"/>
    <w:rsid w:val="00BA390A"/>
    <w:rsid w:val="00BA39B4"/>
    <w:rsid w:val="00BA3E01"/>
    <w:rsid w:val="00BA3F35"/>
    <w:rsid w:val="00BA4091"/>
    <w:rsid w:val="00BA4DF3"/>
    <w:rsid w:val="00BA4F63"/>
    <w:rsid w:val="00BA5561"/>
    <w:rsid w:val="00BA581B"/>
    <w:rsid w:val="00BA58DD"/>
    <w:rsid w:val="00BA5C60"/>
    <w:rsid w:val="00BA5E36"/>
    <w:rsid w:val="00BA5FE4"/>
    <w:rsid w:val="00BA62A0"/>
    <w:rsid w:val="00BA6B92"/>
    <w:rsid w:val="00BA6C4E"/>
    <w:rsid w:val="00BA6DCE"/>
    <w:rsid w:val="00BA7002"/>
    <w:rsid w:val="00BB1060"/>
    <w:rsid w:val="00BB1387"/>
    <w:rsid w:val="00BB162E"/>
    <w:rsid w:val="00BB2536"/>
    <w:rsid w:val="00BB3C2E"/>
    <w:rsid w:val="00BB4178"/>
    <w:rsid w:val="00BB4908"/>
    <w:rsid w:val="00BB53B7"/>
    <w:rsid w:val="00BB5EBE"/>
    <w:rsid w:val="00BB6E9B"/>
    <w:rsid w:val="00BC0A5A"/>
    <w:rsid w:val="00BC0D1A"/>
    <w:rsid w:val="00BC1304"/>
    <w:rsid w:val="00BC13B3"/>
    <w:rsid w:val="00BC16AF"/>
    <w:rsid w:val="00BC1E74"/>
    <w:rsid w:val="00BC2397"/>
    <w:rsid w:val="00BC2466"/>
    <w:rsid w:val="00BC2871"/>
    <w:rsid w:val="00BC3043"/>
    <w:rsid w:val="00BC3154"/>
    <w:rsid w:val="00BC37BB"/>
    <w:rsid w:val="00BC4F83"/>
    <w:rsid w:val="00BC5436"/>
    <w:rsid w:val="00BC5601"/>
    <w:rsid w:val="00BC56CD"/>
    <w:rsid w:val="00BC56DC"/>
    <w:rsid w:val="00BC66B7"/>
    <w:rsid w:val="00BC6BB0"/>
    <w:rsid w:val="00BC6CD9"/>
    <w:rsid w:val="00BC6DAD"/>
    <w:rsid w:val="00BC7A4B"/>
    <w:rsid w:val="00BD090E"/>
    <w:rsid w:val="00BD0AA6"/>
    <w:rsid w:val="00BD129B"/>
    <w:rsid w:val="00BD12CE"/>
    <w:rsid w:val="00BD1C1C"/>
    <w:rsid w:val="00BD259C"/>
    <w:rsid w:val="00BD2BB3"/>
    <w:rsid w:val="00BD3576"/>
    <w:rsid w:val="00BD3696"/>
    <w:rsid w:val="00BD40A7"/>
    <w:rsid w:val="00BD42A1"/>
    <w:rsid w:val="00BD4AB2"/>
    <w:rsid w:val="00BD4D56"/>
    <w:rsid w:val="00BD4FAE"/>
    <w:rsid w:val="00BD5B19"/>
    <w:rsid w:val="00BD6F88"/>
    <w:rsid w:val="00BD7431"/>
    <w:rsid w:val="00BD7C4D"/>
    <w:rsid w:val="00BD7DC8"/>
    <w:rsid w:val="00BE0571"/>
    <w:rsid w:val="00BE0C0A"/>
    <w:rsid w:val="00BE0DAA"/>
    <w:rsid w:val="00BE10E1"/>
    <w:rsid w:val="00BE14EC"/>
    <w:rsid w:val="00BE1961"/>
    <w:rsid w:val="00BE1ADD"/>
    <w:rsid w:val="00BE1C76"/>
    <w:rsid w:val="00BE1F19"/>
    <w:rsid w:val="00BE221D"/>
    <w:rsid w:val="00BE22FA"/>
    <w:rsid w:val="00BE3E8B"/>
    <w:rsid w:val="00BE46CD"/>
    <w:rsid w:val="00BE4BCE"/>
    <w:rsid w:val="00BE5485"/>
    <w:rsid w:val="00BE56D6"/>
    <w:rsid w:val="00BE5C70"/>
    <w:rsid w:val="00BE6458"/>
    <w:rsid w:val="00BE7750"/>
    <w:rsid w:val="00BF0C80"/>
    <w:rsid w:val="00BF1906"/>
    <w:rsid w:val="00BF1AA9"/>
    <w:rsid w:val="00BF1EE1"/>
    <w:rsid w:val="00BF24B0"/>
    <w:rsid w:val="00BF263C"/>
    <w:rsid w:val="00BF26D4"/>
    <w:rsid w:val="00BF2C29"/>
    <w:rsid w:val="00BF2DC3"/>
    <w:rsid w:val="00BF3313"/>
    <w:rsid w:val="00BF4A2E"/>
    <w:rsid w:val="00BF4FDA"/>
    <w:rsid w:val="00BF53E5"/>
    <w:rsid w:val="00BF5BC1"/>
    <w:rsid w:val="00BF649E"/>
    <w:rsid w:val="00BF6721"/>
    <w:rsid w:val="00BF676A"/>
    <w:rsid w:val="00BF68F7"/>
    <w:rsid w:val="00BF766A"/>
    <w:rsid w:val="00C0101B"/>
    <w:rsid w:val="00C0225D"/>
    <w:rsid w:val="00C023D6"/>
    <w:rsid w:val="00C02FEF"/>
    <w:rsid w:val="00C036FA"/>
    <w:rsid w:val="00C03A9A"/>
    <w:rsid w:val="00C04431"/>
    <w:rsid w:val="00C052AB"/>
    <w:rsid w:val="00C060C1"/>
    <w:rsid w:val="00C0647C"/>
    <w:rsid w:val="00C069E8"/>
    <w:rsid w:val="00C078EE"/>
    <w:rsid w:val="00C10321"/>
    <w:rsid w:val="00C10B4B"/>
    <w:rsid w:val="00C11666"/>
    <w:rsid w:val="00C1250C"/>
    <w:rsid w:val="00C12710"/>
    <w:rsid w:val="00C13823"/>
    <w:rsid w:val="00C13A6B"/>
    <w:rsid w:val="00C13AF9"/>
    <w:rsid w:val="00C141BC"/>
    <w:rsid w:val="00C1420D"/>
    <w:rsid w:val="00C14295"/>
    <w:rsid w:val="00C1434F"/>
    <w:rsid w:val="00C143C3"/>
    <w:rsid w:val="00C14A93"/>
    <w:rsid w:val="00C14ECD"/>
    <w:rsid w:val="00C1577C"/>
    <w:rsid w:val="00C15BB2"/>
    <w:rsid w:val="00C15D51"/>
    <w:rsid w:val="00C16088"/>
    <w:rsid w:val="00C164E8"/>
    <w:rsid w:val="00C166B3"/>
    <w:rsid w:val="00C16C99"/>
    <w:rsid w:val="00C174AA"/>
    <w:rsid w:val="00C1785A"/>
    <w:rsid w:val="00C17B4E"/>
    <w:rsid w:val="00C17C92"/>
    <w:rsid w:val="00C17DEC"/>
    <w:rsid w:val="00C17E09"/>
    <w:rsid w:val="00C17FB3"/>
    <w:rsid w:val="00C20726"/>
    <w:rsid w:val="00C20B0C"/>
    <w:rsid w:val="00C20CB0"/>
    <w:rsid w:val="00C20CF2"/>
    <w:rsid w:val="00C20EE9"/>
    <w:rsid w:val="00C2139D"/>
    <w:rsid w:val="00C216A4"/>
    <w:rsid w:val="00C21F2B"/>
    <w:rsid w:val="00C222A0"/>
    <w:rsid w:val="00C2239D"/>
    <w:rsid w:val="00C22797"/>
    <w:rsid w:val="00C23B93"/>
    <w:rsid w:val="00C2432B"/>
    <w:rsid w:val="00C24D8A"/>
    <w:rsid w:val="00C25D20"/>
    <w:rsid w:val="00C26394"/>
    <w:rsid w:val="00C263D0"/>
    <w:rsid w:val="00C265AD"/>
    <w:rsid w:val="00C26EB7"/>
    <w:rsid w:val="00C2704F"/>
    <w:rsid w:val="00C27064"/>
    <w:rsid w:val="00C273F6"/>
    <w:rsid w:val="00C30656"/>
    <w:rsid w:val="00C30C92"/>
    <w:rsid w:val="00C31521"/>
    <w:rsid w:val="00C3197E"/>
    <w:rsid w:val="00C31FDF"/>
    <w:rsid w:val="00C324F2"/>
    <w:rsid w:val="00C3289C"/>
    <w:rsid w:val="00C32F6F"/>
    <w:rsid w:val="00C33141"/>
    <w:rsid w:val="00C33E0D"/>
    <w:rsid w:val="00C34430"/>
    <w:rsid w:val="00C34569"/>
    <w:rsid w:val="00C354DE"/>
    <w:rsid w:val="00C35912"/>
    <w:rsid w:val="00C35E87"/>
    <w:rsid w:val="00C36000"/>
    <w:rsid w:val="00C368B3"/>
    <w:rsid w:val="00C37018"/>
    <w:rsid w:val="00C3761F"/>
    <w:rsid w:val="00C379C8"/>
    <w:rsid w:val="00C37F46"/>
    <w:rsid w:val="00C40548"/>
    <w:rsid w:val="00C40795"/>
    <w:rsid w:val="00C40B4F"/>
    <w:rsid w:val="00C40D15"/>
    <w:rsid w:val="00C41166"/>
    <w:rsid w:val="00C41686"/>
    <w:rsid w:val="00C41727"/>
    <w:rsid w:val="00C4204A"/>
    <w:rsid w:val="00C426F5"/>
    <w:rsid w:val="00C42843"/>
    <w:rsid w:val="00C4369A"/>
    <w:rsid w:val="00C437B0"/>
    <w:rsid w:val="00C440D5"/>
    <w:rsid w:val="00C449D6"/>
    <w:rsid w:val="00C44A78"/>
    <w:rsid w:val="00C44DB1"/>
    <w:rsid w:val="00C45188"/>
    <w:rsid w:val="00C4542C"/>
    <w:rsid w:val="00C456F9"/>
    <w:rsid w:val="00C45B03"/>
    <w:rsid w:val="00C45BEB"/>
    <w:rsid w:val="00C45D88"/>
    <w:rsid w:val="00C46154"/>
    <w:rsid w:val="00C46167"/>
    <w:rsid w:val="00C466F5"/>
    <w:rsid w:val="00C467D1"/>
    <w:rsid w:val="00C46F22"/>
    <w:rsid w:val="00C476F3"/>
    <w:rsid w:val="00C47A47"/>
    <w:rsid w:val="00C47D37"/>
    <w:rsid w:val="00C5022E"/>
    <w:rsid w:val="00C509B7"/>
    <w:rsid w:val="00C51174"/>
    <w:rsid w:val="00C514F4"/>
    <w:rsid w:val="00C51E3D"/>
    <w:rsid w:val="00C52787"/>
    <w:rsid w:val="00C52C93"/>
    <w:rsid w:val="00C5330D"/>
    <w:rsid w:val="00C53DC5"/>
    <w:rsid w:val="00C543E6"/>
    <w:rsid w:val="00C543EF"/>
    <w:rsid w:val="00C54A97"/>
    <w:rsid w:val="00C54F7E"/>
    <w:rsid w:val="00C55569"/>
    <w:rsid w:val="00C557B1"/>
    <w:rsid w:val="00C55B22"/>
    <w:rsid w:val="00C563DE"/>
    <w:rsid w:val="00C57168"/>
    <w:rsid w:val="00C57BD9"/>
    <w:rsid w:val="00C57D76"/>
    <w:rsid w:val="00C615A2"/>
    <w:rsid w:val="00C62514"/>
    <w:rsid w:val="00C62A72"/>
    <w:rsid w:val="00C62B45"/>
    <w:rsid w:val="00C62D18"/>
    <w:rsid w:val="00C630CD"/>
    <w:rsid w:val="00C630D6"/>
    <w:rsid w:val="00C63406"/>
    <w:rsid w:val="00C64344"/>
    <w:rsid w:val="00C6469C"/>
    <w:rsid w:val="00C64F60"/>
    <w:rsid w:val="00C65049"/>
    <w:rsid w:val="00C6532D"/>
    <w:rsid w:val="00C65B1F"/>
    <w:rsid w:val="00C65BE4"/>
    <w:rsid w:val="00C66681"/>
    <w:rsid w:val="00C66A41"/>
    <w:rsid w:val="00C672D1"/>
    <w:rsid w:val="00C6732F"/>
    <w:rsid w:val="00C679FE"/>
    <w:rsid w:val="00C70599"/>
    <w:rsid w:val="00C70753"/>
    <w:rsid w:val="00C714C1"/>
    <w:rsid w:val="00C71BDE"/>
    <w:rsid w:val="00C725C5"/>
    <w:rsid w:val="00C72AEF"/>
    <w:rsid w:val="00C72DC4"/>
    <w:rsid w:val="00C72E0F"/>
    <w:rsid w:val="00C7373D"/>
    <w:rsid w:val="00C73798"/>
    <w:rsid w:val="00C745BD"/>
    <w:rsid w:val="00C74750"/>
    <w:rsid w:val="00C74C0D"/>
    <w:rsid w:val="00C74ED6"/>
    <w:rsid w:val="00C74EDC"/>
    <w:rsid w:val="00C74FD6"/>
    <w:rsid w:val="00C75B4C"/>
    <w:rsid w:val="00C76072"/>
    <w:rsid w:val="00C760F3"/>
    <w:rsid w:val="00C76352"/>
    <w:rsid w:val="00C76F22"/>
    <w:rsid w:val="00C77BA5"/>
    <w:rsid w:val="00C80DD3"/>
    <w:rsid w:val="00C8116A"/>
    <w:rsid w:val="00C81865"/>
    <w:rsid w:val="00C81F97"/>
    <w:rsid w:val="00C820A7"/>
    <w:rsid w:val="00C828C4"/>
    <w:rsid w:val="00C82DC6"/>
    <w:rsid w:val="00C83517"/>
    <w:rsid w:val="00C838B5"/>
    <w:rsid w:val="00C83EA9"/>
    <w:rsid w:val="00C8435B"/>
    <w:rsid w:val="00C8472E"/>
    <w:rsid w:val="00C85F62"/>
    <w:rsid w:val="00C865DD"/>
    <w:rsid w:val="00C865F8"/>
    <w:rsid w:val="00C866BD"/>
    <w:rsid w:val="00C87216"/>
    <w:rsid w:val="00C87310"/>
    <w:rsid w:val="00C87A91"/>
    <w:rsid w:val="00C90170"/>
    <w:rsid w:val="00C90C69"/>
    <w:rsid w:val="00C90F0D"/>
    <w:rsid w:val="00C91045"/>
    <w:rsid w:val="00C916BD"/>
    <w:rsid w:val="00C91D5B"/>
    <w:rsid w:val="00C91E39"/>
    <w:rsid w:val="00C91E4A"/>
    <w:rsid w:val="00C91F87"/>
    <w:rsid w:val="00C9222B"/>
    <w:rsid w:val="00C922A2"/>
    <w:rsid w:val="00C92C71"/>
    <w:rsid w:val="00C92F4C"/>
    <w:rsid w:val="00C936BA"/>
    <w:rsid w:val="00C939F0"/>
    <w:rsid w:val="00C93F48"/>
    <w:rsid w:val="00C947AB"/>
    <w:rsid w:val="00C95051"/>
    <w:rsid w:val="00C95221"/>
    <w:rsid w:val="00C9545E"/>
    <w:rsid w:val="00C958B3"/>
    <w:rsid w:val="00C95A2B"/>
    <w:rsid w:val="00C9676D"/>
    <w:rsid w:val="00C96A01"/>
    <w:rsid w:val="00C97CD4"/>
    <w:rsid w:val="00CA0E52"/>
    <w:rsid w:val="00CA144A"/>
    <w:rsid w:val="00CA1467"/>
    <w:rsid w:val="00CA1DDF"/>
    <w:rsid w:val="00CA24B9"/>
    <w:rsid w:val="00CA2756"/>
    <w:rsid w:val="00CA32C6"/>
    <w:rsid w:val="00CA3FEA"/>
    <w:rsid w:val="00CA4643"/>
    <w:rsid w:val="00CA470C"/>
    <w:rsid w:val="00CA4D09"/>
    <w:rsid w:val="00CA4D72"/>
    <w:rsid w:val="00CA4D9A"/>
    <w:rsid w:val="00CA4EFC"/>
    <w:rsid w:val="00CA56B3"/>
    <w:rsid w:val="00CA58AC"/>
    <w:rsid w:val="00CA61C9"/>
    <w:rsid w:val="00CA6437"/>
    <w:rsid w:val="00CA6836"/>
    <w:rsid w:val="00CA7286"/>
    <w:rsid w:val="00CB0E35"/>
    <w:rsid w:val="00CB16C7"/>
    <w:rsid w:val="00CB2321"/>
    <w:rsid w:val="00CB23FC"/>
    <w:rsid w:val="00CB26C2"/>
    <w:rsid w:val="00CB3488"/>
    <w:rsid w:val="00CB39BB"/>
    <w:rsid w:val="00CB4CAB"/>
    <w:rsid w:val="00CB4DD3"/>
    <w:rsid w:val="00CB5796"/>
    <w:rsid w:val="00CB6E75"/>
    <w:rsid w:val="00CB7098"/>
    <w:rsid w:val="00CB7545"/>
    <w:rsid w:val="00CC0056"/>
    <w:rsid w:val="00CC2639"/>
    <w:rsid w:val="00CC28EC"/>
    <w:rsid w:val="00CC291F"/>
    <w:rsid w:val="00CC2A88"/>
    <w:rsid w:val="00CC37CF"/>
    <w:rsid w:val="00CC3C0C"/>
    <w:rsid w:val="00CC3DC5"/>
    <w:rsid w:val="00CC4200"/>
    <w:rsid w:val="00CC550B"/>
    <w:rsid w:val="00CC6DEA"/>
    <w:rsid w:val="00CD01FD"/>
    <w:rsid w:val="00CD0AC6"/>
    <w:rsid w:val="00CD0C6F"/>
    <w:rsid w:val="00CD1833"/>
    <w:rsid w:val="00CD1888"/>
    <w:rsid w:val="00CD19B4"/>
    <w:rsid w:val="00CD2017"/>
    <w:rsid w:val="00CD255E"/>
    <w:rsid w:val="00CD296D"/>
    <w:rsid w:val="00CD3F99"/>
    <w:rsid w:val="00CD4BC2"/>
    <w:rsid w:val="00CD5C6C"/>
    <w:rsid w:val="00CD604D"/>
    <w:rsid w:val="00CD6321"/>
    <w:rsid w:val="00CD690A"/>
    <w:rsid w:val="00CD7407"/>
    <w:rsid w:val="00CD7CA4"/>
    <w:rsid w:val="00CD7E10"/>
    <w:rsid w:val="00CD7E86"/>
    <w:rsid w:val="00CD7F3D"/>
    <w:rsid w:val="00CE086A"/>
    <w:rsid w:val="00CE0922"/>
    <w:rsid w:val="00CE09F5"/>
    <w:rsid w:val="00CE0C20"/>
    <w:rsid w:val="00CE0FDB"/>
    <w:rsid w:val="00CE1228"/>
    <w:rsid w:val="00CE160A"/>
    <w:rsid w:val="00CE1D7E"/>
    <w:rsid w:val="00CE1F97"/>
    <w:rsid w:val="00CE2CCA"/>
    <w:rsid w:val="00CE2DAE"/>
    <w:rsid w:val="00CE3168"/>
    <w:rsid w:val="00CE358F"/>
    <w:rsid w:val="00CE3C02"/>
    <w:rsid w:val="00CE3EA6"/>
    <w:rsid w:val="00CE4E44"/>
    <w:rsid w:val="00CE532D"/>
    <w:rsid w:val="00CE5420"/>
    <w:rsid w:val="00CE5458"/>
    <w:rsid w:val="00CE5873"/>
    <w:rsid w:val="00CE6587"/>
    <w:rsid w:val="00CE6968"/>
    <w:rsid w:val="00CE6A1B"/>
    <w:rsid w:val="00CE6B65"/>
    <w:rsid w:val="00CE6EBC"/>
    <w:rsid w:val="00CE7378"/>
    <w:rsid w:val="00CF03C3"/>
    <w:rsid w:val="00CF0807"/>
    <w:rsid w:val="00CF0826"/>
    <w:rsid w:val="00CF1FFE"/>
    <w:rsid w:val="00CF2017"/>
    <w:rsid w:val="00CF2783"/>
    <w:rsid w:val="00CF2BB9"/>
    <w:rsid w:val="00CF2E8F"/>
    <w:rsid w:val="00CF2EE4"/>
    <w:rsid w:val="00CF3697"/>
    <w:rsid w:val="00CF370B"/>
    <w:rsid w:val="00CF3A81"/>
    <w:rsid w:val="00CF3E10"/>
    <w:rsid w:val="00CF459A"/>
    <w:rsid w:val="00CF46AB"/>
    <w:rsid w:val="00CF5879"/>
    <w:rsid w:val="00CF6D0F"/>
    <w:rsid w:val="00CF70EC"/>
    <w:rsid w:val="00CF7C80"/>
    <w:rsid w:val="00D0008E"/>
    <w:rsid w:val="00D00296"/>
    <w:rsid w:val="00D00394"/>
    <w:rsid w:val="00D006B1"/>
    <w:rsid w:val="00D00D8D"/>
    <w:rsid w:val="00D00E39"/>
    <w:rsid w:val="00D011C7"/>
    <w:rsid w:val="00D014D6"/>
    <w:rsid w:val="00D01858"/>
    <w:rsid w:val="00D02B69"/>
    <w:rsid w:val="00D03793"/>
    <w:rsid w:val="00D0504A"/>
    <w:rsid w:val="00D05091"/>
    <w:rsid w:val="00D0574D"/>
    <w:rsid w:val="00D058BB"/>
    <w:rsid w:val="00D062AF"/>
    <w:rsid w:val="00D0676E"/>
    <w:rsid w:val="00D06A33"/>
    <w:rsid w:val="00D071BD"/>
    <w:rsid w:val="00D1011C"/>
    <w:rsid w:val="00D113EA"/>
    <w:rsid w:val="00D11932"/>
    <w:rsid w:val="00D12569"/>
    <w:rsid w:val="00D1266E"/>
    <w:rsid w:val="00D12D38"/>
    <w:rsid w:val="00D12E3B"/>
    <w:rsid w:val="00D14416"/>
    <w:rsid w:val="00D14A9E"/>
    <w:rsid w:val="00D14FB3"/>
    <w:rsid w:val="00D15097"/>
    <w:rsid w:val="00D1550D"/>
    <w:rsid w:val="00D1612C"/>
    <w:rsid w:val="00D165A6"/>
    <w:rsid w:val="00D16873"/>
    <w:rsid w:val="00D16F4E"/>
    <w:rsid w:val="00D1733A"/>
    <w:rsid w:val="00D17400"/>
    <w:rsid w:val="00D178AC"/>
    <w:rsid w:val="00D17920"/>
    <w:rsid w:val="00D1793B"/>
    <w:rsid w:val="00D179BC"/>
    <w:rsid w:val="00D2046A"/>
    <w:rsid w:val="00D20ACA"/>
    <w:rsid w:val="00D20AE1"/>
    <w:rsid w:val="00D20BC6"/>
    <w:rsid w:val="00D20D33"/>
    <w:rsid w:val="00D20EF8"/>
    <w:rsid w:val="00D20FFB"/>
    <w:rsid w:val="00D23487"/>
    <w:rsid w:val="00D235A9"/>
    <w:rsid w:val="00D23C61"/>
    <w:rsid w:val="00D23D59"/>
    <w:rsid w:val="00D241EB"/>
    <w:rsid w:val="00D245D1"/>
    <w:rsid w:val="00D248BC"/>
    <w:rsid w:val="00D24D61"/>
    <w:rsid w:val="00D25143"/>
    <w:rsid w:val="00D25D69"/>
    <w:rsid w:val="00D25EB9"/>
    <w:rsid w:val="00D26103"/>
    <w:rsid w:val="00D26168"/>
    <w:rsid w:val="00D268E6"/>
    <w:rsid w:val="00D268E9"/>
    <w:rsid w:val="00D2745E"/>
    <w:rsid w:val="00D279AD"/>
    <w:rsid w:val="00D3040F"/>
    <w:rsid w:val="00D30619"/>
    <w:rsid w:val="00D30DFE"/>
    <w:rsid w:val="00D311C9"/>
    <w:rsid w:val="00D31434"/>
    <w:rsid w:val="00D318CB"/>
    <w:rsid w:val="00D31DD0"/>
    <w:rsid w:val="00D31E01"/>
    <w:rsid w:val="00D31E50"/>
    <w:rsid w:val="00D326E1"/>
    <w:rsid w:val="00D33514"/>
    <w:rsid w:val="00D33F34"/>
    <w:rsid w:val="00D33F4B"/>
    <w:rsid w:val="00D34807"/>
    <w:rsid w:val="00D34CCD"/>
    <w:rsid w:val="00D34F72"/>
    <w:rsid w:val="00D3578F"/>
    <w:rsid w:val="00D35C0F"/>
    <w:rsid w:val="00D35ED2"/>
    <w:rsid w:val="00D3627B"/>
    <w:rsid w:val="00D367D2"/>
    <w:rsid w:val="00D368BE"/>
    <w:rsid w:val="00D36C4A"/>
    <w:rsid w:val="00D36D5A"/>
    <w:rsid w:val="00D36F5A"/>
    <w:rsid w:val="00D37037"/>
    <w:rsid w:val="00D37A2A"/>
    <w:rsid w:val="00D37DB8"/>
    <w:rsid w:val="00D40233"/>
    <w:rsid w:val="00D40E02"/>
    <w:rsid w:val="00D41CA5"/>
    <w:rsid w:val="00D43314"/>
    <w:rsid w:val="00D435A9"/>
    <w:rsid w:val="00D44930"/>
    <w:rsid w:val="00D44CCC"/>
    <w:rsid w:val="00D45034"/>
    <w:rsid w:val="00D4535F"/>
    <w:rsid w:val="00D45409"/>
    <w:rsid w:val="00D45466"/>
    <w:rsid w:val="00D454C6"/>
    <w:rsid w:val="00D459AD"/>
    <w:rsid w:val="00D45D8F"/>
    <w:rsid w:val="00D45FDA"/>
    <w:rsid w:val="00D45FE1"/>
    <w:rsid w:val="00D462D0"/>
    <w:rsid w:val="00D464BA"/>
    <w:rsid w:val="00D465E0"/>
    <w:rsid w:val="00D46848"/>
    <w:rsid w:val="00D46E10"/>
    <w:rsid w:val="00D4706D"/>
    <w:rsid w:val="00D47A5C"/>
    <w:rsid w:val="00D504E3"/>
    <w:rsid w:val="00D5091D"/>
    <w:rsid w:val="00D5133A"/>
    <w:rsid w:val="00D515F4"/>
    <w:rsid w:val="00D51F19"/>
    <w:rsid w:val="00D531A7"/>
    <w:rsid w:val="00D53A63"/>
    <w:rsid w:val="00D53B41"/>
    <w:rsid w:val="00D53C1D"/>
    <w:rsid w:val="00D53D93"/>
    <w:rsid w:val="00D555FA"/>
    <w:rsid w:val="00D55706"/>
    <w:rsid w:val="00D55816"/>
    <w:rsid w:val="00D560C4"/>
    <w:rsid w:val="00D56B96"/>
    <w:rsid w:val="00D56EF6"/>
    <w:rsid w:val="00D570A9"/>
    <w:rsid w:val="00D571F9"/>
    <w:rsid w:val="00D57325"/>
    <w:rsid w:val="00D57C45"/>
    <w:rsid w:val="00D57F8B"/>
    <w:rsid w:val="00D6105C"/>
    <w:rsid w:val="00D61204"/>
    <w:rsid w:val="00D61356"/>
    <w:rsid w:val="00D61651"/>
    <w:rsid w:val="00D62E97"/>
    <w:rsid w:val="00D62FEB"/>
    <w:rsid w:val="00D63036"/>
    <w:rsid w:val="00D63232"/>
    <w:rsid w:val="00D635B8"/>
    <w:rsid w:val="00D64473"/>
    <w:rsid w:val="00D645D6"/>
    <w:rsid w:val="00D64827"/>
    <w:rsid w:val="00D64D55"/>
    <w:rsid w:val="00D64F1F"/>
    <w:rsid w:val="00D650BC"/>
    <w:rsid w:val="00D654A4"/>
    <w:rsid w:val="00D65FAD"/>
    <w:rsid w:val="00D6657D"/>
    <w:rsid w:val="00D672E0"/>
    <w:rsid w:val="00D67333"/>
    <w:rsid w:val="00D673DF"/>
    <w:rsid w:val="00D67A6C"/>
    <w:rsid w:val="00D67D11"/>
    <w:rsid w:val="00D701D5"/>
    <w:rsid w:val="00D70B4F"/>
    <w:rsid w:val="00D710C3"/>
    <w:rsid w:val="00D712F7"/>
    <w:rsid w:val="00D714EF"/>
    <w:rsid w:val="00D718D6"/>
    <w:rsid w:val="00D71E15"/>
    <w:rsid w:val="00D71EB7"/>
    <w:rsid w:val="00D72779"/>
    <w:rsid w:val="00D72A1B"/>
    <w:rsid w:val="00D73317"/>
    <w:rsid w:val="00D73EBA"/>
    <w:rsid w:val="00D74D2C"/>
    <w:rsid w:val="00D750E5"/>
    <w:rsid w:val="00D7518C"/>
    <w:rsid w:val="00D7547E"/>
    <w:rsid w:val="00D76173"/>
    <w:rsid w:val="00D766F7"/>
    <w:rsid w:val="00D76886"/>
    <w:rsid w:val="00D7688A"/>
    <w:rsid w:val="00D778E1"/>
    <w:rsid w:val="00D77E7E"/>
    <w:rsid w:val="00D8006E"/>
    <w:rsid w:val="00D804DB"/>
    <w:rsid w:val="00D8053C"/>
    <w:rsid w:val="00D80A09"/>
    <w:rsid w:val="00D810E1"/>
    <w:rsid w:val="00D81726"/>
    <w:rsid w:val="00D81D5A"/>
    <w:rsid w:val="00D81DAE"/>
    <w:rsid w:val="00D82C7A"/>
    <w:rsid w:val="00D84023"/>
    <w:rsid w:val="00D841D5"/>
    <w:rsid w:val="00D8571A"/>
    <w:rsid w:val="00D8639B"/>
    <w:rsid w:val="00D86598"/>
    <w:rsid w:val="00D87C15"/>
    <w:rsid w:val="00D87CA5"/>
    <w:rsid w:val="00D90218"/>
    <w:rsid w:val="00D902F1"/>
    <w:rsid w:val="00D90436"/>
    <w:rsid w:val="00D90563"/>
    <w:rsid w:val="00D91881"/>
    <w:rsid w:val="00D91C92"/>
    <w:rsid w:val="00D9200E"/>
    <w:rsid w:val="00D9229F"/>
    <w:rsid w:val="00D92885"/>
    <w:rsid w:val="00D93250"/>
    <w:rsid w:val="00D93B8A"/>
    <w:rsid w:val="00D93CAF"/>
    <w:rsid w:val="00D94414"/>
    <w:rsid w:val="00D9445E"/>
    <w:rsid w:val="00D95009"/>
    <w:rsid w:val="00D9503A"/>
    <w:rsid w:val="00D9506F"/>
    <w:rsid w:val="00D95282"/>
    <w:rsid w:val="00D95298"/>
    <w:rsid w:val="00D955E3"/>
    <w:rsid w:val="00D956D0"/>
    <w:rsid w:val="00D95BA3"/>
    <w:rsid w:val="00D97CE6"/>
    <w:rsid w:val="00DA02A0"/>
    <w:rsid w:val="00DA02E5"/>
    <w:rsid w:val="00DA0917"/>
    <w:rsid w:val="00DA0E5C"/>
    <w:rsid w:val="00DA1B21"/>
    <w:rsid w:val="00DA1E2A"/>
    <w:rsid w:val="00DA24FE"/>
    <w:rsid w:val="00DA2728"/>
    <w:rsid w:val="00DA28CE"/>
    <w:rsid w:val="00DA306D"/>
    <w:rsid w:val="00DA35A0"/>
    <w:rsid w:val="00DA3948"/>
    <w:rsid w:val="00DA3CEF"/>
    <w:rsid w:val="00DA3D93"/>
    <w:rsid w:val="00DA40B6"/>
    <w:rsid w:val="00DA4348"/>
    <w:rsid w:val="00DA4560"/>
    <w:rsid w:val="00DA4E7E"/>
    <w:rsid w:val="00DA5701"/>
    <w:rsid w:val="00DA5B29"/>
    <w:rsid w:val="00DA6ECB"/>
    <w:rsid w:val="00DA71BA"/>
    <w:rsid w:val="00DA78AC"/>
    <w:rsid w:val="00DB09D5"/>
    <w:rsid w:val="00DB0D16"/>
    <w:rsid w:val="00DB0F4A"/>
    <w:rsid w:val="00DB1A6A"/>
    <w:rsid w:val="00DB1C6A"/>
    <w:rsid w:val="00DB1DA7"/>
    <w:rsid w:val="00DB2298"/>
    <w:rsid w:val="00DB22B5"/>
    <w:rsid w:val="00DB2B52"/>
    <w:rsid w:val="00DB2E57"/>
    <w:rsid w:val="00DB3461"/>
    <w:rsid w:val="00DB35D2"/>
    <w:rsid w:val="00DB3C55"/>
    <w:rsid w:val="00DB40C2"/>
    <w:rsid w:val="00DB4A3B"/>
    <w:rsid w:val="00DB5012"/>
    <w:rsid w:val="00DB531C"/>
    <w:rsid w:val="00DB5524"/>
    <w:rsid w:val="00DB5C7B"/>
    <w:rsid w:val="00DB7095"/>
    <w:rsid w:val="00DB710A"/>
    <w:rsid w:val="00DB7667"/>
    <w:rsid w:val="00DB773D"/>
    <w:rsid w:val="00DB7CB4"/>
    <w:rsid w:val="00DC0045"/>
    <w:rsid w:val="00DC0198"/>
    <w:rsid w:val="00DC02B4"/>
    <w:rsid w:val="00DC0714"/>
    <w:rsid w:val="00DC0833"/>
    <w:rsid w:val="00DC0FD4"/>
    <w:rsid w:val="00DC1686"/>
    <w:rsid w:val="00DC1C52"/>
    <w:rsid w:val="00DC1F30"/>
    <w:rsid w:val="00DC1F93"/>
    <w:rsid w:val="00DC2117"/>
    <w:rsid w:val="00DC291A"/>
    <w:rsid w:val="00DC2D72"/>
    <w:rsid w:val="00DC313B"/>
    <w:rsid w:val="00DC4037"/>
    <w:rsid w:val="00DC460E"/>
    <w:rsid w:val="00DC46E7"/>
    <w:rsid w:val="00DC4C97"/>
    <w:rsid w:val="00DC57FB"/>
    <w:rsid w:val="00DC586E"/>
    <w:rsid w:val="00DC60B9"/>
    <w:rsid w:val="00DC6957"/>
    <w:rsid w:val="00DC6B3F"/>
    <w:rsid w:val="00DC6FA7"/>
    <w:rsid w:val="00DC7443"/>
    <w:rsid w:val="00DD0158"/>
    <w:rsid w:val="00DD0738"/>
    <w:rsid w:val="00DD16A5"/>
    <w:rsid w:val="00DD19EA"/>
    <w:rsid w:val="00DD1BAF"/>
    <w:rsid w:val="00DD22B6"/>
    <w:rsid w:val="00DD25EE"/>
    <w:rsid w:val="00DD2B3B"/>
    <w:rsid w:val="00DD2D0A"/>
    <w:rsid w:val="00DD32A6"/>
    <w:rsid w:val="00DD3876"/>
    <w:rsid w:val="00DD4272"/>
    <w:rsid w:val="00DD45F6"/>
    <w:rsid w:val="00DD5556"/>
    <w:rsid w:val="00DD6504"/>
    <w:rsid w:val="00DD65BF"/>
    <w:rsid w:val="00DD6C9B"/>
    <w:rsid w:val="00DD727A"/>
    <w:rsid w:val="00DD7577"/>
    <w:rsid w:val="00DD777E"/>
    <w:rsid w:val="00DD7AFE"/>
    <w:rsid w:val="00DE1330"/>
    <w:rsid w:val="00DE1521"/>
    <w:rsid w:val="00DE1EC5"/>
    <w:rsid w:val="00DE1F02"/>
    <w:rsid w:val="00DE2969"/>
    <w:rsid w:val="00DE2AB0"/>
    <w:rsid w:val="00DE2EC1"/>
    <w:rsid w:val="00DE2F72"/>
    <w:rsid w:val="00DE3AB2"/>
    <w:rsid w:val="00DE3AF3"/>
    <w:rsid w:val="00DE3C90"/>
    <w:rsid w:val="00DE4298"/>
    <w:rsid w:val="00DE4CBB"/>
    <w:rsid w:val="00DE592E"/>
    <w:rsid w:val="00DE5D85"/>
    <w:rsid w:val="00DE683A"/>
    <w:rsid w:val="00DE698F"/>
    <w:rsid w:val="00DE797E"/>
    <w:rsid w:val="00DF004E"/>
    <w:rsid w:val="00DF078F"/>
    <w:rsid w:val="00DF0819"/>
    <w:rsid w:val="00DF0A50"/>
    <w:rsid w:val="00DF0B3C"/>
    <w:rsid w:val="00DF0CFB"/>
    <w:rsid w:val="00DF0E46"/>
    <w:rsid w:val="00DF0FC3"/>
    <w:rsid w:val="00DF12FF"/>
    <w:rsid w:val="00DF168A"/>
    <w:rsid w:val="00DF3044"/>
    <w:rsid w:val="00DF30C3"/>
    <w:rsid w:val="00DF3180"/>
    <w:rsid w:val="00DF31F0"/>
    <w:rsid w:val="00DF39F6"/>
    <w:rsid w:val="00DF3A5E"/>
    <w:rsid w:val="00DF3D0C"/>
    <w:rsid w:val="00DF4187"/>
    <w:rsid w:val="00DF4DAA"/>
    <w:rsid w:val="00DF610A"/>
    <w:rsid w:val="00DF6B7A"/>
    <w:rsid w:val="00DF6BB1"/>
    <w:rsid w:val="00DF70E2"/>
    <w:rsid w:val="00DF73FB"/>
    <w:rsid w:val="00DF7440"/>
    <w:rsid w:val="00DF7863"/>
    <w:rsid w:val="00DF7D24"/>
    <w:rsid w:val="00DF7D3C"/>
    <w:rsid w:val="00E000C1"/>
    <w:rsid w:val="00E00C3C"/>
    <w:rsid w:val="00E010C6"/>
    <w:rsid w:val="00E0124F"/>
    <w:rsid w:val="00E01433"/>
    <w:rsid w:val="00E01B39"/>
    <w:rsid w:val="00E01F23"/>
    <w:rsid w:val="00E02145"/>
    <w:rsid w:val="00E02222"/>
    <w:rsid w:val="00E03434"/>
    <w:rsid w:val="00E03D1E"/>
    <w:rsid w:val="00E03E1B"/>
    <w:rsid w:val="00E04735"/>
    <w:rsid w:val="00E04FC9"/>
    <w:rsid w:val="00E054A0"/>
    <w:rsid w:val="00E063AD"/>
    <w:rsid w:val="00E06ACB"/>
    <w:rsid w:val="00E06E98"/>
    <w:rsid w:val="00E07347"/>
    <w:rsid w:val="00E076FD"/>
    <w:rsid w:val="00E07ABD"/>
    <w:rsid w:val="00E100C5"/>
    <w:rsid w:val="00E10765"/>
    <w:rsid w:val="00E10936"/>
    <w:rsid w:val="00E109B7"/>
    <w:rsid w:val="00E10A73"/>
    <w:rsid w:val="00E118A9"/>
    <w:rsid w:val="00E118DD"/>
    <w:rsid w:val="00E11F5E"/>
    <w:rsid w:val="00E11FF8"/>
    <w:rsid w:val="00E122FE"/>
    <w:rsid w:val="00E124F1"/>
    <w:rsid w:val="00E13555"/>
    <w:rsid w:val="00E13933"/>
    <w:rsid w:val="00E13999"/>
    <w:rsid w:val="00E145CB"/>
    <w:rsid w:val="00E146E5"/>
    <w:rsid w:val="00E14DE4"/>
    <w:rsid w:val="00E14E9A"/>
    <w:rsid w:val="00E15214"/>
    <w:rsid w:val="00E1536E"/>
    <w:rsid w:val="00E15E4B"/>
    <w:rsid w:val="00E1671E"/>
    <w:rsid w:val="00E16A84"/>
    <w:rsid w:val="00E16E28"/>
    <w:rsid w:val="00E16E3E"/>
    <w:rsid w:val="00E17262"/>
    <w:rsid w:val="00E17F3C"/>
    <w:rsid w:val="00E17F61"/>
    <w:rsid w:val="00E2028F"/>
    <w:rsid w:val="00E2072F"/>
    <w:rsid w:val="00E20768"/>
    <w:rsid w:val="00E20EB8"/>
    <w:rsid w:val="00E21874"/>
    <w:rsid w:val="00E220B8"/>
    <w:rsid w:val="00E22DBB"/>
    <w:rsid w:val="00E22E55"/>
    <w:rsid w:val="00E2314C"/>
    <w:rsid w:val="00E23DCC"/>
    <w:rsid w:val="00E24103"/>
    <w:rsid w:val="00E247D2"/>
    <w:rsid w:val="00E248F5"/>
    <w:rsid w:val="00E24F40"/>
    <w:rsid w:val="00E24FD5"/>
    <w:rsid w:val="00E25496"/>
    <w:rsid w:val="00E254A4"/>
    <w:rsid w:val="00E25530"/>
    <w:rsid w:val="00E25A4A"/>
    <w:rsid w:val="00E2676E"/>
    <w:rsid w:val="00E26797"/>
    <w:rsid w:val="00E26D51"/>
    <w:rsid w:val="00E27409"/>
    <w:rsid w:val="00E274CB"/>
    <w:rsid w:val="00E2756F"/>
    <w:rsid w:val="00E27DCF"/>
    <w:rsid w:val="00E27E56"/>
    <w:rsid w:val="00E303C6"/>
    <w:rsid w:val="00E305CB"/>
    <w:rsid w:val="00E30A4C"/>
    <w:rsid w:val="00E30FD9"/>
    <w:rsid w:val="00E313F8"/>
    <w:rsid w:val="00E316FF"/>
    <w:rsid w:val="00E31C3C"/>
    <w:rsid w:val="00E31F1F"/>
    <w:rsid w:val="00E3246D"/>
    <w:rsid w:val="00E32D65"/>
    <w:rsid w:val="00E32D67"/>
    <w:rsid w:val="00E33089"/>
    <w:rsid w:val="00E33B59"/>
    <w:rsid w:val="00E33CC8"/>
    <w:rsid w:val="00E34080"/>
    <w:rsid w:val="00E34408"/>
    <w:rsid w:val="00E34C26"/>
    <w:rsid w:val="00E34DFD"/>
    <w:rsid w:val="00E357E9"/>
    <w:rsid w:val="00E35C9B"/>
    <w:rsid w:val="00E361C7"/>
    <w:rsid w:val="00E36412"/>
    <w:rsid w:val="00E3655A"/>
    <w:rsid w:val="00E379C1"/>
    <w:rsid w:val="00E37B99"/>
    <w:rsid w:val="00E40EBC"/>
    <w:rsid w:val="00E414B5"/>
    <w:rsid w:val="00E423A9"/>
    <w:rsid w:val="00E425DE"/>
    <w:rsid w:val="00E429BC"/>
    <w:rsid w:val="00E42A0B"/>
    <w:rsid w:val="00E42B4A"/>
    <w:rsid w:val="00E432AF"/>
    <w:rsid w:val="00E43B98"/>
    <w:rsid w:val="00E44AAC"/>
    <w:rsid w:val="00E45125"/>
    <w:rsid w:val="00E457EC"/>
    <w:rsid w:val="00E458A4"/>
    <w:rsid w:val="00E458CB"/>
    <w:rsid w:val="00E46A9A"/>
    <w:rsid w:val="00E46AF8"/>
    <w:rsid w:val="00E46C8F"/>
    <w:rsid w:val="00E46F0B"/>
    <w:rsid w:val="00E4767A"/>
    <w:rsid w:val="00E4798A"/>
    <w:rsid w:val="00E50077"/>
    <w:rsid w:val="00E50866"/>
    <w:rsid w:val="00E509FA"/>
    <w:rsid w:val="00E50AC5"/>
    <w:rsid w:val="00E50D30"/>
    <w:rsid w:val="00E5191F"/>
    <w:rsid w:val="00E51F68"/>
    <w:rsid w:val="00E5207A"/>
    <w:rsid w:val="00E522F0"/>
    <w:rsid w:val="00E52422"/>
    <w:rsid w:val="00E5269F"/>
    <w:rsid w:val="00E533C5"/>
    <w:rsid w:val="00E533CE"/>
    <w:rsid w:val="00E53A36"/>
    <w:rsid w:val="00E5403E"/>
    <w:rsid w:val="00E54ABA"/>
    <w:rsid w:val="00E55086"/>
    <w:rsid w:val="00E5523B"/>
    <w:rsid w:val="00E55C0E"/>
    <w:rsid w:val="00E55C1B"/>
    <w:rsid w:val="00E55F24"/>
    <w:rsid w:val="00E56ABF"/>
    <w:rsid w:val="00E56C48"/>
    <w:rsid w:val="00E5736E"/>
    <w:rsid w:val="00E573F1"/>
    <w:rsid w:val="00E575CF"/>
    <w:rsid w:val="00E57710"/>
    <w:rsid w:val="00E57894"/>
    <w:rsid w:val="00E57AD4"/>
    <w:rsid w:val="00E57FFC"/>
    <w:rsid w:val="00E60217"/>
    <w:rsid w:val="00E60501"/>
    <w:rsid w:val="00E60745"/>
    <w:rsid w:val="00E60AA6"/>
    <w:rsid w:val="00E60B9E"/>
    <w:rsid w:val="00E61567"/>
    <w:rsid w:val="00E618CA"/>
    <w:rsid w:val="00E61DC0"/>
    <w:rsid w:val="00E627C4"/>
    <w:rsid w:val="00E627EA"/>
    <w:rsid w:val="00E628CD"/>
    <w:rsid w:val="00E62942"/>
    <w:rsid w:val="00E62BF8"/>
    <w:rsid w:val="00E62E6F"/>
    <w:rsid w:val="00E630E8"/>
    <w:rsid w:val="00E634CA"/>
    <w:rsid w:val="00E63521"/>
    <w:rsid w:val="00E63715"/>
    <w:rsid w:val="00E64932"/>
    <w:rsid w:val="00E64DE9"/>
    <w:rsid w:val="00E650DB"/>
    <w:rsid w:val="00E654B1"/>
    <w:rsid w:val="00E65DD8"/>
    <w:rsid w:val="00E65F11"/>
    <w:rsid w:val="00E66206"/>
    <w:rsid w:val="00E666B0"/>
    <w:rsid w:val="00E666CD"/>
    <w:rsid w:val="00E67A2D"/>
    <w:rsid w:val="00E67B48"/>
    <w:rsid w:val="00E705DE"/>
    <w:rsid w:val="00E70961"/>
    <w:rsid w:val="00E70CBC"/>
    <w:rsid w:val="00E70EB4"/>
    <w:rsid w:val="00E71270"/>
    <w:rsid w:val="00E716CF"/>
    <w:rsid w:val="00E72400"/>
    <w:rsid w:val="00E732BB"/>
    <w:rsid w:val="00E73366"/>
    <w:rsid w:val="00E735D6"/>
    <w:rsid w:val="00E73876"/>
    <w:rsid w:val="00E7464D"/>
    <w:rsid w:val="00E74789"/>
    <w:rsid w:val="00E74B39"/>
    <w:rsid w:val="00E74FC2"/>
    <w:rsid w:val="00E75C59"/>
    <w:rsid w:val="00E75F3B"/>
    <w:rsid w:val="00E764C5"/>
    <w:rsid w:val="00E76C3B"/>
    <w:rsid w:val="00E771A0"/>
    <w:rsid w:val="00E776BC"/>
    <w:rsid w:val="00E77D64"/>
    <w:rsid w:val="00E803CD"/>
    <w:rsid w:val="00E8100B"/>
    <w:rsid w:val="00E81210"/>
    <w:rsid w:val="00E81477"/>
    <w:rsid w:val="00E81B1B"/>
    <w:rsid w:val="00E81C57"/>
    <w:rsid w:val="00E820E1"/>
    <w:rsid w:val="00E82142"/>
    <w:rsid w:val="00E82651"/>
    <w:rsid w:val="00E82E03"/>
    <w:rsid w:val="00E82F22"/>
    <w:rsid w:val="00E82FCA"/>
    <w:rsid w:val="00E833FA"/>
    <w:rsid w:val="00E83511"/>
    <w:rsid w:val="00E83E4B"/>
    <w:rsid w:val="00E8400A"/>
    <w:rsid w:val="00E8401A"/>
    <w:rsid w:val="00E84531"/>
    <w:rsid w:val="00E8476B"/>
    <w:rsid w:val="00E854FE"/>
    <w:rsid w:val="00E8587B"/>
    <w:rsid w:val="00E85BC9"/>
    <w:rsid w:val="00E8613F"/>
    <w:rsid w:val="00E861D7"/>
    <w:rsid w:val="00E863AE"/>
    <w:rsid w:val="00E8658A"/>
    <w:rsid w:val="00E86960"/>
    <w:rsid w:val="00E870B7"/>
    <w:rsid w:val="00E871BF"/>
    <w:rsid w:val="00E87324"/>
    <w:rsid w:val="00E87526"/>
    <w:rsid w:val="00E876BD"/>
    <w:rsid w:val="00E87805"/>
    <w:rsid w:val="00E87DF4"/>
    <w:rsid w:val="00E905FA"/>
    <w:rsid w:val="00E90604"/>
    <w:rsid w:val="00E90626"/>
    <w:rsid w:val="00E9087C"/>
    <w:rsid w:val="00E90899"/>
    <w:rsid w:val="00E90CE3"/>
    <w:rsid w:val="00E90F46"/>
    <w:rsid w:val="00E91344"/>
    <w:rsid w:val="00E917E1"/>
    <w:rsid w:val="00E92576"/>
    <w:rsid w:val="00E929A3"/>
    <w:rsid w:val="00E93063"/>
    <w:rsid w:val="00E932DA"/>
    <w:rsid w:val="00E9362C"/>
    <w:rsid w:val="00E948BB"/>
    <w:rsid w:val="00E94ABC"/>
    <w:rsid w:val="00E94ED3"/>
    <w:rsid w:val="00E962B5"/>
    <w:rsid w:val="00E962C8"/>
    <w:rsid w:val="00E963D6"/>
    <w:rsid w:val="00E96F6F"/>
    <w:rsid w:val="00E97174"/>
    <w:rsid w:val="00E9718D"/>
    <w:rsid w:val="00E976FF"/>
    <w:rsid w:val="00E97D7B"/>
    <w:rsid w:val="00EA0195"/>
    <w:rsid w:val="00EA03DB"/>
    <w:rsid w:val="00EA0ADA"/>
    <w:rsid w:val="00EA0EF5"/>
    <w:rsid w:val="00EA1754"/>
    <w:rsid w:val="00EA1BB1"/>
    <w:rsid w:val="00EA1DCB"/>
    <w:rsid w:val="00EA1FBB"/>
    <w:rsid w:val="00EA1FE0"/>
    <w:rsid w:val="00EA24EE"/>
    <w:rsid w:val="00EA30D8"/>
    <w:rsid w:val="00EA358E"/>
    <w:rsid w:val="00EA3B31"/>
    <w:rsid w:val="00EA43CD"/>
    <w:rsid w:val="00EA5BDA"/>
    <w:rsid w:val="00EA6840"/>
    <w:rsid w:val="00EA7828"/>
    <w:rsid w:val="00EA7CD7"/>
    <w:rsid w:val="00EA7E95"/>
    <w:rsid w:val="00EA7FDB"/>
    <w:rsid w:val="00EB009A"/>
    <w:rsid w:val="00EB02F3"/>
    <w:rsid w:val="00EB0897"/>
    <w:rsid w:val="00EB0CA1"/>
    <w:rsid w:val="00EB0EEE"/>
    <w:rsid w:val="00EB13E0"/>
    <w:rsid w:val="00EB155E"/>
    <w:rsid w:val="00EB1CA2"/>
    <w:rsid w:val="00EB2A0C"/>
    <w:rsid w:val="00EB2E3C"/>
    <w:rsid w:val="00EB3902"/>
    <w:rsid w:val="00EB3AAC"/>
    <w:rsid w:val="00EB3FA9"/>
    <w:rsid w:val="00EB4AB1"/>
    <w:rsid w:val="00EB4F1F"/>
    <w:rsid w:val="00EB56FF"/>
    <w:rsid w:val="00EB5AD9"/>
    <w:rsid w:val="00EB6468"/>
    <w:rsid w:val="00EB66C1"/>
    <w:rsid w:val="00EB6770"/>
    <w:rsid w:val="00EB67F0"/>
    <w:rsid w:val="00EB699E"/>
    <w:rsid w:val="00EB69E9"/>
    <w:rsid w:val="00EB69F8"/>
    <w:rsid w:val="00EB6E13"/>
    <w:rsid w:val="00EB6F55"/>
    <w:rsid w:val="00EB7302"/>
    <w:rsid w:val="00EB7B7E"/>
    <w:rsid w:val="00EB7BFB"/>
    <w:rsid w:val="00EC00E9"/>
    <w:rsid w:val="00EC0616"/>
    <w:rsid w:val="00EC16F9"/>
    <w:rsid w:val="00EC1720"/>
    <w:rsid w:val="00EC185B"/>
    <w:rsid w:val="00EC18FC"/>
    <w:rsid w:val="00EC1CC5"/>
    <w:rsid w:val="00EC20BB"/>
    <w:rsid w:val="00EC25FC"/>
    <w:rsid w:val="00EC2DF2"/>
    <w:rsid w:val="00EC327E"/>
    <w:rsid w:val="00EC344D"/>
    <w:rsid w:val="00EC39EA"/>
    <w:rsid w:val="00EC4424"/>
    <w:rsid w:val="00EC56A5"/>
    <w:rsid w:val="00EC575E"/>
    <w:rsid w:val="00EC5811"/>
    <w:rsid w:val="00EC5891"/>
    <w:rsid w:val="00EC73A2"/>
    <w:rsid w:val="00EC7CEF"/>
    <w:rsid w:val="00EC7D8A"/>
    <w:rsid w:val="00EC7E11"/>
    <w:rsid w:val="00ED0240"/>
    <w:rsid w:val="00ED067B"/>
    <w:rsid w:val="00ED0E91"/>
    <w:rsid w:val="00ED12B6"/>
    <w:rsid w:val="00ED1D9D"/>
    <w:rsid w:val="00ED2036"/>
    <w:rsid w:val="00ED2304"/>
    <w:rsid w:val="00ED25D0"/>
    <w:rsid w:val="00ED3319"/>
    <w:rsid w:val="00ED331B"/>
    <w:rsid w:val="00ED48D1"/>
    <w:rsid w:val="00ED4EF7"/>
    <w:rsid w:val="00ED537A"/>
    <w:rsid w:val="00ED5421"/>
    <w:rsid w:val="00ED5533"/>
    <w:rsid w:val="00ED56E0"/>
    <w:rsid w:val="00ED594A"/>
    <w:rsid w:val="00ED5F2A"/>
    <w:rsid w:val="00ED6262"/>
    <w:rsid w:val="00ED675F"/>
    <w:rsid w:val="00ED69F6"/>
    <w:rsid w:val="00ED781B"/>
    <w:rsid w:val="00EE0440"/>
    <w:rsid w:val="00EE0762"/>
    <w:rsid w:val="00EE0CC4"/>
    <w:rsid w:val="00EE10E6"/>
    <w:rsid w:val="00EE10EC"/>
    <w:rsid w:val="00EE1240"/>
    <w:rsid w:val="00EE17D4"/>
    <w:rsid w:val="00EE1CD5"/>
    <w:rsid w:val="00EE2121"/>
    <w:rsid w:val="00EE212F"/>
    <w:rsid w:val="00EE2A8D"/>
    <w:rsid w:val="00EE30F9"/>
    <w:rsid w:val="00EE341B"/>
    <w:rsid w:val="00EE3435"/>
    <w:rsid w:val="00EE35E7"/>
    <w:rsid w:val="00EE43C0"/>
    <w:rsid w:val="00EE4797"/>
    <w:rsid w:val="00EE4A83"/>
    <w:rsid w:val="00EE5A5A"/>
    <w:rsid w:val="00EE668F"/>
    <w:rsid w:val="00EE69DA"/>
    <w:rsid w:val="00EE7381"/>
    <w:rsid w:val="00EE7ADC"/>
    <w:rsid w:val="00EE7F68"/>
    <w:rsid w:val="00EF02B8"/>
    <w:rsid w:val="00EF0485"/>
    <w:rsid w:val="00EF0EB8"/>
    <w:rsid w:val="00EF0F1F"/>
    <w:rsid w:val="00EF1093"/>
    <w:rsid w:val="00EF1676"/>
    <w:rsid w:val="00EF1CFF"/>
    <w:rsid w:val="00EF1F5D"/>
    <w:rsid w:val="00EF206D"/>
    <w:rsid w:val="00EF20BB"/>
    <w:rsid w:val="00EF2408"/>
    <w:rsid w:val="00EF2622"/>
    <w:rsid w:val="00EF28AD"/>
    <w:rsid w:val="00EF28D4"/>
    <w:rsid w:val="00EF2E00"/>
    <w:rsid w:val="00EF2E40"/>
    <w:rsid w:val="00EF431A"/>
    <w:rsid w:val="00EF4371"/>
    <w:rsid w:val="00EF47A1"/>
    <w:rsid w:val="00EF4913"/>
    <w:rsid w:val="00EF49BA"/>
    <w:rsid w:val="00EF4A98"/>
    <w:rsid w:val="00EF522B"/>
    <w:rsid w:val="00EF52E2"/>
    <w:rsid w:val="00EF5ACC"/>
    <w:rsid w:val="00EF5FFE"/>
    <w:rsid w:val="00EF6B41"/>
    <w:rsid w:val="00EF6D78"/>
    <w:rsid w:val="00EF6E41"/>
    <w:rsid w:val="00EF6E6A"/>
    <w:rsid w:val="00EF74CC"/>
    <w:rsid w:val="00EF7F12"/>
    <w:rsid w:val="00F001CE"/>
    <w:rsid w:val="00F00624"/>
    <w:rsid w:val="00F00A52"/>
    <w:rsid w:val="00F00D65"/>
    <w:rsid w:val="00F01086"/>
    <w:rsid w:val="00F013CF"/>
    <w:rsid w:val="00F01535"/>
    <w:rsid w:val="00F01B47"/>
    <w:rsid w:val="00F01D78"/>
    <w:rsid w:val="00F02B3C"/>
    <w:rsid w:val="00F02C7E"/>
    <w:rsid w:val="00F030C8"/>
    <w:rsid w:val="00F03284"/>
    <w:rsid w:val="00F03C13"/>
    <w:rsid w:val="00F03DD4"/>
    <w:rsid w:val="00F04586"/>
    <w:rsid w:val="00F05D36"/>
    <w:rsid w:val="00F05DEA"/>
    <w:rsid w:val="00F05F39"/>
    <w:rsid w:val="00F0634A"/>
    <w:rsid w:val="00F069FD"/>
    <w:rsid w:val="00F07155"/>
    <w:rsid w:val="00F073EA"/>
    <w:rsid w:val="00F07A48"/>
    <w:rsid w:val="00F07F80"/>
    <w:rsid w:val="00F1017D"/>
    <w:rsid w:val="00F10501"/>
    <w:rsid w:val="00F1090F"/>
    <w:rsid w:val="00F10C19"/>
    <w:rsid w:val="00F10F2C"/>
    <w:rsid w:val="00F116C5"/>
    <w:rsid w:val="00F118D0"/>
    <w:rsid w:val="00F11C87"/>
    <w:rsid w:val="00F123A5"/>
    <w:rsid w:val="00F13838"/>
    <w:rsid w:val="00F14C05"/>
    <w:rsid w:val="00F16384"/>
    <w:rsid w:val="00F1647C"/>
    <w:rsid w:val="00F16FDB"/>
    <w:rsid w:val="00F177C7"/>
    <w:rsid w:val="00F17C72"/>
    <w:rsid w:val="00F17DAB"/>
    <w:rsid w:val="00F17E43"/>
    <w:rsid w:val="00F20507"/>
    <w:rsid w:val="00F20CDF"/>
    <w:rsid w:val="00F20F2E"/>
    <w:rsid w:val="00F21446"/>
    <w:rsid w:val="00F2192D"/>
    <w:rsid w:val="00F21A97"/>
    <w:rsid w:val="00F22601"/>
    <w:rsid w:val="00F237AB"/>
    <w:rsid w:val="00F238A0"/>
    <w:rsid w:val="00F24B29"/>
    <w:rsid w:val="00F25506"/>
    <w:rsid w:val="00F258FA"/>
    <w:rsid w:val="00F25B24"/>
    <w:rsid w:val="00F2660F"/>
    <w:rsid w:val="00F26692"/>
    <w:rsid w:val="00F26CA5"/>
    <w:rsid w:val="00F279CA"/>
    <w:rsid w:val="00F30083"/>
    <w:rsid w:val="00F30644"/>
    <w:rsid w:val="00F306D5"/>
    <w:rsid w:val="00F30DFB"/>
    <w:rsid w:val="00F32098"/>
    <w:rsid w:val="00F326BF"/>
    <w:rsid w:val="00F32CFD"/>
    <w:rsid w:val="00F33338"/>
    <w:rsid w:val="00F3358F"/>
    <w:rsid w:val="00F335FC"/>
    <w:rsid w:val="00F33A5A"/>
    <w:rsid w:val="00F33CD7"/>
    <w:rsid w:val="00F3431B"/>
    <w:rsid w:val="00F3465A"/>
    <w:rsid w:val="00F34801"/>
    <w:rsid w:val="00F35164"/>
    <w:rsid w:val="00F3640E"/>
    <w:rsid w:val="00F3690F"/>
    <w:rsid w:val="00F36D8E"/>
    <w:rsid w:val="00F3743A"/>
    <w:rsid w:val="00F37ECF"/>
    <w:rsid w:val="00F4047F"/>
    <w:rsid w:val="00F40FEE"/>
    <w:rsid w:val="00F41220"/>
    <w:rsid w:val="00F41AAB"/>
    <w:rsid w:val="00F42374"/>
    <w:rsid w:val="00F42AB0"/>
    <w:rsid w:val="00F43405"/>
    <w:rsid w:val="00F4380C"/>
    <w:rsid w:val="00F449BC"/>
    <w:rsid w:val="00F45682"/>
    <w:rsid w:val="00F456DD"/>
    <w:rsid w:val="00F45D98"/>
    <w:rsid w:val="00F46015"/>
    <w:rsid w:val="00F46409"/>
    <w:rsid w:val="00F467C0"/>
    <w:rsid w:val="00F46C81"/>
    <w:rsid w:val="00F46F17"/>
    <w:rsid w:val="00F478FA"/>
    <w:rsid w:val="00F47FE8"/>
    <w:rsid w:val="00F51919"/>
    <w:rsid w:val="00F519C3"/>
    <w:rsid w:val="00F51FAC"/>
    <w:rsid w:val="00F5207B"/>
    <w:rsid w:val="00F52237"/>
    <w:rsid w:val="00F52416"/>
    <w:rsid w:val="00F534A9"/>
    <w:rsid w:val="00F543A2"/>
    <w:rsid w:val="00F544C5"/>
    <w:rsid w:val="00F54721"/>
    <w:rsid w:val="00F5496A"/>
    <w:rsid w:val="00F54A1C"/>
    <w:rsid w:val="00F54E2E"/>
    <w:rsid w:val="00F56B29"/>
    <w:rsid w:val="00F56C7B"/>
    <w:rsid w:val="00F57191"/>
    <w:rsid w:val="00F5722C"/>
    <w:rsid w:val="00F57B35"/>
    <w:rsid w:val="00F6025B"/>
    <w:rsid w:val="00F60527"/>
    <w:rsid w:val="00F605A0"/>
    <w:rsid w:val="00F605C7"/>
    <w:rsid w:val="00F608F3"/>
    <w:rsid w:val="00F61251"/>
    <w:rsid w:val="00F6133C"/>
    <w:rsid w:val="00F6363D"/>
    <w:rsid w:val="00F63809"/>
    <w:rsid w:val="00F638EC"/>
    <w:rsid w:val="00F644C8"/>
    <w:rsid w:val="00F64955"/>
    <w:rsid w:val="00F64A67"/>
    <w:rsid w:val="00F64F30"/>
    <w:rsid w:val="00F651A3"/>
    <w:rsid w:val="00F659AC"/>
    <w:rsid w:val="00F65BD3"/>
    <w:rsid w:val="00F6692C"/>
    <w:rsid w:val="00F66C96"/>
    <w:rsid w:val="00F67295"/>
    <w:rsid w:val="00F675D1"/>
    <w:rsid w:val="00F67651"/>
    <w:rsid w:val="00F67C8B"/>
    <w:rsid w:val="00F70184"/>
    <w:rsid w:val="00F725E2"/>
    <w:rsid w:val="00F72931"/>
    <w:rsid w:val="00F72A61"/>
    <w:rsid w:val="00F72AEB"/>
    <w:rsid w:val="00F72F99"/>
    <w:rsid w:val="00F73810"/>
    <w:rsid w:val="00F738CF"/>
    <w:rsid w:val="00F73909"/>
    <w:rsid w:val="00F73AB2"/>
    <w:rsid w:val="00F73F32"/>
    <w:rsid w:val="00F74058"/>
    <w:rsid w:val="00F7475D"/>
    <w:rsid w:val="00F74DA8"/>
    <w:rsid w:val="00F76751"/>
    <w:rsid w:val="00F7688B"/>
    <w:rsid w:val="00F76CCD"/>
    <w:rsid w:val="00F76E7C"/>
    <w:rsid w:val="00F77356"/>
    <w:rsid w:val="00F77ECD"/>
    <w:rsid w:val="00F80736"/>
    <w:rsid w:val="00F80BEE"/>
    <w:rsid w:val="00F80D4F"/>
    <w:rsid w:val="00F81771"/>
    <w:rsid w:val="00F81D66"/>
    <w:rsid w:val="00F81FE0"/>
    <w:rsid w:val="00F821F7"/>
    <w:rsid w:val="00F826B2"/>
    <w:rsid w:val="00F82739"/>
    <w:rsid w:val="00F82866"/>
    <w:rsid w:val="00F83265"/>
    <w:rsid w:val="00F83549"/>
    <w:rsid w:val="00F83A55"/>
    <w:rsid w:val="00F84020"/>
    <w:rsid w:val="00F8480A"/>
    <w:rsid w:val="00F84B21"/>
    <w:rsid w:val="00F85019"/>
    <w:rsid w:val="00F852C6"/>
    <w:rsid w:val="00F85458"/>
    <w:rsid w:val="00F85734"/>
    <w:rsid w:val="00F86F72"/>
    <w:rsid w:val="00F872A3"/>
    <w:rsid w:val="00F8788D"/>
    <w:rsid w:val="00F87B99"/>
    <w:rsid w:val="00F90834"/>
    <w:rsid w:val="00F91727"/>
    <w:rsid w:val="00F92579"/>
    <w:rsid w:val="00F92DE1"/>
    <w:rsid w:val="00F92FF5"/>
    <w:rsid w:val="00F93435"/>
    <w:rsid w:val="00F93B6D"/>
    <w:rsid w:val="00F93B9E"/>
    <w:rsid w:val="00F93F8D"/>
    <w:rsid w:val="00F94924"/>
    <w:rsid w:val="00F94B57"/>
    <w:rsid w:val="00F95BCE"/>
    <w:rsid w:val="00F968F1"/>
    <w:rsid w:val="00F972A6"/>
    <w:rsid w:val="00FA02EC"/>
    <w:rsid w:val="00FA037E"/>
    <w:rsid w:val="00FA07F1"/>
    <w:rsid w:val="00FA0AAF"/>
    <w:rsid w:val="00FA1082"/>
    <w:rsid w:val="00FA1148"/>
    <w:rsid w:val="00FA150D"/>
    <w:rsid w:val="00FA1AAA"/>
    <w:rsid w:val="00FA2029"/>
    <w:rsid w:val="00FA215E"/>
    <w:rsid w:val="00FA2182"/>
    <w:rsid w:val="00FA2746"/>
    <w:rsid w:val="00FA326B"/>
    <w:rsid w:val="00FA3DE8"/>
    <w:rsid w:val="00FA413B"/>
    <w:rsid w:val="00FA49D6"/>
    <w:rsid w:val="00FA5062"/>
    <w:rsid w:val="00FA60FD"/>
    <w:rsid w:val="00FA620E"/>
    <w:rsid w:val="00FA666E"/>
    <w:rsid w:val="00FA66BA"/>
    <w:rsid w:val="00FA6B9C"/>
    <w:rsid w:val="00FA7E18"/>
    <w:rsid w:val="00FA7EE8"/>
    <w:rsid w:val="00FB048C"/>
    <w:rsid w:val="00FB0527"/>
    <w:rsid w:val="00FB0804"/>
    <w:rsid w:val="00FB0C97"/>
    <w:rsid w:val="00FB1198"/>
    <w:rsid w:val="00FB19C4"/>
    <w:rsid w:val="00FB1B64"/>
    <w:rsid w:val="00FB3BAE"/>
    <w:rsid w:val="00FB3BB0"/>
    <w:rsid w:val="00FB3F1F"/>
    <w:rsid w:val="00FB4479"/>
    <w:rsid w:val="00FB4A19"/>
    <w:rsid w:val="00FB4FCF"/>
    <w:rsid w:val="00FB5CD8"/>
    <w:rsid w:val="00FB6785"/>
    <w:rsid w:val="00FB694B"/>
    <w:rsid w:val="00FB6ADB"/>
    <w:rsid w:val="00FB6F3A"/>
    <w:rsid w:val="00FB77EF"/>
    <w:rsid w:val="00FB7AB1"/>
    <w:rsid w:val="00FC062D"/>
    <w:rsid w:val="00FC09C2"/>
    <w:rsid w:val="00FC0BAD"/>
    <w:rsid w:val="00FC1427"/>
    <w:rsid w:val="00FC225C"/>
    <w:rsid w:val="00FC250B"/>
    <w:rsid w:val="00FC25D9"/>
    <w:rsid w:val="00FC260B"/>
    <w:rsid w:val="00FC2A4F"/>
    <w:rsid w:val="00FC3167"/>
    <w:rsid w:val="00FC3520"/>
    <w:rsid w:val="00FC3A93"/>
    <w:rsid w:val="00FC3B5E"/>
    <w:rsid w:val="00FC3BAD"/>
    <w:rsid w:val="00FC3EC8"/>
    <w:rsid w:val="00FC4224"/>
    <w:rsid w:val="00FC4286"/>
    <w:rsid w:val="00FC4984"/>
    <w:rsid w:val="00FC4FEE"/>
    <w:rsid w:val="00FC53DD"/>
    <w:rsid w:val="00FC578B"/>
    <w:rsid w:val="00FC6114"/>
    <w:rsid w:val="00FC6562"/>
    <w:rsid w:val="00FC72E4"/>
    <w:rsid w:val="00FC79E0"/>
    <w:rsid w:val="00FC7F6F"/>
    <w:rsid w:val="00FD0385"/>
    <w:rsid w:val="00FD09A4"/>
    <w:rsid w:val="00FD0ABA"/>
    <w:rsid w:val="00FD0AFC"/>
    <w:rsid w:val="00FD0F2A"/>
    <w:rsid w:val="00FD1373"/>
    <w:rsid w:val="00FD14B3"/>
    <w:rsid w:val="00FD1B2A"/>
    <w:rsid w:val="00FD237F"/>
    <w:rsid w:val="00FD2D97"/>
    <w:rsid w:val="00FD3466"/>
    <w:rsid w:val="00FD3579"/>
    <w:rsid w:val="00FD43EB"/>
    <w:rsid w:val="00FD448D"/>
    <w:rsid w:val="00FD486E"/>
    <w:rsid w:val="00FD531B"/>
    <w:rsid w:val="00FD5389"/>
    <w:rsid w:val="00FD5A2B"/>
    <w:rsid w:val="00FE0259"/>
    <w:rsid w:val="00FE0561"/>
    <w:rsid w:val="00FE05CB"/>
    <w:rsid w:val="00FE07BA"/>
    <w:rsid w:val="00FE088A"/>
    <w:rsid w:val="00FE0952"/>
    <w:rsid w:val="00FE1A81"/>
    <w:rsid w:val="00FE2445"/>
    <w:rsid w:val="00FE24FD"/>
    <w:rsid w:val="00FE25DE"/>
    <w:rsid w:val="00FE2CF0"/>
    <w:rsid w:val="00FE3606"/>
    <w:rsid w:val="00FE38C4"/>
    <w:rsid w:val="00FE40B3"/>
    <w:rsid w:val="00FE5440"/>
    <w:rsid w:val="00FE55B0"/>
    <w:rsid w:val="00FE62C9"/>
    <w:rsid w:val="00FE6526"/>
    <w:rsid w:val="00FE685C"/>
    <w:rsid w:val="00FE706F"/>
    <w:rsid w:val="00FE7C18"/>
    <w:rsid w:val="00FE7ECE"/>
    <w:rsid w:val="00FF06DF"/>
    <w:rsid w:val="00FF246F"/>
    <w:rsid w:val="00FF2A02"/>
    <w:rsid w:val="00FF394F"/>
    <w:rsid w:val="00FF3DE4"/>
    <w:rsid w:val="00FF4216"/>
    <w:rsid w:val="00FF539D"/>
    <w:rsid w:val="00FF5EEC"/>
    <w:rsid w:val="00FF6228"/>
    <w:rsid w:val="00FF6325"/>
    <w:rsid w:val="00FF654C"/>
    <w:rsid w:val="00FF65BB"/>
    <w:rsid w:val="00FF6A17"/>
    <w:rsid w:val="00FF6A88"/>
    <w:rsid w:val="00FF6BE6"/>
    <w:rsid w:val="00FF72EF"/>
    <w:rsid w:val="00FF73CC"/>
    <w:rsid w:val="00FF7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E5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uiPriority="9" w:qFormat="1"/>
    <w:lsdException w:name="heading 7" w:uiPriority="9" w:qFormat="1"/>
    <w:lsdException w:name="toc 1" w:uiPriority="39"/>
    <w:lsdException w:name="toc 2" w:uiPriority="39"/>
    <w:lsdException w:name="toc 3" w:uiPriority="39"/>
    <w:lsdException w:name="footnote text" w:uiPriority="99"/>
    <w:lsdException w:name="footnote reference" w:uiPriority="99"/>
    <w:lsdException w:name="Hyperlink" w:uiPriority="99"/>
    <w:lsdException w:name="List Paragraph" w:uiPriority="34"/>
  </w:latentStyles>
  <w:style w:type="paragraph" w:default="1" w:styleId="Normal">
    <w:name w:val="Normal"/>
    <w:qFormat/>
    <w:rsid w:val="00BD40A7"/>
    <w:pPr>
      <w:spacing w:before="240"/>
      <w:jc w:val="both"/>
    </w:pPr>
    <w:rPr>
      <w:rFonts w:asciiTheme="minorHAnsi" w:hAnsiTheme="minorHAnsi" w:cstheme="minorHAnsi"/>
      <w:lang w:eastAsia="en-US"/>
    </w:rPr>
  </w:style>
  <w:style w:type="paragraph" w:styleId="Heading1">
    <w:name w:val="heading 1"/>
    <w:basedOn w:val="ListParagraph"/>
    <w:next w:val="Normal"/>
    <w:link w:val="Heading1Char"/>
    <w:qFormat/>
    <w:rsid w:val="00ED067B"/>
    <w:pPr>
      <w:keepNext/>
      <w:numPr>
        <w:numId w:val="8"/>
      </w:numPr>
      <w:spacing w:before="0" w:after="240"/>
      <w:outlineLvl w:val="0"/>
    </w:pPr>
    <w:rPr>
      <w:rFonts w:asciiTheme="minorHAnsi" w:hAnsiTheme="minorHAnsi"/>
      <w:b/>
      <w:color w:val="17298D"/>
      <w:sz w:val="40"/>
      <w:szCs w:val="40"/>
    </w:rPr>
  </w:style>
  <w:style w:type="paragraph" w:styleId="Heading2">
    <w:name w:val="heading 2"/>
    <w:basedOn w:val="ListParagraph"/>
    <w:next w:val="Normal"/>
    <w:link w:val="Heading2Char"/>
    <w:qFormat/>
    <w:rsid w:val="00005BA5"/>
    <w:pPr>
      <w:keepNext/>
      <w:numPr>
        <w:ilvl w:val="1"/>
        <w:numId w:val="8"/>
      </w:numPr>
      <w:tabs>
        <w:tab w:val="clear" w:pos="1106"/>
        <w:tab w:val="num" w:pos="851"/>
      </w:tabs>
      <w:spacing w:before="600" w:after="240"/>
      <w:ind w:left="851" w:hanging="851"/>
      <w:outlineLvl w:val="1"/>
    </w:pPr>
    <w:rPr>
      <w:rFonts w:asciiTheme="minorHAnsi" w:hAnsiTheme="minorHAnsi"/>
      <w:b/>
      <w:color w:val="17298D"/>
      <w:sz w:val="32"/>
      <w:szCs w:val="32"/>
    </w:rPr>
  </w:style>
  <w:style w:type="paragraph" w:styleId="Heading3">
    <w:name w:val="heading 3"/>
    <w:basedOn w:val="Normal"/>
    <w:next w:val="Normal"/>
    <w:link w:val="Heading3Char"/>
    <w:qFormat/>
    <w:rsid w:val="00644B25"/>
    <w:pPr>
      <w:keepNext/>
      <w:overflowPunct w:val="0"/>
      <w:adjustRightInd w:val="0"/>
      <w:spacing w:before="600" w:after="240"/>
      <w:textAlignment w:val="baseline"/>
      <w:outlineLvl w:val="2"/>
    </w:pPr>
    <w:rPr>
      <w:rFonts w:cs="Times New Roman"/>
      <w:b/>
      <w:color w:val="17298D"/>
      <w:sz w:val="28"/>
      <w:szCs w:val="28"/>
      <w:lang w:val="en-US"/>
    </w:rPr>
  </w:style>
  <w:style w:type="paragraph" w:styleId="Heading4">
    <w:name w:val="heading 4"/>
    <w:basedOn w:val="Normal"/>
    <w:next w:val="Normal"/>
    <w:link w:val="Heading4Char"/>
    <w:qFormat/>
    <w:rsid w:val="00620BD7"/>
    <w:pPr>
      <w:keepNext/>
      <w:spacing w:before="600" w:after="240"/>
      <w:outlineLvl w:val="3"/>
    </w:pPr>
    <w:rPr>
      <w:rFonts w:cs="Times New Roman"/>
      <w:bCs/>
      <w:i/>
      <w:color w:val="17298D"/>
      <w:sz w:val="26"/>
      <w:szCs w:val="26"/>
      <w:lang w:val="en-US"/>
    </w:rPr>
  </w:style>
  <w:style w:type="paragraph" w:styleId="Heading5">
    <w:name w:val="heading 5"/>
    <w:basedOn w:val="Normal"/>
    <w:next w:val="Normal"/>
    <w:rsid w:val="00713940"/>
    <w:pPr>
      <w:keepNext/>
      <w:pBdr>
        <w:top w:val="single" w:sz="18" w:space="1" w:color="auto" w:shadow="1"/>
        <w:left w:val="single" w:sz="18" w:space="4" w:color="auto" w:shadow="1"/>
        <w:bottom w:val="single" w:sz="18" w:space="1" w:color="auto" w:shadow="1"/>
        <w:right w:val="single" w:sz="18" w:space="4" w:color="auto" w:shadow="1"/>
      </w:pBdr>
      <w:jc w:val="center"/>
      <w:outlineLvl w:val="4"/>
    </w:pPr>
    <w:rPr>
      <w:b/>
      <w:sz w:val="42"/>
    </w:rPr>
  </w:style>
  <w:style w:type="paragraph" w:styleId="Heading6">
    <w:name w:val="heading 6"/>
    <w:aliases w:val="Figure heading"/>
    <w:basedOn w:val="TableText"/>
    <w:next w:val="Normal"/>
    <w:link w:val="Heading6Char"/>
    <w:uiPriority w:val="9"/>
    <w:qFormat/>
    <w:rsid w:val="00077336"/>
    <w:pPr>
      <w:keepNext/>
      <w:tabs>
        <w:tab w:val="clear" w:pos="318"/>
        <w:tab w:val="clear" w:pos="2835"/>
        <w:tab w:val="right" w:leader="dot" w:pos="0"/>
      </w:tabs>
      <w:spacing w:before="360" w:after="0"/>
      <w:jc w:val="center"/>
      <w:outlineLvl w:val="5"/>
    </w:pPr>
    <w:rPr>
      <w:rFonts w:asciiTheme="minorHAnsi" w:hAnsiTheme="minorHAnsi"/>
      <w:b/>
      <w:sz w:val="24"/>
    </w:rPr>
  </w:style>
  <w:style w:type="paragraph" w:styleId="Heading7">
    <w:name w:val="heading 7"/>
    <w:aliases w:val="Figure sub-text"/>
    <w:basedOn w:val="TableText"/>
    <w:next w:val="Normal"/>
    <w:link w:val="Heading7Char"/>
    <w:uiPriority w:val="9"/>
    <w:qFormat/>
    <w:rsid w:val="00E07ABD"/>
    <w:pPr>
      <w:keepNext/>
      <w:tabs>
        <w:tab w:val="clear" w:pos="318"/>
        <w:tab w:val="clear" w:pos="2835"/>
        <w:tab w:val="right" w:leader="dot" w:pos="0"/>
      </w:tabs>
      <w:spacing w:before="40" w:after="0"/>
      <w:jc w:val="center"/>
      <w:outlineLvl w:val="6"/>
    </w:pPr>
    <w:rPr>
      <w:rFonts w:asciiTheme="minorHAnsi" w:hAnsiTheme="minorHAnsi"/>
      <w:sz w:val="20"/>
    </w:rPr>
  </w:style>
  <w:style w:type="paragraph" w:styleId="Heading8">
    <w:name w:val="heading 8"/>
    <w:basedOn w:val="Normal"/>
    <w:next w:val="Normal"/>
    <w:uiPriority w:val="9"/>
    <w:rsid w:val="00E67A2D"/>
    <w:pPr>
      <w:spacing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A2D"/>
    <w:pPr>
      <w:tabs>
        <w:tab w:val="center" w:pos="4153"/>
        <w:tab w:val="right" w:pos="8306"/>
      </w:tabs>
    </w:pPr>
    <w:rPr>
      <w:rFonts w:cs="Times New Roman"/>
    </w:rPr>
  </w:style>
  <w:style w:type="paragraph" w:styleId="Header">
    <w:name w:val="header"/>
    <w:basedOn w:val="Normal"/>
    <w:link w:val="HeaderChar"/>
    <w:rsid w:val="00E67A2D"/>
    <w:pPr>
      <w:tabs>
        <w:tab w:val="center" w:pos="4153"/>
        <w:tab w:val="right" w:pos="8306"/>
      </w:tabs>
    </w:pPr>
    <w:rPr>
      <w:rFonts w:cs="Times New Roman"/>
    </w:rPr>
  </w:style>
  <w:style w:type="paragraph" w:styleId="ListBullet">
    <w:name w:val="List Bullet"/>
    <w:basedOn w:val="Normal"/>
    <w:autoRedefine/>
    <w:rsid w:val="00E67A2D"/>
  </w:style>
  <w:style w:type="paragraph" w:styleId="ListBullet2">
    <w:name w:val="List Bullet 2"/>
    <w:basedOn w:val="Normal"/>
    <w:autoRedefine/>
    <w:rsid w:val="00E67A2D"/>
  </w:style>
  <w:style w:type="character" w:styleId="PageNumber">
    <w:name w:val="page number"/>
    <w:basedOn w:val="DefaultParagraphFont"/>
    <w:rsid w:val="00E67A2D"/>
  </w:style>
  <w:style w:type="paragraph" w:customStyle="1" w:styleId="DotPoints1">
    <w:name w:val="Dot Points 1"/>
    <w:basedOn w:val="Normal"/>
    <w:link w:val="DotPoints1Char"/>
    <w:rsid w:val="00E67A2D"/>
    <w:pPr>
      <w:numPr>
        <w:numId w:val="2"/>
      </w:numPr>
    </w:pPr>
    <w:rPr>
      <w:rFonts w:cs="Times New Roman"/>
    </w:rPr>
  </w:style>
  <w:style w:type="paragraph" w:customStyle="1" w:styleId="DotPoints2">
    <w:name w:val="Dot Points 2"/>
    <w:basedOn w:val="Normal"/>
    <w:link w:val="DotPoints2Char"/>
    <w:rsid w:val="006C4770"/>
    <w:pPr>
      <w:numPr>
        <w:numId w:val="1"/>
      </w:numPr>
    </w:pPr>
    <w:rPr>
      <w:rFonts w:cs="Times New Roman"/>
    </w:rPr>
  </w:style>
  <w:style w:type="paragraph" w:customStyle="1" w:styleId="NumberedList">
    <w:name w:val="Numbered List"/>
    <w:basedOn w:val="Normal"/>
    <w:rsid w:val="00E67A2D"/>
    <w:pPr>
      <w:numPr>
        <w:numId w:val="3"/>
      </w:numPr>
    </w:pPr>
  </w:style>
  <w:style w:type="paragraph" w:styleId="Caption">
    <w:name w:val="caption"/>
    <w:basedOn w:val="Normal"/>
    <w:next w:val="Normal"/>
    <w:uiPriority w:val="35"/>
    <w:rsid w:val="00713940"/>
    <w:pPr>
      <w:keepNext/>
      <w:jc w:val="center"/>
    </w:pPr>
    <w:rPr>
      <w:b/>
      <w:bCs/>
      <w:szCs w:val="20"/>
    </w:rPr>
  </w:style>
  <w:style w:type="paragraph" w:customStyle="1" w:styleId="Qoutes">
    <w:name w:val="Qoutes"/>
    <w:basedOn w:val="Normal"/>
    <w:rsid w:val="00E67A2D"/>
    <w:pPr>
      <w:ind w:left="720"/>
    </w:pPr>
    <w:rPr>
      <w:i/>
    </w:rPr>
  </w:style>
  <w:style w:type="paragraph" w:styleId="TOC1">
    <w:name w:val="toc 1"/>
    <w:basedOn w:val="Normal"/>
    <w:next w:val="Normal"/>
    <w:autoRedefine/>
    <w:uiPriority w:val="39"/>
    <w:rsid w:val="007D33FB"/>
    <w:pPr>
      <w:keepNext/>
      <w:tabs>
        <w:tab w:val="left" w:pos="709"/>
        <w:tab w:val="right" w:leader="dot" w:pos="9061"/>
      </w:tabs>
      <w:ind w:left="567" w:hanging="567"/>
    </w:pPr>
    <w:rPr>
      <w:b/>
      <w:noProof/>
      <w:color w:val="172983"/>
      <w:szCs w:val="28"/>
    </w:rPr>
  </w:style>
  <w:style w:type="paragraph" w:styleId="TOC2">
    <w:name w:val="toc 2"/>
    <w:basedOn w:val="Normal"/>
    <w:next w:val="Normal"/>
    <w:autoRedefine/>
    <w:uiPriority w:val="39"/>
    <w:rsid w:val="00024B99"/>
    <w:pPr>
      <w:tabs>
        <w:tab w:val="left" w:pos="1418"/>
        <w:tab w:val="right" w:leader="dot" w:pos="9061"/>
      </w:tabs>
      <w:spacing w:before="120"/>
      <w:ind w:left="992" w:hanging="425"/>
    </w:pPr>
    <w:rPr>
      <w:color w:val="172983"/>
    </w:rPr>
  </w:style>
  <w:style w:type="character" w:styleId="Hyperlink">
    <w:name w:val="Hyperlink"/>
    <w:uiPriority w:val="99"/>
    <w:rsid w:val="00E67A2D"/>
    <w:rPr>
      <w:color w:val="0000FF"/>
      <w:u w:val="single"/>
    </w:rPr>
  </w:style>
  <w:style w:type="paragraph" w:customStyle="1" w:styleId="dotpoints20">
    <w:name w:val="dotpoints2"/>
    <w:basedOn w:val="Normal"/>
    <w:rsid w:val="00E67A2D"/>
    <w:pPr>
      <w:tabs>
        <w:tab w:val="num" w:pos="851"/>
      </w:tabs>
      <w:ind w:left="851" w:hanging="851"/>
    </w:pPr>
    <w:rPr>
      <w:lang w:val="en-US"/>
    </w:rPr>
  </w:style>
  <w:style w:type="paragraph" w:styleId="FootnoteText">
    <w:name w:val="footnote text"/>
    <w:basedOn w:val="Normal"/>
    <w:link w:val="FootnoteTextChar"/>
    <w:uiPriority w:val="99"/>
    <w:semiHidden/>
    <w:rsid w:val="002360F4"/>
    <w:pPr>
      <w:spacing w:before="0"/>
    </w:pPr>
    <w:rPr>
      <w:rFonts w:cs="Times New Roman"/>
      <w:sz w:val="20"/>
      <w:szCs w:val="20"/>
    </w:rPr>
  </w:style>
  <w:style w:type="character" w:styleId="FootnoteReference">
    <w:name w:val="footnote reference"/>
    <w:uiPriority w:val="99"/>
    <w:semiHidden/>
    <w:rsid w:val="00E67A2D"/>
    <w:rPr>
      <w:vertAlign w:val="superscript"/>
    </w:rPr>
  </w:style>
  <w:style w:type="paragraph" w:customStyle="1" w:styleId="TableText">
    <w:name w:val="TableText"/>
    <w:basedOn w:val="Normal"/>
    <w:rsid w:val="00E67A2D"/>
    <w:pPr>
      <w:tabs>
        <w:tab w:val="left" w:pos="318"/>
        <w:tab w:val="right" w:leader="dot" w:pos="2835"/>
      </w:tabs>
      <w:spacing w:before="60" w:after="60"/>
    </w:pPr>
    <w:rPr>
      <w:rFonts w:ascii="Times New Roman" w:hAnsi="Times New Roman"/>
      <w:sz w:val="22"/>
      <w:szCs w:val="20"/>
    </w:rPr>
  </w:style>
  <w:style w:type="paragraph" w:customStyle="1" w:styleId="Bullet">
    <w:name w:val="Bullet"/>
    <w:basedOn w:val="Normal"/>
    <w:next w:val="Normal"/>
    <w:rsid w:val="00E67A2D"/>
    <w:pPr>
      <w:spacing w:before="0"/>
      <w:ind w:left="567" w:hanging="567"/>
    </w:pPr>
    <w:rPr>
      <w:rFonts w:ascii="Times New Roman" w:hAnsi="Times New Roman"/>
      <w:szCs w:val="20"/>
    </w:rPr>
  </w:style>
  <w:style w:type="paragraph" w:styleId="TOC3">
    <w:name w:val="toc 3"/>
    <w:basedOn w:val="Normal"/>
    <w:next w:val="Normal"/>
    <w:autoRedefine/>
    <w:uiPriority w:val="39"/>
    <w:rsid w:val="00C30656"/>
    <w:pPr>
      <w:tabs>
        <w:tab w:val="right" w:leader="dot" w:pos="9061"/>
      </w:tabs>
      <w:spacing w:before="120"/>
      <w:ind w:left="1418"/>
    </w:pPr>
    <w:rPr>
      <w:noProof/>
      <w:color w:val="172983"/>
    </w:rPr>
  </w:style>
  <w:style w:type="table" w:styleId="TableGrid">
    <w:name w:val="Table Grid"/>
    <w:basedOn w:val="TableNormal"/>
    <w:rsid w:val="00F10501"/>
    <w:pPr>
      <w:spacing w:before="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0F46"/>
    <w:rPr>
      <w:rFonts w:ascii="Tahoma" w:hAnsi="Tahoma" w:cs="Times New Roman"/>
      <w:sz w:val="16"/>
      <w:szCs w:val="16"/>
    </w:rPr>
  </w:style>
  <w:style w:type="paragraph" w:styleId="BlockText">
    <w:name w:val="Block Text"/>
    <w:basedOn w:val="Normal"/>
    <w:rsid w:val="007E3D0A"/>
    <w:pPr>
      <w:ind w:left="90" w:right="71"/>
    </w:pPr>
    <w:rPr>
      <w:rFonts w:ascii="Times New Roman" w:hAnsi="Times New Roman"/>
      <w:sz w:val="20"/>
      <w:szCs w:val="22"/>
    </w:rPr>
  </w:style>
  <w:style w:type="paragraph" w:styleId="BodyText">
    <w:name w:val="Body Text"/>
    <w:basedOn w:val="Normal"/>
    <w:link w:val="BodyTextChar"/>
    <w:rsid w:val="007E3D0A"/>
    <w:pPr>
      <w:spacing w:before="0"/>
      <w:jc w:val="center"/>
    </w:pPr>
    <w:rPr>
      <w:rFonts w:ascii="Times New Roman" w:hAnsi="Times New Roman"/>
      <w:b/>
      <w:bCs/>
      <w:sz w:val="32"/>
      <w:lang w:val="en-US"/>
    </w:rPr>
  </w:style>
  <w:style w:type="paragraph" w:styleId="BodyText2">
    <w:name w:val="Body Text 2"/>
    <w:basedOn w:val="Normal"/>
    <w:rsid w:val="007E3D0A"/>
    <w:pPr>
      <w:autoSpaceDE w:val="0"/>
      <w:autoSpaceDN w:val="0"/>
      <w:adjustRightInd w:val="0"/>
      <w:spacing w:before="0"/>
    </w:pPr>
    <w:rPr>
      <w:rFonts w:ascii="Times New Roman" w:hAnsi="Times New Roman"/>
      <w:b/>
      <w:bCs/>
      <w:lang w:val="en-US"/>
    </w:rPr>
  </w:style>
  <w:style w:type="paragraph" w:styleId="BodyText3">
    <w:name w:val="Body Text 3"/>
    <w:basedOn w:val="Normal"/>
    <w:rsid w:val="007E3D0A"/>
    <w:pPr>
      <w:spacing w:before="0"/>
    </w:pPr>
    <w:rPr>
      <w:rFonts w:ascii="Times New Roman" w:hAnsi="Times New Roman"/>
      <w:sz w:val="18"/>
      <w:lang w:val="en-US"/>
    </w:rPr>
  </w:style>
  <w:style w:type="paragraph" w:styleId="BodyTextIndent">
    <w:name w:val="Body Text Indent"/>
    <w:basedOn w:val="Normal"/>
    <w:link w:val="BodyTextIndentChar"/>
    <w:rsid w:val="007E3D0A"/>
    <w:pPr>
      <w:ind w:left="425"/>
    </w:pPr>
    <w:rPr>
      <w:rFonts w:ascii="Times New Roman" w:hAnsi="Times New Roman"/>
      <w:i/>
      <w:iCs/>
    </w:rPr>
  </w:style>
  <w:style w:type="character" w:styleId="CommentReference">
    <w:name w:val="annotation reference"/>
    <w:semiHidden/>
    <w:rsid w:val="007E3D0A"/>
    <w:rPr>
      <w:sz w:val="16"/>
      <w:szCs w:val="16"/>
    </w:rPr>
  </w:style>
  <w:style w:type="paragraph" w:styleId="CommentText">
    <w:name w:val="annotation text"/>
    <w:basedOn w:val="Normal"/>
    <w:link w:val="CommentTextChar"/>
    <w:semiHidden/>
    <w:rsid w:val="007E3D0A"/>
    <w:pPr>
      <w:spacing w:before="0"/>
    </w:pPr>
    <w:rPr>
      <w:rFonts w:ascii="Times New Roman" w:hAnsi="Times New Roman" w:cs="Times New Roman"/>
      <w:sz w:val="20"/>
      <w:szCs w:val="20"/>
    </w:rPr>
  </w:style>
  <w:style w:type="paragraph" w:styleId="CommentSubject">
    <w:name w:val="annotation subject"/>
    <w:basedOn w:val="CommentText"/>
    <w:next w:val="CommentText"/>
    <w:semiHidden/>
    <w:rsid w:val="007E3D0A"/>
    <w:rPr>
      <w:b/>
      <w:bCs/>
    </w:rPr>
  </w:style>
  <w:style w:type="paragraph" w:customStyle="1" w:styleId="TableTextList">
    <w:name w:val="TableTextList"/>
    <w:basedOn w:val="Normal"/>
    <w:rsid w:val="007E3D0A"/>
    <w:pPr>
      <w:tabs>
        <w:tab w:val="left" w:pos="318"/>
        <w:tab w:val="num" w:pos="425"/>
        <w:tab w:val="right" w:leader="dot" w:pos="2835"/>
      </w:tabs>
      <w:spacing w:before="60" w:after="60"/>
      <w:ind w:left="425" w:hanging="425"/>
    </w:pPr>
    <w:rPr>
      <w:sz w:val="22"/>
      <w:szCs w:val="20"/>
    </w:rPr>
  </w:style>
  <w:style w:type="paragraph" w:customStyle="1" w:styleId="StyleHeading2Arial">
    <w:name w:val="Style Heading 2 + Arial"/>
    <w:basedOn w:val="Heading2"/>
    <w:rsid w:val="007E3D0A"/>
    <w:pPr>
      <w:numPr>
        <w:ilvl w:val="0"/>
        <w:numId w:val="0"/>
      </w:numPr>
      <w:shd w:val="clear" w:color="auto" w:fill="000080"/>
      <w:tabs>
        <w:tab w:val="num" w:pos="680"/>
      </w:tabs>
      <w:ind w:left="680" w:hanging="680"/>
    </w:pPr>
    <w:rPr>
      <w:bCs/>
      <w:iCs/>
      <w:szCs w:val="20"/>
    </w:rPr>
  </w:style>
  <w:style w:type="paragraph" w:styleId="PlainText">
    <w:name w:val="Plain Text"/>
    <w:basedOn w:val="Normal"/>
    <w:rsid w:val="007E3D0A"/>
    <w:pPr>
      <w:spacing w:before="0"/>
    </w:pPr>
    <w:rPr>
      <w:rFonts w:ascii="Courier New" w:hAnsi="Courier New" w:cs="Courier New"/>
      <w:sz w:val="20"/>
      <w:szCs w:val="20"/>
    </w:rPr>
  </w:style>
  <w:style w:type="paragraph" w:customStyle="1" w:styleId="CharChar">
    <w:name w:val="Char Char"/>
    <w:basedOn w:val="Normal"/>
    <w:rsid w:val="007E3D0A"/>
    <w:pPr>
      <w:spacing w:before="0"/>
    </w:pPr>
    <w:rPr>
      <w:sz w:val="22"/>
      <w:szCs w:val="22"/>
    </w:rPr>
  </w:style>
  <w:style w:type="paragraph" w:customStyle="1" w:styleId="Default">
    <w:name w:val="Default"/>
    <w:rsid w:val="007E3D0A"/>
    <w:pPr>
      <w:autoSpaceDE w:val="0"/>
      <w:autoSpaceDN w:val="0"/>
      <w:adjustRightInd w:val="0"/>
    </w:pPr>
    <w:rPr>
      <w:rFonts w:ascii="Arial" w:hAnsi="Arial" w:cs="Arial"/>
      <w:color w:val="000000"/>
      <w:lang w:val="en-US" w:eastAsia="en-US"/>
    </w:rPr>
  </w:style>
  <w:style w:type="paragraph" w:customStyle="1" w:styleId="Bullets1">
    <w:name w:val="Bullets 1"/>
    <w:basedOn w:val="Normal"/>
    <w:link w:val="Bullets1Char"/>
    <w:rsid w:val="003E001B"/>
    <w:pPr>
      <w:numPr>
        <w:numId w:val="4"/>
      </w:numPr>
      <w:ind w:left="360"/>
    </w:pPr>
    <w:rPr>
      <w:rFonts w:cs="Times New Roman"/>
    </w:rPr>
  </w:style>
  <w:style w:type="paragraph" w:customStyle="1" w:styleId="Bullets">
    <w:name w:val="Bullets"/>
    <w:basedOn w:val="DotPoints2"/>
    <w:link w:val="BulletsChar1"/>
    <w:qFormat/>
    <w:rsid w:val="00437432"/>
    <w:pPr>
      <w:spacing w:before="120"/>
    </w:pPr>
  </w:style>
  <w:style w:type="character" w:customStyle="1" w:styleId="Bullets1Char">
    <w:name w:val="Bullets 1 Char"/>
    <w:link w:val="Bullets1"/>
    <w:rsid w:val="003E001B"/>
    <w:rPr>
      <w:rFonts w:asciiTheme="minorHAnsi" w:hAnsiTheme="minorHAnsi"/>
      <w:lang w:eastAsia="en-US"/>
    </w:rPr>
  </w:style>
  <w:style w:type="paragraph" w:customStyle="1" w:styleId="Bullets2">
    <w:name w:val="Bullets 2"/>
    <w:basedOn w:val="Bullets"/>
    <w:link w:val="Bullets2Char"/>
    <w:qFormat/>
    <w:rsid w:val="00437432"/>
    <w:pPr>
      <w:numPr>
        <w:ilvl w:val="1"/>
      </w:numPr>
      <w:tabs>
        <w:tab w:val="clear" w:pos="993"/>
        <w:tab w:val="num" w:pos="1134"/>
      </w:tabs>
      <w:ind w:left="1134" w:hanging="425"/>
    </w:pPr>
    <w:rPr>
      <w:lang w:val="en-US"/>
    </w:rPr>
  </w:style>
  <w:style w:type="character" w:customStyle="1" w:styleId="DotPoints2Char">
    <w:name w:val="Dot Points 2 Char"/>
    <w:link w:val="DotPoints2"/>
    <w:rsid w:val="00973ED5"/>
    <w:rPr>
      <w:rFonts w:asciiTheme="minorHAnsi" w:hAnsiTheme="minorHAnsi"/>
      <w:lang w:eastAsia="en-US"/>
    </w:rPr>
  </w:style>
  <w:style w:type="character" w:customStyle="1" w:styleId="BulletsChar">
    <w:name w:val="Bullets Char"/>
    <w:basedOn w:val="DotPoints2Char"/>
    <w:rsid w:val="00973ED5"/>
    <w:rPr>
      <w:rFonts w:ascii="Arial" w:hAnsi="Arial"/>
      <w:sz w:val="24"/>
      <w:szCs w:val="24"/>
      <w:lang w:eastAsia="en-US"/>
    </w:rPr>
  </w:style>
  <w:style w:type="paragraph" w:styleId="Quote">
    <w:name w:val="Quote"/>
    <w:basedOn w:val="Bullets"/>
    <w:link w:val="QuoteChar"/>
    <w:uiPriority w:val="29"/>
    <w:qFormat/>
    <w:rsid w:val="008240A9"/>
    <w:pPr>
      <w:numPr>
        <w:numId w:val="0"/>
      </w:numPr>
      <w:spacing w:before="240"/>
    </w:pPr>
    <w:rPr>
      <w:i/>
      <w:color w:val="17298D"/>
      <w:sz w:val="20"/>
      <w:szCs w:val="20"/>
      <w:lang w:val="en-US"/>
    </w:rPr>
  </w:style>
  <w:style w:type="character" w:customStyle="1" w:styleId="BulletsChar1">
    <w:name w:val="Bullets Char1"/>
    <w:basedOn w:val="DotPoints2Char"/>
    <w:link w:val="Bullets"/>
    <w:rsid w:val="00437432"/>
    <w:rPr>
      <w:rFonts w:asciiTheme="minorHAnsi" w:hAnsiTheme="minorHAnsi"/>
      <w:lang w:eastAsia="en-US"/>
    </w:rPr>
  </w:style>
  <w:style w:type="character" w:customStyle="1" w:styleId="Bullets2Char">
    <w:name w:val="Bullets 2 Char"/>
    <w:basedOn w:val="BulletsChar1"/>
    <w:link w:val="Bullets2"/>
    <w:rsid w:val="00437432"/>
    <w:rPr>
      <w:rFonts w:asciiTheme="minorHAnsi" w:hAnsiTheme="minorHAnsi"/>
      <w:lang w:val="en-US" w:eastAsia="en-US"/>
    </w:rPr>
  </w:style>
  <w:style w:type="character" w:customStyle="1" w:styleId="QuoteChar">
    <w:name w:val="Quote Char"/>
    <w:link w:val="Quote"/>
    <w:uiPriority w:val="29"/>
    <w:rsid w:val="008240A9"/>
    <w:rPr>
      <w:rFonts w:asciiTheme="minorHAnsi" w:hAnsiTheme="minorHAnsi"/>
      <w:i/>
      <w:color w:val="17298D"/>
      <w:sz w:val="20"/>
      <w:szCs w:val="20"/>
      <w:lang w:val="en-US" w:eastAsia="en-US"/>
    </w:rPr>
  </w:style>
  <w:style w:type="paragraph" w:customStyle="1" w:styleId="BulletPoints">
    <w:name w:val="Bullet Points"/>
    <w:basedOn w:val="DotPoints2"/>
    <w:rsid w:val="00916D27"/>
    <w:pPr>
      <w:numPr>
        <w:numId w:val="0"/>
      </w:numPr>
      <w:tabs>
        <w:tab w:val="num" w:pos="425"/>
      </w:tabs>
      <w:ind w:left="425" w:hanging="425"/>
    </w:pPr>
  </w:style>
  <w:style w:type="paragraph" w:customStyle="1" w:styleId="CONLevel1">
    <w:name w:val=".CON  Level   1."/>
    <w:basedOn w:val="Normal"/>
    <w:next w:val="Normal"/>
    <w:rsid w:val="00AC2869"/>
    <w:pPr>
      <w:keepNext/>
      <w:numPr>
        <w:numId w:val="5"/>
      </w:numPr>
      <w:outlineLvl w:val="1"/>
    </w:pPr>
    <w:rPr>
      <w:rFonts w:ascii="Times New Roman" w:hAnsi="Times New Roman"/>
      <w:b/>
      <w:szCs w:val="22"/>
    </w:rPr>
  </w:style>
  <w:style w:type="paragraph" w:customStyle="1" w:styleId="CONLevel11">
    <w:name w:val=".CON  Level   1.1"/>
    <w:basedOn w:val="Normal"/>
    <w:next w:val="Normal"/>
    <w:rsid w:val="00AC2869"/>
    <w:pPr>
      <w:numPr>
        <w:ilvl w:val="1"/>
        <w:numId w:val="5"/>
      </w:numPr>
      <w:outlineLvl w:val="2"/>
    </w:pPr>
    <w:rPr>
      <w:rFonts w:ascii="Times New Roman" w:hAnsi="Times New Roman"/>
      <w:szCs w:val="22"/>
    </w:rPr>
  </w:style>
  <w:style w:type="paragraph" w:customStyle="1" w:styleId="CONLevela">
    <w:name w:val=".CON  Level  (a)"/>
    <w:basedOn w:val="Normal"/>
    <w:next w:val="Normal"/>
    <w:rsid w:val="00AC2869"/>
    <w:pPr>
      <w:numPr>
        <w:ilvl w:val="2"/>
        <w:numId w:val="5"/>
      </w:numPr>
      <w:outlineLvl w:val="3"/>
    </w:pPr>
    <w:rPr>
      <w:rFonts w:ascii="Times New Roman" w:hAnsi="Times New Roman"/>
      <w:szCs w:val="22"/>
    </w:rPr>
  </w:style>
  <w:style w:type="paragraph" w:customStyle="1" w:styleId="CONLeveli">
    <w:name w:val=".CON  Level  (i)"/>
    <w:basedOn w:val="Normal"/>
    <w:next w:val="Normal"/>
    <w:rsid w:val="00AC2869"/>
    <w:pPr>
      <w:numPr>
        <w:ilvl w:val="3"/>
        <w:numId w:val="5"/>
      </w:numPr>
      <w:outlineLvl w:val="4"/>
    </w:pPr>
    <w:rPr>
      <w:rFonts w:ascii="Times New Roman" w:hAnsi="Times New Roman"/>
      <w:szCs w:val="22"/>
    </w:rPr>
  </w:style>
  <w:style w:type="paragraph" w:customStyle="1" w:styleId="CONLevelA0">
    <w:name w:val=".CON  Level (A)"/>
    <w:basedOn w:val="Normal"/>
    <w:next w:val="Normal"/>
    <w:rsid w:val="00AC2869"/>
    <w:pPr>
      <w:numPr>
        <w:ilvl w:val="4"/>
        <w:numId w:val="5"/>
      </w:numPr>
      <w:outlineLvl w:val="5"/>
    </w:pPr>
    <w:rPr>
      <w:rFonts w:ascii="Times New Roman" w:hAnsi="Times New Roman"/>
      <w:szCs w:val="22"/>
    </w:rPr>
  </w:style>
  <w:style w:type="paragraph" w:customStyle="1" w:styleId="CONLevelI0">
    <w:name w:val=".CON  Level (I)"/>
    <w:basedOn w:val="Normal"/>
    <w:next w:val="Normal"/>
    <w:rsid w:val="00AC2869"/>
    <w:pPr>
      <w:numPr>
        <w:ilvl w:val="5"/>
        <w:numId w:val="5"/>
      </w:numPr>
      <w:outlineLvl w:val="6"/>
    </w:pPr>
    <w:rPr>
      <w:rFonts w:ascii="Times New Roman" w:hAnsi="Times New Roman"/>
      <w:szCs w:val="22"/>
    </w:rPr>
  </w:style>
  <w:style w:type="paragraph" w:styleId="ListParagraph">
    <w:name w:val="List Paragraph"/>
    <w:basedOn w:val="Normal"/>
    <w:uiPriority w:val="34"/>
    <w:rsid w:val="0057466F"/>
    <w:pPr>
      <w:ind w:left="720"/>
    </w:pPr>
    <w:rPr>
      <w:rFonts w:ascii="Calibri" w:eastAsia="Calibri" w:hAnsi="Calibri"/>
      <w:sz w:val="22"/>
      <w:szCs w:val="22"/>
      <w:lang w:val="en-US"/>
    </w:rPr>
  </w:style>
  <w:style w:type="character" w:customStyle="1" w:styleId="DotPoints2CharChar">
    <w:name w:val="Dot Points 2 Char Char"/>
    <w:rsid w:val="007A3213"/>
    <w:rPr>
      <w:rFonts w:ascii="Arial" w:hAnsi="Arial" w:cs="Arial"/>
      <w:sz w:val="24"/>
      <w:szCs w:val="24"/>
      <w:lang w:val="en-AU" w:eastAsia="en-US" w:bidi="ar-SA"/>
    </w:rPr>
  </w:style>
  <w:style w:type="paragraph" w:styleId="ListNumber4">
    <w:name w:val="List Number 4"/>
    <w:basedOn w:val="Normal"/>
    <w:rsid w:val="002F6FE2"/>
    <w:pPr>
      <w:widowControl w:val="0"/>
      <w:numPr>
        <w:numId w:val="6"/>
      </w:numPr>
      <w:tabs>
        <w:tab w:val="clear" w:pos="1209"/>
        <w:tab w:val="left" w:pos="567"/>
        <w:tab w:val="num" w:pos="1440"/>
      </w:tabs>
      <w:ind w:left="1440"/>
    </w:pPr>
    <w:rPr>
      <w:sz w:val="22"/>
      <w:szCs w:val="20"/>
    </w:rPr>
  </w:style>
  <w:style w:type="paragraph" w:customStyle="1" w:styleId="CharCharCharCharCharChar">
    <w:name w:val="Char Char Char Char Char Char"/>
    <w:basedOn w:val="Normal"/>
    <w:rsid w:val="002F6FE2"/>
    <w:rPr>
      <w:sz w:val="22"/>
      <w:szCs w:val="22"/>
    </w:rPr>
  </w:style>
  <w:style w:type="character" w:customStyle="1" w:styleId="Heading2Char">
    <w:name w:val="Heading 2 Char"/>
    <w:link w:val="Heading2"/>
    <w:rsid w:val="00005BA5"/>
    <w:rPr>
      <w:rFonts w:asciiTheme="minorHAnsi" w:eastAsia="Calibri" w:hAnsiTheme="minorHAnsi" w:cstheme="minorHAnsi"/>
      <w:b/>
      <w:color w:val="17298D"/>
      <w:sz w:val="32"/>
      <w:szCs w:val="32"/>
      <w:lang w:val="en-US" w:eastAsia="en-US"/>
    </w:rPr>
  </w:style>
  <w:style w:type="paragraph" w:styleId="NormalWeb">
    <w:name w:val="Normal (Web)"/>
    <w:basedOn w:val="Normal"/>
    <w:rsid w:val="00F61251"/>
    <w:pPr>
      <w:spacing w:before="100" w:beforeAutospacing="1" w:after="100" w:afterAutospacing="1"/>
    </w:pPr>
    <w:rPr>
      <w:rFonts w:ascii="Times New Roman" w:hAnsi="Times New Roman"/>
      <w:lang w:val="en-US"/>
    </w:rPr>
  </w:style>
  <w:style w:type="character" w:customStyle="1" w:styleId="DotPoints1Char">
    <w:name w:val="Dot Points 1 Char"/>
    <w:link w:val="DotPoints1"/>
    <w:rsid w:val="009367DF"/>
    <w:rPr>
      <w:rFonts w:asciiTheme="minorHAnsi" w:hAnsiTheme="minorHAnsi"/>
      <w:lang w:eastAsia="en-US"/>
    </w:rPr>
  </w:style>
  <w:style w:type="paragraph" w:styleId="NoSpacing">
    <w:name w:val="No Spacing"/>
    <w:basedOn w:val="TOC1"/>
    <w:uiPriority w:val="1"/>
    <w:rsid w:val="00FB19C4"/>
    <w:pPr>
      <w:spacing w:before="0"/>
    </w:pPr>
  </w:style>
  <w:style w:type="character" w:customStyle="1" w:styleId="Heading4Char">
    <w:name w:val="Heading 4 Char"/>
    <w:link w:val="Heading4"/>
    <w:rsid w:val="00620BD7"/>
    <w:rPr>
      <w:rFonts w:asciiTheme="minorHAnsi" w:hAnsiTheme="minorHAnsi"/>
      <w:bCs/>
      <w:i/>
      <w:color w:val="17298D"/>
      <w:sz w:val="26"/>
      <w:szCs w:val="26"/>
      <w:lang w:val="en-US" w:eastAsia="en-US"/>
    </w:rPr>
  </w:style>
  <w:style w:type="character" w:customStyle="1" w:styleId="Heading1Char">
    <w:name w:val="Heading 1 Char"/>
    <w:link w:val="Heading1"/>
    <w:rsid w:val="00ED067B"/>
    <w:rPr>
      <w:rFonts w:asciiTheme="minorHAnsi" w:eastAsia="Calibri" w:hAnsiTheme="minorHAnsi" w:cstheme="minorHAnsi"/>
      <w:b/>
      <w:color w:val="17298D"/>
      <w:sz w:val="40"/>
      <w:szCs w:val="40"/>
      <w:lang w:val="en-US" w:eastAsia="en-US"/>
    </w:rPr>
  </w:style>
  <w:style w:type="character" w:customStyle="1" w:styleId="Heading3Char">
    <w:name w:val="Heading 3 Char"/>
    <w:link w:val="Heading3"/>
    <w:rsid w:val="00644B25"/>
    <w:rPr>
      <w:rFonts w:asciiTheme="minorHAnsi" w:hAnsiTheme="minorHAnsi"/>
      <w:b/>
      <w:color w:val="17298D"/>
      <w:sz w:val="28"/>
      <w:szCs w:val="28"/>
      <w:lang w:val="en-US" w:eastAsia="en-US"/>
    </w:rPr>
  </w:style>
  <w:style w:type="character" w:customStyle="1" w:styleId="FootnoteTextChar">
    <w:name w:val="Footnote Text Char"/>
    <w:link w:val="FootnoteText"/>
    <w:uiPriority w:val="99"/>
    <w:semiHidden/>
    <w:rsid w:val="002360F4"/>
    <w:rPr>
      <w:rFonts w:ascii="Arial" w:hAnsi="Arial" w:cs="Arial"/>
      <w:lang w:val="en-AU"/>
    </w:rPr>
  </w:style>
  <w:style w:type="character" w:customStyle="1" w:styleId="BalloonTextChar">
    <w:name w:val="Balloon Text Char"/>
    <w:link w:val="BalloonText"/>
    <w:uiPriority w:val="99"/>
    <w:semiHidden/>
    <w:rsid w:val="004F5C48"/>
    <w:rPr>
      <w:rFonts w:ascii="Tahoma" w:hAnsi="Tahoma" w:cs="Tahoma"/>
      <w:sz w:val="16"/>
      <w:szCs w:val="16"/>
      <w:lang w:eastAsia="en-US"/>
    </w:rPr>
  </w:style>
  <w:style w:type="character" w:styleId="Strong">
    <w:name w:val="Strong"/>
    <w:uiPriority w:val="22"/>
    <w:rsid w:val="00576B4D"/>
    <w:rPr>
      <w:b/>
      <w:bCs/>
    </w:rPr>
  </w:style>
  <w:style w:type="paragraph" w:styleId="Revision">
    <w:name w:val="Revision"/>
    <w:hidden/>
    <w:uiPriority w:val="99"/>
    <w:semiHidden/>
    <w:rsid w:val="003D5F83"/>
    <w:rPr>
      <w:rFonts w:ascii="Arial" w:hAnsi="Arial"/>
      <w:lang w:eastAsia="en-US"/>
    </w:rPr>
  </w:style>
  <w:style w:type="paragraph" w:styleId="Subtitle">
    <w:name w:val="Subtitle"/>
    <w:aliases w:val="Figure subtext"/>
    <w:basedOn w:val="Normal"/>
    <w:next w:val="Normal"/>
    <w:link w:val="SubtitleChar"/>
    <w:uiPriority w:val="11"/>
    <w:qFormat/>
    <w:rsid w:val="001D7A23"/>
    <w:pPr>
      <w:spacing w:before="0"/>
    </w:pPr>
    <w:rPr>
      <w:rFonts w:cs="Times New Roman"/>
      <w:sz w:val="22"/>
      <w:szCs w:val="20"/>
    </w:rPr>
  </w:style>
  <w:style w:type="character" w:customStyle="1" w:styleId="SubtitleChar">
    <w:name w:val="Subtitle Char"/>
    <w:aliases w:val="Figure subtext Char"/>
    <w:link w:val="Subtitle"/>
    <w:uiPriority w:val="11"/>
    <w:rsid w:val="001D7A23"/>
    <w:rPr>
      <w:rFonts w:ascii="Arial" w:hAnsi="Arial" w:cs="Arial"/>
      <w:sz w:val="22"/>
      <w:lang w:eastAsia="en-US"/>
    </w:rPr>
  </w:style>
  <w:style w:type="character" w:customStyle="1" w:styleId="FooterChar">
    <w:name w:val="Footer Char"/>
    <w:link w:val="Footer"/>
    <w:rsid w:val="00D33F4B"/>
    <w:rPr>
      <w:rFonts w:ascii="Arial" w:hAnsi="Arial" w:cs="Arial"/>
      <w:sz w:val="24"/>
      <w:szCs w:val="24"/>
      <w:lang w:eastAsia="en-US"/>
    </w:rPr>
  </w:style>
  <w:style w:type="character" w:customStyle="1" w:styleId="HeaderChar">
    <w:name w:val="Header Char"/>
    <w:link w:val="Header"/>
    <w:rsid w:val="00D33F4B"/>
    <w:rPr>
      <w:rFonts w:ascii="Arial" w:hAnsi="Arial" w:cs="Arial"/>
      <w:sz w:val="24"/>
      <w:szCs w:val="24"/>
      <w:lang w:eastAsia="en-US"/>
    </w:rPr>
  </w:style>
  <w:style w:type="paragraph" w:customStyle="1" w:styleId="CharChar0">
    <w:name w:val="Char Char"/>
    <w:basedOn w:val="Normal"/>
    <w:rsid w:val="00B473C2"/>
    <w:pPr>
      <w:spacing w:before="0"/>
    </w:pPr>
    <w:rPr>
      <w:sz w:val="22"/>
      <w:szCs w:val="22"/>
    </w:rPr>
  </w:style>
  <w:style w:type="character" w:styleId="FollowedHyperlink">
    <w:name w:val="FollowedHyperlink"/>
    <w:rsid w:val="00C35E87"/>
    <w:rPr>
      <w:color w:val="800080"/>
      <w:u w:val="single"/>
    </w:rPr>
  </w:style>
  <w:style w:type="paragraph" w:customStyle="1" w:styleId="Heading2-laterchapters">
    <w:name w:val="Heading 2 - later chapters"/>
    <w:basedOn w:val="Heading2"/>
    <w:link w:val="Heading2-laterchaptersChar"/>
    <w:rsid w:val="009A27C0"/>
    <w:pPr>
      <w:pageBreakBefore/>
    </w:pPr>
  </w:style>
  <w:style w:type="character" w:customStyle="1" w:styleId="Heading2-laterchaptersChar">
    <w:name w:val="Heading 2 - later chapters Char"/>
    <w:basedOn w:val="Heading2Char"/>
    <w:link w:val="Heading2-laterchapters"/>
    <w:rsid w:val="009A27C0"/>
    <w:rPr>
      <w:rFonts w:asciiTheme="minorHAnsi" w:eastAsia="Calibri" w:hAnsiTheme="minorHAnsi" w:cstheme="minorHAnsi"/>
      <w:b/>
      <w:color w:val="17298D"/>
      <w:sz w:val="32"/>
      <w:szCs w:val="32"/>
      <w:lang w:val="en-US" w:eastAsia="en-US"/>
    </w:rPr>
  </w:style>
  <w:style w:type="character" w:customStyle="1" w:styleId="Heading6Char">
    <w:name w:val="Heading 6 Char"/>
    <w:aliases w:val="Figure heading Char"/>
    <w:link w:val="Heading6"/>
    <w:uiPriority w:val="9"/>
    <w:rsid w:val="00077336"/>
    <w:rPr>
      <w:rFonts w:asciiTheme="minorHAnsi" w:hAnsiTheme="minorHAnsi" w:cstheme="minorHAnsi"/>
      <w:b/>
      <w:szCs w:val="20"/>
      <w:lang w:eastAsia="en-US"/>
    </w:rPr>
  </w:style>
  <w:style w:type="character" w:customStyle="1" w:styleId="Heading7Char">
    <w:name w:val="Heading 7 Char"/>
    <w:aliases w:val="Figure sub-text Char"/>
    <w:link w:val="Heading7"/>
    <w:uiPriority w:val="9"/>
    <w:rsid w:val="00E07ABD"/>
    <w:rPr>
      <w:rFonts w:asciiTheme="minorHAnsi" w:hAnsiTheme="minorHAnsi" w:cstheme="minorHAnsi"/>
      <w:sz w:val="20"/>
      <w:szCs w:val="20"/>
      <w:lang w:eastAsia="en-US"/>
    </w:rPr>
  </w:style>
  <w:style w:type="table" w:styleId="ColorfulGrid-Accent1">
    <w:name w:val="Colorful Grid Accent 1"/>
    <w:basedOn w:val="TableNormal"/>
    <w:uiPriority w:val="73"/>
    <w:rsid w:val="00B37349"/>
    <w:rPr>
      <w:rFonts w:ascii="Arial" w:eastAsia="Times New Roman" w:hAnsi="Arial"/>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mmentTextChar">
    <w:name w:val="Comment Text Char"/>
    <w:link w:val="CommentText"/>
    <w:semiHidden/>
    <w:rsid w:val="00CA144A"/>
    <w:rPr>
      <w:rFonts w:cs="Arial"/>
      <w:lang w:eastAsia="en-US"/>
    </w:rPr>
  </w:style>
  <w:style w:type="paragraph" w:customStyle="1" w:styleId="ExecSummaryHeading">
    <w:name w:val="Exec Summary Heading"/>
    <w:basedOn w:val="NormalIndent"/>
    <w:link w:val="ExecSummaryHeadingChar"/>
    <w:rsid w:val="008378D0"/>
    <w:pPr>
      <w:widowControl w:val="0"/>
      <w:tabs>
        <w:tab w:val="left" w:pos="567"/>
      </w:tabs>
      <w:spacing w:before="0"/>
    </w:pPr>
    <w:rPr>
      <w:rFonts w:eastAsia="Times New Roman" w:cs="Times New Roman"/>
      <w:b/>
      <w:color w:val="0070C0"/>
      <w:sz w:val="32"/>
      <w:szCs w:val="36"/>
    </w:rPr>
  </w:style>
  <w:style w:type="character" w:customStyle="1" w:styleId="ExecSummaryHeadingChar">
    <w:name w:val="Exec Summary Heading Char"/>
    <w:link w:val="ExecSummaryHeading"/>
    <w:rsid w:val="008378D0"/>
    <w:rPr>
      <w:rFonts w:ascii="Arial" w:eastAsia="Times New Roman" w:hAnsi="Arial" w:cs="Arial"/>
      <w:b/>
      <w:color w:val="0070C0"/>
      <w:sz w:val="32"/>
      <w:szCs w:val="36"/>
      <w:lang w:val="en-AU"/>
    </w:rPr>
  </w:style>
  <w:style w:type="paragraph" w:styleId="NormalIndent">
    <w:name w:val="Normal Indent"/>
    <w:basedOn w:val="Normal"/>
    <w:uiPriority w:val="99"/>
    <w:semiHidden/>
    <w:unhideWhenUsed/>
    <w:rsid w:val="008378D0"/>
    <w:pPr>
      <w:ind w:left="720"/>
    </w:pPr>
  </w:style>
  <w:style w:type="paragraph" w:customStyle="1" w:styleId="TableofContentHeading">
    <w:name w:val="TableofContentHeading"/>
    <w:basedOn w:val="Normal"/>
    <w:qFormat/>
    <w:rsid w:val="00014842"/>
    <w:pPr>
      <w:spacing w:before="360" w:after="240"/>
      <w:jc w:val="center"/>
    </w:pPr>
    <w:rPr>
      <w:b/>
      <w:color w:val="17298D"/>
      <w:sz w:val="32"/>
      <w:szCs w:val="32"/>
    </w:rPr>
  </w:style>
  <w:style w:type="paragraph" w:customStyle="1" w:styleId="AppendicesHeading">
    <w:name w:val="AppendicesHeading"/>
    <w:basedOn w:val="Normal"/>
    <w:rsid w:val="001E72C7"/>
    <w:pPr>
      <w:spacing w:before="360" w:after="240"/>
      <w:jc w:val="center"/>
    </w:pPr>
    <w:rPr>
      <w:b/>
      <w:color w:val="172983"/>
    </w:rPr>
  </w:style>
  <w:style w:type="paragraph" w:customStyle="1" w:styleId="MainTitleBlue">
    <w:name w:val="Main Title Blue"/>
    <w:basedOn w:val="SubHeadingBlue"/>
    <w:rsid w:val="001729A9"/>
    <w:pPr>
      <w:spacing w:after="0"/>
      <w:ind w:left="0" w:firstLine="0"/>
    </w:pPr>
    <w:rPr>
      <w:rFonts w:cs="Arial"/>
      <w:sz w:val="52"/>
      <w:szCs w:val="52"/>
    </w:rPr>
  </w:style>
  <w:style w:type="paragraph" w:customStyle="1" w:styleId="SubHeadingBlue">
    <w:name w:val="SubHeading Blue"/>
    <w:basedOn w:val="Heading1"/>
    <w:rsid w:val="00D03793"/>
    <w:pPr>
      <w:numPr>
        <w:numId w:val="0"/>
      </w:numPr>
      <w:ind w:left="567" w:hanging="567"/>
    </w:pPr>
    <w:rPr>
      <w:sz w:val="32"/>
    </w:rPr>
  </w:style>
  <w:style w:type="paragraph" w:customStyle="1" w:styleId="ProjectNameBlue">
    <w:name w:val="ProjectName Blue"/>
    <w:basedOn w:val="Normal"/>
    <w:rsid w:val="00E16A84"/>
    <w:rPr>
      <w:b/>
      <w:color w:val="172983"/>
      <w:sz w:val="40"/>
    </w:rPr>
  </w:style>
  <w:style w:type="paragraph" w:customStyle="1" w:styleId="tableofcontents">
    <w:name w:val="table of contents"/>
    <w:basedOn w:val="TOC1"/>
    <w:qFormat/>
    <w:rsid w:val="00014842"/>
    <w:rPr>
      <w:b w:val="0"/>
      <w:color w:val="17298D"/>
    </w:rPr>
  </w:style>
  <w:style w:type="character" w:customStyle="1" w:styleId="BodyTextChar">
    <w:name w:val="Body Text Char"/>
    <w:basedOn w:val="DefaultParagraphFont"/>
    <w:link w:val="BodyText"/>
    <w:rsid w:val="001729A9"/>
    <w:rPr>
      <w:rFonts w:cs="Arial"/>
      <w:b/>
      <w:bCs/>
      <w:sz w:val="32"/>
      <w:lang w:val="en-US" w:eastAsia="en-US"/>
    </w:rPr>
  </w:style>
  <w:style w:type="character" w:customStyle="1" w:styleId="BodyTextIndentChar">
    <w:name w:val="Body Text Indent Char"/>
    <w:basedOn w:val="DefaultParagraphFont"/>
    <w:link w:val="BodyTextIndent"/>
    <w:rsid w:val="001729A9"/>
    <w:rPr>
      <w:rFonts w:cs="Arial"/>
      <w:i/>
      <w:iCs/>
      <w:lang w:eastAsia="en-US"/>
    </w:rPr>
  </w:style>
  <w:style w:type="paragraph" w:customStyle="1" w:styleId="footnote">
    <w:name w:val="footnote"/>
    <w:basedOn w:val="FootnoteText"/>
    <w:qFormat/>
    <w:rsid w:val="00802FCB"/>
    <w:pPr>
      <w:tabs>
        <w:tab w:val="left" w:pos="284"/>
      </w:tabs>
      <w:spacing w:before="120"/>
      <w:ind w:left="284" w:hanging="284"/>
    </w:pPr>
  </w:style>
  <w:style w:type="paragraph" w:customStyle="1" w:styleId="Tableheading">
    <w:name w:val="Table heading"/>
    <w:basedOn w:val="Heading6"/>
    <w:qFormat/>
    <w:rsid w:val="00A2259E"/>
    <w:pPr>
      <w:spacing w:before="0"/>
      <w:contextualSpacing/>
      <w:outlineLvl w:val="9"/>
    </w:pPr>
    <w:rPr>
      <w:sz w:val="22"/>
      <w:szCs w:val="22"/>
    </w:rPr>
  </w:style>
  <w:style w:type="paragraph" w:customStyle="1" w:styleId="Tabletext0">
    <w:name w:val="Table text"/>
    <w:basedOn w:val="Tableheading"/>
    <w:qFormat/>
    <w:rsid w:val="00862254"/>
    <w:rPr>
      <w:b w:val="0"/>
    </w:rPr>
  </w:style>
  <w:style w:type="paragraph" w:customStyle="1" w:styleId="Tablemainheading">
    <w:name w:val="Table main heading"/>
    <w:basedOn w:val="Heading6"/>
    <w:qFormat/>
    <w:rsid w:val="00A2259E"/>
    <w:pPr>
      <w:spacing w:after="120"/>
    </w:pPr>
  </w:style>
  <w:style w:type="paragraph" w:customStyle="1" w:styleId="StyleHeading1After12pt">
    <w:name w:val="Style Heading 1 + After:  12 pt"/>
    <w:basedOn w:val="Heading1"/>
    <w:rsid w:val="00E60501"/>
    <w:pPr>
      <w:numPr>
        <w:numId w:val="0"/>
      </w:numPr>
    </w:pPr>
    <w:rPr>
      <w:rFonts w:ascii="Arial" w:eastAsia="Times New Roman" w:hAnsi="Arial" w:cs="Times New Roman"/>
      <w:bCs/>
      <w:color w:val="auto"/>
      <w:szCs w:val="20"/>
    </w:rPr>
  </w:style>
  <w:style w:type="numbering" w:customStyle="1" w:styleId="Headings">
    <w:name w:val="Headings"/>
    <w:uiPriority w:val="99"/>
    <w:rsid w:val="005121E5"/>
    <w:pPr>
      <w:numPr>
        <w:numId w:val="7"/>
      </w:numPr>
    </w:pPr>
  </w:style>
  <w:style w:type="paragraph" w:customStyle="1" w:styleId="Covertitle">
    <w:name w:val="Cover title"/>
    <w:basedOn w:val="Normal"/>
    <w:qFormat/>
    <w:rsid w:val="00014842"/>
    <w:pPr>
      <w:spacing w:before="960"/>
    </w:pPr>
    <w:rPr>
      <w:b/>
      <w:color w:val="17298D"/>
      <w:sz w:val="40"/>
      <w:szCs w:val="40"/>
    </w:rPr>
  </w:style>
  <w:style w:type="paragraph" w:customStyle="1" w:styleId="footnote1">
    <w:name w:val="footnote1"/>
    <w:basedOn w:val="FootnoteText"/>
    <w:rsid w:val="00802FCB"/>
    <w:pPr>
      <w:ind w:left="142" w:hanging="142"/>
    </w:pPr>
  </w:style>
  <w:style w:type="paragraph" w:customStyle="1" w:styleId="tablesubheading">
    <w:name w:val="table subheading"/>
    <w:basedOn w:val="Tableheading"/>
    <w:qFormat/>
    <w:rsid w:val="00A2259E"/>
    <w:rPr>
      <w:sz w:val="18"/>
      <w:szCs w:val="18"/>
    </w:rPr>
  </w:style>
  <w:style w:type="paragraph" w:customStyle="1" w:styleId="footnotebullets">
    <w:name w:val="footnote_bullets"/>
    <w:basedOn w:val="footnote"/>
    <w:qFormat/>
    <w:rsid w:val="00C40548"/>
    <w:pPr>
      <w:numPr>
        <w:numId w:val="9"/>
      </w:numPr>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uiPriority="9" w:qFormat="1"/>
    <w:lsdException w:name="heading 7" w:uiPriority="9" w:qFormat="1"/>
    <w:lsdException w:name="toc 1" w:uiPriority="39"/>
    <w:lsdException w:name="toc 2" w:uiPriority="39"/>
    <w:lsdException w:name="toc 3" w:uiPriority="39"/>
    <w:lsdException w:name="footnote text" w:uiPriority="99"/>
    <w:lsdException w:name="footnote reference" w:uiPriority="99"/>
    <w:lsdException w:name="Hyperlink" w:uiPriority="99"/>
    <w:lsdException w:name="List Paragraph" w:uiPriority="34"/>
  </w:latentStyles>
  <w:style w:type="paragraph" w:default="1" w:styleId="Normal">
    <w:name w:val="Normal"/>
    <w:qFormat/>
    <w:rsid w:val="00BD40A7"/>
    <w:pPr>
      <w:spacing w:before="240"/>
      <w:jc w:val="both"/>
    </w:pPr>
    <w:rPr>
      <w:rFonts w:asciiTheme="minorHAnsi" w:hAnsiTheme="minorHAnsi" w:cstheme="minorHAnsi"/>
      <w:lang w:eastAsia="en-US"/>
    </w:rPr>
  </w:style>
  <w:style w:type="paragraph" w:styleId="Heading1">
    <w:name w:val="heading 1"/>
    <w:basedOn w:val="ListParagraph"/>
    <w:next w:val="Normal"/>
    <w:link w:val="Heading1Char"/>
    <w:qFormat/>
    <w:rsid w:val="00ED067B"/>
    <w:pPr>
      <w:keepNext/>
      <w:numPr>
        <w:numId w:val="8"/>
      </w:numPr>
      <w:spacing w:before="0" w:after="240"/>
      <w:outlineLvl w:val="0"/>
    </w:pPr>
    <w:rPr>
      <w:rFonts w:asciiTheme="minorHAnsi" w:hAnsiTheme="minorHAnsi"/>
      <w:b/>
      <w:color w:val="17298D"/>
      <w:sz w:val="40"/>
      <w:szCs w:val="40"/>
    </w:rPr>
  </w:style>
  <w:style w:type="paragraph" w:styleId="Heading2">
    <w:name w:val="heading 2"/>
    <w:basedOn w:val="ListParagraph"/>
    <w:next w:val="Normal"/>
    <w:link w:val="Heading2Char"/>
    <w:qFormat/>
    <w:rsid w:val="00005BA5"/>
    <w:pPr>
      <w:keepNext/>
      <w:numPr>
        <w:ilvl w:val="1"/>
        <w:numId w:val="8"/>
      </w:numPr>
      <w:tabs>
        <w:tab w:val="clear" w:pos="1106"/>
        <w:tab w:val="num" w:pos="851"/>
      </w:tabs>
      <w:spacing w:before="600" w:after="240"/>
      <w:ind w:left="851" w:hanging="851"/>
      <w:outlineLvl w:val="1"/>
    </w:pPr>
    <w:rPr>
      <w:rFonts w:asciiTheme="minorHAnsi" w:hAnsiTheme="minorHAnsi"/>
      <w:b/>
      <w:color w:val="17298D"/>
      <w:sz w:val="32"/>
      <w:szCs w:val="32"/>
    </w:rPr>
  </w:style>
  <w:style w:type="paragraph" w:styleId="Heading3">
    <w:name w:val="heading 3"/>
    <w:basedOn w:val="Normal"/>
    <w:next w:val="Normal"/>
    <w:link w:val="Heading3Char"/>
    <w:qFormat/>
    <w:rsid w:val="00644B25"/>
    <w:pPr>
      <w:keepNext/>
      <w:overflowPunct w:val="0"/>
      <w:adjustRightInd w:val="0"/>
      <w:spacing w:before="600" w:after="240"/>
      <w:textAlignment w:val="baseline"/>
      <w:outlineLvl w:val="2"/>
    </w:pPr>
    <w:rPr>
      <w:rFonts w:cs="Times New Roman"/>
      <w:b/>
      <w:color w:val="17298D"/>
      <w:sz w:val="28"/>
      <w:szCs w:val="28"/>
      <w:lang w:val="en-US"/>
    </w:rPr>
  </w:style>
  <w:style w:type="paragraph" w:styleId="Heading4">
    <w:name w:val="heading 4"/>
    <w:basedOn w:val="Normal"/>
    <w:next w:val="Normal"/>
    <w:link w:val="Heading4Char"/>
    <w:qFormat/>
    <w:rsid w:val="00620BD7"/>
    <w:pPr>
      <w:keepNext/>
      <w:spacing w:before="600" w:after="240"/>
      <w:outlineLvl w:val="3"/>
    </w:pPr>
    <w:rPr>
      <w:rFonts w:cs="Times New Roman"/>
      <w:bCs/>
      <w:i/>
      <w:color w:val="17298D"/>
      <w:sz w:val="26"/>
      <w:szCs w:val="26"/>
      <w:lang w:val="en-US"/>
    </w:rPr>
  </w:style>
  <w:style w:type="paragraph" w:styleId="Heading5">
    <w:name w:val="heading 5"/>
    <w:basedOn w:val="Normal"/>
    <w:next w:val="Normal"/>
    <w:rsid w:val="00713940"/>
    <w:pPr>
      <w:keepNext/>
      <w:pBdr>
        <w:top w:val="single" w:sz="18" w:space="1" w:color="auto" w:shadow="1"/>
        <w:left w:val="single" w:sz="18" w:space="4" w:color="auto" w:shadow="1"/>
        <w:bottom w:val="single" w:sz="18" w:space="1" w:color="auto" w:shadow="1"/>
        <w:right w:val="single" w:sz="18" w:space="4" w:color="auto" w:shadow="1"/>
      </w:pBdr>
      <w:jc w:val="center"/>
      <w:outlineLvl w:val="4"/>
    </w:pPr>
    <w:rPr>
      <w:b/>
      <w:sz w:val="42"/>
    </w:rPr>
  </w:style>
  <w:style w:type="paragraph" w:styleId="Heading6">
    <w:name w:val="heading 6"/>
    <w:aliases w:val="Figure heading"/>
    <w:basedOn w:val="TableText"/>
    <w:next w:val="Normal"/>
    <w:link w:val="Heading6Char"/>
    <w:uiPriority w:val="9"/>
    <w:qFormat/>
    <w:rsid w:val="00077336"/>
    <w:pPr>
      <w:keepNext/>
      <w:tabs>
        <w:tab w:val="clear" w:pos="318"/>
        <w:tab w:val="clear" w:pos="2835"/>
        <w:tab w:val="right" w:leader="dot" w:pos="0"/>
      </w:tabs>
      <w:spacing w:before="360" w:after="0"/>
      <w:jc w:val="center"/>
      <w:outlineLvl w:val="5"/>
    </w:pPr>
    <w:rPr>
      <w:rFonts w:asciiTheme="minorHAnsi" w:hAnsiTheme="minorHAnsi"/>
      <w:b/>
      <w:sz w:val="24"/>
    </w:rPr>
  </w:style>
  <w:style w:type="paragraph" w:styleId="Heading7">
    <w:name w:val="heading 7"/>
    <w:aliases w:val="Figure sub-text"/>
    <w:basedOn w:val="TableText"/>
    <w:next w:val="Normal"/>
    <w:link w:val="Heading7Char"/>
    <w:uiPriority w:val="9"/>
    <w:qFormat/>
    <w:rsid w:val="00E07ABD"/>
    <w:pPr>
      <w:keepNext/>
      <w:tabs>
        <w:tab w:val="clear" w:pos="318"/>
        <w:tab w:val="clear" w:pos="2835"/>
        <w:tab w:val="right" w:leader="dot" w:pos="0"/>
      </w:tabs>
      <w:spacing w:before="40" w:after="0"/>
      <w:jc w:val="center"/>
      <w:outlineLvl w:val="6"/>
    </w:pPr>
    <w:rPr>
      <w:rFonts w:asciiTheme="minorHAnsi" w:hAnsiTheme="minorHAnsi"/>
      <w:sz w:val="20"/>
    </w:rPr>
  </w:style>
  <w:style w:type="paragraph" w:styleId="Heading8">
    <w:name w:val="heading 8"/>
    <w:basedOn w:val="Normal"/>
    <w:next w:val="Normal"/>
    <w:uiPriority w:val="9"/>
    <w:rsid w:val="00E67A2D"/>
    <w:pPr>
      <w:spacing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A2D"/>
    <w:pPr>
      <w:tabs>
        <w:tab w:val="center" w:pos="4153"/>
        <w:tab w:val="right" w:pos="8306"/>
      </w:tabs>
    </w:pPr>
    <w:rPr>
      <w:rFonts w:cs="Times New Roman"/>
    </w:rPr>
  </w:style>
  <w:style w:type="paragraph" w:styleId="Header">
    <w:name w:val="header"/>
    <w:basedOn w:val="Normal"/>
    <w:link w:val="HeaderChar"/>
    <w:rsid w:val="00E67A2D"/>
    <w:pPr>
      <w:tabs>
        <w:tab w:val="center" w:pos="4153"/>
        <w:tab w:val="right" w:pos="8306"/>
      </w:tabs>
    </w:pPr>
    <w:rPr>
      <w:rFonts w:cs="Times New Roman"/>
    </w:rPr>
  </w:style>
  <w:style w:type="paragraph" w:styleId="ListBullet">
    <w:name w:val="List Bullet"/>
    <w:basedOn w:val="Normal"/>
    <w:autoRedefine/>
    <w:rsid w:val="00E67A2D"/>
  </w:style>
  <w:style w:type="paragraph" w:styleId="ListBullet2">
    <w:name w:val="List Bullet 2"/>
    <w:basedOn w:val="Normal"/>
    <w:autoRedefine/>
    <w:rsid w:val="00E67A2D"/>
  </w:style>
  <w:style w:type="character" w:styleId="PageNumber">
    <w:name w:val="page number"/>
    <w:basedOn w:val="DefaultParagraphFont"/>
    <w:rsid w:val="00E67A2D"/>
  </w:style>
  <w:style w:type="paragraph" w:customStyle="1" w:styleId="DotPoints1">
    <w:name w:val="Dot Points 1"/>
    <w:basedOn w:val="Normal"/>
    <w:link w:val="DotPoints1Char"/>
    <w:rsid w:val="00E67A2D"/>
    <w:pPr>
      <w:numPr>
        <w:numId w:val="2"/>
      </w:numPr>
    </w:pPr>
    <w:rPr>
      <w:rFonts w:cs="Times New Roman"/>
    </w:rPr>
  </w:style>
  <w:style w:type="paragraph" w:customStyle="1" w:styleId="DotPoints2">
    <w:name w:val="Dot Points 2"/>
    <w:basedOn w:val="Normal"/>
    <w:link w:val="DotPoints2Char"/>
    <w:rsid w:val="006C4770"/>
    <w:pPr>
      <w:numPr>
        <w:numId w:val="1"/>
      </w:numPr>
    </w:pPr>
    <w:rPr>
      <w:rFonts w:cs="Times New Roman"/>
    </w:rPr>
  </w:style>
  <w:style w:type="paragraph" w:customStyle="1" w:styleId="NumberedList">
    <w:name w:val="Numbered List"/>
    <w:basedOn w:val="Normal"/>
    <w:rsid w:val="00E67A2D"/>
    <w:pPr>
      <w:numPr>
        <w:numId w:val="3"/>
      </w:numPr>
    </w:pPr>
  </w:style>
  <w:style w:type="paragraph" w:styleId="Caption">
    <w:name w:val="caption"/>
    <w:basedOn w:val="Normal"/>
    <w:next w:val="Normal"/>
    <w:uiPriority w:val="35"/>
    <w:rsid w:val="00713940"/>
    <w:pPr>
      <w:keepNext/>
      <w:jc w:val="center"/>
    </w:pPr>
    <w:rPr>
      <w:b/>
      <w:bCs/>
      <w:szCs w:val="20"/>
    </w:rPr>
  </w:style>
  <w:style w:type="paragraph" w:customStyle="1" w:styleId="Qoutes">
    <w:name w:val="Qoutes"/>
    <w:basedOn w:val="Normal"/>
    <w:rsid w:val="00E67A2D"/>
    <w:pPr>
      <w:ind w:left="720"/>
    </w:pPr>
    <w:rPr>
      <w:i/>
    </w:rPr>
  </w:style>
  <w:style w:type="paragraph" w:styleId="TOC1">
    <w:name w:val="toc 1"/>
    <w:basedOn w:val="Normal"/>
    <w:next w:val="Normal"/>
    <w:autoRedefine/>
    <w:uiPriority w:val="39"/>
    <w:rsid w:val="007D33FB"/>
    <w:pPr>
      <w:keepNext/>
      <w:tabs>
        <w:tab w:val="left" w:pos="709"/>
        <w:tab w:val="right" w:leader="dot" w:pos="9061"/>
      </w:tabs>
      <w:ind w:left="567" w:hanging="567"/>
    </w:pPr>
    <w:rPr>
      <w:b/>
      <w:noProof/>
      <w:color w:val="172983"/>
      <w:szCs w:val="28"/>
    </w:rPr>
  </w:style>
  <w:style w:type="paragraph" w:styleId="TOC2">
    <w:name w:val="toc 2"/>
    <w:basedOn w:val="Normal"/>
    <w:next w:val="Normal"/>
    <w:autoRedefine/>
    <w:uiPriority w:val="39"/>
    <w:rsid w:val="00024B99"/>
    <w:pPr>
      <w:tabs>
        <w:tab w:val="left" w:pos="1418"/>
        <w:tab w:val="right" w:leader="dot" w:pos="9061"/>
      </w:tabs>
      <w:spacing w:before="120"/>
      <w:ind w:left="992" w:hanging="425"/>
    </w:pPr>
    <w:rPr>
      <w:color w:val="172983"/>
    </w:rPr>
  </w:style>
  <w:style w:type="character" w:styleId="Hyperlink">
    <w:name w:val="Hyperlink"/>
    <w:uiPriority w:val="99"/>
    <w:rsid w:val="00E67A2D"/>
    <w:rPr>
      <w:color w:val="0000FF"/>
      <w:u w:val="single"/>
    </w:rPr>
  </w:style>
  <w:style w:type="paragraph" w:customStyle="1" w:styleId="dotpoints20">
    <w:name w:val="dotpoints2"/>
    <w:basedOn w:val="Normal"/>
    <w:rsid w:val="00E67A2D"/>
    <w:pPr>
      <w:tabs>
        <w:tab w:val="num" w:pos="851"/>
      </w:tabs>
      <w:ind w:left="851" w:hanging="851"/>
    </w:pPr>
    <w:rPr>
      <w:lang w:val="en-US"/>
    </w:rPr>
  </w:style>
  <w:style w:type="paragraph" w:styleId="FootnoteText">
    <w:name w:val="footnote text"/>
    <w:basedOn w:val="Normal"/>
    <w:link w:val="FootnoteTextChar"/>
    <w:uiPriority w:val="99"/>
    <w:semiHidden/>
    <w:rsid w:val="002360F4"/>
    <w:pPr>
      <w:spacing w:before="0"/>
    </w:pPr>
    <w:rPr>
      <w:rFonts w:cs="Times New Roman"/>
      <w:sz w:val="20"/>
      <w:szCs w:val="20"/>
    </w:rPr>
  </w:style>
  <w:style w:type="character" w:styleId="FootnoteReference">
    <w:name w:val="footnote reference"/>
    <w:uiPriority w:val="99"/>
    <w:semiHidden/>
    <w:rsid w:val="00E67A2D"/>
    <w:rPr>
      <w:vertAlign w:val="superscript"/>
    </w:rPr>
  </w:style>
  <w:style w:type="paragraph" w:customStyle="1" w:styleId="TableText">
    <w:name w:val="TableText"/>
    <w:basedOn w:val="Normal"/>
    <w:rsid w:val="00E67A2D"/>
    <w:pPr>
      <w:tabs>
        <w:tab w:val="left" w:pos="318"/>
        <w:tab w:val="right" w:leader="dot" w:pos="2835"/>
      </w:tabs>
      <w:spacing w:before="60" w:after="60"/>
    </w:pPr>
    <w:rPr>
      <w:rFonts w:ascii="Times New Roman" w:hAnsi="Times New Roman"/>
      <w:sz w:val="22"/>
      <w:szCs w:val="20"/>
    </w:rPr>
  </w:style>
  <w:style w:type="paragraph" w:customStyle="1" w:styleId="Bullet">
    <w:name w:val="Bullet"/>
    <w:basedOn w:val="Normal"/>
    <w:next w:val="Normal"/>
    <w:rsid w:val="00E67A2D"/>
    <w:pPr>
      <w:spacing w:before="0"/>
      <w:ind w:left="567" w:hanging="567"/>
    </w:pPr>
    <w:rPr>
      <w:rFonts w:ascii="Times New Roman" w:hAnsi="Times New Roman"/>
      <w:szCs w:val="20"/>
    </w:rPr>
  </w:style>
  <w:style w:type="paragraph" w:styleId="TOC3">
    <w:name w:val="toc 3"/>
    <w:basedOn w:val="Normal"/>
    <w:next w:val="Normal"/>
    <w:autoRedefine/>
    <w:uiPriority w:val="39"/>
    <w:rsid w:val="00C30656"/>
    <w:pPr>
      <w:tabs>
        <w:tab w:val="right" w:leader="dot" w:pos="9061"/>
      </w:tabs>
      <w:spacing w:before="120"/>
      <w:ind w:left="1418"/>
    </w:pPr>
    <w:rPr>
      <w:noProof/>
      <w:color w:val="172983"/>
    </w:rPr>
  </w:style>
  <w:style w:type="table" w:styleId="TableGrid">
    <w:name w:val="Table Grid"/>
    <w:basedOn w:val="TableNormal"/>
    <w:rsid w:val="00F10501"/>
    <w:pPr>
      <w:spacing w:before="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0F46"/>
    <w:rPr>
      <w:rFonts w:ascii="Tahoma" w:hAnsi="Tahoma" w:cs="Times New Roman"/>
      <w:sz w:val="16"/>
      <w:szCs w:val="16"/>
    </w:rPr>
  </w:style>
  <w:style w:type="paragraph" w:styleId="BlockText">
    <w:name w:val="Block Text"/>
    <w:basedOn w:val="Normal"/>
    <w:rsid w:val="007E3D0A"/>
    <w:pPr>
      <w:ind w:left="90" w:right="71"/>
    </w:pPr>
    <w:rPr>
      <w:rFonts w:ascii="Times New Roman" w:hAnsi="Times New Roman"/>
      <w:sz w:val="20"/>
      <w:szCs w:val="22"/>
    </w:rPr>
  </w:style>
  <w:style w:type="paragraph" w:styleId="BodyText">
    <w:name w:val="Body Text"/>
    <w:basedOn w:val="Normal"/>
    <w:link w:val="BodyTextChar"/>
    <w:rsid w:val="007E3D0A"/>
    <w:pPr>
      <w:spacing w:before="0"/>
      <w:jc w:val="center"/>
    </w:pPr>
    <w:rPr>
      <w:rFonts w:ascii="Times New Roman" w:hAnsi="Times New Roman"/>
      <w:b/>
      <w:bCs/>
      <w:sz w:val="32"/>
      <w:lang w:val="en-US"/>
    </w:rPr>
  </w:style>
  <w:style w:type="paragraph" w:styleId="BodyText2">
    <w:name w:val="Body Text 2"/>
    <w:basedOn w:val="Normal"/>
    <w:rsid w:val="007E3D0A"/>
    <w:pPr>
      <w:autoSpaceDE w:val="0"/>
      <w:autoSpaceDN w:val="0"/>
      <w:adjustRightInd w:val="0"/>
      <w:spacing w:before="0"/>
    </w:pPr>
    <w:rPr>
      <w:rFonts w:ascii="Times New Roman" w:hAnsi="Times New Roman"/>
      <w:b/>
      <w:bCs/>
      <w:lang w:val="en-US"/>
    </w:rPr>
  </w:style>
  <w:style w:type="paragraph" w:styleId="BodyText3">
    <w:name w:val="Body Text 3"/>
    <w:basedOn w:val="Normal"/>
    <w:rsid w:val="007E3D0A"/>
    <w:pPr>
      <w:spacing w:before="0"/>
    </w:pPr>
    <w:rPr>
      <w:rFonts w:ascii="Times New Roman" w:hAnsi="Times New Roman"/>
      <w:sz w:val="18"/>
      <w:lang w:val="en-US"/>
    </w:rPr>
  </w:style>
  <w:style w:type="paragraph" w:styleId="BodyTextIndent">
    <w:name w:val="Body Text Indent"/>
    <w:basedOn w:val="Normal"/>
    <w:link w:val="BodyTextIndentChar"/>
    <w:rsid w:val="007E3D0A"/>
    <w:pPr>
      <w:ind w:left="425"/>
    </w:pPr>
    <w:rPr>
      <w:rFonts w:ascii="Times New Roman" w:hAnsi="Times New Roman"/>
      <w:i/>
      <w:iCs/>
    </w:rPr>
  </w:style>
  <w:style w:type="character" w:styleId="CommentReference">
    <w:name w:val="annotation reference"/>
    <w:semiHidden/>
    <w:rsid w:val="007E3D0A"/>
    <w:rPr>
      <w:sz w:val="16"/>
      <w:szCs w:val="16"/>
    </w:rPr>
  </w:style>
  <w:style w:type="paragraph" w:styleId="CommentText">
    <w:name w:val="annotation text"/>
    <w:basedOn w:val="Normal"/>
    <w:link w:val="CommentTextChar"/>
    <w:semiHidden/>
    <w:rsid w:val="007E3D0A"/>
    <w:pPr>
      <w:spacing w:before="0"/>
    </w:pPr>
    <w:rPr>
      <w:rFonts w:ascii="Times New Roman" w:hAnsi="Times New Roman" w:cs="Times New Roman"/>
      <w:sz w:val="20"/>
      <w:szCs w:val="20"/>
    </w:rPr>
  </w:style>
  <w:style w:type="paragraph" w:styleId="CommentSubject">
    <w:name w:val="annotation subject"/>
    <w:basedOn w:val="CommentText"/>
    <w:next w:val="CommentText"/>
    <w:semiHidden/>
    <w:rsid w:val="007E3D0A"/>
    <w:rPr>
      <w:b/>
      <w:bCs/>
    </w:rPr>
  </w:style>
  <w:style w:type="paragraph" w:customStyle="1" w:styleId="TableTextList">
    <w:name w:val="TableTextList"/>
    <w:basedOn w:val="Normal"/>
    <w:rsid w:val="007E3D0A"/>
    <w:pPr>
      <w:tabs>
        <w:tab w:val="left" w:pos="318"/>
        <w:tab w:val="num" w:pos="425"/>
        <w:tab w:val="right" w:leader="dot" w:pos="2835"/>
      </w:tabs>
      <w:spacing w:before="60" w:after="60"/>
      <w:ind w:left="425" w:hanging="425"/>
    </w:pPr>
    <w:rPr>
      <w:sz w:val="22"/>
      <w:szCs w:val="20"/>
    </w:rPr>
  </w:style>
  <w:style w:type="paragraph" w:customStyle="1" w:styleId="StyleHeading2Arial">
    <w:name w:val="Style Heading 2 + Arial"/>
    <w:basedOn w:val="Heading2"/>
    <w:rsid w:val="007E3D0A"/>
    <w:pPr>
      <w:numPr>
        <w:ilvl w:val="0"/>
        <w:numId w:val="0"/>
      </w:numPr>
      <w:shd w:val="clear" w:color="auto" w:fill="000080"/>
      <w:tabs>
        <w:tab w:val="num" w:pos="680"/>
      </w:tabs>
      <w:ind w:left="680" w:hanging="680"/>
    </w:pPr>
    <w:rPr>
      <w:bCs/>
      <w:iCs/>
      <w:szCs w:val="20"/>
    </w:rPr>
  </w:style>
  <w:style w:type="paragraph" w:styleId="PlainText">
    <w:name w:val="Plain Text"/>
    <w:basedOn w:val="Normal"/>
    <w:rsid w:val="007E3D0A"/>
    <w:pPr>
      <w:spacing w:before="0"/>
    </w:pPr>
    <w:rPr>
      <w:rFonts w:ascii="Courier New" w:hAnsi="Courier New" w:cs="Courier New"/>
      <w:sz w:val="20"/>
      <w:szCs w:val="20"/>
    </w:rPr>
  </w:style>
  <w:style w:type="paragraph" w:customStyle="1" w:styleId="CharChar">
    <w:name w:val="Char Char"/>
    <w:basedOn w:val="Normal"/>
    <w:rsid w:val="007E3D0A"/>
    <w:pPr>
      <w:spacing w:before="0"/>
    </w:pPr>
    <w:rPr>
      <w:sz w:val="22"/>
      <w:szCs w:val="22"/>
    </w:rPr>
  </w:style>
  <w:style w:type="paragraph" w:customStyle="1" w:styleId="Default">
    <w:name w:val="Default"/>
    <w:rsid w:val="007E3D0A"/>
    <w:pPr>
      <w:autoSpaceDE w:val="0"/>
      <w:autoSpaceDN w:val="0"/>
      <w:adjustRightInd w:val="0"/>
    </w:pPr>
    <w:rPr>
      <w:rFonts w:ascii="Arial" w:hAnsi="Arial" w:cs="Arial"/>
      <w:color w:val="000000"/>
      <w:lang w:val="en-US" w:eastAsia="en-US"/>
    </w:rPr>
  </w:style>
  <w:style w:type="paragraph" w:customStyle="1" w:styleId="Bullets1">
    <w:name w:val="Bullets 1"/>
    <w:basedOn w:val="Normal"/>
    <w:link w:val="Bullets1Char"/>
    <w:rsid w:val="003E001B"/>
    <w:pPr>
      <w:numPr>
        <w:numId w:val="4"/>
      </w:numPr>
      <w:ind w:left="360"/>
    </w:pPr>
    <w:rPr>
      <w:rFonts w:cs="Times New Roman"/>
    </w:rPr>
  </w:style>
  <w:style w:type="paragraph" w:customStyle="1" w:styleId="Bullets">
    <w:name w:val="Bullets"/>
    <w:basedOn w:val="DotPoints2"/>
    <w:link w:val="BulletsChar1"/>
    <w:qFormat/>
    <w:rsid w:val="00437432"/>
    <w:pPr>
      <w:spacing w:before="120"/>
    </w:pPr>
  </w:style>
  <w:style w:type="character" w:customStyle="1" w:styleId="Bullets1Char">
    <w:name w:val="Bullets 1 Char"/>
    <w:link w:val="Bullets1"/>
    <w:rsid w:val="003E001B"/>
    <w:rPr>
      <w:rFonts w:asciiTheme="minorHAnsi" w:hAnsiTheme="minorHAnsi"/>
      <w:lang w:eastAsia="en-US"/>
    </w:rPr>
  </w:style>
  <w:style w:type="paragraph" w:customStyle="1" w:styleId="Bullets2">
    <w:name w:val="Bullets 2"/>
    <w:basedOn w:val="Bullets"/>
    <w:link w:val="Bullets2Char"/>
    <w:qFormat/>
    <w:rsid w:val="00437432"/>
    <w:pPr>
      <w:numPr>
        <w:ilvl w:val="1"/>
      </w:numPr>
      <w:tabs>
        <w:tab w:val="clear" w:pos="993"/>
        <w:tab w:val="num" w:pos="1134"/>
      </w:tabs>
      <w:ind w:left="1134" w:hanging="425"/>
    </w:pPr>
    <w:rPr>
      <w:lang w:val="en-US"/>
    </w:rPr>
  </w:style>
  <w:style w:type="character" w:customStyle="1" w:styleId="DotPoints2Char">
    <w:name w:val="Dot Points 2 Char"/>
    <w:link w:val="DotPoints2"/>
    <w:rsid w:val="00973ED5"/>
    <w:rPr>
      <w:rFonts w:asciiTheme="minorHAnsi" w:hAnsiTheme="minorHAnsi"/>
      <w:lang w:eastAsia="en-US"/>
    </w:rPr>
  </w:style>
  <w:style w:type="character" w:customStyle="1" w:styleId="BulletsChar">
    <w:name w:val="Bullets Char"/>
    <w:basedOn w:val="DotPoints2Char"/>
    <w:rsid w:val="00973ED5"/>
    <w:rPr>
      <w:rFonts w:ascii="Arial" w:hAnsi="Arial"/>
      <w:sz w:val="24"/>
      <w:szCs w:val="24"/>
      <w:lang w:eastAsia="en-US"/>
    </w:rPr>
  </w:style>
  <w:style w:type="paragraph" w:styleId="Quote">
    <w:name w:val="Quote"/>
    <w:basedOn w:val="Bullets"/>
    <w:link w:val="QuoteChar"/>
    <w:uiPriority w:val="29"/>
    <w:qFormat/>
    <w:rsid w:val="008240A9"/>
    <w:pPr>
      <w:numPr>
        <w:numId w:val="0"/>
      </w:numPr>
      <w:spacing w:before="240"/>
    </w:pPr>
    <w:rPr>
      <w:i/>
      <w:color w:val="17298D"/>
      <w:sz w:val="20"/>
      <w:szCs w:val="20"/>
      <w:lang w:val="en-US"/>
    </w:rPr>
  </w:style>
  <w:style w:type="character" w:customStyle="1" w:styleId="BulletsChar1">
    <w:name w:val="Bullets Char1"/>
    <w:basedOn w:val="DotPoints2Char"/>
    <w:link w:val="Bullets"/>
    <w:rsid w:val="00437432"/>
    <w:rPr>
      <w:rFonts w:asciiTheme="minorHAnsi" w:hAnsiTheme="minorHAnsi"/>
      <w:lang w:eastAsia="en-US"/>
    </w:rPr>
  </w:style>
  <w:style w:type="character" w:customStyle="1" w:styleId="Bullets2Char">
    <w:name w:val="Bullets 2 Char"/>
    <w:basedOn w:val="BulletsChar1"/>
    <w:link w:val="Bullets2"/>
    <w:rsid w:val="00437432"/>
    <w:rPr>
      <w:rFonts w:asciiTheme="minorHAnsi" w:hAnsiTheme="minorHAnsi"/>
      <w:lang w:val="en-US" w:eastAsia="en-US"/>
    </w:rPr>
  </w:style>
  <w:style w:type="character" w:customStyle="1" w:styleId="QuoteChar">
    <w:name w:val="Quote Char"/>
    <w:link w:val="Quote"/>
    <w:uiPriority w:val="29"/>
    <w:rsid w:val="008240A9"/>
    <w:rPr>
      <w:rFonts w:asciiTheme="minorHAnsi" w:hAnsiTheme="minorHAnsi"/>
      <w:i/>
      <w:color w:val="17298D"/>
      <w:sz w:val="20"/>
      <w:szCs w:val="20"/>
      <w:lang w:val="en-US" w:eastAsia="en-US"/>
    </w:rPr>
  </w:style>
  <w:style w:type="paragraph" w:customStyle="1" w:styleId="BulletPoints">
    <w:name w:val="Bullet Points"/>
    <w:basedOn w:val="DotPoints2"/>
    <w:rsid w:val="00916D27"/>
    <w:pPr>
      <w:numPr>
        <w:numId w:val="0"/>
      </w:numPr>
      <w:tabs>
        <w:tab w:val="num" w:pos="425"/>
      </w:tabs>
      <w:ind w:left="425" w:hanging="425"/>
    </w:pPr>
  </w:style>
  <w:style w:type="paragraph" w:customStyle="1" w:styleId="CONLevel1">
    <w:name w:val=".CON  Level   1."/>
    <w:basedOn w:val="Normal"/>
    <w:next w:val="Normal"/>
    <w:rsid w:val="00AC2869"/>
    <w:pPr>
      <w:keepNext/>
      <w:numPr>
        <w:numId w:val="5"/>
      </w:numPr>
      <w:outlineLvl w:val="1"/>
    </w:pPr>
    <w:rPr>
      <w:rFonts w:ascii="Times New Roman" w:hAnsi="Times New Roman"/>
      <w:b/>
      <w:szCs w:val="22"/>
    </w:rPr>
  </w:style>
  <w:style w:type="paragraph" w:customStyle="1" w:styleId="CONLevel11">
    <w:name w:val=".CON  Level   1.1"/>
    <w:basedOn w:val="Normal"/>
    <w:next w:val="Normal"/>
    <w:rsid w:val="00AC2869"/>
    <w:pPr>
      <w:numPr>
        <w:ilvl w:val="1"/>
        <w:numId w:val="5"/>
      </w:numPr>
      <w:outlineLvl w:val="2"/>
    </w:pPr>
    <w:rPr>
      <w:rFonts w:ascii="Times New Roman" w:hAnsi="Times New Roman"/>
      <w:szCs w:val="22"/>
    </w:rPr>
  </w:style>
  <w:style w:type="paragraph" w:customStyle="1" w:styleId="CONLevela">
    <w:name w:val=".CON  Level  (a)"/>
    <w:basedOn w:val="Normal"/>
    <w:next w:val="Normal"/>
    <w:rsid w:val="00AC2869"/>
    <w:pPr>
      <w:numPr>
        <w:ilvl w:val="2"/>
        <w:numId w:val="5"/>
      </w:numPr>
      <w:outlineLvl w:val="3"/>
    </w:pPr>
    <w:rPr>
      <w:rFonts w:ascii="Times New Roman" w:hAnsi="Times New Roman"/>
      <w:szCs w:val="22"/>
    </w:rPr>
  </w:style>
  <w:style w:type="paragraph" w:customStyle="1" w:styleId="CONLeveli">
    <w:name w:val=".CON  Level  (i)"/>
    <w:basedOn w:val="Normal"/>
    <w:next w:val="Normal"/>
    <w:rsid w:val="00AC2869"/>
    <w:pPr>
      <w:numPr>
        <w:ilvl w:val="3"/>
        <w:numId w:val="5"/>
      </w:numPr>
      <w:outlineLvl w:val="4"/>
    </w:pPr>
    <w:rPr>
      <w:rFonts w:ascii="Times New Roman" w:hAnsi="Times New Roman"/>
      <w:szCs w:val="22"/>
    </w:rPr>
  </w:style>
  <w:style w:type="paragraph" w:customStyle="1" w:styleId="CONLevelA0">
    <w:name w:val=".CON  Level (A)"/>
    <w:basedOn w:val="Normal"/>
    <w:next w:val="Normal"/>
    <w:rsid w:val="00AC2869"/>
    <w:pPr>
      <w:numPr>
        <w:ilvl w:val="4"/>
        <w:numId w:val="5"/>
      </w:numPr>
      <w:outlineLvl w:val="5"/>
    </w:pPr>
    <w:rPr>
      <w:rFonts w:ascii="Times New Roman" w:hAnsi="Times New Roman"/>
      <w:szCs w:val="22"/>
    </w:rPr>
  </w:style>
  <w:style w:type="paragraph" w:customStyle="1" w:styleId="CONLevelI0">
    <w:name w:val=".CON  Level (I)"/>
    <w:basedOn w:val="Normal"/>
    <w:next w:val="Normal"/>
    <w:rsid w:val="00AC2869"/>
    <w:pPr>
      <w:numPr>
        <w:ilvl w:val="5"/>
        <w:numId w:val="5"/>
      </w:numPr>
      <w:outlineLvl w:val="6"/>
    </w:pPr>
    <w:rPr>
      <w:rFonts w:ascii="Times New Roman" w:hAnsi="Times New Roman"/>
      <w:szCs w:val="22"/>
    </w:rPr>
  </w:style>
  <w:style w:type="paragraph" w:styleId="ListParagraph">
    <w:name w:val="List Paragraph"/>
    <w:basedOn w:val="Normal"/>
    <w:uiPriority w:val="34"/>
    <w:rsid w:val="0057466F"/>
    <w:pPr>
      <w:ind w:left="720"/>
    </w:pPr>
    <w:rPr>
      <w:rFonts w:ascii="Calibri" w:eastAsia="Calibri" w:hAnsi="Calibri"/>
      <w:sz w:val="22"/>
      <w:szCs w:val="22"/>
      <w:lang w:val="en-US"/>
    </w:rPr>
  </w:style>
  <w:style w:type="character" w:customStyle="1" w:styleId="DotPoints2CharChar">
    <w:name w:val="Dot Points 2 Char Char"/>
    <w:rsid w:val="007A3213"/>
    <w:rPr>
      <w:rFonts w:ascii="Arial" w:hAnsi="Arial" w:cs="Arial"/>
      <w:sz w:val="24"/>
      <w:szCs w:val="24"/>
      <w:lang w:val="en-AU" w:eastAsia="en-US" w:bidi="ar-SA"/>
    </w:rPr>
  </w:style>
  <w:style w:type="paragraph" w:styleId="ListNumber4">
    <w:name w:val="List Number 4"/>
    <w:basedOn w:val="Normal"/>
    <w:rsid w:val="002F6FE2"/>
    <w:pPr>
      <w:widowControl w:val="0"/>
      <w:numPr>
        <w:numId w:val="6"/>
      </w:numPr>
      <w:tabs>
        <w:tab w:val="clear" w:pos="1209"/>
        <w:tab w:val="left" w:pos="567"/>
        <w:tab w:val="num" w:pos="1440"/>
      </w:tabs>
      <w:ind w:left="1440"/>
    </w:pPr>
    <w:rPr>
      <w:sz w:val="22"/>
      <w:szCs w:val="20"/>
    </w:rPr>
  </w:style>
  <w:style w:type="paragraph" w:customStyle="1" w:styleId="CharCharCharCharCharChar">
    <w:name w:val="Char Char Char Char Char Char"/>
    <w:basedOn w:val="Normal"/>
    <w:rsid w:val="002F6FE2"/>
    <w:rPr>
      <w:sz w:val="22"/>
      <w:szCs w:val="22"/>
    </w:rPr>
  </w:style>
  <w:style w:type="character" w:customStyle="1" w:styleId="Heading2Char">
    <w:name w:val="Heading 2 Char"/>
    <w:link w:val="Heading2"/>
    <w:rsid w:val="00005BA5"/>
    <w:rPr>
      <w:rFonts w:asciiTheme="minorHAnsi" w:eastAsia="Calibri" w:hAnsiTheme="minorHAnsi" w:cstheme="minorHAnsi"/>
      <w:b/>
      <w:color w:val="17298D"/>
      <w:sz w:val="32"/>
      <w:szCs w:val="32"/>
      <w:lang w:val="en-US" w:eastAsia="en-US"/>
    </w:rPr>
  </w:style>
  <w:style w:type="paragraph" w:styleId="NormalWeb">
    <w:name w:val="Normal (Web)"/>
    <w:basedOn w:val="Normal"/>
    <w:rsid w:val="00F61251"/>
    <w:pPr>
      <w:spacing w:before="100" w:beforeAutospacing="1" w:after="100" w:afterAutospacing="1"/>
    </w:pPr>
    <w:rPr>
      <w:rFonts w:ascii="Times New Roman" w:hAnsi="Times New Roman"/>
      <w:lang w:val="en-US"/>
    </w:rPr>
  </w:style>
  <w:style w:type="character" w:customStyle="1" w:styleId="DotPoints1Char">
    <w:name w:val="Dot Points 1 Char"/>
    <w:link w:val="DotPoints1"/>
    <w:rsid w:val="009367DF"/>
    <w:rPr>
      <w:rFonts w:asciiTheme="minorHAnsi" w:hAnsiTheme="minorHAnsi"/>
      <w:lang w:eastAsia="en-US"/>
    </w:rPr>
  </w:style>
  <w:style w:type="paragraph" w:styleId="NoSpacing">
    <w:name w:val="No Spacing"/>
    <w:basedOn w:val="TOC1"/>
    <w:uiPriority w:val="1"/>
    <w:rsid w:val="00FB19C4"/>
    <w:pPr>
      <w:spacing w:before="0"/>
    </w:pPr>
  </w:style>
  <w:style w:type="character" w:customStyle="1" w:styleId="Heading4Char">
    <w:name w:val="Heading 4 Char"/>
    <w:link w:val="Heading4"/>
    <w:rsid w:val="00620BD7"/>
    <w:rPr>
      <w:rFonts w:asciiTheme="minorHAnsi" w:hAnsiTheme="minorHAnsi"/>
      <w:bCs/>
      <w:i/>
      <w:color w:val="17298D"/>
      <w:sz w:val="26"/>
      <w:szCs w:val="26"/>
      <w:lang w:val="en-US" w:eastAsia="en-US"/>
    </w:rPr>
  </w:style>
  <w:style w:type="character" w:customStyle="1" w:styleId="Heading1Char">
    <w:name w:val="Heading 1 Char"/>
    <w:link w:val="Heading1"/>
    <w:rsid w:val="00ED067B"/>
    <w:rPr>
      <w:rFonts w:asciiTheme="minorHAnsi" w:eastAsia="Calibri" w:hAnsiTheme="minorHAnsi" w:cstheme="minorHAnsi"/>
      <w:b/>
      <w:color w:val="17298D"/>
      <w:sz w:val="40"/>
      <w:szCs w:val="40"/>
      <w:lang w:val="en-US" w:eastAsia="en-US"/>
    </w:rPr>
  </w:style>
  <w:style w:type="character" w:customStyle="1" w:styleId="Heading3Char">
    <w:name w:val="Heading 3 Char"/>
    <w:link w:val="Heading3"/>
    <w:rsid w:val="00644B25"/>
    <w:rPr>
      <w:rFonts w:asciiTheme="minorHAnsi" w:hAnsiTheme="minorHAnsi"/>
      <w:b/>
      <w:color w:val="17298D"/>
      <w:sz w:val="28"/>
      <w:szCs w:val="28"/>
      <w:lang w:val="en-US" w:eastAsia="en-US"/>
    </w:rPr>
  </w:style>
  <w:style w:type="character" w:customStyle="1" w:styleId="FootnoteTextChar">
    <w:name w:val="Footnote Text Char"/>
    <w:link w:val="FootnoteText"/>
    <w:uiPriority w:val="99"/>
    <w:semiHidden/>
    <w:rsid w:val="002360F4"/>
    <w:rPr>
      <w:rFonts w:ascii="Arial" w:hAnsi="Arial" w:cs="Arial"/>
      <w:lang w:val="en-AU"/>
    </w:rPr>
  </w:style>
  <w:style w:type="character" w:customStyle="1" w:styleId="BalloonTextChar">
    <w:name w:val="Balloon Text Char"/>
    <w:link w:val="BalloonText"/>
    <w:uiPriority w:val="99"/>
    <w:semiHidden/>
    <w:rsid w:val="004F5C48"/>
    <w:rPr>
      <w:rFonts w:ascii="Tahoma" w:hAnsi="Tahoma" w:cs="Tahoma"/>
      <w:sz w:val="16"/>
      <w:szCs w:val="16"/>
      <w:lang w:eastAsia="en-US"/>
    </w:rPr>
  </w:style>
  <w:style w:type="character" w:styleId="Strong">
    <w:name w:val="Strong"/>
    <w:uiPriority w:val="22"/>
    <w:rsid w:val="00576B4D"/>
    <w:rPr>
      <w:b/>
      <w:bCs/>
    </w:rPr>
  </w:style>
  <w:style w:type="paragraph" w:styleId="Revision">
    <w:name w:val="Revision"/>
    <w:hidden/>
    <w:uiPriority w:val="99"/>
    <w:semiHidden/>
    <w:rsid w:val="003D5F83"/>
    <w:rPr>
      <w:rFonts w:ascii="Arial" w:hAnsi="Arial"/>
      <w:lang w:eastAsia="en-US"/>
    </w:rPr>
  </w:style>
  <w:style w:type="paragraph" w:styleId="Subtitle">
    <w:name w:val="Subtitle"/>
    <w:aliases w:val="Figure subtext"/>
    <w:basedOn w:val="Normal"/>
    <w:next w:val="Normal"/>
    <w:link w:val="SubtitleChar"/>
    <w:uiPriority w:val="11"/>
    <w:qFormat/>
    <w:rsid w:val="001D7A23"/>
    <w:pPr>
      <w:spacing w:before="0"/>
    </w:pPr>
    <w:rPr>
      <w:rFonts w:cs="Times New Roman"/>
      <w:sz w:val="22"/>
      <w:szCs w:val="20"/>
    </w:rPr>
  </w:style>
  <w:style w:type="character" w:customStyle="1" w:styleId="SubtitleChar">
    <w:name w:val="Subtitle Char"/>
    <w:aliases w:val="Figure subtext Char"/>
    <w:link w:val="Subtitle"/>
    <w:uiPriority w:val="11"/>
    <w:rsid w:val="001D7A23"/>
    <w:rPr>
      <w:rFonts w:ascii="Arial" w:hAnsi="Arial" w:cs="Arial"/>
      <w:sz w:val="22"/>
      <w:lang w:eastAsia="en-US"/>
    </w:rPr>
  </w:style>
  <w:style w:type="character" w:customStyle="1" w:styleId="FooterChar">
    <w:name w:val="Footer Char"/>
    <w:link w:val="Footer"/>
    <w:rsid w:val="00D33F4B"/>
    <w:rPr>
      <w:rFonts w:ascii="Arial" w:hAnsi="Arial" w:cs="Arial"/>
      <w:sz w:val="24"/>
      <w:szCs w:val="24"/>
      <w:lang w:eastAsia="en-US"/>
    </w:rPr>
  </w:style>
  <w:style w:type="character" w:customStyle="1" w:styleId="HeaderChar">
    <w:name w:val="Header Char"/>
    <w:link w:val="Header"/>
    <w:rsid w:val="00D33F4B"/>
    <w:rPr>
      <w:rFonts w:ascii="Arial" w:hAnsi="Arial" w:cs="Arial"/>
      <w:sz w:val="24"/>
      <w:szCs w:val="24"/>
      <w:lang w:eastAsia="en-US"/>
    </w:rPr>
  </w:style>
  <w:style w:type="paragraph" w:customStyle="1" w:styleId="CharChar0">
    <w:name w:val="Char Char"/>
    <w:basedOn w:val="Normal"/>
    <w:rsid w:val="00B473C2"/>
    <w:pPr>
      <w:spacing w:before="0"/>
    </w:pPr>
    <w:rPr>
      <w:sz w:val="22"/>
      <w:szCs w:val="22"/>
    </w:rPr>
  </w:style>
  <w:style w:type="character" w:styleId="FollowedHyperlink">
    <w:name w:val="FollowedHyperlink"/>
    <w:rsid w:val="00C35E87"/>
    <w:rPr>
      <w:color w:val="800080"/>
      <w:u w:val="single"/>
    </w:rPr>
  </w:style>
  <w:style w:type="paragraph" w:customStyle="1" w:styleId="Heading2-laterchapters">
    <w:name w:val="Heading 2 - later chapters"/>
    <w:basedOn w:val="Heading2"/>
    <w:link w:val="Heading2-laterchaptersChar"/>
    <w:rsid w:val="009A27C0"/>
    <w:pPr>
      <w:pageBreakBefore/>
    </w:pPr>
  </w:style>
  <w:style w:type="character" w:customStyle="1" w:styleId="Heading2-laterchaptersChar">
    <w:name w:val="Heading 2 - later chapters Char"/>
    <w:basedOn w:val="Heading2Char"/>
    <w:link w:val="Heading2-laterchapters"/>
    <w:rsid w:val="009A27C0"/>
    <w:rPr>
      <w:rFonts w:asciiTheme="minorHAnsi" w:eastAsia="Calibri" w:hAnsiTheme="minorHAnsi" w:cstheme="minorHAnsi"/>
      <w:b/>
      <w:color w:val="17298D"/>
      <w:sz w:val="32"/>
      <w:szCs w:val="32"/>
      <w:lang w:val="en-US" w:eastAsia="en-US"/>
    </w:rPr>
  </w:style>
  <w:style w:type="character" w:customStyle="1" w:styleId="Heading6Char">
    <w:name w:val="Heading 6 Char"/>
    <w:aliases w:val="Figure heading Char"/>
    <w:link w:val="Heading6"/>
    <w:uiPriority w:val="9"/>
    <w:rsid w:val="00077336"/>
    <w:rPr>
      <w:rFonts w:asciiTheme="minorHAnsi" w:hAnsiTheme="minorHAnsi" w:cstheme="minorHAnsi"/>
      <w:b/>
      <w:szCs w:val="20"/>
      <w:lang w:eastAsia="en-US"/>
    </w:rPr>
  </w:style>
  <w:style w:type="character" w:customStyle="1" w:styleId="Heading7Char">
    <w:name w:val="Heading 7 Char"/>
    <w:aliases w:val="Figure sub-text Char"/>
    <w:link w:val="Heading7"/>
    <w:uiPriority w:val="9"/>
    <w:rsid w:val="00E07ABD"/>
    <w:rPr>
      <w:rFonts w:asciiTheme="minorHAnsi" w:hAnsiTheme="minorHAnsi" w:cstheme="minorHAnsi"/>
      <w:sz w:val="20"/>
      <w:szCs w:val="20"/>
      <w:lang w:eastAsia="en-US"/>
    </w:rPr>
  </w:style>
  <w:style w:type="table" w:styleId="ColorfulGrid-Accent1">
    <w:name w:val="Colorful Grid Accent 1"/>
    <w:basedOn w:val="TableNormal"/>
    <w:uiPriority w:val="73"/>
    <w:rsid w:val="00B37349"/>
    <w:rPr>
      <w:rFonts w:ascii="Arial" w:eastAsia="Times New Roman" w:hAnsi="Arial"/>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mmentTextChar">
    <w:name w:val="Comment Text Char"/>
    <w:link w:val="CommentText"/>
    <w:semiHidden/>
    <w:rsid w:val="00CA144A"/>
    <w:rPr>
      <w:rFonts w:cs="Arial"/>
      <w:lang w:eastAsia="en-US"/>
    </w:rPr>
  </w:style>
  <w:style w:type="paragraph" w:customStyle="1" w:styleId="ExecSummaryHeading">
    <w:name w:val="Exec Summary Heading"/>
    <w:basedOn w:val="NormalIndent"/>
    <w:link w:val="ExecSummaryHeadingChar"/>
    <w:rsid w:val="008378D0"/>
    <w:pPr>
      <w:widowControl w:val="0"/>
      <w:tabs>
        <w:tab w:val="left" w:pos="567"/>
      </w:tabs>
      <w:spacing w:before="0"/>
    </w:pPr>
    <w:rPr>
      <w:rFonts w:eastAsia="Times New Roman" w:cs="Times New Roman"/>
      <w:b/>
      <w:color w:val="0070C0"/>
      <w:sz w:val="32"/>
      <w:szCs w:val="36"/>
    </w:rPr>
  </w:style>
  <w:style w:type="character" w:customStyle="1" w:styleId="ExecSummaryHeadingChar">
    <w:name w:val="Exec Summary Heading Char"/>
    <w:link w:val="ExecSummaryHeading"/>
    <w:rsid w:val="008378D0"/>
    <w:rPr>
      <w:rFonts w:ascii="Arial" w:eastAsia="Times New Roman" w:hAnsi="Arial" w:cs="Arial"/>
      <w:b/>
      <w:color w:val="0070C0"/>
      <w:sz w:val="32"/>
      <w:szCs w:val="36"/>
      <w:lang w:val="en-AU"/>
    </w:rPr>
  </w:style>
  <w:style w:type="paragraph" w:styleId="NormalIndent">
    <w:name w:val="Normal Indent"/>
    <w:basedOn w:val="Normal"/>
    <w:uiPriority w:val="99"/>
    <w:semiHidden/>
    <w:unhideWhenUsed/>
    <w:rsid w:val="008378D0"/>
    <w:pPr>
      <w:ind w:left="720"/>
    </w:pPr>
  </w:style>
  <w:style w:type="paragraph" w:customStyle="1" w:styleId="TableofContentHeading">
    <w:name w:val="TableofContentHeading"/>
    <w:basedOn w:val="Normal"/>
    <w:qFormat/>
    <w:rsid w:val="00014842"/>
    <w:pPr>
      <w:spacing w:before="360" w:after="240"/>
      <w:jc w:val="center"/>
    </w:pPr>
    <w:rPr>
      <w:b/>
      <w:color w:val="17298D"/>
      <w:sz w:val="32"/>
      <w:szCs w:val="32"/>
    </w:rPr>
  </w:style>
  <w:style w:type="paragraph" w:customStyle="1" w:styleId="AppendicesHeading">
    <w:name w:val="AppendicesHeading"/>
    <w:basedOn w:val="Normal"/>
    <w:rsid w:val="001E72C7"/>
    <w:pPr>
      <w:spacing w:before="360" w:after="240"/>
      <w:jc w:val="center"/>
    </w:pPr>
    <w:rPr>
      <w:b/>
      <w:color w:val="172983"/>
    </w:rPr>
  </w:style>
  <w:style w:type="paragraph" w:customStyle="1" w:styleId="MainTitleBlue">
    <w:name w:val="Main Title Blue"/>
    <w:basedOn w:val="SubHeadingBlue"/>
    <w:rsid w:val="001729A9"/>
    <w:pPr>
      <w:spacing w:after="0"/>
      <w:ind w:left="0" w:firstLine="0"/>
    </w:pPr>
    <w:rPr>
      <w:rFonts w:cs="Arial"/>
      <w:sz w:val="52"/>
      <w:szCs w:val="52"/>
    </w:rPr>
  </w:style>
  <w:style w:type="paragraph" w:customStyle="1" w:styleId="SubHeadingBlue">
    <w:name w:val="SubHeading Blue"/>
    <w:basedOn w:val="Heading1"/>
    <w:rsid w:val="00D03793"/>
    <w:pPr>
      <w:numPr>
        <w:numId w:val="0"/>
      </w:numPr>
      <w:ind w:left="567" w:hanging="567"/>
    </w:pPr>
    <w:rPr>
      <w:sz w:val="32"/>
    </w:rPr>
  </w:style>
  <w:style w:type="paragraph" w:customStyle="1" w:styleId="ProjectNameBlue">
    <w:name w:val="ProjectName Blue"/>
    <w:basedOn w:val="Normal"/>
    <w:rsid w:val="00E16A84"/>
    <w:rPr>
      <w:b/>
      <w:color w:val="172983"/>
      <w:sz w:val="40"/>
    </w:rPr>
  </w:style>
  <w:style w:type="paragraph" w:customStyle="1" w:styleId="tableofcontents">
    <w:name w:val="table of contents"/>
    <w:basedOn w:val="TOC1"/>
    <w:qFormat/>
    <w:rsid w:val="00014842"/>
    <w:rPr>
      <w:b w:val="0"/>
      <w:color w:val="17298D"/>
    </w:rPr>
  </w:style>
  <w:style w:type="character" w:customStyle="1" w:styleId="BodyTextChar">
    <w:name w:val="Body Text Char"/>
    <w:basedOn w:val="DefaultParagraphFont"/>
    <w:link w:val="BodyText"/>
    <w:rsid w:val="001729A9"/>
    <w:rPr>
      <w:rFonts w:cs="Arial"/>
      <w:b/>
      <w:bCs/>
      <w:sz w:val="32"/>
      <w:lang w:val="en-US" w:eastAsia="en-US"/>
    </w:rPr>
  </w:style>
  <w:style w:type="character" w:customStyle="1" w:styleId="BodyTextIndentChar">
    <w:name w:val="Body Text Indent Char"/>
    <w:basedOn w:val="DefaultParagraphFont"/>
    <w:link w:val="BodyTextIndent"/>
    <w:rsid w:val="001729A9"/>
    <w:rPr>
      <w:rFonts w:cs="Arial"/>
      <w:i/>
      <w:iCs/>
      <w:lang w:eastAsia="en-US"/>
    </w:rPr>
  </w:style>
  <w:style w:type="paragraph" w:customStyle="1" w:styleId="footnote">
    <w:name w:val="footnote"/>
    <w:basedOn w:val="FootnoteText"/>
    <w:qFormat/>
    <w:rsid w:val="00802FCB"/>
    <w:pPr>
      <w:tabs>
        <w:tab w:val="left" w:pos="284"/>
      </w:tabs>
      <w:spacing w:before="120"/>
      <w:ind w:left="284" w:hanging="284"/>
    </w:pPr>
  </w:style>
  <w:style w:type="paragraph" w:customStyle="1" w:styleId="Tableheading">
    <w:name w:val="Table heading"/>
    <w:basedOn w:val="Heading6"/>
    <w:qFormat/>
    <w:rsid w:val="00A2259E"/>
    <w:pPr>
      <w:spacing w:before="0"/>
      <w:contextualSpacing/>
      <w:outlineLvl w:val="9"/>
    </w:pPr>
    <w:rPr>
      <w:sz w:val="22"/>
      <w:szCs w:val="22"/>
    </w:rPr>
  </w:style>
  <w:style w:type="paragraph" w:customStyle="1" w:styleId="Tabletext0">
    <w:name w:val="Table text"/>
    <w:basedOn w:val="Tableheading"/>
    <w:qFormat/>
    <w:rsid w:val="00862254"/>
    <w:rPr>
      <w:b w:val="0"/>
    </w:rPr>
  </w:style>
  <w:style w:type="paragraph" w:customStyle="1" w:styleId="Tablemainheading">
    <w:name w:val="Table main heading"/>
    <w:basedOn w:val="Heading6"/>
    <w:qFormat/>
    <w:rsid w:val="00A2259E"/>
    <w:pPr>
      <w:spacing w:after="120"/>
    </w:pPr>
  </w:style>
  <w:style w:type="paragraph" w:customStyle="1" w:styleId="StyleHeading1After12pt">
    <w:name w:val="Style Heading 1 + After:  12 pt"/>
    <w:basedOn w:val="Heading1"/>
    <w:rsid w:val="00E60501"/>
    <w:pPr>
      <w:numPr>
        <w:numId w:val="0"/>
      </w:numPr>
    </w:pPr>
    <w:rPr>
      <w:rFonts w:ascii="Arial" w:eastAsia="Times New Roman" w:hAnsi="Arial" w:cs="Times New Roman"/>
      <w:bCs/>
      <w:color w:val="auto"/>
      <w:szCs w:val="20"/>
    </w:rPr>
  </w:style>
  <w:style w:type="numbering" w:customStyle="1" w:styleId="Headings">
    <w:name w:val="Headings"/>
    <w:uiPriority w:val="99"/>
    <w:rsid w:val="005121E5"/>
    <w:pPr>
      <w:numPr>
        <w:numId w:val="7"/>
      </w:numPr>
    </w:pPr>
  </w:style>
  <w:style w:type="paragraph" w:customStyle="1" w:styleId="Covertitle">
    <w:name w:val="Cover title"/>
    <w:basedOn w:val="Normal"/>
    <w:qFormat/>
    <w:rsid w:val="00014842"/>
    <w:pPr>
      <w:spacing w:before="960"/>
    </w:pPr>
    <w:rPr>
      <w:b/>
      <w:color w:val="17298D"/>
      <w:sz w:val="40"/>
      <w:szCs w:val="40"/>
    </w:rPr>
  </w:style>
  <w:style w:type="paragraph" w:customStyle="1" w:styleId="footnote1">
    <w:name w:val="footnote1"/>
    <w:basedOn w:val="FootnoteText"/>
    <w:rsid w:val="00802FCB"/>
    <w:pPr>
      <w:ind w:left="142" w:hanging="142"/>
    </w:pPr>
  </w:style>
  <w:style w:type="paragraph" w:customStyle="1" w:styleId="tablesubheading">
    <w:name w:val="table subheading"/>
    <w:basedOn w:val="Tableheading"/>
    <w:qFormat/>
    <w:rsid w:val="00A2259E"/>
    <w:rPr>
      <w:sz w:val="18"/>
      <w:szCs w:val="18"/>
    </w:rPr>
  </w:style>
  <w:style w:type="paragraph" w:customStyle="1" w:styleId="footnotebullets">
    <w:name w:val="footnote_bullets"/>
    <w:basedOn w:val="footnote"/>
    <w:qFormat/>
    <w:rsid w:val="00C40548"/>
    <w:pPr>
      <w:numPr>
        <w:numId w:val="9"/>
      </w:numPr>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302">
      <w:bodyDiv w:val="1"/>
      <w:marLeft w:val="0"/>
      <w:marRight w:val="0"/>
      <w:marTop w:val="0"/>
      <w:marBottom w:val="0"/>
      <w:divBdr>
        <w:top w:val="none" w:sz="0" w:space="0" w:color="auto"/>
        <w:left w:val="none" w:sz="0" w:space="0" w:color="auto"/>
        <w:bottom w:val="none" w:sz="0" w:space="0" w:color="auto"/>
        <w:right w:val="none" w:sz="0" w:space="0" w:color="auto"/>
      </w:divBdr>
    </w:div>
    <w:div w:id="50736605">
      <w:bodyDiv w:val="1"/>
      <w:marLeft w:val="0"/>
      <w:marRight w:val="0"/>
      <w:marTop w:val="0"/>
      <w:marBottom w:val="0"/>
      <w:divBdr>
        <w:top w:val="none" w:sz="0" w:space="0" w:color="auto"/>
        <w:left w:val="none" w:sz="0" w:space="0" w:color="auto"/>
        <w:bottom w:val="none" w:sz="0" w:space="0" w:color="auto"/>
        <w:right w:val="none" w:sz="0" w:space="0" w:color="auto"/>
      </w:divBdr>
    </w:div>
    <w:div w:id="166870356">
      <w:bodyDiv w:val="1"/>
      <w:marLeft w:val="0"/>
      <w:marRight w:val="0"/>
      <w:marTop w:val="0"/>
      <w:marBottom w:val="0"/>
      <w:divBdr>
        <w:top w:val="none" w:sz="0" w:space="0" w:color="auto"/>
        <w:left w:val="none" w:sz="0" w:space="0" w:color="auto"/>
        <w:bottom w:val="none" w:sz="0" w:space="0" w:color="auto"/>
        <w:right w:val="none" w:sz="0" w:space="0" w:color="auto"/>
      </w:divBdr>
    </w:div>
    <w:div w:id="232929029">
      <w:bodyDiv w:val="1"/>
      <w:marLeft w:val="0"/>
      <w:marRight w:val="0"/>
      <w:marTop w:val="0"/>
      <w:marBottom w:val="0"/>
      <w:divBdr>
        <w:top w:val="none" w:sz="0" w:space="0" w:color="auto"/>
        <w:left w:val="none" w:sz="0" w:space="0" w:color="auto"/>
        <w:bottom w:val="none" w:sz="0" w:space="0" w:color="auto"/>
        <w:right w:val="none" w:sz="0" w:space="0" w:color="auto"/>
      </w:divBdr>
    </w:div>
    <w:div w:id="238294190">
      <w:bodyDiv w:val="1"/>
      <w:marLeft w:val="0"/>
      <w:marRight w:val="0"/>
      <w:marTop w:val="0"/>
      <w:marBottom w:val="0"/>
      <w:divBdr>
        <w:top w:val="none" w:sz="0" w:space="0" w:color="auto"/>
        <w:left w:val="none" w:sz="0" w:space="0" w:color="auto"/>
        <w:bottom w:val="none" w:sz="0" w:space="0" w:color="auto"/>
        <w:right w:val="none" w:sz="0" w:space="0" w:color="auto"/>
      </w:divBdr>
    </w:div>
    <w:div w:id="242956652">
      <w:bodyDiv w:val="1"/>
      <w:marLeft w:val="0"/>
      <w:marRight w:val="0"/>
      <w:marTop w:val="0"/>
      <w:marBottom w:val="0"/>
      <w:divBdr>
        <w:top w:val="none" w:sz="0" w:space="0" w:color="auto"/>
        <w:left w:val="none" w:sz="0" w:space="0" w:color="auto"/>
        <w:bottom w:val="none" w:sz="0" w:space="0" w:color="auto"/>
        <w:right w:val="none" w:sz="0" w:space="0" w:color="auto"/>
      </w:divBdr>
    </w:div>
    <w:div w:id="248588464">
      <w:bodyDiv w:val="1"/>
      <w:marLeft w:val="0"/>
      <w:marRight w:val="0"/>
      <w:marTop w:val="0"/>
      <w:marBottom w:val="0"/>
      <w:divBdr>
        <w:top w:val="none" w:sz="0" w:space="0" w:color="auto"/>
        <w:left w:val="none" w:sz="0" w:space="0" w:color="auto"/>
        <w:bottom w:val="none" w:sz="0" w:space="0" w:color="auto"/>
        <w:right w:val="none" w:sz="0" w:space="0" w:color="auto"/>
      </w:divBdr>
    </w:div>
    <w:div w:id="311758017">
      <w:bodyDiv w:val="1"/>
      <w:marLeft w:val="0"/>
      <w:marRight w:val="0"/>
      <w:marTop w:val="0"/>
      <w:marBottom w:val="0"/>
      <w:divBdr>
        <w:top w:val="none" w:sz="0" w:space="0" w:color="auto"/>
        <w:left w:val="none" w:sz="0" w:space="0" w:color="auto"/>
        <w:bottom w:val="none" w:sz="0" w:space="0" w:color="auto"/>
        <w:right w:val="none" w:sz="0" w:space="0" w:color="auto"/>
      </w:divBdr>
    </w:div>
    <w:div w:id="384136298">
      <w:bodyDiv w:val="1"/>
      <w:marLeft w:val="0"/>
      <w:marRight w:val="0"/>
      <w:marTop w:val="0"/>
      <w:marBottom w:val="0"/>
      <w:divBdr>
        <w:top w:val="none" w:sz="0" w:space="0" w:color="auto"/>
        <w:left w:val="none" w:sz="0" w:space="0" w:color="auto"/>
        <w:bottom w:val="none" w:sz="0" w:space="0" w:color="auto"/>
        <w:right w:val="none" w:sz="0" w:space="0" w:color="auto"/>
      </w:divBdr>
    </w:div>
    <w:div w:id="397096647">
      <w:bodyDiv w:val="1"/>
      <w:marLeft w:val="0"/>
      <w:marRight w:val="0"/>
      <w:marTop w:val="0"/>
      <w:marBottom w:val="0"/>
      <w:divBdr>
        <w:top w:val="none" w:sz="0" w:space="0" w:color="auto"/>
        <w:left w:val="none" w:sz="0" w:space="0" w:color="auto"/>
        <w:bottom w:val="none" w:sz="0" w:space="0" w:color="auto"/>
        <w:right w:val="none" w:sz="0" w:space="0" w:color="auto"/>
      </w:divBdr>
    </w:div>
    <w:div w:id="420614030">
      <w:bodyDiv w:val="1"/>
      <w:marLeft w:val="0"/>
      <w:marRight w:val="0"/>
      <w:marTop w:val="0"/>
      <w:marBottom w:val="0"/>
      <w:divBdr>
        <w:top w:val="none" w:sz="0" w:space="0" w:color="auto"/>
        <w:left w:val="none" w:sz="0" w:space="0" w:color="auto"/>
        <w:bottom w:val="none" w:sz="0" w:space="0" w:color="auto"/>
        <w:right w:val="none" w:sz="0" w:space="0" w:color="auto"/>
      </w:divBdr>
    </w:div>
    <w:div w:id="430588051">
      <w:bodyDiv w:val="1"/>
      <w:marLeft w:val="0"/>
      <w:marRight w:val="0"/>
      <w:marTop w:val="0"/>
      <w:marBottom w:val="0"/>
      <w:divBdr>
        <w:top w:val="none" w:sz="0" w:space="0" w:color="auto"/>
        <w:left w:val="none" w:sz="0" w:space="0" w:color="auto"/>
        <w:bottom w:val="none" w:sz="0" w:space="0" w:color="auto"/>
        <w:right w:val="none" w:sz="0" w:space="0" w:color="auto"/>
      </w:divBdr>
    </w:div>
    <w:div w:id="432483952">
      <w:bodyDiv w:val="1"/>
      <w:marLeft w:val="0"/>
      <w:marRight w:val="0"/>
      <w:marTop w:val="0"/>
      <w:marBottom w:val="0"/>
      <w:divBdr>
        <w:top w:val="none" w:sz="0" w:space="0" w:color="auto"/>
        <w:left w:val="none" w:sz="0" w:space="0" w:color="auto"/>
        <w:bottom w:val="none" w:sz="0" w:space="0" w:color="auto"/>
        <w:right w:val="none" w:sz="0" w:space="0" w:color="auto"/>
      </w:divBdr>
    </w:div>
    <w:div w:id="441848099">
      <w:bodyDiv w:val="1"/>
      <w:marLeft w:val="0"/>
      <w:marRight w:val="0"/>
      <w:marTop w:val="0"/>
      <w:marBottom w:val="0"/>
      <w:divBdr>
        <w:top w:val="none" w:sz="0" w:space="0" w:color="auto"/>
        <w:left w:val="none" w:sz="0" w:space="0" w:color="auto"/>
        <w:bottom w:val="none" w:sz="0" w:space="0" w:color="auto"/>
        <w:right w:val="none" w:sz="0" w:space="0" w:color="auto"/>
      </w:divBdr>
    </w:div>
    <w:div w:id="460539313">
      <w:bodyDiv w:val="1"/>
      <w:marLeft w:val="0"/>
      <w:marRight w:val="0"/>
      <w:marTop w:val="0"/>
      <w:marBottom w:val="0"/>
      <w:divBdr>
        <w:top w:val="none" w:sz="0" w:space="0" w:color="auto"/>
        <w:left w:val="none" w:sz="0" w:space="0" w:color="auto"/>
        <w:bottom w:val="none" w:sz="0" w:space="0" w:color="auto"/>
        <w:right w:val="none" w:sz="0" w:space="0" w:color="auto"/>
      </w:divBdr>
    </w:div>
    <w:div w:id="499467011">
      <w:bodyDiv w:val="1"/>
      <w:marLeft w:val="0"/>
      <w:marRight w:val="0"/>
      <w:marTop w:val="0"/>
      <w:marBottom w:val="0"/>
      <w:divBdr>
        <w:top w:val="none" w:sz="0" w:space="0" w:color="auto"/>
        <w:left w:val="none" w:sz="0" w:space="0" w:color="auto"/>
        <w:bottom w:val="none" w:sz="0" w:space="0" w:color="auto"/>
        <w:right w:val="none" w:sz="0" w:space="0" w:color="auto"/>
      </w:divBdr>
    </w:div>
    <w:div w:id="503400701">
      <w:bodyDiv w:val="1"/>
      <w:marLeft w:val="0"/>
      <w:marRight w:val="0"/>
      <w:marTop w:val="0"/>
      <w:marBottom w:val="0"/>
      <w:divBdr>
        <w:top w:val="none" w:sz="0" w:space="0" w:color="auto"/>
        <w:left w:val="none" w:sz="0" w:space="0" w:color="auto"/>
        <w:bottom w:val="none" w:sz="0" w:space="0" w:color="auto"/>
        <w:right w:val="none" w:sz="0" w:space="0" w:color="auto"/>
      </w:divBdr>
    </w:div>
    <w:div w:id="509955828">
      <w:bodyDiv w:val="1"/>
      <w:marLeft w:val="0"/>
      <w:marRight w:val="0"/>
      <w:marTop w:val="0"/>
      <w:marBottom w:val="0"/>
      <w:divBdr>
        <w:top w:val="none" w:sz="0" w:space="0" w:color="auto"/>
        <w:left w:val="none" w:sz="0" w:space="0" w:color="auto"/>
        <w:bottom w:val="none" w:sz="0" w:space="0" w:color="auto"/>
        <w:right w:val="none" w:sz="0" w:space="0" w:color="auto"/>
      </w:divBdr>
    </w:div>
    <w:div w:id="518006808">
      <w:bodyDiv w:val="1"/>
      <w:marLeft w:val="0"/>
      <w:marRight w:val="0"/>
      <w:marTop w:val="0"/>
      <w:marBottom w:val="0"/>
      <w:divBdr>
        <w:top w:val="none" w:sz="0" w:space="0" w:color="auto"/>
        <w:left w:val="none" w:sz="0" w:space="0" w:color="auto"/>
        <w:bottom w:val="none" w:sz="0" w:space="0" w:color="auto"/>
        <w:right w:val="none" w:sz="0" w:space="0" w:color="auto"/>
      </w:divBdr>
    </w:div>
    <w:div w:id="631519616">
      <w:bodyDiv w:val="1"/>
      <w:marLeft w:val="0"/>
      <w:marRight w:val="0"/>
      <w:marTop w:val="0"/>
      <w:marBottom w:val="0"/>
      <w:divBdr>
        <w:top w:val="none" w:sz="0" w:space="0" w:color="auto"/>
        <w:left w:val="none" w:sz="0" w:space="0" w:color="auto"/>
        <w:bottom w:val="none" w:sz="0" w:space="0" w:color="auto"/>
        <w:right w:val="none" w:sz="0" w:space="0" w:color="auto"/>
      </w:divBdr>
    </w:div>
    <w:div w:id="671420019">
      <w:bodyDiv w:val="1"/>
      <w:marLeft w:val="0"/>
      <w:marRight w:val="0"/>
      <w:marTop w:val="0"/>
      <w:marBottom w:val="0"/>
      <w:divBdr>
        <w:top w:val="none" w:sz="0" w:space="0" w:color="auto"/>
        <w:left w:val="none" w:sz="0" w:space="0" w:color="auto"/>
        <w:bottom w:val="none" w:sz="0" w:space="0" w:color="auto"/>
        <w:right w:val="none" w:sz="0" w:space="0" w:color="auto"/>
      </w:divBdr>
    </w:div>
    <w:div w:id="685910572">
      <w:bodyDiv w:val="1"/>
      <w:marLeft w:val="0"/>
      <w:marRight w:val="0"/>
      <w:marTop w:val="0"/>
      <w:marBottom w:val="0"/>
      <w:divBdr>
        <w:top w:val="none" w:sz="0" w:space="0" w:color="auto"/>
        <w:left w:val="none" w:sz="0" w:space="0" w:color="auto"/>
        <w:bottom w:val="none" w:sz="0" w:space="0" w:color="auto"/>
        <w:right w:val="none" w:sz="0" w:space="0" w:color="auto"/>
      </w:divBdr>
    </w:div>
    <w:div w:id="717120717">
      <w:bodyDiv w:val="1"/>
      <w:marLeft w:val="0"/>
      <w:marRight w:val="0"/>
      <w:marTop w:val="0"/>
      <w:marBottom w:val="0"/>
      <w:divBdr>
        <w:top w:val="none" w:sz="0" w:space="0" w:color="auto"/>
        <w:left w:val="none" w:sz="0" w:space="0" w:color="auto"/>
        <w:bottom w:val="none" w:sz="0" w:space="0" w:color="auto"/>
        <w:right w:val="none" w:sz="0" w:space="0" w:color="auto"/>
      </w:divBdr>
    </w:div>
    <w:div w:id="730079802">
      <w:bodyDiv w:val="1"/>
      <w:marLeft w:val="0"/>
      <w:marRight w:val="0"/>
      <w:marTop w:val="0"/>
      <w:marBottom w:val="0"/>
      <w:divBdr>
        <w:top w:val="none" w:sz="0" w:space="0" w:color="auto"/>
        <w:left w:val="none" w:sz="0" w:space="0" w:color="auto"/>
        <w:bottom w:val="none" w:sz="0" w:space="0" w:color="auto"/>
        <w:right w:val="none" w:sz="0" w:space="0" w:color="auto"/>
      </w:divBdr>
    </w:div>
    <w:div w:id="737870351">
      <w:bodyDiv w:val="1"/>
      <w:marLeft w:val="0"/>
      <w:marRight w:val="0"/>
      <w:marTop w:val="0"/>
      <w:marBottom w:val="0"/>
      <w:divBdr>
        <w:top w:val="none" w:sz="0" w:space="0" w:color="auto"/>
        <w:left w:val="none" w:sz="0" w:space="0" w:color="auto"/>
        <w:bottom w:val="none" w:sz="0" w:space="0" w:color="auto"/>
        <w:right w:val="none" w:sz="0" w:space="0" w:color="auto"/>
      </w:divBdr>
    </w:div>
    <w:div w:id="780034089">
      <w:bodyDiv w:val="1"/>
      <w:marLeft w:val="0"/>
      <w:marRight w:val="0"/>
      <w:marTop w:val="0"/>
      <w:marBottom w:val="0"/>
      <w:divBdr>
        <w:top w:val="none" w:sz="0" w:space="0" w:color="auto"/>
        <w:left w:val="none" w:sz="0" w:space="0" w:color="auto"/>
        <w:bottom w:val="none" w:sz="0" w:space="0" w:color="auto"/>
        <w:right w:val="none" w:sz="0" w:space="0" w:color="auto"/>
      </w:divBdr>
    </w:div>
    <w:div w:id="786238733">
      <w:bodyDiv w:val="1"/>
      <w:marLeft w:val="0"/>
      <w:marRight w:val="0"/>
      <w:marTop w:val="0"/>
      <w:marBottom w:val="0"/>
      <w:divBdr>
        <w:top w:val="none" w:sz="0" w:space="0" w:color="auto"/>
        <w:left w:val="none" w:sz="0" w:space="0" w:color="auto"/>
        <w:bottom w:val="none" w:sz="0" w:space="0" w:color="auto"/>
        <w:right w:val="none" w:sz="0" w:space="0" w:color="auto"/>
      </w:divBdr>
    </w:div>
    <w:div w:id="794173581">
      <w:bodyDiv w:val="1"/>
      <w:marLeft w:val="0"/>
      <w:marRight w:val="0"/>
      <w:marTop w:val="0"/>
      <w:marBottom w:val="0"/>
      <w:divBdr>
        <w:top w:val="none" w:sz="0" w:space="0" w:color="auto"/>
        <w:left w:val="none" w:sz="0" w:space="0" w:color="auto"/>
        <w:bottom w:val="none" w:sz="0" w:space="0" w:color="auto"/>
        <w:right w:val="none" w:sz="0" w:space="0" w:color="auto"/>
      </w:divBdr>
    </w:div>
    <w:div w:id="794910340">
      <w:bodyDiv w:val="1"/>
      <w:marLeft w:val="0"/>
      <w:marRight w:val="0"/>
      <w:marTop w:val="0"/>
      <w:marBottom w:val="0"/>
      <w:divBdr>
        <w:top w:val="none" w:sz="0" w:space="0" w:color="auto"/>
        <w:left w:val="none" w:sz="0" w:space="0" w:color="auto"/>
        <w:bottom w:val="none" w:sz="0" w:space="0" w:color="auto"/>
        <w:right w:val="none" w:sz="0" w:space="0" w:color="auto"/>
      </w:divBdr>
    </w:div>
    <w:div w:id="806779670">
      <w:bodyDiv w:val="1"/>
      <w:marLeft w:val="0"/>
      <w:marRight w:val="0"/>
      <w:marTop w:val="0"/>
      <w:marBottom w:val="0"/>
      <w:divBdr>
        <w:top w:val="none" w:sz="0" w:space="0" w:color="auto"/>
        <w:left w:val="none" w:sz="0" w:space="0" w:color="auto"/>
        <w:bottom w:val="none" w:sz="0" w:space="0" w:color="auto"/>
        <w:right w:val="none" w:sz="0" w:space="0" w:color="auto"/>
      </w:divBdr>
    </w:div>
    <w:div w:id="838236063">
      <w:bodyDiv w:val="1"/>
      <w:marLeft w:val="0"/>
      <w:marRight w:val="0"/>
      <w:marTop w:val="0"/>
      <w:marBottom w:val="0"/>
      <w:divBdr>
        <w:top w:val="none" w:sz="0" w:space="0" w:color="auto"/>
        <w:left w:val="none" w:sz="0" w:space="0" w:color="auto"/>
        <w:bottom w:val="none" w:sz="0" w:space="0" w:color="auto"/>
        <w:right w:val="none" w:sz="0" w:space="0" w:color="auto"/>
      </w:divBdr>
    </w:div>
    <w:div w:id="888079119">
      <w:bodyDiv w:val="1"/>
      <w:marLeft w:val="0"/>
      <w:marRight w:val="0"/>
      <w:marTop w:val="0"/>
      <w:marBottom w:val="0"/>
      <w:divBdr>
        <w:top w:val="none" w:sz="0" w:space="0" w:color="auto"/>
        <w:left w:val="none" w:sz="0" w:space="0" w:color="auto"/>
        <w:bottom w:val="none" w:sz="0" w:space="0" w:color="auto"/>
        <w:right w:val="none" w:sz="0" w:space="0" w:color="auto"/>
      </w:divBdr>
    </w:div>
    <w:div w:id="890380161">
      <w:bodyDiv w:val="1"/>
      <w:marLeft w:val="0"/>
      <w:marRight w:val="0"/>
      <w:marTop w:val="0"/>
      <w:marBottom w:val="0"/>
      <w:divBdr>
        <w:top w:val="none" w:sz="0" w:space="0" w:color="auto"/>
        <w:left w:val="none" w:sz="0" w:space="0" w:color="auto"/>
        <w:bottom w:val="none" w:sz="0" w:space="0" w:color="auto"/>
        <w:right w:val="none" w:sz="0" w:space="0" w:color="auto"/>
      </w:divBdr>
    </w:div>
    <w:div w:id="936212854">
      <w:bodyDiv w:val="1"/>
      <w:marLeft w:val="0"/>
      <w:marRight w:val="0"/>
      <w:marTop w:val="0"/>
      <w:marBottom w:val="0"/>
      <w:divBdr>
        <w:top w:val="none" w:sz="0" w:space="0" w:color="auto"/>
        <w:left w:val="none" w:sz="0" w:space="0" w:color="auto"/>
        <w:bottom w:val="none" w:sz="0" w:space="0" w:color="auto"/>
        <w:right w:val="none" w:sz="0" w:space="0" w:color="auto"/>
      </w:divBdr>
    </w:div>
    <w:div w:id="978263433">
      <w:bodyDiv w:val="1"/>
      <w:marLeft w:val="0"/>
      <w:marRight w:val="0"/>
      <w:marTop w:val="0"/>
      <w:marBottom w:val="0"/>
      <w:divBdr>
        <w:top w:val="none" w:sz="0" w:space="0" w:color="auto"/>
        <w:left w:val="none" w:sz="0" w:space="0" w:color="auto"/>
        <w:bottom w:val="none" w:sz="0" w:space="0" w:color="auto"/>
        <w:right w:val="none" w:sz="0" w:space="0" w:color="auto"/>
      </w:divBdr>
    </w:div>
    <w:div w:id="979845775">
      <w:bodyDiv w:val="1"/>
      <w:marLeft w:val="0"/>
      <w:marRight w:val="0"/>
      <w:marTop w:val="0"/>
      <w:marBottom w:val="0"/>
      <w:divBdr>
        <w:top w:val="none" w:sz="0" w:space="0" w:color="auto"/>
        <w:left w:val="none" w:sz="0" w:space="0" w:color="auto"/>
        <w:bottom w:val="none" w:sz="0" w:space="0" w:color="auto"/>
        <w:right w:val="none" w:sz="0" w:space="0" w:color="auto"/>
      </w:divBdr>
    </w:div>
    <w:div w:id="985741140">
      <w:bodyDiv w:val="1"/>
      <w:marLeft w:val="0"/>
      <w:marRight w:val="0"/>
      <w:marTop w:val="0"/>
      <w:marBottom w:val="0"/>
      <w:divBdr>
        <w:top w:val="none" w:sz="0" w:space="0" w:color="auto"/>
        <w:left w:val="none" w:sz="0" w:space="0" w:color="auto"/>
        <w:bottom w:val="none" w:sz="0" w:space="0" w:color="auto"/>
        <w:right w:val="none" w:sz="0" w:space="0" w:color="auto"/>
      </w:divBdr>
    </w:div>
    <w:div w:id="997271505">
      <w:bodyDiv w:val="1"/>
      <w:marLeft w:val="0"/>
      <w:marRight w:val="0"/>
      <w:marTop w:val="0"/>
      <w:marBottom w:val="0"/>
      <w:divBdr>
        <w:top w:val="none" w:sz="0" w:space="0" w:color="auto"/>
        <w:left w:val="none" w:sz="0" w:space="0" w:color="auto"/>
        <w:bottom w:val="none" w:sz="0" w:space="0" w:color="auto"/>
        <w:right w:val="none" w:sz="0" w:space="0" w:color="auto"/>
      </w:divBdr>
    </w:div>
    <w:div w:id="1026372555">
      <w:bodyDiv w:val="1"/>
      <w:marLeft w:val="0"/>
      <w:marRight w:val="0"/>
      <w:marTop w:val="0"/>
      <w:marBottom w:val="0"/>
      <w:divBdr>
        <w:top w:val="none" w:sz="0" w:space="0" w:color="auto"/>
        <w:left w:val="none" w:sz="0" w:space="0" w:color="auto"/>
        <w:bottom w:val="none" w:sz="0" w:space="0" w:color="auto"/>
        <w:right w:val="none" w:sz="0" w:space="0" w:color="auto"/>
      </w:divBdr>
    </w:div>
    <w:div w:id="1053457369">
      <w:bodyDiv w:val="1"/>
      <w:marLeft w:val="0"/>
      <w:marRight w:val="0"/>
      <w:marTop w:val="0"/>
      <w:marBottom w:val="0"/>
      <w:divBdr>
        <w:top w:val="none" w:sz="0" w:space="0" w:color="auto"/>
        <w:left w:val="none" w:sz="0" w:space="0" w:color="auto"/>
        <w:bottom w:val="none" w:sz="0" w:space="0" w:color="auto"/>
        <w:right w:val="none" w:sz="0" w:space="0" w:color="auto"/>
      </w:divBdr>
    </w:div>
    <w:div w:id="1058824462">
      <w:bodyDiv w:val="1"/>
      <w:marLeft w:val="0"/>
      <w:marRight w:val="0"/>
      <w:marTop w:val="0"/>
      <w:marBottom w:val="0"/>
      <w:divBdr>
        <w:top w:val="none" w:sz="0" w:space="0" w:color="auto"/>
        <w:left w:val="none" w:sz="0" w:space="0" w:color="auto"/>
        <w:bottom w:val="none" w:sz="0" w:space="0" w:color="auto"/>
        <w:right w:val="none" w:sz="0" w:space="0" w:color="auto"/>
      </w:divBdr>
    </w:div>
    <w:div w:id="1078407863">
      <w:bodyDiv w:val="1"/>
      <w:marLeft w:val="0"/>
      <w:marRight w:val="0"/>
      <w:marTop w:val="0"/>
      <w:marBottom w:val="0"/>
      <w:divBdr>
        <w:top w:val="none" w:sz="0" w:space="0" w:color="auto"/>
        <w:left w:val="none" w:sz="0" w:space="0" w:color="auto"/>
        <w:bottom w:val="none" w:sz="0" w:space="0" w:color="auto"/>
        <w:right w:val="none" w:sz="0" w:space="0" w:color="auto"/>
      </w:divBdr>
    </w:div>
    <w:div w:id="1091009891">
      <w:bodyDiv w:val="1"/>
      <w:marLeft w:val="0"/>
      <w:marRight w:val="0"/>
      <w:marTop w:val="0"/>
      <w:marBottom w:val="0"/>
      <w:divBdr>
        <w:top w:val="none" w:sz="0" w:space="0" w:color="auto"/>
        <w:left w:val="none" w:sz="0" w:space="0" w:color="auto"/>
        <w:bottom w:val="none" w:sz="0" w:space="0" w:color="auto"/>
        <w:right w:val="none" w:sz="0" w:space="0" w:color="auto"/>
      </w:divBdr>
    </w:div>
    <w:div w:id="1102993277">
      <w:bodyDiv w:val="1"/>
      <w:marLeft w:val="0"/>
      <w:marRight w:val="0"/>
      <w:marTop w:val="0"/>
      <w:marBottom w:val="0"/>
      <w:divBdr>
        <w:top w:val="none" w:sz="0" w:space="0" w:color="auto"/>
        <w:left w:val="none" w:sz="0" w:space="0" w:color="auto"/>
        <w:bottom w:val="none" w:sz="0" w:space="0" w:color="auto"/>
        <w:right w:val="none" w:sz="0" w:space="0" w:color="auto"/>
      </w:divBdr>
    </w:div>
    <w:div w:id="1154220832">
      <w:bodyDiv w:val="1"/>
      <w:marLeft w:val="0"/>
      <w:marRight w:val="0"/>
      <w:marTop w:val="0"/>
      <w:marBottom w:val="0"/>
      <w:divBdr>
        <w:top w:val="none" w:sz="0" w:space="0" w:color="auto"/>
        <w:left w:val="none" w:sz="0" w:space="0" w:color="auto"/>
        <w:bottom w:val="none" w:sz="0" w:space="0" w:color="auto"/>
        <w:right w:val="none" w:sz="0" w:space="0" w:color="auto"/>
      </w:divBdr>
    </w:div>
    <w:div w:id="1160733548">
      <w:bodyDiv w:val="1"/>
      <w:marLeft w:val="0"/>
      <w:marRight w:val="0"/>
      <w:marTop w:val="0"/>
      <w:marBottom w:val="0"/>
      <w:divBdr>
        <w:top w:val="none" w:sz="0" w:space="0" w:color="auto"/>
        <w:left w:val="none" w:sz="0" w:space="0" w:color="auto"/>
        <w:bottom w:val="none" w:sz="0" w:space="0" w:color="auto"/>
        <w:right w:val="none" w:sz="0" w:space="0" w:color="auto"/>
      </w:divBdr>
    </w:div>
    <w:div w:id="1181817641">
      <w:bodyDiv w:val="1"/>
      <w:marLeft w:val="0"/>
      <w:marRight w:val="0"/>
      <w:marTop w:val="0"/>
      <w:marBottom w:val="0"/>
      <w:divBdr>
        <w:top w:val="none" w:sz="0" w:space="0" w:color="auto"/>
        <w:left w:val="none" w:sz="0" w:space="0" w:color="auto"/>
        <w:bottom w:val="none" w:sz="0" w:space="0" w:color="auto"/>
        <w:right w:val="none" w:sz="0" w:space="0" w:color="auto"/>
      </w:divBdr>
    </w:div>
    <w:div w:id="1186286539">
      <w:bodyDiv w:val="1"/>
      <w:marLeft w:val="0"/>
      <w:marRight w:val="0"/>
      <w:marTop w:val="0"/>
      <w:marBottom w:val="0"/>
      <w:divBdr>
        <w:top w:val="none" w:sz="0" w:space="0" w:color="auto"/>
        <w:left w:val="none" w:sz="0" w:space="0" w:color="auto"/>
        <w:bottom w:val="none" w:sz="0" w:space="0" w:color="auto"/>
        <w:right w:val="none" w:sz="0" w:space="0" w:color="auto"/>
      </w:divBdr>
    </w:div>
    <w:div w:id="1209755441">
      <w:bodyDiv w:val="1"/>
      <w:marLeft w:val="0"/>
      <w:marRight w:val="0"/>
      <w:marTop w:val="0"/>
      <w:marBottom w:val="0"/>
      <w:divBdr>
        <w:top w:val="none" w:sz="0" w:space="0" w:color="auto"/>
        <w:left w:val="none" w:sz="0" w:space="0" w:color="auto"/>
        <w:bottom w:val="none" w:sz="0" w:space="0" w:color="auto"/>
        <w:right w:val="none" w:sz="0" w:space="0" w:color="auto"/>
      </w:divBdr>
    </w:div>
    <w:div w:id="1235504439">
      <w:bodyDiv w:val="1"/>
      <w:marLeft w:val="0"/>
      <w:marRight w:val="0"/>
      <w:marTop w:val="0"/>
      <w:marBottom w:val="0"/>
      <w:divBdr>
        <w:top w:val="none" w:sz="0" w:space="0" w:color="auto"/>
        <w:left w:val="none" w:sz="0" w:space="0" w:color="auto"/>
        <w:bottom w:val="none" w:sz="0" w:space="0" w:color="auto"/>
        <w:right w:val="none" w:sz="0" w:space="0" w:color="auto"/>
      </w:divBdr>
    </w:div>
    <w:div w:id="1280336035">
      <w:bodyDiv w:val="1"/>
      <w:marLeft w:val="0"/>
      <w:marRight w:val="0"/>
      <w:marTop w:val="0"/>
      <w:marBottom w:val="0"/>
      <w:divBdr>
        <w:top w:val="none" w:sz="0" w:space="0" w:color="auto"/>
        <w:left w:val="none" w:sz="0" w:space="0" w:color="auto"/>
        <w:bottom w:val="none" w:sz="0" w:space="0" w:color="auto"/>
        <w:right w:val="none" w:sz="0" w:space="0" w:color="auto"/>
      </w:divBdr>
    </w:div>
    <w:div w:id="1286737266">
      <w:bodyDiv w:val="1"/>
      <w:marLeft w:val="0"/>
      <w:marRight w:val="0"/>
      <w:marTop w:val="0"/>
      <w:marBottom w:val="0"/>
      <w:divBdr>
        <w:top w:val="none" w:sz="0" w:space="0" w:color="auto"/>
        <w:left w:val="none" w:sz="0" w:space="0" w:color="auto"/>
        <w:bottom w:val="none" w:sz="0" w:space="0" w:color="auto"/>
        <w:right w:val="none" w:sz="0" w:space="0" w:color="auto"/>
      </w:divBdr>
    </w:div>
    <w:div w:id="1288388178">
      <w:bodyDiv w:val="1"/>
      <w:marLeft w:val="0"/>
      <w:marRight w:val="0"/>
      <w:marTop w:val="0"/>
      <w:marBottom w:val="0"/>
      <w:divBdr>
        <w:top w:val="none" w:sz="0" w:space="0" w:color="auto"/>
        <w:left w:val="none" w:sz="0" w:space="0" w:color="auto"/>
        <w:bottom w:val="none" w:sz="0" w:space="0" w:color="auto"/>
        <w:right w:val="none" w:sz="0" w:space="0" w:color="auto"/>
      </w:divBdr>
    </w:div>
    <w:div w:id="1296985673">
      <w:bodyDiv w:val="1"/>
      <w:marLeft w:val="0"/>
      <w:marRight w:val="0"/>
      <w:marTop w:val="0"/>
      <w:marBottom w:val="0"/>
      <w:divBdr>
        <w:top w:val="none" w:sz="0" w:space="0" w:color="auto"/>
        <w:left w:val="none" w:sz="0" w:space="0" w:color="auto"/>
        <w:bottom w:val="none" w:sz="0" w:space="0" w:color="auto"/>
        <w:right w:val="none" w:sz="0" w:space="0" w:color="auto"/>
      </w:divBdr>
    </w:div>
    <w:div w:id="1309627449">
      <w:bodyDiv w:val="1"/>
      <w:marLeft w:val="0"/>
      <w:marRight w:val="0"/>
      <w:marTop w:val="0"/>
      <w:marBottom w:val="0"/>
      <w:divBdr>
        <w:top w:val="none" w:sz="0" w:space="0" w:color="auto"/>
        <w:left w:val="none" w:sz="0" w:space="0" w:color="auto"/>
        <w:bottom w:val="none" w:sz="0" w:space="0" w:color="auto"/>
        <w:right w:val="none" w:sz="0" w:space="0" w:color="auto"/>
      </w:divBdr>
    </w:div>
    <w:div w:id="1367179116">
      <w:bodyDiv w:val="1"/>
      <w:marLeft w:val="0"/>
      <w:marRight w:val="0"/>
      <w:marTop w:val="0"/>
      <w:marBottom w:val="0"/>
      <w:divBdr>
        <w:top w:val="none" w:sz="0" w:space="0" w:color="auto"/>
        <w:left w:val="none" w:sz="0" w:space="0" w:color="auto"/>
        <w:bottom w:val="none" w:sz="0" w:space="0" w:color="auto"/>
        <w:right w:val="none" w:sz="0" w:space="0" w:color="auto"/>
      </w:divBdr>
    </w:div>
    <w:div w:id="1383820418">
      <w:bodyDiv w:val="1"/>
      <w:marLeft w:val="0"/>
      <w:marRight w:val="0"/>
      <w:marTop w:val="0"/>
      <w:marBottom w:val="0"/>
      <w:divBdr>
        <w:top w:val="none" w:sz="0" w:space="0" w:color="auto"/>
        <w:left w:val="none" w:sz="0" w:space="0" w:color="auto"/>
        <w:bottom w:val="none" w:sz="0" w:space="0" w:color="auto"/>
        <w:right w:val="none" w:sz="0" w:space="0" w:color="auto"/>
      </w:divBdr>
    </w:div>
    <w:div w:id="1394350555">
      <w:bodyDiv w:val="1"/>
      <w:marLeft w:val="0"/>
      <w:marRight w:val="0"/>
      <w:marTop w:val="0"/>
      <w:marBottom w:val="0"/>
      <w:divBdr>
        <w:top w:val="none" w:sz="0" w:space="0" w:color="auto"/>
        <w:left w:val="none" w:sz="0" w:space="0" w:color="auto"/>
        <w:bottom w:val="none" w:sz="0" w:space="0" w:color="auto"/>
        <w:right w:val="none" w:sz="0" w:space="0" w:color="auto"/>
      </w:divBdr>
    </w:div>
    <w:div w:id="1433548699">
      <w:bodyDiv w:val="1"/>
      <w:marLeft w:val="0"/>
      <w:marRight w:val="0"/>
      <w:marTop w:val="0"/>
      <w:marBottom w:val="0"/>
      <w:divBdr>
        <w:top w:val="none" w:sz="0" w:space="0" w:color="auto"/>
        <w:left w:val="none" w:sz="0" w:space="0" w:color="auto"/>
        <w:bottom w:val="none" w:sz="0" w:space="0" w:color="auto"/>
        <w:right w:val="none" w:sz="0" w:space="0" w:color="auto"/>
      </w:divBdr>
    </w:div>
    <w:div w:id="1434789279">
      <w:bodyDiv w:val="1"/>
      <w:marLeft w:val="0"/>
      <w:marRight w:val="0"/>
      <w:marTop w:val="0"/>
      <w:marBottom w:val="0"/>
      <w:divBdr>
        <w:top w:val="none" w:sz="0" w:space="0" w:color="auto"/>
        <w:left w:val="none" w:sz="0" w:space="0" w:color="auto"/>
        <w:bottom w:val="none" w:sz="0" w:space="0" w:color="auto"/>
        <w:right w:val="none" w:sz="0" w:space="0" w:color="auto"/>
      </w:divBdr>
    </w:div>
    <w:div w:id="1459834091">
      <w:bodyDiv w:val="1"/>
      <w:marLeft w:val="0"/>
      <w:marRight w:val="0"/>
      <w:marTop w:val="0"/>
      <w:marBottom w:val="0"/>
      <w:divBdr>
        <w:top w:val="none" w:sz="0" w:space="0" w:color="auto"/>
        <w:left w:val="none" w:sz="0" w:space="0" w:color="auto"/>
        <w:bottom w:val="none" w:sz="0" w:space="0" w:color="auto"/>
        <w:right w:val="none" w:sz="0" w:space="0" w:color="auto"/>
      </w:divBdr>
    </w:div>
    <w:div w:id="1469934924">
      <w:bodyDiv w:val="1"/>
      <w:marLeft w:val="0"/>
      <w:marRight w:val="0"/>
      <w:marTop w:val="0"/>
      <w:marBottom w:val="0"/>
      <w:divBdr>
        <w:top w:val="none" w:sz="0" w:space="0" w:color="auto"/>
        <w:left w:val="none" w:sz="0" w:space="0" w:color="auto"/>
        <w:bottom w:val="none" w:sz="0" w:space="0" w:color="auto"/>
        <w:right w:val="none" w:sz="0" w:space="0" w:color="auto"/>
      </w:divBdr>
    </w:div>
    <w:div w:id="1513688708">
      <w:bodyDiv w:val="1"/>
      <w:marLeft w:val="0"/>
      <w:marRight w:val="0"/>
      <w:marTop w:val="0"/>
      <w:marBottom w:val="0"/>
      <w:divBdr>
        <w:top w:val="none" w:sz="0" w:space="0" w:color="auto"/>
        <w:left w:val="none" w:sz="0" w:space="0" w:color="auto"/>
        <w:bottom w:val="none" w:sz="0" w:space="0" w:color="auto"/>
        <w:right w:val="none" w:sz="0" w:space="0" w:color="auto"/>
      </w:divBdr>
    </w:div>
    <w:div w:id="1530101315">
      <w:bodyDiv w:val="1"/>
      <w:marLeft w:val="0"/>
      <w:marRight w:val="0"/>
      <w:marTop w:val="0"/>
      <w:marBottom w:val="0"/>
      <w:divBdr>
        <w:top w:val="none" w:sz="0" w:space="0" w:color="auto"/>
        <w:left w:val="none" w:sz="0" w:space="0" w:color="auto"/>
        <w:bottom w:val="none" w:sz="0" w:space="0" w:color="auto"/>
        <w:right w:val="none" w:sz="0" w:space="0" w:color="auto"/>
      </w:divBdr>
    </w:div>
    <w:div w:id="1538086850">
      <w:bodyDiv w:val="1"/>
      <w:marLeft w:val="0"/>
      <w:marRight w:val="0"/>
      <w:marTop w:val="0"/>
      <w:marBottom w:val="0"/>
      <w:divBdr>
        <w:top w:val="none" w:sz="0" w:space="0" w:color="auto"/>
        <w:left w:val="none" w:sz="0" w:space="0" w:color="auto"/>
        <w:bottom w:val="none" w:sz="0" w:space="0" w:color="auto"/>
        <w:right w:val="none" w:sz="0" w:space="0" w:color="auto"/>
      </w:divBdr>
    </w:div>
    <w:div w:id="1543056572">
      <w:bodyDiv w:val="1"/>
      <w:marLeft w:val="0"/>
      <w:marRight w:val="0"/>
      <w:marTop w:val="0"/>
      <w:marBottom w:val="0"/>
      <w:divBdr>
        <w:top w:val="none" w:sz="0" w:space="0" w:color="auto"/>
        <w:left w:val="none" w:sz="0" w:space="0" w:color="auto"/>
        <w:bottom w:val="none" w:sz="0" w:space="0" w:color="auto"/>
        <w:right w:val="none" w:sz="0" w:space="0" w:color="auto"/>
      </w:divBdr>
    </w:div>
    <w:div w:id="1562012574">
      <w:bodyDiv w:val="1"/>
      <w:marLeft w:val="0"/>
      <w:marRight w:val="0"/>
      <w:marTop w:val="0"/>
      <w:marBottom w:val="0"/>
      <w:divBdr>
        <w:top w:val="none" w:sz="0" w:space="0" w:color="auto"/>
        <w:left w:val="none" w:sz="0" w:space="0" w:color="auto"/>
        <w:bottom w:val="none" w:sz="0" w:space="0" w:color="auto"/>
        <w:right w:val="none" w:sz="0" w:space="0" w:color="auto"/>
      </w:divBdr>
    </w:div>
    <w:div w:id="1585450039">
      <w:bodyDiv w:val="1"/>
      <w:marLeft w:val="0"/>
      <w:marRight w:val="0"/>
      <w:marTop w:val="0"/>
      <w:marBottom w:val="0"/>
      <w:divBdr>
        <w:top w:val="none" w:sz="0" w:space="0" w:color="auto"/>
        <w:left w:val="none" w:sz="0" w:space="0" w:color="auto"/>
        <w:bottom w:val="none" w:sz="0" w:space="0" w:color="auto"/>
        <w:right w:val="none" w:sz="0" w:space="0" w:color="auto"/>
      </w:divBdr>
    </w:div>
    <w:div w:id="1600870021">
      <w:bodyDiv w:val="1"/>
      <w:marLeft w:val="0"/>
      <w:marRight w:val="0"/>
      <w:marTop w:val="0"/>
      <w:marBottom w:val="0"/>
      <w:divBdr>
        <w:top w:val="none" w:sz="0" w:space="0" w:color="auto"/>
        <w:left w:val="none" w:sz="0" w:space="0" w:color="auto"/>
        <w:bottom w:val="none" w:sz="0" w:space="0" w:color="auto"/>
        <w:right w:val="none" w:sz="0" w:space="0" w:color="auto"/>
      </w:divBdr>
    </w:div>
    <w:div w:id="1702703323">
      <w:bodyDiv w:val="1"/>
      <w:marLeft w:val="0"/>
      <w:marRight w:val="0"/>
      <w:marTop w:val="0"/>
      <w:marBottom w:val="0"/>
      <w:divBdr>
        <w:top w:val="none" w:sz="0" w:space="0" w:color="auto"/>
        <w:left w:val="none" w:sz="0" w:space="0" w:color="auto"/>
        <w:bottom w:val="none" w:sz="0" w:space="0" w:color="auto"/>
        <w:right w:val="none" w:sz="0" w:space="0" w:color="auto"/>
      </w:divBdr>
    </w:div>
    <w:div w:id="1820415907">
      <w:bodyDiv w:val="1"/>
      <w:marLeft w:val="0"/>
      <w:marRight w:val="0"/>
      <w:marTop w:val="0"/>
      <w:marBottom w:val="0"/>
      <w:divBdr>
        <w:top w:val="none" w:sz="0" w:space="0" w:color="auto"/>
        <w:left w:val="none" w:sz="0" w:space="0" w:color="auto"/>
        <w:bottom w:val="none" w:sz="0" w:space="0" w:color="auto"/>
        <w:right w:val="none" w:sz="0" w:space="0" w:color="auto"/>
      </w:divBdr>
    </w:div>
    <w:div w:id="1838881975">
      <w:bodyDiv w:val="1"/>
      <w:marLeft w:val="0"/>
      <w:marRight w:val="0"/>
      <w:marTop w:val="0"/>
      <w:marBottom w:val="0"/>
      <w:divBdr>
        <w:top w:val="none" w:sz="0" w:space="0" w:color="auto"/>
        <w:left w:val="none" w:sz="0" w:space="0" w:color="auto"/>
        <w:bottom w:val="none" w:sz="0" w:space="0" w:color="auto"/>
        <w:right w:val="none" w:sz="0" w:space="0" w:color="auto"/>
      </w:divBdr>
    </w:div>
    <w:div w:id="1877548655">
      <w:bodyDiv w:val="1"/>
      <w:marLeft w:val="0"/>
      <w:marRight w:val="0"/>
      <w:marTop w:val="0"/>
      <w:marBottom w:val="0"/>
      <w:divBdr>
        <w:top w:val="none" w:sz="0" w:space="0" w:color="auto"/>
        <w:left w:val="none" w:sz="0" w:space="0" w:color="auto"/>
        <w:bottom w:val="none" w:sz="0" w:space="0" w:color="auto"/>
        <w:right w:val="none" w:sz="0" w:space="0" w:color="auto"/>
      </w:divBdr>
    </w:div>
    <w:div w:id="1897812676">
      <w:bodyDiv w:val="1"/>
      <w:marLeft w:val="0"/>
      <w:marRight w:val="0"/>
      <w:marTop w:val="0"/>
      <w:marBottom w:val="0"/>
      <w:divBdr>
        <w:top w:val="none" w:sz="0" w:space="0" w:color="auto"/>
        <w:left w:val="none" w:sz="0" w:space="0" w:color="auto"/>
        <w:bottom w:val="none" w:sz="0" w:space="0" w:color="auto"/>
        <w:right w:val="none" w:sz="0" w:space="0" w:color="auto"/>
      </w:divBdr>
      <w:divsChild>
        <w:div w:id="830368982">
          <w:marLeft w:val="0"/>
          <w:marRight w:val="0"/>
          <w:marTop w:val="0"/>
          <w:marBottom w:val="0"/>
          <w:divBdr>
            <w:top w:val="none" w:sz="0" w:space="0" w:color="auto"/>
            <w:left w:val="none" w:sz="0" w:space="0" w:color="auto"/>
            <w:bottom w:val="none" w:sz="0" w:space="0" w:color="auto"/>
            <w:right w:val="none" w:sz="0" w:space="0" w:color="auto"/>
          </w:divBdr>
          <w:divsChild>
            <w:div w:id="358704446">
              <w:marLeft w:val="0"/>
              <w:marRight w:val="0"/>
              <w:marTop w:val="0"/>
              <w:marBottom w:val="0"/>
              <w:divBdr>
                <w:top w:val="none" w:sz="0" w:space="0" w:color="auto"/>
                <w:left w:val="none" w:sz="0" w:space="0" w:color="auto"/>
                <w:bottom w:val="none" w:sz="0" w:space="0" w:color="auto"/>
                <w:right w:val="none" w:sz="0" w:space="0" w:color="auto"/>
              </w:divBdr>
            </w:div>
            <w:div w:id="668559986">
              <w:marLeft w:val="0"/>
              <w:marRight w:val="0"/>
              <w:marTop w:val="0"/>
              <w:marBottom w:val="0"/>
              <w:divBdr>
                <w:top w:val="none" w:sz="0" w:space="0" w:color="auto"/>
                <w:left w:val="none" w:sz="0" w:space="0" w:color="auto"/>
                <w:bottom w:val="none" w:sz="0" w:space="0" w:color="auto"/>
                <w:right w:val="none" w:sz="0" w:space="0" w:color="auto"/>
              </w:divBdr>
            </w:div>
            <w:div w:id="673268315">
              <w:marLeft w:val="0"/>
              <w:marRight w:val="0"/>
              <w:marTop w:val="0"/>
              <w:marBottom w:val="0"/>
              <w:divBdr>
                <w:top w:val="none" w:sz="0" w:space="0" w:color="auto"/>
                <w:left w:val="none" w:sz="0" w:space="0" w:color="auto"/>
                <w:bottom w:val="none" w:sz="0" w:space="0" w:color="auto"/>
                <w:right w:val="none" w:sz="0" w:space="0" w:color="auto"/>
              </w:divBdr>
            </w:div>
            <w:div w:id="773482264">
              <w:marLeft w:val="0"/>
              <w:marRight w:val="0"/>
              <w:marTop w:val="0"/>
              <w:marBottom w:val="0"/>
              <w:divBdr>
                <w:top w:val="none" w:sz="0" w:space="0" w:color="auto"/>
                <w:left w:val="none" w:sz="0" w:space="0" w:color="auto"/>
                <w:bottom w:val="none" w:sz="0" w:space="0" w:color="auto"/>
                <w:right w:val="none" w:sz="0" w:space="0" w:color="auto"/>
              </w:divBdr>
            </w:div>
            <w:div w:id="1682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4564">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9057148">
      <w:bodyDiv w:val="1"/>
      <w:marLeft w:val="0"/>
      <w:marRight w:val="0"/>
      <w:marTop w:val="0"/>
      <w:marBottom w:val="0"/>
      <w:divBdr>
        <w:top w:val="none" w:sz="0" w:space="0" w:color="auto"/>
        <w:left w:val="none" w:sz="0" w:space="0" w:color="auto"/>
        <w:bottom w:val="none" w:sz="0" w:space="0" w:color="auto"/>
        <w:right w:val="none" w:sz="0" w:space="0" w:color="auto"/>
      </w:divBdr>
    </w:div>
    <w:div w:id="1923832552">
      <w:bodyDiv w:val="1"/>
      <w:marLeft w:val="0"/>
      <w:marRight w:val="0"/>
      <w:marTop w:val="0"/>
      <w:marBottom w:val="0"/>
      <w:divBdr>
        <w:top w:val="none" w:sz="0" w:space="0" w:color="auto"/>
        <w:left w:val="none" w:sz="0" w:space="0" w:color="auto"/>
        <w:bottom w:val="none" w:sz="0" w:space="0" w:color="auto"/>
        <w:right w:val="none" w:sz="0" w:space="0" w:color="auto"/>
      </w:divBdr>
    </w:div>
    <w:div w:id="1925071321">
      <w:bodyDiv w:val="1"/>
      <w:marLeft w:val="0"/>
      <w:marRight w:val="0"/>
      <w:marTop w:val="0"/>
      <w:marBottom w:val="0"/>
      <w:divBdr>
        <w:top w:val="none" w:sz="0" w:space="0" w:color="auto"/>
        <w:left w:val="none" w:sz="0" w:space="0" w:color="auto"/>
        <w:bottom w:val="none" w:sz="0" w:space="0" w:color="auto"/>
        <w:right w:val="none" w:sz="0" w:space="0" w:color="auto"/>
      </w:divBdr>
    </w:div>
    <w:div w:id="1926916022">
      <w:bodyDiv w:val="1"/>
      <w:marLeft w:val="0"/>
      <w:marRight w:val="0"/>
      <w:marTop w:val="0"/>
      <w:marBottom w:val="0"/>
      <w:divBdr>
        <w:top w:val="none" w:sz="0" w:space="0" w:color="auto"/>
        <w:left w:val="none" w:sz="0" w:space="0" w:color="auto"/>
        <w:bottom w:val="none" w:sz="0" w:space="0" w:color="auto"/>
        <w:right w:val="none" w:sz="0" w:space="0" w:color="auto"/>
      </w:divBdr>
    </w:div>
    <w:div w:id="1928925457">
      <w:bodyDiv w:val="1"/>
      <w:marLeft w:val="0"/>
      <w:marRight w:val="0"/>
      <w:marTop w:val="0"/>
      <w:marBottom w:val="0"/>
      <w:divBdr>
        <w:top w:val="none" w:sz="0" w:space="0" w:color="auto"/>
        <w:left w:val="none" w:sz="0" w:space="0" w:color="auto"/>
        <w:bottom w:val="none" w:sz="0" w:space="0" w:color="auto"/>
        <w:right w:val="none" w:sz="0" w:space="0" w:color="auto"/>
      </w:divBdr>
    </w:div>
    <w:div w:id="1931154277">
      <w:bodyDiv w:val="1"/>
      <w:marLeft w:val="0"/>
      <w:marRight w:val="0"/>
      <w:marTop w:val="0"/>
      <w:marBottom w:val="0"/>
      <w:divBdr>
        <w:top w:val="none" w:sz="0" w:space="0" w:color="auto"/>
        <w:left w:val="none" w:sz="0" w:space="0" w:color="auto"/>
        <w:bottom w:val="none" w:sz="0" w:space="0" w:color="auto"/>
        <w:right w:val="none" w:sz="0" w:space="0" w:color="auto"/>
      </w:divBdr>
    </w:div>
    <w:div w:id="1950505694">
      <w:bodyDiv w:val="1"/>
      <w:marLeft w:val="0"/>
      <w:marRight w:val="0"/>
      <w:marTop w:val="0"/>
      <w:marBottom w:val="0"/>
      <w:divBdr>
        <w:top w:val="none" w:sz="0" w:space="0" w:color="auto"/>
        <w:left w:val="none" w:sz="0" w:space="0" w:color="auto"/>
        <w:bottom w:val="none" w:sz="0" w:space="0" w:color="auto"/>
        <w:right w:val="none" w:sz="0" w:space="0" w:color="auto"/>
      </w:divBdr>
    </w:div>
    <w:div w:id="1969165465">
      <w:bodyDiv w:val="1"/>
      <w:marLeft w:val="0"/>
      <w:marRight w:val="0"/>
      <w:marTop w:val="0"/>
      <w:marBottom w:val="0"/>
      <w:divBdr>
        <w:top w:val="none" w:sz="0" w:space="0" w:color="auto"/>
        <w:left w:val="none" w:sz="0" w:space="0" w:color="auto"/>
        <w:bottom w:val="none" w:sz="0" w:space="0" w:color="auto"/>
        <w:right w:val="none" w:sz="0" w:space="0" w:color="auto"/>
      </w:divBdr>
    </w:div>
    <w:div w:id="1970890299">
      <w:bodyDiv w:val="1"/>
      <w:marLeft w:val="0"/>
      <w:marRight w:val="0"/>
      <w:marTop w:val="0"/>
      <w:marBottom w:val="0"/>
      <w:divBdr>
        <w:top w:val="none" w:sz="0" w:space="0" w:color="auto"/>
        <w:left w:val="none" w:sz="0" w:space="0" w:color="auto"/>
        <w:bottom w:val="none" w:sz="0" w:space="0" w:color="auto"/>
        <w:right w:val="none" w:sz="0" w:space="0" w:color="auto"/>
      </w:divBdr>
    </w:div>
    <w:div w:id="1977369736">
      <w:bodyDiv w:val="1"/>
      <w:marLeft w:val="0"/>
      <w:marRight w:val="0"/>
      <w:marTop w:val="0"/>
      <w:marBottom w:val="0"/>
      <w:divBdr>
        <w:top w:val="none" w:sz="0" w:space="0" w:color="auto"/>
        <w:left w:val="none" w:sz="0" w:space="0" w:color="auto"/>
        <w:bottom w:val="none" w:sz="0" w:space="0" w:color="auto"/>
        <w:right w:val="none" w:sz="0" w:space="0" w:color="auto"/>
      </w:divBdr>
    </w:div>
    <w:div w:id="1984459474">
      <w:bodyDiv w:val="1"/>
      <w:marLeft w:val="0"/>
      <w:marRight w:val="0"/>
      <w:marTop w:val="0"/>
      <w:marBottom w:val="0"/>
      <w:divBdr>
        <w:top w:val="none" w:sz="0" w:space="0" w:color="auto"/>
        <w:left w:val="none" w:sz="0" w:space="0" w:color="auto"/>
        <w:bottom w:val="none" w:sz="0" w:space="0" w:color="auto"/>
        <w:right w:val="none" w:sz="0" w:space="0" w:color="auto"/>
      </w:divBdr>
    </w:div>
    <w:div w:id="2006935222">
      <w:bodyDiv w:val="1"/>
      <w:marLeft w:val="0"/>
      <w:marRight w:val="0"/>
      <w:marTop w:val="0"/>
      <w:marBottom w:val="0"/>
      <w:divBdr>
        <w:top w:val="none" w:sz="0" w:space="0" w:color="auto"/>
        <w:left w:val="none" w:sz="0" w:space="0" w:color="auto"/>
        <w:bottom w:val="none" w:sz="0" w:space="0" w:color="auto"/>
        <w:right w:val="none" w:sz="0" w:space="0" w:color="auto"/>
      </w:divBdr>
    </w:div>
    <w:div w:id="2050959333">
      <w:bodyDiv w:val="1"/>
      <w:marLeft w:val="0"/>
      <w:marRight w:val="0"/>
      <w:marTop w:val="0"/>
      <w:marBottom w:val="0"/>
      <w:divBdr>
        <w:top w:val="none" w:sz="0" w:space="0" w:color="auto"/>
        <w:left w:val="none" w:sz="0" w:space="0" w:color="auto"/>
        <w:bottom w:val="none" w:sz="0" w:space="0" w:color="auto"/>
        <w:right w:val="none" w:sz="0" w:space="0" w:color="auto"/>
      </w:divBdr>
    </w:div>
    <w:div w:id="2083411246">
      <w:bodyDiv w:val="1"/>
      <w:marLeft w:val="0"/>
      <w:marRight w:val="0"/>
      <w:marTop w:val="0"/>
      <w:marBottom w:val="0"/>
      <w:divBdr>
        <w:top w:val="none" w:sz="0" w:space="0" w:color="auto"/>
        <w:left w:val="none" w:sz="0" w:space="0" w:color="auto"/>
        <w:bottom w:val="none" w:sz="0" w:space="0" w:color="auto"/>
        <w:right w:val="none" w:sz="0" w:space="0" w:color="auto"/>
      </w:divBdr>
    </w:div>
    <w:div w:id="2108650101">
      <w:bodyDiv w:val="1"/>
      <w:marLeft w:val="0"/>
      <w:marRight w:val="0"/>
      <w:marTop w:val="0"/>
      <w:marBottom w:val="0"/>
      <w:divBdr>
        <w:top w:val="none" w:sz="0" w:space="0" w:color="auto"/>
        <w:left w:val="none" w:sz="0" w:space="0" w:color="auto"/>
        <w:bottom w:val="none" w:sz="0" w:space="0" w:color="auto"/>
        <w:right w:val="none" w:sz="0" w:space="0" w:color="auto"/>
      </w:divBdr>
    </w:div>
    <w:div w:id="2116245259">
      <w:bodyDiv w:val="1"/>
      <w:marLeft w:val="0"/>
      <w:marRight w:val="0"/>
      <w:marTop w:val="0"/>
      <w:marBottom w:val="0"/>
      <w:divBdr>
        <w:top w:val="none" w:sz="0" w:space="0" w:color="auto"/>
        <w:left w:val="none" w:sz="0" w:space="0" w:color="auto"/>
        <w:bottom w:val="none" w:sz="0" w:space="0" w:color="auto"/>
        <w:right w:val="none" w:sz="0" w:space="0" w:color="auto"/>
      </w:divBdr>
    </w:div>
    <w:div w:id="21407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121214-701E-473B-A81D-3B8A9BA854BD}"/>
</file>

<file path=customXml/itemProps2.xml><?xml version="1.0" encoding="utf-8"?>
<ds:datastoreItem xmlns:ds="http://schemas.openxmlformats.org/officeDocument/2006/customXml" ds:itemID="{CFA89922-7BBD-4E95-98E4-7AA67445AA7A}"/>
</file>

<file path=customXml/itemProps3.xml><?xml version="1.0" encoding="utf-8"?>
<ds:datastoreItem xmlns:ds="http://schemas.openxmlformats.org/officeDocument/2006/customXml" ds:itemID="{AF894CAF-190A-4E64-ABE3-E014040A03A4}"/>
</file>

<file path=docProps/app.xml><?xml version="1.0" encoding="utf-8"?>
<Properties xmlns="http://schemas.openxmlformats.org/officeDocument/2006/extended-properties" xmlns:vt="http://schemas.openxmlformats.org/officeDocument/2006/docPropsVTypes">
  <Template>Normal.dotm</Template>
  <TotalTime>0</TotalTime>
  <Pages>16</Pages>
  <Words>5469</Words>
  <Characters>31176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36572</CharactersWithSpaces>
  <SharedDoc>false</SharedDoc>
  <HLinks>
    <vt:vector size="102" baseType="variant">
      <vt:variant>
        <vt:i4>1572921</vt:i4>
      </vt:variant>
      <vt:variant>
        <vt:i4>98</vt:i4>
      </vt:variant>
      <vt:variant>
        <vt:i4>0</vt:i4>
      </vt:variant>
      <vt:variant>
        <vt:i4>5</vt:i4>
      </vt:variant>
      <vt:variant>
        <vt:lpwstr/>
      </vt:variant>
      <vt:variant>
        <vt:lpwstr>_Toc297297531</vt:lpwstr>
      </vt:variant>
      <vt:variant>
        <vt:i4>1572921</vt:i4>
      </vt:variant>
      <vt:variant>
        <vt:i4>92</vt:i4>
      </vt:variant>
      <vt:variant>
        <vt:i4>0</vt:i4>
      </vt:variant>
      <vt:variant>
        <vt:i4>5</vt:i4>
      </vt:variant>
      <vt:variant>
        <vt:lpwstr/>
      </vt:variant>
      <vt:variant>
        <vt:lpwstr>_Toc297297530</vt:lpwstr>
      </vt:variant>
      <vt:variant>
        <vt:i4>1638457</vt:i4>
      </vt:variant>
      <vt:variant>
        <vt:i4>86</vt:i4>
      </vt:variant>
      <vt:variant>
        <vt:i4>0</vt:i4>
      </vt:variant>
      <vt:variant>
        <vt:i4>5</vt:i4>
      </vt:variant>
      <vt:variant>
        <vt:lpwstr/>
      </vt:variant>
      <vt:variant>
        <vt:lpwstr>_Toc297297529</vt:lpwstr>
      </vt:variant>
      <vt:variant>
        <vt:i4>1638457</vt:i4>
      </vt:variant>
      <vt:variant>
        <vt:i4>80</vt:i4>
      </vt:variant>
      <vt:variant>
        <vt:i4>0</vt:i4>
      </vt:variant>
      <vt:variant>
        <vt:i4>5</vt:i4>
      </vt:variant>
      <vt:variant>
        <vt:lpwstr/>
      </vt:variant>
      <vt:variant>
        <vt:lpwstr>_Toc297297528</vt:lpwstr>
      </vt:variant>
      <vt:variant>
        <vt:i4>1638457</vt:i4>
      </vt:variant>
      <vt:variant>
        <vt:i4>74</vt:i4>
      </vt:variant>
      <vt:variant>
        <vt:i4>0</vt:i4>
      </vt:variant>
      <vt:variant>
        <vt:i4>5</vt:i4>
      </vt:variant>
      <vt:variant>
        <vt:lpwstr/>
      </vt:variant>
      <vt:variant>
        <vt:lpwstr>_Toc297297527</vt:lpwstr>
      </vt:variant>
      <vt:variant>
        <vt:i4>1638457</vt:i4>
      </vt:variant>
      <vt:variant>
        <vt:i4>68</vt:i4>
      </vt:variant>
      <vt:variant>
        <vt:i4>0</vt:i4>
      </vt:variant>
      <vt:variant>
        <vt:i4>5</vt:i4>
      </vt:variant>
      <vt:variant>
        <vt:lpwstr/>
      </vt:variant>
      <vt:variant>
        <vt:lpwstr>_Toc297297526</vt:lpwstr>
      </vt:variant>
      <vt:variant>
        <vt:i4>1638457</vt:i4>
      </vt:variant>
      <vt:variant>
        <vt:i4>62</vt:i4>
      </vt:variant>
      <vt:variant>
        <vt:i4>0</vt:i4>
      </vt:variant>
      <vt:variant>
        <vt:i4>5</vt:i4>
      </vt:variant>
      <vt:variant>
        <vt:lpwstr/>
      </vt:variant>
      <vt:variant>
        <vt:lpwstr>_Toc297297525</vt:lpwstr>
      </vt:variant>
      <vt:variant>
        <vt:i4>1638457</vt:i4>
      </vt:variant>
      <vt:variant>
        <vt:i4>56</vt:i4>
      </vt:variant>
      <vt:variant>
        <vt:i4>0</vt:i4>
      </vt:variant>
      <vt:variant>
        <vt:i4>5</vt:i4>
      </vt:variant>
      <vt:variant>
        <vt:lpwstr/>
      </vt:variant>
      <vt:variant>
        <vt:lpwstr>_Toc297297524</vt:lpwstr>
      </vt:variant>
      <vt:variant>
        <vt:i4>1638457</vt:i4>
      </vt:variant>
      <vt:variant>
        <vt:i4>50</vt:i4>
      </vt:variant>
      <vt:variant>
        <vt:i4>0</vt:i4>
      </vt:variant>
      <vt:variant>
        <vt:i4>5</vt:i4>
      </vt:variant>
      <vt:variant>
        <vt:lpwstr/>
      </vt:variant>
      <vt:variant>
        <vt:lpwstr>_Toc297297523</vt:lpwstr>
      </vt:variant>
      <vt:variant>
        <vt:i4>1638457</vt:i4>
      </vt:variant>
      <vt:variant>
        <vt:i4>44</vt:i4>
      </vt:variant>
      <vt:variant>
        <vt:i4>0</vt:i4>
      </vt:variant>
      <vt:variant>
        <vt:i4>5</vt:i4>
      </vt:variant>
      <vt:variant>
        <vt:lpwstr/>
      </vt:variant>
      <vt:variant>
        <vt:lpwstr>_Toc297297522</vt:lpwstr>
      </vt:variant>
      <vt:variant>
        <vt:i4>1638457</vt:i4>
      </vt:variant>
      <vt:variant>
        <vt:i4>38</vt:i4>
      </vt:variant>
      <vt:variant>
        <vt:i4>0</vt:i4>
      </vt:variant>
      <vt:variant>
        <vt:i4>5</vt:i4>
      </vt:variant>
      <vt:variant>
        <vt:lpwstr/>
      </vt:variant>
      <vt:variant>
        <vt:lpwstr>_Toc297297521</vt:lpwstr>
      </vt:variant>
      <vt:variant>
        <vt:i4>1638457</vt:i4>
      </vt:variant>
      <vt:variant>
        <vt:i4>32</vt:i4>
      </vt:variant>
      <vt:variant>
        <vt:i4>0</vt:i4>
      </vt:variant>
      <vt:variant>
        <vt:i4>5</vt:i4>
      </vt:variant>
      <vt:variant>
        <vt:lpwstr/>
      </vt:variant>
      <vt:variant>
        <vt:lpwstr>_Toc297297520</vt:lpwstr>
      </vt:variant>
      <vt:variant>
        <vt:i4>1703993</vt:i4>
      </vt:variant>
      <vt:variant>
        <vt:i4>26</vt:i4>
      </vt:variant>
      <vt:variant>
        <vt:i4>0</vt:i4>
      </vt:variant>
      <vt:variant>
        <vt:i4>5</vt:i4>
      </vt:variant>
      <vt:variant>
        <vt:lpwstr/>
      </vt:variant>
      <vt:variant>
        <vt:lpwstr>_Toc297297519</vt:lpwstr>
      </vt:variant>
      <vt:variant>
        <vt:i4>1703993</vt:i4>
      </vt:variant>
      <vt:variant>
        <vt:i4>20</vt:i4>
      </vt:variant>
      <vt:variant>
        <vt:i4>0</vt:i4>
      </vt:variant>
      <vt:variant>
        <vt:i4>5</vt:i4>
      </vt:variant>
      <vt:variant>
        <vt:lpwstr/>
      </vt:variant>
      <vt:variant>
        <vt:lpwstr>_Toc297297518</vt:lpwstr>
      </vt:variant>
      <vt:variant>
        <vt:i4>1703993</vt:i4>
      </vt:variant>
      <vt:variant>
        <vt:i4>14</vt:i4>
      </vt:variant>
      <vt:variant>
        <vt:i4>0</vt:i4>
      </vt:variant>
      <vt:variant>
        <vt:i4>5</vt:i4>
      </vt:variant>
      <vt:variant>
        <vt:lpwstr/>
      </vt:variant>
      <vt:variant>
        <vt:lpwstr>_Toc297297517</vt:lpwstr>
      </vt:variant>
      <vt:variant>
        <vt:i4>1703993</vt:i4>
      </vt:variant>
      <vt:variant>
        <vt:i4>8</vt:i4>
      </vt:variant>
      <vt:variant>
        <vt:i4>0</vt:i4>
      </vt:variant>
      <vt:variant>
        <vt:i4>5</vt:i4>
      </vt:variant>
      <vt:variant>
        <vt:lpwstr/>
      </vt:variant>
      <vt:variant>
        <vt:lpwstr>_Toc297297516</vt:lpwstr>
      </vt:variant>
      <vt:variant>
        <vt:i4>1703993</vt:i4>
      </vt:variant>
      <vt:variant>
        <vt:i4>2</vt:i4>
      </vt:variant>
      <vt:variant>
        <vt:i4>0</vt:i4>
      </vt:variant>
      <vt:variant>
        <vt:i4>5</vt:i4>
      </vt:variant>
      <vt:variant>
        <vt:lpwstr/>
      </vt:variant>
      <vt:variant>
        <vt:lpwstr>_Toc297297515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2012-09-26T01:15:00Z</dcterms:created>
  <dcterms:modified xsi:type="dcterms:W3CDTF">2012-09-26T01:15:00Z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26100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