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D12EB" w14:textId="27CE00CD" w:rsidR="00EB2758" w:rsidRPr="00EB2758" w:rsidRDefault="003E01F4" w:rsidP="00EB2758">
      <w:pPr>
        <w:pStyle w:val="Title"/>
        <w:rPr>
          <w:rFonts w:ascii="Arial" w:hAnsi="Arial" w:cs="Arial"/>
        </w:rPr>
      </w:pPr>
      <w:bookmarkStart w:id="0" w:name="_Hlk16412447"/>
      <w:bookmarkStart w:id="1" w:name="_GoBack"/>
      <w:bookmarkEnd w:id="1"/>
      <w:r w:rsidRPr="00EB2758">
        <w:rPr>
          <w:rFonts w:ascii="Arial" w:hAnsi="Arial" w:cs="Arial"/>
          <w:noProof/>
          <w:szCs w:val="28"/>
          <w:lang w:eastAsia="en-AU"/>
        </w:rPr>
        <w:drawing>
          <wp:anchor distT="0" distB="0" distL="114300" distR="114300" simplePos="0" relativeHeight="251659264" behindDoc="0" locked="0" layoutInCell="1" allowOverlap="1" wp14:anchorId="2AC8DC9A" wp14:editId="76C3D36A">
            <wp:simplePos x="0" y="0"/>
            <wp:positionH relativeFrom="margin">
              <wp:posOffset>3241</wp:posOffset>
            </wp:positionH>
            <wp:positionV relativeFrom="page">
              <wp:posOffset>545910</wp:posOffset>
            </wp:positionV>
            <wp:extent cx="3214800" cy="558000"/>
            <wp:effectExtent l="0" t="0" r="5080" b="0"/>
            <wp:wrapTopAndBottom/>
            <wp:docPr id="2" name="Picture 2" descr="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Arial" w:hAnsi="Arial" w:cs="Arial"/>
          </w:rPr>
          <w:id w:val="1802269070"/>
          <w:placeholder>
            <w:docPart w:val="4493F68BD254423A9C2D0FDCF1017DFB"/>
          </w:placeholder>
        </w:sdtPr>
        <w:sdtEndPr/>
        <w:sdtContent>
          <w:r w:rsidR="00760839">
            <w:rPr>
              <w:rFonts w:ascii="Arial" w:hAnsi="Arial" w:cs="Arial"/>
              <w:lang w:val="en-GB" w:eastAsia="en-AU"/>
            </w:rPr>
            <w:t>E</w:t>
          </w:r>
          <w:r w:rsidR="00760839" w:rsidRPr="00760839">
            <w:rPr>
              <w:rFonts w:ascii="Arial" w:hAnsi="Arial" w:cs="Arial"/>
              <w:lang w:val="en-GB" w:eastAsia="en-AU"/>
            </w:rPr>
            <w:t>nding violence against women and girls</w:t>
          </w:r>
          <w:r w:rsidR="00FC3D45">
            <w:rPr>
              <w:rFonts w:ascii="Arial" w:hAnsi="Arial" w:cs="Arial"/>
              <w:lang w:val="en-GB" w:eastAsia="en-AU"/>
            </w:rPr>
            <w:t xml:space="preserve">: </w:t>
          </w:r>
          <w:r w:rsidR="005A527D">
            <w:rPr>
              <w:rFonts w:ascii="Arial" w:hAnsi="Arial" w:cs="Arial"/>
              <w:lang w:val="en-GB" w:eastAsia="en-AU"/>
            </w:rPr>
            <w:t>Evaluating</w:t>
          </w:r>
          <w:r w:rsidR="00FC3D45">
            <w:rPr>
              <w:rFonts w:ascii="Arial" w:hAnsi="Arial" w:cs="Arial"/>
              <w:lang w:val="en-GB" w:eastAsia="en-AU"/>
            </w:rPr>
            <w:t xml:space="preserve"> </w:t>
          </w:r>
          <w:r w:rsidR="00AF48BA">
            <w:rPr>
              <w:rFonts w:ascii="Arial" w:hAnsi="Arial" w:cs="Arial"/>
              <w:lang w:val="en-GB" w:eastAsia="en-AU"/>
            </w:rPr>
            <w:t xml:space="preserve">a decade of </w:t>
          </w:r>
          <w:r w:rsidR="00FC3D45">
            <w:rPr>
              <w:rFonts w:ascii="Arial" w:hAnsi="Arial" w:cs="Arial"/>
              <w:lang w:val="en-GB" w:eastAsia="en-AU"/>
            </w:rPr>
            <w:t>Australia</w:t>
          </w:r>
          <w:r w:rsidR="00D60027">
            <w:rPr>
              <w:rFonts w:ascii="Arial" w:hAnsi="Arial" w:cs="Arial"/>
              <w:lang w:val="en-GB" w:eastAsia="en-AU"/>
            </w:rPr>
            <w:t>’s development assistance</w:t>
          </w:r>
        </w:sdtContent>
      </w:sdt>
    </w:p>
    <w:bookmarkEnd w:id="0"/>
    <w:p w14:paraId="218B9BD0" w14:textId="77B9AF2A" w:rsidR="00EB2758" w:rsidRPr="00B164EF" w:rsidRDefault="00A46FF6" w:rsidP="00EB2758">
      <w:pPr>
        <w:pStyle w:val="CoverSubtitle"/>
        <w:rPr>
          <w:rFonts w:ascii="Arial" w:hAnsi="Arial" w:cs="Arial"/>
          <w:sz w:val="40"/>
          <w:szCs w:val="40"/>
        </w:rPr>
      </w:pPr>
      <w:sdt>
        <w:sdtPr>
          <w:rPr>
            <w:rFonts w:ascii="Arial" w:hAnsi="Arial" w:cs="Arial"/>
            <w:sz w:val="40"/>
            <w:szCs w:val="40"/>
          </w:rPr>
          <w:id w:val="1500234751"/>
          <w:placeholder>
            <w:docPart w:val="538FBC1D3B454E418BF04FB49964F6D3"/>
          </w:placeholder>
        </w:sdtPr>
        <w:sdtEndPr/>
        <w:sdtContent>
          <w:r w:rsidR="00046D1C">
            <w:rPr>
              <w:rFonts w:ascii="Arial" w:hAnsi="Arial" w:cs="Arial"/>
              <w:sz w:val="40"/>
              <w:szCs w:val="40"/>
              <w:lang w:val="en-GB" w:eastAsia="en-GB"/>
            </w:rPr>
            <w:t xml:space="preserve">October </w:t>
          </w:r>
          <w:r w:rsidR="00EB2758" w:rsidRPr="00B164EF">
            <w:rPr>
              <w:rFonts w:ascii="Arial" w:hAnsi="Arial" w:cs="Arial"/>
              <w:sz w:val="40"/>
              <w:szCs w:val="40"/>
              <w:lang w:val="en-GB" w:eastAsia="en-GB"/>
            </w:rPr>
            <w:t>2019</w:t>
          </w:r>
        </w:sdtContent>
      </w:sdt>
    </w:p>
    <w:sdt>
      <w:sdtPr>
        <w:rPr>
          <w:rFonts w:ascii="Arial" w:hAnsi="Arial" w:cs="Arial"/>
          <w:sz w:val="40"/>
          <w:szCs w:val="40"/>
        </w:rPr>
        <w:id w:val="-1706177104"/>
        <w:placeholder>
          <w:docPart w:val="8637AD965E48405782E7C829427EF30B"/>
        </w:placeholder>
      </w:sdtPr>
      <w:sdtEndPr/>
      <w:sdtContent>
        <w:p w14:paraId="03E53742" w14:textId="77777777" w:rsidR="00EB2758" w:rsidRPr="00B164EF" w:rsidRDefault="00EB2758" w:rsidP="00EB2758">
          <w:pPr>
            <w:pStyle w:val="CoverSubtitle"/>
            <w:rPr>
              <w:rFonts w:ascii="Arial" w:hAnsi="Arial" w:cs="Arial"/>
              <w:sz w:val="40"/>
              <w:szCs w:val="40"/>
            </w:rPr>
          </w:pPr>
          <w:r w:rsidRPr="00B164EF">
            <w:rPr>
              <w:rFonts w:ascii="Arial" w:hAnsi="Arial" w:cs="Arial"/>
              <w:sz w:val="40"/>
              <w:szCs w:val="40"/>
              <w:lang w:val="en-GB" w:eastAsia="en-GB"/>
            </w:rPr>
            <w:t>OFFICE OF DEVELOPMENT EFFECTIVENESS</w:t>
          </w:r>
        </w:p>
      </w:sdtContent>
    </w:sdt>
    <w:p w14:paraId="0B859767" w14:textId="77777777" w:rsidR="00EB2758" w:rsidRPr="00D325E6" w:rsidRDefault="00EB2758" w:rsidP="00D325E6">
      <w:pPr>
        <w:rPr>
          <w:rFonts w:cs="Arial"/>
        </w:rPr>
      </w:pPr>
    </w:p>
    <w:p w14:paraId="1F0DF547" w14:textId="77777777" w:rsidR="003E01F4" w:rsidRPr="00EB2758" w:rsidRDefault="009C448F" w:rsidP="00EB2758">
      <w:pPr>
        <w:pStyle w:val="FootnoteText"/>
        <w:rPr>
          <w:rFonts w:cs="Arial"/>
        </w:rPr>
      </w:pPr>
      <w:r w:rsidRPr="00D325E6">
        <w:rPr>
          <w:rFonts w:cs="Arial"/>
          <w:noProof/>
          <w:lang w:eastAsia="en-AU"/>
        </w:rPr>
        <w:drawing>
          <wp:anchor distT="0" distB="0" distL="114300" distR="114300" simplePos="0" relativeHeight="251664384" behindDoc="0" locked="0" layoutInCell="1" allowOverlap="1" wp14:anchorId="519270AF" wp14:editId="79F9C80E">
            <wp:simplePos x="0" y="0"/>
            <wp:positionH relativeFrom="page">
              <wp:align>left</wp:align>
            </wp:positionH>
            <wp:positionV relativeFrom="page">
              <wp:posOffset>5415149</wp:posOffset>
            </wp:positionV>
            <wp:extent cx="7556024" cy="3923764"/>
            <wp:effectExtent l="0" t="0" r="6985"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024" cy="39237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758" w:rsidRPr="00EB2758">
        <w:rPr>
          <w:rFonts w:cs="Arial"/>
        </w:rPr>
        <w:t xml:space="preserve"> </w:t>
      </w:r>
      <w:r w:rsidR="00BD7B83" w:rsidRPr="00EB2758">
        <w:rPr>
          <w:rFonts w:cs="Arial"/>
        </w:rPr>
        <w:br w:type="page"/>
      </w:r>
      <w:r w:rsidR="003E01F4" w:rsidRPr="00EB2758">
        <w:rPr>
          <w:rFonts w:cs="Arial"/>
          <w:noProof/>
          <w:sz w:val="24"/>
          <w:szCs w:val="24"/>
          <w:lang w:eastAsia="en-AU"/>
        </w:rPr>
        <mc:AlternateContent>
          <mc:Choice Requires="wps">
            <w:drawing>
              <wp:anchor distT="0" distB="0" distL="114300" distR="114300" simplePos="0" relativeHeight="251661312" behindDoc="1" locked="0" layoutInCell="1" allowOverlap="1" wp14:anchorId="7E7CC328" wp14:editId="1357E253">
                <wp:simplePos x="0" y="0"/>
                <wp:positionH relativeFrom="page">
                  <wp:align>left</wp:align>
                </wp:positionH>
                <wp:positionV relativeFrom="page">
                  <wp:align>bottom</wp:align>
                </wp:positionV>
                <wp:extent cx="7560000" cy="626400"/>
                <wp:effectExtent l="0" t="0" r="3175" b="2540"/>
                <wp:wrapNone/>
                <wp:docPr id="4" name="Rectangle 4">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60000" cy="626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0D3BA8" w14:textId="77777777" w:rsidR="00FA1CE5" w:rsidRDefault="00FA1CE5" w:rsidP="003E01F4">
                            <w:pPr>
                              <w:pStyle w:val="Footer"/>
                            </w:pPr>
                            <w:r w:rsidRPr="00552167">
                              <w:rPr>
                                <w:sz w:val="24"/>
                                <w:szCs w:val="24"/>
                              </w:rPr>
                              <w:t>Office of Development Effectiveness</w:t>
                            </w:r>
                            <w:r>
                              <w:ptab w:relativeTo="margin" w:alignment="right" w:leader="none"/>
                            </w:r>
                            <w:r w:rsidRPr="00512776">
                              <w:t>www.dfat.gov.au/ode</w:t>
                            </w:r>
                          </w:p>
                        </w:txbxContent>
                      </wps:txbx>
                      <wps:bodyPr rot="0" spcFirstLastPara="0" vertOverflow="overflow" horzOverflow="overflow" vert="horz" wrap="square" lIns="720000" tIns="45720" rIns="72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7CC328" id="Rectangle 4" o:spid="_x0000_s1026" style="position:absolute;left:0;text-align:left;margin-left:0;margin-top:0;width:595.3pt;height:49.3pt;z-index:-2516551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" fillcolor="#d8dbda [3208]" stroked="f" strokeweight="2pt">
                <v:textbox inset="20mm,,20mm">
                  <w:txbxContent>
                    <w:p w14:paraId="3C0D3BA8" w14:textId="77777777" w:rsidR="00FA1CE5" w:rsidRDefault="00FA1CE5" w:rsidP="003E01F4">
                      <w:pPr>
                        <w:pStyle w:val="Footer"/>
                      </w:pPr>
                      <w:r w:rsidRPr="00552167">
                        <w:rPr>
                          <w:sz w:val="24"/>
                          <w:szCs w:val="24"/>
                        </w:rPr>
                        <w:t>Office of Development Effectiveness</w:t>
                      </w:r>
                      <w:r>
                        <w:ptab w:relativeTo="margin" w:alignment="right" w:leader="none"/>
                      </w:r>
                      <w:r w:rsidRPr="00512776">
                        <w:t>www.dfat.gov.au/ode</w:t>
                      </w:r>
                    </w:p>
                  </w:txbxContent>
                </v:textbox>
                <w10:wrap anchorx="page" anchory="page"/>
              </v:rect>
            </w:pict>
          </mc:Fallback>
        </mc:AlternateContent>
      </w:r>
    </w:p>
    <w:p w14:paraId="75877ABC" w14:textId="429A2723" w:rsidR="004A0966" w:rsidRPr="007C3A4C" w:rsidRDefault="004A0966" w:rsidP="007C3A4C">
      <w:pPr>
        <w:rPr>
          <w:rFonts w:cs="Arial"/>
        </w:rPr>
      </w:pPr>
      <w:r w:rsidRPr="007C3A4C">
        <w:rPr>
          <w:rFonts w:cs="Arial"/>
        </w:rPr>
        <w:lastRenderedPageBreak/>
        <w:t xml:space="preserve">© Commonwealth of Australia </w:t>
      </w:r>
      <w:r w:rsidRPr="007C3A4C">
        <w:rPr>
          <w:rFonts w:cs="Arial"/>
        </w:rPr>
        <w:fldChar w:fldCharType="begin"/>
      </w:r>
      <w:r w:rsidRPr="007C3A4C">
        <w:rPr>
          <w:rFonts w:cs="Arial"/>
        </w:rPr>
        <w:instrText xml:space="preserve"> DATE  \@ "yyyy"  \* MERGEFORMAT </w:instrText>
      </w:r>
      <w:r w:rsidRPr="007C3A4C">
        <w:rPr>
          <w:rFonts w:cs="Arial"/>
        </w:rPr>
        <w:fldChar w:fldCharType="separate"/>
      </w:r>
      <w:r w:rsidR="00A46FF6">
        <w:rPr>
          <w:rFonts w:cs="Arial"/>
          <w:noProof/>
        </w:rPr>
        <w:t>2019</w:t>
      </w:r>
      <w:r w:rsidRPr="007C3A4C">
        <w:rPr>
          <w:rFonts w:cs="Arial"/>
        </w:rPr>
        <w:fldChar w:fldCharType="end"/>
      </w:r>
      <w:r w:rsidRPr="007C3A4C">
        <w:rPr>
          <w:rFonts w:cs="Arial"/>
        </w:rPr>
        <w:t xml:space="preserve"> ISBN </w:t>
      </w:r>
      <w:r w:rsidR="007C3A4C" w:rsidRPr="007C3A4C">
        <w:rPr>
          <w:rFonts w:cs="Arial"/>
          <w:lang w:val="en-GB" w:eastAsia="en-GB"/>
        </w:rPr>
        <w:t>978 0 6483308 3 7</w:t>
      </w:r>
    </w:p>
    <w:p w14:paraId="697C653F" w14:textId="77777777" w:rsidR="004A0966" w:rsidRPr="007C3A4C" w:rsidRDefault="004A0966" w:rsidP="007C3A4C">
      <w:pPr>
        <w:rPr>
          <w:rStyle w:val="Strong"/>
          <w:rFonts w:cs="Arial"/>
        </w:rPr>
      </w:pPr>
      <w:r w:rsidRPr="007C3A4C">
        <w:rPr>
          <w:rStyle w:val="Strong"/>
          <w:rFonts w:cs="Arial"/>
        </w:rPr>
        <w:t xml:space="preserve">Authors: </w:t>
      </w:r>
      <w:r w:rsidR="007C3A4C" w:rsidRPr="007C3A4C">
        <w:rPr>
          <w:rFonts w:cs="Arial"/>
        </w:rPr>
        <w:t>Mary Ellsberg, Emma Fulu, Xian Warner, Alina Potts, Deviyani Dixit and Chelsea Ullman</w:t>
      </w:r>
      <w:r w:rsidR="00B223A2">
        <w:rPr>
          <w:rFonts w:cs="Arial"/>
        </w:rPr>
        <w:t>.</w:t>
      </w:r>
    </w:p>
    <w:p w14:paraId="644511E7" w14:textId="6E8A4FE4" w:rsidR="004A0966" w:rsidRDefault="004A0966" w:rsidP="004A0966">
      <w:pPr>
        <w:rPr>
          <w:rFonts w:cs="Arial"/>
        </w:rPr>
      </w:pPr>
      <w:r w:rsidRPr="004A0966">
        <w:rPr>
          <w:rFonts w:cs="Arial"/>
        </w:rPr>
        <w:t>Published by the Department of Foreign Affairs and Trade</w:t>
      </w:r>
      <w:r w:rsidR="003104B3">
        <w:rPr>
          <w:rFonts w:cs="Arial"/>
        </w:rPr>
        <w:t xml:space="preserve"> (DFAT)</w:t>
      </w:r>
      <w:r w:rsidRPr="004A0966">
        <w:rPr>
          <w:rFonts w:cs="Arial"/>
        </w:rPr>
        <w:t xml:space="preserve">, Canberra, </w:t>
      </w:r>
      <w:r w:rsidRPr="004A0966">
        <w:rPr>
          <w:rFonts w:cs="Arial"/>
        </w:rPr>
        <w:fldChar w:fldCharType="begin"/>
      </w:r>
      <w:r w:rsidRPr="004A0966">
        <w:rPr>
          <w:rFonts w:cs="Arial"/>
        </w:rPr>
        <w:instrText xml:space="preserve"> DATE  \@ "yyyy"  \* MERGEFORMAT </w:instrText>
      </w:r>
      <w:r w:rsidRPr="004A0966">
        <w:rPr>
          <w:rFonts w:cs="Arial"/>
        </w:rPr>
        <w:fldChar w:fldCharType="separate"/>
      </w:r>
      <w:r w:rsidR="00A46FF6">
        <w:rPr>
          <w:rFonts w:cs="Arial"/>
          <w:noProof/>
        </w:rPr>
        <w:t>2019</w:t>
      </w:r>
      <w:r w:rsidRPr="004A0966">
        <w:rPr>
          <w:rFonts w:cs="Arial"/>
        </w:rPr>
        <w:fldChar w:fldCharType="end"/>
      </w:r>
      <w:r w:rsidRPr="004A0966">
        <w:rPr>
          <w:rFonts w:cs="Arial"/>
        </w:rPr>
        <w:t>.</w:t>
      </w:r>
    </w:p>
    <w:p w14:paraId="48CCB9F6" w14:textId="77777777" w:rsidR="007C3A4C" w:rsidRPr="007C3A4C" w:rsidRDefault="007C3A4C" w:rsidP="007C3A4C">
      <w:pPr>
        <w:rPr>
          <w:rFonts w:cs="Arial"/>
        </w:rPr>
      </w:pPr>
      <w:r w:rsidRPr="007C3A4C">
        <w:rPr>
          <w:rFonts w:cs="Arial"/>
          <w:lang w:val="en-GB" w:eastAsia="en-GB"/>
        </w:rPr>
        <w:t>This document is online at dfat.gov.au/ode</w:t>
      </w:r>
    </w:p>
    <w:p w14:paraId="7106F38C" w14:textId="77777777" w:rsidR="004A0966" w:rsidRDefault="004A0966" w:rsidP="004A0966">
      <w:pPr>
        <w:rPr>
          <w:rFonts w:cs="Arial"/>
        </w:rPr>
      </w:pPr>
      <w:r w:rsidRPr="004A0966">
        <w:rPr>
          <w:rStyle w:val="Strong"/>
          <w:rFonts w:cs="Arial"/>
        </w:rPr>
        <w:t>Disclaimer:</w:t>
      </w:r>
      <w:r w:rsidRPr="004A0966">
        <w:rPr>
          <w:rFonts w:cs="Arial"/>
        </w:rPr>
        <w:t xml:space="preserve"> The views contained in this report do not necessarily represent those of the Australian Government.</w:t>
      </w:r>
    </w:p>
    <w:p w14:paraId="2C26ACC6" w14:textId="33AB8001" w:rsidR="007C3A4C" w:rsidRPr="005B677B" w:rsidRDefault="007C3A4C" w:rsidP="00937123">
      <w:pPr>
        <w:rPr>
          <w:rFonts w:cs="Arial"/>
        </w:rPr>
      </w:pPr>
      <w:r w:rsidRPr="005B677B">
        <w:rPr>
          <w:lang w:val="en-GB" w:eastAsia="en-GB"/>
        </w:rPr>
        <w:t>With the exception of the Commonwealth Coat of Arms and where otherwise noted all material presented in this document is provided under a Creative Commons Attribution 3.0 Australia (</w:t>
      </w:r>
      <w:hyperlink r:id="rId10" w:history="1">
        <w:r w:rsidRPr="007C3A4C">
          <w:rPr>
            <w:rStyle w:val="Hyperlink"/>
          </w:rPr>
          <w:t>http://creativecommons.org/licenses/by/3.0/au/</w:t>
        </w:r>
      </w:hyperlink>
      <w:r w:rsidRPr="005B677B">
        <w:rPr>
          <w:lang w:val="en-GB" w:eastAsia="en-GB"/>
        </w:rPr>
        <w:t>) licence. The details of the relevant licence conditions are available on the Creative Commons website (accessible using the links provided) as is the full legal code for the CC BY 3.0 AU licence (</w:t>
      </w:r>
      <w:r w:rsidRPr="007C3A4C">
        <w:rPr>
          <w:rStyle w:val="Hyperlink"/>
        </w:rPr>
        <w:t>http://creativecommons.org/licenses/by/3.0/au/legalcode</w:t>
      </w:r>
      <w:r w:rsidRPr="005B677B">
        <w:rPr>
          <w:lang w:val="en-GB" w:eastAsia="en-GB"/>
        </w:rPr>
        <w:t>). The document must be attributed as Office of Development Effectiveness</w:t>
      </w:r>
      <w:r w:rsidR="001158AC" w:rsidRPr="005B677B">
        <w:rPr>
          <w:lang w:val="en-GB" w:eastAsia="en-GB"/>
        </w:rPr>
        <w:t xml:space="preserve"> (ODE)</w:t>
      </w:r>
      <w:r w:rsidRPr="005B677B">
        <w:rPr>
          <w:lang w:val="en-GB" w:eastAsia="en-GB"/>
        </w:rPr>
        <w:t xml:space="preserve">, </w:t>
      </w:r>
      <w:r w:rsidR="0019178A" w:rsidRPr="005B677B">
        <w:rPr>
          <w:lang w:val="en-GB" w:eastAsia="en-GB"/>
        </w:rPr>
        <w:t>‘</w:t>
      </w:r>
      <w:r w:rsidR="005248B2" w:rsidRPr="005B677B">
        <w:rPr>
          <w:rFonts w:cs="Arial"/>
          <w:lang w:val="en-GB" w:eastAsia="en-GB"/>
        </w:rPr>
        <w:t>Ending violence against women and girls: Evaluating a decade of Australia's development assistance</w:t>
      </w:r>
      <w:r w:rsidR="0019178A" w:rsidRPr="005B677B">
        <w:rPr>
          <w:rFonts w:cs="Arial"/>
          <w:lang w:val="en-GB" w:eastAsia="en-GB"/>
        </w:rPr>
        <w:t>’</w:t>
      </w:r>
      <w:r w:rsidRPr="005B677B">
        <w:rPr>
          <w:rFonts w:cs="Arial"/>
          <w:lang w:val="en-GB" w:eastAsia="en-GB"/>
        </w:rPr>
        <w:t xml:space="preserve">, Department of Foreign Affairs and Trade, Canberra, </w:t>
      </w:r>
      <w:r w:rsidRPr="005B677B">
        <w:rPr>
          <w:rFonts w:cs="Arial"/>
          <w:lang w:val="en-GB" w:eastAsia="en-GB"/>
        </w:rPr>
        <w:fldChar w:fldCharType="begin"/>
      </w:r>
      <w:r w:rsidRPr="005B677B">
        <w:rPr>
          <w:rFonts w:cs="Arial"/>
          <w:lang w:val="en-GB" w:eastAsia="en-GB"/>
        </w:rPr>
        <w:instrText xml:space="preserve"> DATE  \@ "yyyy"  \* MERGEFORMAT </w:instrText>
      </w:r>
      <w:r w:rsidRPr="005B677B">
        <w:rPr>
          <w:rFonts w:cs="Arial"/>
          <w:lang w:val="en-GB" w:eastAsia="en-GB"/>
        </w:rPr>
        <w:fldChar w:fldCharType="separate"/>
      </w:r>
      <w:r w:rsidR="00A46FF6">
        <w:rPr>
          <w:rFonts w:cs="Arial"/>
          <w:noProof/>
          <w:lang w:val="en-GB" w:eastAsia="en-GB"/>
        </w:rPr>
        <w:t>2019</w:t>
      </w:r>
      <w:r w:rsidRPr="005B677B">
        <w:rPr>
          <w:rFonts w:cs="Arial"/>
          <w:lang w:val="en-GB" w:eastAsia="en-GB"/>
        </w:rPr>
        <w:fldChar w:fldCharType="end"/>
      </w:r>
      <w:r w:rsidRPr="005B677B">
        <w:rPr>
          <w:rFonts w:cs="Arial"/>
          <w:lang w:val="en-GB" w:eastAsia="en-GB"/>
        </w:rPr>
        <w:t>.</w:t>
      </w:r>
    </w:p>
    <w:p w14:paraId="62BEF481" w14:textId="77777777" w:rsidR="004A0966" w:rsidRPr="004A0966" w:rsidRDefault="004A0966" w:rsidP="004A0966">
      <w:pPr>
        <w:rPr>
          <w:rFonts w:cs="Arial"/>
        </w:rPr>
      </w:pPr>
      <w:r w:rsidRPr="004A0966">
        <w:rPr>
          <w:rFonts w:cs="Arial"/>
        </w:rPr>
        <w:t>For further information, contact:</w:t>
      </w:r>
    </w:p>
    <w:p w14:paraId="52B6EB21" w14:textId="77777777" w:rsidR="004A0966" w:rsidRPr="004A0966" w:rsidRDefault="004A0966" w:rsidP="004A0966">
      <w:pPr>
        <w:pStyle w:val="NoSpacing"/>
        <w:rPr>
          <w:rFonts w:cs="Arial"/>
        </w:rPr>
      </w:pPr>
      <w:r w:rsidRPr="004A0966">
        <w:rPr>
          <w:rFonts w:cs="Arial"/>
        </w:rPr>
        <w:t>Office of Development Effectiveness</w:t>
      </w:r>
    </w:p>
    <w:p w14:paraId="4E672AE7" w14:textId="77777777" w:rsidR="004A0966" w:rsidRPr="004A0966" w:rsidRDefault="004A0966" w:rsidP="004A0966">
      <w:pPr>
        <w:pStyle w:val="NoSpacing"/>
        <w:rPr>
          <w:rFonts w:cs="Arial"/>
        </w:rPr>
      </w:pPr>
      <w:r w:rsidRPr="004A0966">
        <w:rPr>
          <w:rFonts w:cs="Arial"/>
        </w:rPr>
        <w:t xml:space="preserve">Department of Foreign Affairs and Trade </w:t>
      </w:r>
    </w:p>
    <w:p w14:paraId="66E5B88E" w14:textId="77777777" w:rsidR="004A0966" w:rsidRPr="004A0966" w:rsidRDefault="004A0966" w:rsidP="004A0966">
      <w:pPr>
        <w:pStyle w:val="NoSpacing"/>
        <w:rPr>
          <w:rFonts w:cs="Arial"/>
        </w:rPr>
      </w:pPr>
      <w:r w:rsidRPr="004A0966">
        <w:rPr>
          <w:rFonts w:cs="Arial"/>
        </w:rPr>
        <w:t>GPO Box 887</w:t>
      </w:r>
    </w:p>
    <w:p w14:paraId="15E61B38" w14:textId="77777777" w:rsidR="004A0966" w:rsidRPr="004A0966" w:rsidRDefault="004A0966" w:rsidP="004A0966">
      <w:pPr>
        <w:pStyle w:val="NoSpacing"/>
        <w:rPr>
          <w:rFonts w:cs="Arial"/>
        </w:rPr>
      </w:pPr>
      <w:r w:rsidRPr="004A0966">
        <w:rPr>
          <w:rFonts w:cs="Arial"/>
        </w:rPr>
        <w:t>Canberra ACT 2601</w:t>
      </w:r>
    </w:p>
    <w:p w14:paraId="37AF01F2" w14:textId="77777777" w:rsidR="004A0966" w:rsidRPr="004A0966" w:rsidRDefault="004A0966" w:rsidP="004A0966">
      <w:pPr>
        <w:pStyle w:val="NoSpacing"/>
        <w:rPr>
          <w:rFonts w:cs="Arial"/>
        </w:rPr>
      </w:pPr>
      <w:r w:rsidRPr="004A0966">
        <w:rPr>
          <w:rFonts w:cs="Arial"/>
        </w:rPr>
        <w:t xml:space="preserve">Phone </w:t>
      </w:r>
      <w:r w:rsidRPr="004A0966">
        <w:rPr>
          <w:rFonts w:cs="Arial"/>
        </w:rPr>
        <w:tab/>
      </w:r>
      <w:r w:rsidRPr="004A0966">
        <w:rPr>
          <w:rFonts w:cs="Arial"/>
        </w:rPr>
        <w:tab/>
        <w:t>(02) 6178 4000</w:t>
      </w:r>
    </w:p>
    <w:p w14:paraId="4FEA6925" w14:textId="77777777" w:rsidR="004A0966" w:rsidRPr="004A0966" w:rsidRDefault="004A0966" w:rsidP="004A0966">
      <w:pPr>
        <w:pStyle w:val="NoSpacing"/>
        <w:rPr>
          <w:rFonts w:cs="Arial"/>
        </w:rPr>
      </w:pPr>
      <w:r w:rsidRPr="004A0966">
        <w:rPr>
          <w:rFonts w:cs="Arial"/>
        </w:rPr>
        <w:t>Facsimile</w:t>
      </w:r>
      <w:r w:rsidRPr="004A0966">
        <w:rPr>
          <w:rFonts w:cs="Arial"/>
        </w:rPr>
        <w:tab/>
        <w:t>(02) 6178 6076</w:t>
      </w:r>
    </w:p>
    <w:p w14:paraId="6ED08E2D" w14:textId="77777777" w:rsidR="004A0966" w:rsidRPr="004A0966" w:rsidRDefault="004A0966" w:rsidP="004A0966">
      <w:pPr>
        <w:rPr>
          <w:rFonts w:cs="Arial"/>
        </w:rPr>
      </w:pPr>
      <w:r w:rsidRPr="004A0966">
        <w:rPr>
          <w:rFonts w:cs="Arial"/>
        </w:rPr>
        <w:t>Internet</w:t>
      </w:r>
      <w:r w:rsidRPr="004A0966">
        <w:rPr>
          <w:rFonts w:cs="Arial"/>
        </w:rPr>
        <w:tab/>
        <w:t>dfat.gov.au/ode</w:t>
      </w:r>
    </w:p>
    <w:p w14:paraId="51EB371A" w14:textId="5C008CE3" w:rsidR="004A0966" w:rsidRPr="004F7BE1" w:rsidRDefault="004A0966" w:rsidP="004A0966">
      <w:r w:rsidRPr="004A0966">
        <w:rPr>
          <w:rStyle w:val="Strong"/>
          <w:rFonts w:cs="Arial"/>
        </w:rPr>
        <w:t xml:space="preserve">Cover photo: </w:t>
      </w:r>
      <w:r w:rsidR="004F7BE1" w:rsidRPr="004F7BE1">
        <w:t>The Siara</w:t>
      </w:r>
      <w:r w:rsidR="005248B2">
        <w:t xml:space="preserve"> Women's G</w:t>
      </w:r>
      <w:r w:rsidR="004F7BE1" w:rsidRPr="004F7BE1">
        <w:t>roup and Women Human Rights Defenders perform a traditional sing-sing during the opening ceremony of the Bougainville Women</w:t>
      </w:r>
      <w:r w:rsidR="008811A7">
        <w:t>’s</w:t>
      </w:r>
      <w:r w:rsidR="004F7BE1" w:rsidRPr="004F7BE1">
        <w:t xml:space="preserve"> Human Rights Defenders Forum held in Siara Village, Central Province, Bougainville</w:t>
      </w:r>
      <w:r w:rsidR="00D130A5">
        <w:t>, PNG</w:t>
      </w:r>
      <w:r w:rsidR="00531465">
        <w:t>,</w:t>
      </w:r>
      <w:r w:rsidR="005248B2">
        <w:t xml:space="preserve"> </w:t>
      </w:r>
      <w:r w:rsidR="004F7BE1" w:rsidRPr="004F7BE1">
        <w:t xml:space="preserve">on 15 October 2018. The women used song to deliver their message of bringing peace to homes by ending violence against women. The </w:t>
      </w:r>
      <w:r w:rsidR="00E20CBF">
        <w:t>f</w:t>
      </w:r>
      <w:r w:rsidR="004F7BE1" w:rsidRPr="004F7BE1">
        <w:t xml:space="preserve">orum brought women together to strengthen their efforts to change harmful practices and beliefs to make communities safer for women and girls. </w:t>
      </w:r>
      <w:r w:rsidR="00E20CBF">
        <w:t>It</w:t>
      </w:r>
      <w:r w:rsidR="004F7BE1" w:rsidRPr="004F7BE1">
        <w:t xml:space="preserve"> was organised by the Nazareth Centre for Rehabilitation and the Women Human Rights Defenders with support from </w:t>
      </w:r>
      <w:r w:rsidR="00E20CBF">
        <w:t xml:space="preserve">the </w:t>
      </w:r>
      <w:r w:rsidR="004F7BE1" w:rsidRPr="004F7BE1">
        <w:t xml:space="preserve">International Women's Development Agency funded by Australia through Pacific Women Shaping Pacific Development. Photo credit: Catherine Fokes, International Women's Development Agency. </w:t>
      </w:r>
    </w:p>
    <w:p w14:paraId="47ADC9DF" w14:textId="5A5525AD" w:rsidR="004A0966" w:rsidRPr="00864F12" w:rsidRDefault="004A0966" w:rsidP="00864F12">
      <w:pPr>
        <w:rPr>
          <w:rStyle w:val="Strong"/>
        </w:rPr>
      </w:pPr>
      <w:r w:rsidRPr="00864F12">
        <w:rPr>
          <w:rStyle w:val="Strong"/>
        </w:rPr>
        <w:t>Office of Development Effectiveness</w:t>
      </w:r>
    </w:p>
    <w:p w14:paraId="7126394A" w14:textId="77777777" w:rsidR="001B2F96" w:rsidRPr="00864F12" w:rsidRDefault="00864F12" w:rsidP="00864F12">
      <w:pPr>
        <w:rPr>
          <w:rFonts w:cs="Arial"/>
        </w:rPr>
      </w:pPr>
      <w:r w:rsidRPr="00864F12">
        <w:rPr>
          <w:rFonts w:cs="Arial"/>
          <w:lang w:val="en-GB"/>
        </w:rPr>
        <w:t xml:space="preserve">ODE is a unit within </w:t>
      </w:r>
      <w:r w:rsidR="005248B2">
        <w:rPr>
          <w:rFonts w:cs="Arial"/>
          <w:lang w:val="en-GB"/>
        </w:rPr>
        <w:t>DFAT</w:t>
      </w:r>
      <w:r w:rsidRPr="00864F12">
        <w:rPr>
          <w:rFonts w:cs="Arial"/>
          <w:lang w:val="en-GB"/>
        </w:rPr>
        <w:t xml:space="preserve"> that monitors the quality and assesses the impact of the Australian aid program. ODE conducts independent evaluations of Australian aid and quality assures DFAT’s aid monitoring and performance systems and data. ODE also supports DFAT program areas to conduct evaluations. The Independent Evaluation Committee (IEC) oversees ODE’s work, providing independent expert advice on DFAT’s Aid Evaluation Policy, the annual Aid Evaluation Plan, ODE’s strategic evaluations, and ODE’s annual work plan and activities.</w:t>
      </w:r>
    </w:p>
    <w:p w14:paraId="6270BE72" w14:textId="77777777" w:rsidR="001B2F96" w:rsidRDefault="001B2F96" w:rsidP="00864F12">
      <w:pPr>
        <w:numPr>
          <w:ilvl w:val="0"/>
          <w:numId w:val="0"/>
        </w:numPr>
        <w:rPr>
          <w:rFonts w:asciiTheme="majorHAnsi" w:eastAsiaTheme="majorEastAsia" w:hAnsiTheme="majorHAnsi" w:cstheme="majorBidi"/>
          <w:color w:val="000000" w:themeColor="text1"/>
          <w:sz w:val="44"/>
          <w:szCs w:val="28"/>
          <w:lang w:val="en-GB" w:eastAsia="en-GB"/>
        </w:rPr>
      </w:pPr>
      <w:r>
        <w:rPr>
          <w:lang w:val="en-GB" w:eastAsia="en-GB"/>
        </w:rPr>
        <w:br w:type="page"/>
      </w:r>
    </w:p>
    <w:p w14:paraId="1A471147" w14:textId="77777777" w:rsidR="00A77DFA" w:rsidRPr="00A77DFA" w:rsidRDefault="00A77DFA" w:rsidP="00A77DFA">
      <w:pPr>
        <w:pStyle w:val="Heading1NoNumber"/>
        <w:rPr>
          <w:lang w:val="en-GB" w:eastAsia="en-GB"/>
        </w:rPr>
      </w:pPr>
      <w:bookmarkStart w:id="2" w:name="_Toc15378089"/>
      <w:bookmarkStart w:id="3" w:name="_Toc15378456"/>
      <w:bookmarkStart w:id="4" w:name="_Toc15562987"/>
      <w:bookmarkStart w:id="5" w:name="_Toc23434520"/>
      <w:r w:rsidRPr="00A77DFA">
        <w:rPr>
          <w:lang w:val="en-GB" w:eastAsia="en-GB"/>
        </w:rPr>
        <w:lastRenderedPageBreak/>
        <w:t>Foreword</w:t>
      </w:r>
      <w:bookmarkEnd w:id="2"/>
      <w:bookmarkEnd w:id="3"/>
      <w:bookmarkEnd w:id="4"/>
      <w:bookmarkEnd w:id="5"/>
    </w:p>
    <w:p w14:paraId="336E9FEB" w14:textId="77777777" w:rsidR="00CC585B" w:rsidRPr="00CC585B" w:rsidRDefault="00CC585B" w:rsidP="00CC585B">
      <w:pPr>
        <w:rPr>
          <w:rFonts w:cs="Arial"/>
          <w:lang w:val="en-GB" w:eastAsia="en-GB"/>
        </w:rPr>
      </w:pPr>
      <w:r w:rsidRPr="00CC585B">
        <w:rPr>
          <w:rFonts w:cs="Arial"/>
          <w:lang w:val="en-GB" w:eastAsia="en-GB"/>
        </w:rPr>
        <w:t xml:space="preserve">Violence against women and girls violates human rights, endangers lives and restricts women and girls from participating in economic and social life. It is a problem in developed and developing countries, costing the world billions of dollars per year in premature mortality, lost productivity, and health, social and legal costs. It is shocking that more than </w:t>
      </w:r>
      <w:r w:rsidR="00B223A2">
        <w:rPr>
          <w:rFonts w:cs="Arial"/>
          <w:lang w:val="en-GB" w:eastAsia="en-GB"/>
        </w:rPr>
        <w:t>one-</w:t>
      </w:r>
      <w:r w:rsidRPr="00CC585B">
        <w:rPr>
          <w:rFonts w:cs="Arial"/>
          <w:lang w:val="en-GB" w:eastAsia="en-GB"/>
        </w:rPr>
        <w:t xml:space="preserve">third of women and girls everywhere have experienced some form of violence at some time in their lives. </w:t>
      </w:r>
    </w:p>
    <w:p w14:paraId="35F9CD05" w14:textId="77777777" w:rsidR="00CC585B" w:rsidRPr="00CC585B" w:rsidRDefault="00CC585B" w:rsidP="00CC585B">
      <w:pPr>
        <w:rPr>
          <w:rFonts w:cs="Arial"/>
          <w:lang w:val="en-GB" w:eastAsia="en-GB"/>
        </w:rPr>
      </w:pPr>
      <w:r w:rsidRPr="00CC585B">
        <w:rPr>
          <w:rFonts w:cs="Arial"/>
          <w:lang w:val="en-GB" w:eastAsia="en-GB"/>
        </w:rPr>
        <w:t xml:space="preserve">In 2008, the </w:t>
      </w:r>
      <w:bookmarkStart w:id="6" w:name="_Hlk15891159"/>
      <w:r w:rsidRPr="00CC585B">
        <w:rPr>
          <w:rFonts w:cs="Arial"/>
          <w:lang w:val="en-GB" w:eastAsia="en-GB"/>
        </w:rPr>
        <w:t>Office of Development Effectiveness (ODE</w:t>
      </w:r>
      <w:bookmarkEnd w:id="6"/>
      <w:r w:rsidRPr="00CC585B">
        <w:rPr>
          <w:rFonts w:cs="Arial"/>
          <w:lang w:val="en-GB" w:eastAsia="en-GB"/>
        </w:rPr>
        <w:t xml:space="preserve">) published </w:t>
      </w:r>
      <w:r w:rsidRPr="005248B2">
        <w:rPr>
          <w:rFonts w:cs="Arial"/>
          <w:i/>
          <w:lang w:val="en-GB" w:eastAsia="en-GB"/>
        </w:rPr>
        <w:t xml:space="preserve">Violence </w:t>
      </w:r>
      <w:r w:rsidR="00174B49" w:rsidRPr="005248B2">
        <w:rPr>
          <w:rFonts w:cs="Arial"/>
          <w:i/>
          <w:lang w:val="en-GB" w:eastAsia="en-GB"/>
        </w:rPr>
        <w:t>A</w:t>
      </w:r>
      <w:r w:rsidRPr="00174B49">
        <w:rPr>
          <w:rFonts w:cs="Arial"/>
          <w:i/>
          <w:lang w:val="en-GB" w:eastAsia="en-GB"/>
        </w:rPr>
        <w:t xml:space="preserve">gainst </w:t>
      </w:r>
      <w:r w:rsidR="00174B49" w:rsidRPr="00174B49">
        <w:rPr>
          <w:rFonts w:cs="Arial"/>
          <w:i/>
          <w:lang w:val="en-GB" w:eastAsia="en-GB"/>
        </w:rPr>
        <w:t>W</w:t>
      </w:r>
      <w:r w:rsidRPr="005E588E">
        <w:rPr>
          <w:rFonts w:cs="Arial"/>
          <w:i/>
          <w:lang w:val="en-GB" w:eastAsia="en-GB"/>
        </w:rPr>
        <w:t xml:space="preserve">omen in Melanesia and </w:t>
      </w:r>
      <w:r w:rsidRPr="002D495E">
        <w:rPr>
          <w:rFonts w:cs="Arial"/>
          <w:i/>
          <w:lang w:val="en-GB" w:eastAsia="en-GB"/>
        </w:rPr>
        <w:t xml:space="preserve">East Timor: Building on </w:t>
      </w:r>
      <w:r w:rsidR="00174B49" w:rsidRPr="002D495E">
        <w:rPr>
          <w:rFonts w:cs="Arial"/>
          <w:i/>
          <w:lang w:val="en-GB" w:eastAsia="en-GB"/>
        </w:rPr>
        <w:t>G</w:t>
      </w:r>
      <w:r w:rsidRPr="002D495E">
        <w:rPr>
          <w:rFonts w:cs="Arial"/>
          <w:i/>
          <w:lang w:val="en-GB" w:eastAsia="en-GB"/>
        </w:rPr>
        <w:t xml:space="preserve">lobal and </w:t>
      </w:r>
      <w:r w:rsidR="00174B49" w:rsidRPr="0097278F">
        <w:rPr>
          <w:rFonts w:cs="Arial"/>
          <w:i/>
          <w:lang w:val="en-GB" w:eastAsia="en-GB"/>
        </w:rPr>
        <w:t>R</w:t>
      </w:r>
      <w:r w:rsidRPr="00F12BBB">
        <w:rPr>
          <w:rFonts w:cs="Arial"/>
          <w:i/>
          <w:lang w:val="en-GB" w:eastAsia="en-GB"/>
        </w:rPr>
        <w:t xml:space="preserve">egional </w:t>
      </w:r>
      <w:r w:rsidR="00174B49" w:rsidRPr="009A314A">
        <w:rPr>
          <w:rFonts w:cs="Arial"/>
          <w:i/>
          <w:lang w:val="en-GB" w:eastAsia="en-GB"/>
        </w:rPr>
        <w:t>P</w:t>
      </w:r>
      <w:r w:rsidRPr="009A314A">
        <w:rPr>
          <w:rFonts w:cs="Arial"/>
          <w:i/>
          <w:lang w:val="en-GB" w:eastAsia="en-GB"/>
        </w:rPr>
        <w:t xml:space="preserve">romising </w:t>
      </w:r>
      <w:r w:rsidR="00174B49" w:rsidRPr="009A314A">
        <w:rPr>
          <w:rFonts w:cs="Arial"/>
          <w:i/>
          <w:lang w:val="en-GB" w:eastAsia="en-GB"/>
        </w:rPr>
        <w:t>A</w:t>
      </w:r>
      <w:r w:rsidRPr="009A314A">
        <w:rPr>
          <w:rFonts w:cs="Arial"/>
          <w:i/>
          <w:lang w:val="en-GB" w:eastAsia="en-GB"/>
        </w:rPr>
        <w:t>pproaches</w:t>
      </w:r>
      <w:r w:rsidRPr="009A314A">
        <w:rPr>
          <w:rFonts w:cs="Arial"/>
          <w:lang w:val="en-GB" w:eastAsia="en-GB"/>
        </w:rPr>
        <w:t>. It wa</w:t>
      </w:r>
      <w:r w:rsidRPr="00CC585B">
        <w:rPr>
          <w:rFonts w:cs="Arial"/>
          <w:lang w:val="en-GB" w:eastAsia="en-GB"/>
        </w:rPr>
        <w:t>s ODE’s first major strategic evaluation. While it found good progress had been made, the report identified a major gap between public commitments to end violence and the daily experience of many women and girls.</w:t>
      </w:r>
    </w:p>
    <w:p w14:paraId="4B3AF9B4" w14:textId="77777777" w:rsidR="00CC585B" w:rsidRPr="00CC585B" w:rsidRDefault="00CC585B" w:rsidP="00CC585B">
      <w:pPr>
        <w:rPr>
          <w:rFonts w:cs="Arial"/>
          <w:lang w:val="en-GB" w:eastAsia="en-GB"/>
        </w:rPr>
      </w:pPr>
      <w:r w:rsidRPr="00CC585B">
        <w:rPr>
          <w:rFonts w:cs="Arial"/>
          <w:lang w:val="en-GB" w:eastAsia="en-GB"/>
        </w:rPr>
        <w:t>In this evaluation, ODE has found much that Australia and its partners can be proud of. There has been a significant increase in funding and support for a diverse range of programs to support women’s access to justice, services and—perhaps most importantly—to prevent violence from occurring in the first place</w:t>
      </w:r>
      <w:r w:rsidR="00E2253F">
        <w:rPr>
          <w:rFonts w:cs="Arial"/>
          <w:lang w:val="en-GB" w:eastAsia="en-GB"/>
        </w:rPr>
        <w:t xml:space="preserve">. </w:t>
      </w:r>
    </w:p>
    <w:p w14:paraId="308A53C5" w14:textId="77777777" w:rsidR="00CC585B" w:rsidRPr="00CC585B" w:rsidRDefault="00CC585B" w:rsidP="00CC585B">
      <w:pPr>
        <w:rPr>
          <w:rFonts w:cs="Arial"/>
          <w:lang w:val="en-GB" w:eastAsia="en-GB"/>
        </w:rPr>
      </w:pPr>
      <w:r w:rsidRPr="00CC585B">
        <w:rPr>
          <w:rFonts w:cs="Arial"/>
          <w:lang w:val="en-GB" w:eastAsia="en-GB"/>
        </w:rPr>
        <w:t>But th</w:t>
      </w:r>
      <w:r w:rsidR="00B223A2">
        <w:rPr>
          <w:rFonts w:cs="Arial"/>
          <w:lang w:val="en-GB" w:eastAsia="en-GB"/>
        </w:rPr>
        <w:t xml:space="preserve">is </w:t>
      </w:r>
      <w:r w:rsidRPr="00CC585B">
        <w:rPr>
          <w:rFonts w:cs="Arial"/>
          <w:lang w:val="en-GB" w:eastAsia="en-GB"/>
        </w:rPr>
        <w:t>e</w:t>
      </w:r>
      <w:r w:rsidR="00B223A2">
        <w:rPr>
          <w:rFonts w:cs="Arial"/>
          <w:lang w:val="en-GB" w:eastAsia="en-GB"/>
        </w:rPr>
        <w:t>valuation</w:t>
      </w:r>
      <w:r w:rsidRPr="00CC585B">
        <w:rPr>
          <w:rFonts w:cs="Arial"/>
          <w:lang w:val="en-GB" w:eastAsia="en-GB"/>
        </w:rPr>
        <w:t xml:space="preserve"> report also identifies weaknesses</w:t>
      </w:r>
      <w:r w:rsidR="00B223A2">
        <w:rPr>
          <w:rFonts w:cs="Arial"/>
          <w:lang w:val="en-GB" w:eastAsia="en-GB"/>
        </w:rPr>
        <w:t>. T</w:t>
      </w:r>
      <w:r w:rsidRPr="00CC585B">
        <w:rPr>
          <w:rFonts w:cs="Arial"/>
          <w:lang w:val="en-GB" w:eastAsia="en-GB"/>
        </w:rPr>
        <w:t xml:space="preserve">he quality of monitoring, evaluation and research has not kept pace with improved international standards and </w:t>
      </w:r>
      <w:r w:rsidR="00E20CBF">
        <w:rPr>
          <w:rFonts w:cs="Arial"/>
          <w:lang w:val="en-GB" w:eastAsia="en-GB"/>
        </w:rPr>
        <w:t>best</w:t>
      </w:r>
      <w:r w:rsidR="00E20CBF" w:rsidRPr="00CC585B">
        <w:rPr>
          <w:rFonts w:cs="Arial"/>
          <w:lang w:val="en-GB" w:eastAsia="en-GB"/>
        </w:rPr>
        <w:t xml:space="preserve"> </w:t>
      </w:r>
      <w:r w:rsidRPr="00CC585B">
        <w:rPr>
          <w:rFonts w:cs="Arial"/>
          <w:lang w:val="en-GB" w:eastAsia="en-GB"/>
        </w:rPr>
        <w:t xml:space="preserve">practice. This is something that must be addressed if the credibility of Australia’s next </w:t>
      </w:r>
      <w:r w:rsidR="00B223A2">
        <w:rPr>
          <w:rFonts w:cs="Arial"/>
          <w:lang w:val="en-GB" w:eastAsia="en-GB"/>
        </w:rPr>
        <w:t>10</w:t>
      </w:r>
      <w:r w:rsidR="00B223A2" w:rsidRPr="00CC585B">
        <w:rPr>
          <w:rFonts w:cs="Arial"/>
          <w:lang w:val="en-GB" w:eastAsia="en-GB"/>
        </w:rPr>
        <w:t xml:space="preserve"> </w:t>
      </w:r>
      <w:r w:rsidRPr="00CC585B">
        <w:rPr>
          <w:rFonts w:cs="Arial"/>
          <w:lang w:val="en-GB" w:eastAsia="en-GB"/>
        </w:rPr>
        <w:t>years o</w:t>
      </w:r>
      <w:r w:rsidRPr="00543598">
        <w:rPr>
          <w:rFonts w:cs="Arial"/>
          <w:lang w:val="en-GB" w:eastAsia="en-GB"/>
        </w:rPr>
        <w:t xml:space="preserve">f </w:t>
      </w:r>
      <w:r w:rsidRPr="005248B2">
        <w:rPr>
          <w:rFonts w:cs="Arial"/>
          <w:lang w:val="en-GB" w:eastAsia="en-GB"/>
        </w:rPr>
        <w:t>investment</w:t>
      </w:r>
      <w:r w:rsidRPr="00543598">
        <w:rPr>
          <w:rFonts w:cs="Arial"/>
          <w:lang w:val="en-GB" w:eastAsia="en-GB"/>
        </w:rPr>
        <w:t xml:space="preserve"> is to be</w:t>
      </w:r>
      <w:r w:rsidRPr="00CC585B">
        <w:rPr>
          <w:rFonts w:cs="Arial"/>
          <w:lang w:val="en-GB" w:eastAsia="en-GB"/>
        </w:rPr>
        <w:t xml:space="preserve"> maintained. </w:t>
      </w:r>
    </w:p>
    <w:p w14:paraId="45BC7D30" w14:textId="77777777" w:rsidR="00CC585B" w:rsidRPr="00CC585B" w:rsidRDefault="00CC585B" w:rsidP="00CC585B">
      <w:pPr>
        <w:rPr>
          <w:rFonts w:cs="Arial"/>
          <w:lang w:val="en-GB" w:eastAsia="en-GB"/>
        </w:rPr>
      </w:pPr>
      <w:r w:rsidRPr="00CC585B">
        <w:rPr>
          <w:rFonts w:cs="Arial"/>
          <w:lang w:val="en-GB" w:eastAsia="en-GB"/>
        </w:rPr>
        <w:t xml:space="preserve">It is fitting that this </w:t>
      </w:r>
      <w:r w:rsidR="00B223A2">
        <w:rPr>
          <w:rFonts w:cs="Arial"/>
          <w:lang w:val="en-GB" w:eastAsia="en-GB"/>
        </w:rPr>
        <w:t>10-</w:t>
      </w:r>
      <w:r w:rsidRPr="00CC585B">
        <w:rPr>
          <w:rFonts w:cs="Arial"/>
          <w:lang w:val="en-GB" w:eastAsia="en-GB"/>
        </w:rPr>
        <w:t>year follow-up to ODE’s first major strategic evaluation was my last as Chair of the Independent Evaluation Committee. I recommend th</w:t>
      </w:r>
      <w:r w:rsidR="00B223A2">
        <w:rPr>
          <w:rFonts w:cs="Arial"/>
          <w:lang w:val="en-GB" w:eastAsia="en-GB"/>
        </w:rPr>
        <w:t>at</w:t>
      </w:r>
      <w:r w:rsidRPr="00CC585B">
        <w:rPr>
          <w:rFonts w:cs="Arial"/>
          <w:lang w:val="en-GB" w:eastAsia="en-GB"/>
        </w:rPr>
        <w:t xml:space="preserve"> ODE does more of this work to assess the long</w:t>
      </w:r>
      <w:r w:rsidR="00B223A2">
        <w:rPr>
          <w:rFonts w:cs="Arial"/>
          <w:lang w:val="en-GB" w:eastAsia="en-GB"/>
        </w:rPr>
        <w:t>-</w:t>
      </w:r>
      <w:r w:rsidRPr="00CC585B">
        <w:rPr>
          <w:rFonts w:cs="Arial"/>
          <w:lang w:val="en-GB" w:eastAsia="en-GB"/>
        </w:rPr>
        <w:t xml:space="preserve">term impacts of Australian aid. </w:t>
      </w:r>
    </w:p>
    <w:p w14:paraId="6B1B855C" w14:textId="77777777" w:rsidR="00CC585B" w:rsidRPr="00CC585B" w:rsidRDefault="00CC585B" w:rsidP="00CC585B">
      <w:pPr>
        <w:rPr>
          <w:rFonts w:cs="Arial"/>
          <w:lang w:val="en-GB" w:eastAsia="en-GB"/>
        </w:rPr>
      </w:pPr>
      <w:r w:rsidRPr="00CC585B">
        <w:rPr>
          <w:rFonts w:cs="Arial"/>
          <w:lang w:val="en-GB" w:eastAsia="en-GB"/>
        </w:rPr>
        <w:t xml:space="preserve">I commend this report to the Australian Government to help drive future investments over the next </w:t>
      </w:r>
      <w:r w:rsidR="00B223A2">
        <w:rPr>
          <w:rFonts w:cs="Arial"/>
          <w:lang w:val="en-GB" w:eastAsia="en-GB"/>
        </w:rPr>
        <w:t>10</w:t>
      </w:r>
      <w:r w:rsidR="00B223A2" w:rsidRPr="00CC585B">
        <w:rPr>
          <w:rFonts w:cs="Arial"/>
          <w:lang w:val="en-GB" w:eastAsia="en-GB"/>
        </w:rPr>
        <w:t xml:space="preserve"> </w:t>
      </w:r>
      <w:r w:rsidRPr="00CC585B">
        <w:rPr>
          <w:rFonts w:cs="Arial"/>
          <w:lang w:val="en-GB" w:eastAsia="en-GB"/>
        </w:rPr>
        <w:t xml:space="preserve">years to end violence against women and girls. </w:t>
      </w:r>
    </w:p>
    <w:p w14:paraId="19D7FBFB" w14:textId="77777777" w:rsidR="00CC585B" w:rsidRDefault="00CC585B" w:rsidP="00B90815">
      <w:pPr>
        <w:rPr>
          <w:rFonts w:cs="Arial"/>
        </w:rPr>
      </w:pPr>
      <w:r w:rsidRPr="00CC585B">
        <w:rPr>
          <w:rFonts w:cs="Arial"/>
          <w:noProof/>
          <w:lang w:eastAsia="en-AU"/>
        </w:rPr>
        <w:drawing>
          <wp:inline distT="0" distB="0" distL="0" distR="0" wp14:anchorId="2D924951" wp14:editId="601386FC">
            <wp:extent cx="1027569" cy="1194767"/>
            <wp:effectExtent l="0" t="7303" r="0" b="0"/>
            <wp:docPr id="9" name="Picture 9" descr="Jim Ada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080837" cy="1256702"/>
                    </a:xfrm>
                    <a:prstGeom prst="rect">
                      <a:avLst/>
                    </a:prstGeom>
                    <a:noFill/>
                    <a:ln>
                      <a:noFill/>
                    </a:ln>
                  </pic:spPr>
                </pic:pic>
              </a:graphicData>
            </a:graphic>
          </wp:inline>
        </w:drawing>
      </w:r>
    </w:p>
    <w:p w14:paraId="0DEA92D8" w14:textId="77777777" w:rsidR="00B90815" w:rsidRPr="00B90815" w:rsidRDefault="00B90815" w:rsidP="00B90815">
      <w:pPr>
        <w:numPr>
          <w:ilvl w:val="0"/>
          <w:numId w:val="0"/>
        </w:numPr>
        <w:rPr>
          <w:rFonts w:cs="Arial"/>
        </w:rPr>
      </w:pPr>
    </w:p>
    <w:p w14:paraId="7B1026F5" w14:textId="77777777" w:rsidR="00A77DFA" w:rsidRPr="00A77DFA" w:rsidRDefault="00A77DFA" w:rsidP="004718D1">
      <w:pPr>
        <w:rPr>
          <w:lang w:val="en-GB" w:eastAsia="en-GB"/>
        </w:rPr>
      </w:pPr>
      <w:r w:rsidRPr="00A77DFA">
        <w:rPr>
          <w:b/>
        </w:rPr>
        <w:t>Jim Adams</w:t>
      </w:r>
      <w:r w:rsidRPr="00A77DFA">
        <w:rPr>
          <w:b/>
        </w:rPr>
        <w:br/>
      </w:r>
      <w:r w:rsidRPr="00A77DFA">
        <w:rPr>
          <w:lang w:val="en-GB" w:eastAsia="en-GB"/>
        </w:rPr>
        <w:t>Chair, Independent Evaluation Committee</w:t>
      </w:r>
    </w:p>
    <w:p w14:paraId="35B37193" w14:textId="77777777" w:rsidR="00A77DFA" w:rsidRPr="00A77DFA" w:rsidRDefault="00A77DFA" w:rsidP="00A77DFA">
      <w:pPr>
        <w:rPr>
          <w:rFonts w:eastAsia="Ubuntu Light" w:cs="Arial"/>
          <w:spacing w:val="-4"/>
          <w:szCs w:val="18"/>
          <w:lang w:val="en-GB" w:eastAsia="en-GB"/>
        </w:rPr>
      </w:pPr>
      <w:r w:rsidRPr="00A77DFA">
        <w:rPr>
          <w:rFonts w:cs="Arial"/>
          <w:lang w:val="en-GB" w:eastAsia="en-GB"/>
        </w:rPr>
        <w:br w:type="page"/>
      </w:r>
    </w:p>
    <w:p w14:paraId="4018F5E2" w14:textId="77777777" w:rsidR="00A77DFA" w:rsidRPr="00A77DFA" w:rsidRDefault="00A77DFA" w:rsidP="009D433A">
      <w:pPr>
        <w:pStyle w:val="Heading1NoNumber"/>
        <w:rPr>
          <w:lang w:val="en-GB" w:eastAsia="en-GB"/>
        </w:rPr>
      </w:pPr>
      <w:bookmarkStart w:id="7" w:name="_Toc501467384"/>
      <w:bookmarkStart w:id="8" w:name="_Toc501467445"/>
      <w:bookmarkStart w:id="9" w:name="_Toc505263397"/>
      <w:bookmarkStart w:id="10" w:name="_Toc15378090"/>
      <w:bookmarkStart w:id="11" w:name="_Toc15378457"/>
      <w:bookmarkStart w:id="12" w:name="_Toc23434521"/>
      <w:r w:rsidRPr="00A77DFA">
        <w:rPr>
          <w:lang w:val="en-GB" w:eastAsia="en-GB"/>
        </w:rPr>
        <w:lastRenderedPageBreak/>
        <w:t>Acknowledgements</w:t>
      </w:r>
      <w:bookmarkEnd w:id="7"/>
      <w:bookmarkEnd w:id="8"/>
      <w:bookmarkEnd w:id="9"/>
      <w:bookmarkEnd w:id="10"/>
      <w:bookmarkEnd w:id="11"/>
      <w:bookmarkEnd w:id="12"/>
    </w:p>
    <w:p w14:paraId="189DC502" w14:textId="77777777" w:rsidR="00543598" w:rsidRDefault="00720659" w:rsidP="00720659">
      <w:pPr>
        <w:rPr>
          <w:rFonts w:cs="Arial"/>
        </w:rPr>
      </w:pPr>
      <w:bookmarkStart w:id="13" w:name="_Hlk18585965"/>
      <w:r w:rsidRPr="00720659">
        <w:rPr>
          <w:rFonts w:cs="Arial"/>
        </w:rPr>
        <w:t xml:space="preserve">This evaluation was commissioned by the Office of Development Effectiveness (ODE) and conducted by the </w:t>
      </w:r>
      <w:bookmarkStart w:id="14" w:name="_Hlk15891371"/>
      <w:r w:rsidRPr="00720659">
        <w:rPr>
          <w:rFonts w:cs="Arial"/>
        </w:rPr>
        <w:t xml:space="preserve">Global Women's Institute (GWI) </w:t>
      </w:r>
      <w:bookmarkEnd w:id="14"/>
      <w:r w:rsidRPr="00720659">
        <w:rPr>
          <w:rFonts w:cs="Arial"/>
        </w:rPr>
        <w:t xml:space="preserve">at the George Washington University and the </w:t>
      </w:r>
      <w:bookmarkStart w:id="15" w:name="_Hlk15891385"/>
      <w:r w:rsidRPr="00720659">
        <w:rPr>
          <w:rFonts w:cs="Arial"/>
        </w:rPr>
        <w:t xml:space="preserve">Equality Institute </w:t>
      </w:r>
      <w:bookmarkEnd w:id="15"/>
      <w:r w:rsidRPr="00720659">
        <w:rPr>
          <w:rFonts w:cs="Arial"/>
        </w:rPr>
        <w:t xml:space="preserve">through Coffey International Development. </w:t>
      </w:r>
    </w:p>
    <w:p w14:paraId="779B9266" w14:textId="77777777" w:rsidR="00720659" w:rsidRPr="00720659" w:rsidRDefault="00B223A2" w:rsidP="00720659">
      <w:pPr>
        <w:rPr>
          <w:rFonts w:cs="Arial"/>
        </w:rPr>
      </w:pPr>
      <w:r>
        <w:rPr>
          <w:rFonts w:cs="Arial"/>
        </w:rPr>
        <w:t>E</w:t>
      </w:r>
      <w:r w:rsidR="00720659" w:rsidRPr="00720659">
        <w:rPr>
          <w:rFonts w:cs="Arial"/>
        </w:rPr>
        <w:t>valuation team leaders were Mary Ellsberg, Director of GWI</w:t>
      </w:r>
      <w:r>
        <w:rPr>
          <w:rFonts w:cs="Arial"/>
        </w:rPr>
        <w:t>,</w:t>
      </w:r>
      <w:r w:rsidR="00720659" w:rsidRPr="00720659">
        <w:rPr>
          <w:rFonts w:cs="Arial"/>
        </w:rPr>
        <w:t xml:space="preserve"> and Emma Fulu, Director of EQI. T</w:t>
      </w:r>
      <w:r>
        <w:rPr>
          <w:rFonts w:cs="Arial"/>
        </w:rPr>
        <w:t>eam</w:t>
      </w:r>
      <w:r w:rsidR="00720659" w:rsidRPr="00720659">
        <w:rPr>
          <w:rFonts w:cs="Arial"/>
        </w:rPr>
        <w:t xml:space="preserve"> members</w:t>
      </w:r>
      <w:r>
        <w:rPr>
          <w:rFonts w:cs="Arial"/>
        </w:rPr>
        <w:t xml:space="preserve"> </w:t>
      </w:r>
      <w:r w:rsidR="00720659" w:rsidRPr="00720659">
        <w:rPr>
          <w:rFonts w:cs="Arial"/>
        </w:rPr>
        <w:t>were Xian Warner (E</w:t>
      </w:r>
      <w:r w:rsidR="009A314A">
        <w:rPr>
          <w:rFonts w:cs="Arial"/>
        </w:rPr>
        <w:t>quality Institute</w:t>
      </w:r>
      <w:r w:rsidR="00720659" w:rsidRPr="00720659">
        <w:rPr>
          <w:rFonts w:cs="Arial"/>
        </w:rPr>
        <w:t>), Alina Potts (GWI), Deviyani Dixit (GWI), and Chelsea Ullman (GWI). Jennifer Noble and Caitlin Dixon</w:t>
      </w:r>
      <w:r>
        <w:rPr>
          <w:rFonts w:cs="Arial"/>
        </w:rPr>
        <w:t>, both from ODE,</w:t>
      </w:r>
      <w:r w:rsidR="00720659" w:rsidRPr="00720659">
        <w:rPr>
          <w:rFonts w:cs="Arial"/>
        </w:rPr>
        <w:t xml:space="preserve"> managed and participated in the evaluation, with assistance from Jacinta Overs</w:t>
      </w:r>
      <w:r w:rsidR="00031265">
        <w:rPr>
          <w:rFonts w:cs="Arial"/>
        </w:rPr>
        <w:t xml:space="preserve"> and Karen Ovington</w:t>
      </w:r>
      <w:r>
        <w:rPr>
          <w:rFonts w:cs="Arial"/>
        </w:rPr>
        <w:t>, also from ODE</w:t>
      </w:r>
      <w:r w:rsidR="00720659" w:rsidRPr="00720659">
        <w:rPr>
          <w:rFonts w:cs="Arial"/>
        </w:rPr>
        <w:t>. Unless referenced otherwise, infographics were developed by Scarlett Thorby-Lister</w:t>
      </w:r>
      <w:r w:rsidR="00A30C30">
        <w:rPr>
          <w:rFonts w:cs="Arial"/>
        </w:rPr>
        <w:t>.</w:t>
      </w:r>
      <w:r w:rsidR="00720659" w:rsidRPr="00720659">
        <w:rPr>
          <w:rFonts w:cs="Arial"/>
        </w:rPr>
        <w:t xml:space="preserve"> Additional assistance was provided by Skylar Wynn and Kristin Pinto of GWI.</w:t>
      </w:r>
    </w:p>
    <w:p w14:paraId="264C477F" w14:textId="4245B4C8" w:rsidR="00720659" w:rsidRPr="00720659" w:rsidRDefault="00720659" w:rsidP="00720659">
      <w:pPr>
        <w:rPr>
          <w:rFonts w:cs="Arial"/>
        </w:rPr>
      </w:pPr>
      <w:r w:rsidRPr="00720659">
        <w:rPr>
          <w:rFonts w:cs="Arial"/>
        </w:rPr>
        <w:t>The</w:t>
      </w:r>
      <w:r w:rsidR="006841AB">
        <w:rPr>
          <w:rFonts w:cs="Arial"/>
        </w:rPr>
        <w:t xml:space="preserve"> evaluation</w:t>
      </w:r>
      <w:r w:rsidRPr="00720659">
        <w:rPr>
          <w:rFonts w:cs="Arial"/>
        </w:rPr>
        <w:t xml:space="preserve"> team gratefully acknowledges the support of staff in the Gender Equality Branch, DFAT Canberra</w:t>
      </w:r>
      <w:r w:rsidR="00B223A2">
        <w:rPr>
          <w:rFonts w:cs="Arial"/>
        </w:rPr>
        <w:t>,</w:t>
      </w:r>
      <w:r w:rsidRPr="00720659">
        <w:rPr>
          <w:rFonts w:cs="Arial"/>
        </w:rPr>
        <w:t xml:space="preserve"> and staff at Australian </w:t>
      </w:r>
      <w:r w:rsidR="00D60027">
        <w:rPr>
          <w:rFonts w:cs="Arial"/>
        </w:rPr>
        <w:t>posts</w:t>
      </w:r>
      <w:r w:rsidR="00D60027" w:rsidRPr="00720659">
        <w:rPr>
          <w:rFonts w:cs="Arial"/>
        </w:rPr>
        <w:t xml:space="preserve"> </w:t>
      </w:r>
      <w:r w:rsidRPr="00720659">
        <w:rPr>
          <w:rFonts w:cs="Arial"/>
        </w:rPr>
        <w:t xml:space="preserve">in Fiji, </w:t>
      </w:r>
      <w:r w:rsidR="00B223A2">
        <w:rPr>
          <w:rFonts w:cs="Arial"/>
        </w:rPr>
        <w:t xml:space="preserve">Indonesia, Pakistan, </w:t>
      </w:r>
      <w:bookmarkStart w:id="16" w:name="_Hlk15891576"/>
      <w:r w:rsidRPr="00720659">
        <w:rPr>
          <w:rFonts w:cs="Arial"/>
        </w:rPr>
        <w:t>Papua New Guinea</w:t>
      </w:r>
      <w:r w:rsidR="00412D5C">
        <w:rPr>
          <w:rFonts w:cs="Arial"/>
        </w:rPr>
        <w:t xml:space="preserve"> (PNG)</w:t>
      </w:r>
      <w:r w:rsidRPr="00720659">
        <w:rPr>
          <w:rFonts w:cs="Arial"/>
        </w:rPr>
        <w:t xml:space="preserve">, </w:t>
      </w:r>
      <w:bookmarkEnd w:id="16"/>
      <w:r w:rsidRPr="00720659">
        <w:rPr>
          <w:rFonts w:cs="Arial"/>
        </w:rPr>
        <w:t>Solomon Islands, Timor-Leste</w:t>
      </w:r>
      <w:r w:rsidR="00B223A2">
        <w:rPr>
          <w:rFonts w:cs="Arial"/>
        </w:rPr>
        <w:t xml:space="preserve"> and</w:t>
      </w:r>
      <w:r w:rsidRPr="00720659">
        <w:rPr>
          <w:rFonts w:cs="Arial"/>
        </w:rPr>
        <w:t xml:space="preserve"> Vanuatu for input into the evaluation design</w:t>
      </w:r>
      <w:r w:rsidR="00B223A2">
        <w:rPr>
          <w:rFonts w:cs="Arial"/>
        </w:rPr>
        <w:t xml:space="preserve"> and</w:t>
      </w:r>
      <w:r w:rsidRPr="00720659">
        <w:rPr>
          <w:rFonts w:cs="Arial"/>
        </w:rPr>
        <w:t xml:space="preserve"> support </w:t>
      </w:r>
      <w:r w:rsidR="00B223A2">
        <w:rPr>
          <w:rFonts w:cs="Arial"/>
        </w:rPr>
        <w:t xml:space="preserve">for </w:t>
      </w:r>
      <w:r w:rsidRPr="00720659">
        <w:rPr>
          <w:rFonts w:cs="Arial"/>
        </w:rPr>
        <w:t xml:space="preserve">arranging field visits and </w:t>
      </w:r>
      <w:r w:rsidR="00B223A2">
        <w:rPr>
          <w:rFonts w:cs="Arial"/>
        </w:rPr>
        <w:t xml:space="preserve">providing </w:t>
      </w:r>
      <w:r w:rsidRPr="00720659">
        <w:rPr>
          <w:rFonts w:cs="Arial"/>
        </w:rPr>
        <w:t>supplementary information</w:t>
      </w:r>
      <w:r w:rsidR="00E2253F">
        <w:rPr>
          <w:rFonts w:cs="Arial"/>
        </w:rPr>
        <w:t xml:space="preserve">. </w:t>
      </w:r>
      <w:r w:rsidRPr="00720659">
        <w:rPr>
          <w:rFonts w:cs="Arial"/>
        </w:rPr>
        <w:t>In particular, thanks are due to Leaine Robinson and Nilesh Goundar (Suva Post), Chelsea Magini and Lucy Rhydwen-Marett (Port Moresby Post), Jemma Malcolm, Sophia Ata, David Futai, and Melissa Stutsel (Honiara Post), Erin Gleeson and Nivea Saldanha (Dili Post), Rebecca Devitt, Andini Mulyawati, Irene Insandjaja, Bram Marolop, Enda Pehulisa, and Tini Astuti (Jakarta Post), Wilma Vocor (Port Vila Post) and Najma Khan (Islamabad Post). Lawrencia Pirpir in PNG, Dulce Soares in Timor-Leste and Sakdiyah Ma'ruf and Sharon Widjaja in Indonesia provided translation support.</w:t>
      </w:r>
    </w:p>
    <w:p w14:paraId="575F911A" w14:textId="77777777" w:rsidR="004718D1" w:rsidRPr="00720659" w:rsidRDefault="00720659" w:rsidP="00720659">
      <w:pPr>
        <w:rPr>
          <w:rFonts w:cs="Arial"/>
          <w:lang w:val="en-GB" w:eastAsia="en-GB"/>
        </w:rPr>
      </w:pPr>
      <w:r w:rsidRPr="00720659">
        <w:rPr>
          <w:rFonts w:cs="Arial"/>
        </w:rPr>
        <w:t xml:space="preserve">Finally, the </w:t>
      </w:r>
      <w:r w:rsidR="006841AB">
        <w:rPr>
          <w:rFonts w:cs="Arial"/>
        </w:rPr>
        <w:t xml:space="preserve">evaluation </w:t>
      </w:r>
      <w:r w:rsidRPr="00720659">
        <w:rPr>
          <w:rFonts w:cs="Arial"/>
        </w:rPr>
        <w:t xml:space="preserve">team is especially grateful to the many individuals and organisations who took the time to meet, provide information and share their perspectives on the work being done to </w:t>
      </w:r>
      <w:bookmarkStart w:id="17" w:name="_Hlk15891627"/>
      <w:r w:rsidRPr="00720659">
        <w:rPr>
          <w:rFonts w:cs="Arial"/>
        </w:rPr>
        <w:t xml:space="preserve">end violence against women and girls </w:t>
      </w:r>
      <w:bookmarkEnd w:id="17"/>
      <w:r w:rsidRPr="00720659">
        <w:rPr>
          <w:rFonts w:cs="Arial"/>
        </w:rPr>
        <w:t xml:space="preserve">with Australian support. The </w:t>
      </w:r>
      <w:r w:rsidR="006841AB">
        <w:rPr>
          <w:rFonts w:cs="Arial"/>
        </w:rPr>
        <w:t xml:space="preserve">evaluation </w:t>
      </w:r>
      <w:r w:rsidRPr="00720659">
        <w:rPr>
          <w:rFonts w:cs="Arial"/>
        </w:rPr>
        <w:t xml:space="preserve">team hopes this report will make a useful contribution to future development assistance for </w:t>
      </w:r>
      <w:r w:rsidR="00543598">
        <w:rPr>
          <w:rFonts w:cs="Arial"/>
        </w:rPr>
        <w:t>ending violence against women and girls.</w:t>
      </w:r>
    </w:p>
    <w:p w14:paraId="084E749B" w14:textId="77777777" w:rsidR="009D433A" w:rsidRDefault="009D433A">
      <w:pPr>
        <w:numPr>
          <w:ilvl w:val="0"/>
          <w:numId w:val="0"/>
        </w:numPr>
        <w:rPr>
          <w:rFonts w:asciiTheme="majorHAnsi" w:eastAsiaTheme="majorEastAsia" w:hAnsiTheme="majorHAnsi" w:cstheme="majorBidi"/>
          <w:b/>
          <w:bCs/>
          <w:color w:val="000000" w:themeColor="text1"/>
          <w:sz w:val="44"/>
          <w:szCs w:val="28"/>
          <w:lang w:val="en-GB" w:eastAsia="en-GB"/>
        </w:rPr>
      </w:pPr>
      <w:bookmarkStart w:id="18" w:name="_Toc501467385"/>
      <w:bookmarkStart w:id="19" w:name="_Toc501467446"/>
      <w:bookmarkStart w:id="20" w:name="_Toc505263398"/>
      <w:bookmarkStart w:id="21" w:name="_Toc15378091"/>
      <w:bookmarkStart w:id="22" w:name="_Toc15378458"/>
      <w:bookmarkEnd w:id="13"/>
      <w:r>
        <w:rPr>
          <w:lang w:val="en-GB" w:eastAsia="en-GB"/>
        </w:rPr>
        <w:br w:type="page"/>
      </w:r>
    </w:p>
    <w:p w14:paraId="44DC0FD6" w14:textId="77777777" w:rsidR="00A77DFA" w:rsidRPr="00A77DFA" w:rsidRDefault="00A77DFA" w:rsidP="008C72F7">
      <w:pPr>
        <w:pStyle w:val="Heading1NoNumber"/>
        <w:rPr>
          <w:lang w:val="en-GB" w:eastAsia="en-GB"/>
        </w:rPr>
      </w:pPr>
      <w:bookmarkStart w:id="23" w:name="_Toc23434522"/>
      <w:r w:rsidRPr="008C72F7">
        <w:rPr>
          <w:lang w:val="en-GB" w:eastAsia="en-GB"/>
        </w:rPr>
        <w:t>Acronyms</w:t>
      </w:r>
      <w:r w:rsidRPr="00993A31">
        <w:rPr>
          <w:lang w:val="en-GB" w:eastAsia="en-GB"/>
        </w:rPr>
        <w:t xml:space="preserve"> and </w:t>
      </w:r>
      <w:r w:rsidR="004718D1" w:rsidRPr="00993A31">
        <w:rPr>
          <w:lang w:val="en-GB" w:eastAsia="en-GB"/>
        </w:rPr>
        <w:t>a</w:t>
      </w:r>
      <w:r w:rsidRPr="00993A31">
        <w:rPr>
          <w:lang w:val="en-GB" w:eastAsia="en-GB"/>
        </w:rPr>
        <w:t>bbreviations</w:t>
      </w:r>
      <w:bookmarkEnd w:id="18"/>
      <w:bookmarkEnd w:id="19"/>
      <w:bookmarkEnd w:id="20"/>
      <w:bookmarkEnd w:id="21"/>
      <w:bookmarkEnd w:id="22"/>
      <w:bookmarkEnd w:id="23"/>
    </w:p>
    <w:p w14:paraId="4958610E" w14:textId="77777777" w:rsidR="00720659" w:rsidRPr="00720659" w:rsidRDefault="00720659" w:rsidP="00720659">
      <w:pPr>
        <w:pStyle w:val="AcronymsTab"/>
      </w:pPr>
      <w:bookmarkStart w:id="24" w:name="_Hlk15891671"/>
      <w:r w:rsidRPr="00720659">
        <w:rPr>
          <w:b/>
        </w:rPr>
        <w:t>AFP</w:t>
      </w:r>
      <w:r w:rsidRPr="00720659">
        <w:tab/>
        <w:t>Australian Federal Police</w:t>
      </w:r>
    </w:p>
    <w:p w14:paraId="5E902788" w14:textId="77777777" w:rsidR="003F76AF" w:rsidRPr="00720659" w:rsidRDefault="003F76AF" w:rsidP="00720659">
      <w:pPr>
        <w:pStyle w:val="AcronymsTab"/>
      </w:pPr>
      <w:r>
        <w:rPr>
          <w:b/>
        </w:rPr>
        <w:t>AIDS</w:t>
      </w:r>
      <w:r>
        <w:rPr>
          <w:bCs/>
        </w:rPr>
        <w:tab/>
      </w:r>
      <w:r>
        <w:rPr>
          <w:rFonts w:cs="Arial"/>
          <w:color w:val="222222"/>
          <w:shd w:val="clear" w:color="auto" w:fill="FFFFFF"/>
        </w:rPr>
        <w:t>Acquired Immune Deficiency Syndrome</w:t>
      </w:r>
    </w:p>
    <w:p w14:paraId="5B497741" w14:textId="77777777" w:rsidR="00720659" w:rsidRPr="00720659" w:rsidRDefault="00720659" w:rsidP="00720659">
      <w:pPr>
        <w:pStyle w:val="AcronymsTab"/>
      </w:pPr>
      <w:r w:rsidRPr="00720659">
        <w:rPr>
          <w:b/>
        </w:rPr>
        <w:t>ASEAN</w:t>
      </w:r>
      <w:r w:rsidRPr="00720659">
        <w:tab/>
        <w:t>Association of Southeast Asian Nations</w:t>
      </w:r>
    </w:p>
    <w:p w14:paraId="2C70D334" w14:textId="77777777" w:rsidR="00720659" w:rsidRPr="00720659" w:rsidRDefault="00720659" w:rsidP="00720659">
      <w:pPr>
        <w:pStyle w:val="AcronymsTab"/>
      </w:pPr>
      <w:r w:rsidRPr="00720659">
        <w:rPr>
          <w:b/>
        </w:rPr>
        <w:t>AUD</w:t>
      </w:r>
      <w:r w:rsidRPr="00720659">
        <w:tab/>
        <w:t>Australian</w:t>
      </w:r>
      <w:r w:rsidR="004D6E65">
        <w:t xml:space="preserve"> d</w:t>
      </w:r>
      <w:r w:rsidRPr="00720659">
        <w:t>ollar</w:t>
      </w:r>
    </w:p>
    <w:p w14:paraId="7F633C84" w14:textId="77777777" w:rsidR="00720659" w:rsidRPr="00720659" w:rsidRDefault="00720659" w:rsidP="00720659">
      <w:pPr>
        <w:pStyle w:val="AcronymsTab"/>
      </w:pPr>
      <w:r w:rsidRPr="00720659">
        <w:rPr>
          <w:b/>
        </w:rPr>
        <w:t>CAVAW</w:t>
      </w:r>
      <w:r w:rsidRPr="00720659">
        <w:tab/>
        <w:t>Committee against Violence against Women</w:t>
      </w:r>
    </w:p>
    <w:p w14:paraId="1D1590DC" w14:textId="77777777" w:rsidR="00720659" w:rsidRDefault="00720659" w:rsidP="00720659">
      <w:pPr>
        <w:pStyle w:val="AcronymsTab"/>
      </w:pPr>
      <w:r w:rsidRPr="00720659">
        <w:rPr>
          <w:b/>
        </w:rPr>
        <w:t>CSO</w:t>
      </w:r>
      <w:r w:rsidRPr="00720659">
        <w:tab/>
        <w:t xml:space="preserve">Civil </w:t>
      </w:r>
      <w:r w:rsidR="004D6E65">
        <w:t>s</w:t>
      </w:r>
      <w:r w:rsidRPr="00720659">
        <w:t xml:space="preserve">ociety </w:t>
      </w:r>
      <w:r w:rsidR="004D6E65">
        <w:t>o</w:t>
      </w:r>
      <w:r w:rsidRPr="00720659">
        <w:t>rganisation</w:t>
      </w:r>
    </w:p>
    <w:p w14:paraId="5F6319F7" w14:textId="77777777" w:rsidR="00DC3E57" w:rsidRPr="00720659" w:rsidRDefault="00DC3E57" w:rsidP="00720659">
      <w:pPr>
        <w:pStyle w:val="AcronymsTab"/>
      </w:pPr>
      <w:r>
        <w:rPr>
          <w:b/>
        </w:rPr>
        <w:t>DFID</w:t>
      </w:r>
      <w:r>
        <w:rPr>
          <w:b/>
        </w:rPr>
        <w:tab/>
      </w:r>
      <w:r w:rsidRPr="009D433A">
        <w:t>Department for International Development</w:t>
      </w:r>
    </w:p>
    <w:p w14:paraId="77E814F5" w14:textId="37E334E3" w:rsidR="00720659" w:rsidRPr="00720659" w:rsidRDefault="00720659" w:rsidP="00720659">
      <w:pPr>
        <w:pStyle w:val="AcronymsTab"/>
      </w:pPr>
      <w:r w:rsidRPr="00720659">
        <w:rPr>
          <w:b/>
        </w:rPr>
        <w:t>DFAT</w:t>
      </w:r>
      <w:r w:rsidRPr="00720659">
        <w:tab/>
        <w:t>Department of Foreign Affairs and Trade</w:t>
      </w:r>
    </w:p>
    <w:p w14:paraId="1D79015A" w14:textId="77777777" w:rsidR="00720659" w:rsidRPr="00720659" w:rsidRDefault="00720659" w:rsidP="00720659">
      <w:pPr>
        <w:pStyle w:val="AcronymsTab"/>
      </w:pPr>
      <w:r w:rsidRPr="00720659">
        <w:rPr>
          <w:b/>
        </w:rPr>
        <w:t>EVAWG</w:t>
      </w:r>
      <w:r w:rsidRPr="00720659">
        <w:tab/>
        <w:t xml:space="preserve">Ending </w:t>
      </w:r>
      <w:r w:rsidR="004D6E65">
        <w:t>v</w:t>
      </w:r>
      <w:r w:rsidRPr="00720659">
        <w:t xml:space="preserve">iolence </w:t>
      </w:r>
      <w:r w:rsidR="004D6E65">
        <w:t>a</w:t>
      </w:r>
      <w:r w:rsidRPr="00720659">
        <w:t xml:space="preserve">gainst </w:t>
      </w:r>
      <w:r w:rsidR="004D6E65">
        <w:t>w</w:t>
      </w:r>
      <w:r w:rsidRPr="00720659">
        <w:t xml:space="preserve">omen and </w:t>
      </w:r>
      <w:r w:rsidR="004D6E65">
        <w:t>g</w:t>
      </w:r>
      <w:r w:rsidRPr="00720659">
        <w:t xml:space="preserve">irls </w:t>
      </w:r>
    </w:p>
    <w:p w14:paraId="4635A765" w14:textId="77777777" w:rsidR="00720659" w:rsidRPr="00720659" w:rsidRDefault="00720659" w:rsidP="00720659">
      <w:pPr>
        <w:pStyle w:val="AcronymsTab"/>
      </w:pPr>
      <w:r w:rsidRPr="00720659">
        <w:rPr>
          <w:b/>
        </w:rPr>
        <w:t>FSC</w:t>
      </w:r>
      <w:r w:rsidRPr="00720659">
        <w:tab/>
        <w:t>Family Support Centre</w:t>
      </w:r>
    </w:p>
    <w:p w14:paraId="1363B565" w14:textId="77777777" w:rsidR="00720659" w:rsidRPr="00720659" w:rsidRDefault="00720659" w:rsidP="00720659">
      <w:pPr>
        <w:pStyle w:val="AcronymsTab"/>
      </w:pPr>
      <w:r w:rsidRPr="00720659">
        <w:rPr>
          <w:b/>
        </w:rPr>
        <w:t>FSVAC</w:t>
      </w:r>
      <w:r w:rsidRPr="00720659">
        <w:tab/>
        <w:t>Family and Sexual Violence Action Committee</w:t>
      </w:r>
    </w:p>
    <w:p w14:paraId="7332A626" w14:textId="77777777" w:rsidR="00720659" w:rsidRPr="00720659" w:rsidRDefault="00720659" w:rsidP="00720659">
      <w:pPr>
        <w:pStyle w:val="AcronymsTab"/>
      </w:pPr>
      <w:r w:rsidRPr="00720659">
        <w:rPr>
          <w:b/>
        </w:rPr>
        <w:t>FSVU</w:t>
      </w:r>
      <w:r w:rsidRPr="00720659">
        <w:tab/>
        <w:t>Family and Sexual Violence Unit</w:t>
      </w:r>
    </w:p>
    <w:p w14:paraId="791D046D" w14:textId="77777777" w:rsidR="00720659" w:rsidRPr="00720659" w:rsidRDefault="00720659" w:rsidP="00720659">
      <w:pPr>
        <w:pStyle w:val="AcronymsTab"/>
      </w:pPr>
      <w:r w:rsidRPr="00720659">
        <w:rPr>
          <w:b/>
        </w:rPr>
        <w:t>FWCC</w:t>
      </w:r>
      <w:r w:rsidRPr="00720659">
        <w:tab/>
        <w:t>Fiji Women's Crisis Centre</w:t>
      </w:r>
    </w:p>
    <w:p w14:paraId="693FB6EA" w14:textId="77777777" w:rsidR="00720659" w:rsidRPr="000862AB" w:rsidRDefault="00720659" w:rsidP="00720659">
      <w:pPr>
        <w:pStyle w:val="AcronymsTab"/>
      </w:pPr>
      <w:r w:rsidRPr="000862AB">
        <w:rPr>
          <w:b/>
        </w:rPr>
        <w:t>GBV</w:t>
      </w:r>
      <w:r w:rsidRPr="000862AB">
        <w:tab/>
        <w:t>Gender</w:t>
      </w:r>
      <w:r w:rsidR="006B7082" w:rsidRPr="009D433A">
        <w:t>-b</w:t>
      </w:r>
      <w:r w:rsidRPr="000862AB">
        <w:t>ased Violence</w:t>
      </w:r>
    </w:p>
    <w:p w14:paraId="4C592FCF" w14:textId="77777777" w:rsidR="00720659" w:rsidRDefault="00720659" w:rsidP="00720659">
      <w:pPr>
        <w:pStyle w:val="AcronymsTab"/>
      </w:pPr>
      <w:r w:rsidRPr="00720659">
        <w:rPr>
          <w:b/>
        </w:rPr>
        <w:t>GWI</w:t>
      </w:r>
      <w:r w:rsidRPr="00720659">
        <w:tab/>
        <w:t>Global Women's Institute</w:t>
      </w:r>
    </w:p>
    <w:p w14:paraId="148BFB42" w14:textId="77777777" w:rsidR="003F76AF" w:rsidRPr="009D433A" w:rsidRDefault="003F76AF" w:rsidP="00720659">
      <w:pPr>
        <w:pStyle w:val="AcronymsTab"/>
      </w:pPr>
      <w:r>
        <w:rPr>
          <w:b/>
        </w:rPr>
        <w:t>HIV</w:t>
      </w:r>
      <w:r>
        <w:rPr>
          <w:b/>
        </w:rPr>
        <w:tab/>
      </w:r>
      <w:r>
        <w:rPr>
          <w:rFonts w:cs="Arial"/>
          <w:color w:val="222222"/>
          <w:shd w:val="clear" w:color="auto" w:fill="FFFFFF"/>
        </w:rPr>
        <w:t>Human Immunodeficiency Virus</w:t>
      </w:r>
    </w:p>
    <w:p w14:paraId="5932CB65" w14:textId="77777777" w:rsidR="004D6E65" w:rsidRPr="00720659" w:rsidRDefault="004D6E65" w:rsidP="00720659">
      <w:pPr>
        <w:pStyle w:val="AcronymsTab"/>
      </w:pPr>
      <w:r>
        <w:rPr>
          <w:b/>
        </w:rPr>
        <w:t>IPO</w:t>
      </w:r>
      <w:r>
        <w:rPr>
          <w:b/>
        </w:rPr>
        <w:tab/>
      </w:r>
      <w:r>
        <w:rPr>
          <w:bCs/>
        </w:rPr>
        <w:t>Interim protection order</w:t>
      </w:r>
    </w:p>
    <w:p w14:paraId="0CB1D948" w14:textId="77777777" w:rsidR="00720659" w:rsidRPr="00720659" w:rsidRDefault="00720659" w:rsidP="00720659">
      <w:pPr>
        <w:pStyle w:val="AcronymsTab"/>
      </w:pPr>
      <w:r w:rsidRPr="00720659">
        <w:rPr>
          <w:b/>
        </w:rPr>
        <w:t>IPV</w:t>
      </w:r>
      <w:r w:rsidRPr="00720659">
        <w:tab/>
        <w:t xml:space="preserve">Intimate </w:t>
      </w:r>
      <w:r w:rsidR="004D6E65">
        <w:t>p</w:t>
      </w:r>
      <w:r w:rsidRPr="00720659">
        <w:t xml:space="preserve">artner </w:t>
      </w:r>
      <w:r w:rsidR="004D6E65">
        <w:t>v</w:t>
      </w:r>
      <w:r w:rsidRPr="00720659">
        <w:t xml:space="preserve">iolence </w:t>
      </w:r>
    </w:p>
    <w:p w14:paraId="1A7E6940" w14:textId="77777777" w:rsidR="00720659" w:rsidRPr="00720659" w:rsidRDefault="00720659" w:rsidP="00720659">
      <w:pPr>
        <w:pStyle w:val="AcronymsTab"/>
      </w:pPr>
      <w:r w:rsidRPr="00720659">
        <w:rPr>
          <w:b/>
        </w:rPr>
        <w:t>M&amp;E</w:t>
      </w:r>
      <w:r w:rsidRPr="00720659">
        <w:tab/>
        <w:t>Monitoring and evaluation</w:t>
      </w:r>
    </w:p>
    <w:p w14:paraId="7E9885C0" w14:textId="77777777" w:rsidR="00720659" w:rsidRPr="00720659" w:rsidRDefault="00720659" w:rsidP="00720659">
      <w:pPr>
        <w:pStyle w:val="AcronymsTab"/>
      </w:pPr>
      <w:r w:rsidRPr="00720659">
        <w:rPr>
          <w:b/>
        </w:rPr>
        <w:t>MAMPU</w:t>
      </w:r>
      <w:r w:rsidRPr="00720659">
        <w:tab/>
      </w:r>
      <w:bookmarkStart w:id="25" w:name="_Hlk17819053"/>
      <w:r w:rsidRPr="00720659">
        <w:t>Australia</w:t>
      </w:r>
      <w:r w:rsidR="001158AC">
        <w:t>–</w:t>
      </w:r>
      <w:r w:rsidRPr="00720659">
        <w:t>Indonesia Partnership for Gender Equality and Women's Empowerment</w:t>
      </w:r>
    </w:p>
    <w:bookmarkEnd w:id="25"/>
    <w:p w14:paraId="3C501E39" w14:textId="77777777" w:rsidR="00200331" w:rsidRPr="00200331" w:rsidRDefault="00200331" w:rsidP="00200331">
      <w:pPr>
        <w:pStyle w:val="AcronymsTab"/>
      </w:pPr>
      <w:r w:rsidRPr="000B2D21">
        <w:rPr>
          <w:b/>
        </w:rPr>
        <w:t>NGO</w:t>
      </w:r>
      <w:r w:rsidRPr="00200331">
        <w:tab/>
        <w:t>Non-</w:t>
      </w:r>
      <w:r w:rsidR="004D6E65">
        <w:t>g</w:t>
      </w:r>
      <w:r w:rsidRPr="00200331">
        <w:t xml:space="preserve">overnment </w:t>
      </w:r>
      <w:r w:rsidR="004D6E65">
        <w:t>o</w:t>
      </w:r>
      <w:r w:rsidRPr="00200331">
        <w:t>rganisation</w:t>
      </w:r>
    </w:p>
    <w:p w14:paraId="68A433C4" w14:textId="77777777" w:rsidR="00200331" w:rsidRPr="00200331" w:rsidRDefault="00200331" w:rsidP="00200331">
      <w:pPr>
        <w:pStyle w:val="AcronymsTab"/>
      </w:pPr>
      <w:r w:rsidRPr="000B2D21">
        <w:rPr>
          <w:b/>
        </w:rPr>
        <w:t>ODE</w:t>
      </w:r>
      <w:r w:rsidRPr="00200331">
        <w:tab/>
        <w:t>Office of Development Effectiveness</w:t>
      </w:r>
    </w:p>
    <w:p w14:paraId="7E62D5D8" w14:textId="77777777" w:rsidR="00200331" w:rsidRDefault="00200331" w:rsidP="00066688">
      <w:pPr>
        <w:pStyle w:val="AcronymsTab"/>
        <w:tabs>
          <w:tab w:val="left" w:pos="1531"/>
        </w:tabs>
      </w:pPr>
      <w:r w:rsidRPr="000B2D21">
        <w:rPr>
          <w:b/>
        </w:rPr>
        <w:t>Pacific Women</w:t>
      </w:r>
      <w:r w:rsidRPr="00200331">
        <w:tab/>
        <w:t>Pacific Women Shaping Pacific Development</w:t>
      </w:r>
    </w:p>
    <w:p w14:paraId="30B2B209" w14:textId="77777777" w:rsidR="004D6E65" w:rsidRPr="004D6E65" w:rsidRDefault="004D6E65" w:rsidP="00066688">
      <w:pPr>
        <w:pStyle w:val="AcronymsTab"/>
        <w:tabs>
          <w:tab w:val="left" w:pos="1531"/>
        </w:tabs>
      </w:pPr>
      <w:r>
        <w:rPr>
          <w:b/>
        </w:rPr>
        <w:t>PNG</w:t>
      </w:r>
      <w:r>
        <w:rPr>
          <w:b/>
        </w:rPr>
        <w:tab/>
      </w:r>
      <w:r>
        <w:rPr>
          <w:b/>
        </w:rPr>
        <w:tab/>
      </w:r>
      <w:r>
        <w:rPr>
          <w:bCs/>
        </w:rPr>
        <w:t>Papua New Guinea</w:t>
      </w:r>
    </w:p>
    <w:p w14:paraId="5264D2C5" w14:textId="77777777" w:rsidR="00AE4FE4" w:rsidRPr="009D433A" w:rsidRDefault="00AE4FE4" w:rsidP="00200331">
      <w:pPr>
        <w:pStyle w:val="AcronymsTab"/>
      </w:pPr>
      <w:r>
        <w:rPr>
          <w:b/>
        </w:rPr>
        <w:t>UN</w:t>
      </w:r>
      <w:r>
        <w:rPr>
          <w:b/>
        </w:rPr>
        <w:tab/>
      </w:r>
      <w:r>
        <w:rPr>
          <w:bCs/>
        </w:rPr>
        <w:t>United Nations</w:t>
      </w:r>
    </w:p>
    <w:p w14:paraId="00F69EB2" w14:textId="77777777" w:rsidR="00274B83" w:rsidRPr="009D433A" w:rsidRDefault="00274B83" w:rsidP="00200331">
      <w:pPr>
        <w:pStyle w:val="AcronymsTab"/>
      </w:pPr>
      <w:r>
        <w:rPr>
          <w:b/>
        </w:rPr>
        <w:t>UNICEF</w:t>
      </w:r>
      <w:r w:rsidRPr="00274B83">
        <w:rPr>
          <w:rFonts w:cs="Arial"/>
        </w:rPr>
        <w:t xml:space="preserve"> </w:t>
      </w:r>
      <w:r>
        <w:rPr>
          <w:rFonts w:cs="Arial"/>
        </w:rPr>
        <w:tab/>
        <w:t>United Nations Children’s Fund</w:t>
      </w:r>
    </w:p>
    <w:p w14:paraId="1032BEF3" w14:textId="77777777" w:rsidR="00200331" w:rsidRPr="00200331" w:rsidRDefault="00200331" w:rsidP="00200331">
      <w:pPr>
        <w:pStyle w:val="AcronymsTab"/>
      </w:pPr>
      <w:r w:rsidRPr="000B2D21">
        <w:rPr>
          <w:b/>
        </w:rPr>
        <w:t>UNFPA</w:t>
      </w:r>
      <w:r w:rsidRPr="00200331">
        <w:t xml:space="preserve"> </w:t>
      </w:r>
      <w:r w:rsidRPr="00200331">
        <w:tab/>
        <w:t>United Nations Population Fund</w:t>
      </w:r>
    </w:p>
    <w:p w14:paraId="05D4312C" w14:textId="77777777" w:rsidR="00200331" w:rsidRPr="00B4779C" w:rsidRDefault="00200331" w:rsidP="00200331">
      <w:pPr>
        <w:pStyle w:val="AcronymsTab"/>
      </w:pPr>
      <w:r w:rsidRPr="00B4779C">
        <w:rPr>
          <w:b/>
        </w:rPr>
        <w:t>VAWG</w:t>
      </w:r>
      <w:r w:rsidRPr="00B4779C">
        <w:tab/>
        <w:t>Violence Against Women and Girls</w:t>
      </w:r>
    </w:p>
    <w:p w14:paraId="386F0923" w14:textId="77777777" w:rsidR="00200331" w:rsidRPr="000862AB" w:rsidRDefault="00200331" w:rsidP="00200331">
      <w:pPr>
        <w:pStyle w:val="AcronymsTab"/>
      </w:pPr>
      <w:r w:rsidRPr="000862AB">
        <w:rPr>
          <w:b/>
        </w:rPr>
        <w:t>VWC</w:t>
      </w:r>
      <w:r w:rsidRPr="000862AB">
        <w:t xml:space="preserve"> </w:t>
      </w:r>
      <w:r w:rsidRPr="000862AB">
        <w:tab/>
        <w:t>Vanuatu Women's Centre</w:t>
      </w:r>
    </w:p>
    <w:p w14:paraId="16BE62FD" w14:textId="77777777" w:rsidR="00200331" w:rsidRPr="00E9027A" w:rsidRDefault="00200331" w:rsidP="00200331">
      <w:pPr>
        <w:pStyle w:val="AcronymsTab"/>
      </w:pPr>
      <w:r w:rsidRPr="000862AB">
        <w:rPr>
          <w:b/>
        </w:rPr>
        <w:t>WHO</w:t>
      </w:r>
      <w:r w:rsidRPr="000862AB">
        <w:t xml:space="preserve"> </w:t>
      </w:r>
      <w:r w:rsidRPr="000862AB">
        <w:tab/>
        <w:t>World Health Organi</w:t>
      </w:r>
      <w:r w:rsidR="00DA261D" w:rsidRPr="000862AB">
        <w:t>z</w:t>
      </w:r>
      <w:r w:rsidRPr="00E9027A">
        <w:t xml:space="preserve">ation </w:t>
      </w:r>
    </w:p>
    <w:p w14:paraId="20E848D9" w14:textId="77777777" w:rsidR="00A7225B" w:rsidRDefault="00A7225B" w:rsidP="00C34740">
      <w:pPr>
        <w:pStyle w:val="Heading1NoNumber"/>
      </w:pPr>
      <w:bookmarkStart w:id="26" w:name="_Toc15562988"/>
      <w:bookmarkStart w:id="27" w:name="_Toc23434523"/>
      <w:bookmarkEnd w:id="24"/>
      <w:r w:rsidRPr="004F7BE1">
        <w:t>Glossary</w:t>
      </w:r>
      <w:bookmarkEnd w:id="26"/>
      <w:bookmarkEnd w:id="27"/>
    </w:p>
    <w:p w14:paraId="0A3F6482" w14:textId="77777777" w:rsidR="00A7225B" w:rsidRPr="00A7225B" w:rsidRDefault="00A7225B" w:rsidP="00A7225B">
      <w:pPr>
        <w:rPr>
          <w:rFonts w:cs="Arial"/>
          <w:b/>
        </w:rPr>
      </w:pPr>
      <w:r w:rsidRPr="00A7225B">
        <w:rPr>
          <w:rFonts w:cs="Arial"/>
          <w:b/>
        </w:rPr>
        <w:t xml:space="preserve">Case management: </w:t>
      </w:r>
      <w:r w:rsidRPr="00A7225B">
        <w:rPr>
          <w:rFonts w:cs="Arial"/>
        </w:rPr>
        <w:t xml:space="preserve">A collaborative, multidisciplinary process </w:t>
      </w:r>
      <w:r w:rsidR="004F7BE1">
        <w:rPr>
          <w:rFonts w:cs="Arial"/>
        </w:rPr>
        <w:t>that</w:t>
      </w:r>
      <w:r w:rsidR="004F7BE1" w:rsidRPr="00A7225B">
        <w:rPr>
          <w:rFonts w:cs="Arial"/>
        </w:rPr>
        <w:t xml:space="preserve"> </w:t>
      </w:r>
      <w:r w:rsidRPr="00A7225B">
        <w:rPr>
          <w:rFonts w:cs="Arial"/>
        </w:rPr>
        <w:t>assesses, plans, implements, coordinates, monitors and evaluates options and services to meet an individual’s immediate needs (related to an incident of violence) through communication and available resources</w:t>
      </w:r>
      <w:r w:rsidR="004F7BE1">
        <w:rPr>
          <w:rFonts w:cs="Arial"/>
        </w:rPr>
        <w:t>. Aims for</w:t>
      </w:r>
      <w:r w:rsidRPr="00A7225B">
        <w:rPr>
          <w:rFonts w:cs="Arial"/>
        </w:rPr>
        <w:t xml:space="preserve"> quality, effective outcomes.</w:t>
      </w:r>
      <w:r w:rsidRPr="00A7225B">
        <w:rPr>
          <w:rFonts w:cs="Arial"/>
        </w:rPr>
        <w:fldChar w:fldCharType="begin"/>
      </w:r>
      <w:r w:rsidRPr="00A7225B">
        <w:rPr>
          <w:rFonts w:cs="Arial"/>
        </w:rPr>
        <w:instrText xml:space="preserve"> ADDIN ZOTERO_ITEM CSL_CITATION {"citationID":"G4kosEqW","properties":{"formattedCitation":"\\super 1\\nosupersub{}","plainCitation":"1","noteIndex":0},"citationItems":[{"id":2549,"uris":["http://zotero.org/users/4194704/items/BEFTPDCJ"],"uri":["http://zotero.org/users/4194704/items/BEFTPDCJ"],"itemData":{"id":2549,"type":"report","title":"GBV Emergency Response &amp; Preparedness: Participant Handbook","publisher":"IRC","publisher-place":"New York","event-place":"New York","author":[{"literal":"International Rescue Committee (IRC)"}],"issued":{"date-parts":[["2012"]]}}}],"schema":"https://github.com/citation-style-language/schema/raw/master/csl-citation.json"} </w:instrText>
      </w:r>
      <w:r w:rsidRPr="00A7225B">
        <w:rPr>
          <w:rFonts w:cs="Arial"/>
        </w:rPr>
        <w:fldChar w:fldCharType="separate"/>
      </w:r>
      <w:r w:rsidRPr="00A7225B">
        <w:rPr>
          <w:rFonts w:cs="Arial"/>
          <w:vertAlign w:val="superscript"/>
          <w:lang w:val="en-US"/>
        </w:rPr>
        <w:t>1</w:t>
      </w:r>
      <w:r w:rsidRPr="00A7225B">
        <w:rPr>
          <w:rFonts w:cs="Arial"/>
        </w:rPr>
        <w:fldChar w:fldCharType="end"/>
      </w:r>
    </w:p>
    <w:p w14:paraId="3CFF8121" w14:textId="77777777" w:rsidR="00A7225B" w:rsidRPr="00A7225B" w:rsidRDefault="00A7225B" w:rsidP="00A7225B">
      <w:pPr>
        <w:rPr>
          <w:rFonts w:cs="Arial"/>
        </w:rPr>
      </w:pPr>
      <w:r w:rsidRPr="00A7225B">
        <w:rPr>
          <w:rFonts w:cs="Arial"/>
          <w:b/>
        </w:rPr>
        <w:t>Domestic violence:</w:t>
      </w:r>
      <w:r w:rsidRPr="00A7225B">
        <w:rPr>
          <w:rFonts w:cs="Arial"/>
        </w:rPr>
        <w:t xml:space="preserve"> </w:t>
      </w:r>
      <w:r w:rsidR="004F7BE1">
        <w:rPr>
          <w:rFonts w:cs="Arial"/>
        </w:rPr>
        <w:t>U</w:t>
      </w:r>
      <w:r w:rsidRPr="00A7225B">
        <w:rPr>
          <w:rFonts w:cs="Arial"/>
        </w:rPr>
        <w:t>sually refers to acts of violence occur</w:t>
      </w:r>
      <w:r w:rsidR="004F7BE1">
        <w:rPr>
          <w:rFonts w:cs="Arial"/>
        </w:rPr>
        <w:t>ring</w:t>
      </w:r>
      <w:r w:rsidRPr="00A7225B">
        <w:rPr>
          <w:rFonts w:cs="Arial"/>
        </w:rPr>
        <w:t xml:space="preserve"> between people who have, or have had, an intimate relationship</w:t>
      </w:r>
      <w:r w:rsidR="00E33D9C">
        <w:rPr>
          <w:rFonts w:cs="Arial"/>
        </w:rPr>
        <w:t>,</w:t>
      </w:r>
      <w:r w:rsidRPr="00A7225B">
        <w:rPr>
          <w:rFonts w:cs="Arial"/>
        </w:rPr>
        <w:t xml:space="preserve"> are in a family relationship</w:t>
      </w:r>
      <w:r w:rsidR="00E33D9C">
        <w:rPr>
          <w:rFonts w:cs="Arial"/>
        </w:rPr>
        <w:t xml:space="preserve"> or</w:t>
      </w:r>
      <w:r w:rsidRPr="00A7225B">
        <w:rPr>
          <w:rFonts w:cs="Arial"/>
        </w:rPr>
        <w:t xml:space="preserve"> domestic setting. </w:t>
      </w:r>
      <w:r w:rsidR="00E33D9C">
        <w:rPr>
          <w:rFonts w:cs="Arial"/>
        </w:rPr>
        <w:t>It</w:t>
      </w:r>
      <w:r w:rsidRPr="00A7225B">
        <w:rPr>
          <w:rFonts w:cs="Arial"/>
        </w:rPr>
        <w:t xml:space="preserve"> takes many forms, including physical violence, sexual violence, emotional or psychological violence, economic violence, stalking, and controlling behaviour.</w:t>
      </w:r>
      <w:r w:rsidRPr="00A7225B">
        <w:rPr>
          <w:rFonts w:cs="Arial"/>
        </w:rPr>
        <w:fldChar w:fldCharType="begin"/>
      </w:r>
      <w:r w:rsidRPr="00A7225B">
        <w:rPr>
          <w:rFonts w:cs="Arial"/>
        </w:rPr>
        <w:instrText xml:space="preserve"> ADDIN ZOTERO_ITEM CSL_CITATION {"citationID":"aldcekq2i9","properties":{"formattedCitation":"\\super 2\\nosupersub{}","plainCitation":"2","noteIndex":0},"citationItems":[{"id":2581,"uris":["http://zotero.org/users/4194704/items/H3KMTMAU"],"uri":["http://zotero.org/users/4194704/items/H3KMTMAU"],"itemData":{"id":2581,"type":"report","title":"Policy Brief 1: Key terms, definitions and statistics","publisher":"Our Watch","publisher-place":"Melbourne, Australia","event-place":"Melbourne, Australia","author":[{"literal":"Our Watch"}],"issued":{"date-parts":[["2014"]]}}}],"schema":"https://github.com/citation-style-language/schema/raw/master/csl-citation.json"} </w:instrText>
      </w:r>
      <w:r w:rsidRPr="00A7225B">
        <w:rPr>
          <w:rFonts w:cs="Arial"/>
        </w:rPr>
        <w:fldChar w:fldCharType="separate"/>
      </w:r>
      <w:r w:rsidRPr="00A7225B">
        <w:rPr>
          <w:rFonts w:cs="Arial"/>
          <w:vertAlign w:val="superscript"/>
          <w:lang w:val="en-US"/>
        </w:rPr>
        <w:t>2</w:t>
      </w:r>
      <w:r w:rsidRPr="00A7225B">
        <w:rPr>
          <w:rFonts w:cs="Arial"/>
        </w:rPr>
        <w:fldChar w:fldCharType="end"/>
      </w:r>
    </w:p>
    <w:p w14:paraId="3109A7C8" w14:textId="77777777" w:rsidR="00A7225B" w:rsidRPr="00A7225B" w:rsidRDefault="00A7225B" w:rsidP="00A7225B">
      <w:pPr>
        <w:rPr>
          <w:rFonts w:cs="Arial"/>
        </w:rPr>
      </w:pPr>
      <w:r w:rsidRPr="00A7225B">
        <w:rPr>
          <w:rFonts w:cs="Arial"/>
          <w:b/>
        </w:rPr>
        <w:t xml:space="preserve">Enabling environment: </w:t>
      </w:r>
      <w:r w:rsidRPr="00A7225B">
        <w:rPr>
          <w:rFonts w:cs="Arial"/>
        </w:rPr>
        <w:t>Surroundings and conditions necessary for ending violence against women and girls</w:t>
      </w:r>
      <w:r w:rsidR="00E33D9C">
        <w:rPr>
          <w:rFonts w:cs="Arial"/>
        </w:rPr>
        <w:t>. I</w:t>
      </w:r>
      <w:r w:rsidRPr="00A7225B">
        <w:rPr>
          <w:rFonts w:cs="Arial"/>
        </w:rPr>
        <w:t>nclude</w:t>
      </w:r>
      <w:r w:rsidR="00E33D9C">
        <w:rPr>
          <w:rFonts w:cs="Arial"/>
        </w:rPr>
        <w:t>s</w:t>
      </w:r>
      <w:r w:rsidRPr="00A7225B">
        <w:rPr>
          <w:rFonts w:cs="Arial"/>
        </w:rPr>
        <w:t>: government commitment and capacity</w:t>
      </w:r>
      <w:r w:rsidR="004F7BE1">
        <w:rPr>
          <w:rFonts w:cs="Arial"/>
        </w:rPr>
        <w:t>;</w:t>
      </w:r>
      <w:r w:rsidRPr="00A7225B">
        <w:rPr>
          <w:rFonts w:cs="Arial"/>
        </w:rPr>
        <w:t xml:space="preserve"> participation of women and girls in public life</w:t>
      </w:r>
      <w:r w:rsidR="004F7BE1">
        <w:rPr>
          <w:rFonts w:cs="Arial"/>
        </w:rPr>
        <w:t>;</w:t>
      </w:r>
      <w:r w:rsidRPr="00A7225B">
        <w:rPr>
          <w:rFonts w:cs="Arial"/>
        </w:rPr>
        <w:t xml:space="preserve"> strong civil society</w:t>
      </w:r>
      <w:r w:rsidR="004F7BE1">
        <w:rPr>
          <w:rFonts w:cs="Arial"/>
        </w:rPr>
        <w:t>;</w:t>
      </w:r>
      <w:r w:rsidRPr="00A7225B">
        <w:rPr>
          <w:rFonts w:cs="Arial"/>
        </w:rPr>
        <w:t xml:space="preserve"> widespread understanding of gender equality and human rights</w:t>
      </w:r>
      <w:r w:rsidR="004F7BE1">
        <w:rPr>
          <w:rFonts w:cs="Arial"/>
        </w:rPr>
        <w:t>;</w:t>
      </w:r>
      <w:r w:rsidRPr="00A7225B">
        <w:rPr>
          <w:rFonts w:cs="Arial"/>
        </w:rPr>
        <w:t xml:space="preserve"> commitment and coordination by international agencies and donors to support the efforts of national, governments and civil society organisations.</w:t>
      </w:r>
      <w:r w:rsidRPr="00A7225B">
        <w:rPr>
          <w:rFonts w:cs="Arial"/>
        </w:rPr>
        <w:fldChar w:fldCharType="begin"/>
      </w:r>
      <w:r w:rsidRPr="00A7225B">
        <w:rPr>
          <w:rFonts w:cs="Arial"/>
        </w:rPr>
        <w:instrText xml:space="preserve"> ADDIN ZOTERO_ITEM CSL_CITATION {"citationID":"uRiTeBmR","properties":{"formattedCitation":"\\super 3\\nosupersub{}","plainCitation":"3","noteIndex":0},"citationItems":[{"id":2523,"uris":["http://zotero.org/users/4194704/items/JRXSKPGG"],"uri":["http://zotero.org/users/4194704/items/JRXSKPGG"],"itemData":{"id":2523,"type":"report","title":"Literature Review: Ending Violence Against Women and Girls","publisher":"Australian Government Department of Foreign Affairs and Trade","author":[{"family":"Fulu","given":"Emma"},{"family":"Warner","given":"Xian"}],"issued":{"date-parts":[["2018"]]}}}],"schema":"https://github.com/citation-style-language/schema/raw/master/csl-citation.json"} </w:instrText>
      </w:r>
      <w:r w:rsidRPr="00A7225B">
        <w:rPr>
          <w:rFonts w:cs="Arial"/>
        </w:rPr>
        <w:fldChar w:fldCharType="separate"/>
      </w:r>
      <w:r w:rsidRPr="00A7225B">
        <w:rPr>
          <w:rFonts w:cs="Arial"/>
          <w:vertAlign w:val="superscript"/>
          <w:lang w:val="en-US"/>
        </w:rPr>
        <w:t>3</w:t>
      </w:r>
      <w:r w:rsidRPr="00A7225B">
        <w:rPr>
          <w:rFonts w:cs="Arial"/>
        </w:rPr>
        <w:fldChar w:fldCharType="end"/>
      </w:r>
      <w:r w:rsidRPr="00A7225B">
        <w:rPr>
          <w:rFonts w:cs="Arial"/>
        </w:rPr>
        <w:t xml:space="preserve"> </w:t>
      </w:r>
    </w:p>
    <w:p w14:paraId="5A76607F" w14:textId="77777777" w:rsidR="00A7225B" w:rsidRPr="00A7225B" w:rsidRDefault="00A7225B" w:rsidP="00A7225B">
      <w:pPr>
        <w:rPr>
          <w:rFonts w:cs="Arial"/>
        </w:rPr>
      </w:pPr>
      <w:r w:rsidRPr="00A7225B">
        <w:rPr>
          <w:rFonts w:cs="Arial"/>
          <w:b/>
        </w:rPr>
        <w:t>Family violence:</w:t>
      </w:r>
      <w:r w:rsidRPr="00A7225B">
        <w:rPr>
          <w:rFonts w:cs="Arial"/>
        </w:rPr>
        <w:t xml:space="preserve"> </w:t>
      </w:r>
      <w:r w:rsidR="004F7BE1">
        <w:rPr>
          <w:rFonts w:cs="Arial"/>
        </w:rPr>
        <w:t>O</w:t>
      </w:r>
      <w:r w:rsidRPr="00A7225B">
        <w:rPr>
          <w:rFonts w:cs="Arial"/>
        </w:rPr>
        <w:t xml:space="preserve">ccurs between family members, such as between siblings or across generations, </w:t>
      </w:r>
      <w:r w:rsidR="004F7BE1">
        <w:rPr>
          <w:rFonts w:cs="Arial"/>
        </w:rPr>
        <w:t xml:space="preserve">and </w:t>
      </w:r>
      <w:r w:rsidRPr="00A7225B">
        <w:rPr>
          <w:rFonts w:cs="Arial"/>
        </w:rPr>
        <w:t xml:space="preserve">between partners. </w:t>
      </w:r>
      <w:r w:rsidR="004F7BE1">
        <w:rPr>
          <w:rFonts w:cs="Arial"/>
        </w:rPr>
        <w:t>R</w:t>
      </w:r>
      <w:r w:rsidRPr="00A7225B">
        <w:rPr>
          <w:rFonts w:cs="Arial"/>
        </w:rPr>
        <w:t>ecognises the extended family, kinship networks and community relationships in which th</w:t>
      </w:r>
      <w:r w:rsidR="004F7BE1">
        <w:rPr>
          <w:rFonts w:cs="Arial"/>
        </w:rPr>
        <w:t>e</w:t>
      </w:r>
      <w:r w:rsidRPr="00A7225B">
        <w:rPr>
          <w:rFonts w:cs="Arial"/>
        </w:rPr>
        <w:t xml:space="preserve"> violence can occur, as well as the social and historical context of intergenerational issues.</w:t>
      </w:r>
      <w:r w:rsidRPr="00A7225B">
        <w:rPr>
          <w:rFonts w:cs="Arial"/>
        </w:rPr>
        <w:fldChar w:fldCharType="begin"/>
      </w:r>
      <w:r w:rsidRPr="00A7225B">
        <w:rPr>
          <w:rFonts w:cs="Arial"/>
        </w:rPr>
        <w:instrText xml:space="preserve"> ADDIN ZOTERO_ITEM CSL_CITATION {"citationID":"a25lublcont","properties":{"formattedCitation":"\\super 2,4\\nosupersub{}","plainCitation":"2,4","noteIndex":0},"citationItems":[{"id":2581,"uris":["http://zotero.org/users/4194704/items/H3KMTMAU"],"uri":["http://zotero.org/users/4194704/items/H3KMTMAU"],"itemData":{"id":2581,"type":"report","title":"Policy Brief 1: Key terms, definitions and statistics","publisher":"Our Watch","publisher-place":"Melbourne, Australia","event-place":"Melbourne, Australia","author":[{"literal":"Our Watch"}],"issued":{"date-parts":[["2014"]]}}},{"id":2579,"uris":["http://zotero.org/users/4194704/items/KEXWRDQ4"],"uri":["http://zotero.org/users/4194704/items/KEXWRDQ4"],"itemData":{"id":2579,"type":"report","title":"Family, domestic and sexual violence in Australia 2018","publisher":"AIHW","publisher-place":"Canberra ACT","event-place":"Canberra ACT","author":[{"literal":"Australian Institute of Health and Welfare"}],"issued":{"date-parts":[["2018"]]}}}],"schema":"https://github.com/citation-style-language/schema/raw/master/csl-citation.json"} </w:instrText>
      </w:r>
      <w:r w:rsidRPr="00A7225B">
        <w:rPr>
          <w:rFonts w:cs="Arial"/>
        </w:rPr>
        <w:fldChar w:fldCharType="separate"/>
      </w:r>
      <w:r w:rsidRPr="00A7225B">
        <w:rPr>
          <w:rFonts w:cs="Arial"/>
          <w:vertAlign w:val="superscript"/>
          <w:lang w:val="en-US"/>
        </w:rPr>
        <w:t>2,4</w:t>
      </w:r>
      <w:r w:rsidRPr="00A7225B">
        <w:rPr>
          <w:rFonts w:cs="Arial"/>
        </w:rPr>
        <w:fldChar w:fldCharType="end"/>
      </w:r>
    </w:p>
    <w:p w14:paraId="0A60D4DC" w14:textId="77777777" w:rsidR="00A7225B" w:rsidRPr="00A7225B" w:rsidRDefault="00A7225B" w:rsidP="00A7225B">
      <w:pPr>
        <w:rPr>
          <w:rFonts w:cs="Arial"/>
          <w:b/>
        </w:rPr>
      </w:pPr>
      <w:r w:rsidRPr="00A7225B">
        <w:rPr>
          <w:rFonts w:cs="Arial"/>
          <w:b/>
        </w:rPr>
        <w:t>Femicide:</w:t>
      </w:r>
      <w:r w:rsidRPr="00A7225B">
        <w:rPr>
          <w:rFonts w:eastAsia="Times New Roman" w:cs="Arial"/>
        </w:rPr>
        <w:t xml:space="preserve"> </w:t>
      </w:r>
      <w:r w:rsidR="004F7BE1">
        <w:rPr>
          <w:rFonts w:cs="Arial"/>
        </w:rPr>
        <w:t>G</w:t>
      </w:r>
      <w:r w:rsidRPr="00A7225B">
        <w:rPr>
          <w:rFonts w:cs="Arial"/>
        </w:rPr>
        <w:t>enerally understood to involve intentional murder of women because they are women</w:t>
      </w:r>
      <w:r w:rsidR="00E33D9C">
        <w:rPr>
          <w:rFonts w:cs="Arial"/>
        </w:rPr>
        <w:t>. B</w:t>
      </w:r>
      <w:r w:rsidRPr="00A7225B">
        <w:rPr>
          <w:rFonts w:cs="Arial"/>
        </w:rPr>
        <w:t xml:space="preserve">roader definitions include killings of women or girls. </w:t>
      </w:r>
      <w:r w:rsidR="004F7BE1">
        <w:rPr>
          <w:rFonts w:cs="Arial"/>
        </w:rPr>
        <w:t>U</w:t>
      </w:r>
      <w:r w:rsidRPr="00A7225B">
        <w:rPr>
          <w:rFonts w:cs="Arial"/>
        </w:rPr>
        <w:t xml:space="preserve">sually perpetrated by men, but female family members may be involved. </w:t>
      </w:r>
      <w:r w:rsidR="00E33D9C">
        <w:rPr>
          <w:rFonts w:cs="Arial"/>
        </w:rPr>
        <w:t>M</w:t>
      </w:r>
      <w:r w:rsidRPr="00A7225B">
        <w:rPr>
          <w:rFonts w:cs="Arial"/>
        </w:rPr>
        <w:t>ost cases are committed by partners or ex-partners, and involve ongoing abuse in the home, threats or intimidation, sexual violence or situations where women have less power or fewer resources than their partner</w:t>
      </w:r>
      <w:r w:rsidR="00E33D9C">
        <w:rPr>
          <w:rFonts w:cs="Arial"/>
        </w:rPr>
        <w:t>.</w:t>
      </w:r>
    </w:p>
    <w:p w14:paraId="3FD2C4E7" w14:textId="77777777" w:rsidR="00A7225B" w:rsidRPr="00A7225B" w:rsidRDefault="00A7225B" w:rsidP="00A7225B">
      <w:pPr>
        <w:rPr>
          <w:rFonts w:cs="Arial"/>
        </w:rPr>
      </w:pPr>
      <w:r w:rsidRPr="00A7225B">
        <w:rPr>
          <w:rFonts w:cs="Arial"/>
          <w:b/>
        </w:rPr>
        <w:t xml:space="preserve">Gender-based violence: </w:t>
      </w:r>
      <w:r w:rsidRPr="00A7225B">
        <w:rPr>
          <w:rFonts w:cs="Arial"/>
        </w:rPr>
        <w:t xml:space="preserve">Violence directed at a person because of their gender. </w:t>
      </w:r>
      <w:r w:rsidR="0097086E">
        <w:rPr>
          <w:rFonts w:cs="Arial"/>
        </w:rPr>
        <w:t>Most</w:t>
      </w:r>
      <w:r w:rsidRPr="00A7225B">
        <w:rPr>
          <w:rFonts w:cs="Arial"/>
        </w:rPr>
        <w:t xml:space="preserve"> victims are women and girls.</w:t>
      </w:r>
      <w:r w:rsidRPr="00A7225B">
        <w:rPr>
          <w:rFonts w:cs="Arial"/>
        </w:rPr>
        <w:fldChar w:fldCharType="begin"/>
      </w:r>
      <w:r w:rsidRPr="00A7225B">
        <w:rPr>
          <w:rFonts w:cs="Arial"/>
        </w:rPr>
        <w:instrText xml:space="preserve"> ADDIN ZOTERO_ITEM CSL_CITATION {"citationID":"a2m6iidvla","properties":{"formattedCitation":"\\super 5\\nosupersub{}","plainCitation":"5","noteIndex":0},"citationItems":[{"id":2582,"uris":["http://zotero.org/users/4194704/items/KBPQ2FLD"],"uri":["http://zotero.org/users/4194704/items/KBPQ2FLD"],"itemData":{"id":2582,"type":"report","title":"What is gender-based violence?","publisher":"European Institute for Gender Equality (EIGE)","URL":"https://eige.europa.eu/gender-based-violence/what-is-gender-based-violence","author":[{"literal":"European Institute for Gender Equality (EIGE)"}],"issued":{"date-parts":[["2019"]]}}}],"schema":"https://github.com/citation-style-language/schema/raw/master/csl-citation.json"} </w:instrText>
      </w:r>
      <w:r w:rsidRPr="00A7225B">
        <w:rPr>
          <w:rFonts w:cs="Arial"/>
        </w:rPr>
        <w:fldChar w:fldCharType="separate"/>
      </w:r>
      <w:r w:rsidRPr="00A7225B">
        <w:rPr>
          <w:rFonts w:cs="Arial"/>
          <w:vertAlign w:val="superscript"/>
          <w:lang w:val="en-US"/>
        </w:rPr>
        <w:t>5</w:t>
      </w:r>
      <w:r w:rsidRPr="00A7225B">
        <w:rPr>
          <w:rFonts w:cs="Arial"/>
        </w:rPr>
        <w:fldChar w:fldCharType="end"/>
      </w:r>
    </w:p>
    <w:p w14:paraId="13D8A89D" w14:textId="77777777" w:rsidR="00A7225B" w:rsidRPr="00A7225B" w:rsidRDefault="00A7225B" w:rsidP="00A7225B">
      <w:pPr>
        <w:rPr>
          <w:rFonts w:cs="Arial"/>
        </w:rPr>
      </w:pPr>
      <w:r w:rsidRPr="00A7225B">
        <w:rPr>
          <w:rFonts w:cs="Arial"/>
          <w:b/>
        </w:rPr>
        <w:t>Gender-transformative approach:</w:t>
      </w:r>
      <w:r w:rsidRPr="00A7225B">
        <w:rPr>
          <w:rFonts w:cs="Arial"/>
        </w:rPr>
        <w:t xml:space="preserve"> </w:t>
      </w:r>
      <w:r w:rsidR="004F7BE1">
        <w:rPr>
          <w:rFonts w:cs="Arial"/>
        </w:rPr>
        <w:t>A</w:t>
      </w:r>
      <w:r w:rsidR="00E33D9C">
        <w:rPr>
          <w:rFonts w:cs="Arial"/>
        </w:rPr>
        <w:t>im</w:t>
      </w:r>
      <w:r w:rsidR="004F7BE1">
        <w:rPr>
          <w:rFonts w:cs="Arial"/>
        </w:rPr>
        <w:t>s</w:t>
      </w:r>
      <w:r w:rsidRPr="00A7225B">
        <w:rPr>
          <w:rFonts w:cs="Arial"/>
        </w:rPr>
        <w:t xml:space="preserve"> to reshape gender norms and create more gender-equitable relationships, by seeking to change the underlying conditions caus</w:t>
      </w:r>
      <w:r w:rsidR="00E33D9C">
        <w:rPr>
          <w:rFonts w:cs="Arial"/>
        </w:rPr>
        <w:t>ing</w:t>
      </w:r>
      <w:r w:rsidRPr="00A7225B">
        <w:rPr>
          <w:rFonts w:cs="Arial"/>
        </w:rPr>
        <w:t xml:space="preserve"> gender inequities. </w:t>
      </w:r>
      <w:r w:rsidR="004F7BE1">
        <w:rPr>
          <w:rFonts w:cs="Arial"/>
        </w:rPr>
        <w:t>A</w:t>
      </w:r>
      <w:r w:rsidRPr="00A7225B">
        <w:rPr>
          <w:rFonts w:cs="Arial"/>
        </w:rPr>
        <w:t xml:space="preserve">re distinguished from gender-neutral interventions (which do </w:t>
      </w:r>
      <w:r w:rsidRPr="00A7225B">
        <w:rPr>
          <w:rFonts w:cs="Arial"/>
          <w:i/>
        </w:rPr>
        <w:t>not</w:t>
      </w:r>
      <w:r w:rsidRPr="00A7225B">
        <w:rPr>
          <w:rFonts w:cs="Arial"/>
        </w:rPr>
        <w:t xml:space="preserve"> take gender into account) and gender-sensitive interventions (which </w:t>
      </w:r>
      <w:r w:rsidRPr="00A7225B">
        <w:rPr>
          <w:rFonts w:cs="Arial"/>
          <w:i/>
        </w:rPr>
        <w:t>recognise</w:t>
      </w:r>
      <w:r w:rsidRPr="00A7225B">
        <w:rPr>
          <w:rFonts w:cs="Arial"/>
        </w:rPr>
        <w:t xml:space="preserve"> the different needs and constraints facing women and men, but do not aim to transform these power relations).</w:t>
      </w:r>
      <w:r w:rsidRPr="00A7225B">
        <w:rPr>
          <w:rFonts w:cs="Arial"/>
        </w:rPr>
        <w:fldChar w:fldCharType="begin"/>
      </w:r>
      <w:r w:rsidRPr="00A7225B">
        <w:rPr>
          <w:rFonts w:cs="Arial"/>
        </w:rPr>
        <w:instrText xml:space="preserve"> ADDIN ZOTERO_ITEM CSL_CITATION {"citationID":"K18ToZQp","properties":{"formattedCitation":"\\super 6\\uc0\\u8211{}8\\nosupersub{}","plainCitation":"6–8","noteIndex":0},"citationItems":[{"id":2557,"uris":["http://zotero.org/users/4194704/items/53ZZPCW5"],"uri":["http://zotero.org/users/4194704/items/53ZZPCW5"],"itemData":{"id":2557,"type":"article-journal","title":"Gender, sexuality, and HIV/AIDS: The what, the why, and the how.","container-title":"Siecus Report","volume":"29","issue":"5","author":[{"literal":"Gupta, GR"}],"issued":{"date-parts":[["2001"]]}}},{"id":2558,"uris":["http://zotero.org/users/4194704/items/29WJNLR5"],"uri":["http://zotero.org/users/4194704/items/29WJNLR5"],"itemData":{"id":2558,"type":"article-journal","title":"The promises and limitations of gender-transformative health programming with men: critical reflections from the field.","container-title":"Culture, health &amp; sexuality","page":"128-143","volume":"17","issue":"(sup2)","author":[{"family":"Dworkin","given":"Shari L."},{"family":"Fleming","given":"P.J."},{"family":"Colvin","given":"C.J."}],"issued":{"date-parts":[["2015"]]}}},{"id":2559,"uris":["http://zotero.org/users/4194704/items/JX5AJQGD"],"uri":["http://zotero.org/users/4194704/items/JX5AJQGD"],"itemData":{"id":2559,"type":"article-journal","title":"Questioning gender norms with men to improve health outcomes: evidence of impact.","container-title":"Global public health","page":"539-553","volume":"5","issue":"5","author":[{"family":"Barker","given":"G."},{"family":"Ricardo","given":"Christine"},{"family":"Nascimento","given":"Marcos"},{"family":"Olukoya","given":"A."},{"family":"Santos","given":"C."}],"issued":{"date-parts":[["2010"]]}}}],"schema":"https://github.com/citation-style-language/schema/raw/master/csl-citation.json"} </w:instrText>
      </w:r>
      <w:r w:rsidRPr="00A7225B">
        <w:rPr>
          <w:rFonts w:cs="Arial"/>
        </w:rPr>
        <w:fldChar w:fldCharType="separate"/>
      </w:r>
      <w:r w:rsidRPr="00A7225B">
        <w:rPr>
          <w:rFonts w:cs="Arial"/>
          <w:vertAlign w:val="superscript"/>
          <w:lang w:val="en-US"/>
        </w:rPr>
        <w:t>6–8</w:t>
      </w:r>
      <w:r w:rsidRPr="00A7225B">
        <w:rPr>
          <w:rFonts w:cs="Arial"/>
        </w:rPr>
        <w:fldChar w:fldCharType="end"/>
      </w:r>
    </w:p>
    <w:p w14:paraId="79C94894" w14:textId="77777777" w:rsidR="00A7225B" w:rsidRPr="00A7225B" w:rsidRDefault="00A7225B" w:rsidP="00A7225B">
      <w:pPr>
        <w:rPr>
          <w:rFonts w:cs="Arial"/>
        </w:rPr>
      </w:pPr>
      <w:r w:rsidRPr="00A7225B">
        <w:rPr>
          <w:rFonts w:cs="Arial"/>
          <w:b/>
        </w:rPr>
        <w:t xml:space="preserve">Intersectionality: </w:t>
      </w:r>
      <w:r w:rsidR="004F7BE1">
        <w:rPr>
          <w:rFonts w:cs="Arial"/>
        </w:rPr>
        <w:t xml:space="preserve"> A</w:t>
      </w:r>
      <w:r w:rsidRPr="00A7225B">
        <w:rPr>
          <w:rFonts w:cs="Arial"/>
        </w:rPr>
        <w:t xml:space="preserve"> framework for understanding the dynamics of how factors mak</w:t>
      </w:r>
      <w:r w:rsidR="00E33D9C">
        <w:rPr>
          <w:rFonts w:cs="Arial"/>
        </w:rPr>
        <w:t xml:space="preserve">ing </w:t>
      </w:r>
      <w:r w:rsidRPr="00A7225B">
        <w:rPr>
          <w:rFonts w:cs="Arial"/>
        </w:rPr>
        <w:t xml:space="preserve">up a person’s identity interact and shape their experiences, recognising that inequalities never result </w:t>
      </w:r>
      <w:r w:rsidR="00E33D9C">
        <w:rPr>
          <w:rFonts w:cs="Arial"/>
        </w:rPr>
        <w:t>from</w:t>
      </w:r>
      <w:r w:rsidRPr="00A7225B">
        <w:rPr>
          <w:rFonts w:cs="Arial"/>
        </w:rPr>
        <w:t xml:space="preserve"> one distinct factor.</w:t>
      </w:r>
      <w:r w:rsidRPr="00A7225B">
        <w:rPr>
          <w:rFonts w:cs="Arial"/>
        </w:rPr>
        <w:fldChar w:fldCharType="begin"/>
      </w:r>
      <w:r w:rsidRPr="00A7225B">
        <w:rPr>
          <w:rFonts w:cs="Arial"/>
        </w:rPr>
        <w:instrText xml:space="preserve"> ADDIN ZOTERO_ITEM CSL_CITATION {"citationID":"WByr1FnY","properties":{"formattedCitation":"\\super 9,10\\nosupersub{}","plainCitation":"9,10","noteIndex":0},"citationItems":[{"id":321,"uris":["http://zotero.org/users/4194704/items/CPZWQHY2"],"uri":["http://zotero.org/users/4194704/items/CPZWQHY2"],"itemData":{"id":321,"type":"report","title":"Piecing Together the Evidence on Social Norms and Violence against Women","publisher":"The Equality Institute","publisher-place":"Melbourne","event-place":"Melbourne","author":[{"literal":"The Equality Institute"}],"issued":{"date-parts":[["2017"]]}}},{"id":60,"uris":["http://zotero.org/users/4194704/items/IH7ZJNM4"],"uri":["http://zotero.org/users/4194704/items/IH7ZJNM4"],"itemData":{"id":60,"type":"report","title":"Intersectionality Matters: A guide to engaging immigrant and refugee communities to prevent violence against women","publisher":"Multicultural Centre for Women’s Health (MCWH)","publisher-place":"Melbourne","event-place":"Melbourne","author":[{"family":"Chen","given":"J."}],"issued":{"date-parts":[["2017"]]}}}],"schema":"https://github.com/citation-style-language/schema/raw/master/csl-citation.json"} </w:instrText>
      </w:r>
      <w:r w:rsidRPr="00A7225B">
        <w:rPr>
          <w:rFonts w:cs="Arial"/>
        </w:rPr>
        <w:fldChar w:fldCharType="separate"/>
      </w:r>
      <w:r w:rsidRPr="00A7225B">
        <w:rPr>
          <w:rFonts w:cs="Arial"/>
          <w:vertAlign w:val="superscript"/>
          <w:lang w:val="en-US"/>
        </w:rPr>
        <w:t>9,10</w:t>
      </w:r>
      <w:r w:rsidRPr="00A7225B">
        <w:rPr>
          <w:rFonts w:cs="Arial"/>
        </w:rPr>
        <w:fldChar w:fldCharType="end"/>
      </w:r>
      <w:r w:rsidR="004F7BE1">
        <w:rPr>
          <w:rFonts w:cs="Arial"/>
        </w:rPr>
        <w:t xml:space="preserve"> Considers that w</w:t>
      </w:r>
      <w:r w:rsidR="004F7BE1" w:rsidRPr="00A7225B">
        <w:rPr>
          <w:rFonts w:cs="Arial"/>
        </w:rPr>
        <w:t>hile violence affects women and girls across the world, different layers of people’s identities</w:t>
      </w:r>
      <w:r w:rsidR="004F7BE1">
        <w:rPr>
          <w:rFonts w:cs="Arial"/>
        </w:rPr>
        <w:t>—</w:t>
      </w:r>
      <w:r w:rsidR="004F7BE1" w:rsidRPr="00A7225B">
        <w:rPr>
          <w:rFonts w:cs="Arial"/>
        </w:rPr>
        <w:t>such as their socio-economic status, indigeneity, ethnicity, ability, sexual orientation, gender identity, HIV status, minority status</w:t>
      </w:r>
      <w:r w:rsidR="004F7BE1">
        <w:rPr>
          <w:rFonts w:cs="Arial"/>
        </w:rPr>
        <w:t xml:space="preserve"> and</w:t>
      </w:r>
      <w:r w:rsidR="004F7BE1" w:rsidRPr="00A7225B">
        <w:rPr>
          <w:rFonts w:cs="Arial"/>
        </w:rPr>
        <w:t xml:space="preserve"> age</w:t>
      </w:r>
      <w:r w:rsidR="004F7BE1">
        <w:rPr>
          <w:rFonts w:cs="Arial"/>
        </w:rPr>
        <w:t>—</w:t>
      </w:r>
      <w:r w:rsidR="004F7BE1" w:rsidRPr="00A7225B">
        <w:rPr>
          <w:rFonts w:cs="Arial"/>
        </w:rPr>
        <w:t>impact the ways in which they are discriminated against and the types of violence perpetrated against them.</w:t>
      </w:r>
    </w:p>
    <w:p w14:paraId="39F242C9" w14:textId="77777777" w:rsidR="00A7225B" w:rsidRDefault="00A7225B" w:rsidP="00A7225B">
      <w:pPr>
        <w:rPr>
          <w:rFonts w:cs="Arial"/>
        </w:rPr>
      </w:pPr>
      <w:r w:rsidRPr="00A7225B">
        <w:rPr>
          <w:rFonts w:cs="Arial"/>
          <w:b/>
        </w:rPr>
        <w:t xml:space="preserve">Intimate partner violence: </w:t>
      </w:r>
      <w:r w:rsidRPr="00A7225B">
        <w:rPr>
          <w:rFonts w:cs="Arial"/>
        </w:rPr>
        <w:t>One of the most common forms of violence against women</w:t>
      </w:r>
      <w:r w:rsidR="00E33D9C">
        <w:rPr>
          <w:rFonts w:cs="Arial"/>
        </w:rPr>
        <w:t>. I</w:t>
      </w:r>
      <w:r w:rsidRPr="00A7225B">
        <w:rPr>
          <w:rFonts w:cs="Arial"/>
        </w:rPr>
        <w:t>ncludes physical, sexual and emotional abuse</w:t>
      </w:r>
      <w:r w:rsidR="00E33D9C">
        <w:rPr>
          <w:rFonts w:cs="Arial"/>
        </w:rPr>
        <w:t>,</w:t>
      </w:r>
      <w:r w:rsidRPr="00A7225B">
        <w:rPr>
          <w:rFonts w:cs="Arial"/>
        </w:rPr>
        <w:t xml:space="preserve"> and controlling behaviours by an intimate partner.</w:t>
      </w:r>
      <w:r w:rsidRPr="00A7225B">
        <w:rPr>
          <w:rFonts w:cs="Arial"/>
        </w:rPr>
        <w:fldChar w:fldCharType="begin"/>
      </w:r>
      <w:r w:rsidRPr="00A7225B">
        <w:rPr>
          <w:rFonts w:cs="Arial"/>
        </w:rPr>
        <w:instrText xml:space="preserve"> ADDIN ZOTERO_ITEM CSL_CITATION {"citationID":"vQ1Ys8dh","properties":{"formattedCitation":"\\super 11\\nosupersub{}","plainCitation":"11","noteIndex":0},"citationItems":[{"id":428,"uris":["http://zotero.org/users/4194704/items/PT8ZREQG"],"uri":["http://zotero.org/users/4194704/items/PT8ZREQG"],"itemData":{"id":428,"type":"book","title":"Preventing intimate partner and sexual violence against women: Taking action and generating evidence","publisher":"World Health Organisation","ISBN":"92-4-156400-8","author":[{"literal":"World Health Organisation (WHO)"}],"issued":{"date-parts":[["2010"]]}}}],"schema":"https://github.com/citation-style-language/schema/raw/master/csl-citation.json"} </w:instrText>
      </w:r>
      <w:r w:rsidRPr="00A7225B">
        <w:rPr>
          <w:rFonts w:cs="Arial"/>
        </w:rPr>
        <w:fldChar w:fldCharType="separate"/>
      </w:r>
      <w:r w:rsidRPr="00A7225B">
        <w:rPr>
          <w:rFonts w:cs="Arial"/>
          <w:vertAlign w:val="superscript"/>
          <w:lang w:val="en-US"/>
        </w:rPr>
        <w:t>11</w:t>
      </w:r>
      <w:r w:rsidRPr="00A7225B">
        <w:rPr>
          <w:rFonts w:cs="Arial"/>
        </w:rPr>
        <w:fldChar w:fldCharType="end"/>
      </w:r>
      <w:r w:rsidRPr="00A7225B">
        <w:rPr>
          <w:rFonts w:cs="Arial"/>
        </w:rPr>
        <w:t xml:space="preserve"> </w:t>
      </w:r>
    </w:p>
    <w:p w14:paraId="1DF8FDF3" w14:textId="77777777" w:rsidR="00A7225B" w:rsidRPr="00A7225B" w:rsidRDefault="00A7225B" w:rsidP="00A7225B">
      <w:pPr>
        <w:rPr>
          <w:rFonts w:cs="Arial"/>
        </w:rPr>
      </w:pPr>
      <w:r w:rsidRPr="00A7225B">
        <w:rPr>
          <w:rFonts w:cs="Arial"/>
          <w:b/>
        </w:rPr>
        <w:t>Protection order:</w:t>
      </w:r>
      <w:r w:rsidRPr="00A7225B">
        <w:rPr>
          <w:rFonts w:cs="Arial"/>
        </w:rPr>
        <w:t xml:space="preserve"> </w:t>
      </w:r>
      <w:r w:rsidR="00E33D9C">
        <w:rPr>
          <w:rFonts w:cs="Arial"/>
        </w:rPr>
        <w:t>R</w:t>
      </w:r>
      <w:r w:rsidRPr="00A7225B">
        <w:rPr>
          <w:rFonts w:cs="Arial"/>
        </w:rPr>
        <w:t>estraining order prohibit</w:t>
      </w:r>
      <w:r w:rsidR="004F7BE1">
        <w:rPr>
          <w:rFonts w:cs="Arial"/>
        </w:rPr>
        <w:t>ing</w:t>
      </w:r>
      <w:r w:rsidRPr="00A7225B">
        <w:rPr>
          <w:rFonts w:cs="Arial"/>
        </w:rPr>
        <w:t xml:space="preserve"> a perpetrator from hitting or abusing their partner, drinking alcohol, approaching the partner’s residence, or contacting the partner. Interim </w:t>
      </w:r>
      <w:r w:rsidR="00E33D9C">
        <w:rPr>
          <w:rFonts w:cs="Arial"/>
        </w:rPr>
        <w:t>p</w:t>
      </w:r>
      <w:r w:rsidRPr="00A7225B">
        <w:rPr>
          <w:rFonts w:cs="Arial"/>
        </w:rPr>
        <w:t xml:space="preserve">rotection </w:t>
      </w:r>
      <w:r w:rsidR="00E33D9C">
        <w:rPr>
          <w:rFonts w:cs="Arial"/>
        </w:rPr>
        <w:t>o</w:t>
      </w:r>
      <w:r w:rsidRPr="00A7225B">
        <w:rPr>
          <w:rFonts w:cs="Arial"/>
        </w:rPr>
        <w:t xml:space="preserve">rders are issued when there is an immediate threat of harm and usually last for only a short time. Permanent </w:t>
      </w:r>
      <w:r w:rsidR="00E33D9C">
        <w:rPr>
          <w:rFonts w:cs="Arial"/>
        </w:rPr>
        <w:t>p</w:t>
      </w:r>
      <w:r w:rsidRPr="00A7225B">
        <w:rPr>
          <w:rFonts w:cs="Arial"/>
        </w:rPr>
        <w:t xml:space="preserve">rotection </w:t>
      </w:r>
      <w:r w:rsidR="00E33D9C">
        <w:rPr>
          <w:rFonts w:cs="Arial"/>
        </w:rPr>
        <w:t>o</w:t>
      </w:r>
      <w:r w:rsidRPr="00A7225B">
        <w:rPr>
          <w:rFonts w:cs="Arial"/>
        </w:rPr>
        <w:t>rders come into effect after a full</w:t>
      </w:r>
      <w:r w:rsidR="004F7BE1">
        <w:rPr>
          <w:rFonts w:cs="Arial"/>
        </w:rPr>
        <w:t xml:space="preserve"> Court</w:t>
      </w:r>
      <w:r w:rsidRPr="00A7225B">
        <w:rPr>
          <w:rFonts w:cs="Arial"/>
        </w:rPr>
        <w:t xml:space="preserve"> hearing, with the abuser present, when the </w:t>
      </w:r>
      <w:r w:rsidR="00E33D9C">
        <w:rPr>
          <w:rFonts w:cs="Arial"/>
        </w:rPr>
        <w:t>C</w:t>
      </w:r>
      <w:r w:rsidRPr="00A7225B">
        <w:rPr>
          <w:rFonts w:cs="Arial"/>
        </w:rPr>
        <w:t>ourt determines an interim protection order should be extended.</w:t>
      </w:r>
      <w:r w:rsidRPr="00A7225B">
        <w:rPr>
          <w:rFonts w:cs="Arial"/>
        </w:rPr>
        <w:fldChar w:fldCharType="begin"/>
      </w:r>
      <w:r w:rsidRPr="00A7225B">
        <w:rPr>
          <w:rFonts w:cs="Arial"/>
        </w:rPr>
        <w:instrText xml:space="preserve"> ADDIN ZOTERO_ITEM CSL_CITATION {"citationID":"q6TZpPdZ","properties":{"formattedCitation":"\\super 13\\nosupersub{}","plainCitation":"13","noteIndex":0},"citationItems":[{"id":422,"uris":["http://zotero.org/users/4194704/items/HJBZE7HN"],"uri":["http://zotero.org/users/4194704/items/HJBZE7HN"],"itemData":{"id":422,"type":"webpage","title":"Women, Business, and the Law: Protecting women from violence","author":[{"literal":"World Bank"}],"issued":{"date-parts":[["2017"]]}}}],"schema":"https://github.com/citation-style-language/schema/raw/master/csl-citation.json"} </w:instrText>
      </w:r>
      <w:r w:rsidRPr="00A7225B">
        <w:rPr>
          <w:rFonts w:cs="Arial"/>
        </w:rPr>
        <w:fldChar w:fldCharType="separate"/>
      </w:r>
      <w:r w:rsidRPr="00A7225B">
        <w:rPr>
          <w:rFonts w:cs="Arial"/>
          <w:vertAlign w:val="superscript"/>
          <w:lang w:val="en-US"/>
        </w:rPr>
        <w:t>13</w:t>
      </w:r>
      <w:r w:rsidRPr="00A7225B">
        <w:rPr>
          <w:rFonts w:cs="Arial"/>
        </w:rPr>
        <w:fldChar w:fldCharType="end"/>
      </w:r>
    </w:p>
    <w:p w14:paraId="74332073" w14:textId="77777777" w:rsidR="00A7225B" w:rsidRPr="00A7225B" w:rsidRDefault="00A7225B" w:rsidP="00A7225B">
      <w:pPr>
        <w:rPr>
          <w:rFonts w:cs="Arial"/>
        </w:rPr>
      </w:pPr>
      <w:r w:rsidRPr="00A7225B">
        <w:rPr>
          <w:rFonts w:cs="Arial"/>
          <w:b/>
        </w:rPr>
        <w:t>Referral pathway/network:</w:t>
      </w:r>
      <w:r w:rsidRPr="00A30C30">
        <w:rPr>
          <w:rFonts w:cs="Arial"/>
          <w:bCs/>
        </w:rPr>
        <w:t xml:space="preserve"> </w:t>
      </w:r>
      <w:r w:rsidR="00D60027" w:rsidRPr="00A30C30">
        <w:rPr>
          <w:rFonts w:cs="Arial"/>
          <w:bCs/>
        </w:rPr>
        <w:t>F</w:t>
      </w:r>
      <w:r w:rsidR="00D60027" w:rsidRPr="00A7225B">
        <w:rPr>
          <w:rFonts w:cs="Arial"/>
        </w:rPr>
        <w:t>lexible</w:t>
      </w:r>
      <w:r w:rsidRPr="00A7225B">
        <w:rPr>
          <w:rFonts w:cs="Arial"/>
        </w:rPr>
        <w:t xml:space="preserve"> mechanism safely link</w:t>
      </w:r>
      <w:r w:rsidR="004F7BE1">
        <w:rPr>
          <w:rFonts w:cs="Arial"/>
        </w:rPr>
        <w:t>ing</w:t>
      </w:r>
      <w:r w:rsidRPr="00A7225B">
        <w:rPr>
          <w:rFonts w:cs="Arial"/>
        </w:rPr>
        <w:t xml:space="preserve"> survivors to supportive and competent services. </w:t>
      </w:r>
      <w:r w:rsidR="006207A0">
        <w:rPr>
          <w:rFonts w:cs="Arial"/>
        </w:rPr>
        <w:t>M</w:t>
      </w:r>
      <w:r w:rsidRPr="00A7225B">
        <w:rPr>
          <w:rFonts w:cs="Arial"/>
        </w:rPr>
        <w:t>ay include health, psychosocial, legal, security, or economic reintegration services.</w:t>
      </w:r>
      <w:r w:rsidRPr="00A7225B">
        <w:rPr>
          <w:rFonts w:cs="Arial"/>
        </w:rPr>
        <w:fldChar w:fldCharType="begin"/>
      </w:r>
      <w:r w:rsidRPr="00A7225B">
        <w:rPr>
          <w:rFonts w:cs="Arial"/>
        </w:rPr>
        <w:instrText xml:space="preserve"> ADDIN ZOTERO_ITEM CSL_CITATION {"citationID":"a2kajogd0ls","properties":{"formattedCitation":"\\super 14\\nosupersub{}","plainCitation":"14","noteIndex":0},"citationItems":[{"id":171,"uris":["http://zotero.org/users/4194704/items/F7QKX8P2"],"uri":["http://zotero.org/users/4194704/items/F7QKX8P2"],"itemData":{"id":171,"type":"webpage","title":"Guidelines for Integrating Gender-based Violence Interventions in Humanitarian Action: Reducing risk, promoting resilience and aiding recovery","author":[{"literal":"Inter-Agency Standing Committee (IASC)"}],"issued":{"date-parts":[["2015"]]}}}],"schema":"https://github.com/citation-style-language/schema/raw/master/csl-citation.json"} </w:instrText>
      </w:r>
      <w:r w:rsidRPr="00A7225B">
        <w:rPr>
          <w:rFonts w:cs="Arial"/>
        </w:rPr>
        <w:fldChar w:fldCharType="separate"/>
      </w:r>
      <w:r w:rsidRPr="00A7225B">
        <w:rPr>
          <w:rFonts w:cs="Arial"/>
          <w:vertAlign w:val="superscript"/>
          <w:lang w:val="en-US"/>
        </w:rPr>
        <w:t>14</w:t>
      </w:r>
      <w:r w:rsidRPr="00A7225B">
        <w:rPr>
          <w:rFonts w:cs="Arial"/>
        </w:rPr>
        <w:fldChar w:fldCharType="end"/>
      </w:r>
    </w:p>
    <w:p w14:paraId="6870DF6D" w14:textId="1113133E" w:rsidR="00A7225B" w:rsidRPr="00A7225B" w:rsidRDefault="00A7225B" w:rsidP="00A7225B">
      <w:pPr>
        <w:rPr>
          <w:rFonts w:cs="Arial"/>
        </w:rPr>
      </w:pPr>
      <w:r w:rsidRPr="00A7225B">
        <w:rPr>
          <w:rFonts w:cs="Arial"/>
          <w:b/>
        </w:rPr>
        <w:t xml:space="preserve">Sexual violence: </w:t>
      </w:r>
      <w:r w:rsidR="006207A0">
        <w:rPr>
          <w:rFonts w:cs="Arial"/>
        </w:rPr>
        <w:t>H</w:t>
      </w:r>
      <w:r w:rsidRPr="00A7225B">
        <w:rPr>
          <w:rFonts w:cs="Arial"/>
        </w:rPr>
        <w:t>appens where consent is not obtained or freely given</w:t>
      </w:r>
      <w:r w:rsidR="006207A0">
        <w:rPr>
          <w:rFonts w:cs="Arial"/>
        </w:rPr>
        <w:t xml:space="preserve"> for sexual activity</w:t>
      </w:r>
      <w:r w:rsidRPr="00A7225B">
        <w:rPr>
          <w:rFonts w:cs="Arial"/>
        </w:rPr>
        <w:t xml:space="preserve">. </w:t>
      </w:r>
      <w:r w:rsidR="006207A0">
        <w:rPr>
          <w:rFonts w:cs="Arial"/>
        </w:rPr>
        <w:t>C</w:t>
      </w:r>
      <w:r w:rsidRPr="00A7225B">
        <w:rPr>
          <w:rFonts w:cs="Arial"/>
        </w:rPr>
        <w:t>an occur in intimate partner and family contexts, workplaces, schools, and many other circumstances</w:t>
      </w:r>
      <w:r w:rsidR="006207A0">
        <w:rPr>
          <w:rFonts w:cs="Arial"/>
        </w:rPr>
        <w:t>. C</w:t>
      </w:r>
      <w:r w:rsidRPr="00A7225B">
        <w:rPr>
          <w:rFonts w:cs="Arial"/>
        </w:rPr>
        <w:t>an include sexual harassment, sexualised bullying, unwanted kissing and sexual touching, sexual pressure and coercion, trafficking for the purpose of sexual exploitation, forced marriage, and sexual assault, including rape.</w:t>
      </w:r>
      <w:r w:rsidRPr="00A7225B">
        <w:rPr>
          <w:rFonts w:cs="Arial"/>
        </w:rPr>
        <w:fldChar w:fldCharType="begin"/>
      </w:r>
      <w:r w:rsidRPr="00A7225B">
        <w:rPr>
          <w:rFonts w:cs="Arial"/>
        </w:rPr>
        <w:instrText xml:space="preserve"> ADDIN ZOTERO_ITEM CSL_CITATION {"citationID":"a2blrpm9fl1","properties":{"formattedCitation":"\\super 15\\nosupersub{}","plainCitation":"15","noteIndex":0},"citationItems":[{"id":2562,"uris":["http://zotero.org/users/4194704/items/XEU79SIL"],"uri":["http://zotero.org/users/4194704/items/XEU79SIL"],"itemData":{"id":2562,"type":"report","title":"Counting on change: A guide to prevention monitoring.","publisher":"Our Watch","publisher-place":"Melbourne, Australia","event-place":"Melbourne, Australia","author":[{"literal":"Our Watch"},{"literal":"ANROWS"}]}}],"schema":"https://github.com/citation-style-language/schema/raw/master/csl-citation.json"} </w:instrText>
      </w:r>
      <w:r w:rsidRPr="00A7225B">
        <w:rPr>
          <w:rFonts w:cs="Arial"/>
        </w:rPr>
        <w:fldChar w:fldCharType="separate"/>
      </w:r>
      <w:r w:rsidRPr="00A7225B">
        <w:rPr>
          <w:rFonts w:cs="Arial"/>
          <w:vertAlign w:val="superscript"/>
          <w:lang w:val="en-US"/>
        </w:rPr>
        <w:t>15</w:t>
      </w:r>
      <w:r w:rsidRPr="00A7225B">
        <w:rPr>
          <w:rFonts w:cs="Arial"/>
        </w:rPr>
        <w:fldChar w:fldCharType="end"/>
      </w:r>
    </w:p>
    <w:p w14:paraId="4D3837FB" w14:textId="77777777" w:rsidR="00A7225B" w:rsidRPr="00A7225B" w:rsidRDefault="00A7225B" w:rsidP="00A7225B">
      <w:pPr>
        <w:rPr>
          <w:rFonts w:cs="Arial"/>
        </w:rPr>
      </w:pPr>
      <w:r w:rsidRPr="00A7225B">
        <w:rPr>
          <w:rFonts w:cs="Arial"/>
          <w:b/>
        </w:rPr>
        <w:t>Socio-ecological framework</w:t>
      </w:r>
      <w:r w:rsidRPr="00A7225B">
        <w:rPr>
          <w:rFonts w:cs="Arial"/>
        </w:rPr>
        <w:t xml:space="preserve">: </w:t>
      </w:r>
      <w:r w:rsidR="00E509F9">
        <w:rPr>
          <w:rFonts w:cs="Arial"/>
        </w:rPr>
        <w:t xml:space="preserve">used </w:t>
      </w:r>
      <w:r w:rsidRPr="00A7225B">
        <w:rPr>
          <w:rFonts w:cs="Arial"/>
        </w:rPr>
        <w:t>for understanding drivers of violence across multiple levels, including an individual’s own experiences and characteristics, the dynamics of their relationship, their community context and gender norms, and the laws, policies, and practices governing the society in which they live.</w:t>
      </w:r>
      <w:r w:rsidRPr="00A7225B">
        <w:rPr>
          <w:rFonts w:cs="Arial"/>
        </w:rPr>
        <w:fldChar w:fldCharType="begin"/>
      </w:r>
      <w:r w:rsidRPr="00A7225B">
        <w:rPr>
          <w:rFonts w:cs="Arial"/>
        </w:rPr>
        <w:instrText xml:space="preserve"> ADDIN ZOTERO_ITEM CSL_CITATION {"citationID":"dmrHleBL","properties":{"formattedCitation":"\\super 16\\nosupersub{}","plainCitation":"16","noteIndex":0},"citationItems":[{"id":1033,"uris":["http://zotero.org/users/4194704/items/GS54LAXH"],"uri":["http://zotero.org/users/4194704/items/GS54LAXH"],"itemData":{"id":1033,"type":"article-journal","title":"Violence against women: an integrated, ecological framework","container-title":"Violence Against Women","page":"262-290","volume":"4","issue":"3","abstract":"This article encourages the widespread adoption of an integrated, ecological framework for understanding the origins of gender-based violence. An ecological approach to abuse conceptualizes violence as a multifaceted phenomenon grounded in an interplay among personal, situational, and sociocultural factors. Although drawing on the conceptual advances of earlier theorists, this article goes beyond their work in three significant ways. First, it uses the ecological framework as a heuristic tool to organize the existing research base into an intelligible whole. Whereas other theorists present the framework as a way to think about violence, few have attempted to establish what factors emerge as predictive of abuse at each level of the social ecology. Second, this article integrates results from international and cross-cultural research together with findings from North American social science. And finally, the framework draws from findings related to all types of physical and sexual abuse of women to encourage a more integrated approach to theory building regarding gender-based abuse.","DOI":"10.1177/1077801298004003002","ISSN":"1077-8012","journalAbbreviation":"Violence Against Women","author":[{"family":"Heise","given":"L. L."}],"issued":{"date-parts":[["1998"]]}}}],"schema":"https://github.com/citation-style-language/schema/raw/master/csl-citation.json"} </w:instrText>
      </w:r>
      <w:r w:rsidRPr="00A7225B">
        <w:rPr>
          <w:rFonts w:cs="Arial"/>
        </w:rPr>
        <w:fldChar w:fldCharType="separate"/>
      </w:r>
      <w:r w:rsidRPr="00A7225B">
        <w:rPr>
          <w:rFonts w:cs="Arial"/>
          <w:vertAlign w:val="superscript"/>
          <w:lang w:val="en-US"/>
        </w:rPr>
        <w:t>16</w:t>
      </w:r>
      <w:r w:rsidRPr="00A7225B">
        <w:rPr>
          <w:rFonts w:cs="Arial"/>
        </w:rPr>
        <w:fldChar w:fldCharType="end"/>
      </w:r>
      <w:r w:rsidRPr="00A7225B">
        <w:rPr>
          <w:rFonts w:cs="Arial"/>
        </w:rPr>
        <w:t xml:space="preserve"> </w:t>
      </w:r>
    </w:p>
    <w:p w14:paraId="00C87ACB" w14:textId="77777777" w:rsidR="00A7225B" w:rsidRPr="00A7225B" w:rsidRDefault="00A7225B" w:rsidP="00A7225B">
      <w:pPr>
        <w:rPr>
          <w:rFonts w:cs="Arial"/>
        </w:rPr>
      </w:pPr>
      <w:r w:rsidRPr="00A7225B">
        <w:rPr>
          <w:rFonts w:cs="Arial"/>
          <w:b/>
        </w:rPr>
        <w:t>Social norms:</w:t>
      </w:r>
      <w:r w:rsidRPr="00A7225B">
        <w:rPr>
          <w:rFonts w:cs="Arial"/>
        </w:rPr>
        <w:t xml:space="preserve"> </w:t>
      </w:r>
      <w:r w:rsidR="006207A0">
        <w:rPr>
          <w:rFonts w:cs="Arial"/>
        </w:rPr>
        <w:t>C</w:t>
      </w:r>
      <w:r w:rsidRPr="00A7225B">
        <w:rPr>
          <w:rFonts w:cs="Arial"/>
        </w:rPr>
        <w:t>ollectively held belief about what others do (typical) and what is expected of what others do within the group (appropriate)</w:t>
      </w:r>
      <w:r w:rsidR="00AC4D82">
        <w:rPr>
          <w:rFonts w:cs="Arial"/>
        </w:rPr>
        <w:t>.</w:t>
      </w:r>
      <w:r w:rsidRPr="00A7225B">
        <w:rPr>
          <w:rFonts w:cs="Arial"/>
          <w:vertAlign w:val="superscript"/>
        </w:rPr>
        <w:t>79</w:t>
      </w:r>
      <w:r w:rsidRPr="00A7225B">
        <w:rPr>
          <w:rFonts w:cs="Arial"/>
        </w:rPr>
        <w:t xml:space="preserve"> In terms of gender, social norms are essentially the behavioural expectations or rules pertain</w:t>
      </w:r>
      <w:r w:rsidR="006207A0">
        <w:rPr>
          <w:rFonts w:cs="Arial"/>
        </w:rPr>
        <w:t>ing</w:t>
      </w:r>
      <w:r w:rsidRPr="00A7225B">
        <w:rPr>
          <w:rFonts w:cs="Arial"/>
        </w:rPr>
        <w:t xml:space="preserve"> to gender roles, identities and relations, which determine individual thoughts and actions.</w:t>
      </w:r>
      <w:r w:rsidRPr="00A7225B">
        <w:rPr>
          <w:rFonts w:cs="Arial"/>
          <w:vertAlign w:val="superscript"/>
        </w:rPr>
        <w:t>80</w:t>
      </w:r>
      <w:r w:rsidRPr="00A7225B">
        <w:rPr>
          <w:rFonts w:cs="Arial"/>
        </w:rPr>
        <w:t xml:space="preserve"> </w:t>
      </w:r>
    </w:p>
    <w:p w14:paraId="261B72B9" w14:textId="77777777" w:rsidR="009B0986" w:rsidRPr="00A30C30" w:rsidRDefault="00A7225B" w:rsidP="00A7225B">
      <w:pPr>
        <w:rPr>
          <w:rStyle w:val="BodyTextChar"/>
          <w:rFonts w:cs="Arial"/>
        </w:rPr>
      </w:pPr>
      <w:r w:rsidRPr="00A7225B">
        <w:rPr>
          <w:rFonts w:cs="Arial"/>
          <w:b/>
        </w:rPr>
        <w:t xml:space="preserve">Social norms change: </w:t>
      </w:r>
      <w:r w:rsidRPr="00A7225B">
        <w:rPr>
          <w:rFonts w:cs="Arial"/>
        </w:rPr>
        <w:t>Interventions, like community mobilisation programming, seek</w:t>
      </w:r>
      <w:r w:rsidR="006207A0">
        <w:rPr>
          <w:rFonts w:cs="Arial"/>
        </w:rPr>
        <w:t>ing</w:t>
      </w:r>
      <w:r w:rsidRPr="00A7225B">
        <w:rPr>
          <w:rFonts w:cs="Arial"/>
        </w:rPr>
        <w:t xml:space="preserve"> to shift entrenched </w:t>
      </w:r>
      <w:r w:rsidRPr="00A7225B">
        <w:rPr>
          <w:rStyle w:val="BodyTextChar"/>
          <w:rFonts w:eastAsiaTheme="minorEastAsia" w:cs="Arial"/>
        </w:rPr>
        <w:t>norms, attitudes and behaviours. Emerging evidence and insights f</w:t>
      </w:r>
      <w:r w:rsidR="00D60027">
        <w:rPr>
          <w:rStyle w:val="BodyTextChar"/>
          <w:rFonts w:eastAsiaTheme="minorEastAsia" w:cs="Arial"/>
        </w:rPr>
        <w:t xml:space="preserve">rom practitioners suggest that </w:t>
      </w:r>
      <w:r w:rsidRPr="00A7225B">
        <w:rPr>
          <w:rStyle w:val="BodyTextChar"/>
          <w:rFonts w:eastAsiaTheme="minorEastAsia" w:cs="Arial"/>
        </w:rPr>
        <w:t>to shift harmful social norms</w:t>
      </w:r>
      <w:r w:rsidR="006207A0">
        <w:rPr>
          <w:rStyle w:val="BodyTextChar"/>
          <w:rFonts w:eastAsiaTheme="minorEastAsia" w:cs="Arial"/>
        </w:rPr>
        <w:t>,</w:t>
      </w:r>
      <w:r w:rsidRPr="00A7225B">
        <w:rPr>
          <w:rStyle w:val="BodyTextChar"/>
          <w:rFonts w:eastAsiaTheme="minorEastAsia" w:cs="Arial"/>
        </w:rPr>
        <w:t xml:space="preserve"> program</w:t>
      </w:r>
      <w:r w:rsidR="004F7BE1">
        <w:rPr>
          <w:rStyle w:val="BodyTextChar"/>
          <w:rFonts w:eastAsiaTheme="minorEastAsia" w:cs="Arial"/>
        </w:rPr>
        <w:t>s</w:t>
      </w:r>
      <w:r w:rsidRPr="00A7225B">
        <w:rPr>
          <w:rStyle w:val="BodyTextChar"/>
          <w:rFonts w:eastAsiaTheme="minorEastAsia" w:cs="Arial"/>
        </w:rPr>
        <w:t xml:space="preserve"> need to:</w:t>
      </w:r>
    </w:p>
    <w:p w14:paraId="060CE6CC" w14:textId="77777777" w:rsidR="009B0986" w:rsidRPr="00A30C30" w:rsidRDefault="00A7225B" w:rsidP="009B0986">
      <w:pPr>
        <w:pStyle w:val="ListNumber"/>
        <w:rPr>
          <w:rStyle w:val="BodyTextChar"/>
        </w:rPr>
      </w:pPr>
      <w:r w:rsidRPr="00A7225B">
        <w:rPr>
          <w:rStyle w:val="BodyTextChar"/>
          <w:rFonts w:eastAsiaTheme="minorEastAsia" w:cs="Arial"/>
        </w:rPr>
        <w:t>shift social expectations not just individual attitudes</w:t>
      </w:r>
    </w:p>
    <w:p w14:paraId="37FED8F1" w14:textId="77777777" w:rsidR="009B0986" w:rsidRPr="00A30C30" w:rsidRDefault="00A7225B" w:rsidP="009B0986">
      <w:pPr>
        <w:pStyle w:val="ListNumber"/>
        <w:rPr>
          <w:rStyle w:val="BodyTextChar"/>
        </w:rPr>
      </w:pPr>
      <w:r w:rsidRPr="00A7225B">
        <w:rPr>
          <w:rStyle w:val="BodyTextChar"/>
          <w:rFonts w:eastAsiaTheme="minorEastAsia" w:cs="Arial"/>
        </w:rPr>
        <w:t>publicise the change</w:t>
      </w:r>
    </w:p>
    <w:p w14:paraId="46D579EB" w14:textId="77777777" w:rsidR="00A7225B" w:rsidRPr="00A7225B" w:rsidRDefault="00A7225B" w:rsidP="00A30C30">
      <w:pPr>
        <w:pStyle w:val="ListNumber"/>
      </w:pPr>
      <w:r w:rsidRPr="00A7225B">
        <w:rPr>
          <w:rStyle w:val="BodyTextChar"/>
          <w:rFonts w:eastAsiaTheme="minorEastAsia" w:cs="Arial"/>
        </w:rPr>
        <w:t>catalyse and reinforce new norms and behaviours.</w:t>
      </w:r>
      <w:r w:rsidRPr="00A7225B">
        <w:fldChar w:fldCharType="begin"/>
      </w:r>
      <w:r w:rsidRPr="00A7225B">
        <w:instrText xml:space="preserve"> ADDIN ZOTERO_ITEM CSL_CITATION {"citationID":"2HfsUy1u","properties":{"formattedCitation":"\\super 17\\nosupersub{}","plainCitation":"17","noteIndex":0},"citationItems":[{"id":20,"uris":["http://zotero.org/users/4194704/items/VASCU5LS"],"uri":["http://zotero.org/users/4194704/items/VASCU5LS"],"itemData":{"id":20,"type":"report","title":"DFID Guidance Note: Shifting Social Norms to Tackle Violence against Women and Girls (VAWG)","publisher":"VAWG Helpdesk","publisher-place":"London","event-place":"London","author":[{"family":"Alexander-Scott","given":"Michaeljon"},{"family":"Bell","given":"Emma"},{"family":"Holden","given":"Jenny"}],"issued":{"date-parts":[["2016"]]}}}],"schema":"https://github.com/citation-style-language/schema/raw/master/csl-citation.json"} </w:instrText>
      </w:r>
      <w:r w:rsidRPr="00A7225B">
        <w:fldChar w:fldCharType="separate"/>
      </w:r>
      <w:r w:rsidRPr="00A7225B">
        <w:rPr>
          <w:vertAlign w:val="superscript"/>
          <w:lang w:val="en-US"/>
        </w:rPr>
        <w:t>17</w:t>
      </w:r>
      <w:r w:rsidRPr="00A7225B">
        <w:fldChar w:fldCharType="end"/>
      </w:r>
      <w:r w:rsidRPr="00A7225B">
        <w:t xml:space="preserve"> </w:t>
      </w:r>
    </w:p>
    <w:p w14:paraId="06B2FECC" w14:textId="77777777" w:rsidR="00A7225B" w:rsidRPr="00A7225B" w:rsidRDefault="00A7225B" w:rsidP="00A7225B">
      <w:pPr>
        <w:rPr>
          <w:rFonts w:cs="Arial"/>
        </w:rPr>
      </w:pPr>
      <w:r w:rsidRPr="00A7225B">
        <w:rPr>
          <w:rFonts w:cs="Arial"/>
          <w:b/>
        </w:rPr>
        <w:t xml:space="preserve">Survivor-centred approach: </w:t>
      </w:r>
      <w:r w:rsidR="004F7BE1">
        <w:rPr>
          <w:rFonts w:cs="Arial"/>
          <w:bCs/>
        </w:rPr>
        <w:t>A plan of action f</w:t>
      </w:r>
      <w:r w:rsidRPr="00A7225B">
        <w:rPr>
          <w:rFonts w:cs="Arial"/>
        </w:rPr>
        <w:t>or survivors who seek help in the wake of violence</w:t>
      </w:r>
      <w:r w:rsidR="004F7BE1">
        <w:rPr>
          <w:rFonts w:cs="Arial"/>
        </w:rPr>
        <w:t>. D</w:t>
      </w:r>
      <w:r w:rsidRPr="00A7225B">
        <w:rPr>
          <w:rFonts w:cs="Arial"/>
        </w:rPr>
        <w:t xml:space="preserve">riven by the survivor’s preferences, as </w:t>
      </w:r>
      <w:r w:rsidR="006207A0">
        <w:rPr>
          <w:rFonts w:cs="Arial"/>
        </w:rPr>
        <w:t>the survivor</w:t>
      </w:r>
      <w:r w:rsidR="006207A0" w:rsidRPr="00A7225B">
        <w:rPr>
          <w:rFonts w:cs="Arial"/>
        </w:rPr>
        <w:t xml:space="preserve"> </w:t>
      </w:r>
      <w:r w:rsidRPr="00A7225B">
        <w:rPr>
          <w:rFonts w:cs="Arial"/>
        </w:rPr>
        <w:t xml:space="preserve">is most familiar with </w:t>
      </w:r>
      <w:r w:rsidR="006207A0">
        <w:rPr>
          <w:rFonts w:cs="Arial"/>
        </w:rPr>
        <w:t>their</w:t>
      </w:r>
      <w:r w:rsidR="006207A0" w:rsidRPr="00A7225B">
        <w:rPr>
          <w:rFonts w:cs="Arial"/>
        </w:rPr>
        <w:t xml:space="preserve"> </w:t>
      </w:r>
      <w:r w:rsidRPr="00A7225B">
        <w:rPr>
          <w:rFonts w:cs="Arial"/>
        </w:rPr>
        <w:t xml:space="preserve">circumstances and level of comfort with the available </w:t>
      </w:r>
      <w:r w:rsidR="009D433A">
        <w:rPr>
          <w:rFonts w:cs="Arial"/>
        </w:rPr>
        <w:t>options</w:t>
      </w:r>
      <w:r w:rsidRPr="00A7225B">
        <w:rPr>
          <w:rFonts w:cs="Arial"/>
        </w:rPr>
        <w:t>, such as proceeding with prosecution.</w:t>
      </w:r>
      <w:r w:rsidRPr="00A7225B">
        <w:rPr>
          <w:rFonts w:cs="Arial"/>
        </w:rPr>
        <w:fldChar w:fldCharType="begin"/>
      </w:r>
      <w:r w:rsidRPr="00A7225B">
        <w:rPr>
          <w:rFonts w:cs="Arial"/>
        </w:rPr>
        <w:instrText xml:space="preserve"> ADDIN ZOTERO_ITEM CSL_CITATION {"citationID":"VxZFML0l","properties":{"formattedCitation":"\\super 18\\nosupersub{}","plainCitation":"18","noteIndex":0},"citationItems":[{"id":2,"uris":["http://zotero.org/users/4194704/items/BAXVMAXL"],"uri":["http://zotero.org/users/4194704/items/BAXVMAXL"],"itemData":{"id":2,"type":"report","title":"Responding to Intimate Partner Violence and Sexual Violence against Women: WHO clinical and policy guidelines","publisher":"WHO","publisher-place":"Geneva","event-place":"Geneva","URL":"http://www.who.int/reproductivehealth/publications/violence/9789241548595/en/","author":[{"literal":"World Health Organisation (WHO)"}],"issued":{"date-parts":[["2013"]]},"accessed":{"date-parts":[["2018",7,5]]}}}],"schema":"https://github.com/citation-style-language/schema/raw/master/csl-citation.json"} </w:instrText>
      </w:r>
      <w:r w:rsidRPr="00A7225B">
        <w:rPr>
          <w:rFonts w:cs="Arial"/>
        </w:rPr>
        <w:fldChar w:fldCharType="separate"/>
      </w:r>
      <w:r w:rsidRPr="00A7225B">
        <w:rPr>
          <w:rFonts w:cs="Arial"/>
          <w:vertAlign w:val="superscript"/>
          <w:lang w:val="en-US"/>
        </w:rPr>
        <w:t>18</w:t>
      </w:r>
      <w:r w:rsidRPr="00A7225B">
        <w:rPr>
          <w:rFonts w:cs="Arial"/>
        </w:rPr>
        <w:fldChar w:fldCharType="end"/>
      </w:r>
      <w:r w:rsidRPr="00A7225B">
        <w:rPr>
          <w:rFonts w:cs="Arial"/>
        </w:rPr>
        <w:t xml:space="preserve"> </w:t>
      </w:r>
    </w:p>
    <w:p w14:paraId="1BE58418" w14:textId="66BF9253" w:rsidR="00A7225B" w:rsidRPr="00A7225B" w:rsidRDefault="00A7225B" w:rsidP="00A7225B">
      <w:pPr>
        <w:rPr>
          <w:rFonts w:cs="Arial"/>
        </w:rPr>
      </w:pPr>
      <w:r w:rsidRPr="00A7225B">
        <w:rPr>
          <w:rFonts w:cs="Arial"/>
          <w:b/>
        </w:rPr>
        <w:t xml:space="preserve">Violence against women and girls: </w:t>
      </w:r>
      <w:r w:rsidR="006207A0">
        <w:rPr>
          <w:rFonts w:cs="Arial"/>
        </w:rPr>
        <w:t>A</w:t>
      </w:r>
      <w:r w:rsidRPr="00A7225B">
        <w:rPr>
          <w:rFonts w:cs="Arial"/>
        </w:rPr>
        <w:t xml:space="preserve">ny act of gender-based violence that results in, or is likely to result in, physical, sexual or mental harm or suffering to women and girls, including threats of such acts, coercion or arbitrary deprivation of liberty, whether occurring in public or private life (United Nations, 2013). </w:t>
      </w:r>
      <w:r w:rsidR="006207A0">
        <w:rPr>
          <w:rFonts w:cs="Arial"/>
        </w:rPr>
        <w:t>E</w:t>
      </w:r>
      <w:r w:rsidRPr="00A7225B">
        <w:rPr>
          <w:rFonts w:cs="Arial"/>
        </w:rPr>
        <w:t>ncompasses many forms of violence, including</w:t>
      </w:r>
      <w:r w:rsidR="006207A0">
        <w:rPr>
          <w:rFonts w:cs="Arial"/>
        </w:rPr>
        <w:t>:</w:t>
      </w:r>
      <w:r w:rsidRPr="00A7225B">
        <w:rPr>
          <w:rFonts w:cs="Arial"/>
        </w:rPr>
        <w:t xml:space="preserve"> by an intimate partner</w:t>
      </w:r>
      <w:r w:rsidR="006207A0">
        <w:rPr>
          <w:rFonts w:cs="Arial"/>
        </w:rPr>
        <w:t>;</w:t>
      </w:r>
      <w:r w:rsidRPr="00A7225B">
        <w:rPr>
          <w:rFonts w:cs="Arial"/>
        </w:rPr>
        <w:t xml:space="preserve"> rape</w:t>
      </w:r>
      <w:r w:rsidR="006207A0">
        <w:rPr>
          <w:rFonts w:cs="Arial"/>
        </w:rPr>
        <w:t>;</w:t>
      </w:r>
      <w:r w:rsidRPr="00A7225B">
        <w:rPr>
          <w:rFonts w:cs="Arial"/>
        </w:rPr>
        <w:t xml:space="preserve"> sexual assault and other forms perpetrated by someone other than a partner</w:t>
      </w:r>
      <w:r w:rsidR="006207A0">
        <w:rPr>
          <w:rFonts w:cs="Arial"/>
        </w:rPr>
        <w:t>;</w:t>
      </w:r>
      <w:r w:rsidRPr="00A7225B">
        <w:rPr>
          <w:rFonts w:cs="Arial"/>
        </w:rPr>
        <w:t xml:space="preserve"> child sexual abuse</w:t>
      </w:r>
      <w:r w:rsidR="006207A0">
        <w:rPr>
          <w:rFonts w:cs="Arial"/>
        </w:rPr>
        <w:t>;</w:t>
      </w:r>
      <w:r w:rsidRPr="00A7225B">
        <w:rPr>
          <w:rFonts w:cs="Arial"/>
        </w:rPr>
        <w:t xml:space="preserve"> forced prostitution</w:t>
      </w:r>
      <w:r w:rsidR="006207A0">
        <w:rPr>
          <w:rFonts w:cs="Arial"/>
        </w:rPr>
        <w:t>;</w:t>
      </w:r>
      <w:r w:rsidRPr="00A7225B">
        <w:rPr>
          <w:rFonts w:cs="Arial"/>
        </w:rPr>
        <w:t xml:space="preserve"> trafficking of women</w:t>
      </w:r>
      <w:r w:rsidR="006207A0">
        <w:rPr>
          <w:rFonts w:cs="Arial"/>
        </w:rPr>
        <w:t>;</w:t>
      </w:r>
      <w:r w:rsidRPr="00A7225B">
        <w:rPr>
          <w:rFonts w:cs="Arial"/>
        </w:rPr>
        <w:t xml:space="preserve"> harmful traditional practices</w:t>
      </w:r>
      <w:r w:rsidR="004F7BE1">
        <w:rPr>
          <w:rFonts w:cs="Arial"/>
        </w:rPr>
        <w:t>,</w:t>
      </w:r>
      <w:r w:rsidRPr="00A7225B">
        <w:rPr>
          <w:rFonts w:cs="Arial"/>
        </w:rPr>
        <w:t xml:space="preserve"> such as early forced marriage</w:t>
      </w:r>
      <w:r w:rsidR="00412D5C">
        <w:rPr>
          <w:rFonts w:cs="Arial"/>
        </w:rPr>
        <w:t>;</w:t>
      </w:r>
      <w:r w:rsidRPr="00A7225B">
        <w:rPr>
          <w:rFonts w:cs="Arial"/>
        </w:rPr>
        <w:t xml:space="preserve"> female genital mutilation</w:t>
      </w:r>
      <w:r w:rsidR="004F7BE1">
        <w:rPr>
          <w:rFonts w:cs="Arial"/>
        </w:rPr>
        <w:t>;</w:t>
      </w:r>
      <w:r w:rsidRPr="00A7225B">
        <w:rPr>
          <w:rFonts w:cs="Arial"/>
        </w:rPr>
        <w:t xml:space="preserve"> honour killing.</w:t>
      </w:r>
      <w:r w:rsidRPr="00A7225B">
        <w:rPr>
          <w:rFonts w:cs="Arial"/>
        </w:rPr>
        <w:fldChar w:fldCharType="begin"/>
      </w:r>
      <w:r w:rsidRPr="00A7225B">
        <w:rPr>
          <w:rFonts w:cs="Arial"/>
        </w:rPr>
        <w:instrText xml:space="preserve"> ADDIN ZOTERO_ITEM CSL_CITATION {"citationID":"HuCKLE9i","properties":{"formattedCitation":"\\super 19\\nosupersub{}","plainCitation":"19","noteIndex":0},"citationItems":[{"id":1815,"uris":["http://zotero.org/users/4194704/items/AJ8ZN6EH"],"uri":["http://zotero.org/users/4194704/items/AJ8ZN6EH"],"itemData":{"id":1815,"type":"article-journal","title":"Public health. Violence against women","container-title":"Science (New York, N.Y.)","page":"1282-1283","volume":"310","issue":"5752","DOI":"10/5752/1282","ISSN":"1095-9203","journalAbbreviation":"Science","author":[{"family":"Garcia-Moreno","given":"C."},{"family":"Heise","given":"L."},{"family":"Jansen","given":"H. A."},{"family":"Ellsberg","given":"M."},{"family":"Watts","given":"C."}],"issued":{"date-parts":[["2005"]]}}}],"schema":"https://github.com/citation-style-language/schema/raw/master/csl-citation.json"} </w:instrText>
      </w:r>
      <w:r w:rsidRPr="00A7225B">
        <w:rPr>
          <w:rFonts w:cs="Arial"/>
        </w:rPr>
        <w:fldChar w:fldCharType="separate"/>
      </w:r>
      <w:r w:rsidRPr="00A7225B">
        <w:rPr>
          <w:rFonts w:cs="Arial"/>
          <w:vertAlign w:val="superscript"/>
          <w:lang w:val="en-US"/>
        </w:rPr>
        <w:t>19</w:t>
      </w:r>
      <w:r w:rsidRPr="00A7225B">
        <w:rPr>
          <w:rFonts w:cs="Arial"/>
        </w:rPr>
        <w:fldChar w:fldCharType="end"/>
      </w:r>
    </w:p>
    <w:p w14:paraId="4F095819" w14:textId="77777777" w:rsidR="00C636DA" w:rsidRDefault="00C636DA" w:rsidP="00BD7B83">
      <w:pPr>
        <w:pStyle w:val="TOCHeading"/>
      </w:pPr>
      <w:bookmarkStart w:id="28" w:name="_Toc23434524"/>
      <w:r w:rsidRPr="00BD7B83">
        <w:t>Contents</w:t>
      </w:r>
      <w:bookmarkEnd w:id="28"/>
    </w:p>
    <w:p w14:paraId="66E43276" w14:textId="2E857FB8" w:rsidR="00C92E2E" w:rsidRDefault="00D7454B">
      <w:pPr>
        <w:pStyle w:val="TOC1"/>
        <w:rPr>
          <w:rFonts w:asciiTheme="minorHAnsi" w:eastAsiaTheme="minorEastAsia" w:hAnsiTheme="minorHAnsi"/>
          <w:b w:val="0"/>
          <w:noProof/>
          <w:color w:val="auto"/>
          <w:sz w:val="22"/>
          <w:lang w:eastAsia="en-AU"/>
        </w:rPr>
      </w:pPr>
      <w:r>
        <w:fldChar w:fldCharType="begin"/>
      </w:r>
      <w:r>
        <w:instrText xml:space="preserve"> TOC \o "1-1" \h \z \t "Heading 2,2,TOC Heading,1,Annex Sub Heading,2" </w:instrText>
      </w:r>
      <w:r>
        <w:fldChar w:fldCharType="separate"/>
      </w:r>
      <w:hyperlink w:anchor="_Toc23434520" w:history="1">
        <w:r w:rsidR="00C92E2E" w:rsidRPr="00BB7074">
          <w:rPr>
            <w:rStyle w:val="Hyperlink"/>
            <w:noProof/>
            <w:lang w:val="en-GB" w:eastAsia="en-GB"/>
          </w:rPr>
          <w:t>Foreword</w:t>
        </w:r>
        <w:r w:rsidR="00C92E2E">
          <w:rPr>
            <w:noProof/>
            <w:webHidden/>
          </w:rPr>
          <w:tab/>
        </w:r>
        <w:r w:rsidR="00C92E2E">
          <w:rPr>
            <w:noProof/>
            <w:webHidden/>
          </w:rPr>
          <w:fldChar w:fldCharType="begin"/>
        </w:r>
        <w:r w:rsidR="00C92E2E">
          <w:rPr>
            <w:noProof/>
            <w:webHidden/>
          </w:rPr>
          <w:instrText xml:space="preserve"> PAGEREF _Toc23434520 \h </w:instrText>
        </w:r>
        <w:r w:rsidR="00C92E2E">
          <w:rPr>
            <w:noProof/>
            <w:webHidden/>
          </w:rPr>
        </w:r>
        <w:r w:rsidR="00C92E2E">
          <w:rPr>
            <w:noProof/>
            <w:webHidden/>
          </w:rPr>
          <w:fldChar w:fldCharType="separate"/>
        </w:r>
        <w:r w:rsidR="00C92E2E">
          <w:rPr>
            <w:noProof/>
            <w:webHidden/>
          </w:rPr>
          <w:t>3</w:t>
        </w:r>
        <w:r w:rsidR="00C92E2E">
          <w:rPr>
            <w:noProof/>
            <w:webHidden/>
          </w:rPr>
          <w:fldChar w:fldCharType="end"/>
        </w:r>
      </w:hyperlink>
    </w:p>
    <w:p w14:paraId="5B70CDD4" w14:textId="2D05C8BF" w:rsidR="00C92E2E" w:rsidRDefault="00A46FF6">
      <w:pPr>
        <w:pStyle w:val="TOC1"/>
        <w:rPr>
          <w:rFonts w:asciiTheme="minorHAnsi" w:eastAsiaTheme="minorEastAsia" w:hAnsiTheme="minorHAnsi"/>
          <w:b w:val="0"/>
          <w:noProof/>
          <w:color w:val="auto"/>
          <w:sz w:val="22"/>
          <w:lang w:eastAsia="en-AU"/>
        </w:rPr>
      </w:pPr>
      <w:hyperlink w:anchor="_Toc23434521" w:history="1">
        <w:r w:rsidR="00C92E2E" w:rsidRPr="00BB7074">
          <w:rPr>
            <w:rStyle w:val="Hyperlink"/>
            <w:noProof/>
            <w:lang w:val="en-GB" w:eastAsia="en-GB"/>
          </w:rPr>
          <w:t>Acknowledgements</w:t>
        </w:r>
        <w:r w:rsidR="00C92E2E">
          <w:rPr>
            <w:noProof/>
            <w:webHidden/>
          </w:rPr>
          <w:tab/>
        </w:r>
        <w:r w:rsidR="00C92E2E">
          <w:rPr>
            <w:noProof/>
            <w:webHidden/>
          </w:rPr>
          <w:fldChar w:fldCharType="begin"/>
        </w:r>
        <w:r w:rsidR="00C92E2E">
          <w:rPr>
            <w:noProof/>
            <w:webHidden/>
          </w:rPr>
          <w:instrText xml:space="preserve"> PAGEREF _Toc23434521 \h </w:instrText>
        </w:r>
        <w:r w:rsidR="00C92E2E">
          <w:rPr>
            <w:noProof/>
            <w:webHidden/>
          </w:rPr>
        </w:r>
        <w:r w:rsidR="00C92E2E">
          <w:rPr>
            <w:noProof/>
            <w:webHidden/>
          </w:rPr>
          <w:fldChar w:fldCharType="separate"/>
        </w:r>
        <w:r w:rsidR="00C92E2E">
          <w:rPr>
            <w:noProof/>
            <w:webHidden/>
          </w:rPr>
          <w:t>4</w:t>
        </w:r>
        <w:r w:rsidR="00C92E2E">
          <w:rPr>
            <w:noProof/>
            <w:webHidden/>
          </w:rPr>
          <w:fldChar w:fldCharType="end"/>
        </w:r>
      </w:hyperlink>
    </w:p>
    <w:p w14:paraId="11952C9D" w14:textId="6ACEA0AF" w:rsidR="00C92E2E" w:rsidRDefault="00A46FF6">
      <w:pPr>
        <w:pStyle w:val="TOC1"/>
        <w:rPr>
          <w:rFonts w:asciiTheme="minorHAnsi" w:eastAsiaTheme="minorEastAsia" w:hAnsiTheme="minorHAnsi"/>
          <w:b w:val="0"/>
          <w:noProof/>
          <w:color w:val="auto"/>
          <w:sz w:val="22"/>
          <w:lang w:eastAsia="en-AU"/>
        </w:rPr>
      </w:pPr>
      <w:hyperlink w:anchor="_Toc23434522" w:history="1">
        <w:r w:rsidR="00C92E2E" w:rsidRPr="00BB7074">
          <w:rPr>
            <w:rStyle w:val="Hyperlink"/>
            <w:noProof/>
            <w:lang w:val="en-GB" w:eastAsia="en-GB"/>
          </w:rPr>
          <w:t>Acronyms and abbreviations</w:t>
        </w:r>
        <w:r w:rsidR="00C92E2E">
          <w:rPr>
            <w:noProof/>
            <w:webHidden/>
          </w:rPr>
          <w:tab/>
        </w:r>
        <w:r w:rsidR="00C92E2E">
          <w:rPr>
            <w:noProof/>
            <w:webHidden/>
          </w:rPr>
          <w:fldChar w:fldCharType="begin"/>
        </w:r>
        <w:r w:rsidR="00C92E2E">
          <w:rPr>
            <w:noProof/>
            <w:webHidden/>
          </w:rPr>
          <w:instrText xml:space="preserve"> PAGEREF _Toc23434522 \h </w:instrText>
        </w:r>
        <w:r w:rsidR="00C92E2E">
          <w:rPr>
            <w:noProof/>
            <w:webHidden/>
          </w:rPr>
        </w:r>
        <w:r w:rsidR="00C92E2E">
          <w:rPr>
            <w:noProof/>
            <w:webHidden/>
          </w:rPr>
          <w:fldChar w:fldCharType="separate"/>
        </w:r>
        <w:r w:rsidR="00C92E2E">
          <w:rPr>
            <w:noProof/>
            <w:webHidden/>
          </w:rPr>
          <w:t>5</w:t>
        </w:r>
        <w:r w:rsidR="00C92E2E">
          <w:rPr>
            <w:noProof/>
            <w:webHidden/>
          </w:rPr>
          <w:fldChar w:fldCharType="end"/>
        </w:r>
      </w:hyperlink>
    </w:p>
    <w:p w14:paraId="22DD3A69" w14:textId="2527E970" w:rsidR="00C92E2E" w:rsidRDefault="00A46FF6">
      <w:pPr>
        <w:pStyle w:val="TOC1"/>
        <w:rPr>
          <w:rFonts w:asciiTheme="minorHAnsi" w:eastAsiaTheme="minorEastAsia" w:hAnsiTheme="minorHAnsi"/>
          <w:b w:val="0"/>
          <w:noProof/>
          <w:color w:val="auto"/>
          <w:sz w:val="22"/>
          <w:lang w:eastAsia="en-AU"/>
        </w:rPr>
      </w:pPr>
      <w:hyperlink w:anchor="_Toc23434523" w:history="1">
        <w:r w:rsidR="00C92E2E" w:rsidRPr="00BB7074">
          <w:rPr>
            <w:rStyle w:val="Hyperlink"/>
            <w:noProof/>
          </w:rPr>
          <w:t>Glossary</w:t>
        </w:r>
        <w:r w:rsidR="00C92E2E">
          <w:rPr>
            <w:noProof/>
            <w:webHidden/>
          </w:rPr>
          <w:tab/>
        </w:r>
        <w:r w:rsidR="00C92E2E">
          <w:rPr>
            <w:noProof/>
            <w:webHidden/>
          </w:rPr>
          <w:fldChar w:fldCharType="begin"/>
        </w:r>
        <w:r w:rsidR="00C92E2E">
          <w:rPr>
            <w:noProof/>
            <w:webHidden/>
          </w:rPr>
          <w:instrText xml:space="preserve"> PAGEREF _Toc23434523 \h </w:instrText>
        </w:r>
        <w:r w:rsidR="00C92E2E">
          <w:rPr>
            <w:noProof/>
            <w:webHidden/>
          </w:rPr>
        </w:r>
        <w:r w:rsidR="00C92E2E">
          <w:rPr>
            <w:noProof/>
            <w:webHidden/>
          </w:rPr>
          <w:fldChar w:fldCharType="separate"/>
        </w:r>
        <w:r w:rsidR="00C92E2E">
          <w:rPr>
            <w:noProof/>
            <w:webHidden/>
          </w:rPr>
          <w:t>6</w:t>
        </w:r>
        <w:r w:rsidR="00C92E2E">
          <w:rPr>
            <w:noProof/>
            <w:webHidden/>
          </w:rPr>
          <w:fldChar w:fldCharType="end"/>
        </w:r>
      </w:hyperlink>
    </w:p>
    <w:p w14:paraId="1C168A8A" w14:textId="6FE35D2A" w:rsidR="00C92E2E" w:rsidRDefault="00A46FF6">
      <w:pPr>
        <w:pStyle w:val="TOC1"/>
        <w:rPr>
          <w:rFonts w:asciiTheme="minorHAnsi" w:eastAsiaTheme="minorEastAsia" w:hAnsiTheme="minorHAnsi"/>
          <w:b w:val="0"/>
          <w:noProof/>
          <w:color w:val="auto"/>
          <w:sz w:val="22"/>
          <w:lang w:eastAsia="en-AU"/>
        </w:rPr>
      </w:pPr>
      <w:hyperlink w:anchor="_Toc23434524" w:history="1">
        <w:r w:rsidR="00C92E2E" w:rsidRPr="00BB7074">
          <w:rPr>
            <w:rStyle w:val="Hyperlink"/>
            <w:noProof/>
          </w:rPr>
          <w:t>Contents</w:t>
        </w:r>
        <w:r w:rsidR="00C92E2E">
          <w:rPr>
            <w:noProof/>
            <w:webHidden/>
          </w:rPr>
          <w:tab/>
        </w:r>
        <w:r w:rsidR="00C92E2E">
          <w:rPr>
            <w:noProof/>
            <w:webHidden/>
          </w:rPr>
          <w:fldChar w:fldCharType="begin"/>
        </w:r>
        <w:r w:rsidR="00C92E2E">
          <w:rPr>
            <w:noProof/>
            <w:webHidden/>
          </w:rPr>
          <w:instrText xml:space="preserve"> PAGEREF _Toc23434524 \h </w:instrText>
        </w:r>
        <w:r w:rsidR="00C92E2E">
          <w:rPr>
            <w:noProof/>
            <w:webHidden/>
          </w:rPr>
        </w:r>
        <w:r w:rsidR="00C92E2E">
          <w:rPr>
            <w:noProof/>
            <w:webHidden/>
          </w:rPr>
          <w:fldChar w:fldCharType="separate"/>
        </w:r>
        <w:r w:rsidR="00C92E2E">
          <w:rPr>
            <w:noProof/>
            <w:webHidden/>
          </w:rPr>
          <w:t>8</w:t>
        </w:r>
        <w:r w:rsidR="00C92E2E">
          <w:rPr>
            <w:noProof/>
            <w:webHidden/>
          </w:rPr>
          <w:fldChar w:fldCharType="end"/>
        </w:r>
      </w:hyperlink>
    </w:p>
    <w:p w14:paraId="27CD930C" w14:textId="0D489B65" w:rsidR="00C92E2E" w:rsidRDefault="00A46FF6">
      <w:pPr>
        <w:pStyle w:val="TOC1"/>
        <w:rPr>
          <w:rFonts w:asciiTheme="minorHAnsi" w:eastAsiaTheme="minorEastAsia" w:hAnsiTheme="minorHAnsi"/>
          <w:b w:val="0"/>
          <w:noProof/>
          <w:color w:val="auto"/>
          <w:sz w:val="22"/>
          <w:lang w:eastAsia="en-AU"/>
        </w:rPr>
      </w:pPr>
      <w:hyperlink w:anchor="_Toc23434525" w:history="1">
        <w:r w:rsidR="00C92E2E" w:rsidRPr="00BB7074">
          <w:rPr>
            <w:rStyle w:val="Hyperlink"/>
            <w:noProof/>
          </w:rPr>
          <w:t>Table of figures</w:t>
        </w:r>
        <w:r w:rsidR="00C92E2E">
          <w:rPr>
            <w:noProof/>
            <w:webHidden/>
          </w:rPr>
          <w:tab/>
        </w:r>
        <w:r w:rsidR="00C92E2E">
          <w:rPr>
            <w:noProof/>
            <w:webHidden/>
          </w:rPr>
          <w:fldChar w:fldCharType="begin"/>
        </w:r>
        <w:r w:rsidR="00C92E2E">
          <w:rPr>
            <w:noProof/>
            <w:webHidden/>
          </w:rPr>
          <w:instrText xml:space="preserve"> PAGEREF _Toc23434525 \h </w:instrText>
        </w:r>
        <w:r w:rsidR="00C92E2E">
          <w:rPr>
            <w:noProof/>
            <w:webHidden/>
          </w:rPr>
        </w:r>
        <w:r w:rsidR="00C92E2E">
          <w:rPr>
            <w:noProof/>
            <w:webHidden/>
          </w:rPr>
          <w:fldChar w:fldCharType="separate"/>
        </w:r>
        <w:r w:rsidR="00C92E2E">
          <w:rPr>
            <w:noProof/>
            <w:webHidden/>
          </w:rPr>
          <w:t>10</w:t>
        </w:r>
        <w:r w:rsidR="00C92E2E">
          <w:rPr>
            <w:noProof/>
            <w:webHidden/>
          </w:rPr>
          <w:fldChar w:fldCharType="end"/>
        </w:r>
      </w:hyperlink>
    </w:p>
    <w:p w14:paraId="148EEEB5" w14:textId="725D6626" w:rsidR="00C92E2E" w:rsidRDefault="00A46FF6">
      <w:pPr>
        <w:pStyle w:val="TOC1"/>
        <w:rPr>
          <w:rFonts w:asciiTheme="minorHAnsi" w:eastAsiaTheme="minorEastAsia" w:hAnsiTheme="minorHAnsi"/>
          <w:b w:val="0"/>
          <w:noProof/>
          <w:color w:val="auto"/>
          <w:sz w:val="22"/>
          <w:lang w:eastAsia="en-AU"/>
        </w:rPr>
      </w:pPr>
      <w:hyperlink w:anchor="_Toc23434526" w:history="1">
        <w:r w:rsidR="00C92E2E" w:rsidRPr="00BB7074">
          <w:rPr>
            <w:rStyle w:val="Hyperlink"/>
            <w:noProof/>
          </w:rPr>
          <w:t>Executive summary</w:t>
        </w:r>
        <w:r w:rsidR="00C92E2E">
          <w:rPr>
            <w:noProof/>
            <w:webHidden/>
          </w:rPr>
          <w:tab/>
        </w:r>
        <w:r w:rsidR="00C92E2E">
          <w:rPr>
            <w:noProof/>
            <w:webHidden/>
          </w:rPr>
          <w:fldChar w:fldCharType="begin"/>
        </w:r>
        <w:r w:rsidR="00C92E2E">
          <w:rPr>
            <w:noProof/>
            <w:webHidden/>
          </w:rPr>
          <w:instrText xml:space="preserve"> PAGEREF _Toc23434526 \h </w:instrText>
        </w:r>
        <w:r w:rsidR="00C92E2E">
          <w:rPr>
            <w:noProof/>
            <w:webHidden/>
          </w:rPr>
        </w:r>
        <w:r w:rsidR="00C92E2E">
          <w:rPr>
            <w:noProof/>
            <w:webHidden/>
          </w:rPr>
          <w:fldChar w:fldCharType="separate"/>
        </w:r>
        <w:r w:rsidR="00C92E2E">
          <w:rPr>
            <w:noProof/>
            <w:webHidden/>
          </w:rPr>
          <w:t>11</w:t>
        </w:r>
        <w:r w:rsidR="00C92E2E">
          <w:rPr>
            <w:noProof/>
            <w:webHidden/>
          </w:rPr>
          <w:fldChar w:fldCharType="end"/>
        </w:r>
      </w:hyperlink>
    </w:p>
    <w:p w14:paraId="4A6843D6" w14:textId="6D57FF9E" w:rsidR="00C92E2E" w:rsidRDefault="00A46FF6">
      <w:pPr>
        <w:pStyle w:val="TOC1"/>
        <w:rPr>
          <w:rFonts w:asciiTheme="minorHAnsi" w:eastAsiaTheme="minorEastAsia" w:hAnsiTheme="minorHAnsi"/>
          <w:b w:val="0"/>
          <w:noProof/>
          <w:color w:val="auto"/>
          <w:sz w:val="22"/>
          <w:lang w:eastAsia="en-AU"/>
        </w:rPr>
      </w:pPr>
      <w:hyperlink w:anchor="_Toc23434527" w:history="1">
        <w:r w:rsidR="00C92E2E" w:rsidRPr="00BB7074">
          <w:rPr>
            <w:rStyle w:val="Hyperlink"/>
            <w:noProof/>
          </w:rPr>
          <w:t>Management response</w:t>
        </w:r>
        <w:r w:rsidR="00C92E2E">
          <w:rPr>
            <w:noProof/>
            <w:webHidden/>
          </w:rPr>
          <w:tab/>
        </w:r>
        <w:r w:rsidR="00C92E2E">
          <w:rPr>
            <w:noProof/>
            <w:webHidden/>
          </w:rPr>
          <w:fldChar w:fldCharType="begin"/>
        </w:r>
        <w:r w:rsidR="00C92E2E">
          <w:rPr>
            <w:noProof/>
            <w:webHidden/>
          </w:rPr>
          <w:instrText xml:space="preserve"> PAGEREF _Toc23434527 \h </w:instrText>
        </w:r>
        <w:r w:rsidR="00C92E2E">
          <w:rPr>
            <w:noProof/>
            <w:webHidden/>
          </w:rPr>
        </w:r>
        <w:r w:rsidR="00C92E2E">
          <w:rPr>
            <w:noProof/>
            <w:webHidden/>
          </w:rPr>
          <w:fldChar w:fldCharType="separate"/>
        </w:r>
        <w:r w:rsidR="00C92E2E">
          <w:rPr>
            <w:noProof/>
            <w:webHidden/>
          </w:rPr>
          <w:t>17</w:t>
        </w:r>
        <w:r w:rsidR="00C92E2E">
          <w:rPr>
            <w:noProof/>
            <w:webHidden/>
          </w:rPr>
          <w:fldChar w:fldCharType="end"/>
        </w:r>
      </w:hyperlink>
    </w:p>
    <w:p w14:paraId="1CFF376B" w14:textId="632219E5" w:rsidR="00C92E2E" w:rsidRDefault="00A46FF6">
      <w:pPr>
        <w:pStyle w:val="TOC1"/>
        <w:rPr>
          <w:rFonts w:asciiTheme="minorHAnsi" w:eastAsiaTheme="minorEastAsia" w:hAnsiTheme="minorHAnsi"/>
          <w:b w:val="0"/>
          <w:noProof/>
          <w:color w:val="auto"/>
          <w:sz w:val="22"/>
          <w:lang w:eastAsia="en-AU"/>
        </w:rPr>
      </w:pPr>
      <w:hyperlink w:anchor="_Toc23434528" w:history="1">
        <w:r w:rsidR="00C92E2E" w:rsidRPr="00BB7074">
          <w:rPr>
            <w:rStyle w:val="Hyperlink"/>
            <w:noProof/>
          </w:rPr>
          <w:t>Chapter 1: Introduction</w:t>
        </w:r>
        <w:r w:rsidR="00C92E2E">
          <w:rPr>
            <w:noProof/>
            <w:webHidden/>
          </w:rPr>
          <w:tab/>
        </w:r>
        <w:r w:rsidR="00C92E2E">
          <w:rPr>
            <w:noProof/>
            <w:webHidden/>
          </w:rPr>
          <w:fldChar w:fldCharType="begin"/>
        </w:r>
        <w:r w:rsidR="00C92E2E">
          <w:rPr>
            <w:noProof/>
            <w:webHidden/>
          </w:rPr>
          <w:instrText xml:space="preserve"> PAGEREF _Toc23434528 \h </w:instrText>
        </w:r>
        <w:r w:rsidR="00C92E2E">
          <w:rPr>
            <w:noProof/>
            <w:webHidden/>
          </w:rPr>
        </w:r>
        <w:r w:rsidR="00C92E2E">
          <w:rPr>
            <w:noProof/>
            <w:webHidden/>
          </w:rPr>
          <w:fldChar w:fldCharType="separate"/>
        </w:r>
        <w:r w:rsidR="00C92E2E">
          <w:rPr>
            <w:noProof/>
            <w:webHidden/>
          </w:rPr>
          <w:t>27</w:t>
        </w:r>
        <w:r w:rsidR="00C92E2E">
          <w:rPr>
            <w:noProof/>
            <w:webHidden/>
          </w:rPr>
          <w:fldChar w:fldCharType="end"/>
        </w:r>
      </w:hyperlink>
    </w:p>
    <w:p w14:paraId="05FDD313" w14:textId="2C553C25" w:rsidR="00C92E2E" w:rsidRDefault="00A46FF6">
      <w:pPr>
        <w:pStyle w:val="TOC2"/>
        <w:rPr>
          <w:rFonts w:asciiTheme="minorHAnsi" w:eastAsiaTheme="minorEastAsia" w:hAnsiTheme="minorHAnsi"/>
          <w:noProof/>
          <w:color w:val="auto"/>
          <w:sz w:val="22"/>
          <w:lang w:eastAsia="en-AU"/>
        </w:rPr>
      </w:pPr>
      <w:hyperlink w:anchor="_Toc23434529" w:history="1">
        <w:r w:rsidR="00C92E2E" w:rsidRPr="00BB7074">
          <w:rPr>
            <w:rStyle w:val="Hyperlink"/>
            <w:noProof/>
          </w:rPr>
          <w:t>1.1. About this evaluation</w:t>
        </w:r>
        <w:r w:rsidR="00C92E2E">
          <w:rPr>
            <w:noProof/>
            <w:webHidden/>
          </w:rPr>
          <w:tab/>
        </w:r>
        <w:r w:rsidR="00C92E2E">
          <w:rPr>
            <w:noProof/>
            <w:webHidden/>
          </w:rPr>
          <w:fldChar w:fldCharType="begin"/>
        </w:r>
        <w:r w:rsidR="00C92E2E">
          <w:rPr>
            <w:noProof/>
            <w:webHidden/>
          </w:rPr>
          <w:instrText xml:space="preserve"> PAGEREF _Toc23434529 \h </w:instrText>
        </w:r>
        <w:r w:rsidR="00C92E2E">
          <w:rPr>
            <w:noProof/>
            <w:webHidden/>
          </w:rPr>
        </w:r>
        <w:r w:rsidR="00C92E2E">
          <w:rPr>
            <w:noProof/>
            <w:webHidden/>
          </w:rPr>
          <w:fldChar w:fldCharType="separate"/>
        </w:r>
        <w:r w:rsidR="00C92E2E">
          <w:rPr>
            <w:noProof/>
            <w:webHidden/>
          </w:rPr>
          <w:t>27</w:t>
        </w:r>
        <w:r w:rsidR="00C92E2E">
          <w:rPr>
            <w:noProof/>
            <w:webHidden/>
          </w:rPr>
          <w:fldChar w:fldCharType="end"/>
        </w:r>
      </w:hyperlink>
    </w:p>
    <w:p w14:paraId="75973326" w14:textId="187CC223" w:rsidR="00C92E2E" w:rsidRDefault="00A46FF6">
      <w:pPr>
        <w:pStyle w:val="TOC2"/>
        <w:rPr>
          <w:rFonts w:asciiTheme="minorHAnsi" w:eastAsiaTheme="minorEastAsia" w:hAnsiTheme="minorHAnsi"/>
          <w:noProof/>
          <w:color w:val="auto"/>
          <w:sz w:val="22"/>
          <w:lang w:eastAsia="en-AU"/>
        </w:rPr>
      </w:pPr>
      <w:hyperlink w:anchor="_Toc23434530" w:history="1">
        <w:r w:rsidR="00C92E2E" w:rsidRPr="00BB7074">
          <w:rPr>
            <w:rStyle w:val="Hyperlink"/>
            <w:noProof/>
          </w:rPr>
          <w:t>1.2. Why this evaluation matters</w:t>
        </w:r>
        <w:r w:rsidR="00C92E2E">
          <w:rPr>
            <w:noProof/>
            <w:webHidden/>
          </w:rPr>
          <w:tab/>
        </w:r>
        <w:r w:rsidR="00C92E2E">
          <w:rPr>
            <w:noProof/>
            <w:webHidden/>
          </w:rPr>
          <w:fldChar w:fldCharType="begin"/>
        </w:r>
        <w:r w:rsidR="00C92E2E">
          <w:rPr>
            <w:noProof/>
            <w:webHidden/>
          </w:rPr>
          <w:instrText xml:space="preserve"> PAGEREF _Toc23434530 \h </w:instrText>
        </w:r>
        <w:r w:rsidR="00C92E2E">
          <w:rPr>
            <w:noProof/>
            <w:webHidden/>
          </w:rPr>
        </w:r>
        <w:r w:rsidR="00C92E2E">
          <w:rPr>
            <w:noProof/>
            <w:webHidden/>
          </w:rPr>
          <w:fldChar w:fldCharType="separate"/>
        </w:r>
        <w:r w:rsidR="00C92E2E">
          <w:rPr>
            <w:noProof/>
            <w:webHidden/>
          </w:rPr>
          <w:t>28</w:t>
        </w:r>
        <w:r w:rsidR="00C92E2E">
          <w:rPr>
            <w:noProof/>
            <w:webHidden/>
          </w:rPr>
          <w:fldChar w:fldCharType="end"/>
        </w:r>
      </w:hyperlink>
    </w:p>
    <w:p w14:paraId="4492424C" w14:textId="418A4557" w:rsidR="00C92E2E" w:rsidRDefault="00A46FF6">
      <w:pPr>
        <w:pStyle w:val="TOC2"/>
        <w:rPr>
          <w:rFonts w:asciiTheme="minorHAnsi" w:eastAsiaTheme="minorEastAsia" w:hAnsiTheme="minorHAnsi"/>
          <w:noProof/>
          <w:color w:val="auto"/>
          <w:sz w:val="22"/>
          <w:lang w:eastAsia="en-AU"/>
        </w:rPr>
      </w:pPr>
      <w:hyperlink w:anchor="_Toc23434531" w:history="1">
        <w:r w:rsidR="00C92E2E" w:rsidRPr="00BB7074">
          <w:rPr>
            <w:rStyle w:val="Hyperlink"/>
            <w:noProof/>
          </w:rPr>
          <w:t>1.3. Purpose and objectives</w:t>
        </w:r>
        <w:r w:rsidR="00C92E2E">
          <w:rPr>
            <w:noProof/>
            <w:webHidden/>
          </w:rPr>
          <w:tab/>
        </w:r>
        <w:r w:rsidR="00C92E2E">
          <w:rPr>
            <w:noProof/>
            <w:webHidden/>
          </w:rPr>
          <w:fldChar w:fldCharType="begin"/>
        </w:r>
        <w:r w:rsidR="00C92E2E">
          <w:rPr>
            <w:noProof/>
            <w:webHidden/>
          </w:rPr>
          <w:instrText xml:space="preserve"> PAGEREF _Toc23434531 \h </w:instrText>
        </w:r>
        <w:r w:rsidR="00C92E2E">
          <w:rPr>
            <w:noProof/>
            <w:webHidden/>
          </w:rPr>
        </w:r>
        <w:r w:rsidR="00C92E2E">
          <w:rPr>
            <w:noProof/>
            <w:webHidden/>
          </w:rPr>
          <w:fldChar w:fldCharType="separate"/>
        </w:r>
        <w:r w:rsidR="00C92E2E">
          <w:rPr>
            <w:noProof/>
            <w:webHidden/>
          </w:rPr>
          <w:t>28</w:t>
        </w:r>
        <w:r w:rsidR="00C92E2E">
          <w:rPr>
            <w:noProof/>
            <w:webHidden/>
          </w:rPr>
          <w:fldChar w:fldCharType="end"/>
        </w:r>
      </w:hyperlink>
    </w:p>
    <w:p w14:paraId="3A064370" w14:textId="09EA2AAA" w:rsidR="00C92E2E" w:rsidRDefault="00A46FF6">
      <w:pPr>
        <w:pStyle w:val="TOC2"/>
        <w:rPr>
          <w:rFonts w:asciiTheme="minorHAnsi" w:eastAsiaTheme="minorEastAsia" w:hAnsiTheme="minorHAnsi"/>
          <w:noProof/>
          <w:color w:val="auto"/>
          <w:sz w:val="22"/>
          <w:lang w:eastAsia="en-AU"/>
        </w:rPr>
      </w:pPr>
      <w:hyperlink w:anchor="_Toc23434532" w:history="1">
        <w:r w:rsidR="00C92E2E" w:rsidRPr="00BB7074">
          <w:rPr>
            <w:rStyle w:val="Hyperlink"/>
            <w:noProof/>
          </w:rPr>
          <w:t>1.4. Guiding themes and key questions</w:t>
        </w:r>
        <w:r w:rsidR="00C92E2E">
          <w:rPr>
            <w:noProof/>
            <w:webHidden/>
          </w:rPr>
          <w:tab/>
        </w:r>
        <w:r w:rsidR="00C92E2E">
          <w:rPr>
            <w:noProof/>
            <w:webHidden/>
          </w:rPr>
          <w:fldChar w:fldCharType="begin"/>
        </w:r>
        <w:r w:rsidR="00C92E2E">
          <w:rPr>
            <w:noProof/>
            <w:webHidden/>
          </w:rPr>
          <w:instrText xml:space="preserve"> PAGEREF _Toc23434532 \h </w:instrText>
        </w:r>
        <w:r w:rsidR="00C92E2E">
          <w:rPr>
            <w:noProof/>
            <w:webHidden/>
          </w:rPr>
        </w:r>
        <w:r w:rsidR="00C92E2E">
          <w:rPr>
            <w:noProof/>
            <w:webHidden/>
          </w:rPr>
          <w:fldChar w:fldCharType="separate"/>
        </w:r>
        <w:r w:rsidR="00C92E2E">
          <w:rPr>
            <w:noProof/>
            <w:webHidden/>
          </w:rPr>
          <w:t>29</w:t>
        </w:r>
        <w:r w:rsidR="00C92E2E">
          <w:rPr>
            <w:noProof/>
            <w:webHidden/>
          </w:rPr>
          <w:fldChar w:fldCharType="end"/>
        </w:r>
      </w:hyperlink>
    </w:p>
    <w:p w14:paraId="1D55F3C2" w14:textId="63120251" w:rsidR="00C92E2E" w:rsidRDefault="00A46FF6">
      <w:pPr>
        <w:pStyle w:val="TOC2"/>
        <w:rPr>
          <w:rFonts w:asciiTheme="minorHAnsi" w:eastAsiaTheme="minorEastAsia" w:hAnsiTheme="minorHAnsi"/>
          <w:noProof/>
          <w:color w:val="auto"/>
          <w:sz w:val="22"/>
          <w:lang w:eastAsia="en-AU"/>
        </w:rPr>
      </w:pPr>
      <w:hyperlink w:anchor="_Toc23434533" w:history="1">
        <w:r w:rsidR="00C92E2E" w:rsidRPr="00BB7074">
          <w:rPr>
            <w:rStyle w:val="Hyperlink"/>
            <w:noProof/>
          </w:rPr>
          <w:t>1.5. Approach and methods</w:t>
        </w:r>
        <w:r w:rsidR="00C92E2E">
          <w:rPr>
            <w:noProof/>
            <w:webHidden/>
          </w:rPr>
          <w:tab/>
        </w:r>
        <w:r w:rsidR="00C92E2E">
          <w:rPr>
            <w:noProof/>
            <w:webHidden/>
          </w:rPr>
          <w:fldChar w:fldCharType="begin"/>
        </w:r>
        <w:r w:rsidR="00C92E2E">
          <w:rPr>
            <w:noProof/>
            <w:webHidden/>
          </w:rPr>
          <w:instrText xml:space="preserve"> PAGEREF _Toc23434533 \h </w:instrText>
        </w:r>
        <w:r w:rsidR="00C92E2E">
          <w:rPr>
            <w:noProof/>
            <w:webHidden/>
          </w:rPr>
        </w:r>
        <w:r w:rsidR="00C92E2E">
          <w:rPr>
            <w:noProof/>
            <w:webHidden/>
          </w:rPr>
          <w:fldChar w:fldCharType="separate"/>
        </w:r>
        <w:r w:rsidR="00C92E2E">
          <w:rPr>
            <w:noProof/>
            <w:webHidden/>
          </w:rPr>
          <w:t>29</w:t>
        </w:r>
        <w:r w:rsidR="00C92E2E">
          <w:rPr>
            <w:noProof/>
            <w:webHidden/>
          </w:rPr>
          <w:fldChar w:fldCharType="end"/>
        </w:r>
      </w:hyperlink>
    </w:p>
    <w:p w14:paraId="05752BAD" w14:textId="1C51CFD1" w:rsidR="00C92E2E" w:rsidRDefault="00A46FF6">
      <w:pPr>
        <w:pStyle w:val="TOC2"/>
        <w:rPr>
          <w:rFonts w:asciiTheme="minorHAnsi" w:eastAsiaTheme="minorEastAsia" w:hAnsiTheme="minorHAnsi"/>
          <w:noProof/>
          <w:color w:val="auto"/>
          <w:sz w:val="22"/>
          <w:lang w:eastAsia="en-AU"/>
        </w:rPr>
      </w:pPr>
      <w:hyperlink w:anchor="_Toc23434534" w:history="1">
        <w:r w:rsidR="00C92E2E" w:rsidRPr="00BB7074">
          <w:rPr>
            <w:rStyle w:val="Hyperlink"/>
            <w:noProof/>
          </w:rPr>
          <w:t>1.6. Violence against women and girls</w:t>
        </w:r>
        <w:r w:rsidR="00C92E2E">
          <w:rPr>
            <w:noProof/>
            <w:webHidden/>
          </w:rPr>
          <w:tab/>
        </w:r>
        <w:r w:rsidR="00C92E2E">
          <w:rPr>
            <w:noProof/>
            <w:webHidden/>
          </w:rPr>
          <w:fldChar w:fldCharType="begin"/>
        </w:r>
        <w:r w:rsidR="00C92E2E">
          <w:rPr>
            <w:noProof/>
            <w:webHidden/>
          </w:rPr>
          <w:instrText xml:space="preserve"> PAGEREF _Toc23434534 \h </w:instrText>
        </w:r>
        <w:r w:rsidR="00C92E2E">
          <w:rPr>
            <w:noProof/>
            <w:webHidden/>
          </w:rPr>
        </w:r>
        <w:r w:rsidR="00C92E2E">
          <w:rPr>
            <w:noProof/>
            <w:webHidden/>
          </w:rPr>
          <w:fldChar w:fldCharType="separate"/>
        </w:r>
        <w:r w:rsidR="00C92E2E">
          <w:rPr>
            <w:noProof/>
            <w:webHidden/>
          </w:rPr>
          <w:t>30</w:t>
        </w:r>
        <w:r w:rsidR="00C92E2E">
          <w:rPr>
            <w:noProof/>
            <w:webHidden/>
          </w:rPr>
          <w:fldChar w:fldCharType="end"/>
        </w:r>
      </w:hyperlink>
    </w:p>
    <w:p w14:paraId="7B194949" w14:textId="34A93A35" w:rsidR="00C92E2E" w:rsidRDefault="00A46FF6">
      <w:pPr>
        <w:pStyle w:val="TOC1"/>
        <w:rPr>
          <w:rFonts w:asciiTheme="minorHAnsi" w:eastAsiaTheme="minorEastAsia" w:hAnsiTheme="minorHAnsi"/>
          <w:b w:val="0"/>
          <w:noProof/>
          <w:color w:val="auto"/>
          <w:sz w:val="22"/>
          <w:lang w:eastAsia="en-AU"/>
        </w:rPr>
      </w:pPr>
      <w:hyperlink w:anchor="_Toc23434535" w:history="1">
        <w:r w:rsidR="00C92E2E" w:rsidRPr="00BB7074">
          <w:rPr>
            <w:rStyle w:val="Hyperlink"/>
            <w:noProof/>
          </w:rPr>
          <w:t>Chapter 2: Australian leadership</w:t>
        </w:r>
        <w:r w:rsidR="00C92E2E">
          <w:rPr>
            <w:noProof/>
            <w:webHidden/>
          </w:rPr>
          <w:tab/>
        </w:r>
        <w:r w:rsidR="00C92E2E">
          <w:rPr>
            <w:noProof/>
            <w:webHidden/>
          </w:rPr>
          <w:fldChar w:fldCharType="begin"/>
        </w:r>
        <w:r w:rsidR="00C92E2E">
          <w:rPr>
            <w:noProof/>
            <w:webHidden/>
          </w:rPr>
          <w:instrText xml:space="preserve"> PAGEREF _Toc23434535 \h </w:instrText>
        </w:r>
        <w:r w:rsidR="00C92E2E">
          <w:rPr>
            <w:noProof/>
            <w:webHidden/>
          </w:rPr>
        </w:r>
        <w:r w:rsidR="00C92E2E">
          <w:rPr>
            <w:noProof/>
            <w:webHidden/>
          </w:rPr>
          <w:fldChar w:fldCharType="separate"/>
        </w:r>
        <w:r w:rsidR="00C92E2E">
          <w:rPr>
            <w:noProof/>
            <w:webHidden/>
          </w:rPr>
          <w:t>39</w:t>
        </w:r>
        <w:r w:rsidR="00C92E2E">
          <w:rPr>
            <w:noProof/>
            <w:webHidden/>
          </w:rPr>
          <w:fldChar w:fldCharType="end"/>
        </w:r>
      </w:hyperlink>
    </w:p>
    <w:p w14:paraId="141D73A0" w14:textId="3115CC9E" w:rsidR="00C92E2E" w:rsidRDefault="00A46FF6">
      <w:pPr>
        <w:pStyle w:val="TOC2"/>
        <w:rPr>
          <w:rFonts w:asciiTheme="minorHAnsi" w:eastAsiaTheme="minorEastAsia" w:hAnsiTheme="minorHAnsi"/>
          <w:noProof/>
          <w:color w:val="auto"/>
          <w:sz w:val="22"/>
          <w:lang w:eastAsia="en-AU"/>
        </w:rPr>
      </w:pPr>
      <w:hyperlink w:anchor="_Toc23434536" w:history="1">
        <w:r w:rsidR="00C92E2E" w:rsidRPr="00BB7074">
          <w:rPr>
            <w:rStyle w:val="Hyperlink"/>
            <w:noProof/>
          </w:rPr>
          <w:t>2.1. The situation in 2008</w:t>
        </w:r>
        <w:r w:rsidR="00C92E2E">
          <w:rPr>
            <w:noProof/>
            <w:webHidden/>
          </w:rPr>
          <w:tab/>
        </w:r>
        <w:r w:rsidR="00C92E2E">
          <w:rPr>
            <w:noProof/>
            <w:webHidden/>
          </w:rPr>
          <w:fldChar w:fldCharType="begin"/>
        </w:r>
        <w:r w:rsidR="00C92E2E">
          <w:rPr>
            <w:noProof/>
            <w:webHidden/>
          </w:rPr>
          <w:instrText xml:space="preserve"> PAGEREF _Toc23434536 \h </w:instrText>
        </w:r>
        <w:r w:rsidR="00C92E2E">
          <w:rPr>
            <w:noProof/>
            <w:webHidden/>
          </w:rPr>
        </w:r>
        <w:r w:rsidR="00C92E2E">
          <w:rPr>
            <w:noProof/>
            <w:webHidden/>
          </w:rPr>
          <w:fldChar w:fldCharType="separate"/>
        </w:r>
        <w:r w:rsidR="00C92E2E">
          <w:rPr>
            <w:noProof/>
            <w:webHidden/>
          </w:rPr>
          <w:t>39</w:t>
        </w:r>
        <w:r w:rsidR="00C92E2E">
          <w:rPr>
            <w:noProof/>
            <w:webHidden/>
          </w:rPr>
          <w:fldChar w:fldCharType="end"/>
        </w:r>
      </w:hyperlink>
    </w:p>
    <w:p w14:paraId="48E98F93" w14:textId="26B90652" w:rsidR="00C92E2E" w:rsidRDefault="00A46FF6">
      <w:pPr>
        <w:pStyle w:val="TOC2"/>
        <w:rPr>
          <w:rFonts w:asciiTheme="minorHAnsi" w:eastAsiaTheme="minorEastAsia" w:hAnsiTheme="minorHAnsi"/>
          <w:noProof/>
          <w:color w:val="auto"/>
          <w:sz w:val="22"/>
          <w:lang w:eastAsia="en-AU"/>
        </w:rPr>
      </w:pPr>
      <w:hyperlink w:anchor="_Toc23434537" w:history="1">
        <w:r w:rsidR="00C92E2E" w:rsidRPr="00BB7074">
          <w:rPr>
            <w:rStyle w:val="Hyperlink"/>
            <w:noProof/>
          </w:rPr>
          <w:t>2.2. Progress to date</w:t>
        </w:r>
        <w:r w:rsidR="00C92E2E">
          <w:rPr>
            <w:noProof/>
            <w:webHidden/>
          </w:rPr>
          <w:tab/>
        </w:r>
        <w:r w:rsidR="00C92E2E">
          <w:rPr>
            <w:noProof/>
            <w:webHidden/>
          </w:rPr>
          <w:fldChar w:fldCharType="begin"/>
        </w:r>
        <w:r w:rsidR="00C92E2E">
          <w:rPr>
            <w:noProof/>
            <w:webHidden/>
          </w:rPr>
          <w:instrText xml:space="preserve"> PAGEREF _Toc23434537 \h </w:instrText>
        </w:r>
        <w:r w:rsidR="00C92E2E">
          <w:rPr>
            <w:noProof/>
            <w:webHidden/>
          </w:rPr>
        </w:r>
        <w:r w:rsidR="00C92E2E">
          <w:rPr>
            <w:noProof/>
            <w:webHidden/>
          </w:rPr>
          <w:fldChar w:fldCharType="separate"/>
        </w:r>
        <w:r w:rsidR="00C92E2E">
          <w:rPr>
            <w:noProof/>
            <w:webHidden/>
          </w:rPr>
          <w:t>40</w:t>
        </w:r>
        <w:r w:rsidR="00C92E2E">
          <w:rPr>
            <w:noProof/>
            <w:webHidden/>
          </w:rPr>
          <w:fldChar w:fldCharType="end"/>
        </w:r>
      </w:hyperlink>
    </w:p>
    <w:p w14:paraId="4335DB0F" w14:textId="08FDFDB6" w:rsidR="00C92E2E" w:rsidRDefault="00A46FF6">
      <w:pPr>
        <w:pStyle w:val="TOC2"/>
        <w:rPr>
          <w:rFonts w:asciiTheme="minorHAnsi" w:eastAsiaTheme="minorEastAsia" w:hAnsiTheme="minorHAnsi"/>
          <w:noProof/>
          <w:color w:val="auto"/>
          <w:sz w:val="22"/>
          <w:lang w:eastAsia="en-AU"/>
        </w:rPr>
      </w:pPr>
      <w:hyperlink w:anchor="_Toc23434538" w:history="1">
        <w:r w:rsidR="00C92E2E" w:rsidRPr="00BB7074">
          <w:rPr>
            <w:rStyle w:val="Hyperlink"/>
            <w:noProof/>
          </w:rPr>
          <w:t>2.3. Findings and recommendation</w:t>
        </w:r>
        <w:r w:rsidR="00C92E2E">
          <w:rPr>
            <w:noProof/>
            <w:webHidden/>
          </w:rPr>
          <w:tab/>
        </w:r>
        <w:r w:rsidR="00C92E2E">
          <w:rPr>
            <w:noProof/>
            <w:webHidden/>
          </w:rPr>
          <w:fldChar w:fldCharType="begin"/>
        </w:r>
        <w:r w:rsidR="00C92E2E">
          <w:rPr>
            <w:noProof/>
            <w:webHidden/>
          </w:rPr>
          <w:instrText xml:space="preserve"> PAGEREF _Toc23434538 \h </w:instrText>
        </w:r>
        <w:r w:rsidR="00C92E2E">
          <w:rPr>
            <w:noProof/>
            <w:webHidden/>
          </w:rPr>
        </w:r>
        <w:r w:rsidR="00C92E2E">
          <w:rPr>
            <w:noProof/>
            <w:webHidden/>
          </w:rPr>
          <w:fldChar w:fldCharType="separate"/>
        </w:r>
        <w:r w:rsidR="00C92E2E">
          <w:rPr>
            <w:noProof/>
            <w:webHidden/>
          </w:rPr>
          <w:t>49</w:t>
        </w:r>
        <w:r w:rsidR="00C92E2E">
          <w:rPr>
            <w:noProof/>
            <w:webHidden/>
          </w:rPr>
          <w:fldChar w:fldCharType="end"/>
        </w:r>
      </w:hyperlink>
    </w:p>
    <w:p w14:paraId="0421B46E" w14:textId="716278C7" w:rsidR="00C92E2E" w:rsidRDefault="00A46FF6">
      <w:pPr>
        <w:pStyle w:val="TOC1"/>
        <w:rPr>
          <w:rFonts w:asciiTheme="minorHAnsi" w:eastAsiaTheme="minorEastAsia" w:hAnsiTheme="minorHAnsi"/>
          <w:b w:val="0"/>
          <w:noProof/>
          <w:color w:val="auto"/>
          <w:sz w:val="22"/>
          <w:lang w:eastAsia="en-AU"/>
        </w:rPr>
      </w:pPr>
      <w:hyperlink w:anchor="_Toc23434539" w:history="1">
        <w:r w:rsidR="00C92E2E" w:rsidRPr="00BB7074">
          <w:rPr>
            <w:rStyle w:val="Hyperlink"/>
            <w:noProof/>
          </w:rPr>
          <w:t>Chapter 3: Improving access to justice</w:t>
        </w:r>
        <w:r w:rsidR="00C92E2E">
          <w:rPr>
            <w:noProof/>
            <w:webHidden/>
          </w:rPr>
          <w:tab/>
        </w:r>
        <w:r w:rsidR="00C92E2E">
          <w:rPr>
            <w:noProof/>
            <w:webHidden/>
          </w:rPr>
          <w:fldChar w:fldCharType="begin"/>
        </w:r>
        <w:r w:rsidR="00C92E2E">
          <w:rPr>
            <w:noProof/>
            <w:webHidden/>
          </w:rPr>
          <w:instrText xml:space="preserve"> PAGEREF _Toc23434539 \h </w:instrText>
        </w:r>
        <w:r w:rsidR="00C92E2E">
          <w:rPr>
            <w:noProof/>
            <w:webHidden/>
          </w:rPr>
        </w:r>
        <w:r w:rsidR="00C92E2E">
          <w:rPr>
            <w:noProof/>
            <w:webHidden/>
          </w:rPr>
          <w:fldChar w:fldCharType="separate"/>
        </w:r>
        <w:r w:rsidR="00C92E2E">
          <w:rPr>
            <w:noProof/>
            <w:webHidden/>
          </w:rPr>
          <w:t>51</w:t>
        </w:r>
        <w:r w:rsidR="00C92E2E">
          <w:rPr>
            <w:noProof/>
            <w:webHidden/>
          </w:rPr>
          <w:fldChar w:fldCharType="end"/>
        </w:r>
      </w:hyperlink>
    </w:p>
    <w:p w14:paraId="1C139B9B" w14:textId="49AD5C10" w:rsidR="00C92E2E" w:rsidRDefault="00A46FF6">
      <w:pPr>
        <w:pStyle w:val="TOC2"/>
        <w:rPr>
          <w:rFonts w:asciiTheme="minorHAnsi" w:eastAsiaTheme="minorEastAsia" w:hAnsiTheme="minorHAnsi"/>
          <w:noProof/>
          <w:color w:val="auto"/>
          <w:sz w:val="22"/>
          <w:lang w:eastAsia="en-AU"/>
        </w:rPr>
      </w:pPr>
      <w:hyperlink w:anchor="_Toc23434540" w:history="1">
        <w:r w:rsidR="00C92E2E" w:rsidRPr="00BB7074">
          <w:rPr>
            <w:rStyle w:val="Hyperlink"/>
            <w:noProof/>
          </w:rPr>
          <w:t>3.1. The situation in 2008</w:t>
        </w:r>
        <w:r w:rsidR="00C92E2E">
          <w:rPr>
            <w:noProof/>
            <w:webHidden/>
          </w:rPr>
          <w:tab/>
        </w:r>
        <w:r w:rsidR="00C92E2E">
          <w:rPr>
            <w:noProof/>
            <w:webHidden/>
          </w:rPr>
          <w:fldChar w:fldCharType="begin"/>
        </w:r>
        <w:r w:rsidR="00C92E2E">
          <w:rPr>
            <w:noProof/>
            <w:webHidden/>
          </w:rPr>
          <w:instrText xml:space="preserve"> PAGEREF _Toc23434540 \h </w:instrText>
        </w:r>
        <w:r w:rsidR="00C92E2E">
          <w:rPr>
            <w:noProof/>
            <w:webHidden/>
          </w:rPr>
        </w:r>
        <w:r w:rsidR="00C92E2E">
          <w:rPr>
            <w:noProof/>
            <w:webHidden/>
          </w:rPr>
          <w:fldChar w:fldCharType="separate"/>
        </w:r>
        <w:r w:rsidR="00C92E2E">
          <w:rPr>
            <w:noProof/>
            <w:webHidden/>
          </w:rPr>
          <w:t>51</w:t>
        </w:r>
        <w:r w:rsidR="00C92E2E">
          <w:rPr>
            <w:noProof/>
            <w:webHidden/>
          </w:rPr>
          <w:fldChar w:fldCharType="end"/>
        </w:r>
      </w:hyperlink>
    </w:p>
    <w:p w14:paraId="37455344" w14:textId="2DAFBC74" w:rsidR="00C92E2E" w:rsidRDefault="00A46FF6">
      <w:pPr>
        <w:pStyle w:val="TOC2"/>
        <w:rPr>
          <w:rFonts w:asciiTheme="minorHAnsi" w:eastAsiaTheme="minorEastAsia" w:hAnsiTheme="minorHAnsi"/>
          <w:noProof/>
          <w:color w:val="auto"/>
          <w:sz w:val="22"/>
          <w:lang w:eastAsia="en-AU"/>
        </w:rPr>
      </w:pPr>
      <w:hyperlink w:anchor="_Toc23434541" w:history="1">
        <w:r w:rsidR="00C92E2E" w:rsidRPr="00BB7074">
          <w:rPr>
            <w:rStyle w:val="Hyperlink"/>
            <w:noProof/>
          </w:rPr>
          <w:t>3.2. Progress to date</w:t>
        </w:r>
        <w:r w:rsidR="00C92E2E">
          <w:rPr>
            <w:noProof/>
            <w:webHidden/>
          </w:rPr>
          <w:tab/>
        </w:r>
        <w:r w:rsidR="00C92E2E">
          <w:rPr>
            <w:noProof/>
            <w:webHidden/>
          </w:rPr>
          <w:fldChar w:fldCharType="begin"/>
        </w:r>
        <w:r w:rsidR="00C92E2E">
          <w:rPr>
            <w:noProof/>
            <w:webHidden/>
          </w:rPr>
          <w:instrText xml:space="preserve"> PAGEREF _Toc23434541 \h </w:instrText>
        </w:r>
        <w:r w:rsidR="00C92E2E">
          <w:rPr>
            <w:noProof/>
            <w:webHidden/>
          </w:rPr>
        </w:r>
        <w:r w:rsidR="00C92E2E">
          <w:rPr>
            <w:noProof/>
            <w:webHidden/>
          </w:rPr>
          <w:fldChar w:fldCharType="separate"/>
        </w:r>
        <w:r w:rsidR="00C92E2E">
          <w:rPr>
            <w:noProof/>
            <w:webHidden/>
          </w:rPr>
          <w:t>51</w:t>
        </w:r>
        <w:r w:rsidR="00C92E2E">
          <w:rPr>
            <w:noProof/>
            <w:webHidden/>
          </w:rPr>
          <w:fldChar w:fldCharType="end"/>
        </w:r>
      </w:hyperlink>
    </w:p>
    <w:p w14:paraId="799815E4" w14:textId="7BE22AB9" w:rsidR="00C92E2E" w:rsidRDefault="00A46FF6">
      <w:pPr>
        <w:pStyle w:val="TOC2"/>
        <w:rPr>
          <w:rFonts w:asciiTheme="minorHAnsi" w:eastAsiaTheme="minorEastAsia" w:hAnsiTheme="minorHAnsi"/>
          <w:noProof/>
          <w:color w:val="auto"/>
          <w:sz w:val="22"/>
          <w:lang w:eastAsia="en-AU"/>
        </w:rPr>
      </w:pPr>
      <w:hyperlink w:anchor="_Toc23434542" w:history="1">
        <w:r w:rsidR="00C92E2E" w:rsidRPr="00BB7074">
          <w:rPr>
            <w:rStyle w:val="Hyperlink"/>
            <w:noProof/>
          </w:rPr>
          <w:t>3.3. Findings and recommendation</w:t>
        </w:r>
        <w:r w:rsidR="00C92E2E">
          <w:rPr>
            <w:noProof/>
            <w:webHidden/>
          </w:rPr>
          <w:tab/>
        </w:r>
        <w:r w:rsidR="00C92E2E">
          <w:rPr>
            <w:noProof/>
            <w:webHidden/>
          </w:rPr>
          <w:fldChar w:fldCharType="begin"/>
        </w:r>
        <w:r w:rsidR="00C92E2E">
          <w:rPr>
            <w:noProof/>
            <w:webHidden/>
          </w:rPr>
          <w:instrText xml:space="preserve"> PAGEREF _Toc23434542 \h </w:instrText>
        </w:r>
        <w:r w:rsidR="00C92E2E">
          <w:rPr>
            <w:noProof/>
            <w:webHidden/>
          </w:rPr>
        </w:r>
        <w:r w:rsidR="00C92E2E">
          <w:rPr>
            <w:noProof/>
            <w:webHidden/>
          </w:rPr>
          <w:fldChar w:fldCharType="separate"/>
        </w:r>
        <w:r w:rsidR="00C92E2E">
          <w:rPr>
            <w:noProof/>
            <w:webHidden/>
          </w:rPr>
          <w:t>63</w:t>
        </w:r>
        <w:r w:rsidR="00C92E2E">
          <w:rPr>
            <w:noProof/>
            <w:webHidden/>
          </w:rPr>
          <w:fldChar w:fldCharType="end"/>
        </w:r>
      </w:hyperlink>
    </w:p>
    <w:p w14:paraId="5A8CC2E3" w14:textId="29D05FEE" w:rsidR="00C92E2E" w:rsidRDefault="00A46FF6">
      <w:pPr>
        <w:pStyle w:val="TOC1"/>
        <w:rPr>
          <w:rFonts w:asciiTheme="minorHAnsi" w:eastAsiaTheme="minorEastAsia" w:hAnsiTheme="minorHAnsi"/>
          <w:b w:val="0"/>
          <w:noProof/>
          <w:color w:val="auto"/>
          <w:sz w:val="22"/>
          <w:lang w:eastAsia="en-AU"/>
        </w:rPr>
      </w:pPr>
      <w:hyperlink w:anchor="_Toc23434543" w:history="1">
        <w:r w:rsidR="00C92E2E" w:rsidRPr="00BB7074">
          <w:rPr>
            <w:rStyle w:val="Hyperlink"/>
            <w:noProof/>
          </w:rPr>
          <w:t>Chapter 4: Strengthening services</w:t>
        </w:r>
        <w:r w:rsidR="00C92E2E">
          <w:rPr>
            <w:noProof/>
            <w:webHidden/>
          </w:rPr>
          <w:tab/>
        </w:r>
        <w:r w:rsidR="00C92E2E">
          <w:rPr>
            <w:noProof/>
            <w:webHidden/>
          </w:rPr>
          <w:fldChar w:fldCharType="begin"/>
        </w:r>
        <w:r w:rsidR="00C92E2E">
          <w:rPr>
            <w:noProof/>
            <w:webHidden/>
          </w:rPr>
          <w:instrText xml:space="preserve"> PAGEREF _Toc23434543 \h </w:instrText>
        </w:r>
        <w:r w:rsidR="00C92E2E">
          <w:rPr>
            <w:noProof/>
            <w:webHidden/>
          </w:rPr>
        </w:r>
        <w:r w:rsidR="00C92E2E">
          <w:rPr>
            <w:noProof/>
            <w:webHidden/>
          </w:rPr>
          <w:fldChar w:fldCharType="separate"/>
        </w:r>
        <w:r w:rsidR="00C92E2E">
          <w:rPr>
            <w:noProof/>
            <w:webHidden/>
          </w:rPr>
          <w:t>64</w:t>
        </w:r>
        <w:r w:rsidR="00C92E2E">
          <w:rPr>
            <w:noProof/>
            <w:webHidden/>
          </w:rPr>
          <w:fldChar w:fldCharType="end"/>
        </w:r>
      </w:hyperlink>
    </w:p>
    <w:p w14:paraId="651D706E" w14:textId="69E16FEC" w:rsidR="00C92E2E" w:rsidRDefault="00A46FF6">
      <w:pPr>
        <w:pStyle w:val="TOC2"/>
        <w:rPr>
          <w:rFonts w:asciiTheme="minorHAnsi" w:eastAsiaTheme="minorEastAsia" w:hAnsiTheme="minorHAnsi"/>
          <w:noProof/>
          <w:color w:val="auto"/>
          <w:sz w:val="22"/>
          <w:lang w:eastAsia="en-AU"/>
        </w:rPr>
      </w:pPr>
      <w:hyperlink w:anchor="_Toc23434544" w:history="1">
        <w:r w:rsidR="00C92E2E" w:rsidRPr="00BB7074">
          <w:rPr>
            <w:rStyle w:val="Hyperlink"/>
            <w:noProof/>
          </w:rPr>
          <w:t>4.1. The situation in 2008</w:t>
        </w:r>
        <w:r w:rsidR="00C92E2E">
          <w:rPr>
            <w:noProof/>
            <w:webHidden/>
          </w:rPr>
          <w:tab/>
        </w:r>
        <w:r w:rsidR="00C92E2E">
          <w:rPr>
            <w:noProof/>
            <w:webHidden/>
          </w:rPr>
          <w:fldChar w:fldCharType="begin"/>
        </w:r>
        <w:r w:rsidR="00C92E2E">
          <w:rPr>
            <w:noProof/>
            <w:webHidden/>
          </w:rPr>
          <w:instrText xml:space="preserve"> PAGEREF _Toc23434544 \h </w:instrText>
        </w:r>
        <w:r w:rsidR="00C92E2E">
          <w:rPr>
            <w:noProof/>
            <w:webHidden/>
          </w:rPr>
        </w:r>
        <w:r w:rsidR="00C92E2E">
          <w:rPr>
            <w:noProof/>
            <w:webHidden/>
          </w:rPr>
          <w:fldChar w:fldCharType="separate"/>
        </w:r>
        <w:r w:rsidR="00C92E2E">
          <w:rPr>
            <w:noProof/>
            <w:webHidden/>
          </w:rPr>
          <w:t>64</w:t>
        </w:r>
        <w:r w:rsidR="00C92E2E">
          <w:rPr>
            <w:noProof/>
            <w:webHidden/>
          </w:rPr>
          <w:fldChar w:fldCharType="end"/>
        </w:r>
      </w:hyperlink>
    </w:p>
    <w:p w14:paraId="356F105E" w14:textId="671CFC26" w:rsidR="00C92E2E" w:rsidRDefault="00A46FF6">
      <w:pPr>
        <w:pStyle w:val="TOC2"/>
        <w:rPr>
          <w:rFonts w:asciiTheme="minorHAnsi" w:eastAsiaTheme="minorEastAsia" w:hAnsiTheme="minorHAnsi"/>
          <w:noProof/>
          <w:color w:val="auto"/>
          <w:sz w:val="22"/>
          <w:lang w:eastAsia="en-AU"/>
        </w:rPr>
      </w:pPr>
      <w:hyperlink w:anchor="_Toc23434545" w:history="1">
        <w:r w:rsidR="00C92E2E" w:rsidRPr="00BB7074">
          <w:rPr>
            <w:rStyle w:val="Hyperlink"/>
            <w:noProof/>
          </w:rPr>
          <w:t>4.2. Progress to date</w:t>
        </w:r>
        <w:r w:rsidR="00C92E2E">
          <w:rPr>
            <w:noProof/>
            <w:webHidden/>
          </w:rPr>
          <w:tab/>
        </w:r>
        <w:r w:rsidR="00C92E2E">
          <w:rPr>
            <w:noProof/>
            <w:webHidden/>
          </w:rPr>
          <w:fldChar w:fldCharType="begin"/>
        </w:r>
        <w:r w:rsidR="00C92E2E">
          <w:rPr>
            <w:noProof/>
            <w:webHidden/>
          </w:rPr>
          <w:instrText xml:space="preserve"> PAGEREF _Toc23434545 \h </w:instrText>
        </w:r>
        <w:r w:rsidR="00C92E2E">
          <w:rPr>
            <w:noProof/>
            <w:webHidden/>
          </w:rPr>
        </w:r>
        <w:r w:rsidR="00C92E2E">
          <w:rPr>
            <w:noProof/>
            <w:webHidden/>
          </w:rPr>
          <w:fldChar w:fldCharType="separate"/>
        </w:r>
        <w:r w:rsidR="00C92E2E">
          <w:rPr>
            <w:noProof/>
            <w:webHidden/>
          </w:rPr>
          <w:t>64</w:t>
        </w:r>
        <w:r w:rsidR="00C92E2E">
          <w:rPr>
            <w:noProof/>
            <w:webHidden/>
          </w:rPr>
          <w:fldChar w:fldCharType="end"/>
        </w:r>
      </w:hyperlink>
    </w:p>
    <w:p w14:paraId="00D3A8EA" w14:textId="3D396618" w:rsidR="00C92E2E" w:rsidRDefault="00A46FF6">
      <w:pPr>
        <w:pStyle w:val="TOC2"/>
        <w:rPr>
          <w:rFonts w:asciiTheme="minorHAnsi" w:eastAsiaTheme="minorEastAsia" w:hAnsiTheme="minorHAnsi"/>
          <w:noProof/>
          <w:color w:val="auto"/>
          <w:sz w:val="22"/>
          <w:lang w:eastAsia="en-AU"/>
        </w:rPr>
      </w:pPr>
      <w:hyperlink w:anchor="_Toc23434546" w:history="1">
        <w:r w:rsidR="00C92E2E" w:rsidRPr="00BB7074">
          <w:rPr>
            <w:rStyle w:val="Hyperlink"/>
            <w:noProof/>
          </w:rPr>
          <w:t>4.3. Findings and recommendation</w:t>
        </w:r>
        <w:r w:rsidR="00C92E2E">
          <w:rPr>
            <w:noProof/>
            <w:webHidden/>
          </w:rPr>
          <w:tab/>
        </w:r>
        <w:r w:rsidR="00C92E2E">
          <w:rPr>
            <w:noProof/>
            <w:webHidden/>
          </w:rPr>
          <w:fldChar w:fldCharType="begin"/>
        </w:r>
        <w:r w:rsidR="00C92E2E">
          <w:rPr>
            <w:noProof/>
            <w:webHidden/>
          </w:rPr>
          <w:instrText xml:space="preserve"> PAGEREF _Toc23434546 \h </w:instrText>
        </w:r>
        <w:r w:rsidR="00C92E2E">
          <w:rPr>
            <w:noProof/>
            <w:webHidden/>
          </w:rPr>
        </w:r>
        <w:r w:rsidR="00C92E2E">
          <w:rPr>
            <w:noProof/>
            <w:webHidden/>
          </w:rPr>
          <w:fldChar w:fldCharType="separate"/>
        </w:r>
        <w:r w:rsidR="00C92E2E">
          <w:rPr>
            <w:noProof/>
            <w:webHidden/>
          </w:rPr>
          <w:t>75</w:t>
        </w:r>
        <w:r w:rsidR="00C92E2E">
          <w:rPr>
            <w:noProof/>
            <w:webHidden/>
          </w:rPr>
          <w:fldChar w:fldCharType="end"/>
        </w:r>
      </w:hyperlink>
    </w:p>
    <w:p w14:paraId="5303C66A" w14:textId="2C4B29B4" w:rsidR="00C92E2E" w:rsidRDefault="00A46FF6">
      <w:pPr>
        <w:pStyle w:val="TOC1"/>
        <w:rPr>
          <w:rFonts w:asciiTheme="minorHAnsi" w:eastAsiaTheme="minorEastAsia" w:hAnsiTheme="minorHAnsi"/>
          <w:b w:val="0"/>
          <w:noProof/>
          <w:color w:val="auto"/>
          <w:sz w:val="22"/>
          <w:lang w:eastAsia="en-AU"/>
        </w:rPr>
      </w:pPr>
      <w:hyperlink w:anchor="_Toc23434547" w:history="1">
        <w:r w:rsidR="00C92E2E" w:rsidRPr="00BB7074">
          <w:rPr>
            <w:rStyle w:val="Hyperlink"/>
            <w:noProof/>
          </w:rPr>
          <w:t>Chapter 5: Preventing violence</w:t>
        </w:r>
        <w:r w:rsidR="00C92E2E">
          <w:rPr>
            <w:noProof/>
            <w:webHidden/>
          </w:rPr>
          <w:tab/>
        </w:r>
        <w:r w:rsidR="00C92E2E">
          <w:rPr>
            <w:noProof/>
            <w:webHidden/>
          </w:rPr>
          <w:fldChar w:fldCharType="begin"/>
        </w:r>
        <w:r w:rsidR="00C92E2E">
          <w:rPr>
            <w:noProof/>
            <w:webHidden/>
          </w:rPr>
          <w:instrText xml:space="preserve"> PAGEREF _Toc23434547 \h </w:instrText>
        </w:r>
        <w:r w:rsidR="00C92E2E">
          <w:rPr>
            <w:noProof/>
            <w:webHidden/>
          </w:rPr>
        </w:r>
        <w:r w:rsidR="00C92E2E">
          <w:rPr>
            <w:noProof/>
            <w:webHidden/>
          </w:rPr>
          <w:fldChar w:fldCharType="separate"/>
        </w:r>
        <w:r w:rsidR="00C92E2E">
          <w:rPr>
            <w:noProof/>
            <w:webHidden/>
          </w:rPr>
          <w:t>76</w:t>
        </w:r>
        <w:r w:rsidR="00C92E2E">
          <w:rPr>
            <w:noProof/>
            <w:webHidden/>
          </w:rPr>
          <w:fldChar w:fldCharType="end"/>
        </w:r>
      </w:hyperlink>
    </w:p>
    <w:p w14:paraId="52DFAD32" w14:textId="3FEF8C4B" w:rsidR="00C92E2E" w:rsidRDefault="00A46FF6">
      <w:pPr>
        <w:pStyle w:val="TOC2"/>
        <w:rPr>
          <w:rFonts w:asciiTheme="minorHAnsi" w:eastAsiaTheme="minorEastAsia" w:hAnsiTheme="minorHAnsi"/>
          <w:noProof/>
          <w:color w:val="auto"/>
          <w:sz w:val="22"/>
          <w:lang w:eastAsia="en-AU"/>
        </w:rPr>
      </w:pPr>
      <w:hyperlink w:anchor="_Toc23434548" w:history="1">
        <w:r w:rsidR="00C92E2E" w:rsidRPr="00BB7074">
          <w:rPr>
            <w:rStyle w:val="Hyperlink"/>
            <w:noProof/>
          </w:rPr>
          <w:t>5.1. The situation in 2008</w:t>
        </w:r>
        <w:r w:rsidR="00C92E2E">
          <w:rPr>
            <w:noProof/>
            <w:webHidden/>
          </w:rPr>
          <w:tab/>
        </w:r>
        <w:r w:rsidR="00C92E2E">
          <w:rPr>
            <w:noProof/>
            <w:webHidden/>
          </w:rPr>
          <w:fldChar w:fldCharType="begin"/>
        </w:r>
        <w:r w:rsidR="00C92E2E">
          <w:rPr>
            <w:noProof/>
            <w:webHidden/>
          </w:rPr>
          <w:instrText xml:space="preserve"> PAGEREF _Toc23434548 \h </w:instrText>
        </w:r>
        <w:r w:rsidR="00C92E2E">
          <w:rPr>
            <w:noProof/>
            <w:webHidden/>
          </w:rPr>
        </w:r>
        <w:r w:rsidR="00C92E2E">
          <w:rPr>
            <w:noProof/>
            <w:webHidden/>
          </w:rPr>
          <w:fldChar w:fldCharType="separate"/>
        </w:r>
        <w:r w:rsidR="00C92E2E">
          <w:rPr>
            <w:noProof/>
            <w:webHidden/>
          </w:rPr>
          <w:t>76</w:t>
        </w:r>
        <w:r w:rsidR="00C92E2E">
          <w:rPr>
            <w:noProof/>
            <w:webHidden/>
          </w:rPr>
          <w:fldChar w:fldCharType="end"/>
        </w:r>
      </w:hyperlink>
    </w:p>
    <w:p w14:paraId="6A04308D" w14:textId="41D0E744" w:rsidR="00C92E2E" w:rsidRDefault="00A46FF6">
      <w:pPr>
        <w:pStyle w:val="TOC2"/>
        <w:rPr>
          <w:rFonts w:asciiTheme="minorHAnsi" w:eastAsiaTheme="minorEastAsia" w:hAnsiTheme="minorHAnsi"/>
          <w:noProof/>
          <w:color w:val="auto"/>
          <w:sz w:val="22"/>
          <w:lang w:eastAsia="en-AU"/>
        </w:rPr>
      </w:pPr>
      <w:hyperlink w:anchor="_Toc23434549" w:history="1">
        <w:r w:rsidR="00C92E2E" w:rsidRPr="00BB7074">
          <w:rPr>
            <w:rStyle w:val="Hyperlink"/>
            <w:noProof/>
          </w:rPr>
          <w:t>5.2. International best practice on prevention</w:t>
        </w:r>
        <w:r w:rsidR="00C92E2E">
          <w:rPr>
            <w:noProof/>
            <w:webHidden/>
          </w:rPr>
          <w:tab/>
        </w:r>
        <w:r w:rsidR="00C92E2E">
          <w:rPr>
            <w:noProof/>
            <w:webHidden/>
          </w:rPr>
          <w:fldChar w:fldCharType="begin"/>
        </w:r>
        <w:r w:rsidR="00C92E2E">
          <w:rPr>
            <w:noProof/>
            <w:webHidden/>
          </w:rPr>
          <w:instrText xml:space="preserve"> PAGEREF _Toc23434549 \h </w:instrText>
        </w:r>
        <w:r w:rsidR="00C92E2E">
          <w:rPr>
            <w:noProof/>
            <w:webHidden/>
          </w:rPr>
        </w:r>
        <w:r w:rsidR="00C92E2E">
          <w:rPr>
            <w:noProof/>
            <w:webHidden/>
          </w:rPr>
          <w:fldChar w:fldCharType="separate"/>
        </w:r>
        <w:r w:rsidR="00C92E2E">
          <w:rPr>
            <w:noProof/>
            <w:webHidden/>
          </w:rPr>
          <w:t>76</w:t>
        </w:r>
        <w:r w:rsidR="00C92E2E">
          <w:rPr>
            <w:noProof/>
            <w:webHidden/>
          </w:rPr>
          <w:fldChar w:fldCharType="end"/>
        </w:r>
      </w:hyperlink>
    </w:p>
    <w:p w14:paraId="3DC785D0" w14:textId="4C936C64" w:rsidR="00C92E2E" w:rsidRDefault="00A46FF6">
      <w:pPr>
        <w:pStyle w:val="TOC2"/>
        <w:rPr>
          <w:rFonts w:asciiTheme="minorHAnsi" w:eastAsiaTheme="minorEastAsia" w:hAnsiTheme="minorHAnsi"/>
          <w:noProof/>
          <w:color w:val="auto"/>
          <w:sz w:val="22"/>
          <w:lang w:eastAsia="en-AU"/>
        </w:rPr>
      </w:pPr>
      <w:hyperlink w:anchor="_Toc23434550" w:history="1">
        <w:r w:rsidR="00C92E2E" w:rsidRPr="00BB7074">
          <w:rPr>
            <w:rStyle w:val="Hyperlink"/>
            <w:noProof/>
          </w:rPr>
          <w:t>5.3. Progress to date</w:t>
        </w:r>
        <w:r w:rsidR="00C92E2E">
          <w:rPr>
            <w:noProof/>
            <w:webHidden/>
          </w:rPr>
          <w:tab/>
        </w:r>
        <w:r w:rsidR="00C92E2E">
          <w:rPr>
            <w:noProof/>
            <w:webHidden/>
          </w:rPr>
          <w:fldChar w:fldCharType="begin"/>
        </w:r>
        <w:r w:rsidR="00C92E2E">
          <w:rPr>
            <w:noProof/>
            <w:webHidden/>
          </w:rPr>
          <w:instrText xml:space="preserve"> PAGEREF _Toc23434550 \h </w:instrText>
        </w:r>
        <w:r w:rsidR="00C92E2E">
          <w:rPr>
            <w:noProof/>
            <w:webHidden/>
          </w:rPr>
        </w:r>
        <w:r w:rsidR="00C92E2E">
          <w:rPr>
            <w:noProof/>
            <w:webHidden/>
          </w:rPr>
          <w:fldChar w:fldCharType="separate"/>
        </w:r>
        <w:r w:rsidR="00C92E2E">
          <w:rPr>
            <w:noProof/>
            <w:webHidden/>
          </w:rPr>
          <w:t>77</w:t>
        </w:r>
        <w:r w:rsidR="00C92E2E">
          <w:rPr>
            <w:noProof/>
            <w:webHidden/>
          </w:rPr>
          <w:fldChar w:fldCharType="end"/>
        </w:r>
      </w:hyperlink>
    </w:p>
    <w:p w14:paraId="2A654851" w14:textId="7D662F7F" w:rsidR="00C92E2E" w:rsidRDefault="00A46FF6">
      <w:pPr>
        <w:pStyle w:val="TOC2"/>
        <w:rPr>
          <w:rFonts w:asciiTheme="minorHAnsi" w:eastAsiaTheme="minorEastAsia" w:hAnsiTheme="minorHAnsi"/>
          <w:noProof/>
          <w:color w:val="auto"/>
          <w:sz w:val="22"/>
          <w:lang w:eastAsia="en-AU"/>
        </w:rPr>
      </w:pPr>
      <w:hyperlink w:anchor="_Toc23434551" w:history="1">
        <w:r w:rsidR="00C92E2E" w:rsidRPr="00BB7074">
          <w:rPr>
            <w:rStyle w:val="Hyperlink"/>
            <w:noProof/>
          </w:rPr>
          <w:t>5.4. Findings and recommendation</w:t>
        </w:r>
        <w:r w:rsidR="00C92E2E">
          <w:rPr>
            <w:noProof/>
            <w:webHidden/>
          </w:rPr>
          <w:tab/>
        </w:r>
        <w:r w:rsidR="00C92E2E">
          <w:rPr>
            <w:noProof/>
            <w:webHidden/>
          </w:rPr>
          <w:fldChar w:fldCharType="begin"/>
        </w:r>
        <w:r w:rsidR="00C92E2E">
          <w:rPr>
            <w:noProof/>
            <w:webHidden/>
          </w:rPr>
          <w:instrText xml:space="preserve"> PAGEREF _Toc23434551 \h </w:instrText>
        </w:r>
        <w:r w:rsidR="00C92E2E">
          <w:rPr>
            <w:noProof/>
            <w:webHidden/>
          </w:rPr>
        </w:r>
        <w:r w:rsidR="00C92E2E">
          <w:rPr>
            <w:noProof/>
            <w:webHidden/>
          </w:rPr>
          <w:fldChar w:fldCharType="separate"/>
        </w:r>
        <w:r w:rsidR="00C92E2E">
          <w:rPr>
            <w:noProof/>
            <w:webHidden/>
          </w:rPr>
          <w:t>86</w:t>
        </w:r>
        <w:r w:rsidR="00C92E2E">
          <w:rPr>
            <w:noProof/>
            <w:webHidden/>
          </w:rPr>
          <w:fldChar w:fldCharType="end"/>
        </w:r>
      </w:hyperlink>
    </w:p>
    <w:p w14:paraId="0A941768" w14:textId="736AA07D" w:rsidR="00C92E2E" w:rsidRDefault="00A46FF6">
      <w:pPr>
        <w:pStyle w:val="TOC1"/>
        <w:rPr>
          <w:rFonts w:asciiTheme="minorHAnsi" w:eastAsiaTheme="minorEastAsia" w:hAnsiTheme="minorHAnsi"/>
          <w:b w:val="0"/>
          <w:noProof/>
          <w:color w:val="auto"/>
          <w:sz w:val="22"/>
          <w:lang w:eastAsia="en-AU"/>
        </w:rPr>
      </w:pPr>
      <w:hyperlink w:anchor="_Toc23434552" w:history="1">
        <w:r w:rsidR="00C92E2E" w:rsidRPr="00BB7074">
          <w:rPr>
            <w:rStyle w:val="Hyperlink"/>
            <w:noProof/>
          </w:rPr>
          <w:t>Chapter 6: Building an evidence base and shared learning</w:t>
        </w:r>
        <w:r w:rsidR="00C92E2E">
          <w:rPr>
            <w:noProof/>
            <w:webHidden/>
          </w:rPr>
          <w:tab/>
        </w:r>
        <w:r w:rsidR="00C92E2E">
          <w:rPr>
            <w:noProof/>
            <w:webHidden/>
          </w:rPr>
          <w:fldChar w:fldCharType="begin"/>
        </w:r>
        <w:r w:rsidR="00C92E2E">
          <w:rPr>
            <w:noProof/>
            <w:webHidden/>
          </w:rPr>
          <w:instrText xml:space="preserve"> PAGEREF _Toc23434552 \h </w:instrText>
        </w:r>
        <w:r w:rsidR="00C92E2E">
          <w:rPr>
            <w:noProof/>
            <w:webHidden/>
          </w:rPr>
        </w:r>
        <w:r w:rsidR="00C92E2E">
          <w:rPr>
            <w:noProof/>
            <w:webHidden/>
          </w:rPr>
          <w:fldChar w:fldCharType="separate"/>
        </w:r>
        <w:r w:rsidR="00C92E2E">
          <w:rPr>
            <w:noProof/>
            <w:webHidden/>
          </w:rPr>
          <w:t>88</w:t>
        </w:r>
        <w:r w:rsidR="00C92E2E">
          <w:rPr>
            <w:noProof/>
            <w:webHidden/>
          </w:rPr>
          <w:fldChar w:fldCharType="end"/>
        </w:r>
      </w:hyperlink>
    </w:p>
    <w:p w14:paraId="6E52AB4C" w14:textId="27110C9B" w:rsidR="00C92E2E" w:rsidRDefault="00A46FF6">
      <w:pPr>
        <w:pStyle w:val="TOC2"/>
        <w:rPr>
          <w:rFonts w:asciiTheme="minorHAnsi" w:eastAsiaTheme="minorEastAsia" w:hAnsiTheme="minorHAnsi"/>
          <w:noProof/>
          <w:color w:val="auto"/>
          <w:sz w:val="22"/>
          <w:lang w:eastAsia="en-AU"/>
        </w:rPr>
      </w:pPr>
      <w:hyperlink w:anchor="_Toc23434553" w:history="1">
        <w:r w:rsidR="00C92E2E" w:rsidRPr="00BB7074">
          <w:rPr>
            <w:rStyle w:val="Hyperlink"/>
            <w:noProof/>
          </w:rPr>
          <w:t>6.1. The situation in 2008</w:t>
        </w:r>
        <w:r w:rsidR="00C92E2E">
          <w:rPr>
            <w:noProof/>
            <w:webHidden/>
          </w:rPr>
          <w:tab/>
        </w:r>
        <w:r w:rsidR="00C92E2E">
          <w:rPr>
            <w:noProof/>
            <w:webHidden/>
          </w:rPr>
          <w:fldChar w:fldCharType="begin"/>
        </w:r>
        <w:r w:rsidR="00C92E2E">
          <w:rPr>
            <w:noProof/>
            <w:webHidden/>
          </w:rPr>
          <w:instrText xml:space="preserve"> PAGEREF _Toc23434553 \h </w:instrText>
        </w:r>
        <w:r w:rsidR="00C92E2E">
          <w:rPr>
            <w:noProof/>
            <w:webHidden/>
          </w:rPr>
        </w:r>
        <w:r w:rsidR="00C92E2E">
          <w:rPr>
            <w:noProof/>
            <w:webHidden/>
          </w:rPr>
          <w:fldChar w:fldCharType="separate"/>
        </w:r>
        <w:r w:rsidR="00C92E2E">
          <w:rPr>
            <w:noProof/>
            <w:webHidden/>
          </w:rPr>
          <w:t>88</w:t>
        </w:r>
        <w:r w:rsidR="00C92E2E">
          <w:rPr>
            <w:noProof/>
            <w:webHidden/>
          </w:rPr>
          <w:fldChar w:fldCharType="end"/>
        </w:r>
      </w:hyperlink>
    </w:p>
    <w:p w14:paraId="74827D7D" w14:textId="4FEB644C" w:rsidR="00C92E2E" w:rsidRDefault="00A46FF6">
      <w:pPr>
        <w:pStyle w:val="TOC2"/>
        <w:rPr>
          <w:rFonts w:asciiTheme="minorHAnsi" w:eastAsiaTheme="minorEastAsia" w:hAnsiTheme="minorHAnsi"/>
          <w:noProof/>
          <w:color w:val="auto"/>
          <w:sz w:val="22"/>
          <w:lang w:eastAsia="en-AU"/>
        </w:rPr>
      </w:pPr>
      <w:hyperlink w:anchor="_Toc23434554" w:history="1">
        <w:r w:rsidR="00C92E2E" w:rsidRPr="00BB7074">
          <w:rPr>
            <w:rStyle w:val="Hyperlink"/>
            <w:noProof/>
          </w:rPr>
          <w:t>6.2. Progress to date</w:t>
        </w:r>
        <w:r w:rsidR="00C92E2E">
          <w:rPr>
            <w:noProof/>
            <w:webHidden/>
          </w:rPr>
          <w:tab/>
        </w:r>
        <w:r w:rsidR="00C92E2E">
          <w:rPr>
            <w:noProof/>
            <w:webHidden/>
          </w:rPr>
          <w:fldChar w:fldCharType="begin"/>
        </w:r>
        <w:r w:rsidR="00C92E2E">
          <w:rPr>
            <w:noProof/>
            <w:webHidden/>
          </w:rPr>
          <w:instrText xml:space="preserve"> PAGEREF _Toc23434554 \h </w:instrText>
        </w:r>
        <w:r w:rsidR="00C92E2E">
          <w:rPr>
            <w:noProof/>
            <w:webHidden/>
          </w:rPr>
        </w:r>
        <w:r w:rsidR="00C92E2E">
          <w:rPr>
            <w:noProof/>
            <w:webHidden/>
          </w:rPr>
          <w:fldChar w:fldCharType="separate"/>
        </w:r>
        <w:r w:rsidR="00C92E2E">
          <w:rPr>
            <w:noProof/>
            <w:webHidden/>
          </w:rPr>
          <w:t>88</w:t>
        </w:r>
        <w:r w:rsidR="00C92E2E">
          <w:rPr>
            <w:noProof/>
            <w:webHidden/>
          </w:rPr>
          <w:fldChar w:fldCharType="end"/>
        </w:r>
      </w:hyperlink>
    </w:p>
    <w:p w14:paraId="4D15206A" w14:textId="336AD0F6" w:rsidR="00C92E2E" w:rsidRDefault="00A46FF6">
      <w:pPr>
        <w:pStyle w:val="TOC2"/>
        <w:rPr>
          <w:rFonts w:asciiTheme="minorHAnsi" w:eastAsiaTheme="minorEastAsia" w:hAnsiTheme="minorHAnsi"/>
          <w:noProof/>
          <w:color w:val="auto"/>
          <w:sz w:val="22"/>
          <w:lang w:eastAsia="en-AU"/>
        </w:rPr>
      </w:pPr>
      <w:hyperlink w:anchor="_Toc23434555" w:history="1">
        <w:r w:rsidR="00C92E2E" w:rsidRPr="00BB7074">
          <w:rPr>
            <w:rStyle w:val="Hyperlink"/>
            <w:noProof/>
          </w:rPr>
          <w:t>6.3. Findings and recommendation</w:t>
        </w:r>
        <w:r w:rsidR="00C92E2E">
          <w:rPr>
            <w:noProof/>
            <w:webHidden/>
          </w:rPr>
          <w:tab/>
        </w:r>
        <w:r w:rsidR="00C92E2E">
          <w:rPr>
            <w:noProof/>
            <w:webHidden/>
          </w:rPr>
          <w:fldChar w:fldCharType="begin"/>
        </w:r>
        <w:r w:rsidR="00C92E2E">
          <w:rPr>
            <w:noProof/>
            <w:webHidden/>
          </w:rPr>
          <w:instrText xml:space="preserve"> PAGEREF _Toc23434555 \h </w:instrText>
        </w:r>
        <w:r w:rsidR="00C92E2E">
          <w:rPr>
            <w:noProof/>
            <w:webHidden/>
          </w:rPr>
        </w:r>
        <w:r w:rsidR="00C92E2E">
          <w:rPr>
            <w:noProof/>
            <w:webHidden/>
          </w:rPr>
          <w:fldChar w:fldCharType="separate"/>
        </w:r>
        <w:r w:rsidR="00C92E2E">
          <w:rPr>
            <w:noProof/>
            <w:webHidden/>
          </w:rPr>
          <w:t>95</w:t>
        </w:r>
        <w:r w:rsidR="00C92E2E">
          <w:rPr>
            <w:noProof/>
            <w:webHidden/>
          </w:rPr>
          <w:fldChar w:fldCharType="end"/>
        </w:r>
      </w:hyperlink>
    </w:p>
    <w:p w14:paraId="3E897406" w14:textId="4B64B345" w:rsidR="00C92E2E" w:rsidRDefault="00A46FF6">
      <w:pPr>
        <w:pStyle w:val="TOC1"/>
        <w:rPr>
          <w:rFonts w:asciiTheme="minorHAnsi" w:eastAsiaTheme="minorEastAsia" w:hAnsiTheme="minorHAnsi"/>
          <w:b w:val="0"/>
          <w:noProof/>
          <w:color w:val="auto"/>
          <w:sz w:val="22"/>
          <w:lang w:eastAsia="en-AU"/>
        </w:rPr>
      </w:pPr>
      <w:hyperlink w:anchor="_Toc23434556" w:history="1">
        <w:r w:rsidR="00C92E2E" w:rsidRPr="00BB7074">
          <w:rPr>
            <w:rStyle w:val="Hyperlink"/>
            <w:noProof/>
          </w:rPr>
          <w:t>Chapter 7: Future directions</w:t>
        </w:r>
        <w:r w:rsidR="00C92E2E">
          <w:rPr>
            <w:noProof/>
            <w:webHidden/>
          </w:rPr>
          <w:tab/>
        </w:r>
        <w:r w:rsidR="00C92E2E">
          <w:rPr>
            <w:noProof/>
            <w:webHidden/>
          </w:rPr>
          <w:fldChar w:fldCharType="begin"/>
        </w:r>
        <w:r w:rsidR="00C92E2E">
          <w:rPr>
            <w:noProof/>
            <w:webHidden/>
          </w:rPr>
          <w:instrText xml:space="preserve"> PAGEREF _Toc23434556 \h </w:instrText>
        </w:r>
        <w:r w:rsidR="00C92E2E">
          <w:rPr>
            <w:noProof/>
            <w:webHidden/>
          </w:rPr>
        </w:r>
        <w:r w:rsidR="00C92E2E">
          <w:rPr>
            <w:noProof/>
            <w:webHidden/>
          </w:rPr>
          <w:fldChar w:fldCharType="separate"/>
        </w:r>
        <w:r w:rsidR="00C92E2E">
          <w:rPr>
            <w:noProof/>
            <w:webHidden/>
          </w:rPr>
          <w:t>97</w:t>
        </w:r>
        <w:r w:rsidR="00C92E2E">
          <w:rPr>
            <w:noProof/>
            <w:webHidden/>
          </w:rPr>
          <w:fldChar w:fldCharType="end"/>
        </w:r>
      </w:hyperlink>
    </w:p>
    <w:p w14:paraId="3A34EB23" w14:textId="34702FB4" w:rsidR="00C92E2E" w:rsidRDefault="00A46FF6">
      <w:pPr>
        <w:pStyle w:val="TOC2"/>
        <w:rPr>
          <w:rFonts w:asciiTheme="minorHAnsi" w:eastAsiaTheme="minorEastAsia" w:hAnsiTheme="minorHAnsi"/>
          <w:noProof/>
          <w:color w:val="auto"/>
          <w:sz w:val="22"/>
          <w:lang w:eastAsia="en-AU"/>
        </w:rPr>
      </w:pPr>
      <w:hyperlink w:anchor="_Toc23434557" w:history="1">
        <w:r w:rsidR="00C92E2E" w:rsidRPr="00BB7074">
          <w:rPr>
            <w:rStyle w:val="Hyperlink"/>
            <w:noProof/>
          </w:rPr>
          <w:t>7.1. Emerging issues and new frontiers</w:t>
        </w:r>
        <w:r w:rsidR="00C92E2E">
          <w:rPr>
            <w:noProof/>
            <w:webHidden/>
          </w:rPr>
          <w:tab/>
        </w:r>
        <w:r w:rsidR="00C92E2E">
          <w:rPr>
            <w:noProof/>
            <w:webHidden/>
          </w:rPr>
          <w:fldChar w:fldCharType="begin"/>
        </w:r>
        <w:r w:rsidR="00C92E2E">
          <w:rPr>
            <w:noProof/>
            <w:webHidden/>
          </w:rPr>
          <w:instrText xml:space="preserve"> PAGEREF _Toc23434557 \h </w:instrText>
        </w:r>
        <w:r w:rsidR="00C92E2E">
          <w:rPr>
            <w:noProof/>
            <w:webHidden/>
          </w:rPr>
        </w:r>
        <w:r w:rsidR="00C92E2E">
          <w:rPr>
            <w:noProof/>
            <w:webHidden/>
          </w:rPr>
          <w:fldChar w:fldCharType="separate"/>
        </w:r>
        <w:r w:rsidR="00C92E2E">
          <w:rPr>
            <w:noProof/>
            <w:webHidden/>
          </w:rPr>
          <w:t>97</w:t>
        </w:r>
        <w:r w:rsidR="00C92E2E">
          <w:rPr>
            <w:noProof/>
            <w:webHidden/>
          </w:rPr>
          <w:fldChar w:fldCharType="end"/>
        </w:r>
      </w:hyperlink>
    </w:p>
    <w:p w14:paraId="1B2D7934" w14:textId="32B6C9CE" w:rsidR="00C92E2E" w:rsidRDefault="00A46FF6">
      <w:pPr>
        <w:pStyle w:val="TOC2"/>
        <w:rPr>
          <w:rFonts w:asciiTheme="minorHAnsi" w:eastAsiaTheme="minorEastAsia" w:hAnsiTheme="minorHAnsi"/>
          <w:noProof/>
          <w:color w:val="auto"/>
          <w:sz w:val="22"/>
          <w:lang w:eastAsia="en-AU"/>
        </w:rPr>
      </w:pPr>
      <w:hyperlink w:anchor="_Toc23434558" w:history="1">
        <w:r w:rsidR="00C92E2E" w:rsidRPr="00BB7074">
          <w:rPr>
            <w:rStyle w:val="Hyperlink"/>
            <w:noProof/>
          </w:rPr>
          <w:t>7.2. Future work</w:t>
        </w:r>
        <w:r w:rsidR="00C92E2E">
          <w:rPr>
            <w:noProof/>
            <w:webHidden/>
          </w:rPr>
          <w:tab/>
        </w:r>
        <w:r w:rsidR="00C92E2E">
          <w:rPr>
            <w:noProof/>
            <w:webHidden/>
          </w:rPr>
          <w:fldChar w:fldCharType="begin"/>
        </w:r>
        <w:r w:rsidR="00C92E2E">
          <w:rPr>
            <w:noProof/>
            <w:webHidden/>
          </w:rPr>
          <w:instrText xml:space="preserve"> PAGEREF _Toc23434558 \h </w:instrText>
        </w:r>
        <w:r w:rsidR="00C92E2E">
          <w:rPr>
            <w:noProof/>
            <w:webHidden/>
          </w:rPr>
        </w:r>
        <w:r w:rsidR="00C92E2E">
          <w:rPr>
            <w:noProof/>
            <w:webHidden/>
          </w:rPr>
          <w:fldChar w:fldCharType="separate"/>
        </w:r>
        <w:r w:rsidR="00C92E2E">
          <w:rPr>
            <w:noProof/>
            <w:webHidden/>
          </w:rPr>
          <w:t>98</w:t>
        </w:r>
        <w:r w:rsidR="00C92E2E">
          <w:rPr>
            <w:noProof/>
            <w:webHidden/>
          </w:rPr>
          <w:fldChar w:fldCharType="end"/>
        </w:r>
      </w:hyperlink>
    </w:p>
    <w:p w14:paraId="3A8F916A" w14:textId="125A95D7" w:rsidR="00C92E2E" w:rsidRDefault="00A46FF6">
      <w:pPr>
        <w:pStyle w:val="TOC1"/>
        <w:rPr>
          <w:rFonts w:asciiTheme="minorHAnsi" w:eastAsiaTheme="minorEastAsia" w:hAnsiTheme="minorHAnsi"/>
          <w:b w:val="0"/>
          <w:noProof/>
          <w:color w:val="auto"/>
          <w:sz w:val="22"/>
          <w:lang w:eastAsia="en-AU"/>
        </w:rPr>
      </w:pPr>
      <w:hyperlink w:anchor="_Toc23434559" w:history="1">
        <w:r w:rsidR="00C92E2E" w:rsidRPr="00BB7074">
          <w:rPr>
            <w:rStyle w:val="Hyperlink"/>
            <w:noProof/>
          </w:rPr>
          <w:t>Reference list</w:t>
        </w:r>
        <w:r w:rsidR="00C92E2E">
          <w:rPr>
            <w:noProof/>
            <w:webHidden/>
          </w:rPr>
          <w:tab/>
        </w:r>
        <w:r w:rsidR="00C92E2E">
          <w:rPr>
            <w:noProof/>
            <w:webHidden/>
          </w:rPr>
          <w:fldChar w:fldCharType="begin"/>
        </w:r>
        <w:r w:rsidR="00C92E2E">
          <w:rPr>
            <w:noProof/>
            <w:webHidden/>
          </w:rPr>
          <w:instrText xml:space="preserve"> PAGEREF _Toc23434559 \h </w:instrText>
        </w:r>
        <w:r w:rsidR="00C92E2E">
          <w:rPr>
            <w:noProof/>
            <w:webHidden/>
          </w:rPr>
        </w:r>
        <w:r w:rsidR="00C92E2E">
          <w:rPr>
            <w:noProof/>
            <w:webHidden/>
          </w:rPr>
          <w:fldChar w:fldCharType="separate"/>
        </w:r>
        <w:r w:rsidR="00C92E2E">
          <w:rPr>
            <w:noProof/>
            <w:webHidden/>
          </w:rPr>
          <w:t>99</w:t>
        </w:r>
        <w:r w:rsidR="00C92E2E">
          <w:rPr>
            <w:noProof/>
            <w:webHidden/>
          </w:rPr>
          <w:fldChar w:fldCharType="end"/>
        </w:r>
      </w:hyperlink>
    </w:p>
    <w:p w14:paraId="30CA5AF6" w14:textId="5EB0B7F3" w:rsidR="00C92E2E" w:rsidRDefault="00A46FF6">
      <w:pPr>
        <w:pStyle w:val="TOC1"/>
        <w:rPr>
          <w:rFonts w:asciiTheme="minorHAnsi" w:eastAsiaTheme="minorEastAsia" w:hAnsiTheme="minorHAnsi"/>
          <w:b w:val="0"/>
          <w:noProof/>
          <w:color w:val="auto"/>
          <w:sz w:val="22"/>
          <w:lang w:eastAsia="en-AU"/>
        </w:rPr>
      </w:pPr>
      <w:hyperlink w:anchor="_Toc23434560" w:history="1">
        <w:r w:rsidR="00C92E2E" w:rsidRPr="00BB7074">
          <w:rPr>
            <w:rStyle w:val="Hyperlink"/>
            <w:noProof/>
          </w:rPr>
          <w:t>Annex 1: Evaluation methodology</w:t>
        </w:r>
        <w:r w:rsidR="00C92E2E">
          <w:rPr>
            <w:noProof/>
            <w:webHidden/>
          </w:rPr>
          <w:tab/>
        </w:r>
        <w:r w:rsidR="00C92E2E">
          <w:rPr>
            <w:noProof/>
            <w:webHidden/>
          </w:rPr>
          <w:fldChar w:fldCharType="begin"/>
        </w:r>
        <w:r w:rsidR="00C92E2E">
          <w:rPr>
            <w:noProof/>
            <w:webHidden/>
          </w:rPr>
          <w:instrText xml:space="preserve"> PAGEREF _Toc23434560 \h </w:instrText>
        </w:r>
        <w:r w:rsidR="00C92E2E">
          <w:rPr>
            <w:noProof/>
            <w:webHidden/>
          </w:rPr>
        </w:r>
        <w:r w:rsidR="00C92E2E">
          <w:rPr>
            <w:noProof/>
            <w:webHidden/>
          </w:rPr>
          <w:fldChar w:fldCharType="separate"/>
        </w:r>
        <w:r w:rsidR="00C92E2E">
          <w:rPr>
            <w:noProof/>
            <w:webHidden/>
          </w:rPr>
          <w:t>108</w:t>
        </w:r>
        <w:r w:rsidR="00C92E2E">
          <w:rPr>
            <w:noProof/>
            <w:webHidden/>
          </w:rPr>
          <w:fldChar w:fldCharType="end"/>
        </w:r>
      </w:hyperlink>
    </w:p>
    <w:p w14:paraId="5E1065D5" w14:textId="1F2ECAE4" w:rsidR="00C92E2E" w:rsidRDefault="00A46FF6">
      <w:pPr>
        <w:pStyle w:val="TOC2"/>
        <w:rPr>
          <w:rFonts w:asciiTheme="minorHAnsi" w:eastAsiaTheme="minorEastAsia" w:hAnsiTheme="minorHAnsi"/>
          <w:noProof/>
          <w:color w:val="auto"/>
          <w:sz w:val="22"/>
          <w:lang w:eastAsia="en-AU"/>
        </w:rPr>
      </w:pPr>
      <w:hyperlink w:anchor="_Toc23434561" w:history="1">
        <w:r w:rsidR="00C92E2E" w:rsidRPr="00BB7074">
          <w:rPr>
            <w:rStyle w:val="Hyperlink"/>
            <w:noProof/>
          </w:rPr>
          <w:t>1.1:</w:t>
        </w:r>
        <w:r w:rsidR="00C92E2E" w:rsidRPr="00BB7074">
          <w:rPr>
            <w:rStyle w:val="Hyperlink"/>
            <w:noProof/>
            <w:lang w:val="en-GB" w:eastAsia="en-AU"/>
          </w:rPr>
          <w:t xml:space="preserve"> Evaluation purpose and scope</w:t>
        </w:r>
        <w:r w:rsidR="00C92E2E">
          <w:rPr>
            <w:noProof/>
            <w:webHidden/>
          </w:rPr>
          <w:tab/>
        </w:r>
        <w:r w:rsidR="00C92E2E">
          <w:rPr>
            <w:noProof/>
            <w:webHidden/>
          </w:rPr>
          <w:fldChar w:fldCharType="begin"/>
        </w:r>
        <w:r w:rsidR="00C92E2E">
          <w:rPr>
            <w:noProof/>
            <w:webHidden/>
          </w:rPr>
          <w:instrText xml:space="preserve"> PAGEREF _Toc23434561 \h </w:instrText>
        </w:r>
        <w:r w:rsidR="00C92E2E">
          <w:rPr>
            <w:noProof/>
            <w:webHidden/>
          </w:rPr>
        </w:r>
        <w:r w:rsidR="00C92E2E">
          <w:rPr>
            <w:noProof/>
            <w:webHidden/>
          </w:rPr>
          <w:fldChar w:fldCharType="separate"/>
        </w:r>
        <w:r w:rsidR="00C92E2E">
          <w:rPr>
            <w:noProof/>
            <w:webHidden/>
          </w:rPr>
          <w:t>108</w:t>
        </w:r>
        <w:r w:rsidR="00C92E2E">
          <w:rPr>
            <w:noProof/>
            <w:webHidden/>
          </w:rPr>
          <w:fldChar w:fldCharType="end"/>
        </w:r>
      </w:hyperlink>
    </w:p>
    <w:p w14:paraId="361F8DBF" w14:textId="292C14F3" w:rsidR="00C92E2E" w:rsidRDefault="00A46FF6">
      <w:pPr>
        <w:pStyle w:val="TOC2"/>
        <w:rPr>
          <w:rFonts w:asciiTheme="minorHAnsi" w:eastAsiaTheme="minorEastAsia" w:hAnsiTheme="minorHAnsi"/>
          <w:noProof/>
          <w:color w:val="auto"/>
          <w:sz w:val="22"/>
          <w:lang w:eastAsia="en-AU"/>
        </w:rPr>
      </w:pPr>
      <w:hyperlink w:anchor="_Toc23434562" w:history="1">
        <w:r w:rsidR="00C92E2E" w:rsidRPr="00BB7074">
          <w:rPr>
            <w:rStyle w:val="Hyperlink"/>
            <w:noProof/>
            <w:lang w:val="en-GB" w:eastAsia="en-AU"/>
          </w:rPr>
          <w:t>1.2: Evaluation team</w:t>
        </w:r>
        <w:r w:rsidR="00C92E2E">
          <w:rPr>
            <w:noProof/>
            <w:webHidden/>
          </w:rPr>
          <w:tab/>
        </w:r>
        <w:r w:rsidR="00C92E2E">
          <w:rPr>
            <w:noProof/>
            <w:webHidden/>
          </w:rPr>
          <w:fldChar w:fldCharType="begin"/>
        </w:r>
        <w:r w:rsidR="00C92E2E">
          <w:rPr>
            <w:noProof/>
            <w:webHidden/>
          </w:rPr>
          <w:instrText xml:space="preserve"> PAGEREF _Toc23434562 \h </w:instrText>
        </w:r>
        <w:r w:rsidR="00C92E2E">
          <w:rPr>
            <w:noProof/>
            <w:webHidden/>
          </w:rPr>
        </w:r>
        <w:r w:rsidR="00C92E2E">
          <w:rPr>
            <w:noProof/>
            <w:webHidden/>
          </w:rPr>
          <w:fldChar w:fldCharType="separate"/>
        </w:r>
        <w:r w:rsidR="00C92E2E">
          <w:rPr>
            <w:noProof/>
            <w:webHidden/>
          </w:rPr>
          <w:t>109</w:t>
        </w:r>
        <w:r w:rsidR="00C92E2E">
          <w:rPr>
            <w:noProof/>
            <w:webHidden/>
          </w:rPr>
          <w:fldChar w:fldCharType="end"/>
        </w:r>
      </w:hyperlink>
    </w:p>
    <w:p w14:paraId="738DAB68" w14:textId="5927EA0B" w:rsidR="00C92E2E" w:rsidRDefault="00A46FF6">
      <w:pPr>
        <w:pStyle w:val="TOC2"/>
        <w:rPr>
          <w:rFonts w:asciiTheme="minorHAnsi" w:eastAsiaTheme="minorEastAsia" w:hAnsiTheme="minorHAnsi"/>
          <w:noProof/>
          <w:color w:val="auto"/>
          <w:sz w:val="22"/>
          <w:lang w:eastAsia="en-AU"/>
        </w:rPr>
      </w:pPr>
      <w:hyperlink w:anchor="_Toc23434563" w:history="1">
        <w:r w:rsidR="00C92E2E" w:rsidRPr="00BB7074">
          <w:rPr>
            <w:rStyle w:val="Hyperlink"/>
            <w:noProof/>
            <w:lang w:val="en-GB" w:eastAsia="en-AU"/>
          </w:rPr>
          <w:t>1.3: Overview of approach and methodology</w:t>
        </w:r>
        <w:r w:rsidR="00C92E2E">
          <w:rPr>
            <w:noProof/>
            <w:webHidden/>
          </w:rPr>
          <w:tab/>
        </w:r>
        <w:r w:rsidR="00C92E2E">
          <w:rPr>
            <w:noProof/>
            <w:webHidden/>
          </w:rPr>
          <w:fldChar w:fldCharType="begin"/>
        </w:r>
        <w:r w:rsidR="00C92E2E">
          <w:rPr>
            <w:noProof/>
            <w:webHidden/>
          </w:rPr>
          <w:instrText xml:space="preserve"> PAGEREF _Toc23434563 \h </w:instrText>
        </w:r>
        <w:r w:rsidR="00C92E2E">
          <w:rPr>
            <w:noProof/>
            <w:webHidden/>
          </w:rPr>
        </w:r>
        <w:r w:rsidR="00C92E2E">
          <w:rPr>
            <w:noProof/>
            <w:webHidden/>
          </w:rPr>
          <w:fldChar w:fldCharType="separate"/>
        </w:r>
        <w:r w:rsidR="00C92E2E">
          <w:rPr>
            <w:noProof/>
            <w:webHidden/>
          </w:rPr>
          <w:t>110</w:t>
        </w:r>
        <w:r w:rsidR="00C92E2E">
          <w:rPr>
            <w:noProof/>
            <w:webHidden/>
          </w:rPr>
          <w:fldChar w:fldCharType="end"/>
        </w:r>
      </w:hyperlink>
    </w:p>
    <w:p w14:paraId="1CF59883" w14:textId="1AC43FFB" w:rsidR="00C92E2E" w:rsidRDefault="00A46FF6">
      <w:pPr>
        <w:pStyle w:val="TOC2"/>
        <w:rPr>
          <w:rFonts w:asciiTheme="minorHAnsi" w:eastAsiaTheme="minorEastAsia" w:hAnsiTheme="minorHAnsi"/>
          <w:noProof/>
          <w:color w:val="auto"/>
          <w:sz w:val="22"/>
          <w:lang w:eastAsia="en-AU"/>
        </w:rPr>
      </w:pPr>
      <w:hyperlink w:anchor="_Toc23434564" w:history="1">
        <w:r w:rsidR="00C92E2E" w:rsidRPr="00BB7074">
          <w:rPr>
            <w:rStyle w:val="Hyperlink"/>
            <w:noProof/>
            <w:lang w:val="en-GB" w:eastAsia="en-AU"/>
          </w:rPr>
          <w:t>1.4: Systematic document review</w:t>
        </w:r>
        <w:r w:rsidR="00C92E2E">
          <w:rPr>
            <w:noProof/>
            <w:webHidden/>
          </w:rPr>
          <w:tab/>
        </w:r>
        <w:r w:rsidR="00C92E2E">
          <w:rPr>
            <w:noProof/>
            <w:webHidden/>
          </w:rPr>
          <w:fldChar w:fldCharType="begin"/>
        </w:r>
        <w:r w:rsidR="00C92E2E">
          <w:rPr>
            <w:noProof/>
            <w:webHidden/>
          </w:rPr>
          <w:instrText xml:space="preserve"> PAGEREF _Toc23434564 \h </w:instrText>
        </w:r>
        <w:r w:rsidR="00C92E2E">
          <w:rPr>
            <w:noProof/>
            <w:webHidden/>
          </w:rPr>
        </w:r>
        <w:r w:rsidR="00C92E2E">
          <w:rPr>
            <w:noProof/>
            <w:webHidden/>
          </w:rPr>
          <w:fldChar w:fldCharType="separate"/>
        </w:r>
        <w:r w:rsidR="00C92E2E">
          <w:rPr>
            <w:noProof/>
            <w:webHidden/>
          </w:rPr>
          <w:t>110</w:t>
        </w:r>
        <w:r w:rsidR="00C92E2E">
          <w:rPr>
            <w:noProof/>
            <w:webHidden/>
          </w:rPr>
          <w:fldChar w:fldCharType="end"/>
        </w:r>
      </w:hyperlink>
    </w:p>
    <w:p w14:paraId="14E8AA71" w14:textId="5FE4B0B4" w:rsidR="00C92E2E" w:rsidRDefault="00A46FF6">
      <w:pPr>
        <w:pStyle w:val="TOC2"/>
        <w:rPr>
          <w:rFonts w:asciiTheme="minorHAnsi" w:eastAsiaTheme="minorEastAsia" w:hAnsiTheme="minorHAnsi"/>
          <w:noProof/>
          <w:color w:val="auto"/>
          <w:sz w:val="22"/>
          <w:lang w:eastAsia="en-AU"/>
        </w:rPr>
      </w:pPr>
      <w:hyperlink w:anchor="_Toc23434565" w:history="1">
        <w:r w:rsidR="00C92E2E" w:rsidRPr="00BB7074">
          <w:rPr>
            <w:rStyle w:val="Hyperlink"/>
            <w:noProof/>
            <w:lang w:val="en-GB" w:eastAsia="en-AU"/>
          </w:rPr>
          <w:t>1.5: Data collection for in-depth review</w:t>
        </w:r>
        <w:r w:rsidR="00C92E2E">
          <w:rPr>
            <w:noProof/>
            <w:webHidden/>
          </w:rPr>
          <w:tab/>
        </w:r>
        <w:r w:rsidR="00C92E2E">
          <w:rPr>
            <w:noProof/>
            <w:webHidden/>
          </w:rPr>
          <w:fldChar w:fldCharType="begin"/>
        </w:r>
        <w:r w:rsidR="00C92E2E">
          <w:rPr>
            <w:noProof/>
            <w:webHidden/>
          </w:rPr>
          <w:instrText xml:space="preserve"> PAGEREF _Toc23434565 \h </w:instrText>
        </w:r>
        <w:r w:rsidR="00C92E2E">
          <w:rPr>
            <w:noProof/>
            <w:webHidden/>
          </w:rPr>
        </w:r>
        <w:r w:rsidR="00C92E2E">
          <w:rPr>
            <w:noProof/>
            <w:webHidden/>
          </w:rPr>
          <w:fldChar w:fldCharType="separate"/>
        </w:r>
        <w:r w:rsidR="00C92E2E">
          <w:rPr>
            <w:noProof/>
            <w:webHidden/>
          </w:rPr>
          <w:t>111</w:t>
        </w:r>
        <w:r w:rsidR="00C92E2E">
          <w:rPr>
            <w:noProof/>
            <w:webHidden/>
          </w:rPr>
          <w:fldChar w:fldCharType="end"/>
        </w:r>
      </w:hyperlink>
    </w:p>
    <w:p w14:paraId="3CDF6427" w14:textId="01A4B3EB" w:rsidR="00C92E2E" w:rsidRDefault="00A46FF6">
      <w:pPr>
        <w:pStyle w:val="TOC2"/>
        <w:rPr>
          <w:rFonts w:asciiTheme="minorHAnsi" w:eastAsiaTheme="minorEastAsia" w:hAnsiTheme="minorHAnsi"/>
          <w:noProof/>
          <w:color w:val="auto"/>
          <w:sz w:val="22"/>
          <w:lang w:eastAsia="en-AU"/>
        </w:rPr>
      </w:pPr>
      <w:hyperlink w:anchor="_Toc23434566" w:history="1">
        <w:r w:rsidR="00C92E2E" w:rsidRPr="00BB7074">
          <w:rPr>
            <w:rStyle w:val="Hyperlink"/>
            <w:noProof/>
            <w:lang w:val="en-GB" w:eastAsia="en-AU"/>
          </w:rPr>
          <w:t>1.6: Assessment of the quality of existing evaluations</w:t>
        </w:r>
        <w:r w:rsidR="00C92E2E">
          <w:rPr>
            <w:noProof/>
            <w:webHidden/>
          </w:rPr>
          <w:tab/>
        </w:r>
        <w:r w:rsidR="00C92E2E">
          <w:rPr>
            <w:noProof/>
            <w:webHidden/>
          </w:rPr>
          <w:fldChar w:fldCharType="begin"/>
        </w:r>
        <w:r w:rsidR="00C92E2E">
          <w:rPr>
            <w:noProof/>
            <w:webHidden/>
          </w:rPr>
          <w:instrText xml:space="preserve"> PAGEREF _Toc23434566 \h </w:instrText>
        </w:r>
        <w:r w:rsidR="00C92E2E">
          <w:rPr>
            <w:noProof/>
            <w:webHidden/>
          </w:rPr>
        </w:r>
        <w:r w:rsidR="00C92E2E">
          <w:rPr>
            <w:noProof/>
            <w:webHidden/>
          </w:rPr>
          <w:fldChar w:fldCharType="separate"/>
        </w:r>
        <w:r w:rsidR="00C92E2E">
          <w:rPr>
            <w:noProof/>
            <w:webHidden/>
          </w:rPr>
          <w:t>112</w:t>
        </w:r>
        <w:r w:rsidR="00C92E2E">
          <w:rPr>
            <w:noProof/>
            <w:webHidden/>
          </w:rPr>
          <w:fldChar w:fldCharType="end"/>
        </w:r>
      </w:hyperlink>
    </w:p>
    <w:p w14:paraId="6112015C" w14:textId="20FACAE6" w:rsidR="00C92E2E" w:rsidRDefault="00A46FF6">
      <w:pPr>
        <w:pStyle w:val="TOC2"/>
        <w:rPr>
          <w:rFonts w:asciiTheme="minorHAnsi" w:eastAsiaTheme="minorEastAsia" w:hAnsiTheme="minorHAnsi"/>
          <w:noProof/>
          <w:color w:val="auto"/>
          <w:sz w:val="22"/>
          <w:lang w:eastAsia="en-AU"/>
        </w:rPr>
      </w:pPr>
      <w:hyperlink w:anchor="_Toc23434567" w:history="1">
        <w:r w:rsidR="00C92E2E" w:rsidRPr="00BB7074">
          <w:rPr>
            <w:rStyle w:val="Hyperlink"/>
            <w:noProof/>
            <w:lang w:val="en-GB" w:eastAsia="en-AU"/>
          </w:rPr>
          <w:t>1.7: Humanitarian assistance</w:t>
        </w:r>
        <w:r w:rsidR="00C92E2E">
          <w:rPr>
            <w:noProof/>
            <w:webHidden/>
          </w:rPr>
          <w:tab/>
        </w:r>
        <w:r w:rsidR="00C92E2E">
          <w:rPr>
            <w:noProof/>
            <w:webHidden/>
          </w:rPr>
          <w:fldChar w:fldCharType="begin"/>
        </w:r>
        <w:r w:rsidR="00C92E2E">
          <w:rPr>
            <w:noProof/>
            <w:webHidden/>
          </w:rPr>
          <w:instrText xml:space="preserve"> PAGEREF _Toc23434567 \h </w:instrText>
        </w:r>
        <w:r w:rsidR="00C92E2E">
          <w:rPr>
            <w:noProof/>
            <w:webHidden/>
          </w:rPr>
        </w:r>
        <w:r w:rsidR="00C92E2E">
          <w:rPr>
            <w:noProof/>
            <w:webHidden/>
          </w:rPr>
          <w:fldChar w:fldCharType="separate"/>
        </w:r>
        <w:r w:rsidR="00C92E2E">
          <w:rPr>
            <w:noProof/>
            <w:webHidden/>
          </w:rPr>
          <w:t>112</w:t>
        </w:r>
        <w:r w:rsidR="00C92E2E">
          <w:rPr>
            <w:noProof/>
            <w:webHidden/>
          </w:rPr>
          <w:fldChar w:fldCharType="end"/>
        </w:r>
      </w:hyperlink>
    </w:p>
    <w:p w14:paraId="0ACB146C" w14:textId="28EBE2B3" w:rsidR="00C92E2E" w:rsidRDefault="00A46FF6">
      <w:pPr>
        <w:pStyle w:val="TOC2"/>
        <w:rPr>
          <w:rFonts w:asciiTheme="minorHAnsi" w:eastAsiaTheme="minorEastAsia" w:hAnsiTheme="minorHAnsi"/>
          <w:noProof/>
          <w:color w:val="auto"/>
          <w:sz w:val="22"/>
          <w:lang w:eastAsia="en-AU"/>
        </w:rPr>
      </w:pPr>
      <w:hyperlink w:anchor="_Toc23434568" w:history="1">
        <w:r w:rsidR="00C92E2E" w:rsidRPr="00BB7074">
          <w:rPr>
            <w:rStyle w:val="Hyperlink"/>
            <w:noProof/>
            <w:lang w:val="en-GB" w:eastAsia="en-AU"/>
          </w:rPr>
          <w:t>1.8: Field visits</w:t>
        </w:r>
        <w:r w:rsidR="00C92E2E">
          <w:rPr>
            <w:noProof/>
            <w:webHidden/>
          </w:rPr>
          <w:tab/>
        </w:r>
        <w:r w:rsidR="00C92E2E">
          <w:rPr>
            <w:noProof/>
            <w:webHidden/>
          </w:rPr>
          <w:fldChar w:fldCharType="begin"/>
        </w:r>
        <w:r w:rsidR="00C92E2E">
          <w:rPr>
            <w:noProof/>
            <w:webHidden/>
          </w:rPr>
          <w:instrText xml:space="preserve"> PAGEREF _Toc23434568 \h </w:instrText>
        </w:r>
        <w:r w:rsidR="00C92E2E">
          <w:rPr>
            <w:noProof/>
            <w:webHidden/>
          </w:rPr>
        </w:r>
        <w:r w:rsidR="00C92E2E">
          <w:rPr>
            <w:noProof/>
            <w:webHidden/>
          </w:rPr>
          <w:fldChar w:fldCharType="separate"/>
        </w:r>
        <w:r w:rsidR="00C92E2E">
          <w:rPr>
            <w:noProof/>
            <w:webHidden/>
          </w:rPr>
          <w:t>112</w:t>
        </w:r>
        <w:r w:rsidR="00C92E2E">
          <w:rPr>
            <w:noProof/>
            <w:webHidden/>
          </w:rPr>
          <w:fldChar w:fldCharType="end"/>
        </w:r>
      </w:hyperlink>
    </w:p>
    <w:p w14:paraId="2BDB1939" w14:textId="74D7EF2F" w:rsidR="00C92E2E" w:rsidRDefault="00A46FF6">
      <w:pPr>
        <w:pStyle w:val="TOC2"/>
        <w:rPr>
          <w:rFonts w:asciiTheme="minorHAnsi" w:eastAsiaTheme="minorEastAsia" w:hAnsiTheme="minorHAnsi"/>
          <w:noProof/>
          <w:color w:val="auto"/>
          <w:sz w:val="22"/>
          <w:lang w:eastAsia="en-AU"/>
        </w:rPr>
      </w:pPr>
      <w:hyperlink w:anchor="_Toc23434569" w:history="1">
        <w:r w:rsidR="00C92E2E" w:rsidRPr="00BB7074">
          <w:rPr>
            <w:rStyle w:val="Hyperlink"/>
            <w:noProof/>
            <w:lang w:val="en-GB" w:eastAsia="en-AU"/>
          </w:rPr>
          <w:t>1.9: Analysis</w:t>
        </w:r>
        <w:r w:rsidR="00C92E2E">
          <w:rPr>
            <w:noProof/>
            <w:webHidden/>
          </w:rPr>
          <w:tab/>
        </w:r>
        <w:r w:rsidR="00C92E2E">
          <w:rPr>
            <w:noProof/>
            <w:webHidden/>
          </w:rPr>
          <w:fldChar w:fldCharType="begin"/>
        </w:r>
        <w:r w:rsidR="00C92E2E">
          <w:rPr>
            <w:noProof/>
            <w:webHidden/>
          </w:rPr>
          <w:instrText xml:space="preserve"> PAGEREF _Toc23434569 \h </w:instrText>
        </w:r>
        <w:r w:rsidR="00C92E2E">
          <w:rPr>
            <w:noProof/>
            <w:webHidden/>
          </w:rPr>
        </w:r>
        <w:r w:rsidR="00C92E2E">
          <w:rPr>
            <w:noProof/>
            <w:webHidden/>
          </w:rPr>
          <w:fldChar w:fldCharType="separate"/>
        </w:r>
        <w:r w:rsidR="00C92E2E">
          <w:rPr>
            <w:noProof/>
            <w:webHidden/>
          </w:rPr>
          <w:t>114</w:t>
        </w:r>
        <w:r w:rsidR="00C92E2E">
          <w:rPr>
            <w:noProof/>
            <w:webHidden/>
          </w:rPr>
          <w:fldChar w:fldCharType="end"/>
        </w:r>
      </w:hyperlink>
    </w:p>
    <w:p w14:paraId="0F637D12" w14:textId="7C16CEF1" w:rsidR="00C92E2E" w:rsidRDefault="00A46FF6">
      <w:pPr>
        <w:pStyle w:val="TOC2"/>
        <w:rPr>
          <w:rFonts w:asciiTheme="minorHAnsi" w:eastAsiaTheme="minorEastAsia" w:hAnsiTheme="minorHAnsi"/>
          <w:noProof/>
          <w:color w:val="auto"/>
          <w:sz w:val="22"/>
          <w:lang w:eastAsia="en-AU"/>
        </w:rPr>
      </w:pPr>
      <w:hyperlink w:anchor="_Toc23434570" w:history="1">
        <w:r w:rsidR="00C92E2E" w:rsidRPr="00BB7074">
          <w:rPr>
            <w:rStyle w:val="Hyperlink"/>
            <w:noProof/>
            <w:lang w:val="en-GB" w:eastAsia="en-AU"/>
          </w:rPr>
          <w:t>1.10: Ethical considerations</w:t>
        </w:r>
        <w:r w:rsidR="00C92E2E">
          <w:rPr>
            <w:noProof/>
            <w:webHidden/>
          </w:rPr>
          <w:tab/>
        </w:r>
        <w:r w:rsidR="00C92E2E">
          <w:rPr>
            <w:noProof/>
            <w:webHidden/>
          </w:rPr>
          <w:fldChar w:fldCharType="begin"/>
        </w:r>
        <w:r w:rsidR="00C92E2E">
          <w:rPr>
            <w:noProof/>
            <w:webHidden/>
          </w:rPr>
          <w:instrText xml:space="preserve"> PAGEREF _Toc23434570 \h </w:instrText>
        </w:r>
        <w:r w:rsidR="00C92E2E">
          <w:rPr>
            <w:noProof/>
            <w:webHidden/>
          </w:rPr>
        </w:r>
        <w:r w:rsidR="00C92E2E">
          <w:rPr>
            <w:noProof/>
            <w:webHidden/>
          </w:rPr>
          <w:fldChar w:fldCharType="separate"/>
        </w:r>
        <w:r w:rsidR="00C92E2E">
          <w:rPr>
            <w:noProof/>
            <w:webHidden/>
          </w:rPr>
          <w:t>114</w:t>
        </w:r>
        <w:r w:rsidR="00C92E2E">
          <w:rPr>
            <w:noProof/>
            <w:webHidden/>
          </w:rPr>
          <w:fldChar w:fldCharType="end"/>
        </w:r>
      </w:hyperlink>
    </w:p>
    <w:p w14:paraId="76C1DB73" w14:textId="0C0849B8" w:rsidR="00C92E2E" w:rsidRDefault="00A46FF6">
      <w:pPr>
        <w:pStyle w:val="TOC2"/>
        <w:rPr>
          <w:rFonts w:asciiTheme="minorHAnsi" w:eastAsiaTheme="minorEastAsia" w:hAnsiTheme="minorHAnsi"/>
          <w:noProof/>
          <w:color w:val="auto"/>
          <w:sz w:val="22"/>
          <w:lang w:eastAsia="en-AU"/>
        </w:rPr>
      </w:pPr>
      <w:hyperlink w:anchor="_Toc23434571" w:history="1">
        <w:r w:rsidR="00C92E2E" w:rsidRPr="00BB7074">
          <w:rPr>
            <w:rStyle w:val="Hyperlink"/>
            <w:noProof/>
            <w:lang w:val="en-GB" w:eastAsia="en-AU"/>
          </w:rPr>
          <w:t>1.11: Limitations</w:t>
        </w:r>
        <w:r w:rsidR="00C92E2E">
          <w:rPr>
            <w:noProof/>
            <w:webHidden/>
          </w:rPr>
          <w:tab/>
        </w:r>
        <w:r w:rsidR="00C92E2E">
          <w:rPr>
            <w:noProof/>
            <w:webHidden/>
          </w:rPr>
          <w:fldChar w:fldCharType="begin"/>
        </w:r>
        <w:r w:rsidR="00C92E2E">
          <w:rPr>
            <w:noProof/>
            <w:webHidden/>
          </w:rPr>
          <w:instrText xml:space="preserve"> PAGEREF _Toc23434571 \h </w:instrText>
        </w:r>
        <w:r w:rsidR="00C92E2E">
          <w:rPr>
            <w:noProof/>
            <w:webHidden/>
          </w:rPr>
        </w:r>
        <w:r w:rsidR="00C92E2E">
          <w:rPr>
            <w:noProof/>
            <w:webHidden/>
          </w:rPr>
          <w:fldChar w:fldCharType="separate"/>
        </w:r>
        <w:r w:rsidR="00C92E2E">
          <w:rPr>
            <w:noProof/>
            <w:webHidden/>
          </w:rPr>
          <w:t>115</w:t>
        </w:r>
        <w:r w:rsidR="00C92E2E">
          <w:rPr>
            <w:noProof/>
            <w:webHidden/>
          </w:rPr>
          <w:fldChar w:fldCharType="end"/>
        </w:r>
      </w:hyperlink>
    </w:p>
    <w:p w14:paraId="060CC8A9" w14:textId="007D94C7" w:rsidR="00C92E2E" w:rsidRDefault="00A46FF6">
      <w:pPr>
        <w:pStyle w:val="TOC1"/>
        <w:rPr>
          <w:rFonts w:asciiTheme="minorHAnsi" w:eastAsiaTheme="minorEastAsia" w:hAnsiTheme="minorHAnsi"/>
          <w:b w:val="0"/>
          <w:noProof/>
          <w:color w:val="auto"/>
          <w:sz w:val="22"/>
          <w:lang w:eastAsia="en-AU"/>
        </w:rPr>
      </w:pPr>
      <w:hyperlink w:anchor="_Toc23434572" w:history="1">
        <w:r w:rsidR="00C92E2E" w:rsidRPr="00BB7074">
          <w:rPr>
            <w:rStyle w:val="Hyperlink"/>
            <w:noProof/>
          </w:rPr>
          <w:t>Annex 2: Investments reviewed in-depth</w:t>
        </w:r>
        <w:r w:rsidR="00C92E2E">
          <w:rPr>
            <w:noProof/>
            <w:webHidden/>
          </w:rPr>
          <w:tab/>
        </w:r>
        <w:r w:rsidR="00C92E2E">
          <w:rPr>
            <w:noProof/>
            <w:webHidden/>
          </w:rPr>
          <w:fldChar w:fldCharType="begin"/>
        </w:r>
        <w:r w:rsidR="00C92E2E">
          <w:rPr>
            <w:noProof/>
            <w:webHidden/>
          </w:rPr>
          <w:instrText xml:space="preserve"> PAGEREF _Toc23434572 \h </w:instrText>
        </w:r>
        <w:r w:rsidR="00C92E2E">
          <w:rPr>
            <w:noProof/>
            <w:webHidden/>
          </w:rPr>
        </w:r>
        <w:r w:rsidR="00C92E2E">
          <w:rPr>
            <w:noProof/>
            <w:webHidden/>
          </w:rPr>
          <w:fldChar w:fldCharType="separate"/>
        </w:r>
        <w:r w:rsidR="00C92E2E">
          <w:rPr>
            <w:noProof/>
            <w:webHidden/>
          </w:rPr>
          <w:t>117</w:t>
        </w:r>
        <w:r w:rsidR="00C92E2E">
          <w:rPr>
            <w:noProof/>
            <w:webHidden/>
          </w:rPr>
          <w:fldChar w:fldCharType="end"/>
        </w:r>
      </w:hyperlink>
    </w:p>
    <w:p w14:paraId="337AB4DE" w14:textId="19220C7D" w:rsidR="00C92E2E" w:rsidRDefault="00A46FF6">
      <w:pPr>
        <w:pStyle w:val="TOC1"/>
        <w:rPr>
          <w:rFonts w:asciiTheme="minorHAnsi" w:eastAsiaTheme="minorEastAsia" w:hAnsiTheme="minorHAnsi"/>
          <w:b w:val="0"/>
          <w:noProof/>
          <w:color w:val="auto"/>
          <w:sz w:val="22"/>
          <w:lang w:eastAsia="en-AU"/>
        </w:rPr>
      </w:pPr>
      <w:hyperlink w:anchor="_Toc23434573" w:history="1">
        <w:r w:rsidR="00C92E2E" w:rsidRPr="00BB7074">
          <w:rPr>
            <w:rStyle w:val="Hyperlink"/>
            <w:noProof/>
          </w:rPr>
          <w:t>Annex 3: Stakeholders consulted</w:t>
        </w:r>
        <w:r w:rsidR="00C92E2E">
          <w:rPr>
            <w:noProof/>
            <w:webHidden/>
          </w:rPr>
          <w:tab/>
        </w:r>
        <w:r w:rsidR="00C92E2E">
          <w:rPr>
            <w:noProof/>
            <w:webHidden/>
          </w:rPr>
          <w:fldChar w:fldCharType="begin"/>
        </w:r>
        <w:r w:rsidR="00C92E2E">
          <w:rPr>
            <w:noProof/>
            <w:webHidden/>
          </w:rPr>
          <w:instrText xml:space="preserve"> PAGEREF _Toc23434573 \h </w:instrText>
        </w:r>
        <w:r w:rsidR="00C92E2E">
          <w:rPr>
            <w:noProof/>
            <w:webHidden/>
          </w:rPr>
        </w:r>
        <w:r w:rsidR="00C92E2E">
          <w:rPr>
            <w:noProof/>
            <w:webHidden/>
          </w:rPr>
          <w:fldChar w:fldCharType="separate"/>
        </w:r>
        <w:r w:rsidR="00C92E2E">
          <w:rPr>
            <w:noProof/>
            <w:webHidden/>
          </w:rPr>
          <w:t>125</w:t>
        </w:r>
        <w:r w:rsidR="00C92E2E">
          <w:rPr>
            <w:noProof/>
            <w:webHidden/>
          </w:rPr>
          <w:fldChar w:fldCharType="end"/>
        </w:r>
      </w:hyperlink>
    </w:p>
    <w:p w14:paraId="05796857" w14:textId="672F6FA7" w:rsidR="00C92E2E" w:rsidRDefault="00A46FF6">
      <w:pPr>
        <w:pStyle w:val="TOC1"/>
        <w:rPr>
          <w:rFonts w:asciiTheme="minorHAnsi" w:eastAsiaTheme="minorEastAsia" w:hAnsiTheme="minorHAnsi"/>
          <w:b w:val="0"/>
          <w:noProof/>
          <w:color w:val="auto"/>
          <w:sz w:val="22"/>
          <w:lang w:eastAsia="en-AU"/>
        </w:rPr>
      </w:pPr>
      <w:hyperlink w:anchor="_Toc23434574" w:history="1">
        <w:r w:rsidR="00C92E2E" w:rsidRPr="00BB7074">
          <w:rPr>
            <w:rStyle w:val="Hyperlink"/>
            <w:noProof/>
          </w:rPr>
          <w:t>Annex 4: EVAWG legislation and policies in the Indo-Pacific</w:t>
        </w:r>
        <w:r w:rsidR="00C92E2E">
          <w:rPr>
            <w:noProof/>
            <w:webHidden/>
          </w:rPr>
          <w:tab/>
        </w:r>
        <w:r w:rsidR="00C92E2E">
          <w:rPr>
            <w:noProof/>
            <w:webHidden/>
          </w:rPr>
          <w:fldChar w:fldCharType="begin"/>
        </w:r>
        <w:r w:rsidR="00C92E2E">
          <w:rPr>
            <w:noProof/>
            <w:webHidden/>
          </w:rPr>
          <w:instrText xml:space="preserve"> PAGEREF _Toc23434574 \h </w:instrText>
        </w:r>
        <w:r w:rsidR="00C92E2E">
          <w:rPr>
            <w:noProof/>
            <w:webHidden/>
          </w:rPr>
        </w:r>
        <w:r w:rsidR="00C92E2E">
          <w:rPr>
            <w:noProof/>
            <w:webHidden/>
          </w:rPr>
          <w:fldChar w:fldCharType="separate"/>
        </w:r>
        <w:r w:rsidR="00C92E2E">
          <w:rPr>
            <w:noProof/>
            <w:webHidden/>
          </w:rPr>
          <w:t>132</w:t>
        </w:r>
        <w:r w:rsidR="00C92E2E">
          <w:rPr>
            <w:noProof/>
            <w:webHidden/>
          </w:rPr>
          <w:fldChar w:fldCharType="end"/>
        </w:r>
      </w:hyperlink>
    </w:p>
    <w:p w14:paraId="1DA49438" w14:textId="2BD140FD" w:rsidR="00C92E2E" w:rsidRDefault="00A46FF6">
      <w:pPr>
        <w:pStyle w:val="TOC1"/>
        <w:rPr>
          <w:rFonts w:asciiTheme="minorHAnsi" w:eastAsiaTheme="minorEastAsia" w:hAnsiTheme="minorHAnsi"/>
          <w:b w:val="0"/>
          <w:noProof/>
          <w:color w:val="auto"/>
          <w:sz w:val="22"/>
          <w:lang w:eastAsia="en-AU"/>
        </w:rPr>
      </w:pPr>
      <w:hyperlink w:anchor="_Toc23434575" w:history="1">
        <w:r w:rsidR="00C92E2E" w:rsidRPr="00BB7074">
          <w:rPr>
            <w:rStyle w:val="Hyperlink"/>
            <w:noProof/>
          </w:rPr>
          <w:t>Annex 5: EVAWG in Australia</w:t>
        </w:r>
        <w:r w:rsidR="00C92E2E">
          <w:rPr>
            <w:noProof/>
            <w:webHidden/>
          </w:rPr>
          <w:tab/>
        </w:r>
        <w:r w:rsidR="00C92E2E">
          <w:rPr>
            <w:noProof/>
            <w:webHidden/>
          </w:rPr>
          <w:fldChar w:fldCharType="begin"/>
        </w:r>
        <w:r w:rsidR="00C92E2E">
          <w:rPr>
            <w:noProof/>
            <w:webHidden/>
          </w:rPr>
          <w:instrText xml:space="preserve"> PAGEREF _Toc23434575 \h </w:instrText>
        </w:r>
        <w:r w:rsidR="00C92E2E">
          <w:rPr>
            <w:noProof/>
            <w:webHidden/>
          </w:rPr>
        </w:r>
        <w:r w:rsidR="00C92E2E">
          <w:rPr>
            <w:noProof/>
            <w:webHidden/>
          </w:rPr>
          <w:fldChar w:fldCharType="separate"/>
        </w:r>
        <w:r w:rsidR="00C92E2E">
          <w:rPr>
            <w:noProof/>
            <w:webHidden/>
          </w:rPr>
          <w:t>136</w:t>
        </w:r>
        <w:r w:rsidR="00C92E2E">
          <w:rPr>
            <w:noProof/>
            <w:webHidden/>
          </w:rPr>
          <w:fldChar w:fldCharType="end"/>
        </w:r>
      </w:hyperlink>
    </w:p>
    <w:p w14:paraId="4DD6EE2D" w14:textId="0C33685F" w:rsidR="00C92E2E" w:rsidRDefault="00A46FF6">
      <w:pPr>
        <w:pStyle w:val="TOC2"/>
        <w:rPr>
          <w:rFonts w:asciiTheme="minorHAnsi" w:eastAsiaTheme="minorEastAsia" w:hAnsiTheme="minorHAnsi"/>
          <w:noProof/>
          <w:color w:val="auto"/>
          <w:sz w:val="22"/>
          <w:lang w:eastAsia="en-AU"/>
        </w:rPr>
      </w:pPr>
      <w:hyperlink w:anchor="_Toc23434576" w:history="1">
        <w:r w:rsidR="00C92E2E" w:rsidRPr="00BB7074">
          <w:rPr>
            <w:rStyle w:val="Hyperlink"/>
            <w:noProof/>
          </w:rPr>
          <w:t>5.1: Prevalence</w:t>
        </w:r>
        <w:r w:rsidR="00C92E2E">
          <w:rPr>
            <w:noProof/>
            <w:webHidden/>
          </w:rPr>
          <w:tab/>
        </w:r>
        <w:r w:rsidR="00C92E2E">
          <w:rPr>
            <w:noProof/>
            <w:webHidden/>
          </w:rPr>
          <w:fldChar w:fldCharType="begin"/>
        </w:r>
        <w:r w:rsidR="00C92E2E">
          <w:rPr>
            <w:noProof/>
            <w:webHidden/>
          </w:rPr>
          <w:instrText xml:space="preserve"> PAGEREF _Toc23434576 \h </w:instrText>
        </w:r>
        <w:r w:rsidR="00C92E2E">
          <w:rPr>
            <w:noProof/>
            <w:webHidden/>
          </w:rPr>
        </w:r>
        <w:r w:rsidR="00C92E2E">
          <w:rPr>
            <w:noProof/>
            <w:webHidden/>
          </w:rPr>
          <w:fldChar w:fldCharType="separate"/>
        </w:r>
        <w:r w:rsidR="00C92E2E">
          <w:rPr>
            <w:noProof/>
            <w:webHidden/>
          </w:rPr>
          <w:t>136</w:t>
        </w:r>
        <w:r w:rsidR="00C92E2E">
          <w:rPr>
            <w:noProof/>
            <w:webHidden/>
          </w:rPr>
          <w:fldChar w:fldCharType="end"/>
        </w:r>
      </w:hyperlink>
    </w:p>
    <w:p w14:paraId="497C1947" w14:textId="5935914B" w:rsidR="00C92E2E" w:rsidRDefault="00A46FF6">
      <w:pPr>
        <w:pStyle w:val="TOC2"/>
        <w:rPr>
          <w:rFonts w:asciiTheme="minorHAnsi" w:eastAsiaTheme="minorEastAsia" w:hAnsiTheme="minorHAnsi"/>
          <w:noProof/>
          <w:color w:val="auto"/>
          <w:sz w:val="22"/>
          <w:lang w:eastAsia="en-AU"/>
        </w:rPr>
      </w:pPr>
      <w:hyperlink w:anchor="_Toc23434577" w:history="1">
        <w:r w:rsidR="00C92E2E" w:rsidRPr="00BB7074">
          <w:rPr>
            <w:rStyle w:val="Hyperlink"/>
            <w:noProof/>
          </w:rPr>
          <w:t>5.2: Australian policy context</w:t>
        </w:r>
        <w:r w:rsidR="00C92E2E">
          <w:rPr>
            <w:noProof/>
            <w:webHidden/>
          </w:rPr>
          <w:tab/>
        </w:r>
        <w:r w:rsidR="00C92E2E">
          <w:rPr>
            <w:noProof/>
            <w:webHidden/>
          </w:rPr>
          <w:fldChar w:fldCharType="begin"/>
        </w:r>
        <w:r w:rsidR="00C92E2E">
          <w:rPr>
            <w:noProof/>
            <w:webHidden/>
          </w:rPr>
          <w:instrText xml:space="preserve"> PAGEREF _Toc23434577 \h </w:instrText>
        </w:r>
        <w:r w:rsidR="00C92E2E">
          <w:rPr>
            <w:noProof/>
            <w:webHidden/>
          </w:rPr>
        </w:r>
        <w:r w:rsidR="00C92E2E">
          <w:rPr>
            <w:noProof/>
            <w:webHidden/>
          </w:rPr>
          <w:fldChar w:fldCharType="separate"/>
        </w:r>
        <w:r w:rsidR="00C92E2E">
          <w:rPr>
            <w:noProof/>
            <w:webHidden/>
          </w:rPr>
          <w:t>136</w:t>
        </w:r>
        <w:r w:rsidR="00C92E2E">
          <w:rPr>
            <w:noProof/>
            <w:webHidden/>
          </w:rPr>
          <w:fldChar w:fldCharType="end"/>
        </w:r>
      </w:hyperlink>
    </w:p>
    <w:p w14:paraId="38E285F8" w14:textId="6EFF743E" w:rsidR="00C92E2E" w:rsidRDefault="00A46FF6">
      <w:pPr>
        <w:pStyle w:val="TOC2"/>
        <w:rPr>
          <w:rFonts w:asciiTheme="minorHAnsi" w:eastAsiaTheme="minorEastAsia" w:hAnsiTheme="minorHAnsi"/>
          <w:noProof/>
          <w:color w:val="auto"/>
          <w:sz w:val="22"/>
          <w:lang w:eastAsia="en-AU"/>
        </w:rPr>
      </w:pPr>
      <w:hyperlink w:anchor="_Toc23434578" w:history="1">
        <w:r w:rsidR="00C92E2E" w:rsidRPr="00BB7074">
          <w:rPr>
            <w:rStyle w:val="Hyperlink"/>
            <w:noProof/>
          </w:rPr>
          <w:t>5.3: Australia’s workplace response</w:t>
        </w:r>
        <w:r w:rsidR="00C92E2E">
          <w:rPr>
            <w:noProof/>
            <w:webHidden/>
          </w:rPr>
          <w:tab/>
        </w:r>
        <w:r w:rsidR="00C92E2E">
          <w:rPr>
            <w:noProof/>
            <w:webHidden/>
          </w:rPr>
          <w:fldChar w:fldCharType="begin"/>
        </w:r>
        <w:r w:rsidR="00C92E2E">
          <w:rPr>
            <w:noProof/>
            <w:webHidden/>
          </w:rPr>
          <w:instrText xml:space="preserve"> PAGEREF _Toc23434578 \h </w:instrText>
        </w:r>
        <w:r w:rsidR="00C92E2E">
          <w:rPr>
            <w:noProof/>
            <w:webHidden/>
          </w:rPr>
        </w:r>
        <w:r w:rsidR="00C92E2E">
          <w:rPr>
            <w:noProof/>
            <w:webHidden/>
          </w:rPr>
          <w:fldChar w:fldCharType="separate"/>
        </w:r>
        <w:r w:rsidR="00C92E2E">
          <w:rPr>
            <w:noProof/>
            <w:webHidden/>
          </w:rPr>
          <w:t>137</w:t>
        </w:r>
        <w:r w:rsidR="00C92E2E">
          <w:rPr>
            <w:noProof/>
            <w:webHidden/>
          </w:rPr>
          <w:fldChar w:fldCharType="end"/>
        </w:r>
      </w:hyperlink>
    </w:p>
    <w:p w14:paraId="653A5861" w14:textId="1F3517A6" w:rsidR="00C92E2E" w:rsidRDefault="00A46FF6">
      <w:pPr>
        <w:pStyle w:val="TOC1"/>
        <w:rPr>
          <w:rFonts w:asciiTheme="minorHAnsi" w:eastAsiaTheme="minorEastAsia" w:hAnsiTheme="minorHAnsi"/>
          <w:b w:val="0"/>
          <w:noProof/>
          <w:color w:val="auto"/>
          <w:sz w:val="22"/>
          <w:lang w:eastAsia="en-AU"/>
        </w:rPr>
      </w:pPr>
      <w:hyperlink w:anchor="_Toc23434579" w:history="1">
        <w:r w:rsidR="00C92E2E" w:rsidRPr="00BB7074">
          <w:rPr>
            <w:rStyle w:val="Hyperlink"/>
            <w:noProof/>
          </w:rPr>
          <w:t>Annex 6: Sorcery accusation-related violence</w:t>
        </w:r>
        <w:r w:rsidR="00C92E2E">
          <w:rPr>
            <w:noProof/>
            <w:webHidden/>
          </w:rPr>
          <w:tab/>
        </w:r>
        <w:r w:rsidR="00C92E2E">
          <w:rPr>
            <w:noProof/>
            <w:webHidden/>
          </w:rPr>
          <w:fldChar w:fldCharType="begin"/>
        </w:r>
        <w:r w:rsidR="00C92E2E">
          <w:rPr>
            <w:noProof/>
            <w:webHidden/>
          </w:rPr>
          <w:instrText xml:space="preserve"> PAGEREF _Toc23434579 \h </w:instrText>
        </w:r>
        <w:r w:rsidR="00C92E2E">
          <w:rPr>
            <w:noProof/>
            <w:webHidden/>
          </w:rPr>
        </w:r>
        <w:r w:rsidR="00C92E2E">
          <w:rPr>
            <w:noProof/>
            <w:webHidden/>
          </w:rPr>
          <w:fldChar w:fldCharType="separate"/>
        </w:r>
        <w:r w:rsidR="00C92E2E">
          <w:rPr>
            <w:noProof/>
            <w:webHidden/>
          </w:rPr>
          <w:t>138</w:t>
        </w:r>
        <w:r w:rsidR="00C92E2E">
          <w:rPr>
            <w:noProof/>
            <w:webHidden/>
          </w:rPr>
          <w:fldChar w:fldCharType="end"/>
        </w:r>
      </w:hyperlink>
    </w:p>
    <w:p w14:paraId="0A5D608D" w14:textId="7E5878EC" w:rsidR="00C92E2E" w:rsidRDefault="00A46FF6">
      <w:pPr>
        <w:pStyle w:val="TOC1"/>
        <w:rPr>
          <w:rFonts w:asciiTheme="minorHAnsi" w:eastAsiaTheme="minorEastAsia" w:hAnsiTheme="minorHAnsi"/>
          <w:b w:val="0"/>
          <w:noProof/>
          <w:color w:val="auto"/>
          <w:sz w:val="22"/>
          <w:lang w:eastAsia="en-AU"/>
        </w:rPr>
      </w:pPr>
      <w:hyperlink w:anchor="_Toc23434580" w:history="1">
        <w:r w:rsidR="00C92E2E" w:rsidRPr="00BB7074">
          <w:rPr>
            <w:rStyle w:val="Hyperlink"/>
            <w:noProof/>
          </w:rPr>
          <w:t>Annex 7: Assessment of external evaluations of EVAWG investments</w:t>
        </w:r>
        <w:r w:rsidR="00C92E2E">
          <w:rPr>
            <w:noProof/>
            <w:webHidden/>
          </w:rPr>
          <w:tab/>
        </w:r>
        <w:r w:rsidR="00C92E2E">
          <w:rPr>
            <w:noProof/>
            <w:webHidden/>
          </w:rPr>
          <w:fldChar w:fldCharType="begin"/>
        </w:r>
        <w:r w:rsidR="00C92E2E">
          <w:rPr>
            <w:noProof/>
            <w:webHidden/>
          </w:rPr>
          <w:instrText xml:space="preserve"> PAGEREF _Toc23434580 \h </w:instrText>
        </w:r>
        <w:r w:rsidR="00C92E2E">
          <w:rPr>
            <w:noProof/>
            <w:webHidden/>
          </w:rPr>
        </w:r>
        <w:r w:rsidR="00C92E2E">
          <w:rPr>
            <w:noProof/>
            <w:webHidden/>
          </w:rPr>
          <w:fldChar w:fldCharType="separate"/>
        </w:r>
        <w:r w:rsidR="00C92E2E">
          <w:rPr>
            <w:noProof/>
            <w:webHidden/>
          </w:rPr>
          <w:t>140</w:t>
        </w:r>
        <w:r w:rsidR="00C92E2E">
          <w:rPr>
            <w:noProof/>
            <w:webHidden/>
          </w:rPr>
          <w:fldChar w:fldCharType="end"/>
        </w:r>
      </w:hyperlink>
    </w:p>
    <w:p w14:paraId="3B4DB67F" w14:textId="65A96CD4" w:rsidR="00C92E2E" w:rsidRDefault="00A46FF6">
      <w:pPr>
        <w:pStyle w:val="TOC2"/>
        <w:rPr>
          <w:rFonts w:asciiTheme="minorHAnsi" w:eastAsiaTheme="minorEastAsia" w:hAnsiTheme="minorHAnsi"/>
          <w:noProof/>
          <w:color w:val="auto"/>
          <w:sz w:val="22"/>
          <w:lang w:eastAsia="en-AU"/>
        </w:rPr>
      </w:pPr>
      <w:hyperlink w:anchor="_Toc23434581" w:history="1">
        <w:r w:rsidR="00C92E2E" w:rsidRPr="00BB7074">
          <w:rPr>
            <w:rStyle w:val="Hyperlink"/>
            <w:noProof/>
          </w:rPr>
          <w:t>7.1: Recommendations</w:t>
        </w:r>
        <w:r w:rsidR="00C92E2E">
          <w:rPr>
            <w:noProof/>
            <w:webHidden/>
          </w:rPr>
          <w:tab/>
        </w:r>
        <w:r w:rsidR="00C92E2E">
          <w:rPr>
            <w:noProof/>
            <w:webHidden/>
          </w:rPr>
          <w:fldChar w:fldCharType="begin"/>
        </w:r>
        <w:r w:rsidR="00C92E2E">
          <w:rPr>
            <w:noProof/>
            <w:webHidden/>
          </w:rPr>
          <w:instrText xml:space="preserve"> PAGEREF _Toc23434581 \h </w:instrText>
        </w:r>
        <w:r w:rsidR="00C92E2E">
          <w:rPr>
            <w:noProof/>
            <w:webHidden/>
          </w:rPr>
        </w:r>
        <w:r w:rsidR="00C92E2E">
          <w:rPr>
            <w:noProof/>
            <w:webHidden/>
          </w:rPr>
          <w:fldChar w:fldCharType="separate"/>
        </w:r>
        <w:r w:rsidR="00C92E2E">
          <w:rPr>
            <w:noProof/>
            <w:webHidden/>
          </w:rPr>
          <w:t>141</w:t>
        </w:r>
        <w:r w:rsidR="00C92E2E">
          <w:rPr>
            <w:noProof/>
            <w:webHidden/>
          </w:rPr>
          <w:fldChar w:fldCharType="end"/>
        </w:r>
      </w:hyperlink>
    </w:p>
    <w:p w14:paraId="2F5F0599" w14:textId="7EC76AE3" w:rsidR="00C92E2E" w:rsidRDefault="00A46FF6">
      <w:pPr>
        <w:pStyle w:val="TOC1"/>
        <w:rPr>
          <w:rFonts w:asciiTheme="minorHAnsi" w:eastAsiaTheme="minorEastAsia" w:hAnsiTheme="minorHAnsi"/>
          <w:b w:val="0"/>
          <w:noProof/>
          <w:color w:val="auto"/>
          <w:sz w:val="22"/>
          <w:lang w:eastAsia="en-AU"/>
        </w:rPr>
      </w:pPr>
      <w:hyperlink w:anchor="_Toc23434582" w:history="1">
        <w:r w:rsidR="00C92E2E" w:rsidRPr="00BB7074">
          <w:rPr>
            <w:rStyle w:val="Hyperlink"/>
            <w:noProof/>
          </w:rPr>
          <w:t>Annex 8: Humanitarian assistance</w:t>
        </w:r>
        <w:r w:rsidR="00C92E2E">
          <w:rPr>
            <w:noProof/>
            <w:webHidden/>
          </w:rPr>
          <w:tab/>
        </w:r>
        <w:r w:rsidR="00C92E2E">
          <w:rPr>
            <w:noProof/>
            <w:webHidden/>
          </w:rPr>
          <w:fldChar w:fldCharType="begin"/>
        </w:r>
        <w:r w:rsidR="00C92E2E">
          <w:rPr>
            <w:noProof/>
            <w:webHidden/>
          </w:rPr>
          <w:instrText xml:space="preserve"> PAGEREF _Toc23434582 \h </w:instrText>
        </w:r>
        <w:r w:rsidR="00C92E2E">
          <w:rPr>
            <w:noProof/>
            <w:webHidden/>
          </w:rPr>
        </w:r>
        <w:r w:rsidR="00C92E2E">
          <w:rPr>
            <w:noProof/>
            <w:webHidden/>
          </w:rPr>
          <w:fldChar w:fldCharType="separate"/>
        </w:r>
        <w:r w:rsidR="00C92E2E">
          <w:rPr>
            <w:noProof/>
            <w:webHidden/>
          </w:rPr>
          <w:t>143</w:t>
        </w:r>
        <w:r w:rsidR="00C92E2E">
          <w:rPr>
            <w:noProof/>
            <w:webHidden/>
          </w:rPr>
          <w:fldChar w:fldCharType="end"/>
        </w:r>
      </w:hyperlink>
    </w:p>
    <w:p w14:paraId="2867CA4A" w14:textId="1F825ADA" w:rsidR="003E13AA" w:rsidRDefault="00D7454B" w:rsidP="00A30C30">
      <w:r>
        <w:fldChar w:fldCharType="end"/>
      </w:r>
      <w:bookmarkStart w:id="29" w:name="_Toc15378092"/>
      <w:bookmarkStart w:id="30" w:name="_Toc15378459"/>
      <w:bookmarkStart w:id="31" w:name="_Toc386616061"/>
      <w:bookmarkStart w:id="32" w:name="_Toc387145750"/>
      <w:bookmarkStart w:id="33" w:name="_Toc515986212"/>
      <w:bookmarkStart w:id="34" w:name="_Toc501467400"/>
      <w:bookmarkStart w:id="35" w:name="_Toc501467461"/>
      <w:bookmarkStart w:id="36" w:name="_Toc505263413"/>
    </w:p>
    <w:p w14:paraId="1EC5BDFE" w14:textId="77777777" w:rsidR="00C07D10" w:rsidRDefault="00C07D10" w:rsidP="00C07D10">
      <w:pPr>
        <w:numPr>
          <w:ilvl w:val="0"/>
          <w:numId w:val="0"/>
        </w:numPr>
      </w:pPr>
    </w:p>
    <w:p w14:paraId="131FB7FF" w14:textId="4759E189" w:rsidR="00C07D10" w:rsidRDefault="00C07D10" w:rsidP="00C07D10">
      <w:pPr>
        <w:pStyle w:val="TOCHeading"/>
      </w:pPr>
      <w:bookmarkStart w:id="37" w:name="_Toc23434525"/>
      <w:r>
        <w:t xml:space="preserve">Table of </w:t>
      </w:r>
      <w:r w:rsidR="008811A7">
        <w:t>f</w:t>
      </w:r>
      <w:r>
        <w:t>igures</w:t>
      </w:r>
      <w:bookmarkEnd w:id="37"/>
    </w:p>
    <w:p w14:paraId="08615F51" w14:textId="7D1C8873" w:rsidR="00C92E2E" w:rsidRDefault="00C07D10">
      <w:pPr>
        <w:pStyle w:val="TableofFigures"/>
        <w:tabs>
          <w:tab w:val="right" w:leader="dot" w:pos="9628"/>
        </w:tab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23434583" w:history="1">
        <w:r w:rsidR="00C92E2E" w:rsidRPr="008A0D5D">
          <w:rPr>
            <w:rStyle w:val="Hyperlink"/>
            <w:noProof/>
          </w:rPr>
          <w:t>Figure 1: Violence affects women and girls at every stage of life</w:t>
        </w:r>
        <w:r w:rsidR="00C92E2E">
          <w:rPr>
            <w:noProof/>
            <w:webHidden/>
          </w:rPr>
          <w:tab/>
        </w:r>
        <w:r w:rsidR="00C92E2E">
          <w:rPr>
            <w:noProof/>
            <w:webHidden/>
          </w:rPr>
          <w:fldChar w:fldCharType="begin"/>
        </w:r>
        <w:r w:rsidR="00C92E2E">
          <w:rPr>
            <w:noProof/>
            <w:webHidden/>
          </w:rPr>
          <w:instrText xml:space="preserve"> PAGEREF _Toc23434583 \h </w:instrText>
        </w:r>
        <w:r w:rsidR="00C92E2E">
          <w:rPr>
            <w:noProof/>
            <w:webHidden/>
          </w:rPr>
        </w:r>
        <w:r w:rsidR="00C92E2E">
          <w:rPr>
            <w:noProof/>
            <w:webHidden/>
          </w:rPr>
          <w:fldChar w:fldCharType="separate"/>
        </w:r>
        <w:r w:rsidR="00C92E2E">
          <w:rPr>
            <w:noProof/>
            <w:webHidden/>
          </w:rPr>
          <w:t>31</w:t>
        </w:r>
        <w:r w:rsidR="00C92E2E">
          <w:rPr>
            <w:noProof/>
            <w:webHidden/>
          </w:rPr>
          <w:fldChar w:fldCharType="end"/>
        </w:r>
      </w:hyperlink>
    </w:p>
    <w:p w14:paraId="1A925ED9" w14:textId="54950738"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84" w:history="1">
        <w:r w:rsidR="00C92E2E" w:rsidRPr="008A0D5D">
          <w:rPr>
            <w:rStyle w:val="Hyperlink"/>
            <w:noProof/>
          </w:rPr>
          <w:t>Figure 2: Lifetime and current prevalence of women’s experiences of intimate partner violence in Asia and the Pacific</w:t>
        </w:r>
        <w:r w:rsidR="00C92E2E">
          <w:rPr>
            <w:noProof/>
            <w:webHidden/>
          </w:rPr>
          <w:tab/>
        </w:r>
        <w:r w:rsidR="00C92E2E">
          <w:rPr>
            <w:noProof/>
            <w:webHidden/>
          </w:rPr>
          <w:fldChar w:fldCharType="begin"/>
        </w:r>
        <w:r w:rsidR="00C92E2E">
          <w:rPr>
            <w:noProof/>
            <w:webHidden/>
          </w:rPr>
          <w:instrText xml:space="preserve"> PAGEREF _Toc23434584 \h </w:instrText>
        </w:r>
        <w:r w:rsidR="00C92E2E">
          <w:rPr>
            <w:noProof/>
            <w:webHidden/>
          </w:rPr>
        </w:r>
        <w:r w:rsidR="00C92E2E">
          <w:rPr>
            <w:noProof/>
            <w:webHidden/>
          </w:rPr>
          <w:fldChar w:fldCharType="separate"/>
        </w:r>
        <w:r w:rsidR="00C92E2E">
          <w:rPr>
            <w:noProof/>
            <w:webHidden/>
          </w:rPr>
          <w:t>32</w:t>
        </w:r>
        <w:r w:rsidR="00C92E2E">
          <w:rPr>
            <w:noProof/>
            <w:webHidden/>
          </w:rPr>
          <w:fldChar w:fldCharType="end"/>
        </w:r>
      </w:hyperlink>
    </w:p>
    <w:p w14:paraId="7C4D7C0D" w14:textId="22833369"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85" w:history="1">
        <w:r w:rsidR="00C92E2E" w:rsidRPr="008A0D5D">
          <w:rPr>
            <w:rStyle w:val="Hyperlink"/>
            <w:noProof/>
          </w:rPr>
          <w:t>Figure 3: Prevalence of non-partner sexual violence in selected countries</w:t>
        </w:r>
        <w:r w:rsidR="00C92E2E">
          <w:rPr>
            <w:noProof/>
            <w:webHidden/>
          </w:rPr>
          <w:tab/>
        </w:r>
        <w:r w:rsidR="00C92E2E">
          <w:rPr>
            <w:noProof/>
            <w:webHidden/>
          </w:rPr>
          <w:fldChar w:fldCharType="begin"/>
        </w:r>
        <w:r w:rsidR="00C92E2E">
          <w:rPr>
            <w:noProof/>
            <w:webHidden/>
          </w:rPr>
          <w:instrText xml:space="preserve"> PAGEREF _Toc23434585 \h </w:instrText>
        </w:r>
        <w:r w:rsidR="00C92E2E">
          <w:rPr>
            <w:noProof/>
            <w:webHidden/>
          </w:rPr>
        </w:r>
        <w:r w:rsidR="00C92E2E">
          <w:rPr>
            <w:noProof/>
            <w:webHidden/>
          </w:rPr>
          <w:fldChar w:fldCharType="separate"/>
        </w:r>
        <w:r w:rsidR="00C92E2E">
          <w:rPr>
            <w:noProof/>
            <w:webHidden/>
          </w:rPr>
          <w:t>33</w:t>
        </w:r>
        <w:r w:rsidR="00C92E2E">
          <w:rPr>
            <w:noProof/>
            <w:webHidden/>
          </w:rPr>
          <w:fldChar w:fldCharType="end"/>
        </w:r>
      </w:hyperlink>
    </w:p>
    <w:p w14:paraId="439CFB07" w14:textId="4DA28492"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86" w:history="1">
        <w:r w:rsidR="00C92E2E" w:rsidRPr="008A0D5D">
          <w:rPr>
            <w:rStyle w:val="Hyperlink"/>
            <w:noProof/>
          </w:rPr>
          <w:t>Figure 4: The Socio-ecological Framework</w:t>
        </w:r>
        <w:r w:rsidR="00C92E2E">
          <w:rPr>
            <w:noProof/>
            <w:webHidden/>
          </w:rPr>
          <w:tab/>
        </w:r>
        <w:r w:rsidR="00C92E2E">
          <w:rPr>
            <w:noProof/>
            <w:webHidden/>
          </w:rPr>
          <w:fldChar w:fldCharType="begin"/>
        </w:r>
        <w:r w:rsidR="00C92E2E">
          <w:rPr>
            <w:noProof/>
            <w:webHidden/>
          </w:rPr>
          <w:instrText xml:space="preserve"> PAGEREF _Toc23434586 \h </w:instrText>
        </w:r>
        <w:r w:rsidR="00C92E2E">
          <w:rPr>
            <w:noProof/>
            <w:webHidden/>
          </w:rPr>
        </w:r>
        <w:r w:rsidR="00C92E2E">
          <w:rPr>
            <w:noProof/>
            <w:webHidden/>
          </w:rPr>
          <w:fldChar w:fldCharType="separate"/>
        </w:r>
        <w:r w:rsidR="00C92E2E">
          <w:rPr>
            <w:noProof/>
            <w:webHidden/>
          </w:rPr>
          <w:t>36</w:t>
        </w:r>
        <w:r w:rsidR="00C92E2E">
          <w:rPr>
            <w:noProof/>
            <w:webHidden/>
          </w:rPr>
          <w:fldChar w:fldCharType="end"/>
        </w:r>
      </w:hyperlink>
    </w:p>
    <w:p w14:paraId="78572291" w14:textId="7AB07F20"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87" w:history="1">
        <w:r w:rsidR="00C92E2E" w:rsidRPr="008A0D5D">
          <w:rPr>
            <w:rStyle w:val="Hyperlink"/>
            <w:noProof/>
          </w:rPr>
          <w:t>Figure 5: Intersectionality—how power, privilege, discrimination and oppression interact with EVAWG</w:t>
        </w:r>
        <w:r w:rsidR="00C92E2E">
          <w:rPr>
            <w:noProof/>
            <w:webHidden/>
          </w:rPr>
          <w:tab/>
        </w:r>
        <w:r w:rsidR="00C92E2E">
          <w:rPr>
            <w:noProof/>
            <w:webHidden/>
          </w:rPr>
          <w:fldChar w:fldCharType="begin"/>
        </w:r>
        <w:r w:rsidR="00C92E2E">
          <w:rPr>
            <w:noProof/>
            <w:webHidden/>
          </w:rPr>
          <w:instrText xml:space="preserve"> PAGEREF _Toc23434587 \h </w:instrText>
        </w:r>
        <w:r w:rsidR="00C92E2E">
          <w:rPr>
            <w:noProof/>
            <w:webHidden/>
          </w:rPr>
        </w:r>
        <w:r w:rsidR="00C92E2E">
          <w:rPr>
            <w:noProof/>
            <w:webHidden/>
          </w:rPr>
          <w:fldChar w:fldCharType="separate"/>
        </w:r>
        <w:r w:rsidR="00C92E2E">
          <w:rPr>
            <w:noProof/>
            <w:webHidden/>
          </w:rPr>
          <w:t>38</w:t>
        </w:r>
        <w:r w:rsidR="00C92E2E">
          <w:rPr>
            <w:noProof/>
            <w:webHidden/>
          </w:rPr>
          <w:fldChar w:fldCharType="end"/>
        </w:r>
      </w:hyperlink>
    </w:p>
    <w:p w14:paraId="41D60B83" w14:textId="424CB5FF"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88" w:history="1">
        <w:r w:rsidR="00C92E2E" w:rsidRPr="008A0D5D">
          <w:rPr>
            <w:rStyle w:val="Hyperlink"/>
            <w:noProof/>
          </w:rPr>
          <w:t>Figure 6: Regional breakdown of Australia’s funding allocations for EVAWG activities from 2007–08 to 2017–18</w:t>
        </w:r>
        <w:r w:rsidR="00C92E2E">
          <w:rPr>
            <w:noProof/>
            <w:webHidden/>
          </w:rPr>
          <w:tab/>
        </w:r>
        <w:r w:rsidR="00C92E2E">
          <w:rPr>
            <w:noProof/>
            <w:webHidden/>
          </w:rPr>
          <w:fldChar w:fldCharType="begin"/>
        </w:r>
        <w:r w:rsidR="00C92E2E">
          <w:rPr>
            <w:noProof/>
            <w:webHidden/>
          </w:rPr>
          <w:instrText xml:space="preserve"> PAGEREF _Toc23434588 \h </w:instrText>
        </w:r>
        <w:r w:rsidR="00C92E2E">
          <w:rPr>
            <w:noProof/>
            <w:webHidden/>
          </w:rPr>
        </w:r>
        <w:r w:rsidR="00C92E2E">
          <w:rPr>
            <w:noProof/>
            <w:webHidden/>
          </w:rPr>
          <w:fldChar w:fldCharType="separate"/>
        </w:r>
        <w:r w:rsidR="00C92E2E">
          <w:rPr>
            <w:noProof/>
            <w:webHidden/>
          </w:rPr>
          <w:t>40</w:t>
        </w:r>
        <w:r w:rsidR="00C92E2E">
          <w:rPr>
            <w:noProof/>
            <w:webHidden/>
          </w:rPr>
          <w:fldChar w:fldCharType="end"/>
        </w:r>
      </w:hyperlink>
    </w:p>
    <w:p w14:paraId="4B847DBA" w14:textId="1ECD0FB8"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89" w:history="1">
        <w:r w:rsidR="00C92E2E" w:rsidRPr="008A0D5D">
          <w:rPr>
            <w:rStyle w:val="Hyperlink"/>
            <w:noProof/>
          </w:rPr>
          <w:t>Figure 7: Australia’s annual expenditure on EVAWG activities from 2007–08 to 2017–18</w:t>
        </w:r>
        <w:r w:rsidR="00C92E2E">
          <w:rPr>
            <w:noProof/>
            <w:webHidden/>
          </w:rPr>
          <w:tab/>
        </w:r>
        <w:r w:rsidR="00C92E2E">
          <w:rPr>
            <w:noProof/>
            <w:webHidden/>
          </w:rPr>
          <w:fldChar w:fldCharType="begin"/>
        </w:r>
        <w:r w:rsidR="00C92E2E">
          <w:rPr>
            <w:noProof/>
            <w:webHidden/>
          </w:rPr>
          <w:instrText xml:space="preserve"> PAGEREF _Toc23434589 \h </w:instrText>
        </w:r>
        <w:r w:rsidR="00C92E2E">
          <w:rPr>
            <w:noProof/>
            <w:webHidden/>
          </w:rPr>
        </w:r>
        <w:r w:rsidR="00C92E2E">
          <w:rPr>
            <w:noProof/>
            <w:webHidden/>
          </w:rPr>
          <w:fldChar w:fldCharType="separate"/>
        </w:r>
        <w:r w:rsidR="00C92E2E">
          <w:rPr>
            <w:noProof/>
            <w:webHidden/>
          </w:rPr>
          <w:t>41</w:t>
        </w:r>
        <w:r w:rsidR="00C92E2E">
          <w:rPr>
            <w:noProof/>
            <w:webHidden/>
          </w:rPr>
          <w:fldChar w:fldCharType="end"/>
        </w:r>
      </w:hyperlink>
    </w:p>
    <w:p w14:paraId="34D819F2" w14:textId="00CEE22E"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90" w:history="1">
        <w:r w:rsidR="00C92E2E" w:rsidRPr="008A0D5D">
          <w:rPr>
            <w:rStyle w:val="Hyperlink"/>
            <w:noProof/>
          </w:rPr>
          <w:t>Figure 8: Pacific Women EVAWG expenditure from 2011–12 to 2017–18 on countries and regional activities</w:t>
        </w:r>
        <w:r w:rsidR="00C92E2E">
          <w:rPr>
            <w:noProof/>
            <w:webHidden/>
          </w:rPr>
          <w:tab/>
        </w:r>
        <w:r w:rsidR="00C92E2E">
          <w:rPr>
            <w:noProof/>
            <w:webHidden/>
          </w:rPr>
          <w:fldChar w:fldCharType="begin"/>
        </w:r>
        <w:r w:rsidR="00C92E2E">
          <w:rPr>
            <w:noProof/>
            <w:webHidden/>
          </w:rPr>
          <w:instrText xml:space="preserve"> PAGEREF _Toc23434590 \h </w:instrText>
        </w:r>
        <w:r w:rsidR="00C92E2E">
          <w:rPr>
            <w:noProof/>
            <w:webHidden/>
          </w:rPr>
        </w:r>
        <w:r w:rsidR="00C92E2E">
          <w:rPr>
            <w:noProof/>
            <w:webHidden/>
          </w:rPr>
          <w:fldChar w:fldCharType="separate"/>
        </w:r>
        <w:r w:rsidR="00C92E2E">
          <w:rPr>
            <w:noProof/>
            <w:webHidden/>
          </w:rPr>
          <w:t>42</w:t>
        </w:r>
        <w:r w:rsidR="00C92E2E">
          <w:rPr>
            <w:noProof/>
            <w:webHidden/>
          </w:rPr>
          <w:fldChar w:fldCharType="end"/>
        </w:r>
      </w:hyperlink>
    </w:p>
    <w:p w14:paraId="6168166E" w14:textId="196331AC"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91" w:history="1">
        <w:r w:rsidR="00C92E2E" w:rsidRPr="008A0D5D">
          <w:rPr>
            <w:rStyle w:val="Hyperlink"/>
            <w:noProof/>
          </w:rPr>
          <w:t>Figure 9: Expenditure of the Australian NGO Cooperation Program by region from 2007–08 to 2017–18</w:t>
        </w:r>
        <w:r w:rsidR="00C92E2E">
          <w:rPr>
            <w:noProof/>
            <w:webHidden/>
          </w:rPr>
          <w:tab/>
        </w:r>
        <w:r w:rsidR="00C92E2E">
          <w:rPr>
            <w:noProof/>
            <w:webHidden/>
          </w:rPr>
          <w:fldChar w:fldCharType="begin"/>
        </w:r>
        <w:r w:rsidR="00C92E2E">
          <w:rPr>
            <w:noProof/>
            <w:webHidden/>
          </w:rPr>
          <w:instrText xml:space="preserve"> PAGEREF _Toc23434591 \h </w:instrText>
        </w:r>
        <w:r w:rsidR="00C92E2E">
          <w:rPr>
            <w:noProof/>
            <w:webHidden/>
          </w:rPr>
        </w:r>
        <w:r w:rsidR="00C92E2E">
          <w:rPr>
            <w:noProof/>
            <w:webHidden/>
          </w:rPr>
          <w:fldChar w:fldCharType="separate"/>
        </w:r>
        <w:r w:rsidR="00C92E2E">
          <w:rPr>
            <w:noProof/>
            <w:webHidden/>
          </w:rPr>
          <w:t>42</w:t>
        </w:r>
        <w:r w:rsidR="00C92E2E">
          <w:rPr>
            <w:noProof/>
            <w:webHidden/>
          </w:rPr>
          <w:fldChar w:fldCharType="end"/>
        </w:r>
      </w:hyperlink>
    </w:p>
    <w:p w14:paraId="713158AB" w14:textId="26EB32B2"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92" w:history="1">
        <w:r w:rsidR="00C92E2E" w:rsidRPr="008A0D5D">
          <w:rPr>
            <w:rStyle w:val="Hyperlink"/>
            <w:noProof/>
          </w:rPr>
          <w:t>Figure 10: Key elements of effective violence prevention programs</w:t>
        </w:r>
        <w:r w:rsidR="00C92E2E">
          <w:rPr>
            <w:noProof/>
            <w:webHidden/>
          </w:rPr>
          <w:tab/>
        </w:r>
        <w:r w:rsidR="00C92E2E">
          <w:rPr>
            <w:noProof/>
            <w:webHidden/>
          </w:rPr>
          <w:fldChar w:fldCharType="begin"/>
        </w:r>
        <w:r w:rsidR="00C92E2E">
          <w:rPr>
            <w:noProof/>
            <w:webHidden/>
          </w:rPr>
          <w:instrText xml:space="preserve"> PAGEREF _Toc23434592 \h </w:instrText>
        </w:r>
        <w:r w:rsidR="00C92E2E">
          <w:rPr>
            <w:noProof/>
            <w:webHidden/>
          </w:rPr>
        </w:r>
        <w:r w:rsidR="00C92E2E">
          <w:rPr>
            <w:noProof/>
            <w:webHidden/>
          </w:rPr>
          <w:fldChar w:fldCharType="separate"/>
        </w:r>
        <w:r w:rsidR="00C92E2E">
          <w:rPr>
            <w:noProof/>
            <w:webHidden/>
          </w:rPr>
          <w:t>77</w:t>
        </w:r>
        <w:r w:rsidR="00C92E2E">
          <w:rPr>
            <w:noProof/>
            <w:webHidden/>
          </w:rPr>
          <w:fldChar w:fldCharType="end"/>
        </w:r>
      </w:hyperlink>
    </w:p>
    <w:p w14:paraId="0D2388BE" w14:textId="48423696"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93" w:history="1">
        <w:r w:rsidR="00C92E2E" w:rsidRPr="008A0D5D">
          <w:rPr>
            <w:rStyle w:val="Hyperlink"/>
            <w:noProof/>
          </w:rPr>
          <w:t>Figure 11: The expected process of change: Progress in prevention of VAWG</w:t>
        </w:r>
        <w:r w:rsidR="00C92E2E">
          <w:rPr>
            <w:noProof/>
            <w:webHidden/>
          </w:rPr>
          <w:tab/>
        </w:r>
        <w:r w:rsidR="00C92E2E">
          <w:rPr>
            <w:noProof/>
            <w:webHidden/>
          </w:rPr>
          <w:fldChar w:fldCharType="begin"/>
        </w:r>
        <w:r w:rsidR="00C92E2E">
          <w:rPr>
            <w:noProof/>
            <w:webHidden/>
          </w:rPr>
          <w:instrText xml:space="preserve"> PAGEREF _Toc23434593 \h </w:instrText>
        </w:r>
        <w:r w:rsidR="00C92E2E">
          <w:rPr>
            <w:noProof/>
            <w:webHidden/>
          </w:rPr>
        </w:r>
        <w:r w:rsidR="00C92E2E">
          <w:rPr>
            <w:noProof/>
            <w:webHidden/>
          </w:rPr>
          <w:fldChar w:fldCharType="separate"/>
        </w:r>
        <w:r w:rsidR="00C92E2E">
          <w:rPr>
            <w:noProof/>
            <w:webHidden/>
          </w:rPr>
          <w:t>92</w:t>
        </w:r>
        <w:r w:rsidR="00C92E2E">
          <w:rPr>
            <w:noProof/>
            <w:webHidden/>
          </w:rPr>
          <w:fldChar w:fldCharType="end"/>
        </w:r>
      </w:hyperlink>
    </w:p>
    <w:p w14:paraId="274194CD" w14:textId="0232860A"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94" w:history="1">
        <w:r w:rsidR="00C92E2E" w:rsidRPr="008A0D5D">
          <w:rPr>
            <w:rStyle w:val="Hyperlink"/>
            <w:noProof/>
          </w:rPr>
          <w:t>Figure 12: Overview of methodology used in this evaluation</w:t>
        </w:r>
        <w:r w:rsidR="00C92E2E">
          <w:rPr>
            <w:noProof/>
            <w:webHidden/>
          </w:rPr>
          <w:tab/>
        </w:r>
        <w:r w:rsidR="00C92E2E">
          <w:rPr>
            <w:noProof/>
            <w:webHidden/>
          </w:rPr>
          <w:fldChar w:fldCharType="begin"/>
        </w:r>
        <w:r w:rsidR="00C92E2E">
          <w:rPr>
            <w:noProof/>
            <w:webHidden/>
          </w:rPr>
          <w:instrText xml:space="preserve"> PAGEREF _Toc23434594 \h </w:instrText>
        </w:r>
        <w:r w:rsidR="00C92E2E">
          <w:rPr>
            <w:noProof/>
            <w:webHidden/>
          </w:rPr>
        </w:r>
        <w:r w:rsidR="00C92E2E">
          <w:rPr>
            <w:noProof/>
            <w:webHidden/>
          </w:rPr>
          <w:fldChar w:fldCharType="separate"/>
        </w:r>
        <w:r w:rsidR="00C92E2E">
          <w:rPr>
            <w:noProof/>
            <w:webHidden/>
          </w:rPr>
          <w:t>110</w:t>
        </w:r>
        <w:r w:rsidR="00C92E2E">
          <w:rPr>
            <w:noProof/>
            <w:webHidden/>
          </w:rPr>
          <w:fldChar w:fldCharType="end"/>
        </w:r>
      </w:hyperlink>
    </w:p>
    <w:p w14:paraId="19F643A8" w14:textId="4E04B81D"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95" w:history="1">
        <w:r w:rsidR="00C92E2E" w:rsidRPr="008A0D5D">
          <w:rPr>
            <w:rStyle w:val="Hyperlink"/>
            <w:noProof/>
          </w:rPr>
          <w:t>Figure 13</w:t>
        </w:r>
        <w:r w:rsidR="00C92E2E" w:rsidRPr="008A0D5D">
          <w:rPr>
            <w:rStyle w:val="Hyperlink"/>
            <w:rFonts w:cs="Arial"/>
            <w:noProof/>
          </w:rPr>
          <w:t>: Type and number of investment documents reviewed</w:t>
        </w:r>
        <w:r w:rsidR="00C92E2E">
          <w:rPr>
            <w:noProof/>
            <w:webHidden/>
          </w:rPr>
          <w:tab/>
        </w:r>
        <w:r w:rsidR="00C92E2E">
          <w:rPr>
            <w:noProof/>
            <w:webHidden/>
          </w:rPr>
          <w:fldChar w:fldCharType="begin"/>
        </w:r>
        <w:r w:rsidR="00C92E2E">
          <w:rPr>
            <w:noProof/>
            <w:webHidden/>
          </w:rPr>
          <w:instrText xml:space="preserve"> PAGEREF _Toc23434595 \h </w:instrText>
        </w:r>
        <w:r w:rsidR="00C92E2E">
          <w:rPr>
            <w:noProof/>
            <w:webHidden/>
          </w:rPr>
        </w:r>
        <w:r w:rsidR="00C92E2E">
          <w:rPr>
            <w:noProof/>
            <w:webHidden/>
          </w:rPr>
          <w:fldChar w:fldCharType="separate"/>
        </w:r>
        <w:r w:rsidR="00C92E2E">
          <w:rPr>
            <w:noProof/>
            <w:webHidden/>
          </w:rPr>
          <w:t>111</w:t>
        </w:r>
        <w:r w:rsidR="00C92E2E">
          <w:rPr>
            <w:noProof/>
            <w:webHidden/>
          </w:rPr>
          <w:fldChar w:fldCharType="end"/>
        </w:r>
      </w:hyperlink>
    </w:p>
    <w:p w14:paraId="178E4CF0" w14:textId="5CAF13E2" w:rsidR="00C92E2E" w:rsidRDefault="00A46FF6">
      <w:pPr>
        <w:pStyle w:val="TableofFigures"/>
        <w:tabs>
          <w:tab w:val="right" w:leader="dot" w:pos="9628"/>
        </w:tabs>
        <w:rPr>
          <w:rFonts w:asciiTheme="minorHAnsi" w:eastAsiaTheme="minorEastAsia" w:hAnsiTheme="minorHAnsi"/>
          <w:noProof/>
          <w:color w:val="auto"/>
          <w:sz w:val="22"/>
          <w:lang w:eastAsia="en-AU"/>
        </w:rPr>
      </w:pPr>
      <w:hyperlink w:anchor="_Toc23434596" w:history="1">
        <w:r w:rsidR="00C92E2E" w:rsidRPr="008A0D5D">
          <w:rPr>
            <w:rStyle w:val="Hyperlink"/>
            <w:noProof/>
          </w:rPr>
          <w:t>Figure 14:</w:t>
        </w:r>
        <w:r w:rsidR="00C92E2E" w:rsidRPr="008A0D5D">
          <w:rPr>
            <w:rStyle w:val="Hyperlink"/>
            <w:rFonts w:cs="Arial"/>
            <w:noProof/>
          </w:rPr>
          <w:t xml:space="preserve"> Evaluation quality assessment</w:t>
        </w:r>
        <w:r w:rsidR="00C92E2E">
          <w:rPr>
            <w:noProof/>
            <w:webHidden/>
          </w:rPr>
          <w:tab/>
        </w:r>
        <w:r w:rsidR="00C92E2E">
          <w:rPr>
            <w:noProof/>
            <w:webHidden/>
          </w:rPr>
          <w:fldChar w:fldCharType="begin"/>
        </w:r>
        <w:r w:rsidR="00C92E2E">
          <w:rPr>
            <w:noProof/>
            <w:webHidden/>
          </w:rPr>
          <w:instrText xml:space="preserve"> PAGEREF _Toc23434596 \h </w:instrText>
        </w:r>
        <w:r w:rsidR="00C92E2E">
          <w:rPr>
            <w:noProof/>
            <w:webHidden/>
          </w:rPr>
        </w:r>
        <w:r w:rsidR="00C92E2E">
          <w:rPr>
            <w:noProof/>
            <w:webHidden/>
          </w:rPr>
          <w:fldChar w:fldCharType="separate"/>
        </w:r>
        <w:r w:rsidR="00C92E2E">
          <w:rPr>
            <w:noProof/>
            <w:webHidden/>
          </w:rPr>
          <w:t>142</w:t>
        </w:r>
        <w:r w:rsidR="00C92E2E">
          <w:rPr>
            <w:noProof/>
            <w:webHidden/>
          </w:rPr>
          <w:fldChar w:fldCharType="end"/>
        </w:r>
      </w:hyperlink>
    </w:p>
    <w:p w14:paraId="0EC39556" w14:textId="2D21E52B" w:rsidR="00C07D10" w:rsidRPr="00C07D10" w:rsidRDefault="00C07D10" w:rsidP="00C07D10">
      <w:r>
        <w:fldChar w:fldCharType="end"/>
      </w:r>
    </w:p>
    <w:p w14:paraId="0EDE318B" w14:textId="77777777" w:rsidR="00C07D10" w:rsidRDefault="00C07D10" w:rsidP="00C07D10">
      <w:pPr>
        <w:numPr>
          <w:ilvl w:val="0"/>
          <w:numId w:val="0"/>
        </w:numPr>
      </w:pPr>
    </w:p>
    <w:p w14:paraId="5A4608B6" w14:textId="2251508D" w:rsidR="00F72952" w:rsidRPr="004A793A" w:rsidRDefault="004A793A" w:rsidP="00F72952">
      <w:pPr>
        <w:pStyle w:val="Heading1NoNumber"/>
      </w:pPr>
      <w:bookmarkStart w:id="38" w:name="_Toc15562989"/>
      <w:bookmarkStart w:id="39" w:name="_Toc23434526"/>
      <w:r w:rsidRPr="004A793A">
        <w:t xml:space="preserve">Executive </w:t>
      </w:r>
      <w:r w:rsidR="008811A7">
        <w:t>s</w:t>
      </w:r>
      <w:r w:rsidRPr="004A793A">
        <w:t>ummary</w:t>
      </w:r>
      <w:bookmarkEnd w:id="29"/>
      <w:bookmarkEnd w:id="30"/>
      <w:bookmarkEnd w:id="38"/>
      <w:bookmarkEnd w:id="39"/>
    </w:p>
    <w:p w14:paraId="4BC921E2" w14:textId="44040AC6" w:rsidR="00450F2C" w:rsidRPr="00450F2C" w:rsidRDefault="00EF65AE" w:rsidP="00450F2C">
      <w:pPr>
        <w:rPr>
          <w:rFonts w:cs="Arial"/>
          <w:shd w:val="clear" w:color="auto" w:fill="FFFFFF"/>
        </w:rPr>
      </w:pPr>
      <w:r w:rsidRPr="00EF65AE">
        <w:rPr>
          <w:rFonts w:cs="Arial"/>
          <w:shd w:val="clear" w:color="auto" w:fill="FFFFFF"/>
        </w:rPr>
        <w:t xml:space="preserve">Violence against women and girls </w:t>
      </w:r>
      <w:r w:rsidR="00274B83">
        <w:rPr>
          <w:rFonts w:cs="Arial"/>
          <w:shd w:val="clear" w:color="auto" w:fill="FFFFFF"/>
        </w:rPr>
        <w:t xml:space="preserve">(VAWG) </w:t>
      </w:r>
      <w:r w:rsidRPr="00EF65AE">
        <w:rPr>
          <w:rFonts w:cs="Arial"/>
          <w:shd w:val="clear" w:color="auto" w:fill="FFFFFF"/>
        </w:rPr>
        <w:t xml:space="preserve">is a fundamental violation of human rights and a global health problem with considerable social and economic cost to individuals, communities and countries. More than </w:t>
      </w:r>
      <w:r w:rsidR="00D700C9">
        <w:rPr>
          <w:rFonts w:cs="Arial"/>
          <w:shd w:val="clear" w:color="auto" w:fill="FFFFFF"/>
        </w:rPr>
        <w:t>one-</w:t>
      </w:r>
      <w:r w:rsidRPr="00EF65AE">
        <w:rPr>
          <w:rFonts w:cs="Arial"/>
          <w:shd w:val="clear" w:color="auto" w:fill="FFFFFF"/>
        </w:rPr>
        <w:t>third of women and girls globally have experienced violence during their lives.</w:t>
      </w:r>
      <w:r w:rsidRPr="00EF65AE">
        <w:rPr>
          <w:rFonts w:cs="Arial"/>
        </w:rPr>
        <w:t xml:space="preserve"> </w:t>
      </w:r>
      <w:r w:rsidRPr="00450F2C">
        <w:rPr>
          <w:rFonts w:cs="Arial"/>
          <w:shd w:val="clear" w:color="auto" w:fill="FFFFFF"/>
        </w:rPr>
        <w:t>This violence takes many forms</w:t>
      </w:r>
      <w:r w:rsidR="00D700C9" w:rsidRPr="00450F2C">
        <w:rPr>
          <w:rFonts w:cs="Arial"/>
          <w:shd w:val="clear" w:color="auto" w:fill="FFFFFF"/>
        </w:rPr>
        <w:t>. It</w:t>
      </w:r>
      <w:r w:rsidRPr="00450F2C">
        <w:rPr>
          <w:rFonts w:cs="Arial"/>
          <w:shd w:val="clear" w:color="auto" w:fill="FFFFFF"/>
        </w:rPr>
        <w:t xml:space="preserve"> includ</w:t>
      </w:r>
      <w:r w:rsidR="00D700C9" w:rsidRPr="00450F2C">
        <w:rPr>
          <w:rFonts w:cs="Arial"/>
          <w:shd w:val="clear" w:color="auto" w:fill="FFFFFF"/>
        </w:rPr>
        <w:t>es</w:t>
      </w:r>
      <w:r w:rsidRPr="00450F2C">
        <w:rPr>
          <w:rFonts w:cs="Arial"/>
          <w:shd w:val="clear" w:color="auto" w:fill="FFFFFF"/>
        </w:rPr>
        <w:t xml:space="preserve"> violence in childhood and adolescence, sexual violence, sexual harassment, intimate partner violence</w:t>
      </w:r>
      <w:r w:rsidR="00506017" w:rsidRPr="00450F2C">
        <w:rPr>
          <w:rFonts w:cs="Arial"/>
          <w:shd w:val="clear" w:color="auto" w:fill="FFFFFF"/>
        </w:rPr>
        <w:t xml:space="preserve"> (IPV)</w:t>
      </w:r>
      <w:r w:rsidRPr="00450F2C">
        <w:rPr>
          <w:rFonts w:cs="Arial"/>
          <w:shd w:val="clear" w:color="auto" w:fill="FFFFFF"/>
        </w:rPr>
        <w:t xml:space="preserve">, violence due to sexual orientation or gender identity, violence due to disability, sorcery-accusation related violence, and early and forced marriage. </w:t>
      </w:r>
      <w:r w:rsidR="00450F2C" w:rsidRPr="00450F2C">
        <w:rPr>
          <w:rFonts w:cs="Arial"/>
        </w:rPr>
        <w:t>In many Pacific</w:t>
      </w:r>
      <w:r w:rsidR="000D1829">
        <w:rPr>
          <w:rFonts w:cs="Arial"/>
        </w:rPr>
        <w:t xml:space="preserve"> island countries</w:t>
      </w:r>
      <w:r w:rsidR="00450F2C" w:rsidRPr="00450F2C">
        <w:rPr>
          <w:rFonts w:cs="Arial"/>
        </w:rPr>
        <w:t xml:space="preserve"> and Timor-Leste, the prevalence of violence is more than twice the global average. </w:t>
      </w:r>
    </w:p>
    <w:p w14:paraId="7E25A6ED" w14:textId="77777777" w:rsidR="00EF65AE" w:rsidRPr="00EF65AE" w:rsidRDefault="00EF65AE" w:rsidP="004733B5">
      <w:pPr>
        <w:pStyle w:val="Heading2NoTOC"/>
      </w:pPr>
      <w:bookmarkStart w:id="40" w:name="_Toc15378093"/>
      <w:r w:rsidRPr="00EF65AE">
        <w:t xml:space="preserve">Australia’s commitment to </w:t>
      </w:r>
      <w:r w:rsidR="00E02AA4">
        <w:t>ending</w:t>
      </w:r>
      <w:r w:rsidR="00E02AA4" w:rsidRPr="00EF65AE">
        <w:t xml:space="preserve"> </w:t>
      </w:r>
      <w:r w:rsidRPr="00EF65AE">
        <w:t>violence against women and girls</w:t>
      </w:r>
      <w:bookmarkEnd w:id="40"/>
    </w:p>
    <w:p w14:paraId="0581CB69" w14:textId="77777777" w:rsidR="00D700C9" w:rsidRDefault="00EF65AE" w:rsidP="00EF65AE">
      <w:pPr>
        <w:rPr>
          <w:rFonts w:cs="Arial"/>
        </w:rPr>
      </w:pPr>
      <w:r w:rsidRPr="00EF65AE">
        <w:rPr>
          <w:rFonts w:cs="Arial"/>
          <w:shd w:val="clear" w:color="auto" w:fill="FFFFFF"/>
        </w:rPr>
        <w:t xml:space="preserve">The Australian Government is committed to </w:t>
      </w:r>
      <w:r w:rsidR="00E02AA4">
        <w:rPr>
          <w:rFonts w:cs="Arial"/>
          <w:shd w:val="clear" w:color="auto" w:fill="FFFFFF"/>
        </w:rPr>
        <w:t>ending</w:t>
      </w:r>
      <w:r w:rsidR="00E02AA4" w:rsidRPr="00EF65AE">
        <w:rPr>
          <w:rFonts w:cs="Arial"/>
          <w:shd w:val="clear" w:color="auto" w:fill="FFFFFF"/>
        </w:rPr>
        <w:t xml:space="preserve"> </w:t>
      </w:r>
      <w:r w:rsidRPr="00EF65AE">
        <w:rPr>
          <w:rFonts w:cs="Arial"/>
          <w:shd w:val="clear" w:color="auto" w:fill="FFFFFF"/>
        </w:rPr>
        <w:t>violence against women and girls</w:t>
      </w:r>
      <w:r w:rsidR="00993A31">
        <w:rPr>
          <w:rFonts w:cs="Arial"/>
          <w:shd w:val="clear" w:color="auto" w:fill="FFFFFF"/>
        </w:rPr>
        <w:t xml:space="preserve"> (EVAWG)</w:t>
      </w:r>
      <w:r w:rsidRPr="00EF65AE">
        <w:rPr>
          <w:rFonts w:cs="Arial"/>
          <w:shd w:val="clear" w:color="auto" w:fill="FFFFFF"/>
        </w:rPr>
        <w:t>, in Australia and overseas. O</w:t>
      </w:r>
      <w:r w:rsidRPr="00EF65AE">
        <w:rPr>
          <w:rFonts w:cs="Arial"/>
        </w:rPr>
        <w:t xml:space="preserve">ver the past decade, the Australian aid program’s commitment to gender equality and EVAWG has strengthened. </w:t>
      </w:r>
    </w:p>
    <w:p w14:paraId="5F65319E" w14:textId="377DFA88" w:rsidR="0055361F" w:rsidRDefault="00EF65AE" w:rsidP="0055361F">
      <w:pPr>
        <w:rPr>
          <w:rFonts w:cs="Arial"/>
        </w:rPr>
      </w:pPr>
      <w:r w:rsidRPr="00EF65AE">
        <w:rPr>
          <w:rFonts w:cs="Arial"/>
          <w:shd w:val="clear" w:color="auto" w:fill="FFFFFF"/>
        </w:rPr>
        <w:t>In 2011</w:t>
      </w:r>
      <w:r w:rsidR="00D700C9">
        <w:rPr>
          <w:rFonts w:cs="Arial"/>
          <w:shd w:val="clear" w:color="auto" w:fill="FFFFFF"/>
        </w:rPr>
        <w:t>,</w:t>
      </w:r>
      <w:r w:rsidRPr="00EF65AE">
        <w:rPr>
          <w:rFonts w:cs="Arial"/>
          <w:shd w:val="clear" w:color="auto" w:fill="FFFFFF"/>
        </w:rPr>
        <w:t xml:space="preserve"> Australia a</w:t>
      </w:r>
      <w:r w:rsidRPr="00EF65AE">
        <w:rPr>
          <w:rFonts w:cs="Arial"/>
        </w:rPr>
        <w:t xml:space="preserve">ppointed a global Ambassador for Women and Girls </w:t>
      </w:r>
      <w:r w:rsidR="00543598">
        <w:rPr>
          <w:rFonts w:cs="Arial"/>
        </w:rPr>
        <w:t>to advocate</w:t>
      </w:r>
      <w:r w:rsidRPr="00EF65AE">
        <w:rPr>
          <w:rFonts w:cs="Arial"/>
        </w:rPr>
        <w:t xml:space="preserve"> for gender equality—including ending violence—internationally</w:t>
      </w:r>
      <w:r w:rsidR="00E2253F">
        <w:rPr>
          <w:rFonts w:cs="Arial"/>
        </w:rPr>
        <w:t xml:space="preserve">. </w:t>
      </w:r>
      <w:r w:rsidRPr="00EF65AE">
        <w:rPr>
          <w:rFonts w:cs="Arial"/>
        </w:rPr>
        <w:t>In 2014</w:t>
      </w:r>
      <w:r w:rsidR="00D700C9">
        <w:rPr>
          <w:rFonts w:cs="Arial"/>
        </w:rPr>
        <w:t>,</w:t>
      </w:r>
      <w:r w:rsidRPr="00EF65AE">
        <w:rPr>
          <w:rFonts w:cs="Arial"/>
        </w:rPr>
        <w:t xml:space="preserve"> the Australian Government’s development policy established gender equality as one of six key investment priorities for Australia’s aid program, with a commitment to invest in </w:t>
      </w:r>
      <w:r w:rsidR="00543598">
        <w:rPr>
          <w:rFonts w:cs="Arial"/>
        </w:rPr>
        <w:t>EVAWG</w:t>
      </w:r>
      <w:r w:rsidRPr="00EF65AE">
        <w:rPr>
          <w:rFonts w:cs="Arial"/>
        </w:rPr>
        <w:t xml:space="preserve">. </w:t>
      </w:r>
      <w:r w:rsidRPr="0055361F">
        <w:rPr>
          <w:rFonts w:cs="Arial"/>
        </w:rPr>
        <w:t xml:space="preserve">The performance framework for this policy set a target that </w:t>
      </w:r>
      <w:r w:rsidR="00D700C9" w:rsidRPr="0055361F">
        <w:rPr>
          <w:rFonts w:cs="Arial"/>
        </w:rPr>
        <w:t xml:space="preserve">80 </w:t>
      </w:r>
      <w:r w:rsidRPr="0055361F">
        <w:rPr>
          <w:rFonts w:cs="Arial"/>
        </w:rPr>
        <w:t>per cent of all Australia’s aid, regardless of objectives, perform effectively in promoting gender equality.</w:t>
      </w:r>
    </w:p>
    <w:p w14:paraId="482D5643" w14:textId="45291684" w:rsidR="00EF65AE" w:rsidRPr="0055361F" w:rsidRDefault="00EF65AE" w:rsidP="0055361F">
      <w:pPr>
        <w:rPr>
          <w:rFonts w:cs="Arial"/>
        </w:rPr>
      </w:pPr>
      <w:r w:rsidRPr="0055361F">
        <w:rPr>
          <w:rFonts w:cs="Arial"/>
        </w:rPr>
        <w:t xml:space="preserve">In 2016, </w:t>
      </w:r>
      <w:bookmarkStart w:id="41" w:name="_Hlk17789750"/>
      <w:r w:rsidR="002D495E" w:rsidRPr="0055361F">
        <w:rPr>
          <w:rFonts w:cs="Arial"/>
          <w:iCs/>
        </w:rPr>
        <w:t>DFAT’s</w:t>
      </w:r>
      <w:r w:rsidRPr="0055361F">
        <w:rPr>
          <w:rFonts w:cs="Arial"/>
          <w:i/>
        </w:rPr>
        <w:t xml:space="preserve"> Gender Equality and Women’s Empowerment Strategy</w:t>
      </w:r>
      <w:bookmarkEnd w:id="41"/>
      <w:r w:rsidRPr="0055361F">
        <w:rPr>
          <w:rFonts w:cs="Arial"/>
        </w:rPr>
        <w:t xml:space="preserve"> established EVAWG as one of three core priorities to guide work on gender equality across the Department of Foreign Affairs and Trade (DFAT). The </w:t>
      </w:r>
      <w:bookmarkStart w:id="42" w:name="_Hlk17789768"/>
      <w:r w:rsidRPr="0055361F">
        <w:rPr>
          <w:rFonts w:cs="Arial"/>
        </w:rPr>
        <w:t xml:space="preserve">2017 </w:t>
      </w:r>
      <w:r w:rsidRPr="0055361F">
        <w:rPr>
          <w:rFonts w:cs="Arial"/>
          <w:i/>
        </w:rPr>
        <w:t xml:space="preserve">Foreign Policy White Paper </w:t>
      </w:r>
      <w:bookmarkEnd w:id="42"/>
      <w:r w:rsidRPr="0055361F">
        <w:rPr>
          <w:rFonts w:cs="Arial"/>
        </w:rPr>
        <w:t xml:space="preserve">continues Australia’s clear policy commitment to the empowerment of women and EVAWG. DFAT’s </w:t>
      </w:r>
      <w:bookmarkStart w:id="43" w:name="_Hlk17789807"/>
      <w:r w:rsidRPr="0055361F">
        <w:rPr>
          <w:rFonts w:cs="Arial"/>
        </w:rPr>
        <w:t xml:space="preserve">Child Protection Policy </w:t>
      </w:r>
      <w:bookmarkEnd w:id="43"/>
      <w:r w:rsidRPr="0055361F">
        <w:rPr>
          <w:rFonts w:cs="Arial"/>
        </w:rPr>
        <w:t xml:space="preserve">and the recently launched </w:t>
      </w:r>
      <w:bookmarkStart w:id="44" w:name="_Hlk17789816"/>
      <w:r w:rsidRPr="0055361F">
        <w:rPr>
          <w:rFonts w:cs="Arial"/>
        </w:rPr>
        <w:t>Preventing Sexual Exploitation, Abuse and Harassment Policy</w:t>
      </w:r>
      <w:bookmarkEnd w:id="44"/>
      <w:r w:rsidRPr="0055361F">
        <w:rPr>
          <w:rFonts w:cs="Arial"/>
        </w:rPr>
        <w:t xml:space="preserve"> further reflect this commitment and hold the department to account with a zero</w:t>
      </w:r>
      <w:r w:rsidR="00D700C9" w:rsidRPr="0055361F">
        <w:rPr>
          <w:rFonts w:cs="Arial"/>
        </w:rPr>
        <w:t>-</w:t>
      </w:r>
      <w:r w:rsidRPr="0055361F">
        <w:rPr>
          <w:rFonts w:cs="Arial"/>
        </w:rPr>
        <w:t>tolerance approach</w:t>
      </w:r>
      <w:r w:rsidR="00E2253F" w:rsidRPr="0055361F">
        <w:rPr>
          <w:rFonts w:cs="Arial"/>
        </w:rPr>
        <w:t xml:space="preserve">. </w:t>
      </w:r>
      <w:bookmarkStart w:id="45" w:name="_Toc514621603"/>
      <w:bookmarkStart w:id="46" w:name="_Toc517959095"/>
    </w:p>
    <w:p w14:paraId="0E531658" w14:textId="77777777" w:rsidR="00EF65AE" w:rsidRPr="004B1F17" w:rsidRDefault="00EF65AE" w:rsidP="004733B5">
      <w:pPr>
        <w:pStyle w:val="Heading2NoTOC"/>
        <w:rPr>
          <w:lang w:val="en-GB" w:eastAsia="en-AU"/>
        </w:rPr>
      </w:pPr>
      <w:bookmarkStart w:id="47" w:name="_Toc15378094"/>
      <w:r w:rsidRPr="004B1F17">
        <w:rPr>
          <w:lang w:val="en-GB" w:eastAsia="en-AU"/>
        </w:rPr>
        <w:t>This evaluation</w:t>
      </w:r>
      <w:bookmarkEnd w:id="47"/>
    </w:p>
    <w:p w14:paraId="248CE4D1" w14:textId="7B7E05D2" w:rsidR="00450F2C" w:rsidRPr="00EF65AE" w:rsidRDefault="00412D5C" w:rsidP="00450F2C">
      <w:pPr>
        <w:rPr>
          <w:rFonts w:cs="Arial"/>
        </w:rPr>
      </w:pPr>
      <w:r>
        <w:rPr>
          <w:rFonts w:cs="Arial"/>
        </w:rPr>
        <w:t xml:space="preserve">The </w:t>
      </w:r>
      <w:r w:rsidR="00EF65AE" w:rsidRPr="00450F2C">
        <w:rPr>
          <w:rFonts w:cs="Arial"/>
        </w:rPr>
        <w:t xml:space="preserve">Office of Development Effectiveness (ODE) commissioned this strategic evaluation of Australian development assistance for </w:t>
      </w:r>
      <w:r w:rsidR="00D700C9" w:rsidRPr="00450F2C">
        <w:rPr>
          <w:rFonts w:cs="Arial"/>
        </w:rPr>
        <w:t>EVAWG</w:t>
      </w:r>
      <w:r w:rsidR="00EF65AE" w:rsidRPr="00450F2C">
        <w:rPr>
          <w:rFonts w:cs="Arial"/>
        </w:rPr>
        <w:t xml:space="preserve"> </w:t>
      </w:r>
      <w:r w:rsidR="000D1829">
        <w:rPr>
          <w:rFonts w:cs="Arial"/>
        </w:rPr>
        <w:t>to look back over the 10 years since</w:t>
      </w:r>
      <w:r w:rsidR="00026246" w:rsidRPr="00450F2C">
        <w:rPr>
          <w:rFonts w:cs="Arial"/>
        </w:rPr>
        <w:t xml:space="preserve"> the</w:t>
      </w:r>
      <w:r w:rsidR="00EF65AE" w:rsidRPr="00450F2C">
        <w:rPr>
          <w:rFonts w:cs="Arial"/>
        </w:rPr>
        <w:t xml:space="preserve"> 2008 ODE evaluation, </w:t>
      </w:r>
      <w:r w:rsidR="00EF65AE" w:rsidRPr="00450F2C">
        <w:rPr>
          <w:rFonts w:cs="Arial"/>
          <w:i/>
        </w:rPr>
        <w:t xml:space="preserve">Violence </w:t>
      </w:r>
      <w:r w:rsidR="00174B49" w:rsidRPr="00450F2C">
        <w:rPr>
          <w:rFonts w:cs="Arial"/>
          <w:i/>
        </w:rPr>
        <w:t>A</w:t>
      </w:r>
      <w:r w:rsidR="00EF65AE" w:rsidRPr="00450F2C">
        <w:rPr>
          <w:rFonts w:cs="Arial"/>
          <w:i/>
        </w:rPr>
        <w:t>gainst Women in Melanesia and East Timor: Building on Global and Regional Promising Approaches</w:t>
      </w:r>
      <w:r w:rsidR="00EF65AE" w:rsidRPr="00450F2C">
        <w:rPr>
          <w:rFonts w:cs="Arial"/>
        </w:rPr>
        <w:t>.</w:t>
      </w:r>
      <w:r w:rsidR="00EF65AE" w:rsidRPr="00450F2C">
        <w:rPr>
          <w:rFonts w:cs="Arial"/>
          <w:vertAlign w:val="superscript"/>
        </w:rPr>
        <w:fldChar w:fldCharType="begin"/>
      </w:r>
      <w:r w:rsidR="00EF65AE" w:rsidRPr="00450F2C">
        <w:rPr>
          <w:rFonts w:cs="Arial"/>
          <w:vertAlign w:val="superscript"/>
        </w:rPr>
        <w:instrText xml:space="preserve"> ADDIN ZOTERO_ITEM CSL_CITATION {"citationID":"UIm2nmX2","properties":{"formattedCitation":"\\super 2\\nosupersub{}","plainCitation":"2","noteIndex":0},"citationItems":[{"id":94,"uris":["http://zotero.org/users/4194704/items/7NXEN4ZT"],"uri":["http://zotero.org/users/4194704/items/7NXEN4ZT"],"itemData":{"id":94,"type":"article-journal","title":"Violence against women in Melanesia and East Timor: Building on global and regional promising approaches","container-title":"Canberra: AusAID","author":[{"family":"Ellsberg","given":"Mary"},{"family":"Bradley","given":"Christine"},{"family":"Egan","given":"Andrew"},{"family":"Haddad","given":"Amy"}],"issued":{"date-parts":[["2008"]]}}}],"schema":"https://github.com/citation-style-language/schema/raw/master/csl-citation.json"} </w:instrText>
      </w:r>
      <w:r w:rsidR="00EF65AE" w:rsidRPr="00450F2C">
        <w:rPr>
          <w:rFonts w:cs="Arial"/>
          <w:vertAlign w:val="superscript"/>
        </w:rPr>
        <w:fldChar w:fldCharType="separate"/>
      </w:r>
      <w:r w:rsidR="00EF65AE" w:rsidRPr="00450F2C">
        <w:rPr>
          <w:rFonts w:cs="Arial"/>
          <w:vertAlign w:val="superscript"/>
          <w:lang w:val="en-US"/>
        </w:rPr>
        <w:t>2</w:t>
      </w:r>
      <w:r w:rsidR="00EF65AE" w:rsidRPr="00450F2C">
        <w:rPr>
          <w:rFonts w:cs="Arial"/>
          <w:vertAlign w:val="superscript"/>
        </w:rPr>
        <w:fldChar w:fldCharType="end"/>
      </w:r>
      <w:r w:rsidR="00EF65AE" w:rsidRPr="00450F2C">
        <w:rPr>
          <w:rFonts w:cs="Arial"/>
        </w:rPr>
        <w:t xml:space="preserve"> Th</w:t>
      </w:r>
      <w:r w:rsidR="00D700C9" w:rsidRPr="00450F2C">
        <w:rPr>
          <w:rFonts w:cs="Arial"/>
        </w:rPr>
        <w:t>is</w:t>
      </w:r>
      <w:r w:rsidR="00EF65AE" w:rsidRPr="00450F2C">
        <w:rPr>
          <w:rFonts w:cs="Arial"/>
        </w:rPr>
        <w:t xml:space="preserve"> current evaluation provides a critical lens</w:t>
      </w:r>
      <w:r w:rsidR="00026246" w:rsidRPr="00450F2C">
        <w:rPr>
          <w:rFonts w:cs="Arial"/>
        </w:rPr>
        <w:t xml:space="preserve"> for assessing</w:t>
      </w:r>
      <w:r w:rsidR="00EF65AE" w:rsidRPr="00450F2C">
        <w:rPr>
          <w:rFonts w:cs="Arial"/>
        </w:rPr>
        <w:t xml:space="preserve"> the gains made </w:t>
      </w:r>
      <w:r w:rsidR="00450F2C" w:rsidRPr="00450F2C">
        <w:rPr>
          <w:rFonts w:cs="Arial"/>
        </w:rPr>
        <w:t>since 2008</w:t>
      </w:r>
      <w:r w:rsidR="00450F2C">
        <w:rPr>
          <w:rFonts w:cs="Arial"/>
        </w:rPr>
        <w:t xml:space="preserve"> and</w:t>
      </w:r>
      <w:r w:rsidR="00450F2C" w:rsidRPr="00EF65AE">
        <w:rPr>
          <w:rFonts w:cs="Arial"/>
        </w:rPr>
        <w:t xml:space="preserve"> makes recommendations </w:t>
      </w:r>
      <w:r w:rsidR="00450F2C">
        <w:rPr>
          <w:rFonts w:cs="Arial"/>
          <w:lang w:val="en-US"/>
        </w:rPr>
        <w:t>to guide</w:t>
      </w:r>
      <w:r w:rsidR="00450F2C" w:rsidRPr="00EF65AE">
        <w:rPr>
          <w:rFonts w:cs="Arial"/>
          <w:lang w:val="en-US"/>
        </w:rPr>
        <w:t xml:space="preserve"> Australia’s aid program and policy engagement on EVAWG for the next decade.</w:t>
      </w:r>
    </w:p>
    <w:p w14:paraId="4C32FE44" w14:textId="77777777" w:rsidR="00EF65AE" w:rsidRPr="00450F2C" w:rsidRDefault="00450F2C" w:rsidP="00392D48">
      <w:pPr>
        <w:numPr>
          <w:ilvl w:val="0"/>
          <w:numId w:val="0"/>
        </w:numPr>
        <w:rPr>
          <w:rFonts w:cs="Arial"/>
        </w:rPr>
      </w:pPr>
      <w:r>
        <w:rPr>
          <w:rFonts w:cs="Arial"/>
        </w:rPr>
        <w:t>The evaluation also</w:t>
      </w:r>
      <w:r w:rsidR="00EF65AE" w:rsidRPr="00450F2C">
        <w:rPr>
          <w:rFonts w:cs="Arial"/>
        </w:rPr>
        <w:t xml:space="preserve"> </w:t>
      </w:r>
      <w:r>
        <w:rPr>
          <w:rFonts w:cs="Arial"/>
        </w:rPr>
        <w:t>reviews</w:t>
      </w:r>
      <w:r w:rsidR="00EF65AE" w:rsidRPr="00450F2C">
        <w:rPr>
          <w:rFonts w:cs="Arial"/>
        </w:rPr>
        <w:t xml:space="preserve"> the quality of leadership and policy dialogue, including government and civil society efforts and the extent to which Australia</w:t>
      </w:r>
      <w:r w:rsidR="00EF65AE" w:rsidRPr="00450F2C">
        <w:rPr>
          <w:rFonts w:cs="Arial"/>
          <w:shd w:val="clear" w:color="auto" w:fill="FFFFFF"/>
        </w:rPr>
        <w:t xml:space="preserve"> has </w:t>
      </w:r>
      <w:r w:rsidR="00EF65AE" w:rsidRPr="00450F2C">
        <w:rPr>
          <w:rFonts w:cs="Arial"/>
        </w:rPr>
        <w:t>fostered key enabling factors and learn</w:t>
      </w:r>
      <w:r w:rsidR="00026246" w:rsidRPr="00450F2C">
        <w:rPr>
          <w:rFonts w:cs="Arial"/>
        </w:rPr>
        <w:t>ed</w:t>
      </w:r>
      <w:r w:rsidR="00EF65AE" w:rsidRPr="00450F2C">
        <w:rPr>
          <w:rFonts w:cs="Arial"/>
          <w:shd w:val="clear" w:color="auto" w:fill="FFFFFF"/>
        </w:rPr>
        <w:t xml:space="preserve"> </w:t>
      </w:r>
      <w:r w:rsidR="00EF65AE" w:rsidRPr="00450F2C">
        <w:rPr>
          <w:rFonts w:cs="Arial"/>
        </w:rPr>
        <w:t>to improve program effectiveness and outcomes.</w:t>
      </w:r>
      <w:r w:rsidR="00A11167">
        <w:rPr>
          <w:rFonts w:cs="Arial"/>
        </w:rPr>
        <w:t xml:space="preserve"> </w:t>
      </w:r>
      <w:r w:rsidR="00A11167" w:rsidRPr="00450F2C">
        <w:rPr>
          <w:rFonts w:cs="Arial"/>
        </w:rPr>
        <w:t xml:space="preserve">The effectiveness, relevance and reach of Australian development cooperation for EVAWG </w:t>
      </w:r>
      <w:r w:rsidR="00A11167">
        <w:rPr>
          <w:rFonts w:cs="Arial"/>
        </w:rPr>
        <w:t>are assessed.</w:t>
      </w:r>
      <w:r w:rsidR="00EF65AE" w:rsidRPr="00450F2C">
        <w:rPr>
          <w:rFonts w:cs="Arial"/>
        </w:rPr>
        <w:t xml:space="preserve"> </w:t>
      </w:r>
      <w:r>
        <w:rPr>
          <w:rFonts w:cs="Arial"/>
        </w:rPr>
        <w:t>Findings are reported for each of</w:t>
      </w:r>
      <w:r w:rsidR="00EF65AE" w:rsidRPr="00450F2C">
        <w:rPr>
          <w:rFonts w:cs="Arial"/>
        </w:rPr>
        <w:t xml:space="preserve"> the three key areas of assistance for EVAWG</w:t>
      </w:r>
      <w:r w:rsidR="005936DC" w:rsidRPr="00450F2C">
        <w:rPr>
          <w:rFonts w:cs="Arial"/>
        </w:rPr>
        <w:t>—</w:t>
      </w:r>
      <w:r w:rsidR="00EF65AE" w:rsidRPr="00450F2C">
        <w:rPr>
          <w:rFonts w:cs="Arial"/>
        </w:rPr>
        <w:t>increasing access to justice</w:t>
      </w:r>
      <w:r w:rsidR="00026246" w:rsidRPr="00450F2C">
        <w:rPr>
          <w:rFonts w:cs="Arial"/>
        </w:rPr>
        <w:t>,</w:t>
      </w:r>
      <w:r w:rsidR="00EF65AE" w:rsidRPr="00450F2C">
        <w:rPr>
          <w:rFonts w:cs="Arial"/>
        </w:rPr>
        <w:t xml:space="preserve"> improving access to quality services</w:t>
      </w:r>
      <w:r w:rsidR="00026246" w:rsidRPr="00450F2C">
        <w:rPr>
          <w:rFonts w:cs="Arial"/>
        </w:rPr>
        <w:t>,</w:t>
      </w:r>
      <w:r w:rsidR="00EF65AE" w:rsidRPr="00450F2C">
        <w:rPr>
          <w:rFonts w:cs="Arial"/>
        </w:rPr>
        <w:t xml:space="preserve"> and preventing violence</w:t>
      </w:r>
      <w:r w:rsidR="00E2253F" w:rsidRPr="00450F2C">
        <w:rPr>
          <w:rFonts w:cs="Arial"/>
        </w:rPr>
        <w:t xml:space="preserve">. </w:t>
      </w:r>
    </w:p>
    <w:p w14:paraId="5B515676" w14:textId="0230AF3A" w:rsidR="00EF65AE" w:rsidRPr="00EF65AE" w:rsidRDefault="00EF65AE" w:rsidP="00EF65AE">
      <w:pPr>
        <w:rPr>
          <w:rFonts w:cs="Arial"/>
        </w:rPr>
      </w:pPr>
      <w:r w:rsidRPr="00EF65AE">
        <w:rPr>
          <w:rFonts w:cs="Arial"/>
        </w:rPr>
        <w:t>The evaluation focused on the five countries that were case studies for the 2008 report—Fiji, Papua New Guinea</w:t>
      </w:r>
      <w:r w:rsidR="001158AC">
        <w:rPr>
          <w:rFonts w:cs="Arial"/>
        </w:rPr>
        <w:t xml:space="preserve"> (PNG)</w:t>
      </w:r>
      <w:r w:rsidRPr="00EF65AE">
        <w:rPr>
          <w:rFonts w:cs="Arial"/>
        </w:rPr>
        <w:t xml:space="preserve">, Solomon Islands, Timor-Leste and Vanuatu. Two additional countries, Indonesia and Pakistan, where Australia has significant EVAWG programs, were also included. </w:t>
      </w:r>
      <w:r w:rsidRPr="004D79DC">
        <w:rPr>
          <w:rFonts w:cs="Arial"/>
        </w:rPr>
        <w:t xml:space="preserve">Investments in other countries were reviewed </w:t>
      </w:r>
      <w:r w:rsidRPr="00EF65AE">
        <w:rPr>
          <w:rFonts w:cs="Arial"/>
        </w:rPr>
        <w:t xml:space="preserve">if they </w:t>
      </w:r>
      <w:r w:rsidR="00412D5C">
        <w:rPr>
          <w:rFonts w:cs="Arial"/>
        </w:rPr>
        <w:t>were</w:t>
      </w:r>
      <w:r w:rsidRPr="00EF65AE">
        <w:rPr>
          <w:rFonts w:cs="Arial"/>
        </w:rPr>
        <w:t xml:space="preserve"> substantial and/or informative.</w:t>
      </w:r>
    </w:p>
    <w:p w14:paraId="5A6ECBF3" w14:textId="2D654D0D" w:rsidR="00EF65AE" w:rsidRPr="00EF65AE" w:rsidRDefault="004A793A" w:rsidP="00FA1CE5">
      <w:pPr>
        <w:pStyle w:val="Heading2NoNumber"/>
      </w:pPr>
      <w:bookmarkStart w:id="48" w:name="_Toc14959586"/>
      <w:bookmarkStart w:id="49" w:name="_Toc15378095"/>
      <w:bookmarkStart w:id="50" w:name="_Toc15378460"/>
      <w:bookmarkStart w:id="51" w:name="_Toc15562990"/>
      <w:r w:rsidRPr="00EF65AE">
        <w:t>Main findings</w:t>
      </w:r>
      <w:bookmarkEnd w:id="48"/>
      <w:bookmarkEnd w:id="49"/>
      <w:bookmarkEnd w:id="50"/>
      <w:bookmarkEnd w:id="51"/>
    </w:p>
    <w:p w14:paraId="6793165F" w14:textId="77777777" w:rsidR="00EF65AE" w:rsidRPr="00EF65AE" w:rsidRDefault="00EF65AE" w:rsidP="004733B5">
      <w:pPr>
        <w:pStyle w:val="Heading2NoTOC"/>
      </w:pPr>
      <w:bookmarkStart w:id="52" w:name="_Toc15378096"/>
      <w:r w:rsidRPr="00EF65AE">
        <w:t>Financial commitments</w:t>
      </w:r>
      <w:bookmarkEnd w:id="52"/>
    </w:p>
    <w:p w14:paraId="10CE2656" w14:textId="77777777" w:rsidR="005936DC" w:rsidRDefault="00EF65AE" w:rsidP="00EF65AE">
      <w:pPr>
        <w:rPr>
          <w:rFonts w:cs="Arial"/>
        </w:rPr>
      </w:pPr>
      <w:r w:rsidRPr="00EF65AE">
        <w:rPr>
          <w:rFonts w:cs="Arial"/>
        </w:rPr>
        <w:t>Over the past decade</w:t>
      </w:r>
      <w:r w:rsidR="005936DC">
        <w:rPr>
          <w:rFonts w:cs="Arial"/>
        </w:rPr>
        <w:t>,</w:t>
      </w:r>
      <w:r w:rsidRPr="00EF65AE">
        <w:rPr>
          <w:rFonts w:cs="Arial"/>
        </w:rPr>
        <w:t xml:space="preserve"> Australia has been a leading donor</w:t>
      </w:r>
      <w:r w:rsidR="00292D44">
        <w:rPr>
          <w:rFonts w:cs="Arial"/>
        </w:rPr>
        <w:t>,</w:t>
      </w:r>
      <w:r w:rsidRPr="00EF65AE">
        <w:rPr>
          <w:rFonts w:cs="Arial"/>
        </w:rPr>
        <w:t xml:space="preserve"> investing more than $300 million in EVAWG programs.</w:t>
      </w:r>
      <w:r w:rsidR="00D41FFB" w:rsidRPr="00D41FFB">
        <w:rPr>
          <w:rFonts w:cs="Arial"/>
        </w:rPr>
        <w:t xml:space="preserve"> </w:t>
      </w:r>
      <w:r w:rsidR="00D41FFB" w:rsidRPr="002A554E">
        <w:rPr>
          <w:rFonts w:cs="Arial"/>
        </w:rPr>
        <w:t xml:space="preserve">According to the most recent data reported to </w:t>
      </w:r>
      <w:r w:rsidR="00274B83">
        <w:rPr>
          <w:rFonts w:cs="Arial"/>
        </w:rPr>
        <w:t>the Organisation for Economic Co-operation and Development’s</w:t>
      </w:r>
      <w:r w:rsidR="00D41FFB" w:rsidRPr="002A554E">
        <w:rPr>
          <w:rFonts w:cs="Arial"/>
        </w:rPr>
        <w:t xml:space="preserve"> Development Assistance Committee in 2017, Australia’s disbursements for EVAWG were the second highest and made up 17</w:t>
      </w:r>
      <w:r w:rsidR="00A54030">
        <w:rPr>
          <w:rFonts w:cs="Arial"/>
        </w:rPr>
        <w:t xml:space="preserve"> per cent</w:t>
      </w:r>
      <w:r w:rsidR="00D41FFB" w:rsidRPr="002A554E">
        <w:rPr>
          <w:rFonts w:cs="Arial"/>
        </w:rPr>
        <w:t xml:space="preserve"> of disbursements for donor countries</w:t>
      </w:r>
      <w:r w:rsidR="00D41FFB">
        <w:rPr>
          <w:rFonts w:cs="Arial"/>
        </w:rPr>
        <w:t>.</w:t>
      </w:r>
      <w:r w:rsidRPr="00EF65AE">
        <w:rPr>
          <w:rFonts w:cs="Arial"/>
        </w:rPr>
        <w:t xml:space="preserve"> Australia’s annual aid funding allocation for EVAWG activities increased more than </w:t>
      </w:r>
      <w:r w:rsidR="005936DC">
        <w:rPr>
          <w:rFonts w:cs="Arial"/>
        </w:rPr>
        <w:t>10-</w:t>
      </w:r>
      <w:r w:rsidRPr="00EF65AE">
        <w:rPr>
          <w:rFonts w:cs="Arial"/>
        </w:rPr>
        <w:t>fold from 2007</w:t>
      </w:r>
      <w:r w:rsidR="005936DC">
        <w:rPr>
          <w:rFonts w:cs="Arial"/>
        </w:rPr>
        <w:t>–</w:t>
      </w:r>
      <w:r w:rsidRPr="00EF65AE">
        <w:rPr>
          <w:rFonts w:cs="Arial"/>
        </w:rPr>
        <w:t>08 to 2017</w:t>
      </w:r>
      <w:r w:rsidR="005936DC">
        <w:rPr>
          <w:rFonts w:cs="Arial"/>
        </w:rPr>
        <w:t>–</w:t>
      </w:r>
      <w:r w:rsidRPr="00EF65AE">
        <w:rPr>
          <w:rFonts w:cs="Arial"/>
        </w:rPr>
        <w:t>18. This increase largely stem</w:t>
      </w:r>
      <w:r w:rsidR="00292D44">
        <w:rPr>
          <w:rFonts w:cs="Arial"/>
        </w:rPr>
        <w:t>med</w:t>
      </w:r>
      <w:r w:rsidRPr="00EF65AE">
        <w:rPr>
          <w:rFonts w:cs="Arial"/>
        </w:rPr>
        <w:t xml:space="preserve"> from increased expenditure on EVAWG in </w:t>
      </w:r>
      <w:bookmarkStart w:id="53" w:name="_Hlk15892324"/>
      <w:r w:rsidRPr="00EF65AE">
        <w:rPr>
          <w:rFonts w:cs="Arial"/>
        </w:rPr>
        <w:t xml:space="preserve">Pacific island countries </w:t>
      </w:r>
      <w:bookmarkEnd w:id="53"/>
      <w:r w:rsidRPr="00EF65AE">
        <w:rPr>
          <w:rFonts w:cs="Arial"/>
        </w:rPr>
        <w:t xml:space="preserve">but also from a broader geographic coverage. </w:t>
      </w:r>
    </w:p>
    <w:p w14:paraId="4FA17354" w14:textId="04AE0A53" w:rsidR="00EF65AE" w:rsidRPr="00EF65AE" w:rsidRDefault="00EF65AE" w:rsidP="00EF65AE">
      <w:pPr>
        <w:rPr>
          <w:rFonts w:cs="Arial"/>
        </w:rPr>
      </w:pPr>
      <w:r w:rsidRPr="00EF65AE">
        <w:rPr>
          <w:rFonts w:cs="Arial"/>
        </w:rPr>
        <w:t xml:space="preserve">The Australian aid program now has a comprehensive approach to EVAWG. Substantial aid investments focus on improving </w:t>
      </w:r>
      <w:r w:rsidRPr="00EF65AE">
        <w:rPr>
          <w:rFonts w:cs="Arial"/>
          <w:shd w:val="clear" w:color="auto" w:fill="FFFFFF"/>
        </w:rPr>
        <w:t>national policies and plans to address violence as a human rights and gender equality imperative</w:t>
      </w:r>
      <w:r w:rsidR="005A30FF">
        <w:rPr>
          <w:rFonts w:cs="Arial"/>
          <w:shd w:val="clear" w:color="auto" w:fill="FFFFFF"/>
        </w:rPr>
        <w:t>,</w:t>
      </w:r>
      <w:r w:rsidRPr="00EF65AE">
        <w:rPr>
          <w:rFonts w:cs="Arial"/>
          <w:shd w:val="clear" w:color="auto" w:fill="FFFFFF"/>
        </w:rPr>
        <w:t xml:space="preserve"> while improving</w:t>
      </w:r>
      <w:r w:rsidRPr="00EF65AE">
        <w:rPr>
          <w:rFonts w:cs="Arial"/>
        </w:rPr>
        <w:t xml:space="preserve"> quality of services, access to justice and prevention.</w:t>
      </w:r>
    </w:p>
    <w:p w14:paraId="7FD23F4B" w14:textId="77777777" w:rsidR="00EF65AE" w:rsidRPr="00EF65AE" w:rsidRDefault="00EF65AE" w:rsidP="004733B5">
      <w:pPr>
        <w:pStyle w:val="Heading2NoTOC"/>
      </w:pPr>
      <w:bookmarkStart w:id="54" w:name="_Toc15378097"/>
      <w:r w:rsidRPr="00EF65AE">
        <w:t>Australia’s leadership</w:t>
      </w:r>
      <w:bookmarkEnd w:id="54"/>
    </w:p>
    <w:p w14:paraId="3FD32206" w14:textId="1C540C77" w:rsidR="005936DC" w:rsidRPr="00956ABB" w:rsidRDefault="00EF65AE" w:rsidP="00EF65AE">
      <w:pPr>
        <w:rPr>
          <w:rFonts w:cs="Arial"/>
        </w:rPr>
      </w:pPr>
      <w:r w:rsidRPr="00EF65AE">
        <w:rPr>
          <w:rFonts w:cs="Arial"/>
          <w:shd w:val="clear" w:color="auto" w:fill="FFFFFF"/>
        </w:rPr>
        <w:t>Australia has maintained or expanded its cooperation with key partners internationally</w:t>
      </w:r>
      <w:r w:rsidR="00292D44">
        <w:rPr>
          <w:rFonts w:cs="Arial"/>
          <w:shd w:val="clear" w:color="auto" w:fill="FFFFFF"/>
        </w:rPr>
        <w:t>,</w:t>
      </w:r>
      <w:r w:rsidRPr="00EF65AE">
        <w:rPr>
          <w:rFonts w:cs="Arial"/>
          <w:shd w:val="clear" w:color="auto" w:fill="FFFFFF"/>
        </w:rPr>
        <w:t xml:space="preserve"> particularly in </w:t>
      </w:r>
      <w:r w:rsidR="00473C64">
        <w:rPr>
          <w:rFonts w:cs="Arial"/>
          <w:shd w:val="clear" w:color="auto" w:fill="FFFFFF"/>
        </w:rPr>
        <w:t>the Indo-Pacific.</w:t>
      </w:r>
      <w:r w:rsidRPr="00EF65AE">
        <w:rPr>
          <w:rFonts w:cs="Arial"/>
          <w:shd w:val="clear" w:color="auto" w:fill="FFFFFF"/>
        </w:rPr>
        <w:t xml:space="preserve"> There has been strong and sustained policy leadership by Australia to end and prevent </w:t>
      </w:r>
      <w:r w:rsidR="00274B83">
        <w:rPr>
          <w:rFonts w:cs="Arial"/>
          <w:shd w:val="clear" w:color="auto" w:fill="FFFFFF"/>
        </w:rPr>
        <w:t>VAWG</w:t>
      </w:r>
      <w:r w:rsidRPr="00EF65AE">
        <w:rPr>
          <w:rFonts w:cs="Arial"/>
          <w:shd w:val="clear" w:color="auto" w:fill="FFFFFF"/>
        </w:rPr>
        <w:t xml:space="preserve">. </w:t>
      </w:r>
      <w:r w:rsidRPr="00EF65AE">
        <w:rPr>
          <w:rFonts w:cs="Arial"/>
        </w:rPr>
        <w:t xml:space="preserve">Political commitment for EVAWG has increased throughout </w:t>
      </w:r>
      <w:r w:rsidR="00473C64">
        <w:rPr>
          <w:rFonts w:cs="Arial"/>
          <w:shd w:val="clear" w:color="auto" w:fill="FFFFFF"/>
        </w:rPr>
        <w:t>the Indo-Pacific</w:t>
      </w:r>
      <w:r w:rsidRPr="00EF65AE">
        <w:rPr>
          <w:rFonts w:cs="Arial"/>
        </w:rPr>
        <w:t>, with support from Australia.</w:t>
      </w:r>
      <w:r w:rsidRPr="00EF65AE">
        <w:rPr>
          <w:rFonts w:cs="Arial"/>
          <w:b/>
        </w:rPr>
        <w:t xml:space="preserve"> </w:t>
      </w:r>
    </w:p>
    <w:p w14:paraId="21CD0ABC" w14:textId="77777777" w:rsidR="00EF65AE" w:rsidRPr="004B1F17" w:rsidRDefault="00EF65AE" w:rsidP="00EF65AE">
      <w:pPr>
        <w:rPr>
          <w:rFonts w:cs="Arial"/>
          <w:color w:val="auto"/>
        </w:rPr>
      </w:pPr>
      <w:r w:rsidRPr="00EF65AE">
        <w:rPr>
          <w:rFonts w:cs="Arial"/>
        </w:rPr>
        <w:t xml:space="preserve">Australian assistance, particularly through the $320 million, </w:t>
      </w:r>
      <w:r w:rsidR="005936DC">
        <w:rPr>
          <w:rFonts w:cs="Arial"/>
        </w:rPr>
        <w:t>10</w:t>
      </w:r>
      <w:r w:rsidRPr="00EF65AE">
        <w:rPr>
          <w:rFonts w:cs="Arial"/>
        </w:rPr>
        <w:t xml:space="preserve">-year investment </w:t>
      </w:r>
      <w:bookmarkStart w:id="55" w:name="_Hlk17790403"/>
      <w:bookmarkStart w:id="56" w:name="_Hlk15892445"/>
      <w:r w:rsidRPr="00392D48">
        <w:rPr>
          <w:rFonts w:cs="Arial"/>
          <w:iCs/>
        </w:rPr>
        <w:t>Pacific Women Shaping Pacific Development</w:t>
      </w:r>
      <w:bookmarkEnd w:id="55"/>
      <w:r w:rsidRPr="00EF65AE">
        <w:rPr>
          <w:rFonts w:cs="Arial"/>
          <w:i/>
        </w:rPr>
        <w:t xml:space="preserve"> </w:t>
      </w:r>
      <w:r w:rsidRPr="00EF65AE">
        <w:rPr>
          <w:rFonts w:cs="Arial"/>
        </w:rPr>
        <w:t>(Pacific Women),</w:t>
      </w:r>
      <w:bookmarkEnd w:id="56"/>
      <w:r w:rsidRPr="00EF65AE">
        <w:rPr>
          <w:rFonts w:cs="Arial"/>
        </w:rPr>
        <w:t xml:space="preserve"> has provided greatly increased resources for EVAWG. Through Pacific Women and other programs,</w:t>
      </w:r>
      <w:r w:rsidRPr="00EF65AE">
        <w:rPr>
          <w:rFonts w:cs="Arial"/>
          <w:i/>
        </w:rPr>
        <w:t xml:space="preserve"> </w:t>
      </w:r>
      <w:r w:rsidRPr="00EF65AE">
        <w:rPr>
          <w:rFonts w:cs="Arial"/>
        </w:rPr>
        <w:t>Australia has catalysed policy dialogue on the issue by embedding EVAWG programming into broader initiatives to achieve gender equality focused on increasing women’s political participation and economic empowerment</w:t>
      </w:r>
      <w:r w:rsidR="00E02AA4">
        <w:rPr>
          <w:rFonts w:cs="Arial"/>
        </w:rPr>
        <w:t xml:space="preserve">. EVAWG has also been </w:t>
      </w:r>
      <w:r w:rsidR="00E02AA4" w:rsidRPr="004B1F17">
        <w:rPr>
          <w:color w:val="auto"/>
        </w:rPr>
        <w:t>prosecuted through health and education programs.</w:t>
      </w:r>
    </w:p>
    <w:p w14:paraId="52219DDF" w14:textId="77777777" w:rsidR="00EF65AE" w:rsidRPr="00EF65AE" w:rsidRDefault="00EF65AE" w:rsidP="00EF65AE">
      <w:pPr>
        <w:rPr>
          <w:rFonts w:cs="Arial"/>
          <w:shd w:val="clear" w:color="auto" w:fill="FFFFFF"/>
        </w:rPr>
      </w:pPr>
      <w:r w:rsidRPr="00EF65AE">
        <w:rPr>
          <w:rFonts w:cs="Arial"/>
        </w:rPr>
        <w:t>While Australia has had some success in promoting partner government commitment to addressing VAWG, strengthening partner government capacity to implement and fulfil their commitments remains challeng</w:t>
      </w:r>
      <w:r w:rsidR="00292D44">
        <w:rPr>
          <w:rFonts w:cs="Arial"/>
        </w:rPr>
        <w:t>ing</w:t>
      </w:r>
      <w:r w:rsidRPr="00EF65AE">
        <w:rPr>
          <w:rFonts w:cs="Arial"/>
        </w:rPr>
        <w:t>. Partner government resources and capacities do not yet match what is required</w:t>
      </w:r>
      <w:r w:rsidR="00292D44">
        <w:rPr>
          <w:rFonts w:cs="Arial"/>
        </w:rPr>
        <w:t xml:space="preserve"> for them</w:t>
      </w:r>
      <w:r w:rsidRPr="00EF65AE">
        <w:rPr>
          <w:rFonts w:cs="Arial"/>
        </w:rPr>
        <w:t xml:space="preserve"> to fully deliver their national EVAWG commitments, and there </w:t>
      </w:r>
      <w:r w:rsidR="00292D44">
        <w:rPr>
          <w:rFonts w:cs="Arial"/>
        </w:rPr>
        <w:t>remains</w:t>
      </w:r>
      <w:r w:rsidR="00292D44" w:rsidRPr="00EF65AE">
        <w:rPr>
          <w:rFonts w:cs="Arial"/>
        </w:rPr>
        <w:t xml:space="preserve"> </w:t>
      </w:r>
      <w:r w:rsidRPr="00EF65AE">
        <w:rPr>
          <w:rFonts w:cs="Arial"/>
        </w:rPr>
        <w:t xml:space="preserve">heavy reliance on donor funding to deliver existing programs. </w:t>
      </w:r>
      <w:r w:rsidRPr="00EF65AE">
        <w:rPr>
          <w:rFonts w:cs="Arial"/>
          <w:shd w:val="clear" w:color="auto" w:fill="FFFFFF"/>
        </w:rPr>
        <w:t xml:space="preserve">There is scope for Australia to take a stronger global leadership role to promote greater investment in EVAWG by other donors and to raise the profile of work in the </w:t>
      </w:r>
      <w:bookmarkStart w:id="57" w:name="_Hlk15892756"/>
      <w:r w:rsidRPr="00EF65AE">
        <w:rPr>
          <w:rFonts w:cs="Arial"/>
          <w:shd w:val="clear" w:color="auto" w:fill="FFFFFF"/>
        </w:rPr>
        <w:t xml:space="preserve">Asia-Pacific region </w:t>
      </w:r>
      <w:bookmarkEnd w:id="57"/>
      <w:r w:rsidRPr="00EF65AE">
        <w:rPr>
          <w:rFonts w:cs="Arial"/>
          <w:shd w:val="clear" w:color="auto" w:fill="FFFFFF"/>
        </w:rPr>
        <w:t>at global level.</w:t>
      </w:r>
    </w:p>
    <w:p w14:paraId="6EB24A1A" w14:textId="77777777" w:rsidR="00EF65AE" w:rsidRPr="00EF65AE" w:rsidRDefault="00EF65AE" w:rsidP="004733B5">
      <w:pPr>
        <w:pStyle w:val="Heading2NoTOC"/>
      </w:pPr>
      <w:bookmarkStart w:id="58" w:name="_Toc15378098"/>
      <w:r w:rsidRPr="00EF65AE">
        <w:t xml:space="preserve">Strategic </w:t>
      </w:r>
      <w:r w:rsidR="005936DC">
        <w:t>a</w:t>
      </w:r>
      <w:r w:rsidRPr="00EF65AE">
        <w:t>pproach</w:t>
      </w:r>
      <w:bookmarkEnd w:id="58"/>
    </w:p>
    <w:p w14:paraId="48D1BC55" w14:textId="429298BE" w:rsidR="00EF65AE" w:rsidRPr="00D811B1" w:rsidRDefault="00EF65AE" w:rsidP="00670869">
      <w:pPr>
        <w:rPr>
          <w:rFonts w:cs="Arial"/>
          <w:shd w:val="clear" w:color="auto" w:fill="FFFFFF"/>
        </w:rPr>
      </w:pPr>
      <w:r w:rsidRPr="00D811B1">
        <w:rPr>
          <w:rFonts w:cs="Arial"/>
          <w:shd w:val="clear" w:color="auto" w:fill="FFFFFF"/>
        </w:rPr>
        <w:t>Australia is notably one of few donors taking a strategic and coherent approach to funding for EVAWG that is aligned with best</w:t>
      </w:r>
      <w:r w:rsidR="005936DC" w:rsidRPr="00D811B1">
        <w:rPr>
          <w:rFonts w:cs="Arial"/>
          <w:shd w:val="clear" w:color="auto" w:fill="FFFFFF"/>
        </w:rPr>
        <w:t xml:space="preserve"> </w:t>
      </w:r>
      <w:r w:rsidRPr="00D811B1">
        <w:rPr>
          <w:rFonts w:cs="Arial"/>
          <w:shd w:val="clear" w:color="auto" w:fill="FFFFFF"/>
        </w:rPr>
        <w:t xml:space="preserve">practice. </w:t>
      </w:r>
      <w:r w:rsidRPr="00D811B1">
        <w:rPr>
          <w:rFonts w:cs="Arial"/>
        </w:rPr>
        <w:t>Australia’s multi-pronged approach to EVAWG investment</w:t>
      </w:r>
      <w:r w:rsidR="005936DC" w:rsidRPr="00D811B1">
        <w:rPr>
          <w:rFonts w:cs="Arial"/>
        </w:rPr>
        <w:t>—</w:t>
      </w:r>
      <w:r w:rsidRPr="00D811B1">
        <w:rPr>
          <w:rFonts w:cs="Arial"/>
        </w:rPr>
        <w:t>providing technical and financial support to a wide variety of partners, including U</w:t>
      </w:r>
      <w:r w:rsidR="005936DC" w:rsidRPr="00D811B1">
        <w:rPr>
          <w:rFonts w:cs="Arial"/>
        </w:rPr>
        <w:t xml:space="preserve">nited </w:t>
      </w:r>
      <w:r w:rsidRPr="00D811B1">
        <w:rPr>
          <w:rFonts w:cs="Arial"/>
        </w:rPr>
        <w:t>N</w:t>
      </w:r>
      <w:r w:rsidR="005936DC" w:rsidRPr="00D811B1">
        <w:rPr>
          <w:rFonts w:cs="Arial"/>
        </w:rPr>
        <w:t>ations (UN)</w:t>
      </w:r>
      <w:r w:rsidRPr="00D811B1">
        <w:rPr>
          <w:rFonts w:cs="Arial"/>
        </w:rPr>
        <w:t xml:space="preserve"> agencies, governments, and </w:t>
      </w:r>
      <w:r w:rsidR="00D811B1" w:rsidRPr="00D811B1">
        <w:rPr>
          <w:rFonts w:cs="Arial"/>
        </w:rPr>
        <w:t>civil society organisations (CSOs)</w:t>
      </w:r>
      <w:r w:rsidRPr="00D811B1">
        <w:rPr>
          <w:rFonts w:cs="Arial"/>
        </w:rPr>
        <w:t xml:space="preserve"> at national, regional and global level</w:t>
      </w:r>
      <w:r w:rsidR="005936DC" w:rsidRPr="00D811B1">
        <w:rPr>
          <w:rFonts w:cs="Arial"/>
        </w:rPr>
        <w:t>s—</w:t>
      </w:r>
      <w:r w:rsidRPr="00D811B1">
        <w:rPr>
          <w:rFonts w:cs="Arial"/>
        </w:rPr>
        <w:t>has contributed to increased coordination and shared learning</w:t>
      </w:r>
      <w:r w:rsidR="00E2253F" w:rsidRPr="00D811B1">
        <w:rPr>
          <w:rFonts w:cs="Arial"/>
        </w:rPr>
        <w:t xml:space="preserve">. </w:t>
      </w:r>
      <w:r w:rsidRPr="00D811B1">
        <w:rPr>
          <w:rFonts w:cs="Arial"/>
        </w:rPr>
        <w:t>Australia has improved coordination and tracking of EVAWG investments across all O</w:t>
      </w:r>
      <w:r w:rsidR="00456C01" w:rsidRPr="00D811B1">
        <w:rPr>
          <w:rFonts w:cs="Arial"/>
        </w:rPr>
        <w:t xml:space="preserve">fficial </w:t>
      </w:r>
      <w:r w:rsidRPr="00D811B1">
        <w:rPr>
          <w:rFonts w:cs="Arial"/>
        </w:rPr>
        <w:t>D</w:t>
      </w:r>
      <w:r w:rsidR="00456C01" w:rsidRPr="00D811B1">
        <w:rPr>
          <w:rFonts w:cs="Arial"/>
        </w:rPr>
        <w:t xml:space="preserve">evelopment </w:t>
      </w:r>
      <w:r w:rsidRPr="00D811B1">
        <w:rPr>
          <w:rFonts w:cs="Arial"/>
        </w:rPr>
        <w:t>A</w:t>
      </w:r>
      <w:r w:rsidR="00456C01" w:rsidRPr="00D811B1">
        <w:rPr>
          <w:rFonts w:cs="Arial"/>
        </w:rPr>
        <w:t>ssistance</w:t>
      </w:r>
      <w:r w:rsidRPr="00D811B1">
        <w:rPr>
          <w:rFonts w:cs="Arial"/>
        </w:rPr>
        <w:t xml:space="preserve">, thereby improving strategic coherence. </w:t>
      </w:r>
    </w:p>
    <w:p w14:paraId="3132F082" w14:textId="69784754" w:rsidR="00EF65AE" w:rsidRPr="00EF65AE" w:rsidRDefault="00EF65AE" w:rsidP="00EF65AE">
      <w:pPr>
        <w:rPr>
          <w:rFonts w:cs="Arial"/>
        </w:rPr>
      </w:pPr>
      <w:r w:rsidRPr="00EF65AE">
        <w:rPr>
          <w:rFonts w:cs="Arial"/>
        </w:rPr>
        <w:t>Th</w:t>
      </w:r>
      <w:r w:rsidR="00292D44">
        <w:rPr>
          <w:rFonts w:cs="Arial"/>
        </w:rPr>
        <w:t>is</w:t>
      </w:r>
      <w:r w:rsidRPr="00EF65AE">
        <w:rPr>
          <w:rFonts w:cs="Arial"/>
        </w:rPr>
        <w:t xml:space="preserve"> evaluation found opportunity for Australia and implementing partners to plan and coordinate better, so all EVAWG efforts—learning, prevention, justice and services—align with gender equality, human rights and the Sustainable Development Goals. </w:t>
      </w:r>
      <w:r w:rsidR="00292D44">
        <w:rPr>
          <w:rFonts w:cs="Arial"/>
        </w:rPr>
        <w:t>A</w:t>
      </w:r>
      <w:r w:rsidRPr="00EF65AE">
        <w:rPr>
          <w:rFonts w:cs="Arial"/>
        </w:rPr>
        <w:t xml:space="preserve">ustralia </w:t>
      </w:r>
      <w:r w:rsidR="00292D44">
        <w:rPr>
          <w:rFonts w:cs="Arial"/>
        </w:rPr>
        <w:t>also has the opportunity to</w:t>
      </w:r>
      <w:r w:rsidRPr="00EF65AE">
        <w:rPr>
          <w:rFonts w:cs="Arial"/>
        </w:rPr>
        <w:t xml:space="preserve"> build violence</w:t>
      </w:r>
      <w:r w:rsidR="001E4D16">
        <w:rPr>
          <w:rFonts w:cs="Arial"/>
        </w:rPr>
        <w:t>-</w:t>
      </w:r>
      <w:r w:rsidRPr="00EF65AE">
        <w:rPr>
          <w:rFonts w:cs="Arial"/>
        </w:rPr>
        <w:t>prevention strategies and gender</w:t>
      </w:r>
      <w:r w:rsidR="00292D44">
        <w:rPr>
          <w:rFonts w:cs="Arial"/>
        </w:rPr>
        <w:t>-</w:t>
      </w:r>
      <w:r w:rsidRPr="00EF65AE">
        <w:rPr>
          <w:rFonts w:cs="Arial"/>
        </w:rPr>
        <w:t>transformative approaches into other sectors, such as education and health, climate resilience and economic development.</w:t>
      </w:r>
    </w:p>
    <w:p w14:paraId="0A4166B9" w14:textId="77777777" w:rsidR="00EF65AE" w:rsidRPr="00EF65AE" w:rsidRDefault="00EF65AE" w:rsidP="004733B5">
      <w:pPr>
        <w:pStyle w:val="Heading2NoTOC"/>
      </w:pPr>
      <w:bookmarkStart w:id="59" w:name="_Toc15378099"/>
      <w:r w:rsidRPr="00EF65AE">
        <w:t xml:space="preserve">Support for </w:t>
      </w:r>
      <w:r w:rsidR="008F6C45">
        <w:t>c</w:t>
      </w:r>
      <w:r w:rsidRPr="00EF65AE">
        <w:t xml:space="preserve">ivil </w:t>
      </w:r>
      <w:r w:rsidR="008F6C45">
        <w:t>s</w:t>
      </w:r>
      <w:r w:rsidRPr="00EF65AE">
        <w:t>ociety</w:t>
      </w:r>
      <w:bookmarkEnd w:id="59"/>
    </w:p>
    <w:p w14:paraId="69CD0E80" w14:textId="779DCC55" w:rsidR="00EF65AE" w:rsidRPr="008B503A" w:rsidRDefault="008B503A" w:rsidP="00F6352C">
      <w:pPr>
        <w:rPr>
          <w:rFonts w:cs="Arial"/>
        </w:rPr>
      </w:pPr>
      <w:r w:rsidRPr="008B503A">
        <w:rPr>
          <w:rFonts w:cs="Arial"/>
        </w:rPr>
        <w:t xml:space="preserve">Australia has maintained and expanded long-term core funding to key CSOs. </w:t>
      </w:r>
      <w:r w:rsidR="00EF65AE" w:rsidRPr="008B503A">
        <w:rPr>
          <w:rFonts w:cs="Arial"/>
        </w:rPr>
        <w:t>C</w:t>
      </w:r>
      <w:r w:rsidR="003104B3" w:rsidRPr="008B503A">
        <w:rPr>
          <w:rFonts w:cs="Arial"/>
        </w:rPr>
        <w:t>SOs</w:t>
      </w:r>
      <w:r w:rsidR="00EF65AE" w:rsidRPr="008B503A">
        <w:rPr>
          <w:rFonts w:cs="Arial"/>
        </w:rPr>
        <w:t xml:space="preserve"> hav</w:t>
      </w:r>
      <w:r w:rsidR="00EF65AE" w:rsidRPr="00B512F7">
        <w:rPr>
          <w:rFonts w:cs="Arial"/>
        </w:rPr>
        <w:t>e been crucial in advancing understanding of women’s and girls’ rights, enabling their full participation in society, advocating strongly for an end to violence, and providing much-needed services</w:t>
      </w:r>
      <w:r w:rsidR="00E2253F" w:rsidRPr="008B503A">
        <w:rPr>
          <w:rFonts w:cs="Arial"/>
        </w:rPr>
        <w:t xml:space="preserve">. </w:t>
      </w:r>
      <w:r w:rsidR="00EF65AE" w:rsidRPr="008B503A">
        <w:rPr>
          <w:rFonts w:cs="Arial"/>
        </w:rPr>
        <w:t>In Pacific island countries, women's organisations and women's rights movements have led the work on EVAWG over the past 30 years. They have largely been responsible for getting the issue on</w:t>
      </w:r>
      <w:r w:rsidR="00541D86">
        <w:rPr>
          <w:rFonts w:cs="Arial"/>
        </w:rPr>
        <w:t xml:space="preserve"> </w:t>
      </w:r>
      <w:r w:rsidR="00EF65AE" w:rsidRPr="008B503A">
        <w:rPr>
          <w:rFonts w:cs="Arial"/>
        </w:rPr>
        <w:t xml:space="preserve">to the public agenda.  </w:t>
      </w:r>
      <w:r w:rsidRPr="008B503A">
        <w:rPr>
          <w:rFonts w:cs="Arial"/>
        </w:rPr>
        <w:t>A</w:t>
      </w:r>
      <w:r w:rsidRPr="00B512F7">
        <w:rPr>
          <w:rFonts w:cs="Arial"/>
        </w:rPr>
        <w:t xml:space="preserve">ustralian </w:t>
      </w:r>
      <w:r w:rsidR="00897593" w:rsidRPr="008B503A">
        <w:rPr>
          <w:rFonts w:cs="Arial"/>
        </w:rPr>
        <w:t xml:space="preserve">support </w:t>
      </w:r>
      <w:r w:rsidRPr="008B503A">
        <w:rPr>
          <w:rFonts w:cs="Arial"/>
        </w:rPr>
        <w:t xml:space="preserve">for CSOs </w:t>
      </w:r>
      <w:r w:rsidR="00897593" w:rsidRPr="008B503A">
        <w:rPr>
          <w:rFonts w:cs="Arial"/>
        </w:rPr>
        <w:t>needs to continue until they secure other</w:t>
      </w:r>
      <w:r w:rsidR="00292D44" w:rsidRPr="008B503A">
        <w:rPr>
          <w:rFonts w:cs="Arial"/>
        </w:rPr>
        <w:t xml:space="preserve"> funding</w:t>
      </w:r>
      <w:r w:rsidR="00897593" w:rsidRPr="008B503A">
        <w:rPr>
          <w:rFonts w:cs="Arial"/>
        </w:rPr>
        <w:t xml:space="preserve"> sources or governments prioritise</w:t>
      </w:r>
      <w:r w:rsidR="00AC23EA" w:rsidRPr="008B503A">
        <w:rPr>
          <w:rFonts w:cs="Arial"/>
        </w:rPr>
        <w:t xml:space="preserve"> </w:t>
      </w:r>
      <w:r w:rsidR="00897593" w:rsidRPr="008B503A">
        <w:rPr>
          <w:rFonts w:cs="Arial"/>
        </w:rPr>
        <w:t>EVAWG</w:t>
      </w:r>
      <w:r w:rsidR="00EF65AE" w:rsidRPr="008B503A">
        <w:rPr>
          <w:rFonts w:cs="Arial"/>
        </w:rPr>
        <w:t xml:space="preserve">. </w:t>
      </w:r>
    </w:p>
    <w:p w14:paraId="7AB23ACF" w14:textId="77777777" w:rsidR="00EF65AE" w:rsidRPr="00EF65AE" w:rsidRDefault="00EF65AE" w:rsidP="004733B5">
      <w:pPr>
        <w:pStyle w:val="Heading2NoTOC"/>
      </w:pPr>
      <w:bookmarkStart w:id="60" w:name="_Toc15378100"/>
      <w:r w:rsidRPr="00EF65AE">
        <w:t xml:space="preserve">Service </w:t>
      </w:r>
      <w:r w:rsidR="003B4389">
        <w:t>p</w:t>
      </w:r>
      <w:r w:rsidRPr="00EF65AE">
        <w:t xml:space="preserve">rovision by the </w:t>
      </w:r>
      <w:r w:rsidR="003B4389">
        <w:t>p</w:t>
      </w:r>
      <w:r w:rsidRPr="00EF65AE">
        <w:t xml:space="preserve">rivate </w:t>
      </w:r>
      <w:r w:rsidR="003B4389">
        <w:t>s</w:t>
      </w:r>
      <w:r w:rsidRPr="00EF65AE">
        <w:t>ector</w:t>
      </w:r>
      <w:bookmarkEnd w:id="60"/>
    </w:p>
    <w:p w14:paraId="22871023" w14:textId="77777777" w:rsidR="00EF65AE" w:rsidRPr="00EF65AE" w:rsidRDefault="00EF65AE" w:rsidP="00EF65AE">
      <w:pPr>
        <w:rPr>
          <w:rFonts w:cs="Arial"/>
        </w:rPr>
      </w:pPr>
      <w:r w:rsidRPr="00EF65AE">
        <w:rPr>
          <w:rFonts w:cs="Arial"/>
        </w:rPr>
        <w:t>Th</w:t>
      </w:r>
      <w:r w:rsidR="00292D44">
        <w:rPr>
          <w:rFonts w:cs="Arial"/>
        </w:rPr>
        <w:t>is</w:t>
      </w:r>
      <w:r w:rsidRPr="00EF65AE">
        <w:rPr>
          <w:rFonts w:cs="Arial"/>
        </w:rPr>
        <w:t xml:space="preserve"> evaluation found good examples of work by the private sector to provide services for survivors of VAWG. There is scope to expand on this promising work</w:t>
      </w:r>
      <w:r w:rsidR="00E2253F">
        <w:rPr>
          <w:rFonts w:cs="Arial"/>
        </w:rPr>
        <w:t xml:space="preserve">. </w:t>
      </w:r>
    </w:p>
    <w:p w14:paraId="3282C8C9" w14:textId="77777777" w:rsidR="00EF65AE" w:rsidRPr="00EF65AE" w:rsidRDefault="00EF65AE" w:rsidP="004733B5">
      <w:pPr>
        <w:pStyle w:val="Heading2NoTOC"/>
      </w:pPr>
      <w:bookmarkStart w:id="61" w:name="_Toc15378101"/>
      <w:r w:rsidRPr="00EF65AE">
        <w:t>Violence against children</w:t>
      </w:r>
      <w:bookmarkEnd w:id="61"/>
    </w:p>
    <w:p w14:paraId="5E5D9817" w14:textId="77777777" w:rsidR="00EF65AE" w:rsidRPr="00EF65AE" w:rsidRDefault="00181BE6" w:rsidP="00EF65AE">
      <w:pPr>
        <w:rPr>
          <w:rFonts w:cs="Arial"/>
        </w:rPr>
      </w:pPr>
      <w:r w:rsidRPr="00EF65AE">
        <w:rPr>
          <w:rFonts w:cs="Arial"/>
        </w:rPr>
        <w:t xml:space="preserve">Australia is supporting promising work </w:t>
      </w:r>
      <w:r>
        <w:rPr>
          <w:rFonts w:cs="Arial"/>
        </w:rPr>
        <w:t>improving justice and quality of services for children who have experienced violence.</w:t>
      </w:r>
      <w:r w:rsidRPr="00EF65AE">
        <w:rPr>
          <w:rFonts w:cs="Arial"/>
        </w:rPr>
        <w:t xml:space="preserve"> </w:t>
      </w:r>
      <w:r>
        <w:rPr>
          <w:rFonts w:cs="Arial"/>
        </w:rPr>
        <w:t>T</w:t>
      </w:r>
      <w:r w:rsidRPr="00EF65AE">
        <w:rPr>
          <w:rFonts w:cs="Arial"/>
        </w:rPr>
        <w:t>h</w:t>
      </w:r>
      <w:r w:rsidR="00292D44">
        <w:rPr>
          <w:rFonts w:cs="Arial"/>
        </w:rPr>
        <w:t>is</w:t>
      </w:r>
      <w:r w:rsidRPr="00EF65AE">
        <w:rPr>
          <w:rFonts w:cs="Arial"/>
        </w:rPr>
        <w:t xml:space="preserve"> evaluation found Australia’s support </w:t>
      </w:r>
      <w:r>
        <w:rPr>
          <w:rFonts w:cs="Arial"/>
        </w:rPr>
        <w:t xml:space="preserve">for </w:t>
      </w:r>
      <w:r w:rsidR="00275E86">
        <w:rPr>
          <w:rFonts w:cs="Arial"/>
        </w:rPr>
        <w:t>v</w:t>
      </w:r>
      <w:r w:rsidRPr="00EF65AE">
        <w:rPr>
          <w:rFonts w:cs="Arial"/>
        </w:rPr>
        <w:t xml:space="preserve">iolence </w:t>
      </w:r>
      <w:r w:rsidR="00275E86">
        <w:rPr>
          <w:rFonts w:cs="Arial"/>
        </w:rPr>
        <w:t>a</w:t>
      </w:r>
      <w:r w:rsidRPr="00EF65AE">
        <w:rPr>
          <w:rFonts w:cs="Arial"/>
        </w:rPr>
        <w:t xml:space="preserve">gainst </w:t>
      </w:r>
      <w:r w:rsidR="00275E86">
        <w:rPr>
          <w:rFonts w:cs="Arial"/>
        </w:rPr>
        <w:t>c</w:t>
      </w:r>
      <w:r w:rsidRPr="00EF65AE">
        <w:rPr>
          <w:rFonts w:cs="Arial"/>
        </w:rPr>
        <w:t xml:space="preserve">hildren programming </w:t>
      </w:r>
      <w:r>
        <w:rPr>
          <w:rFonts w:cs="Arial"/>
        </w:rPr>
        <w:t>could</w:t>
      </w:r>
      <w:r w:rsidRPr="00EF65AE">
        <w:rPr>
          <w:rFonts w:cs="Arial"/>
        </w:rPr>
        <w:t xml:space="preserve">, </w:t>
      </w:r>
      <w:r>
        <w:rPr>
          <w:rFonts w:cs="Arial"/>
        </w:rPr>
        <w:t>however</w:t>
      </w:r>
      <w:r w:rsidR="00275E86">
        <w:rPr>
          <w:rFonts w:cs="Arial"/>
        </w:rPr>
        <w:t>,</w:t>
      </w:r>
      <w:r>
        <w:rPr>
          <w:rFonts w:cs="Arial"/>
        </w:rPr>
        <w:t xml:space="preserve"> take </w:t>
      </w:r>
      <w:r w:rsidRPr="00EF65AE">
        <w:rPr>
          <w:rFonts w:cs="Arial"/>
        </w:rPr>
        <w:t xml:space="preserve">a </w:t>
      </w:r>
      <w:r>
        <w:rPr>
          <w:rFonts w:cs="Arial"/>
        </w:rPr>
        <w:t xml:space="preserve">more </w:t>
      </w:r>
      <w:r w:rsidR="00EF65AE" w:rsidRPr="00EF65AE">
        <w:rPr>
          <w:rFonts w:cs="Arial"/>
        </w:rPr>
        <w:t>coordinated, evidence-based approach to identify areas of intersection with child protection at local, national and regional levels. This presents an opportunity for DFAT to use its resources and convening authority to identify more effective policy and programming responses.</w:t>
      </w:r>
    </w:p>
    <w:p w14:paraId="47A098BA" w14:textId="77777777" w:rsidR="00EF65AE" w:rsidRPr="00EF65AE" w:rsidRDefault="00EF65AE" w:rsidP="004733B5">
      <w:pPr>
        <w:pStyle w:val="Heading2NoTOC"/>
      </w:pPr>
      <w:bookmarkStart w:id="62" w:name="_Toc15378102"/>
      <w:r w:rsidRPr="00EF65AE">
        <w:t>Improving access to justice</w:t>
      </w:r>
      <w:bookmarkEnd w:id="62"/>
    </w:p>
    <w:p w14:paraId="770FE066" w14:textId="77777777" w:rsidR="00EF65AE" w:rsidRPr="00EF65AE" w:rsidRDefault="00EF65AE" w:rsidP="00EF65AE">
      <w:pPr>
        <w:rPr>
          <w:rFonts w:cs="Arial"/>
        </w:rPr>
      </w:pPr>
      <w:r w:rsidRPr="00EF65AE">
        <w:rPr>
          <w:rFonts w:cs="Arial"/>
        </w:rPr>
        <w:t>Australian aid has contributed to EVAWG legislative reforms in the last decade</w:t>
      </w:r>
      <w:r w:rsidR="00275E86">
        <w:rPr>
          <w:rFonts w:cs="Arial"/>
        </w:rPr>
        <w:t>. These</w:t>
      </w:r>
      <w:r w:rsidRPr="00EF65AE">
        <w:rPr>
          <w:rFonts w:cs="Arial"/>
        </w:rPr>
        <w:t xml:space="preserve"> have significantly improved access to justice throughout the </w:t>
      </w:r>
      <w:bookmarkStart w:id="63" w:name="_Hlk17791150"/>
      <w:r w:rsidRPr="00EF65AE">
        <w:rPr>
          <w:rFonts w:cs="Arial"/>
        </w:rPr>
        <w:t>Asia-Pacific region,</w:t>
      </w:r>
      <w:bookmarkEnd w:id="63"/>
      <w:r w:rsidRPr="00EF65AE">
        <w:rPr>
          <w:rFonts w:cs="Arial"/>
        </w:rPr>
        <w:t xml:space="preserve"> but implementation remains challeng</w:t>
      </w:r>
      <w:r w:rsidR="00275E86">
        <w:rPr>
          <w:rFonts w:cs="Arial"/>
        </w:rPr>
        <w:t>ing</w:t>
      </w:r>
      <w:r w:rsidRPr="00EF65AE">
        <w:rPr>
          <w:rFonts w:cs="Arial"/>
        </w:rPr>
        <w:t xml:space="preserve">. </w:t>
      </w:r>
      <w:r w:rsidR="003B4389">
        <w:rPr>
          <w:rFonts w:cs="Arial"/>
        </w:rPr>
        <w:t>While p</w:t>
      </w:r>
      <w:r w:rsidRPr="00EF65AE">
        <w:rPr>
          <w:rFonts w:cs="Arial"/>
        </w:rPr>
        <w:t>ublic awareness of laws and rights has increased steadily over the last decade</w:t>
      </w:r>
      <w:r w:rsidR="00275E86">
        <w:rPr>
          <w:rFonts w:cs="Arial"/>
        </w:rPr>
        <w:t>, c</w:t>
      </w:r>
      <w:r w:rsidRPr="00EF65AE">
        <w:rPr>
          <w:rFonts w:cs="Arial"/>
        </w:rPr>
        <w:t xml:space="preserve">ontinued efforts are needed to train justice operators at all levels (police, magistrates and prosecutors) </w:t>
      </w:r>
      <w:r w:rsidRPr="00EF65AE">
        <w:rPr>
          <w:rFonts w:eastAsia="Times New Roman" w:cs="Arial"/>
          <w:shd w:val="clear" w:color="auto" w:fill="FFFFFF"/>
          <w:lang w:val="en-US"/>
        </w:rPr>
        <w:t>to sensitively and appropriately apply the laws</w:t>
      </w:r>
      <w:r w:rsidR="0051684B">
        <w:rPr>
          <w:rFonts w:eastAsia="Times New Roman" w:cs="Arial"/>
          <w:shd w:val="clear" w:color="auto" w:fill="FFFFFF"/>
          <w:lang w:val="en-US"/>
        </w:rPr>
        <w:t xml:space="preserve"> and </w:t>
      </w:r>
      <w:r w:rsidR="00CC4C5C" w:rsidRPr="00392D48">
        <w:rPr>
          <w:rFonts w:eastAsia="Times New Roman"/>
        </w:rPr>
        <w:t>to increase women’s understanding of their legal rights and how to use the laws</w:t>
      </w:r>
      <w:r w:rsidR="00275E86">
        <w:rPr>
          <w:rFonts w:eastAsia="Times New Roman"/>
        </w:rPr>
        <w:t>.</w:t>
      </w:r>
    </w:p>
    <w:p w14:paraId="3720982D" w14:textId="77777777" w:rsidR="00EF65AE" w:rsidRPr="00EF65AE" w:rsidRDefault="00EF65AE" w:rsidP="004733B5">
      <w:pPr>
        <w:pStyle w:val="Heading2NoTOC"/>
      </w:pPr>
      <w:bookmarkStart w:id="64" w:name="_Toc15378103"/>
      <w:r w:rsidRPr="00EF65AE">
        <w:t>Strengthening services</w:t>
      </w:r>
      <w:bookmarkEnd w:id="64"/>
    </w:p>
    <w:p w14:paraId="787AB835" w14:textId="77777777" w:rsidR="00275E86" w:rsidRDefault="00EF65AE" w:rsidP="00EF65AE">
      <w:pPr>
        <w:rPr>
          <w:rFonts w:cs="Arial"/>
        </w:rPr>
      </w:pPr>
      <w:r w:rsidRPr="00EF65AE">
        <w:rPr>
          <w:rFonts w:cs="Arial"/>
        </w:rPr>
        <w:t xml:space="preserve">The quality and number of comprehensive services for survivors of violence has improved since 2008 and there is evidence that more women and girls are accessing these services. Nonetheless, there are many gaps in coverage and continued Australian support is needed. </w:t>
      </w:r>
    </w:p>
    <w:p w14:paraId="16F9BC7F" w14:textId="52B854CD" w:rsidR="00EF65AE" w:rsidRPr="00EF65AE" w:rsidRDefault="00EF65AE" w:rsidP="00EF65AE">
      <w:pPr>
        <w:rPr>
          <w:rFonts w:cs="Arial"/>
        </w:rPr>
      </w:pPr>
      <w:r w:rsidRPr="00EF65AE">
        <w:rPr>
          <w:rFonts w:cs="Arial"/>
        </w:rPr>
        <w:t>Th</w:t>
      </w:r>
      <w:r w:rsidR="00275E86">
        <w:rPr>
          <w:rFonts w:cs="Arial"/>
        </w:rPr>
        <w:t>is</w:t>
      </w:r>
      <w:r w:rsidRPr="00EF65AE">
        <w:rPr>
          <w:rFonts w:cs="Arial"/>
        </w:rPr>
        <w:t xml:space="preserve"> evaluation found that Australia’s long-term core support to current partners providing holistic care for VAWG</w:t>
      </w:r>
      <w:r w:rsidR="003B4389">
        <w:rPr>
          <w:rFonts w:cs="Arial"/>
        </w:rPr>
        <w:t>—</w:t>
      </w:r>
      <w:r w:rsidRPr="00EF65AE">
        <w:rPr>
          <w:rFonts w:cs="Arial"/>
        </w:rPr>
        <w:t xml:space="preserve">such as </w:t>
      </w:r>
      <w:r w:rsidR="003B4389">
        <w:rPr>
          <w:rFonts w:cs="Arial"/>
        </w:rPr>
        <w:t>the Fiji Women’s Crisis Centre (</w:t>
      </w:r>
      <w:r w:rsidRPr="00EF65AE">
        <w:rPr>
          <w:rFonts w:cs="Arial"/>
        </w:rPr>
        <w:t>FWCC)</w:t>
      </w:r>
      <w:r w:rsidR="00B4779C">
        <w:rPr>
          <w:rFonts w:cs="Arial"/>
        </w:rPr>
        <w:t xml:space="preserve"> and Vanuatu Women’s Centre (VWC)</w:t>
      </w:r>
      <w:r w:rsidR="003B4389">
        <w:rPr>
          <w:rFonts w:cs="Arial"/>
        </w:rPr>
        <w:t>—</w:t>
      </w:r>
      <w:r w:rsidRPr="00EF65AE">
        <w:rPr>
          <w:rFonts w:cs="Arial"/>
        </w:rPr>
        <w:t xml:space="preserve">is a key strength and a model that could be replicated to expand long-term partnerships in </w:t>
      </w:r>
      <w:r w:rsidRPr="00D22083">
        <w:rPr>
          <w:rFonts w:cs="Arial"/>
        </w:rPr>
        <w:t xml:space="preserve">countries and rural and remote areas where services are scarce. </w:t>
      </w:r>
      <w:r w:rsidR="00275E86" w:rsidRPr="001A004E">
        <w:rPr>
          <w:rFonts w:cs="Arial"/>
        </w:rPr>
        <w:t>T</w:t>
      </w:r>
      <w:r w:rsidRPr="001A004E">
        <w:rPr>
          <w:rFonts w:cs="Arial"/>
        </w:rPr>
        <w:t>ailored services</w:t>
      </w:r>
      <w:r w:rsidR="00275E86" w:rsidRPr="001A004E">
        <w:rPr>
          <w:rFonts w:cs="Arial"/>
        </w:rPr>
        <w:t xml:space="preserve"> are needed</w:t>
      </w:r>
      <w:r w:rsidRPr="001A004E">
        <w:rPr>
          <w:rFonts w:cs="Arial"/>
        </w:rPr>
        <w:t xml:space="preserve"> for </w:t>
      </w:r>
      <w:r w:rsidRPr="000A4DD0">
        <w:rPr>
          <w:rFonts w:cs="Arial"/>
        </w:rPr>
        <w:t>adolescent and younger girls</w:t>
      </w:r>
      <w:r w:rsidR="00D22083" w:rsidRPr="001E4D16">
        <w:rPr>
          <w:rFonts w:cs="Arial"/>
        </w:rPr>
        <w:t xml:space="preserve"> as well as marginalised women and girls</w:t>
      </w:r>
      <w:r w:rsidR="001E4D16">
        <w:rPr>
          <w:rFonts w:cs="Arial"/>
        </w:rPr>
        <w:t>,</w:t>
      </w:r>
      <w:r w:rsidR="00D22083" w:rsidRPr="001E4D16">
        <w:rPr>
          <w:rFonts w:cs="Arial"/>
        </w:rPr>
        <w:t xml:space="preserve"> including those with disabilities</w:t>
      </w:r>
      <w:r w:rsidRPr="00D22083">
        <w:rPr>
          <w:rFonts w:cs="Arial"/>
        </w:rPr>
        <w:t>.</w:t>
      </w:r>
    </w:p>
    <w:p w14:paraId="05C115B4" w14:textId="77777777" w:rsidR="00EF65AE" w:rsidRPr="00EF65AE" w:rsidRDefault="00EF65AE" w:rsidP="004733B5">
      <w:pPr>
        <w:pStyle w:val="Heading2NoTOC"/>
      </w:pPr>
      <w:bookmarkStart w:id="65" w:name="_Toc15378104"/>
      <w:r w:rsidRPr="00EF65AE">
        <w:t>Preventing violence</w:t>
      </w:r>
      <w:bookmarkEnd w:id="65"/>
    </w:p>
    <w:p w14:paraId="5B6A4B64" w14:textId="77777777" w:rsidR="00EF65AE" w:rsidRPr="00EF65AE" w:rsidRDefault="00EF65AE" w:rsidP="00EF65AE">
      <w:pPr>
        <w:rPr>
          <w:rFonts w:cs="Arial"/>
          <w:highlight w:val="yellow"/>
        </w:rPr>
      </w:pPr>
      <w:r w:rsidRPr="00EF65AE">
        <w:rPr>
          <w:rFonts w:cs="Arial"/>
        </w:rPr>
        <w:t>For long-term sustainable change, stopping violence before it starts through population-level change is required, because a criminal justice-based response alone cannot address a problem of this size and scope. Australia’s significant investment in services and justice for survivors will not be effective in EVAWG without a parallel investment in strong, quality prevention work.</w:t>
      </w:r>
      <w:r w:rsidRPr="00EF65AE">
        <w:rPr>
          <w:rFonts w:cs="Arial"/>
          <w:highlight w:val="yellow"/>
        </w:rPr>
        <w:t xml:space="preserve"> </w:t>
      </w:r>
    </w:p>
    <w:p w14:paraId="17DB3397" w14:textId="5D029571" w:rsidR="00EF65AE" w:rsidRPr="00EF65AE" w:rsidRDefault="00EF65AE" w:rsidP="00EF65AE">
      <w:pPr>
        <w:rPr>
          <w:rFonts w:cs="Arial"/>
        </w:rPr>
      </w:pPr>
      <w:r w:rsidRPr="00EF65AE">
        <w:rPr>
          <w:rFonts w:cs="Arial"/>
        </w:rPr>
        <w:t xml:space="preserve">The number of prevention programs has significantly increased since 2008, along with more widespread acceptance that VAWG is a problem that can be prevented. </w:t>
      </w:r>
      <w:r w:rsidR="003B4389">
        <w:rPr>
          <w:rFonts w:cs="Arial"/>
        </w:rPr>
        <w:t>E</w:t>
      </w:r>
      <w:r w:rsidRPr="00EF65AE">
        <w:rPr>
          <w:rFonts w:cs="Arial"/>
        </w:rPr>
        <w:t>xamples of best practice</w:t>
      </w:r>
      <w:r w:rsidR="003B4389">
        <w:rPr>
          <w:rFonts w:cs="Arial"/>
        </w:rPr>
        <w:t xml:space="preserve"> are </w:t>
      </w:r>
      <w:r w:rsidR="00D609E8">
        <w:rPr>
          <w:rFonts w:cs="Arial"/>
        </w:rPr>
        <w:t>emerging;</w:t>
      </w:r>
      <w:r w:rsidR="003B4389">
        <w:rPr>
          <w:rFonts w:cs="Arial"/>
        </w:rPr>
        <w:t xml:space="preserve"> h</w:t>
      </w:r>
      <w:r w:rsidRPr="00EF65AE">
        <w:rPr>
          <w:rFonts w:cs="Arial"/>
        </w:rPr>
        <w:t xml:space="preserve">owever prevention is still the least developed focus area. Australia </w:t>
      </w:r>
      <w:r w:rsidR="003B4389">
        <w:rPr>
          <w:rFonts w:cs="Arial"/>
        </w:rPr>
        <w:t xml:space="preserve">has opportunities </w:t>
      </w:r>
      <w:r w:rsidRPr="00EF65AE">
        <w:rPr>
          <w:rFonts w:cs="Arial"/>
        </w:rPr>
        <w:t>to lead on</w:t>
      </w:r>
      <w:r w:rsidR="003B4389">
        <w:rPr>
          <w:rFonts w:cs="Arial"/>
        </w:rPr>
        <w:t>,</w:t>
      </w:r>
      <w:r w:rsidRPr="00EF65AE">
        <w:rPr>
          <w:rFonts w:cs="Arial"/>
        </w:rPr>
        <w:t xml:space="preserve"> and contribute to</w:t>
      </w:r>
      <w:r w:rsidR="003B4389">
        <w:rPr>
          <w:rFonts w:cs="Arial"/>
        </w:rPr>
        <w:t>,</w:t>
      </w:r>
      <w:r w:rsidRPr="00EF65AE">
        <w:rPr>
          <w:rFonts w:cs="Arial"/>
        </w:rPr>
        <w:t xml:space="preserve"> the development of integrated approaches to VAWG prevention efforts that address root causes, based on best practice. </w:t>
      </w:r>
    </w:p>
    <w:p w14:paraId="4F56EFC9" w14:textId="77777777" w:rsidR="00EF65AE" w:rsidRPr="00EF65AE" w:rsidRDefault="00EF65AE" w:rsidP="00EF65AE">
      <w:pPr>
        <w:rPr>
          <w:rFonts w:cs="Arial"/>
        </w:rPr>
      </w:pPr>
      <w:r w:rsidRPr="00EF65AE">
        <w:rPr>
          <w:rFonts w:cs="Arial"/>
        </w:rPr>
        <w:t xml:space="preserve">Many more diverse actors are involved in preventing VAWG in the region including as a result of significant investments in community-based approaches </w:t>
      </w:r>
      <w:r w:rsidR="003B4389">
        <w:rPr>
          <w:rFonts w:cs="Arial"/>
        </w:rPr>
        <w:t xml:space="preserve">and </w:t>
      </w:r>
      <w:r w:rsidRPr="00EF65AE">
        <w:rPr>
          <w:rFonts w:cs="Arial"/>
        </w:rPr>
        <w:t>work with faith-based organisations, men, and youth. To maximise the benefits of Australia’s investment in prevention strategies, linkages should be made between prevention interventions and research undertaken to draw out common lessons to better inform the violence prevention field</w:t>
      </w:r>
      <w:r w:rsidR="00E2253F">
        <w:rPr>
          <w:rFonts w:cs="Arial"/>
        </w:rPr>
        <w:t xml:space="preserve">. </w:t>
      </w:r>
      <w:r w:rsidRPr="00EF65AE">
        <w:rPr>
          <w:rFonts w:cs="Arial"/>
        </w:rPr>
        <w:t>Given the scale of VAWG, stopping violence before it starts, through effective prevention strategies, should be a priority for Australian aid investment.</w:t>
      </w:r>
    </w:p>
    <w:p w14:paraId="5539DA3E" w14:textId="77777777" w:rsidR="00EF65AE" w:rsidRPr="00EF65AE" w:rsidRDefault="00EF65AE" w:rsidP="004733B5">
      <w:pPr>
        <w:pStyle w:val="Heading2NoTOC"/>
      </w:pPr>
      <w:bookmarkStart w:id="66" w:name="_Toc15378105"/>
      <w:r w:rsidRPr="00EF65AE">
        <w:t xml:space="preserve">Building an </w:t>
      </w:r>
      <w:r w:rsidR="003B4389">
        <w:t>e</w:t>
      </w:r>
      <w:r w:rsidR="0043213A">
        <w:t>v</w:t>
      </w:r>
      <w:r w:rsidRPr="00EF65AE">
        <w:t xml:space="preserve">idence </w:t>
      </w:r>
      <w:r w:rsidR="003B4389">
        <w:t>b</w:t>
      </w:r>
      <w:r w:rsidRPr="00EF65AE">
        <w:t xml:space="preserve">ase and </w:t>
      </w:r>
      <w:r w:rsidR="003B4389">
        <w:t>s</w:t>
      </w:r>
      <w:r w:rsidRPr="00EF65AE">
        <w:t>upporting learning</w:t>
      </w:r>
      <w:bookmarkEnd w:id="66"/>
    </w:p>
    <w:p w14:paraId="27766FC4" w14:textId="77777777" w:rsidR="00EF65AE" w:rsidRPr="00EF65AE" w:rsidRDefault="00EF65AE" w:rsidP="00EF65AE">
      <w:pPr>
        <w:rPr>
          <w:rFonts w:cs="Arial"/>
        </w:rPr>
      </w:pPr>
      <w:r w:rsidRPr="00EF65AE">
        <w:rPr>
          <w:rFonts w:cs="Arial"/>
        </w:rPr>
        <w:t>Australia has made major investments in research and research capacity throughout the region</w:t>
      </w:r>
      <w:r w:rsidR="003B4389">
        <w:rPr>
          <w:rFonts w:cs="Arial"/>
        </w:rPr>
        <w:t>,</w:t>
      </w:r>
      <w:r w:rsidRPr="00EF65AE">
        <w:rPr>
          <w:rFonts w:cs="Arial"/>
        </w:rPr>
        <w:t xml:space="preserve"> resulting in rigorously conducted and ethical research on VAWG. These</w:t>
      </w:r>
      <w:r w:rsidR="003B4389">
        <w:rPr>
          <w:rFonts w:cs="Arial"/>
        </w:rPr>
        <w:t xml:space="preserve"> research</w:t>
      </w:r>
      <w:r w:rsidRPr="00EF65AE">
        <w:rPr>
          <w:rFonts w:cs="Arial"/>
        </w:rPr>
        <w:t xml:space="preserve"> studies have contributed to global evidence on the prevalence, types and drivers of</w:t>
      </w:r>
      <w:r w:rsidR="00274B83">
        <w:rPr>
          <w:rFonts w:cs="Arial"/>
        </w:rPr>
        <w:t xml:space="preserve"> VAWG</w:t>
      </w:r>
      <w:r w:rsidRPr="00EF65AE">
        <w:rPr>
          <w:rFonts w:cs="Arial"/>
        </w:rPr>
        <w:t>, as well as national and regional advocacy efforts</w:t>
      </w:r>
      <w:r w:rsidR="005179EC">
        <w:rPr>
          <w:rFonts w:cs="Arial"/>
        </w:rPr>
        <w:t xml:space="preserve">. </w:t>
      </w:r>
      <w:r w:rsidR="00275E86">
        <w:rPr>
          <w:rFonts w:cs="Arial"/>
        </w:rPr>
        <w:t>However, r</w:t>
      </w:r>
      <w:r w:rsidR="005179EC">
        <w:t xml:space="preserve">esearch needs to make better use of </w:t>
      </w:r>
      <w:r w:rsidR="005179EC" w:rsidRPr="00EF65AE">
        <w:t>diverse quantitative and qualitative research methods</w:t>
      </w:r>
      <w:r w:rsidR="005179EC">
        <w:t>—</w:t>
      </w:r>
      <w:r w:rsidR="005179EC" w:rsidRPr="00EF65AE">
        <w:t>including practice-based and participatory learning, feminist and women-centred methods and analysis</w:t>
      </w:r>
      <w:r w:rsidR="005179EC">
        <w:t>—</w:t>
      </w:r>
      <w:r w:rsidR="005179EC" w:rsidRPr="00EF65AE">
        <w:t>to</w:t>
      </w:r>
      <w:r w:rsidR="005179EC">
        <w:t xml:space="preserve"> better</w:t>
      </w:r>
      <w:r w:rsidR="005179EC" w:rsidRPr="00EF65AE">
        <w:t xml:space="preserve"> inform new EVAWG policies, strategies and programs</w:t>
      </w:r>
      <w:r w:rsidR="005179EC">
        <w:t xml:space="preserve">. </w:t>
      </w:r>
    </w:p>
    <w:p w14:paraId="05AA739F" w14:textId="77777777" w:rsidR="005179EC" w:rsidRDefault="00EF65AE" w:rsidP="00EF65AE">
      <w:pPr>
        <w:rPr>
          <w:rFonts w:cs="Arial"/>
        </w:rPr>
      </w:pPr>
      <w:r w:rsidRPr="00EF65AE">
        <w:rPr>
          <w:rFonts w:cs="Arial"/>
        </w:rPr>
        <w:t>Monitoring and evaluation (M&amp;E) systems have improved, although th</w:t>
      </w:r>
      <w:r w:rsidR="00275E86">
        <w:rPr>
          <w:rFonts w:cs="Arial"/>
        </w:rPr>
        <w:t>is</w:t>
      </w:r>
      <w:r w:rsidRPr="00EF65AE">
        <w:rPr>
          <w:rFonts w:cs="Arial"/>
        </w:rPr>
        <w:t xml:space="preserve"> evaluation found the</w:t>
      </w:r>
      <w:r w:rsidR="00275E86">
        <w:rPr>
          <w:rFonts w:cs="Arial"/>
        </w:rPr>
        <w:t xml:space="preserve"> </w:t>
      </w:r>
      <w:r w:rsidRPr="00EF65AE">
        <w:rPr>
          <w:rFonts w:cs="Arial"/>
        </w:rPr>
        <w:t xml:space="preserve">need to strengthen capacity of program partners in </w:t>
      </w:r>
      <w:r w:rsidR="003B4389">
        <w:rPr>
          <w:rFonts w:cs="Arial"/>
        </w:rPr>
        <w:t>this area</w:t>
      </w:r>
      <w:r w:rsidRPr="00EF65AE">
        <w:rPr>
          <w:rFonts w:cs="Arial"/>
        </w:rPr>
        <w:t xml:space="preserve">. </w:t>
      </w:r>
      <w:r w:rsidR="005179EC">
        <w:rPr>
          <w:rFonts w:cs="Arial"/>
        </w:rPr>
        <w:t>R</w:t>
      </w:r>
      <w:r w:rsidRPr="00EF65AE">
        <w:rPr>
          <w:rFonts w:cs="Arial"/>
        </w:rPr>
        <w:t>igorous evaluations</w:t>
      </w:r>
      <w:r w:rsidR="00D60027">
        <w:rPr>
          <w:rFonts w:cs="Arial"/>
        </w:rPr>
        <w:t xml:space="preserve"> are </w:t>
      </w:r>
      <w:r w:rsidR="00275E86">
        <w:rPr>
          <w:rFonts w:cs="Arial"/>
        </w:rPr>
        <w:t xml:space="preserve">also </w:t>
      </w:r>
      <w:r w:rsidR="00D60027">
        <w:rPr>
          <w:rFonts w:cs="Arial"/>
        </w:rPr>
        <w:t>needed to assess impacts of programs that appear promising</w:t>
      </w:r>
      <w:r w:rsidR="003B4389">
        <w:rPr>
          <w:rFonts w:cs="Arial"/>
        </w:rPr>
        <w:t>.</w:t>
      </w:r>
      <w:r w:rsidR="005179EC">
        <w:rPr>
          <w:rFonts w:cs="Arial"/>
        </w:rPr>
        <w:t xml:space="preserve"> </w:t>
      </w:r>
      <w:r w:rsidR="005179EC" w:rsidRPr="00EF65AE">
        <w:rPr>
          <w:rFonts w:cs="Arial"/>
        </w:rPr>
        <w:t>The lack of data around prevention remains a big challenge.</w:t>
      </w:r>
    </w:p>
    <w:p w14:paraId="77223DD3" w14:textId="77777777" w:rsidR="00EF65AE" w:rsidRPr="00EF65AE" w:rsidRDefault="00275E86" w:rsidP="00080C1C">
      <w:r>
        <w:rPr>
          <w:rFonts w:cs="Arial"/>
        </w:rPr>
        <w:t xml:space="preserve">Available </w:t>
      </w:r>
      <w:r w:rsidR="005179EC">
        <w:rPr>
          <w:rFonts w:cs="Arial"/>
        </w:rPr>
        <w:t>evidence needs to be used better.</w:t>
      </w:r>
      <w:r w:rsidR="003B4389">
        <w:rPr>
          <w:rFonts w:cs="Arial"/>
        </w:rPr>
        <w:t xml:space="preserve"> This includes</w:t>
      </w:r>
      <w:r w:rsidR="005179EC">
        <w:rPr>
          <w:rFonts w:cs="Arial"/>
        </w:rPr>
        <w:t xml:space="preserve"> </w:t>
      </w:r>
      <w:r w:rsidR="00EF65AE" w:rsidRPr="00EF65AE">
        <w:t>using administrative data for program planning in a way that does not jeopardise the privacy and confidentiality of survivors</w:t>
      </w:r>
      <w:r w:rsidR="005179EC">
        <w:t>. There are</w:t>
      </w:r>
      <w:r w:rsidR="00080C1C">
        <w:t xml:space="preserve"> </w:t>
      </w:r>
      <w:r>
        <w:t xml:space="preserve">also </w:t>
      </w:r>
      <w:r w:rsidR="00080C1C">
        <w:t>opportunities for coordinating data and sharing</w:t>
      </w:r>
      <w:r w:rsidR="00EF65AE" w:rsidRPr="00EF65AE">
        <w:t xml:space="preserve"> learning</w:t>
      </w:r>
      <w:r w:rsidR="00080C1C">
        <w:t xml:space="preserve"> between countries and </w:t>
      </w:r>
      <w:r w:rsidR="00EF65AE" w:rsidRPr="00EF65AE">
        <w:t xml:space="preserve">across Australian aid programs that directly or indirectly work towards addressing VAWG. </w:t>
      </w:r>
    </w:p>
    <w:p w14:paraId="77AAC827" w14:textId="77777777" w:rsidR="00EF65AE" w:rsidRPr="00EF65AE" w:rsidRDefault="00EF65AE" w:rsidP="004733B5">
      <w:pPr>
        <w:pStyle w:val="Heading2NoTOC"/>
      </w:pPr>
      <w:bookmarkStart w:id="67" w:name="_Toc15378106"/>
      <w:r w:rsidRPr="00EF65AE">
        <w:t>Emerging issues and new frontiers</w:t>
      </w:r>
      <w:bookmarkEnd w:id="67"/>
    </w:p>
    <w:p w14:paraId="6DCD6DC9" w14:textId="77777777" w:rsidR="00EF65AE" w:rsidRPr="00EF65AE" w:rsidRDefault="00EA4AD7" w:rsidP="00EF65AE">
      <w:pPr>
        <w:rPr>
          <w:rFonts w:cs="Arial"/>
        </w:rPr>
      </w:pPr>
      <w:r>
        <w:rPr>
          <w:rFonts w:cs="Arial"/>
        </w:rPr>
        <w:t>A</w:t>
      </w:r>
      <w:r w:rsidR="00EF65AE" w:rsidRPr="00EF65AE">
        <w:rPr>
          <w:rFonts w:cs="Arial"/>
        </w:rPr>
        <w:t>ttention</w:t>
      </w:r>
      <w:r>
        <w:rPr>
          <w:rFonts w:cs="Arial"/>
        </w:rPr>
        <w:t xml:space="preserve"> is increasing</w:t>
      </w:r>
      <w:r w:rsidR="00EF65AE" w:rsidRPr="00EF65AE">
        <w:rPr>
          <w:rFonts w:cs="Arial"/>
        </w:rPr>
        <w:t xml:space="preserve"> on the impact of globalisation on </w:t>
      </w:r>
      <w:r w:rsidR="00274B83">
        <w:rPr>
          <w:rFonts w:cs="Arial"/>
        </w:rPr>
        <w:t>VAWG</w:t>
      </w:r>
      <w:r w:rsidR="00EF65AE" w:rsidRPr="00EF65AE">
        <w:rPr>
          <w:rFonts w:cs="Arial"/>
        </w:rPr>
        <w:t xml:space="preserve"> and recognition that the drivers of this violence do not stop at national borders.</w:t>
      </w:r>
      <w:r w:rsidR="00EF65AE" w:rsidRPr="00EF65AE">
        <w:rPr>
          <w:rFonts w:cs="Arial"/>
          <w:vertAlign w:val="superscript"/>
        </w:rPr>
        <w:fldChar w:fldCharType="begin"/>
      </w:r>
      <w:r w:rsidR="00EF65AE" w:rsidRPr="00EF65AE">
        <w:rPr>
          <w:rFonts w:cs="Arial"/>
          <w:vertAlign w:val="superscript"/>
        </w:rPr>
        <w:instrText xml:space="preserve"> ADDIN ZOTERO_ITEM CSL_CITATION {"citationID":"AXheK8ZE","properties":{"formattedCitation":"\\super 1\\nosupersub{}","plainCitation":"1","noteIndex":0},"citationItems":[{"id":1863,"uris":["http://zotero.org/users/4194704/items/BNPY3VKG"],"uri":["http://zotero.org/users/4194704/items/BNPY3VKG"],"itemData":{"id":1863,"type":"article-journal","title":"Violence Against Women: Globalizing the Integrated Ecological Model","container-title":"Violence Against Women","page":"1431-1455","volume":"21","issue":"12","abstract":"Globalization theories have proliferated over the past two decades. However, global developments have yet to be systematically incorporated into theories around violence against women. This article proposes to add a global level to the existing ecological model framework, popularized by Lori Heise in 1998, to explore the relationships between global processes and experiences of violence against women. Data from the Maldives and Cambodia are used to assess how globalized ideologies, economic development and integration, religious fundamentalisms, and global cultural exchange, as components of a larger globalization process, have affected men and women's experiences and perceptions of violence against women.","DOI":"10.1177/1077801215596244","ISSN":"1552-8448","journalAbbreviation":"Violence Against Women","author":[{"family":"Fulu","given":"E."},{"family":"Miedema","given":"S."}],"issued":{"date-parts":[["2015"]]}}}],"schema":"https://github.com/citation-style-language/schema/raw/master/csl-citation.json"} </w:instrText>
      </w:r>
      <w:r w:rsidR="00EF65AE" w:rsidRPr="00EF65AE">
        <w:rPr>
          <w:rFonts w:cs="Arial"/>
          <w:vertAlign w:val="superscript"/>
        </w:rPr>
        <w:fldChar w:fldCharType="separate"/>
      </w:r>
      <w:r w:rsidR="00EF65AE" w:rsidRPr="00EF65AE">
        <w:rPr>
          <w:rFonts w:cs="Arial"/>
          <w:vertAlign w:val="superscript"/>
          <w:lang w:val="en-US"/>
        </w:rPr>
        <w:t>1</w:t>
      </w:r>
      <w:r w:rsidR="00EF65AE" w:rsidRPr="00EF65AE">
        <w:rPr>
          <w:rFonts w:cs="Arial"/>
          <w:vertAlign w:val="superscript"/>
        </w:rPr>
        <w:fldChar w:fldCharType="end"/>
      </w:r>
      <w:r w:rsidR="00EF65AE" w:rsidRPr="00EF65AE">
        <w:rPr>
          <w:rFonts w:cs="Arial"/>
        </w:rPr>
        <w:t xml:space="preserve"> Globalisation creates opportunities </w:t>
      </w:r>
      <w:r w:rsidR="00EF65AE" w:rsidRPr="00275E86">
        <w:rPr>
          <w:rFonts w:cs="Arial"/>
        </w:rPr>
        <w:t xml:space="preserve">for promoting gender equality and women’s empowerment, as well as </w:t>
      </w:r>
      <w:r w:rsidR="00275E86" w:rsidRPr="00392D48">
        <w:rPr>
          <w:rFonts w:cs="Arial"/>
        </w:rPr>
        <w:t xml:space="preserve">addressing </w:t>
      </w:r>
      <w:r w:rsidR="00EF65AE" w:rsidRPr="00275E86">
        <w:rPr>
          <w:rFonts w:cs="Arial"/>
        </w:rPr>
        <w:t>risks to women’s rights and safety.</w:t>
      </w:r>
      <w:r w:rsidR="00EF65AE" w:rsidRPr="00EF65AE">
        <w:rPr>
          <w:rFonts w:cs="Arial"/>
        </w:rPr>
        <w:t xml:space="preserve"> These opportunities and risks have the potential to shift rates and patterns of VAWG by influencing the underlying drivers of violence related to gender inequality and gender norms. These issues need to be considered in future Australian EVAWG programming.</w:t>
      </w:r>
    </w:p>
    <w:p w14:paraId="7CF9AE54" w14:textId="22D3DCFB" w:rsidR="00EF65AE" w:rsidRPr="00EF65AE" w:rsidRDefault="004A793A" w:rsidP="00FA1CE5">
      <w:pPr>
        <w:pStyle w:val="Heading2NoNumber"/>
      </w:pPr>
      <w:bookmarkStart w:id="68" w:name="_Toc15378107"/>
      <w:bookmarkStart w:id="69" w:name="_Toc15378461"/>
      <w:bookmarkStart w:id="70" w:name="_Toc15562991"/>
      <w:bookmarkStart w:id="71" w:name="_Hlk9948306"/>
      <w:r>
        <w:t>The way forward</w:t>
      </w:r>
      <w:bookmarkEnd w:id="68"/>
      <w:bookmarkEnd w:id="69"/>
      <w:bookmarkEnd w:id="70"/>
      <w:r>
        <w:t>: Recommendations</w:t>
      </w:r>
    </w:p>
    <w:p w14:paraId="11A1C587" w14:textId="77777777" w:rsidR="00EF65AE" w:rsidRPr="00EF65AE" w:rsidRDefault="00EF65AE" w:rsidP="00EF65AE">
      <w:pPr>
        <w:rPr>
          <w:rFonts w:cs="Arial"/>
          <w:highlight w:val="yellow"/>
        </w:rPr>
      </w:pPr>
      <w:r w:rsidRPr="00EF65AE">
        <w:rPr>
          <w:rFonts w:cs="Arial"/>
        </w:rPr>
        <w:t xml:space="preserve">The gains made by the Australian aid program to </w:t>
      </w:r>
      <w:r w:rsidR="00274B83">
        <w:rPr>
          <w:rFonts w:cs="Arial"/>
        </w:rPr>
        <w:t>EVAWG</w:t>
      </w:r>
      <w:r w:rsidRPr="00EF65AE">
        <w:rPr>
          <w:rFonts w:cs="Arial"/>
        </w:rPr>
        <w:t xml:space="preserve"> over the past 10 years are significant and should be celebrated. While the gains set the scene for a promising future, the</w:t>
      </w:r>
      <w:r w:rsidRPr="00EF65AE">
        <w:rPr>
          <w:rFonts w:cs="Arial"/>
          <w:shd w:val="clear" w:color="auto" w:fill="FFFFFF"/>
        </w:rPr>
        <w:t xml:space="preserve"> progress achieved in the last decade is likely to be lost if the Australian Government, and partner governments, waver in their commitment to EVAWG. The effectiveness and sustainability of outcomes from future EVAWG work should be secured by grounding efforts within broader policies and programs of support for gender equality and women's empowerment.</w:t>
      </w:r>
    </w:p>
    <w:p w14:paraId="06238D02" w14:textId="77777777" w:rsidR="004D3A6B" w:rsidRDefault="00EF65AE" w:rsidP="00E9027A">
      <w:pPr>
        <w:rPr>
          <w:rFonts w:cs="Arial"/>
        </w:rPr>
      </w:pPr>
      <w:r w:rsidRPr="00EF65AE">
        <w:rPr>
          <w:rFonts w:cs="Arial"/>
        </w:rPr>
        <w:t>The evaluation makes the</w:t>
      </w:r>
      <w:r w:rsidR="00EA4AD7">
        <w:rPr>
          <w:rFonts w:cs="Arial"/>
        </w:rPr>
        <w:t>se</w:t>
      </w:r>
      <w:r w:rsidRPr="00EF65AE">
        <w:rPr>
          <w:rFonts w:cs="Arial"/>
        </w:rPr>
        <w:t xml:space="preserve"> recommendations:</w:t>
      </w:r>
      <w:bookmarkStart w:id="72" w:name="_Toc15378108"/>
      <w:bookmarkStart w:id="73" w:name="_Hlk19080543"/>
    </w:p>
    <w:p w14:paraId="1CE54BB6" w14:textId="77777777" w:rsidR="00EF65AE" w:rsidRPr="004D3A6B" w:rsidRDefault="00EF65AE" w:rsidP="00E9027A">
      <w:pPr>
        <w:rPr>
          <w:rFonts w:cs="Arial"/>
        </w:rPr>
      </w:pPr>
      <w:bookmarkStart w:id="74" w:name="_Hlk20739687"/>
      <w:r w:rsidRPr="004D3A6B">
        <w:rPr>
          <w:b/>
        </w:rPr>
        <w:t>Recommendation 1: Sustain and strengthen fragile gains by</w:t>
      </w:r>
      <w:r w:rsidRPr="004B1F17">
        <w:t>:</w:t>
      </w:r>
      <w:bookmarkEnd w:id="72"/>
      <w:r w:rsidRPr="004B1F17">
        <w:t xml:space="preserve"> </w:t>
      </w:r>
    </w:p>
    <w:p w14:paraId="2396519F" w14:textId="77777777" w:rsidR="00EF65AE" w:rsidRPr="004B1F17" w:rsidRDefault="00EF65AE" w:rsidP="0006576E">
      <w:pPr>
        <w:pStyle w:val="ListNumber"/>
      </w:pPr>
      <w:r w:rsidRPr="004B1F17">
        <w:t>maintaining core funding where it exists, and expanding where it does</w:t>
      </w:r>
      <w:r w:rsidR="00EA4AD7" w:rsidRPr="004B1F17">
        <w:t xml:space="preserve"> not exist</w:t>
      </w:r>
      <w:r w:rsidRPr="004B1F17">
        <w:t>, to local women's organisations to strengthen their critical and catalytic work</w:t>
      </w:r>
    </w:p>
    <w:p w14:paraId="58C605B2" w14:textId="68DF417A" w:rsidR="00EF65AE" w:rsidRPr="004B1F17" w:rsidRDefault="00EF65AE" w:rsidP="0006576E">
      <w:pPr>
        <w:pStyle w:val="ListNumber"/>
      </w:pPr>
      <w:r w:rsidRPr="004B1F17">
        <w:t xml:space="preserve">continuing to invest in regional </w:t>
      </w:r>
      <w:r w:rsidR="00B04188" w:rsidRPr="004B1F17">
        <w:t>programs</w:t>
      </w:r>
      <w:r w:rsidR="005A30FF">
        <w:t>—</w:t>
      </w:r>
      <w:r w:rsidRPr="004B1F17">
        <w:t>such as Pacific Women</w:t>
      </w:r>
      <w:r w:rsidR="007F0DF3" w:rsidRPr="004B1F17">
        <w:t>,</w:t>
      </w:r>
      <w:r w:rsidR="00E20CBF" w:rsidRPr="004B1F17">
        <w:t xml:space="preserve"> which</w:t>
      </w:r>
      <w:r w:rsidRPr="004B1F17">
        <w:t xml:space="preserve"> can provide </w:t>
      </w:r>
      <w:r w:rsidR="005A30FF">
        <w:br/>
      </w:r>
      <w:r w:rsidRPr="004B1F17">
        <w:t>multi-year funding to more established programs</w:t>
      </w:r>
      <w:r w:rsidR="005A30FF">
        <w:t>—</w:t>
      </w:r>
      <w:r w:rsidRPr="004B1F17">
        <w:t xml:space="preserve">and ensuring that local organisations </w:t>
      </w:r>
      <w:r w:rsidR="00E20CBF" w:rsidRPr="004B1F17">
        <w:t>can</w:t>
      </w:r>
      <w:r w:rsidRPr="004B1F17">
        <w:t xml:space="preserve"> access short</w:t>
      </w:r>
      <w:r w:rsidR="00EA4AD7" w:rsidRPr="004B1F17">
        <w:t>-</w:t>
      </w:r>
      <w:r w:rsidRPr="004B1F17">
        <w:t xml:space="preserve">term, flexible funding through mechanisms such as the </w:t>
      </w:r>
      <w:r w:rsidRPr="00C72C6D">
        <w:rPr>
          <w:iCs/>
        </w:rPr>
        <w:t>Fiji Women’s Fund</w:t>
      </w:r>
    </w:p>
    <w:p w14:paraId="3FD55BB3" w14:textId="43C4A85E" w:rsidR="00EF65AE" w:rsidRPr="004B1F17" w:rsidRDefault="00EF65AE" w:rsidP="0006576E">
      <w:pPr>
        <w:pStyle w:val="ListNumber"/>
      </w:pPr>
      <w:r w:rsidRPr="004B1F17">
        <w:t xml:space="preserve">intensifying high-level policy dialogue to encourage governments to incorporate comprehensive responses to </w:t>
      </w:r>
      <w:r w:rsidR="008F43CF">
        <w:t>violence against women and girls (</w:t>
      </w:r>
      <w:r w:rsidRPr="004B1F17">
        <w:t>VAWG</w:t>
      </w:r>
      <w:r w:rsidR="008F43CF">
        <w:t>)</w:t>
      </w:r>
      <w:r w:rsidRPr="004B1F17">
        <w:t xml:space="preserve"> in national budgets</w:t>
      </w:r>
    </w:p>
    <w:p w14:paraId="772BBA4A" w14:textId="2CFB7B24" w:rsidR="00EF65AE" w:rsidRPr="004B1F17" w:rsidRDefault="00EF65AE" w:rsidP="0006576E">
      <w:pPr>
        <w:pStyle w:val="ListNumber"/>
      </w:pPr>
      <w:r w:rsidRPr="004B1F17">
        <w:t xml:space="preserve">integrating </w:t>
      </w:r>
      <w:r w:rsidR="00F04B4D">
        <w:t>ending violence against women and girls (E</w:t>
      </w:r>
      <w:r w:rsidRPr="004B1F17">
        <w:t>VAWG</w:t>
      </w:r>
      <w:r w:rsidR="00F04B4D">
        <w:t>)</w:t>
      </w:r>
      <w:r w:rsidRPr="004B1F17">
        <w:t>, and VAWG prevention, in all development cooperation, including sector</w:t>
      </w:r>
      <w:r w:rsidR="00E20CBF" w:rsidRPr="004B1F17">
        <w:t>-</w:t>
      </w:r>
      <w:r w:rsidRPr="004B1F17">
        <w:t>specific support to health, education, social protection</w:t>
      </w:r>
      <w:r w:rsidR="00EA4AD7" w:rsidRPr="004B1F17">
        <w:t xml:space="preserve"> and</w:t>
      </w:r>
      <w:r w:rsidRPr="004B1F17">
        <w:t xml:space="preserve"> economic empowerment</w:t>
      </w:r>
      <w:r w:rsidR="00EA4AD7" w:rsidRPr="004B1F17">
        <w:t>,</w:t>
      </w:r>
      <w:r w:rsidRPr="004B1F17">
        <w:t xml:space="preserve"> a</w:t>
      </w:r>
      <w:r w:rsidR="00E20CBF" w:rsidRPr="004B1F17">
        <w:t xml:space="preserve">nd in </w:t>
      </w:r>
      <w:r w:rsidRPr="004B1F17">
        <w:t>non-traditional sectors such as infrastructure, transport and finance</w:t>
      </w:r>
    </w:p>
    <w:p w14:paraId="6396A809" w14:textId="2DAE0E05" w:rsidR="004D3A6B" w:rsidRDefault="00EF65AE" w:rsidP="00E9027A">
      <w:pPr>
        <w:pStyle w:val="ListNumber"/>
      </w:pPr>
      <w:r w:rsidRPr="004B1F17">
        <w:t xml:space="preserve">playing a stronger global leadership role, </w:t>
      </w:r>
      <w:r w:rsidR="00EA4AD7" w:rsidRPr="004B1F17">
        <w:t xml:space="preserve">by </w:t>
      </w:r>
      <w:r w:rsidRPr="004B1F17">
        <w:t>collaborating with other donors and key global partnerships</w:t>
      </w:r>
      <w:r w:rsidR="00E20CBF" w:rsidRPr="004B1F17">
        <w:t>—</w:t>
      </w:r>
      <w:r w:rsidRPr="004B1F17">
        <w:t>such as</w:t>
      </w:r>
      <w:r w:rsidR="007F0DF3" w:rsidRPr="004B1F17">
        <w:t xml:space="preserve"> the</w:t>
      </w:r>
      <w:r w:rsidRPr="004B1F17">
        <w:t xml:space="preserve"> </w:t>
      </w:r>
      <w:r w:rsidR="008B503A">
        <w:t xml:space="preserve">United Kingdom’s </w:t>
      </w:r>
      <w:r w:rsidR="00DC3E57" w:rsidRPr="00392D48">
        <w:t>Department for International Developmen</w:t>
      </w:r>
      <w:r w:rsidR="00DC3E57" w:rsidRPr="004B1F17">
        <w:t>t’s</w:t>
      </w:r>
      <w:r w:rsidRPr="004B1F17">
        <w:t xml:space="preserve"> </w:t>
      </w:r>
      <w:bookmarkStart w:id="75" w:name="_Hlk17791884"/>
      <w:r w:rsidRPr="004B1F17">
        <w:t>What Works global program,</w:t>
      </w:r>
      <w:bookmarkEnd w:id="75"/>
      <w:r w:rsidRPr="004B1F17">
        <w:t xml:space="preserve"> the U</w:t>
      </w:r>
      <w:r w:rsidR="00F04B4D">
        <w:t>nited Nations</w:t>
      </w:r>
      <w:r w:rsidRPr="004B1F17">
        <w:t xml:space="preserve">-led RESPECT framework, </w:t>
      </w:r>
      <w:r w:rsidR="00EA4AD7" w:rsidRPr="004B1F17">
        <w:t xml:space="preserve">and </w:t>
      </w:r>
      <w:r w:rsidRPr="004B1F17">
        <w:t>the European</w:t>
      </w:r>
      <w:r w:rsidRPr="00EF65AE">
        <w:t xml:space="preserve"> Union-funded Spotlight Initiative</w:t>
      </w:r>
      <w:r w:rsidR="00E20CBF">
        <w:t>—</w:t>
      </w:r>
      <w:r w:rsidRPr="00EF65AE">
        <w:t xml:space="preserve">and increasing </w:t>
      </w:r>
      <w:r w:rsidR="00EA4AD7">
        <w:t xml:space="preserve">the </w:t>
      </w:r>
      <w:r w:rsidRPr="00EF65AE">
        <w:t>visibility of Australia’s EVAWG programming and partners at global conferences and events.</w:t>
      </w:r>
      <w:bookmarkStart w:id="76" w:name="_Toc15378109"/>
    </w:p>
    <w:p w14:paraId="25B9448D" w14:textId="77777777" w:rsidR="00EF65AE" w:rsidRPr="004D3A6B" w:rsidRDefault="00EF65AE" w:rsidP="00D609E8">
      <w:pPr>
        <w:pStyle w:val="Recommendation"/>
      </w:pPr>
      <w:r w:rsidRPr="004D3A6B">
        <w:t>Recommendation 2: Focus on investments that support the development and implementation of EVAWG legislation with an emphasis on:</w:t>
      </w:r>
      <w:bookmarkEnd w:id="76"/>
    </w:p>
    <w:p w14:paraId="4F87A28C" w14:textId="0AC63D47" w:rsidR="00EF65AE" w:rsidRPr="00EF65AE" w:rsidRDefault="00EF65AE" w:rsidP="0006576E">
      <w:pPr>
        <w:pStyle w:val="ListNumber"/>
        <w:numPr>
          <w:ilvl w:val="1"/>
          <w:numId w:val="13"/>
        </w:numPr>
      </w:pPr>
      <w:r w:rsidRPr="00EF65AE">
        <w:t xml:space="preserve">strengthening formal justice responses for marginalised women and girls, including women and girls </w:t>
      </w:r>
      <w:r w:rsidRPr="004B1F17">
        <w:t>with disabilit</w:t>
      </w:r>
      <w:r w:rsidR="000862AB" w:rsidRPr="004B1F17">
        <w:t>ies</w:t>
      </w:r>
      <w:r w:rsidR="001A004E">
        <w:t xml:space="preserve"> and</w:t>
      </w:r>
      <w:r w:rsidRPr="004B1F17">
        <w:t xml:space="preserve"> those living</w:t>
      </w:r>
      <w:r w:rsidRPr="00EF65AE">
        <w:t xml:space="preserve"> in rural areas</w:t>
      </w:r>
    </w:p>
    <w:p w14:paraId="2173C015" w14:textId="77777777" w:rsidR="00EF65AE" w:rsidRPr="00EF65AE" w:rsidRDefault="00EF65AE" w:rsidP="0006576E">
      <w:pPr>
        <w:pStyle w:val="ListNumber"/>
        <w:numPr>
          <w:ilvl w:val="1"/>
          <w:numId w:val="13"/>
        </w:numPr>
      </w:pPr>
      <w:r w:rsidRPr="00EF65AE">
        <w:t>supporting partner countries to address gaps in legislation, including sexual assault laws, divorce, and child welfare laws</w:t>
      </w:r>
    </w:p>
    <w:p w14:paraId="709CBCB1" w14:textId="77777777" w:rsidR="00EF65AE" w:rsidRPr="00EF65AE" w:rsidRDefault="00EF65AE" w:rsidP="0006576E">
      <w:pPr>
        <w:pStyle w:val="ListNumber"/>
        <w:numPr>
          <w:ilvl w:val="1"/>
          <w:numId w:val="13"/>
        </w:numPr>
      </w:pPr>
      <w:r w:rsidRPr="00EF65AE">
        <w:t>continuing training and support for justice operators at national and local levels, including police, magistrates and prosecutors, to strengthen knowledge and capacity to implement the laws</w:t>
      </w:r>
    </w:p>
    <w:p w14:paraId="47FFD50D" w14:textId="066D82EC" w:rsidR="004D3A6B" w:rsidRDefault="00EF65AE" w:rsidP="00E9027A">
      <w:pPr>
        <w:pStyle w:val="ListNumber"/>
        <w:numPr>
          <w:ilvl w:val="1"/>
          <w:numId w:val="13"/>
        </w:numPr>
      </w:pPr>
      <w:r w:rsidRPr="00EF65AE">
        <w:t xml:space="preserve">supporting </w:t>
      </w:r>
      <w:r w:rsidR="00F04B4D">
        <w:t>civil society organisations</w:t>
      </w:r>
      <w:r w:rsidRPr="00EF65AE">
        <w:t xml:space="preserve"> and national governments to promote public awareness on how to use the laws, and to monitor</w:t>
      </w:r>
      <w:r w:rsidR="00EA4AD7">
        <w:t xml:space="preserve"> their</w:t>
      </w:r>
      <w:r w:rsidRPr="00EF65AE">
        <w:t xml:space="preserve"> implementation.</w:t>
      </w:r>
      <w:bookmarkStart w:id="77" w:name="_Toc15378110"/>
    </w:p>
    <w:p w14:paraId="3C9D2C37" w14:textId="5463D894" w:rsidR="00EF65AE" w:rsidRPr="004D3A6B" w:rsidRDefault="00EF65AE" w:rsidP="00D609E8">
      <w:pPr>
        <w:pStyle w:val="Recommendation"/>
      </w:pPr>
      <w:r w:rsidRPr="004D3A6B">
        <w:t>Recommendation 3: Continue support to partners delivering holistic care for survivors</w:t>
      </w:r>
      <w:r w:rsidR="00353460">
        <w:t xml:space="preserve"> </w:t>
      </w:r>
      <w:r w:rsidRPr="004D3A6B">
        <w:t>and</w:t>
      </w:r>
      <w:r w:rsidR="00353460">
        <w:t xml:space="preserve"> </w:t>
      </w:r>
      <w:r w:rsidRPr="004D3A6B">
        <w:t>improve the quality and accessibility of EVAWG services by:</w:t>
      </w:r>
      <w:bookmarkEnd w:id="77"/>
    </w:p>
    <w:p w14:paraId="74B6014F" w14:textId="523D393A" w:rsidR="00EF65AE" w:rsidRPr="00EF65AE" w:rsidRDefault="00EF65AE" w:rsidP="00740319">
      <w:pPr>
        <w:pStyle w:val="ListNumber"/>
        <w:numPr>
          <w:ilvl w:val="1"/>
          <w:numId w:val="14"/>
        </w:numPr>
      </w:pPr>
      <w:r w:rsidRPr="00EF65AE">
        <w:t>training health and other service providers in the Essential Services Package</w:t>
      </w:r>
      <w:r w:rsidR="00DC3E57">
        <w:t xml:space="preserve"> for Women and Girls Subject to Violence </w:t>
      </w:r>
      <w:r w:rsidRPr="00EF65AE">
        <w:t>and related W</w:t>
      </w:r>
      <w:r w:rsidR="00EA4AD7">
        <w:t>orl</w:t>
      </w:r>
      <w:r w:rsidR="00DC3E57">
        <w:t>d</w:t>
      </w:r>
      <w:r w:rsidR="00EA4AD7">
        <w:t xml:space="preserve"> Health </w:t>
      </w:r>
      <w:r w:rsidR="004D79DC">
        <w:t>Organi</w:t>
      </w:r>
      <w:r w:rsidR="00DC3E57">
        <w:t>z</w:t>
      </w:r>
      <w:r w:rsidR="004D79DC">
        <w:t>ation</w:t>
      </w:r>
      <w:r w:rsidR="00F04B4D">
        <w:t xml:space="preserve"> </w:t>
      </w:r>
      <w:r w:rsidRPr="00EF65AE">
        <w:t xml:space="preserve">clinical guidance </w:t>
      </w:r>
      <w:r w:rsidR="00937123">
        <w:br/>
      </w:r>
      <w:r w:rsidRPr="00EF65AE">
        <w:t>for EVAWG</w:t>
      </w:r>
    </w:p>
    <w:p w14:paraId="055D30E9" w14:textId="77777777" w:rsidR="00EF65AE" w:rsidRPr="00EF65AE" w:rsidRDefault="00EF65AE" w:rsidP="004D3A6B">
      <w:pPr>
        <w:pStyle w:val="ListNumber"/>
        <w:numPr>
          <w:ilvl w:val="1"/>
          <w:numId w:val="14"/>
        </w:numPr>
      </w:pPr>
      <w:r w:rsidRPr="00EF65AE">
        <w:t>strengthening the quality of counselling services and case management through training and improved standards and oversight</w:t>
      </w:r>
    </w:p>
    <w:p w14:paraId="6329FBD6" w14:textId="47C24B0A" w:rsidR="00976CA2" w:rsidRDefault="00976CA2" w:rsidP="00976CA2">
      <w:pPr>
        <w:pStyle w:val="ListNumber"/>
        <w:numPr>
          <w:ilvl w:val="1"/>
          <w:numId w:val="14"/>
        </w:numPr>
      </w:pPr>
      <w:r w:rsidRPr="00EF65AE">
        <w:t xml:space="preserve">evaluating and building on EVAWG service innovations with </w:t>
      </w:r>
      <w:r>
        <w:t>non-government organisations</w:t>
      </w:r>
      <w:r w:rsidRPr="00EF65AE">
        <w:t xml:space="preserve"> and the private sector to make EVAWG services more accessible</w:t>
      </w:r>
      <w:r>
        <w:t xml:space="preserve"> </w:t>
      </w:r>
      <w:r w:rsidRPr="00EF65AE">
        <w:t>for women and girls</w:t>
      </w:r>
      <w:r w:rsidR="00C373DA">
        <w:t xml:space="preserve">, </w:t>
      </w:r>
      <w:r>
        <w:t>including those who live</w:t>
      </w:r>
      <w:r w:rsidRPr="00EF65AE">
        <w:t xml:space="preserve"> in rural and remote locations</w:t>
      </w:r>
      <w:r>
        <w:t>,</w:t>
      </w:r>
      <w:r w:rsidRPr="00EF65AE">
        <w:t xml:space="preserve"> </w:t>
      </w:r>
      <w:r>
        <w:t>have</w:t>
      </w:r>
      <w:r w:rsidRPr="00EF65AE">
        <w:t xml:space="preserve"> disabilities</w:t>
      </w:r>
      <w:r>
        <w:t>,</w:t>
      </w:r>
      <w:r w:rsidRPr="00EF65AE">
        <w:t xml:space="preserve"> </w:t>
      </w:r>
      <w:r>
        <w:t>and/or are marginalised</w:t>
      </w:r>
      <w:r w:rsidRPr="00EF65AE">
        <w:t>.</w:t>
      </w:r>
    </w:p>
    <w:p w14:paraId="474A98E4" w14:textId="77777777" w:rsidR="00EF65AE" w:rsidRPr="004D3A6B" w:rsidRDefault="00EF65AE" w:rsidP="00D609E8">
      <w:pPr>
        <w:pStyle w:val="Recommendation"/>
      </w:pPr>
      <w:bookmarkStart w:id="78" w:name="_Toc15378111"/>
      <w:r w:rsidRPr="004D3A6B">
        <w:t>Recommendation 4: Expand work on prevention of VAWG by</w:t>
      </w:r>
      <w:bookmarkEnd w:id="78"/>
      <w:r w:rsidR="00EA4AD7" w:rsidRPr="004D3A6B">
        <w:t>:</w:t>
      </w:r>
    </w:p>
    <w:p w14:paraId="13D848BC" w14:textId="77777777" w:rsidR="00EF65AE" w:rsidRPr="00EF65AE" w:rsidRDefault="00EF65AE" w:rsidP="00740319">
      <w:pPr>
        <w:pStyle w:val="ListNumber"/>
        <w:numPr>
          <w:ilvl w:val="1"/>
          <w:numId w:val="15"/>
        </w:numPr>
      </w:pPr>
      <w:r w:rsidRPr="00EF65AE">
        <w:t>ensuring investment is long</w:t>
      </w:r>
      <w:r w:rsidR="00EA4AD7">
        <w:t xml:space="preserve"> </w:t>
      </w:r>
      <w:r w:rsidRPr="00EF65AE">
        <w:t>term, including to local women’s organisations, and based on best practice, drawing upon and adapting the global RESPECT framework</w:t>
      </w:r>
    </w:p>
    <w:p w14:paraId="6B6B08F8" w14:textId="77777777" w:rsidR="00EF65AE" w:rsidRPr="00EF65AE" w:rsidRDefault="00EF65AE" w:rsidP="00740319">
      <w:pPr>
        <w:pStyle w:val="ListNumber"/>
      </w:pPr>
      <w:r w:rsidRPr="00EF65AE">
        <w:t>investing in programs that coordinate with justice and services and move beyond awareness</w:t>
      </w:r>
      <w:r w:rsidR="006D296F">
        <w:t xml:space="preserve"> </w:t>
      </w:r>
      <w:r w:rsidRPr="00EF65AE">
        <w:t>raising to addressing social norms</w:t>
      </w:r>
    </w:p>
    <w:p w14:paraId="04440689" w14:textId="77777777" w:rsidR="00EF65AE" w:rsidRPr="00EF65AE" w:rsidRDefault="00EF65AE" w:rsidP="00740319">
      <w:pPr>
        <w:pStyle w:val="ListNumber"/>
      </w:pPr>
      <w:r w:rsidRPr="00EF65AE">
        <w:t>playing a more significant role at national and regional levels in bringing EVAWG and child protection actors to the table to identify more effective ways to address VAWG and child protection intersections through funding, partnerships, policies, programs and evaluations</w:t>
      </w:r>
    </w:p>
    <w:p w14:paraId="40BB73BC" w14:textId="77777777" w:rsidR="00EF65AE" w:rsidRPr="00EF65AE" w:rsidRDefault="00EF65AE" w:rsidP="00740319">
      <w:pPr>
        <w:pStyle w:val="ListNumber"/>
      </w:pPr>
      <w:r w:rsidRPr="00EF65AE">
        <w:t>strengthening prevention research capacity in the region and invest</w:t>
      </w:r>
      <w:r w:rsidR="00EA4AD7">
        <w:t>ing</w:t>
      </w:r>
      <w:r w:rsidRPr="00EF65AE">
        <w:t xml:space="preserve"> more in coordination between Australian-supported prevention interventions</w:t>
      </w:r>
      <w:r w:rsidR="008F5071">
        <w:t>,</w:t>
      </w:r>
      <w:r w:rsidRPr="00EF65AE">
        <w:t xml:space="preserve"> to draw out common lessons and better inform the violence prevention field as a whole</w:t>
      </w:r>
      <w:r w:rsidR="008F5071">
        <w:t>. O</w:t>
      </w:r>
      <w:r w:rsidRPr="00EF65AE">
        <w:t>ptions could include:</w:t>
      </w:r>
    </w:p>
    <w:p w14:paraId="7253D573" w14:textId="4DE795B1" w:rsidR="00EF65AE" w:rsidRPr="00EF65AE" w:rsidRDefault="00EF65AE" w:rsidP="00740319">
      <w:pPr>
        <w:pStyle w:val="ListNumber2"/>
      </w:pPr>
      <w:r w:rsidRPr="00EF65AE">
        <w:t xml:space="preserve">establishing collaboration with the </w:t>
      </w:r>
      <w:r w:rsidR="008F6C9E">
        <w:t xml:space="preserve">United Kingdom’s </w:t>
      </w:r>
      <w:r w:rsidR="008F6C9E" w:rsidRPr="00392D48">
        <w:t>Department for International Developmen</w:t>
      </w:r>
      <w:r w:rsidR="008F6C9E" w:rsidRPr="004B1F17">
        <w:t>t</w:t>
      </w:r>
      <w:r w:rsidR="008F6C9E">
        <w:t xml:space="preserve"> (DFID)</w:t>
      </w:r>
      <w:r w:rsidR="00DC3E57">
        <w:t>-</w:t>
      </w:r>
      <w:r w:rsidRPr="00EF65AE">
        <w:t>funded What Works, which is developing similar capacity among countries that receive DFID support</w:t>
      </w:r>
    </w:p>
    <w:p w14:paraId="15309B09" w14:textId="77777777" w:rsidR="004B1F17" w:rsidRDefault="00EF65AE" w:rsidP="00740319">
      <w:pPr>
        <w:pStyle w:val="ListNumber2"/>
      </w:pPr>
      <w:r w:rsidRPr="00EF65AE">
        <w:t xml:space="preserve">establishing a </w:t>
      </w:r>
      <w:bookmarkStart w:id="79" w:name="_Hlk17792301"/>
      <w:r w:rsidRPr="00EF65AE">
        <w:t>Prevention Learning Hub</w:t>
      </w:r>
      <w:bookmarkEnd w:id="79"/>
      <w:r w:rsidRPr="00EF65AE">
        <w:t xml:space="preserve"> to build </w:t>
      </w:r>
      <w:r w:rsidRPr="004B1F17">
        <w:t xml:space="preserve">capacity on prevention research in the region, share learnings and conduct meta-analyses across countries. If pursued, this would need to be: </w:t>
      </w:r>
    </w:p>
    <w:p w14:paraId="04B85E4C" w14:textId="77777777" w:rsidR="004B1F17" w:rsidRDefault="00EF65AE" w:rsidP="004B1F17">
      <w:pPr>
        <w:pStyle w:val="ListNumber2"/>
        <w:numPr>
          <w:ilvl w:val="0"/>
          <w:numId w:val="27"/>
        </w:numPr>
      </w:pPr>
      <w:r w:rsidRPr="004B1F17">
        <w:t xml:space="preserve">led by local actors such as the </w:t>
      </w:r>
      <w:bookmarkStart w:id="80" w:name="_Hlk17792384"/>
      <w:r w:rsidRPr="004B1F17">
        <w:t>Pacific Women’s Network Against Violence Against Women</w:t>
      </w:r>
      <w:r w:rsidR="009A314A" w:rsidRPr="004B1F17">
        <w:t xml:space="preserve"> (Pacific Women)</w:t>
      </w:r>
    </w:p>
    <w:bookmarkEnd w:id="80"/>
    <w:p w14:paraId="30063BAA" w14:textId="77777777" w:rsidR="00EF65AE" w:rsidRPr="00EF65AE" w:rsidRDefault="00EF65AE" w:rsidP="004B1F17">
      <w:pPr>
        <w:pStyle w:val="ListNumber2"/>
        <w:numPr>
          <w:ilvl w:val="0"/>
          <w:numId w:val="27"/>
        </w:numPr>
      </w:pPr>
      <w:r w:rsidRPr="004B1F17">
        <w:t>developed in collaboration</w:t>
      </w:r>
      <w:r w:rsidRPr="00EF65AE">
        <w:t xml:space="preserve"> with other significant partners such as UN Women, Equality Institute, Prevention Collaborative</w:t>
      </w:r>
      <w:r w:rsidR="009807D6">
        <w:t>,</w:t>
      </w:r>
      <w:r w:rsidR="00EA4AD7">
        <w:t xml:space="preserve"> and</w:t>
      </w:r>
      <w:r w:rsidRPr="00EF65AE">
        <w:t xml:space="preserve"> Raising Voices</w:t>
      </w:r>
    </w:p>
    <w:p w14:paraId="7A2BA91E" w14:textId="2E0EF188" w:rsidR="004D3A6B" w:rsidRDefault="00EF65AE" w:rsidP="00E9027A">
      <w:pPr>
        <w:pStyle w:val="ListNumber2"/>
      </w:pPr>
      <w:r w:rsidRPr="00EF65AE">
        <w:t xml:space="preserve">making linkages between Australian-funded </w:t>
      </w:r>
      <w:bookmarkStart w:id="81" w:name="_Hlk17792404"/>
      <w:r w:rsidRPr="00392D48">
        <w:rPr>
          <w:i/>
          <w:iCs/>
        </w:rPr>
        <w:t>SASA!</w:t>
      </w:r>
      <w:r w:rsidRPr="00EF65AE">
        <w:t xml:space="preserve"> </w:t>
      </w:r>
      <w:r w:rsidR="00353460">
        <w:t>a</w:t>
      </w:r>
      <w:r w:rsidRPr="00EF65AE">
        <w:t>daptations</w:t>
      </w:r>
      <w:bookmarkEnd w:id="81"/>
      <w:r w:rsidRPr="00EF65AE">
        <w:t xml:space="preserve"> in </w:t>
      </w:r>
      <w:bookmarkStart w:id="82" w:name="_Hlk17792412"/>
      <w:r w:rsidRPr="00EF65AE">
        <w:t>countries</w:t>
      </w:r>
      <w:bookmarkEnd w:id="82"/>
      <w:r w:rsidR="00473C64">
        <w:t xml:space="preserve"> in</w:t>
      </w:r>
      <w:r w:rsidR="00473C64" w:rsidRPr="00473C64">
        <w:rPr>
          <w:rFonts w:cs="Arial"/>
          <w:shd w:val="clear" w:color="auto" w:fill="FFFFFF"/>
        </w:rPr>
        <w:t xml:space="preserve"> </w:t>
      </w:r>
      <w:r w:rsidR="00473C64">
        <w:rPr>
          <w:rFonts w:cs="Arial"/>
          <w:shd w:val="clear" w:color="auto" w:fill="FFFFFF"/>
        </w:rPr>
        <w:t>the Indo-Pacific</w:t>
      </w:r>
      <w:r w:rsidRPr="00EF65AE">
        <w:t xml:space="preserve"> and sharing lessons from their evaluations.</w:t>
      </w:r>
      <w:bookmarkStart w:id="83" w:name="_Toc15378112"/>
    </w:p>
    <w:p w14:paraId="7803E539" w14:textId="77777777" w:rsidR="00EF65AE" w:rsidRPr="004D3A6B" w:rsidRDefault="00EF65AE" w:rsidP="00D609E8">
      <w:pPr>
        <w:pStyle w:val="Recommendation"/>
      </w:pPr>
      <w:r w:rsidRPr="004D3A6B">
        <w:t>Recommendation 5: Continue to enhance evaluatio</w:t>
      </w:r>
      <w:r w:rsidR="004D3A6B">
        <w:t xml:space="preserve">n and learning to improve EVAWG </w:t>
      </w:r>
      <w:r w:rsidRPr="004D3A6B">
        <w:t>outcomes by:</w:t>
      </w:r>
      <w:bookmarkEnd w:id="83"/>
    </w:p>
    <w:p w14:paraId="487DA954" w14:textId="77777777" w:rsidR="00EF65AE" w:rsidRPr="00FD505C" w:rsidRDefault="00EF65AE" w:rsidP="00FD505C">
      <w:pPr>
        <w:pStyle w:val="ListNumber"/>
        <w:numPr>
          <w:ilvl w:val="1"/>
          <w:numId w:val="16"/>
        </w:numPr>
      </w:pPr>
      <w:r w:rsidRPr="00FD505C">
        <w:t xml:space="preserve">enhancing shared learning to ensure investments contribute to regional and global knowledge, and model </w:t>
      </w:r>
      <w:r w:rsidR="00E20CBF">
        <w:t>best</w:t>
      </w:r>
      <w:r w:rsidRPr="00FD505C">
        <w:t xml:space="preserve"> practice</w:t>
      </w:r>
    </w:p>
    <w:p w14:paraId="17D5CB78" w14:textId="77777777" w:rsidR="00EF65AE" w:rsidRPr="00FD505C" w:rsidRDefault="00EF65AE" w:rsidP="00FD505C">
      <w:pPr>
        <w:pStyle w:val="ListNumber"/>
      </w:pPr>
      <w:r w:rsidRPr="00FD505C">
        <w:t xml:space="preserve">supporting better sharing of lessons between and within </w:t>
      </w:r>
      <w:r w:rsidR="00FE25E2">
        <w:t>posts</w:t>
      </w:r>
      <w:r w:rsidRPr="00FD505C">
        <w:t>, and between Australian-funded partners</w:t>
      </w:r>
    </w:p>
    <w:p w14:paraId="7FEB66CC" w14:textId="77777777" w:rsidR="00FD505C" w:rsidRDefault="00EF65AE" w:rsidP="00FD505C">
      <w:pPr>
        <w:pStyle w:val="ListNumber"/>
      </w:pPr>
      <w:r w:rsidRPr="00FD505C">
        <w:t>focusing on more coordinated and high-profile research to ensure that Australia is engaged in a global leadership role in EVAWG</w:t>
      </w:r>
      <w:r w:rsidR="00EA4AD7">
        <w:t>, which</w:t>
      </w:r>
      <w:r w:rsidRPr="00FD505C">
        <w:t xml:space="preserve"> should include collaborati</w:t>
      </w:r>
      <w:r w:rsidR="009807D6">
        <w:t>ng</w:t>
      </w:r>
      <w:r w:rsidRPr="00FD505C">
        <w:t xml:space="preserve"> with local and international stakeholders, including research institutions, to improve, consolidate and share the </w:t>
      </w:r>
      <w:r w:rsidR="00EA4AD7">
        <w:t xml:space="preserve">EVAWG </w:t>
      </w:r>
      <w:r w:rsidRPr="00FD505C">
        <w:t>evidence</w:t>
      </w:r>
      <w:r w:rsidR="00EA4AD7">
        <w:t xml:space="preserve"> </w:t>
      </w:r>
      <w:r w:rsidRPr="00FD505C">
        <w:t xml:space="preserve">base </w:t>
      </w:r>
    </w:p>
    <w:p w14:paraId="04D3A6C2" w14:textId="77777777" w:rsidR="008F4201" w:rsidRDefault="00EF65AE" w:rsidP="00FD505C">
      <w:pPr>
        <w:pStyle w:val="ListNumber"/>
      </w:pPr>
      <w:r w:rsidRPr="00FD505C">
        <w:t>increasing investment in rigorous but diverse quantitative and qualitative evaluation of prevention programs (including practice</w:t>
      </w:r>
      <w:r w:rsidRPr="00EF65AE">
        <w:t>-based learning, feminist and women</w:t>
      </w:r>
      <w:r w:rsidR="00EA4AD7">
        <w:t>-</w:t>
      </w:r>
      <w:r w:rsidRPr="00EF65AE">
        <w:t>centred methods</w:t>
      </w:r>
      <w:r w:rsidR="009807D6">
        <w:t>,</w:t>
      </w:r>
      <w:r w:rsidRPr="00EF65AE">
        <w:t xml:space="preserve"> and analysis) to build the evidence of what works.</w:t>
      </w:r>
      <w:bookmarkStart w:id="84" w:name="_Hlk9955095"/>
      <w:bookmarkEnd w:id="45"/>
      <w:bookmarkEnd w:id="46"/>
      <w:bookmarkEnd w:id="71"/>
    </w:p>
    <w:bookmarkEnd w:id="74"/>
    <w:p w14:paraId="46B123B0" w14:textId="77777777" w:rsidR="008F4201" w:rsidRDefault="008F4201">
      <w:pPr>
        <w:numPr>
          <w:ilvl w:val="0"/>
          <w:numId w:val="0"/>
        </w:numPr>
      </w:pPr>
      <w:r>
        <w:br w:type="page"/>
      </w:r>
    </w:p>
    <w:p w14:paraId="14B2EE28" w14:textId="0F824BAC" w:rsidR="008F4201" w:rsidRPr="004B1F17" w:rsidRDefault="004A793A" w:rsidP="008F4201">
      <w:pPr>
        <w:pStyle w:val="Heading1NoNumber"/>
      </w:pPr>
      <w:bookmarkStart w:id="85" w:name="_Toc23434527"/>
      <w:r w:rsidRPr="004B1F17">
        <w:t>Management response</w:t>
      </w:r>
      <w:bookmarkEnd w:id="85"/>
      <w:r w:rsidRPr="004B1F17">
        <w:t xml:space="preserve"> </w:t>
      </w:r>
    </w:p>
    <w:tbl>
      <w:tblPr>
        <w:tblStyle w:val="TableGrid"/>
        <w:tblW w:w="5000" w:type="pct"/>
        <w:tblLook w:val="0620" w:firstRow="1" w:lastRow="0" w:firstColumn="0" w:lastColumn="0" w:noHBand="1" w:noVBand="1"/>
      </w:tblPr>
      <w:tblGrid>
        <w:gridCol w:w="9628"/>
      </w:tblGrid>
      <w:tr w:rsidR="008F4201" w:rsidRPr="009A445C" w14:paraId="25EF09F3" w14:textId="77777777" w:rsidTr="008811A7">
        <w:trPr>
          <w:cnfStyle w:val="100000000000" w:firstRow="1" w:lastRow="0" w:firstColumn="0" w:lastColumn="0" w:oddVBand="0" w:evenVBand="0" w:oddHBand="0" w:evenHBand="0" w:firstRowFirstColumn="0" w:firstRowLastColumn="0" w:lastRowFirstColumn="0" w:lastRowLastColumn="0"/>
          <w:trHeight w:val="60"/>
        </w:trPr>
        <w:tc>
          <w:tcPr>
            <w:tcW w:w="0" w:type="pct"/>
            <w:shd w:val="clear" w:color="auto" w:fill="D9D9D9" w:themeFill="background1" w:themeFillShade="D9"/>
          </w:tcPr>
          <w:p w14:paraId="2F67387E" w14:textId="77777777" w:rsidR="008F4201" w:rsidRPr="003A7E62" w:rsidRDefault="008F4201" w:rsidP="002B24C3">
            <w:r w:rsidRPr="003A7E62">
              <w:t>Overall response to the evaluation</w:t>
            </w:r>
          </w:p>
        </w:tc>
      </w:tr>
      <w:tr w:rsidR="008F4201" w:rsidRPr="00E56B46" w14:paraId="763348C2" w14:textId="77777777" w:rsidTr="002B24C3">
        <w:trPr>
          <w:trHeight w:val="1041"/>
        </w:trPr>
        <w:tc>
          <w:tcPr>
            <w:tcW w:w="0" w:type="pct"/>
          </w:tcPr>
          <w:p w14:paraId="5E5D7063" w14:textId="77777777" w:rsidR="008F4201" w:rsidRDefault="008F4201" w:rsidP="002B24C3">
            <w:r>
              <w:t>The Department of Foreign Affairs and Trade (DFAT)</w:t>
            </w:r>
            <w:r w:rsidRPr="00E2465B">
              <w:t xml:space="preserve"> welcomes the Office of Development Effectiveness (ODE) strategic evaluation of Australia’s commitment to ending violence against women and girls (EVAWG).</w:t>
            </w:r>
            <w:r>
              <w:t xml:space="preserve"> </w:t>
            </w:r>
            <w:r w:rsidRPr="00E2465B">
              <w:t xml:space="preserve">The evaluation, along with the accompanying literature review, </w:t>
            </w:r>
            <w:r>
              <w:t>is</w:t>
            </w:r>
            <w:r w:rsidRPr="00E2465B">
              <w:t xml:space="preserve"> a valuable resource to guide Australia’s future work in this</w:t>
            </w:r>
            <w:r>
              <w:t xml:space="preserve"> important</w:t>
            </w:r>
            <w:r w:rsidRPr="00E2465B">
              <w:t xml:space="preserve"> area. </w:t>
            </w:r>
          </w:p>
          <w:p w14:paraId="41AD803F" w14:textId="77777777" w:rsidR="008F4201" w:rsidRPr="00E2465B" w:rsidRDefault="008F4201" w:rsidP="002B24C3">
            <w:r w:rsidRPr="00E2465B">
              <w:t xml:space="preserve">ODE’s 2008 </w:t>
            </w:r>
            <w:r w:rsidRPr="00E2465B">
              <w:rPr>
                <w:i/>
              </w:rPr>
              <w:t>Violence Against Women in Melanesia and East Timor</w:t>
            </w:r>
            <w:r>
              <w:rPr>
                <w:i/>
              </w:rPr>
              <w:t>: Building on Global and Regional Promising Approaches</w:t>
            </w:r>
            <w:r w:rsidRPr="00E2465B">
              <w:t xml:space="preserve"> was a ground-breaking report for the Australian Government, laying the foundations for Australia to make substantial and long-term commitments to address the high prevalence of gender-based violence in </w:t>
            </w:r>
            <w:r>
              <w:t>the</w:t>
            </w:r>
            <w:r w:rsidRPr="00E2465B">
              <w:t xml:space="preserve"> region. Since that report, Australia has positioned itself as a global leader in this critical and challenging area and DFAT is proud to have contributed to the considerable achievements recog</w:t>
            </w:r>
            <w:r>
              <w:t>nised in this 2019 evaluation.</w:t>
            </w:r>
          </w:p>
          <w:p w14:paraId="381DDB83" w14:textId="77777777" w:rsidR="008F4201" w:rsidRDefault="008F4201" w:rsidP="002B24C3">
            <w:r w:rsidRPr="00E2465B">
              <w:t xml:space="preserve">DFAT wishes to thank ODE and the evaluation team </w:t>
            </w:r>
            <w:r>
              <w:t>for bringing</w:t>
            </w:r>
            <w:r w:rsidRPr="00E2465B">
              <w:t xml:space="preserve"> considerable experience and expertise to the e</w:t>
            </w:r>
            <w:r>
              <w:t>valuation</w:t>
            </w:r>
            <w:r w:rsidRPr="00E2465B">
              <w:t xml:space="preserve">. </w:t>
            </w:r>
          </w:p>
          <w:p w14:paraId="6C7AF645" w14:textId="5F5D990F" w:rsidR="008F4201" w:rsidRDefault="008F4201" w:rsidP="002B24C3">
            <w:pPr>
              <w:pStyle w:val="ListParagraph"/>
              <w:spacing w:after="0" w:line="240" w:lineRule="auto"/>
              <w:ind w:left="0"/>
              <w:jc w:val="both"/>
            </w:pPr>
            <w:r>
              <w:t>DFAT</w:t>
            </w:r>
            <w:r w:rsidRPr="00E2465B">
              <w:t xml:space="preserve"> also acknowledge</w:t>
            </w:r>
            <w:r>
              <w:t>s</w:t>
            </w:r>
            <w:r w:rsidRPr="00E2465B">
              <w:t xml:space="preserve"> the expertise and commitment of our development partners - especially women’s organisations, governments and U</w:t>
            </w:r>
            <w:r>
              <w:t xml:space="preserve">nited </w:t>
            </w:r>
            <w:r w:rsidRPr="00E2465B">
              <w:t>N</w:t>
            </w:r>
            <w:r>
              <w:t>ations</w:t>
            </w:r>
            <w:r w:rsidRPr="00E2465B">
              <w:t xml:space="preserve"> </w:t>
            </w:r>
            <w:r>
              <w:t xml:space="preserve">(UN) agencies across the region </w:t>
            </w:r>
            <w:r w:rsidRPr="00E2465B">
              <w:t xml:space="preserve">who operate in challenging contexts and with limited resources to advance the status of women </w:t>
            </w:r>
            <w:r w:rsidR="005B677B">
              <w:br/>
            </w:r>
            <w:r w:rsidRPr="00E2465B">
              <w:t>and girls.</w:t>
            </w:r>
            <w:r>
              <w:t xml:space="preserve"> </w:t>
            </w:r>
          </w:p>
          <w:p w14:paraId="4446B26C" w14:textId="4D063926" w:rsidR="008F4201" w:rsidRPr="00E2465B" w:rsidRDefault="008F4201" w:rsidP="002B24C3">
            <w:pPr>
              <w:pStyle w:val="ListParagraph"/>
              <w:spacing w:after="0" w:line="240" w:lineRule="auto"/>
              <w:ind w:left="0"/>
              <w:jc w:val="both"/>
            </w:pPr>
            <w:r>
              <w:t xml:space="preserve">The breadth of Australia’s global investments in EVAWG meant that this evaluation was unable to focus on all aspects of the department’s engagement in this area. As such, specific contexts and areas of focus remain a priority for Australia, but these are not directly addressed in </w:t>
            </w:r>
            <w:r w:rsidR="005B677B">
              <w:br/>
            </w:r>
            <w:r>
              <w:t>this evaluation.</w:t>
            </w:r>
          </w:p>
          <w:p w14:paraId="6737AEBA" w14:textId="2254ECA4" w:rsidR="008F4201" w:rsidRPr="00552D20" w:rsidRDefault="008F4201" w:rsidP="002B24C3">
            <w:pPr>
              <w:spacing w:after="0" w:line="240" w:lineRule="auto"/>
              <w:jc w:val="both"/>
            </w:pPr>
            <w:r w:rsidRPr="00E2465B">
              <w:t>DFAT accepts each recommendation of this strategic evaluation. We acknowledge the inter-connected nature of the recommendations and support the holistic approach that will result in a continuation of our focus on improving access to justice and support services while strengthening our work in violence prevention</w:t>
            </w:r>
            <w:r>
              <w:t>,</w:t>
            </w:r>
            <w:r w:rsidRPr="00E2465B">
              <w:t xml:space="preserve"> moni</w:t>
            </w:r>
            <w:r>
              <w:t>toring, evaluation and learning.</w:t>
            </w:r>
          </w:p>
          <w:p w14:paraId="5E36F913" w14:textId="77777777" w:rsidR="008F4201" w:rsidRDefault="008F4201" w:rsidP="002B24C3">
            <w:r>
              <w:t xml:space="preserve">To drive </w:t>
            </w:r>
            <w:r w:rsidRPr="00E2465B">
              <w:t xml:space="preserve">follow-up to the evaluation, DFAT will develop an </w:t>
            </w:r>
            <w:r w:rsidRPr="004B2338">
              <w:t>EVAWG framework for action</w:t>
            </w:r>
            <w:r w:rsidRPr="00E2465B">
              <w:t xml:space="preserve"> that will provide a </w:t>
            </w:r>
            <w:r>
              <w:t>10</w:t>
            </w:r>
            <w:r w:rsidRPr="00E2465B">
              <w:t>-year roadmap for implementation of EVAWG policy and programming across the</w:t>
            </w:r>
            <w:r>
              <w:t xml:space="preserve"> d</w:t>
            </w:r>
            <w:r w:rsidRPr="00E2465B">
              <w:t>epartment. Informed by th</w:t>
            </w:r>
            <w:r>
              <w:t>is evaluation’s</w:t>
            </w:r>
            <w:r w:rsidRPr="00E2465B">
              <w:t xml:space="preserve"> recommendations and prepared in consultation with key stakeholders from the region, the </w:t>
            </w:r>
            <w:r>
              <w:t>f</w:t>
            </w:r>
            <w:r w:rsidRPr="00E46062">
              <w:t>ramework</w:t>
            </w:r>
            <w:r w:rsidRPr="00E2465B">
              <w:t xml:space="preserve"> will set out strategic priorities for </w:t>
            </w:r>
            <w:r>
              <w:t>DFAT</w:t>
            </w:r>
            <w:r w:rsidRPr="00E2465B">
              <w:t xml:space="preserve"> and provide practical guidance for staff on how to progress those priorities</w:t>
            </w:r>
            <w:r>
              <w:t>.</w:t>
            </w:r>
            <w:r w:rsidRPr="00E2465B">
              <w:t xml:space="preserve"> </w:t>
            </w:r>
            <w:r>
              <w:t>The framework will guide improvements and strengthen approaches in existing focus areas, including response and access to justice and services. It will also provide direction for increasing focus on prevention and building the evidence base for prevention</w:t>
            </w:r>
            <w:r w:rsidRPr="00E2465B">
              <w:t xml:space="preserve">. </w:t>
            </w:r>
          </w:p>
          <w:p w14:paraId="7DFE3021" w14:textId="7235526D" w:rsidR="008F4201" w:rsidRPr="00E2465B" w:rsidRDefault="008F4201" w:rsidP="002B24C3">
            <w:pPr>
              <w:spacing w:after="0" w:line="240" w:lineRule="auto"/>
              <w:jc w:val="both"/>
            </w:pPr>
            <w:r>
              <w:t>DFAT will continue its focus on the</w:t>
            </w:r>
            <w:r w:rsidR="00473C64">
              <w:rPr>
                <w:rFonts w:cs="Arial"/>
                <w:shd w:val="clear" w:color="auto" w:fill="FFFFFF"/>
              </w:rPr>
              <w:t xml:space="preserve"> Indo-Pacific</w:t>
            </w:r>
            <w:r w:rsidR="00473C64" w:rsidDel="00473C64">
              <w:t xml:space="preserve"> </w:t>
            </w:r>
            <w:r>
              <w:t>and increase attention to EVAWG in fragile, post-conflict and conflict-affected contexts and situations in which the political environment is unsupportive. In the countries where Australia operates, DFAT recognises that leaders from government, civil society and the private sector have expertise and experience from which we can learn. DFAT will draw on these leaders to help build the evidence base for Australia’s work, and to inform the development of the framework.</w:t>
            </w:r>
          </w:p>
          <w:p w14:paraId="1B896737" w14:textId="291DFAA5" w:rsidR="008F4201" w:rsidRDefault="008F4201" w:rsidP="002B24C3">
            <w:r w:rsidRPr="00E2465B">
              <w:t>In implementing</w:t>
            </w:r>
            <w:r>
              <w:t xml:space="preserve"> the</w:t>
            </w:r>
            <w:r w:rsidRPr="00E2465B">
              <w:t xml:space="preserve"> </w:t>
            </w:r>
            <w:r>
              <w:t>f</w:t>
            </w:r>
            <w:r w:rsidRPr="00E2465B">
              <w:t xml:space="preserve">ramework, DFAT’s challenge will be to maximise impact while working within </w:t>
            </w:r>
            <w:r>
              <w:t>its</w:t>
            </w:r>
            <w:r w:rsidRPr="00E2465B">
              <w:t xml:space="preserve"> existing resource envelope. The re</w:t>
            </w:r>
            <w:r>
              <w:t xml:space="preserve">calibration </w:t>
            </w:r>
            <w:r w:rsidRPr="00E2465B">
              <w:t>of focus recommended in th</w:t>
            </w:r>
            <w:r>
              <w:t>is</w:t>
            </w:r>
            <w:r w:rsidRPr="00E2465B">
              <w:t xml:space="preserve"> evaluation will require a transition period during which DFAT’s current EVAWG strategies and investments will continue. As highlighted in th</w:t>
            </w:r>
            <w:r>
              <w:t>is</w:t>
            </w:r>
            <w:r w:rsidRPr="00E2465B">
              <w:t xml:space="preserve"> evaluation, many of Australia’s investments already align with best</w:t>
            </w:r>
            <w:r w:rsidR="008F6C9E">
              <w:t xml:space="preserve"> </w:t>
            </w:r>
            <w:r w:rsidRPr="00E2465B">
              <w:t>practice and thus achieve results and retain relevance. As such, many existing EVAWG investments will continue in some form.</w:t>
            </w:r>
          </w:p>
          <w:p w14:paraId="01495AF6" w14:textId="37EC3F35" w:rsidR="008F4201" w:rsidRPr="00E95155" w:rsidRDefault="008F4201" w:rsidP="002B24C3">
            <w:r w:rsidRPr="00E2465B">
              <w:t xml:space="preserve">At the same time, </w:t>
            </w:r>
            <w:r>
              <w:t>DFAT</w:t>
            </w:r>
            <w:r w:rsidRPr="00E2465B">
              <w:t xml:space="preserve"> recognise</w:t>
            </w:r>
            <w:r>
              <w:t>s</w:t>
            </w:r>
            <w:r w:rsidRPr="00E2465B">
              <w:t xml:space="preserve"> that the advances made in recent years in understanding what works to prevent violence p</w:t>
            </w:r>
            <w:r>
              <w:t xml:space="preserve">rovide </w:t>
            </w:r>
            <w:r w:rsidRPr="00E2465B">
              <w:t>new opportunities</w:t>
            </w:r>
            <w:r>
              <w:t xml:space="preserve"> for investment and partnership</w:t>
            </w:r>
            <w:r w:rsidRPr="00E2465B">
              <w:t xml:space="preserve">. In addition, new strategies and platforms for evaluation and learning provide scope to strengthen the outcomes of DFAT’s investments and policy dialogue. </w:t>
            </w:r>
            <w:r>
              <w:t>DFAT looks forward to</w:t>
            </w:r>
            <w:r w:rsidRPr="00E2465B">
              <w:t xml:space="preserve"> continu</w:t>
            </w:r>
            <w:r>
              <w:t>ing its</w:t>
            </w:r>
            <w:r w:rsidRPr="00E2465B">
              <w:t xml:space="preserve"> </w:t>
            </w:r>
            <w:r>
              <w:t xml:space="preserve">strong </w:t>
            </w:r>
            <w:r w:rsidRPr="00E2465B">
              <w:t>collaboration with development partners to deliver evidence-based, transformational and ethical EVAWG policy and programming.</w:t>
            </w:r>
          </w:p>
        </w:tc>
      </w:tr>
    </w:tbl>
    <w:p w14:paraId="287B3FED" w14:textId="77777777" w:rsidR="008F4201" w:rsidRDefault="008F4201" w:rsidP="008F4201">
      <w:pPr>
        <w:numPr>
          <w:ilvl w:val="0"/>
          <w:numId w:val="0"/>
        </w:numPr>
        <w:rPr>
          <w:rFonts w:asciiTheme="minorHAnsi" w:hAnsiTheme="minorHAnsi" w:cstheme="minorHAnsi"/>
          <w:b/>
          <w:sz w:val="20"/>
          <w:szCs w:val="20"/>
        </w:rPr>
      </w:pPr>
    </w:p>
    <w:tbl>
      <w:tblPr>
        <w:tblStyle w:val="TableGrid"/>
        <w:tblW w:w="5000" w:type="pct"/>
        <w:tblLook w:val="06A0" w:firstRow="1" w:lastRow="0" w:firstColumn="1" w:lastColumn="0" w:noHBand="1" w:noVBand="1"/>
        <w:tblCaption w:val="Individual management response to recommendations: Recommendation 1 "/>
      </w:tblPr>
      <w:tblGrid>
        <w:gridCol w:w="3682"/>
        <w:gridCol w:w="5946"/>
      </w:tblGrid>
      <w:tr w:rsidR="008F4201" w:rsidRPr="009A445C" w14:paraId="6FB895CA" w14:textId="77777777" w:rsidTr="0067086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2"/>
          </w:tcPr>
          <w:p w14:paraId="1B503972" w14:textId="77777777" w:rsidR="008F4201" w:rsidRPr="003A7E62" w:rsidRDefault="008F4201" w:rsidP="002B24C3">
            <w:r w:rsidRPr="003A7E62">
              <w:t>Responses to individual recommendations</w:t>
            </w:r>
          </w:p>
        </w:tc>
      </w:tr>
      <w:tr w:rsidR="008F4201" w:rsidRPr="009A445C" w14:paraId="3628A19B" w14:textId="77777777" w:rsidTr="00670869">
        <w:trPr>
          <w:trHeight w:val="60"/>
        </w:trPr>
        <w:tc>
          <w:tcPr>
            <w:cnfStyle w:val="001000000000" w:firstRow="0" w:lastRow="0" w:firstColumn="1" w:lastColumn="0" w:oddVBand="0" w:evenVBand="0" w:oddHBand="0" w:evenHBand="0" w:firstRowFirstColumn="0" w:firstRowLastColumn="0" w:lastRowFirstColumn="0" w:lastRowLastColumn="0"/>
            <w:tcW w:w="1912" w:type="pct"/>
            <w:shd w:val="clear" w:color="auto" w:fill="D9D9D9" w:themeFill="background1" w:themeFillShade="D9"/>
          </w:tcPr>
          <w:p w14:paraId="17575C3F" w14:textId="77777777" w:rsidR="008F4201" w:rsidRPr="003F28A9" w:rsidRDefault="008F4201" w:rsidP="002B24C3">
            <w:pPr>
              <w:rPr>
                <w:b w:val="0"/>
              </w:rPr>
            </w:pPr>
            <w:r w:rsidRPr="003F28A9">
              <w:t>R</w:t>
            </w:r>
            <w:r>
              <w:t>ECOMMENDATION</w:t>
            </w:r>
            <w:r w:rsidRPr="003F28A9">
              <w:t xml:space="preserve"> </w:t>
            </w:r>
            <w:r>
              <w:t>1</w:t>
            </w:r>
          </w:p>
        </w:tc>
        <w:tc>
          <w:tcPr>
            <w:tcW w:w="3088" w:type="pct"/>
            <w:shd w:val="clear" w:color="auto" w:fill="D9D9D9" w:themeFill="background1" w:themeFillShade="D9"/>
          </w:tcPr>
          <w:p w14:paraId="0D7AAC17" w14:textId="77777777" w:rsidR="008F4201" w:rsidRPr="003F28A9" w:rsidRDefault="008F4201" w:rsidP="002B24C3">
            <w:pPr>
              <w:cnfStyle w:val="000000000000" w:firstRow="0" w:lastRow="0" w:firstColumn="0" w:lastColumn="0" w:oddVBand="0" w:evenVBand="0" w:oddHBand="0" w:evenHBand="0" w:firstRowFirstColumn="0" w:firstRowLastColumn="0" w:lastRowFirstColumn="0" w:lastRowLastColumn="0"/>
              <w:rPr>
                <w:b/>
              </w:rPr>
            </w:pPr>
            <w:r w:rsidRPr="003F28A9">
              <w:t>R</w:t>
            </w:r>
            <w:r>
              <w:t>ESPONSE</w:t>
            </w:r>
          </w:p>
        </w:tc>
      </w:tr>
      <w:tr w:rsidR="008F4201" w:rsidRPr="009A445C" w14:paraId="7810DC26"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FCC9A70" w14:textId="69B3CC58" w:rsidR="008F4201" w:rsidRPr="007F0DF3" w:rsidRDefault="008F4201" w:rsidP="002B24C3">
            <w:pPr>
              <w:pStyle w:val="Heading3"/>
              <w:numPr>
                <w:ilvl w:val="0"/>
                <w:numId w:val="0"/>
              </w:numPr>
              <w:outlineLvl w:val="2"/>
            </w:pPr>
            <w:r w:rsidRPr="007F0DF3">
              <w:t xml:space="preserve">Sustain and strengthen fragile </w:t>
            </w:r>
            <w:r w:rsidR="008811A7">
              <w:br/>
            </w:r>
            <w:r w:rsidRPr="007F0DF3">
              <w:t>gains by:</w:t>
            </w:r>
          </w:p>
        </w:tc>
        <w:tc>
          <w:tcPr>
            <w:tcW w:w="3088" w:type="pct"/>
          </w:tcPr>
          <w:p w14:paraId="774DA070"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p>
        </w:tc>
      </w:tr>
      <w:tr w:rsidR="008F4201" w:rsidRPr="004A2821" w14:paraId="646686AD"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39DA9A90" w14:textId="77777777" w:rsidR="008F4201" w:rsidRPr="007F0DF3" w:rsidRDefault="008F4201" w:rsidP="005B677B">
            <w:pPr>
              <w:pStyle w:val="ListContinue"/>
            </w:pPr>
            <w:r w:rsidRPr="007F0DF3">
              <w:t>maintaining core funding where it exists, and expanding where it does</w:t>
            </w:r>
            <w:r w:rsidRPr="00110E72">
              <w:t xml:space="preserve"> not exist</w:t>
            </w:r>
            <w:r w:rsidRPr="007F0DF3">
              <w:t>, to local women's organisations to strengthen their critical and catalytic work</w:t>
            </w:r>
          </w:p>
        </w:tc>
        <w:tc>
          <w:tcPr>
            <w:tcW w:w="3088" w:type="pct"/>
          </w:tcPr>
          <w:p w14:paraId="12684A6D" w14:textId="77777777" w:rsidR="008F4201" w:rsidRPr="00C72C6D"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72C6D">
              <w:rPr>
                <w:b/>
                <w:bCs/>
                <w:color w:val="auto"/>
              </w:rPr>
              <w:t>Agree.</w:t>
            </w:r>
          </w:p>
          <w:p w14:paraId="45FBEF58" w14:textId="7E10FD4F" w:rsidR="008F4201" w:rsidRPr="00A034E6"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A2821">
              <w:rPr>
                <w:color w:val="auto"/>
              </w:rPr>
              <w:t xml:space="preserve">DFAT recognises that </w:t>
            </w:r>
            <w:r>
              <w:rPr>
                <w:color w:val="auto"/>
              </w:rPr>
              <w:t xml:space="preserve">the </w:t>
            </w:r>
            <w:r w:rsidRPr="004A2821">
              <w:rPr>
                <w:color w:val="auto"/>
              </w:rPr>
              <w:t xml:space="preserve">women’s </w:t>
            </w:r>
            <w:r>
              <w:rPr>
                <w:color w:val="auto"/>
              </w:rPr>
              <w:t>movement</w:t>
            </w:r>
            <w:r w:rsidRPr="004A2821">
              <w:rPr>
                <w:color w:val="auto"/>
              </w:rPr>
              <w:t xml:space="preserve"> play</w:t>
            </w:r>
            <w:r>
              <w:rPr>
                <w:color w:val="auto"/>
              </w:rPr>
              <w:t>s</w:t>
            </w:r>
            <w:r w:rsidRPr="004A2821">
              <w:rPr>
                <w:color w:val="auto"/>
              </w:rPr>
              <w:t xml:space="preserve"> an important role in EVAWG. The commitment made in the 2016 </w:t>
            </w:r>
            <w:r w:rsidRPr="004A2821">
              <w:rPr>
                <w:i/>
                <w:color w:val="auto"/>
              </w:rPr>
              <w:t xml:space="preserve">Gender </w:t>
            </w:r>
            <w:r>
              <w:rPr>
                <w:i/>
                <w:color w:val="auto"/>
              </w:rPr>
              <w:t>E</w:t>
            </w:r>
            <w:r w:rsidRPr="004A2821">
              <w:rPr>
                <w:i/>
                <w:color w:val="auto"/>
              </w:rPr>
              <w:t>quality</w:t>
            </w:r>
            <w:r>
              <w:rPr>
                <w:i/>
                <w:color w:val="auto"/>
              </w:rPr>
              <w:t xml:space="preserve"> and Women’s Empowerment Strategy</w:t>
            </w:r>
            <w:r w:rsidRPr="004A2821">
              <w:rPr>
                <w:color w:val="auto"/>
              </w:rPr>
              <w:t xml:space="preserve"> to</w:t>
            </w:r>
            <w:r>
              <w:rPr>
                <w:color w:val="auto"/>
              </w:rPr>
              <w:t xml:space="preserve"> support women’s organisations will be reaffirmed in the </w:t>
            </w:r>
            <w:r w:rsidRPr="00860952">
              <w:rPr>
                <w:color w:val="auto"/>
              </w:rPr>
              <w:t xml:space="preserve">EVAWG </w:t>
            </w:r>
            <w:r>
              <w:rPr>
                <w:color w:val="auto"/>
              </w:rPr>
              <w:t>f</w:t>
            </w:r>
            <w:r w:rsidRPr="00860952">
              <w:rPr>
                <w:color w:val="auto"/>
              </w:rPr>
              <w:t xml:space="preserve">ramework for </w:t>
            </w:r>
            <w:r>
              <w:rPr>
                <w:color w:val="auto"/>
              </w:rPr>
              <w:t>a</w:t>
            </w:r>
            <w:r w:rsidRPr="00860952">
              <w:rPr>
                <w:color w:val="auto"/>
              </w:rPr>
              <w:t>ction.</w:t>
            </w:r>
          </w:p>
          <w:p w14:paraId="6D19E233" w14:textId="77777777" w:rsidR="008F4201" w:rsidRPr="00A034E6"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DFAT will continue</w:t>
            </w:r>
            <w:r w:rsidRPr="004A2821">
              <w:rPr>
                <w:color w:val="auto"/>
              </w:rPr>
              <w:t xml:space="preserve"> its </w:t>
            </w:r>
            <w:r>
              <w:rPr>
                <w:color w:val="auto"/>
              </w:rPr>
              <w:t>support</w:t>
            </w:r>
            <w:r w:rsidRPr="004A2821">
              <w:rPr>
                <w:color w:val="auto"/>
              </w:rPr>
              <w:t xml:space="preserve"> to </w:t>
            </w:r>
            <w:r>
              <w:rPr>
                <w:color w:val="auto"/>
              </w:rPr>
              <w:t xml:space="preserve">women’s organisations through </w:t>
            </w:r>
            <w:r w:rsidRPr="00C14805">
              <w:rPr>
                <w:color w:val="auto"/>
              </w:rPr>
              <w:t xml:space="preserve">UN Women </w:t>
            </w:r>
            <w:r>
              <w:rPr>
                <w:color w:val="auto"/>
              </w:rPr>
              <w:t>and bilateral and regional funding, including through organisational strengthening.</w:t>
            </w:r>
            <w:r w:rsidRPr="004A2821">
              <w:rPr>
                <w:color w:val="auto"/>
              </w:rPr>
              <w:t xml:space="preserve"> </w:t>
            </w:r>
          </w:p>
          <w:p w14:paraId="1507B990" w14:textId="77777777" w:rsidR="008F4201" w:rsidRPr="00BF4052"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A2821">
              <w:rPr>
                <w:color w:val="auto"/>
              </w:rPr>
              <w:t xml:space="preserve">DFAT will proactively advocate for core funding to women’s organisations through, for example, its engagement with UN Women. Heads of </w:t>
            </w:r>
            <w:r>
              <w:rPr>
                <w:color w:val="auto"/>
              </w:rPr>
              <w:t>Posts</w:t>
            </w:r>
            <w:r w:rsidRPr="004A2821">
              <w:rPr>
                <w:color w:val="auto"/>
              </w:rPr>
              <w:t xml:space="preserve"> will consider how they can support women’s movements in the countries in which they operate, through fund</w:t>
            </w:r>
            <w:r>
              <w:rPr>
                <w:color w:val="auto"/>
              </w:rPr>
              <w:t>ing, advocacy and other means.</w:t>
            </w:r>
          </w:p>
        </w:tc>
      </w:tr>
      <w:tr w:rsidR="008F4201" w:rsidRPr="004A2821" w14:paraId="03E853AB"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C4991FC" w14:textId="42447216" w:rsidR="008F4201" w:rsidRPr="004A2821" w:rsidRDefault="008F4201" w:rsidP="005B677B">
            <w:pPr>
              <w:pStyle w:val="ListContinue"/>
            </w:pPr>
            <w:r w:rsidRPr="007F0DF3">
              <w:t xml:space="preserve">continuing to invest in regional funding </w:t>
            </w:r>
            <w:r w:rsidRPr="00C72C6D">
              <w:t>programs,</w:t>
            </w:r>
            <w:r w:rsidRPr="007F0DF3">
              <w:t xml:space="preserve"> such as </w:t>
            </w:r>
            <w:r w:rsidRPr="00C72C6D">
              <w:rPr>
                <w:iCs/>
              </w:rPr>
              <w:t>Pacific Women</w:t>
            </w:r>
            <w:r w:rsidRPr="00C72C6D">
              <w:t>,</w:t>
            </w:r>
            <w:r>
              <w:t xml:space="preserve"> </w:t>
            </w:r>
            <w:r w:rsidRPr="00C72C6D">
              <w:t>which</w:t>
            </w:r>
            <w:r w:rsidRPr="007F0DF3">
              <w:t xml:space="preserve"> can provide multi-year funding to more established programs, and ensuring that local organisations are able to access short</w:t>
            </w:r>
            <w:r w:rsidRPr="00C72C6D">
              <w:t>-</w:t>
            </w:r>
            <w:r w:rsidRPr="007F0DF3">
              <w:t xml:space="preserve">term, flexible funding </w:t>
            </w:r>
            <w:r w:rsidRPr="00226EA1">
              <w:t>through mechanisms such as the Fiji Women’s Fund</w:t>
            </w:r>
          </w:p>
        </w:tc>
        <w:tc>
          <w:tcPr>
            <w:tcW w:w="3088" w:type="pct"/>
          </w:tcPr>
          <w:p w14:paraId="3D72430B"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6382D64F"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DFAT</w:t>
            </w:r>
            <w:r w:rsidRPr="004A2821">
              <w:rPr>
                <w:color w:val="auto"/>
              </w:rPr>
              <w:t xml:space="preserve"> aims, at a minimum, to retain existing levels of funding to EVAWG over the next </w:t>
            </w:r>
            <w:r>
              <w:rPr>
                <w:color w:val="auto"/>
              </w:rPr>
              <w:t>10</w:t>
            </w:r>
            <w:r w:rsidRPr="004A2821">
              <w:rPr>
                <w:color w:val="auto"/>
              </w:rPr>
              <w:t xml:space="preserve"> years. This funding will be channelled through a variety of </w:t>
            </w:r>
            <w:r>
              <w:rPr>
                <w:color w:val="auto"/>
              </w:rPr>
              <w:t>means</w:t>
            </w:r>
            <w:r w:rsidRPr="004A2821">
              <w:rPr>
                <w:color w:val="auto"/>
              </w:rPr>
              <w:t>: global programs such as</w:t>
            </w:r>
            <w:r>
              <w:rPr>
                <w:color w:val="auto"/>
              </w:rPr>
              <w:t xml:space="preserve"> those by UN Women</w:t>
            </w:r>
            <w:r w:rsidRPr="004A2821">
              <w:rPr>
                <w:color w:val="auto"/>
              </w:rPr>
              <w:t xml:space="preserve">; regional initiatives such as </w:t>
            </w:r>
            <w:r w:rsidRPr="00C72C6D">
              <w:rPr>
                <w:iCs/>
                <w:color w:val="auto"/>
              </w:rPr>
              <w:t>Pacific Women Shaping Pacific Development</w:t>
            </w:r>
            <w:r>
              <w:rPr>
                <w:iCs/>
                <w:color w:val="auto"/>
              </w:rPr>
              <w:t xml:space="preserve"> (Pacific Women)</w:t>
            </w:r>
            <w:r w:rsidRPr="00883DD7">
              <w:rPr>
                <w:iCs/>
                <w:color w:val="auto"/>
              </w:rPr>
              <w:t>;</w:t>
            </w:r>
            <w:r w:rsidRPr="004A2821">
              <w:rPr>
                <w:color w:val="auto"/>
              </w:rPr>
              <w:t xml:space="preserve"> bilateral funding; and the </w:t>
            </w:r>
            <w:r w:rsidRPr="00C72C6D">
              <w:rPr>
                <w:iCs/>
                <w:color w:val="auto"/>
              </w:rPr>
              <w:t>Australian NGO Cooperation Program</w:t>
            </w:r>
            <w:r w:rsidRPr="004A2821">
              <w:rPr>
                <w:color w:val="auto"/>
              </w:rPr>
              <w:t xml:space="preserve">. </w:t>
            </w:r>
            <w:r>
              <w:rPr>
                <w:color w:val="auto"/>
              </w:rPr>
              <w:t xml:space="preserve">The </w:t>
            </w:r>
            <w:r w:rsidRPr="009766F6">
              <w:rPr>
                <w:iCs/>
                <w:color w:val="auto"/>
              </w:rPr>
              <w:t>Fiji Women’s Fund</w:t>
            </w:r>
            <w:r>
              <w:rPr>
                <w:color w:val="auto"/>
              </w:rPr>
              <w:t xml:space="preserve"> is expected to run until at least 2022. </w:t>
            </w:r>
          </w:p>
          <w:p w14:paraId="2D648252" w14:textId="77777777" w:rsidR="008F4201" w:rsidRPr="003841D5"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DFAT will look at options to scale up investments in EVAWG through the </w:t>
            </w:r>
            <w:r w:rsidRPr="004A2821">
              <w:rPr>
                <w:color w:val="auto"/>
              </w:rPr>
              <w:t>Gender Equality Fund</w:t>
            </w:r>
            <w:r>
              <w:rPr>
                <w:color w:val="auto"/>
              </w:rPr>
              <w:t xml:space="preserve"> over the next five years.</w:t>
            </w:r>
          </w:p>
        </w:tc>
      </w:tr>
      <w:tr w:rsidR="008F4201" w:rsidRPr="009A445C" w14:paraId="79C4B910"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02DE6C5D" w14:textId="77777777" w:rsidR="008F4201" w:rsidRPr="009A445C" w:rsidRDefault="008F4201" w:rsidP="005B677B">
            <w:pPr>
              <w:pStyle w:val="ListContinue"/>
            </w:pPr>
            <w:r w:rsidRPr="009A445C">
              <w:t>intensifying high-level policy dialogue to encourage governments to incorporate comprehensive responses to VAWG in national budgets</w:t>
            </w:r>
          </w:p>
        </w:tc>
        <w:tc>
          <w:tcPr>
            <w:tcW w:w="3088" w:type="pct"/>
          </w:tcPr>
          <w:p w14:paraId="29EFE9D4"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73EA2CC7"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r>
              <w:t xml:space="preserve">DFAT’s </w:t>
            </w:r>
            <w:r w:rsidRPr="00860952">
              <w:t xml:space="preserve">EVAWG </w:t>
            </w:r>
            <w:r>
              <w:t>f</w:t>
            </w:r>
            <w:r w:rsidRPr="00860952">
              <w:t xml:space="preserve">ramework for </w:t>
            </w:r>
            <w:r>
              <w:t>a</w:t>
            </w:r>
            <w:r w:rsidRPr="00860952">
              <w:t>ction</w:t>
            </w:r>
            <w:r>
              <w:t xml:space="preserve"> will identify gender-responsive budgeting as an area of focus in high-level policy dialogue. This is especially relevant for the implementation of violence against women and girls (VAWG)-related justice, health and support services.</w:t>
            </w:r>
          </w:p>
        </w:tc>
      </w:tr>
      <w:tr w:rsidR="008F4201" w:rsidRPr="004A2821" w14:paraId="6134CCE8"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0AFC94E0" w14:textId="61A0DB9A" w:rsidR="008F4201" w:rsidRPr="004A2821" w:rsidRDefault="008F4201" w:rsidP="005B677B">
            <w:pPr>
              <w:pStyle w:val="ListContinue"/>
            </w:pPr>
            <w:r w:rsidRPr="004A2821">
              <w:t>integrating EVAWG, and VAWG prevention, in all development cooperation, including sector</w:t>
            </w:r>
            <w:r>
              <w:t>-</w:t>
            </w:r>
            <w:r w:rsidRPr="004A2821">
              <w:t>specific support to health, education, social protection</w:t>
            </w:r>
            <w:r>
              <w:t xml:space="preserve"> and</w:t>
            </w:r>
            <w:r w:rsidRPr="004A2821">
              <w:t xml:space="preserve"> economic empowerment</w:t>
            </w:r>
            <w:r>
              <w:t>, and in</w:t>
            </w:r>
            <w:r w:rsidRPr="004A2821">
              <w:t xml:space="preserve"> non-traditional sectors such as infrastructure, transport and finance</w:t>
            </w:r>
          </w:p>
        </w:tc>
        <w:tc>
          <w:tcPr>
            <w:tcW w:w="3088" w:type="pct"/>
          </w:tcPr>
          <w:p w14:paraId="16E804CF"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5E0D2BD9" w14:textId="77777777" w:rsidR="008F4201" w:rsidRPr="00B750CC"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The</w:t>
            </w:r>
            <w:r w:rsidRPr="0001752E">
              <w:rPr>
                <w:i/>
                <w:color w:val="auto"/>
              </w:rPr>
              <w:t xml:space="preserve"> </w:t>
            </w:r>
            <w:r w:rsidRPr="00860952">
              <w:rPr>
                <w:color w:val="auto"/>
              </w:rPr>
              <w:t xml:space="preserve">EVAWG </w:t>
            </w:r>
            <w:r>
              <w:rPr>
                <w:color w:val="auto"/>
              </w:rPr>
              <w:t>f</w:t>
            </w:r>
            <w:r w:rsidRPr="00860952">
              <w:rPr>
                <w:color w:val="auto"/>
              </w:rPr>
              <w:t xml:space="preserve">ramework for </w:t>
            </w:r>
            <w:r>
              <w:rPr>
                <w:color w:val="auto"/>
              </w:rPr>
              <w:t>a</w:t>
            </w:r>
            <w:r w:rsidRPr="00860952">
              <w:rPr>
                <w:color w:val="auto"/>
              </w:rPr>
              <w:t>ction</w:t>
            </w:r>
            <w:r>
              <w:rPr>
                <w:color w:val="auto"/>
              </w:rPr>
              <w:t xml:space="preserve"> </w:t>
            </w:r>
            <w:r w:rsidRPr="004A2821">
              <w:rPr>
                <w:color w:val="auto"/>
              </w:rPr>
              <w:t xml:space="preserve">will provide practical guidance to support integration of EVAWG policy dialogue and programming across </w:t>
            </w:r>
            <w:r>
              <w:rPr>
                <w:color w:val="auto"/>
              </w:rPr>
              <w:t>DFAT</w:t>
            </w:r>
            <w:r w:rsidRPr="004A2821">
              <w:rPr>
                <w:color w:val="auto"/>
              </w:rPr>
              <w:t xml:space="preserve">.  </w:t>
            </w:r>
          </w:p>
          <w:p w14:paraId="3A581BF1" w14:textId="61CF0199" w:rsidR="008F4201" w:rsidRPr="0001752E"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lang w:val="en-GB" w:eastAsia="en-AU"/>
              </w:rPr>
              <w:t>The Gender Eq</w:t>
            </w:r>
            <w:r w:rsidRPr="004A2821">
              <w:rPr>
                <w:lang w:val="en-GB" w:eastAsia="en-AU"/>
              </w:rPr>
              <w:t>uality Bran</w:t>
            </w:r>
            <w:r>
              <w:rPr>
                <w:lang w:val="en-GB" w:eastAsia="en-AU"/>
              </w:rPr>
              <w:t>ch will</w:t>
            </w:r>
            <w:r w:rsidRPr="004A2821">
              <w:rPr>
                <w:lang w:val="en-GB" w:eastAsia="en-AU"/>
              </w:rPr>
              <w:t xml:space="preserve"> explor</w:t>
            </w:r>
            <w:r>
              <w:rPr>
                <w:lang w:val="en-GB" w:eastAsia="en-AU"/>
              </w:rPr>
              <w:t>e</w:t>
            </w:r>
            <w:r w:rsidRPr="004A2821">
              <w:rPr>
                <w:lang w:val="en-GB" w:eastAsia="en-AU"/>
              </w:rPr>
              <w:t xml:space="preserve"> </w:t>
            </w:r>
            <w:r>
              <w:rPr>
                <w:lang w:val="en-GB" w:eastAsia="en-AU"/>
              </w:rPr>
              <w:t>ways</w:t>
            </w:r>
            <w:r w:rsidRPr="004A2821">
              <w:rPr>
                <w:lang w:val="en-GB" w:eastAsia="en-AU"/>
              </w:rPr>
              <w:t xml:space="preserve"> to provide additional support to DFAT staff and implemen</w:t>
            </w:r>
            <w:r>
              <w:rPr>
                <w:lang w:val="en-GB" w:eastAsia="en-AU"/>
              </w:rPr>
              <w:t xml:space="preserve">ting partners to </w:t>
            </w:r>
            <w:r w:rsidRPr="004A2821">
              <w:rPr>
                <w:lang w:val="en-GB" w:eastAsia="en-AU"/>
              </w:rPr>
              <w:t xml:space="preserve">improve </w:t>
            </w:r>
            <w:r w:rsidR="008F6C9E">
              <w:rPr>
                <w:lang w:val="en-GB" w:eastAsia="en-AU"/>
              </w:rPr>
              <w:t xml:space="preserve">the </w:t>
            </w:r>
            <w:r w:rsidRPr="004A2821">
              <w:rPr>
                <w:lang w:val="en-GB" w:eastAsia="en-AU"/>
              </w:rPr>
              <w:t>design, monitoring and ev</w:t>
            </w:r>
            <w:r>
              <w:rPr>
                <w:lang w:val="en-GB" w:eastAsia="en-AU"/>
              </w:rPr>
              <w:t xml:space="preserve">aluation of EVAWG and other investments, including in crisis situations, fragile and conflict-affected states and in unsupportive political environments. This work will also focus on mainstreaming across other sectors and </w:t>
            </w:r>
            <w:r w:rsidR="008F6C9E">
              <w:rPr>
                <w:lang w:val="en-GB" w:eastAsia="en-AU"/>
              </w:rPr>
              <w:t>building</w:t>
            </w:r>
            <w:r>
              <w:rPr>
                <w:lang w:val="en-GB" w:eastAsia="en-AU"/>
              </w:rPr>
              <w:t xml:space="preserve"> on the commitment to prevent sexual exploitation, abuse and harassment that is given effect through DFAT’s </w:t>
            </w:r>
            <w:r>
              <w:rPr>
                <w:iCs/>
                <w:lang w:val="en-GB" w:eastAsia="en-AU"/>
              </w:rPr>
              <w:t>policy on this subject.</w:t>
            </w:r>
          </w:p>
        </w:tc>
      </w:tr>
      <w:tr w:rsidR="008F4201" w:rsidRPr="004A2821" w14:paraId="3FAD10DD"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1A5D0C0" w14:textId="46EF7053" w:rsidR="008F4201" w:rsidRPr="004A2821" w:rsidRDefault="008F4201" w:rsidP="005B677B">
            <w:pPr>
              <w:pStyle w:val="ListContinue"/>
            </w:pPr>
            <w:r w:rsidRPr="004A2821">
              <w:t xml:space="preserve">playing a stronger global leadership role, </w:t>
            </w:r>
            <w:r>
              <w:t>by</w:t>
            </w:r>
            <w:r w:rsidRPr="004A2821">
              <w:t xml:space="preserve"> collaborating with other donors and key global partnerships</w:t>
            </w:r>
            <w:r>
              <w:t>—</w:t>
            </w:r>
            <w:r w:rsidRPr="004A2821">
              <w:t>such as</w:t>
            </w:r>
            <w:r>
              <w:t xml:space="preserve"> the </w:t>
            </w:r>
            <w:r w:rsidR="00046D1C">
              <w:t xml:space="preserve">United Kingdom’s </w:t>
            </w:r>
            <w:r>
              <w:t>Department of International Development’s</w:t>
            </w:r>
            <w:r w:rsidR="005B677B">
              <w:t xml:space="preserve"> (DFID)</w:t>
            </w:r>
            <w:r>
              <w:t xml:space="preserve"> What Works </w:t>
            </w:r>
            <w:r w:rsidRPr="004A2821">
              <w:t>global program, the U</w:t>
            </w:r>
            <w:r>
              <w:t xml:space="preserve">nited </w:t>
            </w:r>
            <w:r w:rsidRPr="004A2821">
              <w:t>N</w:t>
            </w:r>
            <w:r>
              <w:t>ations</w:t>
            </w:r>
            <w:r w:rsidR="005B677B">
              <w:t xml:space="preserve"> (UN)</w:t>
            </w:r>
            <w:r w:rsidRPr="004A2821">
              <w:t xml:space="preserve">-led RESPECT framework, </w:t>
            </w:r>
            <w:r w:rsidR="005B677B">
              <w:t xml:space="preserve">and </w:t>
            </w:r>
            <w:r w:rsidRPr="004A2821">
              <w:t>the European Union-funded Spotlight Initiative</w:t>
            </w:r>
            <w:r>
              <w:t>—</w:t>
            </w:r>
            <w:r w:rsidRPr="004A2821">
              <w:t xml:space="preserve">and increasing </w:t>
            </w:r>
            <w:r w:rsidR="005B677B">
              <w:t xml:space="preserve">the </w:t>
            </w:r>
            <w:r w:rsidRPr="004A2821">
              <w:t>visibility of Australia’s EVAWG programming and partners at global conferences and events</w:t>
            </w:r>
            <w:r w:rsidR="005B677B">
              <w:t>.</w:t>
            </w:r>
          </w:p>
        </w:tc>
        <w:tc>
          <w:tcPr>
            <w:tcW w:w="3088" w:type="pct"/>
          </w:tcPr>
          <w:p w14:paraId="114621E1"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4A8E7D32" w14:textId="4B054895" w:rsidR="008F4201" w:rsidRPr="00474359"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74359">
              <w:rPr>
                <w:color w:val="auto"/>
              </w:rPr>
              <w:t>Over the last decade, Australia’s active political engagement at global, regional and local levels</w:t>
            </w:r>
            <w:r>
              <w:rPr>
                <w:color w:val="auto"/>
              </w:rPr>
              <w:t>,</w:t>
            </w:r>
            <w:r w:rsidRPr="00474359">
              <w:rPr>
                <w:color w:val="auto"/>
              </w:rPr>
              <w:t xml:space="preserve"> supported by sizeable funding commitments, has demonstrated that</w:t>
            </w:r>
            <w:r>
              <w:rPr>
                <w:color w:val="auto"/>
              </w:rPr>
              <w:t xml:space="preserve"> Australia does and can continue to play a strong </w:t>
            </w:r>
            <w:r w:rsidRPr="00474359">
              <w:rPr>
                <w:color w:val="auto"/>
              </w:rPr>
              <w:t>leadership role</w:t>
            </w:r>
            <w:r>
              <w:rPr>
                <w:color w:val="auto"/>
              </w:rPr>
              <w:t>.</w:t>
            </w:r>
          </w:p>
          <w:p w14:paraId="5765B371" w14:textId="41CC60F1" w:rsidR="008F4201"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74359">
              <w:rPr>
                <w:color w:val="auto"/>
              </w:rPr>
              <w:t xml:space="preserve">DFAT will </w:t>
            </w:r>
            <w:r>
              <w:rPr>
                <w:color w:val="auto"/>
              </w:rPr>
              <w:t xml:space="preserve">continue to </w:t>
            </w:r>
            <w:r w:rsidRPr="00474359">
              <w:rPr>
                <w:color w:val="auto"/>
              </w:rPr>
              <w:t>engage and collaborate with other donors, particularly as new initiatives</w:t>
            </w:r>
            <w:r w:rsidR="00D360AE">
              <w:rPr>
                <w:color w:val="auto"/>
              </w:rPr>
              <w:t xml:space="preserve">, </w:t>
            </w:r>
            <w:r w:rsidRPr="00474359">
              <w:rPr>
                <w:color w:val="auto"/>
              </w:rPr>
              <w:t xml:space="preserve">such as </w:t>
            </w:r>
            <w:r>
              <w:rPr>
                <w:color w:val="auto"/>
              </w:rPr>
              <w:t xml:space="preserve">the </w:t>
            </w:r>
            <w:r w:rsidRPr="009766F6">
              <w:rPr>
                <w:iCs/>
                <w:color w:val="auto"/>
              </w:rPr>
              <w:t>Spotlight</w:t>
            </w:r>
            <w:r w:rsidRPr="00067A9F">
              <w:rPr>
                <w:iCs/>
                <w:color w:val="auto"/>
              </w:rPr>
              <w:t xml:space="preserve"> Initiative</w:t>
            </w:r>
            <w:r w:rsidR="00D360AE">
              <w:rPr>
                <w:iCs/>
                <w:color w:val="auto"/>
              </w:rPr>
              <w:t>,</w:t>
            </w:r>
            <w:r>
              <w:rPr>
                <w:color w:val="auto"/>
              </w:rPr>
              <w:t xml:space="preserve"> </w:t>
            </w:r>
            <w:r w:rsidRPr="00474359">
              <w:rPr>
                <w:color w:val="auto"/>
              </w:rPr>
              <w:t xml:space="preserve">scale up in </w:t>
            </w:r>
            <w:r>
              <w:rPr>
                <w:color w:val="auto"/>
              </w:rPr>
              <w:t>the</w:t>
            </w:r>
            <w:r w:rsidRPr="00474359">
              <w:rPr>
                <w:color w:val="auto"/>
              </w:rPr>
              <w:t xml:space="preserve"> region. </w:t>
            </w:r>
          </w:p>
          <w:p w14:paraId="73A1CC71" w14:textId="77777777" w:rsidR="008F4201" w:rsidRPr="00474359"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74359">
              <w:rPr>
                <w:color w:val="auto"/>
              </w:rPr>
              <w:t>DFAT will contribute to</w:t>
            </w:r>
            <w:r>
              <w:rPr>
                <w:color w:val="auto"/>
              </w:rPr>
              <w:t xml:space="preserve"> the</w:t>
            </w:r>
            <w:r w:rsidRPr="00474359">
              <w:rPr>
                <w:color w:val="auto"/>
              </w:rPr>
              <w:t xml:space="preserve"> </w:t>
            </w:r>
            <w:r w:rsidRPr="009766F6">
              <w:rPr>
                <w:iCs/>
                <w:color w:val="auto"/>
              </w:rPr>
              <w:t xml:space="preserve">Pacific </w:t>
            </w:r>
            <w:r w:rsidRPr="00712DBE">
              <w:rPr>
                <w:iCs/>
                <w:color w:val="auto"/>
              </w:rPr>
              <w:t>Partnership to End Violence Against Women and Girls</w:t>
            </w:r>
            <w:r w:rsidRPr="00474359">
              <w:rPr>
                <w:i/>
                <w:color w:val="auto"/>
              </w:rPr>
              <w:t xml:space="preserve"> </w:t>
            </w:r>
            <w:r w:rsidRPr="00474359">
              <w:rPr>
                <w:color w:val="auto"/>
              </w:rPr>
              <w:t>and other multi-donor EVAWG initiatives such as th</w:t>
            </w:r>
            <w:r>
              <w:rPr>
                <w:color w:val="auto"/>
              </w:rPr>
              <w:t>ose with UN Women.</w:t>
            </w:r>
            <w:r w:rsidRPr="00474359">
              <w:rPr>
                <w:color w:val="auto"/>
              </w:rPr>
              <w:t xml:space="preserve"> </w:t>
            </w:r>
          </w:p>
          <w:p w14:paraId="212CF573" w14:textId="77777777" w:rsidR="008F4201" w:rsidRPr="00474359"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74359">
              <w:rPr>
                <w:color w:val="auto"/>
              </w:rPr>
              <w:t xml:space="preserve">In 2019, DFAT joined other donors and multilateral </w:t>
            </w:r>
            <w:r>
              <w:rPr>
                <w:color w:val="auto"/>
              </w:rPr>
              <w:t>organisations</w:t>
            </w:r>
            <w:r w:rsidRPr="00474359">
              <w:rPr>
                <w:color w:val="auto"/>
              </w:rPr>
              <w:t xml:space="preserve"> in endorsing the World Health Organi</w:t>
            </w:r>
            <w:r>
              <w:rPr>
                <w:color w:val="auto"/>
              </w:rPr>
              <w:t>z</w:t>
            </w:r>
            <w:r w:rsidRPr="00474359">
              <w:rPr>
                <w:color w:val="auto"/>
              </w:rPr>
              <w:t xml:space="preserve">ation’s </w:t>
            </w:r>
            <w:r w:rsidRPr="00712DBE">
              <w:rPr>
                <w:iCs/>
                <w:color w:val="auto"/>
              </w:rPr>
              <w:t>RESPECT</w:t>
            </w:r>
            <w:r w:rsidRPr="00474359">
              <w:rPr>
                <w:i/>
                <w:color w:val="auto"/>
              </w:rPr>
              <w:t xml:space="preserve"> </w:t>
            </w:r>
            <w:r w:rsidRPr="00474359">
              <w:rPr>
                <w:color w:val="auto"/>
              </w:rPr>
              <w:t>framework for preventing violence against women. Th</w:t>
            </w:r>
            <w:r>
              <w:rPr>
                <w:color w:val="auto"/>
              </w:rPr>
              <w:t>is</w:t>
            </w:r>
            <w:r w:rsidRPr="00474359">
              <w:rPr>
                <w:color w:val="auto"/>
              </w:rPr>
              <w:t xml:space="preserve"> framework </w:t>
            </w:r>
            <w:r>
              <w:rPr>
                <w:color w:val="auto"/>
              </w:rPr>
              <w:t xml:space="preserve">will </w:t>
            </w:r>
            <w:r w:rsidRPr="00474359">
              <w:rPr>
                <w:color w:val="auto"/>
              </w:rPr>
              <w:t xml:space="preserve">inform DFAT’s </w:t>
            </w:r>
            <w:r w:rsidRPr="00EE2046">
              <w:rPr>
                <w:color w:val="auto"/>
              </w:rPr>
              <w:t xml:space="preserve">EVAWG </w:t>
            </w:r>
            <w:r>
              <w:rPr>
                <w:color w:val="auto"/>
              </w:rPr>
              <w:t>f</w:t>
            </w:r>
            <w:r w:rsidRPr="00EE2046">
              <w:rPr>
                <w:color w:val="auto"/>
              </w:rPr>
              <w:t xml:space="preserve">ramework for </w:t>
            </w:r>
            <w:r>
              <w:rPr>
                <w:color w:val="auto"/>
              </w:rPr>
              <w:t>a</w:t>
            </w:r>
            <w:r w:rsidRPr="00EE2046">
              <w:rPr>
                <w:color w:val="auto"/>
              </w:rPr>
              <w:t>ction,</w:t>
            </w:r>
            <w:r w:rsidRPr="00474359">
              <w:rPr>
                <w:color w:val="auto"/>
              </w:rPr>
              <w:t xml:space="preserve"> in particular strategies for effective programming.</w:t>
            </w:r>
          </w:p>
          <w:p w14:paraId="54D113EB" w14:textId="77777777" w:rsidR="008F4201" w:rsidRPr="00474359"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74359">
              <w:rPr>
                <w:color w:val="auto"/>
              </w:rPr>
              <w:t>DFAT aims to give voice to civil society</w:t>
            </w:r>
            <w:r>
              <w:rPr>
                <w:color w:val="auto"/>
              </w:rPr>
              <w:t>,</w:t>
            </w:r>
            <w:r w:rsidRPr="00474359">
              <w:rPr>
                <w:color w:val="auto"/>
              </w:rPr>
              <w:t xml:space="preserve"> especially women</w:t>
            </w:r>
            <w:r>
              <w:rPr>
                <w:color w:val="auto"/>
              </w:rPr>
              <w:t>,</w:t>
            </w:r>
            <w:r w:rsidRPr="00474359">
              <w:rPr>
                <w:color w:val="auto"/>
              </w:rPr>
              <w:t xml:space="preserve"> in Asia and the Pacific through advocacy and through support </w:t>
            </w:r>
            <w:r>
              <w:rPr>
                <w:color w:val="auto"/>
              </w:rPr>
              <w:t xml:space="preserve">to participate in </w:t>
            </w:r>
            <w:r w:rsidRPr="00474359">
              <w:rPr>
                <w:color w:val="auto"/>
              </w:rPr>
              <w:t>key global and regional fora</w:t>
            </w:r>
            <w:r>
              <w:rPr>
                <w:color w:val="auto"/>
              </w:rPr>
              <w:t>.</w:t>
            </w:r>
            <w:r w:rsidRPr="00474359">
              <w:rPr>
                <w:color w:val="auto"/>
              </w:rPr>
              <w:t xml:space="preserve">  This will remain a priority</w:t>
            </w:r>
            <w:r>
              <w:rPr>
                <w:color w:val="auto"/>
              </w:rPr>
              <w:t>.</w:t>
            </w:r>
            <w:r w:rsidRPr="00474359">
              <w:rPr>
                <w:color w:val="auto"/>
              </w:rPr>
              <w:t xml:space="preserve"> </w:t>
            </w:r>
          </w:p>
          <w:p w14:paraId="73F601B9" w14:textId="77777777" w:rsidR="008F4201" w:rsidRPr="00474359"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DFAT will develop tools to support </w:t>
            </w:r>
            <w:r w:rsidRPr="00474359">
              <w:rPr>
                <w:color w:val="auto"/>
              </w:rPr>
              <w:t xml:space="preserve">Australia’s High Commissions and Embassies </w:t>
            </w:r>
            <w:r>
              <w:rPr>
                <w:color w:val="auto"/>
              </w:rPr>
              <w:t>to</w:t>
            </w:r>
            <w:r w:rsidRPr="00474359">
              <w:rPr>
                <w:color w:val="auto"/>
              </w:rPr>
              <w:t xml:space="preserve"> model leadership in EVAWG through their internal policies and operations as well as through policy dialogue, advocacy and investments.</w:t>
            </w:r>
          </w:p>
        </w:tc>
      </w:tr>
    </w:tbl>
    <w:p w14:paraId="6D6CD575" w14:textId="77777777" w:rsidR="008F4201" w:rsidRDefault="008F4201" w:rsidP="008F4201">
      <w:pPr>
        <w:numPr>
          <w:ilvl w:val="0"/>
          <w:numId w:val="0"/>
        </w:numPr>
        <w:spacing w:after="160" w:line="259" w:lineRule="auto"/>
        <w:rPr>
          <w:rFonts w:asciiTheme="minorHAnsi" w:hAnsiTheme="minorHAnsi" w:cstheme="minorHAnsi"/>
          <w:sz w:val="20"/>
          <w:szCs w:val="20"/>
        </w:rPr>
      </w:pPr>
    </w:p>
    <w:p w14:paraId="0345EE48" w14:textId="77777777" w:rsidR="008F4201" w:rsidRDefault="008F4201" w:rsidP="008F4201">
      <w:pPr>
        <w:numPr>
          <w:ilvl w:val="0"/>
          <w:numId w:val="0"/>
        </w:numPr>
        <w:rPr>
          <w:rFonts w:asciiTheme="minorHAnsi" w:hAnsiTheme="minorHAnsi" w:cstheme="minorHAnsi"/>
          <w:sz w:val="20"/>
          <w:szCs w:val="20"/>
        </w:rPr>
      </w:pPr>
    </w:p>
    <w:tbl>
      <w:tblPr>
        <w:tblStyle w:val="TableGrid"/>
        <w:tblW w:w="5000" w:type="pct"/>
        <w:tblLook w:val="06A0" w:firstRow="1" w:lastRow="0" w:firstColumn="1" w:lastColumn="0" w:noHBand="1" w:noVBand="1"/>
        <w:tblCaption w:val="Individual management response to recommendations: Recommendation 1 "/>
      </w:tblPr>
      <w:tblGrid>
        <w:gridCol w:w="3682"/>
        <w:gridCol w:w="5946"/>
      </w:tblGrid>
      <w:tr w:rsidR="008F4201" w:rsidRPr="009A445C" w14:paraId="6A7E6781" w14:textId="77777777" w:rsidTr="0067086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12" w:type="pct"/>
          </w:tcPr>
          <w:p w14:paraId="2CD2EE8A" w14:textId="77777777" w:rsidR="008F4201" w:rsidRPr="009A445C" w:rsidRDefault="008F4201" w:rsidP="002B24C3">
            <w:pPr>
              <w:rPr>
                <w:b w:val="0"/>
              </w:rPr>
            </w:pPr>
            <w:r w:rsidRPr="009A445C">
              <w:t>R</w:t>
            </w:r>
            <w:r>
              <w:t>ECOMMENDATION</w:t>
            </w:r>
            <w:r w:rsidRPr="009A445C">
              <w:t xml:space="preserve"> </w:t>
            </w:r>
            <w:r>
              <w:t>2</w:t>
            </w:r>
          </w:p>
        </w:tc>
        <w:tc>
          <w:tcPr>
            <w:tcW w:w="3088" w:type="pct"/>
          </w:tcPr>
          <w:p w14:paraId="3315E852" w14:textId="77777777" w:rsidR="008F4201" w:rsidRPr="00FF28A0" w:rsidRDefault="008F4201" w:rsidP="002B24C3">
            <w:pPr>
              <w:cnfStyle w:val="100000000000" w:firstRow="1" w:lastRow="0" w:firstColumn="0" w:lastColumn="0" w:oddVBand="0" w:evenVBand="0" w:oddHBand="0" w:evenHBand="0" w:firstRowFirstColumn="0" w:firstRowLastColumn="0" w:lastRowFirstColumn="0" w:lastRowLastColumn="0"/>
            </w:pPr>
            <w:r>
              <w:t>RESPONSE</w:t>
            </w:r>
          </w:p>
        </w:tc>
      </w:tr>
      <w:tr w:rsidR="008F4201" w:rsidRPr="009A445C" w14:paraId="3B08E298"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0E55B847" w14:textId="77777777" w:rsidR="008F4201" w:rsidRPr="00AC5895" w:rsidRDefault="008F4201" w:rsidP="002B24C3">
            <w:pPr>
              <w:pStyle w:val="Heading3"/>
              <w:numPr>
                <w:ilvl w:val="0"/>
                <w:numId w:val="0"/>
              </w:numPr>
              <w:outlineLvl w:val="2"/>
            </w:pPr>
            <w:r w:rsidRPr="00AC5895">
              <w:t>Focus on investments that support the development and implementation of EVAWG legislation with an emphasis on:</w:t>
            </w:r>
          </w:p>
        </w:tc>
        <w:tc>
          <w:tcPr>
            <w:tcW w:w="3088" w:type="pct"/>
          </w:tcPr>
          <w:p w14:paraId="098B2B4D"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p>
        </w:tc>
      </w:tr>
      <w:tr w:rsidR="008F4201" w:rsidRPr="004A2821" w14:paraId="3B328C24"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5EE9AED8" w14:textId="100CDE87" w:rsidR="001A004E" w:rsidRPr="00EF65AE" w:rsidRDefault="001A004E" w:rsidP="005B677B">
            <w:pPr>
              <w:pStyle w:val="ListContinue"/>
            </w:pPr>
            <w:r w:rsidRPr="00EF65AE">
              <w:t xml:space="preserve">strengthening formal justice responses for marginalised women and girls, including women and girls </w:t>
            </w:r>
            <w:r w:rsidRPr="004B1F17">
              <w:t>with disabilities</w:t>
            </w:r>
            <w:r>
              <w:t xml:space="preserve"> and</w:t>
            </w:r>
            <w:r w:rsidRPr="004B1F17">
              <w:t xml:space="preserve"> those living</w:t>
            </w:r>
            <w:r w:rsidRPr="00EF65AE">
              <w:t xml:space="preserve"> in rural areas</w:t>
            </w:r>
          </w:p>
          <w:p w14:paraId="45E57533" w14:textId="7D7DDF2E" w:rsidR="008F4201" w:rsidRPr="004A2821" w:rsidRDefault="008F4201" w:rsidP="005B677B">
            <w:pPr>
              <w:pStyle w:val="ListBullet"/>
              <w:numPr>
                <w:ilvl w:val="0"/>
                <w:numId w:val="0"/>
              </w:numPr>
              <w:ind w:left="360"/>
            </w:pPr>
          </w:p>
        </w:tc>
        <w:tc>
          <w:tcPr>
            <w:tcW w:w="3088" w:type="pct"/>
          </w:tcPr>
          <w:p w14:paraId="0ECE127A"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12A789D8" w14:textId="77777777" w:rsidR="008F4201" w:rsidRPr="00B40FD8"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Pr>
                <w:lang w:val="en-GB" w:eastAsia="en-AU"/>
              </w:rPr>
              <w:t xml:space="preserve">The </w:t>
            </w:r>
            <w:r w:rsidRPr="00EE2046">
              <w:rPr>
                <w:lang w:val="en-GB" w:eastAsia="en-AU"/>
              </w:rPr>
              <w:t xml:space="preserve">EVAWG </w:t>
            </w:r>
            <w:r>
              <w:rPr>
                <w:lang w:val="en-GB" w:eastAsia="en-AU"/>
              </w:rPr>
              <w:t>f</w:t>
            </w:r>
            <w:r w:rsidRPr="00EE2046">
              <w:rPr>
                <w:lang w:val="en-GB" w:eastAsia="en-AU"/>
              </w:rPr>
              <w:t xml:space="preserve">ramework for </w:t>
            </w:r>
            <w:r>
              <w:rPr>
                <w:lang w:val="en-GB" w:eastAsia="en-AU"/>
              </w:rPr>
              <w:t>a</w:t>
            </w:r>
            <w:r w:rsidRPr="00EE2046">
              <w:rPr>
                <w:lang w:val="en-GB" w:eastAsia="en-AU"/>
              </w:rPr>
              <w:t>ction</w:t>
            </w:r>
            <w:r w:rsidRPr="004A2821">
              <w:rPr>
                <w:lang w:val="en-GB" w:eastAsia="en-AU"/>
              </w:rPr>
              <w:t xml:space="preserve"> will establish increased access to justice, including for the most marginalised women and girls, as an objective for </w:t>
            </w:r>
            <w:r>
              <w:rPr>
                <w:lang w:val="en-GB" w:eastAsia="en-AU"/>
              </w:rPr>
              <w:t xml:space="preserve">EVAWG investment and advocacy </w:t>
            </w:r>
            <w:r w:rsidRPr="004A2821">
              <w:rPr>
                <w:lang w:val="en-GB" w:eastAsia="en-AU"/>
              </w:rPr>
              <w:t xml:space="preserve">over the next </w:t>
            </w:r>
            <w:r>
              <w:rPr>
                <w:lang w:val="en-GB" w:eastAsia="en-AU"/>
              </w:rPr>
              <w:t>10</w:t>
            </w:r>
            <w:r w:rsidRPr="004A2821">
              <w:rPr>
                <w:lang w:val="en-GB" w:eastAsia="en-AU"/>
              </w:rPr>
              <w:t xml:space="preserve"> years.</w:t>
            </w:r>
            <w:r>
              <w:rPr>
                <w:lang w:val="en-GB" w:eastAsia="en-AU"/>
              </w:rPr>
              <w:t xml:space="preserve"> </w:t>
            </w:r>
          </w:p>
          <w:p w14:paraId="405FEDCC" w14:textId="77777777" w:rsidR="008F4201" w:rsidRPr="006E42EE"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sidRPr="004A2821">
              <w:rPr>
                <w:lang w:val="en-GB" w:eastAsia="en-AU"/>
              </w:rPr>
              <w:t xml:space="preserve">Other Australian government departments including the Australian Federal Police </w:t>
            </w:r>
            <w:r>
              <w:rPr>
                <w:lang w:val="en-GB" w:eastAsia="en-AU"/>
              </w:rPr>
              <w:t xml:space="preserve">(AFP) </w:t>
            </w:r>
            <w:r w:rsidRPr="004A2821">
              <w:rPr>
                <w:lang w:val="en-GB" w:eastAsia="en-AU"/>
              </w:rPr>
              <w:t>and the Attorney General’s Department</w:t>
            </w:r>
            <w:r>
              <w:rPr>
                <w:lang w:val="en-GB" w:eastAsia="en-AU"/>
              </w:rPr>
              <w:t xml:space="preserve"> (AGD)</w:t>
            </w:r>
            <w:r w:rsidRPr="004A2821">
              <w:rPr>
                <w:lang w:val="en-GB" w:eastAsia="en-AU"/>
              </w:rPr>
              <w:t>, will also provide law and justice support</w:t>
            </w:r>
            <w:r>
              <w:rPr>
                <w:lang w:val="en-GB" w:eastAsia="en-AU"/>
              </w:rPr>
              <w:t xml:space="preserve">. </w:t>
            </w:r>
            <w:r>
              <w:rPr>
                <w:color w:val="auto"/>
                <w:lang w:val="en-GB" w:eastAsia="en-AU"/>
              </w:rPr>
              <w:t>The AFP, t</w:t>
            </w:r>
            <w:r w:rsidRPr="00F14707">
              <w:rPr>
                <w:color w:val="auto"/>
                <w:lang w:val="en-GB" w:eastAsia="en-AU"/>
              </w:rPr>
              <w:t xml:space="preserve">hrough </w:t>
            </w:r>
            <w:r w:rsidRPr="00F14707">
              <w:rPr>
                <w:color w:val="auto"/>
              </w:rPr>
              <w:t xml:space="preserve">their International Operations Gender Strategy, is improving the design, </w:t>
            </w:r>
            <w:r w:rsidRPr="003F28A9">
              <w:t xml:space="preserve">evaluation and learning of its EVAWG initiatives and will continue to prioritise investments in strengthening police responses to </w:t>
            </w:r>
            <w:r>
              <w:t>VAWG</w:t>
            </w:r>
            <w:r w:rsidRPr="003F28A9">
              <w:t>, including in marginalised communities.</w:t>
            </w:r>
          </w:p>
        </w:tc>
      </w:tr>
      <w:tr w:rsidR="008F4201" w:rsidRPr="004A2821" w14:paraId="5DCE82CD"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1D372389" w14:textId="77777777" w:rsidR="008F4201" w:rsidRPr="004A2821" w:rsidRDefault="008F4201" w:rsidP="005B677B">
            <w:pPr>
              <w:pStyle w:val="ListContinue"/>
            </w:pPr>
            <w:r w:rsidRPr="004A2821">
              <w:t>supporting partner countries to address gaps in legislation, including sexual assault laws, divorce, and child welfare laws</w:t>
            </w:r>
          </w:p>
        </w:tc>
        <w:tc>
          <w:tcPr>
            <w:tcW w:w="3088" w:type="pct"/>
          </w:tcPr>
          <w:p w14:paraId="675B0C2B"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2AEEBFD0"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sidRPr="004A2821">
              <w:rPr>
                <w:lang w:val="en-GB" w:eastAsia="en-AU"/>
              </w:rPr>
              <w:t xml:space="preserve">Justice sector engagement is a sensitive issue for both donor and recipient governments and </w:t>
            </w:r>
            <w:r>
              <w:rPr>
                <w:lang w:val="en-GB" w:eastAsia="en-AU"/>
              </w:rPr>
              <w:t>Australia’s</w:t>
            </w:r>
            <w:r w:rsidRPr="004A2821">
              <w:rPr>
                <w:lang w:val="en-GB" w:eastAsia="en-AU"/>
              </w:rPr>
              <w:t xml:space="preserve"> support is determined case-by-case. </w:t>
            </w:r>
          </w:p>
          <w:p w14:paraId="24416183" w14:textId="77777777" w:rsidR="008F4201" w:rsidRPr="007F58B5"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Pr>
                <w:lang w:val="en-GB" w:eastAsia="en-AU"/>
              </w:rPr>
              <w:t xml:space="preserve">In accordance with respective Aid Investment Plan commitments, </w:t>
            </w:r>
            <w:r w:rsidRPr="004A2821">
              <w:rPr>
                <w:lang w:val="en-GB" w:eastAsia="en-AU"/>
              </w:rPr>
              <w:t>DFAT</w:t>
            </w:r>
            <w:r>
              <w:rPr>
                <w:lang w:val="en-GB" w:eastAsia="en-AU"/>
              </w:rPr>
              <w:t xml:space="preserve"> </w:t>
            </w:r>
            <w:r w:rsidRPr="004A2821">
              <w:rPr>
                <w:lang w:val="en-GB" w:eastAsia="en-AU"/>
              </w:rPr>
              <w:t xml:space="preserve">will </w:t>
            </w:r>
            <w:r>
              <w:rPr>
                <w:lang w:val="en-GB" w:eastAsia="en-AU"/>
              </w:rPr>
              <w:t xml:space="preserve">continue to work with Australian Government partner agencies to </w:t>
            </w:r>
            <w:r w:rsidRPr="004A2821">
              <w:rPr>
                <w:lang w:val="en-GB" w:eastAsia="en-AU"/>
              </w:rPr>
              <w:t>provide law and justice assistance</w:t>
            </w:r>
            <w:r>
              <w:rPr>
                <w:lang w:val="en-GB" w:eastAsia="en-AU"/>
              </w:rPr>
              <w:t>, including</w:t>
            </w:r>
            <w:r w:rsidRPr="004A2821">
              <w:rPr>
                <w:lang w:val="en-GB" w:eastAsia="en-AU"/>
              </w:rPr>
              <w:t xml:space="preserve"> through country programs in Indonesia, P</w:t>
            </w:r>
            <w:r>
              <w:rPr>
                <w:lang w:val="en-GB" w:eastAsia="en-AU"/>
              </w:rPr>
              <w:t>apua New Guinea, Solomon Islands and Vanuatu, and through regional initiatives.</w:t>
            </w:r>
          </w:p>
          <w:p w14:paraId="7B4694FC" w14:textId="77777777" w:rsidR="008F4201" w:rsidRPr="00C12429"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Pr>
                <w:lang w:val="en-GB" w:eastAsia="en-AU"/>
              </w:rPr>
              <w:t>Work in this area will be informed and strengthened by the VAWG data being generated with support from DFAT-funded data initiatives.</w:t>
            </w:r>
          </w:p>
        </w:tc>
      </w:tr>
      <w:tr w:rsidR="008F4201" w:rsidRPr="009A445C" w14:paraId="74642C4B"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567CEB08" w14:textId="77777777" w:rsidR="008F4201" w:rsidRPr="00AC5895" w:rsidRDefault="008F4201" w:rsidP="005B677B">
            <w:pPr>
              <w:pStyle w:val="ListContinue"/>
            </w:pPr>
            <w:r w:rsidRPr="00AC5895">
              <w:t>continuing training and support for justice operators at national and local levels, including police, magistrates and prosecutors, to strengthen knowledge and capacity to implement the laws</w:t>
            </w:r>
          </w:p>
        </w:tc>
        <w:tc>
          <w:tcPr>
            <w:tcW w:w="3088" w:type="pct"/>
          </w:tcPr>
          <w:p w14:paraId="115175B7"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7D1D9EDB" w14:textId="77777777" w:rsidR="008F4201" w:rsidRPr="003F28A9"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sidRPr="004A2821">
              <w:rPr>
                <w:lang w:val="en-GB" w:eastAsia="en-AU"/>
              </w:rPr>
              <w:t>DFAT</w:t>
            </w:r>
            <w:r>
              <w:rPr>
                <w:lang w:val="en-GB" w:eastAsia="en-AU"/>
              </w:rPr>
              <w:t>, and other Australian Government departments including the AFP and Attorney General’s Department,</w:t>
            </w:r>
            <w:r w:rsidRPr="004A2821">
              <w:rPr>
                <w:lang w:val="en-GB" w:eastAsia="en-AU"/>
              </w:rPr>
              <w:t xml:space="preserve"> will </w:t>
            </w:r>
            <w:r>
              <w:rPr>
                <w:lang w:val="en-GB" w:eastAsia="en-AU"/>
              </w:rPr>
              <w:t xml:space="preserve">continue to </w:t>
            </w:r>
            <w:r w:rsidRPr="004A2821">
              <w:rPr>
                <w:lang w:val="en-GB" w:eastAsia="en-AU"/>
              </w:rPr>
              <w:t>provide law and justice assistance</w:t>
            </w:r>
            <w:r>
              <w:rPr>
                <w:lang w:val="en-GB" w:eastAsia="en-AU"/>
              </w:rPr>
              <w:t xml:space="preserve"> through bilateral and regional investments in accordance with Aid Investment Plans and, in the Pacific, Aid Partnership Arrangements.</w:t>
            </w:r>
          </w:p>
        </w:tc>
      </w:tr>
      <w:tr w:rsidR="008F4201" w:rsidRPr="009A445C" w14:paraId="6C10CAC9"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2043973" w14:textId="77777777" w:rsidR="008F4201" w:rsidRPr="00AC5895" w:rsidRDefault="008F4201" w:rsidP="005B677B">
            <w:pPr>
              <w:pStyle w:val="ListContinue"/>
            </w:pPr>
            <w:r w:rsidRPr="00AC5895">
              <w:t>supporting civil society organisations and national governments to promote public awareness on how to use the laws, and to monitor</w:t>
            </w:r>
            <w:r>
              <w:t xml:space="preserve"> their</w:t>
            </w:r>
            <w:r w:rsidRPr="00AC5895">
              <w:t xml:space="preserve"> implementation. </w:t>
            </w:r>
          </w:p>
        </w:tc>
        <w:tc>
          <w:tcPr>
            <w:tcW w:w="3088" w:type="pct"/>
          </w:tcPr>
          <w:p w14:paraId="371CC286"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655F6F09" w14:textId="77777777" w:rsidR="008F4201" w:rsidRPr="00670869" w:rsidRDefault="008F4201" w:rsidP="00670869">
            <w:pPr>
              <w:cnfStyle w:val="000000000000" w:firstRow="0" w:lastRow="0" w:firstColumn="0" w:lastColumn="0" w:oddVBand="0" w:evenVBand="0" w:oddHBand="0" w:evenHBand="0" w:firstRowFirstColumn="0" w:firstRowLastColumn="0" w:lastRowFirstColumn="0" w:lastRowLastColumn="0"/>
            </w:pPr>
            <w:r>
              <w:t>DFAT recognises that best practice requires a multi-layered approach, as demonstrated in its ongoing law and justice programs</w:t>
            </w:r>
            <w:r w:rsidRPr="00670869">
              <w:t xml:space="preserve">. </w:t>
            </w:r>
          </w:p>
          <w:p w14:paraId="19339CBD" w14:textId="42B39D14" w:rsidR="008F4201" w:rsidRPr="002C0444" w:rsidRDefault="008F4201" w:rsidP="00670869">
            <w:pPr>
              <w:cnfStyle w:val="000000000000" w:firstRow="0" w:lastRow="0" w:firstColumn="0" w:lastColumn="0" w:oddVBand="0" w:evenVBand="0" w:oddHBand="0" w:evenHBand="0" w:firstRowFirstColumn="0" w:firstRowLastColumn="0" w:lastRowFirstColumn="0" w:lastRowLastColumn="0"/>
              <w:rPr>
                <w:color w:val="FF0000"/>
                <w:lang w:val="en-GB" w:eastAsia="en-AU"/>
              </w:rPr>
            </w:pPr>
            <w:r>
              <w:t>DFAT will continue to adopt this approach in its programming and policies by supporting a range of partners working in law and justice, including civil society organisations and governments.</w:t>
            </w:r>
          </w:p>
        </w:tc>
      </w:tr>
    </w:tbl>
    <w:p w14:paraId="5B406FD6" w14:textId="77777777" w:rsidR="008F4201" w:rsidRDefault="008F4201" w:rsidP="008F4201">
      <w:pPr>
        <w:numPr>
          <w:ilvl w:val="0"/>
          <w:numId w:val="0"/>
        </w:numPr>
        <w:rPr>
          <w:rFonts w:asciiTheme="minorHAnsi" w:hAnsiTheme="minorHAnsi" w:cstheme="minorHAnsi"/>
          <w:sz w:val="20"/>
          <w:szCs w:val="20"/>
        </w:rPr>
      </w:pPr>
    </w:p>
    <w:tbl>
      <w:tblPr>
        <w:tblStyle w:val="TableGrid"/>
        <w:tblW w:w="5000" w:type="pct"/>
        <w:tblLook w:val="06A0" w:firstRow="1" w:lastRow="0" w:firstColumn="1" w:lastColumn="0" w:noHBand="1" w:noVBand="1"/>
        <w:tblCaption w:val="Individual management response to recommendations: Recommendation 1 "/>
      </w:tblPr>
      <w:tblGrid>
        <w:gridCol w:w="3682"/>
        <w:gridCol w:w="5946"/>
      </w:tblGrid>
      <w:tr w:rsidR="008F4201" w:rsidRPr="009A445C" w14:paraId="227D0490" w14:textId="77777777" w:rsidTr="00670869">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12" w:type="pct"/>
          </w:tcPr>
          <w:p w14:paraId="520F5775" w14:textId="77777777" w:rsidR="008F4201" w:rsidRPr="009A445C" w:rsidRDefault="008F4201" w:rsidP="002B24C3">
            <w:pPr>
              <w:rPr>
                <w:b w:val="0"/>
              </w:rPr>
            </w:pPr>
            <w:r>
              <w:br w:type="page"/>
            </w:r>
            <w:r w:rsidRPr="009A445C">
              <w:t>R</w:t>
            </w:r>
            <w:r>
              <w:t>ECOMMENDATION</w:t>
            </w:r>
            <w:r w:rsidRPr="009A445C">
              <w:t xml:space="preserve"> </w:t>
            </w:r>
            <w:r>
              <w:t>3</w:t>
            </w:r>
          </w:p>
        </w:tc>
        <w:tc>
          <w:tcPr>
            <w:tcW w:w="3088" w:type="pct"/>
          </w:tcPr>
          <w:p w14:paraId="319B00DE" w14:textId="77777777" w:rsidR="008F4201" w:rsidRPr="00712DBE" w:rsidRDefault="008F4201" w:rsidP="002B24C3">
            <w:pPr>
              <w:cnfStyle w:val="100000000000" w:firstRow="1" w:lastRow="0" w:firstColumn="0" w:lastColumn="0" w:oddVBand="0" w:evenVBand="0" w:oddHBand="0" w:evenHBand="0" w:firstRowFirstColumn="0" w:firstRowLastColumn="0" w:lastRowFirstColumn="0" w:lastRowLastColumn="0"/>
            </w:pPr>
            <w:r>
              <w:t>RESPONSE</w:t>
            </w:r>
          </w:p>
        </w:tc>
      </w:tr>
      <w:tr w:rsidR="008F4201" w:rsidRPr="009A445C" w14:paraId="4A5315E2"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3124DFD4" w14:textId="77777777" w:rsidR="008F4201" w:rsidRPr="00AC5895" w:rsidRDefault="008F4201" w:rsidP="002B24C3">
            <w:pPr>
              <w:pStyle w:val="Heading3"/>
              <w:numPr>
                <w:ilvl w:val="0"/>
                <w:numId w:val="0"/>
              </w:numPr>
              <w:outlineLvl w:val="2"/>
            </w:pPr>
            <w:r w:rsidRPr="00AC5895">
              <w:t xml:space="preserve">Continue support to partners delivering holistic care for survivors and improve the quality and accessibility of EVAWG services by: </w:t>
            </w:r>
          </w:p>
        </w:tc>
        <w:tc>
          <w:tcPr>
            <w:tcW w:w="3088" w:type="pct"/>
          </w:tcPr>
          <w:p w14:paraId="6EABA7D9" w14:textId="77777777" w:rsidR="008F4201" w:rsidRPr="009364C9" w:rsidRDefault="008F4201" w:rsidP="002B24C3">
            <w:pPr>
              <w:cnfStyle w:val="000000000000" w:firstRow="0" w:lastRow="0" w:firstColumn="0" w:lastColumn="0" w:oddVBand="0" w:evenVBand="0" w:oddHBand="0" w:evenHBand="0" w:firstRowFirstColumn="0" w:firstRowLastColumn="0" w:lastRowFirstColumn="0" w:lastRowLastColumn="0"/>
            </w:pPr>
          </w:p>
        </w:tc>
      </w:tr>
      <w:tr w:rsidR="008F4201" w:rsidRPr="004A2821" w14:paraId="71C2396F"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707B6839" w14:textId="0E70648A" w:rsidR="008F4201" w:rsidRPr="004A2821" w:rsidRDefault="008F4201" w:rsidP="0054152F">
            <w:pPr>
              <w:pStyle w:val="ListContinue"/>
              <w:numPr>
                <w:ilvl w:val="0"/>
                <w:numId w:val="35"/>
              </w:numPr>
            </w:pPr>
            <w:r w:rsidRPr="004A2821">
              <w:t>training health and other service providers in the Essential Services Package</w:t>
            </w:r>
            <w:r>
              <w:t xml:space="preserve"> for Women and Girls Subject to Violence</w:t>
            </w:r>
            <w:r w:rsidRPr="004A2821">
              <w:t xml:space="preserve"> and related W</w:t>
            </w:r>
            <w:r>
              <w:t>orld Health Organization</w:t>
            </w:r>
            <w:r w:rsidRPr="004A2821">
              <w:t xml:space="preserve"> </w:t>
            </w:r>
            <w:r w:rsidR="0054152F">
              <w:t xml:space="preserve">(WHO) </w:t>
            </w:r>
            <w:r w:rsidRPr="004A2821">
              <w:t>clinical guidance for EVAWG</w:t>
            </w:r>
          </w:p>
        </w:tc>
        <w:tc>
          <w:tcPr>
            <w:tcW w:w="3088" w:type="pct"/>
          </w:tcPr>
          <w:p w14:paraId="495A4CD7"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2842B0F2" w14:textId="77777777" w:rsidR="008F4201" w:rsidRPr="00BC5273" w:rsidRDefault="008F4201" w:rsidP="002B24C3">
            <w:pPr>
              <w:cnfStyle w:val="000000000000" w:firstRow="0" w:lastRow="0" w:firstColumn="0" w:lastColumn="0" w:oddVBand="0" w:evenVBand="0" w:oddHBand="0" w:evenHBand="0" w:firstRowFirstColumn="0" w:firstRowLastColumn="0" w:lastRowFirstColumn="0" w:lastRowLastColumn="0"/>
            </w:pPr>
            <w:r>
              <w:t xml:space="preserve">The </w:t>
            </w:r>
            <w:r w:rsidRPr="00EE2046">
              <w:t xml:space="preserve">EVAWG </w:t>
            </w:r>
            <w:r>
              <w:t>f</w:t>
            </w:r>
            <w:r w:rsidRPr="00EE2046">
              <w:t xml:space="preserve">ramework for </w:t>
            </w:r>
            <w:r>
              <w:t>a</w:t>
            </w:r>
            <w:r w:rsidRPr="00EE2046">
              <w:t>ction</w:t>
            </w:r>
            <w:r w:rsidRPr="004A2821">
              <w:t xml:space="preserve"> will establish increased access to support services, including for the most marginalised women and girls, as a</w:t>
            </w:r>
            <w:r>
              <w:t xml:space="preserve"> key </w:t>
            </w:r>
            <w:r w:rsidRPr="004A2821">
              <w:t xml:space="preserve">objective </w:t>
            </w:r>
            <w:r>
              <w:t xml:space="preserve">for EVAWG investment and advocacy </w:t>
            </w:r>
            <w:r w:rsidRPr="004A2821">
              <w:t xml:space="preserve">over the next </w:t>
            </w:r>
            <w:r>
              <w:t>10</w:t>
            </w:r>
            <w:r w:rsidRPr="004A2821">
              <w:t xml:space="preserve"> years. </w:t>
            </w:r>
          </w:p>
          <w:p w14:paraId="218AE96A"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pPr>
            <w:r>
              <w:t xml:space="preserve">DFAT has been a strong supporter of the Essential Services Package since its inception and is pleased to see the contribution it is making in the region and globally. DFAT will continue to support the Essential Services Package and other VAWG-related health services in line with Aid Investment Plans and other considerations. </w:t>
            </w:r>
          </w:p>
          <w:p w14:paraId="69295582" w14:textId="77777777" w:rsidR="008F4201" w:rsidRPr="005E1552" w:rsidRDefault="008F4201" w:rsidP="002B24C3">
            <w:pPr>
              <w:cnfStyle w:val="000000000000" w:firstRow="0" w:lastRow="0" w:firstColumn="0" w:lastColumn="0" w:oddVBand="0" w:evenVBand="0" w:oddHBand="0" w:evenHBand="0" w:firstRowFirstColumn="0" w:firstRowLastColumn="0" w:lastRowFirstColumn="0" w:lastRowLastColumn="0"/>
            </w:pPr>
            <w:r>
              <w:t xml:space="preserve">Sustainability presents an ongoing challenge for donor contributions to health services and DFAT will continue to advocate with partner governments for gender-responsive budgeting. </w:t>
            </w:r>
          </w:p>
        </w:tc>
      </w:tr>
      <w:tr w:rsidR="008F4201" w:rsidRPr="004A2821" w14:paraId="5935843F"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3225607" w14:textId="77777777" w:rsidR="008F4201" w:rsidRPr="004A2821" w:rsidRDefault="008F4201" w:rsidP="0054152F">
            <w:pPr>
              <w:pStyle w:val="ListContinue"/>
            </w:pPr>
            <w:r w:rsidRPr="004A2821">
              <w:t>strengthening the quality of counselling services and case management through training and improved standards and oversight</w:t>
            </w:r>
          </w:p>
        </w:tc>
        <w:tc>
          <w:tcPr>
            <w:tcW w:w="3088" w:type="pct"/>
          </w:tcPr>
          <w:p w14:paraId="174B2A61"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39A58AEE" w14:textId="77777777" w:rsidR="008F4201" w:rsidRPr="007B41A6" w:rsidRDefault="008F4201" w:rsidP="002B24C3">
            <w:pPr>
              <w:cnfStyle w:val="000000000000" w:firstRow="0" w:lastRow="0" w:firstColumn="0" w:lastColumn="0" w:oddVBand="0" w:evenVBand="0" w:oddHBand="0" w:evenHBand="0" w:firstRowFirstColumn="0" w:firstRowLastColumn="0" w:lastRowFirstColumn="0" w:lastRowLastColumn="0"/>
              <w:rPr>
                <w:color w:val="auto"/>
                <w:lang w:val="en-GB" w:eastAsia="en-AU"/>
              </w:rPr>
            </w:pPr>
            <w:r>
              <w:rPr>
                <w:lang w:val="en-GB" w:eastAsia="en-AU"/>
              </w:rPr>
              <w:t>T</w:t>
            </w:r>
            <w:r w:rsidRPr="004A2821">
              <w:rPr>
                <w:lang w:val="en-GB" w:eastAsia="en-AU"/>
              </w:rPr>
              <w:t xml:space="preserve">he introduction of VAWG legislation </w:t>
            </w:r>
            <w:r>
              <w:rPr>
                <w:lang w:val="en-GB" w:eastAsia="en-AU"/>
              </w:rPr>
              <w:t xml:space="preserve">and </w:t>
            </w:r>
            <w:r w:rsidRPr="004C68A2">
              <w:rPr>
                <w:lang w:val="en-GB" w:eastAsia="en-AU"/>
              </w:rPr>
              <w:t>subsequent</w:t>
            </w:r>
            <w:r>
              <w:rPr>
                <w:lang w:val="en-GB" w:eastAsia="en-AU"/>
              </w:rPr>
              <w:t xml:space="preserve"> review by </w:t>
            </w:r>
            <w:r w:rsidRPr="00712DBE">
              <w:rPr>
                <w:iCs/>
                <w:lang w:val="en-GB" w:eastAsia="en-AU"/>
              </w:rPr>
              <w:t>Pacific Women</w:t>
            </w:r>
            <w:r>
              <w:rPr>
                <w:lang w:val="en-GB" w:eastAsia="en-AU"/>
              </w:rPr>
              <w:t xml:space="preserve"> of counselling services in the Pacific </w:t>
            </w:r>
            <w:r w:rsidRPr="004A2821">
              <w:rPr>
                <w:lang w:val="en-GB" w:eastAsia="en-AU"/>
              </w:rPr>
              <w:t xml:space="preserve">highlighted the dearth of qualified counsellors in the region. With </w:t>
            </w:r>
            <w:r>
              <w:rPr>
                <w:lang w:val="en-GB" w:eastAsia="en-AU"/>
              </w:rPr>
              <w:t>support</w:t>
            </w:r>
            <w:r w:rsidRPr="004A2821">
              <w:rPr>
                <w:lang w:val="en-GB" w:eastAsia="en-AU"/>
              </w:rPr>
              <w:t xml:space="preserve"> from DFAT, service providers </w:t>
            </w:r>
            <w:r>
              <w:rPr>
                <w:lang w:val="en-GB" w:eastAsia="en-AU"/>
              </w:rPr>
              <w:t>are undertaking</w:t>
            </w:r>
            <w:r w:rsidRPr="004A2821">
              <w:rPr>
                <w:lang w:val="en-GB" w:eastAsia="en-AU"/>
              </w:rPr>
              <w:t xml:space="preserve"> counselling </w:t>
            </w:r>
            <w:r w:rsidRPr="007B41A6">
              <w:rPr>
                <w:color w:val="auto"/>
                <w:lang w:val="en-GB" w:eastAsia="en-AU"/>
              </w:rPr>
              <w:t xml:space="preserve">training. </w:t>
            </w:r>
          </w:p>
          <w:p w14:paraId="1ECF8F13"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2A4485">
              <w:rPr>
                <w:color w:val="auto"/>
              </w:rPr>
              <w:t>DFAT will continue to invest in strengthening support services</w:t>
            </w:r>
            <w:r>
              <w:rPr>
                <w:color w:val="auto"/>
              </w:rPr>
              <w:t>,</w:t>
            </w:r>
            <w:r w:rsidRPr="002A4485">
              <w:rPr>
                <w:color w:val="auto"/>
              </w:rPr>
              <w:t xml:space="preserve"> including shelters, hotlines, counselling legal advice, health services and case management.</w:t>
            </w:r>
          </w:p>
          <w:p w14:paraId="1BB091BD" w14:textId="77777777" w:rsidR="008F4201" w:rsidRPr="002A4485"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DFAT, in line with the </w:t>
            </w:r>
            <w:r w:rsidRPr="00392D48">
              <w:rPr>
                <w:iCs/>
                <w:color w:val="auto"/>
              </w:rPr>
              <w:t>RESPECT</w:t>
            </w:r>
            <w:r>
              <w:rPr>
                <w:i/>
                <w:color w:val="auto"/>
              </w:rPr>
              <w:t xml:space="preserve"> </w:t>
            </w:r>
            <w:r w:rsidRPr="00FE6A43">
              <w:rPr>
                <w:color w:val="auto"/>
              </w:rPr>
              <w:t>framework</w:t>
            </w:r>
            <w:r>
              <w:rPr>
                <w:color w:val="auto"/>
              </w:rPr>
              <w:t>,</w:t>
            </w:r>
            <w:r w:rsidRPr="00FE6A43">
              <w:rPr>
                <w:color w:val="auto"/>
              </w:rPr>
              <w:t xml:space="preserve"> </w:t>
            </w:r>
            <w:r>
              <w:rPr>
                <w:color w:val="auto"/>
              </w:rPr>
              <w:t>will emphasise the application of ethical standards, including putting the safety of women first and managing sensitive data.</w:t>
            </w:r>
          </w:p>
          <w:p w14:paraId="5FD3BE39" w14:textId="0FE7E83F" w:rsidR="008F4201" w:rsidRPr="004A2821" w:rsidRDefault="008F4201" w:rsidP="002B24C3">
            <w:pPr>
              <w:cnfStyle w:val="000000000000" w:firstRow="0" w:lastRow="0" w:firstColumn="0" w:lastColumn="0" w:oddVBand="0" w:evenVBand="0" w:oddHBand="0" w:evenHBand="0" w:firstRowFirstColumn="0" w:firstRowLastColumn="0" w:lastRowFirstColumn="0" w:lastRowLastColumn="0"/>
            </w:pPr>
            <w:r w:rsidRPr="004A2821">
              <w:rPr>
                <w:lang w:val="en-GB" w:eastAsia="en-AU"/>
              </w:rPr>
              <w:t>DFAT</w:t>
            </w:r>
            <w:r>
              <w:rPr>
                <w:lang w:val="en-GB" w:eastAsia="en-AU"/>
              </w:rPr>
              <w:t>—in addition to investment and country-level reporting—</w:t>
            </w:r>
            <w:r w:rsidRPr="004A2821">
              <w:rPr>
                <w:lang w:val="en-GB" w:eastAsia="en-AU"/>
              </w:rPr>
              <w:t>will report on progress in this sector through the Aggregate Development Results: the number of women survivors of violence receiving services such as counselling.</w:t>
            </w:r>
          </w:p>
        </w:tc>
      </w:tr>
      <w:tr w:rsidR="008F4201" w:rsidRPr="004A2821" w14:paraId="6B33CF83"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B3A714B" w14:textId="3F6BE28B" w:rsidR="008F4201" w:rsidRPr="004A2821" w:rsidRDefault="00976CA2" w:rsidP="00670869">
            <w:pPr>
              <w:pStyle w:val="ListContinue"/>
            </w:pPr>
            <w:r w:rsidRPr="00EF65AE">
              <w:t xml:space="preserve">evaluating and building on EVAWG service innovations with </w:t>
            </w:r>
            <w:r>
              <w:t>non-government organisations (</w:t>
            </w:r>
            <w:r w:rsidRPr="00EF65AE">
              <w:t>NGOs</w:t>
            </w:r>
            <w:r>
              <w:t>)</w:t>
            </w:r>
            <w:r w:rsidRPr="00EF65AE">
              <w:t xml:space="preserve"> and the private sector to make EVAWG services more accessible</w:t>
            </w:r>
            <w:r>
              <w:t xml:space="preserve"> </w:t>
            </w:r>
            <w:r w:rsidRPr="00EF65AE">
              <w:t>for women and girls</w:t>
            </w:r>
            <w:r w:rsidR="0054152F">
              <w:t>,</w:t>
            </w:r>
            <w:r>
              <w:t xml:space="preserve"> including those who live</w:t>
            </w:r>
            <w:r w:rsidRPr="00EF65AE">
              <w:t xml:space="preserve"> in rural and remote locations</w:t>
            </w:r>
            <w:r>
              <w:t>,</w:t>
            </w:r>
            <w:r w:rsidRPr="00EF65AE">
              <w:t xml:space="preserve"> </w:t>
            </w:r>
            <w:r>
              <w:t>have</w:t>
            </w:r>
            <w:r w:rsidRPr="00EF65AE">
              <w:t xml:space="preserve"> disabilities</w:t>
            </w:r>
            <w:r>
              <w:t>,</w:t>
            </w:r>
            <w:r w:rsidRPr="00EF65AE">
              <w:t xml:space="preserve"> </w:t>
            </w:r>
            <w:r>
              <w:t>and/or are marginalised</w:t>
            </w:r>
            <w:r w:rsidR="0054152F">
              <w:t>.</w:t>
            </w:r>
          </w:p>
        </w:tc>
        <w:tc>
          <w:tcPr>
            <w:tcW w:w="3088" w:type="pct"/>
          </w:tcPr>
          <w:p w14:paraId="1C1925E3"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0BCF2E90" w14:textId="77777777" w:rsidR="008F4201" w:rsidRPr="0067796F"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Pr>
                <w:lang w:val="en-GB" w:eastAsia="en-AU"/>
              </w:rPr>
              <w:t xml:space="preserve">DFAT recognises that best-practice approaches require engagement with a range of delivery partners. As noted in the evaluation, DFAT has achieved success through innovation with non-government organisations and the private sector. DFAT aims to build on these successes through evaluation and learning to scale up innovations. </w:t>
            </w:r>
          </w:p>
          <w:p w14:paraId="263A0D86" w14:textId="77777777" w:rsidR="008F4201" w:rsidRPr="004C1DD2"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Pr>
                <w:lang w:val="en-GB" w:eastAsia="en-AU"/>
              </w:rPr>
              <w:t>DFAT will strengthen EVAWG service accessibility in emergencies. This may include innovation and drawing on learnings from humanitarian action in the Pacific. It may also include improved and earlier identification of EVAWG needs, a stronger focus on prevention, and stronger efforts around women’s voice and leadership.</w:t>
            </w:r>
          </w:p>
          <w:p w14:paraId="1C25A4E6" w14:textId="77777777" w:rsidR="008F4201" w:rsidRPr="00343323"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sidRPr="004A2821">
              <w:rPr>
                <w:lang w:val="en-GB" w:eastAsia="en-AU"/>
              </w:rPr>
              <w:t xml:space="preserve">DFAT will take an </w:t>
            </w:r>
            <w:r w:rsidRPr="00FC2FBA">
              <w:rPr>
                <w:i/>
                <w:lang w:val="en-GB" w:eastAsia="en-AU"/>
              </w:rPr>
              <w:t>intersectional</w:t>
            </w:r>
            <w:r w:rsidRPr="004A2821">
              <w:rPr>
                <w:lang w:val="en-GB" w:eastAsia="en-AU"/>
              </w:rPr>
              <w:t xml:space="preserve"> approach t</w:t>
            </w:r>
            <w:r>
              <w:rPr>
                <w:lang w:val="en-GB" w:eastAsia="en-AU"/>
              </w:rPr>
              <w:t xml:space="preserve">o EVAWG policy and programming that recognises that women and girls can face multidimensional disadvantage, to ensure that </w:t>
            </w:r>
            <w:r w:rsidRPr="004A2821">
              <w:rPr>
                <w:lang w:val="en-GB" w:eastAsia="en-AU"/>
              </w:rPr>
              <w:t>support services</w:t>
            </w:r>
            <w:r>
              <w:rPr>
                <w:lang w:val="en-GB" w:eastAsia="en-AU"/>
              </w:rPr>
              <w:t xml:space="preserve"> are suitable for the diversity of </w:t>
            </w:r>
            <w:r w:rsidRPr="004A2821">
              <w:rPr>
                <w:lang w:val="en-GB" w:eastAsia="en-AU"/>
              </w:rPr>
              <w:t>women and girls</w:t>
            </w:r>
            <w:r>
              <w:rPr>
                <w:lang w:val="en-GB" w:eastAsia="en-AU"/>
              </w:rPr>
              <w:t xml:space="preserve">. </w:t>
            </w:r>
            <w:r w:rsidRPr="00C70F80">
              <w:rPr>
                <w:lang w:val="en-GB" w:eastAsia="en-AU"/>
              </w:rPr>
              <w:t xml:space="preserve">The </w:t>
            </w:r>
            <w:r w:rsidRPr="00EE2046">
              <w:rPr>
                <w:lang w:val="en-GB" w:eastAsia="en-AU"/>
              </w:rPr>
              <w:t xml:space="preserve">EVAWG </w:t>
            </w:r>
            <w:r>
              <w:rPr>
                <w:lang w:val="en-GB" w:eastAsia="en-AU"/>
              </w:rPr>
              <w:t>f</w:t>
            </w:r>
            <w:r w:rsidRPr="00EE2046">
              <w:rPr>
                <w:lang w:val="en-GB" w:eastAsia="en-AU"/>
              </w:rPr>
              <w:t xml:space="preserve">ramework for </w:t>
            </w:r>
            <w:r>
              <w:rPr>
                <w:lang w:val="en-GB" w:eastAsia="en-AU"/>
              </w:rPr>
              <w:t>a</w:t>
            </w:r>
            <w:r w:rsidRPr="00EE2046">
              <w:rPr>
                <w:lang w:val="en-GB" w:eastAsia="en-AU"/>
              </w:rPr>
              <w:t>ction</w:t>
            </w:r>
            <w:r w:rsidRPr="00C70F80">
              <w:rPr>
                <w:lang w:val="en-GB" w:eastAsia="en-AU"/>
              </w:rPr>
              <w:t xml:space="preserve"> will assist country programs to increase their focus on intersectionality through investments, advocacy and policies.</w:t>
            </w:r>
          </w:p>
        </w:tc>
      </w:tr>
    </w:tbl>
    <w:p w14:paraId="3DACCB20" w14:textId="77777777" w:rsidR="008F4201" w:rsidRDefault="008F4201" w:rsidP="008F4201">
      <w:pPr>
        <w:numPr>
          <w:ilvl w:val="0"/>
          <w:numId w:val="0"/>
        </w:numPr>
        <w:rPr>
          <w:rFonts w:asciiTheme="minorHAnsi" w:hAnsiTheme="minorHAnsi" w:cstheme="minorHAnsi"/>
          <w:sz w:val="20"/>
          <w:szCs w:val="20"/>
        </w:rPr>
      </w:pPr>
    </w:p>
    <w:tbl>
      <w:tblPr>
        <w:tblStyle w:val="TableGrid"/>
        <w:tblW w:w="5000" w:type="pct"/>
        <w:tblLook w:val="06A0" w:firstRow="1" w:lastRow="0" w:firstColumn="1" w:lastColumn="0" w:noHBand="1" w:noVBand="1"/>
        <w:tblCaption w:val="Individual management response to recommendations: Recommendation 1 "/>
      </w:tblPr>
      <w:tblGrid>
        <w:gridCol w:w="3682"/>
        <w:gridCol w:w="5946"/>
      </w:tblGrid>
      <w:tr w:rsidR="008F4201" w:rsidRPr="00670869" w14:paraId="2B356531" w14:textId="77777777" w:rsidTr="008F420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12" w:type="pct"/>
          </w:tcPr>
          <w:p w14:paraId="28F97241" w14:textId="77777777" w:rsidR="008F4201" w:rsidRPr="00670869" w:rsidRDefault="008F4201" w:rsidP="00670869">
            <w:pPr>
              <w:keepNext/>
            </w:pPr>
            <w:r w:rsidRPr="00670869">
              <w:t>RECOMMENDATION 4</w:t>
            </w:r>
          </w:p>
        </w:tc>
        <w:tc>
          <w:tcPr>
            <w:tcW w:w="3088" w:type="pct"/>
          </w:tcPr>
          <w:p w14:paraId="04A0E31C" w14:textId="77777777" w:rsidR="008F4201" w:rsidRPr="00670869" w:rsidRDefault="008F4201" w:rsidP="00670869">
            <w:pPr>
              <w:keepNext/>
              <w:cnfStyle w:val="100000000000" w:firstRow="1" w:lastRow="0" w:firstColumn="0" w:lastColumn="0" w:oddVBand="0" w:evenVBand="0" w:oddHBand="0" w:evenHBand="0" w:firstRowFirstColumn="0" w:firstRowLastColumn="0" w:lastRowFirstColumn="0" w:lastRowLastColumn="0"/>
            </w:pPr>
            <w:r w:rsidRPr="00670869">
              <w:t>RESPONSE</w:t>
            </w:r>
          </w:p>
        </w:tc>
      </w:tr>
      <w:tr w:rsidR="008F4201" w:rsidRPr="009A445C" w14:paraId="7B6771F4"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3A77CF3C" w14:textId="77777777" w:rsidR="008F4201" w:rsidRPr="00C169F2" w:rsidRDefault="008F4201" w:rsidP="002B24C3">
            <w:pPr>
              <w:pStyle w:val="Heading3"/>
              <w:numPr>
                <w:ilvl w:val="0"/>
                <w:numId w:val="0"/>
              </w:numPr>
              <w:outlineLvl w:val="2"/>
            </w:pPr>
            <w:r w:rsidRPr="00C169F2">
              <w:t>Expand work on prevention of VAWG by</w:t>
            </w:r>
            <w:r>
              <w:t>:</w:t>
            </w:r>
          </w:p>
        </w:tc>
        <w:tc>
          <w:tcPr>
            <w:tcW w:w="3088" w:type="pct"/>
          </w:tcPr>
          <w:p w14:paraId="215600BF"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p>
        </w:tc>
      </w:tr>
      <w:tr w:rsidR="008F4201" w:rsidRPr="004A2821" w14:paraId="4D26BE0D"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A8BA449" w14:textId="77777777" w:rsidR="008F4201" w:rsidRPr="004A2821" w:rsidRDefault="008F4201" w:rsidP="0054152F">
            <w:pPr>
              <w:pStyle w:val="ListContinue"/>
              <w:numPr>
                <w:ilvl w:val="0"/>
                <w:numId w:val="36"/>
              </w:numPr>
            </w:pPr>
            <w:r w:rsidRPr="004A2821">
              <w:t>ensuring investment is long</w:t>
            </w:r>
            <w:r>
              <w:t xml:space="preserve"> </w:t>
            </w:r>
            <w:r w:rsidRPr="004A2821">
              <w:t>term, including to local women’s organisations, and based on best practice, drawing upon and adapting the global RESPECT framework</w:t>
            </w:r>
          </w:p>
        </w:tc>
        <w:tc>
          <w:tcPr>
            <w:tcW w:w="3088" w:type="pct"/>
          </w:tcPr>
          <w:p w14:paraId="6A2A6E17"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78CE65EF"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A2821">
              <w:rPr>
                <w:color w:val="auto"/>
              </w:rPr>
              <w:t>DFAT will a</w:t>
            </w:r>
            <w:r>
              <w:rPr>
                <w:color w:val="auto"/>
              </w:rPr>
              <w:t xml:space="preserve">lign its prevention work </w:t>
            </w:r>
            <w:r w:rsidRPr="004A2821">
              <w:rPr>
                <w:color w:val="auto"/>
              </w:rPr>
              <w:t>with the emerging evidence</w:t>
            </w:r>
            <w:r>
              <w:rPr>
                <w:color w:val="auto"/>
              </w:rPr>
              <w:t xml:space="preserve"> </w:t>
            </w:r>
            <w:r w:rsidRPr="004A2821">
              <w:rPr>
                <w:color w:val="auto"/>
              </w:rPr>
              <w:t>base of what wor</w:t>
            </w:r>
            <w:r w:rsidRPr="006D4A6F">
              <w:rPr>
                <w:color w:val="auto"/>
              </w:rPr>
              <w:t xml:space="preserve">ks.  </w:t>
            </w:r>
            <w:r w:rsidRPr="004A2821">
              <w:rPr>
                <w:color w:val="auto"/>
              </w:rPr>
              <w:t xml:space="preserve">In </w:t>
            </w:r>
            <w:r>
              <w:rPr>
                <w:color w:val="auto"/>
              </w:rPr>
              <w:t xml:space="preserve">line with </w:t>
            </w:r>
            <w:r w:rsidRPr="00392D48">
              <w:rPr>
                <w:iCs/>
                <w:color w:val="auto"/>
              </w:rPr>
              <w:t>RESPECT</w:t>
            </w:r>
            <w:r>
              <w:rPr>
                <w:iCs/>
                <w:color w:val="auto"/>
              </w:rPr>
              <w:t>’s</w:t>
            </w:r>
            <w:r>
              <w:rPr>
                <w:color w:val="auto"/>
              </w:rPr>
              <w:t xml:space="preserve"> guiding principles, DFAT</w:t>
            </w:r>
            <w:r w:rsidRPr="004A2821">
              <w:rPr>
                <w:color w:val="auto"/>
              </w:rPr>
              <w:t xml:space="preserve"> </w:t>
            </w:r>
            <w:r>
              <w:rPr>
                <w:color w:val="auto"/>
              </w:rPr>
              <w:t xml:space="preserve">will </w:t>
            </w:r>
            <w:r w:rsidRPr="004A2821">
              <w:rPr>
                <w:color w:val="auto"/>
              </w:rPr>
              <w:t>emphasi</w:t>
            </w:r>
            <w:r>
              <w:rPr>
                <w:color w:val="auto"/>
              </w:rPr>
              <w:t>se</w:t>
            </w:r>
            <w:r w:rsidRPr="004A2821">
              <w:rPr>
                <w:color w:val="auto"/>
              </w:rPr>
              <w:t xml:space="preserve"> the importance of investing in long-term </w:t>
            </w:r>
            <w:r>
              <w:rPr>
                <w:color w:val="auto"/>
              </w:rPr>
              <w:t>programming and working with women’s movements.</w:t>
            </w:r>
            <w:r w:rsidRPr="004A2821">
              <w:rPr>
                <w:color w:val="auto"/>
              </w:rPr>
              <w:t xml:space="preserve"> </w:t>
            </w:r>
          </w:p>
          <w:p w14:paraId="21296C26" w14:textId="77777777" w:rsidR="008F4201" w:rsidRPr="00E82514"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A2821">
              <w:rPr>
                <w:color w:val="auto"/>
              </w:rPr>
              <w:t>DFAT</w:t>
            </w:r>
            <w:r>
              <w:rPr>
                <w:color w:val="auto"/>
              </w:rPr>
              <w:t xml:space="preserve">, above all, </w:t>
            </w:r>
            <w:r w:rsidRPr="004A2821">
              <w:rPr>
                <w:color w:val="auto"/>
              </w:rPr>
              <w:t>will emphasise integrity and ethical practice in its prevention work.</w:t>
            </w:r>
          </w:p>
        </w:tc>
      </w:tr>
      <w:tr w:rsidR="008F4201" w:rsidRPr="009A445C" w14:paraId="2605002D"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6255E72A" w14:textId="77777777" w:rsidR="008F4201" w:rsidRPr="00AC5895" w:rsidRDefault="008F4201" w:rsidP="0054152F">
            <w:pPr>
              <w:pStyle w:val="ListContinue"/>
            </w:pPr>
            <w:r w:rsidRPr="00AC5895">
              <w:t>investing in programs that coordinate with justice and services and move beyond awareness</w:t>
            </w:r>
            <w:r>
              <w:t xml:space="preserve"> </w:t>
            </w:r>
            <w:r w:rsidRPr="00AC5895">
              <w:t>raising to addressing social norms</w:t>
            </w:r>
          </w:p>
        </w:tc>
        <w:tc>
          <w:tcPr>
            <w:tcW w:w="3088" w:type="pct"/>
          </w:tcPr>
          <w:p w14:paraId="14922C6C"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46BEEFDE"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r>
              <w:rPr>
                <w:color w:val="auto"/>
              </w:rPr>
              <w:t xml:space="preserve">In line with </w:t>
            </w:r>
            <w:r w:rsidRPr="00392D48">
              <w:rPr>
                <w:iCs/>
                <w:color w:val="auto"/>
              </w:rPr>
              <w:t>RESPECT</w:t>
            </w:r>
            <w:r>
              <w:rPr>
                <w:iCs/>
                <w:color w:val="auto"/>
              </w:rPr>
              <w:t>’s</w:t>
            </w:r>
            <w:r>
              <w:rPr>
                <w:color w:val="auto"/>
              </w:rPr>
              <w:t xml:space="preserve"> guiding principles, DFAT</w:t>
            </w:r>
            <w:r w:rsidRPr="004A2821">
              <w:rPr>
                <w:color w:val="auto"/>
              </w:rPr>
              <w:t xml:space="preserve"> </w:t>
            </w:r>
            <w:r>
              <w:rPr>
                <w:color w:val="auto"/>
              </w:rPr>
              <w:t>will take an integrated approach to access to justice, access to services and prevention of violence. In doing so, DFAT will emphasise</w:t>
            </w:r>
            <w:r w:rsidRPr="004A2821">
              <w:rPr>
                <w:color w:val="auto"/>
              </w:rPr>
              <w:t xml:space="preserve"> the importance of transformative programming that seeks to address social norms that condone violence. </w:t>
            </w:r>
          </w:p>
        </w:tc>
      </w:tr>
      <w:tr w:rsidR="008F4201" w:rsidRPr="009A445C" w14:paraId="34584BBA"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28E480BC" w14:textId="77777777" w:rsidR="008F4201" w:rsidRPr="00AC5895" w:rsidRDefault="008F4201" w:rsidP="0054152F">
            <w:pPr>
              <w:pStyle w:val="ListContinue"/>
            </w:pPr>
            <w:r w:rsidRPr="00AC5895">
              <w:t>playing a more significant role at national and regional levels in bringing EVAWG and child protection actors to the table to identify more effective ways to address VAWG and child protection intersections through funding, partnerships, policies, programs and evaluations</w:t>
            </w:r>
          </w:p>
        </w:tc>
        <w:tc>
          <w:tcPr>
            <w:tcW w:w="3088" w:type="pct"/>
          </w:tcPr>
          <w:p w14:paraId="612B8396"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5D6402C8" w14:textId="1EEBDE9E" w:rsidR="008F4201" w:rsidRDefault="008F4201" w:rsidP="002B24C3">
            <w:pPr>
              <w:cnfStyle w:val="000000000000" w:firstRow="0" w:lastRow="0" w:firstColumn="0" w:lastColumn="0" w:oddVBand="0" w:evenVBand="0" w:oddHBand="0" w:evenHBand="0" w:firstRowFirstColumn="0" w:firstRowLastColumn="0" w:lastRowFirstColumn="0" w:lastRowLastColumn="0"/>
            </w:pPr>
            <w:r>
              <w:t xml:space="preserve">DFAT acknowledges that staff understanding of the intersection of violence against women and children is evolving. As the department’s prevention programming deepens, DFAT is gaining a better understanding of the forms of violence against children and is doing more to challenge and change the social norms that contribute to such violence. </w:t>
            </w:r>
          </w:p>
          <w:p w14:paraId="60CBA512"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pPr>
            <w:r>
              <w:t xml:space="preserve">DFAT will be guided by the </w:t>
            </w:r>
            <w:r w:rsidRPr="00392D48">
              <w:rPr>
                <w:iCs/>
              </w:rPr>
              <w:t>RESPECT</w:t>
            </w:r>
            <w:r>
              <w:t xml:space="preserve"> guiding principle of taking a life-course approach. This principle recognises the importance of early interventions, including with children and adolescents. </w:t>
            </w:r>
          </w:p>
          <w:p w14:paraId="7F888B63"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r>
              <w:t>DFAT’s work with policy makers and others at national and regional levels to strengthen violence prevention programming and learning will include attention to child protection.</w:t>
            </w:r>
          </w:p>
        </w:tc>
      </w:tr>
      <w:tr w:rsidR="008F4201" w:rsidRPr="009A445C" w14:paraId="654D5677" w14:textId="77777777" w:rsidTr="008F4201">
        <w:trPr>
          <w:trHeight w:val="60"/>
        </w:trPr>
        <w:tc>
          <w:tcPr>
            <w:cnfStyle w:val="001000000000" w:firstRow="0" w:lastRow="0" w:firstColumn="1" w:lastColumn="0" w:oddVBand="0" w:evenVBand="0" w:oddHBand="0" w:evenHBand="0" w:firstRowFirstColumn="0" w:firstRowLastColumn="0" w:lastRowFirstColumn="0" w:lastRowLastColumn="0"/>
            <w:tcW w:w="1912" w:type="pct"/>
          </w:tcPr>
          <w:p w14:paraId="417FEC48" w14:textId="274C8F0A" w:rsidR="008F4201" w:rsidRPr="000A6EF2" w:rsidRDefault="008F4201" w:rsidP="00937123">
            <w:pPr>
              <w:pStyle w:val="ListContinue"/>
            </w:pPr>
            <w:r w:rsidRPr="000A6EF2">
              <w:t>strengthening prevention research capacity in the region and invest</w:t>
            </w:r>
            <w:r>
              <w:t>ing</w:t>
            </w:r>
            <w:r w:rsidRPr="000A6EF2">
              <w:t xml:space="preserve"> more in coordination between different Australian-supported prevention interventions</w:t>
            </w:r>
            <w:r>
              <w:t>,</w:t>
            </w:r>
            <w:r w:rsidRPr="000A6EF2">
              <w:t xml:space="preserve"> to draw out common lessons and better inform the violence prevention field</w:t>
            </w:r>
            <w:r>
              <w:t xml:space="preserve"> </w:t>
            </w:r>
            <w:r w:rsidRPr="000A6EF2">
              <w:t>as a whole. Options could include:</w:t>
            </w:r>
          </w:p>
          <w:p w14:paraId="63986DC8" w14:textId="77777777" w:rsidR="008F4201" w:rsidRPr="000A6EF2" w:rsidRDefault="008F4201" w:rsidP="0054152F">
            <w:pPr>
              <w:pStyle w:val="ListContinue2"/>
            </w:pPr>
            <w:r w:rsidRPr="000A6EF2">
              <w:t>establishing collaboration with the DFID</w:t>
            </w:r>
            <w:r>
              <w:t>-</w:t>
            </w:r>
            <w:r w:rsidRPr="000A6EF2">
              <w:t>funded What Works, which is developing similar capacity among countries that receive DFID support</w:t>
            </w:r>
          </w:p>
          <w:p w14:paraId="69B87383" w14:textId="77777777" w:rsidR="008F4201" w:rsidRDefault="008F4201" w:rsidP="0054152F">
            <w:pPr>
              <w:pStyle w:val="ListContinue2"/>
            </w:pPr>
            <w:r w:rsidRPr="000A6EF2">
              <w:t xml:space="preserve">establishing a Prevention Learning Hub to build capacity on prevention research in the region, share learnings and conduct meta-analyses across countries. If pursued, this would need to be: </w:t>
            </w:r>
          </w:p>
          <w:p w14:paraId="64344AF8" w14:textId="30603C46" w:rsidR="008F4201" w:rsidRPr="00937123" w:rsidRDefault="008F4201" w:rsidP="002B24C3">
            <w:pPr>
              <w:pStyle w:val="ListBullet"/>
              <w:numPr>
                <w:ilvl w:val="0"/>
                <w:numId w:val="26"/>
              </w:numPr>
            </w:pPr>
            <w:r w:rsidRPr="000A6EF2">
              <w:t xml:space="preserve">led by local actors such </w:t>
            </w:r>
            <w:r w:rsidRPr="00937123">
              <w:t>as the Pacific Women’s Network Against Violence Against Women</w:t>
            </w:r>
            <w:r w:rsidR="0054152F" w:rsidRPr="00937123">
              <w:t xml:space="preserve"> (Pacific Women)</w:t>
            </w:r>
          </w:p>
          <w:p w14:paraId="452CF8E4" w14:textId="743C28BD" w:rsidR="008F4201" w:rsidRPr="00937123" w:rsidRDefault="008F4201" w:rsidP="002B24C3">
            <w:pPr>
              <w:pStyle w:val="ListBullet"/>
              <w:numPr>
                <w:ilvl w:val="0"/>
                <w:numId w:val="26"/>
              </w:numPr>
            </w:pPr>
            <w:bookmarkStart w:id="86" w:name="_Hlk20740462"/>
            <w:r w:rsidRPr="00937123">
              <w:t>developed in collaboration with other significant partners such as UN Women, Equality Institute, Prevention Collaborative, and Raising Voices</w:t>
            </w:r>
          </w:p>
          <w:bookmarkEnd w:id="86"/>
          <w:p w14:paraId="695512C6" w14:textId="52155B46" w:rsidR="008F4201" w:rsidRPr="00AC5895" w:rsidRDefault="008F4201" w:rsidP="0054152F">
            <w:pPr>
              <w:pStyle w:val="ListContinue2"/>
            </w:pPr>
            <w:r w:rsidRPr="000A6EF2">
              <w:t xml:space="preserve">making linkages between Australian-funded </w:t>
            </w:r>
            <w:r w:rsidRPr="0054152F">
              <w:rPr>
                <w:i/>
                <w:iCs/>
              </w:rPr>
              <w:t>SASA!</w:t>
            </w:r>
            <w:r w:rsidRPr="000A6EF2">
              <w:t xml:space="preserve"> </w:t>
            </w:r>
            <w:r w:rsidR="00353460">
              <w:t>a</w:t>
            </w:r>
            <w:r w:rsidRPr="000A6EF2">
              <w:t>daptations in countries</w:t>
            </w:r>
            <w:r w:rsidR="00473C64">
              <w:t xml:space="preserve"> in </w:t>
            </w:r>
            <w:r w:rsidR="00473C64">
              <w:rPr>
                <w:rFonts w:cs="Arial"/>
                <w:shd w:val="clear" w:color="auto" w:fill="FFFFFF"/>
              </w:rPr>
              <w:t>the Indo-Pacific</w:t>
            </w:r>
            <w:r w:rsidRPr="000A6EF2">
              <w:t xml:space="preserve"> and sharing lessons from their evaluations.</w:t>
            </w:r>
          </w:p>
        </w:tc>
        <w:tc>
          <w:tcPr>
            <w:tcW w:w="3088" w:type="pct"/>
          </w:tcPr>
          <w:p w14:paraId="7FBE2EDC"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3E18B492" w14:textId="77777777" w:rsidR="008F4201" w:rsidRPr="00A7759B" w:rsidRDefault="008F4201" w:rsidP="002B24C3">
            <w:pPr>
              <w:cnfStyle w:val="000000000000" w:firstRow="0" w:lastRow="0" w:firstColumn="0" w:lastColumn="0" w:oddVBand="0" w:evenVBand="0" w:oddHBand="0" w:evenHBand="0" w:firstRowFirstColumn="0" w:firstRowLastColumn="0" w:lastRowFirstColumn="0" w:lastRowLastColumn="0"/>
            </w:pPr>
            <w:r>
              <w:t>DFAT, over the past decade, has</w:t>
            </w:r>
            <w:r w:rsidRPr="00A7759B">
              <w:t xml:space="preserve"> witnessed a deepening in </w:t>
            </w:r>
            <w:r>
              <w:t>its</w:t>
            </w:r>
            <w:r w:rsidRPr="00A7759B">
              <w:t xml:space="preserve"> understanding of what works to prevent </w:t>
            </w:r>
            <w:r>
              <w:t>VAWG</w:t>
            </w:r>
            <w:r w:rsidRPr="00A7759B">
              <w:t xml:space="preserve">. </w:t>
            </w:r>
            <w:r>
              <w:t xml:space="preserve">DFAT </w:t>
            </w:r>
            <w:r w:rsidRPr="00A7759B">
              <w:t>now know</w:t>
            </w:r>
            <w:r>
              <w:t>s</w:t>
            </w:r>
            <w:r w:rsidRPr="00A7759B">
              <w:t xml:space="preserve"> that </w:t>
            </w:r>
            <w:r>
              <w:t xml:space="preserve">interventions can transform </w:t>
            </w:r>
            <w:r w:rsidRPr="00A7759B">
              <w:t>social norms and that violence is preventable.</w:t>
            </w:r>
            <w:r>
              <w:t xml:space="preserve"> Over the next 10 years, </w:t>
            </w:r>
            <w:r w:rsidRPr="00A7759B">
              <w:t>DFAT will re-orient its EVAWG programming to strengthen the focus on violence prevention.</w:t>
            </w:r>
          </w:p>
          <w:p w14:paraId="54D40840"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r w:rsidRPr="004A2821">
              <w:rPr>
                <w:color w:val="auto"/>
              </w:rPr>
              <w:t>DFAT will undertak</w:t>
            </w:r>
            <w:r>
              <w:rPr>
                <w:color w:val="auto"/>
              </w:rPr>
              <w:t>e a comprehensive</w:t>
            </w:r>
            <w:r w:rsidRPr="004A2821">
              <w:rPr>
                <w:color w:val="auto"/>
              </w:rPr>
              <w:t xml:space="preserve"> consultation process to explore options for </w:t>
            </w:r>
            <w:r>
              <w:rPr>
                <w:color w:val="auto"/>
              </w:rPr>
              <w:t>strengthening its prevention work,</w:t>
            </w:r>
            <w:r w:rsidRPr="004A2821">
              <w:rPr>
                <w:color w:val="auto"/>
              </w:rPr>
              <w:t xml:space="preserve"> particularly</w:t>
            </w:r>
            <w:r>
              <w:rPr>
                <w:color w:val="auto"/>
              </w:rPr>
              <w:t xml:space="preserve"> with</w:t>
            </w:r>
            <w:r w:rsidRPr="004A2821">
              <w:rPr>
                <w:color w:val="auto"/>
              </w:rPr>
              <w:t xml:space="preserve"> prevention learning. </w:t>
            </w:r>
            <w:r w:rsidRPr="004A2821">
              <w:rPr>
                <w:lang w:val="en-GB" w:eastAsia="en-AU"/>
              </w:rPr>
              <w:t xml:space="preserve">The intention </w:t>
            </w:r>
            <w:r>
              <w:rPr>
                <w:lang w:val="en-GB" w:eastAsia="en-AU"/>
              </w:rPr>
              <w:t xml:space="preserve">of these consultations </w:t>
            </w:r>
            <w:r w:rsidRPr="004A2821">
              <w:rPr>
                <w:lang w:val="en-GB" w:eastAsia="en-AU"/>
              </w:rPr>
              <w:t xml:space="preserve">will be to secure </w:t>
            </w:r>
            <w:r>
              <w:rPr>
                <w:lang w:val="en-GB" w:eastAsia="en-AU"/>
              </w:rPr>
              <w:t xml:space="preserve">input and </w:t>
            </w:r>
            <w:r w:rsidRPr="004A2821">
              <w:rPr>
                <w:lang w:val="en-GB" w:eastAsia="en-AU"/>
              </w:rPr>
              <w:t>support from key stakeholders across the region</w:t>
            </w:r>
            <w:r>
              <w:rPr>
                <w:lang w:val="en-GB" w:eastAsia="en-AU"/>
              </w:rPr>
              <w:t>. This includes</w:t>
            </w:r>
            <w:r w:rsidRPr="004A2821">
              <w:rPr>
                <w:lang w:val="en-GB" w:eastAsia="en-AU"/>
              </w:rPr>
              <w:t xml:space="preserve"> </w:t>
            </w:r>
            <w:r>
              <w:rPr>
                <w:lang w:val="en-GB" w:eastAsia="en-AU"/>
              </w:rPr>
              <w:t xml:space="preserve">technical specialists, </w:t>
            </w:r>
            <w:r w:rsidRPr="004A2821">
              <w:rPr>
                <w:lang w:val="en-GB" w:eastAsia="en-AU"/>
              </w:rPr>
              <w:t xml:space="preserve">women’s organisations, multilateral organisations, partner governments, donors and </w:t>
            </w:r>
            <w:r>
              <w:rPr>
                <w:lang w:val="en-GB" w:eastAsia="en-AU"/>
              </w:rPr>
              <w:t>others.</w:t>
            </w:r>
            <w:r w:rsidRPr="004A2821">
              <w:rPr>
                <w:lang w:val="en-GB" w:eastAsia="en-AU"/>
              </w:rPr>
              <w:t xml:space="preserve"> </w:t>
            </w:r>
            <w:r>
              <w:rPr>
                <w:lang w:val="en-GB" w:eastAsia="en-AU"/>
              </w:rPr>
              <w:t>These consultations will inform the development of DFAT’s EVAWG framework for action.</w:t>
            </w:r>
          </w:p>
        </w:tc>
      </w:tr>
    </w:tbl>
    <w:p w14:paraId="62FAFD8D" w14:textId="77777777" w:rsidR="008F4201" w:rsidRDefault="008F4201" w:rsidP="008F4201">
      <w:pPr>
        <w:numPr>
          <w:ilvl w:val="0"/>
          <w:numId w:val="0"/>
        </w:numPr>
        <w:rPr>
          <w:rFonts w:asciiTheme="minorHAnsi" w:hAnsiTheme="minorHAnsi" w:cstheme="minorHAnsi"/>
          <w:sz w:val="20"/>
          <w:szCs w:val="20"/>
        </w:rPr>
      </w:pPr>
    </w:p>
    <w:tbl>
      <w:tblPr>
        <w:tblStyle w:val="TableGrid"/>
        <w:tblW w:w="5000" w:type="pct"/>
        <w:tblLook w:val="06A0" w:firstRow="1" w:lastRow="0" w:firstColumn="1" w:lastColumn="0" w:noHBand="1" w:noVBand="1"/>
      </w:tblPr>
      <w:tblGrid>
        <w:gridCol w:w="5150"/>
        <w:gridCol w:w="4478"/>
      </w:tblGrid>
      <w:tr w:rsidR="008F4201" w:rsidRPr="009A445C" w14:paraId="61B4D98F" w14:textId="77777777" w:rsidTr="002B24C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0" w:type="pct"/>
          </w:tcPr>
          <w:p w14:paraId="51DE00C2" w14:textId="77777777" w:rsidR="008F4201" w:rsidRPr="009A445C" w:rsidRDefault="008F4201" w:rsidP="002B24C3">
            <w:pPr>
              <w:rPr>
                <w:b w:val="0"/>
              </w:rPr>
            </w:pPr>
            <w:r>
              <w:br w:type="page"/>
            </w:r>
            <w:r w:rsidRPr="009A445C">
              <w:t>R</w:t>
            </w:r>
            <w:r>
              <w:t>ECOMMENDATION</w:t>
            </w:r>
            <w:r w:rsidRPr="009A445C">
              <w:t xml:space="preserve"> </w:t>
            </w:r>
            <w:r>
              <w:t>5</w:t>
            </w:r>
          </w:p>
        </w:tc>
        <w:tc>
          <w:tcPr>
            <w:tcW w:w="0" w:type="pct"/>
          </w:tcPr>
          <w:p w14:paraId="4CCFF9F4" w14:textId="77777777" w:rsidR="008F4201" w:rsidRPr="005A7F8B" w:rsidRDefault="008F4201" w:rsidP="002B24C3">
            <w:pPr>
              <w:cnfStyle w:val="100000000000" w:firstRow="1" w:lastRow="0" w:firstColumn="0" w:lastColumn="0" w:oddVBand="0" w:evenVBand="0" w:oddHBand="0" w:evenHBand="0" w:firstRowFirstColumn="0" w:firstRowLastColumn="0" w:lastRowFirstColumn="0" w:lastRowLastColumn="0"/>
            </w:pPr>
            <w:r>
              <w:t>RESPONSE</w:t>
            </w:r>
          </w:p>
        </w:tc>
      </w:tr>
      <w:tr w:rsidR="008F4201" w:rsidRPr="009A445C" w14:paraId="7F21F121" w14:textId="77777777" w:rsidTr="002B24C3">
        <w:trPr>
          <w:trHeight w:val="60"/>
        </w:trPr>
        <w:tc>
          <w:tcPr>
            <w:cnfStyle w:val="001000000000" w:firstRow="0" w:lastRow="0" w:firstColumn="1" w:lastColumn="0" w:oddVBand="0" w:evenVBand="0" w:oddHBand="0" w:evenHBand="0" w:firstRowFirstColumn="0" w:firstRowLastColumn="0" w:lastRowFirstColumn="0" w:lastRowLastColumn="0"/>
            <w:tcW w:w="0" w:type="pct"/>
          </w:tcPr>
          <w:p w14:paraId="720B2D92" w14:textId="77777777" w:rsidR="008F4201" w:rsidRPr="000A6EF2" w:rsidRDefault="008F4201" w:rsidP="002B24C3">
            <w:pPr>
              <w:pStyle w:val="Heading3"/>
              <w:numPr>
                <w:ilvl w:val="0"/>
                <w:numId w:val="0"/>
              </w:numPr>
              <w:outlineLvl w:val="2"/>
            </w:pPr>
            <w:r w:rsidRPr="000A6EF2">
              <w:t xml:space="preserve">Continue to enhance evaluation and learning to improve EVAWG outcomes by: </w:t>
            </w:r>
          </w:p>
        </w:tc>
        <w:tc>
          <w:tcPr>
            <w:tcW w:w="0" w:type="pct"/>
          </w:tcPr>
          <w:p w14:paraId="31E02616"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p>
        </w:tc>
      </w:tr>
      <w:tr w:rsidR="008F4201" w:rsidRPr="004A2821" w14:paraId="5F359D17" w14:textId="77777777" w:rsidTr="002B24C3">
        <w:trPr>
          <w:trHeight w:val="60"/>
        </w:trPr>
        <w:tc>
          <w:tcPr>
            <w:cnfStyle w:val="001000000000" w:firstRow="0" w:lastRow="0" w:firstColumn="1" w:lastColumn="0" w:oddVBand="0" w:evenVBand="0" w:oddHBand="0" w:evenHBand="0" w:firstRowFirstColumn="0" w:firstRowLastColumn="0" w:lastRowFirstColumn="0" w:lastRowLastColumn="0"/>
            <w:tcW w:w="0" w:type="pct"/>
          </w:tcPr>
          <w:p w14:paraId="542C88B5" w14:textId="77777777" w:rsidR="008F4201" w:rsidRPr="004A2821" w:rsidRDefault="008F4201" w:rsidP="00353460">
            <w:pPr>
              <w:pStyle w:val="ListContinue"/>
              <w:numPr>
                <w:ilvl w:val="0"/>
                <w:numId w:val="37"/>
              </w:numPr>
            </w:pPr>
            <w:r w:rsidRPr="004A2821">
              <w:t>enhancing shared learning to ensure investments contribute to regional and global knowledge, and model good practice</w:t>
            </w:r>
          </w:p>
        </w:tc>
        <w:tc>
          <w:tcPr>
            <w:tcW w:w="0" w:type="pct"/>
          </w:tcPr>
          <w:p w14:paraId="4B855C33"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562EDF33" w14:textId="05BDDA84" w:rsidR="008F4201" w:rsidRPr="004A2821" w:rsidRDefault="008F4201" w:rsidP="002B24C3">
            <w:pPr>
              <w:cnfStyle w:val="000000000000" w:firstRow="0" w:lastRow="0" w:firstColumn="0" w:lastColumn="0" w:oddVBand="0" w:evenVBand="0" w:oddHBand="0" w:evenHBand="0" w:firstRowFirstColumn="0" w:firstRowLastColumn="0" w:lastRowFirstColumn="0" w:lastRowLastColumn="0"/>
            </w:pPr>
            <w:r>
              <w:t xml:space="preserve">DFAT will build on the progress made over the last 10 years to improve its evaluation and learning of EVAWG.  In particular, DFAT will focus on strengthening evaluation of and learning around prevention activities in </w:t>
            </w:r>
            <w:r w:rsidR="00473C64">
              <w:rPr>
                <w:rFonts w:cs="Arial"/>
                <w:shd w:val="clear" w:color="auto" w:fill="FFFFFF"/>
              </w:rPr>
              <w:t>the Indo-Pacific</w:t>
            </w:r>
            <w:r>
              <w:t xml:space="preserve"> and in fragile, post-conflict and conflict-affected contexts</w:t>
            </w:r>
            <w:r>
              <w:rPr>
                <w:color w:val="auto"/>
              </w:rPr>
              <w:t>. In doing so, DFAT will account for the important ethical considerations of working in this sensitive area, including by developing strategies to anticipate and address negative and unintended consequences.</w:t>
            </w:r>
          </w:p>
        </w:tc>
      </w:tr>
      <w:tr w:rsidR="008F4201" w:rsidRPr="004A2821" w14:paraId="72FCC392" w14:textId="77777777" w:rsidTr="002B24C3">
        <w:trPr>
          <w:trHeight w:val="60"/>
        </w:trPr>
        <w:tc>
          <w:tcPr>
            <w:cnfStyle w:val="001000000000" w:firstRow="0" w:lastRow="0" w:firstColumn="1" w:lastColumn="0" w:oddVBand="0" w:evenVBand="0" w:oddHBand="0" w:evenHBand="0" w:firstRowFirstColumn="0" w:firstRowLastColumn="0" w:lastRowFirstColumn="0" w:lastRowLastColumn="0"/>
            <w:tcW w:w="0" w:type="pct"/>
          </w:tcPr>
          <w:p w14:paraId="26D854F9" w14:textId="30C5503F" w:rsidR="008F4201" w:rsidRPr="004A2821" w:rsidRDefault="008F4201" w:rsidP="00353460">
            <w:pPr>
              <w:pStyle w:val="ListContinue"/>
            </w:pPr>
            <w:r w:rsidRPr="004A2821">
              <w:t xml:space="preserve">supporting better sharing of lessons between and within </w:t>
            </w:r>
            <w:r w:rsidR="00353460">
              <w:t>p</w:t>
            </w:r>
            <w:r>
              <w:t>osts</w:t>
            </w:r>
            <w:r w:rsidRPr="004A2821">
              <w:t>, and between Australian-funded partners</w:t>
            </w:r>
          </w:p>
        </w:tc>
        <w:tc>
          <w:tcPr>
            <w:tcW w:w="0" w:type="pct"/>
          </w:tcPr>
          <w:p w14:paraId="54409139"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4C101D76"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sidRPr="004A2821">
              <w:rPr>
                <w:color w:val="auto"/>
              </w:rPr>
              <w:t xml:space="preserve">DFAT </w:t>
            </w:r>
            <w:r>
              <w:rPr>
                <w:color w:val="auto"/>
              </w:rPr>
              <w:t>has</w:t>
            </w:r>
            <w:r w:rsidRPr="004A2821">
              <w:rPr>
                <w:color w:val="auto"/>
              </w:rPr>
              <w:t xml:space="preserve"> well-established relationships with donors and key actors in the region</w:t>
            </w:r>
            <w:r>
              <w:rPr>
                <w:color w:val="auto"/>
              </w:rPr>
              <w:t>. DFAT</w:t>
            </w:r>
            <w:r w:rsidRPr="004A2821">
              <w:rPr>
                <w:color w:val="auto"/>
              </w:rPr>
              <w:t xml:space="preserve"> will work to ensure these relationships remain constructive and that effective communication channels f</w:t>
            </w:r>
            <w:r>
              <w:rPr>
                <w:color w:val="auto"/>
              </w:rPr>
              <w:t>acilitate policy coherence.</w:t>
            </w:r>
          </w:p>
          <w:p w14:paraId="214704F8"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DFAT </w:t>
            </w:r>
            <w:r w:rsidRPr="004A2821">
              <w:rPr>
                <w:color w:val="auto"/>
              </w:rPr>
              <w:t xml:space="preserve">will work to complement and leverage initiatives such as DFID’s </w:t>
            </w:r>
            <w:r w:rsidRPr="00392D48">
              <w:rPr>
                <w:iCs/>
                <w:color w:val="auto"/>
              </w:rPr>
              <w:t>What Works to Prevent Violence</w:t>
            </w:r>
            <w:r w:rsidRPr="004A2821">
              <w:rPr>
                <w:color w:val="auto"/>
              </w:rPr>
              <w:t xml:space="preserve"> and </w:t>
            </w:r>
            <w:r w:rsidRPr="00392D48">
              <w:rPr>
                <w:iCs/>
                <w:color w:val="auto"/>
              </w:rPr>
              <w:t>Spotlight</w:t>
            </w:r>
            <w:r>
              <w:rPr>
                <w:color w:val="auto"/>
              </w:rPr>
              <w:t xml:space="preserve"> in order to maximise impact. </w:t>
            </w:r>
          </w:p>
          <w:p w14:paraId="3C967469" w14:textId="77777777" w:rsidR="008F4201" w:rsidRPr="006C063D" w:rsidRDefault="008F4201" w:rsidP="002B24C3">
            <w:pPr>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DFAT’s Gender Equality Branch will facilitate learning across High Commissions and Embassies as part of its approach to strengthening monitoring, evaluating and learning. </w:t>
            </w:r>
          </w:p>
        </w:tc>
      </w:tr>
      <w:tr w:rsidR="008F4201" w:rsidRPr="009A445C" w14:paraId="08EB47BC" w14:textId="77777777" w:rsidTr="002B24C3">
        <w:trPr>
          <w:trHeight w:val="60"/>
        </w:trPr>
        <w:tc>
          <w:tcPr>
            <w:cnfStyle w:val="001000000000" w:firstRow="0" w:lastRow="0" w:firstColumn="1" w:lastColumn="0" w:oddVBand="0" w:evenVBand="0" w:oddHBand="0" w:evenHBand="0" w:firstRowFirstColumn="0" w:firstRowLastColumn="0" w:lastRowFirstColumn="0" w:lastRowLastColumn="0"/>
            <w:tcW w:w="0" w:type="pct"/>
          </w:tcPr>
          <w:p w14:paraId="65E7B9AA" w14:textId="77777777" w:rsidR="008F4201" w:rsidRPr="00AC5895" w:rsidRDefault="008F4201" w:rsidP="00353460">
            <w:pPr>
              <w:pStyle w:val="ListContinue"/>
            </w:pPr>
            <w:r w:rsidRPr="000A6EF2">
              <w:t>focusing on more coordinated and high-profile research to ensure that Australia is engaged in a global leadership role in EVAWG</w:t>
            </w:r>
            <w:r>
              <w:t>, which</w:t>
            </w:r>
            <w:r w:rsidRPr="000A6EF2">
              <w:t xml:space="preserve"> should include collaborati</w:t>
            </w:r>
            <w:r>
              <w:t>ng</w:t>
            </w:r>
            <w:r w:rsidRPr="000A6EF2">
              <w:t xml:space="preserve"> with local and international stakeholders, including research institutions, to improve, consolidate and share the </w:t>
            </w:r>
            <w:r>
              <w:t xml:space="preserve">EVAWG </w:t>
            </w:r>
            <w:r w:rsidRPr="000A6EF2">
              <w:t>evidence</w:t>
            </w:r>
            <w:r>
              <w:t xml:space="preserve"> </w:t>
            </w:r>
            <w:r w:rsidRPr="000A6EF2">
              <w:t>base</w:t>
            </w:r>
          </w:p>
        </w:tc>
        <w:tc>
          <w:tcPr>
            <w:tcW w:w="0" w:type="pct"/>
          </w:tcPr>
          <w:p w14:paraId="05CA91E4"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474B9738"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pPr>
            <w:r>
              <w:t xml:space="preserve">DFAT will work to strengthen a shared understanding of what works to prevent violence, particularly in the Asia-Pacific region. DFAT envisages that this will be achieved, in part, through research. </w:t>
            </w:r>
          </w:p>
          <w:p w14:paraId="39F50C72" w14:textId="77777777" w:rsidR="008F4201" w:rsidRPr="009A445C" w:rsidRDefault="008F4201" w:rsidP="002B24C3">
            <w:pPr>
              <w:cnfStyle w:val="000000000000" w:firstRow="0" w:lastRow="0" w:firstColumn="0" w:lastColumn="0" w:oddVBand="0" w:evenVBand="0" w:oddHBand="0" w:evenHBand="0" w:firstRowFirstColumn="0" w:firstRowLastColumn="0" w:lastRowFirstColumn="0" w:lastRowLastColumn="0"/>
            </w:pPr>
            <w:r>
              <w:t xml:space="preserve">DFAT will maximise its position as a lead donor in EVAWG to share research and learnings through, for example, its global partnership with UN Women, regional initiatives such as </w:t>
            </w:r>
            <w:r w:rsidRPr="00392D48">
              <w:rPr>
                <w:iCs/>
              </w:rPr>
              <w:t>Pacific Women Shaping Pacific Development</w:t>
            </w:r>
            <w:r>
              <w:t xml:space="preserve"> and through increased focus on evaluation and learning.</w:t>
            </w:r>
          </w:p>
        </w:tc>
      </w:tr>
      <w:tr w:rsidR="008F4201" w:rsidRPr="004A2821" w14:paraId="46DC1394" w14:textId="77777777" w:rsidTr="002B24C3">
        <w:trPr>
          <w:trHeight w:val="60"/>
        </w:trPr>
        <w:tc>
          <w:tcPr>
            <w:cnfStyle w:val="001000000000" w:firstRow="0" w:lastRow="0" w:firstColumn="1" w:lastColumn="0" w:oddVBand="0" w:evenVBand="0" w:oddHBand="0" w:evenHBand="0" w:firstRowFirstColumn="0" w:firstRowLastColumn="0" w:lastRowFirstColumn="0" w:lastRowLastColumn="0"/>
            <w:tcW w:w="0" w:type="pct"/>
          </w:tcPr>
          <w:p w14:paraId="452BB45D" w14:textId="77777777" w:rsidR="008F4201" w:rsidRPr="004A2821" w:rsidRDefault="008F4201" w:rsidP="00353460">
            <w:pPr>
              <w:pStyle w:val="ListContinue"/>
            </w:pPr>
            <w:r w:rsidRPr="004A2821">
              <w:t>increasing investment in rigorous but diverse quantitative and qualitative evaluation of prevention programs (including practice-based learning, feminist and women</w:t>
            </w:r>
            <w:r>
              <w:t>-</w:t>
            </w:r>
            <w:r w:rsidRPr="004A2821">
              <w:t>centred methods</w:t>
            </w:r>
            <w:r>
              <w:t>,</w:t>
            </w:r>
            <w:r w:rsidRPr="004A2821">
              <w:t xml:space="preserve"> and analysis) to build the evidence of what works. </w:t>
            </w:r>
          </w:p>
        </w:tc>
        <w:tc>
          <w:tcPr>
            <w:tcW w:w="0" w:type="pct"/>
          </w:tcPr>
          <w:p w14:paraId="38B32F0C" w14:textId="77777777" w:rsidR="008F4201" w:rsidRPr="00CC2E25" w:rsidRDefault="008F4201" w:rsidP="002B24C3">
            <w:pPr>
              <w:cnfStyle w:val="000000000000" w:firstRow="0" w:lastRow="0" w:firstColumn="0" w:lastColumn="0" w:oddVBand="0" w:evenVBand="0" w:oddHBand="0" w:evenHBand="0" w:firstRowFirstColumn="0" w:firstRowLastColumn="0" w:lastRowFirstColumn="0" w:lastRowLastColumn="0"/>
              <w:rPr>
                <w:b/>
                <w:bCs/>
                <w:color w:val="auto"/>
              </w:rPr>
            </w:pPr>
            <w:r w:rsidRPr="00CC2E25">
              <w:rPr>
                <w:b/>
                <w:bCs/>
                <w:color w:val="auto"/>
              </w:rPr>
              <w:t>Agree.</w:t>
            </w:r>
          </w:p>
          <w:p w14:paraId="4D20C257" w14:textId="77777777" w:rsidR="008F4201" w:rsidRDefault="008F4201" w:rsidP="002B24C3">
            <w:pPr>
              <w:cnfStyle w:val="000000000000" w:firstRow="0" w:lastRow="0" w:firstColumn="0" w:lastColumn="0" w:oddVBand="0" w:evenVBand="0" w:oddHBand="0" w:evenHBand="0" w:firstRowFirstColumn="0" w:firstRowLastColumn="0" w:lastRowFirstColumn="0" w:lastRowLastColumn="0"/>
              <w:rPr>
                <w:lang w:val="en-GB" w:eastAsia="en-AU"/>
              </w:rPr>
            </w:pPr>
            <w:r>
              <w:rPr>
                <w:lang w:val="en-GB" w:eastAsia="en-AU"/>
              </w:rPr>
              <w:t xml:space="preserve">DFAT recognises there is scope to strengthen evaluation of EVAWG investments, including through analysis of the benefits of different approaches in the settings in which it operates. DFAT will increase its focus on analysis and evidence building. </w:t>
            </w:r>
          </w:p>
          <w:p w14:paraId="7CCC5B6B" w14:textId="77777777" w:rsidR="008F4201" w:rsidRPr="004A2821" w:rsidRDefault="008F4201" w:rsidP="002B24C3">
            <w:pPr>
              <w:cnfStyle w:val="000000000000" w:firstRow="0" w:lastRow="0" w:firstColumn="0" w:lastColumn="0" w:oddVBand="0" w:evenVBand="0" w:oddHBand="0" w:evenHBand="0" w:firstRowFirstColumn="0" w:firstRowLastColumn="0" w:lastRowFirstColumn="0" w:lastRowLastColumn="0"/>
            </w:pPr>
            <w:r>
              <w:rPr>
                <w:lang w:val="en-GB" w:eastAsia="en-AU"/>
              </w:rPr>
              <w:t>DFAT’s Gender Eq</w:t>
            </w:r>
            <w:r w:rsidRPr="004A2821">
              <w:rPr>
                <w:lang w:val="en-GB" w:eastAsia="en-AU"/>
              </w:rPr>
              <w:t>uality Bran</w:t>
            </w:r>
            <w:r>
              <w:rPr>
                <w:lang w:val="en-GB" w:eastAsia="en-AU"/>
              </w:rPr>
              <w:t xml:space="preserve">ch will </w:t>
            </w:r>
            <w:r w:rsidRPr="004A2821">
              <w:rPr>
                <w:lang w:val="en-GB" w:eastAsia="en-AU"/>
              </w:rPr>
              <w:t>explor</w:t>
            </w:r>
            <w:r>
              <w:rPr>
                <w:lang w:val="en-GB" w:eastAsia="en-AU"/>
              </w:rPr>
              <w:t>e</w:t>
            </w:r>
            <w:r w:rsidRPr="004A2821">
              <w:rPr>
                <w:lang w:val="en-GB" w:eastAsia="en-AU"/>
              </w:rPr>
              <w:t xml:space="preserve"> </w:t>
            </w:r>
            <w:r>
              <w:rPr>
                <w:lang w:val="en-GB" w:eastAsia="en-AU"/>
              </w:rPr>
              <w:t xml:space="preserve">ways </w:t>
            </w:r>
            <w:r w:rsidRPr="004A2821">
              <w:rPr>
                <w:lang w:val="en-GB" w:eastAsia="en-AU"/>
              </w:rPr>
              <w:t>to provide additional support to DFAT staff and implemen</w:t>
            </w:r>
            <w:r>
              <w:rPr>
                <w:lang w:val="en-GB" w:eastAsia="en-AU"/>
              </w:rPr>
              <w:t xml:space="preserve">ting partners to </w:t>
            </w:r>
            <w:r w:rsidRPr="004A2821">
              <w:rPr>
                <w:lang w:val="en-GB" w:eastAsia="en-AU"/>
              </w:rPr>
              <w:t xml:space="preserve">improve design, monitoring and evaluation of EVAWG investments.  </w:t>
            </w:r>
          </w:p>
        </w:tc>
      </w:tr>
    </w:tbl>
    <w:p w14:paraId="03E7EA6A" w14:textId="51D62C10" w:rsidR="008F4201" w:rsidRDefault="008F4201" w:rsidP="001A29CC">
      <w:pPr>
        <w:rPr>
          <w:noProof/>
        </w:rPr>
      </w:pPr>
    </w:p>
    <w:p w14:paraId="73188938" w14:textId="79F373A9" w:rsidR="00EF65AE" w:rsidRPr="00EF65AE" w:rsidRDefault="004A793A" w:rsidP="004733B5">
      <w:pPr>
        <w:pStyle w:val="Heading1"/>
      </w:pPr>
      <w:bookmarkStart w:id="87" w:name="_Toc14959587"/>
      <w:bookmarkStart w:id="88" w:name="_Toc15378113"/>
      <w:bookmarkStart w:id="89" w:name="_Toc15378462"/>
      <w:bookmarkStart w:id="90" w:name="_Toc15562992"/>
      <w:bookmarkStart w:id="91" w:name="_Toc23434528"/>
      <w:bookmarkEnd w:id="73"/>
      <w:r w:rsidRPr="00EF65AE">
        <w:t>Introduction</w:t>
      </w:r>
      <w:bookmarkEnd w:id="87"/>
      <w:bookmarkEnd w:id="88"/>
      <w:bookmarkEnd w:id="89"/>
      <w:bookmarkEnd w:id="90"/>
      <w:bookmarkEnd w:id="91"/>
      <w:r w:rsidRPr="00EF65AE">
        <w:t xml:space="preserve"> </w:t>
      </w:r>
    </w:p>
    <w:p w14:paraId="0F5529B3" w14:textId="276839B9" w:rsidR="00EF65AE" w:rsidRPr="00EF65AE" w:rsidRDefault="00EF65AE" w:rsidP="006E454B">
      <w:pPr>
        <w:pStyle w:val="Introduction"/>
      </w:pPr>
      <w:r w:rsidRPr="00EF65AE">
        <w:t xml:space="preserve">This chapter describes the reasons for and approach to this evaluation. </w:t>
      </w:r>
      <w:r w:rsidR="00A3243E">
        <w:t>It reviews t</w:t>
      </w:r>
      <w:r w:rsidRPr="00EF65AE">
        <w:t xml:space="preserve">he prevalence, types of and </w:t>
      </w:r>
      <w:r w:rsidRPr="00670869">
        <w:t>consequences</w:t>
      </w:r>
      <w:r w:rsidRPr="00EF65AE">
        <w:t xml:space="preserve"> of </w:t>
      </w:r>
      <w:r w:rsidR="00D360AE">
        <w:t>violence against women and girls (</w:t>
      </w:r>
      <w:r w:rsidR="00274B83">
        <w:t>VAWG</w:t>
      </w:r>
      <w:r w:rsidR="00D360AE">
        <w:t>)</w:t>
      </w:r>
      <w:r w:rsidRPr="00EF65AE">
        <w:t xml:space="preserve">. </w:t>
      </w:r>
      <w:r w:rsidR="00A3243E">
        <w:t>It identifies f</w:t>
      </w:r>
      <w:r w:rsidRPr="00EF65AE">
        <w:t xml:space="preserve">actors that drive and contribute to </w:t>
      </w:r>
      <w:r w:rsidR="00A3243E">
        <w:t xml:space="preserve">such </w:t>
      </w:r>
      <w:r w:rsidRPr="00EF65AE">
        <w:t xml:space="preserve">violence. </w:t>
      </w:r>
    </w:p>
    <w:p w14:paraId="512D7159" w14:textId="1741BD74" w:rsidR="00EF65AE" w:rsidRPr="00EF65AE" w:rsidRDefault="004A793A" w:rsidP="00F84AB8">
      <w:pPr>
        <w:pStyle w:val="Heading2"/>
      </w:pPr>
      <w:bookmarkStart w:id="92" w:name="_Toc14959588"/>
      <w:bookmarkStart w:id="93" w:name="_Toc15378114"/>
      <w:bookmarkStart w:id="94" w:name="_Toc15378463"/>
      <w:bookmarkStart w:id="95" w:name="_Toc15562993"/>
      <w:bookmarkStart w:id="96" w:name="_Toc23434529"/>
      <w:bookmarkEnd w:id="84"/>
      <w:r w:rsidRPr="00EF65AE">
        <w:t>About this evaluation</w:t>
      </w:r>
      <w:bookmarkEnd w:id="92"/>
      <w:bookmarkEnd w:id="93"/>
      <w:bookmarkEnd w:id="94"/>
      <w:bookmarkEnd w:id="95"/>
      <w:bookmarkEnd w:id="96"/>
    </w:p>
    <w:p w14:paraId="57623B72" w14:textId="77777777" w:rsidR="00EF65AE" w:rsidRPr="00EF65AE" w:rsidRDefault="00EF65AE" w:rsidP="00EF65AE">
      <w:pPr>
        <w:rPr>
          <w:rFonts w:cs="Arial"/>
        </w:rPr>
      </w:pPr>
      <w:bookmarkStart w:id="97" w:name="_Hlk7371988"/>
      <w:r w:rsidRPr="00EF65AE">
        <w:rPr>
          <w:rFonts w:cs="Arial"/>
        </w:rPr>
        <w:t xml:space="preserve">This strategic evaluation of Australian development assistance to EVAWG was commissioned by ODE as a </w:t>
      </w:r>
      <w:r w:rsidR="00E2253F">
        <w:rPr>
          <w:rFonts w:cs="Arial"/>
        </w:rPr>
        <w:t>10</w:t>
      </w:r>
      <w:r w:rsidRPr="00EF65AE">
        <w:rPr>
          <w:rFonts w:cs="Arial"/>
        </w:rPr>
        <w:t xml:space="preserve">-year follow up to ODE’s 2008 strategic evaluation </w:t>
      </w:r>
      <w:r w:rsidRPr="00E9027A">
        <w:rPr>
          <w:rFonts w:cs="Arial"/>
          <w:i/>
        </w:rPr>
        <w:t>Violence against Women in Melanesia and East Timor: Building on Global and Regional Promising Approaches</w:t>
      </w:r>
      <w:r w:rsidRPr="00EF65AE">
        <w:rPr>
          <w:rFonts w:cs="Arial"/>
        </w:rPr>
        <w:t>.</w:t>
      </w:r>
      <w:r w:rsidRPr="00EF65AE">
        <w:rPr>
          <w:rFonts w:cs="Arial"/>
          <w:vertAlign w:val="superscript"/>
        </w:rPr>
        <w:fldChar w:fldCharType="begin"/>
      </w:r>
      <w:r w:rsidRPr="00EF65AE">
        <w:rPr>
          <w:rFonts w:cs="Arial"/>
          <w:vertAlign w:val="superscript"/>
        </w:rPr>
        <w:instrText xml:space="preserve"> ADDIN ZOTERO_ITEM CSL_CITATION {"citationID":"UIm2nmX2","properties":{"formattedCitation":"\\super 2\\nosupersub{}","plainCitation":"2","noteIndex":0},"citationItems":[{"id":94,"uris":["http://zotero.org/users/4194704/items/7NXEN4ZT"],"uri":["http://zotero.org/users/4194704/items/7NXEN4ZT"],"itemData":{"id":94,"type":"article-journal","title":"Violence against women in Melanesia and East Timor: Building on global and regional promising approaches","container-title":"Canberra: AusAID","author":[{"family":"Ellsberg","given":"Mary"},{"family":"Bradley","given":"Christine"},{"family":"Egan","given":"Andrew"},{"family":"Haddad","given":"Amy"}],"issued":{"date-parts":[["2008"]]}}}],"schema":"https://github.com/citation-style-language/schema/raw/master/csl-citation.json"} </w:instrText>
      </w:r>
      <w:r w:rsidRPr="00EF65AE">
        <w:rPr>
          <w:rFonts w:cs="Arial"/>
          <w:vertAlign w:val="superscript"/>
        </w:rPr>
        <w:fldChar w:fldCharType="separate"/>
      </w:r>
      <w:r w:rsidRPr="00EF65AE">
        <w:rPr>
          <w:rFonts w:cs="Arial"/>
          <w:vertAlign w:val="superscript"/>
          <w:lang w:val="en-US"/>
        </w:rPr>
        <w:t>2</w:t>
      </w:r>
      <w:r w:rsidRPr="00EF65AE">
        <w:rPr>
          <w:rFonts w:cs="Arial"/>
          <w:vertAlign w:val="superscript"/>
        </w:rPr>
        <w:fldChar w:fldCharType="end"/>
      </w:r>
      <w:r w:rsidRPr="00EF65AE">
        <w:rPr>
          <w:rFonts w:cs="Arial"/>
        </w:rPr>
        <w:t xml:space="preserve"> The 2008 report assessed promising practices to address </w:t>
      </w:r>
      <w:r w:rsidR="00274B83">
        <w:rPr>
          <w:rFonts w:cs="Arial"/>
        </w:rPr>
        <w:t>VAWG</w:t>
      </w:r>
      <w:r w:rsidRPr="00EF65AE">
        <w:rPr>
          <w:rFonts w:cs="Arial"/>
        </w:rPr>
        <w:t xml:space="preserve"> in Fiji, P</w:t>
      </w:r>
      <w:r w:rsidR="001158AC">
        <w:rPr>
          <w:rFonts w:cs="Arial"/>
        </w:rPr>
        <w:t>NG</w:t>
      </w:r>
      <w:r w:rsidRPr="00EF65AE">
        <w:rPr>
          <w:rFonts w:cs="Arial"/>
        </w:rPr>
        <w:t xml:space="preserve">, Solomon Islands, Timor-Leste and Vanuatu. </w:t>
      </w:r>
    </w:p>
    <w:p w14:paraId="6E8F75A1" w14:textId="77777777" w:rsidR="00EF65AE" w:rsidRPr="004B1F17" w:rsidRDefault="00EF65AE" w:rsidP="00EF65AE">
      <w:pPr>
        <w:rPr>
          <w:rFonts w:cs="Arial"/>
        </w:rPr>
      </w:pPr>
      <w:r w:rsidRPr="00EF65AE">
        <w:rPr>
          <w:rFonts w:cs="Arial"/>
        </w:rPr>
        <w:t xml:space="preserve">The 2008 </w:t>
      </w:r>
      <w:r w:rsidR="009807D6">
        <w:rPr>
          <w:rFonts w:cs="Arial"/>
        </w:rPr>
        <w:t xml:space="preserve">evaluation </w:t>
      </w:r>
      <w:r w:rsidRPr="00EF65AE">
        <w:rPr>
          <w:rFonts w:cs="Arial"/>
        </w:rPr>
        <w:t xml:space="preserve">report found some progress and notable </w:t>
      </w:r>
      <w:r w:rsidR="00E20CBF">
        <w:rPr>
          <w:rFonts w:cs="Arial"/>
        </w:rPr>
        <w:t>best</w:t>
      </w:r>
      <w:r w:rsidR="00E20CBF" w:rsidRPr="00EF65AE">
        <w:rPr>
          <w:rFonts w:cs="Arial"/>
        </w:rPr>
        <w:t xml:space="preserve"> </w:t>
      </w:r>
      <w:r w:rsidRPr="00EF65AE">
        <w:rPr>
          <w:rFonts w:cs="Arial"/>
        </w:rPr>
        <w:t xml:space="preserve">practices in addressing </w:t>
      </w:r>
      <w:r w:rsidR="00274B83">
        <w:rPr>
          <w:rFonts w:cs="Arial"/>
        </w:rPr>
        <w:t>VAWG</w:t>
      </w:r>
      <w:r w:rsidRPr="00EF65AE">
        <w:rPr>
          <w:rFonts w:cs="Arial"/>
        </w:rPr>
        <w:t xml:space="preserve"> throughout the region</w:t>
      </w:r>
      <w:r w:rsidR="00E2253F">
        <w:rPr>
          <w:rFonts w:cs="Arial"/>
        </w:rPr>
        <w:t xml:space="preserve">. </w:t>
      </w:r>
      <w:r w:rsidRPr="00EF65AE">
        <w:rPr>
          <w:rFonts w:cs="Arial"/>
        </w:rPr>
        <w:t xml:space="preserve">It acknowledged the efforts of women’s rights activists who </w:t>
      </w:r>
      <w:r w:rsidR="00E2253F">
        <w:rPr>
          <w:rFonts w:cs="Arial"/>
        </w:rPr>
        <w:t xml:space="preserve">have </w:t>
      </w:r>
      <w:r w:rsidRPr="00EF65AE">
        <w:rPr>
          <w:rFonts w:cs="Arial"/>
        </w:rPr>
        <w:t>influenced governments to commit to ending</w:t>
      </w:r>
      <w:r w:rsidR="009807D6">
        <w:rPr>
          <w:rFonts w:cs="Arial"/>
        </w:rPr>
        <w:t xml:space="preserve"> such</w:t>
      </w:r>
      <w:r w:rsidRPr="00EF65AE">
        <w:rPr>
          <w:rFonts w:cs="Arial"/>
        </w:rPr>
        <w:t xml:space="preserve"> violence. However, the</w:t>
      </w:r>
      <w:r w:rsidR="00E2253F">
        <w:rPr>
          <w:rFonts w:cs="Arial"/>
        </w:rPr>
        <w:t xml:space="preserve"> report indicated</w:t>
      </w:r>
      <w:r w:rsidRPr="00EF65AE">
        <w:rPr>
          <w:rFonts w:cs="Arial"/>
        </w:rPr>
        <w:t xml:space="preserve"> </w:t>
      </w:r>
      <w:r w:rsidR="00E2253F">
        <w:rPr>
          <w:rFonts w:cs="Arial"/>
        </w:rPr>
        <w:t>‘</w:t>
      </w:r>
      <w:r w:rsidRPr="00EF65AE">
        <w:rPr>
          <w:rFonts w:cs="Arial"/>
        </w:rPr>
        <w:t>an enormous gap between public discourse and reality</w:t>
      </w:r>
      <w:r w:rsidR="00E2253F">
        <w:rPr>
          <w:rFonts w:cs="Arial"/>
        </w:rPr>
        <w:t>’</w:t>
      </w:r>
      <w:r w:rsidRPr="00EF65AE">
        <w:rPr>
          <w:rFonts w:cs="Arial"/>
        </w:rPr>
        <w:t xml:space="preserve">. </w:t>
      </w:r>
      <w:r w:rsidR="00E2253F">
        <w:rPr>
          <w:rFonts w:cs="Arial"/>
        </w:rPr>
        <w:t>It</w:t>
      </w:r>
      <w:r w:rsidRPr="00EF65AE">
        <w:rPr>
          <w:rFonts w:cs="Arial"/>
        </w:rPr>
        <w:t xml:space="preserve"> found donor contributions had made some difference, but needed to be vastly increased, better coordinated and sustained over longer timeframes to maximise </w:t>
      </w:r>
      <w:r w:rsidRPr="004B1F17">
        <w:rPr>
          <w:rFonts w:cs="Arial"/>
        </w:rPr>
        <w:t>impact.</w:t>
      </w:r>
      <w:r w:rsidRPr="004B1F17">
        <w:rPr>
          <w:rFonts w:cs="Arial"/>
          <w:vertAlign w:val="superscript"/>
        </w:rPr>
        <w:fldChar w:fldCharType="begin"/>
      </w:r>
      <w:r w:rsidRPr="004B1F17">
        <w:rPr>
          <w:rFonts w:cs="Arial"/>
          <w:vertAlign w:val="superscript"/>
        </w:rPr>
        <w:instrText xml:space="preserve"> ADDIN ZOTERO_ITEM CSL_CITATION {"citationID":"lOH4XnqS","properties":{"formattedCitation":"\\super 2\\nosupersub{}","plainCitation":"2","noteIndex":0},"citationItems":[{"id":94,"uris":["http://zotero.org/users/4194704/items/7NXEN4ZT"],"uri":["http://zotero.org/users/4194704/items/7NXEN4ZT"],"itemData":{"id":94,"type":"article-journal","title":"Violence against women in Melanesia and East Timor: Building on global and regional promising approaches","container-title":"Canberra: AusAID","author":[{"family":"Ellsberg","given":"Mary"},{"family":"Bradley","given":"Christine"},{"family":"Egan","given":"Andrew"},{"family":"Haddad","given":"Amy"}],"issued":{"date-parts":[["2008"]]}}}],"schema":"https://github.com/citation-style-language/schema/raw/master/csl-citation.json"} </w:instrText>
      </w:r>
      <w:r w:rsidRPr="004B1F17">
        <w:rPr>
          <w:rFonts w:cs="Arial"/>
          <w:vertAlign w:val="superscript"/>
        </w:rPr>
        <w:fldChar w:fldCharType="separate"/>
      </w:r>
      <w:r w:rsidRPr="004B1F17">
        <w:rPr>
          <w:rFonts w:cs="Arial"/>
          <w:vertAlign w:val="superscript"/>
          <w:lang w:val="en-US"/>
        </w:rPr>
        <w:t>2</w:t>
      </w:r>
      <w:r w:rsidRPr="004B1F17">
        <w:rPr>
          <w:rFonts w:cs="Arial"/>
          <w:vertAlign w:val="superscript"/>
        </w:rPr>
        <w:fldChar w:fldCharType="end"/>
      </w:r>
      <w:r w:rsidRPr="004B1F17">
        <w:rPr>
          <w:rFonts w:cs="Arial"/>
        </w:rPr>
        <w:t xml:space="preserve"> </w:t>
      </w:r>
    </w:p>
    <w:p w14:paraId="10A08CF0" w14:textId="77777777" w:rsidR="00EF65AE" w:rsidRPr="00EF65AE" w:rsidRDefault="00EF65AE" w:rsidP="00EF65AE">
      <w:pPr>
        <w:rPr>
          <w:rFonts w:cs="Arial"/>
        </w:rPr>
      </w:pPr>
      <w:r w:rsidRPr="00EF65AE">
        <w:rPr>
          <w:rFonts w:cs="Arial"/>
        </w:rPr>
        <w:t xml:space="preserve">The 2008 </w:t>
      </w:r>
      <w:r w:rsidR="009807D6">
        <w:rPr>
          <w:rFonts w:cs="Arial"/>
        </w:rPr>
        <w:t xml:space="preserve">evaluation </w:t>
      </w:r>
      <w:r w:rsidRPr="00EF65AE">
        <w:rPr>
          <w:rFonts w:cs="Arial"/>
        </w:rPr>
        <w:t xml:space="preserve">report recommended a framework for action with </w:t>
      </w:r>
      <w:r w:rsidR="009807D6">
        <w:rPr>
          <w:rFonts w:cs="Arial"/>
        </w:rPr>
        <w:t xml:space="preserve">these </w:t>
      </w:r>
      <w:r w:rsidRPr="00EF65AE">
        <w:rPr>
          <w:rFonts w:cs="Arial"/>
        </w:rPr>
        <w:t>four strategies for</w:t>
      </w:r>
      <w:r w:rsidR="00392D48">
        <w:rPr>
          <w:rFonts w:cs="Arial"/>
        </w:rPr>
        <w:t xml:space="preserve"> </w:t>
      </w:r>
      <w:r w:rsidRPr="00EF65AE">
        <w:rPr>
          <w:rFonts w:cs="Arial"/>
        </w:rPr>
        <w:t xml:space="preserve">EVAWG: </w:t>
      </w:r>
    </w:p>
    <w:p w14:paraId="7A4B98F1" w14:textId="77777777" w:rsidR="00EF65AE" w:rsidRPr="00EF65AE" w:rsidRDefault="00EF65AE" w:rsidP="00EF65AE">
      <w:pPr>
        <w:pStyle w:val="ListNumber"/>
        <w:rPr>
          <w:rFonts w:cs="Arial"/>
          <w:spacing w:val="-6"/>
          <w:szCs w:val="20"/>
        </w:rPr>
      </w:pPr>
      <w:r w:rsidRPr="00EF65AE">
        <w:rPr>
          <w:rFonts w:cs="Arial"/>
          <w:b/>
          <w:spacing w:val="-6"/>
          <w:szCs w:val="20"/>
        </w:rPr>
        <w:t>Creating an enabling environment</w:t>
      </w:r>
      <w:r w:rsidRPr="00EF65AE">
        <w:rPr>
          <w:rFonts w:cs="Arial"/>
          <w:spacing w:val="-6"/>
          <w:szCs w:val="20"/>
        </w:rPr>
        <w:t xml:space="preserve"> through political commitment to gender equality and human rights, participation of </w:t>
      </w:r>
      <w:r w:rsidRPr="00EF65AE">
        <w:rPr>
          <w:rFonts w:cs="Arial"/>
        </w:rPr>
        <w:t>women and girls in public life, and multi-sectoral coordination among international agencies, donors, governments and civil society</w:t>
      </w:r>
      <w:r w:rsidR="00E2253F">
        <w:rPr>
          <w:rFonts w:cs="Arial"/>
        </w:rPr>
        <w:t>.</w:t>
      </w:r>
    </w:p>
    <w:p w14:paraId="413759E0" w14:textId="77777777" w:rsidR="00EF65AE" w:rsidRPr="00EF65AE" w:rsidRDefault="00E2253F" w:rsidP="00EF65AE">
      <w:pPr>
        <w:pStyle w:val="ListNumber"/>
        <w:rPr>
          <w:rFonts w:cs="Arial"/>
        </w:rPr>
      </w:pPr>
      <w:r>
        <w:rPr>
          <w:rFonts w:cs="Arial"/>
          <w:b/>
        </w:rPr>
        <w:t>I</w:t>
      </w:r>
      <w:r w:rsidR="00EF65AE" w:rsidRPr="00EF65AE">
        <w:rPr>
          <w:rFonts w:cs="Arial"/>
          <w:b/>
        </w:rPr>
        <w:t>ncreasing women’s access to justice</w:t>
      </w:r>
      <w:r w:rsidR="00EF65AE" w:rsidRPr="00EF65AE">
        <w:rPr>
          <w:rFonts w:cs="Arial"/>
        </w:rPr>
        <w:t xml:space="preserve"> through protective laws, policies, education and referral systems</w:t>
      </w:r>
      <w:r>
        <w:rPr>
          <w:rFonts w:cs="Arial"/>
        </w:rPr>
        <w:t>.</w:t>
      </w:r>
    </w:p>
    <w:p w14:paraId="037FB7D3" w14:textId="77777777" w:rsidR="00EF65AE" w:rsidRPr="00EF65AE" w:rsidRDefault="00E2253F" w:rsidP="00EF65AE">
      <w:pPr>
        <w:pStyle w:val="ListNumber"/>
        <w:rPr>
          <w:rFonts w:cs="Arial"/>
        </w:rPr>
      </w:pPr>
      <w:r>
        <w:rPr>
          <w:rFonts w:cs="Arial"/>
          <w:b/>
        </w:rPr>
        <w:t>I</w:t>
      </w:r>
      <w:r w:rsidR="00EF65AE" w:rsidRPr="00EF65AE">
        <w:rPr>
          <w:rFonts w:cs="Arial"/>
          <w:b/>
        </w:rPr>
        <w:t>ncreasing women’s access to support services</w:t>
      </w:r>
      <w:r w:rsidR="00EF65AE" w:rsidRPr="00EF65AE">
        <w:rPr>
          <w:rFonts w:cs="Arial"/>
        </w:rPr>
        <w:t>, including psychological, medical and legal support, safe havens, and strengthening organisations that provide these services</w:t>
      </w:r>
      <w:r>
        <w:rPr>
          <w:rFonts w:cs="Arial"/>
        </w:rPr>
        <w:t>.</w:t>
      </w:r>
    </w:p>
    <w:p w14:paraId="55BBDE23" w14:textId="77777777" w:rsidR="00EF65AE" w:rsidRPr="00EF65AE" w:rsidRDefault="00E2253F" w:rsidP="00EF65AE">
      <w:pPr>
        <w:pStyle w:val="ListNumber"/>
        <w:rPr>
          <w:rFonts w:cs="Arial"/>
        </w:rPr>
      </w:pPr>
      <w:r>
        <w:rPr>
          <w:rFonts w:cs="Arial"/>
          <w:b/>
        </w:rPr>
        <w:t>P</w:t>
      </w:r>
      <w:r w:rsidR="00EF65AE" w:rsidRPr="00EF65AE">
        <w:rPr>
          <w:rFonts w:cs="Arial"/>
          <w:b/>
        </w:rPr>
        <w:t>reventing violence</w:t>
      </w:r>
      <w:r w:rsidR="00EF65AE" w:rsidRPr="00EF65AE">
        <w:rPr>
          <w:rFonts w:cs="Arial"/>
        </w:rPr>
        <w:t xml:space="preserve"> through awareness</w:t>
      </w:r>
      <w:r w:rsidR="006D296F">
        <w:rPr>
          <w:rFonts w:cs="Arial"/>
        </w:rPr>
        <w:t xml:space="preserve"> </w:t>
      </w:r>
      <w:r w:rsidR="00EF65AE" w:rsidRPr="00EF65AE">
        <w:rPr>
          <w:rFonts w:cs="Arial"/>
        </w:rPr>
        <w:t xml:space="preserve">raising, changing community attitudes and increasing women’s status in society. </w:t>
      </w:r>
    </w:p>
    <w:p w14:paraId="2345BF4E" w14:textId="77777777" w:rsidR="00EF65AE" w:rsidRPr="00392D48" w:rsidRDefault="00EF65AE" w:rsidP="00EF65AE">
      <w:pPr>
        <w:rPr>
          <w:rFonts w:cs="Arial"/>
        </w:rPr>
      </w:pPr>
      <w:r w:rsidRPr="00EF65AE">
        <w:rPr>
          <w:rFonts w:cs="Arial"/>
        </w:rPr>
        <w:t xml:space="preserve">Key findings and </w:t>
      </w:r>
      <w:r w:rsidRPr="009807D6">
        <w:rPr>
          <w:rFonts w:cs="Arial"/>
        </w:rPr>
        <w:t xml:space="preserve">recommendations from the 2008 </w:t>
      </w:r>
      <w:r w:rsidRPr="00392D48">
        <w:rPr>
          <w:rFonts w:cs="Arial"/>
        </w:rPr>
        <w:t xml:space="preserve">evaluation </w:t>
      </w:r>
      <w:r w:rsidR="00392D48">
        <w:rPr>
          <w:rFonts w:cs="Arial"/>
        </w:rPr>
        <w:t xml:space="preserve">report </w:t>
      </w:r>
      <w:r w:rsidRPr="00392D48">
        <w:rPr>
          <w:rFonts w:cs="Arial"/>
        </w:rPr>
        <w:t xml:space="preserve">provide a baseline for </w:t>
      </w:r>
      <w:r w:rsidR="009807D6" w:rsidRPr="00392D48">
        <w:rPr>
          <w:rFonts w:cs="Arial"/>
        </w:rPr>
        <w:t xml:space="preserve">the </w:t>
      </w:r>
      <w:r w:rsidRPr="00392D48">
        <w:rPr>
          <w:rFonts w:cs="Arial"/>
        </w:rPr>
        <w:t>evaluative judgements in this evaluation.</w:t>
      </w:r>
    </w:p>
    <w:p w14:paraId="45C8DDF7" w14:textId="77777777" w:rsidR="00EF65AE" w:rsidRPr="00EF65AE" w:rsidRDefault="00EF65AE" w:rsidP="00EF65AE">
      <w:pPr>
        <w:rPr>
          <w:rFonts w:cs="Arial"/>
        </w:rPr>
      </w:pPr>
      <w:r w:rsidRPr="00EF65AE">
        <w:rPr>
          <w:rFonts w:cs="Arial"/>
        </w:rPr>
        <w:t xml:space="preserve">In 2009, the Australian Government released </w:t>
      </w:r>
      <w:r w:rsidRPr="009807D6">
        <w:rPr>
          <w:rFonts w:cs="Arial"/>
          <w:i/>
        </w:rPr>
        <w:t xml:space="preserve">Stop </w:t>
      </w:r>
      <w:r w:rsidRPr="00392D48">
        <w:rPr>
          <w:rFonts w:cs="Arial"/>
          <w:i/>
        </w:rPr>
        <w:t>Violence</w:t>
      </w:r>
      <w:r w:rsidRPr="009807D6">
        <w:rPr>
          <w:rFonts w:cs="Arial"/>
          <w:i/>
        </w:rPr>
        <w:t>: Responding to Violence against Women in Melanesia and East Timor—Australia’s Response to</w:t>
      </w:r>
      <w:r w:rsidRPr="00EF65AE">
        <w:rPr>
          <w:rFonts w:cs="Arial"/>
          <w:i/>
        </w:rPr>
        <w:t xml:space="preserve"> the ODE Report</w:t>
      </w:r>
      <w:r w:rsidRPr="00EF65AE">
        <w:rPr>
          <w:rFonts w:cs="Arial"/>
        </w:rPr>
        <w:t xml:space="preserve">. This publication outlined an ambitious set of commitments, using the framework for action presented in the </w:t>
      </w:r>
      <w:r w:rsidR="00392D48">
        <w:rPr>
          <w:rFonts w:cs="Arial"/>
        </w:rPr>
        <w:t>2008 evaluation</w:t>
      </w:r>
      <w:r w:rsidRPr="00EF65AE">
        <w:rPr>
          <w:rFonts w:cs="Arial"/>
        </w:rPr>
        <w:t xml:space="preserve"> report and reflecting the principles and priorities recommended in </w:t>
      </w:r>
      <w:r w:rsidR="009807D6">
        <w:rPr>
          <w:rFonts w:cs="Arial"/>
        </w:rPr>
        <w:t xml:space="preserve">that </w:t>
      </w:r>
      <w:r w:rsidRPr="00EF65AE">
        <w:rPr>
          <w:rFonts w:cs="Arial"/>
        </w:rPr>
        <w:t>report.</w:t>
      </w:r>
    </w:p>
    <w:p w14:paraId="45F82346" w14:textId="77777777" w:rsidR="00EF65AE" w:rsidRPr="00492A73" w:rsidRDefault="00EF65AE" w:rsidP="00492A73">
      <w:pPr>
        <w:rPr>
          <w:rFonts w:cs="Arial"/>
        </w:rPr>
      </w:pPr>
      <w:r w:rsidRPr="00EF65AE">
        <w:rPr>
          <w:rFonts w:cs="Arial"/>
        </w:rPr>
        <w:t>In 2012, Australia commissioned a new report to take stock of what changes had been made as a result of Australia’s increased political and financial commitment to EVAWG.</w:t>
      </w:r>
      <w:r w:rsidRPr="00EF65AE">
        <w:rPr>
          <w:rFonts w:cs="Arial"/>
        </w:rPr>
        <w:fldChar w:fldCharType="begin"/>
      </w:r>
      <w:r w:rsidRPr="00EF65AE">
        <w:rPr>
          <w:rFonts w:cs="Arial"/>
        </w:rPr>
        <w:instrText xml:space="preserve"> ADDIN ZOTERO_ITEM CSL_CITATION {"citationID":"rU0g3RdT","properties":{"formattedCitation":"\\super 3\\nosupersub{}","plainCitation":"3","noteIndex":0},"citationItems":[{"id":2264,"uris":["http://zotero.org/users/4194704/items/7FHW3BJD"],"uri":["http://zotero.org/users/4194704/items/7FHW3BJD"],"itemData":{"id":2264,"type":"report","title":"Violence against Women in Melanesia and Timor-Leste: Progress made since the 2008 Office of Development Effectiveness report","publisher":"International Center for Research on Women (ICRW)","URL":"https://www.usip.org/sites/default/files/missing-peace/Ellsberg-Mary.pdf","author":[{"family":"Ellsberg","given":"Mary"},{"family":"Heilman","given":"Brian"},{"family":"Namy","given":"Sophie"},{"family":"Contreras","given":"Manuel"},{"family":"Hayes","given":"Robin"}],"issued":{"date-parts":[["2012"]]}}}],"schema":"https://github.com/citation-style-language/schema/raw/master/csl-citation.json"} </w:instrText>
      </w:r>
      <w:r w:rsidRPr="00EF65AE">
        <w:rPr>
          <w:rFonts w:cs="Arial"/>
        </w:rPr>
        <w:fldChar w:fldCharType="separate"/>
      </w:r>
      <w:r w:rsidRPr="00EF65AE">
        <w:rPr>
          <w:rFonts w:cs="Arial"/>
          <w:vertAlign w:val="superscript"/>
          <w:lang w:val="en-US"/>
        </w:rPr>
        <w:t>3</w:t>
      </w:r>
      <w:r w:rsidRPr="00EF65AE">
        <w:rPr>
          <w:rFonts w:cs="Arial"/>
        </w:rPr>
        <w:fldChar w:fldCharType="end"/>
      </w:r>
      <w:r w:rsidRPr="00EF65AE">
        <w:rPr>
          <w:rFonts w:cs="Arial"/>
        </w:rPr>
        <w:t xml:space="preserve"> Annual funding for EVAWG in the region had already doubled, with plans for more ambitious investments in the pipeline. Considerable progress had been made in reforming policies and laws, but less had been accomplished in providing much-needed services for survivors of violence and in violence prevention.</w:t>
      </w:r>
      <w:bookmarkEnd w:id="97"/>
    </w:p>
    <w:p w14:paraId="5B6E0666" w14:textId="7E18638F" w:rsidR="00EF65AE" w:rsidRPr="00EF65AE" w:rsidRDefault="004A793A" w:rsidP="00F84AB8">
      <w:pPr>
        <w:pStyle w:val="Heading2"/>
      </w:pPr>
      <w:bookmarkStart w:id="98" w:name="_Toc14959589"/>
      <w:bookmarkStart w:id="99" w:name="_Toc15378115"/>
      <w:bookmarkStart w:id="100" w:name="_Toc15378464"/>
      <w:bookmarkStart w:id="101" w:name="_Toc15562994"/>
      <w:bookmarkStart w:id="102" w:name="_Toc23434530"/>
      <w:r w:rsidRPr="00EF65AE">
        <w:t>Why this evaluation matters</w:t>
      </w:r>
      <w:bookmarkEnd w:id="98"/>
      <w:bookmarkEnd w:id="99"/>
      <w:bookmarkEnd w:id="100"/>
      <w:bookmarkEnd w:id="101"/>
      <w:bookmarkEnd w:id="102"/>
      <w:r w:rsidRPr="00EF65AE">
        <w:t xml:space="preserve"> </w:t>
      </w:r>
    </w:p>
    <w:p w14:paraId="26F86C52" w14:textId="77777777" w:rsidR="00EF65AE" w:rsidRPr="00EF65AE" w:rsidRDefault="00EF65AE" w:rsidP="00EF65AE">
      <w:pPr>
        <w:rPr>
          <w:rFonts w:cs="Arial"/>
        </w:rPr>
      </w:pPr>
      <w:bookmarkStart w:id="103" w:name="_Hlk7373064"/>
      <w:r w:rsidRPr="00EF65AE">
        <w:rPr>
          <w:rFonts w:cs="Arial"/>
        </w:rPr>
        <w:t xml:space="preserve">More than </w:t>
      </w:r>
      <w:r w:rsidR="00E2253F">
        <w:rPr>
          <w:rFonts w:cs="Arial"/>
        </w:rPr>
        <w:t>one-</w:t>
      </w:r>
      <w:r w:rsidRPr="00EF65AE">
        <w:rPr>
          <w:rFonts w:cs="Arial"/>
        </w:rPr>
        <w:t xml:space="preserve">third of women and girls globally have experienced violence during their lives. In many countries in the Pacific, the prevalence of violence is more than twice the global average. </w:t>
      </w:r>
      <w:r w:rsidRPr="00274B83">
        <w:rPr>
          <w:rFonts w:cs="Arial"/>
        </w:rPr>
        <w:t>VAWG</w:t>
      </w:r>
      <w:r w:rsidRPr="00EF65AE">
        <w:rPr>
          <w:rFonts w:cs="Arial"/>
        </w:rPr>
        <w:t xml:space="preserve"> is widely recognised as a violation of human rights, a global health problem of epidemic proportions, and a problem with significant social and economic costs for individuals, communities and countries. </w:t>
      </w:r>
    </w:p>
    <w:bookmarkEnd w:id="103"/>
    <w:p w14:paraId="23604388" w14:textId="77777777" w:rsidR="00EF65AE" w:rsidRPr="00EF65AE" w:rsidRDefault="00EF65AE" w:rsidP="00EF65AE">
      <w:pPr>
        <w:rPr>
          <w:rFonts w:cs="Arial"/>
        </w:rPr>
      </w:pPr>
      <w:r w:rsidRPr="00EF65AE">
        <w:rPr>
          <w:rFonts w:cs="Arial"/>
        </w:rPr>
        <w:t xml:space="preserve">The Australian Government is strongly committed to promoting gender equality and empowering women and girls in the Indo-Pacific region, including ending violence. Australia’s support and advocacy for gender equality and EVAWG has notably increased over the last decade </w:t>
      </w:r>
      <w:r w:rsidR="00E2253F">
        <w:rPr>
          <w:rFonts w:cs="Arial"/>
        </w:rPr>
        <w:t>with</w:t>
      </w:r>
      <w:r w:rsidRPr="00EF65AE">
        <w:rPr>
          <w:rFonts w:cs="Arial"/>
        </w:rPr>
        <w:t xml:space="preserve"> greater focus and shifting emphasis on EVAWG across the aid program. </w:t>
      </w:r>
    </w:p>
    <w:p w14:paraId="3F0B85A8" w14:textId="77777777" w:rsidR="00EF65AE" w:rsidRPr="00CC08E7" w:rsidRDefault="00EF65AE" w:rsidP="00EF65AE">
      <w:pPr>
        <w:rPr>
          <w:rFonts w:cs="Arial"/>
        </w:rPr>
      </w:pPr>
      <w:r w:rsidRPr="00EF65AE">
        <w:rPr>
          <w:rFonts w:cs="Arial"/>
        </w:rPr>
        <w:t xml:space="preserve">The Australian </w:t>
      </w:r>
      <w:r w:rsidRPr="00CC08E7">
        <w:rPr>
          <w:rFonts w:cs="Arial"/>
        </w:rPr>
        <w:t xml:space="preserve">Government’s 2014 development policy established gender equality as one of six key investment priorities for </w:t>
      </w:r>
      <w:r w:rsidR="009807D6" w:rsidRPr="00CC08E7">
        <w:rPr>
          <w:rFonts w:cs="Arial"/>
        </w:rPr>
        <w:t xml:space="preserve">the </w:t>
      </w:r>
      <w:r w:rsidRPr="00CC08E7">
        <w:rPr>
          <w:rFonts w:cs="Arial"/>
        </w:rPr>
        <w:t>Australia</w:t>
      </w:r>
      <w:r w:rsidR="009807D6" w:rsidRPr="00CC08E7">
        <w:rPr>
          <w:rFonts w:cs="Arial"/>
        </w:rPr>
        <w:t>n</w:t>
      </w:r>
      <w:r w:rsidRPr="00CC08E7">
        <w:rPr>
          <w:rFonts w:cs="Arial"/>
        </w:rPr>
        <w:t xml:space="preserve"> aid program, with a commitment to invest in EVAWG</w:t>
      </w:r>
      <w:r w:rsidR="00E2253F" w:rsidRPr="00CC08E7">
        <w:rPr>
          <w:rFonts w:cs="Arial"/>
        </w:rPr>
        <w:t xml:space="preserve">. </w:t>
      </w:r>
      <w:r w:rsidRPr="00CC08E7">
        <w:rPr>
          <w:rFonts w:cs="Arial"/>
        </w:rPr>
        <w:t xml:space="preserve">The performance framework for this policy set a target that </w:t>
      </w:r>
      <w:r w:rsidR="009807D6" w:rsidRPr="00CC08E7">
        <w:rPr>
          <w:rFonts w:cs="Arial"/>
        </w:rPr>
        <w:t xml:space="preserve">80 </w:t>
      </w:r>
      <w:r w:rsidRPr="00CC08E7">
        <w:rPr>
          <w:rFonts w:cs="Arial"/>
        </w:rPr>
        <w:t>per cent of all Australia’s aid, regardless of objectives, perform effectively in promoting gender equality</w:t>
      </w:r>
      <w:r w:rsidR="00E2253F" w:rsidRPr="00CC08E7">
        <w:rPr>
          <w:rFonts w:cs="Arial"/>
        </w:rPr>
        <w:t xml:space="preserve">. </w:t>
      </w:r>
      <w:r w:rsidRPr="00CC08E7">
        <w:rPr>
          <w:rFonts w:cs="Arial"/>
        </w:rPr>
        <w:t xml:space="preserve">In 2016, DFAT’s </w:t>
      </w:r>
      <w:r w:rsidRPr="00CC08E7">
        <w:rPr>
          <w:rFonts w:cs="Arial"/>
          <w:i/>
        </w:rPr>
        <w:t>Gender Equality and Women’s Empowerment Strategy</w:t>
      </w:r>
      <w:r w:rsidRPr="00CC08E7">
        <w:rPr>
          <w:rFonts w:cs="Arial"/>
        </w:rPr>
        <w:t xml:space="preserve"> established EVAWG as one of three core priorities. </w:t>
      </w:r>
    </w:p>
    <w:p w14:paraId="38136249" w14:textId="4FA7401B" w:rsidR="00EF65AE" w:rsidRPr="00CC08E7" w:rsidRDefault="00EF65AE" w:rsidP="00EF65AE">
      <w:pPr>
        <w:rPr>
          <w:rFonts w:cs="Arial"/>
        </w:rPr>
      </w:pPr>
      <w:r w:rsidRPr="00CC08E7">
        <w:rPr>
          <w:rFonts w:cs="Arial"/>
        </w:rPr>
        <w:t>Within this policy framework</w:t>
      </w:r>
      <w:r w:rsidR="009807D6" w:rsidRPr="00CC08E7">
        <w:rPr>
          <w:rFonts w:cs="Arial"/>
        </w:rPr>
        <w:t>,</w:t>
      </w:r>
      <w:r w:rsidRPr="00CC08E7">
        <w:rPr>
          <w:rFonts w:cs="Arial"/>
        </w:rPr>
        <w:t xml:space="preserve"> the Australian aid program now has a comprehensive approach to addressing VAWG, focus</w:t>
      </w:r>
      <w:r w:rsidR="00D86382" w:rsidRPr="00CC08E7">
        <w:rPr>
          <w:rFonts w:cs="Arial"/>
        </w:rPr>
        <w:t>ing</w:t>
      </w:r>
      <w:r w:rsidRPr="00CC08E7">
        <w:rPr>
          <w:rFonts w:cs="Arial"/>
        </w:rPr>
        <w:t xml:space="preserve"> on </w:t>
      </w:r>
      <w:r w:rsidRPr="00EB244C">
        <w:rPr>
          <w:rFonts w:cs="Arial"/>
        </w:rPr>
        <w:t xml:space="preserve">improving quality of services and responses, </w:t>
      </w:r>
      <w:r w:rsidR="009807D6" w:rsidRPr="00EB244C">
        <w:rPr>
          <w:rFonts w:cs="Arial"/>
        </w:rPr>
        <w:t xml:space="preserve">as well as </w:t>
      </w:r>
      <w:r w:rsidRPr="00EB244C">
        <w:rPr>
          <w:rFonts w:cs="Arial"/>
        </w:rPr>
        <w:t>access</w:t>
      </w:r>
      <w:r w:rsidRPr="00CC08E7">
        <w:rPr>
          <w:rFonts w:cs="Arial"/>
        </w:rPr>
        <w:t xml:space="preserve"> to justice and prevention</w:t>
      </w:r>
      <w:r w:rsidR="00E2253F" w:rsidRPr="00CC08E7">
        <w:rPr>
          <w:rFonts w:cs="Arial"/>
        </w:rPr>
        <w:t xml:space="preserve">. </w:t>
      </w:r>
    </w:p>
    <w:p w14:paraId="5AAE65B5" w14:textId="77777777" w:rsidR="00EF65AE" w:rsidRPr="00CC08E7" w:rsidRDefault="00EF65AE" w:rsidP="00361EAF">
      <w:r w:rsidRPr="00CC08E7">
        <w:t xml:space="preserve">This evaluation is an opportunity to assess the gains made over the last decade from Australia’s significant investment in EVAWG through the aid program, building on the seminal 2008 </w:t>
      </w:r>
      <w:bookmarkStart w:id="104" w:name="_Hlk17792993"/>
      <w:r w:rsidR="00EB244C">
        <w:t xml:space="preserve">ODE evaluation, </w:t>
      </w:r>
      <w:r w:rsidR="00361EAF" w:rsidRPr="00D360AE">
        <w:rPr>
          <w:rFonts w:cs="Arial"/>
          <w:i/>
          <w:iCs/>
        </w:rPr>
        <w:t>Violence Against Women in Melanesia and East Timor: Building on Global and Regional Promising Approaches</w:t>
      </w:r>
      <w:r w:rsidRPr="00EB244C">
        <w:rPr>
          <w:i/>
          <w:iCs/>
        </w:rPr>
        <w:t>.</w:t>
      </w:r>
    </w:p>
    <w:p w14:paraId="6F80ACC3" w14:textId="090C8DBC" w:rsidR="00EF65AE" w:rsidRPr="00CC08E7" w:rsidRDefault="004A793A" w:rsidP="00F84AB8">
      <w:pPr>
        <w:pStyle w:val="Heading2"/>
      </w:pPr>
      <w:bookmarkStart w:id="105" w:name="_Toc14959590"/>
      <w:bookmarkStart w:id="106" w:name="_Toc15378116"/>
      <w:bookmarkStart w:id="107" w:name="_Toc15378465"/>
      <w:bookmarkStart w:id="108" w:name="_Toc15562995"/>
      <w:bookmarkStart w:id="109" w:name="_Toc23434531"/>
      <w:bookmarkEnd w:id="104"/>
      <w:r w:rsidRPr="00CC08E7">
        <w:t>Purpose and objectives</w:t>
      </w:r>
      <w:bookmarkEnd w:id="105"/>
      <w:bookmarkEnd w:id="106"/>
      <w:bookmarkEnd w:id="107"/>
      <w:bookmarkEnd w:id="108"/>
      <w:bookmarkEnd w:id="109"/>
    </w:p>
    <w:p w14:paraId="3670B724" w14:textId="77777777" w:rsidR="00F26DED" w:rsidRPr="00EB244C" w:rsidRDefault="00EF65AE" w:rsidP="00EF65AE">
      <w:pPr>
        <w:rPr>
          <w:rFonts w:cs="Arial"/>
        </w:rPr>
      </w:pPr>
      <w:r w:rsidRPr="00EF65AE">
        <w:rPr>
          <w:rFonts w:cs="Arial"/>
        </w:rPr>
        <w:t>The purpose of this evaluation is to provide evidence to improve DFAT’s policy, strategy and aid investments intended to address VAWG</w:t>
      </w:r>
      <w:r w:rsidR="00E2253F">
        <w:rPr>
          <w:rFonts w:cs="Arial"/>
        </w:rPr>
        <w:t xml:space="preserve">. </w:t>
      </w:r>
      <w:r w:rsidRPr="00EF65AE">
        <w:rPr>
          <w:rFonts w:cs="Arial"/>
        </w:rPr>
        <w:t xml:space="preserve">It has both accountability and learning dimensions, with learning of </w:t>
      </w:r>
      <w:r w:rsidRPr="00EB244C">
        <w:rPr>
          <w:rFonts w:cs="Arial"/>
        </w:rPr>
        <w:t>primary importance</w:t>
      </w:r>
      <w:r w:rsidR="00E2253F" w:rsidRPr="00EB244C">
        <w:rPr>
          <w:rFonts w:cs="Arial"/>
        </w:rPr>
        <w:t xml:space="preserve">. </w:t>
      </w:r>
    </w:p>
    <w:p w14:paraId="1D2EB520" w14:textId="77777777" w:rsidR="00EF65AE" w:rsidRPr="00EF65AE" w:rsidRDefault="00EF65AE" w:rsidP="00EF65AE">
      <w:pPr>
        <w:rPr>
          <w:rFonts w:cs="Arial"/>
        </w:rPr>
      </w:pPr>
      <w:r w:rsidRPr="00EB244C">
        <w:rPr>
          <w:rFonts w:cs="Arial"/>
        </w:rPr>
        <w:t>Th</w:t>
      </w:r>
      <w:r w:rsidR="00F26DED" w:rsidRPr="00EB244C">
        <w:rPr>
          <w:rFonts w:cs="Arial"/>
        </w:rPr>
        <w:t>is</w:t>
      </w:r>
      <w:r w:rsidRPr="00EB244C">
        <w:rPr>
          <w:rFonts w:cs="Arial"/>
        </w:rPr>
        <w:t xml:space="preserve"> evaluation assessed the quality of Australia's leadership and policy dialogue to end violence against women and girls, and</w:t>
      </w:r>
      <w:r w:rsidRPr="00EF65AE">
        <w:rPr>
          <w:rFonts w:cs="Arial"/>
        </w:rPr>
        <w:t xml:space="preserve"> the extent to which Australia has fostered learning to improve program effectiveness and outcomes. It assessed the effectiveness, relevance and reach of Australian support to EVAWG in </w:t>
      </w:r>
      <w:r w:rsidR="00F26DED">
        <w:rPr>
          <w:rFonts w:cs="Arial"/>
        </w:rPr>
        <w:t xml:space="preserve">these </w:t>
      </w:r>
      <w:r w:rsidRPr="00EF65AE">
        <w:rPr>
          <w:rFonts w:cs="Arial"/>
        </w:rPr>
        <w:t xml:space="preserve">four broad areas: </w:t>
      </w:r>
    </w:p>
    <w:p w14:paraId="23E74652" w14:textId="77777777" w:rsidR="00EF65AE" w:rsidRPr="00EF65AE" w:rsidRDefault="00EF65AE" w:rsidP="00EF65AE">
      <w:pPr>
        <w:pStyle w:val="ListNumber"/>
        <w:rPr>
          <w:rFonts w:cs="Arial"/>
        </w:rPr>
      </w:pPr>
      <w:r w:rsidRPr="00EF65AE">
        <w:rPr>
          <w:rFonts w:cs="Arial"/>
        </w:rPr>
        <w:t>supporting an enabling environment for EVAWG through national and regional policy commitments, multi-sectoral coordination and strengthening civil society</w:t>
      </w:r>
    </w:p>
    <w:p w14:paraId="7A818C61" w14:textId="77777777" w:rsidR="00EF65AE" w:rsidRPr="00EF65AE" w:rsidRDefault="00EF65AE" w:rsidP="00EF65AE">
      <w:pPr>
        <w:pStyle w:val="ListNumber"/>
        <w:rPr>
          <w:rFonts w:cs="Arial"/>
        </w:rPr>
      </w:pPr>
      <w:r w:rsidRPr="00EF65AE">
        <w:rPr>
          <w:rFonts w:cs="Arial"/>
        </w:rPr>
        <w:t>increasing women's access to justice</w:t>
      </w:r>
      <w:r w:rsidR="00254F6A">
        <w:rPr>
          <w:rFonts w:cs="Arial"/>
        </w:rPr>
        <w:t>—</w:t>
      </w:r>
      <w:r w:rsidRPr="00EF65AE">
        <w:rPr>
          <w:rFonts w:cs="Arial"/>
        </w:rPr>
        <w:t>an effective justice system may include formal, customary and community-based systems, and should protect women against violence, act as a deterrent to possible offenders, and impose consequences on those who commit domestic violence and sexual assault</w:t>
      </w:r>
    </w:p>
    <w:p w14:paraId="56F36836" w14:textId="77777777" w:rsidR="00EF65AE" w:rsidRPr="00EF65AE" w:rsidRDefault="00EF65AE" w:rsidP="00EF65AE">
      <w:pPr>
        <w:pStyle w:val="ListNumber"/>
        <w:rPr>
          <w:rFonts w:cs="Arial"/>
        </w:rPr>
      </w:pPr>
      <w:r w:rsidRPr="00EF65AE">
        <w:rPr>
          <w:rFonts w:cs="Arial"/>
        </w:rPr>
        <w:t>improving women's access to quality services</w:t>
      </w:r>
      <w:r w:rsidR="00254F6A">
        <w:rPr>
          <w:rFonts w:cs="Arial"/>
        </w:rPr>
        <w:t>—</w:t>
      </w:r>
      <w:r w:rsidRPr="00EF65AE">
        <w:rPr>
          <w:rFonts w:cs="Arial"/>
        </w:rPr>
        <w:t xml:space="preserve">quality services </w:t>
      </w:r>
      <w:r w:rsidR="00F26DED">
        <w:rPr>
          <w:rFonts w:cs="Arial"/>
        </w:rPr>
        <w:t>should be</w:t>
      </w:r>
      <w:r w:rsidRPr="00EF65AE">
        <w:rPr>
          <w:rFonts w:cs="Arial"/>
        </w:rPr>
        <w:t xml:space="preserve"> safe and age-appropriate, support a survivor to identify, prioritise and meet </w:t>
      </w:r>
      <w:r w:rsidR="00F26DED">
        <w:rPr>
          <w:rFonts w:cs="Arial"/>
        </w:rPr>
        <w:t>their</w:t>
      </w:r>
      <w:r w:rsidR="00F26DED" w:rsidRPr="00EF65AE">
        <w:rPr>
          <w:rFonts w:cs="Arial"/>
        </w:rPr>
        <w:t xml:space="preserve"> </w:t>
      </w:r>
      <w:r w:rsidRPr="00EF65AE">
        <w:rPr>
          <w:rFonts w:cs="Arial"/>
        </w:rPr>
        <w:t>needs, and may address medical, psychosocial, legal and/or practical needs (such</w:t>
      </w:r>
      <w:r w:rsidR="00F26DED">
        <w:rPr>
          <w:rFonts w:cs="Arial"/>
        </w:rPr>
        <w:t xml:space="preserve"> as</w:t>
      </w:r>
      <w:r w:rsidRPr="00EF65AE">
        <w:rPr>
          <w:rFonts w:cs="Arial"/>
        </w:rPr>
        <w:t xml:space="preserve"> temporary shelter or economic support)</w:t>
      </w:r>
    </w:p>
    <w:p w14:paraId="52F1CCF0" w14:textId="77777777" w:rsidR="00EF65AE" w:rsidRPr="003C5D5E" w:rsidRDefault="00EF65AE" w:rsidP="003C5D5E">
      <w:pPr>
        <w:pStyle w:val="ListNumber"/>
        <w:rPr>
          <w:rFonts w:cs="Arial"/>
        </w:rPr>
      </w:pPr>
      <w:r w:rsidRPr="00EF65AE">
        <w:rPr>
          <w:rFonts w:cs="Arial"/>
        </w:rPr>
        <w:t>preventing violence</w:t>
      </w:r>
      <w:r w:rsidR="00254F6A">
        <w:rPr>
          <w:rFonts w:cs="Arial"/>
        </w:rPr>
        <w:t>—</w:t>
      </w:r>
      <w:r w:rsidRPr="00EF65AE">
        <w:rPr>
          <w:rFonts w:cs="Arial"/>
        </w:rPr>
        <w:t>effective prevention means addressing gender inequality at individual, family, community and societal levels and shifting individual and community attitudes that tolerate men's use of violence against women</w:t>
      </w:r>
      <w:r w:rsidR="00EB244C">
        <w:rPr>
          <w:rFonts w:cs="Arial"/>
        </w:rPr>
        <w:t xml:space="preserve"> and girls</w:t>
      </w:r>
      <w:r w:rsidR="00E2253F">
        <w:rPr>
          <w:rFonts w:cs="Arial"/>
        </w:rPr>
        <w:t xml:space="preserve">. </w:t>
      </w:r>
    </w:p>
    <w:p w14:paraId="214FED8E" w14:textId="6389D5C6" w:rsidR="00EF65AE" w:rsidRPr="00EF65AE" w:rsidRDefault="004A793A" w:rsidP="00F84AB8">
      <w:pPr>
        <w:pStyle w:val="Heading2"/>
      </w:pPr>
      <w:bookmarkStart w:id="110" w:name="_Toc14959591"/>
      <w:bookmarkStart w:id="111" w:name="_Toc15378117"/>
      <w:bookmarkStart w:id="112" w:name="_Toc15378466"/>
      <w:bookmarkStart w:id="113" w:name="_Toc15562996"/>
      <w:bookmarkStart w:id="114" w:name="_Toc23434532"/>
      <w:r w:rsidRPr="00EF65AE">
        <w:t>Guiding themes and key questions</w:t>
      </w:r>
      <w:bookmarkEnd w:id="110"/>
      <w:bookmarkEnd w:id="111"/>
      <w:bookmarkEnd w:id="112"/>
      <w:bookmarkEnd w:id="113"/>
      <w:bookmarkEnd w:id="114"/>
    </w:p>
    <w:p w14:paraId="12591650" w14:textId="77777777" w:rsidR="00EF65AE" w:rsidRPr="00EB244C" w:rsidRDefault="00EF65AE" w:rsidP="00EF65AE">
      <w:pPr>
        <w:rPr>
          <w:rFonts w:cs="Arial"/>
        </w:rPr>
      </w:pPr>
      <w:r w:rsidRPr="00EB244C">
        <w:rPr>
          <w:rFonts w:cs="Arial"/>
        </w:rPr>
        <w:t>Th</w:t>
      </w:r>
      <w:r w:rsidR="00F26DED" w:rsidRPr="00EB244C">
        <w:rPr>
          <w:rFonts w:cs="Arial"/>
        </w:rPr>
        <w:t>is</w:t>
      </w:r>
      <w:r w:rsidRPr="00EB244C">
        <w:rPr>
          <w:rFonts w:cs="Arial"/>
        </w:rPr>
        <w:t xml:space="preserve"> evaluation considered the</w:t>
      </w:r>
      <w:r w:rsidR="00254F6A" w:rsidRPr="00EB244C">
        <w:rPr>
          <w:rFonts w:cs="Arial"/>
        </w:rPr>
        <w:t>se</w:t>
      </w:r>
      <w:r w:rsidR="00F26DED" w:rsidRPr="00EB244C">
        <w:rPr>
          <w:rFonts w:cs="Arial"/>
        </w:rPr>
        <w:t xml:space="preserve"> guiding</w:t>
      </w:r>
      <w:r w:rsidRPr="00EB244C">
        <w:rPr>
          <w:rFonts w:cs="Arial"/>
        </w:rPr>
        <w:t xml:space="preserve"> themes and key questions which reflected the core concerns and interests of those implementing EVAWG programming:</w:t>
      </w:r>
    </w:p>
    <w:p w14:paraId="7EB9B79A" w14:textId="77777777" w:rsidR="00EF65AE" w:rsidRPr="00EB244C" w:rsidRDefault="00EF65AE" w:rsidP="00F84AB8">
      <w:pPr>
        <w:pStyle w:val="ListNumber"/>
      </w:pPr>
      <w:r w:rsidRPr="00EB244C">
        <w:rPr>
          <w:b/>
        </w:rPr>
        <w:t>Enabling environment:</w:t>
      </w:r>
      <w:r w:rsidRPr="00EB244C">
        <w:t xml:space="preserve"> To what extent have DFAT’s investments and strategies contributed to creating an enabling environment for EVAWG through political leadership and policy dialogue, including with government and civil society?</w:t>
      </w:r>
    </w:p>
    <w:p w14:paraId="35C58628" w14:textId="77777777" w:rsidR="00EF65AE" w:rsidRPr="00EB244C" w:rsidRDefault="00EF65AE" w:rsidP="00EF65AE">
      <w:pPr>
        <w:pStyle w:val="ListNumber"/>
        <w:rPr>
          <w:rFonts w:cs="Arial"/>
        </w:rPr>
      </w:pPr>
      <w:r w:rsidRPr="00EB244C">
        <w:rPr>
          <w:rFonts w:cs="Arial"/>
          <w:b/>
        </w:rPr>
        <w:t>Development effectiveness:</w:t>
      </w:r>
      <w:r w:rsidRPr="00EB244C">
        <w:rPr>
          <w:rFonts w:cs="Arial"/>
        </w:rPr>
        <w:t xml:space="preserve"> What has been the effectiveness, relevance and reach of Australian development cooperation to end violence against women and girls in prevention, access to justice and access to quality services?</w:t>
      </w:r>
    </w:p>
    <w:p w14:paraId="75B88611" w14:textId="77777777" w:rsidR="00EF65AE" w:rsidRPr="00EB244C" w:rsidRDefault="00EF65AE" w:rsidP="00EF65AE">
      <w:pPr>
        <w:pStyle w:val="ListNumber2"/>
        <w:rPr>
          <w:rFonts w:cs="Arial"/>
        </w:rPr>
      </w:pPr>
      <w:r w:rsidRPr="00EB244C">
        <w:rPr>
          <w:rFonts w:cs="Arial"/>
          <w:b/>
        </w:rPr>
        <w:t>Effectiveness:</w:t>
      </w:r>
      <w:r w:rsidRPr="00EB244C">
        <w:rPr>
          <w:rFonts w:cs="Arial"/>
        </w:rPr>
        <w:t xml:space="preserve"> To what extent have DFAT’s EVAWG investments and strategies been effective at meeting their objectives over the last 10 years?</w:t>
      </w:r>
    </w:p>
    <w:p w14:paraId="42FC3CB3" w14:textId="77777777" w:rsidR="00EF65AE" w:rsidRPr="00EB244C" w:rsidRDefault="00EF65AE" w:rsidP="00EF65AE">
      <w:pPr>
        <w:pStyle w:val="ListNumber2"/>
        <w:rPr>
          <w:rFonts w:cs="Arial"/>
        </w:rPr>
      </w:pPr>
      <w:r w:rsidRPr="00EB244C">
        <w:rPr>
          <w:rFonts w:cs="Arial"/>
          <w:b/>
        </w:rPr>
        <w:t>Relevance:</w:t>
      </w:r>
      <w:r w:rsidRPr="00EB244C">
        <w:rPr>
          <w:rFonts w:cs="Arial"/>
        </w:rPr>
        <w:t xml:space="preserve"> How relevant are DFAT’s investments and strategies to local, national and global EVAWG needs?</w:t>
      </w:r>
    </w:p>
    <w:p w14:paraId="61B1890D" w14:textId="77777777" w:rsidR="00EF65AE" w:rsidRPr="00EF65AE" w:rsidRDefault="00EF65AE" w:rsidP="00EF65AE">
      <w:pPr>
        <w:pStyle w:val="ListNumber2"/>
        <w:rPr>
          <w:rFonts w:cs="Arial"/>
        </w:rPr>
      </w:pPr>
      <w:r w:rsidRPr="00EF65AE">
        <w:rPr>
          <w:rFonts w:cs="Arial"/>
          <w:b/>
        </w:rPr>
        <w:t>Reach:</w:t>
      </w:r>
      <w:r w:rsidRPr="00EF65AE">
        <w:rPr>
          <w:rFonts w:cs="Arial"/>
        </w:rPr>
        <w:t xml:space="preserve"> To what extent have DFAT’s investments and strategies extended the reach of services and programs to reach the most vulnerable and marginalised populations?</w:t>
      </w:r>
    </w:p>
    <w:p w14:paraId="72E39262" w14:textId="77777777" w:rsidR="00EF65AE" w:rsidRPr="00EF65AE" w:rsidRDefault="00EF65AE" w:rsidP="00F84AB8">
      <w:pPr>
        <w:pStyle w:val="ListNumber"/>
      </w:pPr>
      <w:r w:rsidRPr="00EF65AE">
        <w:rPr>
          <w:b/>
        </w:rPr>
        <w:t>Learning:</w:t>
      </w:r>
      <w:r w:rsidRPr="00EF65AE">
        <w:t xml:space="preserve"> To what extent has DFAT fostered a learning environment in which measurement and monitoring are used to improve the effectiveness of EVAWG programs?</w:t>
      </w:r>
    </w:p>
    <w:p w14:paraId="1F73B190" w14:textId="6F2D0D4A" w:rsidR="00EF65AE" w:rsidRPr="00EF65AE" w:rsidRDefault="004A793A" w:rsidP="00F84AB8">
      <w:pPr>
        <w:pStyle w:val="Heading2"/>
      </w:pPr>
      <w:bookmarkStart w:id="115" w:name="_Toc14959592"/>
      <w:bookmarkStart w:id="116" w:name="_Toc15378118"/>
      <w:bookmarkStart w:id="117" w:name="_Toc15378467"/>
      <w:bookmarkStart w:id="118" w:name="_Toc15562997"/>
      <w:bookmarkStart w:id="119" w:name="_Toc23434533"/>
      <w:r w:rsidRPr="00EF65AE">
        <w:t>Approach and methods</w:t>
      </w:r>
      <w:bookmarkEnd w:id="115"/>
      <w:bookmarkEnd w:id="116"/>
      <w:bookmarkEnd w:id="117"/>
      <w:bookmarkEnd w:id="118"/>
      <w:bookmarkEnd w:id="119"/>
    </w:p>
    <w:p w14:paraId="346FB3CF" w14:textId="77777777" w:rsidR="00EF65AE" w:rsidRPr="00EF65AE" w:rsidRDefault="00EF65AE" w:rsidP="00EF65AE">
      <w:pPr>
        <w:rPr>
          <w:rFonts w:cs="Arial"/>
        </w:rPr>
      </w:pPr>
      <w:r w:rsidRPr="00EF65AE">
        <w:rPr>
          <w:rFonts w:cs="Arial"/>
        </w:rPr>
        <w:t xml:space="preserve">The evaluation drew on qualitative and quantitative research techniques, applied </w:t>
      </w:r>
      <w:r w:rsidR="00F26DED">
        <w:rPr>
          <w:rFonts w:cs="Arial"/>
        </w:rPr>
        <w:t>using</w:t>
      </w:r>
      <w:r w:rsidR="00F26DED" w:rsidRPr="00EF65AE">
        <w:rPr>
          <w:rFonts w:cs="Arial"/>
        </w:rPr>
        <w:t xml:space="preserve"> </w:t>
      </w:r>
      <w:r w:rsidRPr="00EF65AE">
        <w:rPr>
          <w:rFonts w:cs="Arial"/>
        </w:rPr>
        <w:t>a sequential multi-phase</w:t>
      </w:r>
      <w:r w:rsidRPr="00CC08E7">
        <w:rPr>
          <w:rFonts w:cs="Arial"/>
        </w:rPr>
        <w:t>/m</w:t>
      </w:r>
      <w:r w:rsidRPr="00EF65AE">
        <w:rPr>
          <w:rFonts w:cs="Arial"/>
        </w:rPr>
        <w:t>ixed methods approach. A brief outline of methods for data collection and analysis is presented here. Annex 1 descri</w:t>
      </w:r>
      <w:r w:rsidR="00CC08E7">
        <w:rPr>
          <w:rFonts w:cs="Arial"/>
        </w:rPr>
        <w:t>bes in detail</w:t>
      </w:r>
      <w:r w:rsidRPr="00EF65AE">
        <w:rPr>
          <w:rFonts w:cs="Arial"/>
        </w:rPr>
        <w:t xml:space="preserve"> the methodology</w:t>
      </w:r>
      <w:r w:rsidR="00CC08E7">
        <w:rPr>
          <w:rFonts w:cs="Arial"/>
        </w:rPr>
        <w:t>,</w:t>
      </w:r>
      <w:r w:rsidRPr="00EF65AE">
        <w:rPr>
          <w:rFonts w:cs="Arial"/>
        </w:rPr>
        <w:t xml:space="preserve"> ethical considerations </w:t>
      </w:r>
      <w:r w:rsidR="00CC08E7">
        <w:rPr>
          <w:rFonts w:cs="Arial"/>
        </w:rPr>
        <w:t xml:space="preserve">for </w:t>
      </w:r>
      <w:r w:rsidRPr="00EF65AE">
        <w:rPr>
          <w:rFonts w:cs="Arial"/>
        </w:rPr>
        <w:t>and limitations of the evaluation.</w:t>
      </w:r>
    </w:p>
    <w:p w14:paraId="3C51E584" w14:textId="77777777" w:rsidR="00EF65AE" w:rsidRPr="00937123" w:rsidRDefault="00EF65AE" w:rsidP="00937123">
      <w:pPr>
        <w:pStyle w:val="Heading3NoTOC"/>
      </w:pPr>
      <w:r w:rsidRPr="00937123">
        <w:t xml:space="preserve">Data </w:t>
      </w:r>
      <w:r w:rsidR="00254F6A" w:rsidRPr="00937123">
        <w:t>c</w:t>
      </w:r>
      <w:r w:rsidRPr="00937123">
        <w:t xml:space="preserve">ollection </w:t>
      </w:r>
      <w:r w:rsidRPr="00937123">
        <w:rPr>
          <w:rStyle w:val="Heading3Char"/>
          <w:b/>
          <w:bCs/>
        </w:rPr>
        <w:t>and</w:t>
      </w:r>
      <w:r w:rsidRPr="00937123">
        <w:t xml:space="preserve"> </w:t>
      </w:r>
      <w:r w:rsidR="00254F6A" w:rsidRPr="00937123">
        <w:t>a</w:t>
      </w:r>
      <w:r w:rsidRPr="00937123">
        <w:t>nalysis</w:t>
      </w:r>
    </w:p>
    <w:p w14:paraId="2CDEC036" w14:textId="77777777" w:rsidR="00EF65AE" w:rsidRPr="00EF65AE" w:rsidRDefault="00EF65AE" w:rsidP="00EF65AE">
      <w:pPr>
        <w:rPr>
          <w:rFonts w:cs="Arial"/>
        </w:rPr>
      </w:pPr>
      <w:r w:rsidRPr="00EF65AE">
        <w:rPr>
          <w:rFonts w:cs="Arial"/>
          <w:b/>
        </w:rPr>
        <w:t xml:space="preserve">Systematic </w:t>
      </w:r>
      <w:r w:rsidR="00254F6A">
        <w:rPr>
          <w:rFonts w:cs="Arial"/>
          <w:b/>
        </w:rPr>
        <w:t>r</w:t>
      </w:r>
      <w:r w:rsidRPr="00F84AB8">
        <w:rPr>
          <w:rFonts w:cs="Arial"/>
          <w:b/>
        </w:rPr>
        <w:t>eview</w:t>
      </w:r>
      <w:r w:rsidR="00254F6A">
        <w:rPr>
          <w:rFonts w:cs="Arial"/>
          <w:b/>
        </w:rPr>
        <w:t xml:space="preserve"> and p</w:t>
      </w:r>
      <w:r w:rsidRPr="00EF65AE">
        <w:rPr>
          <w:rFonts w:cs="Arial"/>
          <w:b/>
        </w:rPr>
        <w:t xml:space="preserve">ortfolio </w:t>
      </w:r>
      <w:r w:rsidR="00254F6A">
        <w:rPr>
          <w:rFonts w:cs="Arial"/>
          <w:b/>
        </w:rPr>
        <w:t>a</w:t>
      </w:r>
      <w:r w:rsidRPr="00EF65AE">
        <w:rPr>
          <w:rFonts w:cs="Arial"/>
          <w:b/>
        </w:rPr>
        <w:t>nalysis:</w:t>
      </w:r>
      <w:r w:rsidRPr="00EF65AE">
        <w:rPr>
          <w:rFonts w:cs="Arial"/>
        </w:rPr>
        <w:t xml:space="preserve"> The evaluation team undertook a meta-evaluation of 400 documents and evaluations of EVAWG</w:t>
      </w:r>
      <w:r w:rsidR="00254F6A">
        <w:rPr>
          <w:rFonts w:cs="Arial"/>
        </w:rPr>
        <w:t>-</w:t>
      </w:r>
      <w:r w:rsidRPr="00EF65AE">
        <w:rPr>
          <w:rFonts w:cs="Arial"/>
        </w:rPr>
        <w:t>related activities and programs funded by DFAT</w:t>
      </w:r>
      <w:r w:rsidR="00E2253F">
        <w:rPr>
          <w:rFonts w:cs="Arial"/>
        </w:rPr>
        <w:t xml:space="preserve">. </w:t>
      </w:r>
      <w:r w:rsidRPr="00EF65AE">
        <w:rPr>
          <w:rFonts w:cs="Arial"/>
        </w:rPr>
        <w:t>This included an analysis of DFAT</w:t>
      </w:r>
      <w:r w:rsidR="00254F6A">
        <w:rPr>
          <w:rFonts w:cs="Arial"/>
        </w:rPr>
        <w:t>’s</w:t>
      </w:r>
      <w:r w:rsidRPr="00EF65AE">
        <w:rPr>
          <w:rFonts w:cs="Arial"/>
        </w:rPr>
        <w:t xml:space="preserve"> EVAWG investments to identify those within scope of th</w:t>
      </w:r>
      <w:r w:rsidR="00F26DED">
        <w:rPr>
          <w:rFonts w:cs="Arial"/>
        </w:rPr>
        <w:t>is</w:t>
      </w:r>
      <w:r w:rsidRPr="00EF65AE">
        <w:rPr>
          <w:rFonts w:cs="Arial"/>
        </w:rPr>
        <w:t xml:space="preserve"> evaluation. Altogether, the country-level and regional activities selected for review included approximately 200 programs and activities with a total value of about $195 million. A descripti</w:t>
      </w:r>
      <w:r w:rsidR="00CC08E7">
        <w:rPr>
          <w:rFonts w:cs="Arial"/>
        </w:rPr>
        <w:t>on</w:t>
      </w:r>
      <w:r w:rsidRPr="00EF65AE">
        <w:rPr>
          <w:rFonts w:cs="Arial"/>
        </w:rPr>
        <w:t xml:space="preserve"> of the investments deemed to be in scope is in Annex 2.</w:t>
      </w:r>
    </w:p>
    <w:p w14:paraId="7880A77D" w14:textId="01837BEE" w:rsidR="00EB244C" w:rsidRPr="00EB244C" w:rsidRDefault="00EF65AE" w:rsidP="00F26DED">
      <w:pPr>
        <w:rPr>
          <w:rFonts w:cs="Arial"/>
        </w:rPr>
      </w:pPr>
      <w:r w:rsidRPr="00F26DED">
        <w:rPr>
          <w:rFonts w:cs="Arial"/>
          <w:b/>
        </w:rPr>
        <w:t xml:space="preserve">Literature </w:t>
      </w:r>
      <w:r w:rsidR="00254F6A" w:rsidRPr="00F26DED">
        <w:rPr>
          <w:rFonts w:cs="Arial"/>
          <w:b/>
        </w:rPr>
        <w:t>r</w:t>
      </w:r>
      <w:r w:rsidRPr="00F26DED">
        <w:rPr>
          <w:rFonts w:cs="Arial"/>
          <w:b/>
        </w:rPr>
        <w:t>eview:</w:t>
      </w:r>
      <w:r w:rsidRPr="00F26DED">
        <w:rPr>
          <w:rFonts w:cs="Arial"/>
        </w:rPr>
        <w:t xml:space="preserve"> The evaluation team then undertook an extensive review of literature, current knowledge and best practices in EVAWG programming, with an emphasis on </w:t>
      </w:r>
      <w:bookmarkStart w:id="120" w:name="_Hlk15908153"/>
      <w:r w:rsidRPr="00F26DED">
        <w:rPr>
          <w:rFonts w:cs="Arial"/>
        </w:rPr>
        <w:t>Asia and the Pacific.</w:t>
      </w:r>
      <w:bookmarkEnd w:id="120"/>
      <w:r w:rsidR="008C72F7">
        <w:rPr>
          <w:rFonts w:cs="Arial"/>
        </w:rPr>
        <w:t xml:space="preserve"> The resulting</w:t>
      </w:r>
      <w:bookmarkStart w:id="121" w:name="_Hlk17793233"/>
      <w:r w:rsidR="00D360AE">
        <w:rPr>
          <w:rFonts w:cs="Arial"/>
        </w:rPr>
        <w:t xml:space="preserve"> </w:t>
      </w:r>
      <w:r w:rsidR="00D360AE">
        <w:rPr>
          <w:rFonts w:cs="Arial"/>
          <w:i/>
          <w:iCs/>
        </w:rPr>
        <w:t xml:space="preserve">Literature Review: Ending violence against women and girls </w:t>
      </w:r>
      <w:r w:rsidR="008C72F7">
        <w:rPr>
          <w:rFonts w:cs="Arial"/>
          <w:iCs/>
        </w:rPr>
        <w:t>is</w:t>
      </w:r>
      <w:r w:rsidR="00CC08E7" w:rsidRPr="00CC08E7">
        <w:rPr>
          <w:rFonts w:cs="Arial"/>
          <w:iCs/>
        </w:rPr>
        <w:t xml:space="preserve"> published on the </w:t>
      </w:r>
      <w:r w:rsidR="00D360AE">
        <w:rPr>
          <w:rFonts w:cs="Arial"/>
          <w:iCs/>
        </w:rPr>
        <w:br/>
      </w:r>
      <w:r w:rsidR="00CC08E7" w:rsidRPr="00CC08E7">
        <w:rPr>
          <w:rFonts w:cs="Arial"/>
          <w:iCs/>
        </w:rPr>
        <w:t>ODE website.</w:t>
      </w:r>
      <w:bookmarkEnd w:id="121"/>
      <w:r w:rsidRPr="00F26DED">
        <w:rPr>
          <w:rFonts w:cs="Arial"/>
          <w:b/>
        </w:rPr>
        <w:t xml:space="preserve"> </w:t>
      </w:r>
    </w:p>
    <w:p w14:paraId="7AA6585F" w14:textId="77777777" w:rsidR="00F26DED" w:rsidRDefault="00EB244C" w:rsidP="00F26DED">
      <w:pPr>
        <w:rPr>
          <w:rFonts w:cs="Arial"/>
        </w:rPr>
      </w:pPr>
      <w:r>
        <w:rPr>
          <w:rFonts w:cs="Arial"/>
          <w:b/>
        </w:rPr>
        <w:t>Field work:</w:t>
      </w:r>
      <w:r>
        <w:rPr>
          <w:rFonts w:cs="Arial"/>
        </w:rPr>
        <w:t xml:space="preserve"> </w:t>
      </w:r>
      <w:r w:rsidR="00EF65AE" w:rsidRPr="00F26DED">
        <w:rPr>
          <w:rFonts w:cs="Arial"/>
        </w:rPr>
        <w:t>The evaluation team visited Fiji, Indonesia, P</w:t>
      </w:r>
      <w:r w:rsidR="00F26DED">
        <w:rPr>
          <w:rFonts w:cs="Arial"/>
        </w:rPr>
        <w:t>NG</w:t>
      </w:r>
      <w:r w:rsidR="00EF65AE" w:rsidRPr="00F26DED">
        <w:rPr>
          <w:rFonts w:cs="Arial"/>
        </w:rPr>
        <w:t>, Solomon Islands and Timor-Leste between May and August 2018. Telephone interviews were conducted with stakeholders in Pakistan</w:t>
      </w:r>
      <w:r w:rsidR="00254F6A" w:rsidRPr="00F26DED">
        <w:rPr>
          <w:rFonts w:cs="Arial"/>
        </w:rPr>
        <w:t xml:space="preserve"> and Vanuatu</w:t>
      </w:r>
      <w:r w:rsidR="00EF65AE" w:rsidRPr="00F26DED">
        <w:rPr>
          <w:rFonts w:cs="Arial"/>
        </w:rPr>
        <w:t xml:space="preserve">. During fieldwork, the evaluation team conducted 138 individual and group semi-structured interviews and 45 focus group discussions to explore stakeholder views in detail. Interviews were used to investigate aspects of DFAT policy, systems and practice. Interviewees included: </w:t>
      </w:r>
    </w:p>
    <w:p w14:paraId="5A993F5A" w14:textId="77777777" w:rsidR="00F26DED" w:rsidRDefault="00EF65AE" w:rsidP="00F26DED">
      <w:pPr>
        <w:pStyle w:val="ListBullet"/>
      </w:pPr>
      <w:r w:rsidRPr="00F26DED">
        <w:t>beneficiaries of EVAWG programs</w:t>
      </w:r>
    </w:p>
    <w:p w14:paraId="44204FDD" w14:textId="77777777" w:rsidR="00F26DED" w:rsidRPr="00EB244C" w:rsidRDefault="00F26DED" w:rsidP="00F26DED">
      <w:pPr>
        <w:pStyle w:val="ListBullet"/>
      </w:pPr>
      <w:r>
        <w:t>c</w:t>
      </w:r>
      <w:r w:rsidR="00EF65AE" w:rsidRPr="00EB244C">
        <w:t xml:space="preserve">ivil </w:t>
      </w:r>
      <w:r>
        <w:t>s</w:t>
      </w:r>
      <w:r w:rsidR="00EF65AE" w:rsidRPr="00EB244C">
        <w:t xml:space="preserve">ociety </w:t>
      </w:r>
      <w:r>
        <w:t>o</w:t>
      </w:r>
      <w:r w:rsidR="00EF65AE" w:rsidRPr="00EB244C">
        <w:t>rganisations (CSOs</w:t>
      </w:r>
      <w:r w:rsidR="00EF65AE" w:rsidRPr="00F26DED">
        <w:t xml:space="preserve">) and </w:t>
      </w:r>
      <w:r>
        <w:t>n</w:t>
      </w:r>
      <w:r w:rsidR="00EF65AE" w:rsidRPr="00EB244C">
        <w:t>on-</w:t>
      </w:r>
      <w:r>
        <w:t>g</w:t>
      </w:r>
      <w:r w:rsidR="00EF65AE" w:rsidRPr="00EB244C">
        <w:t>overnment</w:t>
      </w:r>
      <w:r>
        <w:t xml:space="preserve"> o</w:t>
      </w:r>
      <w:r w:rsidR="00EF65AE" w:rsidRPr="00EB244C">
        <w:t>rganisations (NGOs</w:t>
      </w:r>
      <w:r w:rsidR="00EF65AE" w:rsidRPr="00F26DED">
        <w:t xml:space="preserve">) </w:t>
      </w:r>
      <w:r w:rsidR="00EF65AE" w:rsidRPr="00EB244C">
        <w:t>responsible for service delivery</w:t>
      </w:r>
    </w:p>
    <w:p w14:paraId="26A4A7E7" w14:textId="77777777" w:rsidR="00F26DED" w:rsidRPr="00EB244C" w:rsidRDefault="00EF65AE" w:rsidP="00F26DED">
      <w:pPr>
        <w:pStyle w:val="ListBullet"/>
      </w:pPr>
      <w:r w:rsidRPr="00EB244C">
        <w:t>women’s rights activists</w:t>
      </w:r>
    </w:p>
    <w:p w14:paraId="15CA21DC" w14:textId="77777777" w:rsidR="00F26DED" w:rsidRPr="00EB244C" w:rsidRDefault="00EF65AE" w:rsidP="00F26DED">
      <w:pPr>
        <w:pStyle w:val="ListBullet"/>
      </w:pPr>
      <w:r w:rsidRPr="00EB244C">
        <w:t>community leaders</w:t>
      </w:r>
    </w:p>
    <w:p w14:paraId="0681BFB4" w14:textId="77777777" w:rsidR="00F26DED" w:rsidRPr="00EB244C" w:rsidRDefault="00EF65AE" w:rsidP="00F26DED">
      <w:pPr>
        <w:pStyle w:val="ListBullet"/>
      </w:pPr>
      <w:r w:rsidRPr="00EB244C">
        <w:t>representatives from local law enforcement and magistrates courts</w:t>
      </w:r>
    </w:p>
    <w:p w14:paraId="3AA41A82" w14:textId="77777777" w:rsidR="00F26DED" w:rsidRPr="00EB244C" w:rsidRDefault="00EF65AE" w:rsidP="00F26DED">
      <w:pPr>
        <w:pStyle w:val="ListBullet"/>
      </w:pPr>
      <w:r w:rsidRPr="00EB244C">
        <w:t>managing contractors implementing investments</w:t>
      </w:r>
    </w:p>
    <w:p w14:paraId="4499B6F5" w14:textId="77777777" w:rsidR="00F26DED" w:rsidRPr="00EB244C" w:rsidRDefault="00EF65AE" w:rsidP="00F26DED">
      <w:pPr>
        <w:pStyle w:val="ListBullet"/>
      </w:pPr>
      <w:r w:rsidRPr="00EB244C">
        <w:t>other donors</w:t>
      </w:r>
    </w:p>
    <w:p w14:paraId="580CA4A7" w14:textId="03E81647" w:rsidR="00254F6A" w:rsidRPr="00F26DED" w:rsidRDefault="00EF65AE" w:rsidP="00EB244C">
      <w:pPr>
        <w:pStyle w:val="ListBullet"/>
      </w:pPr>
      <w:r w:rsidRPr="00EB244C">
        <w:t xml:space="preserve">DFAT staff working on the case study investments or responsible for relevant policies </w:t>
      </w:r>
      <w:r w:rsidR="00937123">
        <w:br/>
      </w:r>
      <w:r w:rsidRPr="00EB244C">
        <w:t>on EVAWG</w:t>
      </w:r>
      <w:r w:rsidR="00E2253F" w:rsidRPr="00F26DED">
        <w:t xml:space="preserve">. </w:t>
      </w:r>
      <w:bookmarkStart w:id="122" w:name="_Toc4152301"/>
    </w:p>
    <w:p w14:paraId="781577BA" w14:textId="77777777" w:rsidR="00EF65AE" w:rsidRPr="00EF65AE" w:rsidRDefault="00EF65AE" w:rsidP="00EF65AE">
      <w:pPr>
        <w:rPr>
          <w:rFonts w:cs="Arial"/>
        </w:rPr>
      </w:pPr>
      <w:r w:rsidRPr="00EF65AE">
        <w:rPr>
          <w:rFonts w:cs="Arial"/>
        </w:rPr>
        <w:t>Approximately 700 individuals were consulted during the fieldwork</w:t>
      </w:r>
      <w:r w:rsidR="00E2253F">
        <w:rPr>
          <w:rFonts w:cs="Arial"/>
        </w:rPr>
        <w:t xml:space="preserve">. </w:t>
      </w:r>
      <w:r w:rsidRPr="00EF65AE">
        <w:rPr>
          <w:rFonts w:cs="Arial"/>
        </w:rPr>
        <w:t>Annex 3 provides a list of stakeholders and organisations consulted, by country.</w:t>
      </w:r>
    </w:p>
    <w:bookmarkEnd w:id="122"/>
    <w:p w14:paraId="6A9F0B56" w14:textId="77777777" w:rsidR="00EF65AE" w:rsidRPr="008C72F7" w:rsidRDefault="00EF65AE" w:rsidP="00EB244C">
      <w:pPr>
        <w:pStyle w:val="Heading3NoTOC"/>
        <w:rPr>
          <w:rFonts w:ascii="Arial" w:eastAsiaTheme="minorHAnsi" w:hAnsi="Arial" w:cs="Arial"/>
          <w:b w:val="0"/>
          <w:bCs w:val="0"/>
          <w:color w:val="000000"/>
          <w:sz w:val="22"/>
        </w:rPr>
      </w:pPr>
      <w:r w:rsidRPr="008C72F7">
        <w:rPr>
          <w:rFonts w:ascii="Arial" w:eastAsiaTheme="minorHAnsi" w:hAnsi="Arial" w:cs="Arial"/>
          <w:bCs w:val="0"/>
          <w:color w:val="000000"/>
          <w:sz w:val="22"/>
        </w:rPr>
        <w:t xml:space="preserve">Synthesis and </w:t>
      </w:r>
      <w:r w:rsidR="00EB244C" w:rsidRPr="008C72F7">
        <w:rPr>
          <w:rFonts w:ascii="Arial" w:eastAsiaTheme="minorHAnsi" w:hAnsi="Arial" w:cs="Arial"/>
          <w:bCs w:val="0"/>
          <w:color w:val="000000"/>
          <w:sz w:val="22"/>
        </w:rPr>
        <w:t>analysis:</w:t>
      </w:r>
      <w:r w:rsidR="00EB244C" w:rsidRPr="008C72F7">
        <w:rPr>
          <w:rFonts w:ascii="Arial" w:eastAsiaTheme="minorHAnsi" w:hAnsi="Arial" w:cs="Arial"/>
          <w:b w:val="0"/>
          <w:bCs w:val="0"/>
          <w:color w:val="000000"/>
          <w:sz w:val="22"/>
        </w:rPr>
        <w:t xml:space="preserve"> </w:t>
      </w:r>
      <w:r w:rsidR="00254F6A" w:rsidRPr="008C72F7">
        <w:rPr>
          <w:rFonts w:ascii="Arial" w:eastAsiaTheme="minorHAnsi" w:hAnsi="Arial" w:cs="Arial"/>
          <w:b w:val="0"/>
          <w:bCs w:val="0"/>
          <w:color w:val="000000"/>
          <w:sz w:val="22"/>
        </w:rPr>
        <w:t>N</w:t>
      </w:r>
      <w:r w:rsidRPr="008C72F7">
        <w:rPr>
          <w:rFonts w:ascii="Arial" w:eastAsiaTheme="minorHAnsi" w:hAnsi="Arial" w:cs="Arial"/>
          <w:b w:val="0"/>
          <w:bCs w:val="0"/>
          <w:color w:val="000000"/>
          <w:sz w:val="22"/>
        </w:rPr>
        <w:t xml:space="preserve">otes and recordings from interviews and focus group discussions were transcribed and analysed using the qualitative software Opencode. Key points from reports, program and evaluation documents were extracted into an Excel database. All documents and transcripts were categorised or coded against all relevant evaluation questions and themes. Analysis of coded material was then undertaken with the whole evaluation team to identify emerging trends or observations and to triangulate findings between multiple sources of evidence. </w:t>
      </w:r>
    </w:p>
    <w:p w14:paraId="7282CA51" w14:textId="3FBF6BA4" w:rsidR="00EF65AE" w:rsidRPr="00EF65AE" w:rsidRDefault="004A793A" w:rsidP="00F84AB8">
      <w:pPr>
        <w:pStyle w:val="Heading2"/>
      </w:pPr>
      <w:bookmarkStart w:id="123" w:name="_Toc14959593"/>
      <w:bookmarkStart w:id="124" w:name="_Toc15378119"/>
      <w:bookmarkStart w:id="125" w:name="_Toc15378468"/>
      <w:bookmarkStart w:id="126" w:name="_Toc15562998"/>
      <w:bookmarkStart w:id="127" w:name="_Toc23434534"/>
      <w:r w:rsidRPr="00EF65AE">
        <w:t>Violence against women and girls</w:t>
      </w:r>
      <w:bookmarkEnd w:id="123"/>
      <w:bookmarkEnd w:id="124"/>
      <w:bookmarkEnd w:id="125"/>
      <w:bookmarkEnd w:id="126"/>
      <w:bookmarkEnd w:id="127"/>
      <w:r w:rsidRPr="00EF65AE">
        <w:t xml:space="preserve"> </w:t>
      </w:r>
    </w:p>
    <w:p w14:paraId="1E986ABB" w14:textId="77777777" w:rsidR="001778C4" w:rsidRDefault="00EF65AE" w:rsidP="00EF65AE">
      <w:pPr>
        <w:rPr>
          <w:rFonts w:cs="Arial"/>
        </w:rPr>
      </w:pPr>
      <w:r w:rsidRPr="00EF65AE">
        <w:rPr>
          <w:rFonts w:cs="Arial"/>
        </w:rPr>
        <w:t>V</w:t>
      </w:r>
      <w:r w:rsidR="00274B83">
        <w:rPr>
          <w:rFonts w:cs="Arial"/>
        </w:rPr>
        <w:t>AWG</w:t>
      </w:r>
      <w:r w:rsidRPr="00EF65AE">
        <w:rPr>
          <w:rFonts w:cs="Arial"/>
        </w:rPr>
        <w:t xml:space="preserve"> is any act of gender-based violence that results in, or is likely to result in, physical, sexual or mental harm or suffering to women and girls</w:t>
      </w:r>
      <w:r w:rsidR="00535F89">
        <w:rPr>
          <w:rFonts w:cs="Arial"/>
        </w:rPr>
        <w:t>. It</w:t>
      </w:r>
      <w:r w:rsidRPr="00EF65AE">
        <w:rPr>
          <w:rFonts w:cs="Arial"/>
        </w:rPr>
        <w:t xml:space="preserve"> includ</w:t>
      </w:r>
      <w:r w:rsidR="00535F89">
        <w:rPr>
          <w:rFonts w:cs="Arial"/>
        </w:rPr>
        <w:t>es</w:t>
      </w:r>
      <w:r w:rsidRPr="00EF65AE">
        <w:rPr>
          <w:rFonts w:cs="Arial"/>
        </w:rPr>
        <w:t xml:space="preserve"> threats of such acts, coercion or arbitrary deprivation of liberty, whether occurring in public or private life.</w:t>
      </w:r>
      <w:r w:rsidRPr="00EF65AE">
        <w:rPr>
          <w:rFonts w:cs="Arial"/>
        </w:rPr>
        <w:fldChar w:fldCharType="begin"/>
      </w:r>
      <w:r w:rsidRPr="00EF65AE">
        <w:rPr>
          <w:rFonts w:cs="Arial"/>
        </w:rPr>
        <w:instrText xml:space="preserve"> ADDIN ZOTERO_ITEM CSL_CITATION {"citationID":"a5b43n26ks","properties":{"formattedCitation":"\\super 7\\nosupersub{}","plainCitation":"7","noteIndex":0},"citationItems":[{"id":362,"uris":["http://zotero.org/users/4194704/items/AHTFC39L"],"uri":["http://zotero.org/users/4194704/items/AHTFC39L"],"itemData":{"id":362,"type":"article-journal","title":"Report on the 57th Session of the Commission on the Status of Women","author":[{"literal":"United Nations Economic and Social Council"}],"issued":{"date-parts":[["2013"]]}}}],"schema":"https://github.com/citation-style-language/schema/raw/master/csl-citation.json"} </w:instrText>
      </w:r>
      <w:r w:rsidRPr="00EF65AE">
        <w:rPr>
          <w:rFonts w:cs="Arial"/>
        </w:rPr>
        <w:fldChar w:fldCharType="separate"/>
      </w:r>
      <w:r w:rsidRPr="00EF65AE">
        <w:rPr>
          <w:rFonts w:cs="Arial"/>
          <w:vertAlign w:val="superscript"/>
          <w:lang w:val="en-US"/>
        </w:rPr>
        <w:t>7</w:t>
      </w:r>
      <w:r w:rsidRPr="00EF65AE">
        <w:rPr>
          <w:rFonts w:cs="Arial"/>
        </w:rPr>
        <w:fldChar w:fldCharType="end"/>
      </w:r>
      <w:r w:rsidRPr="00EF65AE">
        <w:rPr>
          <w:rFonts w:cs="Arial"/>
        </w:rPr>
        <w:t xml:space="preserve"> This violence takes many forms, including</w:t>
      </w:r>
      <w:r w:rsidR="001778C4">
        <w:rPr>
          <w:rFonts w:cs="Arial"/>
        </w:rPr>
        <w:t>:</w:t>
      </w:r>
    </w:p>
    <w:p w14:paraId="58435196" w14:textId="77777777" w:rsidR="001778C4" w:rsidRDefault="00EF65AE" w:rsidP="001778C4">
      <w:pPr>
        <w:pStyle w:val="ListBullet"/>
      </w:pPr>
      <w:r w:rsidRPr="00EF65AE">
        <w:t>violence by an intimate partner</w:t>
      </w:r>
    </w:p>
    <w:p w14:paraId="299DD68A" w14:textId="77777777" w:rsidR="001778C4" w:rsidRDefault="00EF65AE" w:rsidP="001778C4">
      <w:pPr>
        <w:pStyle w:val="ListBullet"/>
      </w:pPr>
      <w:r w:rsidRPr="00EF65AE">
        <w:t>rape</w:t>
      </w:r>
    </w:p>
    <w:p w14:paraId="273C26F4" w14:textId="77777777" w:rsidR="001778C4" w:rsidRDefault="00EF65AE" w:rsidP="001778C4">
      <w:pPr>
        <w:pStyle w:val="ListBullet"/>
      </w:pPr>
      <w:r w:rsidRPr="00EF65AE">
        <w:t>sexual assault</w:t>
      </w:r>
    </w:p>
    <w:p w14:paraId="49AF28AB" w14:textId="77777777" w:rsidR="001778C4" w:rsidRDefault="00EF65AE" w:rsidP="001778C4">
      <w:pPr>
        <w:pStyle w:val="ListBullet"/>
      </w:pPr>
      <w:r w:rsidRPr="00EF65AE">
        <w:t>other forms of sexual violence perpetrated by someone other than a partner</w:t>
      </w:r>
    </w:p>
    <w:p w14:paraId="5FB813A4" w14:textId="77777777" w:rsidR="001778C4" w:rsidRDefault="00EF65AE" w:rsidP="001778C4">
      <w:pPr>
        <w:pStyle w:val="ListBullet"/>
      </w:pPr>
      <w:r w:rsidRPr="00EF65AE">
        <w:t>child abuse</w:t>
      </w:r>
    </w:p>
    <w:p w14:paraId="33D66D85" w14:textId="77777777" w:rsidR="001778C4" w:rsidRDefault="00EF65AE" w:rsidP="001778C4">
      <w:pPr>
        <w:pStyle w:val="ListBullet"/>
      </w:pPr>
      <w:r w:rsidRPr="00EF65AE">
        <w:t>forced prostitution</w:t>
      </w:r>
    </w:p>
    <w:p w14:paraId="44345338" w14:textId="77777777" w:rsidR="001778C4" w:rsidRDefault="00EF65AE" w:rsidP="001778C4">
      <w:pPr>
        <w:pStyle w:val="ListBullet"/>
      </w:pPr>
      <w:r w:rsidRPr="00EF65AE">
        <w:t>trafficking of women</w:t>
      </w:r>
    </w:p>
    <w:p w14:paraId="26696542" w14:textId="77777777" w:rsidR="001778C4" w:rsidRDefault="00EF65AE" w:rsidP="001778C4">
      <w:pPr>
        <w:pStyle w:val="ListBullet"/>
      </w:pPr>
      <w:r w:rsidRPr="00EF65AE">
        <w:t>violence due to sexual orientation or gender identity</w:t>
      </w:r>
    </w:p>
    <w:p w14:paraId="345E6D9E" w14:textId="77777777" w:rsidR="001778C4" w:rsidRDefault="00EF65AE" w:rsidP="001778C4">
      <w:pPr>
        <w:pStyle w:val="ListBullet"/>
      </w:pPr>
      <w:r w:rsidRPr="00EF65AE">
        <w:t>violence due to disability</w:t>
      </w:r>
    </w:p>
    <w:p w14:paraId="25A01BAB" w14:textId="77777777" w:rsidR="001778C4" w:rsidRDefault="00EF65AE" w:rsidP="001778C4">
      <w:pPr>
        <w:pStyle w:val="ListBullet"/>
      </w:pPr>
      <w:r w:rsidRPr="00EF65AE">
        <w:t>sorcery-accusation related violence</w:t>
      </w:r>
    </w:p>
    <w:p w14:paraId="0A523DB9" w14:textId="77777777" w:rsidR="00EF65AE" w:rsidRPr="00EF65AE" w:rsidRDefault="00EF65AE" w:rsidP="007B2A43">
      <w:pPr>
        <w:pStyle w:val="ListBullet"/>
      </w:pPr>
      <w:r w:rsidRPr="00EF65AE">
        <w:t>harmful traditional practices such as early or forced marriage, female genital mutilation and honour killing.</w:t>
      </w:r>
      <w:r w:rsidRPr="00EF65AE">
        <w:fldChar w:fldCharType="begin"/>
      </w:r>
      <w:r w:rsidRPr="00EF65AE">
        <w:instrText xml:space="preserve"> ADDIN ZOTERO_ITEM CSL_CITATION {"citationID":"a18len1hiqq","properties":{"formattedCitation":"\\super 8\\nosupersub{}","plainCitation":"8","noteIndex":0},"citationItems":[{"id":131,"uris":["http://zotero.org/users/4194704/items/FETWKEQS"],"uri":["http://zotero.org/users/4194704/items/FETWKEQS"],"itemData":{"id":131,"type":"article-journal","title":"Addressing violence against women: a call to action","container-title":"The Lancet","page":"1685-1695","volume":"385","issue":"9978","ISSN":"0140-6736","author":[{"family":"García-Moreno","given":"Claudia"},{"family":"Zimmerman","given":"Cathy"},{"family":"Morris-Gehring","given":"Alison"},{"family":"Heise","given":"Lori"},{"family":"Amin","given":"Avni"},{"family":"Abrahams","given":"Naeemah"},{"family":"Montoya","given":"Oswaldo"},{"family":"Bhate-Deosthali","given":"Padma"},{"family":"Kilonzo","given":"Nduku"},{"family":"Watts","given":"Charlotte"}],"issued":{"date-parts":[["2015"]]}}}],"schema":"https://github.com/citation-style-language/schema/raw/master/csl-citation.json"} </w:instrText>
      </w:r>
      <w:r w:rsidRPr="00EF65AE">
        <w:fldChar w:fldCharType="separate"/>
      </w:r>
      <w:r w:rsidRPr="00EF65AE">
        <w:rPr>
          <w:vertAlign w:val="superscript"/>
          <w:lang w:val="en-US"/>
        </w:rPr>
        <w:t>8</w:t>
      </w:r>
      <w:r w:rsidRPr="00EF65AE">
        <w:fldChar w:fldCharType="end"/>
      </w:r>
      <w:r w:rsidRPr="00EF65AE">
        <w:t xml:space="preserve"> </w:t>
      </w:r>
    </w:p>
    <w:p w14:paraId="1016AA71" w14:textId="14B16511" w:rsidR="00EF65AE" w:rsidRPr="00EF65AE" w:rsidRDefault="00D360AE" w:rsidP="00EF65AE">
      <w:pPr>
        <w:rPr>
          <w:rFonts w:cs="Arial"/>
        </w:rPr>
      </w:pPr>
      <w:r>
        <w:rPr>
          <w:rFonts w:cs="Arial"/>
          <w:shd w:val="clear" w:color="auto" w:fill="FFFFFF"/>
        </w:rPr>
        <w:t>I</w:t>
      </w:r>
      <w:r w:rsidRPr="00450F2C">
        <w:rPr>
          <w:rFonts w:cs="Arial"/>
          <w:shd w:val="clear" w:color="auto" w:fill="FFFFFF"/>
        </w:rPr>
        <w:t>ntimate partner violence (IPV)</w:t>
      </w:r>
      <w:r w:rsidR="00EF65AE" w:rsidRPr="00EF65AE">
        <w:rPr>
          <w:rFonts w:cs="Arial"/>
        </w:rPr>
        <w:t xml:space="preserve"> and sexual violence are the most common forms of violence experienced by women and girls globally.</w:t>
      </w:r>
      <w:r w:rsidR="00EF65AE" w:rsidRPr="00EF65AE">
        <w:rPr>
          <w:rFonts w:cs="Arial"/>
        </w:rPr>
        <w:fldChar w:fldCharType="begin"/>
      </w:r>
      <w:r w:rsidR="00EF65AE" w:rsidRPr="00EF65AE">
        <w:rPr>
          <w:rFonts w:cs="Arial"/>
        </w:rPr>
        <w:instrText xml:space="preserve"> ADDIN ZOTERO_ITEM CSL_CITATION {"citationID":"94dZKmvS","properties":{"formattedCitation":"\\super 9\\nosupersub{}","plainCitation":"9","noteIndex":0},"citationItems":[{"id":89,"uris":["http://zotero.org/users/4194704/items/UL4CXK42"],"uri":["http://zotero.org/users/4194704/items/UL4CXK42"],"itemData":{"id":89,"type":"article-journal","title":"The global prevalence of intimate partner violence against women","container-title":"Science","page":"1527-1528","volume":"340","issue":"6140","ISSN":"0036-8075","author":[{"family":"Devries","given":"Karen M."},{"family":"Mak","given":"Joelle YT"},{"family":"García-Moreno","given":"Claudia"},{"family":"Petzold","given":"Max"},{"family":"Child","given":"James C."},{"family":"Falder","given":"Gail"},{"family":"Lim","given":"Stephen"},{"family":"Bacchus","given":"Loraine J."},{"family":"Engell","given":"Rebecca E."},{"family":"Rosenfeld","given":"Lisa"}],"issued":{"date-parts":[["2013"]]}}}],"schema":"https://github.com/citation-style-language/schema/raw/master/csl-citation.json"}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9</w:t>
      </w:r>
      <w:r w:rsidR="00EF65AE" w:rsidRPr="00EF65AE">
        <w:rPr>
          <w:rFonts w:cs="Arial"/>
        </w:rPr>
        <w:fldChar w:fldCharType="end"/>
      </w:r>
      <w:r w:rsidR="00EF65AE" w:rsidRPr="00EF65AE">
        <w:rPr>
          <w:rFonts w:cs="Arial"/>
        </w:rPr>
        <w:t xml:space="preserve"> Women and girls may also experience other types of violence throughout their lives (</w:t>
      </w:r>
      <w:r w:rsidR="00862EAB">
        <w:rPr>
          <w:rFonts w:cs="Arial"/>
        </w:rPr>
        <w:fldChar w:fldCharType="begin"/>
      </w:r>
      <w:r w:rsidR="00862EAB">
        <w:rPr>
          <w:rFonts w:cs="Arial"/>
        </w:rPr>
        <w:instrText xml:space="preserve"> REF _Ref15559341 \h </w:instrText>
      </w:r>
      <w:r w:rsidR="00862EAB">
        <w:rPr>
          <w:rFonts w:cs="Arial"/>
        </w:rPr>
      </w:r>
      <w:r w:rsidR="00862EAB">
        <w:rPr>
          <w:rFonts w:cs="Arial"/>
        </w:rPr>
        <w:fldChar w:fldCharType="separate"/>
      </w:r>
      <w:r w:rsidR="00760839" w:rsidRPr="007A389F">
        <w:t xml:space="preserve">Figure </w:t>
      </w:r>
      <w:r w:rsidR="00760839">
        <w:rPr>
          <w:noProof/>
        </w:rPr>
        <w:t>1</w:t>
      </w:r>
      <w:r w:rsidR="00862EAB">
        <w:rPr>
          <w:rFonts w:cs="Arial"/>
        </w:rPr>
        <w:fldChar w:fldCharType="end"/>
      </w:r>
      <w:r w:rsidR="00EF65AE" w:rsidRPr="00EF65AE">
        <w:rPr>
          <w:rFonts w:cs="Arial"/>
        </w:rPr>
        <w:t xml:space="preserve">). </w:t>
      </w:r>
    </w:p>
    <w:p w14:paraId="5095686C" w14:textId="6F34735B" w:rsidR="00EF65AE" w:rsidRDefault="00244847" w:rsidP="007A389F">
      <w:pPr>
        <w:pStyle w:val="Caption"/>
      </w:pPr>
      <w:bookmarkStart w:id="128" w:name="_Ref15559341"/>
      <w:bookmarkStart w:id="129" w:name="_Toc23434583"/>
      <w:r w:rsidRPr="007A389F">
        <w:t xml:space="preserve">Figure </w:t>
      </w:r>
      <w:r w:rsidR="004C68A2" w:rsidRPr="00C21BDD">
        <w:fldChar w:fldCharType="begin"/>
      </w:r>
      <w:r w:rsidR="004C68A2" w:rsidRPr="000350C0">
        <w:instrText xml:space="preserve"> SEQ Figure \* ARABIC </w:instrText>
      </w:r>
      <w:r w:rsidR="004C68A2" w:rsidRPr="00C21BDD">
        <w:fldChar w:fldCharType="separate"/>
      </w:r>
      <w:r w:rsidR="00760839">
        <w:rPr>
          <w:noProof/>
        </w:rPr>
        <w:t>1</w:t>
      </w:r>
      <w:r w:rsidR="004C68A2" w:rsidRPr="00C21BDD">
        <w:fldChar w:fldCharType="end"/>
      </w:r>
      <w:bookmarkEnd w:id="128"/>
      <w:r w:rsidR="00EF65AE" w:rsidRPr="007A389F">
        <w:t>: Violence affects women and girls at every stage of life</w:t>
      </w:r>
      <w:bookmarkEnd w:id="129"/>
    </w:p>
    <w:p w14:paraId="4A3A4EFD" w14:textId="77777777" w:rsidR="00726D55" w:rsidRPr="00726D55" w:rsidRDefault="00726D55" w:rsidP="00726D55"/>
    <w:p w14:paraId="0ED3D9FE" w14:textId="77777777" w:rsidR="00EF65AE" w:rsidRPr="00EF65AE" w:rsidRDefault="006927AA" w:rsidP="00EF65AE">
      <w:pPr>
        <w:rPr>
          <w:rFonts w:cs="Arial"/>
          <w:highlight w:val="yellow"/>
        </w:rPr>
      </w:pPr>
      <w:r>
        <w:rPr>
          <w:noProof/>
          <w:lang w:eastAsia="en-AU"/>
        </w:rPr>
        <w:drawing>
          <wp:inline distT="0" distB="0" distL="0" distR="0" wp14:anchorId="682E543A" wp14:editId="7EAD8484">
            <wp:extent cx="6027310" cy="2586885"/>
            <wp:effectExtent l="0" t="0" r="0" b="4445"/>
            <wp:docPr id="3" name="Picture 3" descr="Figure 1 shows that violence affects women and girls at every stage of life.&#10;&#10;For girls, violence includes female infanticide, child abuse and neglect, female genital mutilation and child marriage. &#10;&#10;For elderly women, violence includes elder abuse, sexual violence, intimate partner violence, and violence by family members and carers. &#10;&#10;For women of all other ages, violence includes femicide, dating violence, sexual violence, intimate partner violence, early and forced marriage, sexual harassment, acid throwing and traffic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e 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7310" cy="2586885"/>
                    </a:xfrm>
                    <a:prstGeom prst="rect">
                      <a:avLst/>
                    </a:prstGeom>
                  </pic:spPr>
                </pic:pic>
              </a:graphicData>
            </a:graphic>
          </wp:inline>
        </w:drawing>
      </w:r>
    </w:p>
    <w:p w14:paraId="705EA82F" w14:textId="77777777" w:rsidR="00EF65AE" w:rsidRPr="00EF65AE" w:rsidRDefault="00EF65AE" w:rsidP="009047DB">
      <w:pPr>
        <w:pStyle w:val="Heading3NoTOC"/>
      </w:pPr>
      <w:r w:rsidRPr="00EF65AE">
        <w:t>Impacts</w:t>
      </w:r>
    </w:p>
    <w:p w14:paraId="7A66F4C7" w14:textId="77777777" w:rsidR="001778C4" w:rsidRDefault="00EF65AE" w:rsidP="00EF65AE">
      <w:pPr>
        <w:rPr>
          <w:rFonts w:cs="Arial"/>
        </w:rPr>
      </w:pPr>
      <w:r w:rsidRPr="00EF65AE">
        <w:rPr>
          <w:rFonts w:cs="Arial"/>
        </w:rPr>
        <w:t>V</w:t>
      </w:r>
      <w:r w:rsidR="00274B83">
        <w:rPr>
          <w:rFonts w:cs="Arial"/>
        </w:rPr>
        <w:t>AWG</w:t>
      </w:r>
      <w:r w:rsidRPr="00EF65AE">
        <w:rPr>
          <w:rFonts w:cs="Arial"/>
        </w:rPr>
        <w:t xml:space="preserve"> is now viewed as a global public health and clinical problem of epidemic proportions. For women and girls, being subjected to violence is associated with injury, disability, death, induced abortion, low birth weight and prematurity in women’s babies, poor sexual health, suicide, depression, anxiety and harmful </w:t>
      </w:r>
      <w:r w:rsidR="00BD6CFD" w:rsidRPr="00EF65AE">
        <w:rPr>
          <w:rFonts w:cs="Arial"/>
        </w:rPr>
        <w:t>alcohol</w:t>
      </w:r>
      <w:r w:rsidRPr="00EF65AE">
        <w:rPr>
          <w:rFonts w:cs="Arial"/>
        </w:rPr>
        <w:t xml:space="preserve"> use. Physical, sexual and emotional IPV and non-partner sexual violence cause serious short and long-term physical, mental, sexual and reproductive health problems for women. </w:t>
      </w:r>
    </w:p>
    <w:p w14:paraId="5AC97119" w14:textId="480B75E7" w:rsidR="00963398" w:rsidRDefault="00963398" w:rsidP="00963398">
      <w:pPr>
        <w:rPr>
          <w:rFonts w:cs="Arial"/>
        </w:rPr>
      </w:pPr>
      <w:r>
        <w:t>VAWG also has significant economic impacts in terms of lost productivity and direct health costs. According to a 2013 World Bank study of nine countries</w:t>
      </w:r>
      <w:r w:rsidR="00C373DA">
        <w:t>,</w:t>
      </w:r>
      <w:r>
        <w:t xml:space="preserve"> the costs of IPV are substantial, ranging fr</w:t>
      </w:r>
      <w:r w:rsidR="005B6F29">
        <w:t xml:space="preserve">om one to two per cent of GDP, </w:t>
      </w:r>
      <w:r>
        <w:t>an amount almost equal to government spen</w:t>
      </w:r>
      <w:r w:rsidR="005B6F29">
        <w:t>ding on primary education</w:t>
      </w:r>
      <w:r w:rsidR="00C373DA">
        <w:t>.</w:t>
      </w:r>
      <w:r w:rsidR="005B6F29" w:rsidRPr="00C373DA">
        <w:rPr>
          <w:vertAlign w:val="superscript"/>
        </w:rPr>
        <w:t>142</w:t>
      </w:r>
      <w:r>
        <w:t xml:space="preserve"> </w:t>
      </w:r>
      <w:bookmarkStart w:id="130" w:name="_Hlk20731898"/>
      <w:r>
        <w:t>The estimates of the cost to individual countrie</w:t>
      </w:r>
      <w:r w:rsidR="005B6F29">
        <w:t xml:space="preserve">s found by other studies vary: </w:t>
      </w:r>
      <w:r w:rsidR="003E7C4C">
        <w:br/>
      </w:r>
      <w:r>
        <w:t>US$5.8 billion in 2003 in the United States;</w:t>
      </w:r>
      <w:r>
        <w:rPr>
          <w:vertAlign w:val="superscript"/>
          <w:lang w:val="en-US"/>
        </w:rPr>
        <w:t>10</w:t>
      </w:r>
      <w:r>
        <w:t xml:space="preserve"> GBP22.9 billion in 2004 in England</w:t>
      </w:r>
      <w:r w:rsidR="003E7C4C">
        <w:t xml:space="preserve"> and Wales</w:t>
      </w:r>
      <w:r>
        <w:rPr>
          <w:vertAlign w:val="superscript"/>
          <w:lang w:val="en-US"/>
        </w:rPr>
        <w:t>11</w:t>
      </w:r>
      <w:r>
        <w:t>, and R28.4 billion in 2009 in South Africa.</w:t>
      </w:r>
      <w:r>
        <w:rPr>
          <w:vertAlign w:val="superscript"/>
          <w:lang w:val="en-US"/>
        </w:rPr>
        <w:t>12</w:t>
      </w:r>
      <w:r>
        <w:t xml:space="preserve"> </w:t>
      </w:r>
      <w:bookmarkEnd w:id="130"/>
      <w:r>
        <w:t xml:space="preserve">In 2015 it was estimated that violence against women costs Australia $21.7 billion per year: </w:t>
      </w:r>
    </w:p>
    <w:p w14:paraId="3A747155" w14:textId="77777777" w:rsidR="001778C4" w:rsidRDefault="00EF65AE" w:rsidP="001778C4">
      <w:pPr>
        <w:pStyle w:val="ListBullet"/>
      </w:pPr>
      <w:r w:rsidRPr="00EF65AE">
        <w:t>$3.4 billion to the economy</w:t>
      </w:r>
    </w:p>
    <w:p w14:paraId="202C9F86" w14:textId="77777777" w:rsidR="001778C4" w:rsidRDefault="00EF65AE" w:rsidP="001778C4">
      <w:pPr>
        <w:pStyle w:val="ListBullet"/>
      </w:pPr>
      <w:r w:rsidRPr="00EF65AE">
        <w:t>$7.8 billion to the taxpayer</w:t>
      </w:r>
    </w:p>
    <w:p w14:paraId="6AF0A2C1" w14:textId="77777777" w:rsidR="009047DB" w:rsidRDefault="00EF65AE" w:rsidP="001D06A3">
      <w:pPr>
        <w:pStyle w:val="ListBullet"/>
      </w:pPr>
      <w:r w:rsidRPr="00EF65AE">
        <w:t>$10.4 billion of pain, suffering and premature mortality.</w:t>
      </w:r>
      <w:r w:rsidRPr="00EF65AE">
        <w:fldChar w:fldCharType="begin"/>
      </w:r>
      <w:r w:rsidRPr="00EF65AE">
        <w:instrText xml:space="preserve"> ADDIN ZOTERO_ITEM CSL_CITATION {"citationID":"KTw8Akbh","properties":{"formattedCitation":"\\super 13\\nosupersub{}","plainCitation":"13","noteIndex":0},"citationItems":[{"id":"LnUt4Vs6/7Pfj9IrJ","uris":["http://zotero.org/users/local/dqL838ot/items/87585P7H"],"uri":["http://zotero.org/users/local/dqL838ot/items/87585P7H"],"itemData":{"id":281,"type":"report","title":"A High Price to Pay: The economic case for preventing violence against women","publisher":"PwC","publisher-place":"Melbourne","event-place":"Melbourne","author":[{"family":"PricewaterhouseCoopers Australia (PwC)","given":""},{"family":"Our Watch","given":""},{"family":"VicHealth","given":""}],"issued":{"date-parts":[["2015"]]}}}],"schema":"https://github.com/citation-style-language/schema/raw/master/csl-citation.json"} </w:instrText>
      </w:r>
      <w:r w:rsidRPr="00EF65AE">
        <w:fldChar w:fldCharType="separate"/>
      </w:r>
      <w:r w:rsidRPr="00EF65AE">
        <w:rPr>
          <w:vertAlign w:val="superscript"/>
          <w:lang w:val="en-US"/>
        </w:rPr>
        <w:t>13</w:t>
      </w:r>
      <w:r w:rsidRPr="00EF65AE">
        <w:fldChar w:fldCharType="end"/>
      </w:r>
      <w:r w:rsidRPr="00EF65AE">
        <w:t xml:space="preserve"> </w:t>
      </w:r>
    </w:p>
    <w:p w14:paraId="2CA0C678" w14:textId="77777777" w:rsidR="00897593" w:rsidRPr="00EF65AE" w:rsidRDefault="00897593" w:rsidP="00897593">
      <w:pPr>
        <w:pStyle w:val="Heading3NoTOC"/>
      </w:pPr>
      <w:r w:rsidRPr="00EF65AE">
        <w:t xml:space="preserve">Prevalence </w:t>
      </w:r>
      <w:r w:rsidRPr="00A072C4">
        <w:t>of</w:t>
      </w:r>
      <w:r w:rsidRPr="00EF65AE">
        <w:t xml:space="preserve"> </w:t>
      </w:r>
      <w:r>
        <w:t>i</w:t>
      </w:r>
      <w:r w:rsidRPr="00EF65AE">
        <w:t xml:space="preserve">ntimate </w:t>
      </w:r>
      <w:r>
        <w:t>p</w:t>
      </w:r>
      <w:r w:rsidRPr="00EF65AE">
        <w:t xml:space="preserve">artner </w:t>
      </w:r>
      <w:r>
        <w:t>v</w:t>
      </w:r>
      <w:r w:rsidRPr="00EF65AE">
        <w:t>iolence</w:t>
      </w:r>
    </w:p>
    <w:p w14:paraId="2EEAA2EA" w14:textId="02270DBE" w:rsidR="00897593" w:rsidRPr="00EB244C" w:rsidRDefault="001158AC" w:rsidP="00897593">
      <w:pPr>
        <w:rPr>
          <w:sz w:val="20"/>
        </w:rPr>
      </w:pPr>
      <w:r>
        <w:t xml:space="preserve">Kiribati, </w:t>
      </w:r>
      <w:r w:rsidR="00897593" w:rsidRPr="00EF65AE">
        <w:t>P</w:t>
      </w:r>
      <w:r>
        <w:t>NG</w:t>
      </w:r>
      <w:r w:rsidR="00897593" w:rsidRPr="00EF65AE">
        <w:t>,</w:t>
      </w:r>
      <w:r w:rsidR="00897593">
        <w:t xml:space="preserve"> </w:t>
      </w:r>
      <w:r w:rsidR="00897593" w:rsidRPr="00EF65AE">
        <w:t>Solomon Islands</w:t>
      </w:r>
      <w:r w:rsidR="00897593">
        <w:t>,</w:t>
      </w:r>
      <w:r>
        <w:t xml:space="preserve"> Timor-Leste and</w:t>
      </w:r>
      <w:r w:rsidR="00535F89">
        <w:t xml:space="preserve"> </w:t>
      </w:r>
      <w:r w:rsidR="00897593">
        <w:t xml:space="preserve">Vanuatu </w:t>
      </w:r>
      <w:r w:rsidR="00897593" w:rsidRPr="00EF65AE">
        <w:t xml:space="preserve">are among countries with the highest </w:t>
      </w:r>
      <w:r w:rsidR="00897593">
        <w:t xml:space="preserve">lifetime </w:t>
      </w:r>
      <w:r w:rsidR="00897593" w:rsidRPr="00EF65AE">
        <w:t>prevalence of IPV—nearly twice the global average of 35 per cent</w:t>
      </w:r>
      <w:r w:rsidR="00897593">
        <w:t xml:space="preserve"> (Figure 2)</w:t>
      </w:r>
      <w:r w:rsidR="00897593" w:rsidRPr="00EF65AE">
        <w:t>.</w:t>
      </w:r>
      <w:r w:rsidR="00897593" w:rsidRPr="00EF65AE">
        <w:fldChar w:fldCharType="begin"/>
      </w:r>
      <w:r w:rsidR="00897593" w:rsidRPr="00EF65AE">
        <w:instrText xml:space="preserve"> ADDIN ZOTERO_ITEM CSL_CITATION {"citationID":"AKxDrCrN","properties":{"formattedCitation":"\\super 9\\nosupersub{}","plainCitation":"9","noteIndex":0},"citationItems":[{"id":89,"uris":["http://zotero.org/users/4194704/items/UL4CXK42"],"uri":["http://zotero.org/users/4194704/items/UL4CXK42"],"itemData":{"id":89,"type":"article-journal","title":"The global prevalence of intimate partner violence against women","container-title":"Science","page":"1527-1528","volume":"340","issue":"6140","ISSN":"0036-8075","author":[{"family":"Devries","given":"Karen M."},{"family":"Mak","given":"Joelle YT"},{"family":"García-Moreno","given":"Claudia"},{"family":"Petzold","given":"Max"},{"family":"Child","given":"James C."},{"family":"Falder","given":"Gail"},{"family":"Lim","given":"Stephen"},{"family":"Bacchus","given":"Loraine J."},{"family":"Engell","given":"Rebecca E."},{"family":"Rosenfeld","given":"Lisa"}],"issued":{"date-parts":[["2013"]]}}}],"schema":"https://github.com/citation-style-language/schema/raw/master/csl-citation.json"} </w:instrText>
      </w:r>
      <w:r w:rsidR="00897593" w:rsidRPr="00EF65AE">
        <w:fldChar w:fldCharType="separate"/>
      </w:r>
      <w:r w:rsidR="00897593" w:rsidRPr="00EF65AE">
        <w:rPr>
          <w:vertAlign w:val="superscript"/>
          <w:lang w:val="en-US"/>
        </w:rPr>
        <w:t>9</w:t>
      </w:r>
      <w:r w:rsidR="00897593" w:rsidRPr="00EF65AE">
        <w:fldChar w:fldCharType="end"/>
      </w:r>
      <w:r w:rsidR="00897593" w:rsidRPr="00EF65AE">
        <w:t xml:space="preserve"> </w:t>
      </w:r>
      <w:r w:rsidR="00897593">
        <w:t>Prevalence rates are</w:t>
      </w:r>
      <w:r w:rsidR="00897593" w:rsidRPr="00EF65AE">
        <w:t xml:space="preserve"> not available for Indonesia and Pakistan.</w:t>
      </w:r>
      <w:r w:rsidR="00897593" w:rsidRPr="00897593">
        <w:t xml:space="preserve"> </w:t>
      </w:r>
      <w:r w:rsidR="00897593" w:rsidRPr="00897593">
        <w:rPr>
          <w:rFonts w:cs="Arial"/>
        </w:rPr>
        <w:t xml:space="preserve">Although not directly comparable, in Indonesia, the National Statistics Agency, the Ministry of Women's Empowerment and Child Protection and </w:t>
      </w:r>
      <w:r w:rsidR="00535F89">
        <w:rPr>
          <w:rFonts w:cs="Arial"/>
        </w:rPr>
        <w:t>the United Nations Population Fund</w:t>
      </w:r>
      <w:r w:rsidR="00D008EA">
        <w:rPr>
          <w:rFonts w:cs="Arial"/>
        </w:rPr>
        <w:t xml:space="preserve"> (UNFPA)</w:t>
      </w:r>
      <w:r w:rsidR="00897593" w:rsidRPr="00897593">
        <w:rPr>
          <w:rFonts w:cs="Arial"/>
        </w:rPr>
        <w:t xml:space="preserve"> conducted a national violence against women survey published in 2017 which found 2 in 5 (over more than 40</w:t>
      </w:r>
      <w:r w:rsidR="00535F89">
        <w:rPr>
          <w:rFonts w:cs="Arial"/>
        </w:rPr>
        <w:t xml:space="preserve"> per cent</w:t>
      </w:r>
      <w:r w:rsidR="00897593" w:rsidRPr="00897593">
        <w:rPr>
          <w:rFonts w:cs="Arial"/>
        </w:rPr>
        <w:t>) of women experienced on</w:t>
      </w:r>
      <w:r w:rsidR="00535C1D">
        <w:rPr>
          <w:rFonts w:cs="Arial"/>
        </w:rPr>
        <w:t>e</w:t>
      </w:r>
      <w:r w:rsidR="00897593" w:rsidRPr="00897593">
        <w:rPr>
          <w:rFonts w:cs="Arial"/>
        </w:rPr>
        <w:t xml:space="preserve"> type of violence (including emotional, economic, physical and sexual) by an intimate partner in </w:t>
      </w:r>
      <w:r w:rsidR="008811A7">
        <w:rPr>
          <w:rFonts w:cs="Arial"/>
        </w:rPr>
        <w:br/>
      </w:r>
      <w:r w:rsidR="00897593" w:rsidRPr="00897593">
        <w:rPr>
          <w:rFonts w:cs="Arial"/>
        </w:rPr>
        <w:t>their lifetime</w:t>
      </w:r>
      <w:r w:rsidR="00535F89">
        <w:rPr>
          <w:rFonts w:cs="Arial"/>
        </w:rPr>
        <w:t>.</w:t>
      </w:r>
      <w:r w:rsidR="00897593" w:rsidRPr="00EF65AE">
        <w:t xml:space="preserve"> </w:t>
      </w:r>
    </w:p>
    <w:p w14:paraId="7A78C31F" w14:textId="62B5FCDE" w:rsidR="00FE11F9" w:rsidRDefault="00FE11F9" w:rsidP="00EB244C">
      <w:pPr>
        <w:pStyle w:val="Caption"/>
      </w:pPr>
      <w:bookmarkStart w:id="131" w:name="_Toc23434584"/>
      <w:r w:rsidRPr="00CC08E7">
        <w:t xml:space="preserve">Figure </w:t>
      </w:r>
      <w:fldSimple w:instr=" SEQ Figure \* ARABIC ">
        <w:r w:rsidR="00760839">
          <w:rPr>
            <w:noProof/>
          </w:rPr>
          <w:t>2</w:t>
        </w:r>
      </w:fldSimple>
      <w:r w:rsidRPr="00CC08E7">
        <w:t>: Lifetime</w:t>
      </w:r>
      <w:r w:rsidRPr="00EF65AE">
        <w:t xml:space="preserve"> and current prevalence of women’s experiences of </w:t>
      </w:r>
      <w:r w:rsidR="00CC08E7">
        <w:t>intimate partner violence</w:t>
      </w:r>
      <w:r w:rsidRPr="00EF65AE">
        <w:t xml:space="preserve"> in Asia and the Pacific</w:t>
      </w:r>
      <w:bookmarkEnd w:id="131"/>
    </w:p>
    <w:p w14:paraId="05E26D7B" w14:textId="66F46D22" w:rsidR="00FE11F9" w:rsidRDefault="00850749" w:rsidP="00897593">
      <w:pPr>
        <w:rPr>
          <w:sz w:val="20"/>
        </w:rPr>
      </w:pPr>
      <w:r>
        <w:rPr>
          <w:noProof/>
          <w:sz w:val="20"/>
          <w:lang w:eastAsia="en-AU"/>
        </w:rPr>
        <w:drawing>
          <wp:inline distT="0" distB="0" distL="0" distR="0" wp14:anchorId="4A0B9DFF" wp14:editId="3CBFD902">
            <wp:extent cx="5947200" cy="6145200"/>
            <wp:effectExtent l="0" t="0" r="0" b="1905"/>
            <wp:docPr id="7" name="Picture 7" descr="Figure 2 is a map showing the prevalence of women's experience of intimate partner violence in countries in our region.Two numbers are listed for each country.One number is the percentage of women who experienced physical or sexual violence, or both, by an intimate partner in their lifetime.The other number is the percentage of women who experienced physical or sexual violence, or both, by an intimate partner in the last 12 months.Generally, prevalence rates are higher in the Pacific region than in Asia.Lifetime prevalence is highest-about 60 per cent or higher-for Kiribati, Fiji, Kiribati, Papua New Guinea, Solomon Islands and Timor-Leste. It is about 50 per cent or higher in Bangladesh, Marshall Islands and Nauru.Twelve-month prevalence is more than 40 per cent for Solomon Islands, Timor-Leste and Vanuatu. It is above, or about, 20 per cent in many countries. These are-Bangladesh, Federated States of Micronesia, Fiji, India, Kiribati, Nauru, Papua New Guinea, Thailand, Tonga, Tuvalu, Samoa and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819 Figure02_optionedit.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5947200" cy="6145200"/>
                    </a:xfrm>
                    <a:prstGeom prst="rect">
                      <a:avLst/>
                    </a:prstGeom>
                    <a:ln>
                      <a:noFill/>
                    </a:ln>
                    <a:extLst>
                      <a:ext uri="{53640926-AAD7-44D8-BBD7-CCE9431645EC}">
                        <a14:shadowObscured xmlns:a14="http://schemas.microsoft.com/office/drawing/2010/main"/>
                      </a:ext>
                    </a:extLst>
                  </pic:spPr>
                </pic:pic>
              </a:graphicData>
            </a:graphic>
          </wp:inline>
        </w:drawing>
      </w:r>
    </w:p>
    <w:p w14:paraId="5A8ECCD7" w14:textId="0392922C" w:rsidR="00FE11F9" w:rsidRDefault="001608B7" w:rsidP="00EB244C">
      <w:pPr>
        <w:pStyle w:val="FootnoteText"/>
        <w:numPr>
          <w:ilvl w:val="0"/>
          <w:numId w:val="0"/>
        </w:numPr>
      </w:pPr>
      <w:r>
        <w:rPr>
          <w:b/>
          <w:bCs/>
        </w:rPr>
        <w:t>Data sources</w:t>
      </w:r>
      <w:r w:rsidR="00FE11F9" w:rsidRPr="00EB244C">
        <w:rPr>
          <w:b/>
          <w:bCs/>
        </w:rPr>
        <w:t>:</w:t>
      </w:r>
      <w:r w:rsidR="00130BA6">
        <w:rPr>
          <w:b/>
          <w:bCs/>
        </w:rPr>
        <w:t xml:space="preserve"> </w:t>
      </w:r>
      <w:r w:rsidR="00130BA6" w:rsidRPr="001608B7">
        <w:rPr>
          <w:bCs/>
        </w:rPr>
        <w:t>Data for all countries other than Australia and New Zealand is from the</w:t>
      </w:r>
      <w:r w:rsidR="00130BA6">
        <w:rPr>
          <w:b/>
          <w:bCs/>
        </w:rPr>
        <w:t xml:space="preserve"> </w:t>
      </w:r>
      <w:r w:rsidR="00130BA6">
        <w:t xml:space="preserve">WHO </w:t>
      </w:r>
      <w:r>
        <w:t>Multicountry</w:t>
      </w:r>
      <w:r w:rsidR="00130BA6">
        <w:t xml:space="preserve"> Survey in whic</w:t>
      </w:r>
      <w:r>
        <w:t>h the age range of respondents wa</w:t>
      </w:r>
      <w:r w:rsidR="00130BA6">
        <w:t>s usually 15 to 49 years</w:t>
      </w:r>
      <w:r w:rsidR="00C373DA">
        <w:t>.</w:t>
      </w:r>
      <w:r w:rsidR="00DA0F40" w:rsidRPr="00DA0F40">
        <w:rPr>
          <w:vertAlign w:val="superscript"/>
        </w:rPr>
        <w:t>8</w:t>
      </w:r>
      <w:r w:rsidR="00FE11F9" w:rsidRPr="00FE11F9">
        <w:t xml:space="preserve"> </w:t>
      </w:r>
      <w:r w:rsidR="00FE11F9">
        <w:t>Australian data is from the 2013 Personal Safety Survey</w:t>
      </w:r>
      <w:r w:rsidRPr="001608B7">
        <w:rPr>
          <w:vertAlign w:val="superscript"/>
        </w:rPr>
        <w:t>139</w:t>
      </w:r>
      <w:r w:rsidR="00C373DA">
        <w:rPr>
          <w:vertAlign w:val="superscript"/>
        </w:rPr>
        <w:t>–</w:t>
      </w:r>
      <w:r w:rsidRPr="001608B7">
        <w:rPr>
          <w:vertAlign w:val="superscript"/>
        </w:rPr>
        <w:t>140</w:t>
      </w:r>
      <w:r w:rsidR="00FE11F9">
        <w:t xml:space="preserve"> </w:t>
      </w:r>
      <w:r w:rsidR="00130BA6">
        <w:t xml:space="preserve">which used </w:t>
      </w:r>
      <w:r w:rsidR="00FE11F9">
        <w:t>a different methodology to the W</w:t>
      </w:r>
      <w:r w:rsidR="005A0A1E">
        <w:t>HO</w:t>
      </w:r>
      <w:r w:rsidR="0032055F">
        <w:t xml:space="preserve"> Multicountry Survey</w:t>
      </w:r>
      <w:r w:rsidR="00130BA6">
        <w:t xml:space="preserve"> and is therefore</w:t>
      </w:r>
      <w:r w:rsidR="00FE11F9">
        <w:t xml:space="preserve"> not directly comparable. New Zealand data</w:t>
      </w:r>
      <w:r w:rsidR="00B0436E">
        <w:t xml:space="preserve"> </w:t>
      </w:r>
      <w:r w:rsidR="00FE11F9">
        <w:t xml:space="preserve">is from </w:t>
      </w:r>
      <w:r w:rsidR="00130BA6">
        <w:t>a study which used the WHO Multicountry Survey methodology but was restricted to one location, Auckland</w:t>
      </w:r>
      <w:r>
        <w:t xml:space="preserve"> and had an age range of 18 to 64 years</w:t>
      </w:r>
      <w:r w:rsidR="00C373DA">
        <w:t>.</w:t>
      </w:r>
      <w:r w:rsidRPr="001608B7">
        <w:rPr>
          <w:vertAlign w:val="superscript"/>
        </w:rPr>
        <w:t>141</w:t>
      </w:r>
      <w:r w:rsidR="00FE11F9">
        <w:t xml:space="preserve"> </w:t>
      </w:r>
      <w:r>
        <w:t>A similar</w:t>
      </w:r>
      <w:r w:rsidR="00FE11F9">
        <w:t xml:space="preserve"> study was conducted in Waikato, where lifetime prevalence of IPV was 39</w:t>
      </w:r>
      <w:r w:rsidR="00B0436E">
        <w:t xml:space="preserve"> per cent</w:t>
      </w:r>
      <w:r w:rsidR="00FE11F9">
        <w:t xml:space="preserve"> and 5</w:t>
      </w:r>
      <w:r w:rsidR="00B0436E">
        <w:t xml:space="preserve"> per cent</w:t>
      </w:r>
      <w:r w:rsidR="00FE11F9">
        <w:t xml:space="preserve"> in the last 12 months. </w:t>
      </w:r>
      <w:r w:rsidR="00BB2FFB">
        <w:t>* Federated States of Micronesia</w:t>
      </w:r>
    </w:p>
    <w:p w14:paraId="3355470C" w14:textId="77777777" w:rsidR="00FE11F9" w:rsidRPr="001D06A3" w:rsidRDefault="00FE11F9" w:rsidP="00897593">
      <w:pPr>
        <w:rPr>
          <w:sz w:val="20"/>
        </w:rPr>
      </w:pPr>
    </w:p>
    <w:p w14:paraId="69936342" w14:textId="58032F3F" w:rsidR="00897593" w:rsidRPr="00EF65AE" w:rsidRDefault="00897593" w:rsidP="00897593">
      <w:pPr>
        <w:rPr>
          <w:rFonts w:cs="Arial"/>
          <w:sz w:val="20"/>
        </w:rPr>
      </w:pPr>
      <w:r w:rsidRPr="00EF65AE">
        <w:rPr>
          <w:rFonts w:cs="Arial"/>
        </w:rPr>
        <w:t xml:space="preserve">It is not possible to determine </w:t>
      </w:r>
      <w:r w:rsidR="008B0402">
        <w:rPr>
          <w:rFonts w:cs="Arial"/>
        </w:rPr>
        <w:t>if</w:t>
      </w:r>
      <w:r w:rsidR="008B0402" w:rsidRPr="00EF65AE">
        <w:rPr>
          <w:rFonts w:cs="Arial"/>
        </w:rPr>
        <w:t xml:space="preserve"> </w:t>
      </w:r>
      <w:r w:rsidRPr="00EF65AE">
        <w:rPr>
          <w:rFonts w:cs="Arial"/>
        </w:rPr>
        <w:t xml:space="preserve">VAWG in Pacific island countries is increasing or decreasing, </w:t>
      </w:r>
      <w:r w:rsidR="008B503A">
        <w:rPr>
          <w:rFonts w:cs="Arial"/>
        </w:rPr>
        <w:t>as</w:t>
      </w:r>
      <w:r w:rsidRPr="00EF65AE">
        <w:rPr>
          <w:rFonts w:cs="Arial"/>
        </w:rPr>
        <w:t xml:space="preserve"> prevalence stud</w:t>
      </w:r>
      <w:r w:rsidR="008B503A">
        <w:rPr>
          <w:rFonts w:cs="Arial"/>
        </w:rPr>
        <w:t>ies</w:t>
      </w:r>
      <w:r w:rsidRPr="00EF65AE">
        <w:rPr>
          <w:rFonts w:cs="Arial"/>
        </w:rPr>
        <w:t xml:space="preserve"> using comparable methods </w:t>
      </w:r>
      <w:r w:rsidR="008B503A">
        <w:rPr>
          <w:rFonts w:cs="Arial"/>
        </w:rPr>
        <w:t>have not been repeated over time</w:t>
      </w:r>
      <w:r w:rsidR="00B0436E">
        <w:rPr>
          <w:rFonts w:cs="Arial"/>
        </w:rPr>
        <w:t>.</w:t>
      </w:r>
      <w:r w:rsidRPr="00EF65AE">
        <w:rPr>
          <w:rFonts w:cs="Arial"/>
        </w:rPr>
        <w:t xml:space="preserve"> A few countries</w:t>
      </w:r>
      <w:r w:rsidR="008B503A">
        <w:rPr>
          <w:rFonts w:cs="Arial"/>
        </w:rPr>
        <w:t xml:space="preserve"> in Asia</w:t>
      </w:r>
      <w:r w:rsidRPr="00EF65AE">
        <w:rPr>
          <w:rFonts w:cs="Arial"/>
        </w:rPr>
        <w:t xml:space="preserve"> have conducted the domestic violence component of the </w:t>
      </w:r>
      <w:r>
        <w:rPr>
          <w:rFonts w:cs="Arial"/>
        </w:rPr>
        <w:t>d</w:t>
      </w:r>
      <w:r w:rsidRPr="00EF65AE">
        <w:rPr>
          <w:rFonts w:cs="Arial"/>
        </w:rPr>
        <w:t xml:space="preserve">emographic and </w:t>
      </w:r>
      <w:r>
        <w:rPr>
          <w:rFonts w:cs="Arial"/>
        </w:rPr>
        <w:t>h</w:t>
      </w:r>
      <w:r w:rsidRPr="00EF65AE">
        <w:rPr>
          <w:rFonts w:cs="Arial"/>
        </w:rPr>
        <w:t xml:space="preserve">ealth </w:t>
      </w:r>
      <w:r>
        <w:rPr>
          <w:rFonts w:cs="Arial"/>
        </w:rPr>
        <w:t>s</w:t>
      </w:r>
      <w:r w:rsidRPr="00EF65AE">
        <w:rPr>
          <w:rFonts w:cs="Arial"/>
        </w:rPr>
        <w:t xml:space="preserve">urveys across a number of years, allowing for some </w:t>
      </w:r>
      <w:r w:rsidR="00B0436E">
        <w:rPr>
          <w:rFonts w:cs="Arial"/>
        </w:rPr>
        <w:t xml:space="preserve">trend </w:t>
      </w:r>
      <w:r w:rsidRPr="00EF65AE">
        <w:rPr>
          <w:rFonts w:cs="Arial"/>
        </w:rPr>
        <w:t>analysis. However, changes have been minimal and inconsistent.</w:t>
      </w:r>
    </w:p>
    <w:p w14:paraId="5653DB41" w14:textId="77777777" w:rsidR="00897593" w:rsidRPr="00EF65AE" w:rsidRDefault="00897593" w:rsidP="00897593">
      <w:pPr>
        <w:rPr>
          <w:rFonts w:cs="Arial"/>
          <w:b/>
        </w:rPr>
      </w:pPr>
      <w:r w:rsidRPr="00EF65AE">
        <w:rPr>
          <w:rFonts w:cs="Arial"/>
        </w:rPr>
        <w:t xml:space="preserve">In line with global patterns, younger women in </w:t>
      </w:r>
      <w:bookmarkStart w:id="132" w:name="_Hlk17794580"/>
      <w:r w:rsidR="00B0436E">
        <w:rPr>
          <w:rFonts w:cs="Arial"/>
        </w:rPr>
        <w:t xml:space="preserve">the </w:t>
      </w:r>
      <w:r w:rsidRPr="00EF65AE">
        <w:rPr>
          <w:rFonts w:cs="Arial"/>
        </w:rPr>
        <w:t>Asia</w:t>
      </w:r>
      <w:r w:rsidR="00B0436E">
        <w:rPr>
          <w:rFonts w:cs="Arial"/>
        </w:rPr>
        <w:t>–</w:t>
      </w:r>
      <w:r w:rsidRPr="00EF65AE">
        <w:rPr>
          <w:rFonts w:cs="Arial"/>
        </w:rPr>
        <w:t xml:space="preserve">Pacific </w:t>
      </w:r>
      <w:bookmarkEnd w:id="132"/>
      <w:r w:rsidR="00B0436E">
        <w:rPr>
          <w:rFonts w:cs="Arial"/>
        </w:rPr>
        <w:t xml:space="preserve">region </w:t>
      </w:r>
      <w:r w:rsidRPr="00EF65AE">
        <w:rPr>
          <w:rFonts w:cs="Arial"/>
        </w:rPr>
        <w:t>are often at the highest risk of experiencing current IPV, particularly sexual violence, however in Afghanistan and Cambodia women in a slightly older age bracket were most at risk.</w:t>
      </w:r>
      <w:r w:rsidRPr="00EF65AE">
        <w:rPr>
          <w:rFonts w:cs="Arial"/>
        </w:rPr>
        <w:fldChar w:fldCharType="begin"/>
      </w:r>
      <w:r w:rsidRPr="00EF65AE">
        <w:rPr>
          <w:rFonts w:cs="Arial"/>
        </w:rPr>
        <w:instrText xml:space="preserve"> ADDIN ZOTERO_ITEM CSL_CITATION {"citationID":"wT9eACIc","properties":{"formattedCitation":"\\super 14\\uc0\\u8211{}16\\nosupersub{}","plainCitation":"14–16","noteIndex":0},"citationItems":[{"id":1815,"uris":["http://zotero.org/users/4194704/items/AJ8ZN6EH"],"uri":["http://zotero.org/users/4194704/items/AJ8ZN6EH"],"itemData":{"id":1815,"type":"article-journal","title":"Public health. Violence against women","container-title":"Science (New York, N.Y.)","page":"1282-1283","volume":"310","issue":"5752","DOI":"10/5752/1282","ISSN":"1095-9203","journalAbbreviation":"Science","author":[{"family":"Garcia-Moreno","given":"C."},{"family":"Heise","given":"L."},{"family":"Jansen","given":"H. A."},{"family":"Ellsberg","given":"M."},{"family":"Watts","given":"C."}],"issued":{"date-parts":[["2005"]]}}},{"id":58,"uris":["http://zotero.org/users/4194704/items/AAHZTUAU"],"uri":["http://zotero.org/users/4194704/items/AAHZTUAU"],"itemData":{"id":58,"type":"report","title":"Afghanistan Demographic and Health Survey 2015","publisher":"Central Statistics Organization","publisher-place":"Kabul","event-place":"Kabul","author":[{"literal":"Central Statistics Organization (CSO)"},{"literal":"Ministry of Public Health (MoPH)"},{"literal":"ICF"}],"issued":{"date-parts":[["2017"]]}}},{"id":410,"uris":["http://zotero.org/users/4194704/items/CQ5GDY8Y"],"uri":["http://zotero.org/users/4194704/items/CQ5GDY8Y"],"itemData":{"id":410,"type":"report","title":"National Survey on Women's Health and Life Experiences in Cambodia","publisher":"Ministry of Women’s Affairs, Kingdom of Cambodia","publisher-place":"Phnom Penh","event-place":"Phnom Penh","author":[{"literal":"World Health Organisation (WHO)"},{"literal":"UN Women Cambodia"}],"issued":{"date-parts":[["2015"]]}}}],"schema":"https://github.com/citation-style-language/schema/raw/master/csl-citation.json"} </w:instrText>
      </w:r>
      <w:r w:rsidRPr="00EF65AE">
        <w:rPr>
          <w:rFonts w:cs="Arial"/>
        </w:rPr>
        <w:fldChar w:fldCharType="separate"/>
      </w:r>
      <w:r w:rsidRPr="00EF65AE">
        <w:rPr>
          <w:rFonts w:cs="Arial"/>
          <w:vertAlign w:val="superscript"/>
          <w:lang w:val="en-US"/>
        </w:rPr>
        <w:t>14–16</w:t>
      </w:r>
      <w:r w:rsidRPr="00EF65AE">
        <w:rPr>
          <w:rFonts w:cs="Arial"/>
        </w:rPr>
        <w:fldChar w:fldCharType="end"/>
      </w:r>
    </w:p>
    <w:p w14:paraId="6A0F2540" w14:textId="77777777" w:rsidR="00897593" w:rsidRPr="00EF65AE" w:rsidRDefault="00897593" w:rsidP="00897593">
      <w:pPr>
        <w:rPr>
          <w:rFonts w:cs="Arial"/>
          <w:b/>
        </w:rPr>
      </w:pPr>
      <w:r w:rsidRPr="00EF65AE">
        <w:rPr>
          <w:rFonts w:cs="Arial"/>
        </w:rPr>
        <w:t xml:space="preserve">Of all types of IPV, marital rape appears to be the least likely to be reported, in large part because it is normalised and there is a marital expectation that a wife is obliged to have sex with her husband. </w:t>
      </w:r>
    </w:p>
    <w:p w14:paraId="621503E1" w14:textId="77777777" w:rsidR="00EF65AE" w:rsidRPr="00EF65AE" w:rsidRDefault="00EF65AE" w:rsidP="009047DB">
      <w:pPr>
        <w:pStyle w:val="Heading3NoTOC"/>
      </w:pPr>
      <w:r w:rsidRPr="00EF65AE">
        <w:t>Prevalence of non-partner sexual violence</w:t>
      </w:r>
    </w:p>
    <w:p w14:paraId="5B42C3B3" w14:textId="2E7E0477" w:rsidR="00EF65AE" w:rsidRDefault="000D1829" w:rsidP="009047DB">
      <w:r>
        <w:t>M</w:t>
      </w:r>
      <w:r w:rsidR="00B7043C">
        <w:t>any women are subjected to sexual violence</w:t>
      </w:r>
      <w:r w:rsidR="00B7043C" w:rsidRPr="00B7043C">
        <w:t xml:space="preserve"> </w:t>
      </w:r>
      <w:r w:rsidR="00B7043C" w:rsidRPr="00EF65AE">
        <w:t xml:space="preserve">by </w:t>
      </w:r>
      <w:r w:rsidR="00B7043C">
        <w:t>men who are not</w:t>
      </w:r>
      <w:r w:rsidR="00B7043C" w:rsidRPr="00EF65AE">
        <w:t xml:space="preserve"> their partner</w:t>
      </w:r>
      <w:r w:rsidR="00B7043C">
        <w:t xml:space="preserve">s </w:t>
      </w:r>
      <w:r w:rsidR="00CE1DE9">
        <w:t>(Figure 3)</w:t>
      </w:r>
      <w:r w:rsidR="00EF65AE" w:rsidRPr="00EF65AE">
        <w:t xml:space="preserve">. </w:t>
      </w:r>
    </w:p>
    <w:p w14:paraId="4FA2D360" w14:textId="77777777" w:rsidR="00314915" w:rsidRDefault="00EB244C" w:rsidP="00C07D10">
      <w:pPr>
        <w:pStyle w:val="Caption"/>
      </w:pPr>
      <w:bookmarkStart w:id="133" w:name="_Ref15559519"/>
      <w:bookmarkStart w:id="134" w:name="_Toc23434585"/>
      <w:r w:rsidRPr="00EB244C">
        <w:t xml:space="preserve">Figure </w:t>
      </w:r>
      <w:fldSimple w:instr=" SEQ Figure \* ARABIC ">
        <w:r w:rsidR="00760839">
          <w:rPr>
            <w:noProof/>
          </w:rPr>
          <w:t>3</w:t>
        </w:r>
      </w:fldSimple>
      <w:bookmarkEnd w:id="133"/>
      <w:r w:rsidRPr="00EB244C">
        <w:t>: Prevalence of non-partner sexual violence in selected countries</w:t>
      </w:r>
      <w:bookmarkEnd w:id="134"/>
    </w:p>
    <w:p w14:paraId="2B5A98A0" w14:textId="10DB7EF9" w:rsidR="00EB244C" w:rsidRPr="00EB244C" w:rsidRDefault="00EB244C" w:rsidP="00314915"/>
    <w:p w14:paraId="4D9DE97F" w14:textId="77777777" w:rsidR="00EB244C" w:rsidRPr="00EF65AE" w:rsidRDefault="006927AA" w:rsidP="00EB244C">
      <w:r>
        <w:rPr>
          <w:rFonts w:asciiTheme="minorHAnsi" w:hAnsiTheme="minorHAnsi" w:cstheme="minorHAnsi"/>
          <w:b/>
          <w:bCs/>
          <w:noProof/>
          <w:color w:val="017C89"/>
          <w:sz w:val="20"/>
          <w:szCs w:val="20"/>
          <w:lang w:eastAsia="en-AU"/>
        </w:rPr>
        <w:drawing>
          <wp:anchor distT="0" distB="0" distL="114300" distR="114300" simplePos="0" relativeHeight="251667456" behindDoc="0" locked="0" layoutInCell="1" allowOverlap="1" wp14:anchorId="4277F510" wp14:editId="6ADE298D">
            <wp:simplePos x="0" y="0"/>
            <wp:positionH relativeFrom="column">
              <wp:posOffset>0</wp:posOffset>
            </wp:positionH>
            <wp:positionV relativeFrom="paragraph">
              <wp:posOffset>0</wp:posOffset>
            </wp:positionV>
            <wp:extent cx="6116400" cy="1245600"/>
            <wp:effectExtent l="0" t="0" r="0" b="0"/>
            <wp:wrapTopAndBottom/>
            <wp:docPr id="85" name="Picture 85" descr="Figure 3 shows the prevalence of non-partner sexual violence in five countries.&#10;&#10;The prevalence is highest in Nauru, at 47per cent, followed by Vanuatu at 33 per cent, Solomon Islands at 18 per cent, Kiribati at 10 per cent and Fiji at 9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6400" cy="1245600"/>
                    </a:xfrm>
                    <a:prstGeom prst="rect">
                      <a:avLst/>
                    </a:prstGeom>
                  </pic:spPr>
                </pic:pic>
              </a:graphicData>
            </a:graphic>
            <wp14:sizeRelH relativeFrom="margin">
              <wp14:pctWidth>0</wp14:pctWidth>
            </wp14:sizeRelH>
            <wp14:sizeRelV relativeFrom="margin">
              <wp14:pctHeight>0</wp14:pctHeight>
            </wp14:sizeRelV>
          </wp:anchor>
        </w:drawing>
      </w:r>
    </w:p>
    <w:p w14:paraId="0F84071B" w14:textId="3BC95223" w:rsidR="00EF65AE" w:rsidRPr="00EF65AE" w:rsidRDefault="0045079A" w:rsidP="00F2275E">
      <w:r>
        <w:t>T</w:t>
      </w:r>
      <w:r w:rsidR="00EF65AE" w:rsidRPr="00EF65AE">
        <w:t xml:space="preserve">he </w:t>
      </w:r>
      <w:bookmarkStart w:id="135" w:name="_Hlk20732892"/>
      <w:r w:rsidR="00EF65AE" w:rsidRPr="00467779">
        <w:rPr>
          <w:i/>
          <w:iCs/>
        </w:rPr>
        <w:t xml:space="preserve">2013 </w:t>
      </w:r>
      <w:bookmarkStart w:id="136" w:name="_Hlk17800624"/>
      <w:r w:rsidR="00B512F7" w:rsidRPr="00467779">
        <w:rPr>
          <w:i/>
          <w:iCs/>
        </w:rPr>
        <w:t>UN</w:t>
      </w:r>
      <w:r w:rsidR="00EF65AE" w:rsidRPr="00467779">
        <w:rPr>
          <w:i/>
          <w:iCs/>
        </w:rPr>
        <w:t xml:space="preserve"> Multi-Country Study on Men and Violence in Asia and the Pacific</w:t>
      </w:r>
      <w:bookmarkEnd w:id="136"/>
      <w:r>
        <w:t xml:space="preserve"> </w:t>
      </w:r>
      <w:bookmarkEnd w:id="135"/>
      <w:r>
        <w:t>documented</w:t>
      </w:r>
      <w:r w:rsidR="00EF65AE" w:rsidRPr="00EF65AE">
        <w:t xml:space="preserve"> the</w:t>
      </w:r>
      <w:r>
        <w:t xml:space="preserve"> per cent </w:t>
      </w:r>
      <w:r w:rsidR="00B7043C">
        <w:t xml:space="preserve">of men </w:t>
      </w:r>
      <w:r>
        <w:t>who reported having</w:t>
      </w:r>
      <w:r w:rsidR="00EF65AE" w:rsidRPr="00EF65AE">
        <w:t xml:space="preserve"> raped a woman or</w:t>
      </w:r>
      <w:r>
        <w:t xml:space="preserve"> girl who was not their partner</w:t>
      </w:r>
      <w:r w:rsidR="00EF65AE" w:rsidRPr="00EF65AE">
        <w:t>.</w:t>
      </w:r>
      <w:r w:rsidR="00EF65AE" w:rsidRPr="00EF65AE">
        <w:fldChar w:fldCharType="begin"/>
      </w:r>
      <w:r w:rsidR="00EF65AE" w:rsidRPr="00EF65AE">
        <w:instrText xml:space="preserve"> ADDIN ZOTERO_ITEM CSL_CITATION {"citationID":"o2pKkoLv","properties":{"formattedCitation":"\\super 17\\nosupersub{}","plainCitation":"17","noteIndex":0},"citationItems":[{"id":124,"uris":["http://zotero.org/users/4194704/items/6HLNL2NC"],"uri":["http://zotero.org/users/4194704/items/6HLNL2NC"],"itemData":{"id":124,"type":"book","title":"Why Do Some Men Use Violence Against Women and how Can We Prevent It?: Quantitative Findings from the United Nations Multi-country Study on Men and Violence in Asia and the Pacific","publisher":"UNDP, UNFPA, UN Women and UNV","publisher-place":"Bangkok","event-place":"Bangkok","ISBN":"974-680-360-3","author":[{"family":"Fulu","given":"Emma"},{"family":"Warner","given":"Xian"},{"family":"Miedema","given":"Stephanie"},{"family":"Jewkes","given":"Rachel"},{"family":"Roselli","given":"Tim"},{"family":"Lang","given":"James"}],"issued":{"date-parts":[["2013"]]}}}],"schema":"https://github.com/citation-style-language/schema/raw/master/csl-citation.json"} </w:instrText>
      </w:r>
      <w:r w:rsidR="00EF65AE" w:rsidRPr="00EF65AE">
        <w:fldChar w:fldCharType="separate"/>
      </w:r>
      <w:r w:rsidR="00EF65AE" w:rsidRPr="00897593">
        <w:rPr>
          <w:vertAlign w:val="superscript"/>
          <w:lang w:val="en-US"/>
        </w:rPr>
        <w:t>17</w:t>
      </w:r>
      <w:r w:rsidR="00EF65AE" w:rsidRPr="00EF65AE">
        <w:fldChar w:fldCharType="end"/>
      </w:r>
      <w:r w:rsidR="00EF65AE" w:rsidRPr="00EF65AE">
        <w:t xml:space="preserve"> The </w:t>
      </w:r>
      <w:r w:rsidR="004A0FA5">
        <w:t>study</w:t>
      </w:r>
      <w:r w:rsidR="004A0FA5" w:rsidRPr="00EF65AE">
        <w:t xml:space="preserve"> </w:t>
      </w:r>
      <w:r w:rsidR="00EF65AE" w:rsidRPr="00EF65AE">
        <w:t>found that 4 per cent of men in Bangladesh, 6 per cent in Sri Lanka, and 8 per cent in</w:t>
      </w:r>
      <w:r>
        <w:t xml:space="preserve"> each of</w:t>
      </w:r>
      <w:r w:rsidR="00897593">
        <w:t xml:space="preserve"> </w:t>
      </w:r>
      <w:r w:rsidR="00EF65AE" w:rsidRPr="00EF65AE">
        <w:t xml:space="preserve">Cambodia, </w:t>
      </w:r>
      <w:r w:rsidR="001E42AD">
        <w:t xml:space="preserve">China </w:t>
      </w:r>
      <w:r w:rsidR="00B7043C">
        <w:t xml:space="preserve">and </w:t>
      </w:r>
      <w:r w:rsidR="00EF65AE" w:rsidRPr="00EF65AE">
        <w:t xml:space="preserve">urban Indonesia, said they had raped a non-partner woman or girl. </w:t>
      </w:r>
      <w:r>
        <w:t>F</w:t>
      </w:r>
      <w:r w:rsidR="00EF65AE" w:rsidRPr="00EF65AE">
        <w:t xml:space="preserve">igures were higher in Timor-Leste (15 to 22 per cent) and Indonesia’s </w:t>
      </w:r>
      <w:r w:rsidR="00B7043C">
        <w:t xml:space="preserve">West </w:t>
      </w:r>
      <w:r w:rsidR="00EF65AE" w:rsidRPr="00EF65AE">
        <w:t>Papua Province (23 per cent).</w:t>
      </w:r>
      <w:r w:rsidR="00EF65AE" w:rsidRPr="00EF65AE">
        <w:fldChar w:fldCharType="begin"/>
      </w:r>
      <w:r w:rsidR="00EF65AE" w:rsidRPr="00EF65AE">
        <w:instrText xml:space="preserve"> ADDIN ZOTERO_ITEM CSL_CITATION {"citationID":"79e5q8WD","properties":{"formattedCitation":"\\super 17\\nosupersub{}","plainCitation":"17","noteIndex":0},"citationItems":[{"id":124,"uris":["http://zotero.org/users/4194704/items/6HLNL2NC"],"uri":["http://zotero.org/users/4194704/items/6HLNL2NC"],"itemData":{"id":124,"type":"book","title":"Why Do Some Men Use Violence Against Women and how Can We Prevent It?: Quantitative Findings from the United Nations Multi-country Study on Men and Violence in Asia and the Pacific","publisher":"UNDP, UNFPA, UN Women and UNV","publisher-place":"Bangkok","event-place":"Bangkok","ISBN":"974-680-360-3","author":[{"family":"Fulu","given":"Emma"},{"family":"Warner","given":"Xian"},{"family":"Miedema","given":"Stephanie"},{"family":"Jewkes","given":"Rachel"},{"family":"Roselli","given":"Tim"},{"family":"Lang","given":"James"}],"issued":{"date-parts":[["2013"]]}}}],"schema":"https://github.com/citation-style-language/schema/raw/master/csl-citation.json"} </w:instrText>
      </w:r>
      <w:r w:rsidR="00EF65AE" w:rsidRPr="00EF65AE">
        <w:fldChar w:fldCharType="separate"/>
      </w:r>
      <w:r w:rsidR="00EF65AE" w:rsidRPr="00897593">
        <w:rPr>
          <w:vertAlign w:val="superscript"/>
          <w:lang w:val="en-US"/>
        </w:rPr>
        <w:t>17</w:t>
      </w:r>
      <w:r w:rsidR="00EF65AE" w:rsidRPr="00EF65AE">
        <w:fldChar w:fldCharType="end"/>
      </w:r>
      <w:r w:rsidRPr="0045079A">
        <w:t xml:space="preserve"> </w:t>
      </w:r>
      <w:r w:rsidRPr="00EF65AE">
        <w:t>In Bougainville, PNG</w:t>
      </w:r>
      <w:r>
        <w:t xml:space="preserve">, </w:t>
      </w:r>
      <w:r w:rsidRPr="00EF65AE">
        <w:t>the onl</w:t>
      </w:r>
      <w:r>
        <w:t>y Pacific site in the study,</w:t>
      </w:r>
      <w:r w:rsidR="00B512F7">
        <w:t xml:space="preserve"> </w:t>
      </w:r>
      <w:r w:rsidRPr="00EF65AE">
        <w:t>41 per cent of men interviewed reported they had raped a woman or girl who was not their partner, and 14 per cent had perpetrated gang rape.</w:t>
      </w:r>
      <w:r w:rsidRPr="00EF65AE">
        <w:fldChar w:fldCharType="begin"/>
      </w:r>
      <w:r w:rsidRPr="00EF65AE">
        <w:instrText xml:space="preserve"> ADDIN ZOTERO_ITEM CSL_CITATION {"citationID":"o2pKkoLv","properties":{"formattedCitation":"\\super 17\\nosupersub{}","plainCitation":"17","noteIndex":0},"citationItems":[{"id":124,"uris":["http://zotero.org/users/4194704/items/6HLNL2NC"],"uri":["http://zotero.org/users/4194704/items/6HLNL2NC"],"itemData":{"id":124,"type":"book","title":"Why Do Some Men Use Violence Against Women and how Can We Prevent It?: Quantitative Findings from the United Nations Multi-country Study on Men and Violence in Asia and the Pacific","publisher":"UNDP, UNFPA, UN Women and UNV","publisher-place":"Bangkok","event-place":"Bangkok","ISBN":"974-680-360-3","author":[{"family":"Fulu","given":"Emma"},{"family":"Warner","given":"Xian"},{"family":"Miedema","given":"Stephanie"},{"family":"Jewkes","given":"Rachel"},{"family":"Roselli","given":"Tim"},{"family":"Lang","given":"James"}],"issued":{"date-parts":[["2013"]]}}}],"schema":"https://github.com/citation-style-language/schema/raw/master/csl-citation.json"} </w:instrText>
      </w:r>
      <w:r w:rsidRPr="00EF65AE">
        <w:fldChar w:fldCharType="separate"/>
      </w:r>
      <w:r w:rsidRPr="00897593">
        <w:rPr>
          <w:vertAlign w:val="superscript"/>
          <w:lang w:val="en-US"/>
        </w:rPr>
        <w:t>17</w:t>
      </w:r>
      <w:r w:rsidRPr="00EF65AE">
        <w:fldChar w:fldCharType="end"/>
      </w:r>
    </w:p>
    <w:p w14:paraId="57115227" w14:textId="1AA7C6D6" w:rsidR="00EF65AE" w:rsidRPr="00EF65AE" w:rsidRDefault="00B7043C" w:rsidP="00492A73">
      <w:r>
        <w:t>T</w:t>
      </w:r>
      <w:r w:rsidR="00EF65AE" w:rsidRPr="00EF65AE">
        <w:t>he prevalence rates of non-partner sexual violence based on women’s reports are much lower</w:t>
      </w:r>
      <w:r>
        <w:t xml:space="preserve"> than those </w:t>
      </w:r>
      <w:r w:rsidR="000D1829">
        <w:t>reported</w:t>
      </w:r>
      <w:r>
        <w:t xml:space="preserve"> by men. For example</w:t>
      </w:r>
      <w:r w:rsidR="00D079E2">
        <w:t>,</w:t>
      </w:r>
      <w:r>
        <w:t xml:space="preserve"> </w:t>
      </w:r>
      <w:r w:rsidR="00D079E2">
        <w:t xml:space="preserve">0.5 per cent of </w:t>
      </w:r>
      <w:r w:rsidR="00D079E2" w:rsidRPr="00EF65AE">
        <w:t>women in rural Bangladesh</w:t>
      </w:r>
      <w:r w:rsidR="00467779">
        <w:t xml:space="preserve"> </w:t>
      </w:r>
      <w:r w:rsidR="00D079E2">
        <w:t>r</w:t>
      </w:r>
      <w:r w:rsidR="000D1829">
        <w:t xml:space="preserve">eported sexual violence </w:t>
      </w:r>
      <w:r w:rsidR="00D079E2">
        <w:t>by a non-partner.</w:t>
      </w:r>
      <w:r w:rsidR="00EF65AE" w:rsidRPr="00EF65AE">
        <w:t xml:space="preserve"> </w:t>
      </w:r>
      <w:r w:rsidR="00467779">
        <w:t>I</w:t>
      </w:r>
      <w:r w:rsidR="000D1829">
        <w:t>n</w:t>
      </w:r>
      <w:r w:rsidR="00EF65AE" w:rsidRPr="00EF65AE">
        <w:t xml:space="preserve"> Timor-Leste 14 per cent</w:t>
      </w:r>
      <w:r w:rsidR="000D1829">
        <w:t xml:space="preserve"> of women reported non-partner rape</w:t>
      </w:r>
      <w:r w:rsidR="00EF65AE" w:rsidRPr="00EF65AE">
        <w:t>.</w:t>
      </w:r>
      <w:r w:rsidR="00EF65AE" w:rsidRPr="00EF65AE">
        <w:fldChar w:fldCharType="begin"/>
      </w:r>
      <w:r w:rsidR="00EF65AE" w:rsidRPr="00EF65AE">
        <w:instrText xml:space="preserve"> ADDIN ZOTERO_ITEM CSL_CITATION {"citationID":"auw4zEGA","properties":{"formattedCitation":"\\super 14,20\\nosupersub{}","plainCitation":"14,20","noteIndex":0},"citationItems":[{"id":318,"uris":["http://zotero.org/users/4194704/items/ZFBP3BVU"],"uri":["http://zotero.org/users/4194704/items/ZFBP3BVU"],"itemData":{"id":318,"type":"report","title":"Understanding Violence against Women and Children in Timor-Leste: Findings from the Nabilan Baseline Study - Main Report","publisher":"The Asia Foundation","publisher-place":"Dili","event-place":"Dili","author":[{"literal":"The Asia Foundation"}],"issued":{"date-parts":[["2016"]]}}},{"id":1815,"uris":["http://zotero.org/users/4194704/items/AJ8ZN6EH"],"uri":["http://zotero.org/users/4194704/items/AJ8ZN6EH"],"itemData":{"id":1815,"type":"article-journal","title":"Public health. Violence against women","container-title":"Science (New York, N.Y.)","page":"1282-1283","volume":"310","issue":"5752","DOI":"10/5752/1282","ISSN":"1095-9203","journalAbbreviation":"Science","author":[{"family":"Garcia-Moreno","given":"C."},{"family":"Heise","given":"L."},{"family":"Jansen","given":"H. A."},{"family":"Ellsberg","given":"M."},{"family":"Watts","given":"C."}],"issued":{"date-parts":[["2005"]]}}}],"schema":"https://github.com/citation-style-language/schema/raw/master/csl-citation.json"} </w:instrText>
      </w:r>
      <w:r w:rsidR="00EF65AE" w:rsidRPr="00EF65AE">
        <w:fldChar w:fldCharType="separate"/>
      </w:r>
      <w:r w:rsidR="00EF65AE" w:rsidRPr="00EF65AE">
        <w:rPr>
          <w:vertAlign w:val="superscript"/>
          <w:lang w:val="en-US"/>
        </w:rPr>
        <w:t>14,20</w:t>
      </w:r>
      <w:r w:rsidR="00EF65AE" w:rsidRPr="00EF65AE">
        <w:fldChar w:fldCharType="end"/>
      </w:r>
    </w:p>
    <w:p w14:paraId="4E89769D" w14:textId="77777777" w:rsidR="00EF65AE" w:rsidRPr="00EF65AE" w:rsidRDefault="00EF65AE" w:rsidP="009047DB">
      <w:pPr>
        <w:pStyle w:val="Heading3NoTOC"/>
      </w:pPr>
      <w:r w:rsidRPr="00EF65AE">
        <w:t xml:space="preserve">Violence </w:t>
      </w:r>
      <w:r w:rsidR="00CC3DCC">
        <w:t>and</w:t>
      </w:r>
      <w:r w:rsidR="00897593">
        <w:t xml:space="preserve"> disability</w:t>
      </w:r>
    </w:p>
    <w:p w14:paraId="0A9833B7" w14:textId="2E97F6A7" w:rsidR="00CC3DCC" w:rsidRPr="000350C0" w:rsidRDefault="00B512F7" w:rsidP="00EF65AE">
      <w:pPr>
        <w:rPr>
          <w:rFonts w:cs="Arial"/>
        </w:rPr>
      </w:pPr>
      <w:r>
        <w:rPr>
          <w:rFonts w:cs="Arial"/>
        </w:rPr>
        <w:t>There is limited data on the per</w:t>
      </w:r>
      <w:r w:rsidR="00467779">
        <w:rPr>
          <w:rFonts w:cs="Arial"/>
        </w:rPr>
        <w:t>centage</w:t>
      </w:r>
      <w:r>
        <w:rPr>
          <w:rFonts w:cs="Arial"/>
        </w:rPr>
        <w:t xml:space="preserve"> of</w:t>
      </w:r>
      <w:r w:rsidR="008B503A" w:rsidRPr="00EF65AE">
        <w:rPr>
          <w:rFonts w:cs="Arial"/>
        </w:rPr>
        <w:t xml:space="preserve"> </w:t>
      </w:r>
      <w:r w:rsidR="00EF65AE" w:rsidRPr="00EF65AE">
        <w:rPr>
          <w:rFonts w:cs="Arial"/>
        </w:rPr>
        <w:t xml:space="preserve">women and girls with </w:t>
      </w:r>
      <w:r w:rsidR="00DE75D2">
        <w:rPr>
          <w:rFonts w:cs="Arial"/>
        </w:rPr>
        <w:t>disabilities</w:t>
      </w:r>
      <w:r>
        <w:rPr>
          <w:rFonts w:cs="Arial"/>
        </w:rPr>
        <w:t xml:space="preserve"> in the Indo-</w:t>
      </w:r>
      <w:r w:rsidR="00467779">
        <w:rPr>
          <w:rFonts w:cs="Arial"/>
        </w:rPr>
        <w:t>P</w:t>
      </w:r>
      <w:r>
        <w:rPr>
          <w:rFonts w:cs="Arial"/>
        </w:rPr>
        <w:t>acific</w:t>
      </w:r>
      <w:r w:rsidR="00AE4FE4">
        <w:rPr>
          <w:rFonts w:cs="Arial"/>
        </w:rPr>
        <w:t xml:space="preserve"> who have experienced violence</w:t>
      </w:r>
      <w:r w:rsidR="00EF65AE" w:rsidRPr="00EF65AE">
        <w:rPr>
          <w:rFonts w:cs="Arial"/>
        </w:rPr>
        <w:t xml:space="preserve">. </w:t>
      </w:r>
      <w:r w:rsidR="00CC3DCC">
        <w:rPr>
          <w:rFonts w:cs="Arial"/>
        </w:rPr>
        <w:t>D</w:t>
      </w:r>
      <w:r w:rsidR="00EF65AE" w:rsidRPr="00EF65AE">
        <w:rPr>
          <w:rFonts w:cs="Arial"/>
        </w:rPr>
        <w:t xml:space="preserve">ata </w:t>
      </w:r>
      <w:r w:rsidR="00CC3DCC">
        <w:rPr>
          <w:rFonts w:cs="Arial"/>
        </w:rPr>
        <w:t>for some countries shows</w:t>
      </w:r>
      <w:r w:rsidR="00EF65AE" w:rsidRPr="00EF65AE">
        <w:rPr>
          <w:rFonts w:cs="Arial"/>
        </w:rPr>
        <w:t xml:space="preserve"> a significantly heightened risk of violence for women and girls with </w:t>
      </w:r>
      <w:r w:rsidR="00DE75D2">
        <w:rPr>
          <w:rFonts w:cs="Arial"/>
        </w:rPr>
        <w:t>disabilities</w:t>
      </w:r>
      <w:r w:rsidR="00EF65AE" w:rsidRPr="00EF65AE">
        <w:rPr>
          <w:rFonts w:cs="Arial"/>
        </w:rPr>
        <w:t>. The Australian-</w:t>
      </w:r>
      <w:r w:rsidR="00EF65AE" w:rsidRPr="00A36E43">
        <w:rPr>
          <w:rFonts w:cs="Arial"/>
        </w:rPr>
        <w:t xml:space="preserve">supported </w:t>
      </w:r>
      <w:bookmarkStart w:id="137" w:name="_Hlk17800881"/>
      <w:r w:rsidR="00EF65AE" w:rsidRPr="00EB244C">
        <w:rPr>
          <w:rFonts w:cs="Arial"/>
          <w:iCs/>
        </w:rPr>
        <w:t>Triple Jeopardy</w:t>
      </w:r>
      <w:r w:rsidR="00EF65AE" w:rsidRPr="00A36E43">
        <w:rPr>
          <w:rFonts w:cs="Arial"/>
          <w:iCs/>
        </w:rPr>
        <w:t xml:space="preserve"> </w:t>
      </w:r>
      <w:bookmarkEnd w:id="137"/>
      <w:r w:rsidR="00EF65AE" w:rsidRPr="00A36E43">
        <w:rPr>
          <w:rFonts w:cs="Arial"/>
          <w:iCs/>
        </w:rPr>
        <w:t>s</w:t>
      </w:r>
      <w:r w:rsidR="00EF65AE" w:rsidRPr="000350C0">
        <w:rPr>
          <w:rFonts w:cs="Arial"/>
        </w:rPr>
        <w:t>tudy in Cambodia found that, compared to women without disabilities, women with disabilities were not only more likely to experience all forms of IPV a</w:t>
      </w:r>
      <w:r w:rsidR="001D06A3" w:rsidRPr="000350C0">
        <w:rPr>
          <w:rFonts w:cs="Arial"/>
        </w:rPr>
        <w:t xml:space="preserve">nd non-partner sexual violence, </w:t>
      </w:r>
      <w:r w:rsidR="00EF65AE" w:rsidRPr="000350C0">
        <w:rPr>
          <w:rFonts w:cs="Arial"/>
        </w:rPr>
        <w:t>they also experienced high rates of emotional and physical violence, and controlling behaviour, from other (non-partner) family members.</w:t>
      </w:r>
      <w:r w:rsidR="00EF65AE" w:rsidRPr="000350C0">
        <w:rPr>
          <w:rFonts w:cs="Arial"/>
        </w:rPr>
        <w:fldChar w:fldCharType="begin"/>
      </w:r>
      <w:r w:rsidR="00EF65AE" w:rsidRPr="000350C0">
        <w:rPr>
          <w:rFonts w:cs="Arial"/>
        </w:rPr>
        <w:instrText xml:space="preserve"> ADDIN ZOTERO_ITEM CSL_CITATION {"citationID":"yDONBYij","properties":{"formattedCitation":"\\super 28\\nosupersub{}","plainCitation":"28","noteIndex":0},"citationItems":[{"id":2279,"uris":["http://zotero.org/users/4194704/items/MMPIUMBW"],"uri":["http://zotero.org/users/4194704/items/MMPIUMBW"],"itemData":{"id":2279,"type":"article-journal","title":"Triple Jeopardy: Gender-based violence and human rights violations experienced by women with disabilities in Cambodia","container-title":"AusAID Research Working Paper","volume":"1","URL":"https://www.cbm.org/article/downloads/89816/Triple_Jeopardy_Working_Paper.pdf","author":[{"family":"Astbury","given":"Jill"},{"family":"Walji","given":"Fareen"}],"issued":{"date-parts":[["2013"]]}}}],"schema":"https://github.com/citation-style-language/schema/raw/master/csl-citation.json"} </w:instrText>
      </w:r>
      <w:r w:rsidR="00EF65AE" w:rsidRPr="000350C0">
        <w:rPr>
          <w:rFonts w:cs="Arial"/>
        </w:rPr>
        <w:fldChar w:fldCharType="separate"/>
      </w:r>
      <w:r w:rsidR="00EF65AE" w:rsidRPr="000350C0">
        <w:rPr>
          <w:rFonts w:cs="Arial"/>
          <w:vertAlign w:val="superscript"/>
          <w:lang w:val="en-US"/>
        </w:rPr>
        <w:t>28</w:t>
      </w:r>
      <w:r w:rsidR="00EF65AE" w:rsidRPr="000350C0">
        <w:rPr>
          <w:rFonts w:cs="Arial"/>
        </w:rPr>
        <w:fldChar w:fldCharType="end"/>
      </w:r>
      <w:r w:rsidR="00EF65AE" w:rsidRPr="00A36E43">
        <w:rPr>
          <w:rFonts w:cs="Arial"/>
        </w:rPr>
        <w:t xml:space="preserve"> </w:t>
      </w:r>
    </w:p>
    <w:p w14:paraId="0C049C52" w14:textId="52342C73" w:rsidR="00EF65AE" w:rsidRPr="00EF65AE" w:rsidRDefault="00CC3DCC" w:rsidP="00EF65AE">
      <w:pPr>
        <w:rPr>
          <w:rFonts w:cs="Arial"/>
        </w:rPr>
      </w:pPr>
      <w:r w:rsidRPr="000350C0">
        <w:rPr>
          <w:rFonts w:cs="Arial"/>
        </w:rPr>
        <w:t>Violence against women can result in disabilities. T</w:t>
      </w:r>
      <w:r w:rsidR="00EF65AE" w:rsidRPr="000350C0">
        <w:rPr>
          <w:rFonts w:cs="Arial"/>
        </w:rPr>
        <w:t xml:space="preserve">he Australian-funded </w:t>
      </w:r>
      <w:bookmarkStart w:id="138" w:name="_Hlk17800889"/>
      <w:r w:rsidR="00EF65AE" w:rsidRPr="000350C0">
        <w:rPr>
          <w:rFonts w:cs="Arial"/>
          <w:i/>
        </w:rPr>
        <w:t>Nabilan</w:t>
      </w:r>
      <w:r w:rsidR="00EF65AE" w:rsidRPr="00EF65AE">
        <w:rPr>
          <w:rFonts w:cs="Arial"/>
          <w:i/>
        </w:rPr>
        <w:t xml:space="preserve"> </w:t>
      </w:r>
      <w:r w:rsidR="00EF65AE" w:rsidRPr="00EF65AE">
        <w:rPr>
          <w:rFonts w:cs="Arial"/>
        </w:rPr>
        <w:t>baseline study</w:t>
      </w:r>
      <w:bookmarkEnd w:id="138"/>
      <w:r w:rsidR="00EF65AE" w:rsidRPr="00EF65AE">
        <w:rPr>
          <w:rFonts w:cs="Arial"/>
        </w:rPr>
        <w:t xml:space="preserve"> in Timor-Leste found that women who had experienced IPV were 2.5 times more likely to have reported having difficulty performing tasks, or being unable to do them at all, compared with women who had never experienced violence from an intimate partner.</w:t>
      </w:r>
      <w:r w:rsidR="00EF65AE" w:rsidRPr="00EF65AE">
        <w:rPr>
          <w:rFonts w:cs="Arial"/>
        </w:rPr>
        <w:fldChar w:fldCharType="begin"/>
      </w:r>
      <w:r w:rsidR="00EF65AE" w:rsidRPr="00EF65AE">
        <w:rPr>
          <w:rFonts w:cs="Arial"/>
        </w:rPr>
        <w:instrText xml:space="preserve"> ADDIN ZOTERO_ITEM CSL_CITATION {"citationID":"34yBFyzq","properties":{"formattedCitation":"\\super 20\\nosupersub{}","plainCitation":"20","noteIndex":0},"citationItems":[{"id":318,"uris":["http://zotero.org/users/4194704/items/ZFBP3BVU"],"uri":["http://zotero.org/users/4194704/items/ZFBP3BVU"],"itemData":{"id":318,"type":"report","title":"Understanding Violence against Women and Children in Timor-Leste: Findings from the Nabilan Baseline Study - Main Report","publisher":"The Asia Foundation","publisher-place":"Dili","event-place":"Dili","author":[{"literal":"The Asia Foundation"}],"issued":{"date-parts":[["2016"]]}}}],"schema":"https://github.com/citation-style-language/schema/raw/master/csl-citation.json"}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20</w:t>
      </w:r>
      <w:r w:rsidR="00EF65AE" w:rsidRPr="00EF65AE">
        <w:rPr>
          <w:rFonts w:cs="Arial"/>
        </w:rPr>
        <w:fldChar w:fldCharType="end"/>
      </w:r>
      <w:r w:rsidR="00EF65AE" w:rsidRPr="00EF65AE">
        <w:rPr>
          <w:rFonts w:cs="Arial"/>
        </w:rPr>
        <w:t xml:space="preserve"> </w:t>
      </w:r>
    </w:p>
    <w:p w14:paraId="27EDA90B" w14:textId="77777777" w:rsidR="00EF65AE" w:rsidRPr="00EF65AE" w:rsidRDefault="00EF65AE" w:rsidP="009047DB">
      <w:pPr>
        <w:pStyle w:val="Heading3NoTOC"/>
      </w:pPr>
      <w:r w:rsidRPr="00EF65AE">
        <w:t xml:space="preserve">Violence on the basis of sexual orientation and gender identity </w:t>
      </w:r>
    </w:p>
    <w:p w14:paraId="637AC7C3" w14:textId="162DFEAD" w:rsidR="00EF65AE" w:rsidRPr="00EF65AE" w:rsidRDefault="00EF65AE" w:rsidP="00EF65AE">
      <w:pPr>
        <w:rPr>
          <w:rFonts w:cs="Arial"/>
        </w:rPr>
      </w:pPr>
      <w:r w:rsidRPr="00EF65AE">
        <w:rPr>
          <w:rFonts w:cs="Arial"/>
        </w:rPr>
        <w:t>Some evidence exists on violence against sexual and gender diverse populations in Asia</w:t>
      </w:r>
      <w:r w:rsidR="00DF1BEB">
        <w:rPr>
          <w:rFonts w:cs="Arial"/>
        </w:rPr>
        <w:t>. I</w:t>
      </w:r>
      <w:r w:rsidRPr="00EF65AE">
        <w:rPr>
          <w:rFonts w:cs="Arial"/>
        </w:rPr>
        <w:t xml:space="preserve">n many Asian countries, it is unclear </w:t>
      </w:r>
      <w:r w:rsidR="001E624E">
        <w:rPr>
          <w:rFonts w:cs="Arial"/>
        </w:rPr>
        <w:t>if</w:t>
      </w:r>
      <w:r w:rsidR="001E624E" w:rsidRPr="00EF65AE">
        <w:rPr>
          <w:rFonts w:cs="Arial"/>
        </w:rPr>
        <w:t xml:space="preserve"> </w:t>
      </w:r>
      <w:r w:rsidRPr="00EF65AE">
        <w:rPr>
          <w:rFonts w:cs="Arial"/>
        </w:rPr>
        <w:t>legislation offers protection in same-sex domestic violence cases. In Vietnam, transgender people disproportionately suffer from exploitation, sexual assault and other forms of violence. Transgender people and men who have sex with men also face particular challenges in accessing justice, as sexual violence in Vietnam is defined as involving sexual intercourse only between men and women.</w:t>
      </w:r>
      <w:r w:rsidRPr="00EF65AE">
        <w:rPr>
          <w:rFonts w:cs="Arial"/>
        </w:rPr>
        <w:fldChar w:fldCharType="begin"/>
      </w:r>
      <w:r w:rsidRPr="00EF65AE">
        <w:rPr>
          <w:rFonts w:cs="Arial"/>
        </w:rPr>
        <w:instrText xml:space="preserve"> ADDIN ZOTERO_ITEM CSL_CITATION {"citationID":"9mod1hzF","properties":{"formattedCitation":"\\super 29\\nosupersub{}","plainCitation":"29","noteIndex":0},"citationItems":[{"id":14,"uris":["http://zotero.org/users/4194704/items/VTNYQEFZ"],"uri":["http://zotero.org/users/4194704/items/VTNYQEFZ"],"itemData":{"id":14,"type":"report","title":"Being LGBT in Asia: Viet Nam Country Report - A Participatory Review and Analysis of the Legal and Social Environment for Lesbian, Gay, Bisexual and Transgender (LGBT) Persons and Civil Society","publisher":"UNDP and USAID","URL":"http://www.asia-pacific.undp.org/content/dam/rbap/docs/Research%20&amp;%20Publications/hiv_aids/rbap-hhd-2014-blia-viet-nam-country-report.pdf","author":[{"family":"Dinh","given":"Hong Hanh"},{"family":"Tran","given":"Khac Tung"}],"issued":{"date-parts":[["2014"]]},"accessed":{"date-parts":[["2018",7,5]]}}}],"schema":"https://github.com/citation-style-language/schema/raw/master/csl-citation.json"} </w:instrText>
      </w:r>
      <w:r w:rsidRPr="00EF65AE">
        <w:rPr>
          <w:rFonts w:cs="Arial"/>
        </w:rPr>
        <w:fldChar w:fldCharType="separate"/>
      </w:r>
      <w:r w:rsidRPr="00EF65AE">
        <w:rPr>
          <w:rFonts w:cs="Arial"/>
          <w:vertAlign w:val="superscript"/>
          <w:lang w:val="en-US"/>
        </w:rPr>
        <w:t>29</w:t>
      </w:r>
      <w:r w:rsidRPr="00EF65AE">
        <w:rPr>
          <w:rFonts w:cs="Arial"/>
        </w:rPr>
        <w:fldChar w:fldCharType="end"/>
      </w:r>
      <w:r w:rsidRPr="00EF65AE">
        <w:rPr>
          <w:rFonts w:cs="Arial"/>
        </w:rPr>
        <w:t xml:space="preserve"> Research in Japan, Malaysia, </w:t>
      </w:r>
      <w:r w:rsidRPr="00A36E43">
        <w:rPr>
          <w:rFonts w:cs="Arial"/>
        </w:rPr>
        <w:t xml:space="preserve">Pakistan, </w:t>
      </w:r>
      <w:r w:rsidRPr="0045079A">
        <w:rPr>
          <w:rFonts w:cs="Arial"/>
        </w:rPr>
        <w:t>the</w:t>
      </w:r>
      <w:r w:rsidRPr="00EF65AE">
        <w:rPr>
          <w:rFonts w:cs="Arial"/>
        </w:rPr>
        <w:t xml:space="preserve"> Philippines and Sri Lanka found that lesbian and bisexual women</w:t>
      </w:r>
      <w:r w:rsidR="000321DE">
        <w:rPr>
          <w:rFonts w:cs="Arial"/>
        </w:rPr>
        <w:t>,</w:t>
      </w:r>
      <w:r w:rsidRPr="00EF65AE">
        <w:rPr>
          <w:rFonts w:cs="Arial"/>
        </w:rPr>
        <w:t xml:space="preserve"> as well as transgender individuals</w:t>
      </w:r>
      <w:r w:rsidR="000321DE">
        <w:rPr>
          <w:rFonts w:cs="Arial"/>
        </w:rPr>
        <w:t>,</w:t>
      </w:r>
      <w:r w:rsidRPr="00EF65AE">
        <w:rPr>
          <w:rFonts w:cs="Arial"/>
        </w:rPr>
        <w:t xml:space="preserve"> faced violence in every aspect of their lives.</w:t>
      </w:r>
      <w:r w:rsidRPr="00EF65AE">
        <w:rPr>
          <w:rFonts w:cs="Arial"/>
        </w:rPr>
        <w:fldChar w:fldCharType="begin"/>
      </w:r>
      <w:r w:rsidRPr="00EF65AE">
        <w:rPr>
          <w:rFonts w:cs="Arial"/>
        </w:rPr>
        <w:instrText xml:space="preserve"> ADDIN ZOTERO_ITEM CSL_CITATION {"citationID":"2jMHOXyK","properties":{"formattedCitation":"\\super 30\\nosupersub{}","plainCitation":"30","noteIndex":0},"citationItems":[{"id":"LnUt4Vs6/mrr9xTxm","uris":["http://zotero.org/users/local/dqL838ot/items/NDWWHBGZ"],"uri":["http://zotero.org/users/local/dqL838ot/items/NDWWHBGZ"],"itemData":{"id":18,"type":"report","title":"Violence Through the Lens of Lesbians, Bisexual Women and Trans People in Asia","publisher":"IGLHRC","publisher-place":"New York","event-place":"New York","author":[{"family":"The International Gay and Lesbian Human Rights Commission (IGLHRC)","given":""}],"issued":{"date-parts":[["2014"]]}}}],"schema":"https://github.com/citation-style-language/schema/raw/master/csl-citation.json"} </w:instrText>
      </w:r>
      <w:r w:rsidRPr="00EF65AE">
        <w:rPr>
          <w:rFonts w:cs="Arial"/>
        </w:rPr>
        <w:fldChar w:fldCharType="separate"/>
      </w:r>
      <w:r w:rsidRPr="00EF65AE">
        <w:rPr>
          <w:rFonts w:cs="Arial"/>
          <w:vertAlign w:val="superscript"/>
          <w:lang w:val="en-US"/>
        </w:rPr>
        <w:t>30</w:t>
      </w:r>
      <w:r w:rsidRPr="00EF65AE">
        <w:rPr>
          <w:rFonts w:cs="Arial"/>
        </w:rPr>
        <w:fldChar w:fldCharType="end"/>
      </w:r>
      <w:r w:rsidRPr="00EF65AE">
        <w:rPr>
          <w:rFonts w:cs="Arial"/>
        </w:rPr>
        <w:t xml:space="preserve"> The report states</w:t>
      </w:r>
      <w:r w:rsidR="00DF1BEB">
        <w:rPr>
          <w:rFonts w:cs="Arial"/>
        </w:rPr>
        <w:t>:</w:t>
      </w:r>
      <w:r w:rsidRPr="00EF65AE">
        <w:rPr>
          <w:rFonts w:cs="Arial"/>
        </w:rPr>
        <w:t xml:space="preserve"> </w:t>
      </w:r>
    </w:p>
    <w:p w14:paraId="784E6997" w14:textId="77777777" w:rsidR="00EF65AE" w:rsidRPr="00EF65AE" w:rsidRDefault="00EF65AE" w:rsidP="002A2D8F">
      <w:pPr>
        <w:pStyle w:val="IndentQuote"/>
      </w:pPr>
      <w:r w:rsidRPr="00EF65AE">
        <w:t>This violence is fuelled by laws that criminalise same-sex relations and gender non-conformity, and encouraged by governments who tolerate, endorse, or directly sponsor the violent clamp-down on those who do not follow prevailing norms on sexual orientation, gender identity and gender expression.</w:t>
      </w:r>
      <w:r w:rsidRPr="00EF65AE">
        <w:fldChar w:fldCharType="begin"/>
      </w:r>
      <w:r w:rsidRPr="00EF65AE">
        <w:instrText xml:space="preserve"> ADDIN ZOTERO_ITEM CSL_CITATION {"citationID":"sP2xpKIy","properties":{"formattedCitation":"\\super 31\\nosupersub{}","plainCitation":"31","noteIndex":0},"citationItems":[{"id":15,"uris":["http://zotero.org/users/4194704/items/5IRJV3ZH"],"uri":["http://zotero.org/users/4194704/items/5IRJV3ZH"],"itemData":{"id":15,"type":"report","title":"Violence Through the Lens of Lesbians, Bisexual Women and Trans People in Asia","publisher":"IGLHRC","publisher-place":"New York","event-place":"New York","author":[{"literal":"The International Gay and Lesbian Human Rights Commission (IGLHRC)"}],"issued":{"date-parts":[["2014"]]}}}],"schema":"https://github.com/citation-style-language/schema/raw/master/csl-citation.json"} </w:instrText>
      </w:r>
      <w:r w:rsidRPr="00EF65AE">
        <w:fldChar w:fldCharType="separate"/>
      </w:r>
      <w:r w:rsidRPr="00EF65AE">
        <w:rPr>
          <w:vertAlign w:val="superscript"/>
          <w:lang w:val="en-US"/>
        </w:rPr>
        <w:t>31</w:t>
      </w:r>
      <w:r w:rsidRPr="00EF65AE">
        <w:fldChar w:fldCharType="end"/>
      </w:r>
      <w:r w:rsidRPr="00EF65AE">
        <w:t xml:space="preserve"> </w:t>
      </w:r>
    </w:p>
    <w:p w14:paraId="7335B951" w14:textId="77777777" w:rsidR="00EF65AE" w:rsidRPr="00EF65AE" w:rsidRDefault="00EF65AE" w:rsidP="00EF65AE">
      <w:pPr>
        <w:rPr>
          <w:rFonts w:cs="Arial"/>
        </w:rPr>
      </w:pPr>
      <w:r w:rsidRPr="00EF65AE">
        <w:rPr>
          <w:rFonts w:cs="Arial"/>
        </w:rPr>
        <w:t>A recent report from Timor-Leste found that lesbian and bisexual women and transgender men experienced severe physical and emotional violence.</w:t>
      </w:r>
      <w:r w:rsidRPr="00EF65AE">
        <w:rPr>
          <w:rFonts w:cs="Arial"/>
        </w:rPr>
        <w:fldChar w:fldCharType="begin"/>
      </w:r>
      <w:r w:rsidRPr="00EF65AE">
        <w:rPr>
          <w:rFonts w:cs="Arial"/>
        </w:rPr>
        <w:instrText xml:space="preserve"> ADDIN ZOTERO_ITEM CSL_CITATION {"citationID":"Uf3tbX6x","properties":{"formattedCitation":"\\super 34\\nosupersub{}","plainCitation":"34","noteIndex":0},"citationItems":[{"id":284,"uris":["http://zotero.org/users/4194704/items/U2K8ZY46"],"uri":["http://zotero.org/users/4194704/items/U2K8ZY46"],"itemData":{"id":284,"type":"report","title":"A Research Report on the Lives of Lesbian and Bisexual Women and Transgender Men in Timor-Leste","publisher":"Rede Feto and ASEAN SOGIE Caucus","publisher-place":"Dili and Quezon City","event-place":"Dili and Quezon City","author":[{"literal":"Rede Feto and ASEAN SOGIE Caucus"}],"issued":{"date-parts":[["2017"]]}}}],"schema":"https://github.com/citation-style-language/schema/raw/master/csl-citation.json"} </w:instrText>
      </w:r>
      <w:r w:rsidRPr="00EF65AE">
        <w:rPr>
          <w:rFonts w:cs="Arial"/>
        </w:rPr>
        <w:fldChar w:fldCharType="separate"/>
      </w:r>
      <w:r w:rsidRPr="00EF65AE">
        <w:rPr>
          <w:rFonts w:cs="Arial"/>
          <w:vertAlign w:val="superscript"/>
          <w:lang w:val="en-US"/>
        </w:rPr>
        <w:t>34</w:t>
      </w:r>
      <w:r w:rsidRPr="00EF65AE">
        <w:rPr>
          <w:rFonts w:cs="Arial"/>
        </w:rPr>
        <w:fldChar w:fldCharType="end"/>
      </w:r>
    </w:p>
    <w:p w14:paraId="6F13552E" w14:textId="77777777" w:rsidR="00EF65AE" w:rsidRPr="00EF65AE" w:rsidRDefault="00EF65AE" w:rsidP="009047DB">
      <w:pPr>
        <w:pStyle w:val="Heading3NoTOC"/>
      </w:pPr>
      <w:r w:rsidRPr="00EF65AE">
        <w:t>Violence against children</w:t>
      </w:r>
    </w:p>
    <w:p w14:paraId="53B7B02F" w14:textId="77777777" w:rsidR="00EF65AE" w:rsidRPr="00EF65AE" w:rsidRDefault="00EF65AE" w:rsidP="00EF65AE">
      <w:pPr>
        <w:rPr>
          <w:rFonts w:cs="Arial"/>
        </w:rPr>
      </w:pPr>
      <w:r w:rsidRPr="00EF65AE">
        <w:rPr>
          <w:rFonts w:cs="Arial"/>
        </w:rPr>
        <w:t>Children are at risk of witnessing and experiencing violence</w:t>
      </w:r>
      <w:r w:rsidR="00DF1BEB">
        <w:rPr>
          <w:rFonts w:cs="Arial"/>
        </w:rPr>
        <w:t>—</w:t>
      </w:r>
      <w:r w:rsidRPr="00EF65AE">
        <w:rPr>
          <w:rFonts w:cs="Arial"/>
        </w:rPr>
        <w:t>including physical violence, emotional abuse, neglect and sexual abuse</w:t>
      </w:r>
      <w:r w:rsidR="00DF1BEB">
        <w:rPr>
          <w:rFonts w:cs="Arial"/>
        </w:rPr>
        <w:t>—</w:t>
      </w:r>
      <w:r w:rsidRPr="00EF65AE">
        <w:rPr>
          <w:rFonts w:cs="Arial"/>
        </w:rPr>
        <w:t>with far</w:t>
      </w:r>
      <w:r w:rsidR="00DF1BEB">
        <w:rPr>
          <w:rFonts w:cs="Arial"/>
        </w:rPr>
        <w:t>-</w:t>
      </w:r>
      <w:r w:rsidRPr="00EF65AE">
        <w:rPr>
          <w:rFonts w:cs="Arial"/>
        </w:rPr>
        <w:t>reaching consequences to their safety, health and wellbeing.</w:t>
      </w:r>
      <w:r w:rsidRPr="00EF65AE">
        <w:rPr>
          <w:rFonts w:cs="Arial"/>
        </w:rPr>
        <w:fldChar w:fldCharType="begin"/>
      </w:r>
      <w:r w:rsidRPr="00EF65AE">
        <w:rPr>
          <w:rFonts w:cs="Arial"/>
        </w:rPr>
        <w:instrText xml:space="preserve"> ADDIN ZOTERO_ITEM CSL_CITATION {"citationID":"dLuCMixs","properties":{"formattedCitation":"\\super 22\\nosupersub{}","plainCitation":"22","noteIndex":0},"citationItems":[{"id":347,"uris":["http://zotero.org/users/4194704/items/RTAPWV85"],"uri":["http://zotero.org/users/4194704/items/RTAPWV85"],"itemData":{"id":347,"type":"report","title":"Violence against Children in East Asia and the Pacific: A Regional Review and Synthesis of Findings","publisher":"UNICEF EAPRO","publisher-place":"Bangkok","event-place":"Bangkok","author":[{"literal":"UNICEF"}],"issued":{"date-parts":[["2014"]]}}}],"schema":"https://github.com/citation-style-language/schema/raw/master/csl-citation.json"} </w:instrText>
      </w:r>
      <w:r w:rsidRPr="00EF65AE">
        <w:rPr>
          <w:rFonts w:cs="Arial"/>
        </w:rPr>
        <w:fldChar w:fldCharType="separate"/>
      </w:r>
      <w:r w:rsidRPr="00EF65AE">
        <w:rPr>
          <w:rFonts w:cs="Arial"/>
          <w:vertAlign w:val="superscript"/>
          <w:lang w:val="en-US"/>
        </w:rPr>
        <w:t>22</w:t>
      </w:r>
      <w:r w:rsidRPr="00EF65AE">
        <w:rPr>
          <w:rFonts w:cs="Arial"/>
        </w:rPr>
        <w:fldChar w:fldCharType="end"/>
      </w:r>
    </w:p>
    <w:p w14:paraId="48EED942" w14:textId="77777777" w:rsidR="00EF65AE" w:rsidRPr="00EF65AE" w:rsidRDefault="00EF65AE" w:rsidP="00EF65AE">
      <w:pPr>
        <w:rPr>
          <w:rFonts w:cs="Arial"/>
        </w:rPr>
      </w:pPr>
      <w:r w:rsidRPr="00EF65AE">
        <w:rPr>
          <w:rFonts w:cs="Arial"/>
        </w:rPr>
        <w:t xml:space="preserve">Although child sexual abuse by family members was considered taboo, and community members generally were reluctant to discuss </w:t>
      </w:r>
      <w:r w:rsidR="001E624E">
        <w:rPr>
          <w:rFonts w:cs="Arial"/>
        </w:rPr>
        <w:t>if</w:t>
      </w:r>
      <w:r w:rsidR="001E624E" w:rsidRPr="00EF65AE">
        <w:rPr>
          <w:rFonts w:cs="Arial"/>
        </w:rPr>
        <w:t xml:space="preserve"> </w:t>
      </w:r>
      <w:r w:rsidRPr="00EF65AE">
        <w:rPr>
          <w:rFonts w:cs="Arial"/>
        </w:rPr>
        <w:t>it existed in their villages, service providers in all countries the evaluation team</w:t>
      </w:r>
      <w:r w:rsidR="001E624E">
        <w:rPr>
          <w:rFonts w:cs="Arial"/>
        </w:rPr>
        <w:t xml:space="preserve"> visited</w:t>
      </w:r>
      <w:r w:rsidRPr="00EF65AE">
        <w:rPr>
          <w:rFonts w:cs="Arial"/>
        </w:rPr>
        <w:t xml:space="preserve"> acknowledged it is a serious problem.</w:t>
      </w:r>
    </w:p>
    <w:p w14:paraId="0E119F2F" w14:textId="77777777" w:rsidR="00EF65AE" w:rsidRPr="0045079A" w:rsidRDefault="00EF65AE" w:rsidP="00670869">
      <w:pPr>
        <w:pStyle w:val="IndentQuote"/>
        <w:rPr>
          <w:i w:val="0"/>
          <w:iCs/>
        </w:rPr>
      </w:pPr>
      <w:bookmarkStart w:id="139" w:name="_Hlk17801088"/>
      <w:r w:rsidRPr="00670869">
        <w:t>Grandfather molesting grandchildren, father molesting girls</w:t>
      </w:r>
      <w:r w:rsidR="00DF1BEB" w:rsidRPr="00670869">
        <w:t xml:space="preserve"> </w:t>
      </w:r>
      <w:r w:rsidRPr="00670869">
        <w:t>…</w:t>
      </w:r>
      <w:r w:rsidR="00DF1BEB" w:rsidRPr="00670869">
        <w:t xml:space="preserve"> </w:t>
      </w:r>
      <w:r w:rsidRPr="00670869">
        <w:t>the abuse within the family has been there but it wasn’t talked about much before</w:t>
      </w:r>
      <w:r w:rsidR="00DF1BEB" w:rsidRPr="00670869">
        <w:t xml:space="preserve"> </w:t>
      </w:r>
      <w:r w:rsidRPr="00670869">
        <w:t>…</w:t>
      </w:r>
      <w:r w:rsidR="00DF1BEB" w:rsidRPr="00670869">
        <w:t xml:space="preserve"> </w:t>
      </w:r>
      <w:r w:rsidRPr="00670869">
        <w:t>but now they are being more open.</w:t>
      </w:r>
      <w:r w:rsidRPr="001E624E">
        <w:t xml:space="preserve"> </w:t>
      </w:r>
      <w:r w:rsidR="00A36E43">
        <w:rPr>
          <w:i w:val="0"/>
          <w:iCs/>
        </w:rPr>
        <w:t>–</w:t>
      </w:r>
      <w:r w:rsidRPr="001E624E">
        <w:t xml:space="preserve"> </w:t>
      </w:r>
      <w:r w:rsidR="00A8582F" w:rsidRPr="00467779">
        <w:rPr>
          <w:i w:val="0"/>
        </w:rPr>
        <w:t>Representative from</w:t>
      </w:r>
      <w:r w:rsidR="00A8582F">
        <w:t xml:space="preserve"> </w:t>
      </w:r>
      <w:r w:rsidRPr="0045079A">
        <w:rPr>
          <w:i w:val="0"/>
          <w:iCs/>
        </w:rPr>
        <w:t>C</w:t>
      </w:r>
      <w:r w:rsidR="003104B3">
        <w:rPr>
          <w:i w:val="0"/>
          <w:iCs/>
        </w:rPr>
        <w:t>SO</w:t>
      </w:r>
      <w:r w:rsidRPr="0045079A">
        <w:rPr>
          <w:i w:val="0"/>
          <w:iCs/>
        </w:rPr>
        <w:t>, Fiji</w:t>
      </w:r>
    </w:p>
    <w:bookmarkEnd w:id="139"/>
    <w:p w14:paraId="55147842" w14:textId="77777777" w:rsidR="00EF65AE" w:rsidRPr="001E624E" w:rsidRDefault="00EF65AE" w:rsidP="00670869">
      <w:pPr>
        <w:pStyle w:val="IndentQuote"/>
      </w:pPr>
      <w:r w:rsidRPr="0045079A">
        <w:t>I’ve dealt with many cases where the girl was raped by the father, by the grandfather</w:t>
      </w:r>
      <w:r w:rsidR="00DF1BEB" w:rsidRPr="0045079A">
        <w:t xml:space="preserve"> </w:t>
      </w:r>
      <w:r w:rsidRPr="0045079A">
        <w:t>…</w:t>
      </w:r>
      <w:r w:rsidR="00DF1BEB" w:rsidRPr="0045079A">
        <w:t xml:space="preserve"> </w:t>
      </w:r>
      <w:r w:rsidRPr="0045079A">
        <w:t>These underage girls are molested by their stepfather, biological father, neighbours, older brother, etc.</w:t>
      </w:r>
      <w:r w:rsidRPr="001E624E">
        <w:t xml:space="preserve"> </w:t>
      </w:r>
      <w:r w:rsidR="00A36E43">
        <w:rPr>
          <w:i w:val="0"/>
          <w:iCs/>
        </w:rPr>
        <w:t>–</w:t>
      </w:r>
      <w:r w:rsidRPr="0045079A">
        <w:rPr>
          <w:i w:val="0"/>
          <w:iCs/>
        </w:rPr>
        <w:t xml:space="preserve"> Case manager, Indonesia</w:t>
      </w:r>
    </w:p>
    <w:p w14:paraId="0D565FEF" w14:textId="73246FB7" w:rsidR="00EF65AE" w:rsidRPr="00EF65AE" w:rsidRDefault="00EF65AE" w:rsidP="00EF65AE">
      <w:pPr>
        <w:rPr>
          <w:rFonts w:cs="Arial"/>
        </w:rPr>
      </w:pPr>
      <w:r w:rsidRPr="00EF65AE">
        <w:rPr>
          <w:rFonts w:cs="Arial"/>
        </w:rPr>
        <w:t xml:space="preserve">Women’s experiences of childhood sexual abuse range significantly across the Pacific, from </w:t>
      </w:r>
      <w:r w:rsidR="007041A0">
        <w:rPr>
          <w:rFonts w:cs="Arial"/>
        </w:rPr>
        <w:br/>
      </w:r>
      <w:r w:rsidRPr="00EF65AE">
        <w:rPr>
          <w:rFonts w:cs="Arial"/>
        </w:rPr>
        <w:t>2 per cent of women in Samoa to 37 per cent of women in Solomon Islands reporting they were sexually abused before the age of 15.</w:t>
      </w:r>
      <w:r w:rsidRPr="00EF65AE">
        <w:rPr>
          <w:rFonts w:cs="Arial"/>
        </w:rPr>
        <w:fldChar w:fldCharType="begin"/>
      </w:r>
      <w:r w:rsidRPr="00EF65AE">
        <w:rPr>
          <w:rFonts w:cs="Arial"/>
        </w:rPr>
        <w:instrText xml:space="preserve"> ADDIN ZOTERO_ITEM CSL_CITATION {"citationID":"rBhfBwXZ","properties":{"formattedCitation":"\\super 23,24\\nosupersub{}","plainCitation":"23,24","noteIndex":0},"citationItems":[{"id":351,"uris":["http://zotero.org/users/4194704/items/XEKEMZTZ"],"uri":["http://zotero.org/users/4194704/items/XEKEMZTZ"],"itemData":{"id":351,"type":"report","title":"Harmful Connections: Examining the relationship between violence against women and violence against children in the South Pacific","publisher":"UNICEF","publisher-place":"Suva, Fiji","event-place":"Suva, Fiji","author":[{"literal":"UNICEF"}],"issued":{"date-parts":[["2015"]]}}},{"id":294,"uris":["http://zotero.org/users/4194704/items/QZ8WXA2U"],"uri":["http://zotero.org/users/4194704/items/QZ8WXA2U"],"itemData":{"id":294,"type":"report","title":"Solomon Islands Family Health and Safety Study: A study on violence against women and children","publisher":"Secretariat of the Pacific Community","publisher-place":"Noumea, New Caledonia","event-place":"Noumea, New Caledonia","author":[{"literal":"Secretariat of the Pacific Community (SPC)"}],"issued":{"date-parts":[["2009"]]}}}],"schema":"https://github.com/citation-style-language/schema/raw/master/csl-citation.json"} </w:instrText>
      </w:r>
      <w:r w:rsidRPr="00EF65AE">
        <w:rPr>
          <w:rFonts w:cs="Arial"/>
        </w:rPr>
        <w:fldChar w:fldCharType="separate"/>
      </w:r>
      <w:r w:rsidRPr="00EF65AE">
        <w:rPr>
          <w:rFonts w:cs="Arial"/>
          <w:vertAlign w:val="superscript"/>
          <w:lang w:val="en-US"/>
        </w:rPr>
        <w:t>23,24</w:t>
      </w:r>
      <w:r w:rsidRPr="00EF65AE">
        <w:rPr>
          <w:rFonts w:cs="Arial"/>
        </w:rPr>
        <w:fldChar w:fldCharType="end"/>
      </w:r>
      <w:r w:rsidRPr="00EF65AE">
        <w:rPr>
          <w:rFonts w:cs="Arial"/>
        </w:rPr>
        <w:t xml:space="preserve"> In Timor-Leste, approximately three</w:t>
      </w:r>
      <w:r w:rsidR="00DF1BEB">
        <w:rPr>
          <w:rFonts w:cs="Arial"/>
        </w:rPr>
        <w:t>-</w:t>
      </w:r>
      <w:r w:rsidRPr="00EF65AE">
        <w:rPr>
          <w:rFonts w:cs="Arial"/>
        </w:rPr>
        <w:t>quarters of women and men reported they had experienced some form of physical and/or sexual violence when they were children.</w:t>
      </w:r>
      <w:r w:rsidRPr="00EF65AE">
        <w:rPr>
          <w:rFonts w:cs="Arial"/>
        </w:rPr>
        <w:fldChar w:fldCharType="begin"/>
      </w:r>
      <w:r w:rsidRPr="00EF65AE">
        <w:rPr>
          <w:rFonts w:cs="Arial"/>
        </w:rPr>
        <w:instrText xml:space="preserve"> ADDIN ZOTERO_ITEM CSL_CITATION {"citationID":"M6NABhQ7","properties":{"formattedCitation":"\\super 20\\nosupersub{}","plainCitation":"20","noteIndex":0},"citationItems":[{"id":318,"uris":["http://zotero.org/users/4194704/items/ZFBP3BVU"],"uri":["http://zotero.org/users/4194704/items/ZFBP3BVU"],"itemData":{"id":318,"type":"report","title":"Understanding Violence against Women and Children in Timor-Leste: Findings from the Nabilan Baseline Study - Main Report","publisher":"The Asia Foundation","publisher-place":"Dili","event-place":"Dili","author":[{"literal":"The Asia Foundation"}],"issued":{"date-parts":[["2016"]]}}}],"schema":"https://github.com/citation-style-language/schema/raw/master/csl-citation.json"} </w:instrText>
      </w:r>
      <w:r w:rsidRPr="00EF65AE">
        <w:rPr>
          <w:rFonts w:cs="Arial"/>
        </w:rPr>
        <w:fldChar w:fldCharType="separate"/>
      </w:r>
      <w:r w:rsidRPr="00EF65AE">
        <w:rPr>
          <w:rFonts w:cs="Arial"/>
          <w:vertAlign w:val="superscript"/>
          <w:lang w:val="en-US"/>
        </w:rPr>
        <w:t>20</w:t>
      </w:r>
      <w:r w:rsidRPr="00EF65AE">
        <w:rPr>
          <w:rFonts w:cs="Arial"/>
        </w:rPr>
        <w:fldChar w:fldCharType="end"/>
      </w:r>
    </w:p>
    <w:p w14:paraId="45AB1323" w14:textId="62A422F3" w:rsidR="009047DB" w:rsidRDefault="00EF65AE" w:rsidP="00EF65AE">
      <w:pPr>
        <w:rPr>
          <w:rFonts w:cs="Arial"/>
        </w:rPr>
      </w:pPr>
      <w:bookmarkStart w:id="140" w:name="_Hlk17801146"/>
      <w:r w:rsidRPr="00EF65AE">
        <w:rPr>
          <w:rFonts w:cs="Arial"/>
        </w:rPr>
        <w:t xml:space="preserve">The </w:t>
      </w:r>
      <w:r w:rsidR="000321DE">
        <w:rPr>
          <w:rFonts w:cs="Arial"/>
        </w:rPr>
        <w:t>l</w:t>
      </w:r>
      <w:r w:rsidRPr="0045079A">
        <w:rPr>
          <w:rFonts w:cs="Arial"/>
        </w:rPr>
        <w:t xml:space="preserve">iterature </w:t>
      </w:r>
      <w:r w:rsidR="000321DE">
        <w:rPr>
          <w:rFonts w:cs="Arial"/>
        </w:rPr>
        <w:t>r</w:t>
      </w:r>
      <w:r w:rsidRPr="0045079A">
        <w:rPr>
          <w:rFonts w:cs="Arial"/>
        </w:rPr>
        <w:t>eview</w:t>
      </w:r>
      <w:r w:rsidRPr="00A36E43">
        <w:rPr>
          <w:rFonts w:cs="Arial"/>
        </w:rPr>
        <w:t xml:space="preserve"> </w:t>
      </w:r>
      <w:bookmarkEnd w:id="140"/>
      <w:r w:rsidRPr="00A36E43">
        <w:rPr>
          <w:rFonts w:cs="Arial"/>
        </w:rPr>
        <w:t>presents more data on viol</w:t>
      </w:r>
      <w:r w:rsidRPr="000350C0">
        <w:rPr>
          <w:rFonts w:cs="Arial"/>
        </w:rPr>
        <w:t xml:space="preserve">ence against children in the region, and what </w:t>
      </w:r>
      <w:r w:rsidR="00DF1BEB" w:rsidRPr="000350C0">
        <w:rPr>
          <w:rFonts w:cs="Arial"/>
        </w:rPr>
        <w:t>is known</w:t>
      </w:r>
      <w:r w:rsidRPr="000350C0">
        <w:rPr>
          <w:rFonts w:cs="Arial"/>
        </w:rPr>
        <w:t xml:space="preserve"> about the intersections between violence against women and violence against children. </w:t>
      </w:r>
      <w:r w:rsidR="007041A0">
        <w:rPr>
          <w:rFonts w:cs="Arial"/>
        </w:rPr>
        <w:br/>
      </w:r>
      <w:r w:rsidR="001815B3" w:rsidRPr="000350C0">
        <w:rPr>
          <w:rFonts w:cs="Arial"/>
        </w:rPr>
        <w:t>T</w:t>
      </w:r>
      <w:r w:rsidRPr="000350C0">
        <w:rPr>
          <w:rFonts w:cs="Arial"/>
        </w:rPr>
        <w:t xml:space="preserve">he Australian-supported </w:t>
      </w:r>
      <w:bookmarkStart w:id="141" w:name="_Hlk17801153"/>
      <w:r w:rsidRPr="0045079A">
        <w:rPr>
          <w:rFonts w:cs="Arial"/>
          <w:iCs/>
        </w:rPr>
        <w:t>Family Health and Safety Study</w:t>
      </w:r>
      <w:bookmarkEnd w:id="141"/>
      <w:r w:rsidR="001815B3">
        <w:rPr>
          <w:rFonts w:cs="Arial"/>
          <w:i/>
        </w:rPr>
        <w:t xml:space="preserve"> </w:t>
      </w:r>
      <w:r w:rsidR="001815B3" w:rsidRPr="001E624E">
        <w:rPr>
          <w:rFonts w:cs="Arial"/>
        </w:rPr>
        <w:t xml:space="preserve">in Kiribati </w:t>
      </w:r>
      <w:r w:rsidR="00B307B5">
        <w:rPr>
          <w:rFonts w:cs="Arial"/>
        </w:rPr>
        <w:t>found</w:t>
      </w:r>
      <w:r w:rsidR="001E624E">
        <w:rPr>
          <w:rFonts w:cs="Arial"/>
        </w:rPr>
        <w:t xml:space="preserve"> </w:t>
      </w:r>
      <w:r w:rsidR="001815B3">
        <w:rPr>
          <w:rFonts w:cs="Arial"/>
        </w:rPr>
        <w:t>associations</w:t>
      </w:r>
      <w:r w:rsidR="001815B3" w:rsidRPr="001815B3">
        <w:rPr>
          <w:rFonts w:cs="Arial"/>
        </w:rPr>
        <w:t xml:space="preserve"> of violence against </w:t>
      </w:r>
      <w:r w:rsidR="00B307B5">
        <w:rPr>
          <w:rFonts w:cs="Arial"/>
        </w:rPr>
        <w:t xml:space="preserve">mothers and their children. In comparison with women who had not experienced IPV, women who had were seven times more likely to report their partner had abused their children. The study also found intergenerational associations. Women who had experienced IPV </w:t>
      </w:r>
      <w:r w:rsidR="000321DE">
        <w:rPr>
          <w:rFonts w:cs="Arial"/>
        </w:rPr>
        <w:t xml:space="preserve">were </w:t>
      </w:r>
      <w:r w:rsidR="00B307B5">
        <w:rPr>
          <w:rFonts w:cs="Arial"/>
        </w:rPr>
        <w:t>more likely to report that their partner had been abused in childhood and that their mother and/or their partner’s mother had experienced IPV.</w:t>
      </w:r>
    </w:p>
    <w:p w14:paraId="4F0A1236" w14:textId="77777777" w:rsidR="00EF65AE" w:rsidRPr="00EF65AE" w:rsidRDefault="00EF65AE" w:rsidP="00EF65AE">
      <w:pPr>
        <w:rPr>
          <w:rFonts w:cs="Arial"/>
        </w:rPr>
      </w:pPr>
      <w:r w:rsidRPr="00EF65AE">
        <w:rPr>
          <w:rFonts w:cs="Arial"/>
        </w:rPr>
        <w:t>Research in high-income—and increasingly, low and middle-income—countries shows that children of families where IPV is perpetrated are more likely to experience abuse and neglect.</w:t>
      </w:r>
      <w:r w:rsidRPr="00EF65AE">
        <w:rPr>
          <w:rFonts w:cs="Arial"/>
        </w:rPr>
        <w:fldChar w:fldCharType="begin"/>
      </w:r>
      <w:r w:rsidRPr="00EF65AE">
        <w:rPr>
          <w:rFonts w:cs="Arial"/>
        </w:rPr>
        <w:instrText xml:space="preserve"> ADDIN ZOTERO_ITEM CSL_CITATION {"citationID":"UFT5yBKj","properties":{"formattedCitation":"\\super 25\\nosupersub{}","plainCitation":"25","noteIndex":0},"citationItems":[{"id":148,"uris":["http://zotero.org/users/4194704/items/KDNDQT2G"],"uri":["http://zotero.org/users/4194704/items/KDNDQT2G"],"itemData":{"id":148,"type":"article-journal","title":"Bridging the gaps: a global review of intersections of violence against women and violence against children","container-title":"Global health action","page":"31516","volume":"9","issue":"1","ISSN":"1654-9716","author":[{"family":"Guedes","given":"Alessandra"},{"family":"Bott","given":"Sarah"},{"family":"Garcia-Moreno","given":"Claudia"},{"family":"Colombini","given":"Manuela"}],"issued":{"date-parts":[["2016"]]}}}],"schema":"https://github.com/citation-style-language/schema/raw/master/csl-citation.json"} </w:instrText>
      </w:r>
      <w:r w:rsidRPr="00EF65AE">
        <w:rPr>
          <w:rFonts w:cs="Arial"/>
        </w:rPr>
        <w:fldChar w:fldCharType="separate"/>
      </w:r>
      <w:r w:rsidRPr="00EF65AE">
        <w:rPr>
          <w:rFonts w:cs="Arial"/>
          <w:vertAlign w:val="superscript"/>
          <w:lang w:val="en-US"/>
        </w:rPr>
        <w:t>25</w:t>
      </w:r>
      <w:r w:rsidRPr="00EF65AE">
        <w:rPr>
          <w:rFonts w:cs="Arial"/>
        </w:rPr>
        <w:fldChar w:fldCharType="end"/>
      </w:r>
      <w:r w:rsidRPr="00EF65AE">
        <w:rPr>
          <w:rFonts w:cs="Arial"/>
        </w:rPr>
        <w:t xml:space="preserve"> Patriarchal family structures that serve to normalise violence against women and children are an important driver of this ‘co-occurrence.’</w:t>
      </w:r>
      <w:r w:rsidRPr="00EF65AE">
        <w:rPr>
          <w:rFonts w:cs="Arial"/>
        </w:rPr>
        <w:fldChar w:fldCharType="begin"/>
      </w:r>
      <w:r w:rsidRPr="00EF65AE">
        <w:rPr>
          <w:rFonts w:cs="Arial"/>
        </w:rPr>
        <w:instrText xml:space="preserve"> ADDIN ZOTERO_ITEM CSL_CITATION {"citationID":"Q6Bqb7sv","properties":{"formattedCitation":"\\super 26\\nosupersub{}","plainCitation":"26","noteIndex":0},"citationItems":[{"id":677,"uris":["http://zotero.org/users/4194704/items/UW3Y5IVP"],"uri":["http://zotero.org/users/4194704/items/UW3Y5IVP"],"itemData":{"id":677,"type":"article-journal","title":"Towards a feminist understanding of intersecting violence against women and children in the family","container-title":"Social Science &amp; Medicine","page":"40-48","volume":"184","abstract":"To link to full-text access for this article, visit this link: http://dx.doi.org/10.1016/j.socscimed.2017.04.042 Byline: Sophie Namy (a), Catherine Carlson (b), Kathleen O'Hara (c), Janet Nakuti (a), Paul Bukuluki (d), Julius Lwanyaaga (e), Sylvia Namakula (e), Barbrah Nanyunja (a), Milton L. Wainberg (c), Dipak Naker (a), Lori Michau (a) Abstract: While intimate partner violence (IPV) against women and violence against children (VAC) have emerged as distinct fields of research and programming, a growing number of studies demonstrate the extent to which these forms of violence overlap in the same households. However, existing knowledge of how and why such co-occurrence takes place is limited, particularly in the Global South. The current study aims to advance empirical and conceptual understanding of intersecting IPV and VAC within families in order to inform potential programming. We explore shared perceptions and experiences of IPV and VAC using qualitative data collected in December 2015 from adults and children in Kampala, Uganda (n = 106). We find that the patriarchal family structure creates an environment that normalizes many forms of violence, simultaneously infantilizing women and reinforcing their subordination (alongside children). Based on participant experiences, we identify four potential patterns that suggest how IPV and VAC not only co-occur, but more profoundly intersect within the family, triggering cycles of emotional and physical abuse: bystander trauma, negative role modeling, protection and further victimization, and displaced aggression. The discussion is situated within a feminist analysis, including careful consideration of maternal violence and an emphasis on the ways in which gender and power dynamics can coalesce and contribute to intra-family violence. Author Affiliation: (a) Raising Voices, Uganda (b) University of Alabama, USA (c) Columbia University, USA (d) Makerere University, Uganda (e) Independent Consultant, Uganda Article History: Received 23 November 2016; Revised 24 April 2017; Accepted 25 April 2017","DOI":"10.1016/j.socscimed.2017.04.042","ISSN":"0277-9536","author":[{"family":"Namy","given":"Sophie"},{"family":"Carlson","given":"Catherine"},{"family":"O'Hara","given":"Kathleen"},{"family":"Nakuti","given":"Janet"},{"family":"Bukuluki","given":"Paul"},{"family":"Lwanyaaga","given":"Julius"},{"family":"Namakula","given":"Sylvia"},{"family":"Nanyunja","given":"Barbrah"},{"family":"Wainberg","given":"Milton L."},{"family":"Naker","given":"Dipak"},{"family":"Michau","given":"Lori"}],"issued":{"date-parts":[["2017"]]}}}],"schema":"https://github.com/citation-style-language/schema/raw/master/csl-citation.json"} </w:instrText>
      </w:r>
      <w:r w:rsidRPr="00EF65AE">
        <w:rPr>
          <w:rFonts w:cs="Arial"/>
        </w:rPr>
        <w:fldChar w:fldCharType="separate"/>
      </w:r>
      <w:r w:rsidRPr="00EF65AE">
        <w:rPr>
          <w:rFonts w:cs="Arial"/>
          <w:vertAlign w:val="superscript"/>
          <w:lang w:val="en-US"/>
        </w:rPr>
        <w:t>26</w:t>
      </w:r>
      <w:r w:rsidRPr="00EF65AE">
        <w:rPr>
          <w:rFonts w:cs="Arial"/>
        </w:rPr>
        <w:fldChar w:fldCharType="end"/>
      </w:r>
      <w:r w:rsidRPr="00EF65AE">
        <w:rPr>
          <w:rFonts w:cs="Arial"/>
        </w:rPr>
        <w:t xml:space="preserve"> Th</w:t>
      </w:r>
      <w:r w:rsidR="001E624E">
        <w:rPr>
          <w:rFonts w:cs="Arial"/>
        </w:rPr>
        <w:t xml:space="preserve">is </w:t>
      </w:r>
      <w:r w:rsidRPr="00EF65AE">
        <w:rPr>
          <w:rFonts w:cs="Arial"/>
        </w:rPr>
        <w:t>illustrate</w:t>
      </w:r>
      <w:r w:rsidR="001E624E">
        <w:rPr>
          <w:rFonts w:cs="Arial"/>
        </w:rPr>
        <w:t>s</w:t>
      </w:r>
      <w:r w:rsidRPr="00EF65AE">
        <w:rPr>
          <w:rFonts w:cs="Arial"/>
        </w:rPr>
        <w:t xml:space="preserve"> how </w:t>
      </w:r>
      <w:r w:rsidR="00AE4FE4">
        <w:rPr>
          <w:rFonts w:cs="Arial"/>
        </w:rPr>
        <w:t>VAWG</w:t>
      </w:r>
      <w:r w:rsidRPr="00EF65AE">
        <w:rPr>
          <w:rFonts w:cs="Arial"/>
        </w:rPr>
        <w:t>, and violence against children, stem</w:t>
      </w:r>
      <w:r w:rsidR="001E624E">
        <w:rPr>
          <w:rFonts w:cs="Arial"/>
        </w:rPr>
        <w:t>s</w:t>
      </w:r>
      <w:r w:rsidRPr="00EF65AE">
        <w:rPr>
          <w:rFonts w:cs="Arial"/>
        </w:rPr>
        <w:t xml:space="preserve"> from shared risk factors and can lead to common consequences and intergenerational effects. Such intersections are increasingly being mapped at national and regional levels, through targeted research such as that undertaken b</w:t>
      </w:r>
      <w:r w:rsidRPr="001E624E">
        <w:rPr>
          <w:rFonts w:cs="Arial"/>
        </w:rPr>
        <w:t>y</w:t>
      </w:r>
      <w:r w:rsidR="00274B83">
        <w:rPr>
          <w:rFonts w:cs="Arial"/>
        </w:rPr>
        <w:t xml:space="preserve"> the United Nations Children’s Fund (</w:t>
      </w:r>
      <w:r w:rsidRPr="001E624E">
        <w:rPr>
          <w:rFonts w:cs="Arial"/>
        </w:rPr>
        <w:t>UNICEF</w:t>
      </w:r>
      <w:r w:rsidR="00274B83">
        <w:rPr>
          <w:rFonts w:cs="Arial"/>
        </w:rPr>
        <w:t xml:space="preserve">) </w:t>
      </w:r>
      <w:r w:rsidRPr="001E624E">
        <w:rPr>
          <w:rFonts w:cs="Arial"/>
        </w:rPr>
        <w:t xml:space="preserve">and </w:t>
      </w:r>
      <w:r w:rsidRPr="00C82CE4">
        <w:rPr>
          <w:rFonts w:cs="Arial"/>
        </w:rPr>
        <w:t>UNFPA in the</w:t>
      </w:r>
      <w:r w:rsidRPr="00EF65AE">
        <w:rPr>
          <w:rFonts w:cs="Arial"/>
        </w:rPr>
        <w:t xml:space="preserve"> South Pacific</w:t>
      </w:r>
      <w:r w:rsidRPr="00EF65AE">
        <w:rPr>
          <w:rFonts w:cs="Arial"/>
        </w:rPr>
        <w:fldChar w:fldCharType="begin"/>
      </w:r>
      <w:r w:rsidRPr="00EF65AE">
        <w:rPr>
          <w:rFonts w:cs="Arial"/>
        </w:rPr>
        <w:instrText xml:space="preserve"> ADDIN ZOTERO_ITEM CSL_CITATION {"citationID":"WVRZbjh6","properties":{"formattedCitation":"\\super 23\\nosupersub{}","plainCitation":"23","noteIndex":0},"citationItems":[{"id":351,"uris":["http://zotero.org/users/4194704/items/XEKEMZTZ"],"uri":["http://zotero.org/users/4194704/items/XEKEMZTZ"],"itemData":{"id":351,"type":"report","title":"Harmful Connections: Examining the relationship between violence against women and violence against children in the South Pacific","publisher":"UNICEF","publisher-place":"Suva, Fiji","event-place":"Suva, Fiji","author":[{"literal":"UNICEF"}],"issued":{"date-parts":[["2015"]]}}}],"schema":"https://github.com/citation-style-language/schema/raw/master/csl-citation.json"} </w:instrText>
      </w:r>
      <w:r w:rsidRPr="00EF65AE">
        <w:rPr>
          <w:rFonts w:cs="Arial"/>
        </w:rPr>
        <w:fldChar w:fldCharType="separate"/>
      </w:r>
      <w:r w:rsidRPr="00EF65AE">
        <w:rPr>
          <w:rFonts w:cs="Arial"/>
          <w:vertAlign w:val="superscript"/>
          <w:lang w:val="en-US"/>
        </w:rPr>
        <w:t>23</w:t>
      </w:r>
      <w:r w:rsidRPr="00EF65AE">
        <w:rPr>
          <w:rFonts w:cs="Arial"/>
        </w:rPr>
        <w:fldChar w:fldCharType="end"/>
      </w:r>
      <w:r w:rsidR="00C82CE4">
        <w:rPr>
          <w:rFonts w:cs="Arial"/>
        </w:rPr>
        <w:t>,</w:t>
      </w:r>
      <w:r w:rsidRPr="00EF65AE">
        <w:rPr>
          <w:rFonts w:cs="Arial"/>
        </w:rPr>
        <w:t xml:space="preserve"> Eastern Europe and Central Asia</w:t>
      </w:r>
      <w:r w:rsidRPr="00EF65AE">
        <w:rPr>
          <w:rFonts w:cs="Arial"/>
        </w:rPr>
        <w:fldChar w:fldCharType="begin"/>
      </w:r>
      <w:r w:rsidRPr="00EF65AE">
        <w:rPr>
          <w:rFonts w:cs="Arial"/>
        </w:rPr>
        <w:instrText xml:space="preserve"> ADDIN ZOTERO_ITEM CSL_CITATION {"citationID":"GI6YFycc","properties":{"formattedCitation":"\\super 27\\nosupersub{}","plainCitation":"27","noteIndex":0},"citationItems":[{"id":2529,"uris":["http://zotero.org/users/4194704/items/F8K5NCFR"],"uri":["http://zotero.org/users/4194704/items/F8K5NCFR"],"itemData":{"id":2529,"type":"report","title":"Making the Connection: Intimate partner violence and violence against children in Eastern Europe and Central Asia","publisher":"UNICEF &amp; UNFPA","author":[{"family":"UNICEF","given":""},{"family":"UNFPA","given":""}],"issued":{"date-parts":[["2018"]]}}}],"schema":"https://github.com/citation-style-language/schema/raw/master/csl-citation.json"} </w:instrText>
      </w:r>
      <w:r w:rsidRPr="00EF65AE">
        <w:rPr>
          <w:rFonts w:cs="Arial"/>
        </w:rPr>
        <w:fldChar w:fldCharType="separate"/>
      </w:r>
      <w:r w:rsidRPr="00EF65AE">
        <w:rPr>
          <w:rFonts w:cs="Arial"/>
          <w:vertAlign w:val="superscript"/>
          <w:lang w:val="en-US"/>
        </w:rPr>
        <w:t>27</w:t>
      </w:r>
      <w:r w:rsidRPr="00EF65AE">
        <w:rPr>
          <w:rFonts w:cs="Arial"/>
        </w:rPr>
        <w:fldChar w:fldCharType="end"/>
      </w:r>
      <w:r w:rsidR="00C82CE4">
        <w:rPr>
          <w:rFonts w:cs="Arial"/>
        </w:rPr>
        <w:t>,</w:t>
      </w:r>
      <w:r w:rsidRPr="00EF65AE">
        <w:rPr>
          <w:rFonts w:cs="Arial"/>
        </w:rPr>
        <w:t xml:space="preserve"> a</w:t>
      </w:r>
      <w:r w:rsidR="001E624E">
        <w:rPr>
          <w:rFonts w:cs="Arial"/>
        </w:rPr>
        <w:t>s well as in</w:t>
      </w:r>
      <w:r w:rsidRPr="00EF65AE">
        <w:rPr>
          <w:rFonts w:cs="Arial"/>
        </w:rPr>
        <w:t xml:space="preserve"> Latin America and the Caribbean (underway)</w:t>
      </w:r>
      <w:r w:rsidR="001E624E">
        <w:rPr>
          <w:rFonts w:cs="Arial"/>
        </w:rPr>
        <w:t>. This is</w:t>
      </w:r>
      <w:r w:rsidRPr="00EF65AE">
        <w:rPr>
          <w:rFonts w:cs="Arial"/>
        </w:rPr>
        <w:t xml:space="preserve"> building a shared understanding of the connections between VAWG and </w:t>
      </w:r>
      <w:r w:rsidR="001E624E" w:rsidRPr="0045079A">
        <w:rPr>
          <w:rFonts w:cs="Arial"/>
        </w:rPr>
        <w:t>violence against children</w:t>
      </w:r>
      <w:r w:rsidRPr="00EF65AE">
        <w:rPr>
          <w:rFonts w:cs="Arial"/>
        </w:rPr>
        <w:t xml:space="preserve"> within specific contexts. </w:t>
      </w:r>
    </w:p>
    <w:p w14:paraId="50697C0E" w14:textId="77777777" w:rsidR="00C82CE4" w:rsidRDefault="00EF65AE" w:rsidP="00EF65AE">
      <w:pPr>
        <w:rPr>
          <w:rFonts w:cs="Arial"/>
        </w:rPr>
      </w:pPr>
      <w:r w:rsidRPr="00EF65AE">
        <w:rPr>
          <w:rFonts w:cs="Arial"/>
        </w:rPr>
        <w:t>In the prevention sphere, keeping children safe from harm also underpins efforts to protect women and girls, in that</w:t>
      </w:r>
      <w:r w:rsidR="00C82CE4">
        <w:rPr>
          <w:rFonts w:cs="Arial"/>
        </w:rPr>
        <w:t>:</w:t>
      </w:r>
    </w:p>
    <w:p w14:paraId="79C90823" w14:textId="77777777" w:rsidR="00EF65AE" w:rsidRPr="00937123" w:rsidRDefault="00C82CE4" w:rsidP="00F973BE">
      <w:pPr>
        <w:pStyle w:val="ListParagraph"/>
      </w:pPr>
      <w:r w:rsidRPr="00937123">
        <w:t xml:space="preserve">… </w:t>
      </w:r>
      <w:r w:rsidR="00EF65AE" w:rsidRPr="00937123">
        <w:t>associations between childhood exposure to violence and perpetrating or experiencing violence later in life are so strong that they suggest that prevention of violence in childhood may be essential for long-term prevention of VAW.</w:t>
      </w:r>
      <w:r w:rsidR="00EF65AE" w:rsidRPr="00937123">
        <w:fldChar w:fldCharType="begin"/>
      </w:r>
      <w:r w:rsidR="00EF65AE" w:rsidRPr="00937123">
        <w:instrText xml:space="preserve"> ADDIN ZOTERO_ITEM CSL_CITATION {"citationID":"Knwn3BMK","properties":{"formattedCitation":"\\super 25\\nosupersub{}","plainCitation":"25","noteIndex":0},"citationItems":[{"id":148,"uris":["http://zotero.org/users/4194704/items/KDNDQT2G"],"uri":["http://zotero.org/users/4194704/items/KDNDQT2G"],"itemData":{"id":148,"type":"article-journal","title":"Bridging the gaps: a global review of intersections of violence against women and violence against children","container-title":"Global health action","page":"31516","volume":"9","issue":"1","ISSN":"1654-9716","author":[{"family":"Guedes","given":"Alessandra"},{"family":"Bott","given":"Sarah"},{"family":"Garcia-Moreno","given":"Claudia"},{"family":"Colombini","given":"Manuela"}],"issued":{"date-parts":[["2016"]]}}}],"schema":"https://github.com/citation-style-language/schema/raw/master/csl-citation.json"} </w:instrText>
      </w:r>
      <w:r w:rsidR="00EF65AE" w:rsidRPr="00937123">
        <w:fldChar w:fldCharType="separate"/>
      </w:r>
      <w:r w:rsidR="00EF65AE" w:rsidRPr="00937123">
        <w:rPr>
          <w:vertAlign w:val="superscript"/>
          <w:lang w:val="en-US"/>
        </w:rPr>
        <w:t>25</w:t>
      </w:r>
      <w:r w:rsidR="00EF65AE" w:rsidRPr="00937123">
        <w:fldChar w:fldCharType="end"/>
      </w:r>
      <w:r w:rsidR="00EF65AE" w:rsidRPr="00937123">
        <w:t xml:space="preserve"> </w:t>
      </w:r>
    </w:p>
    <w:p w14:paraId="304A2BDD" w14:textId="77777777" w:rsidR="00EF65AE" w:rsidRPr="00EF65AE" w:rsidRDefault="00EF65AE" w:rsidP="009047DB">
      <w:pPr>
        <w:pStyle w:val="Heading3NoTOC"/>
      </w:pPr>
      <w:r w:rsidRPr="00EF65AE">
        <w:t xml:space="preserve">Other forms of violence </w:t>
      </w:r>
    </w:p>
    <w:p w14:paraId="28818E96" w14:textId="42E7169C" w:rsidR="00EF65AE" w:rsidRPr="00EF65AE" w:rsidRDefault="00EF65AE" w:rsidP="00EF65AE">
      <w:pPr>
        <w:rPr>
          <w:rFonts w:cs="Arial"/>
        </w:rPr>
      </w:pPr>
      <w:r w:rsidRPr="00EF65AE">
        <w:rPr>
          <w:rFonts w:cs="Arial"/>
        </w:rPr>
        <w:t xml:space="preserve">Qualitative research from Asia illustrates that sex workers experience a wide </w:t>
      </w:r>
      <w:r w:rsidR="00C82CE4">
        <w:rPr>
          <w:rFonts w:cs="Arial"/>
        </w:rPr>
        <w:t>range</w:t>
      </w:r>
      <w:r w:rsidR="00C82CE4" w:rsidRPr="00EF65AE">
        <w:rPr>
          <w:rFonts w:cs="Arial"/>
        </w:rPr>
        <w:t xml:space="preserve"> </w:t>
      </w:r>
      <w:r w:rsidRPr="00EF65AE">
        <w:rPr>
          <w:rFonts w:cs="Arial"/>
        </w:rPr>
        <w:t>of violence from clients, police, managers, healthcare providers, their own intimate partners, and from others in the community.</w:t>
      </w:r>
      <w:r w:rsidRPr="00EF65AE">
        <w:rPr>
          <w:rFonts w:cs="Arial"/>
        </w:rPr>
        <w:fldChar w:fldCharType="begin"/>
      </w:r>
      <w:r w:rsidRPr="00EF65AE">
        <w:rPr>
          <w:rFonts w:cs="Arial"/>
        </w:rPr>
        <w:instrText xml:space="preserve"> ADDIN ZOTERO_ITEM CSL_CITATION {"citationID":"gLeZLvMc","properties":{"formattedCitation":"\\super 21\\nosupersub{}","plainCitation":"21","noteIndex":0},"citationItems":[{"id":40,"uris":["http://zotero.org/users/4194704/items/75Q5IFCL"],"uri":["http://zotero.org/users/4194704/items/75Q5IFCL"],"itemData":{"id":40,"type":"report","title":"The Right(s) Evidence - Sex Work, Violence and HIV in Asia: A Multi-Country Qualitative Study","publisher":"UNFPA, UNDP, and APNSW (CASAM)","publisher-place":"Bangkok","event-place":"Bangkok","author":[{"family":"Bhattacharjya","given":"Manjima"},{"family":"Fulu","given":"Emma"},{"family":"Murthy","given":"Laxmi"},{"family":"Seshu","given":"Meena Saraswathi"},{"family":"Cabassi","given":"Julia"},{"family":"Vallejo-Mestres","given":"Marta"}],"issued":{"date-parts":[["2015"]]}}}],"schema":"https://github.com/citation-style-language/schema/raw/master/csl-citation.json"} </w:instrText>
      </w:r>
      <w:r w:rsidRPr="00EF65AE">
        <w:rPr>
          <w:rFonts w:cs="Arial"/>
        </w:rPr>
        <w:fldChar w:fldCharType="separate"/>
      </w:r>
      <w:r w:rsidRPr="00EF65AE">
        <w:rPr>
          <w:rFonts w:cs="Arial"/>
          <w:vertAlign w:val="superscript"/>
          <w:lang w:val="en-US"/>
        </w:rPr>
        <w:t>21</w:t>
      </w:r>
      <w:r w:rsidRPr="00EF65AE">
        <w:rPr>
          <w:rFonts w:cs="Arial"/>
        </w:rPr>
        <w:fldChar w:fldCharType="end"/>
      </w:r>
      <w:r w:rsidRPr="00EF65AE">
        <w:rPr>
          <w:rFonts w:cs="Arial"/>
        </w:rPr>
        <w:t xml:space="preserve"> Studies exploring the complex and nuanced forms of violence against sex workers in </w:t>
      </w:r>
      <w:r w:rsidR="00B512F7">
        <w:rPr>
          <w:rFonts w:cs="Arial"/>
        </w:rPr>
        <w:t>the Indo-Pacific</w:t>
      </w:r>
      <w:r w:rsidRPr="00EF65AE">
        <w:rPr>
          <w:rFonts w:cs="Arial"/>
        </w:rPr>
        <w:t xml:space="preserve"> are exceedingly rare</w:t>
      </w:r>
      <w:r w:rsidR="00DF1BEB">
        <w:rPr>
          <w:rFonts w:cs="Arial"/>
        </w:rPr>
        <w:t>. A</w:t>
      </w:r>
      <w:r w:rsidRPr="00EF65AE">
        <w:rPr>
          <w:rFonts w:cs="Arial"/>
        </w:rPr>
        <w:t>s violence against sex workers is inextricably linked to harmful gender social norms, this area requires further research</w:t>
      </w:r>
      <w:r w:rsidR="00E2253F">
        <w:rPr>
          <w:rFonts w:cs="Arial"/>
        </w:rPr>
        <w:t xml:space="preserve">. </w:t>
      </w:r>
    </w:p>
    <w:p w14:paraId="0D47C70B" w14:textId="77777777" w:rsidR="00EF65AE" w:rsidRPr="00EF65AE" w:rsidRDefault="00EF65AE" w:rsidP="00EF65AE">
      <w:pPr>
        <w:rPr>
          <w:rFonts w:cs="Arial"/>
        </w:rPr>
      </w:pPr>
      <w:r w:rsidRPr="00EF65AE">
        <w:rPr>
          <w:rFonts w:cs="Arial"/>
        </w:rPr>
        <w:t>Sexual harassment in public spaces and in workplaces has received increasing attention in recent years. Several</w:t>
      </w:r>
      <w:r w:rsidR="00C82CE4">
        <w:rPr>
          <w:rFonts w:cs="Arial"/>
        </w:rPr>
        <w:t xml:space="preserve"> </w:t>
      </w:r>
      <w:r w:rsidRPr="00EF65AE">
        <w:rPr>
          <w:rFonts w:cs="Arial"/>
        </w:rPr>
        <w:t>respondents in th</w:t>
      </w:r>
      <w:r w:rsidR="00C82CE4">
        <w:rPr>
          <w:rFonts w:cs="Arial"/>
        </w:rPr>
        <w:t>is</w:t>
      </w:r>
      <w:r w:rsidRPr="00EF65AE">
        <w:rPr>
          <w:rFonts w:cs="Arial"/>
        </w:rPr>
        <w:t xml:space="preserve"> evaluation also reported increasing concerns about sexual harassment and abuse in online spaces, as well as the negative impact pornography is having on VAWG, although there is little empirical data on this in the region. </w:t>
      </w:r>
    </w:p>
    <w:p w14:paraId="15ABAD77" w14:textId="17923143" w:rsidR="00EF65AE" w:rsidRPr="00C82CE4" w:rsidRDefault="00EF65AE" w:rsidP="00B83707">
      <w:pPr>
        <w:pStyle w:val="IndentQuote"/>
      </w:pPr>
      <w:r w:rsidRPr="0045079A">
        <w:t>Workplace harassment is very high, and there are many places where women feel insecure. When a girl is going to university, teachers are also harassing girls. ‘If you have relations with me, I will let you pass or give you numbers. And if you are not doing this, I will fail you.’ Blackmailing is there.</w:t>
      </w:r>
      <w:r w:rsidRPr="00C82CE4">
        <w:t xml:space="preserve"> </w:t>
      </w:r>
      <w:r w:rsidR="00467779">
        <w:rPr>
          <w:i w:val="0"/>
          <w:iCs/>
        </w:rPr>
        <w:t xml:space="preserve">– </w:t>
      </w:r>
      <w:r w:rsidR="00A8582F">
        <w:rPr>
          <w:i w:val="0"/>
          <w:iCs/>
        </w:rPr>
        <w:t>Representative of</w:t>
      </w:r>
      <w:r w:rsidRPr="0045079A">
        <w:rPr>
          <w:i w:val="0"/>
          <w:iCs/>
        </w:rPr>
        <w:t xml:space="preserve"> </w:t>
      </w:r>
      <w:r w:rsidR="00A8582F">
        <w:rPr>
          <w:i w:val="0"/>
          <w:iCs/>
        </w:rPr>
        <w:t>l</w:t>
      </w:r>
      <w:r w:rsidRPr="0045079A">
        <w:rPr>
          <w:i w:val="0"/>
          <w:iCs/>
        </w:rPr>
        <w:t>ocal NGO, Pakistan</w:t>
      </w:r>
    </w:p>
    <w:p w14:paraId="762A781B" w14:textId="77777777" w:rsidR="00EF65AE" w:rsidRPr="00EF65AE" w:rsidRDefault="00EF65AE" w:rsidP="00EF65AE">
      <w:pPr>
        <w:rPr>
          <w:rFonts w:cs="Arial"/>
        </w:rPr>
      </w:pPr>
      <w:bookmarkStart w:id="142" w:name="_Hlk18598173"/>
      <w:r w:rsidRPr="00EF65AE">
        <w:rPr>
          <w:rFonts w:cs="Arial"/>
        </w:rPr>
        <w:t>Violence related to accusations of practicing sorcery is found to be common in PNG</w:t>
      </w:r>
      <w:r w:rsidRPr="00A36E43">
        <w:rPr>
          <w:rFonts w:cs="Arial"/>
        </w:rPr>
        <w:t xml:space="preserve">, </w:t>
      </w:r>
      <w:r w:rsidRPr="000350C0">
        <w:rPr>
          <w:rFonts w:cs="Arial"/>
        </w:rPr>
        <w:t>Solomon Islands and Vanuatu, although not all cases of sorcery accusations are related to VAWG. Individuals accused of sorcery or witchcraft are subject to interrogation, torture or murder in ‘payback’ for harm they are thought to have perpetrated. Triggers are often related</w:t>
      </w:r>
      <w:r w:rsidRPr="00EF65AE">
        <w:rPr>
          <w:rFonts w:cs="Arial"/>
        </w:rPr>
        <w:t xml:space="preserve"> to an unexplained illness, death or land grabbing. Violent methods can include beating, breaking bones, burning with hot metal, rape, hanging over fire, cutting body parts slowly, and amputation. If death does not result, the victim may be killed.</w:t>
      </w:r>
      <w:r w:rsidRPr="00EF65AE">
        <w:rPr>
          <w:rFonts w:cs="Arial"/>
        </w:rPr>
        <w:fldChar w:fldCharType="begin"/>
      </w:r>
      <w:r w:rsidRPr="00EF65AE">
        <w:rPr>
          <w:rFonts w:cs="Arial"/>
        </w:rPr>
        <w:instrText xml:space="preserve"> ADDIN ZOTERO_ITEM CSL_CITATION {"citationID":"1m1ZPZJb","properties":{"formattedCitation":"\\super 35,36\\nosupersub{}","plainCitation":"35,36","noteIndex":0},"citationItems":[{"id":"LnUt4Vs6/mwXDtLNS","uris":["http://zotero.org/users/local/dqL838ot/items/8VL5KRZH"],"uri":["http://zotero.org/users/local/dqL838ot/items/8VL5KRZH"],"itemData":{"id":461,"type":"report","title":"The Long Way Home: Relocation of survivors of gender-based violence in PNG","publisher":"Oxfam","publisher-place":"Port Moresby","event-place":"Port Moresby","author":[{"family":"Oxfam","given":""}]}},{"id":"LnUt4Vs6/2XTcSGeD","uris":["http://zotero.org/users/local/dqL838ot/items/8M3RJRWY"],"uri":["http://zotero.org/users/local/dqL838ot/items/8M3RJRWY"],"itemData":{"id":460,"type":"report","title":"Ending Violence against Women and Girls: Evidence, data and knowledge in the Pacific Island Countries - Literature review and annotated bibliography","publisher":"UNIFEM Pacific Sub-Regional Office","publisher-place":"Suva","event-place":"Suva","author":[{"family":"UNIFEM","given":""}],"issued":{"date-parts":[["2010"]]}}}],"schema":"https://github.com/citation-style-language/schema/raw/master/csl-citation.json"} </w:instrText>
      </w:r>
      <w:r w:rsidRPr="00EF65AE">
        <w:rPr>
          <w:rFonts w:cs="Arial"/>
        </w:rPr>
        <w:fldChar w:fldCharType="separate"/>
      </w:r>
      <w:r w:rsidRPr="00EF65AE">
        <w:rPr>
          <w:rFonts w:cs="Arial"/>
          <w:vertAlign w:val="superscript"/>
          <w:lang w:val="en-US"/>
        </w:rPr>
        <w:t>35,36</w:t>
      </w:r>
      <w:r w:rsidRPr="00EF65AE">
        <w:rPr>
          <w:rFonts w:cs="Arial"/>
        </w:rPr>
        <w:fldChar w:fldCharType="end"/>
      </w:r>
    </w:p>
    <w:p w14:paraId="564EA7C2" w14:textId="77777777" w:rsidR="00EF65AE" w:rsidRPr="00EF65AE" w:rsidRDefault="00EF65AE" w:rsidP="00EF65AE">
      <w:pPr>
        <w:rPr>
          <w:rFonts w:cs="Arial"/>
        </w:rPr>
      </w:pPr>
      <w:r w:rsidRPr="00EF65AE">
        <w:rPr>
          <w:rFonts w:cs="Arial"/>
        </w:rPr>
        <w:t>Sorcery accusation-related violence is most severe and frequent in P</w:t>
      </w:r>
      <w:r w:rsidR="00C82CE4">
        <w:rPr>
          <w:rFonts w:cs="Arial"/>
        </w:rPr>
        <w:t>NG</w:t>
      </w:r>
      <w:r w:rsidRPr="00EF65AE">
        <w:rPr>
          <w:rFonts w:cs="Arial"/>
        </w:rPr>
        <w:t xml:space="preserve">, although prevalence figures are scattered and largely based on administrative data. From 2000 to 2006, 75 cases of </w:t>
      </w:r>
      <w:r w:rsidR="00C82CE4">
        <w:rPr>
          <w:rFonts w:cs="Arial"/>
        </w:rPr>
        <w:t>such</w:t>
      </w:r>
      <w:r w:rsidR="00C82CE4" w:rsidRPr="00EF65AE">
        <w:rPr>
          <w:rFonts w:cs="Arial"/>
        </w:rPr>
        <w:t xml:space="preserve"> </w:t>
      </w:r>
      <w:r w:rsidRPr="00EF65AE">
        <w:rPr>
          <w:rFonts w:cs="Arial"/>
        </w:rPr>
        <w:t xml:space="preserve">violence were reported in local newspapers, </w:t>
      </w:r>
      <w:r w:rsidR="00C82CE4">
        <w:rPr>
          <w:rFonts w:cs="Arial"/>
        </w:rPr>
        <w:t>involving</w:t>
      </w:r>
      <w:r w:rsidR="00C82CE4" w:rsidRPr="00EF65AE">
        <w:rPr>
          <w:rFonts w:cs="Arial"/>
        </w:rPr>
        <w:t xml:space="preserve"> </w:t>
      </w:r>
      <w:r w:rsidRPr="00EF65AE">
        <w:rPr>
          <w:rFonts w:cs="Arial"/>
        </w:rPr>
        <w:t>147 victims. These figures, however, likely under-represent the true number of cases because sorcery accusation-related violence is rarely reported to appropriate authorities or to the media.</w:t>
      </w:r>
      <w:r w:rsidRPr="00EF65AE">
        <w:rPr>
          <w:rFonts w:cs="Arial"/>
        </w:rPr>
        <w:fldChar w:fldCharType="begin"/>
      </w:r>
      <w:r w:rsidRPr="00EF65AE">
        <w:rPr>
          <w:rFonts w:cs="Arial"/>
        </w:rPr>
        <w:instrText xml:space="preserve"> ADDIN ZOTERO_ITEM CSL_CITATION {"citationID":"gOlcgiYx","properties":{"formattedCitation":"\\super 37\\nosupersub{}","plainCitation":"37","noteIndex":0},"citationItems":[{"id":"LnUt4Vs6/CMsxilnf","uris":["http://zotero.org/users/local/dqL838ot/items/ICLLU4K2"],"uri":["http://zotero.org/users/local/dqL838ot/items/ICLLU4K2"],"itemData":{"id":462,"type":"chapter","title":"The spread of sorcery killing and its social implications","container-title":"Talking it Through: Responses to sorcery and witchcraft beliefs and practices in Melanesia","publisher":"ANU Press","publisher-place":"Canberra","event-place":"Canberra","author":[{"family":"Urame","given":"Jack"}],"editor":[{"family":"Forsyth","given":"Miranda"},{"family":"Eves","given":"Richard"}],"issued":{"date-parts":[["2015"]]}}}],"schema":"https://github.com/citation-style-language/schema/raw/master/csl-citation.json"} </w:instrText>
      </w:r>
      <w:r w:rsidRPr="00EF65AE">
        <w:rPr>
          <w:rFonts w:cs="Arial"/>
        </w:rPr>
        <w:fldChar w:fldCharType="separate"/>
      </w:r>
      <w:r w:rsidRPr="00EF65AE">
        <w:rPr>
          <w:rFonts w:cs="Arial"/>
          <w:vertAlign w:val="superscript"/>
          <w:lang w:val="en-US"/>
        </w:rPr>
        <w:t>37</w:t>
      </w:r>
      <w:r w:rsidRPr="00EF65AE">
        <w:rPr>
          <w:rFonts w:cs="Arial"/>
        </w:rPr>
        <w:fldChar w:fldCharType="end"/>
      </w:r>
      <w:r w:rsidRPr="00EF65AE">
        <w:rPr>
          <w:rFonts w:cs="Arial"/>
        </w:rPr>
        <w:t xml:space="preserve"> </w:t>
      </w:r>
    </w:p>
    <w:bookmarkEnd w:id="142"/>
    <w:p w14:paraId="6F703002" w14:textId="77777777" w:rsidR="00FA1CE5" w:rsidRDefault="00FA1CE5">
      <w:pPr>
        <w:numPr>
          <w:ilvl w:val="0"/>
          <w:numId w:val="0"/>
        </w:numPr>
        <w:rPr>
          <w:rFonts w:asciiTheme="majorHAnsi" w:eastAsiaTheme="majorEastAsia" w:hAnsiTheme="majorHAnsi" w:cstheme="majorBidi"/>
          <w:b/>
          <w:bCs/>
          <w:color w:val="000000" w:themeColor="text1"/>
          <w:sz w:val="20"/>
        </w:rPr>
      </w:pPr>
      <w:r>
        <w:br w:type="page"/>
      </w:r>
    </w:p>
    <w:p w14:paraId="2286925F" w14:textId="5DA07332" w:rsidR="00EF65AE" w:rsidRPr="00EF65AE" w:rsidRDefault="00EF65AE" w:rsidP="00CD43A2">
      <w:pPr>
        <w:pStyle w:val="Heading3NoTOC"/>
      </w:pPr>
      <w:r w:rsidRPr="00EF65AE">
        <w:t xml:space="preserve">Drivers of violence </w:t>
      </w:r>
    </w:p>
    <w:p w14:paraId="1FAA18A3" w14:textId="55DEF89A" w:rsidR="00EF65AE" w:rsidRPr="00EF65AE" w:rsidRDefault="00C82CE4" w:rsidP="00EF65AE">
      <w:pPr>
        <w:rPr>
          <w:rFonts w:cs="Arial"/>
        </w:rPr>
      </w:pPr>
      <w:r>
        <w:rPr>
          <w:rFonts w:cs="Arial"/>
        </w:rPr>
        <w:t>While VAWG</w:t>
      </w:r>
      <w:r w:rsidR="00EF65AE" w:rsidRPr="00EF65AE">
        <w:rPr>
          <w:rFonts w:cs="Arial"/>
        </w:rPr>
        <w:t xml:space="preserve"> is fundamentally driven by gender inequality, vari</w:t>
      </w:r>
      <w:r>
        <w:rPr>
          <w:rFonts w:cs="Arial"/>
        </w:rPr>
        <w:t>ous</w:t>
      </w:r>
      <w:r w:rsidR="00EF65AE" w:rsidRPr="00EF65AE">
        <w:rPr>
          <w:rFonts w:cs="Arial"/>
        </w:rPr>
        <w:t xml:space="preserve"> factors, at different times during a person’s life, interact and contribute to violence occurri</w:t>
      </w:r>
      <w:r w:rsidR="00EF65AE" w:rsidRPr="00C82CE4">
        <w:rPr>
          <w:rFonts w:cs="Arial"/>
        </w:rPr>
        <w:t>ng.</w:t>
      </w:r>
      <w:r w:rsidR="00EF65AE" w:rsidRPr="00C82CE4">
        <w:rPr>
          <w:rFonts w:cs="Arial"/>
        </w:rPr>
        <w:fldChar w:fldCharType="begin"/>
      </w:r>
      <w:r w:rsidR="00EF65AE" w:rsidRPr="00E977D0">
        <w:rPr>
          <w:rFonts w:cs="Arial"/>
        </w:rPr>
        <w:instrText xml:space="preserve"> ADDIN ZOTERO_ITEM CSL_CITATION {"citationID":"FQS6eUxY","properties":{"formattedCitation":"\\super 38\\uc0\\u8211{}40\\nosupersub{}","plainCitation":"38–40","noteIndex":0},"citationItems":[{"id":74,"uris":["http://zotero.org/users/4194704/items/WCD967TI"],"uri":["http://zotero.org/users/4194704/items/WCD967TI"],"itemData":{"id":74,"type":"article-journal","title":"Understanding violence against women","author":[{"family":"Crowell","given":"N. A."},{"family":"Burgess","given":"A. W."}],"issued":{"date-parts":[["1996"]]}}},{"id":1033,"uris":["http://zotero.org/users/4194704/items/GS54LAXH"],"uri":["http://zotero.org/users/4194704/items/GS54LAXH"],"itemData":{"id":1033,"type":"article-journal","title":"Violence against women: an integrated, ecological framework","container-title":"Violence Against Women","page":"262-290","volume":"4","issue":"3","abstract":"This article encourages the widespread adoption of an integrated, ecological framework for understanding the origins of gender-based violence. An ecological approach to abuse conceptualizes violence as a multifaceted phenomenon grounded in an interplay among personal, situational, and sociocultural factors. Although drawing on the conceptual advances of earlier theorists, this article goes beyond their work in three significant ways. First, it uses the ecological framework as a heuristic tool to organize the existing research base into an intelligible whole. Whereas other theorists present the framework as a way to think about violence, few have attempted to establish what factors emerge as predictive of abuse at each level of the social ecology. Second, this article integrates results from international and cross-cultural research together with findings from North American social science. And finally, the framework draws from findings related to all types of physical and sexual abuse of women to encourage a more integrated approach to theory building regarding gender-based abuse.","DOI":"10.1177/1077801298004003002","ISSN":"1077-8012","journalAbbreviation":"Violence Against Women","author":[{"family":"Heise","given":"L. L."}],"issued":{"date-parts":[["1998"]]}}},{"id":161,"uris":["http://zotero.org/users/4194704/items/HNSA2ILU"],"uri":["http://zotero.org/users/4194704/items/HNSA2ILU"],"itemData":{"id":161,"type":"report","title":"What works to prevent partner violence: An evidence overview","publisher":"STRIVE Research Consortium, London School of Hygiene and Tropical Medicine","publisher-place":"London","event-place":"London","author":[{"family":"Heise","given":"Lori"}],"issued":{"date-parts":[["2011"]]}}}],"schema":"https://github.com/citation-style-language/schema/raw/master/csl-citation.json"} </w:instrText>
      </w:r>
      <w:r w:rsidR="00EF65AE" w:rsidRPr="00C82CE4">
        <w:rPr>
          <w:rFonts w:cs="Arial"/>
        </w:rPr>
        <w:fldChar w:fldCharType="separate"/>
      </w:r>
      <w:r w:rsidR="00EF65AE" w:rsidRPr="00C82CE4">
        <w:rPr>
          <w:rFonts w:cs="Arial"/>
          <w:vertAlign w:val="superscript"/>
          <w:lang w:val="en-US"/>
        </w:rPr>
        <w:t>38–</w:t>
      </w:r>
      <w:r w:rsidR="00EF65AE" w:rsidRPr="00C82CE4">
        <w:rPr>
          <w:rFonts w:cs="Arial"/>
        </w:rPr>
        <w:fldChar w:fldCharType="end"/>
      </w:r>
      <w:r w:rsidR="00EF65AE" w:rsidRPr="00C82CE4">
        <w:rPr>
          <w:rFonts w:cs="Arial"/>
        </w:rPr>
        <w:fldChar w:fldCharType="begin"/>
      </w:r>
      <w:r w:rsidR="00EF65AE" w:rsidRPr="00E977D0">
        <w:rPr>
          <w:rFonts w:cs="Arial"/>
        </w:rPr>
        <w:instrText xml:space="preserve"> ADDIN ZOTERO_ITEM CSL_CITATION {"citationID":"OzA3Gkaq","properties":{"formattedCitation":"\\super 41\\nosupersub{}","plainCitation":"41","noteIndex":0},"citationItems":[{"id":254,"uris":["http://zotero.org/users/4194704/items/SIZBT9GC"],"uri":["http://zotero.org/users/4194704/items/SIZBT9GC"],"itemData":{"id":254,"type":"report","title":"Change the story: A shared framework for the primary prevention of violence against women and their children in Australia","publisher":"Our Watch","publisher-place":"Melbourne","event-place":"Melbourne","author":[{"literal":"Our Watch"},{"literal":"Australia’s National Research Organisation for Women’s Safety (ANROWS)"},{"literal":"VicHealth"}],"issued":{"date-parts":[["2015"]]}}}],"schema":"https://github.com/citation-style-language/schema/raw/master/csl-citation.json"} </w:instrText>
      </w:r>
      <w:r w:rsidR="00EF65AE" w:rsidRPr="00C82CE4">
        <w:rPr>
          <w:rFonts w:cs="Arial"/>
        </w:rPr>
        <w:fldChar w:fldCharType="separate"/>
      </w:r>
      <w:r w:rsidR="00EF65AE" w:rsidRPr="00C82CE4">
        <w:rPr>
          <w:rFonts w:cs="Arial"/>
          <w:vertAlign w:val="superscript"/>
          <w:lang w:val="en-US"/>
        </w:rPr>
        <w:t>41</w:t>
      </w:r>
      <w:r w:rsidR="00EF65AE" w:rsidRPr="00C82CE4">
        <w:rPr>
          <w:rFonts w:cs="Arial"/>
        </w:rPr>
        <w:fldChar w:fldCharType="end"/>
      </w:r>
      <w:r w:rsidR="00EF65AE" w:rsidRPr="00C82CE4">
        <w:rPr>
          <w:rFonts w:cs="Arial"/>
        </w:rPr>
        <w:t xml:space="preserve"> For example</w:t>
      </w:r>
      <w:r w:rsidR="00EF65AE" w:rsidRPr="00EF65AE">
        <w:rPr>
          <w:rFonts w:cs="Arial"/>
        </w:rPr>
        <w:t>, individual characteristics</w:t>
      </w:r>
      <w:r>
        <w:rPr>
          <w:rFonts w:cs="Arial"/>
        </w:rPr>
        <w:t>,</w:t>
      </w:r>
      <w:r w:rsidR="00EF65AE" w:rsidRPr="00EF65AE">
        <w:rPr>
          <w:rFonts w:cs="Arial"/>
        </w:rPr>
        <w:t xml:space="preserve"> such as alcohol abuse or mental illness</w:t>
      </w:r>
      <w:r>
        <w:rPr>
          <w:rFonts w:cs="Arial"/>
        </w:rPr>
        <w:t>,</w:t>
      </w:r>
      <w:r w:rsidR="00EF65AE" w:rsidRPr="00EF65AE">
        <w:rPr>
          <w:rFonts w:cs="Arial"/>
        </w:rPr>
        <w:t xml:space="preserve"> do not, on their own, cause men to be violent, but they interact with other factors to increase the likelihood of men using violence.</w:t>
      </w:r>
      <w:r w:rsidR="00EF65AE" w:rsidRPr="00EF65AE">
        <w:rPr>
          <w:rFonts w:cs="Arial"/>
        </w:rPr>
        <w:fldChar w:fldCharType="begin"/>
      </w:r>
      <w:r w:rsidR="00EF65AE" w:rsidRPr="00EF65AE">
        <w:rPr>
          <w:rFonts w:cs="Arial"/>
        </w:rPr>
        <w:instrText xml:space="preserve"> ADDIN ZOTERO_ITEM CSL_CITATION {"citationID":"IzsB8Y7l","properties":{"formattedCitation":"\\super 42\\nosupersub{}","plainCitation":"42","noteIndex":0},"citationItems":[{"id":340,"uris":["http://zotero.org/users/4194704/items/U5QARWWM"],"uri":["http://zotero.org/users/4194704/items/U5QARWWM"],"itemData":{"id":340,"type":"report","title":"Progress of the World’s Women 2018","publisher":"UN Women","author":[{"literal":"UN Women"}],"issued":{"date-parts":[["0000"]],"season":"forthcoming forthcoming"}}}],"schema":"https://github.com/citation-style-language/schema/raw/master/csl-citation.json"}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42</w:t>
      </w:r>
      <w:r w:rsidR="00EF65AE" w:rsidRPr="00EF65AE">
        <w:rPr>
          <w:rFonts w:cs="Arial"/>
        </w:rPr>
        <w:fldChar w:fldCharType="end"/>
      </w:r>
    </w:p>
    <w:p w14:paraId="5B7FDBB0" w14:textId="3CB0787B" w:rsidR="00EF65AE" w:rsidRDefault="00C07D10" w:rsidP="00C07D10">
      <w:pPr>
        <w:pStyle w:val="Caption"/>
      </w:pPr>
      <w:bookmarkStart w:id="143" w:name="_Toc23434586"/>
      <w:r>
        <w:t xml:space="preserve">Figure </w:t>
      </w:r>
      <w:fldSimple w:instr=" SEQ Figure \* ARABIC ">
        <w:r w:rsidR="00760839">
          <w:rPr>
            <w:noProof/>
          </w:rPr>
          <w:t>4</w:t>
        </w:r>
      </w:fldSimple>
      <w:r w:rsidR="00EF65AE" w:rsidRPr="00EF65AE">
        <w:t xml:space="preserve">: The </w:t>
      </w:r>
      <w:r w:rsidR="006630FC">
        <w:t>Socio-e</w:t>
      </w:r>
      <w:r w:rsidR="00EF65AE" w:rsidRPr="00C82CE4">
        <w:t>c</w:t>
      </w:r>
      <w:r w:rsidR="00EF65AE" w:rsidRPr="0045079A">
        <w:t>olog</w:t>
      </w:r>
      <w:r w:rsidR="00EF65AE" w:rsidRPr="00C82CE4">
        <w:t>ical Fr</w:t>
      </w:r>
      <w:r w:rsidR="00EF65AE" w:rsidRPr="00EF65AE">
        <w:t>amework</w:t>
      </w:r>
      <w:bookmarkEnd w:id="143"/>
    </w:p>
    <w:p w14:paraId="590AD2CF" w14:textId="77777777" w:rsidR="00726D55" w:rsidRPr="00726D55" w:rsidRDefault="00726D55" w:rsidP="00726D55"/>
    <w:p w14:paraId="531BCACC" w14:textId="77777777" w:rsidR="00EF65AE" w:rsidRPr="00EF65AE" w:rsidRDefault="00B42C70" w:rsidP="00EF65AE">
      <w:pPr>
        <w:rPr>
          <w:rFonts w:cs="Arial"/>
        </w:rPr>
      </w:pPr>
      <w:r>
        <w:rPr>
          <w:noProof/>
          <w:lang w:eastAsia="en-AU"/>
        </w:rPr>
        <w:drawing>
          <wp:anchor distT="71755" distB="71755" distL="114300" distR="114300" simplePos="0" relativeHeight="251668480" behindDoc="0" locked="0" layoutInCell="1" allowOverlap="1" wp14:anchorId="3F986724" wp14:editId="536E17BA">
            <wp:simplePos x="0" y="0"/>
            <wp:positionH relativeFrom="column">
              <wp:posOffset>-6985</wp:posOffset>
            </wp:positionH>
            <wp:positionV relativeFrom="paragraph">
              <wp:posOffset>0</wp:posOffset>
            </wp:positionV>
            <wp:extent cx="2959200" cy="2959200"/>
            <wp:effectExtent l="0" t="0" r="0" b="0"/>
            <wp:wrapTopAndBottom/>
            <wp:docPr id="34" name="Picture 34" descr="Figure 4 has five concentric circles, each a component of the Socio-ecological framework. &#10;&#10;The female is in the centre. The circle nearest to her represents family and relationships. The next circle out is community. Then society. Then glob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ological Mode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200" cy="2959200"/>
                    </a:xfrm>
                    <a:prstGeom prst="rect">
                      <a:avLst/>
                    </a:prstGeom>
                  </pic:spPr>
                </pic:pic>
              </a:graphicData>
            </a:graphic>
            <wp14:sizeRelH relativeFrom="margin">
              <wp14:pctWidth>0</wp14:pctWidth>
            </wp14:sizeRelH>
            <wp14:sizeRelV relativeFrom="margin">
              <wp14:pctHeight>0</wp14:pctHeight>
            </wp14:sizeRelV>
          </wp:anchor>
        </w:drawing>
      </w:r>
    </w:p>
    <w:p w14:paraId="6C3FE878" w14:textId="77777777" w:rsidR="00DF1BEB" w:rsidRPr="00E509F9" w:rsidRDefault="00E509F9" w:rsidP="00E509F9">
      <w:pPr>
        <w:rPr>
          <w:rFonts w:cs="Arial"/>
        </w:rPr>
      </w:pPr>
      <w:bookmarkStart w:id="144" w:name="_Hlk17801883"/>
      <w:r>
        <w:rPr>
          <w:rFonts w:cs="Arial"/>
        </w:rPr>
        <w:t>The Socio-e</w:t>
      </w:r>
      <w:r w:rsidR="00EF65AE" w:rsidRPr="00E509F9">
        <w:rPr>
          <w:rFonts w:cs="Arial"/>
        </w:rPr>
        <w:t>cological Framework</w:t>
      </w:r>
      <w:bookmarkEnd w:id="144"/>
      <w:r w:rsidR="00EF65AE" w:rsidRPr="00E509F9">
        <w:rPr>
          <w:rFonts w:cs="Arial"/>
        </w:rPr>
        <w:fldChar w:fldCharType="begin"/>
      </w:r>
      <w:r w:rsidR="00EF65AE" w:rsidRPr="00E509F9">
        <w:rPr>
          <w:rFonts w:cs="Arial"/>
        </w:rPr>
        <w:instrText xml:space="preserve"> ADDIN ZOTERO_ITEM CSL_CITATION {"citationID":"j1X0LzsE","properties":{"formattedCitation":"\\super 39\\nosupersub{}","plainCitation":"39","noteIndex":0},"citationItems":[{"id":1033,"uris":["http://zotero.org/users/4194704/items/GS54LAXH"],"uri":["http://zotero.org/users/4194704/items/GS54LAXH"],"itemData":{"id":1033,"type":"article-journal","title":"Violence against women: an integrated, ecological framework","container-title":"Violence Against Women","page":"262-290","volume":"4","issue":"3","abstract":"This article encourages the widespread adoption of an integrated, ecological framework for understanding the origins of gender-based violence. An ecological approach to abuse conceptualizes violence as a multifaceted phenomenon grounded in an interplay among personal, situational, and sociocultural factors. Although drawing on the conceptual advances of earlier theorists, this article goes beyond their work in three significant ways. First, it uses the ecological framework as a heuristic tool to organize the existing research base into an intelligible whole. Whereas other theorists present the framework as a way to think about violence, few have attempted to establish what factors emerge as predictive of abuse at each level of the social ecology. Second, this article integrates results from international and cross-cultural research together with findings from North American social science. And finally, the framework draws from findings related to all types of physical and sexual abuse of women to encourage a more integrated approach to theory building regarding gender-based abuse.","DOI":"10.1177/1077801298004003002","ISSN":"1077-8012","journalAbbreviation":"Violence Against Women","author":[{"family":"Heise","given":"L. L."}],"issued":{"date-parts":[["1998"]]}}}],"schema":"https://github.com/citation-style-language/schema/raw/master/csl-citation.json"} </w:instrText>
      </w:r>
      <w:r w:rsidR="00EF65AE" w:rsidRPr="00E509F9">
        <w:rPr>
          <w:rFonts w:cs="Arial"/>
        </w:rPr>
        <w:fldChar w:fldCharType="separate"/>
      </w:r>
      <w:r w:rsidR="00EF65AE" w:rsidRPr="00E509F9">
        <w:rPr>
          <w:rFonts w:cs="Arial"/>
          <w:vertAlign w:val="superscript"/>
          <w:lang w:val="en-US"/>
        </w:rPr>
        <w:t>39</w:t>
      </w:r>
      <w:r w:rsidR="00EF65AE" w:rsidRPr="00E509F9">
        <w:rPr>
          <w:rFonts w:cs="Arial"/>
        </w:rPr>
        <w:fldChar w:fldCharType="end"/>
      </w:r>
      <w:r w:rsidR="00EF65AE" w:rsidRPr="00E509F9">
        <w:rPr>
          <w:rFonts w:cs="Arial"/>
        </w:rPr>
        <w:t xml:space="preserve"> (</w:t>
      </w:r>
      <w:r w:rsidR="00C82CE4" w:rsidRPr="00E509F9">
        <w:rPr>
          <w:rFonts w:cs="Arial"/>
        </w:rPr>
        <w:t xml:space="preserve">Figure </w:t>
      </w:r>
      <w:r w:rsidR="001D06A3" w:rsidRPr="00E509F9">
        <w:rPr>
          <w:rFonts w:cs="Arial"/>
        </w:rPr>
        <w:t>4</w:t>
      </w:r>
      <w:r w:rsidR="00EF65AE" w:rsidRPr="00E509F9">
        <w:rPr>
          <w:rFonts w:cs="Arial"/>
        </w:rPr>
        <w:t>) is a useful tool for understanding the drivers of violence across multiple levels, including</w:t>
      </w:r>
      <w:r w:rsidR="00DF1BEB" w:rsidRPr="00E509F9">
        <w:rPr>
          <w:rFonts w:cs="Arial"/>
        </w:rPr>
        <w:t>:</w:t>
      </w:r>
    </w:p>
    <w:p w14:paraId="6AC6472A" w14:textId="77777777" w:rsidR="00DF1BEB" w:rsidRDefault="00EF65AE" w:rsidP="00DF1BEB">
      <w:pPr>
        <w:pStyle w:val="ListBullet"/>
      </w:pPr>
      <w:r w:rsidRPr="00EF65AE">
        <w:t>an individual’s own experiences and characteristics</w:t>
      </w:r>
    </w:p>
    <w:p w14:paraId="53A514F6" w14:textId="77777777" w:rsidR="00DF1BEB" w:rsidRDefault="00EF65AE" w:rsidP="00DF1BEB">
      <w:pPr>
        <w:pStyle w:val="ListBullet"/>
      </w:pPr>
      <w:r w:rsidRPr="00EF65AE">
        <w:t>the dynamics of their relationship</w:t>
      </w:r>
      <w:r w:rsidR="00C82CE4">
        <w:t>s</w:t>
      </w:r>
    </w:p>
    <w:p w14:paraId="7F220132" w14:textId="77777777" w:rsidR="00DF1BEB" w:rsidRDefault="00EF65AE" w:rsidP="00DF1BEB">
      <w:pPr>
        <w:pStyle w:val="ListBullet"/>
      </w:pPr>
      <w:r w:rsidRPr="00EF65AE">
        <w:t>their community context and gender norms</w:t>
      </w:r>
    </w:p>
    <w:p w14:paraId="5694E794" w14:textId="77777777" w:rsidR="00EF65AE" w:rsidRPr="00EF65AE" w:rsidRDefault="00EF65AE" w:rsidP="001D06A3">
      <w:pPr>
        <w:pStyle w:val="ListBullet"/>
      </w:pPr>
      <w:r w:rsidRPr="00EF65AE">
        <w:t xml:space="preserve">the laws, policies, and practices governing the society in which they live. </w:t>
      </w:r>
    </w:p>
    <w:p w14:paraId="298501E4" w14:textId="77777777" w:rsidR="00EF65AE" w:rsidRPr="00EF65AE" w:rsidRDefault="00EF65AE" w:rsidP="00EF65AE">
      <w:pPr>
        <w:rPr>
          <w:rFonts w:cs="Arial"/>
        </w:rPr>
      </w:pPr>
      <w:r w:rsidRPr="00EF65AE">
        <w:rPr>
          <w:rFonts w:cs="Arial"/>
        </w:rPr>
        <w:t>There is general consensus that unequal gender power relations and discrimination against women and girls are root causes of violence against women, however gender inequality does not look the same in every country and context.</w:t>
      </w:r>
      <w:r w:rsidRPr="00EF65AE">
        <w:rPr>
          <w:rFonts w:cs="Arial"/>
        </w:rPr>
        <w:fldChar w:fldCharType="begin"/>
      </w:r>
      <w:r w:rsidRPr="00EF65AE">
        <w:rPr>
          <w:rFonts w:cs="Arial"/>
        </w:rPr>
        <w:instrText xml:space="preserve"> ADDIN ZOTERO_ITEM CSL_CITATION {"citationID":"qMaj8aL8","properties":{"formattedCitation":"\\super 41,42\\nosupersub{}","plainCitation":"41,42","noteIndex":0},"citationItems":[{"id":340,"uris":["http://zotero.org/users/4194704/items/U5QARWWM"],"uri":["http://zotero.org/users/4194704/items/U5QARWWM"],"itemData":{"id":340,"type":"report","title":"Progress of the World’s Women 2018","publisher":"UN Women","author":[{"literal":"UN Women"}],"issued":{"date-parts":[["0000"]],"season":"forthcoming forthcoming"}}},{"id":254,"uris":["http://zotero.org/users/4194704/items/SIZBT9GC"],"uri":["http://zotero.org/users/4194704/items/SIZBT9GC"],"itemData":{"id":254,"type":"report","title":"Change the story: A shared framework for the primary prevention of violence against women and their children in Australia","publisher":"Our Watch","publisher-place":"Melbourne","event-place":"Melbourne","author":[{"literal":"Our Watch"},{"literal":"Australia’s National Research Organisation for Women’s Safety (ANROWS)"},{"literal":"VicHealth"}],"issued":{"date-parts":[["2015"]]}}}],"schema":"https://github.com/citation-style-language/schema/raw/master/csl-citation.json"} </w:instrText>
      </w:r>
      <w:r w:rsidRPr="00EF65AE">
        <w:rPr>
          <w:rFonts w:cs="Arial"/>
        </w:rPr>
        <w:fldChar w:fldCharType="separate"/>
      </w:r>
      <w:r w:rsidRPr="00EF65AE">
        <w:rPr>
          <w:rFonts w:cs="Arial"/>
          <w:vertAlign w:val="superscript"/>
          <w:lang w:val="en-US"/>
        </w:rPr>
        <w:t>41,42</w:t>
      </w:r>
      <w:r w:rsidRPr="00EF65AE">
        <w:rPr>
          <w:rFonts w:cs="Arial"/>
        </w:rPr>
        <w:fldChar w:fldCharType="end"/>
      </w:r>
    </w:p>
    <w:p w14:paraId="6EA65B98" w14:textId="77777777" w:rsidR="00EF65AE" w:rsidRPr="00EF65AE" w:rsidRDefault="00EF65AE" w:rsidP="00EF65AE">
      <w:pPr>
        <w:rPr>
          <w:rFonts w:cs="Arial"/>
        </w:rPr>
      </w:pPr>
      <w:r w:rsidRPr="00EF65AE">
        <w:rPr>
          <w:rFonts w:cs="Arial"/>
        </w:rPr>
        <w:t>In many countries, individual attitudes justify men’s violence as a way for men to discipline women who do not adhere to gendered</w:t>
      </w:r>
      <w:r w:rsidR="00C82CE4">
        <w:rPr>
          <w:rFonts w:cs="Arial"/>
        </w:rPr>
        <w:t xml:space="preserve"> behavioural</w:t>
      </w:r>
      <w:r w:rsidRPr="00EF65AE">
        <w:rPr>
          <w:rFonts w:cs="Arial"/>
        </w:rPr>
        <w:t xml:space="preserve"> expectations.</w:t>
      </w:r>
      <w:r w:rsidRPr="00EF65AE">
        <w:rPr>
          <w:rFonts w:cs="Arial"/>
        </w:rPr>
        <w:fldChar w:fldCharType="begin"/>
      </w:r>
      <w:r w:rsidRPr="00EF65AE">
        <w:rPr>
          <w:rFonts w:cs="Arial"/>
        </w:rPr>
        <w:instrText xml:space="preserve"> ADDIN ZOTERO_ITEM CSL_CITATION {"citationID":"4vk44lfW","properties":{"formattedCitation":"\\super 42\\nosupersub{}","plainCitation":"42","noteIndex":0},"citationItems":[{"id":340,"uris":["http://zotero.org/users/4194704/items/U5QARWWM"],"uri":["http://zotero.org/users/4194704/items/U5QARWWM"],"itemData":{"id":340,"type":"report","title":"Progress of the World’s Women 2018","publisher":"UN Women","author":[{"literal":"UN Women"}],"issued":{"date-parts":[["0000"]],"season":"forthcoming forthcoming"}}}],"schema":"https://github.com/citation-style-language/schema/raw/master/csl-citation.json"} </w:instrText>
      </w:r>
      <w:r w:rsidRPr="00EF65AE">
        <w:rPr>
          <w:rFonts w:cs="Arial"/>
        </w:rPr>
        <w:fldChar w:fldCharType="separate"/>
      </w:r>
      <w:r w:rsidRPr="00EF65AE">
        <w:rPr>
          <w:rFonts w:cs="Arial"/>
          <w:vertAlign w:val="superscript"/>
          <w:lang w:val="en-US"/>
        </w:rPr>
        <w:t>42</w:t>
      </w:r>
      <w:r w:rsidRPr="00EF65AE">
        <w:rPr>
          <w:rFonts w:cs="Arial"/>
        </w:rPr>
        <w:fldChar w:fldCharType="end"/>
      </w:r>
      <w:r w:rsidRPr="00EF65AE">
        <w:rPr>
          <w:rFonts w:cs="Arial"/>
        </w:rPr>
        <w:t xml:space="preserve"> In many countries in Asia and the Pacific, physical violence is accepted as a form of discipline for women who do not fulfil their roles of being obedient, faithful, fertile, and perform household chores.</w:t>
      </w:r>
      <w:r w:rsidRPr="00EF65AE">
        <w:rPr>
          <w:rFonts w:cs="Arial"/>
        </w:rPr>
        <w:fldChar w:fldCharType="begin"/>
      </w:r>
      <w:r w:rsidRPr="00EF65AE">
        <w:rPr>
          <w:rFonts w:cs="Arial"/>
        </w:rPr>
        <w:instrText xml:space="preserve"> ADDIN ZOTERO_ITEM CSL_CITATION {"citationID":"Z1tSpnx3","properties":{"formattedCitation":"\\super 42\\uc0\\u8211{}46\\nosupersub{}","plainCitation":"42–46","noteIndex":0},"citationItems":[{"id":340,"uris":["http://zotero.org/users/4194704/items/U5QARWWM"],"uri":["http://zotero.org/users/4194704/items/U5QARWWM"],"itemData":{"id":340,"type":"report","title":"Progress of the World’s Women 2018","publisher":"UN Women","author":[{"literal":"UN Women"}],"issued":{"date-parts":[["0000"]],"season":"forthcoming forthcoming"}}},{"id":293,"uris":["http://zotero.org/users/4194704/items/FTRDN9T3"],"uri":["http://zotero.org/users/4194704/items/FTRDN9T3"],"itemData":{"id":293,"type":"report","title":"Kiribati Family Health and Support Study: A study on violence against women and children","publisher":"Secretariat of the Pacific Community","publisher-place":"Noumea, New Caledonia","event-place":"Noumea, New Caledonia","author":[{"literal":"Secretariat of the Pacific Community (SPC)"}],"issued":{"date-parts":[["2010"]]}}},{"id":156,"uris":["http://zotero.org/users/4194704/items/273AYCZR"],"uri":["http://zotero.org/users/4194704/items/273AYCZR"],"itemData":{"id":156,"type":"article-journal","title":"The Haven Becomes Hell","container-title":"Lahore, Pakistan: Shirkat Gah","author":[{"family":"Hassan","given":"Yasmine"}],"issued":{"date-parts":[["1995"]]}}},{"id":194,"uris":["http://zotero.org/users/4194704/items/RLBUD4TA"],"uri":["http://zotero.org/users/4194704/items/RLBUD4TA"],"itemData":{"id":194,"type":"article-journal","title":"Adolescent sexual and reproductive behavior: a review of the evidence from India","container-title":"Social Science &amp; Medicine","page":"1275-1290","volume":"46","issue":"10","ISSN":"0277-9536","author":[{"family":"Jejeebhoy","given":"Shireen J."}],"issued":{"date-parts":[["1998"]]}}},{"id":290,"uris":["http://zotero.org/users/4194704/items/YUV8MUB6"],"uri":["http://zotero.org/users/4194704/items/YUV8MUB6"],"itemData":{"id":290,"type":"article-journal","title":"Justification of intimate partner violence in rural Bangladesh: what survey questions fail to capture","container-title":"Studies in family planning","page":"21-28","volume":"42","issue":"1","ISSN":"1728-4465","author":[{"family":"Schuler","given":"Sidney Ruth"},{"family":"Lenzi","given":"Rachel"},{"family":"Yount","given":"Kathryn M."}],"issued":{"date-parts":[["2011"]]}}}],"schema":"https://github.com/citation-style-language/schema/raw/master/csl-citation.json"} </w:instrText>
      </w:r>
      <w:r w:rsidRPr="00EF65AE">
        <w:rPr>
          <w:rFonts w:cs="Arial"/>
        </w:rPr>
        <w:fldChar w:fldCharType="separate"/>
      </w:r>
      <w:r w:rsidRPr="00EF65AE">
        <w:rPr>
          <w:rFonts w:cs="Arial"/>
          <w:vertAlign w:val="superscript"/>
          <w:lang w:val="en-US"/>
        </w:rPr>
        <w:t>42–46</w:t>
      </w:r>
      <w:r w:rsidRPr="00EF65AE">
        <w:rPr>
          <w:rFonts w:cs="Arial"/>
        </w:rPr>
        <w:fldChar w:fldCharType="end"/>
      </w:r>
      <w:r w:rsidRPr="00EF65AE">
        <w:rPr>
          <w:rFonts w:cs="Arial"/>
        </w:rPr>
        <w:t xml:space="preserve"> Evidence suggests that women’s and men’s attitudes towards IPV function independently to shape a woman’s risk of experiencing abuse or a man’s likelihood of perpetrating violence. However, men’s attitudes may be a stronger predictor of violence than women’s attitudes.</w:t>
      </w:r>
      <w:r w:rsidRPr="00EF65AE">
        <w:rPr>
          <w:rFonts w:cs="Arial"/>
        </w:rPr>
        <w:fldChar w:fldCharType="begin"/>
      </w:r>
      <w:r w:rsidRPr="00EF65AE">
        <w:rPr>
          <w:rFonts w:cs="Arial"/>
        </w:rPr>
        <w:instrText xml:space="preserve"> ADDIN ZOTERO_ITEM CSL_CITATION {"citationID":"wqVWt1XP","properties":{"formattedCitation":"\\super 40\\nosupersub{}","plainCitation":"40","noteIndex":0},"citationItems":[{"id":161,"uris":["http://zotero.org/users/4194704/items/HNSA2ILU"],"uri":["http://zotero.org/users/4194704/items/HNSA2ILU"],"itemData":{"id":161,"type":"report","title":"What works to prevent partner violence: An evidence overview","publisher":"STRIVE Research Consortium, London School of Hygiene and Tropical Medicine","publisher-place":"London","event-place":"London","author":[{"family":"Heise","given":"Lori"}],"issued":{"date-parts":[["2011"]]}}}],"schema":"https://github.com/citation-style-language/schema/raw/master/csl-citation.json"} </w:instrText>
      </w:r>
      <w:r w:rsidRPr="00EF65AE">
        <w:rPr>
          <w:rFonts w:cs="Arial"/>
        </w:rPr>
        <w:fldChar w:fldCharType="separate"/>
      </w:r>
      <w:r w:rsidRPr="00EF65AE">
        <w:rPr>
          <w:rFonts w:cs="Arial"/>
          <w:vertAlign w:val="superscript"/>
          <w:lang w:val="en-US"/>
        </w:rPr>
        <w:t>40</w:t>
      </w:r>
      <w:r w:rsidRPr="00EF65AE">
        <w:rPr>
          <w:rFonts w:cs="Arial"/>
        </w:rPr>
        <w:fldChar w:fldCharType="end"/>
      </w:r>
      <w:r w:rsidRPr="00EF65AE">
        <w:rPr>
          <w:rFonts w:cs="Arial"/>
        </w:rPr>
        <w:t xml:space="preserve"> </w:t>
      </w:r>
    </w:p>
    <w:p w14:paraId="7F14D944" w14:textId="77777777" w:rsidR="00EF65AE" w:rsidRPr="00EF65AE" w:rsidRDefault="00EF65AE" w:rsidP="00CD43A2">
      <w:pPr>
        <w:pStyle w:val="Heading3NoTOC"/>
      </w:pPr>
      <w:r w:rsidRPr="00EF65AE">
        <w:t xml:space="preserve">Social norms </w:t>
      </w:r>
    </w:p>
    <w:p w14:paraId="5DDFFA11" w14:textId="77777777" w:rsidR="00EF65AE" w:rsidRPr="00EF65AE" w:rsidRDefault="00EF65AE" w:rsidP="00EF65AE">
      <w:pPr>
        <w:rPr>
          <w:rFonts w:cs="Arial"/>
        </w:rPr>
      </w:pPr>
      <w:r w:rsidRPr="00EF65AE">
        <w:rPr>
          <w:rFonts w:cs="Arial"/>
        </w:rPr>
        <w:t>A social norm is a collectively held belief about what others do (what is typical) and what is expected of what others do within the group (what is appropriate).</w:t>
      </w:r>
      <w:r w:rsidRPr="00EF65AE">
        <w:rPr>
          <w:rFonts w:cs="Arial"/>
        </w:rPr>
        <w:fldChar w:fldCharType="begin"/>
      </w:r>
      <w:r w:rsidRPr="00EF65AE">
        <w:rPr>
          <w:rFonts w:cs="Arial"/>
        </w:rPr>
        <w:instrText xml:space="preserve"> ADDIN ZOTERO_ITEM CSL_CITATION {"citationID":"QIzRj6IR","properties":{"formattedCitation":"\\super 47\\nosupersub{}","plainCitation":"47","noteIndex":0},"citationItems":[{"id":20,"uris":["http://zotero.org/users/4194704/items/VASCU5LS"],"uri":["http://zotero.org/users/4194704/items/VASCU5LS"],"itemData":{"id":20,"type":"report","title":"DFID Guidance Note: Shifting Social Norms to Tackle Violence against Women and Girls (VAWG)","publisher":"VAWG Helpdesk","publisher-place":"London","event-place":"London","author":[{"family":"Alexander-Scott","given":"Michaeljon"},{"family":"Bell","given":"Emma"},{"family":"Holden","given":"Jenny"}],"issued":{"date-parts":[["2016"]]}}}],"schema":"https://github.com/citation-style-language/schema/raw/master/csl-citation.json"} </w:instrText>
      </w:r>
      <w:r w:rsidRPr="00EF65AE">
        <w:rPr>
          <w:rFonts w:cs="Arial"/>
        </w:rPr>
        <w:fldChar w:fldCharType="separate"/>
      </w:r>
      <w:r w:rsidRPr="00EF65AE">
        <w:rPr>
          <w:rFonts w:cs="Arial"/>
          <w:vertAlign w:val="superscript"/>
          <w:lang w:val="en-US"/>
        </w:rPr>
        <w:t>47</w:t>
      </w:r>
      <w:r w:rsidRPr="00EF65AE">
        <w:rPr>
          <w:rFonts w:cs="Arial"/>
        </w:rPr>
        <w:fldChar w:fldCharType="end"/>
      </w:r>
      <w:r w:rsidRPr="00EF65AE">
        <w:rPr>
          <w:rFonts w:cs="Arial"/>
        </w:rPr>
        <w:t xml:space="preserve"> While </w:t>
      </w:r>
      <w:r w:rsidR="00506017">
        <w:rPr>
          <w:rFonts w:cs="Arial"/>
        </w:rPr>
        <w:t>IPV</w:t>
      </w:r>
      <w:r w:rsidRPr="00EF65AE">
        <w:rPr>
          <w:rFonts w:cs="Arial"/>
        </w:rPr>
        <w:t xml:space="preserve"> may be considered typical or acceptable, it is unlikely that a man will be </w:t>
      </w:r>
      <w:r w:rsidRPr="0045079A">
        <w:rPr>
          <w:rFonts w:cs="Arial"/>
        </w:rPr>
        <w:t>punished</w:t>
      </w:r>
      <w:r w:rsidRPr="00EF65AE">
        <w:rPr>
          <w:rFonts w:cs="Arial"/>
        </w:rPr>
        <w:t xml:space="preserve"> by another man in his community for refusing to hit his wife. However, in contexts with high rates of IPV against women, other social norms, for example around gender roles, power and the wider acceptability of violence, underpin this behaviour and contribute to shared expectations around a man’s use of violence.</w:t>
      </w:r>
      <w:r w:rsidRPr="00EF65AE">
        <w:rPr>
          <w:rFonts w:cs="Arial"/>
        </w:rPr>
        <w:fldChar w:fldCharType="begin"/>
      </w:r>
      <w:r w:rsidRPr="00EF65AE">
        <w:rPr>
          <w:rFonts w:cs="Arial"/>
        </w:rPr>
        <w:instrText xml:space="preserve"> ADDIN ZOTERO_ITEM CSL_CITATION {"citationID":"Xn3wpWrm","properties":{"formattedCitation":"\\super 47,48\\nosupersub{}","plainCitation":"47,48","noteIndex":0},"citationItems":[{"id":20,"uris":["http://zotero.org/users/4194704/items/VASCU5LS"],"uri":["http://zotero.org/users/4194704/items/VASCU5LS"],"itemData":{"id":20,"type":"report","title":"DFID Guidance Note: Shifting Social Norms to Tackle Violence against Women and Girls (VAWG)","publisher":"VAWG Helpdesk","publisher-place":"London","event-place":"London","author":[{"family":"Alexander-Scott","given":"Michaeljon"},{"family":"Bell","given":"Emma"},{"family":"Holden","given":"Jenny"}],"issued":{"date-parts":[["2016"]]}}},{"id":428,"uris":["http://zotero.org/users/4194704/items/PT8ZREQG"],"uri":["http://zotero.org/users/4194704/items/PT8ZREQG"],"itemData":{"id":428,"type":"book","title":"Preventing intimate partner and sexual violence against women: Taking action and generating evidence","publisher":"World Health Organisation","ISBN":"92-4-156400-8","author":[{"literal":"World Health Organisation (WHO)"}],"issued":{"date-parts":[["2010"]]}}}],"schema":"https://github.com/citation-style-language/schema/raw/master/csl-citation.json"} </w:instrText>
      </w:r>
      <w:r w:rsidRPr="00EF65AE">
        <w:rPr>
          <w:rFonts w:cs="Arial"/>
        </w:rPr>
        <w:fldChar w:fldCharType="separate"/>
      </w:r>
      <w:r w:rsidRPr="00EF65AE">
        <w:rPr>
          <w:rFonts w:cs="Arial"/>
          <w:vertAlign w:val="superscript"/>
          <w:lang w:val="en-US"/>
        </w:rPr>
        <w:t>47,48</w:t>
      </w:r>
      <w:r w:rsidRPr="00EF65AE">
        <w:rPr>
          <w:rFonts w:cs="Arial"/>
        </w:rPr>
        <w:fldChar w:fldCharType="end"/>
      </w:r>
      <w:r w:rsidRPr="00EF65AE">
        <w:rPr>
          <w:rFonts w:cs="Arial"/>
        </w:rPr>
        <w:t xml:space="preserve"> For example, in many societies, violence is often, although not always, a component of dominant constructions of what it means to be a man.</w:t>
      </w:r>
      <w:r w:rsidRPr="00EF65AE">
        <w:rPr>
          <w:rFonts w:cs="Arial"/>
        </w:rPr>
        <w:fldChar w:fldCharType="begin"/>
      </w:r>
      <w:r w:rsidRPr="00EF65AE">
        <w:rPr>
          <w:rFonts w:cs="Arial"/>
        </w:rPr>
        <w:instrText xml:space="preserve"> ADDIN ZOTERO_ITEM CSL_CITATION {"citationID":"67F4BMN3","properties":{"formattedCitation":"\\super 49\\nosupersub{}","plainCitation":"49","noteIndex":0},"citationItems":[{"id":198,"uris":["http://zotero.org/users/4194704/items/UY3IHJXA"],"uri":["http://zotero.org/users/4194704/items/UY3IHJXA"],"itemData":{"id":198,"type":"article-journal","title":"From work with men and boys to changes of social norms and reduction of inequities in gender relations: a conceptual shift in prevention of violence against women and girls","container-title":"The Lancet","page":"1580-1589","volume":"385","issue":"9977","ISSN":"0140-6736","author":[{"family":"Jewkes","given":"Rachel"},{"family":"Flood","given":"Michael"},{"family":"Lang","given":"James"}],"issued":{"date-parts":[["2015"]]}}}],"schema":"https://github.com/citation-style-language/schema/raw/master/csl-citation.json"} </w:instrText>
      </w:r>
      <w:r w:rsidRPr="00EF65AE">
        <w:rPr>
          <w:rFonts w:cs="Arial"/>
        </w:rPr>
        <w:fldChar w:fldCharType="separate"/>
      </w:r>
      <w:r w:rsidRPr="00EF65AE">
        <w:rPr>
          <w:rFonts w:cs="Arial"/>
          <w:vertAlign w:val="superscript"/>
          <w:lang w:val="en-US"/>
        </w:rPr>
        <w:t>49</w:t>
      </w:r>
      <w:r w:rsidRPr="00EF65AE">
        <w:rPr>
          <w:rFonts w:cs="Arial"/>
        </w:rPr>
        <w:fldChar w:fldCharType="end"/>
      </w:r>
      <w:r w:rsidRPr="00EF65AE">
        <w:rPr>
          <w:rFonts w:cs="Arial"/>
        </w:rPr>
        <w:t xml:space="preserve"> Where it is socially expected that men control women, physical and sexual force may be seen as legitimate ways to exert this control. Social norms and structures related to gender inequality, including lack of economic rights and entitlements for women, also contribute to IPV.</w:t>
      </w:r>
      <w:r w:rsidRPr="00EF65AE">
        <w:rPr>
          <w:rFonts w:cs="Arial"/>
        </w:rPr>
        <w:fldChar w:fldCharType="begin"/>
      </w:r>
      <w:r w:rsidRPr="00EF65AE">
        <w:rPr>
          <w:rFonts w:cs="Arial"/>
        </w:rPr>
        <w:instrText xml:space="preserve"> ADDIN ZOTERO_ITEM CSL_CITATION {"citationID":"pkTiFKBE","properties":{"formattedCitation":"\\super 42,50,51\\nosupersub{}","plainCitation":"42,50,51","noteIndex":0},"citationItems":[{"id":340,"uris":["http://zotero.org/users/4194704/items/U5QARWWM"],"uri":["http://zotero.org/users/4194704/items/U5QARWWM"],"itemData":{"id":340,"type":"report","title":"Progress of the World’s Women 2018","publisher":"UN Women","author":[{"literal":"UN Women"}],"issued":{"date-parts":[["0000"]],"season":"forthcoming forthcoming"}}},{"id":117,"uris":["http://zotero.org/users/4194704/items/UNXB52LN"],"uri":["http://zotero.org/users/4194704/items/UNXB52LN"],"itemData":{"id":117,"type":"report","title":"What works to prevent violence against women and girls evidence reviews. Paper 1: State of the field of research on violence against women and girls","publisher":"What Works to Prevent Violence","publisher-place":"Pretoria","event-place":"Pretoria","author":[{"family":"Fulu","given":"Emma"},{"family":"Heise","given":"Lori"}],"issued":{"date-parts":[["2015"]]}}},{"id":163,"uris":["http://zotero.org/users/4194704/items/LY8M4WTY"],"uri":["http://zotero.org/users/4194704/items/LY8M4WTY"],"itemData":{"id":163,"type":"article-journal","title":"Cross-national and multilevel correlates of partner violence: an analysis of data from population-based surveys","container-title":"The Lancet Global Health","page":"e332-e340","volume":"3","issue":"6","ISSN":"2214-109X","author":[{"family":"Heise","given":"Lori"},{"family":"Kotsadam","given":"Andreas"}],"issued":{"date-parts":[["2015"]]}}}],"schema":"https://github.com/citation-style-language/schema/raw/master/csl-citation.json"} </w:instrText>
      </w:r>
      <w:r w:rsidRPr="00EF65AE">
        <w:rPr>
          <w:rFonts w:cs="Arial"/>
        </w:rPr>
        <w:fldChar w:fldCharType="separate"/>
      </w:r>
      <w:r w:rsidRPr="00EF65AE">
        <w:rPr>
          <w:rFonts w:cs="Arial"/>
          <w:vertAlign w:val="superscript"/>
          <w:lang w:val="en-US"/>
        </w:rPr>
        <w:t>42,50,51</w:t>
      </w:r>
      <w:r w:rsidRPr="00EF65AE">
        <w:rPr>
          <w:rFonts w:cs="Arial"/>
        </w:rPr>
        <w:fldChar w:fldCharType="end"/>
      </w:r>
      <w:r w:rsidRPr="00EF65AE">
        <w:rPr>
          <w:rFonts w:cs="Arial"/>
        </w:rPr>
        <w:t xml:space="preserve"> When men are accorded value, control and power over women across society, these social gender norms create an environment in which men are more likely to perpetrate violence against women.</w:t>
      </w:r>
      <w:r w:rsidRPr="00EF65AE">
        <w:rPr>
          <w:rFonts w:cs="Arial"/>
        </w:rPr>
        <w:fldChar w:fldCharType="begin"/>
      </w:r>
      <w:r w:rsidRPr="00EF65AE">
        <w:rPr>
          <w:rFonts w:cs="Arial"/>
        </w:rPr>
        <w:instrText xml:space="preserve"> ADDIN ZOTERO_ITEM CSL_CITATION {"citationID":"drPqLXKw","properties":{"formattedCitation":"\\super 42,52,53\\nosupersub{}","plainCitation":"42,52,53","noteIndex":0},"citationItems":[{"id":340,"uris":["http://zotero.org/users/4194704/items/U5QARWWM"],"uri":["http://zotero.org/users/4194704/items/U5QARWWM"],"itemData":{"id":340,"type":"report","title":"Progress of the World’s Women 2018","publisher":"UN Women","author":[{"literal":"UN Women"}],"issued":{"date-parts":[["0000"]],"season":"forthcoming forthcoming"}}},{"id":195,"uris":["http://zotero.org/users/4194704/items/TNE2AUR8"],"uri":["http://zotero.org/users/4194704/items/TNE2AUR8"],"itemData":{"id":195,"type":"report","title":"What Works Evidence Review: Social norms and violence against women and girls","publisher":"DFID","publisher-place":"London","event-place":"London","author":[{"family":"Jewkes","given":"Rachel"}],"issued":{"date-parts":[["2017"]]}}},{"id":433,"uris":["http://zotero.org/users/4194704/items/P7ZV3Q3R"],"uri":["http://zotero.org/users/4194704/items/P7ZV3Q3R"],"itemData":{"id":433,"type":"article-journal","title":"Gender inequality, violence against women, and fear: a cross-national test of the feminist theory of violence against women","container-title":"Journal of interpersonal violence","page":"655-75","volume":"19","issue":"6","author":[{"family":"Yodanis","given":"C. L."}],"issued":{"date-parts":[["2004"]]}}}],"schema":"https://github.com/citation-style-language/schema/raw/master/csl-citation.json"} </w:instrText>
      </w:r>
      <w:r w:rsidRPr="00EF65AE">
        <w:rPr>
          <w:rFonts w:cs="Arial"/>
        </w:rPr>
        <w:fldChar w:fldCharType="separate"/>
      </w:r>
      <w:r w:rsidRPr="00EF65AE">
        <w:rPr>
          <w:rFonts w:cs="Arial"/>
          <w:vertAlign w:val="superscript"/>
          <w:lang w:val="en-US"/>
        </w:rPr>
        <w:t>42,52,53</w:t>
      </w:r>
      <w:r w:rsidRPr="00EF65AE">
        <w:rPr>
          <w:rFonts w:cs="Arial"/>
        </w:rPr>
        <w:fldChar w:fldCharType="end"/>
      </w:r>
      <w:r w:rsidRPr="00EF65AE">
        <w:rPr>
          <w:rFonts w:cs="Arial"/>
        </w:rPr>
        <w:t xml:space="preserve"> </w:t>
      </w:r>
    </w:p>
    <w:p w14:paraId="74893B75" w14:textId="6408C12B" w:rsidR="00EF65AE" w:rsidRPr="00EF65AE" w:rsidRDefault="00EF65AE" w:rsidP="00181BE6">
      <w:r w:rsidRPr="00EF65AE">
        <w:t xml:space="preserve">At institutional level, discriminatory laws and policies can exacerbate women’s exposure to violence. While, as Annex 4 shows, most countries in </w:t>
      </w:r>
      <w:r w:rsidR="00B512F7">
        <w:t>the Indo-Pacific</w:t>
      </w:r>
      <w:r w:rsidRPr="00EF65AE">
        <w:t xml:space="preserve"> have laws against domestic violence, marital rape is not explicitly criminalised</w:t>
      </w:r>
      <w:r w:rsidR="001D06A3">
        <w:t xml:space="preserve"> </w:t>
      </w:r>
      <w:r w:rsidRPr="00EF65AE">
        <w:t>in 127 countries worldwide, reflecting a societal-level acceptance of violence against women in these countries.</w:t>
      </w:r>
      <w:r w:rsidRPr="00EF65AE">
        <w:fldChar w:fldCharType="begin"/>
      </w:r>
      <w:r w:rsidRPr="00EF65AE">
        <w:instrText xml:space="preserve"> ADDIN ZOTERO_ITEM CSL_CITATION {"citationID":"zbBBQ4Wd","properties":{"formattedCitation":"\\super 54\\nosupersub{}","plainCitation":"54","noteIndex":0},"citationItems":[{"id":422,"uris":["http://zotero.org/users/4194704/items/HJBZE7HN"],"uri":["http://zotero.org/users/4194704/items/HJBZE7HN"],"itemData":{"id":422,"type":"webpage","title":"Women, Business, and the Law: Protecting women from violence","author":[{"literal":"World Bank"}],"issued":{"date-parts":[["2017"]]}}}],"schema":"https://github.com/citation-style-language/schema/raw/master/csl-citation.json"} </w:instrText>
      </w:r>
      <w:r w:rsidRPr="00EF65AE">
        <w:fldChar w:fldCharType="separate"/>
      </w:r>
      <w:r w:rsidRPr="00EF65AE">
        <w:rPr>
          <w:vertAlign w:val="superscript"/>
          <w:lang w:val="en-US"/>
        </w:rPr>
        <w:t>54</w:t>
      </w:r>
      <w:r w:rsidRPr="00EF65AE">
        <w:fldChar w:fldCharType="end"/>
      </w:r>
      <w:r w:rsidRPr="00EF65AE">
        <w:t xml:space="preserve"> </w:t>
      </w:r>
      <w:r w:rsidR="00181BE6" w:rsidRPr="00181BE6">
        <w:rPr>
          <w:rFonts w:cs="Arial"/>
        </w:rPr>
        <w:t>In some countries in the Pacific, including PNG, although the law does not specifically criminalise marital rape, it does not have exclusionary provisions prohibiting or limiting a husband from being prosecuted for rape.</w:t>
      </w:r>
    </w:p>
    <w:p w14:paraId="4FBAFD2D" w14:textId="77777777" w:rsidR="00EF65AE" w:rsidRPr="00EF65AE" w:rsidRDefault="00EF65AE" w:rsidP="00EF65AE">
      <w:pPr>
        <w:rPr>
          <w:rFonts w:cs="Arial"/>
        </w:rPr>
      </w:pPr>
      <w:r w:rsidRPr="00EF65AE">
        <w:rPr>
          <w:rFonts w:cs="Arial"/>
        </w:rPr>
        <w:t>Furthermore, laws that restrict divorce, access to abortion or contraception, or that have a lower legal age of marriage for women than for men, provide the necessary conditions for abuse by reinforcing the subordinate status of women.</w:t>
      </w:r>
      <w:r w:rsidRPr="00EF65AE">
        <w:rPr>
          <w:rFonts w:cs="Arial"/>
        </w:rPr>
        <w:fldChar w:fldCharType="begin"/>
      </w:r>
      <w:r w:rsidRPr="00EF65AE">
        <w:rPr>
          <w:rFonts w:cs="Arial"/>
        </w:rPr>
        <w:instrText xml:space="preserve"> ADDIN ZOTERO_ITEM CSL_CITATION {"citationID":"uRVKkbTP","properties":{"formattedCitation":"\\super 55\\nosupersub{}","plainCitation":"55","noteIndex":0},"citationItems":[{"id":334,"uris":["http://zotero.org/users/4194704/items/4TESELJY"],"uri":["http://zotero.org/users/4194704/items/4TESELJY"],"itemData":{"id":334,"type":"article-journal","title":"Progress of the world’s women: In pursuit of justice","author":[{"literal":"UN Women"}],"issued":{"date-parts":[["2011"]]}}}],"schema":"https://github.com/citation-style-language/schema/raw/master/csl-citation.json"} </w:instrText>
      </w:r>
      <w:r w:rsidRPr="00EF65AE">
        <w:rPr>
          <w:rFonts w:cs="Arial"/>
        </w:rPr>
        <w:fldChar w:fldCharType="separate"/>
      </w:r>
      <w:r w:rsidRPr="00EF65AE">
        <w:rPr>
          <w:rFonts w:cs="Arial"/>
          <w:vertAlign w:val="superscript"/>
          <w:lang w:val="en-US"/>
        </w:rPr>
        <w:t>55</w:t>
      </w:r>
      <w:r w:rsidRPr="00EF65AE">
        <w:rPr>
          <w:rFonts w:cs="Arial"/>
        </w:rPr>
        <w:fldChar w:fldCharType="end"/>
      </w:r>
      <w:r w:rsidRPr="00EF65AE">
        <w:rPr>
          <w:rFonts w:cs="Arial"/>
        </w:rPr>
        <w:t xml:space="preserve"> Structural inequalities, such as unequal access to property and land rights and inheritance, severely undermine the decision-making power of women in the family and impact their likelihood of experiencing violence.</w:t>
      </w:r>
      <w:r w:rsidRPr="00EF65AE">
        <w:rPr>
          <w:rFonts w:cs="Arial"/>
        </w:rPr>
        <w:fldChar w:fldCharType="begin"/>
      </w:r>
      <w:r w:rsidRPr="00EF65AE">
        <w:rPr>
          <w:rFonts w:cs="Arial"/>
        </w:rPr>
        <w:instrText xml:space="preserve"> ADDIN ZOTERO_ITEM CSL_CITATION {"citationID":"yRVSo3HF","properties":{"formattedCitation":"\\super 56,57\\nosupersub{}","plainCitation":"56,57","noteIndex":0},"citationItems":[{"id":684,"uris":["http://zotero.org/users/4194704/items/U2LCL7M8"],"uri":["http://zotero.org/users/4194704/items/U2LCL7M8"],"itemData":{"id":684,"type":"book","title":"Women, Business, and the Law 2016 : Getting to Equal","publisher":"World Bank Publications","publisher-place":"Washington","event-place":"Washington","abstract":"“In a changing world, how can we be sure that women as well as men entrepreneurs and workers obtain the benefit from these changes? Ensuring that women have the same legal opportunities as men is one part of the picture. By measuring where the law treats men and women differently, Women, Business and the Law shines a light on how women’s incentives or capacity to work are affected by the legal environment and provides a basis for improving regulation. The fourth edition in a series, Women, Business and the Law 2016: Getting to Equal examines laws and regulations affecting women’s prospects as entrepreneurs and employees in 173 economies, across seven areas: accessing institutions, using property, getting a job, providing incentives to work, building credit, going to court, and protecting women from violence. The report’s quantitative indicators are intended to inform research and policy discussions on how to improve women’s economic opportunities and outcomes.”","URL":"http://elibrary.worldbank.org/doi/book/10.1596/978-1-4648-0677-3","ISBN":"1-4648-0677-2","note":"DOI: 10.1596/978-1-4648-0677-3","author":[{"literal":"World Bank Group"}],"issued":{"date-parts":[["2015"]]}}},{"id":"LnUt4Vs6/J96gLFYw","uris":["http://zotero.org/users/local/dqL838ot/items/PQ9SVKZV"],"uri":["http://zotero.org/users/local/dqL838ot/items/PQ9SVKZV"],"itemData":{"id":"iRMXrjCL/vWerp97X","type":"report","title":"Legislative Barriers to Gender Equality in Pacific Island Countries","publisher":"Pacific Women Shaping Pacific Development","publisher-place":"Suva","event-place":"Suva","author":[{"family":"Pacific Women Shaping Pacific Development Support Unit","given":""}],"issued":{"date-parts":[["2018"]]}}}],"schema":"https://github.com/citation-style-language/schema/raw/master/csl-citation.json"} </w:instrText>
      </w:r>
      <w:r w:rsidRPr="00EF65AE">
        <w:rPr>
          <w:rFonts w:cs="Arial"/>
        </w:rPr>
        <w:fldChar w:fldCharType="separate"/>
      </w:r>
      <w:r w:rsidRPr="00EF65AE">
        <w:rPr>
          <w:rFonts w:cs="Arial"/>
          <w:vertAlign w:val="superscript"/>
          <w:lang w:val="en-US"/>
        </w:rPr>
        <w:t>56,57</w:t>
      </w:r>
      <w:r w:rsidRPr="00EF65AE">
        <w:rPr>
          <w:rFonts w:cs="Arial"/>
        </w:rPr>
        <w:fldChar w:fldCharType="end"/>
      </w:r>
      <w:r w:rsidRPr="00EF65AE">
        <w:rPr>
          <w:rFonts w:cs="Arial"/>
        </w:rPr>
        <w:t xml:space="preserve"> </w:t>
      </w:r>
    </w:p>
    <w:p w14:paraId="538F82FC" w14:textId="77777777" w:rsidR="00EF65AE" w:rsidRPr="00EF65AE" w:rsidRDefault="00EF65AE" w:rsidP="00CD43A2">
      <w:pPr>
        <w:pStyle w:val="Heading3NoTOC"/>
      </w:pPr>
      <w:bookmarkStart w:id="145" w:name="_Hlk21365334"/>
      <w:r w:rsidRPr="00EF65AE">
        <w:t>Intersectionality: Understanding risk factors</w:t>
      </w:r>
    </w:p>
    <w:bookmarkEnd w:id="145"/>
    <w:p w14:paraId="43A0DD01" w14:textId="4395CDB6" w:rsidR="00EF65AE" w:rsidRPr="00F158B0" w:rsidRDefault="00F158B0" w:rsidP="00F158B0">
      <w:pPr>
        <w:rPr>
          <w:rFonts w:cs="Arial"/>
        </w:rPr>
      </w:pPr>
      <w:r w:rsidRPr="00EF65AE">
        <w:rPr>
          <w:rFonts w:cs="Arial"/>
        </w:rPr>
        <w:t>Intersectionality (</w:t>
      </w:r>
      <w:r w:rsidR="00760839">
        <w:rPr>
          <w:rFonts w:cs="Arial"/>
        </w:rPr>
        <w:fldChar w:fldCharType="begin"/>
      </w:r>
      <w:r w:rsidR="00760839">
        <w:rPr>
          <w:rFonts w:cs="Arial"/>
        </w:rPr>
        <w:instrText xml:space="preserve"> REF _Ref21365393 \h </w:instrText>
      </w:r>
      <w:r w:rsidR="00760839">
        <w:rPr>
          <w:rFonts w:cs="Arial"/>
        </w:rPr>
      </w:r>
      <w:r w:rsidR="00760839">
        <w:rPr>
          <w:rFonts w:cs="Arial"/>
        </w:rPr>
        <w:fldChar w:fldCharType="separate"/>
      </w:r>
      <w:r w:rsidR="00760839">
        <w:t xml:space="preserve">Figure </w:t>
      </w:r>
      <w:r w:rsidR="00760839">
        <w:rPr>
          <w:noProof/>
        </w:rPr>
        <w:t>5</w:t>
      </w:r>
      <w:r w:rsidR="00760839">
        <w:rPr>
          <w:rFonts w:cs="Arial"/>
        </w:rPr>
        <w:fldChar w:fldCharType="end"/>
      </w:r>
      <w:r w:rsidRPr="00EF65AE">
        <w:rPr>
          <w:rFonts w:cs="Arial"/>
        </w:rPr>
        <w:t xml:space="preserve">) is a framework for understanding how factors that make up a person’s identity interact and shape their experiences, recognising that inequalities never result </w:t>
      </w:r>
      <w:r>
        <w:rPr>
          <w:rFonts w:cs="Arial"/>
        </w:rPr>
        <w:t>from</w:t>
      </w:r>
      <w:r w:rsidRPr="00EF65AE">
        <w:rPr>
          <w:rFonts w:cs="Arial"/>
        </w:rPr>
        <w:t xml:space="preserve"> one factor.</w:t>
      </w:r>
      <w:r w:rsidRPr="00EF65AE">
        <w:rPr>
          <w:rFonts w:cs="Arial"/>
        </w:rPr>
        <w:fldChar w:fldCharType="begin"/>
      </w:r>
      <w:r w:rsidRPr="00EF65AE">
        <w:rPr>
          <w:rFonts w:cs="Arial"/>
        </w:rPr>
        <w:instrText xml:space="preserve"> ADDIN ZOTERO_ITEM CSL_CITATION {"citationID":"WByr1FnY","properties":{"formattedCitation":"\\super 58,59\\nosupersub{}","plainCitation":"58,59","noteIndex":0},"citationItems":[{"id":321,"uris":["http://zotero.org/users/4194704/items/CPZWQHY2"],"uri":["http://zotero.org/users/4194704/items/CPZWQHY2"],"itemData":{"id":321,"type":"report","title":"Piecing Together the Evidence on Social Norms and Violence against Women","publisher":"The Equality Institute","publisher-place":"Melbourne","event-place":"Melbourne","author":[{"literal":"The Equality Institute"}],"issued":{"date-parts":[["2017"]]}}},{"id":60,"uris":["http://zotero.org/users/4194704/items/IH7ZJNM4"],"uri":["http://zotero.org/users/4194704/items/IH7ZJNM4"],"itemData":{"id":60,"type":"report","title":"Intersectionality Matters: A guide to engaging immigrant and refugee communities to prevent violence against women","publisher":"Multicultural Centre for Women’s Health (MCWH)","publisher-place":"Melbourne","event-place":"Melbourne","author":[{"family":"Chen","given":"J."}],"issued":{"date-parts":[["2017"]]}}}],"schema":"https://github.com/citation-style-language/schema/raw/master/csl-citation.json"} </w:instrText>
      </w:r>
      <w:r w:rsidRPr="00EF65AE">
        <w:rPr>
          <w:rFonts w:cs="Arial"/>
        </w:rPr>
        <w:fldChar w:fldCharType="separate"/>
      </w:r>
      <w:r w:rsidRPr="00EF65AE">
        <w:rPr>
          <w:rFonts w:cs="Arial"/>
          <w:vertAlign w:val="superscript"/>
          <w:lang w:val="en-US"/>
        </w:rPr>
        <w:t>58,59</w:t>
      </w:r>
      <w:r w:rsidRPr="00EF65AE">
        <w:rPr>
          <w:rFonts w:cs="Arial"/>
        </w:rPr>
        <w:fldChar w:fldCharType="end"/>
      </w:r>
      <w:r>
        <w:rPr>
          <w:rFonts w:cs="Arial"/>
        </w:rPr>
        <w:t xml:space="preserve"> </w:t>
      </w:r>
      <w:r w:rsidR="00EF65AE" w:rsidRPr="00F158B0">
        <w:rPr>
          <w:rFonts w:cs="Arial"/>
        </w:rPr>
        <w:t>While violence affects women and girls across the world, different layers of people’s identities—such as their socio-economic status, indigeneity, ethnicity, ability, sexual orientation, gender identity, HIV status, minority status, age—impact the ways in which they are discriminated against and the types of viol</w:t>
      </w:r>
      <w:r w:rsidRPr="00F158B0">
        <w:rPr>
          <w:rFonts w:cs="Arial"/>
        </w:rPr>
        <w:t>ence perpetrated against them</w:t>
      </w:r>
      <w:r w:rsidRPr="00F158B0">
        <w:rPr>
          <w:rFonts w:cs="Arial"/>
        </w:rPr>
        <w:fldChar w:fldCharType="begin"/>
      </w:r>
      <w:r w:rsidRPr="00F158B0">
        <w:rPr>
          <w:rFonts w:cs="Arial"/>
        </w:rPr>
        <w:instrText xml:space="preserve"> ADDIN ZOTERO_ITEM CSL_CITATION {"citationID":"WByr1FnY","properties":{"formattedCitation":"\\super 58,59\\nosupersub{}","plainCitation":"58,59","noteIndex":0},"citationItems":[{"id":321,"uris":["http://zotero.org/users/4194704/items/CPZWQHY2"],"uri":["http://zotero.org/users/4194704/items/CPZWQHY2"],"itemData":{"id":321,"type":"report","title":"Piecing Together the Evidence on Social Norms and Violence against Women","publisher":"The Equality Institute","publisher-place":"Melbourne","event-place":"Melbourne","author":[{"literal":"The Equality Institute"}],"issued":{"date-parts":[["2017"]]}}},{"id":60,"uris":["http://zotero.org/users/4194704/items/IH7ZJNM4"],"uri":["http://zotero.org/users/4194704/items/IH7ZJNM4"],"itemData":{"id":60,"type":"report","title":"Intersectionality Matters: A guide to engaging immigrant and refugee communities to prevent violence against women","publisher":"Multicultural Centre for Women’s Health (MCWH)","publisher-place":"Melbourne","event-place":"Melbourne","author":[{"family":"Chen","given":"J."}],"issued":{"date-parts":[["2017"]]}}}],"schema":"https://github.com/citation-style-language/schema/raw/master/csl-citation.json"} </w:instrText>
      </w:r>
      <w:r w:rsidRPr="00F158B0">
        <w:rPr>
          <w:rFonts w:cs="Arial"/>
        </w:rPr>
        <w:fldChar w:fldCharType="end"/>
      </w:r>
      <w:r w:rsidRPr="00F158B0">
        <w:rPr>
          <w:rFonts w:cs="Arial"/>
        </w:rPr>
        <w:t xml:space="preserve">. </w:t>
      </w:r>
      <w:r w:rsidR="00EF65AE" w:rsidRPr="00F158B0">
        <w:rPr>
          <w:rFonts w:cs="Arial"/>
        </w:rPr>
        <w:t>For example, VAWG can be exacerbated within certain settings, such as</w:t>
      </w:r>
      <w:r w:rsidR="001870DD" w:rsidRPr="00F158B0">
        <w:rPr>
          <w:rFonts w:cs="Arial"/>
        </w:rPr>
        <w:t xml:space="preserve"> in</w:t>
      </w:r>
      <w:r w:rsidR="00EF65AE" w:rsidRPr="00F158B0">
        <w:rPr>
          <w:rFonts w:cs="Arial"/>
        </w:rPr>
        <w:t xml:space="preserve"> rural, regional and remote communities, and where gender inequality intersects with other forms of disadvantage and discrimination. </w:t>
      </w:r>
      <w:r w:rsidR="001870DD" w:rsidRPr="00F158B0">
        <w:rPr>
          <w:rFonts w:cs="Arial"/>
        </w:rPr>
        <w:t xml:space="preserve">With </w:t>
      </w:r>
      <w:r w:rsidR="00EF65AE" w:rsidRPr="00F158B0">
        <w:rPr>
          <w:rFonts w:cs="Arial"/>
        </w:rPr>
        <w:t>some sub-populations</w:t>
      </w:r>
      <w:r w:rsidR="001870DD" w:rsidRPr="00F158B0">
        <w:rPr>
          <w:rFonts w:cs="Arial"/>
        </w:rPr>
        <w:t>,</w:t>
      </w:r>
      <w:r w:rsidR="00EF65AE" w:rsidRPr="00F158B0">
        <w:rPr>
          <w:rFonts w:cs="Arial"/>
        </w:rPr>
        <w:t xml:space="preserve"> experiences of violence are often overlooked, such as sex workers and older people. </w:t>
      </w:r>
    </w:p>
    <w:p w14:paraId="6DEA73E2" w14:textId="77777777" w:rsidR="00726D55" w:rsidRDefault="00726D55">
      <w:pPr>
        <w:numPr>
          <w:ilvl w:val="0"/>
          <w:numId w:val="0"/>
        </w:numPr>
        <w:rPr>
          <w:b/>
          <w:bCs/>
          <w:szCs w:val="18"/>
        </w:rPr>
      </w:pPr>
      <w:bookmarkStart w:id="146" w:name="_Ref21365393"/>
      <w:r>
        <w:br w:type="page"/>
      </w:r>
    </w:p>
    <w:p w14:paraId="0D4B58F1" w14:textId="556DBCA2" w:rsidR="00EF65AE" w:rsidRPr="00AA69EA" w:rsidRDefault="00C07D10" w:rsidP="00C07D10">
      <w:pPr>
        <w:pStyle w:val="Caption"/>
      </w:pPr>
      <w:bookmarkStart w:id="147" w:name="_Toc23434587"/>
      <w:r>
        <w:t xml:space="preserve">Figure </w:t>
      </w:r>
      <w:fldSimple w:instr=" SEQ Figure \* ARABIC ">
        <w:r w:rsidR="00760839">
          <w:rPr>
            <w:noProof/>
          </w:rPr>
          <w:t>5</w:t>
        </w:r>
      </w:fldSimple>
      <w:bookmarkEnd w:id="146"/>
      <w:r w:rsidR="00EF65AE" w:rsidRPr="00AA69EA">
        <w:t>: Intersectionality</w:t>
      </w:r>
      <w:r w:rsidR="00350329">
        <w:t>—h</w:t>
      </w:r>
      <w:r w:rsidR="00EF65AE" w:rsidRPr="00AA69EA">
        <w:t>ow power, privilege, discrimination and oppression interact with EVAWG</w:t>
      </w:r>
      <w:bookmarkEnd w:id="147"/>
      <w:r w:rsidR="00F158B0">
        <w:t xml:space="preserve"> </w:t>
      </w:r>
    </w:p>
    <w:p w14:paraId="4B981EA6" w14:textId="77777777" w:rsidR="008B44CA" w:rsidRDefault="008B44CA" w:rsidP="00EF65AE">
      <w:pPr>
        <w:rPr>
          <w:rFonts w:cs="Arial"/>
        </w:rPr>
      </w:pPr>
    </w:p>
    <w:p w14:paraId="1E9FC668" w14:textId="237BF118" w:rsidR="00EF65AE" w:rsidRDefault="00B42C70" w:rsidP="00EF65AE">
      <w:pPr>
        <w:rPr>
          <w:rFonts w:cs="Arial"/>
        </w:rPr>
      </w:pPr>
      <w:r w:rsidRPr="009842AB">
        <w:rPr>
          <w:rFonts w:cs="Arial"/>
          <w:noProof/>
          <w:lang w:eastAsia="en-AU"/>
        </w:rPr>
        <w:drawing>
          <wp:inline distT="0" distB="0" distL="0" distR="0" wp14:anchorId="7000A1D4" wp14:editId="0C337202">
            <wp:extent cx="3305453" cy="3081647"/>
            <wp:effectExtent l="0" t="0" r="0" b="5080"/>
            <wp:docPr id="290" name="Picture 290" descr="Figure 5 is an intersectionality diagram. It shows how power, privilege, discrimination and oppression interact with ending violence against women and girls. &#10;&#10;The female is in the centre of three rings that intersect. Each ring lists influencing factors. &#10;&#10;The social status and identify ring includes Aboriginality, ethnicity, parent or carer status, sexuality, gender identity, disability, religion, cultural background, mitigation and refugee status, age, socio-economic status and sex. &#10;&#10;The social systems and structure ring includes welfare, economic, education, labour, legal and justice and health. &#10;&#10;The discrimination and oppression ring includes colonisation, homophobia, ageism, racism, ableism, religious discrimination, classism and sexis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ntersectionalit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5453" cy="3081647"/>
                    </a:xfrm>
                    <a:prstGeom prst="rect">
                      <a:avLst/>
                    </a:prstGeom>
                  </pic:spPr>
                </pic:pic>
              </a:graphicData>
            </a:graphic>
          </wp:inline>
        </w:drawing>
      </w:r>
    </w:p>
    <w:p w14:paraId="64DCF12B" w14:textId="07A44589" w:rsidR="008B44CA" w:rsidRPr="008B44CA" w:rsidRDefault="008B44CA" w:rsidP="00EF65AE">
      <w:pPr>
        <w:rPr>
          <w:rFonts w:cs="Arial"/>
        </w:rPr>
      </w:pPr>
      <w:bookmarkStart w:id="148" w:name="_Hlk20742581"/>
      <w:r w:rsidRPr="008B44CA">
        <w:rPr>
          <w:rFonts w:cs="Arial"/>
        </w:rPr>
        <w:t xml:space="preserve">Source: </w:t>
      </w:r>
      <w:r w:rsidRPr="008B44CA">
        <w:rPr>
          <w:rFonts w:cs="Arial"/>
        </w:rPr>
        <w:fldChar w:fldCharType="begin"/>
      </w:r>
      <w:r w:rsidRPr="008B44CA">
        <w:rPr>
          <w:rFonts w:cs="Arial"/>
        </w:rPr>
        <w:instrText xml:space="preserve"> ADDIN EN.CITE &lt;EndNote&gt;&lt;Cite&gt;&lt;Author&gt;The Equality Institute&lt;/Author&gt;&lt;Year&gt;2017&lt;/Year&gt;&lt;RecNum&gt;103&lt;/RecNum&gt;&lt;DisplayText&gt;(The Equality Institute, 2017a)&lt;/DisplayText&gt;&lt;record&gt;&lt;rec-number&gt;103&lt;/rec-number&gt;&lt;foreign-keys&gt;&lt;key app="EN" db-id="rwrpxexri20xr1ezz9452exrtsse5rsfs220" timestamp="1524220493"&gt;103&lt;/key&gt;&lt;/foreign-keys&gt;&lt;ref-type name="Report"&gt;27&lt;/ref-type&gt;&lt;contributors&gt;&lt;authors&gt;&lt;author&gt;The Equality Institute,&lt;/author&gt;&lt;/authors&gt;&lt;/contributors&gt;&lt;titles&gt;&lt;title&gt;Piecing Together the Evidence on Social Norms and Violence against Women&lt;/title&gt;&lt;/titles&gt;&lt;dates&gt;&lt;year&gt;2017&lt;/year&gt;&lt;/dates&gt;&lt;pub-location&gt;Melbourne&lt;/pub-location&gt;&lt;publisher&gt;The Equality Institute&lt;/publisher&gt;&lt;urls&gt;&lt;/urls&gt;&lt;/record&gt;&lt;/Cite&gt;&lt;/EndNote&gt;</w:instrText>
      </w:r>
      <w:r w:rsidRPr="008B44CA">
        <w:rPr>
          <w:rFonts w:cs="Arial"/>
        </w:rPr>
        <w:fldChar w:fldCharType="separate"/>
      </w:r>
      <w:r w:rsidRPr="008B44CA">
        <w:rPr>
          <w:rFonts w:cs="Arial"/>
        </w:rPr>
        <w:t>The Equality Institute, 2017a</w:t>
      </w:r>
      <w:r w:rsidRPr="008B44CA">
        <w:rPr>
          <w:rFonts w:cs="Arial"/>
        </w:rPr>
        <w:fldChar w:fldCharType="end"/>
      </w:r>
      <w:r w:rsidRPr="008B44CA">
        <w:rPr>
          <w:rFonts w:cs="Arial"/>
        </w:rPr>
        <w:t>, adapted from</w:t>
      </w:r>
      <w:r w:rsidR="00382115">
        <w:rPr>
          <w:rFonts w:cs="Arial"/>
        </w:rPr>
        <w:t xml:space="preserve"> Our Watch, Australia’s National Organisation for Women’s Safety, VicHealth.</w:t>
      </w:r>
      <w:r w:rsidRPr="008B44CA">
        <w:rPr>
          <w:rFonts w:cs="Arial"/>
          <w:vertAlign w:val="superscript"/>
        </w:rPr>
        <w:t>41</w:t>
      </w:r>
    </w:p>
    <w:p w14:paraId="728B47BD" w14:textId="6FB4E023" w:rsidR="00EF65AE" w:rsidRPr="00EF65AE" w:rsidRDefault="004A793A" w:rsidP="00CD43A2">
      <w:pPr>
        <w:pStyle w:val="Heading1"/>
      </w:pPr>
      <w:bookmarkStart w:id="149" w:name="_Toc14959594"/>
      <w:bookmarkStart w:id="150" w:name="_Toc15378120"/>
      <w:bookmarkStart w:id="151" w:name="_Toc15378469"/>
      <w:bookmarkStart w:id="152" w:name="_Toc15562999"/>
      <w:bookmarkStart w:id="153" w:name="_Toc23434535"/>
      <w:bookmarkEnd w:id="148"/>
      <w:r w:rsidRPr="00EF65AE">
        <w:t>Australian leadership</w:t>
      </w:r>
      <w:bookmarkEnd w:id="149"/>
      <w:bookmarkEnd w:id="150"/>
      <w:bookmarkEnd w:id="151"/>
      <w:bookmarkEnd w:id="152"/>
      <w:bookmarkEnd w:id="153"/>
      <w:r w:rsidRPr="00EF65AE">
        <w:t xml:space="preserve"> </w:t>
      </w:r>
    </w:p>
    <w:p w14:paraId="644C1432" w14:textId="76D0D2BA" w:rsidR="00EF65AE" w:rsidRPr="00EF65AE" w:rsidRDefault="00EF65AE" w:rsidP="00AD65A2">
      <w:pPr>
        <w:pStyle w:val="Introduction"/>
      </w:pPr>
      <w:r w:rsidRPr="00EF65AE">
        <w:t>This chapter assesses Australia’s contributions—through leadership, financial support and policy dialogue—to strengthen the enabling environment to end violence against women</w:t>
      </w:r>
      <w:r w:rsidR="006630FC">
        <w:t xml:space="preserve"> and girls</w:t>
      </w:r>
      <w:r w:rsidRPr="00EF65AE">
        <w:t>. There is evidence of strong Australian leadership on EVAWG, particularly in Pacific island countries</w:t>
      </w:r>
      <w:r w:rsidR="00A25199">
        <w:t xml:space="preserve"> and Timor-</w:t>
      </w:r>
      <w:r w:rsidR="001D06A3">
        <w:t>L</w:t>
      </w:r>
      <w:r w:rsidR="00A25199">
        <w:t>este</w:t>
      </w:r>
      <w:r w:rsidRPr="00EF65AE">
        <w:t xml:space="preserve">, including a </w:t>
      </w:r>
      <w:r w:rsidR="00350329">
        <w:t>10-</w:t>
      </w:r>
      <w:r w:rsidRPr="00EF65AE">
        <w:t xml:space="preserve">fold increase in funding from </w:t>
      </w:r>
      <w:r w:rsidR="00B5290D">
        <w:br/>
      </w:r>
      <w:r w:rsidRPr="00EF65AE">
        <w:t>2007</w:t>
      </w:r>
      <w:r w:rsidR="00350329">
        <w:t>–</w:t>
      </w:r>
      <w:r w:rsidRPr="00EF65AE">
        <w:t>08 to 2017</w:t>
      </w:r>
      <w:r w:rsidR="00350329">
        <w:t>–</w:t>
      </w:r>
      <w:r w:rsidRPr="00EF65AE">
        <w:t xml:space="preserve">18, increased numbers and types of program interventions, and improved coordination with international and national partners. Global and local feminist movements and women’s organisations have played a pivotal role in demanding action on EVAWG </w:t>
      </w:r>
      <w:r w:rsidR="00B5290D">
        <w:br/>
      </w:r>
      <w:r w:rsidRPr="00EF65AE">
        <w:t xml:space="preserve">and </w:t>
      </w:r>
      <w:r w:rsidR="003104B3">
        <w:t>CSOs</w:t>
      </w:r>
      <w:r w:rsidRPr="00EF65AE">
        <w:t xml:space="preserve"> and the private sector have been involved in innovative responses, supported </w:t>
      </w:r>
      <w:r w:rsidR="00B5290D">
        <w:br/>
      </w:r>
      <w:r w:rsidRPr="00EF65AE">
        <w:t xml:space="preserve">by Australia. </w:t>
      </w:r>
    </w:p>
    <w:p w14:paraId="55AFA9CA" w14:textId="2112BC2B" w:rsidR="00EF65AE" w:rsidRPr="00EF65AE" w:rsidRDefault="004A793A" w:rsidP="00AD65A2">
      <w:pPr>
        <w:pStyle w:val="Heading2"/>
      </w:pPr>
      <w:bookmarkStart w:id="154" w:name="_Toc14959595"/>
      <w:bookmarkStart w:id="155" w:name="_Toc15378121"/>
      <w:bookmarkStart w:id="156" w:name="_Toc15378470"/>
      <w:bookmarkStart w:id="157" w:name="_Toc15563000"/>
      <w:bookmarkStart w:id="158" w:name="_Toc23434536"/>
      <w:r w:rsidRPr="00EF65AE">
        <w:t>The situation in 2008</w:t>
      </w:r>
      <w:bookmarkEnd w:id="154"/>
      <w:bookmarkEnd w:id="155"/>
      <w:bookmarkEnd w:id="156"/>
      <w:bookmarkEnd w:id="157"/>
      <w:bookmarkEnd w:id="158"/>
    </w:p>
    <w:p w14:paraId="4F118C3D" w14:textId="77777777" w:rsidR="00EF65AE" w:rsidRPr="00EF65AE" w:rsidRDefault="00EF65AE" w:rsidP="00EF65AE">
      <w:pPr>
        <w:rPr>
          <w:rFonts w:cs="Arial"/>
        </w:rPr>
      </w:pPr>
      <w:r w:rsidRPr="00EF65AE">
        <w:rPr>
          <w:rFonts w:cs="Arial"/>
        </w:rPr>
        <w:t xml:space="preserve">Reducing </w:t>
      </w:r>
      <w:r w:rsidR="00AE4FE4">
        <w:rPr>
          <w:rFonts w:cs="Arial"/>
        </w:rPr>
        <w:t>VAWG</w:t>
      </w:r>
      <w:r w:rsidRPr="00EF65AE">
        <w:rPr>
          <w:rFonts w:cs="Arial"/>
        </w:rPr>
        <w:t xml:space="preserve"> requires simultaneous action at many levels by multiple actors. Government commitment and capacity, the participation of women in public life, a strong civil society and an understanding of gender and human rights issues are critical to creating an enabling environment for ending violence. Commitment and coordination by international agencies and donors to support the efforts of national governments and </w:t>
      </w:r>
      <w:r w:rsidR="003104B3">
        <w:rPr>
          <w:rFonts w:cs="Arial"/>
        </w:rPr>
        <w:t>CSOs</w:t>
      </w:r>
      <w:r w:rsidRPr="00EF65AE">
        <w:rPr>
          <w:rFonts w:cs="Arial"/>
        </w:rPr>
        <w:t xml:space="preserve"> is also critical. </w:t>
      </w:r>
    </w:p>
    <w:p w14:paraId="6F3DE28A" w14:textId="77777777" w:rsidR="00EF65AE" w:rsidRPr="00EF65AE" w:rsidRDefault="00EF65AE" w:rsidP="00EF65AE">
      <w:pPr>
        <w:rPr>
          <w:rFonts w:cs="Arial"/>
        </w:rPr>
      </w:pPr>
      <w:r w:rsidRPr="00EF65AE">
        <w:rPr>
          <w:rFonts w:cs="Arial"/>
        </w:rPr>
        <w:t>The 2008 ODE evaluation found some evidence of effective leadership by partner governments on EVAWG, but with much room to improve. Partner governments had committed publicly to EVAWG, due largely to the efforts of women’s rights activists. However, a major gap</w:t>
      </w:r>
      <w:r w:rsidR="001870DD">
        <w:rPr>
          <w:rFonts w:cs="Arial"/>
        </w:rPr>
        <w:t xml:space="preserve"> existed</w:t>
      </w:r>
      <w:r w:rsidRPr="00EF65AE">
        <w:rPr>
          <w:rFonts w:cs="Arial"/>
        </w:rPr>
        <w:t xml:space="preserve"> between policy commitments and the reality of women’s lives and experiences of violence. </w:t>
      </w:r>
    </w:p>
    <w:p w14:paraId="3428B4EE" w14:textId="77777777" w:rsidR="00EF65AE" w:rsidRPr="00EF65AE" w:rsidRDefault="001870DD" w:rsidP="00EF65AE">
      <w:pPr>
        <w:rPr>
          <w:rFonts w:cs="Arial"/>
        </w:rPr>
      </w:pPr>
      <w:r>
        <w:rPr>
          <w:rFonts w:cs="Arial"/>
        </w:rPr>
        <w:t>The</w:t>
      </w:r>
      <w:r w:rsidRPr="00EF65AE">
        <w:rPr>
          <w:rFonts w:cs="Arial"/>
        </w:rPr>
        <w:t xml:space="preserve"> </w:t>
      </w:r>
      <w:r w:rsidR="00EF65AE" w:rsidRPr="00EF65AE">
        <w:rPr>
          <w:rFonts w:cs="Arial"/>
        </w:rPr>
        <w:t>2008 evaluation considered the contributions of international donors to be insufficient, poorly coordinated, and lacking clear strategy for supporting change. The evaluation also found low willingness and capacity on the part of donors and governments to discuss gender equality and violence against women in high-level development forums.</w:t>
      </w:r>
    </w:p>
    <w:p w14:paraId="18B1DE6A" w14:textId="77777777" w:rsidR="00EF65AE" w:rsidRPr="00EF65AE" w:rsidRDefault="00EF65AE" w:rsidP="00EF65AE">
      <w:pPr>
        <w:rPr>
          <w:rFonts w:cs="Arial"/>
        </w:rPr>
      </w:pPr>
      <w:r w:rsidRPr="00EF65AE">
        <w:rPr>
          <w:rFonts w:cs="Arial"/>
        </w:rPr>
        <w:t>The most important challenge was that most of the countries (</w:t>
      </w:r>
      <w:r w:rsidR="00350329">
        <w:rPr>
          <w:rFonts w:cs="Arial"/>
        </w:rPr>
        <w:t xml:space="preserve">Fiji, PNG, </w:t>
      </w:r>
      <w:r w:rsidRPr="00EF65AE">
        <w:rPr>
          <w:rFonts w:cs="Arial"/>
        </w:rPr>
        <w:t>Solomon Islands and</w:t>
      </w:r>
      <w:r w:rsidR="001870DD">
        <w:rPr>
          <w:rFonts w:cs="Arial"/>
        </w:rPr>
        <w:t>,</w:t>
      </w:r>
      <w:r w:rsidRPr="00EF65AE">
        <w:rPr>
          <w:rFonts w:cs="Arial"/>
        </w:rPr>
        <w:t xml:space="preserve"> to some extent</w:t>
      </w:r>
      <w:r w:rsidR="001870DD">
        <w:rPr>
          <w:rFonts w:cs="Arial"/>
        </w:rPr>
        <w:t>,</w:t>
      </w:r>
      <w:r w:rsidRPr="00EF65AE">
        <w:rPr>
          <w:rFonts w:cs="Arial"/>
        </w:rPr>
        <w:t xml:space="preserve"> Timor-Leste) had recently experienced, or were continuing to experience</w:t>
      </w:r>
      <w:r w:rsidR="00350329">
        <w:rPr>
          <w:rFonts w:cs="Arial"/>
        </w:rPr>
        <w:t>,</w:t>
      </w:r>
      <w:r w:rsidRPr="00EF65AE">
        <w:rPr>
          <w:rFonts w:cs="Arial"/>
        </w:rPr>
        <w:t xml:space="preserve"> conflict and</w:t>
      </w:r>
      <w:r w:rsidR="00B512F7">
        <w:rPr>
          <w:rFonts w:cs="Arial"/>
        </w:rPr>
        <w:t>/or</w:t>
      </w:r>
      <w:r w:rsidRPr="00EF65AE">
        <w:rPr>
          <w:rFonts w:cs="Arial"/>
        </w:rPr>
        <w:t xml:space="preserve"> political instability. This had a profound impact on the ability and political will of governments to address EVAWG in a sustainable way. Relations between civil society and governments had eroded in these countries, and concepts of gender and human rights were not routinely referenced in public policy or discourse.</w:t>
      </w:r>
    </w:p>
    <w:p w14:paraId="7AAE34B6" w14:textId="77777777" w:rsidR="00EF65AE" w:rsidRPr="00EF65AE" w:rsidRDefault="00EF65AE" w:rsidP="00EF65AE">
      <w:pPr>
        <w:rPr>
          <w:rFonts w:cs="Arial"/>
        </w:rPr>
      </w:pPr>
      <w:r w:rsidRPr="00EF65AE">
        <w:rPr>
          <w:rFonts w:cs="Arial"/>
        </w:rPr>
        <w:t xml:space="preserve">The 2008 ODE evaluation noted that much of the success in EVAWG in Melanesia and Timor-Leste was due to Australia’s long-term core support to several key CSOs engaged in the empowerment of women and provision of services to survivors of violence. It recommended that Australia continue this type of core support to key actors and consider expanding to new partners. </w:t>
      </w:r>
    </w:p>
    <w:p w14:paraId="082930C4" w14:textId="77777777" w:rsidR="00EF65AE" w:rsidRPr="00EF65AE" w:rsidRDefault="00EF65AE" w:rsidP="00EF65AE">
      <w:pPr>
        <w:rPr>
          <w:rFonts w:cs="Arial"/>
        </w:rPr>
      </w:pPr>
      <w:r w:rsidRPr="00EF65AE">
        <w:rPr>
          <w:rFonts w:cs="Arial"/>
        </w:rPr>
        <w:t>The 2008 ODE report made the</w:t>
      </w:r>
      <w:r w:rsidR="00350329">
        <w:rPr>
          <w:rFonts w:cs="Arial"/>
        </w:rPr>
        <w:t>se</w:t>
      </w:r>
      <w:r w:rsidRPr="00EF65AE">
        <w:rPr>
          <w:rFonts w:cs="Arial"/>
        </w:rPr>
        <w:t xml:space="preserve"> recommendations to strengthen the enabling environment for EVAWG in Melanesia and Timor-Leste:</w:t>
      </w:r>
    </w:p>
    <w:p w14:paraId="2F40926A" w14:textId="530AE347" w:rsidR="00EF65AE" w:rsidRPr="00EF65AE" w:rsidRDefault="003E7C4C" w:rsidP="001074FB">
      <w:pPr>
        <w:pStyle w:val="ListBullet"/>
      </w:pPr>
      <w:r>
        <w:t>e</w:t>
      </w:r>
      <w:r w:rsidR="00EF65AE" w:rsidRPr="00EF65AE">
        <w:t>nsure all interventions are grounded in a human rights and gender</w:t>
      </w:r>
      <w:r w:rsidR="00350329">
        <w:t>-</w:t>
      </w:r>
      <w:r w:rsidR="00EF65AE" w:rsidRPr="00EF65AE">
        <w:t>transformative approach</w:t>
      </w:r>
    </w:p>
    <w:p w14:paraId="5B3DC3B9" w14:textId="63BDF7A1" w:rsidR="00EF65AE" w:rsidRPr="00EF65AE" w:rsidRDefault="003E7C4C" w:rsidP="001074FB">
      <w:pPr>
        <w:pStyle w:val="ListBullet"/>
      </w:pPr>
      <w:r>
        <w:t>e</w:t>
      </w:r>
      <w:r w:rsidR="00EF65AE" w:rsidRPr="00EF65AE">
        <w:t>ncourage coordination of aid among international donors to maximise impact</w:t>
      </w:r>
    </w:p>
    <w:p w14:paraId="6B8A7A87" w14:textId="1F1125FB" w:rsidR="00EF65AE" w:rsidRPr="00EF65AE" w:rsidRDefault="003E7C4C" w:rsidP="001074FB">
      <w:pPr>
        <w:pStyle w:val="ListBullet"/>
        <w:rPr>
          <w:szCs w:val="28"/>
        </w:rPr>
      </w:pPr>
      <w:r>
        <w:t>s</w:t>
      </w:r>
      <w:r w:rsidR="006630FC">
        <w:t>upport multi</w:t>
      </w:r>
      <w:r w:rsidR="00C73608">
        <w:t>-</w:t>
      </w:r>
      <w:r w:rsidR="006630FC">
        <w:t>sector</w:t>
      </w:r>
      <w:r w:rsidR="00EF65AE" w:rsidRPr="00EF65AE">
        <w:t xml:space="preserve"> coordination, including between government and </w:t>
      </w:r>
      <w:r w:rsidR="00EF65AE" w:rsidRPr="00EF65AE">
        <w:rPr>
          <w:szCs w:val="24"/>
        </w:rPr>
        <w:t>non-government actors at national and local levels</w:t>
      </w:r>
    </w:p>
    <w:p w14:paraId="3A8B8395" w14:textId="6D741ADF" w:rsidR="00EF65AE" w:rsidRPr="00EF65AE" w:rsidRDefault="003E7C4C" w:rsidP="001074FB">
      <w:pPr>
        <w:pStyle w:val="ListBullet"/>
        <w:rPr>
          <w:szCs w:val="28"/>
        </w:rPr>
      </w:pPr>
      <w:r>
        <w:t>st</w:t>
      </w:r>
      <w:r w:rsidR="00EF65AE" w:rsidRPr="00EF65AE">
        <w:t xml:space="preserve">rengthen women’s leadership and economic and political participation at </w:t>
      </w:r>
      <w:r w:rsidR="00EF65AE" w:rsidRPr="00EF65AE">
        <w:rPr>
          <w:szCs w:val="24"/>
        </w:rPr>
        <w:t>all levels</w:t>
      </w:r>
    </w:p>
    <w:p w14:paraId="1543AC65" w14:textId="0D566282" w:rsidR="00EF65AE" w:rsidRPr="00EF65AE" w:rsidRDefault="003E7C4C" w:rsidP="001074FB">
      <w:pPr>
        <w:pStyle w:val="ListBullet"/>
      </w:pPr>
      <w:r>
        <w:t>b</w:t>
      </w:r>
      <w:r w:rsidR="00EF65AE" w:rsidRPr="00EF65AE">
        <w:t>uild capacity in project management, communication and gender analysis.</w:t>
      </w:r>
    </w:p>
    <w:p w14:paraId="60395A2F" w14:textId="601FE08C" w:rsidR="00EF65AE" w:rsidRPr="00EF65AE" w:rsidRDefault="004A793A" w:rsidP="001074FB">
      <w:pPr>
        <w:pStyle w:val="Heading2"/>
      </w:pPr>
      <w:bookmarkStart w:id="159" w:name="_Toc14959596"/>
      <w:bookmarkStart w:id="160" w:name="_Toc15378122"/>
      <w:bookmarkStart w:id="161" w:name="_Toc15378471"/>
      <w:bookmarkStart w:id="162" w:name="_Toc15563001"/>
      <w:bookmarkStart w:id="163" w:name="_Toc23434537"/>
      <w:r w:rsidRPr="00EF65AE">
        <w:t>Progress to date</w:t>
      </w:r>
      <w:bookmarkEnd w:id="159"/>
      <w:bookmarkEnd w:id="160"/>
      <w:bookmarkEnd w:id="161"/>
      <w:bookmarkEnd w:id="162"/>
      <w:bookmarkEnd w:id="163"/>
    </w:p>
    <w:p w14:paraId="13459F75" w14:textId="77777777" w:rsidR="00EF65AE" w:rsidRDefault="00EF65AE" w:rsidP="00EF65AE">
      <w:pPr>
        <w:rPr>
          <w:rFonts w:cs="Arial"/>
        </w:rPr>
      </w:pPr>
      <w:r w:rsidRPr="00EF65AE">
        <w:rPr>
          <w:rFonts w:cs="Arial"/>
        </w:rPr>
        <w:t>This evaluation found evidence of significant progress since 2008 in all recommended areas. Australia</w:t>
      </w:r>
      <w:r w:rsidR="00A36E43">
        <w:rPr>
          <w:rFonts w:cs="Arial"/>
        </w:rPr>
        <w:t>’</w:t>
      </w:r>
      <w:r w:rsidRPr="00EF65AE">
        <w:rPr>
          <w:rFonts w:cs="Arial"/>
        </w:rPr>
        <w:t xml:space="preserve">s </w:t>
      </w:r>
      <w:r w:rsidR="00CD70AE">
        <w:rPr>
          <w:rFonts w:cs="Arial"/>
        </w:rPr>
        <w:t xml:space="preserve">financial support, policy commitments and </w:t>
      </w:r>
      <w:r w:rsidRPr="00EF65AE">
        <w:rPr>
          <w:rFonts w:cs="Arial"/>
        </w:rPr>
        <w:t xml:space="preserve">support for </w:t>
      </w:r>
      <w:r w:rsidR="00CD70AE">
        <w:rPr>
          <w:rFonts w:cs="Arial"/>
        </w:rPr>
        <w:t>other leaders</w:t>
      </w:r>
      <w:r w:rsidRPr="00EF65AE">
        <w:rPr>
          <w:rFonts w:cs="Arial"/>
        </w:rPr>
        <w:t xml:space="preserve"> has helped create the right enabling environment for EVAWG. </w:t>
      </w:r>
    </w:p>
    <w:p w14:paraId="710311EF" w14:textId="77777777" w:rsidR="00CD70AE" w:rsidRPr="002A554E" w:rsidRDefault="00CD70AE" w:rsidP="00CD70AE">
      <w:pPr>
        <w:pStyle w:val="Heading3NoTOC"/>
      </w:pPr>
      <w:r w:rsidRPr="002A554E">
        <w:t>Australian funding contributions</w:t>
      </w:r>
    </w:p>
    <w:p w14:paraId="1DD3F423" w14:textId="3DA64041" w:rsidR="00CD70AE" w:rsidRPr="002A554E" w:rsidRDefault="00CD70AE" w:rsidP="00CD70AE">
      <w:pPr>
        <w:rPr>
          <w:rFonts w:cs="Arial"/>
        </w:rPr>
      </w:pPr>
      <w:r w:rsidRPr="002A554E">
        <w:rPr>
          <w:rFonts w:cs="Arial"/>
        </w:rPr>
        <w:t>Over the decade from 2007</w:t>
      </w:r>
      <w:r>
        <w:rPr>
          <w:rFonts w:cs="Arial"/>
        </w:rPr>
        <w:t>–</w:t>
      </w:r>
      <w:r w:rsidR="006A14F1">
        <w:rPr>
          <w:rFonts w:cs="Arial"/>
        </w:rPr>
        <w:t>0</w:t>
      </w:r>
      <w:r w:rsidRPr="002A554E">
        <w:rPr>
          <w:rFonts w:cs="Arial"/>
        </w:rPr>
        <w:t>8 to 2017</w:t>
      </w:r>
      <w:r>
        <w:rPr>
          <w:rFonts w:cs="Arial"/>
        </w:rPr>
        <w:t>–</w:t>
      </w:r>
      <w:r w:rsidRPr="002A554E">
        <w:rPr>
          <w:rFonts w:cs="Arial"/>
        </w:rPr>
        <w:t xml:space="preserve">18, Australia spent </w:t>
      </w:r>
      <w:r w:rsidR="00FE25E2">
        <w:rPr>
          <w:rFonts w:cs="Arial"/>
        </w:rPr>
        <w:t>more than $300 million on</w:t>
      </w:r>
      <w:r w:rsidRPr="002A554E">
        <w:rPr>
          <w:rFonts w:cs="Arial"/>
        </w:rPr>
        <w:t xml:space="preserve"> EVAWG activities. Half of this</w:t>
      </w:r>
      <w:r w:rsidR="001870DD">
        <w:rPr>
          <w:rFonts w:cs="Arial"/>
        </w:rPr>
        <w:t xml:space="preserve"> w</w:t>
      </w:r>
      <w:r w:rsidRPr="002A554E">
        <w:rPr>
          <w:rFonts w:cs="Arial"/>
        </w:rPr>
        <w:t>as in Pacific island countries (</w:t>
      </w:r>
      <w:r w:rsidR="00DB2471">
        <w:rPr>
          <w:rFonts w:cs="Arial"/>
        </w:rPr>
        <w:t>Figure 6</w:t>
      </w:r>
      <w:r w:rsidRPr="002A554E">
        <w:rPr>
          <w:rFonts w:cs="Arial"/>
        </w:rPr>
        <w:t xml:space="preserve">). </w:t>
      </w:r>
    </w:p>
    <w:p w14:paraId="6749B55C" w14:textId="1EFA4CD8" w:rsidR="00CD70AE" w:rsidRPr="002A554E" w:rsidRDefault="00C07D10" w:rsidP="00C07D10">
      <w:pPr>
        <w:pStyle w:val="Caption"/>
      </w:pPr>
      <w:bookmarkStart w:id="164" w:name="_Toc23434588"/>
      <w:r>
        <w:t xml:space="preserve">Figure </w:t>
      </w:r>
      <w:fldSimple w:instr=" SEQ Figure \* ARABIC ">
        <w:r w:rsidR="00760839">
          <w:rPr>
            <w:noProof/>
          </w:rPr>
          <w:t>6</w:t>
        </w:r>
      </w:fldSimple>
      <w:r w:rsidR="00CD70AE" w:rsidRPr="002A554E">
        <w:t>: Regional breakdown of Australia’s funding allocations for EVAWG activities from 20</w:t>
      </w:r>
      <w:r w:rsidR="00D41142">
        <w:t>0</w:t>
      </w:r>
      <w:r w:rsidR="006A14F1">
        <w:t>7–0</w:t>
      </w:r>
      <w:r w:rsidR="00CD70AE" w:rsidRPr="002A554E">
        <w:t xml:space="preserve">8 to </w:t>
      </w:r>
      <w:r w:rsidR="00D41142">
        <w:t>20</w:t>
      </w:r>
      <w:r w:rsidR="00CD70AE" w:rsidRPr="002A554E">
        <w:t>1</w:t>
      </w:r>
      <w:r w:rsidR="006A14F1">
        <w:t>7–18</w:t>
      </w:r>
      <w:bookmarkEnd w:id="164"/>
      <w:r w:rsidR="00CD70AE" w:rsidRPr="002A554E">
        <w:t xml:space="preserve"> </w:t>
      </w:r>
    </w:p>
    <w:p w14:paraId="11BF71AD" w14:textId="67A50E34" w:rsidR="00173170" w:rsidRDefault="00880251" w:rsidP="00CD70AE">
      <w:pPr>
        <w:rPr>
          <w:rFonts w:cs="Arial"/>
        </w:rPr>
      </w:pPr>
      <w:r>
        <w:rPr>
          <w:rFonts w:cs="Arial"/>
          <w:noProof/>
          <w:lang w:eastAsia="en-AU"/>
        </w:rPr>
        <w:drawing>
          <wp:inline distT="0" distB="0" distL="0" distR="0" wp14:anchorId="421EBEED" wp14:editId="0A2D9555">
            <wp:extent cx="6120130" cy="2628265"/>
            <wp:effectExtent l="0" t="0" r="1270" b="635"/>
            <wp:docPr id="11" name="Picture 11" descr="Figure 6 is a pie chart that breaks down how much Australia spent for activities to end violence against women and girls for the 10 financial years starting with 2007 to 2008 and ending with 2017 to 2018. &#10;&#10;The pie chart breaks down the funding by percentage. &#10;&#10;Australia allocated 8 per cent of funding globally—in the Pacific 51 per cent, in South and West Asia 20 per cent and for South East and East Asia 21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6819 Figure0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2628265"/>
                    </a:xfrm>
                    <a:prstGeom prst="rect">
                      <a:avLst/>
                    </a:prstGeom>
                  </pic:spPr>
                </pic:pic>
              </a:graphicData>
            </a:graphic>
          </wp:inline>
        </w:drawing>
      </w:r>
    </w:p>
    <w:p w14:paraId="7878B8DC" w14:textId="4C2412FF" w:rsidR="00CD70AE" w:rsidRPr="002A554E" w:rsidRDefault="00CD70AE" w:rsidP="00CD70AE">
      <w:pPr>
        <w:rPr>
          <w:rFonts w:cs="Arial"/>
        </w:rPr>
      </w:pPr>
      <w:r w:rsidRPr="002A554E">
        <w:rPr>
          <w:rFonts w:cs="Arial"/>
        </w:rPr>
        <w:t xml:space="preserve">Australia’s annual EVAWG </w:t>
      </w:r>
      <w:r w:rsidR="001870DD">
        <w:rPr>
          <w:rFonts w:cs="Arial"/>
        </w:rPr>
        <w:t xml:space="preserve">expenditure </w:t>
      </w:r>
      <w:r w:rsidRPr="002A554E">
        <w:rPr>
          <w:rFonts w:cs="Arial"/>
        </w:rPr>
        <w:t xml:space="preserve">increased </w:t>
      </w:r>
      <w:r w:rsidR="00E509F9">
        <w:rPr>
          <w:rFonts w:cs="Arial"/>
        </w:rPr>
        <w:t>about</w:t>
      </w:r>
      <w:r w:rsidRPr="002A554E">
        <w:rPr>
          <w:rFonts w:cs="Arial"/>
        </w:rPr>
        <w:t xml:space="preserve"> </w:t>
      </w:r>
      <w:bookmarkStart w:id="165" w:name="_Hlk15937845"/>
      <w:r w:rsidR="00A36E43" w:rsidRPr="00173170">
        <w:rPr>
          <w:rFonts w:cs="Arial"/>
        </w:rPr>
        <w:t>10-f</w:t>
      </w:r>
      <w:r w:rsidRPr="00A36E43">
        <w:rPr>
          <w:rFonts w:cs="Arial"/>
        </w:rPr>
        <w:t>old</w:t>
      </w:r>
      <w:bookmarkEnd w:id="165"/>
      <w:r w:rsidRPr="000350C0">
        <w:rPr>
          <w:rFonts w:cs="Arial"/>
        </w:rPr>
        <w:t xml:space="preserve"> from 2007–</w:t>
      </w:r>
      <w:r w:rsidR="0003305A">
        <w:rPr>
          <w:rFonts w:cs="Arial"/>
        </w:rPr>
        <w:t>0</w:t>
      </w:r>
      <w:r w:rsidRPr="000350C0">
        <w:rPr>
          <w:rFonts w:cs="Arial"/>
        </w:rPr>
        <w:t>8 to 2017–18 (</w:t>
      </w:r>
      <w:r w:rsidR="00DB2471">
        <w:rPr>
          <w:rFonts w:cs="Arial"/>
        </w:rPr>
        <w:t>Figure</w:t>
      </w:r>
      <w:r w:rsidR="00745CD6">
        <w:rPr>
          <w:rFonts w:cs="Arial"/>
        </w:rPr>
        <w:t> </w:t>
      </w:r>
      <w:r w:rsidR="00DB2471">
        <w:rPr>
          <w:rFonts w:cs="Arial"/>
        </w:rPr>
        <w:t>7</w:t>
      </w:r>
      <w:r w:rsidRPr="00A36E43">
        <w:rPr>
          <w:rFonts w:cs="Arial"/>
        </w:rPr>
        <w:t>)</w:t>
      </w:r>
      <w:r w:rsidR="003E7C4C">
        <w:rPr>
          <w:rFonts w:cs="Arial"/>
        </w:rPr>
        <w:t xml:space="preserve"> </w:t>
      </w:r>
      <w:r w:rsidR="00E509F9">
        <w:rPr>
          <w:rFonts w:cs="Arial"/>
        </w:rPr>
        <w:t>due to</w:t>
      </w:r>
      <w:r w:rsidRPr="000350C0">
        <w:rPr>
          <w:rFonts w:cs="Arial"/>
        </w:rPr>
        <w:t xml:space="preserve"> </w:t>
      </w:r>
      <w:r w:rsidR="00E509F9">
        <w:rPr>
          <w:rFonts w:cs="Arial"/>
        </w:rPr>
        <w:t xml:space="preserve">greater </w:t>
      </w:r>
      <w:r w:rsidRPr="000350C0">
        <w:rPr>
          <w:rFonts w:cs="Arial"/>
        </w:rPr>
        <w:t xml:space="preserve">expenditure </w:t>
      </w:r>
      <w:r w:rsidR="00B512F7">
        <w:rPr>
          <w:rFonts w:cs="Arial"/>
        </w:rPr>
        <w:t>across the Indo-Pacific</w:t>
      </w:r>
      <w:r>
        <w:rPr>
          <w:rFonts w:cs="Arial"/>
        </w:rPr>
        <w:t xml:space="preserve">. </w:t>
      </w:r>
      <w:r w:rsidRPr="002A554E">
        <w:rPr>
          <w:rFonts w:cs="Arial"/>
        </w:rPr>
        <w:t xml:space="preserve">According to the most recent data reported to </w:t>
      </w:r>
      <w:r w:rsidR="00274B83">
        <w:rPr>
          <w:rFonts w:cs="Arial"/>
        </w:rPr>
        <w:t>the Organisation for Economic Co-operation and Development’s</w:t>
      </w:r>
      <w:r w:rsidR="00274B83" w:rsidRPr="002A554E">
        <w:rPr>
          <w:rFonts w:cs="Arial"/>
        </w:rPr>
        <w:t xml:space="preserve"> </w:t>
      </w:r>
      <w:r w:rsidRPr="002A554E">
        <w:rPr>
          <w:rFonts w:cs="Arial"/>
        </w:rPr>
        <w:t xml:space="preserve">Development Assistance Committee </w:t>
      </w:r>
      <w:r w:rsidR="00D03F54">
        <w:rPr>
          <w:rFonts w:cs="Arial"/>
        </w:rPr>
        <w:t>(</w:t>
      </w:r>
      <w:r w:rsidRPr="002A554E">
        <w:rPr>
          <w:rFonts w:cs="Arial"/>
        </w:rPr>
        <w:t>2017</w:t>
      </w:r>
      <w:r w:rsidR="00D03F54">
        <w:rPr>
          <w:rFonts w:cs="Arial"/>
        </w:rPr>
        <w:t>)</w:t>
      </w:r>
      <w:r w:rsidRPr="002A554E">
        <w:rPr>
          <w:rFonts w:cs="Arial"/>
        </w:rPr>
        <w:t>, Australia’s disbursements for EVAWG were the second highest and made up 17</w:t>
      </w:r>
      <w:r w:rsidR="00A54030">
        <w:rPr>
          <w:rFonts w:cs="Arial"/>
        </w:rPr>
        <w:t xml:space="preserve"> per cent</w:t>
      </w:r>
      <w:r w:rsidRPr="002A554E">
        <w:rPr>
          <w:rFonts w:cs="Arial"/>
        </w:rPr>
        <w:t xml:space="preserve"> of disbursements for donor countries</w:t>
      </w:r>
      <w:r>
        <w:rPr>
          <w:rFonts w:cs="Arial"/>
        </w:rPr>
        <w:t xml:space="preserve">. </w:t>
      </w:r>
    </w:p>
    <w:p w14:paraId="4A58C6E8" w14:textId="64508A03" w:rsidR="00B42C70" w:rsidRDefault="00C07D10" w:rsidP="00C07D10">
      <w:pPr>
        <w:pStyle w:val="Caption"/>
      </w:pPr>
      <w:bookmarkStart w:id="166" w:name="_Toc23434589"/>
      <w:r>
        <w:t xml:space="preserve">Figure </w:t>
      </w:r>
      <w:fldSimple w:instr=" SEQ Figure \* ARABIC ">
        <w:r w:rsidR="00760839">
          <w:rPr>
            <w:noProof/>
          </w:rPr>
          <w:t>7</w:t>
        </w:r>
      </w:fldSimple>
      <w:r w:rsidR="00CD70AE">
        <w:t>:</w:t>
      </w:r>
      <w:r w:rsidR="00CD70AE" w:rsidRPr="00EF65AE">
        <w:t xml:space="preserve"> Australia’s annual expenditure on EVAWG activities from 200</w:t>
      </w:r>
      <w:r w:rsidR="006A14F1">
        <w:t>7</w:t>
      </w:r>
      <w:r w:rsidR="00CD70AE">
        <w:t>–</w:t>
      </w:r>
      <w:r w:rsidR="00585965">
        <w:t>0</w:t>
      </w:r>
      <w:r w:rsidR="00CD70AE" w:rsidRPr="00EF65AE">
        <w:t xml:space="preserve">8 </w:t>
      </w:r>
      <w:r w:rsidR="00585965">
        <w:t>to 2017–18</w:t>
      </w:r>
      <w:bookmarkEnd w:id="166"/>
    </w:p>
    <w:p w14:paraId="4AD39D34" w14:textId="1F441E59" w:rsidR="00CD70AE" w:rsidRPr="00EF65AE" w:rsidRDefault="00880251" w:rsidP="00726D55">
      <w:r>
        <w:rPr>
          <w:noProof/>
          <w:lang w:eastAsia="en-AU"/>
        </w:rPr>
        <w:drawing>
          <wp:inline distT="0" distB="0" distL="0" distR="0" wp14:anchorId="134D0803" wp14:editId="7BF6E45F">
            <wp:extent cx="6120130" cy="2850515"/>
            <wp:effectExtent l="0" t="0" r="1270" b="0"/>
            <wp:docPr id="13" name="Picture 13" descr="Figure 7 is a line graph that shows how much Australia spent on activities to end violence against women and girls for the 10 financial years starting with 2007 to 2008 and ending with 2017 to 2018.&#10;&#10;The global line shows that Australian expenditure went from insignificant at the beginning of the decade to $3 million at the end.&#10;&#10;For the Pacific the increase is $2 million to $25 million. &#10;&#10;For South and West Asia, the increase is from insignificant to $7 million.&#10;&#10;For South East and East Asia, the increase is $1 million to $7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6819 Figure0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2850515"/>
                    </a:xfrm>
                    <a:prstGeom prst="rect">
                      <a:avLst/>
                    </a:prstGeom>
                  </pic:spPr>
                </pic:pic>
              </a:graphicData>
            </a:graphic>
          </wp:inline>
        </w:drawing>
      </w:r>
    </w:p>
    <w:p w14:paraId="3342B573" w14:textId="77C8B2BF" w:rsidR="00CD70AE" w:rsidRPr="00EF65AE" w:rsidRDefault="00CD70AE" w:rsidP="00CD70AE">
      <w:pPr>
        <w:rPr>
          <w:rFonts w:cs="Arial"/>
        </w:rPr>
      </w:pPr>
    </w:p>
    <w:p w14:paraId="2137C349" w14:textId="77777777" w:rsidR="00CD70AE" w:rsidRDefault="00CD70AE" w:rsidP="00CD70AE">
      <w:pPr>
        <w:rPr>
          <w:rFonts w:cs="Arial"/>
        </w:rPr>
      </w:pPr>
      <w:r w:rsidRPr="00EF65AE">
        <w:rPr>
          <w:rFonts w:cs="Arial"/>
        </w:rPr>
        <w:t xml:space="preserve">Additional funding for EVAWG, estimated to be in excess of </w:t>
      </w:r>
      <w:r>
        <w:rPr>
          <w:rFonts w:cs="Arial"/>
        </w:rPr>
        <w:t>$</w:t>
      </w:r>
      <w:r w:rsidRPr="00EF65AE">
        <w:rPr>
          <w:rFonts w:cs="Arial"/>
        </w:rPr>
        <w:t xml:space="preserve">100 million, has been provided </w:t>
      </w:r>
      <w:r w:rsidR="00173170">
        <w:rPr>
          <w:rFonts w:cs="Arial"/>
        </w:rPr>
        <w:t xml:space="preserve">by Australia </w:t>
      </w:r>
      <w:r w:rsidRPr="00EF65AE">
        <w:rPr>
          <w:rFonts w:cs="Arial"/>
        </w:rPr>
        <w:t>through</w:t>
      </w:r>
      <w:r>
        <w:rPr>
          <w:rFonts w:cs="Arial"/>
        </w:rPr>
        <w:t>:</w:t>
      </w:r>
    </w:p>
    <w:p w14:paraId="734B9E6F" w14:textId="77777777" w:rsidR="00CD70AE" w:rsidRDefault="00CD70AE" w:rsidP="00CD70AE">
      <w:pPr>
        <w:pStyle w:val="ListBullet"/>
      </w:pPr>
      <w:r w:rsidRPr="00EF65AE">
        <w:t>humanitarian assistance</w:t>
      </w:r>
    </w:p>
    <w:p w14:paraId="3709FD23" w14:textId="77777777" w:rsidR="00CD70AE" w:rsidRDefault="00CD70AE" w:rsidP="00CD70AE">
      <w:pPr>
        <w:pStyle w:val="ListBullet"/>
      </w:pPr>
      <w:r w:rsidRPr="00EF65AE">
        <w:t>core funding to multilateral agencies</w:t>
      </w:r>
    </w:p>
    <w:p w14:paraId="15410873" w14:textId="77777777" w:rsidR="00CD70AE" w:rsidRDefault="00CD70AE" w:rsidP="00CD70AE">
      <w:pPr>
        <w:pStyle w:val="ListBullet"/>
      </w:pPr>
      <w:r w:rsidRPr="00EF65AE">
        <w:t>broader gender equality programs</w:t>
      </w:r>
    </w:p>
    <w:p w14:paraId="7AEDEA5B" w14:textId="77777777" w:rsidR="00CD70AE" w:rsidRPr="00EF65AE" w:rsidRDefault="00CD70AE" w:rsidP="00CD70AE">
      <w:pPr>
        <w:pStyle w:val="ListBullet"/>
      </w:pPr>
      <w:r w:rsidRPr="00EF65AE">
        <w:t>programs in other sectors where EVAWG was pursued alongside other objectives</w:t>
      </w:r>
      <w:r>
        <w:t xml:space="preserve">. </w:t>
      </w:r>
    </w:p>
    <w:p w14:paraId="1444A94F" w14:textId="77777777" w:rsidR="00CD70AE" w:rsidRPr="00EF65AE" w:rsidRDefault="00CD70AE" w:rsidP="00CD70AE">
      <w:pPr>
        <w:rPr>
          <w:rFonts w:cs="Arial"/>
        </w:rPr>
      </w:pPr>
      <w:r>
        <w:rPr>
          <w:rFonts w:cs="Arial"/>
        </w:rPr>
        <w:t>Australia</w:t>
      </w:r>
      <w:r w:rsidRPr="00EF65AE">
        <w:rPr>
          <w:rFonts w:cs="Arial"/>
        </w:rPr>
        <w:t xml:space="preserve"> has provided </w:t>
      </w:r>
      <w:r>
        <w:rPr>
          <w:rFonts w:cs="Arial"/>
        </w:rPr>
        <w:t>funding</w:t>
      </w:r>
      <w:r w:rsidRPr="00EF65AE">
        <w:rPr>
          <w:rFonts w:cs="Arial"/>
        </w:rPr>
        <w:t xml:space="preserve"> through three types of programs:</w:t>
      </w:r>
    </w:p>
    <w:p w14:paraId="2920061B" w14:textId="4E52F09E" w:rsidR="00CD70AE" w:rsidRPr="00EF65AE" w:rsidRDefault="00CD70AE" w:rsidP="00CD70AE">
      <w:pPr>
        <w:rPr>
          <w:rFonts w:cs="Arial"/>
        </w:rPr>
      </w:pPr>
      <w:r w:rsidRPr="00EF65AE">
        <w:rPr>
          <w:rFonts w:cs="Arial"/>
          <w:b/>
        </w:rPr>
        <w:t>Bilateral programs:</w:t>
      </w:r>
      <w:r w:rsidRPr="00EF65AE">
        <w:rPr>
          <w:rFonts w:cs="Arial"/>
        </w:rPr>
        <w:t xml:space="preserve"> Many of Australia’s bilateral development partnerships have large investments focused on EVAWG. For example, about $20 millio</w:t>
      </w:r>
      <w:r w:rsidR="001F0E12">
        <w:rPr>
          <w:rFonts w:cs="Arial"/>
        </w:rPr>
        <w:t>n</w:t>
      </w:r>
      <w:r w:rsidRPr="00EF65AE">
        <w:rPr>
          <w:rFonts w:cs="Arial"/>
        </w:rPr>
        <w:t xml:space="preserve"> has been allocated to </w:t>
      </w:r>
      <w:bookmarkStart w:id="167" w:name="_Hlk17802794"/>
      <w:r w:rsidRPr="0045079A">
        <w:rPr>
          <w:rFonts w:cs="Arial"/>
        </w:rPr>
        <w:t>Ending Violence Against Women in Timo</w:t>
      </w:r>
      <w:r w:rsidR="00F12BBB">
        <w:rPr>
          <w:rFonts w:cs="Arial"/>
        </w:rPr>
        <w:t>r-</w:t>
      </w:r>
      <w:r w:rsidRPr="0045079A">
        <w:rPr>
          <w:rFonts w:cs="Arial"/>
        </w:rPr>
        <w:t>Leste</w:t>
      </w:r>
      <w:r w:rsidRPr="00D03F54">
        <w:rPr>
          <w:rFonts w:cs="Arial"/>
        </w:rPr>
        <w:t xml:space="preserve"> </w:t>
      </w:r>
      <w:bookmarkEnd w:id="167"/>
      <w:r w:rsidRPr="00D03F54">
        <w:rPr>
          <w:rFonts w:cs="Arial"/>
        </w:rPr>
        <w:t xml:space="preserve">and about $33 million to the two phases of </w:t>
      </w:r>
      <w:bookmarkStart w:id="168" w:name="_Hlk17802810"/>
      <w:r w:rsidRPr="0045079A">
        <w:rPr>
          <w:rFonts w:cs="Arial"/>
        </w:rPr>
        <w:t>Afghanistan</w:t>
      </w:r>
      <w:r w:rsidR="00FA1CE5">
        <w:rPr>
          <w:rFonts w:cs="Arial"/>
        </w:rPr>
        <w:t> </w:t>
      </w:r>
      <w:r w:rsidRPr="00D03F54">
        <w:rPr>
          <w:rFonts w:cs="Arial"/>
        </w:rPr>
        <w:t>—</w:t>
      </w:r>
      <w:r w:rsidR="00FA1CE5">
        <w:rPr>
          <w:rFonts w:cs="Arial"/>
        </w:rPr>
        <w:t> </w:t>
      </w:r>
      <w:r w:rsidRPr="00D03F54">
        <w:rPr>
          <w:rFonts w:cs="Arial"/>
        </w:rPr>
        <w:t>Ending Violence Against</w:t>
      </w:r>
      <w:r w:rsidRPr="00EF65AE">
        <w:rPr>
          <w:rFonts w:cs="Arial"/>
        </w:rPr>
        <w:t xml:space="preserve"> Women</w:t>
      </w:r>
      <w:bookmarkEnd w:id="168"/>
      <w:r>
        <w:rPr>
          <w:rFonts w:cs="Arial"/>
        </w:rPr>
        <w:t xml:space="preserve">. </w:t>
      </w:r>
      <w:r w:rsidRPr="00EF65AE">
        <w:rPr>
          <w:rFonts w:cs="Arial"/>
        </w:rPr>
        <w:t xml:space="preserve">The </w:t>
      </w:r>
      <w:r w:rsidR="00DA259B">
        <w:rPr>
          <w:rFonts w:cs="Arial"/>
        </w:rPr>
        <w:t>seven</w:t>
      </w:r>
      <w:r w:rsidRPr="00EF65AE">
        <w:rPr>
          <w:rFonts w:cs="Arial"/>
        </w:rPr>
        <w:t xml:space="preserve"> focus countries for this evaluation all had at least one large investment focused on EVAWG. </w:t>
      </w:r>
    </w:p>
    <w:p w14:paraId="4C96FB72" w14:textId="76883AE9" w:rsidR="00CD70AE" w:rsidRPr="00EF65AE" w:rsidRDefault="00CD70AE" w:rsidP="00CD70AE">
      <w:pPr>
        <w:rPr>
          <w:rFonts w:cs="Arial"/>
        </w:rPr>
      </w:pPr>
      <w:r w:rsidRPr="00EF65AE">
        <w:rPr>
          <w:rFonts w:cs="Arial"/>
          <w:b/>
        </w:rPr>
        <w:t>Regional programs:</w:t>
      </w:r>
      <w:r w:rsidRPr="00EF65AE">
        <w:rPr>
          <w:rFonts w:cs="Arial"/>
        </w:rPr>
        <w:t xml:space="preserve"> EVAWG activities have been funded by major regional investments</w:t>
      </w:r>
      <w:r w:rsidR="001F0E12">
        <w:rPr>
          <w:rFonts w:cs="Arial"/>
        </w:rPr>
        <w:t>,</w:t>
      </w:r>
      <w:r w:rsidRPr="00EF65AE">
        <w:rPr>
          <w:rFonts w:cs="Arial"/>
        </w:rPr>
        <w:t xml:space="preserve"> particularly in the Pacific. The largest regional </w:t>
      </w:r>
      <w:r w:rsidRPr="00D03F54">
        <w:rPr>
          <w:rFonts w:cs="Arial"/>
        </w:rPr>
        <w:t xml:space="preserve">investment, </w:t>
      </w:r>
      <w:r w:rsidRPr="0045079A">
        <w:rPr>
          <w:rFonts w:cs="Arial"/>
        </w:rPr>
        <w:t>Pacific</w:t>
      </w:r>
      <w:r w:rsidRPr="00D03F54">
        <w:rPr>
          <w:rFonts w:cs="Arial"/>
        </w:rPr>
        <w:t xml:space="preserve"> W</w:t>
      </w:r>
      <w:r w:rsidRPr="00EF65AE">
        <w:rPr>
          <w:rFonts w:cs="Arial"/>
        </w:rPr>
        <w:t>omen, has allocated about 44</w:t>
      </w:r>
      <w:r w:rsidR="00745CD6">
        <w:rPr>
          <w:rFonts w:cs="Arial"/>
        </w:rPr>
        <w:t> </w:t>
      </w:r>
      <w:r>
        <w:rPr>
          <w:rFonts w:cs="Arial"/>
        </w:rPr>
        <w:t>per ce</w:t>
      </w:r>
      <w:r w:rsidRPr="006E4181">
        <w:rPr>
          <w:rFonts w:cs="Arial"/>
        </w:rPr>
        <w:t>nt</w:t>
      </w:r>
      <w:r w:rsidRPr="00EF65AE">
        <w:rPr>
          <w:rFonts w:cs="Arial"/>
        </w:rPr>
        <w:t xml:space="preserve"> of total funding to 55 EVAWG activities. </w:t>
      </w:r>
      <w:r w:rsidR="00D03F54">
        <w:rPr>
          <w:rFonts w:cs="Arial"/>
        </w:rPr>
        <w:t>Pacific Women e</w:t>
      </w:r>
      <w:r w:rsidRPr="00EF65AE">
        <w:rPr>
          <w:rFonts w:cs="Arial"/>
        </w:rPr>
        <w:t>xpenditure on EVAWG activities to 2017</w:t>
      </w:r>
      <w:r>
        <w:rPr>
          <w:rFonts w:cs="Arial"/>
        </w:rPr>
        <w:t>–1</w:t>
      </w:r>
      <w:r w:rsidRPr="00EF65AE">
        <w:rPr>
          <w:rFonts w:cs="Arial"/>
        </w:rPr>
        <w:t xml:space="preserve">8 was $66 million with an additional </w:t>
      </w:r>
      <w:r>
        <w:rPr>
          <w:rFonts w:cs="Arial"/>
        </w:rPr>
        <w:t>$</w:t>
      </w:r>
      <w:r w:rsidRPr="00EF65AE">
        <w:rPr>
          <w:rFonts w:cs="Arial"/>
        </w:rPr>
        <w:t>24 million to be spent by 2019</w:t>
      </w:r>
      <w:r>
        <w:rPr>
          <w:rFonts w:cs="Arial"/>
        </w:rPr>
        <w:t>–</w:t>
      </w:r>
      <w:r w:rsidRPr="00EF65AE">
        <w:rPr>
          <w:rFonts w:cs="Arial"/>
        </w:rPr>
        <w:t>20. Four</w:t>
      </w:r>
      <w:r w:rsidR="00745CD6">
        <w:rPr>
          <w:rFonts w:cs="Arial"/>
        </w:rPr>
        <w:t> </w:t>
      </w:r>
      <w:r w:rsidRPr="00EF65AE">
        <w:rPr>
          <w:rFonts w:cs="Arial"/>
        </w:rPr>
        <w:t>countries (</w:t>
      </w:r>
      <w:r>
        <w:rPr>
          <w:rFonts w:cs="Arial"/>
        </w:rPr>
        <w:t xml:space="preserve">Fiji, </w:t>
      </w:r>
      <w:r w:rsidRPr="00EF65AE">
        <w:rPr>
          <w:rFonts w:cs="Arial"/>
        </w:rPr>
        <w:t>PNG, Solomon Island</w:t>
      </w:r>
      <w:r w:rsidR="00D03F54">
        <w:rPr>
          <w:rFonts w:cs="Arial"/>
        </w:rPr>
        <w:t>s</w:t>
      </w:r>
      <w:r>
        <w:rPr>
          <w:rFonts w:cs="Arial"/>
        </w:rPr>
        <w:t xml:space="preserve"> and</w:t>
      </w:r>
      <w:r w:rsidRPr="00EF65AE">
        <w:rPr>
          <w:rFonts w:cs="Arial"/>
        </w:rPr>
        <w:t xml:space="preserve"> Vanuatu) receive about 70 per cent of </w:t>
      </w:r>
      <w:r>
        <w:rPr>
          <w:rFonts w:cs="Arial"/>
        </w:rPr>
        <w:t>their</w:t>
      </w:r>
      <w:r w:rsidRPr="00EF65AE">
        <w:rPr>
          <w:rFonts w:cs="Arial"/>
        </w:rPr>
        <w:t xml:space="preserve"> EVAWG funds from Pacific Women (</w:t>
      </w:r>
      <w:r w:rsidR="00DB2471">
        <w:rPr>
          <w:rFonts w:cs="Arial"/>
        </w:rPr>
        <w:t>Figure 8</w:t>
      </w:r>
      <w:r w:rsidRPr="00EF65AE">
        <w:rPr>
          <w:rFonts w:cs="Arial"/>
        </w:rPr>
        <w:t>)</w:t>
      </w:r>
      <w:r>
        <w:rPr>
          <w:rFonts w:cs="Arial"/>
        </w:rPr>
        <w:t xml:space="preserve">. </w:t>
      </w:r>
      <w:r w:rsidRPr="00EF65AE">
        <w:rPr>
          <w:rFonts w:cs="Arial"/>
        </w:rPr>
        <w:t>About 10</w:t>
      </w:r>
      <w:r w:rsidR="00A54030">
        <w:rPr>
          <w:rFonts w:cs="Arial"/>
        </w:rPr>
        <w:t xml:space="preserve"> per cent</w:t>
      </w:r>
      <w:r w:rsidRPr="00EF65AE">
        <w:rPr>
          <w:rFonts w:cs="Arial"/>
        </w:rPr>
        <w:t xml:space="preserve"> of </w:t>
      </w:r>
      <w:r w:rsidR="00D03F54">
        <w:rPr>
          <w:rFonts w:cs="Arial"/>
        </w:rPr>
        <w:t xml:space="preserve">total </w:t>
      </w:r>
      <w:r w:rsidRPr="00EF65AE">
        <w:rPr>
          <w:rFonts w:cs="Arial"/>
        </w:rPr>
        <w:t xml:space="preserve">EVAWG funds from Pacific Women go to eight other Pacific </w:t>
      </w:r>
      <w:r w:rsidR="00D41142">
        <w:rPr>
          <w:rFonts w:cs="Arial"/>
        </w:rPr>
        <w:t xml:space="preserve">island </w:t>
      </w:r>
      <w:r w:rsidRPr="00EF65AE">
        <w:rPr>
          <w:rFonts w:cs="Arial"/>
        </w:rPr>
        <w:t>countries with the re</w:t>
      </w:r>
      <w:r w:rsidR="00D03F54">
        <w:rPr>
          <w:rFonts w:cs="Arial"/>
        </w:rPr>
        <w:t>st</w:t>
      </w:r>
      <w:r w:rsidRPr="00EF65AE">
        <w:rPr>
          <w:rFonts w:cs="Arial"/>
        </w:rPr>
        <w:t xml:space="preserve"> supporting regional activities </w:t>
      </w:r>
      <w:bookmarkStart w:id="169" w:name="_Hlk15938139"/>
      <w:r w:rsidRPr="00EF65AE">
        <w:rPr>
          <w:rFonts w:cs="Arial"/>
        </w:rPr>
        <w:t xml:space="preserve">benefiting </w:t>
      </w:r>
      <w:bookmarkEnd w:id="169"/>
      <w:r w:rsidRPr="00EF65AE">
        <w:rPr>
          <w:rFonts w:cs="Arial"/>
        </w:rPr>
        <w:t xml:space="preserve">14 Pacific island countries. </w:t>
      </w:r>
    </w:p>
    <w:p w14:paraId="573922BF" w14:textId="5B32D19B" w:rsidR="00CD70AE" w:rsidRPr="00EF65AE" w:rsidRDefault="00C07D10" w:rsidP="00C07D10">
      <w:pPr>
        <w:pStyle w:val="Caption"/>
      </w:pPr>
      <w:bookmarkStart w:id="170" w:name="_Toc23434590"/>
      <w:r>
        <w:t xml:space="preserve">Figure </w:t>
      </w:r>
      <w:fldSimple w:instr=" SEQ Figure \* ARABIC ">
        <w:r w:rsidR="00760839">
          <w:rPr>
            <w:noProof/>
          </w:rPr>
          <w:t>8</w:t>
        </w:r>
      </w:fldSimple>
      <w:r w:rsidR="00CD70AE" w:rsidRPr="00EF65AE">
        <w:t>: Pacific Women EVAWG expenditure from 2011</w:t>
      </w:r>
      <w:r w:rsidR="00CD70AE">
        <w:t>–</w:t>
      </w:r>
      <w:r w:rsidR="00CD70AE" w:rsidRPr="00EF65AE">
        <w:t>12 to 2017</w:t>
      </w:r>
      <w:r w:rsidR="00CD70AE">
        <w:t>–</w:t>
      </w:r>
      <w:r w:rsidR="00CD70AE" w:rsidRPr="00EF65AE">
        <w:t>18 on countries and regional activities</w:t>
      </w:r>
      <w:bookmarkEnd w:id="170"/>
    </w:p>
    <w:p w14:paraId="45F6ED87" w14:textId="5A426D73" w:rsidR="00CD70AE" w:rsidRPr="00EF65AE" w:rsidRDefault="00880251" w:rsidP="00CD70AE">
      <w:pPr>
        <w:rPr>
          <w:rFonts w:cs="Arial"/>
          <w:spacing w:val="-6"/>
        </w:rPr>
      </w:pPr>
      <w:r>
        <w:rPr>
          <w:rFonts w:cs="Arial"/>
          <w:noProof/>
          <w:spacing w:val="-6"/>
          <w:lang w:eastAsia="en-AU"/>
        </w:rPr>
        <w:drawing>
          <wp:inline distT="0" distB="0" distL="0" distR="0" wp14:anchorId="416DC95E" wp14:editId="5BD3F91A">
            <wp:extent cx="6120130" cy="2615565"/>
            <wp:effectExtent l="0" t="0" r="1270" b="635"/>
            <wp:docPr id="14" name="Picture 14" descr="Figure 8 is a pie chart that shows how much Australia spent through Pacific Women to end violence against women and girls from 2011 to 2012 financial year through to the end of the 2017 to 2018 financial year.&#10;&#10;The regional spend was 19 per cent of total expenditure.&#10;&#10;In Papua New Guinea it was 39 per cent, in Solomon Islands 14 per cent, in Fiji 9 per cent, in Vanuatu 9 per cent and in other countries in the region it was a combined 10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6819 Figure08.i.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2615565"/>
                    </a:xfrm>
                    <a:prstGeom prst="rect">
                      <a:avLst/>
                    </a:prstGeom>
                  </pic:spPr>
                </pic:pic>
              </a:graphicData>
            </a:graphic>
          </wp:inline>
        </w:drawing>
      </w:r>
    </w:p>
    <w:p w14:paraId="2D031C5A" w14:textId="77777777" w:rsidR="00CD70AE" w:rsidRPr="00EF65AE" w:rsidRDefault="00CD70AE" w:rsidP="00CD70AE">
      <w:pPr>
        <w:rPr>
          <w:rFonts w:cs="Arial"/>
        </w:rPr>
      </w:pPr>
      <w:r w:rsidRPr="00EF65AE">
        <w:rPr>
          <w:rFonts w:cs="Arial"/>
          <w:b/>
        </w:rPr>
        <w:t>Global programs:</w:t>
      </w:r>
      <w:r w:rsidRPr="00EF65AE">
        <w:rPr>
          <w:rFonts w:cs="Arial"/>
        </w:rPr>
        <w:t xml:space="preserve"> Australia supports EVAWG activities through </w:t>
      </w:r>
      <w:r w:rsidR="00A36E43">
        <w:rPr>
          <w:rFonts w:cs="Arial"/>
        </w:rPr>
        <w:t>several</w:t>
      </w:r>
      <w:r w:rsidRPr="00EF65AE">
        <w:rPr>
          <w:rFonts w:cs="Arial"/>
        </w:rPr>
        <w:t xml:space="preserve"> global programs. This includes support for multilateral organisations such as U</w:t>
      </w:r>
      <w:r w:rsidR="00AE4FE4">
        <w:rPr>
          <w:rFonts w:cs="Arial"/>
        </w:rPr>
        <w:t>nited Nations (U</w:t>
      </w:r>
      <w:r w:rsidRPr="00EF65AE">
        <w:rPr>
          <w:rFonts w:cs="Arial"/>
        </w:rPr>
        <w:t>N</w:t>
      </w:r>
      <w:r w:rsidR="00AE4FE4">
        <w:rPr>
          <w:rFonts w:cs="Arial"/>
        </w:rPr>
        <w:t>)</w:t>
      </w:r>
      <w:r w:rsidRPr="00EF65AE">
        <w:rPr>
          <w:rFonts w:cs="Arial"/>
        </w:rPr>
        <w:t xml:space="preserve"> agencies (in particular, UNFPA, UN Women, U</w:t>
      </w:r>
      <w:r w:rsidR="00D03F54">
        <w:rPr>
          <w:rFonts w:cs="Arial"/>
        </w:rPr>
        <w:t>nited Nations Development Programme</w:t>
      </w:r>
      <w:r w:rsidRPr="00EF65AE">
        <w:rPr>
          <w:rFonts w:cs="Arial"/>
        </w:rPr>
        <w:t xml:space="preserve">, UNICEF, and WHO). Partnerships with multilateral agencies have focused on improving service standards, supporting innovations and research, and improving data and monitoring of EVAWG in line with international </w:t>
      </w:r>
      <w:r w:rsidR="00E20CBF">
        <w:rPr>
          <w:rFonts w:cs="Arial"/>
        </w:rPr>
        <w:t>best</w:t>
      </w:r>
      <w:r w:rsidR="00E20CBF" w:rsidRPr="00EF65AE">
        <w:rPr>
          <w:rFonts w:cs="Arial"/>
        </w:rPr>
        <w:t xml:space="preserve"> </w:t>
      </w:r>
      <w:r w:rsidRPr="00EF65AE">
        <w:rPr>
          <w:rFonts w:cs="Arial"/>
        </w:rPr>
        <w:t xml:space="preserve">practice. </w:t>
      </w:r>
    </w:p>
    <w:p w14:paraId="6B636709" w14:textId="77777777" w:rsidR="00CD70AE" w:rsidRPr="00EF65AE" w:rsidRDefault="00CD70AE" w:rsidP="00CD70AE">
      <w:pPr>
        <w:rPr>
          <w:rFonts w:cs="Arial"/>
        </w:rPr>
      </w:pPr>
      <w:r w:rsidRPr="00EF65AE">
        <w:rPr>
          <w:rFonts w:cs="Arial"/>
        </w:rPr>
        <w:t>EVAWG-focused activities have also been supported by more than $40 million provided through the Australian NGO Cooperation Program. Through this program</w:t>
      </w:r>
      <w:r w:rsidR="00D03F54">
        <w:rPr>
          <w:rFonts w:cs="Arial"/>
        </w:rPr>
        <w:t>,</w:t>
      </w:r>
      <w:r w:rsidRPr="00EF65AE">
        <w:rPr>
          <w:rFonts w:cs="Arial"/>
        </w:rPr>
        <w:t xml:space="preserve"> Australian NGOs have worked with NGOs in partner countries </w:t>
      </w:r>
      <w:r w:rsidR="00D03F54">
        <w:rPr>
          <w:rFonts w:cs="Arial"/>
        </w:rPr>
        <w:t>around</w:t>
      </w:r>
      <w:r w:rsidR="00D03F54" w:rsidRPr="00EF65AE">
        <w:rPr>
          <w:rFonts w:cs="Arial"/>
        </w:rPr>
        <w:t xml:space="preserve"> </w:t>
      </w:r>
      <w:r w:rsidRPr="00EF65AE">
        <w:rPr>
          <w:rFonts w:cs="Arial"/>
        </w:rPr>
        <w:t xml:space="preserve">the </w:t>
      </w:r>
      <w:r w:rsidR="00D03F54">
        <w:rPr>
          <w:rFonts w:cs="Arial"/>
        </w:rPr>
        <w:t>world</w:t>
      </w:r>
      <w:r w:rsidR="00D03F54" w:rsidRPr="00EF65AE">
        <w:rPr>
          <w:rFonts w:cs="Arial"/>
        </w:rPr>
        <w:t xml:space="preserve"> </w:t>
      </w:r>
      <w:r w:rsidRPr="00EF65AE">
        <w:rPr>
          <w:rFonts w:cs="Arial"/>
        </w:rPr>
        <w:t xml:space="preserve">on 310 projects (2007–08 to 2017–18) which have provided diverse EVAWG prevention, justice and service delivery activities. </w:t>
      </w:r>
    </w:p>
    <w:p w14:paraId="5F74A2E7" w14:textId="4053A182" w:rsidR="00CD70AE" w:rsidRPr="00EF65AE" w:rsidRDefault="00CD70AE" w:rsidP="00CD70AE">
      <w:pPr>
        <w:rPr>
          <w:rFonts w:cs="Arial"/>
        </w:rPr>
      </w:pPr>
      <w:r w:rsidRPr="00EF65AE">
        <w:rPr>
          <w:rFonts w:cs="Arial"/>
        </w:rPr>
        <w:t>Global programs extend the geographic reach of Australian support for EVAWG beyond that achieved through bilateral and regional funding</w:t>
      </w:r>
      <w:r>
        <w:rPr>
          <w:rFonts w:cs="Arial"/>
        </w:rPr>
        <w:t xml:space="preserve">. </w:t>
      </w:r>
      <w:r w:rsidRPr="00EF65AE">
        <w:rPr>
          <w:rFonts w:cs="Arial"/>
        </w:rPr>
        <w:t>For example, 18</w:t>
      </w:r>
      <w:r w:rsidR="00A54030">
        <w:rPr>
          <w:rFonts w:cs="Arial"/>
        </w:rPr>
        <w:t xml:space="preserve"> per cent</w:t>
      </w:r>
      <w:r w:rsidRPr="00EF65AE">
        <w:rPr>
          <w:rFonts w:cs="Arial"/>
        </w:rPr>
        <w:t xml:space="preserve"> of the $42 million EVAWG expenditure of the Australian NGO Cooperation Program is outside the Pacific, South East and East Asia, and South and West Asia</w:t>
      </w:r>
      <w:r>
        <w:rPr>
          <w:rFonts w:cs="Arial"/>
        </w:rPr>
        <w:t xml:space="preserve">. </w:t>
      </w:r>
      <w:r w:rsidRPr="00EF65AE">
        <w:rPr>
          <w:rFonts w:cs="Arial"/>
        </w:rPr>
        <w:t>(</w:t>
      </w:r>
      <w:r w:rsidR="00760839">
        <w:rPr>
          <w:rFonts w:cs="Arial"/>
        </w:rPr>
        <w:fldChar w:fldCharType="begin"/>
      </w:r>
      <w:r w:rsidR="00760839">
        <w:rPr>
          <w:rFonts w:cs="Arial"/>
        </w:rPr>
        <w:instrText xml:space="preserve"> REF _Ref21365438 \h </w:instrText>
      </w:r>
      <w:r w:rsidR="00760839">
        <w:rPr>
          <w:rFonts w:cs="Arial"/>
        </w:rPr>
      </w:r>
      <w:r w:rsidR="00760839">
        <w:rPr>
          <w:rFonts w:cs="Arial"/>
        </w:rPr>
        <w:fldChar w:fldCharType="separate"/>
      </w:r>
      <w:r w:rsidR="00760839">
        <w:t xml:space="preserve">Figure </w:t>
      </w:r>
      <w:r w:rsidR="00760839">
        <w:rPr>
          <w:noProof/>
        </w:rPr>
        <w:t>9</w:t>
      </w:r>
      <w:r w:rsidR="00760839">
        <w:rPr>
          <w:rFonts w:cs="Arial"/>
        </w:rPr>
        <w:fldChar w:fldCharType="end"/>
      </w:r>
      <w:r w:rsidRPr="00EF65AE">
        <w:rPr>
          <w:rFonts w:cs="Arial"/>
        </w:rPr>
        <w:t xml:space="preserve">). </w:t>
      </w:r>
    </w:p>
    <w:p w14:paraId="189A61A5" w14:textId="314129FC" w:rsidR="00CD70AE" w:rsidRPr="00EF65AE" w:rsidRDefault="00C07D10" w:rsidP="00C07D10">
      <w:pPr>
        <w:pStyle w:val="Caption"/>
      </w:pPr>
      <w:bookmarkStart w:id="171" w:name="_Ref21365438"/>
      <w:bookmarkStart w:id="172" w:name="_Toc23434591"/>
      <w:r>
        <w:t xml:space="preserve">Figure </w:t>
      </w:r>
      <w:fldSimple w:instr=" SEQ Figure \* ARABIC ">
        <w:r w:rsidR="00760839">
          <w:rPr>
            <w:noProof/>
          </w:rPr>
          <w:t>9</w:t>
        </w:r>
      </w:fldSimple>
      <w:bookmarkEnd w:id="171"/>
      <w:r w:rsidR="00CD70AE" w:rsidRPr="00EF65AE">
        <w:t>: Expenditure of the Australian NGO Cooperation Program by region from 2007</w:t>
      </w:r>
      <w:r w:rsidR="00CD70AE">
        <w:t>–0</w:t>
      </w:r>
      <w:r w:rsidR="00CD70AE" w:rsidRPr="00EF65AE">
        <w:t>8 to 2017</w:t>
      </w:r>
      <w:r w:rsidR="00CD70AE">
        <w:t>–1</w:t>
      </w:r>
      <w:r w:rsidR="00CD70AE" w:rsidRPr="00EF65AE">
        <w:t>8</w:t>
      </w:r>
      <w:bookmarkEnd w:id="172"/>
      <w:r w:rsidR="00CD70AE" w:rsidRPr="00EF65AE">
        <w:t xml:space="preserve"> </w:t>
      </w:r>
    </w:p>
    <w:p w14:paraId="75A0B5BA" w14:textId="32308910" w:rsidR="00CD70AE" w:rsidRPr="00EF65AE" w:rsidRDefault="00880251" w:rsidP="00CD70AE">
      <w:pPr>
        <w:rPr>
          <w:rFonts w:cs="Arial"/>
        </w:rPr>
      </w:pPr>
      <w:r>
        <w:rPr>
          <w:rFonts w:cs="Arial"/>
          <w:noProof/>
          <w:lang w:eastAsia="en-AU"/>
        </w:rPr>
        <w:drawing>
          <wp:inline distT="0" distB="0" distL="0" distR="0" wp14:anchorId="0B0700AF" wp14:editId="71730AF5">
            <wp:extent cx="6120130" cy="2628265"/>
            <wp:effectExtent l="0" t="0" r="1270" b="635"/>
            <wp:docPr id="15" name="Picture 15" descr="Figure 9 is a pie chart that shows how much Australia spent through the Australian NGO Cooperation Program to end violence against women and girls for the decade starting 2007 to 2008 and ending 2017 to 2018.&#10;&#10;The global spend was 5 per cent of total spend. South East and East Asia was 36 per cent, followed by Pacific at 26 per cent, Middle, East, Africa and other at 18 per cent and South and West Asia at 15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6819 Figure0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2628265"/>
                    </a:xfrm>
                    <a:prstGeom prst="rect">
                      <a:avLst/>
                    </a:prstGeom>
                  </pic:spPr>
                </pic:pic>
              </a:graphicData>
            </a:graphic>
          </wp:inline>
        </w:drawing>
      </w:r>
    </w:p>
    <w:p w14:paraId="1728CF74" w14:textId="77777777" w:rsidR="00EF65AE" w:rsidRPr="00EF65AE" w:rsidRDefault="00CD70AE" w:rsidP="001074FB">
      <w:pPr>
        <w:pStyle w:val="Heading3NoTOC"/>
      </w:pPr>
      <w:r>
        <w:t>Australian s</w:t>
      </w:r>
      <w:r w:rsidR="00EF65AE" w:rsidRPr="00EF65AE">
        <w:t>upport for global and regional leadership and coordination</w:t>
      </w:r>
    </w:p>
    <w:p w14:paraId="13AB562E" w14:textId="77777777" w:rsidR="00D03F54" w:rsidRDefault="00EF65AE" w:rsidP="00EF65AE">
      <w:pPr>
        <w:rPr>
          <w:rFonts w:cs="Arial"/>
        </w:rPr>
      </w:pPr>
      <w:r w:rsidRPr="00EF65AE">
        <w:rPr>
          <w:rFonts w:cs="Arial"/>
        </w:rPr>
        <w:t>After decades of advocacy and programming by women’s movements and feminist activists, international and regional organisations have more explicitly recognised VAWG as a fundamental violation of human rights, and a serious development and public health issue. In the last 10 years, this has resulted in</w:t>
      </w:r>
      <w:r w:rsidR="00D03F54">
        <w:rPr>
          <w:rFonts w:cs="Arial"/>
        </w:rPr>
        <w:t>:</w:t>
      </w:r>
    </w:p>
    <w:p w14:paraId="2F15EFAA" w14:textId="77777777" w:rsidR="00D03F54" w:rsidRPr="0045079A" w:rsidRDefault="00EF65AE" w:rsidP="00D03F54">
      <w:pPr>
        <w:pStyle w:val="ListBullet"/>
      </w:pPr>
      <w:r w:rsidRPr="00D03F54">
        <w:t>increasing financial investments</w:t>
      </w:r>
    </w:p>
    <w:p w14:paraId="77981523" w14:textId="77777777" w:rsidR="00EF65AE" w:rsidRPr="00EF65AE" w:rsidRDefault="00D03F54" w:rsidP="0045079A">
      <w:pPr>
        <w:pStyle w:val="ListBullet"/>
      </w:pPr>
      <w:r w:rsidRPr="0045079A">
        <w:t>establishing</w:t>
      </w:r>
      <w:r w:rsidR="00EF65AE" w:rsidRPr="00D03F54">
        <w:t xml:space="preserve"> several international</w:t>
      </w:r>
      <w:r w:rsidR="00EF65AE" w:rsidRPr="00EF65AE">
        <w:t xml:space="preserve"> conventions, policies and frameworks to address VAWG, including through the Sustainable Development Goals. The </w:t>
      </w:r>
      <w:r w:rsidR="00D008EA">
        <w:t xml:space="preserve">goals </w:t>
      </w:r>
      <w:r w:rsidR="00EF65AE" w:rsidRPr="00EF65AE">
        <w:t xml:space="preserve">provide a new global consensus for action through the stand-alone goal on gender equality, alongside clear targets to </w:t>
      </w:r>
      <w:r w:rsidR="00AE4FE4">
        <w:t>EVAWG</w:t>
      </w:r>
      <w:r w:rsidR="00EF65AE" w:rsidRPr="00EF65AE">
        <w:t xml:space="preserve"> (Box 1). </w:t>
      </w:r>
    </w:p>
    <w:p w14:paraId="206FCB64" w14:textId="77777777" w:rsidR="00EF65AE" w:rsidRPr="00EF65AE" w:rsidRDefault="00EF65AE" w:rsidP="00EF65AE">
      <w:pPr>
        <w:pStyle w:val="CallOutHeading"/>
        <w:rPr>
          <w:rFonts w:cs="Arial"/>
        </w:rPr>
      </w:pPr>
      <w:r w:rsidRPr="00EF65AE">
        <w:rPr>
          <w:rFonts w:cs="Arial"/>
        </w:rPr>
        <w:t xml:space="preserve">Box 1: Sustainable Development Goal </w:t>
      </w:r>
      <w:r w:rsidR="00D03F54">
        <w:rPr>
          <w:rFonts w:cs="Arial"/>
        </w:rPr>
        <w:t>t</w:t>
      </w:r>
      <w:r w:rsidRPr="00EF65AE">
        <w:rPr>
          <w:rFonts w:cs="Arial"/>
        </w:rPr>
        <w:t xml:space="preserve">argets for </w:t>
      </w:r>
      <w:r w:rsidR="007A389F">
        <w:rPr>
          <w:rFonts w:cs="Arial"/>
        </w:rPr>
        <w:t>ending violence against women</w:t>
      </w:r>
    </w:p>
    <w:p w14:paraId="7BDA6F8D" w14:textId="77777777" w:rsidR="00EF65AE" w:rsidRPr="00EF65AE" w:rsidRDefault="00EF65AE" w:rsidP="00EF65AE">
      <w:pPr>
        <w:pStyle w:val="CallOutBody"/>
        <w:rPr>
          <w:rFonts w:cs="Arial"/>
        </w:rPr>
      </w:pPr>
      <w:r w:rsidRPr="00EF65AE">
        <w:rPr>
          <w:rFonts w:cs="Arial"/>
          <w:b/>
        </w:rPr>
        <w:t>Target 5.2</w:t>
      </w:r>
      <w:r w:rsidRPr="00EF65AE">
        <w:rPr>
          <w:rFonts w:cs="Arial"/>
        </w:rPr>
        <w:t xml:space="preserve"> To eliminate all forms of violence against all women and girls in the public and private spheres, including trafficking and sexual and other types of exploitation.</w:t>
      </w:r>
    </w:p>
    <w:p w14:paraId="05F66538" w14:textId="77777777" w:rsidR="00EF65AE" w:rsidRPr="00EF65AE" w:rsidRDefault="00EF65AE" w:rsidP="00EF65AE">
      <w:pPr>
        <w:pStyle w:val="CallOutBody"/>
        <w:rPr>
          <w:rFonts w:cs="Arial"/>
        </w:rPr>
      </w:pPr>
      <w:r w:rsidRPr="00EF65AE">
        <w:rPr>
          <w:rFonts w:cs="Arial"/>
          <w:b/>
        </w:rPr>
        <w:t>Target 5.3</w:t>
      </w:r>
      <w:r w:rsidRPr="00EF65AE">
        <w:rPr>
          <w:rFonts w:cs="Arial"/>
        </w:rPr>
        <w:t xml:space="preserve"> To eliminate all harmful practices, such as child early and forced marriage and female genital mutilation. </w:t>
      </w:r>
    </w:p>
    <w:p w14:paraId="5895C585" w14:textId="77777777" w:rsidR="00EF65AE" w:rsidRPr="00EF65AE" w:rsidRDefault="00EF65AE" w:rsidP="00EF65AE">
      <w:pPr>
        <w:rPr>
          <w:rFonts w:cs="Arial"/>
        </w:rPr>
      </w:pPr>
      <w:r w:rsidRPr="00EF65AE">
        <w:rPr>
          <w:rFonts w:cs="Arial"/>
        </w:rPr>
        <w:t>An increase in government commitment and capacity to address VAWG is evidenced by implement</w:t>
      </w:r>
      <w:r w:rsidR="00915492">
        <w:rPr>
          <w:rFonts w:cs="Arial"/>
        </w:rPr>
        <w:t>ing</w:t>
      </w:r>
      <w:r w:rsidRPr="00EF65AE">
        <w:rPr>
          <w:rFonts w:cs="Arial"/>
        </w:rPr>
        <w:t xml:space="preserve"> the </w:t>
      </w:r>
      <w:r w:rsidR="00D008EA">
        <w:rPr>
          <w:rFonts w:cs="Arial"/>
        </w:rPr>
        <w:t>Sustainable Development Goals</w:t>
      </w:r>
      <w:r w:rsidRPr="00EF65AE">
        <w:rPr>
          <w:rFonts w:cs="Arial"/>
        </w:rPr>
        <w:t xml:space="preserve"> and signing other relevant international and regional conventions. Australia has supported these commitments, leading by example in ratifying conventions and providing direct technical support to national governments. Annex 4 shows the relevant international conventions that nations in Asia and the Pacific have signed or ratified. </w:t>
      </w:r>
    </w:p>
    <w:p w14:paraId="04C777A8" w14:textId="35E8E031" w:rsidR="00EF65AE" w:rsidRPr="00EF65AE" w:rsidRDefault="00EF65AE" w:rsidP="00EF65AE">
      <w:pPr>
        <w:rPr>
          <w:rFonts w:cs="Arial"/>
        </w:rPr>
      </w:pPr>
      <w:r w:rsidRPr="00EF65AE">
        <w:rPr>
          <w:rFonts w:cs="Arial"/>
        </w:rPr>
        <w:t xml:space="preserve">In August 2012, the Pacific Islands Forum adopted the </w:t>
      </w:r>
      <w:bookmarkStart w:id="173" w:name="_Hlk17803291"/>
      <w:r w:rsidRPr="00EF65AE">
        <w:rPr>
          <w:rFonts w:cs="Arial"/>
        </w:rPr>
        <w:t>Pacific Leaders’ Gender Equality Declaration.</w:t>
      </w:r>
      <w:bookmarkEnd w:id="173"/>
      <w:r w:rsidRPr="00EF65AE">
        <w:rPr>
          <w:rFonts w:cs="Arial"/>
        </w:rPr>
        <w:fldChar w:fldCharType="begin"/>
      </w:r>
      <w:r w:rsidRPr="00EF65AE">
        <w:rPr>
          <w:rFonts w:cs="Arial"/>
        </w:rPr>
        <w:instrText xml:space="preserve"> ADDIN ZOTERO_ITEM CSL_CITATION {"citationID":"kh37wtHO","properties":{"formattedCitation":"\\super 60\\nosupersub{}","plainCitation":"60","noteIndex":0},"citationItems":[{"id":2241,"uris":["http://zotero.org/users/4194704/items/I2SI5ZJK"],"uri":["http://zotero.org/users/4194704/items/I2SI5ZJK"],"itemData":{"id":2241,"type":"report","title":"Pacific Leaders Gender Equality Declaration Trend Assessment Report 2012-2016","publisher":"Pacific Islands Forum Secretariat","publisher-place":"Suva","event-place":"Suva","URL":"http://www.aidsdatahub.org/sites/default/files/publication/Pacific_Leaders_Gender_Equality_Declaration_2016.pdf","author":[{"family":"Pacific Islands","given":"Forum Secretariat"}],"issued":{"date-parts":[["2016"]]}}}],"schema":"https://github.com/citation-style-language/schema/raw/master/csl-citation.json"} </w:instrText>
      </w:r>
      <w:r w:rsidRPr="00EF65AE">
        <w:rPr>
          <w:rFonts w:cs="Arial"/>
        </w:rPr>
        <w:fldChar w:fldCharType="separate"/>
      </w:r>
      <w:r w:rsidRPr="00EF65AE">
        <w:rPr>
          <w:rFonts w:cs="Arial"/>
          <w:vertAlign w:val="superscript"/>
          <w:lang w:val="en-US"/>
        </w:rPr>
        <w:t>60</w:t>
      </w:r>
      <w:r w:rsidRPr="00EF65AE">
        <w:rPr>
          <w:rFonts w:cs="Arial"/>
        </w:rPr>
        <w:fldChar w:fldCharType="end"/>
      </w:r>
      <w:r w:rsidRPr="00EF65AE">
        <w:rPr>
          <w:rFonts w:cs="Arial"/>
        </w:rPr>
        <w:t xml:space="preserve"> This was the first statement by Heads of State from each of the </w:t>
      </w:r>
      <w:r w:rsidR="00954528">
        <w:rPr>
          <w:rFonts w:cs="Arial"/>
        </w:rPr>
        <w:t>1</w:t>
      </w:r>
      <w:r w:rsidR="00D41142">
        <w:rPr>
          <w:rFonts w:cs="Arial"/>
        </w:rPr>
        <w:t>6</w:t>
      </w:r>
      <w:r w:rsidR="00954528" w:rsidRPr="00EF65AE">
        <w:rPr>
          <w:rFonts w:cs="Arial"/>
        </w:rPr>
        <w:t xml:space="preserve"> </w:t>
      </w:r>
      <w:r w:rsidRPr="00EF65AE">
        <w:rPr>
          <w:rFonts w:cs="Arial"/>
        </w:rPr>
        <w:t xml:space="preserve">Pacific Island Forum member countries </w:t>
      </w:r>
      <w:r w:rsidR="00D41142">
        <w:rPr>
          <w:rFonts w:cs="Arial"/>
        </w:rPr>
        <w:t xml:space="preserve">as a group </w:t>
      </w:r>
      <w:r w:rsidRPr="00EF65AE">
        <w:rPr>
          <w:rFonts w:cs="Arial"/>
        </w:rPr>
        <w:t>to advance gender equality and it included commitments for countries towards EVAWG (Box 2). Australia’s 10-year Pacific Women initiative supports countries to meet the commitments made in the Declaration.</w:t>
      </w:r>
    </w:p>
    <w:p w14:paraId="73461091" w14:textId="77777777" w:rsidR="00EF65AE" w:rsidRPr="00EF65AE" w:rsidRDefault="00EF65AE" w:rsidP="00EF65AE">
      <w:pPr>
        <w:pStyle w:val="CallOutHeading"/>
        <w:rPr>
          <w:rFonts w:cs="Arial"/>
        </w:rPr>
      </w:pPr>
      <w:r w:rsidRPr="00EF65AE">
        <w:rPr>
          <w:rFonts w:cs="Arial"/>
        </w:rPr>
        <w:t xml:space="preserve">Box 2: Commitments on </w:t>
      </w:r>
      <w:r w:rsidR="007A389F">
        <w:rPr>
          <w:rFonts w:cs="Arial"/>
        </w:rPr>
        <w:t>ending violence against women</w:t>
      </w:r>
      <w:r w:rsidRPr="00EF65AE">
        <w:rPr>
          <w:rFonts w:cs="Arial"/>
        </w:rPr>
        <w:t xml:space="preserve"> in the Pacific Leaders’ Gender Equality Declaration</w:t>
      </w:r>
    </w:p>
    <w:p w14:paraId="61F66EC7" w14:textId="77777777" w:rsidR="00EF65AE" w:rsidRPr="00EF65AE" w:rsidRDefault="00EF65AE" w:rsidP="00EF65AE">
      <w:pPr>
        <w:pStyle w:val="CallOutBody"/>
        <w:rPr>
          <w:rFonts w:cs="Arial"/>
        </w:rPr>
      </w:pPr>
      <w:r w:rsidRPr="00EF65AE">
        <w:rPr>
          <w:rFonts w:cs="Arial"/>
          <w:b/>
        </w:rPr>
        <w:t>Provide services:</w:t>
      </w:r>
      <w:r w:rsidRPr="00EF65AE">
        <w:rPr>
          <w:rFonts w:cs="Arial"/>
        </w:rPr>
        <w:t xml:space="preserve"> Implement progressively a package of essential services (protection, health, counselling, legal) for women and girls who are survivors of violence.</w:t>
      </w:r>
    </w:p>
    <w:p w14:paraId="4604BBE8" w14:textId="77777777" w:rsidR="00EF65AE" w:rsidRPr="00EF65AE" w:rsidRDefault="00EF65AE" w:rsidP="00EF65AE">
      <w:pPr>
        <w:pStyle w:val="CallOutBody"/>
        <w:rPr>
          <w:rFonts w:cs="Arial"/>
        </w:rPr>
      </w:pPr>
      <w:r w:rsidRPr="00EF65AE">
        <w:rPr>
          <w:rFonts w:cs="Arial"/>
          <w:b/>
        </w:rPr>
        <w:t xml:space="preserve">Implement legislation: </w:t>
      </w:r>
      <w:r w:rsidRPr="00EF65AE">
        <w:rPr>
          <w:rFonts w:cs="Arial"/>
        </w:rPr>
        <w:t>Enact and implement legislation regarding sexual and gender-based violence to protect women from violence and impose appropriate penalties for perpetrators of violence.</w:t>
      </w:r>
    </w:p>
    <w:p w14:paraId="3EA99789" w14:textId="77777777" w:rsidR="00EF65AE" w:rsidRPr="000350C0" w:rsidRDefault="00EF65AE" w:rsidP="00EF65AE">
      <w:pPr>
        <w:rPr>
          <w:rFonts w:cs="Arial"/>
        </w:rPr>
      </w:pPr>
      <w:r w:rsidRPr="00EF65AE">
        <w:rPr>
          <w:rFonts w:cs="Arial"/>
        </w:rPr>
        <w:t xml:space="preserve">In October 2013, the Association of Southeast Asian Nations (ASEAN) Leaders adopted the </w:t>
      </w:r>
      <w:bookmarkStart w:id="174" w:name="_Hlk17803499"/>
      <w:r w:rsidRPr="00EF65AE">
        <w:rPr>
          <w:rFonts w:cs="Arial"/>
        </w:rPr>
        <w:t>Declaration on the Elimination of Violence against Women and the Elimination of Violence against Children in ASEAN</w:t>
      </w:r>
      <w:bookmarkEnd w:id="174"/>
      <w:r w:rsidRPr="00EF65AE">
        <w:rPr>
          <w:rFonts w:cs="Arial"/>
        </w:rPr>
        <w:fldChar w:fldCharType="begin"/>
      </w:r>
      <w:r w:rsidRPr="00EF65AE">
        <w:rPr>
          <w:rFonts w:cs="Arial"/>
        </w:rPr>
        <w:instrText xml:space="preserve"> ADDIN ZOTERO_ITEM CSL_CITATION {"citationID":"2IMrju09","properties":{"formattedCitation":"\\super 61\\nosupersub{}","plainCitation":"61","noteIndex":0},"citationItems":[{"id":26,"uris":["http://zotero.org/users/4194704/items/VDI92WVI"],"uri":["http://zotero.org/users/4194704/items/VDI92WVI"],"itemData":{"id":26,"type":"report","title":"ASEAN Regional Plan of Action on the Elimination of Violence against Women","publisher":"ASEAN Secretariat","publisher-place":"Jakarta","event-place":"Jakarta","author":[{"literal":"Association of South East Asian Nations (ASEAN)"}],"issued":{"date-parts":[["2016"]]}}}],"schema":"https://github.com/citation-style-language/schema/raw/master/csl-citation.json"} </w:instrText>
      </w:r>
      <w:r w:rsidRPr="00EF65AE">
        <w:rPr>
          <w:rFonts w:cs="Arial"/>
        </w:rPr>
        <w:fldChar w:fldCharType="separate"/>
      </w:r>
      <w:r w:rsidRPr="00EF65AE">
        <w:rPr>
          <w:rFonts w:cs="Arial"/>
          <w:vertAlign w:val="superscript"/>
          <w:lang w:val="en-US"/>
        </w:rPr>
        <w:t>61</w:t>
      </w:r>
      <w:r w:rsidRPr="00EF65AE">
        <w:rPr>
          <w:rFonts w:cs="Arial"/>
        </w:rPr>
        <w:fldChar w:fldCharType="end"/>
      </w:r>
      <w:r w:rsidRPr="00EF65AE">
        <w:rPr>
          <w:rFonts w:cs="Arial"/>
        </w:rPr>
        <w:fldChar w:fldCharType="begin"/>
      </w:r>
      <w:r w:rsidRPr="00EF65AE">
        <w:rPr>
          <w:rFonts w:cs="Arial"/>
        </w:rPr>
        <w:instrText xml:space="preserve"> ADDIN EN.CITE &lt;EndNote&gt;&lt;Cite&gt;&lt;Author&gt;Association of South East Asian Nations (ASEAN)&lt;/Author&gt;&lt;Year&gt;2016&lt;/Year&gt;&lt;RecNum&gt;241&lt;/RecNum&gt;&lt;DisplayText&gt;(Association of South East Asian Nations (ASEAN), 2016)&lt;/DisplayText&gt;&lt;record&gt;&lt;rec-number&gt;241&lt;/rec-number&gt;&lt;foreign-keys&gt;&lt;key app="EN" db-id="rwrpxexri20xr1ezz9452exrtsse5rsfs220" timestamp="1524818860"&gt;241&lt;/key&gt;&lt;/foreign-keys&gt;&lt;ref-type name="Report"&gt;27&lt;/ref-type&gt;&lt;contributors&gt;&lt;authors&gt;&lt;author&gt;Association of South East Asian Nations (ASEAN),&lt;/author&gt;&lt;/authors&gt;&lt;/contributors&gt;&lt;titles&gt;&lt;title&gt;ASEAN Regional Plan of Action on the Elimination of Violence against Women (ASEAN RPA on EVAW),&lt;/title&gt;&lt;/titles&gt;&lt;dates&gt;&lt;year&gt;2016&lt;/year&gt;&lt;/dates&gt;&lt;pub-location&gt;Jakarta&lt;/pub-location&gt;&lt;publisher&gt;ASEAN Secretariat&lt;/publisher&gt;&lt;urls&gt;&lt;related-urls&gt;&lt;url&gt;http://www.asean.org/storage/images/2015/November/27th-summit/ASCC_documents/ASEAN%20Regional%20Plan%20of%20Action%20on%20Elimintation%20of%20Violence%20Against%20WomenAdopted.pdf&lt;/url&gt;&lt;/related-urls&gt;&lt;/urls&gt;&lt;access-date&gt;27th April 2018&lt;/access-date&gt;&lt;/record&gt;&lt;/Cite&gt;&lt;/EndNote&gt;</w:instrText>
      </w:r>
      <w:r w:rsidRPr="00EF65AE">
        <w:rPr>
          <w:rFonts w:cs="Arial"/>
        </w:rPr>
        <w:fldChar w:fldCharType="end"/>
      </w:r>
      <w:r w:rsidR="00954528">
        <w:rPr>
          <w:rFonts w:cs="Arial"/>
        </w:rPr>
        <w:t>,</w:t>
      </w:r>
      <w:r w:rsidR="00915492">
        <w:rPr>
          <w:rFonts w:cs="Arial"/>
        </w:rPr>
        <w:t xml:space="preserve"> </w:t>
      </w:r>
      <w:r w:rsidRPr="00EF65AE">
        <w:rPr>
          <w:rFonts w:cs="Arial"/>
        </w:rPr>
        <w:t xml:space="preserve">following an earlier declaration in 2004. </w:t>
      </w:r>
      <w:r w:rsidRPr="00A36E43">
        <w:rPr>
          <w:rFonts w:cs="Arial"/>
        </w:rPr>
        <w:t xml:space="preserve">The </w:t>
      </w:r>
      <w:bookmarkStart w:id="175" w:name="_Hlk17803511"/>
      <w:r w:rsidRPr="0045079A">
        <w:rPr>
          <w:rFonts w:cs="Arial"/>
        </w:rPr>
        <w:t>2016 Regional Plan of Action on the Elimination of Violence against Women</w:t>
      </w:r>
      <w:r w:rsidRPr="00A36E43">
        <w:rPr>
          <w:rFonts w:cs="Arial"/>
        </w:rPr>
        <w:t xml:space="preserve"> </w:t>
      </w:r>
      <w:bookmarkEnd w:id="175"/>
      <w:r w:rsidRPr="00A36E43">
        <w:rPr>
          <w:rFonts w:cs="Arial"/>
        </w:rPr>
        <w:t xml:space="preserve">will ensure efforts are coordinated across ASEAN </w:t>
      </w:r>
      <w:r w:rsidR="00915492" w:rsidRPr="000350C0">
        <w:rPr>
          <w:rFonts w:cs="Arial"/>
        </w:rPr>
        <w:t>m</w:t>
      </w:r>
      <w:r w:rsidRPr="000350C0">
        <w:rPr>
          <w:rFonts w:cs="Arial"/>
        </w:rPr>
        <w:t xml:space="preserve">ember </w:t>
      </w:r>
      <w:r w:rsidR="00915492" w:rsidRPr="000350C0">
        <w:rPr>
          <w:rFonts w:cs="Arial"/>
        </w:rPr>
        <w:t>c</w:t>
      </w:r>
      <w:r w:rsidRPr="000350C0">
        <w:rPr>
          <w:rFonts w:cs="Arial"/>
        </w:rPr>
        <w:t xml:space="preserve">ountries. </w:t>
      </w:r>
    </w:p>
    <w:p w14:paraId="0B273DF6" w14:textId="77777777" w:rsidR="00EF65AE" w:rsidRPr="00EF65AE" w:rsidRDefault="00EF65AE" w:rsidP="001074FB">
      <w:pPr>
        <w:pStyle w:val="Heading3NoTOC"/>
      </w:pPr>
      <w:r w:rsidRPr="00EF65AE">
        <w:t>Australian policy commitments on</w:t>
      </w:r>
      <w:r w:rsidR="007A389F">
        <w:t xml:space="preserve"> ending violence against women</w:t>
      </w:r>
    </w:p>
    <w:p w14:paraId="7B80BC03" w14:textId="1B5C974B" w:rsidR="00EF65AE" w:rsidRPr="00EF65AE" w:rsidRDefault="00EF65AE" w:rsidP="001074FB">
      <w:r w:rsidRPr="00EF65AE">
        <w:t xml:space="preserve">Australia has supported explicit national policies to </w:t>
      </w:r>
      <w:r w:rsidR="00E977D0">
        <w:t>EVAW</w:t>
      </w:r>
      <w:r w:rsidR="001F0E12">
        <w:t>G</w:t>
      </w:r>
      <w:r w:rsidRPr="00EF65AE">
        <w:t xml:space="preserve"> in partner countries. As a primary donor in many</w:t>
      </w:r>
      <w:r w:rsidR="002A22B1">
        <w:t xml:space="preserve"> of the</w:t>
      </w:r>
      <w:r w:rsidR="00173F90">
        <w:t xml:space="preserve"> focus</w:t>
      </w:r>
      <w:r w:rsidRPr="00EF65AE">
        <w:t xml:space="preserve"> countries reviewed</w:t>
      </w:r>
      <w:r w:rsidR="00E977D0">
        <w:t xml:space="preserve"> in this evaluation</w:t>
      </w:r>
      <w:r w:rsidRPr="00EF65AE">
        <w:t>, Australian support has made a major contribution to ensuring a commitment to EVAWG is featured within wider human rights, development and gender equality frameworks</w:t>
      </w:r>
      <w:r w:rsidR="00567664">
        <w:t xml:space="preserve"> (Box 3)</w:t>
      </w:r>
      <w:r w:rsidRPr="00EF65AE">
        <w:t xml:space="preserve">. </w:t>
      </w:r>
    </w:p>
    <w:p w14:paraId="14B9C165" w14:textId="77777777" w:rsidR="00E977D0" w:rsidRPr="005B24A0" w:rsidRDefault="00EF65AE" w:rsidP="00EF65AE">
      <w:pPr>
        <w:rPr>
          <w:rFonts w:cs="Arial"/>
          <w:noProof/>
          <w:lang w:eastAsia="en-AU"/>
        </w:rPr>
      </w:pPr>
      <w:r w:rsidRPr="00EF65AE">
        <w:rPr>
          <w:rFonts w:cs="Arial"/>
          <w:noProof/>
          <w:lang w:eastAsia="en-AU"/>
        </w:rPr>
        <w:t xml:space="preserve">The Australian Government’s own development policies of the past decade have committed Australia to </w:t>
      </w:r>
      <w:r w:rsidRPr="005B24A0">
        <w:rPr>
          <w:rFonts w:cs="Arial"/>
          <w:noProof/>
          <w:lang w:eastAsia="en-AU"/>
        </w:rPr>
        <w:t>provide development assistance towards EVAWG</w:t>
      </w:r>
      <w:r w:rsidR="00E977D0" w:rsidRPr="005B24A0">
        <w:rPr>
          <w:rFonts w:cs="Arial"/>
          <w:noProof/>
          <w:lang w:eastAsia="en-AU"/>
        </w:rPr>
        <w:t>:</w:t>
      </w:r>
    </w:p>
    <w:p w14:paraId="353CEE5F" w14:textId="77777777" w:rsidR="00E977D0" w:rsidRPr="005B24A0" w:rsidRDefault="00EF65AE" w:rsidP="00E977D0">
      <w:pPr>
        <w:pStyle w:val="ListBullet"/>
        <w:rPr>
          <w:noProof/>
          <w:lang w:eastAsia="en-AU"/>
        </w:rPr>
      </w:pPr>
      <w:bookmarkStart w:id="176" w:name="_Hlk17804250"/>
      <w:r w:rsidRPr="005B24A0">
        <w:t xml:space="preserve">2006 </w:t>
      </w:r>
      <w:r w:rsidRPr="0045079A">
        <w:rPr>
          <w:i/>
        </w:rPr>
        <w:t>White</w:t>
      </w:r>
      <w:r w:rsidRPr="005B24A0">
        <w:rPr>
          <w:i/>
        </w:rPr>
        <w:t xml:space="preserve"> Paper</w:t>
      </w:r>
      <w:r w:rsidRPr="005B24A0">
        <w:t xml:space="preserve"> </w:t>
      </w:r>
      <w:r w:rsidRPr="005B24A0">
        <w:rPr>
          <w:i/>
        </w:rPr>
        <w:t xml:space="preserve">on the Australian Government’s Overseas Aid Program </w:t>
      </w:r>
      <w:bookmarkEnd w:id="176"/>
      <w:r w:rsidRPr="005B24A0">
        <w:t>positioned sexual and gender-based violence as both a health and gender equality concern and committed to increasing Australia’s support for gender-based violence programming and integrati</w:t>
      </w:r>
      <w:r w:rsidR="00954528" w:rsidRPr="005B24A0">
        <w:t>ng</w:t>
      </w:r>
      <w:r w:rsidRPr="005B24A0">
        <w:t xml:space="preserve"> domestic violence considerations into existing </w:t>
      </w:r>
      <w:bookmarkStart w:id="177" w:name="_Hlk15937532"/>
      <w:r w:rsidRPr="005B24A0">
        <w:t xml:space="preserve">HIV/AIDS </w:t>
      </w:r>
      <w:bookmarkEnd w:id="177"/>
      <w:r w:rsidRPr="005B24A0">
        <w:t>strategies and interventions.</w:t>
      </w:r>
      <w:r w:rsidRPr="005B24A0">
        <w:rPr>
          <w:noProof/>
          <w:lang w:eastAsia="en-AU"/>
        </w:rPr>
        <w:t xml:space="preserve"> </w:t>
      </w:r>
      <w:bookmarkStart w:id="178" w:name="_Hlk17804265"/>
    </w:p>
    <w:p w14:paraId="7D919291" w14:textId="77777777" w:rsidR="00E977D0" w:rsidRPr="005B24A0" w:rsidRDefault="00EF65AE" w:rsidP="00E977D0">
      <w:pPr>
        <w:pStyle w:val="ListBullet"/>
        <w:rPr>
          <w:noProof/>
          <w:lang w:eastAsia="en-AU"/>
        </w:rPr>
      </w:pPr>
      <w:r w:rsidRPr="0045079A">
        <w:rPr>
          <w:i/>
          <w:noProof/>
          <w:lang w:eastAsia="en-AU"/>
        </w:rPr>
        <w:t>Effective</w:t>
      </w:r>
      <w:r w:rsidRPr="005B24A0">
        <w:rPr>
          <w:i/>
          <w:noProof/>
          <w:lang w:eastAsia="en-AU"/>
        </w:rPr>
        <w:t xml:space="preserve"> Aid</w:t>
      </w:r>
      <w:r w:rsidRPr="005B24A0">
        <w:rPr>
          <w:i/>
          <w:noProof/>
          <w:lang w:eastAsia="en-AU"/>
        </w:rPr>
        <w:fldChar w:fldCharType="begin"/>
      </w:r>
      <w:r w:rsidRPr="005B24A0">
        <w:rPr>
          <w:i/>
          <w:noProof/>
          <w:lang w:eastAsia="en-AU"/>
        </w:rPr>
        <w:instrText xml:space="preserve"> ADDIN ZOTERO_ITEM CSL_CITATION {"citationID":"a5j1j0koot","properties":{"formattedCitation":"\\super 63\\nosupersub{}","plainCitation":"63","noteIndex":0},"citationItems":[{"id":2584,"uris":["http://zotero.org/users/4194704/items/5JK52Q83"],"uri":["http://zotero.org/users/4194704/items/5JK52Q83"],"itemData":{"id":2584,"type":"report","title":"Effective Aid","publisher":"DFAT","publisher-place":"Canberra","event-place":"Canberra","author":[{"literal":"DFAT"}],"issued":{"date-parts":[["2012"]]}}}],"schema":"https://github.com/citation-style-language/schema/raw/master/csl-citation.json"} </w:instrText>
      </w:r>
      <w:r w:rsidRPr="005B24A0">
        <w:rPr>
          <w:i/>
          <w:noProof/>
          <w:lang w:eastAsia="en-AU"/>
        </w:rPr>
        <w:fldChar w:fldCharType="separate"/>
      </w:r>
      <w:r w:rsidRPr="005B24A0">
        <w:rPr>
          <w:vertAlign w:val="superscript"/>
          <w:lang w:val="en-US"/>
        </w:rPr>
        <w:t>63</w:t>
      </w:r>
      <w:r w:rsidRPr="005B24A0">
        <w:rPr>
          <w:i/>
          <w:noProof/>
          <w:lang w:eastAsia="en-AU"/>
        </w:rPr>
        <w:fldChar w:fldCharType="end"/>
      </w:r>
      <w:bookmarkEnd w:id="178"/>
      <w:r w:rsidRPr="005B24A0">
        <w:rPr>
          <w:noProof/>
          <w:lang w:eastAsia="en-AU"/>
        </w:rPr>
        <w:t xml:space="preserve"> continued to prioritise </w:t>
      </w:r>
      <w:r w:rsidR="0045079A">
        <w:rPr>
          <w:noProof/>
          <w:lang w:eastAsia="en-AU"/>
        </w:rPr>
        <w:t>E</w:t>
      </w:r>
      <w:r w:rsidRPr="005B24A0">
        <w:rPr>
          <w:noProof/>
          <w:lang w:eastAsia="en-AU"/>
        </w:rPr>
        <w:t xml:space="preserve">VAWG and positioned it as a gender equality, safety and security issue. It focused on programming in services and justice. </w:t>
      </w:r>
      <w:bookmarkStart w:id="179" w:name="_Hlk17804259"/>
    </w:p>
    <w:p w14:paraId="54B0BFA2" w14:textId="77777777" w:rsidR="00E977D0" w:rsidRPr="00EF65AE" w:rsidRDefault="00EF65AE" w:rsidP="0045079A">
      <w:pPr>
        <w:pStyle w:val="ListBullet"/>
        <w:rPr>
          <w:noProof/>
          <w:lang w:eastAsia="en-AU"/>
        </w:rPr>
      </w:pPr>
      <w:r w:rsidRPr="0045079A">
        <w:rPr>
          <w:i/>
          <w:iCs/>
        </w:rPr>
        <w:t xml:space="preserve">Australian Aid: </w:t>
      </w:r>
      <w:r w:rsidR="0097278F">
        <w:rPr>
          <w:i/>
          <w:iCs/>
        </w:rPr>
        <w:t>p</w:t>
      </w:r>
      <w:r w:rsidRPr="0045079A">
        <w:rPr>
          <w:i/>
          <w:iCs/>
        </w:rPr>
        <w:t xml:space="preserve">romoting </w:t>
      </w:r>
      <w:r w:rsidRPr="0045079A">
        <w:rPr>
          <w:i/>
        </w:rPr>
        <w:t>prosperity, reducing poverty</w:t>
      </w:r>
      <w:r w:rsidRPr="0045079A">
        <w:rPr>
          <w:i/>
          <w:iCs/>
        </w:rPr>
        <w:t>, enhancing stability</w:t>
      </w:r>
      <w:bookmarkEnd w:id="179"/>
      <w:r w:rsidRPr="0045079A">
        <w:fldChar w:fldCharType="begin"/>
      </w:r>
      <w:r w:rsidRPr="0045079A">
        <w:instrText xml:space="preserve"> ADDIN ZOTERO_ITEM CSL_CITATION {"citationID":"a1io1lmne1q","properties":{"formattedCitation":"\\super 64\\nosupersub{}","plainCitation":"64","noteIndex":0},"citationItems":[{"id":2585,"uris":["http://zotero.org/users/4194704/items/9MESA6GP"],"uri":["http://zotero.org/users/4194704/items/9MESA6GP"],"itemData":{"id":2585,"type":"report","title":"Australian Aid: Promoting prosperity, reducing poverty, enhancing stability","publisher":"DFAT","publisher-place":"Canberra","event-place":"Canberra","author":[{"literal":"DFAT"}],"issued":{"date-parts":[["2014"]]}}}],"schema":"https://github.com/citation-style-language/schema/raw/master/csl-citation.json"} </w:instrText>
      </w:r>
      <w:r w:rsidRPr="0045079A">
        <w:fldChar w:fldCharType="separate"/>
      </w:r>
      <w:r w:rsidRPr="005B24A0">
        <w:rPr>
          <w:vertAlign w:val="superscript"/>
          <w:lang w:val="en-US"/>
        </w:rPr>
        <w:t>64</w:t>
      </w:r>
      <w:r w:rsidRPr="0045079A">
        <w:fldChar w:fldCharType="end"/>
      </w:r>
      <w:r w:rsidRPr="0045079A">
        <w:t xml:space="preserve"> </w:t>
      </w:r>
      <w:r w:rsidRPr="005B24A0">
        <w:t xml:space="preserve">committed Australia to invest strongly in EVAWG, in particular through Pacific Women. </w:t>
      </w:r>
    </w:p>
    <w:p w14:paraId="1BB4868A" w14:textId="5C53E308" w:rsidR="00E977D0" w:rsidRDefault="00EF65AE" w:rsidP="0045079A">
      <w:pPr>
        <w:pStyle w:val="ListBullet"/>
        <w:rPr>
          <w:noProof/>
          <w:lang w:eastAsia="en-AU"/>
        </w:rPr>
      </w:pPr>
      <w:bookmarkStart w:id="180" w:name="_Hlk17804272"/>
      <w:r w:rsidRPr="00EF65AE">
        <w:rPr>
          <w:i/>
        </w:rPr>
        <w:t xml:space="preserve">2016 Gender </w:t>
      </w:r>
      <w:r w:rsidRPr="00A36E43">
        <w:rPr>
          <w:i/>
        </w:rPr>
        <w:t xml:space="preserve">Equality </w:t>
      </w:r>
      <w:r w:rsidRPr="0045079A">
        <w:rPr>
          <w:i/>
        </w:rPr>
        <w:t>Strategy</w:t>
      </w:r>
      <w:r w:rsidRPr="00A36E43">
        <w:rPr>
          <w:i/>
        </w:rPr>
        <w:t xml:space="preserve"> </w:t>
      </w:r>
      <w:bookmarkEnd w:id="180"/>
      <w:r w:rsidRPr="00A36E43">
        <w:t>outline</w:t>
      </w:r>
      <w:r w:rsidR="00D41142">
        <w:t>d</w:t>
      </w:r>
      <w:r w:rsidRPr="00EF65AE">
        <w:t xml:space="preserve"> gender equality and women’s empowerment as a priority across Australia’s foreign policy, economic diplomacy and internal DFAT corporate policies, in addition to the aid program. </w:t>
      </w:r>
    </w:p>
    <w:p w14:paraId="779A2A0E" w14:textId="77777777" w:rsidR="00EF65AE" w:rsidRPr="00EF65AE" w:rsidRDefault="00EF65AE" w:rsidP="00EF65AE">
      <w:pPr>
        <w:rPr>
          <w:rFonts w:cs="Arial"/>
          <w:noProof/>
          <w:lang w:eastAsia="en-AU"/>
        </w:rPr>
      </w:pPr>
      <w:r w:rsidRPr="00EF65AE">
        <w:rPr>
          <w:rFonts w:cs="Arial"/>
        </w:rPr>
        <w:t>V</w:t>
      </w:r>
      <w:r w:rsidR="00AE4FE4">
        <w:rPr>
          <w:rFonts w:cs="Arial"/>
        </w:rPr>
        <w:t>AWG</w:t>
      </w:r>
      <w:r w:rsidRPr="00EF65AE">
        <w:rPr>
          <w:rFonts w:cs="Arial"/>
        </w:rPr>
        <w:t xml:space="preserve"> is recognised as a significant human rights violation that constrains development. It outlines the framework for action in response to EVAWG, based around improved quality services and responses, access to justice, and prevention. The policy also recognises the diverse forms of VAWG and marks out a role for informal structures and NGOs in responding. It notes that women and girls with disabilities are more likely to experience violence and face barriers when seeking support</w:t>
      </w:r>
      <w:r w:rsidR="00E2253F">
        <w:rPr>
          <w:rFonts w:cs="Arial"/>
        </w:rPr>
        <w:t xml:space="preserve">. </w:t>
      </w:r>
    </w:p>
    <w:p w14:paraId="704C57B0" w14:textId="77777777" w:rsidR="00EF65AE" w:rsidRPr="00EF65AE" w:rsidRDefault="00EF65AE" w:rsidP="00EF65AE">
      <w:pPr>
        <w:pStyle w:val="CallOutHeading"/>
        <w:rPr>
          <w:rFonts w:cs="Arial"/>
        </w:rPr>
      </w:pPr>
      <w:r w:rsidRPr="00EF65AE">
        <w:rPr>
          <w:rFonts w:cs="Arial"/>
        </w:rPr>
        <w:t xml:space="preserve">Box 3: Australia’s Ambassador for Women and Girls promotes gender equality </w:t>
      </w:r>
    </w:p>
    <w:p w14:paraId="3BCCFDD6" w14:textId="77777777" w:rsidR="00EF65AE" w:rsidRPr="00EF65AE" w:rsidRDefault="00EF65AE" w:rsidP="00EF65AE">
      <w:pPr>
        <w:pStyle w:val="CallOutBody"/>
        <w:rPr>
          <w:rFonts w:cs="Arial"/>
        </w:rPr>
      </w:pPr>
      <w:r w:rsidRPr="00EF65AE">
        <w:rPr>
          <w:rFonts w:cs="Arial"/>
        </w:rPr>
        <w:t xml:space="preserve">The appointment of Australia’s first Ambassador for Women and Girls in 2011 sent a strong message to the world that gender equality is at the heart of Australia’s foreign policy and international development cooperation. </w:t>
      </w:r>
    </w:p>
    <w:p w14:paraId="4232E12B" w14:textId="1DEAE724" w:rsidR="00EF65AE" w:rsidRPr="00EF65AE" w:rsidRDefault="00EF65AE" w:rsidP="00EF65AE">
      <w:pPr>
        <w:pStyle w:val="CallOutBody"/>
        <w:rPr>
          <w:rFonts w:cs="Arial"/>
        </w:rPr>
      </w:pPr>
      <w:r w:rsidRPr="00EF65AE">
        <w:rPr>
          <w:rFonts w:cs="Arial"/>
        </w:rPr>
        <w:t xml:space="preserve">The Ambassador works to ensure that gender equality and empowering women and girls is a central focus of Australia's diplomatic, development and regional security efforts. She advocates at high levels to promote Australian Government policies and initiatives on economic empowerment, women's leadership and eliminating </w:t>
      </w:r>
      <w:r w:rsidR="00AE4FE4">
        <w:rPr>
          <w:rFonts w:cs="Arial"/>
        </w:rPr>
        <w:t>VAWG</w:t>
      </w:r>
      <w:r w:rsidRPr="00EF65AE">
        <w:rPr>
          <w:rFonts w:cs="Arial"/>
        </w:rPr>
        <w:t>, consistent with the pillars of DF</w:t>
      </w:r>
      <w:r w:rsidRPr="005B24A0">
        <w:rPr>
          <w:rFonts w:cs="Arial"/>
        </w:rPr>
        <w:t xml:space="preserve">AT’s </w:t>
      </w:r>
      <w:r w:rsidRPr="0045079A">
        <w:rPr>
          <w:rFonts w:cs="Arial"/>
          <w:i/>
          <w:lang w:val="en-US"/>
        </w:rPr>
        <w:t>Gender</w:t>
      </w:r>
      <w:r w:rsidRPr="005B24A0">
        <w:rPr>
          <w:rFonts w:cs="Arial"/>
          <w:i/>
          <w:lang w:val="en-US"/>
        </w:rPr>
        <w:t xml:space="preserve"> Equality</w:t>
      </w:r>
      <w:r w:rsidRPr="00EF65AE">
        <w:rPr>
          <w:rFonts w:cs="Arial"/>
          <w:i/>
          <w:lang w:val="en-US"/>
        </w:rPr>
        <w:t xml:space="preserve"> Strategy</w:t>
      </w:r>
      <w:r w:rsidRPr="00EF65AE">
        <w:rPr>
          <w:rFonts w:cs="Arial"/>
        </w:rPr>
        <w:t>. The Ambassador’s geographic focus is the Indo</w:t>
      </w:r>
      <w:r w:rsidR="00954528">
        <w:rPr>
          <w:rFonts w:cs="Arial"/>
        </w:rPr>
        <w:t>-</w:t>
      </w:r>
      <w:r w:rsidRPr="00EF65AE">
        <w:rPr>
          <w:rFonts w:cs="Arial"/>
        </w:rPr>
        <w:t xml:space="preserve">Pacific region, where Australia has the greatest capacity to influence change and where intervention is most </w:t>
      </w:r>
      <w:r w:rsidR="00382115">
        <w:rPr>
          <w:rFonts w:cs="Arial"/>
        </w:rPr>
        <w:br/>
      </w:r>
      <w:r w:rsidRPr="00EF65AE">
        <w:rPr>
          <w:rFonts w:cs="Arial"/>
        </w:rPr>
        <w:t xml:space="preserve">urgently required. </w:t>
      </w:r>
    </w:p>
    <w:p w14:paraId="34F51413" w14:textId="77777777" w:rsidR="006E4181" w:rsidRPr="000350C0" w:rsidRDefault="00EF65AE" w:rsidP="001074FB">
      <w:pPr>
        <w:rPr>
          <w:rFonts w:cs="Arial"/>
        </w:rPr>
      </w:pPr>
      <w:r w:rsidRPr="00EF65AE">
        <w:rPr>
          <w:rFonts w:cs="Arial"/>
        </w:rPr>
        <w:t xml:space="preserve">The </w:t>
      </w:r>
      <w:bookmarkStart w:id="181" w:name="_Hlk17804632"/>
      <w:r w:rsidRPr="00EF65AE">
        <w:rPr>
          <w:rFonts w:cs="Arial"/>
        </w:rPr>
        <w:t xml:space="preserve">2017 </w:t>
      </w:r>
      <w:r w:rsidRPr="00EF65AE">
        <w:rPr>
          <w:rFonts w:cs="Arial"/>
          <w:i/>
        </w:rPr>
        <w:t xml:space="preserve">Foreign Policy </w:t>
      </w:r>
      <w:r w:rsidRPr="00A36E43">
        <w:rPr>
          <w:rFonts w:cs="Arial"/>
          <w:i/>
        </w:rPr>
        <w:t xml:space="preserve">White </w:t>
      </w:r>
      <w:r w:rsidRPr="0045079A">
        <w:rPr>
          <w:rFonts w:cs="Arial"/>
          <w:i/>
        </w:rPr>
        <w:t>Paper</w:t>
      </w:r>
      <w:r w:rsidRPr="00A36E43">
        <w:rPr>
          <w:rFonts w:cs="Arial"/>
          <w:i/>
        </w:rPr>
        <w:t xml:space="preserve"> </w:t>
      </w:r>
      <w:bookmarkEnd w:id="181"/>
      <w:r w:rsidRPr="00A36E43">
        <w:rPr>
          <w:rFonts w:cs="Arial"/>
        </w:rPr>
        <w:t>continues Australia’s clear policy commitme</w:t>
      </w:r>
      <w:r w:rsidRPr="000350C0">
        <w:rPr>
          <w:rFonts w:cs="Arial"/>
        </w:rPr>
        <w:t xml:space="preserve">nt to the empowerment of women and EVAWG. Related commitments are also in, but not limited to: </w:t>
      </w:r>
    </w:p>
    <w:p w14:paraId="390FF47F" w14:textId="77777777" w:rsidR="006E4181" w:rsidRPr="00A36E43" w:rsidRDefault="00EF65AE" w:rsidP="006E4181">
      <w:pPr>
        <w:pStyle w:val="ListNumber"/>
      </w:pPr>
      <w:bookmarkStart w:id="182" w:name="_Hlk17804641"/>
      <w:r w:rsidRPr="000350C0">
        <w:t xml:space="preserve">DFAT’s </w:t>
      </w:r>
      <w:r w:rsidRPr="0045079A">
        <w:rPr>
          <w:i/>
        </w:rPr>
        <w:t>Humanitarian</w:t>
      </w:r>
      <w:r w:rsidRPr="00A36E43">
        <w:rPr>
          <w:i/>
        </w:rPr>
        <w:t xml:space="preserve"> Strategy</w:t>
      </w:r>
    </w:p>
    <w:p w14:paraId="34236C93" w14:textId="77777777" w:rsidR="006E4181" w:rsidRPr="00A36E43" w:rsidRDefault="00EF65AE" w:rsidP="006E4181">
      <w:pPr>
        <w:pStyle w:val="ListNumber"/>
      </w:pPr>
      <w:r w:rsidRPr="00A36E43">
        <w:t>DFAT’s strategy for disabi</w:t>
      </w:r>
      <w:r w:rsidRPr="000350C0">
        <w:t xml:space="preserve">lity-inclusive development, </w:t>
      </w:r>
      <w:r w:rsidRPr="0045079A">
        <w:rPr>
          <w:i/>
        </w:rPr>
        <w:t>Development</w:t>
      </w:r>
      <w:r w:rsidRPr="00A36E43">
        <w:rPr>
          <w:i/>
        </w:rPr>
        <w:t xml:space="preserve"> for All</w:t>
      </w:r>
    </w:p>
    <w:p w14:paraId="4E092555" w14:textId="3140D06F" w:rsidR="006E4181" w:rsidRPr="000350C0" w:rsidRDefault="0045079A" w:rsidP="006E4181">
      <w:pPr>
        <w:pStyle w:val="ListNumber"/>
      </w:pPr>
      <w:r>
        <w:t xml:space="preserve">Australia’s </w:t>
      </w:r>
      <w:r w:rsidR="00EF65AE" w:rsidRPr="00A36E43">
        <w:t xml:space="preserve">child protection policies </w:t>
      </w:r>
      <w:r>
        <w:t>emphasising</w:t>
      </w:r>
      <w:r w:rsidR="00EF65AE" w:rsidRPr="00A36E43">
        <w:t xml:space="preserve"> zero tolerance of child abuse in the aid</w:t>
      </w:r>
      <w:r w:rsidR="00745CD6">
        <w:t> </w:t>
      </w:r>
      <w:r w:rsidR="00EF65AE" w:rsidRPr="00A36E43">
        <w:t>program</w:t>
      </w:r>
    </w:p>
    <w:p w14:paraId="4FEA173A" w14:textId="77777777" w:rsidR="006E4181" w:rsidRPr="000350C0" w:rsidRDefault="00EF65AE" w:rsidP="006E4181">
      <w:pPr>
        <w:pStyle w:val="ListNumber"/>
      </w:pPr>
      <w:r w:rsidRPr="000350C0">
        <w:t xml:space="preserve">Australia’s 2016 </w:t>
      </w:r>
      <w:r w:rsidRPr="000350C0">
        <w:rPr>
          <w:i/>
        </w:rPr>
        <w:t>Strategy to Combat Human Trafficking and Slavery</w:t>
      </w:r>
    </w:p>
    <w:bookmarkEnd w:id="182"/>
    <w:p w14:paraId="6289F4BE" w14:textId="77777777" w:rsidR="006E4181" w:rsidRPr="000350C0" w:rsidRDefault="00EF65AE" w:rsidP="006E4181">
      <w:pPr>
        <w:pStyle w:val="ListNumber"/>
      </w:pPr>
      <w:r w:rsidRPr="000350C0">
        <w:t xml:space="preserve">Australian Federal Police’s (AFP) </w:t>
      </w:r>
      <w:bookmarkStart w:id="183" w:name="_Hlk17804696"/>
      <w:r w:rsidRPr="000350C0">
        <w:rPr>
          <w:i/>
        </w:rPr>
        <w:t>Gender Strategy 2014</w:t>
      </w:r>
      <w:r w:rsidR="00954528" w:rsidRPr="000350C0">
        <w:rPr>
          <w:i/>
        </w:rPr>
        <w:t>–</w:t>
      </w:r>
      <w:r w:rsidRPr="000350C0">
        <w:rPr>
          <w:i/>
        </w:rPr>
        <w:t>18</w:t>
      </w:r>
      <w:bookmarkEnd w:id="183"/>
    </w:p>
    <w:p w14:paraId="617F13B5" w14:textId="77777777" w:rsidR="00EF65AE" w:rsidRPr="001074FB" w:rsidRDefault="00EF65AE" w:rsidP="00FE25E2">
      <w:pPr>
        <w:pStyle w:val="ListNumber"/>
      </w:pPr>
      <w:r w:rsidRPr="000350C0">
        <w:t>DFAT’s recently launched</w:t>
      </w:r>
      <w:r w:rsidRPr="000350C0">
        <w:rPr>
          <w:i/>
        </w:rPr>
        <w:t xml:space="preserve"> </w:t>
      </w:r>
      <w:bookmarkStart w:id="184" w:name="_Hlk17804705"/>
      <w:r w:rsidRPr="000350C0">
        <w:rPr>
          <w:i/>
        </w:rPr>
        <w:t xml:space="preserve">Preventing </w:t>
      </w:r>
      <w:r w:rsidRPr="0045079A">
        <w:rPr>
          <w:i/>
        </w:rPr>
        <w:t>Sexual</w:t>
      </w:r>
      <w:r w:rsidRPr="00A36E43">
        <w:rPr>
          <w:i/>
        </w:rPr>
        <w:t xml:space="preserve"> Exploitat</w:t>
      </w:r>
      <w:r w:rsidRPr="00EF65AE">
        <w:rPr>
          <w:i/>
        </w:rPr>
        <w:t xml:space="preserve">ion, Abuse and Harassment Policy </w:t>
      </w:r>
      <w:r w:rsidRPr="00EF65AE">
        <w:t>(published April 2019).</w:t>
      </w:r>
    </w:p>
    <w:bookmarkEnd w:id="184"/>
    <w:p w14:paraId="6323FC2A" w14:textId="77777777" w:rsidR="00EF65AE" w:rsidRPr="00EF65AE" w:rsidRDefault="00EF65AE" w:rsidP="003B2B9B">
      <w:pPr>
        <w:pStyle w:val="Heading3NoTOC"/>
      </w:pPr>
      <w:r w:rsidRPr="00EF65AE">
        <w:t>Technical and policy support to partner governments</w:t>
      </w:r>
    </w:p>
    <w:p w14:paraId="768DC94C" w14:textId="77777777" w:rsidR="00EF65AE" w:rsidRPr="00EF65AE" w:rsidRDefault="00EF65AE" w:rsidP="00EF65AE">
      <w:pPr>
        <w:rPr>
          <w:rFonts w:cs="Arial"/>
        </w:rPr>
      </w:pPr>
      <w:r w:rsidRPr="00EF65AE">
        <w:rPr>
          <w:rFonts w:cs="Arial"/>
        </w:rPr>
        <w:t>In all focus countries for this evaluation, Australia has provided technical advisors to women’s ministries and supported the development of EVAWG</w:t>
      </w:r>
      <w:r w:rsidR="00C17947">
        <w:rPr>
          <w:rFonts w:cs="Arial"/>
        </w:rPr>
        <w:t>. Australia has also done so for the development of</w:t>
      </w:r>
      <w:r w:rsidRPr="00EF65AE">
        <w:rPr>
          <w:rFonts w:cs="Arial"/>
        </w:rPr>
        <w:t xml:space="preserve"> gender equality plans in many countries since 2008. The</w:t>
      </w:r>
      <w:r w:rsidR="0045079A">
        <w:rPr>
          <w:rFonts w:cs="Arial"/>
        </w:rPr>
        <w:t xml:space="preserve"> evaluation found </w:t>
      </w:r>
      <w:r w:rsidRPr="00EF65AE">
        <w:rPr>
          <w:rFonts w:cs="Arial"/>
        </w:rPr>
        <w:t>evidence that partner countries valued Australia’s technical support and that it had enabled governments to consider EVAWG in other sectors, such as justice, health and education. When coupled with high-level policy dialogue between Australia and partner governments</w:t>
      </w:r>
      <w:r w:rsidR="005B24A0">
        <w:rPr>
          <w:rFonts w:cs="Arial"/>
        </w:rPr>
        <w:t>,</w:t>
      </w:r>
      <w:r w:rsidRPr="00EF65AE">
        <w:rPr>
          <w:rFonts w:cs="Arial"/>
        </w:rPr>
        <w:t xml:space="preserve"> this has been particularly successful</w:t>
      </w:r>
      <w:r w:rsidR="00C17947">
        <w:rPr>
          <w:rFonts w:cs="Arial"/>
        </w:rPr>
        <w:t>,</w:t>
      </w:r>
      <w:r w:rsidRPr="00EF65AE">
        <w:rPr>
          <w:rFonts w:cs="Arial"/>
        </w:rPr>
        <w:t xml:space="preserve"> as demonstrated in Solomon Islands (Box 4).</w:t>
      </w:r>
    </w:p>
    <w:p w14:paraId="387053FB" w14:textId="1058C100" w:rsidR="00EF65AE" w:rsidRPr="00EF65AE" w:rsidRDefault="00EF65AE" w:rsidP="00EF65AE">
      <w:pPr>
        <w:pStyle w:val="CallOutHeading"/>
        <w:rPr>
          <w:rFonts w:cs="Arial"/>
        </w:rPr>
      </w:pPr>
      <w:r w:rsidRPr="00EF65AE">
        <w:rPr>
          <w:rFonts w:cs="Arial"/>
        </w:rPr>
        <w:t xml:space="preserve">Box 4: Gender equality and </w:t>
      </w:r>
      <w:r w:rsidR="007A389F">
        <w:rPr>
          <w:rFonts w:cs="Arial"/>
        </w:rPr>
        <w:t>ending violence against women and girls</w:t>
      </w:r>
      <w:r w:rsidR="00567664">
        <w:rPr>
          <w:rFonts w:cs="Arial"/>
        </w:rPr>
        <w:t>’</w:t>
      </w:r>
      <w:r w:rsidRPr="00EF65AE">
        <w:rPr>
          <w:rFonts w:cs="Arial"/>
        </w:rPr>
        <w:t xml:space="preserve"> policies in Solomon Islands</w:t>
      </w:r>
    </w:p>
    <w:p w14:paraId="4852A943" w14:textId="693AB859" w:rsidR="0003385D" w:rsidRDefault="00EF65AE" w:rsidP="00EF65AE">
      <w:pPr>
        <w:pStyle w:val="CallOutBody"/>
        <w:rPr>
          <w:rFonts w:cs="Arial"/>
        </w:rPr>
      </w:pPr>
      <w:r w:rsidRPr="00EF65AE">
        <w:rPr>
          <w:rFonts w:cs="Arial"/>
        </w:rPr>
        <w:t>In 2016, Solomon Islands established four-year national policies on gender equality and EVAWG</w:t>
      </w:r>
      <w:r w:rsidR="0003385D">
        <w:rPr>
          <w:rFonts w:cs="Arial"/>
        </w:rPr>
        <w:t>. This included</w:t>
      </w:r>
      <w:r w:rsidRPr="00EF65AE">
        <w:rPr>
          <w:rFonts w:cs="Arial"/>
        </w:rPr>
        <w:t xml:space="preserve"> the </w:t>
      </w:r>
      <w:bookmarkStart w:id="185" w:name="_Hlk17805685"/>
      <w:r w:rsidRPr="00EF65AE">
        <w:rPr>
          <w:rFonts w:cs="Arial"/>
        </w:rPr>
        <w:t xml:space="preserve">second </w:t>
      </w:r>
      <w:r w:rsidRPr="0045079A">
        <w:rPr>
          <w:rFonts w:cs="Arial"/>
          <w:i/>
          <w:iCs/>
        </w:rPr>
        <w:t>National Gender Equality and Women’s Development Policy 2016</w:t>
      </w:r>
      <w:r w:rsidR="00C17947" w:rsidRPr="0045079A">
        <w:rPr>
          <w:rFonts w:cs="Arial"/>
          <w:i/>
          <w:iCs/>
        </w:rPr>
        <w:t>–</w:t>
      </w:r>
      <w:r w:rsidRPr="0045079A">
        <w:rPr>
          <w:rFonts w:cs="Arial"/>
          <w:i/>
          <w:iCs/>
        </w:rPr>
        <w:t>2020</w:t>
      </w:r>
      <w:r w:rsidRPr="0003385D">
        <w:rPr>
          <w:rFonts w:cs="Arial"/>
        </w:rPr>
        <w:t xml:space="preserve"> and the </w:t>
      </w:r>
      <w:r w:rsidRPr="0045079A">
        <w:rPr>
          <w:rFonts w:cs="Arial"/>
          <w:i/>
          <w:iCs/>
        </w:rPr>
        <w:t>National Policy to Eliminate Violence Against Women and Girls 2016</w:t>
      </w:r>
      <w:r w:rsidR="00C17947" w:rsidRPr="0045079A">
        <w:rPr>
          <w:rFonts w:cs="Arial"/>
          <w:i/>
          <w:iCs/>
        </w:rPr>
        <w:t>–</w:t>
      </w:r>
      <w:r w:rsidRPr="0045079A">
        <w:rPr>
          <w:rFonts w:cs="Arial"/>
          <w:i/>
          <w:iCs/>
        </w:rPr>
        <w:t>2020</w:t>
      </w:r>
      <w:r w:rsidRPr="0003385D">
        <w:rPr>
          <w:rFonts w:cs="Arial"/>
        </w:rPr>
        <w:t>,</w:t>
      </w:r>
      <w:bookmarkEnd w:id="185"/>
      <w:r w:rsidRPr="0003385D">
        <w:rPr>
          <w:rFonts w:cs="Arial"/>
        </w:rPr>
        <w:t xml:space="preserve"> a sub</w:t>
      </w:r>
      <w:r w:rsidR="00745CD6">
        <w:rPr>
          <w:rFonts w:cs="Arial"/>
        </w:rPr>
        <w:noBreakHyphen/>
      </w:r>
      <w:r w:rsidRPr="0003385D">
        <w:rPr>
          <w:rFonts w:cs="Arial"/>
        </w:rPr>
        <w:t>set</w:t>
      </w:r>
      <w:r w:rsidR="00745CD6">
        <w:rPr>
          <w:rFonts w:cs="Arial"/>
        </w:rPr>
        <w:t> </w:t>
      </w:r>
      <w:r w:rsidRPr="0003385D">
        <w:rPr>
          <w:rFonts w:cs="Arial"/>
        </w:rPr>
        <w:t xml:space="preserve">policy. </w:t>
      </w:r>
    </w:p>
    <w:p w14:paraId="26344A74" w14:textId="77777777" w:rsidR="00EF65AE" w:rsidRPr="00EF65AE" w:rsidRDefault="00EF65AE" w:rsidP="00882A7F">
      <w:pPr>
        <w:pStyle w:val="CallOutBody"/>
      </w:pPr>
      <w:r w:rsidRPr="0003385D">
        <w:rPr>
          <w:rFonts w:cs="Arial"/>
        </w:rPr>
        <w:t>Both policies</w:t>
      </w:r>
      <w:r w:rsidR="0003385D" w:rsidRPr="0003385D">
        <w:rPr>
          <w:rFonts w:cs="Arial"/>
        </w:rPr>
        <w:t xml:space="preserve"> </w:t>
      </w:r>
      <w:r w:rsidRPr="0003385D">
        <w:t xml:space="preserve">align closely with the goals of </w:t>
      </w:r>
      <w:bookmarkStart w:id="186" w:name="_Hlk17805731"/>
      <w:r w:rsidRPr="0003385D">
        <w:t xml:space="preserve">Solomon Islands’ </w:t>
      </w:r>
      <w:r w:rsidRPr="0045079A">
        <w:rPr>
          <w:i/>
          <w:iCs/>
        </w:rPr>
        <w:t>National Development Strategy 2016</w:t>
      </w:r>
      <w:r w:rsidR="00C17947" w:rsidRPr="0045079A">
        <w:rPr>
          <w:i/>
          <w:iCs/>
        </w:rPr>
        <w:t>–</w:t>
      </w:r>
      <w:r w:rsidRPr="0045079A">
        <w:rPr>
          <w:i/>
          <w:iCs/>
        </w:rPr>
        <w:t>2035</w:t>
      </w:r>
      <w:bookmarkEnd w:id="186"/>
      <w:r w:rsidRPr="0003385D">
        <w:t>, acknowledge</w:t>
      </w:r>
      <w:r w:rsidRPr="00EF65AE">
        <w:t xml:space="preserve"> entrenched gender inequality in Solomon Islands, and recognise the country’s global human rights commitments to address this inequality. </w:t>
      </w:r>
    </w:p>
    <w:p w14:paraId="3F19192F" w14:textId="77777777" w:rsidR="00EF65AE" w:rsidRPr="00EF65AE" w:rsidRDefault="00EF65AE" w:rsidP="00EF65AE">
      <w:pPr>
        <w:pStyle w:val="CallOutBody"/>
        <w:rPr>
          <w:rFonts w:cs="Arial"/>
        </w:rPr>
      </w:pPr>
      <w:r w:rsidRPr="00EF65AE">
        <w:rPr>
          <w:rFonts w:cs="Arial"/>
        </w:rPr>
        <w:t>With technical support from Australia, the Ministry of Women, Youth, Children, and Family Affairs developed and implements both policies. The</w:t>
      </w:r>
      <w:r w:rsidR="0003385D">
        <w:rPr>
          <w:rFonts w:cs="Arial"/>
        </w:rPr>
        <w:t>y</w:t>
      </w:r>
      <w:r w:rsidRPr="00EF65AE">
        <w:rPr>
          <w:rFonts w:cs="Arial"/>
        </w:rPr>
        <w:t xml:space="preserve"> are a significant achievement, involving extensive stakeholder consultation, global best</w:t>
      </w:r>
      <w:r w:rsidR="00C17947">
        <w:rPr>
          <w:rFonts w:cs="Arial"/>
        </w:rPr>
        <w:t>-</w:t>
      </w:r>
      <w:r w:rsidRPr="00EF65AE">
        <w:rPr>
          <w:rFonts w:cs="Arial"/>
        </w:rPr>
        <w:t xml:space="preserve">practice approaches, and a supportive institutional arrangement that measures discrete, achievable outcomes across policy areas. </w:t>
      </w:r>
    </w:p>
    <w:p w14:paraId="40E80022" w14:textId="43D64AD6" w:rsidR="00EF65AE" w:rsidRPr="00EF65AE" w:rsidRDefault="00EF65AE" w:rsidP="00EF65AE">
      <w:pPr>
        <w:pStyle w:val="CallOutBody"/>
        <w:rPr>
          <w:rFonts w:cs="Arial"/>
          <w:highlight w:val="yellow"/>
        </w:rPr>
      </w:pPr>
      <w:r w:rsidRPr="00EF65AE">
        <w:rPr>
          <w:rFonts w:cs="Arial"/>
        </w:rPr>
        <w:t>Th</w:t>
      </w:r>
      <w:r w:rsidR="0003385D">
        <w:rPr>
          <w:rFonts w:cs="Arial"/>
        </w:rPr>
        <w:t>is</w:t>
      </w:r>
      <w:r w:rsidRPr="00EF65AE">
        <w:rPr>
          <w:rFonts w:cs="Arial"/>
        </w:rPr>
        <w:t xml:space="preserve"> evaluation found that Australia’s support has been sustained over a long time, including through Head of Mission communication with the Prime Minister of Solomon Islands</w:t>
      </w:r>
      <w:r w:rsidR="00D41142">
        <w:rPr>
          <w:rFonts w:cs="Arial"/>
        </w:rPr>
        <w:t xml:space="preserve"> and other ministers. T</w:t>
      </w:r>
      <w:r w:rsidRPr="00EF65AE">
        <w:rPr>
          <w:rFonts w:cs="Arial"/>
        </w:rPr>
        <w:t xml:space="preserve">echnical assistance (including an in-line adviser and mentor) </w:t>
      </w:r>
      <w:r w:rsidR="00D41142">
        <w:rPr>
          <w:rFonts w:cs="Arial"/>
        </w:rPr>
        <w:t>has</w:t>
      </w:r>
      <w:r w:rsidR="00D41142" w:rsidRPr="00EF65AE">
        <w:rPr>
          <w:rFonts w:cs="Arial"/>
        </w:rPr>
        <w:t xml:space="preserve"> </w:t>
      </w:r>
      <w:r w:rsidRPr="00EF65AE">
        <w:rPr>
          <w:rFonts w:cs="Arial"/>
        </w:rPr>
        <w:t>support</w:t>
      </w:r>
      <w:r w:rsidR="00D41142">
        <w:rPr>
          <w:rFonts w:cs="Arial"/>
        </w:rPr>
        <w:t>ed</w:t>
      </w:r>
      <w:r w:rsidRPr="00EF65AE">
        <w:rPr>
          <w:rFonts w:cs="Arial"/>
        </w:rPr>
        <w:t xml:space="preserve"> the first </w:t>
      </w:r>
      <w:r w:rsidR="00AE4FE4">
        <w:rPr>
          <w:rFonts w:cs="Arial"/>
        </w:rPr>
        <w:t>gender equality and women’s development policy</w:t>
      </w:r>
      <w:r w:rsidRPr="00EF65AE">
        <w:rPr>
          <w:rFonts w:cs="Arial"/>
        </w:rPr>
        <w:t xml:space="preserve"> and EVAWG-related policies. Coupled with targeted, long-term Australian advocacy for dedicated resourcing, the gains are also sustainable, with an advisory role now funded by the M</w:t>
      </w:r>
      <w:r w:rsidR="0003385D">
        <w:rPr>
          <w:rFonts w:cs="Arial"/>
        </w:rPr>
        <w:t>inistry of Women, Youth, Children and Family Affairs</w:t>
      </w:r>
      <w:r w:rsidRPr="00EF65AE">
        <w:rPr>
          <w:rFonts w:cs="Arial"/>
        </w:rPr>
        <w:t xml:space="preserve">. </w:t>
      </w:r>
    </w:p>
    <w:p w14:paraId="1F59ECF3" w14:textId="77777777" w:rsidR="00EF65AE" w:rsidRPr="00845373" w:rsidRDefault="00EF65AE" w:rsidP="00845373">
      <w:pPr>
        <w:rPr>
          <w:rFonts w:cs="Arial"/>
          <w:noProof/>
          <w:lang w:eastAsia="en-AU"/>
        </w:rPr>
      </w:pPr>
      <w:r w:rsidRPr="00EF65AE">
        <w:rPr>
          <w:rFonts w:cs="Arial"/>
        </w:rPr>
        <w:t xml:space="preserve">Australia has helped to strengthen national governments’ capacity to address </w:t>
      </w:r>
      <w:r w:rsidR="00AE4FE4">
        <w:rPr>
          <w:rFonts w:cs="Arial"/>
        </w:rPr>
        <w:t>VAWG</w:t>
      </w:r>
      <w:r w:rsidRPr="00EF65AE">
        <w:rPr>
          <w:rFonts w:cs="Arial"/>
        </w:rPr>
        <w:t xml:space="preserve">. </w:t>
      </w:r>
      <w:r w:rsidR="00C17947" w:rsidRPr="00845373">
        <w:rPr>
          <w:rFonts w:cs="Arial"/>
        </w:rPr>
        <w:t>I</w:t>
      </w:r>
      <w:r w:rsidRPr="00845373">
        <w:rPr>
          <w:rFonts w:cs="Arial"/>
        </w:rPr>
        <w:t xml:space="preserve">n Indonesia, Australia has contributed long-term funding to </w:t>
      </w:r>
      <w:r w:rsidRPr="00845373">
        <w:rPr>
          <w:rFonts w:cs="Arial"/>
          <w:i/>
        </w:rPr>
        <w:t>Komnas Perempuan</w:t>
      </w:r>
      <w:r w:rsidRPr="00845373">
        <w:rPr>
          <w:rFonts w:cs="Arial"/>
        </w:rPr>
        <w:t>, the</w:t>
      </w:r>
      <w:r w:rsidR="0003385D" w:rsidRPr="00845373">
        <w:rPr>
          <w:rFonts w:cs="Arial"/>
        </w:rPr>
        <w:t xml:space="preserve"> independent </w:t>
      </w:r>
      <w:r w:rsidRPr="00845373">
        <w:rPr>
          <w:rFonts w:cs="Arial"/>
        </w:rPr>
        <w:t>National Commiss</w:t>
      </w:r>
      <w:r w:rsidR="00642E3D" w:rsidRPr="00845373">
        <w:rPr>
          <w:rFonts w:cs="Arial"/>
        </w:rPr>
        <w:t xml:space="preserve">ion on Violence against Women, </w:t>
      </w:r>
      <w:r w:rsidRPr="00845373">
        <w:rPr>
          <w:rFonts w:cs="Arial"/>
        </w:rPr>
        <w:t xml:space="preserve">established </w:t>
      </w:r>
      <w:r w:rsidR="00D60FC7" w:rsidRPr="00845373">
        <w:rPr>
          <w:rFonts w:cs="Arial"/>
        </w:rPr>
        <w:t xml:space="preserve">by presidential decree </w:t>
      </w:r>
      <w:r w:rsidRPr="00845373">
        <w:rPr>
          <w:rFonts w:cs="Arial"/>
        </w:rPr>
        <w:t>in 1998. Australia’s role as a primary donor</w:t>
      </w:r>
      <w:r w:rsidR="0003385D" w:rsidRPr="00845373">
        <w:rPr>
          <w:rFonts w:cs="Arial"/>
        </w:rPr>
        <w:t>,</w:t>
      </w:r>
      <w:r w:rsidRPr="00845373">
        <w:rPr>
          <w:rFonts w:cs="Arial"/>
        </w:rPr>
        <w:t xml:space="preserve"> contributing around $40 million since 2001, has shaped </w:t>
      </w:r>
      <w:r w:rsidR="0003385D" w:rsidRPr="00845373">
        <w:rPr>
          <w:rFonts w:cs="Arial"/>
          <w:i/>
        </w:rPr>
        <w:t>Komnas Perempuan</w:t>
      </w:r>
      <w:r w:rsidR="0003385D" w:rsidRPr="00845373">
        <w:rPr>
          <w:rFonts w:cs="Arial"/>
        </w:rPr>
        <w:t>’s</w:t>
      </w:r>
      <w:r w:rsidRPr="00845373">
        <w:rPr>
          <w:rFonts w:cs="Arial"/>
        </w:rPr>
        <w:t xml:space="preserve"> organisational and strategic approach and contributed to</w:t>
      </w:r>
      <w:r w:rsidR="00C17947" w:rsidRPr="00845373">
        <w:rPr>
          <w:rFonts w:cs="Arial"/>
        </w:rPr>
        <w:t xml:space="preserve"> its</w:t>
      </w:r>
      <w:r w:rsidRPr="00845373">
        <w:rPr>
          <w:rFonts w:cs="Arial"/>
        </w:rPr>
        <w:t xml:space="preserve"> influence in legal and policy reform on EVAWG in Indonesia.</w:t>
      </w:r>
    </w:p>
    <w:p w14:paraId="57E3DC86" w14:textId="77777777" w:rsidR="00EF65AE" w:rsidRPr="00EF65AE" w:rsidRDefault="00EF65AE" w:rsidP="00EF65AE">
      <w:pPr>
        <w:rPr>
          <w:rFonts w:cs="Arial"/>
          <w:noProof/>
          <w:lang w:eastAsia="en-AU"/>
        </w:rPr>
      </w:pPr>
      <w:r w:rsidRPr="00EF65AE">
        <w:rPr>
          <w:rFonts w:cs="Arial"/>
        </w:rPr>
        <w:t xml:space="preserve">In Afghanistan, since 2015, Australia has provided ongoing core funding of around $4 million to the Afghanistan Independent Human Rights Commission, which is constitutionally mandated to protect human rights and </w:t>
      </w:r>
      <w:r w:rsidR="0003385D">
        <w:rPr>
          <w:rFonts w:cs="Arial"/>
        </w:rPr>
        <w:t xml:space="preserve">be </w:t>
      </w:r>
      <w:r w:rsidRPr="00EF65AE">
        <w:rPr>
          <w:rFonts w:cs="Arial"/>
        </w:rPr>
        <w:t xml:space="preserve">a strong advocate for EVAWG. Australian support to the </w:t>
      </w:r>
      <w:r w:rsidR="0003385D">
        <w:rPr>
          <w:rFonts w:cs="Arial"/>
        </w:rPr>
        <w:t>Commission</w:t>
      </w:r>
      <w:r w:rsidRPr="00EF65AE">
        <w:rPr>
          <w:rFonts w:cs="Arial"/>
        </w:rPr>
        <w:t xml:space="preserve"> includes funding for a dedicated Commissioner for Women’s Rights and a Women’s Rights Unit to receive complaints and investigate </w:t>
      </w:r>
      <w:r w:rsidR="0003385D">
        <w:rPr>
          <w:rFonts w:cs="Arial"/>
        </w:rPr>
        <w:t>violence against women</w:t>
      </w:r>
      <w:r w:rsidRPr="00EF65AE">
        <w:rPr>
          <w:rFonts w:cs="Arial"/>
        </w:rPr>
        <w:t xml:space="preserve"> cases.</w:t>
      </w:r>
      <w:r w:rsidRPr="00EF65AE">
        <w:rPr>
          <w:rFonts w:cs="Arial"/>
        </w:rPr>
        <w:fldChar w:fldCharType="begin"/>
      </w:r>
      <w:r w:rsidRPr="00EF65AE">
        <w:rPr>
          <w:rFonts w:cs="Arial"/>
        </w:rPr>
        <w:instrText xml:space="preserve"> ADDIN ZOTERO_ITEM CSL_CITATION {"citationID":"HWYJKUNA","properties":{"formattedCitation":"\\super 65\\nosupersub{}","plainCitation":"65","noteIndex":0},"citationItems":[{"id":2500,"uris":["http://zotero.org/users/4194704/items/FGEU7H9B"],"uri":["http://zotero.org/users/4194704/items/FGEU7H9B"],"itemData":{"id":2500,"type":"article-journal","title":"Midterm Review of the DFAT Ending Violence Against Women (EVAW) Program in Afghanistan DFAT MANAGEMENT RESPONSE","author":[{"family":"Huber","given":"Marie &amp; Musleh","suffix":"Nabila"}],"issued":{"date-parts":[["2016"]]}}}],"schema":"https://github.com/citation-style-language/schema/raw/master/csl-citation.json"} </w:instrText>
      </w:r>
      <w:r w:rsidRPr="00EF65AE">
        <w:rPr>
          <w:rFonts w:cs="Arial"/>
        </w:rPr>
        <w:fldChar w:fldCharType="separate"/>
      </w:r>
      <w:r w:rsidRPr="00EF65AE">
        <w:rPr>
          <w:rFonts w:cs="Arial"/>
          <w:vertAlign w:val="superscript"/>
          <w:lang w:val="en-US"/>
        </w:rPr>
        <w:t>65</w:t>
      </w:r>
      <w:r w:rsidRPr="00EF65AE">
        <w:rPr>
          <w:rFonts w:cs="Arial"/>
        </w:rPr>
        <w:fldChar w:fldCharType="end"/>
      </w:r>
    </w:p>
    <w:p w14:paraId="5B8FEE00" w14:textId="77777777" w:rsidR="00EF65AE" w:rsidRPr="00EF65AE" w:rsidRDefault="00EF65AE" w:rsidP="00EF65AE">
      <w:pPr>
        <w:rPr>
          <w:rFonts w:cs="Arial"/>
          <w:noProof/>
          <w:lang w:eastAsia="en-AU"/>
        </w:rPr>
      </w:pPr>
      <w:r w:rsidRPr="00EF65AE">
        <w:rPr>
          <w:rFonts w:cs="Arial"/>
        </w:rPr>
        <w:t>However, while Australia has had some success in promoting government commitment for EVAWG, working with partner governments to strengthen capacity to implement and fulfil these commitments remains challeng</w:t>
      </w:r>
      <w:r w:rsidR="0003385D">
        <w:rPr>
          <w:rFonts w:cs="Arial"/>
        </w:rPr>
        <w:t>ing</w:t>
      </w:r>
      <w:r w:rsidRPr="00EF65AE">
        <w:rPr>
          <w:rFonts w:cs="Arial"/>
        </w:rPr>
        <w:t>. Th</w:t>
      </w:r>
      <w:r w:rsidR="0003385D">
        <w:rPr>
          <w:rFonts w:cs="Arial"/>
        </w:rPr>
        <w:t>is</w:t>
      </w:r>
      <w:r w:rsidRPr="00EF65AE">
        <w:rPr>
          <w:rFonts w:cs="Arial"/>
        </w:rPr>
        <w:t xml:space="preserve"> evaluation found uneven political </w:t>
      </w:r>
      <w:r w:rsidRPr="0003385D">
        <w:rPr>
          <w:rFonts w:cs="Arial"/>
        </w:rPr>
        <w:t xml:space="preserve">commitment within national governments, and ministries responsible for EVAWG (usually </w:t>
      </w:r>
      <w:r w:rsidR="0003385D" w:rsidRPr="0003385D">
        <w:rPr>
          <w:rFonts w:cs="Arial"/>
        </w:rPr>
        <w:t>m</w:t>
      </w:r>
      <w:r w:rsidRPr="0045079A">
        <w:rPr>
          <w:rFonts w:cs="Arial"/>
        </w:rPr>
        <w:t xml:space="preserve">inistries of </w:t>
      </w:r>
      <w:r w:rsidR="0003385D" w:rsidRPr="0045079A">
        <w:rPr>
          <w:rFonts w:cs="Arial"/>
        </w:rPr>
        <w:t>w</w:t>
      </w:r>
      <w:r w:rsidRPr="0045079A">
        <w:rPr>
          <w:rFonts w:cs="Arial"/>
        </w:rPr>
        <w:t>omen</w:t>
      </w:r>
      <w:r w:rsidRPr="0003385D">
        <w:rPr>
          <w:rFonts w:cs="Arial"/>
        </w:rPr>
        <w:t>)</w:t>
      </w:r>
      <w:r w:rsidRPr="00EF65AE">
        <w:rPr>
          <w:rFonts w:cs="Arial"/>
        </w:rPr>
        <w:t xml:space="preserve"> not always ha</w:t>
      </w:r>
      <w:r w:rsidR="0003385D">
        <w:rPr>
          <w:rFonts w:cs="Arial"/>
        </w:rPr>
        <w:t>ving</w:t>
      </w:r>
      <w:r w:rsidRPr="00EF65AE">
        <w:rPr>
          <w:rFonts w:cs="Arial"/>
        </w:rPr>
        <w:t xml:space="preserve"> the influence and resources needed to fully implement policy undertakings.</w:t>
      </w:r>
    </w:p>
    <w:p w14:paraId="3BAA505D" w14:textId="77777777" w:rsidR="00EF65AE" w:rsidRPr="00EF65AE" w:rsidRDefault="00EF65AE" w:rsidP="003B2B9B">
      <w:pPr>
        <w:pStyle w:val="Heading3NoTOC"/>
      </w:pPr>
      <w:r w:rsidRPr="00EF65AE">
        <w:t xml:space="preserve">Support to women’s rights organisations </w:t>
      </w:r>
    </w:p>
    <w:p w14:paraId="0FD9DBE0" w14:textId="77777777" w:rsidR="00EF65AE" w:rsidRPr="00EF65AE" w:rsidRDefault="00EF65AE" w:rsidP="00EF65AE">
      <w:pPr>
        <w:rPr>
          <w:rFonts w:cs="Arial"/>
        </w:rPr>
      </w:pPr>
      <w:r w:rsidRPr="00EF65AE">
        <w:rPr>
          <w:rFonts w:cs="Arial"/>
        </w:rPr>
        <w:t>Local and global feminist movements, have played a critical role in creati</w:t>
      </w:r>
      <w:r w:rsidRPr="00EF65AE">
        <w:rPr>
          <w:rStyle w:val="BodyTextChar"/>
          <w:rFonts w:cs="Arial"/>
        </w:rPr>
        <w:t>ng conditions for change.</w:t>
      </w:r>
      <w:r w:rsidRPr="00EF65AE">
        <w:rPr>
          <w:rStyle w:val="BodyTextChar"/>
          <w:rFonts w:cs="Arial"/>
        </w:rPr>
        <w:fldChar w:fldCharType="begin"/>
      </w:r>
      <w:r w:rsidRPr="00EF65AE">
        <w:rPr>
          <w:rStyle w:val="BodyTextChar"/>
          <w:rFonts w:cs="Arial"/>
        </w:rPr>
        <w:instrText xml:space="preserve"> ADDIN ZOTERO_ITEM CSL_CITATION {"citationID":"JLfTlxUK","properties":{"formattedCitation":"\\super 58,66\\nosupersub{}","plainCitation":"58,66","noteIndex":0},"citationItems":[{"id":321,"uris":["http://zotero.org/users/4194704/items/CPZWQHY2"],"uri":["http://zotero.org/users/4194704/items/CPZWQHY2"],"itemData":{"id":321,"type":"report","title":"Piecing Together the Evidence on Social Norms and Violence against Women","publisher":"The Equality Institute","publisher-place":"Melbourne","event-place":"Melbourne","author":[{"literal":"The Equality Institute"}],"issued":{"date-parts":[["2017"]]}}},{"id":670,"uris":["http://zotero.org/users/4194704/items/CHNZDDRR"],"uri":["http://zotero.org/users/4194704/items/CHNZDDRR"],"itemData":{"id":670,"type":"article-journal","title":"The Civic Origins of Progressive Policy Change: Combating Violence against Women in Global Perspective, 1975–2005","container-title":"American Political Science Review","page":"548-569","volume":"106","issue":"3","abstract":"Over the past four decades, violence against women (VAW) has come to be seen as a violation of human rights and an important concern for social policy. Yet government action remains uneven. Some countries have adopted comprehensive policies to combat VAW, whereas others have been slow to address the problem. Using an original dataset of social movements and VAW policies in 70 countries over four decades, we show that feminist mobilization in civil society—not intra-legislative political phenomena such as leftist parties or women in government or economic factors like national wealth—accounts for variation in policy development. In addition, we demonstrate that autonomous movements produce an enduring impact on VAW policy through the institutionalization of feminist ideas in international norms. This study brings national and global civil society into large-n explanations of social policy, arguing that analysis of civil society in general—and of social movements in particular—is critical to understanding progressive social policy change., \nOn page 556 of the article by Htun and Weldon (2012) it is stated that, “Before Vienna [the 1993 World Conference on Human Rights], mainstream human rights organizations such as Human Rights Watch and Amnesty International did not treat rape and domestic violence as core issues of human rights. (These organizations now have women's rights projects.)”","DOI":"10.1017/S0003055412000226","ISSN":"1537-5943,00030554","author":[{"family":"Htun","given":"Mala"},{"family":"Weldon","given":"S. Laurel"}],"issued":{"date-parts":[["2012"]]}}}],"schema":"https://github.com/citation-style-language/schema/raw/master/csl-citation.json"} </w:instrText>
      </w:r>
      <w:r w:rsidRPr="00EF65AE">
        <w:rPr>
          <w:rStyle w:val="BodyTextChar"/>
          <w:rFonts w:cs="Arial"/>
        </w:rPr>
        <w:fldChar w:fldCharType="separate"/>
      </w:r>
      <w:r w:rsidRPr="00EF65AE">
        <w:rPr>
          <w:rFonts w:cs="Arial"/>
          <w:vertAlign w:val="superscript"/>
          <w:lang w:val="en-US"/>
        </w:rPr>
        <w:t>58,66</w:t>
      </w:r>
      <w:r w:rsidRPr="00EF65AE">
        <w:rPr>
          <w:rStyle w:val="BodyTextChar"/>
          <w:rFonts w:cs="Arial"/>
        </w:rPr>
        <w:fldChar w:fldCharType="end"/>
      </w:r>
      <w:r w:rsidRPr="00EF65AE">
        <w:rPr>
          <w:rStyle w:val="BodyTextChar"/>
          <w:rFonts w:cs="Arial"/>
        </w:rPr>
        <w:t xml:space="preserve"> Empirical analysis</w:t>
      </w:r>
      <w:r w:rsidRPr="00EF65AE">
        <w:rPr>
          <w:rFonts w:cs="Arial"/>
        </w:rPr>
        <w:t xml:space="preserve"> of policy changes over time in 70 countries suggests that, of all factors</w:t>
      </w:r>
      <w:r w:rsidRPr="00FE25E2">
        <w:rPr>
          <w:rFonts w:cs="Arial"/>
          <w:bCs/>
        </w:rPr>
        <w:t>, the presence of autonomous women’s movements was the main driver of government action on violence against women.</w:t>
      </w:r>
      <w:r w:rsidRPr="00EF65AE">
        <w:rPr>
          <w:rFonts w:cs="Arial"/>
        </w:rPr>
        <w:fldChar w:fldCharType="begin"/>
      </w:r>
      <w:r w:rsidRPr="00EF65AE">
        <w:rPr>
          <w:rFonts w:cs="Arial"/>
        </w:rPr>
        <w:instrText xml:space="preserve"> ADDIN ZOTERO_ITEM CSL_CITATION {"citationID":"CJkGcn8I","properties":{"formattedCitation":"\\super 67\\nosupersub{}","plainCitation":"67","noteIndex":0},"citationItems":[{"id":667,"uris":["http://zotero.org/users/4194704/items/UERT69RH"],"uri":["http://zotero.org/users/4194704/items/UERT69RH"],"itemData":{"id":667,"type":"article-journal","title":"The civic origins of progressive policy change: combating violence against women in a global perspective, 1975-2005","container-title":"AMERICAN POLITICAL SCIENCE REVIEW","volume":"106","issue":"3","URL":"http://parlinfo.aph.gov.au/parlInfo/search/summary/summary.w3p;query=Id:%22library/jrnart/1958110%22","author":[{"family":"HTUN","given":"Mala"},{"family":"WELDON","given":"S. Laurel"}],"issued":{"date-parts":[["2012"]]}}}],"schema":"https://github.com/citation-style-language/schema/raw/master/csl-citation.json"} </w:instrText>
      </w:r>
      <w:r w:rsidRPr="00EF65AE">
        <w:rPr>
          <w:rFonts w:cs="Arial"/>
        </w:rPr>
        <w:fldChar w:fldCharType="separate"/>
      </w:r>
      <w:r w:rsidRPr="00EF65AE">
        <w:rPr>
          <w:rFonts w:cs="Arial"/>
          <w:vertAlign w:val="superscript"/>
          <w:lang w:val="en-US"/>
        </w:rPr>
        <w:t>67</w:t>
      </w:r>
      <w:r w:rsidRPr="00EF65AE">
        <w:rPr>
          <w:rFonts w:cs="Arial"/>
        </w:rPr>
        <w:fldChar w:fldCharType="end"/>
      </w:r>
      <w:r w:rsidRPr="00EF65AE">
        <w:rPr>
          <w:rFonts w:cs="Arial"/>
        </w:rPr>
        <w:t xml:space="preserve"> </w:t>
      </w:r>
    </w:p>
    <w:p w14:paraId="33D4DCEB" w14:textId="65D57A12" w:rsidR="00EF65AE" w:rsidRPr="00EF65AE" w:rsidRDefault="00EF65AE" w:rsidP="00EF65AE">
      <w:pPr>
        <w:rPr>
          <w:rFonts w:cs="Arial"/>
        </w:rPr>
      </w:pPr>
      <w:r w:rsidRPr="00EF65AE">
        <w:rPr>
          <w:rFonts w:cs="Arial"/>
        </w:rPr>
        <w:t>In the Pacific, women’s organisations, such as the F</w:t>
      </w:r>
      <w:r w:rsidR="001F0E12">
        <w:rPr>
          <w:rFonts w:cs="Arial"/>
        </w:rPr>
        <w:t>iji Women’s Crisis Centre (F</w:t>
      </w:r>
      <w:r w:rsidRPr="00EF65AE">
        <w:rPr>
          <w:rFonts w:cs="Arial"/>
        </w:rPr>
        <w:t>WCC</w:t>
      </w:r>
      <w:r w:rsidR="001F0E12">
        <w:rPr>
          <w:rFonts w:cs="Arial"/>
        </w:rPr>
        <w:t>)</w:t>
      </w:r>
      <w:r w:rsidRPr="00EF65AE">
        <w:rPr>
          <w:rFonts w:cs="Arial"/>
        </w:rPr>
        <w:t xml:space="preserve"> and V</w:t>
      </w:r>
      <w:r w:rsidR="001F0E12">
        <w:rPr>
          <w:rFonts w:cs="Arial"/>
        </w:rPr>
        <w:t>anuatu Women’s Centre (F</w:t>
      </w:r>
      <w:r w:rsidRPr="00EF65AE">
        <w:rPr>
          <w:rFonts w:cs="Arial"/>
        </w:rPr>
        <w:t>WC</w:t>
      </w:r>
      <w:r w:rsidR="001F0E12">
        <w:rPr>
          <w:rFonts w:cs="Arial"/>
        </w:rPr>
        <w:t>)</w:t>
      </w:r>
      <w:r w:rsidRPr="00EF65AE">
        <w:rPr>
          <w:rFonts w:cs="Arial"/>
        </w:rPr>
        <w:t xml:space="preserve"> have led EVAWG</w:t>
      </w:r>
      <w:r w:rsidR="00B702A0">
        <w:rPr>
          <w:rFonts w:cs="Arial"/>
        </w:rPr>
        <w:t xml:space="preserve"> work</w:t>
      </w:r>
      <w:r w:rsidRPr="00EF65AE">
        <w:rPr>
          <w:rFonts w:cs="Arial"/>
        </w:rPr>
        <w:t xml:space="preserve"> over the past 30 years. They have largely been responsible for </w:t>
      </w:r>
      <w:r w:rsidR="00B702A0">
        <w:rPr>
          <w:rFonts w:cs="Arial"/>
        </w:rPr>
        <w:t>placing</w:t>
      </w:r>
      <w:r w:rsidR="00B702A0" w:rsidRPr="00EF65AE">
        <w:rPr>
          <w:rFonts w:cs="Arial"/>
        </w:rPr>
        <w:t xml:space="preserve"> </w:t>
      </w:r>
      <w:r w:rsidRPr="00EF65AE">
        <w:rPr>
          <w:rFonts w:cs="Arial"/>
        </w:rPr>
        <w:t>the issue on</w:t>
      </w:r>
      <w:r w:rsidR="00541D86">
        <w:rPr>
          <w:rFonts w:cs="Arial"/>
        </w:rPr>
        <w:t xml:space="preserve"> </w:t>
      </w:r>
      <w:r w:rsidRPr="00EF65AE">
        <w:rPr>
          <w:rFonts w:cs="Arial"/>
        </w:rPr>
        <w:t xml:space="preserve">to the public agenda and </w:t>
      </w:r>
      <w:r w:rsidR="008F6C45">
        <w:rPr>
          <w:rFonts w:cs="Arial"/>
        </w:rPr>
        <w:t>play</w:t>
      </w:r>
      <w:r w:rsidR="00B702A0">
        <w:rPr>
          <w:rFonts w:cs="Arial"/>
        </w:rPr>
        <w:t>ing</w:t>
      </w:r>
      <w:r w:rsidR="008F6C45" w:rsidRPr="00EF65AE">
        <w:rPr>
          <w:rFonts w:cs="Arial"/>
        </w:rPr>
        <w:t xml:space="preserve"> </w:t>
      </w:r>
      <w:r w:rsidRPr="00EF65AE">
        <w:rPr>
          <w:rFonts w:cs="Arial"/>
        </w:rPr>
        <w:t>a pivotal role in understanding local needs and advocating</w:t>
      </w:r>
      <w:r w:rsidR="008F6C45">
        <w:rPr>
          <w:rFonts w:cs="Arial"/>
        </w:rPr>
        <w:t xml:space="preserve"> for</w:t>
      </w:r>
      <w:r w:rsidRPr="00EF65AE">
        <w:rPr>
          <w:rFonts w:cs="Arial"/>
        </w:rPr>
        <w:t xml:space="preserve"> change. </w:t>
      </w:r>
    </w:p>
    <w:p w14:paraId="6357E9C5" w14:textId="6DE41288" w:rsidR="002D4A72" w:rsidRPr="002D4A72" w:rsidRDefault="00EF65AE" w:rsidP="00EF65AE">
      <w:pPr>
        <w:rPr>
          <w:rFonts w:cs="Arial"/>
        </w:rPr>
      </w:pPr>
      <w:bookmarkStart w:id="187" w:name="_Hlk21695136"/>
      <w:r w:rsidRPr="002D4A72">
        <w:rPr>
          <w:rFonts w:cs="Arial"/>
        </w:rPr>
        <w:t xml:space="preserve">Australia’s long-term funding has enabled these </w:t>
      </w:r>
      <w:r w:rsidR="002D4A72" w:rsidRPr="002D4A72">
        <w:rPr>
          <w:rFonts w:cs="Arial"/>
        </w:rPr>
        <w:t xml:space="preserve">women’s </w:t>
      </w:r>
      <w:r w:rsidRPr="002D4A72">
        <w:rPr>
          <w:rFonts w:cs="Arial"/>
        </w:rPr>
        <w:t xml:space="preserve">organisations to </w:t>
      </w:r>
      <w:r w:rsidR="00F55507">
        <w:rPr>
          <w:rFonts w:cs="Arial"/>
        </w:rPr>
        <w:t>deliver services for survivors and be</w:t>
      </w:r>
      <w:r w:rsidRPr="002D4A72">
        <w:rPr>
          <w:rFonts w:cs="Arial"/>
        </w:rPr>
        <w:t xml:space="preserve"> outstanding leaders</w:t>
      </w:r>
      <w:r w:rsidR="002D4A72" w:rsidRPr="002D4A72">
        <w:rPr>
          <w:rFonts w:cs="Arial"/>
        </w:rPr>
        <w:t>,</w:t>
      </w:r>
      <w:r w:rsidRPr="002D4A72">
        <w:rPr>
          <w:rFonts w:cs="Arial"/>
        </w:rPr>
        <w:t xml:space="preserve"> at national and regional level</w:t>
      </w:r>
      <w:r w:rsidR="008F6C45" w:rsidRPr="002D4A72">
        <w:rPr>
          <w:rFonts w:cs="Arial"/>
        </w:rPr>
        <w:t>s</w:t>
      </w:r>
      <w:r w:rsidR="002D4A72" w:rsidRPr="002D4A72">
        <w:rPr>
          <w:rFonts w:cs="Arial"/>
        </w:rPr>
        <w:t xml:space="preserve">, </w:t>
      </w:r>
      <w:r w:rsidR="00F55507">
        <w:rPr>
          <w:rFonts w:cs="Arial"/>
        </w:rPr>
        <w:t>who have</w:t>
      </w:r>
      <w:r w:rsidR="002D4A72" w:rsidRPr="002D4A72">
        <w:rPr>
          <w:rFonts w:cs="Arial"/>
        </w:rPr>
        <w:t>:</w:t>
      </w:r>
    </w:p>
    <w:p w14:paraId="02979766" w14:textId="26C97DD7" w:rsidR="00B702A0" w:rsidRPr="002D4A72" w:rsidRDefault="00B702A0" w:rsidP="00B702A0">
      <w:pPr>
        <w:pStyle w:val="ListBullet"/>
      </w:pPr>
      <w:r w:rsidRPr="002D4A72">
        <w:t>raise</w:t>
      </w:r>
      <w:r w:rsidR="00F55507">
        <w:t>d</w:t>
      </w:r>
      <w:r w:rsidR="00EF65AE" w:rsidRPr="002D4A72">
        <w:t xml:space="preserve"> awareness</w:t>
      </w:r>
      <w:r w:rsidR="00F55507">
        <w:t xml:space="preserve"> of VAWG</w:t>
      </w:r>
    </w:p>
    <w:p w14:paraId="0C97C554" w14:textId="21F5A385" w:rsidR="00B702A0" w:rsidRPr="002D4A72" w:rsidRDefault="00EF65AE" w:rsidP="00B702A0">
      <w:pPr>
        <w:pStyle w:val="ListBullet"/>
        <w:rPr>
          <w:rStyle w:val="BodyTextChar"/>
        </w:rPr>
      </w:pPr>
      <w:r w:rsidRPr="002D4A72">
        <w:t>organ</w:t>
      </w:r>
      <w:r w:rsidRPr="002D4A72">
        <w:rPr>
          <w:rStyle w:val="BodyTextChar"/>
          <w:rFonts w:cs="Arial"/>
        </w:rPr>
        <w:t>is</w:t>
      </w:r>
      <w:r w:rsidR="00B702A0" w:rsidRPr="002D4A72">
        <w:rPr>
          <w:rStyle w:val="BodyTextChar"/>
          <w:rFonts w:cs="Arial"/>
        </w:rPr>
        <w:t>e</w:t>
      </w:r>
      <w:r w:rsidR="00F55507">
        <w:rPr>
          <w:rStyle w:val="BodyTextChar"/>
          <w:rFonts w:cs="Arial"/>
        </w:rPr>
        <w:t>d</w:t>
      </w:r>
      <w:r w:rsidRPr="002D4A72">
        <w:rPr>
          <w:rStyle w:val="BodyTextChar"/>
          <w:rFonts w:cs="Arial"/>
        </w:rPr>
        <w:t xml:space="preserve"> community responses to VAWG</w:t>
      </w:r>
    </w:p>
    <w:p w14:paraId="3579CD82" w14:textId="4C40E0DD" w:rsidR="00B702A0" w:rsidRPr="002D4A72" w:rsidRDefault="00F55507" w:rsidP="00B702A0">
      <w:pPr>
        <w:pStyle w:val="ListBullet"/>
      </w:pPr>
      <w:r>
        <w:t>influenced governments to provide high-quality services and improve p</w:t>
      </w:r>
      <w:r w:rsidR="00EF65AE" w:rsidRPr="002D4A72">
        <w:t xml:space="preserve">olicies and laws addressing VAWG. </w:t>
      </w:r>
    </w:p>
    <w:bookmarkEnd w:id="187"/>
    <w:p w14:paraId="1CCDC238" w14:textId="77777777" w:rsidR="00EF65AE" w:rsidRPr="00EF65AE" w:rsidRDefault="00EF65AE" w:rsidP="00B702A0">
      <w:r w:rsidRPr="00EF65AE">
        <w:t xml:space="preserve">In many cases, providing core support to </w:t>
      </w:r>
      <w:r w:rsidR="008F6C45">
        <w:t>CSOs</w:t>
      </w:r>
      <w:r w:rsidRPr="00EF65AE">
        <w:t xml:space="preserve"> has enabled</w:t>
      </w:r>
      <w:r w:rsidR="00B702A0">
        <w:t xml:space="preserve"> the</w:t>
      </w:r>
      <w:r w:rsidRPr="00EF65AE">
        <w:t xml:space="preserve"> implementation of global best</w:t>
      </w:r>
      <w:r w:rsidR="008F6C45">
        <w:t>-</w:t>
      </w:r>
      <w:r w:rsidRPr="00EF65AE">
        <w:t xml:space="preserve">practice EVAWG programs, such as FWCC training of justice actors, </w:t>
      </w:r>
      <w:r w:rsidR="00B702A0">
        <w:t xml:space="preserve">providing related </w:t>
      </w:r>
      <w:r w:rsidRPr="00EF65AE">
        <w:t>service</w:t>
      </w:r>
      <w:r w:rsidR="00B702A0">
        <w:t>s,</w:t>
      </w:r>
      <w:r w:rsidRPr="00EF65AE">
        <w:t xml:space="preserve"> </w:t>
      </w:r>
      <w:r w:rsidR="00B702A0">
        <w:t xml:space="preserve">implementing </w:t>
      </w:r>
      <w:r w:rsidRPr="00EF65AE">
        <w:t>male advocates programs and</w:t>
      </w:r>
      <w:r w:rsidR="00B702A0">
        <w:t xml:space="preserve"> conducting</w:t>
      </w:r>
      <w:r w:rsidRPr="00EF65AE">
        <w:t xml:space="preserve"> prevalence studies (Box 5). </w:t>
      </w:r>
    </w:p>
    <w:p w14:paraId="1CA0AC46" w14:textId="77777777" w:rsidR="00EF65AE" w:rsidRPr="00EF65AE" w:rsidRDefault="00EF65AE" w:rsidP="00EF65AE">
      <w:pPr>
        <w:pStyle w:val="CallOutHeading"/>
        <w:rPr>
          <w:rFonts w:cs="Arial"/>
        </w:rPr>
      </w:pPr>
      <w:r w:rsidRPr="00EF65AE">
        <w:rPr>
          <w:rFonts w:cs="Arial"/>
        </w:rPr>
        <w:t>Box 5: Fiji Women’s Crisis Centre—</w:t>
      </w:r>
      <w:r w:rsidR="008F6C45">
        <w:rPr>
          <w:rFonts w:cs="Arial"/>
        </w:rPr>
        <w:t>t</w:t>
      </w:r>
      <w:r w:rsidRPr="00EF65AE">
        <w:rPr>
          <w:rFonts w:cs="Arial"/>
        </w:rPr>
        <w:t>he catalytic impact of long-term investment</w:t>
      </w:r>
    </w:p>
    <w:p w14:paraId="5AFDA94F" w14:textId="77777777" w:rsidR="00EF65AE" w:rsidRPr="00EF65AE" w:rsidRDefault="00EF65AE" w:rsidP="00EF65AE">
      <w:pPr>
        <w:pStyle w:val="CallOutBody"/>
        <w:rPr>
          <w:rFonts w:cs="Arial"/>
        </w:rPr>
      </w:pPr>
      <w:r w:rsidRPr="00EF65AE">
        <w:rPr>
          <w:rFonts w:cs="Arial"/>
        </w:rPr>
        <w:t>Australia has provided core funding to</w:t>
      </w:r>
      <w:r w:rsidR="00B702A0">
        <w:rPr>
          <w:rFonts w:cs="Arial"/>
        </w:rPr>
        <w:t xml:space="preserve"> the</w:t>
      </w:r>
      <w:r w:rsidRPr="00EF65AE">
        <w:rPr>
          <w:rFonts w:cs="Arial"/>
        </w:rPr>
        <w:t xml:space="preserve"> FWCC for </w:t>
      </w:r>
      <w:r w:rsidR="008F6C45">
        <w:rPr>
          <w:rFonts w:cs="Arial"/>
        </w:rPr>
        <w:t>more than</w:t>
      </w:r>
      <w:r w:rsidR="008F6C45" w:rsidRPr="00EF65AE">
        <w:rPr>
          <w:rFonts w:cs="Arial"/>
        </w:rPr>
        <w:t xml:space="preserve"> </w:t>
      </w:r>
      <w:r w:rsidRPr="00EF65AE">
        <w:rPr>
          <w:rFonts w:cs="Arial"/>
        </w:rPr>
        <w:t>20 years</w:t>
      </w:r>
      <w:r w:rsidR="008F6C45">
        <w:rPr>
          <w:rFonts w:cs="Arial"/>
        </w:rPr>
        <w:t>. This</w:t>
      </w:r>
      <w:r w:rsidRPr="00EF65AE">
        <w:rPr>
          <w:rFonts w:cs="Arial"/>
        </w:rPr>
        <w:t xml:space="preserve"> is an example of how long-term commitment can contribute to sustainable social change. </w:t>
      </w:r>
    </w:p>
    <w:p w14:paraId="50551829" w14:textId="77777777" w:rsidR="00EF65AE" w:rsidRPr="00EF65AE" w:rsidRDefault="00EF65AE" w:rsidP="00EF65AE">
      <w:pPr>
        <w:pStyle w:val="CallOutBody"/>
        <w:rPr>
          <w:rFonts w:cs="Arial"/>
        </w:rPr>
      </w:pPr>
      <w:r w:rsidRPr="00EF65AE">
        <w:rPr>
          <w:rFonts w:cs="Arial"/>
        </w:rPr>
        <w:t>The FWCC aims to protect and promote the human rights of women and girls in the law and justice sector, and to reduce tolerance of violence against women. It does this through specialised training to: build support organisations’ entry-level knowledge and skills; strengthen their practices and approaches, including in the justice sector; and equip advocates to train others in their countries or sectors (</w:t>
      </w:r>
      <w:r w:rsidR="008F6C45">
        <w:rPr>
          <w:rFonts w:cs="Arial"/>
        </w:rPr>
        <w:t>t</w:t>
      </w:r>
      <w:r w:rsidRPr="00EF65AE">
        <w:rPr>
          <w:rFonts w:cs="Arial"/>
        </w:rPr>
        <w:t xml:space="preserve">raining of </w:t>
      </w:r>
      <w:r w:rsidR="008F6C45">
        <w:rPr>
          <w:rFonts w:cs="Arial"/>
        </w:rPr>
        <w:t>t</w:t>
      </w:r>
      <w:r w:rsidRPr="00EF65AE">
        <w:rPr>
          <w:rFonts w:cs="Arial"/>
        </w:rPr>
        <w:t xml:space="preserve">rainers). </w:t>
      </w:r>
    </w:p>
    <w:p w14:paraId="6B8CBC47" w14:textId="6BBF0504" w:rsidR="00EF65AE" w:rsidRPr="00EF65AE" w:rsidRDefault="00B702A0" w:rsidP="00EF65AE">
      <w:pPr>
        <w:pStyle w:val="CallOutBody"/>
        <w:rPr>
          <w:rFonts w:cs="Arial"/>
        </w:rPr>
      </w:pPr>
      <w:r>
        <w:rPr>
          <w:rFonts w:cs="Arial"/>
        </w:rPr>
        <w:t xml:space="preserve">In several external evaluations, the </w:t>
      </w:r>
      <w:r w:rsidR="00EF65AE" w:rsidRPr="00EF65AE">
        <w:rPr>
          <w:rFonts w:cs="Arial"/>
        </w:rPr>
        <w:t xml:space="preserve">FWCC has been </w:t>
      </w:r>
      <w:r w:rsidR="005C5B95">
        <w:rPr>
          <w:rFonts w:cs="Arial"/>
        </w:rPr>
        <w:t>found to be</w:t>
      </w:r>
      <w:r w:rsidR="00EF65AE" w:rsidRPr="00EF65AE">
        <w:rPr>
          <w:rFonts w:cs="Arial"/>
        </w:rPr>
        <w:t xml:space="preserve"> very effective</w:t>
      </w:r>
      <w:r>
        <w:rPr>
          <w:rFonts w:cs="Arial"/>
        </w:rPr>
        <w:t xml:space="preserve">, especially </w:t>
      </w:r>
      <w:r w:rsidR="00EF65AE" w:rsidRPr="00EF65AE">
        <w:rPr>
          <w:rFonts w:cs="Arial"/>
        </w:rPr>
        <w:t>its advocacy</w:t>
      </w:r>
      <w:r w:rsidR="001307D2">
        <w:rPr>
          <w:rFonts w:cs="Arial"/>
        </w:rPr>
        <w:t xml:space="preserve"> work</w:t>
      </w:r>
      <w:r w:rsidR="00EF65AE" w:rsidRPr="00EF65AE">
        <w:rPr>
          <w:rFonts w:cs="Arial"/>
        </w:rPr>
        <w:t xml:space="preserve">. Evidence obtained during the fieldwork for this evaluation confirmed that FWCC’s specialised training has built knowledge, networks and coalitions for advocacy among a broad range of stakeholders in Fiji. </w:t>
      </w:r>
      <w:r>
        <w:rPr>
          <w:rFonts w:cs="Arial"/>
        </w:rPr>
        <w:t xml:space="preserve">The </w:t>
      </w:r>
      <w:r w:rsidR="00EF65AE" w:rsidRPr="00EF65AE">
        <w:rPr>
          <w:rFonts w:cs="Arial"/>
        </w:rPr>
        <w:t xml:space="preserve">FWCC’s human rights-based approach aligns with best practice. </w:t>
      </w:r>
    </w:p>
    <w:p w14:paraId="111FD267" w14:textId="77777777" w:rsidR="00EF65AE" w:rsidRPr="00EF65AE" w:rsidRDefault="00EF65AE" w:rsidP="00EF65AE">
      <w:pPr>
        <w:pStyle w:val="CallOutBody"/>
        <w:rPr>
          <w:rFonts w:cs="Arial"/>
        </w:rPr>
      </w:pPr>
      <w:r w:rsidRPr="00EF65AE">
        <w:rPr>
          <w:rFonts w:cs="Arial"/>
        </w:rPr>
        <w:t>Australia’s long-term investment in</w:t>
      </w:r>
      <w:r w:rsidR="00B702A0">
        <w:rPr>
          <w:rFonts w:cs="Arial"/>
        </w:rPr>
        <w:t xml:space="preserve"> the</w:t>
      </w:r>
      <w:r w:rsidRPr="00EF65AE">
        <w:rPr>
          <w:rFonts w:cs="Arial"/>
        </w:rPr>
        <w:t xml:space="preserve"> FWCC has had far-reaching impacts beyond Fiji’s borders. </w:t>
      </w:r>
      <w:r w:rsidR="008F6C45">
        <w:rPr>
          <w:rFonts w:cs="Arial"/>
        </w:rPr>
        <w:t>It</w:t>
      </w:r>
      <w:r w:rsidR="008F6C45" w:rsidRPr="00EF65AE">
        <w:rPr>
          <w:rFonts w:cs="Arial"/>
        </w:rPr>
        <w:t xml:space="preserve"> </w:t>
      </w:r>
      <w:r w:rsidRPr="00EF65AE">
        <w:rPr>
          <w:rFonts w:cs="Arial"/>
        </w:rPr>
        <w:t>has supported the establishment, operation and training of women’s centres in other countries throughout the Pacific, including the Family Support Centre in Solomon Islands, Women and Children Crisis Centre</w:t>
      </w:r>
      <w:r w:rsidR="00B702A0">
        <w:rPr>
          <w:rFonts w:cs="Arial"/>
        </w:rPr>
        <w:t xml:space="preserve"> in Tonga</w:t>
      </w:r>
      <w:r w:rsidRPr="00EF65AE">
        <w:rPr>
          <w:rFonts w:cs="Arial"/>
        </w:rPr>
        <w:t>, and Women and Children Support Centre</w:t>
      </w:r>
      <w:r w:rsidR="00B702A0">
        <w:rPr>
          <w:rFonts w:cs="Arial"/>
        </w:rPr>
        <w:t xml:space="preserve"> in Kiribati</w:t>
      </w:r>
      <w:r w:rsidRPr="00EF65AE">
        <w:rPr>
          <w:rFonts w:cs="Arial"/>
        </w:rPr>
        <w:t xml:space="preserve">. </w:t>
      </w:r>
    </w:p>
    <w:p w14:paraId="0CD76E65" w14:textId="77777777" w:rsidR="00EF65AE" w:rsidRPr="00EF65AE" w:rsidRDefault="00EF65AE" w:rsidP="00EF65AE">
      <w:pPr>
        <w:pStyle w:val="CallOutBody"/>
        <w:rPr>
          <w:rFonts w:cs="Arial"/>
        </w:rPr>
      </w:pPr>
      <w:r w:rsidRPr="00EF65AE">
        <w:rPr>
          <w:rFonts w:cs="Arial"/>
        </w:rPr>
        <w:t>The AFP has carried out a multi-year Women’s Executive Leadership Program for high-level female police officers in partnership with</w:t>
      </w:r>
      <w:r w:rsidR="00B702A0">
        <w:rPr>
          <w:rFonts w:cs="Arial"/>
        </w:rPr>
        <w:t xml:space="preserve"> the</w:t>
      </w:r>
      <w:r w:rsidRPr="00EF65AE">
        <w:rPr>
          <w:rFonts w:cs="Arial"/>
        </w:rPr>
        <w:t xml:space="preserve"> FWCC and the Women</w:t>
      </w:r>
      <w:r w:rsidR="00B702A0">
        <w:rPr>
          <w:rFonts w:cs="Arial"/>
        </w:rPr>
        <w:t xml:space="preserve"> and Children Crisis</w:t>
      </w:r>
      <w:r w:rsidRPr="00EF65AE">
        <w:rPr>
          <w:rFonts w:cs="Arial"/>
        </w:rPr>
        <w:t xml:space="preserve"> Centre</w:t>
      </w:r>
      <w:r w:rsidR="00B702A0">
        <w:rPr>
          <w:rFonts w:cs="Arial"/>
        </w:rPr>
        <w:t xml:space="preserve"> in Tonga</w:t>
      </w:r>
      <w:r w:rsidRPr="00EF65AE">
        <w:rPr>
          <w:rFonts w:cs="Arial"/>
        </w:rPr>
        <w:t xml:space="preserve">. AFP staff, trainers and program participants overwhelmingly </w:t>
      </w:r>
      <w:r w:rsidR="00B702A0">
        <w:rPr>
          <w:rFonts w:cs="Arial"/>
        </w:rPr>
        <w:t>concluded</w:t>
      </w:r>
      <w:r w:rsidR="00B702A0" w:rsidRPr="00EF65AE">
        <w:rPr>
          <w:rFonts w:cs="Arial"/>
        </w:rPr>
        <w:t xml:space="preserve"> </w:t>
      </w:r>
      <w:r w:rsidRPr="00EF65AE">
        <w:rPr>
          <w:rFonts w:cs="Arial"/>
        </w:rPr>
        <w:t xml:space="preserve">that the program increased the leadership skills of female police officers and created a valuable support network throughout the region. </w:t>
      </w:r>
    </w:p>
    <w:p w14:paraId="3FB2DC47" w14:textId="77777777" w:rsidR="00EF65AE" w:rsidRPr="00EF65AE" w:rsidRDefault="00EF65AE" w:rsidP="00EF65AE">
      <w:pPr>
        <w:rPr>
          <w:rFonts w:cs="Arial"/>
        </w:rPr>
      </w:pPr>
      <w:r w:rsidRPr="00EF65AE">
        <w:rPr>
          <w:rFonts w:cs="Arial"/>
        </w:rPr>
        <w:t>One challenge identified in the 2008</w:t>
      </w:r>
      <w:r w:rsidR="00B702A0">
        <w:rPr>
          <w:rFonts w:cs="Arial"/>
        </w:rPr>
        <w:t xml:space="preserve"> ODE</w:t>
      </w:r>
      <w:r w:rsidRPr="00EF65AE">
        <w:rPr>
          <w:rFonts w:cs="Arial"/>
        </w:rPr>
        <w:t xml:space="preserve"> evaluation was that many small women’s organisations in the region did not have the capacity to apply for funds through existing global funds, such as the UN Trust Fund to End Violence Against Women, which target larger organisations with larger-scale, multi-year funding. This evaluation found</w:t>
      </w:r>
      <w:r w:rsidR="008F6C45">
        <w:rPr>
          <w:rFonts w:cs="Arial"/>
        </w:rPr>
        <w:t xml:space="preserve"> that</w:t>
      </w:r>
      <w:r w:rsidRPr="00EF65AE">
        <w:rPr>
          <w:rFonts w:cs="Arial"/>
        </w:rPr>
        <w:t xml:space="preserve"> Pacific Women has played a critical role in developing a diverse portfolio of activities based on careful assessment of needs in each country and at a regional level.</w:t>
      </w:r>
      <w:r w:rsidRPr="00EF65AE">
        <w:rPr>
          <w:rFonts w:cs="Arial"/>
        </w:rPr>
        <w:fldChar w:fldCharType="begin"/>
      </w:r>
      <w:r w:rsidRPr="00EF65AE">
        <w:rPr>
          <w:rFonts w:cs="Arial"/>
        </w:rPr>
        <w:instrText xml:space="preserve"> ADDIN ZOTERO_ITEM CSL_CITATION {"citationID":"0ZyosQHr","properties":{"formattedCitation":"\\super 68,69\\nosupersub{}","plainCitation":"68,69","noteIndex":0},"citationItems":[{"id":2220,"uris":["http://zotero.org/users/4194704/items/3D5KZRSX"],"uri":["http://zotero.org/users/4194704/items/3D5KZRSX"],"itemData":{"id":2220,"type":"report","title":"Pacific Women Roadmap","publisher":"DFAT","publisher-place":"Suva","event-place":"Suva","URL":"https://dfat.gov.au/about-us/publications/Documents/pacific-women-roadmap.pdf","author":[{"family":"Pacific Women Shaping","given":"Pacific Development"}],"issued":{"date-parts":[["2017"]]}}},{"id":2316,"uris":["http://zotero.org/users/4194704/items/TUVR2W5F"],"uri":["http://zotero.org/users/4194704/items/TUVR2W5F"],"itemData":{"id":2316,"type":"report","title":"Pacific Women Shaping Pacific Development: Annual Progress Report 2016-2017","author":[{"literal":"Pacific Women Shaping Pacific Development"}],"issued":{"date-parts":[["2017"]]}}}],"schema":"https://github.com/citation-style-language/schema/raw/master/csl-citation.json"} </w:instrText>
      </w:r>
      <w:r w:rsidRPr="00EF65AE">
        <w:rPr>
          <w:rFonts w:cs="Arial"/>
        </w:rPr>
        <w:fldChar w:fldCharType="separate"/>
      </w:r>
      <w:r w:rsidRPr="00EF65AE">
        <w:rPr>
          <w:rFonts w:cs="Arial"/>
          <w:vertAlign w:val="superscript"/>
          <w:lang w:val="en-US"/>
        </w:rPr>
        <w:t>68,69</w:t>
      </w:r>
      <w:r w:rsidRPr="00EF65AE">
        <w:rPr>
          <w:rFonts w:cs="Arial"/>
        </w:rPr>
        <w:fldChar w:fldCharType="end"/>
      </w:r>
      <w:r w:rsidRPr="00EF65AE">
        <w:rPr>
          <w:rFonts w:cs="Arial"/>
        </w:rPr>
        <w:t xml:space="preserve"> </w:t>
      </w:r>
    </w:p>
    <w:p w14:paraId="4BB9637D" w14:textId="77777777" w:rsidR="00882A7F" w:rsidRDefault="00EF65AE" w:rsidP="00EF65AE">
      <w:pPr>
        <w:rPr>
          <w:rFonts w:cs="Arial"/>
        </w:rPr>
      </w:pPr>
      <w:r w:rsidRPr="00EF65AE">
        <w:rPr>
          <w:rFonts w:cs="Arial"/>
        </w:rPr>
        <w:t xml:space="preserve">The Fiji Women’s Fund is a Pacific Women initiative </w:t>
      </w:r>
      <w:r w:rsidR="00B702A0">
        <w:rPr>
          <w:rFonts w:cs="Arial"/>
        </w:rPr>
        <w:t>that</w:t>
      </w:r>
      <w:r w:rsidR="00B702A0" w:rsidRPr="00EF65AE">
        <w:rPr>
          <w:rFonts w:cs="Arial"/>
        </w:rPr>
        <w:t xml:space="preserve"> </w:t>
      </w:r>
      <w:r w:rsidRPr="00EF65AE">
        <w:rPr>
          <w:rFonts w:cs="Arial"/>
        </w:rPr>
        <w:t>has committed up to $10.5 million over five years to support women’s groups, networks and organisations in</w:t>
      </w:r>
      <w:r w:rsidR="00B702A0">
        <w:rPr>
          <w:rFonts w:cs="Arial"/>
        </w:rPr>
        <w:t>-country</w:t>
      </w:r>
      <w:r w:rsidRPr="00EF65AE">
        <w:rPr>
          <w:rFonts w:cs="Arial"/>
        </w:rPr>
        <w:t xml:space="preserve"> to expand and enhance their work on women’s empowerment and gender equality. The </w:t>
      </w:r>
      <w:r w:rsidR="00882A7F">
        <w:rPr>
          <w:rFonts w:cs="Arial"/>
        </w:rPr>
        <w:t>f</w:t>
      </w:r>
      <w:r w:rsidRPr="00EF65AE">
        <w:rPr>
          <w:rFonts w:cs="Arial"/>
        </w:rPr>
        <w:t>und recognises global evidence that supporting local women’s groups and networks is one of the most effective ways to bring about gender equality. The</w:t>
      </w:r>
      <w:r w:rsidR="0045079A">
        <w:rPr>
          <w:rFonts w:cs="Arial"/>
        </w:rPr>
        <w:t xml:space="preserve"> evaluation found</w:t>
      </w:r>
      <w:r w:rsidRPr="00EF65AE">
        <w:rPr>
          <w:rFonts w:cs="Arial"/>
        </w:rPr>
        <w:t xml:space="preserve"> evidence of strong local support for the Fiji Women’s Fund as a funding mechanism in</w:t>
      </w:r>
      <w:r w:rsidR="00882A7F">
        <w:rPr>
          <w:rFonts w:cs="Arial"/>
        </w:rPr>
        <w:t>-country</w:t>
      </w:r>
      <w:r w:rsidRPr="00EF65AE">
        <w:rPr>
          <w:rFonts w:cs="Arial"/>
        </w:rPr>
        <w:t>, particularly for its</w:t>
      </w:r>
      <w:r w:rsidR="00882A7F">
        <w:rPr>
          <w:rFonts w:cs="Arial"/>
        </w:rPr>
        <w:t>:</w:t>
      </w:r>
    </w:p>
    <w:p w14:paraId="222A8821" w14:textId="77777777" w:rsidR="00882A7F" w:rsidRDefault="00EF65AE" w:rsidP="00882A7F">
      <w:pPr>
        <w:pStyle w:val="ListBullet"/>
      </w:pPr>
      <w:r w:rsidRPr="00EF65AE">
        <w:t>engagement with local and global women’s organisations</w:t>
      </w:r>
    </w:p>
    <w:p w14:paraId="54B52C09" w14:textId="77777777" w:rsidR="00882A7F" w:rsidRDefault="00EF65AE" w:rsidP="00882A7F">
      <w:pPr>
        <w:pStyle w:val="ListBullet"/>
      </w:pPr>
      <w:r w:rsidRPr="00EF65AE">
        <w:t>direct grant model</w:t>
      </w:r>
    </w:p>
    <w:p w14:paraId="45672B23" w14:textId="77777777" w:rsidR="00882A7F" w:rsidRDefault="00EF65AE" w:rsidP="00882A7F">
      <w:pPr>
        <w:pStyle w:val="ListBullet"/>
      </w:pPr>
      <w:r w:rsidRPr="00EF65AE">
        <w:t xml:space="preserve">accessible application process (allowing submissions in local languages, and </w:t>
      </w:r>
      <w:r w:rsidR="008F6C45">
        <w:t>providing</w:t>
      </w:r>
      <w:r w:rsidRPr="00EF65AE">
        <w:t xml:space="preserve"> tailored support during proposal writing)</w:t>
      </w:r>
    </w:p>
    <w:p w14:paraId="21EEBDB3" w14:textId="77777777" w:rsidR="00EF65AE" w:rsidRPr="00EF65AE" w:rsidRDefault="00EF65AE" w:rsidP="0045079A">
      <w:pPr>
        <w:pStyle w:val="ListBullet"/>
      </w:pPr>
      <w:r w:rsidRPr="00EF65AE">
        <w:t xml:space="preserve">strong local ownership. </w:t>
      </w:r>
    </w:p>
    <w:p w14:paraId="43466C67" w14:textId="77777777" w:rsidR="00EF65AE" w:rsidRPr="00EF65AE" w:rsidRDefault="00EF65AE" w:rsidP="00EF65AE">
      <w:pPr>
        <w:rPr>
          <w:rFonts w:cs="Arial"/>
        </w:rPr>
      </w:pPr>
      <w:r w:rsidRPr="00EF65AE">
        <w:rPr>
          <w:rFonts w:cs="Arial"/>
        </w:rPr>
        <w:t xml:space="preserve">The fund </w:t>
      </w:r>
      <w:r w:rsidR="00E13AE6">
        <w:rPr>
          <w:rFonts w:cs="Arial"/>
        </w:rPr>
        <w:t>reached</w:t>
      </w:r>
      <w:r w:rsidRPr="00EF65AE">
        <w:rPr>
          <w:rFonts w:cs="Arial"/>
        </w:rPr>
        <w:t xml:space="preserve"> women who have historically been marginalised, including women with disabilities and those facing discrimination </w:t>
      </w:r>
      <w:r w:rsidRPr="00EF65AE">
        <w:rPr>
          <w:rStyle w:val="BodyTextChar"/>
          <w:rFonts w:cs="Arial"/>
        </w:rPr>
        <w:t>based on their sexual orientation or gender identity. While in its infancy, the fund has the</w:t>
      </w:r>
      <w:r w:rsidRPr="00EF65AE">
        <w:rPr>
          <w:rFonts w:cs="Arial"/>
        </w:rPr>
        <w:t xml:space="preserve"> potential to bring grantees together to foster shared learning.</w:t>
      </w:r>
    </w:p>
    <w:p w14:paraId="7FB971FF" w14:textId="77777777" w:rsidR="00EF65AE" w:rsidRPr="00EF65AE" w:rsidRDefault="00EF65AE" w:rsidP="00EB169E">
      <w:pPr>
        <w:pStyle w:val="Heading3NoTOC"/>
      </w:pPr>
      <w:r w:rsidRPr="00EF65AE">
        <w:t xml:space="preserve">Engaging the private sector </w:t>
      </w:r>
    </w:p>
    <w:p w14:paraId="085747E4" w14:textId="77CD7504" w:rsidR="00882A7F" w:rsidRDefault="004272AB" w:rsidP="00EF65AE">
      <w:pPr>
        <w:rPr>
          <w:rFonts w:cs="Arial"/>
        </w:rPr>
      </w:pPr>
      <w:r>
        <w:rPr>
          <w:rFonts w:cs="Arial"/>
        </w:rPr>
        <w:t>Engaging in the workforce is</w:t>
      </w:r>
      <w:r w:rsidRPr="00EF65AE">
        <w:rPr>
          <w:rFonts w:cs="Arial"/>
        </w:rPr>
        <w:t xml:space="preserve"> one avenue for women to gain economic independence to help break the cycle of violence through employment.</w:t>
      </w:r>
      <w:r w:rsidRPr="00EF65AE">
        <w:rPr>
          <w:rFonts w:cs="Arial"/>
        </w:rPr>
        <w:fldChar w:fldCharType="begin"/>
      </w:r>
      <w:r w:rsidRPr="00EF65AE">
        <w:rPr>
          <w:rFonts w:cs="Arial"/>
        </w:rPr>
        <w:instrText xml:space="preserve"> ADDIN ZOTERO_ITEM CSL_CITATION {"citationID":"xpU88abW","properties":{"formattedCitation":"\\super 76\\nosupersub{}","plainCitation":"76","noteIndex":0},"citationItems":[{"id":2574,"uris":["http://zotero.org/users/4194704/items/BTFBI4J3"],"uri":["http://zotero.org/users/4194704/items/BTFBI4J3"],"itemData":{"id":2574,"type":"report","title":"Taking the first step: Workplace responses to domestic and family violence.","URL":"https://unwomen.org.au/wp-content/uploads/2017/12/Taking_the_First_Step_UNWNCA_Report.pdf","author":[{"literal":"UN Women National Committee Australia"}],"issued":{"date-parts":[["2017",12]]}}}],"schema":"https://github.com/citation-style-language/schema/raw/master/csl-citation.json"} </w:instrText>
      </w:r>
      <w:r w:rsidRPr="00EF65AE">
        <w:rPr>
          <w:rFonts w:cs="Arial"/>
        </w:rPr>
        <w:fldChar w:fldCharType="separate"/>
      </w:r>
      <w:r w:rsidRPr="00EF65AE">
        <w:rPr>
          <w:rFonts w:cs="Arial"/>
          <w:vertAlign w:val="superscript"/>
          <w:lang w:val="en-US"/>
        </w:rPr>
        <w:t>76</w:t>
      </w:r>
      <w:r w:rsidRPr="00EF65AE">
        <w:rPr>
          <w:rFonts w:cs="Arial"/>
        </w:rPr>
        <w:fldChar w:fldCharType="end"/>
      </w:r>
      <w:r w:rsidRPr="00EF65AE">
        <w:rPr>
          <w:rFonts w:cs="Arial"/>
        </w:rPr>
        <w:t xml:space="preserve"> </w:t>
      </w:r>
      <w:r>
        <w:rPr>
          <w:rFonts w:cs="Arial"/>
        </w:rPr>
        <w:t>D</w:t>
      </w:r>
      <w:r w:rsidR="00EF65AE" w:rsidRPr="00EF65AE">
        <w:rPr>
          <w:rFonts w:cs="Arial"/>
        </w:rPr>
        <w:t xml:space="preserve">omestic and family violence and violence against women </w:t>
      </w:r>
      <w:r>
        <w:rPr>
          <w:rFonts w:cs="Arial"/>
        </w:rPr>
        <w:t xml:space="preserve">in the workplace can </w:t>
      </w:r>
      <w:r w:rsidR="00EF65AE" w:rsidRPr="00EF65AE">
        <w:rPr>
          <w:rFonts w:cs="Arial"/>
        </w:rPr>
        <w:t>have an adverse impact on the private sector, including on productivity, absenteeism and employee turnover</w:t>
      </w:r>
      <w:r w:rsidR="00882A7F">
        <w:rPr>
          <w:rFonts w:cs="Arial"/>
        </w:rPr>
        <w:t>. It can also</w:t>
      </w:r>
      <w:r w:rsidR="00EF65AE" w:rsidRPr="00EF65AE">
        <w:rPr>
          <w:rFonts w:cs="Arial"/>
        </w:rPr>
        <w:t xml:space="preserve"> negatively affect an employer</w:t>
      </w:r>
      <w:r w:rsidR="00882A7F">
        <w:rPr>
          <w:rFonts w:cs="Arial"/>
        </w:rPr>
        <w:t>’</w:t>
      </w:r>
      <w:r w:rsidR="00EF65AE" w:rsidRPr="00EF65AE">
        <w:rPr>
          <w:rFonts w:cs="Arial"/>
        </w:rPr>
        <w:t>s</w:t>
      </w:r>
      <w:r w:rsidR="00745CD6">
        <w:rPr>
          <w:rFonts w:cs="Arial"/>
        </w:rPr>
        <w:t xml:space="preserve"> </w:t>
      </w:r>
      <w:r w:rsidR="00EF65AE" w:rsidRPr="00EF65AE">
        <w:rPr>
          <w:rFonts w:cs="Arial"/>
        </w:rPr>
        <w:t>reputation.</w:t>
      </w:r>
    </w:p>
    <w:p w14:paraId="176D99DF" w14:textId="063F84C0" w:rsidR="00EF65AE" w:rsidRPr="00EF65AE" w:rsidRDefault="00496DF4" w:rsidP="00EF65AE">
      <w:pPr>
        <w:rPr>
          <w:rFonts w:cs="Arial"/>
        </w:rPr>
      </w:pPr>
      <w:r>
        <w:rPr>
          <w:rFonts w:cs="Arial"/>
        </w:rPr>
        <w:t>I</w:t>
      </w:r>
      <w:r w:rsidR="00EF65AE" w:rsidRPr="00EF65AE">
        <w:rPr>
          <w:rFonts w:cs="Arial"/>
        </w:rPr>
        <w:t>n Australia</w:t>
      </w:r>
      <w:r w:rsidR="008F6C45">
        <w:rPr>
          <w:rFonts w:cs="Arial"/>
        </w:rPr>
        <w:t>, for example,</w:t>
      </w:r>
      <w:r w:rsidR="00EF65AE" w:rsidRPr="00EF65AE">
        <w:rPr>
          <w:rFonts w:cs="Arial"/>
        </w:rPr>
        <w:t xml:space="preserve"> up to 70 per cent of women who have experienced violence are in the workforce</w:t>
      </w:r>
      <w:r w:rsidR="008B6C78">
        <w:rPr>
          <w:rFonts w:cs="Arial"/>
        </w:rPr>
        <w:t xml:space="preserve">. A study </w:t>
      </w:r>
      <w:r w:rsidR="00F01B25">
        <w:rPr>
          <w:rFonts w:cs="Arial"/>
        </w:rPr>
        <w:t>i</w:t>
      </w:r>
      <w:r w:rsidR="00EF65AE" w:rsidRPr="00EF65AE">
        <w:rPr>
          <w:rFonts w:cs="Arial"/>
        </w:rPr>
        <w:t>n 2002</w:t>
      </w:r>
      <w:r>
        <w:rPr>
          <w:rFonts w:cs="Arial"/>
        </w:rPr>
        <w:t>–</w:t>
      </w:r>
      <w:r w:rsidR="00EF65AE" w:rsidRPr="00EF65AE">
        <w:rPr>
          <w:rFonts w:cs="Arial"/>
        </w:rPr>
        <w:t xml:space="preserve">03 </w:t>
      </w:r>
      <w:r w:rsidR="008B6C78">
        <w:rPr>
          <w:rFonts w:cs="Arial"/>
        </w:rPr>
        <w:t xml:space="preserve">estimated </w:t>
      </w:r>
      <w:r w:rsidR="00EF65AE" w:rsidRPr="00EF65AE">
        <w:rPr>
          <w:rFonts w:cs="Arial"/>
        </w:rPr>
        <w:t xml:space="preserve">that domestic violence cost Australian workplaces </w:t>
      </w:r>
      <w:r w:rsidR="005B6F29">
        <w:t>$484</w:t>
      </w:r>
      <w:r w:rsidR="00745CD6">
        <w:t> </w:t>
      </w:r>
      <w:r w:rsidR="005B6F29">
        <w:t>million</w:t>
      </w:r>
      <w:r w:rsidR="00EF65AE" w:rsidRPr="00EF65AE">
        <w:rPr>
          <w:rFonts w:cs="Arial"/>
        </w:rPr>
        <w:t>.</w:t>
      </w:r>
      <w:r w:rsidR="00EF65AE" w:rsidRPr="00EF65AE">
        <w:rPr>
          <w:rFonts w:cs="Arial"/>
        </w:rPr>
        <w:fldChar w:fldCharType="begin"/>
      </w:r>
      <w:r w:rsidR="00EF65AE" w:rsidRPr="00EF65AE">
        <w:rPr>
          <w:rFonts w:cs="Arial"/>
        </w:rPr>
        <w:instrText xml:space="preserve"> ADDIN ZOTERO_ITEM CSL_CITATION {"citationID":"Jupb7iJP","properties":{"formattedCitation":"\\super 71\\nosupersub{}","plainCitation":"71","noteIndex":0},"citationItems":[{"id":2570,"uris":["http://zotero.org/users/4194704/items/75CB3Q5B"],"uri":["http://zotero.org/users/4194704/items/75CB3Q5B"],"itemData":{"id":2570,"type":"report","title":"The Cost of  Violence against Women and their Children.","URL":"https://www.dss.gov.au/sites/default/files/dochttps://www.dss.gov.au/sites/default/files/documents/05_2012/vawc_economic_report.pdff","author":[{"literal":"National Council to Reduce Violence Against Women and Their Children"}],"issued":{"date-parts":[["2009",3]]}}}],"schema":"https://github.com/citation-style-language/schema/raw/master/csl-citation.json"}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71</w:t>
      </w:r>
      <w:r w:rsidR="00EF65AE" w:rsidRPr="00EF65AE">
        <w:rPr>
          <w:rFonts w:cs="Arial"/>
        </w:rPr>
        <w:fldChar w:fldCharType="end"/>
      </w:r>
      <w:r w:rsidR="00EF65AE" w:rsidRPr="00EF65AE">
        <w:rPr>
          <w:rFonts w:cs="Arial"/>
        </w:rPr>
        <w:t xml:space="preserve"> A survey conducted in 2011 showed that nearly half of women who had experienced domestic violence reported that the violence affected their ability to get to work. </w:t>
      </w:r>
      <w:r>
        <w:rPr>
          <w:rFonts w:cs="Arial"/>
        </w:rPr>
        <w:t>O</w:t>
      </w:r>
      <w:r w:rsidR="00EF65AE" w:rsidRPr="00EF65AE">
        <w:rPr>
          <w:rFonts w:cs="Arial"/>
        </w:rPr>
        <w:t xml:space="preserve">ther impacts </w:t>
      </w:r>
      <w:r w:rsidR="0045079A">
        <w:rPr>
          <w:rFonts w:cs="Arial"/>
        </w:rPr>
        <w:t xml:space="preserve">of violence </w:t>
      </w:r>
      <w:r w:rsidR="00EF65AE" w:rsidRPr="00EF65AE">
        <w:rPr>
          <w:rFonts w:cs="Arial"/>
        </w:rPr>
        <w:t>on their work includ</w:t>
      </w:r>
      <w:r>
        <w:rPr>
          <w:rFonts w:cs="Arial"/>
        </w:rPr>
        <w:t>ed</w:t>
      </w:r>
      <w:r w:rsidR="00EF65AE" w:rsidRPr="00EF65AE">
        <w:rPr>
          <w:rFonts w:cs="Arial"/>
        </w:rPr>
        <w:t xml:space="preserve"> 16 per cent reporting being distracted, tired or unwell, and 10 per cent needing to take time off. Almost half (45 per cent) reported discussing the violence with someone at work</w:t>
      </w:r>
      <w:r w:rsidR="00882A7F">
        <w:rPr>
          <w:rFonts w:cs="Arial"/>
        </w:rPr>
        <w:t>.</w:t>
      </w:r>
      <w:r w:rsidR="00EF65AE" w:rsidRPr="00EF65AE">
        <w:rPr>
          <w:rFonts w:cs="Arial"/>
          <w:vertAlign w:val="superscript"/>
          <w:lang w:val="en-US"/>
        </w:rPr>
        <w:t>72</w:t>
      </w:r>
    </w:p>
    <w:p w14:paraId="62B4C1A6" w14:textId="714343D6" w:rsidR="001A47F6" w:rsidRDefault="0045079A" w:rsidP="001A47F6">
      <w:pPr>
        <w:rPr>
          <w:rFonts w:cs="Arial"/>
        </w:rPr>
      </w:pPr>
      <w:r>
        <w:rPr>
          <w:rFonts w:cs="Arial"/>
        </w:rPr>
        <w:t>I</w:t>
      </w:r>
      <w:r w:rsidR="00EF65AE" w:rsidRPr="00EF65AE">
        <w:rPr>
          <w:rFonts w:cs="Arial"/>
        </w:rPr>
        <w:t>n the countries where Australia gives most of its aid</w:t>
      </w:r>
      <w:r w:rsidR="00496DF4">
        <w:rPr>
          <w:rFonts w:cs="Arial"/>
        </w:rPr>
        <w:t>,</w:t>
      </w:r>
      <w:r w:rsidR="00EF65AE" w:rsidRPr="00EF65AE">
        <w:rPr>
          <w:rFonts w:cs="Arial"/>
        </w:rPr>
        <w:t xml:space="preserve"> </w:t>
      </w:r>
      <w:r w:rsidR="001A47F6">
        <w:rPr>
          <w:rFonts w:cs="Arial"/>
        </w:rPr>
        <w:t xml:space="preserve">there is limited research and data on the impact of violence on women in the workforce. </w:t>
      </w:r>
    </w:p>
    <w:p w14:paraId="4B75DBA4" w14:textId="3DB8A3F3" w:rsidR="00882A7F" w:rsidRPr="001A47F6" w:rsidRDefault="00EF65AE" w:rsidP="001A47F6">
      <w:pPr>
        <w:rPr>
          <w:rFonts w:cs="Arial"/>
        </w:rPr>
      </w:pPr>
      <w:r w:rsidRPr="001A47F6">
        <w:rPr>
          <w:rFonts w:cs="Arial"/>
        </w:rPr>
        <w:t xml:space="preserve">In Vanuatu, 30 per cent of women who had experienced violence have had their work interrupted by violence, </w:t>
      </w:r>
      <w:r w:rsidR="00882A7F" w:rsidRPr="001A47F6">
        <w:rPr>
          <w:rFonts w:cs="Arial"/>
        </w:rPr>
        <w:t>with the vast</w:t>
      </w:r>
      <w:r w:rsidRPr="001A47F6">
        <w:rPr>
          <w:rFonts w:cs="Arial"/>
        </w:rPr>
        <w:t xml:space="preserve"> majority (94 per cent) </w:t>
      </w:r>
      <w:r w:rsidR="00882A7F" w:rsidRPr="001A47F6">
        <w:rPr>
          <w:rFonts w:cs="Arial"/>
        </w:rPr>
        <w:t xml:space="preserve">having experienced that violence </w:t>
      </w:r>
      <w:r w:rsidRPr="001A47F6">
        <w:rPr>
          <w:rFonts w:cs="Arial"/>
        </w:rPr>
        <w:t xml:space="preserve">directly </w:t>
      </w:r>
      <w:r w:rsidR="00882A7F" w:rsidRPr="001A47F6">
        <w:rPr>
          <w:rFonts w:cs="Arial"/>
        </w:rPr>
        <w:t xml:space="preserve">from </w:t>
      </w:r>
      <w:r w:rsidRPr="001A47F6">
        <w:rPr>
          <w:rFonts w:cs="Arial"/>
        </w:rPr>
        <w:t xml:space="preserve">their partner. </w:t>
      </w:r>
    </w:p>
    <w:p w14:paraId="0377F05C" w14:textId="77777777" w:rsidR="00882A7F" w:rsidRDefault="00EF65AE" w:rsidP="001A47F6">
      <w:pPr>
        <w:numPr>
          <w:ilvl w:val="0"/>
          <w:numId w:val="0"/>
        </w:numPr>
        <w:rPr>
          <w:rFonts w:cs="Arial"/>
        </w:rPr>
      </w:pPr>
      <w:r w:rsidRPr="00EF65AE">
        <w:rPr>
          <w:rFonts w:cs="Arial"/>
        </w:rPr>
        <w:t>In Fiji, 50 per cent of women who had experienced violence had their work disrupted directly or indirectly by their partner</w:t>
      </w:r>
      <w:r w:rsidR="001A47F6">
        <w:rPr>
          <w:rFonts w:cs="Arial"/>
        </w:rPr>
        <w:t>. Women we</w:t>
      </w:r>
      <w:r w:rsidRPr="00EF65AE">
        <w:rPr>
          <w:rFonts w:cs="Arial"/>
        </w:rPr>
        <w:t xml:space="preserve">re </w:t>
      </w:r>
      <w:r w:rsidR="001A47F6">
        <w:rPr>
          <w:rFonts w:cs="Arial"/>
        </w:rPr>
        <w:t xml:space="preserve">also </w:t>
      </w:r>
      <w:r w:rsidRPr="00EF65AE">
        <w:rPr>
          <w:rFonts w:cs="Arial"/>
        </w:rPr>
        <w:t>less likely to participate in meetings or organisations as a result of fear of further violence.</w:t>
      </w:r>
      <w:r w:rsidRPr="00EF65AE">
        <w:rPr>
          <w:rFonts w:cs="Arial"/>
        </w:rPr>
        <w:fldChar w:fldCharType="begin"/>
      </w:r>
      <w:r w:rsidRPr="00EF65AE">
        <w:rPr>
          <w:rFonts w:cs="Arial"/>
        </w:rPr>
        <w:instrText xml:space="preserve"> ADDIN ZOTERO_ITEM CSL_CITATION {"citationID":"ksge0zCq","properties":{"formattedCitation":"\\super 73\\nosupersub{}","plainCitation":"73","noteIndex":0},"citationItems":[{"id":2162,"uris":["http://zotero.org/users/4194704/items/UTH54L8N"],"uri":["http://zotero.org/users/4194704/items/UTH54L8N"],"itemData":{"id":2162,"type":"report","title":"Mapping Paper: Private sector responses to ending violence against women in the Pacific","publisher":"Pacific Women Shaping Pacific Development","URL":"https://pacificwomen.org/wp-content/uploads/2017/09/Mapping-Paper-Private-Sector-Response-to-EVAW-in-the-Pacific.pdf","author":[{"family":"Cardno Emerging Markets (Australia)","given":"Pty Ltd"}],"issued":{"date-parts":[["2015"]]}}}],"schema":"https://github.com/citation-style-language/schema/raw/master/csl-citation.json"} </w:instrText>
      </w:r>
      <w:r w:rsidRPr="00EF65AE">
        <w:rPr>
          <w:rFonts w:cs="Arial"/>
        </w:rPr>
        <w:fldChar w:fldCharType="separate"/>
      </w:r>
      <w:r w:rsidRPr="00EF65AE">
        <w:rPr>
          <w:rFonts w:cs="Arial"/>
          <w:vertAlign w:val="superscript"/>
          <w:lang w:val="en-US"/>
        </w:rPr>
        <w:t>73</w:t>
      </w:r>
      <w:r w:rsidRPr="00EF65AE">
        <w:rPr>
          <w:rFonts w:cs="Arial"/>
        </w:rPr>
        <w:fldChar w:fldCharType="end"/>
      </w:r>
      <w:r w:rsidRPr="00EF65AE">
        <w:rPr>
          <w:rFonts w:cs="Arial"/>
        </w:rPr>
        <w:t xml:space="preserve"> </w:t>
      </w:r>
    </w:p>
    <w:p w14:paraId="2B4C9B5E" w14:textId="0DFCA28E" w:rsidR="00CD5607" w:rsidRDefault="00EF65AE" w:rsidP="00EF65AE">
      <w:pPr>
        <w:rPr>
          <w:rFonts w:cs="Arial"/>
        </w:rPr>
      </w:pPr>
      <w:r w:rsidRPr="00EF65AE">
        <w:rPr>
          <w:rFonts w:cs="Arial"/>
        </w:rPr>
        <w:t xml:space="preserve">In PNG, female employees experienced 9.4 incidents of violence and </w:t>
      </w:r>
      <w:r w:rsidR="001A47F6">
        <w:rPr>
          <w:rFonts w:cs="Arial"/>
        </w:rPr>
        <w:t xml:space="preserve">lost </w:t>
      </w:r>
      <w:r w:rsidRPr="00EF65AE">
        <w:rPr>
          <w:rFonts w:cs="Arial"/>
        </w:rPr>
        <w:t xml:space="preserve">11 days of </w:t>
      </w:r>
      <w:r w:rsidR="001A47F6">
        <w:rPr>
          <w:rFonts w:cs="Arial"/>
        </w:rPr>
        <w:t xml:space="preserve">work </w:t>
      </w:r>
      <w:r w:rsidRPr="00EF65AE">
        <w:rPr>
          <w:rFonts w:cs="Arial"/>
        </w:rPr>
        <w:t>per</w:t>
      </w:r>
      <w:r w:rsidR="00745CD6">
        <w:rPr>
          <w:rFonts w:cs="Arial"/>
        </w:rPr>
        <w:t> </w:t>
      </w:r>
      <w:r w:rsidRPr="00EF65AE">
        <w:rPr>
          <w:rFonts w:cs="Arial"/>
        </w:rPr>
        <w:t xml:space="preserve">year. The cost to one business </w:t>
      </w:r>
      <w:r w:rsidR="001A47F6">
        <w:rPr>
          <w:rFonts w:cs="Arial"/>
        </w:rPr>
        <w:t>w</w:t>
      </w:r>
      <w:r w:rsidRPr="00EF65AE">
        <w:rPr>
          <w:rFonts w:cs="Arial"/>
        </w:rPr>
        <w:t xml:space="preserve">as </w:t>
      </w:r>
      <w:r w:rsidR="001A47F6">
        <w:rPr>
          <w:rFonts w:cs="Arial"/>
        </w:rPr>
        <w:t xml:space="preserve">estimated to be </w:t>
      </w:r>
      <w:r w:rsidR="00CF39EB">
        <w:rPr>
          <w:rFonts w:cs="Arial"/>
        </w:rPr>
        <w:t>9</w:t>
      </w:r>
      <w:r w:rsidR="00CD5607">
        <w:rPr>
          <w:rFonts w:cs="Arial"/>
        </w:rPr>
        <w:t xml:space="preserve"> per cent</w:t>
      </w:r>
      <w:r w:rsidR="001A47F6">
        <w:rPr>
          <w:rFonts w:cs="Arial"/>
        </w:rPr>
        <w:t xml:space="preserve"> of the</w:t>
      </w:r>
      <w:r w:rsidR="00CF39EB">
        <w:rPr>
          <w:rFonts w:cs="Arial"/>
        </w:rPr>
        <w:t xml:space="preserve"> total salary bill</w:t>
      </w:r>
      <w:r w:rsidRPr="00EF65AE">
        <w:rPr>
          <w:rFonts w:cs="Arial"/>
        </w:rPr>
        <w:t>.</w:t>
      </w:r>
      <w:r w:rsidRPr="00EF65AE">
        <w:rPr>
          <w:rFonts w:cs="Arial"/>
        </w:rPr>
        <w:fldChar w:fldCharType="begin"/>
      </w:r>
      <w:r w:rsidRPr="00EF65AE">
        <w:rPr>
          <w:rFonts w:cs="Arial"/>
        </w:rPr>
        <w:instrText xml:space="preserve"> ADDIN ZOTERO_ITEM CSL_CITATION {"citationID":"GxbTMUkO","properties":{"formattedCitation":"\\super 74\\nosupersub{}","plainCitation":"74","noteIndex":0},"citationItems":[{"id":501,"uris":["http://zotero.org/users/4194704/items/ZN4XN7J9"],"uri":["http://zotero.org/users/4194704/items/ZN4XN7J9"],"itemData":{"id":501,"type":"report","title":"Gender violence in Papua New Guinea: The cost to business","publisher":"Overseas Development Institute (ODI)","publisher-place":"London","event-place":"London","URL":"https://www.odi.org/sites/odi.org.uk/files/odi-assets/publications-opinion-files/9886.pdf","author":[{"family":"Darko","given":"E."},{"family":"Smith","given":"W."},{"family":"Walker","given":"D."}],"issued":{"date-parts":[["2015"]]},"accessed":{"date-parts":[["2018",8,24]]}}}],"schema":"https://github.com/citation-style-language/schema/raw/master/csl-citation.json"} </w:instrText>
      </w:r>
      <w:r w:rsidRPr="00EF65AE">
        <w:rPr>
          <w:rFonts w:cs="Arial"/>
        </w:rPr>
        <w:fldChar w:fldCharType="separate"/>
      </w:r>
      <w:r w:rsidRPr="00EF65AE">
        <w:rPr>
          <w:rFonts w:cs="Arial"/>
          <w:vertAlign w:val="superscript"/>
          <w:lang w:val="en-US"/>
        </w:rPr>
        <w:t>74</w:t>
      </w:r>
      <w:r w:rsidRPr="00EF65AE">
        <w:rPr>
          <w:rFonts w:cs="Arial"/>
        </w:rPr>
        <w:fldChar w:fldCharType="end"/>
      </w:r>
      <w:r w:rsidRPr="00EF65AE">
        <w:rPr>
          <w:rFonts w:cs="Arial"/>
        </w:rPr>
        <w:t xml:space="preserve"> </w:t>
      </w:r>
    </w:p>
    <w:p w14:paraId="34F1237D" w14:textId="77777777" w:rsidR="00EF65AE" w:rsidRPr="00EF65AE" w:rsidRDefault="00CD5607" w:rsidP="00EF65AE">
      <w:pPr>
        <w:rPr>
          <w:rFonts w:cs="Arial"/>
        </w:rPr>
      </w:pPr>
      <w:r>
        <w:rPr>
          <w:rFonts w:cs="Arial"/>
        </w:rPr>
        <w:t xml:space="preserve">In Cambodia, </w:t>
      </w:r>
      <w:r w:rsidR="00EF65AE" w:rsidRPr="00EF65AE">
        <w:rPr>
          <w:rFonts w:cs="Arial"/>
        </w:rPr>
        <w:t>Australian-funded research found that one in three female garment factory workers had experienced sexual harassment in the workplace, and estimated the productivity cost</w:t>
      </w:r>
      <w:r w:rsidR="00496DF4">
        <w:rPr>
          <w:rFonts w:cs="Arial"/>
        </w:rPr>
        <w:t xml:space="preserve"> of this</w:t>
      </w:r>
      <w:r w:rsidR="00EF65AE" w:rsidRPr="00EF65AE">
        <w:rPr>
          <w:rFonts w:cs="Arial"/>
        </w:rPr>
        <w:t xml:space="preserve"> </w:t>
      </w:r>
      <w:r>
        <w:rPr>
          <w:rFonts w:cs="Arial"/>
        </w:rPr>
        <w:t>to be</w:t>
      </w:r>
      <w:r w:rsidRPr="00EF65AE">
        <w:rPr>
          <w:rFonts w:cs="Arial"/>
        </w:rPr>
        <w:t xml:space="preserve"> </w:t>
      </w:r>
      <w:r w:rsidR="00496DF4">
        <w:rPr>
          <w:rFonts w:cs="Arial"/>
        </w:rPr>
        <w:t>more than</w:t>
      </w:r>
      <w:r w:rsidR="00496DF4" w:rsidRPr="00EF65AE">
        <w:rPr>
          <w:rFonts w:cs="Arial"/>
        </w:rPr>
        <w:t xml:space="preserve"> </w:t>
      </w:r>
      <w:r w:rsidR="00EF65AE" w:rsidRPr="00EF65AE">
        <w:rPr>
          <w:rFonts w:cs="Arial"/>
        </w:rPr>
        <w:t>$125 million (US</w:t>
      </w:r>
      <w:r>
        <w:rPr>
          <w:rFonts w:cs="Arial"/>
        </w:rPr>
        <w:t>$</w:t>
      </w:r>
      <w:r w:rsidR="00EF65AE" w:rsidRPr="00EF65AE">
        <w:rPr>
          <w:rFonts w:cs="Arial"/>
        </w:rPr>
        <w:t xml:space="preserve">89 million) per </w:t>
      </w:r>
      <w:r>
        <w:rPr>
          <w:rFonts w:cs="Arial"/>
        </w:rPr>
        <w:t>year</w:t>
      </w:r>
      <w:r w:rsidR="00EF65AE" w:rsidRPr="00EF65AE">
        <w:rPr>
          <w:rFonts w:cs="Arial"/>
        </w:rPr>
        <w:t>.</w:t>
      </w:r>
      <w:r w:rsidR="00EF65AE" w:rsidRPr="00EF65AE">
        <w:rPr>
          <w:rFonts w:cs="Arial"/>
        </w:rPr>
        <w:fldChar w:fldCharType="begin"/>
      </w:r>
      <w:r w:rsidR="00EF65AE" w:rsidRPr="00EF65AE">
        <w:rPr>
          <w:rFonts w:cs="Arial"/>
        </w:rPr>
        <w:instrText xml:space="preserve"> ADDIN ZOTERO_ITEM CSL_CITATION {"citationID":"X9dPtLpQ","properties":{"formattedCitation":"\\super 75\\nosupersub{}","plainCitation":"75","noteIndex":0},"citationItems":[{"id":2573,"uris":["http://zotero.org/users/4194704/items/JQ9C26JG"],"uri":["http://zotero.org/users/4194704/items/JQ9C26JG"],"itemData":{"id":2573,"type":"report","title":"I know I cannot quit: The prevalence and productivity cost of sexual harassment to the Cambodian garment industry, Research summary.","URL":"https://insights.careinternational.org.uk/media/k2/attachments/SHCS_Full_Technical_Report_March_2017.pdf","author":[{"literal":"CARE Insternational"}],"issued":{"date-parts":[["2017",3]]}}}],"schema":"https://github.com/citation-style-language/schema/raw/master/csl-citation.json"}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75</w:t>
      </w:r>
      <w:r w:rsidR="00EF65AE" w:rsidRPr="00EF65AE">
        <w:rPr>
          <w:rFonts w:cs="Arial"/>
        </w:rPr>
        <w:fldChar w:fldCharType="end"/>
      </w:r>
    </w:p>
    <w:p w14:paraId="21EB510C" w14:textId="77777777" w:rsidR="00EF65AE" w:rsidRPr="00EF65AE" w:rsidRDefault="00EF65AE" w:rsidP="00EF65AE">
      <w:pPr>
        <w:rPr>
          <w:rFonts w:cs="Arial"/>
        </w:rPr>
      </w:pPr>
      <w:r w:rsidRPr="00EF65AE">
        <w:rPr>
          <w:rFonts w:cs="Arial"/>
        </w:rPr>
        <w:t xml:space="preserve">The private sector </w:t>
      </w:r>
      <w:r w:rsidR="002C59B1">
        <w:rPr>
          <w:rFonts w:cs="Arial"/>
        </w:rPr>
        <w:t>could therefore play a significant role</w:t>
      </w:r>
      <w:r w:rsidRPr="00EF65AE">
        <w:rPr>
          <w:rFonts w:cs="Arial"/>
        </w:rPr>
        <w:t xml:space="preserve"> </w:t>
      </w:r>
      <w:r w:rsidR="002C59B1">
        <w:rPr>
          <w:rFonts w:cs="Arial"/>
        </w:rPr>
        <w:t>in</w:t>
      </w:r>
      <w:r w:rsidRPr="00EF65AE">
        <w:rPr>
          <w:rFonts w:cs="Arial"/>
        </w:rPr>
        <w:t xml:space="preserve"> Australia’s work to end violence against women</w:t>
      </w:r>
      <w:r w:rsidR="002C59B1">
        <w:rPr>
          <w:rFonts w:cs="Arial"/>
        </w:rPr>
        <w:t>. W</w:t>
      </w:r>
      <w:r w:rsidR="004272AB">
        <w:rPr>
          <w:rFonts w:cs="Arial"/>
        </w:rPr>
        <w:t>ork places need</w:t>
      </w:r>
      <w:r w:rsidRPr="00EF65AE">
        <w:rPr>
          <w:rFonts w:cs="Arial"/>
        </w:rPr>
        <w:t xml:space="preserve"> to be free of violence</w:t>
      </w:r>
      <w:r w:rsidR="002C59B1">
        <w:rPr>
          <w:rFonts w:cs="Arial"/>
        </w:rPr>
        <w:t xml:space="preserve"> and also create opportunities to support women while working to prevent violence by challenging and changing social norms</w:t>
      </w:r>
      <w:r w:rsidRPr="00EF65AE">
        <w:rPr>
          <w:rFonts w:cs="Arial"/>
        </w:rPr>
        <w:t>.</w:t>
      </w:r>
      <w:r w:rsidRPr="00EF65AE">
        <w:rPr>
          <w:rFonts w:cs="Arial"/>
        </w:rPr>
        <w:fldChar w:fldCharType="begin"/>
      </w:r>
      <w:r w:rsidRPr="00EF65AE">
        <w:rPr>
          <w:rFonts w:cs="Arial"/>
        </w:rPr>
        <w:instrText xml:space="preserve"> ADDIN ZOTERO_ITEM CSL_CITATION {"citationID":"OJ5nYVma","properties":{"formattedCitation":"\\super 73\\nosupersub{}","plainCitation":"73","noteIndex":0},"citationItems":[{"id":2162,"uris":["http://zotero.org/users/4194704/items/UTH54L8N"],"uri":["http://zotero.org/users/4194704/items/UTH54L8N"],"itemData":{"id":2162,"type":"report","title":"Mapping Paper: Private sector responses to ending violence against women in the Pacific","publisher":"Pacific Women Shaping Pacific Development","URL":"https://pacificwomen.org/wp-content/uploads/2017/09/Mapping-Paper-Private-Sector-Response-to-EVAW-in-the-Pacific.pdf","author":[{"family":"Cardno Emerging Markets (Australia)","given":"Pty Ltd"}],"issued":{"date-parts":[["2015"]]}}}],"schema":"https://github.com/citation-style-language/schema/raw/master/csl-citation.json"} </w:instrText>
      </w:r>
      <w:r w:rsidRPr="00EF65AE">
        <w:rPr>
          <w:rFonts w:cs="Arial"/>
        </w:rPr>
        <w:fldChar w:fldCharType="separate"/>
      </w:r>
      <w:r w:rsidRPr="00EF65AE">
        <w:rPr>
          <w:rFonts w:cs="Arial"/>
          <w:vertAlign w:val="superscript"/>
          <w:lang w:val="en-US"/>
        </w:rPr>
        <w:t>73</w:t>
      </w:r>
      <w:r w:rsidRPr="00EF65AE">
        <w:rPr>
          <w:rFonts w:cs="Arial"/>
        </w:rPr>
        <w:fldChar w:fldCharType="end"/>
      </w:r>
      <w:r w:rsidRPr="00EF65AE">
        <w:rPr>
          <w:rFonts w:cs="Arial"/>
        </w:rPr>
        <w:t xml:space="preserve"> </w:t>
      </w:r>
    </w:p>
    <w:p w14:paraId="5B90FCA5" w14:textId="77777777" w:rsidR="00EF65AE" w:rsidRPr="00EF65AE" w:rsidRDefault="00EF65AE" w:rsidP="00EF65AE">
      <w:pPr>
        <w:rPr>
          <w:rFonts w:cs="Arial"/>
        </w:rPr>
      </w:pPr>
      <w:r w:rsidRPr="00EF65AE">
        <w:rPr>
          <w:rFonts w:cs="Arial"/>
        </w:rPr>
        <w:t>Th</w:t>
      </w:r>
      <w:r w:rsidR="00CD5607">
        <w:rPr>
          <w:rFonts w:cs="Arial"/>
        </w:rPr>
        <w:t>is</w:t>
      </w:r>
      <w:r w:rsidRPr="00EF65AE">
        <w:rPr>
          <w:rFonts w:cs="Arial"/>
        </w:rPr>
        <w:t xml:space="preserve"> evaluation found </w:t>
      </w:r>
      <w:r w:rsidR="00CD5607">
        <w:rPr>
          <w:rFonts w:cs="Arial"/>
        </w:rPr>
        <w:t xml:space="preserve">that </w:t>
      </w:r>
      <w:r w:rsidRPr="00EF65AE">
        <w:rPr>
          <w:rFonts w:cs="Arial"/>
        </w:rPr>
        <w:t>many Australian EVAWG global, regional and country programs have innovative ways of engaging with the private sector. For example, with Australian support, CARE Australia is implementing an evidence-based program to address sexual harassment in garment factories in Cambodia, Laos, Myanmar and Vietnam.</w:t>
      </w:r>
      <w:r w:rsidRPr="00BE25E0">
        <w:rPr>
          <w:rStyle w:val="FootnoteReference"/>
        </w:rPr>
        <w:footnoteReference w:id="1"/>
      </w:r>
      <w:r w:rsidRPr="00EF65AE">
        <w:rPr>
          <w:rFonts w:cs="Arial"/>
        </w:rPr>
        <w:t xml:space="preserve"> In PNG, Australia is supporting a private sector partnership to provide support services to employees (Box 12) and in Solomon Islands, Australia supports the promising private sector partnership, </w:t>
      </w:r>
      <w:bookmarkStart w:id="188" w:name="_Hlk17807678"/>
      <w:r w:rsidRPr="001A47F6">
        <w:rPr>
          <w:rFonts w:cs="Arial"/>
          <w:i/>
          <w:iCs/>
        </w:rPr>
        <w:t>Waka Mere</w:t>
      </w:r>
      <w:r w:rsidRPr="00EF65AE">
        <w:rPr>
          <w:rFonts w:cs="Arial"/>
        </w:rPr>
        <w:t xml:space="preserve"> Commitment to Action Project </w:t>
      </w:r>
      <w:bookmarkEnd w:id="188"/>
      <w:r w:rsidRPr="00EF65AE">
        <w:rPr>
          <w:rFonts w:cs="Arial"/>
        </w:rPr>
        <w:t>(Box 6).</w:t>
      </w:r>
      <w:r w:rsidR="008D5C3C">
        <w:rPr>
          <w:rFonts w:cs="Arial"/>
        </w:rPr>
        <w:t xml:space="preserve"> </w:t>
      </w:r>
    </w:p>
    <w:p w14:paraId="64392420" w14:textId="77777777" w:rsidR="00EF65AE" w:rsidRPr="00EF65AE" w:rsidRDefault="00EF65AE" w:rsidP="00EF65AE">
      <w:pPr>
        <w:pStyle w:val="CallOutHeading"/>
        <w:rPr>
          <w:rFonts w:cs="Arial"/>
        </w:rPr>
      </w:pPr>
      <w:r w:rsidRPr="00EF65AE">
        <w:rPr>
          <w:rFonts w:cs="Arial"/>
        </w:rPr>
        <w:t xml:space="preserve">Box 6: Promising private sector approaches: Solomon Islands </w:t>
      </w:r>
      <w:r w:rsidRPr="002C59B1">
        <w:rPr>
          <w:rFonts w:cs="Arial"/>
          <w:i/>
          <w:iCs/>
        </w:rPr>
        <w:t>Waka Mere</w:t>
      </w:r>
      <w:r w:rsidRPr="00EF65AE">
        <w:rPr>
          <w:rFonts w:cs="Arial"/>
        </w:rPr>
        <w:t xml:space="preserve"> initiative</w:t>
      </w:r>
    </w:p>
    <w:p w14:paraId="7F2BC5D3" w14:textId="77777777" w:rsidR="00EF65AE" w:rsidRPr="00EF65AE" w:rsidRDefault="00EF65AE" w:rsidP="00EF65AE">
      <w:pPr>
        <w:pStyle w:val="CallOutBody"/>
        <w:rPr>
          <w:rFonts w:cs="Arial"/>
        </w:rPr>
      </w:pPr>
      <w:r w:rsidRPr="00EF65AE">
        <w:rPr>
          <w:rFonts w:cs="Arial"/>
        </w:rPr>
        <w:t xml:space="preserve">Launched in July 2017, the two-year </w:t>
      </w:r>
      <w:r w:rsidRPr="007A389F">
        <w:rPr>
          <w:rFonts w:cs="Arial"/>
          <w:i/>
        </w:rPr>
        <w:t>Waka Mere</w:t>
      </w:r>
      <w:r w:rsidRPr="002C59B1">
        <w:rPr>
          <w:rFonts w:cs="Arial"/>
          <w:iCs/>
        </w:rPr>
        <w:t xml:space="preserve"> Commitment to Action</w:t>
      </w:r>
      <w:r w:rsidRPr="00EF65AE">
        <w:rPr>
          <w:rFonts w:cs="Arial"/>
        </w:rPr>
        <w:t xml:space="preserve"> is an adapted version of the global I</w:t>
      </w:r>
      <w:r w:rsidR="00CD5607">
        <w:rPr>
          <w:rFonts w:cs="Arial"/>
        </w:rPr>
        <w:t>nternational Finance Corporation (I</w:t>
      </w:r>
      <w:r w:rsidRPr="00EF65AE">
        <w:rPr>
          <w:rFonts w:cs="Arial"/>
        </w:rPr>
        <w:t>FC</w:t>
      </w:r>
      <w:r w:rsidR="00CD5607">
        <w:rPr>
          <w:rFonts w:cs="Arial"/>
        </w:rPr>
        <w:t>)</w:t>
      </w:r>
      <w:r w:rsidRPr="00EF65AE">
        <w:rPr>
          <w:rFonts w:cs="Arial"/>
        </w:rPr>
        <w:t xml:space="preserve"> </w:t>
      </w:r>
      <w:bookmarkStart w:id="189" w:name="_Hlk17807725"/>
      <w:r w:rsidRPr="002C59B1">
        <w:rPr>
          <w:rFonts w:cs="Arial"/>
          <w:iCs/>
        </w:rPr>
        <w:t>She Works</w:t>
      </w:r>
      <w:r w:rsidRPr="007A389F">
        <w:rPr>
          <w:rFonts w:cs="Arial"/>
        </w:rPr>
        <w:t xml:space="preserve"> p</w:t>
      </w:r>
      <w:r w:rsidRPr="00EF65AE">
        <w:rPr>
          <w:rFonts w:cs="Arial"/>
        </w:rPr>
        <w:t>artnership</w:t>
      </w:r>
      <w:bookmarkEnd w:id="189"/>
      <w:r w:rsidRPr="00EF65AE">
        <w:rPr>
          <w:rFonts w:cs="Arial"/>
        </w:rPr>
        <w:t xml:space="preserve">, </w:t>
      </w:r>
      <w:r w:rsidR="00CD5607">
        <w:rPr>
          <w:rFonts w:cs="Arial"/>
        </w:rPr>
        <w:t xml:space="preserve">which </w:t>
      </w:r>
      <w:r w:rsidRPr="00EF65AE">
        <w:rPr>
          <w:rFonts w:cs="Arial"/>
        </w:rPr>
        <w:t>focuse</w:t>
      </w:r>
      <w:r w:rsidR="00CD5607">
        <w:rPr>
          <w:rFonts w:cs="Arial"/>
        </w:rPr>
        <w:t>s</w:t>
      </w:r>
      <w:r w:rsidRPr="00EF65AE">
        <w:rPr>
          <w:rFonts w:cs="Arial"/>
        </w:rPr>
        <w:t xml:space="preserve"> on promoting women in leadership, equal employment and respect in the workplace. The IFC and Solomon Islands Chamber of Commerce and Industry are delivering the program with funding contributions from Australia and New Zealand. </w:t>
      </w:r>
    </w:p>
    <w:p w14:paraId="4D512690" w14:textId="77777777" w:rsidR="00EF65AE" w:rsidRPr="00EF65AE" w:rsidRDefault="00EF65AE" w:rsidP="00EF65AE">
      <w:pPr>
        <w:pStyle w:val="CallOutBody"/>
        <w:rPr>
          <w:rFonts w:cs="Arial"/>
        </w:rPr>
      </w:pPr>
      <w:r w:rsidRPr="00EF65AE">
        <w:rPr>
          <w:rFonts w:cs="Arial"/>
        </w:rPr>
        <w:t>At the start of the program, two-thirds of companies had sexual harassment policies in place and one-third domestic violence policies. Three-quarters of all employees considered domestic violence was affecting the ability of some employees to come to or perform at work</w:t>
      </w:r>
      <w:r w:rsidR="00CD5607">
        <w:rPr>
          <w:rFonts w:cs="Arial"/>
        </w:rPr>
        <w:t>. O</w:t>
      </w:r>
      <w:r w:rsidR="0015031B">
        <w:rPr>
          <w:rFonts w:cs="Arial"/>
        </w:rPr>
        <w:t>ne-</w:t>
      </w:r>
      <w:r w:rsidRPr="00EF65AE">
        <w:rPr>
          <w:rFonts w:cs="Arial"/>
        </w:rPr>
        <w:t xml:space="preserve">third reported they did not feel comfortable or safe at work. </w:t>
      </w:r>
    </w:p>
    <w:p w14:paraId="3D414658" w14:textId="24547CCC" w:rsidR="00CD5607" w:rsidRDefault="00EF65AE" w:rsidP="0050037A">
      <w:pPr>
        <w:pStyle w:val="CallOutBody"/>
        <w:rPr>
          <w:rFonts w:cs="Arial"/>
        </w:rPr>
      </w:pPr>
      <w:r w:rsidRPr="00CD5607">
        <w:rPr>
          <w:rFonts w:cs="Arial"/>
        </w:rPr>
        <w:t>One year on, with</w:t>
      </w:r>
      <w:r w:rsidR="00CD5607" w:rsidRPr="00CD5607">
        <w:rPr>
          <w:rFonts w:cs="Arial"/>
        </w:rPr>
        <w:t xml:space="preserve"> assistance from</w:t>
      </w:r>
      <w:r w:rsidRPr="00CD5607">
        <w:rPr>
          <w:rFonts w:cs="Arial"/>
        </w:rPr>
        <w:t xml:space="preserve"> IFC and</w:t>
      </w:r>
      <w:r w:rsidR="00CD5607" w:rsidRPr="00CD5607">
        <w:rPr>
          <w:rFonts w:cs="Arial"/>
        </w:rPr>
        <w:t xml:space="preserve"> the Solomon Islands Chamber of Commerce and Industry</w:t>
      </w:r>
      <w:r w:rsidRPr="00CD5607">
        <w:rPr>
          <w:rFonts w:cs="Arial"/>
        </w:rPr>
        <w:t xml:space="preserve">, </w:t>
      </w:r>
      <w:r w:rsidR="0015031B" w:rsidRPr="00CD5607">
        <w:rPr>
          <w:rFonts w:cs="Arial"/>
        </w:rPr>
        <w:t xml:space="preserve">17 </w:t>
      </w:r>
      <w:r w:rsidRPr="00CD5607">
        <w:rPr>
          <w:rFonts w:cs="Arial"/>
        </w:rPr>
        <w:t xml:space="preserve">companies (with </w:t>
      </w:r>
      <w:r w:rsidRPr="00A36E43">
        <w:rPr>
          <w:rFonts w:cs="Arial"/>
        </w:rPr>
        <w:t>nearly 6</w:t>
      </w:r>
      <w:r w:rsidR="00A36E43" w:rsidRPr="002C59B1">
        <w:rPr>
          <w:rFonts w:cs="Arial"/>
        </w:rPr>
        <w:t>,</w:t>
      </w:r>
      <w:r w:rsidRPr="00A36E43">
        <w:rPr>
          <w:rFonts w:cs="Arial"/>
        </w:rPr>
        <w:t>000 employees</w:t>
      </w:r>
      <w:r w:rsidRPr="00CD5607">
        <w:rPr>
          <w:rFonts w:cs="Arial"/>
        </w:rPr>
        <w:t xml:space="preserve"> combined) had committed to actions, including some of Solomon Islands’ largest employers such as SolTuna. Fifteen companies (90</w:t>
      </w:r>
      <w:r w:rsidR="00745CD6">
        <w:rPr>
          <w:rFonts w:cs="Arial"/>
        </w:rPr>
        <w:t> </w:t>
      </w:r>
      <w:r w:rsidRPr="00CD5607">
        <w:rPr>
          <w:rFonts w:cs="Arial"/>
        </w:rPr>
        <w:t>per</w:t>
      </w:r>
      <w:r w:rsidR="00745CD6">
        <w:rPr>
          <w:rFonts w:cs="Arial"/>
        </w:rPr>
        <w:t> </w:t>
      </w:r>
      <w:r w:rsidRPr="00CD5607">
        <w:rPr>
          <w:rFonts w:cs="Arial"/>
        </w:rPr>
        <w:t xml:space="preserve">cent) were working to create </w:t>
      </w:r>
      <w:r w:rsidRPr="002C59B1">
        <w:rPr>
          <w:rFonts w:cs="Arial"/>
          <w:bCs/>
        </w:rPr>
        <w:t>respectful and supportive workplaces</w:t>
      </w:r>
      <w:r w:rsidRPr="00CD5607">
        <w:rPr>
          <w:rFonts w:cs="Arial"/>
          <w:bCs/>
        </w:rPr>
        <w:t>.</w:t>
      </w:r>
      <w:r w:rsidRPr="00CD5607">
        <w:rPr>
          <w:rFonts w:cs="Arial"/>
        </w:rPr>
        <w:t xml:space="preserve"> </w:t>
      </w:r>
    </w:p>
    <w:p w14:paraId="0C346441" w14:textId="77777777" w:rsidR="00EF65AE" w:rsidRPr="00CD5607" w:rsidRDefault="00EF65AE" w:rsidP="0050037A">
      <w:pPr>
        <w:pStyle w:val="CallOutBody"/>
        <w:rPr>
          <w:rFonts w:cs="Arial"/>
        </w:rPr>
      </w:pPr>
      <w:r w:rsidRPr="00CD5607">
        <w:rPr>
          <w:rFonts w:cs="Arial"/>
        </w:rPr>
        <w:t xml:space="preserve">By September 2018, 11 companies had completed training and begun implementing policies and tailored support for female employees experiencing violence, </w:t>
      </w:r>
      <w:r w:rsidR="00CD5607">
        <w:rPr>
          <w:rFonts w:cs="Arial"/>
        </w:rPr>
        <w:t>including</w:t>
      </w:r>
      <w:r w:rsidRPr="00CD5607">
        <w:rPr>
          <w:rFonts w:cs="Arial"/>
        </w:rPr>
        <w:t xml:space="preserve"> special leave, safety planning for the workplace, referral support, and mechanisms to manage employees who were known perpetrators. </w:t>
      </w:r>
    </w:p>
    <w:p w14:paraId="28217BF1" w14:textId="77777777" w:rsidR="00EF65AE" w:rsidRPr="00EF65AE" w:rsidRDefault="00EF65AE" w:rsidP="00731267">
      <w:pPr>
        <w:rPr>
          <w:rFonts w:cs="Arial"/>
        </w:rPr>
      </w:pPr>
      <w:r w:rsidRPr="00EF65AE">
        <w:rPr>
          <w:rFonts w:cs="Arial"/>
        </w:rPr>
        <w:t>Despite progress, internal monitoring by DFAT suggests that EVAWG investments have less engagement with the private sector than other investments.</w:t>
      </w:r>
      <w:r w:rsidRPr="00731267">
        <w:rPr>
          <w:rStyle w:val="FootnoteReference"/>
        </w:rPr>
        <w:footnoteReference w:id="2"/>
      </w:r>
      <w:r w:rsidRPr="00EF65AE">
        <w:rPr>
          <w:rFonts w:cs="Arial"/>
        </w:rPr>
        <w:t xml:space="preserve"> As some programs acknowledged in their own assessments, there is scope for Australia’s EVAWG programs to more systematically consider private sector opportunities and learn from the experience and innovative work </w:t>
      </w:r>
      <w:r w:rsidR="00CD5607">
        <w:rPr>
          <w:rFonts w:cs="Arial"/>
        </w:rPr>
        <w:t xml:space="preserve">they are </w:t>
      </w:r>
      <w:r w:rsidRPr="00EF65AE">
        <w:rPr>
          <w:rFonts w:cs="Arial"/>
        </w:rPr>
        <w:t>undertak</w:t>
      </w:r>
      <w:r w:rsidR="00CD5607">
        <w:rPr>
          <w:rFonts w:cs="Arial"/>
        </w:rPr>
        <w:t xml:space="preserve">ing </w:t>
      </w:r>
      <w:r w:rsidRPr="00EF65AE">
        <w:rPr>
          <w:rFonts w:cs="Arial"/>
        </w:rPr>
        <w:t xml:space="preserve">in this area. </w:t>
      </w:r>
    </w:p>
    <w:p w14:paraId="279C85B9" w14:textId="5D6E6258" w:rsidR="00CD5607" w:rsidRDefault="00EF65AE" w:rsidP="00EF65AE">
      <w:pPr>
        <w:rPr>
          <w:rFonts w:cs="Arial"/>
        </w:rPr>
      </w:pPr>
      <w:r w:rsidRPr="00EF65AE">
        <w:rPr>
          <w:rFonts w:cs="Arial"/>
        </w:rPr>
        <w:t xml:space="preserve">Strengthening </w:t>
      </w:r>
      <w:r w:rsidR="0015031B">
        <w:rPr>
          <w:rFonts w:cs="Arial"/>
        </w:rPr>
        <w:t xml:space="preserve">the </w:t>
      </w:r>
      <w:r w:rsidR="00F01B25">
        <w:rPr>
          <w:rFonts w:cs="Arial"/>
        </w:rPr>
        <w:t>monitoring and evaluation (</w:t>
      </w:r>
      <w:r w:rsidR="0015031B">
        <w:rPr>
          <w:rFonts w:cs="Arial"/>
        </w:rPr>
        <w:t>M&amp;E</w:t>
      </w:r>
      <w:r w:rsidR="00F01B25">
        <w:rPr>
          <w:rFonts w:cs="Arial"/>
        </w:rPr>
        <w:t xml:space="preserve">) </w:t>
      </w:r>
      <w:r w:rsidRPr="00EF65AE">
        <w:rPr>
          <w:rFonts w:cs="Arial"/>
        </w:rPr>
        <w:t xml:space="preserve">of private sector approaches could also </w:t>
      </w:r>
      <w:r w:rsidR="00CD5607">
        <w:rPr>
          <w:rFonts w:cs="Arial"/>
        </w:rPr>
        <w:t>help</w:t>
      </w:r>
      <w:r w:rsidRPr="00EF65AE">
        <w:rPr>
          <w:rFonts w:cs="Arial"/>
        </w:rPr>
        <w:t xml:space="preserve"> demonstrat</w:t>
      </w:r>
      <w:r w:rsidR="00CD5607">
        <w:rPr>
          <w:rFonts w:cs="Arial"/>
        </w:rPr>
        <w:t xml:space="preserve">e </w:t>
      </w:r>
      <w:r w:rsidRPr="00EF65AE">
        <w:rPr>
          <w:rFonts w:cs="Arial"/>
        </w:rPr>
        <w:t>impact and encourag</w:t>
      </w:r>
      <w:r w:rsidR="00CD5607">
        <w:rPr>
          <w:rFonts w:cs="Arial"/>
        </w:rPr>
        <w:t>e</w:t>
      </w:r>
      <w:r w:rsidRPr="00EF65AE">
        <w:rPr>
          <w:rFonts w:cs="Arial"/>
        </w:rPr>
        <w:t xml:space="preserve"> more private sector actors to engage in EVAWG initiatives. </w:t>
      </w:r>
    </w:p>
    <w:p w14:paraId="7E173A3F" w14:textId="77777777" w:rsidR="00FA1CE5" w:rsidRDefault="00FA1CE5">
      <w:pPr>
        <w:numPr>
          <w:ilvl w:val="0"/>
          <w:numId w:val="0"/>
        </w:numPr>
        <w:rPr>
          <w:rFonts w:cs="Arial"/>
        </w:rPr>
      </w:pPr>
      <w:r>
        <w:rPr>
          <w:rFonts w:cs="Arial"/>
        </w:rPr>
        <w:br w:type="page"/>
      </w:r>
    </w:p>
    <w:p w14:paraId="3AC2D463" w14:textId="0F63AE02" w:rsidR="0015031B" w:rsidRDefault="00EF65AE" w:rsidP="00EF65AE">
      <w:pPr>
        <w:rPr>
          <w:rFonts w:cs="Arial"/>
        </w:rPr>
      </w:pPr>
      <w:r w:rsidRPr="00EF65AE">
        <w:rPr>
          <w:rFonts w:cs="Arial"/>
        </w:rPr>
        <w:t>Pacific Women has</w:t>
      </w:r>
      <w:r w:rsidRPr="00EF65AE">
        <w:rPr>
          <w:rFonts w:cs="Arial"/>
          <w:i/>
        </w:rPr>
        <w:t xml:space="preserve"> </w:t>
      </w:r>
      <w:r w:rsidR="0015031B">
        <w:rPr>
          <w:rFonts w:cs="Arial"/>
        </w:rPr>
        <w:t>mapped</w:t>
      </w:r>
      <w:r w:rsidRPr="00EF65AE">
        <w:rPr>
          <w:rFonts w:cs="Arial"/>
        </w:rPr>
        <w:t xml:space="preserve"> private sector approaches in the Pacific and identified three common business responses: </w:t>
      </w:r>
    </w:p>
    <w:p w14:paraId="5F5AAD0F" w14:textId="77777777" w:rsidR="0015031B" w:rsidRDefault="00EF65AE" w:rsidP="00B555A0">
      <w:pPr>
        <w:pStyle w:val="ListBullet"/>
      </w:pPr>
      <w:r w:rsidRPr="00EF65AE">
        <w:t>develop internal policies and standards</w:t>
      </w:r>
    </w:p>
    <w:p w14:paraId="34AE0326" w14:textId="77777777" w:rsidR="0015031B" w:rsidRDefault="00EF65AE" w:rsidP="00B555A0">
      <w:pPr>
        <w:pStyle w:val="ListBullet"/>
      </w:pPr>
      <w:r w:rsidRPr="00EF65AE">
        <w:t>community outreach and corporate social responsibility</w:t>
      </w:r>
    </w:p>
    <w:p w14:paraId="12BB9576" w14:textId="77777777" w:rsidR="00EF65AE" w:rsidRPr="00EF65AE" w:rsidRDefault="00EF65AE" w:rsidP="00B555A0">
      <w:pPr>
        <w:pStyle w:val="ListBullet"/>
      </w:pPr>
      <w:r w:rsidRPr="00EF65AE">
        <w:t xml:space="preserve">advocacy. </w:t>
      </w:r>
    </w:p>
    <w:p w14:paraId="41617C60" w14:textId="77777777" w:rsidR="00EF65AE" w:rsidRPr="00EF65AE" w:rsidRDefault="00EF65AE" w:rsidP="00EF65AE">
      <w:pPr>
        <w:rPr>
          <w:rFonts w:cs="Arial"/>
        </w:rPr>
      </w:pPr>
      <w:r w:rsidRPr="00EF65AE">
        <w:rPr>
          <w:rFonts w:cs="Arial"/>
        </w:rPr>
        <w:t xml:space="preserve">Australia is </w:t>
      </w:r>
      <w:bookmarkStart w:id="190" w:name="_Hlk15940354"/>
      <w:r w:rsidRPr="00EF65AE">
        <w:rPr>
          <w:rFonts w:cs="Arial"/>
        </w:rPr>
        <w:t xml:space="preserve">well-regarded </w:t>
      </w:r>
      <w:bookmarkEnd w:id="190"/>
      <w:r w:rsidRPr="00EF65AE">
        <w:rPr>
          <w:rFonts w:cs="Arial"/>
        </w:rPr>
        <w:t>for its workplace responses to domestic and family violence (Annex 5) and should be positioned to share learning with its development partners and facilitate international private sector partnerships to support VAWG responses. There is a clear opportunity, and strategic imperative, for Australia’s EVAWG programs to more effectively tell a compelling story about the human rights and economic impact of violence against women, to increasingly leverage private sector interest.</w:t>
      </w:r>
    </w:p>
    <w:p w14:paraId="53ED44AB" w14:textId="083FA8A1" w:rsidR="00EF65AE" w:rsidRPr="00EF65AE" w:rsidRDefault="004A793A" w:rsidP="00C00AC6">
      <w:pPr>
        <w:pStyle w:val="Heading2"/>
      </w:pPr>
      <w:bookmarkStart w:id="191" w:name="_Toc14959597"/>
      <w:bookmarkStart w:id="192" w:name="_Toc15378123"/>
      <w:bookmarkStart w:id="193" w:name="_Toc15378472"/>
      <w:bookmarkStart w:id="194" w:name="_Toc15563002"/>
      <w:bookmarkStart w:id="195" w:name="_Toc23434538"/>
      <w:r w:rsidRPr="00EF65AE">
        <w:t>Findings and recommendation</w:t>
      </w:r>
      <w:bookmarkEnd w:id="191"/>
      <w:bookmarkEnd w:id="192"/>
      <w:bookmarkEnd w:id="193"/>
      <w:bookmarkEnd w:id="194"/>
      <w:bookmarkEnd w:id="195"/>
    </w:p>
    <w:p w14:paraId="50702D23" w14:textId="0BF6DEA5" w:rsidR="00EF65AE" w:rsidRPr="00EF65AE" w:rsidRDefault="00EF65AE" w:rsidP="00EF65AE">
      <w:pPr>
        <w:rPr>
          <w:rFonts w:cs="Arial"/>
          <w:shd w:val="clear" w:color="auto" w:fill="FFFFFF"/>
        </w:rPr>
      </w:pPr>
      <w:r w:rsidRPr="00EF65AE">
        <w:rPr>
          <w:rFonts w:cs="Arial"/>
          <w:shd w:val="clear" w:color="auto" w:fill="FFFFFF"/>
        </w:rPr>
        <w:t xml:space="preserve">Australia has provided </w:t>
      </w:r>
      <w:r w:rsidRPr="00EF65AE">
        <w:rPr>
          <w:rFonts w:cs="Arial"/>
        </w:rPr>
        <w:t>strong</w:t>
      </w:r>
      <w:r w:rsidRPr="00EF65AE">
        <w:rPr>
          <w:rFonts w:cs="Arial"/>
          <w:shd w:val="clear" w:color="auto" w:fill="FFFFFF"/>
        </w:rPr>
        <w:t xml:space="preserve"> and sustained leadership on EVAWG. </w:t>
      </w:r>
      <w:r w:rsidRPr="00EF65AE">
        <w:rPr>
          <w:rFonts w:cs="Arial"/>
        </w:rPr>
        <w:t>Over the past decade Australia has had a</w:t>
      </w:r>
      <w:r w:rsidRPr="00EF65AE">
        <w:rPr>
          <w:rFonts w:cs="Arial"/>
          <w:shd w:val="clear" w:color="auto" w:fill="FFFFFF"/>
        </w:rPr>
        <w:t xml:space="preserve"> strategic and coherent approach to its aid investments on EVAWG</w:t>
      </w:r>
      <w:r w:rsidR="00F01B25">
        <w:rPr>
          <w:rFonts w:cs="Arial"/>
          <w:shd w:val="clear" w:color="auto" w:fill="FFFFFF"/>
        </w:rPr>
        <w:t>,</w:t>
      </w:r>
      <w:r w:rsidRPr="00EF65AE">
        <w:rPr>
          <w:rFonts w:cs="Arial"/>
          <w:shd w:val="clear" w:color="auto" w:fill="FFFFFF"/>
        </w:rPr>
        <w:t xml:space="preserve"> aligned with best</w:t>
      </w:r>
      <w:r w:rsidR="00B555A0">
        <w:rPr>
          <w:rFonts w:cs="Arial"/>
          <w:shd w:val="clear" w:color="auto" w:fill="FFFFFF"/>
        </w:rPr>
        <w:t xml:space="preserve"> </w:t>
      </w:r>
      <w:r w:rsidRPr="00EF65AE">
        <w:rPr>
          <w:rFonts w:cs="Arial"/>
          <w:shd w:val="clear" w:color="auto" w:fill="FFFFFF"/>
        </w:rPr>
        <w:t>practice. There is scope for Australia to take a stronger global leadership role to promote greater investment in EVAWG by other donors and to raise the profile of work from the</w:t>
      </w:r>
      <w:r w:rsidR="00B555A0">
        <w:rPr>
          <w:rFonts w:cs="Arial"/>
          <w:shd w:val="clear" w:color="auto" w:fill="FFFFFF"/>
        </w:rPr>
        <w:t xml:space="preserve"> </w:t>
      </w:r>
      <w:r w:rsidR="008B6C78">
        <w:rPr>
          <w:rFonts w:cs="Arial"/>
          <w:shd w:val="clear" w:color="auto" w:fill="FFFFFF"/>
        </w:rPr>
        <w:t>Indo</w:t>
      </w:r>
      <w:r w:rsidRPr="00EF65AE">
        <w:rPr>
          <w:rFonts w:cs="Arial"/>
          <w:shd w:val="clear" w:color="auto" w:fill="FFFFFF"/>
        </w:rPr>
        <w:t>-Pacific at the global level.</w:t>
      </w:r>
    </w:p>
    <w:p w14:paraId="7A806975" w14:textId="77777777" w:rsidR="00EF65AE" w:rsidRPr="00EF65AE" w:rsidRDefault="00EF65AE" w:rsidP="00EF65AE">
      <w:pPr>
        <w:rPr>
          <w:rFonts w:cs="Arial"/>
          <w:highlight w:val="yellow"/>
        </w:rPr>
      </w:pPr>
      <w:r w:rsidRPr="00EF65AE">
        <w:rPr>
          <w:rFonts w:cs="Arial"/>
          <w:shd w:val="clear" w:color="auto" w:fill="FFFFFF"/>
        </w:rPr>
        <w:t>Australia has been a leading donor with annual funding allocations increasing tenfold funding between 2007</w:t>
      </w:r>
      <w:r w:rsidR="0015031B">
        <w:rPr>
          <w:rFonts w:cs="Arial"/>
          <w:shd w:val="clear" w:color="auto" w:fill="FFFFFF"/>
        </w:rPr>
        <w:t>–</w:t>
      </w:r>
      <w:r w:rsidRPr="00EF65AE">
        <w:rPr>
          <w:rFonts w:cs="Arial"/>
          <w:shd w:val="clear" w:color="auto" w:fill="FFFFFF"/>
        </w:rPr>
        <w:t>08 and 2017</w:t>
      </w:r>
      <w:r w:rsidR="0015031B">
        <w:rPr>
          <w:rFonts w:cs="Arial"/>
          <w:shd w:val="clear" w:color="auto" w:fill="FFFFFF"/>
        </w:rPr>
        <w:t>–</w:t>
      </w:r>
      <w:r w:rsidRPr="00EF65AE">
        <w:rPr>
          <w:rFonts w:cs="Arial"/>
          <w:shd w:val="clear" w:color="auto" w:fill="FFFFFF"/>
        </w:rPr>
        <w:t xml:space="preserve">18. Funding mechanisms, including </w:t>
      </w:r>
      <w:r w:rsidRPr="00EF65AE">
        <w:rPr>
          <w:rFonts w:cs="Arial"/>
        </w:rPr>
        <w:t>Pacific Women</w:t>
      </w:r>
      <w:r w:rsidRPr="00EF65AE">
        <w:rPr>
          <w:rFonts w:cs="Arial"/>
          <w:i/>
        </w:rPr>
        <w:t xml:space="preserve">, </w:t>
      </w:r>
      <w:r w:rsidRPr="00EF65AE">
        <w:rPr>
          <w:rFonts w:cs="Arial"/>
        </w:rPr>
        <w:t>UN Women’s Pacific Fund</w:t>
      </w:r>
      <w:r w:rsidRPr="00EF65AE">
        <w:rPr>
          <w:rFonts w:cs="Arial"/>
          <w:shd w:val="clear" w:color="auto" w:fill="FFFFFF"/>
        </w:rPr>
        <w:t xml:space="preserve"> and the </w:t>
      </w:r>
      <w:r w:rsidRPr="00EF65AE">
        <w:rPr>
          <w:rFonts w:cs="Arial"/>
        </w:rPr>
        <w:t>Fiji Women’s Fund</w:t>
      </w:r>
      <w:r w:rsidRPr="00EF65AE">
        <w:rPr>
          <w:rFonts w:cs="Arial"/>
          <w:shd w:val="clear" w:color="auto" w:fill="FFFFFF"/>
        </w:rPr>
        <w:t xml:space="preserve"> have played a critical role in Australia’s </w:t>
      </w:r>
      <w:r w:rsidR="0015031B">
        <w:rPr>
          <w:rFonts w:cs="Arial"/>
          <w:shd w:val="clear" w:color="auto" w:fill="FFFFFF"/>
        </w:rPr>
        <w:t>l</w:t>
      </w:r>
      <w:r w:rsidRPr="00EF65AE">
        <w:rPr>
          <w:rFonts w:cs="Arial"/>
          <w:shd w:val="clear" w:color="auto" w:fill="FFFFFF"/>
        </w:rPr>
        <w:t>eadership on EVAWG by developing a diverse portfolio of activities based on national and regional needs, supporting new and emerging issues, and</w:t>
      </w:r>
      <w:r w:rsidR="0015031B">
        <w:rPr>
          <w:rFonts w:cs="Arial"/>
          <w:shd w:val="clear" w:color="auto" w:fill="FFFFFF"/>
        </w:rPr>
        <w:t xml:space="preserve"> supporting</w:t>
      </w:r>
      <w:r w:rsidRPr="00EF65AE">
        <w:rPr>
          <w:rFonts w:cs="Arial"/>
          <w:shd w:val="clear" w:color="auto" w:fill="FFFFFF"/>
        </w:rPr>
        <w:t xml:space="preserve"> the needs of marginalised groups.</w:t>
      </w:r>
      <w:r w:rsidRPr="00EF65AE">
        <w:rPr>
          <w:rFonts w:cs="Arial"/>
          <w:highlight w:val="yellow"/>
        </w:rPr>
        <w:t xml:space="preserve"> </w:t>
      </w:r>
    </w:p>
    <w:p w14:paraId="2B5AB43A" w14:textId="77777777" w:rsidR="00EF65AE" w:rsidRPr="00EF65AE" w:rsidRDefault="00EF65AE" w:rsidP="00EF65AE">
      <w:pPr>
        <w:rPr>
          <w:rFonts w:cs="Arial"/>
        </w:rPr>
      </w:pPr>
      <w:r w:rsidRPr="00EF65AE">
        <w:rPr>
          <w:rFonts w:cs="Arial"/>
        </w:rPr>
        <w:t>Political commitment for EVAWG has increased with support from Australia.</w:t>
      </w:r>
      <w:r w:rsidRPr="00EF65AE">
        <w:rPr>
          <w:rFonts w:cs="Arial"/>
          <w:b/>
        </w:rPr>
        <w:t xml:space="preserve"> </w:t>
      </w:r>
      <w:r w:rsidRPr="00EF65AE">
        <w:rPr>
          <w:rFonts w:cs="Arial"/>
        </w:rPr>
        <w:t>Australian assistance, particularly through the $320 million</w:t>
      </w:r>
      <w:r w:rsidR="00A36E43">
        <w:rPr>
          <w:rFonts w:cs="Arial"/>
        </w:rPr>
        <w:t>,</w:t>
      </w:r>
      <w:r w:rsidRPr="00EF65AE">
        <w:rPr>
          <w:rFonts w:cs="Arial"/>
        </w:rPr>
        <w:t xml:space="preserve"> </w:t>
      </w:r>
      <w:r w:rsidR="0015031B">
        <w:rPr>
          <w:rFonts w:cs="Arial"/>
        </w:rPr>
        <w:t>10</w:t>
      </w:r>
      <w:r w:rsidRPr="00EF65AE">
        <w:rPr>
          <w:rFonts w:cs="Arial"/>
        </w:rPr>
        <w:t xml:space="preserve">-year investment Pacific Women, has provided greatly increased resources for EVAWG. This has included policy and technical assistance to develop new strategies and programs. </w:t>
      </w:r>
    </w:p>
    <w:p w14:paraId="51C0DF53" w14:textId="67EE4F2F" w:rsidR="00EF65AE" w:rsidRPr="00EF65AE" w:rsidRDefault="00EF65AE" w:rsidP="00EF65AE">
      <w:pPr>
        <w:rPr>
          <w:rFonts w:cs="Arial"/>
          <w:highlight w:val="yellow"/>
        </w:rPr>
      </w:pPr>
      <w:r w:rsidRPr="00EF65AE">
        <w:rPr>
          <w:rFonts w:cs="Arial"/>
        </w:rPr>
        <w:t>While the Australian Government has had some success in promoting partner government commitment to addressing VAWG, strengthening partner government capacity to implement and fulfil their commitments remains challeng</w:t>
      </w:r>
      <w:r w:rsidR="00D05051">
        <w:rPr>
          <w:rFonts w:cs="Arial"/>
        </w:rPr>
        <w:t>ing</w:t>
      </w:r>
      <w:r w:rsidRPr="00EF65AE">
        <w:rPr>
          <w:rFonts w:cs="Arial"/>
        </w:rPr>
        <w:t>. Partner government resources and capacities do not yet match what is required to deliver their national EVAWG commitments, and there is heavy reliance on donor funding to deliver existing programs</w:t>
      </w:r>
      <w:r w:rsidR="00E2253F">
        <w:rPr>
          <w:rFonts w:cs="Arial"/>
        </w:rPr>
        <w:t xml:space="preserve">. </w:t>
      </w:r>
    </w:p>
    <w:p w14:paraId="6F444D37" w14:textId="77777777" w:rsidR="00EF65AE" w:rsidRPr="00EF65AE" w:rsidRDefault="00EF65AE" w:rsidP="00EF65AE">
      <w:pPr>
        <w:rPr>
          <w:rFonts w:cs="Arial"/>
        </w:rPr>
      </w:pPr>
      <w:r w:rsidRPr="00EF65AE">
        <w:rPr>
          <w:rFonts w:cs="Arial"/>
        </w:rPr>
        <w:t>Th</w:t>
      </w:r>
      <w:r w:rsidR="00D05051">
        <w:rPr>
          <w:rFonts w:cs="Arial"/>
        </w:rPr>
        <w:t>is</w:t>
      </w:r>
      <w:r w:rsidRPr="00EF65AE">
        <w:rPr>
          <w:rFonts w:cs="Arial"/>
        </w:rPr>
        <w:t xml:space="preserve"> evaluation found opportunity for Australia and implementing partners to plan and coordinate better, so all EVAWG efforts align with gender equality, human rights and the S</w:t>
      </w:r>
      <w:r w:rsidR="00D008EA">
        <w:rPr>
          <w:rFonts w:cs="Arial"/>
        </w:rPr>
        <w:t>ustainable Development Goals</w:t>
      </w:r>
      <w:r w:rsidRPr="00EF65AE">
        <w:rPr>
          <w:rFonts w:cs="Arial"/>
        </w:rPr>
        <w:t xml:space="preserve">. Australia </w:t>
      </w:r>
      <w:r w:rsidR="00D05051">
        <w:rPr>
          <w:rFonts w:cs="Arial"/>
        </w:rPr>
        <w:t xml:space="preserve">also has opportunity </w:t>
      </w:r>
      <w:r w:rsidRPr="00EF65AE">
        <w:rPr>
          <w:rFonts w:cs="Arial"/>
        </w:rPr>
        <w:t>to build violence prevention strategies and gender</w:t>
      </w:r>
      <w:r w:rsidR="00292D44">
        <w:rPr>
          <w:rFonts w:cs="Arial"/>
        </w:rPr>
        <w:t>-</w:t>
      </w:r>
      <w:r w:rsidRPr="00EF65AE">
        <w:rPr>
          <w:rFonts w:cs="Arial"/>
        </w:rPr>
        <w:t xml:space="preserve">transformative approaches into existing development platforms, </w:t>
      </w:r>
      <w:r w:rsidR="00D05051">
        <w:rPr>
          <w:rFonts w:cs="Arial"/>
        </w:rPr>
        <w:t>including</w:t>
      </w:r>
      <w:r w:rsidR="0015031B">
        <w:rPr>
          <w:rFonts w:cs="Arial"/>
        </w:rPr>
        <w:t xml:space="preserve"> in</w:t>
      </w:r>
      <w:r w:rsidRPr="00EF65AE">
        <w:rPr>
          <w:rFonts w:cs="Arial"/>
        </w:rPr>
        <w:t xml:space="preserve"> education and health, climate resilience and economic development. </w:t>
      </w:r>
    </w:p>
    <w:p w14:paraId="2A531D8F" w14:textId="5A735AC7" w:rsidR="00EF65AE" w:rsidRPr="00EF65AE" w:rsidRDefault="00EF65AE" w:rsidP="00EF65AE">
      <w:pPr>
        <w:rPr>
          <w:rFonts w:cs="Arial"/>
        </w:rPr>
      </w:pPr>
      <w:r w:rsidRPr="00EF65AE">
        <w:rPr>
          <w:rFonts w:cs="Arial"/>
        </w:rPr>
        <w:t>The evaluation team considered that Australian work to engage the private sector on EVAWG—through Pacific Women and the IFC—is promising</w:t>
      </w:r>
      <w:r w:rsidR="008B6C78">
        <w:rPr>
          <w:rFonts w:cs="Arial"/>
        </w:rPr>
        <w:t xml:space="preserve"> and could be expanded</w:t>
      </w:r>
      <w:r w:rsidRPr="00EF65AE">
        <w:rPr>
          <w:rFonts w:cs="Arial"/>
        </w:rPr>
        <w:t>.</w:t>
      </w:r>
    </w:p>
    <w:p w14:paraId="51A1C40D" w14:textId="77777777" w:rsidR="00EF65AE" w:rsidRPr="00EF65AE" w:rsidRDefault="00EF65AE" w:rsidP="00EF65AE">
      <w:pPr>
        <w:rPr>
          <w:rFonts w:cs="Arial"/>
        </w:rPr>
      </w:pPr>
      <w:r w:rsidRPr="00EF65AE">
        <w:rPr>
          <w:rFonts w:cs="Arial"/>
        </w:rPr>
        <w:t xml:space="preserve">The evaluation team noted the catalytic effect that long-term, core capacity funding to key </w:t>
      </w:r>
      <w:r w:rsidR="0015031B">
        <w:rPr>
          <w:rFonts w:cs="Arial"/>
        </w:rPr>
        <w:t>CSOs</w:t>
      </w:r>
      <w:r w:rsidRPr="00EF65AE">
        <w:rPr>
          <w:rFonts w:cs="Arial"/>
        </w:rPr>
        <w:t xml:space="preserve"> supporting women’s rights has had on EVAWG policy commitments and service delivery, with services aligning to best practice in EVAWG. In settings with rising conservatism, where space for civil society may be shrinking, Australia’s support is likely to become increasingly relevant</w:t>
      </w:r>
      <w:r w:rsidR="00E2253F">
        <w:rPr>
          <w:rFonts w:cs="Arial"/>
        </w:rPr>
        <w:t xml:space="preserve">. </w:t>
      </w:r>
    </w:p>
    <w:p w14:paraId="45EAFD0A" w14:textId="77777777" w:rsidR="00EF65AE" w:rsidRPr="00EF65AE" w:rsidRDefault="00EF65AE" w:rsidP="00EF65AE">
      <w:pPr>
        <w:rPr>
          <w:rFonts w:cs="Arial"/>
          <w:shd w:val="clear" w:color="auto" w:fill="FFFFFF"/>
        </w:rPr>
      </w:pPr>
      <w:r w:rsidRPr="00EF65AE">
        <w:rPr>
          <w:rFonts w:cs="Arial"/>
        </w:rPr>
        <w:t>Despite the enormous progress achieved in the last decade, th</w:t>
      </w:r>
      <w:r w:rsidR="00D05051">
        <w:rPr>
          <w:rFonts w:cs="Arial"/>
        </w:rPr>
        <w:t>is</w:t>
      </w:r>
      <w:r w:rsidRPr="00EF65AE">
        <w:rPr>
          <w:rFonts w:cs="Arial"/>
        </w:rPr>
        <w:t xml:space="preserve"> evaluation </w:t>
      </w:r>
      <w:r w:rsidR="00D05051">
        <w:rPr>
          <w:rFonts w:cs="Arial"/>
        </w:rPr>
        <w:t>noted</w:t>
      </w:r>
      <w:r w:rsidR="00D05051" w:rsidRPr="00EF65AE">
        <w:rPr>
          <w:rFonts w:cs="Arial"/>
        </w:rPr>
        <w:t xml:space="preserve"> </w:t>
      </w:r>
      <w:r w:rsidRPr="00EF65AE">
        <w:rPr>
          <w:rFonts w:cs="Arial"/>
        </w:rPr>
        <w:t>the risk of losing th</w:t>
      </w:r>
      <w:r w:rsidR="00845373">
        <w:rPr>
          <w:rFonts w:cs="Arial"/>
        </w:rPr>
        <w:t>e</w:t>
      </w:r>
      <w:r w:rsidRPr="00EF65AE">
        <w:rPr>
          <w:rFonts w:cs="Arial"/>
        </w:rPr>
        <w:t xml:space="preserve"> gains made if the Australian Government, and partner governments, do not continue to invest funding and provide leadership aimed at </w:t>
      </w:r>
      <w:r w:rsidR="00D05051">
        <w:rPr>
          <w:rFonts w:cs="Arial"/>
        </w:rPr>
        <w:t>EVAWG</w:t>
      </w:r>
      <w:r w:rsidRPr="00EF65AE">
        <w:rPr>
          <w:rFonts w:cs="Arial"/>
          <w:shd w:val="clear" w:color="auto" w:fill="FFFFFF"/>
        </w:rPr>
        <w:t>. To be sustainable and effective, this leadership and resourcing must be grounded within broader policies and programs of support for gender equality and women's empowerment in Asia and the Pacific</w:t>
      </w:r>
      <w:r w:rsidR="00E2253F">
        <w:rPr>
          <w:rFonts w:cs="Arial"/>
          <w:shd w:val="clear" w:color="auto" w:fill="FFFFFF"/>
        </w:rPr>
        <w:t xml:space="preserve">. </w:t>
      </w:r>
    </w:p>
    <w:p w14:paraId="62FA4C10" w14:textId="77777777" w:rsidR="00D5734D" w:rsidRPr="00A36E43" w:rsidRDefault="00D5734D" w:rsidP="00D5734D">
      <w:pPr>
        <w:pStyle w:val="Heading3NoTOC"/>
      </w:pPr>
      <w:r w:rsidRPr="00EF65AE">
        <w:t xml:space="preserve">Recommendation 1: Sustain and </w:t>
      </w:r>
      <w:r w:rsidRPr="00A36E43">
        <w:t xml:space="preserve">strengthen </w:t>
      </w:r>
      <w:r w:rsidRPr="00DA259B">
        <w:t>fragile gains</w:t>
      </w:r>
      <w:r w:rsidRPr="00A36E43">
        <w:t xml:space="preserve"> by: </w:t>
      </w:r>
    </w:p>
    <w:p w14:paraId="3744DD13" w14:textId="77777777" w:rsidR="00D5734D" w:rsidRPr="000350C0" w:rsidRDefault="00D5734D" w:rsidP="00D5734D">
      <w:pPr>
        <w:pStyle w:val="ListNumber"/>
      </w:pPr>
      <w:r w:rsidRPr="000350C0">
        <w:t>maintaining core funding where it exists, and expanding where it does not exist, to local women's organisations to strengthen their critical and catalytic work</w:t>
      </w:r>
    </w:p>
    <w:p w14:paraId="67E204E1" w14:textId="77777777" w:rsidR="00D5734D" w:rsidRPr="00A36E43" w:rsidRDefault="00D5734D" w:rsidP="00D5734D">
      <w:pPr>
        <w:pStyle w:val="ListNumber"/>
      </w:pPr>
      <w:r w:rsidRPr="000350C0">
        <w:t>continuing to invest in regional programs, such as Pacific Wome</w:t>
      </w:r>
      <w:r w:rsidR="007F0DF3" w:rsidRPr="000350C0">
        <w:t>n,</w:t>
      </w:r>
      <w:r w:rsidRPr="000350C0">
        <w:t xml:space="preserve"> which can provide multi-year funding to more established programs, and ensuring that local organisations can access short-term, flexible funding through mechanisms such as the </w:t>
      </w:r>
      <w:r w:rsidRPr="00DA259B">
        <w:rPr>
          <w:iCs/>
        </w:rPr>
        <w:t>Fiji Women’s</w:t>
      </w:r>
      <w:r w:rsidRPr="00A36E43">
        <w:rPr>
          <w:iCs/>
        </w:rPr>
        <w:t xml:space="preserve"> Fund</w:t>
      </w:r>
    </w:p>
    <w:p w14:paraId="64E229EA" w14:textId="77777777" w:rsidR="00D5734D" w:rsidRPr="00EF65AE" w:rsidRDefault="00D5734D" w:rsidP="00D5734D">
      <w:pPr>
        <w:pStyle w:val="ListNumber"/>
      </w:pPr>
      <w:r w:rsidRPr="00EF65AE">
        <w:t>intensifying high-level policy dialogue to encourage governments to incorporate comprehensive responses to VAWG in national budgets</w:t>
      </w:r>
    </w:p>
    <w:p w14:paraId="536EF1B7" w14:textId="77777777" w:rsidR="00D5734D" w:rsidRPr="00EF65AE" w:rsidRDefault="00D5734D" w:rsidP="00D5734D">
      <w:pPr>
        <w:pStyle w:val="ListNumber"/>
      </w:pPr>
      <w:r w:rsidRPr="00EF65AE">
        <w:t>integrating EVAWG, and VAWG prevention, in all development cooperation, including sector</w:t>
      </w:r>
      <w:r>
        <w:t>-</w:t>
      </w:r>
      <w:r w:rsidRPr="00EF65AE">
        <w:t>specific support to health, education, social protection</w:t>
      </w:r>
      <w:r>
        <w:t xml:space="preserve"> and</w:t>
      </w:r>
      <w:r w:rsidRPr="00EF65AE">
        <w:t xml:space="preserve"> economic empowerment</w:t>
      </w:r>
      <w:r>
        <w:t>,</w:t>
      </w:r>
      <w:r w:rsidRPr="00EF65AE">
        <w:t xml:space="preserve"> a</w:t>
      </w:r>
      <w:r>
        <w:t xml:space="preserve">nd in </w:t>
      </w:r>
      <w:r w:rsidRPr="00EF65AE">
        <w:t>non-traditional sectors such as infrastructure, transport and finance</w:t>
      </w:r>
    </w:p>
    <w:p w14:paraId="623BCF0C" w14:textId="6F80117C" w:rsidR="00D5734D" w:rsidRPr="00EF65AE" w:rsidRDefault="00D5734D" w:rsidP="00D5734D">
      <w:pPr>
        <w:pStyle w:val="ListNumber"/>
      </w:pPr>
      <w:r w:rsidRPr="00EF65AE">
        <w:t xml:space="preserve">playing a stronger global leadership role, </w:t>
      </w:r>
      <w:r>
        <w:t>by</w:t>
      </w:r>
      <w:r w:rsidRPr="00EF65AE">
        <w:t xml:space="preserve"> collaborating </w:t>
      </w:r>
      <w:r w:rsidRPr="00A36E43">
        <w:t>with other donors and key global partnerships—such as</w:t>
      </w:r>
      <w:r w:rsidRPr="000350C0">
        <w:t xml:space="preserve"> </w:t>
      </w:r>
      <w:r w:rsidR="007F0DF3" w:rsidRPr="000350C0">
        <w:t xml:space="preserve">the </w:t>
      </w:r>
      <w:r w:rsidR="00DA259B">
        <w:t>U</w:t>
      </w:r>
      <w:r w:rsidR="008B6C78">
        <w:t xml:space="preserve">nited </w:t>
      </w:r>
      <w:r w:rsidR="00DA259B">
        <w:t>K</w:t>
      </w:r>
      <w:r w:rsidR="008B6C78">
        <w:t>ingdom’s</w:t>
      </w:r>
      <w:r w:rsidR="00DA259B">
        <w:t xml:space="preserve"> </w:t>
      </w:r>
      <w:r w:rsidRPr="000350C0">
        <w:t>Department for International Development’s (</w:t>
      </w:r>
      <w:r w:rsidRPr="00DA259B">
        <w:t>DFID)</w:t>
      </w:r>
      <w:r w:rsidRPr="00A36E43">
        <w:t xml:space="preserve"> What Works</w:t>
      </w:r>
      <w:r w:rsidRPr="00EF65AE">
        <w:t xml:space="preserve"> global program, the </w:t>
      </w:r>
      <w:r>
        <w:t>UN</w:t>
      </w:r>
      <w:r w:rsidRPr="00EF65AE">
        <w:t xml:space="preserve">-led RESPECT framework, </w:t>
      </w:r>
      <w:r>
        <w:t xml:space="preserve">and </w:t>
      </w:r>
      <w:r w:rsidRPr="00EF65AE">
        <w:t>the European Union-funded Spotlight Initiative</w:t>
      </w:r>
      <w:r>
        <w:t>—</w:t>
      </w:r>
      <w:r w:rsidRPr="00EF65AE">
        <w:t xml:space="preserve">and increasing </w:t>
      </w:r>
      <w:r>
        <w:t xml:space="preserve">the </w:t>
      </w:r>
      <w:r w:rsidRPr="00EF65AE">
        <w:t>visibility of Australia’s EVAWG programming and partners at global conferences and events.</w:t>
      </w:r>
    </w:p>
    <w:p w14:paraId="2B82E9D6" w14:textId="5F5095B5" w:rsidR="00EF65AE" w:rsidRPr="00EF65AE" w:rsidRDefault="004A793A" w:rsidP="00C00AC6">
      <w:pPr>
        <w:pStyle w:val="Heading1"/>
      </w:pPr>
      <w:bookmarkStart w:id="196" w:name="_Toc14959598"/>
      <w:bookmarkStart w:id="197" w:name="_Toc15378124"/>
      <w:bookmarkStart w:id="198" w:name="_Toc15378473"/>
      <w:bookmarkStart w:id="199" w:name="_Toc15563003"/>
      <w:bookmarkStart w:id="200" w:name="_Toc23434539"/>
      <w:r w:rsidRPr="00EF65AE">
        <w:t>Improving access to justice</w:t>
      </w:r>
      <w:bookmarkEnd w:id="196"/>
      <w:bookmarkEnd w:id="197"/>
      <w:bookmarkEnd w:id="198"/>
      <w:bookmarkEnd w:id="199"/>
      <w:bookmarkEnd w:id="200"/>
    </w:p>
    <w:p w14:paraId="58516E7D" w14:textId="77777777" w:rsidR="00EF65AE" w:rsidRPr="00EF65AE" w:rsidRDefault="00EF65AE" w:rsidP="00C00AC6">
      <w:pPr>
        <w:pStyle w:val="Introduction"/>
      </w:pPr>
      <w:bookmarkStart w:id="201" w:name="_Hlk9955140"/>
      <w:r w:rsidRPr="00EF65AE">
        <w:t xml:space="preserve">This chapter assesses Australian development cooperation providing access to justice for women and girls who experience, or are threatened with, violence. </w:t>
      </w:r>
      <w:bookmarkEnd w:id="201"/>
      <w:r w:rsidRPr="00EF65AE">
        <w:t>There is evidence that Australia has made a significant contribution towards improved EVAWG laws, public awareness of the laws, and police responses in the focus countries</w:t>
      </w:r>
      <w:r w:rsidR="00B86AC7">
        <w:t xml:space="preserve"> </w:t>
      </w:r>
      <w:r w:rsidR="002A22B1">
        <w:t>in</w:t>
      </w:r>
      <w:r w:rsidR="00B86AC7">
        <w:t xml:space="preserve"> this evaluation</w:t>
      </w:r>
      <w:r w:rsidRPr="00EF65AE">
        <w:t xml:space="preserve">. </w:t>
      </w:r>
      <w:r w:rsidR="00B86AC7">
        <w:t>The chapter</w:t>
      </w:r>
      <w:r w:rsidRPr="00EF65AE">
        <w:t xml:space="preserve"> concludes that much work remains to be done, particularly in implementing the laws and improving service to survivors of violence through formal and informal justice systems</w:t>
      </w:r>
      <w:r w:rsidR="00B86AC7">
        <w:t xml:space="preserve">, </w:t>
      </w:r>
      <w:r w:rsidRPr="00EF65AE">
        <w:t xml:space="preserve">especially in rural and remote locations. </w:t>
      </w:r>
    </w:p>
    <w:p w14:paraId="470890A5" w14:textId="27C4A739" w:rsidR="00EF65AE" w:rsidRPr="00EF65AE" w:rsidRDefault="004A793A" w:rsidP="00C00AC6">
      <w:pPr>
        <w:pStyle w:val="Heading2"/>
      </w:pPr>
      <w:bookmarkStart w:id="202" w:name="_Toc14959599"/>
      <w:bookmarkStart w:id="203" w:name="_Toc15378125"/>
      <w:bookmarkStart w:id="204" w:name="_Toc15378474"/>
      <w:bookmarkStart w:id="205" w:name="_Toc15563004"/>
      <w:bookmarkStart w:id="206" w:name="_Toc23434540"/>
      <w:r w:rsidRPr="00EF65AE">
        <w:t>The situation in 2008</w:t>
      </w:r>
      <w:bookmarkEnd w:id="202"/>
      <w:bookmarkEnd w:id="203"/>
      <w:bookmarkEnd w:id="204"/>
      <w:bookmarkEnd w:id="205"/>
      <w:bookmarkEnd w:id="206"/>
    </w:p>
    <w:p w14:paraId="2EA1DE9D" w14:textId="78144CC5" w:rsidR="00EF65AE" w:rsidRPr="00EF65AE" w:rsidRDefault="00EF65AE" w:rsidP="00EF65AE">
      <w:pPr>
        <w:rPr>
          <w:rFonts w:cs="Arial"/>
        </w:rPr>
      </w:pPr>
      <w:bookmarkStart w:id="207" w:name="_Hlk20734147"/>
      <w:r w:rsidRPr="00BA0984">
        <w:rPr>
          <w:rFonts w:cs="Arial"/>
        </w:rPr>
        <w:t xml:space="preserve">The 2008 ODE report found significant challenges in the justice systems throughout </w:t>
      </w:r>
      <w:r w:rsidR="00F01B25">
        <w:rPr>
          <w:rFonts w:cs="Arial"/>
        </w:rPr>
        <w:t xml:space="preserve">Timor-Leste and </w:t>
      </w:r>
      <w:r w:rsidRPr="00BA0984">
        <w:rPr>
          <w:rFonts w:cs="Arial"/>
        </w:rPr>
        <w:t>Melanesia</w:t>
      </w:r>
      <w:r w:rsidR="00CB0DD4" w:rsidRPr="00BA0984">
        <w:rPr>
          <w:rFonts w:cs="Arial"/>
        </w:rPr>
        <w:t xml:space="preserve"> </w:t>
      </w:r>
      <w:r w:rsidR="008B6C78" w:rsidRPr="00BA0984">
        <w:rPr>
          <w:rFonts w:cs="Arial"/>
        </w:rPr>
        <w:t>(a sub region of Oceania</w:t>
      </w:r>
      <w:r w:rsidR="00F01B25">
        <w:rPr>
          <w:rFonts w:cs="Arial"/>
        </w:rPr>
        <w:t xml:space="preserve">, </w:t>
      </w:r>
      <w:r w:rsidR="008B6C78" w:rsidRPr="00BA0984">
        <w:rPr>
          <w:rFonts w:cs="Arial"/>
          <w:color w:val="222222"/>
          <w:lang w:val="en"/>
        </w:rPr>
        <w:t>a region extending from the western side of the eastern Pacific to the Arafura Sea, north and northeast of</w:t>
      </w:r>
      <w:r w:rsidR="00BA0984" w:rsidRPr="00BA0984">
        <w:rPr>
          <w:rFonts w:cs="Arial"/>
          <w:color w:val="222222"/>
          <w:lang w:val="en"/>
        </w:rPr>
        <w:t xml:space="preserve"> Australia</w:t>
      </w:r>
      <w:r w:rsidR="00F01B25">
        <w:rPr>
          <w:rFonts w:cs="Arial"/>
          <w:color w:val="222222"/>
          <w:lang w:val="en"/>
        </w:rPr>
        <w:t>;</w:t>
      </w:r>
      <w:r w:rsidR="00CB0DD4" w:rsidRPr="00BA0984">
        <w:rPr>
          <w:rFonts w:cs="Arial"/>
          <w:color w:val="222222"/>
          <w:lang w:val="en"/>
        </w:rPr>
        <w:t xml:space="preserve"> includes Fiji, Vanuatu, Solomon Islands,</w:t>
      </w:r>
      <w:r w:rsidR="00545490" w:rsidRPr="00BA0984">
        <w:rPr>
          <w:rFonts w:cs="Arial"/>
          <w:color w:val="222222"/>
          <w:lang w:val="en"/>
        </w:rPr>
        <w:t xml:space="preserve"> </w:t>
      </w:r>
      <w:r w:rsidR="00CB0DD4" w:rsidRPr="00BA0984">
        <w:rPr>
          <w:rFonts w:cs="Arial"/>
          <w:color w:val="222222"/>
          <w:lang w:val="en"/>
        </w:rPr>
        <w:t>Nauru, PNG and Indonesia’s West Papua province)</w:t>
      </w:r>
      <w:r w:rsidR="00BA0984" w:rsidRPr="00BA0984">
        <w:rPr>
          <w:rFonts w:cs="Arial"/>
        </w:rPr>
        <w:t>. These challenges included</w:t>
      </w:r>
      <w:r w:rsidRPr="00BA0984">
        <w:rPr>
          <w:rFonts w:cs="Arial"/>
        </w:rPr>
        <w:t xml:space="preserve"> outdated and discriminatory approaches to VAWG and lack of specific legislation criminalising domestic violence and sexual violence.</w:t>
      </w:r>
      <w:bookmarkEnd w:id="207"/>
      <w:r w:rsidRPr="00BA0984">
        <w:rPr>
          <w:rFonts w:cs="Arial"/>
        </w:rPr>
        <w:t xml:space="preserve"> Police were under-resourced and received limited training in EVAWG, there was a lack of clear protocols</w:t>
      </w:r>
      <w:r w:rsidRPr="00EF65AE">
        <w:rPr>
          <w:rFonts w:cs="Arial"/>
        </w:rPr>
        <w:t xml:space="preserve"> and accountability, and fundamental logistical difficulties in providing services to rural communities. Sexual offences units had been established in most countries</w:t>
      </w:r>
      <w:r w:rsidR="00F01B25">
        <w:rPr>
          <w:rFonts w:cs="Arial"/>
        </w:rPr>
        <w:t>,</w:t>
      </w:r>
      <w:r w:rsidRPr="00EF65AE">
        <w:rPr>
          <w:rFonts w:cs="Arial"/>
        </w:rPr>
        <w:t xml:space="preserve"> however they were under-resourced and located exclusively in major cities. </w:t>
      </w:r>
    </w:p>
    <w:p w14:paraId="12E5EA41" w14:textId="77777777" w:rsidR="00B86AC7" w:rsidRDefault="00EF65AE" w:rsidP="00EF65AE">
      <w:pPr>
        <w:rPr>
          <w:rFonts w:cs="Arial"/>
        </w:rPr>
      </w:pPr>
      <w:r w:rsidRPr="00EF65AE">
        <w:rPr>
          <w:rFonts w:cs="Arial"/>
        </w:rPr>
        <w:t>The 2008 evaluation noted that discriminatory attitudes and practices among police and magistrates were a major barrier for women’s access to justice system</w:t>
      </w:r>
      <w:r w:rsidR="00B86AC7">
        <w:rPr>
          <w:rFonts w:cs="Arial"/>
        </w:rPr>
        <w:t>s</w:t>
      </w:r>
      <w:r w:rsidRPr="00EF65AE">
        <w:rPr>
          <w:rFonts w:cs="Arial"/>
        </w:rPr>
        <w:t>. Many rural women relied on informal or custom-based systems but felt these did not provide the protection they needed. Low rates of education and literacy, and language and mobility barriers, meant many women did not know about their rights or the laws intended for their protection</w:t>
      </w:r>
      <w:r w:rsidR="00E2253F">
        <w:rPr>
          <w:rFonts w:cs="Arial"/>
        </w:rPr>
        <w:t xml:space="preserve">. </w:t>
      </w:r>
    </w:p>
    <w:p w14:paraId="19588274" w14:textId="77777777" w:rsidR="00EF65AE" w:rsidRPr="00EF65AE" w:rsidRDefault="00B86AC7" w:rsidP="00EF65AE">
      <w:pPr>
        <w:rPr>
          <w:rFonts w:cs="Arial"/>
        </w:rPr>
      </w:pPr>
      <w:r>
        <w:rPr>
          <w:rFonts w:cs="Arial"/>
        </w:rPr>
        <w:t>Four</w:t>
      </w:r>
      <w:r w:rsidR="00EF65AE" w:rsidRPr="00EF65AE">
        <w:rPr>
          <w:rFonts w:cs="Arial"/>
        </w:rPr>
        <w:t xml:space="preserve"> recommendations were made to increase women’s access to justice: </w:t>
      </w:r>
    </w:p>
    <w:p w14:paraId="73915083" w14:textId="5CA361B3" w:rsidR="00EF65AE" w:rsidRPr="00EF65AE" w:rsidRDefault="00B555A0" w:rsidP="006957D3">
      <w:pPr>
        <w:pStyle w:val="ListNumber"/>
      </w:pPr>
      <w:r>
        <w:t>i</w:t>
      </w:r>
      <w:r w:rsidR="00EF65AE" w:rsidRPr="00EF65AE">
        <w:t>mprove national legislation on violence against women</w:t>
      </w:r>
    </w:p>
    <w:p w14:paraId="28CAB085" w14:textId="492FA461" w:rsidR="00EF65AE" w:rsidRPr="00EF65AE" w:rsidRDefault="00F01B25" w:rsidP="006957D3">
      <w:pPr>
        <w:pStyle w:val="ListNumber"/>
      </w:pPr>
      <w:r>
        <w:t>s</w:t>
      </w:r>
      <w:r w:rsidR="00EF65AE" w:rsidRPr="00EF65AE">
        <w:t>trengthen both formal and community-based justice systems</w:t>
      </w:r>
    </w:p>
    <w:p w14:paraId="02E2ACC5" w14:textId="53BA106C" w:rsidR="00EF65AE" w:rsidRPr="00EF65AE" w:rsidRDefault="00B555A0" w:rsidP="006957D3">
      <w:pPr>
        <w:pStyle w:val="ListNumber"/>
      </w:pPr>
      <w:r>
        <w:t>i</w:t>
      </w:r>
      <w:r w:rsidR="00EF65AE" w:rsidRPr="00EF65AE">
        <w:t>mprove the police response to violence against women</w:t>
      </w:r>
    </w:p>
    <w:p w14:paraId="4D0ABBDC" w14:textId="31FF7A26" w:rsidR="00EF65AE" w:rsidRPr="00EF65AE" w:rsidRDefault="00B555A0" w:rsidP="006957D3">
      <w:pPr>
        <w:pStyle w:val="ListNumber"/>
      </w:pPr>
      <w:r>
        <w:t>i</w:t>
      </w:r>
      <w:r w:rsidR="00EF65AE" w:rsidRPr="00EF65AE">
        <w:t xml:space="preserve">ncrease support for </w:t>
      </w:r>
      <w:r w:rsidR="00B86AC7">
        <w:t>N</w:t>
      </w:r>
      <w:r w:rsidR="00B86AC7" w:rsidRPr="00B86AC7">
        <w:t>GOs</w:t>
      </w:r>
      <w:r w:rsidR="00EF65AE" w:rsidRPr="00EF65AE">
        <w:t xml:space="preserve"> offering women legal literacy and human rights training.</w:t>
      </w:r>
    </w:p>
    <w:p w14:paraId="2FD5CCE7" w14:textId="23392573" w:rsidR="00EF65AE" w:rsidRPr="00EF65AE" w:rsidRDefault="004A793A" w:rsidP="00C00AC6">
      <w:pPr>
        <w:pStyle w:val="Heading2"/>
      </w:pPr>
      <w:bookmarkStart w:id="208" w:name="_Toc14959600"/>
      <w:bookmarkStart w:id="209" w:name="_Toc15378126"/>
      <w:bookmarkStart w:id="210" w:name="_Toc15378475"/>
      <w:bookmarkStart w:id="211" w:name="_Toc15563005"/>
      <w:bookmarkStart w:id="212" w:name="_Toc23434541"/>
      <w:r w:rsidRPr="00EF65AE">
        <w:t>Progress to date</w:t>
      </w:r>
      <w:bookmarkEnd w:id="208"/>
      <w:bookmarkEnd w:id="209"/>
      <w:bookmarkEnd w:id="210"/>
      <w:bookmarkEnd w:id="211"/>
      <w:bookmarkEnd w:id="212"/>
    </w:p>
    <w:p w14:paraId="38228C91" w14:textId="77777777" w:rsidR="00EF65AE" w:rsidRPr="00EF65AE" w:rsidRDefault="00EF65AE" w:rsidP="00EF65AE">
      <w:pPr>
        <w:rPr>
          <w:rFonts w:cs="Arial"/>
        </w:rPr>
      </w:pPr>
      <w:r w:rsidRPr="00EF65AE">
        <w:rPr>
          <w:rFonts w:cs="Arial"/>
        </w:rPr>
        <w:t xml:space="preserve">The evaluation team found enormous progress has been made </w:t>
      </w:r>
      <w:r w:rsidR="00630A46">
        <w:rPr>
          <w:rFonts w:cs="Arial"/>
        </w:rPr>
        <w:t>with all four recommendations</w:t>
      </w:r>
      <w:r w:rsidRPr="00EF65AE">
        <w:rPr>
          <w:rFonts w:cs="Arial"/>
        </w:rPr>
        <w:t xml:space="preserve"> over the last </w:t>
      </w:r>
      <w:r w:rsidR="00630A46">
        <w:rPr>
          <w:rFonts w:cs="Arial"/>
        </w:rPr>
        <w:t>10</w:t>
      </w:r>
      <w:r w:rsidR="00630A46" w:rsidRPr="00EF65AE">
        <w:rPr>
          <w:rFonts w:cs="Arial"/>
        </w:rPr>
        <w:t xml:space="preserve"> </w:t>
      </w:r>
      <w:r w:rsidRPr="00EF65AE">
        <w:rPr>
          <w:rFonts w:cs="Arial"/>
        </w:rPr>
        <w:t xml:space="preserve">years, though access to justice remains challenging. The recommendations from the 2008 ODE report are still relevant, though progress over the last </w:t>
      </w:r>
      <w:r w:rsidR="00B86AC7">
        <w:rPr>
          <w:rFonts w:cs="Arial"/>
        </w:rPr>
        <w:t>decade</w:t>
      </w:r>
      <w:r w:rsidRPr="00EF65AE">
        <w:rPr>
          <w:rFonts w:cs="Arial"/>
        </w:rPr>
        <w:t xml:space="preserve"> means there are new conditions under which women and girls are accessing justice.</w:t>
      </w:r>
    </w:p>
    <w:p w14:paraId="20775791" w14:textId="77777777" w:rsidR="00EF65AE" w:rsidRPr="00EF65AE" w:rsidRDefault="00EF65AE" w:rsidP="00C00AC6">
      <w:pPr>
        <w:pStyle w:val="Heading3NoTOC"/>
      </w:pPr>
      <w:r w:rsidRPr="00EF65AE">
        <w:t>New domestic violence legislation</w:t>
      </w:r>
    </w:p>
    <w:p w14:paraId="1D6714B1" w14:textId="2DFD4FF4" w:rsidR="00EF65AE" w:rsidRPr="00EF65AE" w:rsidRDefault="00EF65AE" w:rsidP="00EF65AE">
      <w:pPr>
        <w:rPr>
          <w:rFonts w:cs="Arial"/>
        </w:rPr>
      </w:pPr>
      <w:r w:rsidRPr="00EF65AE">
        <w:rPr>
          <w:rFonts w:cs="Arial"/>
        </w:rPr>
        <w:t xml:space="preserve">Ten years ago, most countries in </w:t>
      </w:r>
      <w:r w:rsidR="00D272BA">
        <w:rPr>
          <w:rFonts w:cs="Arial"/>
        </w:rPr>
        <w:t>the</w:t>
      </w:r>
      <w:r w:rsidRPr="00EF65AE">
        <w:rPr>
          <w:rFonts w:cs="Arial"/>
        </w:rPr>
        <w:t xml:space="preserve"> </w:t>
      </w:r>
      <w:r w:rsidR="00CB0DD4">
        <w:rPr>
          <w:rFonts w:cs="Arial"/>
        </w:rPr>
        <w:t>Indo-</w:t>
      </w:r>
      <w:r w:rsidRPr="00EF65AE">
        <w:rPr>
          <w:rFonts w:cs="Arial"/>
        </w:rPr>
        <w:t>Pacific lacked specific laws on VAWG. In 2018, out of 32</w:t>
      </w:r>
      <w:r w:rsidR="0012349A">
        <w:rPr>
          <w:rFonts w:cs="Arial"/>
        </w:rPr>
        <w:t> </w:t>
      </w:r>
      <w:r w:rsidRPr="00EF65AE">
        <w:rPr>
          <w:rFonts w:cs="Arial"/>
        </w:rPr>
        <w:t>countries for which data was available in Asia and the Pacific, 29 ha</w:t>
      </w:r>
      <w:r w:rsidR="00630A46">
        <w:rPr>
          <w:rFonts w:cs="Arial"/>
        </w:rPr>
        <w:t>d</w:t>
      </w:r>
      <w:r w:rsidRPr="00EF65AE">
        <w:rPr>
          <w:rFonts w:cs="Arial"/>
        </w:rPr>
        <w:t xml:space="preserve"> enacted laws criminalising domestic violence, mostly known as Family Protection Acts. </w:t>
      </w:r>
      <w:r w:rsidR="00993A31">
        <w:rPr>
          <w:rFonts w:cs="Arial"/>
        </w:rPr>
        <w:t>These</w:t>
      </w:r>
      <w:r w:rsidR="00993A31" w:rsidRPr="00EF65AE">
        <w:rPr>
          <w:rFonts w:cs="Arial"/>
        </w:rPr>
        <w:t xml:space="preserve"> </w:t>
      </w:r>
      <w:r w:rsidRPr="00EF65AE">
        <w:rPr>
          <w:rFonts w:cs="Arial"/>
        </w:rPr>
        <w:t>define domestic violence, making it a crime in its own right. Further, 23 countries have criminalised sexual harassment and 12 have explicitly recognised marital rape as a crime.</w:t>
      </w:r>
      <w:r w:rsidRPr="00EF65AE">
        <w:rPr>
          <w:rFonts w:cs="Arial"/>
        </w:rPr>
        <w:fldChar w:fldCharType="begin"/>
      </w:r>
      <w:r w:rsidRPr="00EF65AE">
        <w:rPr>
          <w:rFonts w:cs="Arial"/>
        </w:rPr>
        <w:instrText xml:space="preserve"> ADDIN ZOTERO_ITEM CSL_CITATION {"citationID":"BYnYPsTN","properties":{"formattedCitation":"\\super 54,57\\nosupersub{}","plainCitation":"54,57","noteIndex":0},"citationItems":[{"id":422,"uris":["http://zotero.org/users/4194704/items/HJBZE7HN"],"uri":["http://zotero.org/users/4194704/items/HJBZE7HN"],"itemData":{"id":422,"type":"webpage","title":"Women, Business, and the Law: Protecting women from violence","author":[{"literal":"World Bank"}],"issued":{"date-parts":[["2017"]]}}},{"id":"LnUt4Vs6/J96gLFYw","uris":["http://zotero.org/users/local/dqL838ot/items/PQ9SVKZV"],"uri":["http://zotero.org/users/local/dqL838ot/items/PQ9SVKZV"],"itemData":{"id":"iRMXrjCL/vWerp97X","type":"report","title":"Legislative Barriers to Gender Equality in Pacific Island Countries","publisher":"Pacific Women Shaping Pacific Development","publisher-place":"Suva","event-place":"Suva","author":[{"family":"Pacific Women Shaping Pacific Development Support Unit","given":""}],"issued":{"date-parts":[["2018"]]}}}],"schema":"https://github.com/citation-style-language/schema/raw/master/csl-citation.json"} </w:instrText>
      </w:r>
      <w:r w:rsidRPr="00EF65AE">
        <w:rPr>
          <w:rFonts w:cs="Arial"/>
        </w:rPr>
        <w:fldChar w:fldCharType="separate"/>
      </w:r>
      <w:r w:rsidRPr="00EF65AE">
        <w:rPr>
          <w:rFonts w:cs="Arial"/>
          <w:vertAlign w:val="superscript"/>
          <w:lang w:val="en-US"/>
        </w:rPr>
        <w:t>54,57</w:t>
      </w:r>
      <w:r w:rsidRPr="00EF65AE">
        <w:rPr>
          <w:rFonts w:cs="Arial"/>
        </w:rPr>
        <w:fldChar w:fldCharType="end"/>
      </w:r>
      <w:r w:rsidRPr="00EF65AE">
        <w:rPr>
          <w:rFonts w:cs="Arial"/>
        </w:rPr>
        <w:t xml:space="preserve"> In six of the seven focus countries</w:t>
      </w:r>
      <w:r w:rsidR="00D272BA">
        <w:rPr>
          <w:rFonts w:cs="Arial"/>
        </w:rPr>
        <w:t xml:space="preserve"> in this evaluation</w:t>
      </w:r>
      <w:r w:rsidRPr="00EF65AE">
        <w:rPr>
          <w:rFonts w:cs="Arial"/>
        </w:rPr>
        <w:t xml:space="preserve"> (Indonesia being the exception, having introduced its Domestic Violence Law in 2004)</w:t>
      </w:r>
      <w:r w:rsidR="00D272BA">
        <w:rPr>
          <w:rFonts w:cs="Arial"/>
        </w:rPr>
        <w:t>,</w:t>
      </w:r>
      <w:r w:rsidRPr="00EF65AE">
        <w:rPr>
          <w:rFonts w:cs="Arial"/>
        </w:rPr>
        <w:t xml:space="preserve"> domestic violence legislation was enacted after 2008. Annex 4 presents additional information on legislative reforms in the focus countries. </w:t>
      </w:r>
    </w:p>
    <w:p w14:paraId="16919AED" w14:textId="77777777" w:rsidR="00D272BA" w:rsidRDefault="00EF65AE" w:rsidP="00EF65AE">
      <w:pPr>
        <w:rPr>
          <w:rFonts w:cs="Arial"/>
        </w:rPr>
      </w:pPr>
      <w:r w:rsidRPr="00EF65AE">
        <w:rPr>
          <w:rFonts w:cs="Arial"/>
        </w:rPr>
        <w:t>Th</w:t>
      </w:r>
      <w:r w:rsidR="00D272BA">
        <w:rPr>
          <w:rFonts w:cs="Arial"/>
        </w:rPr>
        <w:t>is</w:t>
      </w:r>
      <w:r w:rsidRPr="00EF65AE">
        <w:rPr>
          <w:rFonts w:cs="Arial"/>
        </w:rPr>
        <w:t xml:space="preserve"> evaluation found that in the last decade, Australia has supported the development and enforcement of EVAWG legislation in at least 11 countries in Asia and the Pacific, including all seven focus countries. </w:t>
      </w:r>
    </w:p>
    <w:p w14:paraId="6AF13AA8" w14:textId="77777777" w:rsidR="00EF65AE" w:rsidRPr="00EF65AE" w:rsidRDefault="00EF65AE" w:rsidP="00EF65AE">
      <w:pPr>
        <w:rPr>
          <w:rFonts w:cs="Arial"/>
        </w:rPr>
      </w:pPr>
      <w:r w:rsidRPr="00EF65AE">
        <w:rPr>
          <w:rFonts w:cs="Arial"/>
        </w:rPr>
        <w:t xml:space="preserve">In </w:t>
      </w:r>
      <w:r w:rsidR="00630A46">
        <w:rPr>
          <w:rFonts w:cs="Arial"/>
        </w:rPr>
        <w:t xml:space="preserve">PNG, </w:t>
      </w:r>
      <w:r w:rsidRPr="00EF65AE">
        <w:rPr>
          <w:rFonts w:cs="Arial"/>
        </w:rPr>
        <w:t>Solomon Islands</w:t>
      </w:r>
      <w:r w:rsidR="00630A46">
        <w:rPr>
          <w:rFonts w:cs="Arial"/>
        </w:rPr>
        <w:t xml:space="preserve"> and</w:t>
      </w:r>
      <w:r w:rsidRPr="00EF65AE">
        <w:rPr>
          <w:rFonts w:cs="Arial"/>
        </w:rPr>
        <w:t xml:space="preserve"> Vanuatu, Australia has provided critical financial and technical support for drafting, advoca</w:t>
      </w:r>
      <w:r w:rsidR="00630A46">
        <w:rPr>
          <w:rFonts w:cs="Arial"/>
        </w:rPr>
        <w:t>ting for</w:t>
      </w:r>
      <w:r w:rsidRPr="00EF65AE">
        <w:rPr>
          <w:rFonts w:cs="Arial"/>
        </w:rPr>
        <w:t xml:space="preserve"> and </w:t>
      </w:r>
      <w:r w:rsidR="00D272BA" w:rsidRPr="00EF65AE">
        <w:rPr>
          <w:rFonts w:cs="Arial"/>
        </w:rPr>
        <w:t>implementing</w:t>
      </w:r>
      <w:r w:rsidRPr="00EF65AE">
        <w:rPr>
          <w:rFonts w:cs="Arial"/>
        </w:rPr>
        <w:t xml:space="preserve"> the laws. In Pakistan, while specific federal legislation on domestic violence was passed in 2012, since decentralisation, civil society’s focus has been primarily on provincial</w:t>
      </w:r>
      <w:r w:rsidR="00D272BA">
        <w:rPr>
          <w:rFonts w:cs="Arial"/>
        </w:rPr>
        <w:t>-</w:t>
      </w:r>
      <w:r w:rsidRPr="00EF65AE">
        <w:rPr>
          <w:rFonts w:cs="Arial"/>
        </w:rPr>
        <w:t xml:space="preserve">level laws. To date, </w:t>
      </w:r>
      <w:r w:rsidR="00630A46" w:rsidRPr="00EF65AE">
        <w:rPr>
          <w:rFonts w:cs="Arial"/>
        </w:rPr>
        <w:t>Baluchistan</w:t>
      </w:r>
      <w:r w:rsidR="00630A46">
        <w:rPr>
          <w:rFonts w:cs="Arial"/>
        </w:rPr>
        <w:t xml:space="preserve">, </w:t>
      </w:r>
      <w:r w:rsidRPr="00EF65AE">
        <w:rPr>
          <w:rFonts w:cs="Arial"/>
        </w:rPr>
        <w:t>Khyber Pakhtunkhwa, Punjab</w:t>
      </w:r>
      <w:r w:rsidR="00630A46">
        <w:rPr>
          <w:rFonts w:cs="Arial"/>
        </w:rPr>
        <w:t xml:space="preserve"> and Sindh</w:t>
      </w:r>
      <w:r w:rsidRPr="00EF65AE">
        <w:rPr>
          <w:rFonts w:cs="Arial"/>
        </w:rPr>
        <w:t xml:space="preserve"> provinces all have laws on domestic violence, with the law in Baluchistan passing in late 2018 during the completion of this evaluation. Australia has supported civil society advocacy in Pakistan to support passage of these laws. </w:t>
      </w:r>
    </w:p>
    <w:p w14:paraId="43642097" w14:textId="77777777" w:rsidR="00EF65AE" w:rsidRPr="00EF65AE" w:rsidRDefault="00EF65AE" w:rsidP="00EF65AE">
      <w:pPr>
        <w:rPr>
          <w:rFonts w:cs="Arial"/>
        </w:rPr>
      </w:pPr>
      <w:r w:rsidRPr="00EF65AE">
        <w:rPr>
          <w:rFonts w:cs="Arial"/>
        </w:rPr>
        <w:t xml:space="preserve">Specific legislation on </w:t>
      </w:r>
      <w:r w:rsidRPr="007122A0">
        <w:rPr>
          <w:rFonts w:cs="Arial"/>
          <w:bCs/>
        </w:rPr>
        <w:t>sexual offences</w:t>
      </w:r>
      <w:r w:rsidRPr="00EF65AE">
        <w:rPr>
          <w:rFonts w:cs="Arial"/>
        </w:rPr>
        <w:t xml:space="preserve"> has been passed in all focus countries except Indonesia, which has a draft Sexual Violence Bill before Parliament. </w:t>
      </w:r>
      <w:r w:rsidR="00562749">
        <w:rPr>
          <w:rFonts w:cs="Arial"/>
        </w:rPr>
        <w:t>Since</w:t>
      </w:r>
      <w:r w:rsidRPr="00EF65AE">
        <w:rPr>
          <w:rFonts w:cs="Arial"/>
        </w:rPr>
        <w:t xml:space="preserve"> the 2008 </w:t>
      </w:r>
      <w:r w:rsidR="00D272BA">
        <w:rPr>
          <w:rFonts w:cs="Arial"/>
        </w:rPr>
        <w:t xml:space="preserve">ODE </w:t>
      </w:r>
      <w:r w:rsidRPr="00EF65AE">
        <w:rPr>
          <w:rFonts w:cs="Arial"/>
        </w:rPr>
        <w:t xml:space="preserve">evaluation, most countries have amended their laws or developed new laws. Several of these amendments criminalise marital rape and broaden the definition of rape from penile-vaginal penetration to include penetration of any orifice by a body part or object. The laws have in some cases also modified the evidentiary laws for sex crimes to make them easier to prosecute. As a result, victims no longer need additional supporting evidence, such as medical documentation or witnesses, to corroborate their testimony (in Solomon Islands this was called the </w:t>
      </w:r>
      <w:r w:rsidR="00630A46">
        <w:rPr>
          <w:rFonts w:cs="Arial"/>
        </w:rPr>
        <w:t>‘</w:t>
      </w:r>
      <w:r w:rsidRPr="00EF65AE">
        <w:rPr>
          <w:rFonts w:cs="Arial"/>
        </w:rPr>
        <w:t>cautionary rule</w:t>
      </w:r>
      <w:r w:rsidR="00630A46">
        <w:rPr>
          <w:rFonts w:cs="Arial"/>
        </w:rPr>
        <w:t>’</w:t>
      </w:r>
      <w:r w:rsidRPr="00EF65AE">
        <w:rPr>
          <w:rFonts w:cs="Arial"/>
        </w:rPr>
        <w:t>, that is, a woman’s word must be treated with caution).</w:t>
      </w:r>
      <w:r w:rsidRPr="00EF65AE">
        <w:rPr>
          <w:rFonts w:cs="Arial"/>
        </w:rPr>
        <w:fldChar w:fldCharType="begin"/>
      </w:r>
      <w:r w:rsidRPr="00EF65AE">
        <w:rPr>
          <w:rFonts w:cs="Arial"/>
        </w:rPr>
        <w:instrText xml:space="preserve"> ADDIN ZOTERO_ITEM CSL_CITATION {"citationID":"zFmwTZNq","properties":{"formattedCitation":"\\super 77\\nosupersub{}","plainCitation":"77","noteIndex":0},"citationItems":[{"id":2119,"uris":["http://zotero.org/users/4194704/items/67K6JCFV"],"uri":["http://zotero.org/users/4194704/items/67K6JCFV"],"itemData":{"id":2119,"type":"chapter","title":"Human Rights Work in Papua New Guinea, Fiji and Vanuatu","container-title":"Gender and Human Rights","publisher":"ANU Press","page":"271-341","author":[{"family":"Biersack","given":"Aletta"}],"editor":[{"family":"Biersack","given":"Jolly","suffix":"Macintyre"}]}}],"schema":"https://github.com/citation-style-language/schema/raw/master/csl-citation.json"} </w:instrText>
      </w:r>
      <w:r w:rsidRPr="00EF65AE">
        <w:rPr>
          <w:rFonts w:cs="Arial"/>
        </w:rPr>
        <w:fldChar w:fldCharType="separate"/>
      </w:r>
      <w:r w:rsidRPr="00EF65AE">
        <w:rPr>
          <w:rFonts w:cs="Arial"/>
          <w:vertAlign w:val="superscript"/>
          <w:lang w:val="en-US"/>
        </w:rPr>
        <w:t>77</w:t>
      </w:r>
      <w:r w:rsidRPr="00EF65AE">
        <w:rPr>
          <w:rFonts w:cs="Arial"/>
        </w:rPr>
        <w:fldChar w:fldCharType="end"/>
      </w:r>
      <w:r w:rsidRPr="00EF65AE">
        <w:rPr>
          <w:rFonts w:cs="Arial"/>
        </w:rPr>
        <w:t xml:space="preserve">  </w:t>
      </w:r>
    </w:p>
    <w:p w14:paraId="73430783" w14:textId="77777777" w:rsidR="00D272BA" w:rsidRPr="00A36E43" w:rsidRDefault="00EF65AE" w:rsidP="00EF65AE">
      <w:pPr>
        <w:rPr>
          <w:rFonts w:cs="Arial"/>
        </w:rPr>
      </w:pPr>
      <w:r w:rsidRPr="00EF65AE">
        <w:rPr>
          <w:rFonts w:cs="Arial"/>
          <w:b/>
        </w:rPr>
        <w:t xml:space="preserve">Legislation governing marriage and </w:t>
      </w:r>
      <w:r w:rsidRPr="00A36E43">
        <w:rPr>
          <w:rFonts w:cs="Arial"/>
          <w:b/>
        </w:rPr>
        <w:t>divorce</w:t>
      </w:r>
      <w:r w:rsidRPr="00A36E43">
        <w:rPr>
          <w:rFonts w:cs="Arial"/>
        </w:rPr>
        <w:t xml:space="preserve"> are critical for women living with violence. To a large degree, they determine </w:t>
      </w:r>
      <w:r w:rsidR="00D272BA" w:rsidRPr="00A36E43">
        <w:rPr>
          <w:rFonts w:cs="Arial"/>
        </w:rPr>
        <w:t xml:space="preserve">if </w:t>
      </w:r>
      <w:r w:rsidRPr="00A36E43">
        <w:rPr>
          <w:rFonts w:cs="Arial"/>
        </w:rPr>
        <w:t xml:space="preserve">women </w:t>
      </w:r>
      <w:r w:rsidR="00D272BA" w:rsidRPr="00A36E43">
        <w:rPr>
          <w:rFonts w:cs="Arial"/>
        </w:rPr>
        <w:t>can</w:t>
      </w:r>
      <w:r w:rsidRPr="00DA259B">
        <w:rPr>
          <w:rFonts w:cs="Arial"/>
        </w:rPr>
        <w:t xml:space="preserve"> obtain protection orders, divorce, </w:t>
      </w:r>
      <w:r w:rsidR="00A36E43">
        <w:rPr>
          <w:rFonts w:cs="Arial"/>
        </w:rPr>
        <w:t xml:space="preserve">maintain </w:t>
      </w:r>
      <w:r w:rsidRPr="00DA259B">
        <w:rPr>
          <w:rFonts w:cs="Arial"/>
        </w:rPr>
        <w:t>their rights to child custody and support, or divi</w:t>
      </w:r>
      <w:r w:rsidR="00A36E43">
        <w:rPr>
          <w:rFonts w:cs="Arial"/>
        </w:rPr>
        <w:t>de</w:t>
      </w:r>
      <w:r w:rsidRPr="00DA259B">
        <w:rPr>
          <w:rFonts w:cs="Arial"/>
        </w:rPr>
        <w:t xml:space="preserve"> prop</w:t>
      </w:r>
      <w:r w:rsidRPr="00A36E43">
        <w:rPr>
          <w:rFonts w:cs="Arial"/>
        </w:rPr>
        <w:t>erty</w:t>
      </w:r>
      <w:r w:rsidR="00E2253F" w:rsidRPr="00A36E43">
        <w:rPr>
          <w:rFonts w:cs="Arial"/>
        </w:rPr>
        <w:t xml:space="preserve">. </w:t>
      </w:r>
    </w:p>
    <w:p w14:paraId="6D841171" w14:textId="77777777" w:rsidR="00D272BA" w:rsidRDefault="00EF65AE" w:rsidP="00EF65AE">
      <w:pPr>
        <w:rPr>
          <w:rFonts w:cs="Arial"/>
        </w:rPr>
      </w:pPr>
      <w:r w:rsidRPr="00EF65AE">
        <w:rPr>
          <w:rFonts w:cs="Arial"/>
        </w:rPr>
        <w:t>Fiji is</w:t>
      </w:r>
      <w:r w:rsidR="00630A46">
        <w:rPr>
          <w:rFonts w:cs="Arial"/>
        </w:rPr>
        <w:t xml:space="preserve"> currently</w:t>
      </w:r>
      <w:r w:rsidRPr="00EF65AE">
        <w:rPr>
          <w:rFonts w:cs="Arial"/>
        </w:rPr>
        <w:t xml:space="preserve"> the only focus country to allow no-fault divorce. Fiji’s 2003 reform, as well as recognition of de facto unions (giving women in common-law unions the same rights as married women) has provided the possibility for many women to escape violent relationships, obtain Domestic Violence Orders, or inherit property from a deceased spouse, among other benefits</w:t>
      </w:r>
      <w:r w:rsidR="00E2253F">
        <w:rPr>
          <w:rFonts w:cs="Arial"/>
        </w:rPr>
        <w:t xml:space="preserve">. </w:t>
      </w:r>
    </w:p>
    <w:p w14:paraId="7E9E08C5" w14:textId="77777777" w:rsidR="00EF65AE" w:rsidRPr="00EF65AE" w:rsidRDefault="00EF65AE" w:rsidP="00EF65AE">
      <w:pPr>
        <w:rPr>
          <w:rFonts w:cs="Arial"/>
        </w:rPr>
      </w:pPr>
      <w:r w:rsidRPr="00EF65AE">
        <w:rPr>
          <w:rFonts w:cs="Arial"/>
        </w:rPr>
        <w:t>In Pakistan, the Hindu Marriage Act and Christian Marriage Act have been amended to give divorce rights and proper registration. In addition, the Prevention of Anti-Women Practices amendments to the Criminal Law in 2011 created offences for forced marriage of women and marriage of a woman to the Holy Quran and prohibited depriving women from inheriting property.</w:t>
      </w:r>
    </w:p>
    <w:p w14:paraId="0FC35CFD" w14:textId="77777777" w:rsidR="00EF65AE" w:rsidRPr="00EF65AE" w:rsidRDefault="00EF65AE" w:rsidP="00EF65AE">
      <w:pPr>
        <w:rPr>
          <w:rFonts w:cs="Arial"/>
        </w:rPr>
      </w:pPr>
      <w:r w:rsidRPr="00EF65AE">
        <w:rPr>
          <w:rFonts w:cs="Arial"/>
        </w:rPr>
        <w:t xml:space="preserve">In PNG, legislative reforms have removed </w:t>
      </w:r>
      <w:r w:rsidRPr="007122A0">
        <w:rPr>
          <w:rFonts w:cs="Arial"/>
          <w:bCs/>
        </w:rPr>
        <w:t>barriers for prosecuting sorcery accusation-related crimes</w:t>
      </w:r>
      <w:r w:rsidRPr="00A27B75">
        <w:rPr>
          <w:rFonts w:cs="Arial"/>
          <w:b/>
        </w:rPr>
        <w:t xml:space="preserve"> </w:t>
      </w:r>
      <w:r w:rsidRPr="00EF65AE">
        <w:rPr>
          <w:rFonts w:cs="Arial"/>
        </w:rPr>
        <w:t>(Box 7.)</w:t>
      </w:r>
    </w:p>
    <w:p w14:paraId="54D30D48" w14:textId="77777777" w:rsidR="00EF65AE" w:rsidRPr="00EF65AE" w:rsidRDefault="00EF65AE" w:rsidP="00EF65AE">
      <w:pPr>
        <w:pStyle w:val="CallOutHeading"/>
        <w:rPr>
          <w:rFonts w:cs="Arial"/>
        </w:rPr>
      </w:pPr>
      <w:r w:rsidRPr="00EF65AE">
        <w:rPr>
          <w:rFonts w:cs="Arial"/>
        </w:rPr>
        <w:t>Box 7: Responding to sorcery accusation-related violence in P</w:t>
      </w:r>
      <w:r w:rsidR="00D736D9">
        <w:rPr>
          <w:rFonts w:cs="Arial"/>
        </w:rPr>
        <w:t>apua New Guinea</w:t>
      </w:r>
    </w:p>
    <w:p w14:paraId="3FB165E9" w14:textId="2EDCEA37" w:rsidR="00D272BA" w:rsidRDefault="00EF65AE" w:rsidP="00EF65AE">
      <w:pPr>
        <w:pStyle w:val="CallOutBody"/>
        <w:rPr>
          <w:rFonts w:cs="Arial"/>
        </w:rPr>
      </w:pPr>
      <w:r w:rsidRPr="00EF65AE">
        <w:rPr>
          <w:rFonts w:cs="Arial"/>
        </w:rPr>
        <w:t xml:space="preserve">International attention focused on </w:t>
      </w:r>
      <w:r w:rsidR="007122A0">
        <w:rPr>
          <w:rFonts w:cs="Arial"/>
        </w:rPr>
        <w:t xml:space="preserve">accusations of </w:t>
      </w:r>
      <w:r w:rsidRPr="00EF65AE">
        <w:rPr>
          <w:rFonts w:cs="Arial"/>
        </w:rPr>
        <w:t>th</w:t>
      </w:r>
      <w:r w:rsidR="00630A46">
        <w:rPr>
          <w:rFonts w:cs="Arial"/>
        </w:rPr>
        <w:t>e</w:t>
      </w:r>
      <w:r w:rsidRPr="00EF65AE">
        <w:rPr>
          <w:rFonts w:cs="Arial"/>
        </w:rPr>
        <w:t xml:space="preserve"> practice</w:t>
      </w:r>
      <w:r w:rsidR="00630A46">
        <w:rPr>
          <w:rFonts w:cs="Arial"/>
        </w:rPr>
        <w:t xml:space="preserve"> of so</w:t>
      </w:r>
      <w:r w:rsidR="007122A0">
        <w:rPr>
          <w:rFonts w:cs="Arial"/>
        </w:rPr>
        <w:t>r</w:t>
      </w:r>
      <w:r w:rsidR="00630A46">
        <w:rPr>
          <w:rFonts w:cs="Arial"/>
        </w:rPr>
        <w:t>cery</w:t>
      </w:r>
      <w:r w:rsidRPr="00EF65AE">
        <w:rPr>
          <w:rFonts w:cs="Arial"/>
        </w:rPr>
        <w:t xml:space="preserve"> in 2013, when a 20</w:t>
      </w:r>
      <w:r w:rsidR="0012349A">
        <w:rPr>
          <w:rFonts w:cs="Arial"/>
        </w:rPr>
        <w:noBreakHyphen/>
      </w:r>
      <w:r w:rsidRPr="00EF65AE">
        <w:rPr>
          <w:rFonts w:cs="Arial"/>
        </w:rPr>
        <w:t>year</w:t>
      </w:r>
      <w:r w:rsidR="0012349A">
        <w:rPr>
          <w:rFonts w:cs="Arial"/>
        </w:rPr>
        <w:noBreakHyphen/>
      </w:r>
      <w:r w:rsidRPr="00EF65AE">
        <w:rPr>
          <w:rFonts w:cs="Arial"/>
        </w:rPr>
        <w:t>old woman, Kepari Leniata, was publicly tortured and burned alive in Mt. Hagen in the PNG Highlands. This brutal murder galvanised public outrage</w:t>
      </w:r>
      <w:r w:rsidR="00D272BA">
        <w:rPr>
          <w:rFonts w:cs="Arial"/>
        </w:rPr>
        <w:t>.</w:t>
      </w:r>
    </w:p>
    <w:p w14:paraId="139F84EC" w14:textId="31787071" w:rsidR="00D272BA" w:rsidRDefault="00D272BA" w:rsidP="00EF65AE">
      <w:pPr>
        <w:pStyle w:val="CallOutBody"/>
        <w:rPr>
          <w:rFonts w:cs="Arial"/>
        </w:rPr>
      </w:pPr>
      <w:r>
        <w:rPr>
          <w:rFonts w:cs="Arial"/>
        </w:rPr>
        <w:t xml:space="preserve">A </w:t>
      </w:r>
      <w:r w:rsidR="00EF65AE" w:rsidRPr="00EF65AE">
        <w:rPr>
          <w:rFonts w:cs="Arial"/>
        </w:rPr>
        <w:t>coalition of women’s groups</w:t>
      </w:r>
      <w:r w:rsidR="00630A46">
        <w:rPr>
          <w:rFonts w:cs="Arial"/>
        </w:rPr>
        <w:t>,</w:t>
      </w:r>
      <w:r w:rsidR="00EF65AE" w:rsidRPr="00EF65AE">
        <w:rPr>
          <w:rFonts w:cs="Arial"/>
        </w:rPr>
        <w:t xml:space="preserve"> called Women Arise</w:t>
      </w:r>
      <w:r w:rsidR="00630A46">
        <w:rPr>
          <w:rFonts w:cs="Arial"/>
        </w:rPr>
        <w:t>,</w:t>
      </w:r>
      <w:r w:rsidR="00EF65AE" w:rsidRPr="00EF65AE">
        <w:rPr>
          <w:rFonts w:cs="Arial"/>
        </w:rPr>
        <w:t xml:space="preserve"> held </w:t>
      </w:r>
      <w:r w:rsidR="00EF65AE" w:rsidRPr="00EF65AE">
        <w:rPr>
          <w:rFonts w:cs="Arial"/>
          <w:i/>
        </w:rPr>
        <w:t>Haus Krai</w:t>
      </w:r>
      <w:r w:rsidR="00EF65AE" w:rsidRPr="00EF65AE">
        <w:rPr>
          <w:rFonts w:cs="Arial"/>
        </w:rPr>
        <w:t xml:space="preserve"> (House of Mourning) events which were replicated throughout PNG and in many other cities around the world. They also set up a Facebook campaign called </w:t>
      </w:r>
      <w:r w:rsidR="00630A46">
        <w:rPr>
          <w:rFonts w:cs="Arial"/>
        </w:rPr>
        <w:t>‘</w:t>
      </w:r>
      <w:r w:rsidR="00EF65AE" w:rsidRPr="00EF65AE">
        <w:rPr>
          <w:rFonts w:cs="Arial"/>
        </w:rPr>
        <w:t>Remembering Kepari Leniata</w:t>
      </w:r>
      <w:r w:rsidR="00630A46">
        <w:rPr>
          <w:rFonts w:cs="Arial"/>
        </w:rPr>
        <w:t>’,</w:t>
      </w:r>
      <w:r w:rsidR="00EF65AE" w:rsidRPr="00EF65AE">
        <w:rPr>
          <w:rFonts w:cs="Arial"/>
        </w:rPr>
        <w:t xml:space="preserve"> which garnered international support.</w:t>
      </w:r>
      <w:r w:rsidR="00EF65AE" w:rsidRPr="00EF65AE">
        <w:rPr>
          <w:rFonts w:cs="Arial"/>
        </w:rPr>
        <w:fldChar w:fldCharType="begin"/>
      </w:r>
      <w:r w:rsidR="00EF65AE" w:rsidRPr="00EF65AE">
        <w:rPr>
          <w:rFonts w:cs="Arial"/>
        </w:rPr>
        <w:instrText xml:space="preserve"> ADDIN ZOTERO_ITEM CSL_CITATION {"citationID":"CuBjZrBz","properties":{"formattedCitation":"\\super 77\\nosupersub{}","plainCitation":"77","noteIndex":0},"citationItems":[{"id":2119,"uris":["http://zotero.org/users/4194704/items/67K6JCFV"],"uri":["http://zotero.org/users/4194704/items/67K6JCFV"],"itemData":{"id":2119,"type":"chapter","title":"Human Rights Work in Papua New Guinea, Fiji and Vanuatu","container-title":"Gender and Human Rights","publisher":"ANU Press","page":"271-341","author":[{"family":"Biersack","given":"Aletta"}],"editor":[{"family":"Biersack","given":"Jolly","suffix":"Macintyre"}]}}],"schema":"https://github.com/citation-style-language/schema/raw/master/csl-citation.json"}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77</w:t>
      </w:r>
      <w:r w:rsidR="00EF65AE" w:rsidRPr="00EF65AE">
        <w:rPr>
          <w:rFonts w:cs="Arial"/>
        </w:rPr>
        <w:fldChar w:fldCharType="end"/>
      </w:r>
      <w:r w:rsidR="00EF65AE" w:rsidRPr="00EF65AE">
        <w:rPr>
          <w:rFonts w:cs="Arial"/>
        </w:rPr>
        <w:t xml:space="preserve"> </w:t>
      </w:r>
    </w:p>
    <w:p w14:paraId="69BB0D13" w14:textId="77777777" w:rsidR="00EF65AE" w:rsidRPr="00EF65AE" w:rsidRDefault="00EF65AE" w:rsidP="00EF65AE">
      <w:pPr>
        <w:pStyle w:val="CallOutBody"/>
        <w:rPr>
          <w:rFonts w:cs="Arial"/>
        </w:rPr>
      </w:pPr>
      <w:r w:rsidRPr="00EF65AE">
        <w:rPr>
          <w:rFonts w:cs="Arial"/>
        </w:rPr>
        <w:t>Three months later, the PNG Parliament repealed the Sorcery Act of 1971. A new provision was also made in The Criminal Code Act 1974, explicitly giving the death penalty for sorcery accusation-related murders. An official from the Department of Justice and Attorney General, explained how they have addressed the issue:</w:t>
      </w:r>
    </w:p>
    <w:p w14:paraId="47F18CB6" w14:textId="77777777" w:rsidR="00EF65AE" w:rsidRPr="00EF65AE" w:rsidRDefault="00EF65AE" w:rsidP="00EF65AE">
      <w:pPr>
        <w:pStyle w:val="CallOutBody"/>
        <w:rPr>
          <w:rFonts w:cs="Arial"/>
        </w:rPr>
      </w:pPr>
      <w:r w:rsidRPr="00DA259B">
        <w:rPr>
          <w:rFonts w:cs="Arial"/>
          <w:i/>
          <w:iCs/>
        </w:rPr>
        <w:t>We are very mindful of the language we use</w:t>
      </w:r>
      <w:r w:rsidR="00630A46" w:rsidRPr="00DA259B">
        <w:rPr>
          <w:rFonts w:cs="Arial"/>
          <w:i/>
          <w:iCs/>
        </w:rPr>
        <w:t>—</w:t>
      </w:r>
      <w:r w:rsidRPr="00DA259B">
        <w:rPr>
          <w:rFonts w:cs="Arial"/>
          <w:i/>
          <w:iCs/>
        </w:rPr>
        <w:t>we don’t recognise sorcery</w:t>
      </w:r>
      <w:r w:rsidR="00630A46" w:rsidRPr="00DA259B">
        <w:rPr>
          <w:rFonts w:cs="Arial"/>
          <w:i/>
          <w:iCs/>
        </w:rPr>
        <w:t>—</w:t>
      </w:r>
      <w:r w:rsidRPr="00DA259B">
        <w:rPr>
          <w:rFonts w:cs="Arial"/>
          <w:i/>
          <w:iCs/>
        </w:rPr>
        <w:t>it’s the violence related to the accusations that we are talking about</w:t>
      </w:r>
      <w:r w:rsidR="00E2253F" w:rsidRPr="00DA259B">
        <w:rPr>
          <w:rFonts w:cs="Arial"/>
          <w:i/>
          <w:iCs/>
        </w:rPr>
        <w:t xml:space="preserve">. </w:t>
      </w:r>
      <w:r w:rsidRPr="00DA259B">
        <w:rPr>
          <w:rFonts w:cs="Arial"/>
          <w:i/>
          <w:iCs/>
        </w:rPr>
        <w:t>If you use violence because you believe in that, it is wilful murder</w:t>
      </w:r>
      <w:r w:rsidR="00D272BA" w:rsidRPr="00DA259B">
        <w:rPr>
          <w:rFonts w:cs="Arial"/>
          <w:i/>
          <w:iCs/>
        </w:rPr>
        <w:t xml:space="preserve"> …</w:t>
      </w:r>
      <w:r w:rsidRPr="00EF65AE">
        <w:rPr>
          <w:rFonts w:cs="Arial"/>
        </w:rPr>
        <w:t xml:space="preserve"> </w:t>
      </w:r>
    </w:p>
    <w:p w14:paraId="18AFF0CB" w14:textId="1A1500D2" w:rsidR="00EF65AE" w:rsidRPr="00EF65AE" w:rsidRDefault="00EF65AE" w:rsidP="00EF65AE">
      <w:pPr>
        <w:pStyle w:val="CallOutBody"/>
        <w:rPr>
          <w:rFonts w:cs="Arial"/>
        </w:rPr>
      </w:pPr>
      <w:r w:rsidRPr="00EF65AE">
        <w:rPr>
          <w:rFonts w:cs="Arial"/>
        </w:rPr>
        <w:t xml:space="preserve">In 2015, the PNG </w:t>
      </w:r>
      <w:r w:rsidR="00630A46">
        <w:rPr>
          <w:rFonts w:cs="Arial"/>
        </w:rPr>
        <w:t>G</w:t>
      </w:r>
      <w:r w:rsidRPr="00EF65AE">
        <w:rPr>
          <w:rFonts w:cs="Arial"/>
        </w:rPr>
        <w:t xml:space="preserve">overnment approved the </w:t>
      </w:r>
      <w:r w:rsidRPr="00741064">
        <w:rPr>
          <w:rFonts w:cs="Arial"/>
          <w:i/>
        </w:rPr>
        <w:t>Sorcery Accusation-Related Violence National Action Plan</w:t>
      </w:r>
      <w:r w:rsidRPr="00EF65AE">
        <w:rPr>
          <w:rFonts w:cs="Arial"/>
        </w:rPr>
        <w:t xml:space="preserve">. Although the repeal of the Sorcery Act and the approval of the </w:t>
      </w:r>
      <w:r w:rsidR="00D272BA">
        <w:rPr>
          <w:rFonts w:cs="Arial"/>
        </w:rPr>
        <w:t>a</w:t>
      </w:r>
      <w:r w:rsidR="00E35E07">
        <w:rPr>
          <w:rFonts w:cs="Arial"/>
        </w:rPr>
        <w:t xml:space="preserve">ction </w:t>
      </w:r>
      <w:r w:rsidR="00D272BA">
        <w:rPr>
          <w:rFonts w:cs="Arial"/>
        </w:rPr>
        <w:t>p</w:t>
      </w:r>
      <w:r w:rsidR="00E35E07">
        <w:rPr>
          <w:rFonts w:cs="Arial"/>
        </w:rPr>
        <w:t>lan</w:t>
      </w:r>
      <w:r w:rsidR="00E35E07" w:rsidRPr="00EF65AE">
        <w:rPr>
          <w:rFonts w:cs="Arial"/>
        </w:rPr>
        <w:t xml:space="preserve"> </w:t>
      </w:r>
      <w:r w:rsidRPr="00EF65AE">
        <w:rPr>
          <w:rFonts w:cs="Arial"/>
        </w:rPr>
        <w:t xml:space="preserve">are key steps to be able to prosecute violence associated with sorcery accusations, there </w:t>
      </w:r>
      <w:r w:rsidR="00CF39EB">
        <w:rPr>
          <w:rFonts w:cs="Arial"/>
        </w:rPr>
        <w:t>is still some</w:t>
      </w:r>
      <w:r w:rsidRPr="00EF65AE">
        <w:rPr>
          <w:rFonts w:cs="Arial"/>
        </w:rPr>
        <w:t xml:space="preserve"> confusion </w:t>
      </w:r>
      <w:r w:rsidR="00E35E07">
        <w:rPr>
          <w:rFonts w:cs="Arial"/>
        </w:rPr>
        <w:t>over</w:t>
      </w:r>
      <w:r w:rsidRPr="00EF65AE">
        <w:rPr>
          <w:rFonts w:cs="Arial"/>
        </w:rPr>
        <w:t xml:space="preserve"> what the law means, and prosecution is mini</w:t>
      </w:r>
      <w:r w:rsidR="00845373">
        <w:rPr>
          <w:rFonts w:cs="Arial"/>
        </w:rPr>
        <w:t xml:space="preserve">mal. </w:t>
      </w:r>
      <w:r w:rsidR="00753149">
        <w:rPr>
          <w:rFonts w:cs="Arial"/>
        </w:rPr>
        <w:t>S</w:t>
      </w:r>
      <w:r w:rsidR="00E35E07">
        <w:rPr>
          <w:rFonts w:cs="Arial"/>
        </w:rPr>
        <w:t xml:space="preserve">ome </w:t>
      </w:r>
      <w:r w:rsidRPr="00EF65AE">
        <w:rPr>
          <w:rFonts w:cs="Arial"/>
        </w:rPr>
        <w:t>recent high</w:t>
      </w:r>
      <w:r w:rsidR="00E35E07">
        <w:rPr>
          <w:rFonts w:cs="Arial"/>
        </w:rPr>
        <w:t>-</w:t>
      </w:r>
      <w:r w:rsidRPr="00EF65AE">
        <w:rPr>
          <w:rFonts w:cs="Arial"/>
        </w:rPr>
        <w:t xml:space="preserve">profile cases have resulted </w:t>
      </w:r>
      <w:r w:rsidR="00845373">
        <w:rPr>
          <w:rFonts w:cs="Arial"/>
        </w:rPr>
        <w:t xml:space="preserve">in </w:t>
      </w:r>
      <w:r w:rsidRPr="00EF65AE">
        <w:rPr>
          <w:rFonts w:cs="Arial"/>
        </w:rPr>
        <w:t xml:space="preserve">sentences </w:t>
      </w:r>
      <w:r w:rsidR="00845373">
        <w:rPr>
          <w:rFonts w:cs="Arial"/>
        </w:rPr>
        <w:t>of</w:t>
      </w:r>
      <w:r w:rsidR="00753149">
        <w:rPr>
          <w:rFonts w:cs="Arial"/>
        </w:rPr>
        <w:t xml:space="preserve"> life i</w:t>
      </w:r>
      <w:r w:rsidR="001C5D1A">
        <w:rPr>
          <w:rFonts w:cs="Arial"/>
        </w:rPr>
        <w:t>m</w:t>
      </w:r>
      <w:r w:rsidR="00753149">
        <w:rPr>
          <w:rFonts w:cs="Arial"/>
        </w:rPr>
        <w:t>prisonment</w:t>
      </w:r>
      <w:r w:rsidRPr="00EF65AE">
        <w:rPr>
          <w:rFonts w:cs="Arial"/>
          <w:vertAlign w:val="superscript"/>
        </w:rPr>
        <w:t>138</w:t>
      </w:r>
      <w:r w:rsidR="001C5D1A">
        <w:t>, b</w:t>
      </w:r>
      <w:r w:rsidR="00753149">
        <w:t>ut</w:t>
      </w:r>
      <w:r w:rsidR="00CF39EB">
        <w:t xml:space="preserve"> prosecution will continue to be difficult as accusers are often groups of people reluctant to report each other so </w:t>
      </w:r>
      <w:r w:rsidR="007F4B30">
        <w:t xml:space="preserve">police </w:t>
      </w:r>
      <w:r w:rsidR="00CF39EB">
        <w:t xml:space="preserve">to identify </w:t>
      </w:r>
      <w:r w:rsidR="007F4B30">
        <w:t>offenders.</w:t>
      </w:r>
      <w:r w:rsidR="00CF39EB">
        <w:t> </w:t>
      </w:r>
    </w:p>
    <w:p w14:paraId="30B56AF2" w14:textId="77777777" w:rsidR="00EF65AE" w:rsidRPr="00EF65AE" w:rsidRDefault="00EF65AE" w:rsidP="00EF65AE">
      <w:pPr>
        <w:pStyle w:val="CallOutBody"/>
        <w:rPr>
          <w:rFonts w:cs="Arial"/>
          <w:lang w:val="en-GB"/>
        </w:rPr>
      </w:pPr>
      <w:r w:rsidRPr="00EF65AE">
        <w:rPr>
          <w:rFonts w:cs="Arial"/>
        </w:rPr>
        <w:t xml:space="preserve">Survivors of sorcery accusation-related violence are often not able to return to their villages and </w:t>
      </w:r>
      <w:r w:rsidR="00E35E07">
        <w:rPr>
          <w:rFonts w:cs="Arial"/>
        </w:rPr>
        <w:t xml:space="preserve">they </w:t>
      </w:r>
      <w:r w:rsidRPr="00EF65AE">
        <w:rPr>
          <w:rFonts w:cs="Arial"/>
        </w:rPr>
        <w:t xml:space="preserve">require extensive medical attention or lengthy legal proceedings before they can be relocated with their children to another village. The </w:t>
      </w:r>
      <w:r w:rsidRPr="00EF65AE">
        <w:rPr>
          <w:rFonts w:cs="Arial"/>
          <w:i/>
        </w:rPr>
        <w:t>Meri Seif Haus</w:t>
      </w:r>
      <w:r w:rsidRPr="00EF65AE">
        <w:rPr>
          <w:rFonts w:cs="Arial"/>
        </w:rPr>
        <w:t xml:space="preserve"> in the Eastern Highlands of PNG works with Oxfam and women’s human rights defenders, such as the Kafe Urban Settlers </w:t>
      </w:r>
      <w:r w:rsidR="00181BE6" w:rsidRPr="00EF65AE">
        <w:rPr>
          <w:rFonts w:cs="Arial"/>
        </w:rPr>
        <w:t xml:space="preserve">Women’s </w:t>
      </w:r>
      <w:r w:rsidRPr="00EF65AE">
        <w:rPr>
          <w:rFonts w:cs="Arial"/>
        </w:rPr>
        <w:t xml:space="preserve">Association, to provide life-saving services for survivors of sorcery accusation-related violence, including shelter, medical and legal services, rehabilitation and relocation. </w:t>
      </w:r>
    </w:p>
    <w:p w14:paraId="3AD49F87" w14:textId="77777777" w:rsidR="00E35E07" w:rsidRPr="00E13AE6" w:rsidRDefault="00EF65AE" w:rsidP="00EF65AE">
      <w:pPr>
        <w:pStyle w:val="CallOutBody"/>
        <w:rPr>
          <w:rFonts w:cs="Arial"/>
          <w:lang w:val="en-GB"/>
        </w:rPr>
      </w:pPr>
      <w:r w:rsidRPr="00EF65AE">
        <w:rPr>
          <w:rFonts w:cs="Arial"/>
        </w:rPr>
        <w:t xml:space="preserve">One survivor of this violence who spoke to the evaluation team fled to the </w:t>
      </w:r>
      <w:r w:rsidRPr="00EF65AE">
        <w:rPr>
          <w:rFonts w:cs="Arial"/>
          <w:i/>
        </w:rPr>
        <w:t>Meri Seif Haus</w:t>
      </w:r>
      <w:r w:rsidRPr="00EF65AE">
        <w:rPr>
          <w:rFonts w:cs="Arial"/>
        </w:rPr>
        <w:t xml:space="preserve"> after her husband accused her of </w:t>
      </w:r>
      <w:r w:rsidRPr="00EF65AE">
        <w:rPr>
          <w:rFonts w:cs="Arial"/>
          <w:i/>
        </w:rPr>
        <w:t xml:space="preserve">sanguma </w:t>
      </w:r>
      <w:r w:rsidRPr="00EF65AE">
        <w:rPr>
          <w:rFonts w:cs="Arial"/>
        </w:rPr>
        <w:t xml:space="preserve">(sorcery): </w:t>
      </w:r>
    </w:p>
    <w:p w14:paraId="09F8E12D" w14:textId="77777777" w:rsidR="00EF65AE" w:rsidRPr="00DA259B" w:rsidRDefault="00EF65AE" w:rsidP="00EF65AE">
      <w:pPr>
        <w:pStyle w:val="CallOutBody"/>
        <w:rPr>
          <w:rFonts w:cs="Arial"/>
          <w:i/>
          <w:iCs/>
          <w:lang w:val="en-GB"/>
        </w:rPr>
      </w:pPr>
      <w:r w:rsidRPr="00DA259B">
        <w:rPr>
          <w:rFonts w:cs="Arial"/>
          <w:i/>
          <w:iCs/>
        </w:rPr>
        <w:t xml:space="preserve">My husband accused me of </w:t>
      </w:r>
      <w:r w:rsidRPr="00DA259B">
        <w:rPr>
          <w:rFonts w:cs="Arial"/>
        </w:rPr>
        <w:t>sanguma</w:t>
      </w:r>
      <w:r w:rsidRPr="00DA259B">
        <w:rPr>
          <w:rFonts w:cs="Arial"/>
          <w:i/>
          <w:iCs/>
        </w:rPr>
        <w:t xml:space="preserve"> on Friday</w:t>
      </w:r>
      <w:r w:rsidR="00E35E07" w:rsidRPr="00DA259B">
        <w:rPr>
          <w:rFonts w:cs="Arial"/>
          <w:i/>
          <w:iCs/>
        </w:rPr>
        <w:t>.</w:t>
      </w:r>
      <w:r w:rsidRPr="00DA259B">
        <w:rPr>
          <w:rFonts w:cs="Arial"/>
          <w:i/>
          <w:iCs/>
        </w:rPr>
        <w:t xml:space="preserve"> I was afraid that I would just be sitting in my house, probably sleeping and they would just attack me and kill me at night. I cried all night and then fled on Saturday</w:t>
      </w:r>
      <w:r w:rsidR="00E35E07" w:rsidRPr="00DA259B">
        <w:rPr>
          <w:rFonts w:cs="Arial"/>
          <w:i/>
          <w:iCs/>
        </w:rPr>
        <w:t xml:space="preserve"> </w:t>
      </w:r>
      <w:r w:rsidRPr="00DA259B">
        <w:rPr>
          <w:rFonts w:cs="Arial"/>
          <w:i/>
          <w:iCs/>
        </w:rPr>
        <w:t>… Now I feel safe and I am happy because they help me a lot</w:t>
      </w:r>
      <w:r w:rsidR="00E35E07" w:rsidRPr="00DA259B">
        <w:rPr>
          <w:rFonts w:cs="Arial"/>
          <w:i/>
          <w:iCs/>
        </w:rPr>
        <w:t xml:space="preserve"> </w:t>
      </w:r>
      <w:r w:rsidRPr="00DA259B">
        <w:rPr>
          <w:rFonts w:cs="Arial"/>
          <w:i/>
          <w:iCs/>
        </w:rPr>
        <w:t>… I can talk about my problem. I forget that I have stressful issues and I feel better</w:t>
      </w:r>
      <w:r w:rsidR="00E35E07" w:rsidRPr="00DA259B">
        <w:rPr>
          <w:rFonts w:cs="Arial"/>
          <w:i/>
          <w:iCs/>
        </w:rPr>
        <w:t xml:space="preserve"> </w:t>
      </w:r>
      <w:r w:rsidRPr="00DA259B">
        <w:rPr>
          <w:rFonts w:cs="Arial"/>
          <w:i/>
          <w:iCs/>
        </w:rPr>
        <w:t>… I want to stay here forever. I don’t cry, I don’t think so much</w:t>
      </w:r>
      <w:r w:rsidR="00E35E07" w:rsidRPr="00DA259B">
        <w:rPr>
          <w:rFonts w:cs="Arial"/>
          <w:i/>
          <w:iCs/>
        </w:rPr>
        <w:t xml:space="preserve"> </w:t>
      </w:r>
      <w:r w:rsidRPr="00DA259B">
        <w:rPr>
          <w:rFonts w:cs="Arial"/>
          <w:i/>
          <w:iCs/>
        </w:rPr>
        <w:t>…</w:t>
      </w:r>
      <w:r w:rsidRPr="00DA259B">
        <w:rPr>
          <w:rFonts w:cs="Arial"/>
          <w:i/>
          <w:iCs/>
          <w:lang w:val="en-GB"/>
        </w:rPr>
        <w:t xml:space="preserve"> </w:t>
      </w:r>
    </w:p>
    <w:p w14:paraId="2BE33ABD" w14:textId="77777777" w:rsidR="00EF65AE" w:rsidRPr="00EF65AE" w:rsidRDefault="00EF65AE" w:rsidP="00C00AC6">
      <w:pPr>
        <w:pStyle w:val="Heading3NoTOC"/>
      </w:pPr>
      <w:r w:rsidRPr="00EF65AE">
        <w:t>Child protection legislation</w:t>
      </w:r>
    </w:p>
    <w:p w14:paraId="475131C3" w14:textId="524C7B04" w:rsidR="00EF65AE" w:rsidRPr="00753149" w:rsidRDefault="00EF65AE" w:rsidP="00EF65AE">
      <w:pPr>
        <w:rPr>
          <w:rFonts w:cs="Arial"/>
        </w:rPr>
      </w:pPr>
      <w:r w:rsidRPr="00EF65AE">
        <w:rPr>
          <w:rFonts w:cs="Arial"/>
        </w:rPr>
        <w:t xml:space="preserve">Few countries have specific legislation to adequately address commercial sexual exploitation of children, trafficking and abduction. </w:t>
      </w:r>
      <w:r w:rsidRPr="000350C0">
        <w:rPr>
          <w:rFonts w:cs="Arial"/>
        </w:rPr>
        <w:t xml:space="preserve">The </w:t>
      </w:r>
      <w:r w:rsidRPr="00DA259B">
        <w:rPr>
          <w:rFonts w:cs="Arial"/>
          <w:i/>
        </w:rPr>
        <w:t xml:space="preserve">Lukautim Pikinini </w:t>
      </w:r>
      <w:r w:rsidR="00A36E43" w:rsidRPr="00DA259B">
        <w:rPr>
          <w:rFonts w:cs="Arial"/>
          <w:iCs/>
        </w:rPr>
        <w:t>Act</w:t>
      </w:r>
      <w:r w:rsidRPr="000350C0">
        <w:rPr>
          <w:rFonts w:cs="Arial"/>
          <w:iCs/>
        </w:rPr>
        <w:t>,</w:t>
      </w:r>
      <w:r w:rsidRPr="000350C0">
        <w:rPr>
          <w:rFonts w:cs="Arial"/>
        </w:rPr>
        <w:t xml:space="preserve"> or Child</w:t>
      </w:r>
      <w:r w:rsidRPr="00EF65AE">
        <w:rPr>
          <w:rFonts w:cs="Arial"/>
        </w:rPr>
        <w:t xml:space="preserve"> Welfare Act, in PNG was a notable exception. Originally passed in 2009 and revised in 2015, the </w:t>
      </w:r>
      <w:r w:rsidR="00E35E07">
        <w:rPr>
          <w:rFonts w:cs="Arial"/>
        </w:rPr>
        <w:t>Act</w:t>
      </w:r>
      <w:r w:rsidRPr="00EF65AE">
        <w:rPr>
          <w:rFonts w:cs="Arial"/>
        </w:rPr>
        <w:t xml:space="preserve"> grants children rights according to the Convention on the Rights of the Child and criminalises child abuse, including physical, </w:t>
      </w:r>
      <w:r w:rsidRPr="00753149">
        <w:rPr>
          <w:rFonts w:cs="Arial"/>
        </w:rPr>
        <w:t xml:space="preserve">sexual and emotional harm. Child Protection Officers enforce these </w:t>
      </w:r>
      <w:r w:rsidR="0012349A" w:rsidRPr="00753149">
        <w:rPr>
          <w:rFonts w:cs="Arial"/>
        </w:rPr>
        <w:t>rights;</w:t>
      </w:r>
      <w:r w:rsidRPr="00753149">
        <w:rPr>
          <w:rFonts w:cs="Arial"/>
        </w:rPr>
        <w:t xml:space="preserve"> however, many stakeholders felt the </w:t>
      </w:r>
      <w:r w:rsidR="00DA259B" w:rsidRPr="00753149">
        <w:rPr>
          <w:rFonts w:cs="Arial"/>
        </w:rPr>
        <w:t>Act i</w:t>
      </w:r>
      <w:r w:rsidR="00E35E07" w:rsidRPr="00753149">
        <w:rPr>
          <w:rFonts w:cs="Arial"/>
        </w:rPr>
        <w:t>s</w:t>
      </w:r>
      <w:r w:rsidRPr="00753149">
        <w:rPr>
          <w:rFonts w:cs="Arial"/>
        </w:rPr>
        <w:t xml:space="preserve"> not being adequately implemented. The </w:t>
      </w:r>
      <w:r w:rsidR="007F4B30" w:rsidRPr="00753149">
        <w:t>National Council for Children and Family Services</w:t>
      </w:r>
      <w:r w:rsidR="0050037A" w:rsidRPr="00753149">
        <w:t xml:space="preserve"> </w:t>
      </w:r>
      <w:r w:rsidRPr="00753149">
        <w:rPr>
          <w:rFonts w:cs="Arial"/>
        </w:rPr>
        <w:t>was recently launch</w:t>
      </w:r>
      <w:r w:rsidR="00DA259B" w:rsidRPr="00753149">
        <w:rPr>
          <w:rFonts w:cs="Arial"/>
        </w:rPr>
        <w:t>ed to strengthen implementation</w:t>
      </w:r>
      <w:r w:rsidRPr="00753149">
        <w:rPr>
          <w:rFonts w:cs="Arial"/>
        </w:rPr>
        <w:t xml:space="preserve"> of the </w:t>
      </w:r>
      <w:r w:rsidR="00DA259B" w:rsidRPr="00753149">
        <w:rPr>
          <w:rFonts w:cs="Arial"/>
          <w:i/>
        </w:rPr>
        <w:t>Lukautim</w:t>
      </w:r>
      <w:r w:rsidR="0012349A">
        <w:rPr>
          <w:rFonts w:cs="Arial"/>
          <w:i/>
        </w:rPr>
        <w:t> </w:t>
      </w:r>
      <w:r w:rsidR="00DA259B" w:rsidRPr="00753149">
        <w:rPr>
          <w:rFonts w:cs="Arial"/>
          <w:i/>
        </w:rPr>
        <w:t>Pikinini</w:t>
      </w:r>
      <w:r w:rsidR="0012349A">
        <w:rPr>
          <w:rFonts w:cs="Arial"/>
          <w:i/>
        </w:rPr>
        <w:t> </w:t>
      </w:r>
      <w:r w:rsidR="00DA259B" w:rsidRPr="00753149">
        <w:rPr>
          <w:rFonts w:cs="Arial"/>
          <w:iCs/>
        </w:rPr>
        <w:t>Act.</w:t>
      </w:r>
    </w:p>
    <w:p w14:paraId="10EEDC29" w14:textId="323BC759" w:rsidR="00EF65AE" w:rsidRPr="00EF65AE" w:rsidRDefault="00EF65AE" w:rsidP="00EF65AE">
      <w:pPr>
        <w:rPr>
          <w:rFonts w:cs="Arial"/>
        </w:rPr>
      </w:pPr>
      <w:r w:rsidRPr="00EF65AE">
        <w:rPr>
          <w:rFonts w:cs="Arial"/>
        </w:rPr>
        <w:t>Indonesia</w:t>
      </w:r>
      <w:r w:rsidR="008575DB">
        <w:rPr>
          <w:rFonts w:cs="Arial"/>
        </w:rPr>
        <w:t xml:space="preserve"> </w:t>
      </w:r>
      <w:r w:rsidR="00D74EC9">
        <w:rPr>
          <w:rFonts w:cs="Arial"/>
        </w:rPr>
        <w:t>has a very comprehensive Child P</w:t>
      </w:r>
      <w:r w:rsidR="008575DB">
        <w:rPr>
          <w:rFonts w:cs="Arial"/>
        </w:rPr>
        <w:t xml:space="preserve">rotection Law </w:t>
      </w:r>
      <w:r w:rsidR="00F01B25">
        <w:rPr>
          <w:rFonts w:cs="Arial"/>
        </w:rPr>
        <w:t>(</w:t>
      </w:r>
      <w:r w:rsidR="008575DB">
        <w:rPr>
          <w:rFonts w:cs="Arial"/>
        </w:rPr>
        <w:t>2002</w:t>
      </w:r>
      <w:r w:rsidR="00F01B25">
        <w:rPr>
          <w:rFonts w:cs="Arial"/>
        </w:rPr>
        <w:t>)</w:t>
      </w:r>
      <w:r w:rsidR="008575DB">
        <w:rPr>
          <w:rFonts w:cs="Arial"/>
        </w:rPr>
        <w:t xml:space="preserve"> to </w:t>
      </w:r>
      <w:r w:rsidR="0050037A">
        <w:rPr>
          <w:rFonts w:cs="Arial"/>
        </w:rPr>
        <w:t>‘g</w:t>
      </w:r>
      <w:r w:rsidR="00D74EC9">
        <w:rPr>
          <w:rFonts w:cs="Arial"/>
        </w:rPr>
        <w:t>uarantee and protect children to ensure their survival, growth and development</w:t>
      </w:r>
      <w:r w:rsidR="0050037A">
        <w:rPr>
          <w:rFonts w:cs="Arial"/>
        </w:rPr>
        <w:t>’</w:t>
      </w:r>
      <w:r w:rsidR="00D74EC9">
        <w:rPr>
          <w:rFonts w:cs="Arial"/>
        </w:rPr>
        <w:t>. A</w:t>
      </w:r>
      <w:r w:rsidRPr="00EF65AE">
        <w:rPr>
          <w:rFonts w:cs="Arial"/>
        </w:rPr>
        <w:t xml:space="preserve"> National Action Plan on Violence against Children 2016</w:t>
      </w:r>
      <w:r w:rsidR="00E35E07">
        <w:rPr>
          <w:rFonts w:cs="Arial"/>
        </w:rPr>
        <w:t>–</w:t>
      </w:r>
      <w:r w:rsidRPr="00EF65AE">
        <w:rPr>
          <w:rFonts w:cs="Arial"/>
        </w:rPr>
        <w:t xml:space="preserve">2020 </w:t>
      </w:r>
      <w:r w:rsidR="00D74EC9">
        <w:rPr>
          <w:rFonts w:cs="Arial"/>
        </w:rPr>
        <w:t>h</w:t>
      </w:r>
      <w:r w:rsidR="007122A0">
        <w:rPr>
          <w:rFonts w:cs="Arial"/>
        </w:rPr>
        <w:t>as</w:t>
      </w:r>
      <w:r w:rsidR="00D74EC9">
        <w:rPr>
          <w:rFonts w:cs="Arial"/>
        </w:rPr>
        <w:t xml:space="preserve"> been </w:t>
      </w:r>
      <w:r w:rsidRPr="00EF65AE">
        <w:rPr>
          <w:rFonts w:cs="Arial"/>
        </w:rPr>
        <w:t xml:space="preserve">drafted but is yet to be adopted as binding policy. </w:t>
      </w:r>
      <w:r w:rsidR="00D74EC9">
        <w:rPr>
          <w:rFonts w:cs="Arial"/>
        </w:rPr>
        <w:t>Since 2014</w:t>
      </w:r>
      <w:r w:rsidR="0050037A">
        <w:rPr>
          <w:rFonts w:cs="Arial"/>
        </w:rPr>
        <w:t>,</w:t>
      </w:r>
      <w:r w:rsidR="00F01B25">
        <w:rPr>
          <w:rFonts w:cs="Arial"/>
        </w:rPr>
        <w:t xml:space="preserve"> the</w:t>
      </w:r>
      <w:r w:rsidR="0050037A">
        <w:rPr>
          <w:rFonts w:cs="Arial"/>
        </w:rPr>
        <w:t xml:space="preserve"> </w:t>
      </w:r>
      <w:r w:rsidR="00753149" w:rsidRPr="00EF65AE">
        <w:rPr>
          <w:rFonts w:cs="Arial"/>
        </w:rPr>
        <w:t xml:space="preserve">Australian-supported </w:t>
      </w:r>
      <w:r w:rsidR="00753149" w:rsidRPr="00EF65AE">
        <w:rPr>
          <w:rFonts w:cs="Arial"/>
          <w:i/>
        </w:rPr>
        <w:t>Peduli</w:t>
      </w:r>
      <w:r w:rsidR="00753149" w:rsidRPr="00EF65AE">
        <w:rPr>
          <w:rFonts w:cs="Arial"/>
        </w:rPr>
        <w:t xml:space="preserve"> </w:t>
      </w:r>
      <w:r w:rsidR="00753149">
        <w:rPr>
          <w:rFonts w:cs="Arial"/>
        </w:rPr>
        <w:t>P</w:t>
      </w:r>
      <w:r w:rsidR="00753149" w:rsidRPr="00EF65AE">
        <w:rPr>
          <w:rFonts w:cs="Arial"/>
        </w:rPr>
        <w:t>rogram</w:t>
      </w:r>
      <w:r w:rsidR="00F01B25">
        <w:rPr>
          <w:rFonts w:cs="Arial"/>
        </w:rPr>
        <w:t>,</w:t>
      </w:r>
      <w:r w:rsidR="00753149">
        <w:rPr>
          <w:rFonts w:cs="Arial"/>
        </w:rPr>
        <w:t xml:space="preserve"> which aims to promote social inclusion</w:t>
      </w:r>
      <w:r w:rsidR="00F01B25">
        <w:rPr>
          <w:rFonts w:cs="Arial"/>
        </w:rPr>
        <w:t>,</w:t>
      </w:r>
      <w:r w:rsidR="00D74EC9">
        <w:rPr>
          <w:rFonts w:cs="Arial"/>
        </w:rPr>
        <w:t xml:space="preserve"> has worked closely with the Ministry for Women’s Empowerment and Child Protection on child rights. Technical assistance has supported the development of Community Child Protection Guidelines for the Ministry and its programs. </w:t>
      </w:r>
      <w:r w:rsidRPr="00EF65AE">
        <w:rPr>
          <w:rFonts w:cs="Arial"/>
        </w:rPr>
        <w:t xml:space="preserve">As children’s rights have recently been brought to the fore in discussions on the proposed Sexual Violence Bill, this may be an opportune time for Australia to </w:t>
      </w:r>
      <w:r w:rsidR="00094126">
        <w:rPr>
          <w:rFonts w:cs="Arial"/>
        </w:rPr>
        <w:t>strengthen support for</w:t>
      </w:r>
      <w:r w:rsidRPr="00EF65AE">
        <w:rPr>
          <w:rFonts w:cs="Arial"/>
        </w:rPr>
        <w:t xml:space="preserve"> child protection in Indonesia.</w:t>
      </w:r>
    </w:p>
    <w:p w14:paraId="3680CDF6" w14:textId="77777777" w:rsidR="00EF65AE" w:rsidRPr="00EF65AE" w:rsidRDefault="00EF65AE" w:rsidP="00EF65AE">
      <w:pPr>
        <w:rPr>
          <w:rFonts w:cs="Arial"/>
        </w:rPr>
      </w:pPr>
      <w:r w:rsidRPr="00EF65AE">
        <w:rPr>
          <w:rFonts w:cs="Arial"/>
        </w:rPr>
        <w:t xml:space="preserve">While in some provinces of Pakistan, Australian-funded programs, with others, have successfully advocated for amendments to harmful legislation in the Child Marriage Bill, child protection is an area in which these programs would benefit from stronger high-level advocacy from Australia. </w:t>
      </w:r>
    </w:p>
    <w:p w14:paraId="066A31A2" w14:textId="367873D2" w:rsidR="0050037A" w:rsidRDefault="00EF65AE" w:rsidP="00EF65AE">
      <w:pPr>
        <w:rPr>
          <w:rFonts w:cs="Arial"/>
        </w:rPr>
      </w:pPr>
      <w:r w:rsidRPr="00EF65AE">
        <w:rPr>
          <w:rFonts w:cs="Arial"/>
        </w:rPr>
        <w:t>Th</w:t>
      </w:r>
      <w:r w:rsidR="0050037A">
        <w:rPr>
          <w:rFonts w:cs="Arial"/>
        </w:rPr>
        <w:t>is</w:t>
      </w:r>
      <w:r w:rsidRPr="00EF65AE">
        <w:rPr>
          <w:rFonts w:cs="Arial"/>
        </w:rPr>
        <w:t xml:space="preserve"> evaluation found that VAWG providers and systems are supporting child cases of sexual abuse and other forms of violence against children in many Pacific</w:t>
      </w:r>
      <w:r w:rsidR="00CB0DD4">
        <w:rPr>
          <w:rFonts w:cs="Arial"/>
        </w:rPr>
        <w:t xml:space="preserve"> island countries</w:t>
      </w:r>
      <w:r w:rsidRPr="00EF65AE">
        <w:rPr>
          <w:rFonts w:cs="Arial"/>
        </w:rPr>
        <w:t xml:space="preserve">, including </w:t>
      </w:r>
      <w:r w:rsidR="00E13AE6">
        <w:rPr>
          <w:rFonts w:cs="Arial"/>
        </w:rPr>
        <w:t xml:space="preserve">Kiribati, </w:t>
      </w:r>
      <w:r w:rsidR="00E35E07">
        <w:rPr>
          <w:rFonts w:cs="Arial"/>
        </w:rPr>
        <w:t>Tonga</w:t>
      </w:r>
      <w:r w:rsidR="00A25199">
        <w:rPr>
          <w:rFonts w:cs="Arial"/>
        </w:rPr>
        <w:t xml:space="preserve"> and Timor-Leste</w:t>
      </w:r>
      <w:r w:rsidRPr="00EF65AE">
        <w:rPr>
          <w:rFonts w:cs="Arial"/>
        </w:rPr>
        <w:t>. There is a need to examine and strengthen the intersection between VAWG and child protection systems</w:t>
      </w:r>
      <w:r w:rsidR="00E35E07">
        <w:rPr>
          <w:rFonts w:cs="Arial"/>
        </w:rPr>
        <w:t>,</w:t>
      </w:r>
      <w:r w:rsidRPr="00EF65AE">
        <w:rPr>
          <w:rFonts w:cs="Arial"/>
        </w:rPr>
        <w:t xml:space="preserve"> while strengthening the child protection legislation and system overall. </w:t>
      </w:r>
    </w:p>
    <w:p w14:paraId="32FED078" w14:textId="04C8ADAC" w:rsidR="00EF65AE" w:rsidRPr="00EF65AE" w:rsidRDefault="00EF65AE" w:rsidP="00EF65AE">
      <w:pPr>
        <w:rPr>
          <w:rFonts w:cs="Arial"/>
        </w:rPr>
      </w:pPr>
      <w:r w:rsidRPr="00EF65AE">
        <w:rPr>
          <w:rFonts w:cs="Arial"/>
        </w:rPr>
        <w:t>Through the Pacific Multi-country Child Protection Program, Australia funded UNICEF from 2005</w:t>
      </w:r>
      <w:r w:rsidR="0050037A">
        <w:rPr>
          <w:rFonts w:cs="Arial"/>
        </w:rPr>
        <w:t xml:space="preserve"> to</w:t>
      </w:r>
      <w:r w:rsidR="0012349A">
        <w:rPr>
          <w:rFonts w:cs="Arial"/>
        </w:rPr>
        <w:t> </w:t>
      </w:r>
      <w:r w:rsidRPr="00EF65AE">
        <w:rPr>
          <w:rFonts w:cs="Arial"/>
        </w:rPr>
        <w:t>2018 to strengthen child protection systems and promote social behaviour change in 14 Pacific island countries, in the form of direct assistance to governments and NGOs. An independent review found that while the program made strong gains in strengthening national legal child protection frameworks, it had less success in building the systems and capacities needed for implement</w:t>
      </w:r>
      <w:r w:rsidR="00E35E07">
        <w:rPr>
          <w:rFonts w:cs="Arial"/>
        </w:rPr>
        <w:t>ing</w:t>
      </w:r>
      <w:r w:rsidRPr="00EF65AE">
        <w:rPr>
          <w:rFonts w:cs="Arial"/>
        </w:rPr>
        <w:t xml:space="preserve"> the laws. The </w:t>
      </w:r>
      <w:r w:rsidR="0050037A">
        <w:rPr>
          <w:rFonts w:cs="Arial"/>
        </w:rPr>
        <w:t xml:space="preserve">independent </w:t>
      </w:r>
      <w:r w:rsidRPr="00EF65AE">
        <w:rPr>
          <w:rFonts w:cs="Arial"/>
        </w:rPr>
        <w:t>review also highlighted the need for future child protection policies and programs to be underpinned by better data on the intersections of violence against children and gender-based violence.</w:t>
      </w:r>
      <w:r w:rsidRPr="00EF65AE">
        <w:rPr>
          <w:rFonts w:cs="Arial"/>
        </w:rPr>
        <w:fldChar w:fldCharType="begin"/>
      </w:r>
      <w:r w:rsidRPr="00EF65AE">
        <w:rPr>
          <w:rFonts w:cs="Arial"/>
        </w:rPr>
        <w:instrText xml:space="preserve"> ADDIN ZOTERO_ITEM CSL_CITATION {"citationID":"tzG4ltsV","properties":{"formattedCitation":"\\super 80\\nosupersub{}","plainCitation":"80","noteIndex":0},"citationItems":[{"id":2560,"uris":["http://zotero.org/users/4194704/items/N8IK5J3B"],"uri":["http://zotero.org/users/4194704/items/N8IK5J3B"],"itemData":{"id":2560,"type":"report","title":"Review of UNICEF Pacific Child Protection Programme.","publisher":"Department of Foreign Affairs and Trade","publisher-place":"Canberra, Australia","event-place":"Canberra, Australia","URL":"https://dfat.gov.au/about-us/publications/Documents/unicef-pacific-multi-country-child-protection-programme-independent-review.pdf","author":[{"family":"Szamier","given":"Margot"},{"family":"Attenborough","given":"Juliet"}],"issued":{"date-parts":[["2017"]]},"accessed":{"date-parts":[["2019",1,19]]}}}],"schema":"https://github.com/citation-style-language/schema/raw/master/csl-citation.json"} </w:instrText>
      </w:r>
      <w:r w:rsidRPr="00EF65AE">
        <w:rPr>
          <w:rFonts w:cs="Arial"/>
        </w:rPr>
        <w:fldChar w:fldCharType="separate"/>
      </w:r>
      <w:r w:rsidRPr="00EF65AE">
        <w:rPr>
          <w:rFonts w:cs="Arial"/>
          <w:vertAlign w:val="superscript"/>
          <w:lang w:val="en-US"/>
        </w:rPr>
        <w:t>80</w:t>
      </w:r>
      <w:r w:rsidRPr="00EF65AE">
        <w:rPr>
          <w:rFonts w:cs="Arial"/>
        </w:rPr>
        <w:fldChar w:fldCharType="end"/>
      </w:r>
    </w:p>
    <w:p w14:paraId="74906368" w14:textId="77777777" w:rsidR="00EF65AE" w:rsidRPr="004305A6" w:rsidRDefault="00EF65AE" w:rsidP="00C00AC6">
      <w:pPr>
        <w:pStyle w:val="Heading3NoTOC"/>
      </w:pPr>
      <w:r w:rsidRPr="004305A6">
        <w:t>The formal justice system</w:t>
      </w:r>
    </w:p>
    <w:p w14:paraId="6242887C" w14:textId="77777777" w:rsidR="00EF65AE" w:rsidRPr="00EF65AE" w:rsidRDefault="00EF65AE" w:rsidP="00EF65AE">
      <w:pPr>
        <w:rPr>
          <w:rFonts w:cs="Arial"/>
        </w:rPr>
      </w:pPr>
      <w:r w:rsidRPr="004305A6">
        <w:rPr>
          <w:rFonts w:cs="Arial"/>
        </w:rPr>
        <w:t>Global experience has shown that changing laws is only the first</w:t>
      </w:r>
      <w:r w:rsidR="004305A6">
        <w:rPr>
          <w:rFonts w:cs="Arial"/>
        </w:rPr>
        <w:t xml:space="preserve">, </w:t>
      </w:r>
      <w:r w:rsidRPr="004305A6">
        <w:rPr>
          <w:rFonts w:cs="Arial"/>
        </w:rPr>
        <w:t>although important</w:t>
      </w:r>
      <w:r w:rsidR="004305A6">
        <w:rPr>
          <w:rFonts w:cs="Arial"/>
        </w:rPr>
        <w:t>,</w:t>
      </w:r>
      <w:r w:rsidRPr="004305A6">
        <w:rPr>
          <w:rFonts w:cs="Arial"/>
        </w:rPr>
        <w:t xml:space="preserve"> step towards ensuring women’s access to justice. Substantial investments are needed to improve the capacity of both the formal and traditional justice systems to enforce the laws, and to coordinate with service providers and community groups to ensure survivors are aware of the laws and how to use them. It is still</w:t>
      </w:r>
      <w:r w:rsidRPr="00EF65AE">
        <w:rPr>
          <w:rFonts w:cs="Arial"/>
        </w:rPr>
        <w:t xml:space="preserve"> too early to assess the effectiveness of the laws in reducing impunity and protecting women and girls</w:t>
      </w:r>
      <w:r w:rsidR="0050037A">
        <w:rPr>
          <w:rFonts w:cs="Arial"/>
        </w:rPr>
        <w:t>. This is</w:t>
      </w:r>
      <w:r w:rsidRPr="00EF65AE">
        <w:rPr>
          <w:rFonts w:cs="Arial"/>
        </w:rPr>
        <w:t xml:space="preserve"> especially</w:t>
      </w:r>
      <w:r w:rsidR="0050037A">
        <w:rPr>
          <w:rFonts w:cs="Arial"/>
        </w:rPr>
        <w:t xml:space="preserve"> the case</w:t>
      </w:r>
      <w:r w:rsidRPr="00EF65AE">
        <w:rPr>
          <w:rFonts w:cs="Arial"/>
        </w:rPr>
        <w:t xml:space="preserve"> in </w:t>
      </w:r>
      <w:r w:rsidR="001A27FF">
        <w:rPr>
          <w:rFonts w:cs="Arial"/>
        </w:rPr>
        <w:t>some countries</w:t>
      </w:r>
      <w:r w:rsidRPr="00EF65AE">
        <w:rPr>
          <w:rFonts w:cs="Arial"/>
        </w:rPr>
        <w:t xml:space="preserve"> where the</w:t>
      </w:r>
      <w:r w:rsidR="0050037A">
        <w:rPr>
          <w:rFonts w:cs="Arial"/>
        </w:rPr>
        <w:t xml:space="preserve"> laws</w:t>
      </w:r>
      <w:r w:rsidRPr="00EF65AE">
        <w:rPr>
          <w:rFonts w:cs="Arial"/>
        </w:rPr>
        <w:t xml:space="preserve"> only recently entered into force, due to lengthy delays between the passage of </w:t>
      </w:r>
      <w:r w:rsidR="0050037A">
        <w:rPr>
          <w:rFonts w:cs="Arial"/>
        </w:rPr>
        <w:t>them</w:t>
      </w:r>
      <w:r w:rsidR="0050037A" w:rsidRPr="00EF65AE">
        <w:rPr>
          <w:rFonts w:cs="Arial"/>
        </w:rPr>
        <w:t xml:space="preserve"> </w:t>
      </w:r>
      <w:r w:rsidRPr="00EF65AE">
        <w:rPr>
          <w:rFonts w:cs="Arial"/>
        </w:rPr>
        <w:t xml:space="preserve">and </w:t>
      </w:r>
      <w:r w:rsidR="00744433">
        <w:rPr>
          <w:rFonts w:cs="Arial"/>
        </w:rPr>
        <w:t xml:space="preserve">regulations guiding </w:t>
      </w:r>
      <w:r w:rsidRPr="00EF65AE">
        <w:rPr>
          <w:rFonts w:cs="Arial"/>
        </w:rPr>
        <w:t xml:space="preserve">their </w:t>
      </w:r>
      <w:r w:rsidR="00744433">
        <w:rPr>
          <w:rFonts w:cs="Arial"/>
        </w:rPr>
        <w:t>implementation</w:t>
      </w:r>
      <w:r w:rsidR="00E2253F">
        <w:rPr>
          <w:rFonts w:cs="Arial"/>
        </w:rPr>
        <w:t xml:space="preserve">. </w:t>
      </w:r>
      <w:r w:rsidRPr="00EF65AE">
        <w:rPr>
          <w:rFonts w:cs="Arial"/>
        </w:rPr>
        <w:t>Even in these countries, however, th</w:t>
      </w:r>
      <w:r w:rsidR="0050037A">
        <w:rPr>
          <w:rFonts w:cs="Arial"/>
        </w:rPr>
        <w:t>is</w:t>
      </w:r>
      <w:r w:rsidRPr="00EF65AE">
        <w:rPr>
          <w:rFonts w:cs="Arial"/>
        </w:rPr>
        <w:t xml:space="preserve"> evaluation found a significant increase in VAWG reporting.</w:t>
      </w:r>
    </w:p>
    <w:p w14:paraId="2D7AF90E" w14:textId="77777777" w:rsidR="00EF65AE" w:rsidRPr="00EF65AE" w:rsidRDefault="00EF65AE" w:rsidP="00EF65AE">
      <w:pPr>
        <w:rPr>
          <w:rFonts w:cs="Arial"/>
        </w:rPr>
      </w:pPr>
      <w:r w:rsidRPr="00EF65AE">
        <w:rPr>
          <w:rFonts w:cs="Arial"/>
        </w:rPr>
        <w:t>Legislative reform across the region has had a strong focus on making protection orders more accessible for women suffering domestic violence. This is based on research and advocacy from women’s rights defenders stating, overwhelmingly, that what women want is to end the violence, not put their partners in jail. Protection orders (also known as ‘restraining orders’) are globally considered among the more effective and low-cost legal remedies available to prevent violence, particularly when there are clear consequences for abusers who violate the orders.</w:t>
      </w:r>
      <w:r w:rsidRPr="00EF65AE">
        <w:rPr>
          <w:rFonts w:cs="Arial"/>
        </w:rPr>
        <w:fldChar w:fldCharType="begin"/>
      </w:r>
      <w:r w:rsidRPr="00EF65AE">
        <w:rPr>
          <w:rFonts w:cs="Arial"/>
        </w:rPr>
        <w:instrText xml:space="preserve"> ADDIN ZOTERO_ITEM CSL_CITATION {"citationID":"nit9DJaY","properties":{"formattedCitation":"\\super 54\\nosupersub{}","plainCitation":"54","noteIndex":0},"citationItems":[{"id":422,"uris":["http://zotero.org/users/4194704/items/HJBZE7HN"],"uri":["http://zotero.org/users/4194704/items/HJBZE7HN"],"itemData":{"id":422,"type":"webpage","title":"Women, Business, and the Law: Protecting women from violence","author":[{"literal":"World Bank"}],"issued":{"date-parts":[["2017"]]}}}],"schema":"https://github.com/citation-style-language/schema/raw/master/csl-citation.json"} </w:instrText>
      </w:r>
      <w:r w:rsidRPr="00EF65AE">
        <w:rPr>
          <w:rFonts w:cs="Arial"/>
        </w:rPr>
        <w:fldChar w:fldCharType="separate"/>
      </w:r>
      <w:r w:rsidRPr="00EF65AE">
        <w:rPr>
          <w:rFonts w:cs="Arial"/>
          <w:vertAlign w:val="superscript"/>
          <w:lang w:val="en-US"/>
        </w:rPr>
        <w:t>54</w:t>
      </w:r>
      <w:r w:rsidRPr="00EF65AE">
        <w:rPr>
          <w:rFonts w:cs="Arial"/>
        </w:rPr>
        <w:fldChar w:fldCharType="end"/>
      </w:r>
    </w:p>
    <w:p w14:paraId="61B1592A" w14:textId="77777777" w:rsidR="00EF65AE" w:rsidRPr="00EF65AE" w:rsidRDefault="00EF65AE" w:rsidP="00EF65AE">
      <w:pPr>
        <w:rPr>
          <w:rFonts w:cs="Arial"/>
        </w:rPr>
      </w:pPr>
      <w:r w:rsidRPr="007122A0">
        <w:rPr>
          <w:rFonts w:cs="Arial"/>
          <w:bCs/>
        </w:rPr>
        <w:t>Interim Protection Orders (</w:t>
      </w:r>
      <w:bookmarkStart w:id="213" w:name="_Hlk15947051"/>
      <w:r w:rsidRPr="007122A0">
        <w:rPr>
          <w:rFonts w:cs="Arial"/>
          <w:bCs/>
        </w:rPr>
        <w:t>IPOs</w:t>
      </w:r>
      <w:r w:rsidRPr="004305A6">
        <w:rPr>
          <w:rFonts w:cs="Arial"/>
          <w:bCs/>
        </w:rPr>
        <w:t>)</w:t>
      </w:r>
      <w:r w:rsidRPr="00EF65AE">
        <w:rPr>
          <w:rFonts w:cs="Arial"/>
        </w:rPr>
        <w:t xml:space="preserve"> are issued when there is immediate threat of harm and </w:t>
      </w:r>
      <w:r w:rsidR="00DA259B">
        <w:rPr>
          <w:rFonts w:cs="Arial"/>
        </w:rPr>
        <w:t>typically</w:t>
      </w:r>
      <w:r w:rsidRPr="00EF65AE">
        <w:rPr>
          <w:rFonts w:cs="Arial"/>
        </w:rPr>
        <w:t xml:space="preserve"> last for a short time (usually 30 days). </w:t>
      </w:r>
      <w:r w:rsidRPr="007122A0">
        <w:rPr>
          <w:rFonts w:cs="Arial"/>
          <w:bCs/>
        </w:rPr>
        <w:t>Permanent Protection Orders</w:t>
      </w:r>
      <w:r w:rsidRPr="00EF65AE">
        <w:rPr>
          <w:rFonts w:cs="Arial"/>
        </w:rPr>
        <w:t xml:space="preserve"> </w:t>
      </w:r>
      <w:bookmarkEnd w:id="213"/>
      <w:r w:rsidRPr="00EF65AE">
        <w:rPr>
          <w:rFonts w:cs="Arial"/>
        </w:rPr>
        <w:t xml:space="preserve">come into effect after a full hearing, with the perpetrator present, when the </w:t>
      </w:r>
      <w:r w:rsidR="003F76AF">
        <w:rPr>
          <w:rFonts w:cs="Arial"/>
        </w:rPr>
        <w:t>C</w:t>
      </w:r>
      <w:r w:rsidRPr="00EF65AE">
        <w:rPr>
          <w:rFonts w:cs="Arial"/>
        </w:rPr>
        <w:t xml:space="preserve">ourt determines whether </w:t>
      </w:r>
      <w:r w:rsidR="0050037A">
        <w:rPr>
          <w:rFonts w:cs="Arial"/>
        </w:rPr>
        <w:t>to extend a</w:t>
      </w:r>
      <w:r w:rsidRPr="00EF65AE">
        <w:rPr>
          <w:rFonts w:cs="Arial"/>
        </w:rPr>
        <w:t>n IPO.</w:t>
      </w:r>
    </w:p>
    <w:p w14:paraId="6BB67A3F" w14:textId="77777777" w:rsidR="0050037A" w:rsidRDefault="00EF65AE" w:rsidP="00EF65AE">
      <w:pPr>
        <w:rPr>
          <w:rFonts w:cs="Arial"/>
        </w:rPr>
      </w:pPr>
      <w:r w:rsidRPr="00EF65AE">
        <w:rPr>
          <w:rFonts w:cs="Arial"/>
        </w:rPr>
        <w:t xml:space="preserve">One goal of domestic violence legislation, particularly in Pacific island countries, has been to make IPOs available to women when they need them, without the need to appear before a magistrate. This is essential </w:t>
      </w:r>
      <w:r w:rsidR="0050037A">
        <w:rPr>
          <w:rFonts w:cs="Arial"/>
        </w:rPr>
        <w:t xml:space="preserve">because </w:t>
      </w:r>
      <w:r w:rsidRPr="00EF65AE">
        <w:rPr>
          <w:rFonts w:cs="Arial"/>
        </w:rPr>
        <w:t>magistrates may only visit</w:t>
      </w:r>
      <w:r w:rsidR="0050037A">
        <w:rPr>
          <w:rFonts w:cs="Arial"/>
        </w:rPr>
        <w:t xml:space="preserve"> remote areas</w:t>
      </w:r>
      <w:r w:rsidRPr="00EF65AE">
        <w:rPr>
          <w:rFonts w:cs="Arial"/>
        </w:rPr>
        <w:t xml:space="preserve"> a few times a year. IPOs can be issued by police, village court magistrates, and other authorised individuals. In addition to prohibiting the man from hitting or abusing his partner, IPOs can provide orders to stop him drinking, stay away from her residence, or avoid contact. </w:t>
      </w:r>
    </w:p>
    <w:p w14:paraId="527CA27F" w14:textId="77777777" w:rsidR="00EF65AE" w:rsidRPr="00EF65AE" w:rsidRDefault="00EF65AE" w:rsidP="00EF65AE">
      <w:pPr>
        <w:rPr>
          <w:rFonts w:cs="Arial"/>
        </w:rPr>
      </w:pPr>
      <w:r w:rsidRPr="00EF65AE">
        <w:rPr>
          <w:rFonts w:cs="Arial"/>
        </w:rPr>
        <w:t xml:space="preserve">Australian law and justice programs, including the AFP, </w:t>
      </w:r>
      <w:r w:rsidR="0050037A">
        <w:rPr>
          <w:rFonts w:cs="Arial"/>
        </w:rPr>
        <w:t>and</w:t>
      </w:r>
      <w:r w:rsidRPr="00EF65AE">
        <w:rPr>
          <w:rFonts w:cs="Arial"/>
        </w:rPr>
        <w:t xml:space="preserve"> </w:t>
      </w:r>
      <w:r w:rsidR="0050037A">
        <w:rPr>
          <w:rFonts w:cs="Arial"/>
        </w:rPr>
        <w:t xml:space="preserve">the </w:t>
      </w:r>
      <w:r w:rsidRPr="00EF65AE">
        <w:rPr>
          <w:rFonts w:cs="Arial"/>
        </w:rPr>
        <w:t>Regional Rights and Resources Team and</w:t>
      </w:r>
      <w:r w:rsidR="00141FD8">
        <w:rPr>
          <w:rFonts w:cs="Arial"/>
        </w:rPr>
        <w:t xml:space="preserve"> the</w:t>
      </w:r>
      <w:r w:rsidRPr="00EF65AE">
        <w:rPr>
          <w:rFonts w:cs="Arial"/>
        </w:rPr>
        <w:t xml:space="preserve"> FWCC, have invested heavily in training law enforcement officials to use IPOs in the Pacific, but more work is needed for fu</w:t>
      </w:r>
      <w:r w:rsidR="00C10891">
        <w:rPr>
          <w:rFonts w:cs="Arial"/>
        </w:rPr>
        <w:t>l</w:t>
      </w:r>
      <w:r w:rsidRPr="00EF65AE">
        <w:rPr>
          <w:rFonts w:cs="Arial"/>
        </w:rPr>
        <w:t>l implement</w:t>
      </w:r>
      <w:r w:rsidR="0050037A">
        <w:rPr>
          <w:rFonts w:cs="Arial"/>
        </w:rPr>
        <w:t>ation</w:t>
      </w:r>
      <w:r w:rsidRPr="00EF65AE">
        <w:rPr>
          <w:rFonts w:cs="Arial"/>
        </w:rPr>
        <w:t xml:space="preserve">. </w:t>
      </w:r>
    </w:p>
    <w:p w14:paraId="1272B34A" w14:textId="77777777" w:rsidR="00EF65AE" w:rsidRPr="00EF65AE" w:rsidRDefault="00EF65AE" w:rsidP="00EF65AE">
      <w:pPr>
        <w:rPr>
          <w:rFonts w:cs="Arial"/>
        </w:rPr>
      </w:pPr>
      <w:r w:rsidRPr="00EF65AE">
        <w:rPr>
          <w:rFonts w:cs="Arial"/>
        </w:rPr>
        <w:t>According to studies carried out in Fiji, PNG</w:t>
      </w:r>
      <w:r w:rsidR="004305A6">
        <w:rPr>
          <w:rFonts w:cs="Arial"/>
        </w:rPr>
        <w:t xml:space="preserve"> and Vanuatu</w:t>
      </w:r>
      <w:r w:rsidRPr="00EF65AE">
        <w:rPr>
          <w:rFonts w:cs="Arial"/>
        </w:rPr>
        <w:t>, demand for IPOs has increased steadily over the years.</w:t>
      </w:r>
      <w:r w:rsidRPr="00EF65AE">
        <w:rPr>
          <w:rFonts w:cs="Arial"/>
        </w:rPr>
        <w:fldChar w:fldCharType="begin"/>
      </w:r>
      <w:r w:rsidRPr="00EF65AE">
        <w:rPr>
          <w:rFonts w:cs="Arial"/>
        </w:rPr>
        <w:instrText xml:space="preserve"> ADDIN ZOTERO_ITEM CSL_CITATION {"citationID":"Cga9APEa","properties":{"formattedCitation":"\\super 81\\uc0\\u8211{}83\\nosupersub{}","plainCitation":"81–83","noteIndex":0},"citationItems":[{"id":2536,"uris":["http://zotero.org/users/4194704/items/EGN2N9NS"],"uri":["http://zotero.org/users/4194704/items/EGN2N9NS"],"itemData":{"id":2536,"type":"report","title":"Balancing the Scales:  Improving Fijian Women's Access to Justice","publisher-place":"Suva, Fiji","event-place":"Suva, Fiji","author":[{"family":"Fiji Women's Rights Movement","given":""}],"issued":{"date-parts":[["2017"]]}}},{"id":2538,"uris":["http://zotero.org/users/4194704/items/TTJHHC5F"],"uri":["http://zotero.org/users/4194704/items/TTJHHC5F"],"itemData":{"id":2538,"type":"report","title":"Women and Girls Access to the Formal Justice System in Vanuatu","publisher":"UN Women","author":[{"family":"UN Women","given":""}],"issued":{"date-parts":[["2016"]]}}},{"id":2547,"uris":["http://zotero.org/users/4194704/items/ZDKH3BJF"],"uri":["http://zotero.org/users/4194704/items/ZDKH3BJF"],"itemData":{"id":2547,"type":"report","title":"The use and efficacy of family protection orders as a key response to domestic and family violence: a pilot study in Lae, Papua New Guinea,","publisher-place":"Canberra, Australia","event-place":"Canberra, Australia","author":[{"family":"Putt","given":"Judy"},{"family":"Phillips","given":"T"},{"family":"Thomas","given":"D"},{"family":"Kanan","given":"L"}]}}],"schema":"https://github.com/citation-style-language/schema/raw/master/csl-citation.json"} </w:instrText>
      </w:r>
      <w:r w:rsidRPr="00EF65AE">
        <w:rPr>
          <w:rFonts w:cs="Arial"/>
        </w:rPr>
        <w:fldChar w:fldCharType="separate"/>
      </w:r>
      <w:r w:rsidRPr="00EF65AE">
        <w:rPr>
          <w:rFonts w:cs="Arial"/>
          <w:vertAlign w:val="superscript"/>
          <w:lang w:val="en-US"/>
        </w:rPr>
        <w:t>81–83</w:t>
      </w:r>
      <w:r w:rsidRPr="00EF65AE">
        <w:rPr>
          <w:rFonts w:cs="Arial"/>
        </w:rPr>
        <w:fldChar w:fldCharType="end"/>
      </w:r>
      <w:r w:rsidRPr="00EF65AE">
        <w:rPr>
          <w:rFonts w:cs="Arial"/>
        </w:rPr>
        <w:t xml:space="preserve"> According to a local judge in Fiji, the creation of the </w:t>
      </w:r>
      <w:r w:rsidR="003F76AF">
        <w:rPr>
          <w:rFonts w:cs="Arial"/>
        </w:rPr>
        <w:t>f</w:t>
      </w:r>
      <w:r w:rsidRPr="00EF65AE">
        <w:rPr>
          <w:rFonts w:cs="Arial"/>
        </w:rPr>
        <w:t xml:space="preserve">amily </w:t>
      </w:r>
      <w:r w:rsidR="003F76AF">
        <w:rPr>
          <w:rFonts w:cs="Arial"/>
        </w:rPr>
        <w:t>c</w:t>
      </w:r>
      <w:r w:rsidRPr="00EF65AE">
        <w:rPr>
          <w:rFonts w:cs="Arial"/>
        </w:rPr>
        <w:t xml:space="preserve">ourts greatly increased demand for </w:t>
      </w:r>
      <w:r w:rsidR="004305A6">
        <w:rPr>
          <w:rFonts w:cs="Arial"/>
        </w:rPr>
        <w:t>them</w:t>
      </w:r>
      <w:r w:rsidRPr="00EF65AE">
        <w:rPr>
          <w:rFonts w:cs="Arial"/>
        </w:rPr>
        <w:t>:</w:t>
      </w:r>
    </w:p>
    <w:p w14:paraId="5554C67E" w14:textId="087E7F14" w:rsidR="00EF65AE" w:rsidRPr="00F973BE" w:rsidRDefault="00EF65AE" w:rsidP="00F973BE">
      <w:pPr>
        <w:pStyle w:val="IndentQuote"/>
      </w:pPr>
      <w:r w:rsidRPr="00F973BE">
        <w:t xml:space="preserve">Since the DV </w:t>
      </w:r>
      <w:r w:rsidR="00C10891" w:rsidRPr="00F973BE">
        <w:t xml:space="preserve">[domestic violence] </w:t>
      </w:r>
      <w:r w:rsidRPr="00F973BE">
        <w:t>Act came into force, we’ve seen a huge increase in applications, and they are issued more easily</w:t>
      </w:r>
      <w:r w:rsidR="00E2253F" w:rsidRPr="00F973BE">
        <w:t xml:space="preserve">. </w:t>
      </w:r>
      <w:r w:rsidRPr="00F973BE">
        <w:t>Before the Family Law Act and Domestic</w:t>
      </w:r>
      <w:r w:rsidRPr="00F973BE">
        <w:rPr>
          <w:rStyle w:val="QuoteChar"/>
          <w:i/>
          <w:iCs w:val="0"/>
        </w:rPr>
        <w:t xml:space="preserve"> </w:t>
      </w:r>
      <w:r w:rsidRPr="00F973BE">
        <w:t>Violence Act women would have go to civil court to get restraining orders, and this would cost money. In Family Court we don’t charge costs. Now you can even call up (by phone) to get a restraining order</w:t>
      </w:r>
      <w:r w:rsidR="004305A6" w:rsidRPr="00F973BE">
        <w:t>—</w:t>
      </w:r>
      <w:r w:rsidRPr="00F973BE">
        <w:t>we send out the restraining order to them if they can’t receive it by fax</w:t>
      </w:r>
      <w:r w:rsidRPr="00F973BE">
        <w:rPr>
          <w:rStyle w:val="QuoteChar"/>
          <w:i/>
          <w:iCs w:val="0"/>
        </w:rPr>
        <w:t>.</w:t>
      </w:r>
    </w:p>
    <w:p w14:paraId="304FBAD9" w14:textId="77777777" w:rsidR="00575DD7" w:rsidRDefault="006E32DE" w:rsidP="00EF65AE">
      <w:pPr>
        <w:rPr>
          <w:rFonts w:cs="Arial"/>
        </w:rPr>
      </w:pPr>
      <w:r>
        <w:rPr>
          <w:rFonts w:cs="Arial"/>
        </w:rPr>
        <w:t>T</w:t>
      </w:r>
      <w:r w:rsidR="00EF65AE" w:rsidRPr="00EF65AE">
        <w:rPr>
          <w:rFonts w:cs="Arial"/>
        </w:rPr>
        <w:t>he designation of non-judicial personnel</w:t>
      </w:r>
      <w:r w:rsidR="004305A6">
        <w:rPr>
          <w:rFonts w:cs="Arial"/>
        </w:rPr>
        <w:t>—</w:t>
      </w:r>
      <w:r w:rsidR="00EF65AE" w:rsidRPr="00EF65AE">
        <w:rPr>
          <w:rFonts w:cs="Arial"/>
        </w:rPr>
        <w:t xml:space="preserve">called </w:t>
      </w:r>
      <w:r w:rsidR="00575DD7">
        <w:rPr>
          <w:rFonts w:cs="Arial"/>
        </w:rPr>
        <w:t>‘</w:t>
      </w:r>
      <w:r w:rsidR="00EF65AE" w:rsidRPr="00EF65AE">
        <w:rPr>
          <w:rFonts w:cs="Arial"/>
        </w:rPr>
        <w:t>authorised justices</w:t>
      </w:r>
      <w:r w:rsidR="00CB0DD4">
        <w:rPr>
          <w:rFonts w:cs="Arial"/>
        </w:rPr>
        <w:t>’</w:t>
      </w:r>
      <w:r w:rsidR="00575DD7">
        <w:rPr>
          <w:rFonts w:cs="Arial"/>
        </w:rPr>
        <w:t xml:space="preserve"> or </w:t>
      </w:r>
      <w:r w:rsidR="00CB0DD4">
        <w:rPr>
          <w:rFonts w:cs="Arial"/>
        </w:rPr>
        <w:t>‘</w:t>
      </w:r>
      <w:r w:rsidR="00575DD7">
        <w:rPr>
          <w:rFonts w:cs="Arial"/>
        </w:rPr>
        <w:t>authorised</w:t>
      </w:r>
      <w:r w:rsidR="001A27FF">
        <w:rPr>
          <w:rFonts w:cs="Arial"/>
        </w:rPr>
        <w:t xml:space="preserve"> persons</w:t>
      </w:r>
      <w:r w:rsidR="00575DD7">
        <w:rPr>
          <w:rFonts w:cs="Arial"/>
        </w:rPr>
        <w:t>’—</w:t>
      </w:r>
      <w:r w:rsidR="00EF65AE" w:rsidRPr="00EF65AE">
        <w:rPr>
          <w:rFonts w:cs="Arial"/>
        </w:rPr>
        <w:t>could potentially increase women’s access to justice in rural areas</w:t>
      </w:r>
      <w:r>
        <w:rPr>
          <w:rFonts w:cs="Arial"/>
        </w:rPr>
        <w:t xml:space="preserve"> but </w:t>
      </w:r>
      <w:r w:rsidR="00EF65AE" w:rsidRPr="00EF65AE">
        <w:rPr>
          <w:rFonts w:cs="Arial"/>
        </w:rPr>
        <w:t xml:space="preserve">there is still confusion in many countries </w:t>
      </w:r>
      <w:r w:rsidR="00575DD7">
        <w:rPr>
          <w:rFonts w:cs="Arial"/>
        </w:rPr>
        <w:t>over</w:t>
      </w:r>
      <w:r w:rsidR="00EF65AE" w:rsidRPr="00EF65AE">
        <w:rPr>
          <w:rFonts w:cs="Arial"/>
        </w:rPr>
        <w:t xml:space="preserve"> how authorised personnel should be selected and trained. Moreover, the new laws were not included for the most part in national budgets, which has slowed implementation considerably. </w:t>
      </w:r>
    </w:p>
    <w:p w14:paraId="7DBFDFF5" w14:textId="3C7909FD" w:rsidR="00EF65AE" w:rsidRPr="00EF65AE" w:rsidRDefault="00EF65AE" w:rsidP="00EF65AE">
      <w:pPr>
        <w:rPr>
          <w:rFonts w:cs="Arial"/>
        </w:rPr>
      </w:pPr>
      <w:r w:rsidRPr="00EF65AE">
        <w:rPr>
          <w:rFonts w:cs="Arial"/>
        </w:rPr>
        <w:t>In Solomon Islands, lay magistrates were designated several years ago to settle land disputes</w:t>
      </w:r>
      <w:r w:rsidR="004305A6">
        <w:rPr>
          <w:rFonts w:cs="Arial"/>
        </w:rPr>
        <w:t>. I</w:t>
      </w:r>
      <w:r w:rsidRPr="00EF65AE">
        <w:rPr>
          <w:rFonts w:cs="Arial"/>
        </w:rPr>
        <w:t>n</w:t>
      </w:r>
      <w:r w:rsidR="0012349A">
        <w:rPr>
          <w:rFonts w:cs="Arial"/>
        </w:rPr>
        <w:t> </w:t>
      </w:r>
      <w:r w:rsidRPr="00EF65AE">
        <w:rPr>
          <w:rFonts w:cs="Arial"/>
        </w:rPr>
        <w:t>principle, they could be authorised to provide IPOs in domestic violence cases</w:t>
      </w:r>
      <w:r w:rsidR="004305A6">
        <w:rPr>
          <w:rFonts w:cs="Arial"/>
        </w:rPr>
        <w:t>,</w:t>
      </w:r>
      <w:r w:rsidRPr="00EF65AE">
        <w:rPr>
          <w:rFonts w:cs="Arial"/>
        </w:rPr>
        <w:t xml:space="preserve"> however, this has not been viable. Th</w:t>
      </w:r>
      <w:r w:rsidR="00575DD7">
        <w:rPr>
          <w:rFonts w:cs="Arial"/>
        </w:rPr>
        <w:t>is</w:t>
      </w:r>
      <w:r w:rsidRPr="00EF65AE">
        <w:rPr>
          <w:rFonts w:cs="Arial"/>
        </w:rPr>
        <w:t xml:space="preserve"> evaluation found it difficult to locate the</w:t>
      </w:r>
      <w:r w:rsidR="004305A6">
        <w:rPr>
          <w:rFonts w:cs="Arial"/>
        </w:rPr>
        <w:t>se</w:t>
      </w:r>
      <w:r w:rsidRPr="00EF65AE">
        <w:rPr>
          <w:rFonts w:cs="Arial"/>
        </w:rPr>
        <w:t xml:space="preserve"> magistrates</w:t>
      </w:r>
      <w:r w:rsidR="00575DD7">
        <w:rPr>
          <w:rFonts w:cs="Arial"/>
        </w:rPr>
        <w:t xml:space="preserve"> (</w:t>
      </w:r>
      <w:r w:rsidRPr="00EF65AE">
        <w:rPr>
          <w:rFonts w:cs="Arial"/>
        </w:rPr>
        <w:t>many have died or relocated</w:t>
      </w:r>
      <w:r w:rsidR="00CB0DD4">
        <w:rPr>
          <w:rFonts w:cs="Arial"/>
        </w:rPr>
        <w:t>)</w:t>
      </w:r>
      <w:r w:rsidR="00E2253F">
        <w:rPr>
          <w:rFonts w:cs="Arial"/>
        </w:rPr>
        <w:t xml:space="preserve">. </w:t>
      </w:r>
      <w:r w:rsidRPr="00EF65AE">
        <w:rPr>
          <w:rFonts w:cs="Arial"/>
        </w:rPr>
        <w:t xml:space="preserve">The remaining </w:t>
      </w:r>
      <w:r w:rsidR="00575DD7">
        <w:rPr>
          <w:rFonts w:cs="Arial"/>
        </w:rPr>
        <w:t>magistrates</w:t>
      </w:r>
      <w:r w:rsidR="00575DD7" w:rsidRPr="00EF65AE">
        <w:rPr>
          <w:rFonts w:cs="Arial"/>
        </w:rPr>
        <w:t xml:space="preserve"> </w:t>
      </w:r>
      <w:r w:rsidRPr="00EF65AE">
        <w:rPr>
          <w:rFonts w:cs="Arial"/>
        </w:rPr>
        <w:t>have no experience or knowledge of family violence. In</w:t>
      </w:r>
      <w:r w:rsidR="0012349A">
        <w:rPr>
          <w:rFonts w:cs="Arial"/>
        </w:rPr>
        <w:t> </w:t>
      </w:r>
      <w:r w:rsidRPr="00EF65AE">
        <w:rPr>
          <w:rFonts w:cs="Arial"/>
        </w:rPr>
        <w:t>Solomon Islands</w:t>
      </w:r>
      <w:r w:rsidR="004305A6">
        <w:rPr>
          <w:rFonts w:cs="Arial"/>
        </w:rPr>
        <w:t xml:space="preserve"> and Vanuatu</w:t>
      </w:r>
      <w:r w:rsidRPr="00EF65AE">
        <w:rPr>
          <w:rFonts w:cs="Arial"/>
        </w:rPr>
        <w:t xml:space="preserve">, the </w:t>
      </w:r>
      <w:r w:rsidR="00993A31">
        <w:rPr>
          <w:rFonts w:cs="Arial"/>
        </w:rPr>
        <w:t>Family Protection Acts</w:t>
      </w:r>
      <w:r w:rsidRPr="00EF65AE">
        <w:rPr>
          <w:rFonts w:cs="Arial"/>
        </w:rPr>
        <w:t xml:space="preserve"> refer to </w:t>
      </w:r>
      <w:r w:rsidR="004305A6">
        <w:rPr>
          <w:rFonts w:cs="Arial"/>
        </w:rPr>
        <w:t>‘</w:t>
      </w:r>
      <w:r w:rsidRPr="00EF65AE">
        <w:rPr>
          <w:rFonts w:cs="Arial"/>
        </w:rPr>
        <w:t>registered counsellors</w:t>
      </w:r>
      <w:r w:rsidR="004305A6">
        <w:rPr>
          <w:rFonts w:cs="Arial"/>
        </w:rPr>
        <w:t>’</w:t>
      </w:r>
      <w:r w:rsidRPr="00EF65AE">
        <w:rPr>
          <w:rFonts w:cs="Arial"/>
        </w:rPr>
        <w:t xml:space="preserve"> for supporting survivors of violence, although </w:t>
      </w:r>
      <w:r w:rsidR="00575DD7">
        <w:rPr>
          <w:rFonts w:cs="Arial"/>
        </w:rPr>
        <w:t xml:space="preserve">there is </w:t>
      </w:r>
      <w:r w:rsidRPr="00EF65AE">
        <w:rPr>
          <w:rFonts w:cs="Arial"/>
        </w:rPr>
        <w:t>no system for training and registering lay</w:t>
      </w:r>
      <w:r w:rsidR="0012349A">
        <w:rPr>
          <w:rFonts w:cs="Arial"/>
        </w:rPr>
        <w:t> </w:t>
      </w:r>
      <w:r w:rsidRPr="00EF65AE">
        <w:rPr>
          <w:rFonts w:cs="Arial"/>
        </w:rPr>
        <w:t xml:space="preserve">counsellors. </w:t>
      </w:r>
    </w:p>
    <w:p w14:paraId="44FFC4FF" w14:textId="2142A24B" w:rsidR="00EF65AE" w:rsidRPr="00EF65AE" w:rsidRDefault="00EF65AE" w:rsidP="00EF65AE">
      <w:pPr>
        <w:rPr>
          <w:rFonts w:cs="Arial"/>
        </w:rPr>
      </w:pPr>
      <w:r w:rsidRPr="00EF65AE">
        <w:rPr>
          <w:rFonts w:cs="Arial"/>
        </w:rPr>
        <w:t>The Vanuatu</w:t>
      </w:r>
      <w:r w:rsidR="004305A6">
        <w:rPr>
          <w:rFonts w:cs="Arial"/>
        </w:rPr>
        <w:t>–</w:t>
      </w:r>
      <w:r w:rsidRPr="00EF65AE">
        <w:rPr>
          <w:rFonts w:cs="Arial"/>
        </w:rPr>
        <w:t xml:space="preserve">Australia Policing and Justice Program is implementing a pilot project in two provinces to train community representatives to serve as authorised </w:t>
      </w:r>
      <w:r w:rsidR="001A27FF">
        <w:rPr>
          <w:rFonts w:cs="Arial"/>
        </w:rPr>
        <w:t>persons</w:t>
      </w:r>
      <w:r w:rsidR="000C2BB4">
        <w:rPr>
          <w:rFonts w:cs="Arial"/>
        </w:rPr>
        <w:t>. Those authorised</w:t>
      </w:r>
      <w:r w:rsidRPr="00EF65AE">
        <w:rPr>
          <w:rFonts w:cs="Arial"/>
        </w:rPr>
        <w:t xml:space="preserve"> </w:t>
      </w:r>
      <w:r w:rsidR="000C2BB4">
        <w:rPr>
          <w:rFonts w:cs="Arial"/>
        </w:rPr>
        <w:t>included male advocate</w:t>
      </w:r>
      <w:r w:rsidR="00C10891">
        <w:rPr>
          <w:rFonts w:cs="Arial"/>
        </w:rPr>
        <w:t>s</w:t>
      </w:r>
      <w:r w:rsidR="000C2BB4">
        <w:rPr>
          <w:rFonts w:cs="Arial"/>
        </w:rPr>
        <w:t xml:space="preserve"> and others </w:t>
      </w:r>
      <w:r w:rsidRPr="00EF65AE">
        <w:rPr>
          <w:rFonts w:cs="Arial"/>
        </w:rPr>
        <w:t>from the VWC</w:t>
      </w:r>
      <w:r w:rsidR="00575DD7">
        <w:rPr>
          <w:rFonts w:cs="Arial"/>
        </w:rPr>
        <w:t xml:space="preserve"> </w:t>
      </w:r>
      <w:r w:rsidR="000C2BB4">
        <w:rPr>
          <w:rFonts w:cs="Arial"/>
        </w:rPr>
        <w:t>who</w:t>
      </w:r>
      <w:r w:rsidRPr="00EF65AE">
        <w:rPr>
          <w:rFonts w:cs="Arial"/>
        </w:rPr>
        <w:t xml:space="preserve"> </w:t>
      </w:r>
      <w:r w:rsidR="000C2BB4">
        <w:rPr>
          <w:rFonts w:cs="Arial"/>
        </w:rPr>
        <w:t xml:space="preserve">had </w:t>
      </w:r>
      <w:r w:rsidRPr="00EF65AE">
        <w:rPr>
          <w:rFonts w:cs="Arial"/>
        </w:rPr>
        <w:t>participat</w:t>
      </w:r>
      <w:r w:rsidR="000C2BB4">
        <w:rPr>
          <w:rFonts w:cs="Arial"/>
        </w:rPr>
        <w:t>ed</w:t>
      </w:r>
      <w:r w:rsidRPr="00EF65AE">
        <w:rPr>
          <w:rFonts w:cs="Arial"/>
        </w:rPr>
        <w:t xml:space="preserve"> in the Committees against Violence against Women (</w:t>
      </w:r>
      <w:bookmarkStart w:id="214" w:name="_Hlk15947588"/>
      <w:r w:rsidRPr="00EF65AE">
        <w:rPr>
          <w:rFonts w:cs="Arial"/>
        </w:rPr>
        <w:t>CAVAW</w:t>
      </w:r>
      <w:bookmarkEnd w:id="214"/>
      <w:r w:rsidRPr="00EF65AE">
        <w:rPr>
          <w:rFonts w:cs="Arial"/>
        </w:rPr>
        <w:t>.) Although the pilot is small, and it is not clear how feasible it would be to scale to a national level, there are indications that, if properly trained, these authorised persons could play a positive role in responding to and preventing VAWG</w:t>
      </w:r>
      <w:r w:rsidR="00E2253F">
        <w:rPr>
          <w:rFonts w:cs="Arial"/>
        </w:rPr>
        <w:t xml:space="preserve">. </w:t>
      </w:r>
      <w:r w:rsidRPr="00EF65AE">
        <w:rPr>
          <w:rFonts w:cs="Arial"/>
        </w:rPr>
        <w:t>An advisor to th</w:t>
      </w:r>
      <w:r w:rsidR="004305A6">
        <w:rPr>
          <w:rFonts w:cs="Arial"/>
        </w:rPr>
        <w:t>e</w:t>
      </w:r>
      <w:r w:rsidRPr="00EF65AE">
        <w:rPr>
          <w:rFonts w:cs="Arial"/>
        </w:rPr>
        <w:t xml:space="preserve"> program</w:t>
      </w:r>
      <w:r w:rsidR="00545490">
        <w:rPr>
          <w:rFonts w:cs="Arial"/>
        </w:rPr>
        <w:t xml:space="preserve"> reported</w:t>
      </w:r>
      <w:r w:rsidR="004305A6">
        <w:rPr>
          <w:rFonts w:cs="Arial"/>
        </w:rPr>
        <w:t>:</w:t>
      </w:r>
      <w:r w:rsidRPr="00EF65AE">
        <w:rPr>
          <w:rFonts w:cs="Arial"/>
        </w:rPr>
        <w:t xml:space="preserve"> </w:t>
      </w:r>
    </w:p>
    <w:p w14:paraId="23354261" w14:textId="4FDDF37F" w:rsidR="00EF65AE" w:rsidRPr="00DA259B" w:rsidRDefault="00EF65AE" w:rsidP="00782757">
      <w:pPr>
        <w:pStyle w:val="IndentQuote"/>
        <w:rPr>
          <w:i w:val="0"/>
          <w:iCs/>
        </w:rPr>
      </w:pPr>
      <w:r w:rsidRPr="00F973BE">
        <w:t>A woman was hit in the head with a stone and her head was cracked open</w:t>
      </w:r>
      <w:r w:rsidR="004305A6" w:rsidRPr="00F973BE">
        <w:t>—</w:t>
      </w:r>
      <w:r w:rsidRPr="00F973BE">
        <w:t>the authorised person took her to the health centre. He was a medical practitioner and assisted her to get to town</w:t>
      </w:r>
      <w:r w:rsidR="00E2253F" w:rsidRPr="00F973BE">
        <w:t xml:space="preserve">. </w:t>
      </w:r>
      <w:r w:rsidRPr="00F973BE">
        <w:t>Because of our connections with the police he advocated and got a police response and the individual was sentenced in court</w:t>
      </w:r>
      <w:r w:rsidR="004305A6" w:rsidRPr="00F973BE">
        <w:t xml:space="preserve"> </w:t>
      </w:r>
      <w:r w:rsidRPr="00F973BE">
        <w:t>… It was quite a remarkable thing for people to see. That sent</w:t>
      </w:r>
      <w:r w:rsidRPr="00782757">
        <w:rPr>
          <w:rStyle w:val="QuoteChar"/>
          <w:i/>
          <w:iCs w:val="0"/>
        </w:rPr>
        <w:t xml:space="preserve"> </w:t>
      </w:r>
      <w:r w:rsidRPr="00F973BE">
        <w:t>such a strong message: seeing a response that violence is not acceptable also has a deterrent effect.</w:t>
      </w:r>
      <w:r w:rsidRPr="00782757">
        <w:t xml:space="preserve"> </w:t>
      </w:r>
    </w:p>
    <w:p w14:paraId="4D40519D" w14:textId="77777777" w:rsidR="00575DD7" w:rsidRPr="00DA259B" w:rsidRDefault="006E32DE" w:rsidP="00EF65AE">
      <w:pPr>
        <w:rPr>
          <w:rFonts w:cs="Arial"/>
        </w:rPr>
      </w:pPr>
      <w:r>
        <w:rPr>
          <w:rFonts w:cs="Arial"/>
        </w:rPr>
        <w:t>P</w:t>
      </w:r>
      <w:r w:rsidR="00EF65AE" w:rsidRPr="00EF65AE">
        <w:rPr>
          <w:rFonts w:cs="Arial"/>
        </w:rPr>
        <w:t>rotection orders are an important tool for protecting women from domestic violence</w:t>
      </w:r>
      <w:r>
        <w:rPr>
          <w:rFonts w:cs="Arial"/>
        </w:rPr>
        <w:t>. Th</w:t>
      </w:r>
      <w:r w:rsidR="00575DD7">
        <w:rPr>
          <w:rFonts w:cs="Arial"/>
        </w:rPr>
        <w:t>is</w:t>
      </w:r>
      <w:r>
        <w:rPr>
          <w:rFonts w:cs="Arial"/>
        </w:rPr>
        <w:t xml:space="preserve"> evaluation found </w:t>
      </w:r>
      <w:r w:rsidR="008A0DE3">
        <w:rPr>
          <w:rFonts w:cs="Arial"/>
        </w:rPr>
        <w:t>instances where</w:t>
      </w:r>
      <w:r>
        <w:rPr>
          <w:rFonts w:cs="Arial"/>
        </w:rPr>
        <w:t xml:space="preserve"> IPOs were issued without authorisation</w:t>
      </w:r>
      <w:r w:rsidR="008A0DE3">
        <w:rPr>
          <w:rFonts w:cs="Arial"/>
        </w:rPr>
        <w:t xml:space="preserve"> and were not compliant with legislative requirements</w:t>
      </w:r>
      <w:r w:rsidR="008A0DE3" w:rsidRPr="00DA259B">
        <w:rPr>
          <w:rFonts w:cs="Arial"/>
          <w:color w:val="auto"/>
        </w:rPr>
        <w:t>.</w:t>
      </w:r>
      <w:r w:rsidR="00C10891" w:rsidRPr="00DA259B">
        <w:rPr>
          <w:rFonts w:cs="Arial"/>
          <w:color w:val="auto"/>
        </w:rPr>
        <w:t xml:space="preserve"> </w:t>
      </w:r>
      <w:r w:rsidR="00575DD7" w:rsidRPr="00DA259B">
        <w:rPr>
          <w:rFonts w:cs="Arial"/>
          <w:color w:val="auto"/>
        </w:rPr>
        <w:t>I</w:t>
      </w:r>
      <w:r w:rsidRPr="00DA259B">
        <w:rPr>
          <w:color w:val="auto"/>
          <w:lang w:val="en-GB"/>
        </w:rPr>
        <w:t xml:space="preserve">n PNG, </w:t>
      </w:r>
      <w:r w:rsidR="00575DD7" w:rsidRPr="00DA259B">
        <w:rPr>
          <w:color w:val="auto"/>
          <w:lang w:val="en-GB"/>
        </w:rPr>
        <w:t xml:space="preserve">for example, </w:t>
      </w:r>
      <w:r w:rsidRPr="00DA259B">
        <w:rPr>
          <w:color w:val="auto"/>
          <w:lang w:val="en-GB"/>
        </w:rPr>
        <w:t xml:space="preserve">IPOs can be issued by </w:t>
      </w:r>
      <w:r w:rsidR="003F76AF" w:rsidRPr="00DA259B">
        <w:rPr>
          <w:color w:val="auto"/>
          <w:lang w:val="en-GB"/>
        </w:rPr>
        <w:t xml:space="preserve">a </w:t>
      </w:r>
      <w:r w:rsidRPr="00DA259B">
        <w:rPr>
          <w:color w:val="auto"/>
          <w:lang w:val="en-GB"/>
        </w:rPr>
        <w:t xml:space="preserve">Village Court Magistrate or </w:t>
      </w:r>
      <w:r w:rsidR="003F76AF" w:rsidRPr="00DA259B">
        <w:rPr>
          <w:color w:val="auto"/>
          <w:lang w:val="en-GB"/>
        </w:rPr>
        <w:t xml:space="preserve">a </w:t>
      </w:r>
      <w:r w:rsidRPr="00DA259B">
        <w:rPr>
          <w:color w:val="auto"/>
          <w:lang w:val="en-GB"/>
        </w:rPr>
        <w:t>Magistrate in the District Court (the District Court being part of the formal justice system, and magistrates being the judicial officers in that court</w:t>
      </w:r>
      <w:r w:rsidR="00575DD7" w:rsidRPr="00DA259B">
        <w:rPr>
          <w:color w:val="auto"/>
          <w:lang w:val="en-GB"/>
        </w:rPr>
        <w:t>)</w:t>
      </w:r>
      <w:r w:rsidRPr="00DA259B">
        <w:rPr>
          <w:color w:val="auto"/>
          <w:lang w:val="en-GB"/>
        </w:rPr>
        <w:t xml:space="preserve">. </w:t>
      </w:r>
    </w:p>
    <w:p w14:paraId="3787CDBA" w14:textId="44921DA7" w:rsidR="008A0DE3" w:rsidRDefault="006E32DE" w:rsidP="00EF65AE">
      <w:pPr>
        <w:rPr>
          <w:rFonts w:cs="Arial"/>
        </w:rPr>
      </w:pPr>
      <w:r w:rsidRPr="00DA259B">
        <w:rPr>
          <w:color w:val="auto"/>
          <w:lang w:val="en-GB"/>
        </w:rPr>
        <w:t>Th</w:t>
      </w:r>
      <w:r w:rsidR="00575DD7" w:rsidRPr="00DA259B">
        <w:rPr>
          <w:color w:val="auto"/>
          <w:lang w:val="en-GB"/>
        </w:rPr>
        <w:t>is</w:t>
      </w:r>
      <w:r w:rsidRPr="00DA259B">
        <w:rPr>
          <w:color w:val="auto"/>
          <w:lang w:val="en-GB"/>
        </w:rPr>
        <w:t xml:space="preserve"> evaluation found that</w:t>
      </w:r>
      <w:r w:rsidR="00EF65AE" w:rsidRPr="00DA259B">
        <w:rPr>
          <w:rFonts w:cs="Arial"/>
          <w:color w:val="auto"/>
        </w:rPr>
        <w:t xml:space="preserve"> many police and village chiefs issu</w:t>
      </w:r>
      <w:r w:rsidRPr="00DA259B">
        <w:rPr>
          <w:rFonts w:cs="Arial"/>
          <w:color w:val="auto"/>
        </w:rPr>
        <w:t>ed</w:t>
      </w:r>
      <w:r w:rsidR="00C10891">
        <w:rPr>
          <w:rFonts w:cs="Arial"/>
          <w:color w:val="auto"/>
        </w:rPr>
        <w:t xml:space="preserve"> I</w:t>
      </w:r>
      <w:r w:rsidR="00EF65AE" w:rsidRPr="00DA259B">
        <w:rPr>
          <w:rFonts w:cs="Arial"/>
          <w:color w:val="auto"/>
        </w:rPr>
        <w:t xml:space="preserve">POs </w:t>
      </w:r>
      <w:r w:rsidR="00575DD7" w:rsidRPr="00DA259B">
        <w:rPr>
          <w:rFonts w:cs="Arial"/>
          <w:color w:val="auto"/>
        </w:rPr>
        <w:t>that</w:t>
      </w:r>
      <w:r w:rsidR="00EF65AE" w:rsidRPr="00DA259B">
        <w:rPr>
          <w:rFonts w:cs="Arial"/>
          <w:color w:val="auto"/>
        </w:rPr>
        <w:t xml:space="preserve"> included features not in line with the law. For example, several </w:t>
      </w:r>
      <w:r w:rsidR="00EF65AE" w:rsidRPr="00EF65AE">
        <w:rPr>
          <w:rFonts w:cs="Arial"/>
        </w:rPr>
        <w:t>IPOs reviewed by the evaluation team prohibited the husband from dri</w:t>
      </w:r>
      <w:r w:rsidR="00EF65AE" w:rsidRPr="00EF65AE">
        <w:rPr>
          <w:rStyle w:val="BodyTextChar"/>
          <w:rFonts w:cs="Arial"/>
        </w:rPr>
        <w:t>n</w:t>
      </w:r>
      <w:r w:rsidR="00EF65AE" w:rsidRPr="00EF65AE">
        <w:rPr>
          <w:rFonts w:cs="Arial"/>
        </w:rPr>
        <w:t>king for two</w:t>
      </w:r>
      <w:r w:rsidR="004305A6">
        <w:rPr>
          <w:rFonts w:cs="Arial"/>
        </w:rPr>
        <w:t xml:space="preserve"> </w:t>
      </w:r>
      <w:r w:rsidR="00EF65AE" w:rsidRPr="00EF65AE">
        <w:rPr>
          <w:rFonts w:cs="Arial"/>
        </w:rPr>
        <w:t>year</w:t>
      </w:r>
      <w:r w:rsidR="004305A6">
        <w:rPr>
          <w:rFonts w:cs="Arial"/>
        </w:rPr>
        <w:t>s</w:t>
      </w:r>
      <w:r w:rsidR="00EF65AE" w:rsidRPr="00EF65AE">
        <w:rPr>
          <w:rFonts w:cs="Arial"/>
        </w:rPr>
        <w:t>, when according to the F</w:t>
      </w:r>
      <w:r w:rsidR="00993A31">
        <w:rPr>
          <w:rFonts w:cs="Arial"/>
        </w:rPr>
        <w:t>amily Protection Act</w:t>
      </w:r>
      <w:r w:rsidR="00EF65AE" w:rsidRPr="00EF65AE">
        <w:rPr>
          <w:rFonts w:cs="Arial"/>
        </w:rPr>
        <w:t>, IPOs are valid only for 30 days (with the option to renew for another 30 days).</w:t>
      </w:r>
    </w:p>
    <w:p w14:paraId="6FEC1C4E" w14:textId="7798D09B" w:rsidR="00EF65AE" w:rsidRPr="00EF65AE" w:rsidRDefault="008A0DE3" w:rsidP="00EF65AE">
      <w:pPr>
        <w:rPr>
          <w:rFonts w:cs="Arial"/>
        </w:rPr>
      </w:pPr>
      <w:r>
        <w:rPr>
          <w:rFonts w:cs="Arial"/>
        </w:rPr>
        <w:t>Th</w:t>
      </w:r>
      <w:r w:rsidR="00575DD7">
        <w:rPr>
          <w:rFonts w:cs="Arial"/>
        </w:rPr>
        <w:t>is</w:t>
      </w:r>
      <w:r>
        <w:rPr>
          <w:rFonts w:cs="Arial"/>
        </w:rPr>
        <w:t xml:space="preserve"> evaluation</w:t>
      </w:r>
      <w:r w:rsidR="00575DD7">
        <w:rPr>
          <w:rFonts w:cs="Arial"/>
        </w:rPr>
        <w:t xml:space="preserve"> also</w:t>
      </w:r>
      <w:r>
        <w:rPr>
          <w:rFonts w:cs="Arial"/>
        </w:rPr>
        <w:t xml:space="preserve"> found </w:t>
      </w:r>
      <w:r w:rsidRPr="00EF65AE">
        <w:rPr>
          <w:rFonts w:cs="Arial"/>
        </w:rPr>
        <w:t xml:space="preserve">conflicting views about </w:t>
      </w:r>
      <w:r w:rsidR="00732479">
        <w:rPr>
          <w:rFonts w:cs="Arial"/>
        </w:rPr>
        <w:t>the</w:t>
      </w:r>
      <w:r>
        <w:rPr>
          <w:rFonts w:cs="Arial"/>
        </w:rPr>
        <w:t xml:space="preserve"> effectiveness</w:t>
      </w:r>
      <w:r w:rsidR="00732479">
        <w:rPr>
          <w:rFonts w:cs="Arial"/>
        </w:rPr>
        <w:t xml:space="preserve"> of IPOs</w:t>
      </w:r>
      <w:r>
        <w:rPr>
          <w:rFonts w:cs="Arial"/>
        </w:rPr>
        <w:t>.</w:t>
      </w:r>
    </w:p>
    <w:p w14:paraId="5006BDF8" w14:textId="77777777" w:rsidR="00EF65AE" w:rsidRPr="00EF65AE" w:rsidRDefault="008A0DE3" w:rsidP="00E13AE6">
      <w:pPr>
        <w:numPr>
          <w:ilvl w:val="0"/>
          <w:numId w:val="0"/>
        </w:numPr>
        <w:rPr>
          <w:rFonts w:cs="Arial"/>
        </w:rPr>
      </w:pPr>
      <w:r>
        <w:rPr>
          <w:rFonts w:cs="Arial"/>
        </w:rPr>
        <w:t>I</w:t>
      </w:r>
      <w:r w:rsidR="00EF65AE" w:rsidRPr="00EF65AE">
        <w:rPr>
          <w:rFonts w:cs="Arial"/>
        </w:rPr>
        <w:t xml:space="preserve">n Solomon Islands, responses from stakeholders were mixed </w:t>
      </w:r>
      <w:r w:rsidR="00575DD7">
        <w:rPr>
          <w:rFonts w:cs="Arial"/>
        </w:rPr>
        <w:t>over</w:t>
      </w:r>
      <w:r w:rsidR="00575DD7" w:rsidRPr="00EF65AE">
        <w:rPr>
          <w:rFonts w:cs="Arial"/>
        </w:rPr>
        <w:t xml:space="preserve"> </w:t>
      </w:r>
      <w:r w:rsidR="00EF65AE" w:rsidRPr="00EF65AE">
        <w:rPr>
          <w:rFonts w:cs="Arial"/>
        </w:rPr>
        <w:t xml:space="preserve">the effectiveness of IPOs and the shorter-term, 21-day, </w:t>
      </w:r>
      <w:bookmarkStart w:id="215" w:name="_Hlk15947762"/>
      <w:r w:rsidR="004D6E65">
        <w:rPr>
          <w:rFonts w:cs="Arial"/>
        </w:rPr>
        <w:t>p</w:t>
      </w:r>
      <w:r w:rsidR="00EF65AE" w:rsidRPr="00EF65AE">
        <w:rPr>
          <w:rFonts w:cs="Arial"/>
        </w:rPr>
        <w:t xml:space="preserve">olice </w:t>
      </w:r>
      <w:r w:rsidR="004D6E65">
        <w:rPr>
          <w:rFonts w:cs="Arial"/>
        </w:rPr>
        <w:t>s</w:t>
      </w:r>
      <w:r w:rsidR="00EF65AE" w:rsidRPr="00EF65AE">
        <w:rPr>
          <w:rFonts w:cs="Arial"/>
        </w:rPr>
        <w:t xml:space="preserve">afety </w:t>
      </w:r>
      <w:r w:rsidR="004D6E65">
        <w:rPr>
          <w:rFonts w:cs="Arial"/>
        </w:rPr>
        <w:t>n</w:t>
      </w:r>
      <w:r w:rsidR="00EF65AE" w:rsidRPr="00EF65AE">
        <w:rPr>
          <w:rFonts w:cs="Arial"/>
        </w:rPr>
        <w:t>otices</w:t>
      </w:r>
      <w:bookmarkEnd w:id="215"/>
      <w:r w:rsidR="00EF65AE" w:rsidRPr="00EF65AE">
        <w:rPr>
          <w:rFonts w:cs="Arial"/>
        </w:rPr>
        <w:t xml:space="preserve">: </w:t>
      </w:r>
    </w:p>
    <w:p w14:paraId="2DB2A0A5" w14:textId="7D675862" w:rsidR="00EF65AE" w:rsidRPr="00DA259B" w:rsidRDefault="00EF65AE" w:rsidP="00782757">
      <w:pPr>
        <w:pStyle w:val="IndentQuote"/>
        <w:rPr>
          <w:i w:val="0"/>
          <w:iCs/>
        </w:rPr>
      </w:pPr>
      <w:r w:rsidRPr="00C43281">
        <w:t>The rates of PSNs</w:t>
      </w:r>
      <w:r w:rsidR="004D6E65" w:rsidRPr="00C43281">
        <w:t xml:space="preserve"> [police safety notices]</w:t>
      </w:r>
      <w:r w:rsidRPr="00C43281">
        <w:t xml:space="preserve"> and IPOs are not consistent</w:t>
      </w:r>
      <w:r w:rsidR="004305A6" w:rsidRPr="00C43281">
        <w:t>—</w:t>
      </w:r>
      <w:r w:rsidRPr="00C43281">
        <w:t>very few of them actually make it to court</w:t>
      </w:r>
      <w:r w:rsidR="004305A6" w:rsidRPr="00C43281">
        <w:t xml:space="preserve"> </w:t>
      </w:r>
      <w:r w:rsidRPr="00C43281">
        <w:t>… We end up with a traditional justice approach taking over that 21-day period.</w:t>
      </w:r>
      <w:r w:rsidRPr="00937123">
        <w:t xml:space="preserve"> </w:t>
      </w:r>
      <w:r w:rsidR="00937123">
        <w:rPr>
          <w:i w:val="0"/>
          <w:iCs/>
        </w:rPr>
        <w:t>–</w:t>
      </w:r>
      <w:r w:rsidR="00937123">
        <w:t xml:space="preserve"> </w:t>
      </w:r>
      <w:r w:rsidRPr="00DA259B">
        <w:rPr>
          <w:i w:val="0"/>
          <w:iCs/>
        </w:rPr>
        <w:t>Male police officer, Solomon Islands</w:t>
      </w:r>
    </w:p>
    <w:p w14:paraId="38C9B3B5" w14:textId="77777777" w:rsidR="00575DD7" w:rsidRDefault="00EF65AE" w:rsidP="00F2405E">
      <w:pPr>
        <w:rPr>
          <w:rFonts w:cs="Arial"/>
        </w:rPr>
      </w:pPr>
      <w:r w:rsidRPr="00575DD7">
        <w:rPr>
          <w:rFonts w:cs="Arial"/>
        </w:rPr>
        <w:t>Femili PNG and the Australian National University (ANU) carried out a study on the effectiveness of IPOs among clients in Lae, PNG</w:t>
      </w:r>
      <w:r w:rsidR="00575DD7" w:rsidRPr="00575DD7">
        <w:rPr>
          <w:rFonts w:cs="Arial"/>
        </w:rPr>
        <w:t>,</w:t>
      </w:r>
      <w:r w:rsidRPr="00575DD7">
        <w:rPr>
          <w:rFonts w:cs="Arial"/>
        </w:rPr>
        <w:t xml:space="preserve"> between 2014 and 2018. Among </w:t>
      </w:r>
      <w:r w:rsidR="00575DD7" w:rsidRPr="00575DD7">
        <w:rPr>
          <w:rFonts w:cs="Arial"/>
        </w:rPr>
        <w:t xml:space="preserve">the </w:t>
      </w:r>
      <w:r w:rsidRPr="00575DD7">
        <w:rPr>
          <w:rFonts w:cs="Arial"/>
        </w:rPr>
        <w:t>412 clients who wanted an IPO, 389 lodged an application, 276 (67 per cent) received an IPO and 162 (39 per cent) went on to have the IPO converted into a Protection Order</w:t>
      </w:r>
      <w:r w:rsidR="00E2253F" w:rsidRPr="00575DD7">
        <w:rPr>
          <w:rFonts w:cs="Arial"/>
        </w:rPr>
        <w:t xml:space="preserve">. </w:t>
      </w:r>
      <w:r w:rsidRPr="00575DD7">
        <w:rPr>
          <w:rFonts w:cs="Arial"/>
        </w:rPr>
        <w:t>The main reason for the attrition at each level was that clients did not return to pick up the applications or appear in court</w:t>
      </w:r>
      <w:r w:rsidR="00E2253F" w:rsidRPr="00575DD7">
        <w:rPr>
          <w:rFonts w:cs="Arial"/>
        </w:rPr>
        <w:t>.</w:t>
      </w:r>
      <w:r w:rsidR="00575DD7" w:rsidRPr="00575DD7">
        <w:rPr>
          <w:rFonts w:cs="Arial"/>
        </w:rPr>
        <w:t xml:space="preserve"> </w:t>
      </w:r>
      <w:r w:rsidRPr="00575DD7">
        <w:rPr>
          <w:rFonts w:cs="Arial"/>
        </w:rPr>
        <w:t>Some women gave up or became tired of the process due to lengthy delays</w:t>
      </w:r>
      <w:r w:rsidR="00E2253F" w:rsidRPr="00575DD7">
        <w:rPr>
          <w:rFonts w:cs="Arial"/>
        </w:rPr>
        <w:t xml:space="preserve">. </w:t>
      </w:r>
      <w:r w:rsidRPr="00575DD7">
        <w:rPr>
          <w:rFonts w:cs="Arial"/>
        </w:rPr>
        <w:t xml:space="preserve">Others cited changes in the husband’s behaviour or attitudes, safety concerns, or the client returning to her home village. </w:t>
      </w:r>
    </w:p>
    <w:p w14:paraId="2CFFF175" w14:textId="3AF2BCD7" w:rsidR="00EF65AE" w:rsidRPr="00575DD7" w:rsidRDefault="00EF65AE" w:rsidP="00F2405E">
      <w:pPr>
        <w:rPr>
          <w:rFonts w:cs="Arial"/>
        </w:rPr>
      </w:pPr>
      <w:r w:rsidRPr="00575DD7">
        <w:rPr>
          <w:rFonts w:cs="Arial"/>
        </w:rPr>
        <w:t xml:space="preserve">The </w:t>
      </w:r>
      <w:r w:rsidR="00575DD7" w:rsidRPr="00575DD7">
        <w:rPr>
          <w:rFonts w:cs="Arial"/>
        </w:rPr>
        <w:t xml:space="preserve">Femili PNG </w:t>
      </w:r>
      <w:r w:rsidR="00575DD7">
        <w:rPr>
          <w:rFonts w:cs="Arial"/>
        </w:rPr>
        <w:t xml:space="preserve">and ANU </w:t>
      </w:r>
      <w:r w:rsidRPr="00575DD7">
        <w:rPr>
          <w:rFonts w:cs="Arial"/>
        </w:rPr>
        <w:t>study found that the average length of time to receive an IPO was nearly 16 days, with some cases taking more than a month. To convert an IPO to a P</w:t>
      </w:r>
      <w:r w:rsidR="00575DD7" w:rsidRPr="00575DD7">
        <w:rPr>
          <w:rFonts w:cs="Arial"/>
        </w:rPr>
        <w:t>rotection Order</w:t>
      </w:r>
      <w:r w:rsidRPr="00575DD7">
        <w:rPr>
          <w:rFonts w:cs="Arial"/>
        </w:rPr>
        <w:t xml:space="preserve"> took from 5 weeks to 7 months. Despite the high attrition, the </w:t>
      </w:r>
      <w:r w:rsidR="00C10891">
        <w:rPr>
          <w:rFonts w:cs="Arial"/>
        </w:rPr>
        <w:t>study</w:t>
      </w:r>
      <w:r w:rsidR="00575DD7" w:rsidRPr="00575DD7">
        <w:rPr>
          <w:rFonts w:cs="Arial"/>
        </w:rPr>
        <w:t xml:space="preserve"> </w:t>
      </w:r>
      <w:r w:rsidRPr="00575DD7">
        <w:rPr>
          <w:rFonts w:cs="Arial"/>
        </w:rPr>
        <w:t xml:space="preserve">expressed cautious optimism in </w:t>
      </w:r>
      <w:r w:rsidR="00575DD7">
        <w:rPr>
          <w:rFonts w:cs="Arial"/>
        </w:rPr>
        <w:t xml:space="preserve">IPO </w:t>
      </w:r>
      <w:r w:rsidRPr="00575DD7">
        <w:rPr>
          <w:rFonts w:cs="Arial"/>
        </w:rPr>
        <w:t>effectiveness.</w:t>
      </w:r>
      <w:r w:rsidRPr="00575DD7">
        <w:rPr>
          <w:rFonts w:cs="Arial"/>
        </w:rPr>
        <w:fldChar w:fldCharType="begin"/>
      </w:r>
      <w:r w:rsidRPr="00575DD7">
        <w:rPr>
          <w:rFonts w:cs="Arial"/>
        </w:rPr>
        <w:instrText xml:space="preserve"> ADDIN ZOTERO_ITEM CSL_CITATION {"citationID":"RJORLlxy","properties":{"formattedCitation":"\\super 84\\nosupersub{}","plainCitation":"84","noteIndex":0},"citationItems":[{"id":2546,"uris":["http://zotero.org/users/4194704/items/5DR3LITX"],"uri":["http://zotero.org/users/4194704/items/5DR3LITX"],"itemData":{"id":2546,"type":"report","title":"FemliPNG Protection Order Data 2016-2017","publisher":"Australian National University","author":[{"literal":"Department of Pacific Affairs and Development Policy Centre, Australian National University"}],"issued":{"date-parts":[["2018"]]}}}],"schema":"https://github.com/citation-style-language/schema/raw/master/csl-citation.json"} </w:instrText>
      </w:r>
      <w:r w:rsidRPr="00575DD7">
        <w:rPr>
          <w:rFonts w:cs="Arial"/>
        </w:rPr>
        <w:fldChar w:fldCharType="separate"/>
      </w:r>
      <w:r w:rsidRPr="00575DD7">
        <w:rPr>
          <w:rFonts w:cs="Arial"/>
          <w:vertAlign w:val="superscript"/>
          <w:lang w:val="en-US"/>
        </w:rPr>
        <w:t>84</w:t>
      </w:r>
      <w:r w:rsidRPr="00575DD7">
        <w:rPr>
          <w:rFonts w:cs="Arial"/>
        </w:rPr>
        <w:fldChar w:fldCharType="end"/>
      </w:r>
      <w:r w:rsidRPr="00575DD7">
        <w:rPr>
          <w:rFonts w:cs="Arial"/>
        </w:rPr>
        <w:t xml:space="preserve"> </w:t>
      </w:r>
    </w:p>
    <w:p w14:paraId="71DEF303" w14:textId="77777777" w:rsidR="00EF65AE" w:rsidRPr="00EF65AE" w:rsidRDefault="00EF65AE" w:rsidP="00EF65AE">
      <w:pPr>
        <w:rPr>
          <w:rFonts w:cs="Arial"/>
        </w:rPr>
      </w:pPr>
      <w:r w:rsidRPr="00EF65AE">
        <w:rPr>
          <w:rFonts w:cs="Arial"/>
        </w:rPr>
        <w:t xml:space="preserve">Supporting this conclusion, the evaluation team heard several accounts of how even the threat of an IPO could serve as a deterrent for violence: </w:t>
      </w:r>
    </w:p>
    <w:p w14:paraId="111DAE4F" w14:textId="5DE4B252" w:rsidR="00EF65AE" w:rsidRPr="00DA259B" w:rsidRDefault="00EF65AE" w:rsidP="009C7CF1">
      <w:pPr>
        <w:pStyle w:val="IndentQuote"/>
        <w:rPr>
          <w:i w:val="0"/>
          <w:iCs/>
        </w:rPr>
      </w:pPr>
      <w:r w:rsidRPr="00C43281">
        <w:t>The Police Safety Notice has some conditions that tells the husband not to do any illegal activity within the home. It doesn’t kick him out of the home, he still lives in the home</w:t>
      </w:r>
      <w:r w:rsidR="00575DD7" w:rsidRPr="00C43281">
        <w:t xml:space="preserve"> </w:t>
      </w:r>
      <w:r w:rsidRPr="00C43281">
        <w:t>… but it does help the person to think again.</w:t>
      </w:r>
      <w:r w:rsidRPr="009C7CF1">
        <w:rPr>
          <w:rStyle w:val="QuoteChar"/>
          <w:i/>
          <w:iCs w:val="0"/>
        </w:rPr>
        <w:t xml:space="preserve"> </w:t>
      </w:r>
      <w:r w:rsidR="00937123">
        <w:rPr>
          <w:rStyle w:val="QuoteChar"/>
        </w:rPr>
        <w:t>–</w:t>
      </w:r>
      <w:r w:rsidRPr="009C7CF1">
        <w:t xml:space="preserve"> </w:t>
      </w:r>
      <w:r w:rsidRPr="00DA259B">
        <w:rPr>
          <w:i w:val="0"/>
          <w:iCs/>
        </w:rPr>
        <w:t>Female police officer, Solomon Islands</w:t>
      </w:r>
    </w:p>
    <w:p w14:paraId="3AB4B5B0" w14:textId="53157E50" w:rsidR="00EF65AE" w:rsidRPr="00DA259B" w:rsidRDefault="00EF65AE" w:rsidP="009C7CF1">
      <w:pPr>
        <w:pStyle w:val="IndentQuote"/>
        <w:rPr>
          <w:rFonts w:cs="Arial"/>
          <w:i w:val="0"/>
          <w:iCs/>
        </w:rPr>
      </w:pPr>
      <w:r w:rsidRPr="00C43281">
        <w:t>I went in with some scepticism</w:t>
      </w:r>
      <w:r w:rsidR="00575DD7" w:rsidRPr="00C43281">
        <w:t xml:space="preserve"> </w:t>
      </w:r>
      <w:r w:rsidRPr="00C43281">
        <w:t>… I’ve changed and think that sometimes it has quite amazing benefits for women</w:t>
      </w:r>
      <w:r w:rsidR="00575DD7" w:rsidRPr="00C43281">
        <w:t xml:space="preserve"> </w:t>
      </w:r>
      <w:r w:rsidRPr="00C43281">
        <w:t>… Women feel they have a voice now that they didn’t have before</w:t>
      </w:r>
      <w:r w:rsidR="00575DD7" w:rsidRPr="00C43281">
        <w:t xml:space="preserve"> </w:t>
      </w:r>
      <w:r w:rsidRPr="00C43281">
        <w:t xml:space="preserve">… One man told me, </w:t>
      </w:r>
      <w:r w:rsidR="00C10891" w:rsidRPr="00C43281">
        <w:t>‘</w:t>
      </w:r>
      <w:r w:rsidRPr="00C43281">
        <w:t>My son used to hit his wife all the time</w:t>
      </w:r>
      <w:r w:rsidR="00E2253F" w:rsidRPr="00C43281">
        <w:t xml:space="preserve">. </w:t>
      </w:r>
      <w:r w:rsidRPr="00C43281">
        <w:t xml:space="preserve">When </w:t>
      </w:r>
      <w:r w:rsidR="00C10891" w:rsidRPr="00C43281">
        <w:t>“</w:t>
      </w:r>
      <w:r w:rsidRPr="00C43281">
        <w:t>John</w:t>
      </w:r>
      <w:r w:rsidR="00C10891" w:rsidRPr="00C43281">
        <w:t>”</w:t>
      </w:r>
      <w:r w:rsidRPr="00C43281">
        <w:t xml:space="preserve"> was appointed, I said I would help her go to </w:t>
      </w:r>
      <w:r w:rsidR="00C10891" w:rsidRPr="00C43281">
        <w:t>“</w:t>
      </w:r>
      <w:r w:rsidRPr="00C43281">
        <w:t>John</w:t>
      </w:r>
      <w:r w:rsidR="00C10891" w:rsidRPr="00C43281">
        <w:t>”</w:t>
      </w:r>
      <w:r w:rsidRPr="00C43281">
        <w:t xml:space="preserve"> and get an IPO and he hasn’t hit her again.</w:t>
      </w:r>
      <w:r w:rsidRPr="009C7CF1">
        <w:rPr>
          <w:rStyle w:val="QuoteChar"/>
          <w:i/>
          <w:iCs w:val="0"/>
        </w:rPr>
        <w:t>’</w:t>
      </w:r>
      <w:r w:rsidRPr="009C7CF1">
        <w:t xml:space="preserve"> </w:t>
      </w:r>
      <w:r w:rsidR="00937123">
        <w:rPr>
          <w:i w:val="0"/>
          <w:iCs/>
        </w:rPr>
        <w:t>–</w:t>
      </w:r>
      <w:r w:rsidRPr="009C7CF1">
        <w:t xml:space="preserve"> </w:t>
      </w:r>
      <w:r w:rsidRPr="00DA259B">
        <w:rPr>
          <w:i w:val="0"/>
          <w:iCs/>
        </w:rPr>
        <w:t>Advisor, Vanuatu</w:t>
      </w:r>
    </w:p>
    <w:p w14:paraId="41AAE220" w14:textId="36F2699C" w:rsidR="008A0DE3" w:rsidRPr="00EF65AE" w:rsidRDefault="00EF65AE" w:rsidP="008A0DE3">
      <w:pPr>
        <w:rPr>
          <w:rFonts w:cs="Arial"/>
        </w:rPr>
      </w:pPr>
      <w:r w:rsidRPr="00EF65AE">
        <w:rPr>
          <w:rFonts w:cs="Arial"/>
        </w:rPr>
        <w:t>Overall, consensus</w:t>
      </w:r>
      <w:r w:rsidR="00A54030">
        <w:rPr>
          <w:rFonts w:cs="Arial"/>
        </w:rPr>
        <w:t xml:space="preserve"> was</w:t>
      </w:r>
      <w:r w:rsidRPr="00EF65AE">
        <w:rPr>
          <w:rFonts w:cs="Arial"/>
        </w:rPr>
        <w:t xml:space="preserve"> that IPOs are potentially a useful instrument for reducing domestic violence and protecting women</w:t>
      </w:r>
      <w:r w:rsidR="00B555A0">
        <w:rPr>
          <w:rFonts w:cs="Arial"/>
        </w:rPr>
        <w:t>,</w:t>
      </w:r>
      <w:r w:rsidR="00747078">
        <w:rPr>
          <w:rFonts w:cs="Arial"/>
        </w:rPr>
        <w:t xml:space="preserve"> but better monitoring of outcomes is needed to rigorously assess their effectiveness. T</w:t>
      </w:r>
      <w:r w:rsidRPr="00EF65AE">
        <w:rPr>
          <w:rFonts w:cs="Arial"/>
        </w:rPr>
        <w:t xml:space="preserve">raining and support for police, village </w:t>
      </w:r>
      <w:r w:rsidR="007F4B30">
        <w:rPr>
          <w:rFonts w:cs="Arial"/>
        </w:rPr>
        <w:t xml:space="preserve">court </w:t>
      </w:r>
      <w:r w:rsidRPr="00EF65AE">
        <w:rPr>
          <w:rFonts w:cs="Arial"/>
        </w:rPr>
        <w:t xml:space="preserve">magistrates, and authorised justices is essential to ensure </w:t>
      </w:r>
      <w:r w:rsidR="00747078">
        <w:rPr>
          <w:rFonts w:cs="Arial"/>
        </w:rPr>
        <w:t xml:space="preserve">IPOs </w:t>
      </w:r>
      <w:r w:rsidRPr="00EF65AE">
        <w:rPr>
          <w:rFonts w:cs="Arial"/>
        </w:rPr>
        <w:t>are used appropriately.</w:t>
      </w:r>
      <w:r w:rsidR="008A0DE3">
        <w:rPr>
          <w:rFonts w:cs="Arial"/>
        </w:rPr>
        <w:t xml:space="preserve"> Furthermore</w:t>
      </w:r>
      <w:r w:rsidR="003F76AF">
        <w:rPr>
          <w:rFonts w:cs="Arial"/>
        </w:rPr>
        <w:t>,</w:t>
      </w:r>
      <w:r w:rsidR="008A0DE3">
        <w:rPr>
          <w:rFonts w:cs="Arial"/>
        </w:rPr>
        <w:t xml:space="preserve"> </w:t>
      </w:r>
      <w:r w:rsidR="008A0DE3" w:rsidRPr="00EF65AE">
        <w:rPr>
          <w:rFonts w:cs="Arial"/>
        </w:rPr>
        <w:t xml:space="preserve">perpetrators </w:t>
      </w:r>
      <w:r w:rsidR="008A0DE3">
        <w:rPr>
          <w:rFonts w:cs="Arial"/>
        </w:rPr>
        <w:t>must be</w:t>
      </w:r>
      <w:r w:rsidR="008A0DE3" w:rsidRPr="00EF65AE">
        <w:rPr>
          <w:rFonts w:cs="Arial"/>
        </w:rPr>
        <w:t xml:space="preserve"> charge</w:t>
      </w:r>
      <w:r w:rsidR="008A0DE3">
        <w:rPr>
          <w:rFonts w:cs="Arial"/>
        </w:rPr>
        <w:t>d</w:t>
      </w:r>
      <w:r w:rsidR="008A0DE3" w:rsidRPr="00EF65AE">
        <w:rPr>
          <w:rFonts w:cs="Arial"/>
        </w:rPr>
        <w:t xml:space="preserve"> for breaching IPO</w:t>
      </w:r>
      <w:r w:rsidR="00575DD7">
        <w:rPr>
          <w:rFonts w:cs="Arial"/>
        </w:rPr>
        <w:t>s</w:t>
      </w:r>
      <w:r w:rsidR="00B555A0">
        <w:rPr>
          <w:rFonts w:cs="Arial"/>
        </w:rPr>
        <w:t>,</w:t>
      </w:r>
      <w:r w:rsidR="00575DD7">
        <w:rPr>
          <w:rFonts w:cs="Arial"/>
        </w:rPr>
        <w:t xml:space="preserve"> </w:t>
      </w:r>
      <w:r w:rsidR="008A0DE3">
        <w:rPr>
          <w:rFonts w:cs="Arial"/>
        </w:rPr>
        <w:t>so they ar</w:t>
      </w:r>
      <w:r w:rsidR="008A0DE3" w:rsidRPr="00EF65AE">
        <w:rPr>
          <w:rFonts w:cs="Arial"/>
        </w:rPr>
        <w:t xml:space="preserve">e taken seriously. </w:t>
      </w:r>
    </w:p>
    <w:p w14:paraId="53B1C083" w14:textId="77777777" w:rsidR="00EF65AE" w:rsidRPr="00EF65AE" w:rsidRDefault="00EF65AE" w:rsidP="00C00AC6">
      <w:pPr>
        <w:pStyle w:val="Heading3NoTOC"/>
      </w:pPr>
      <w:r w:rsidRPr="00EF65AE">
        <w:t>Police response</w:t>
      </w:r>
    </w:p>
    <w:p w14:paraId="65334817" w14:textId="77777777" w:rsidR="00A11B13" w:rsidRDefault="00EF65AE" w:rsidP="00EF65AE">
      <w:pPr>
        <w:rPr>
          <w:rFonts w:cs="Arial"/>
        </w:rPr>
      </w:pPr>
      <w:r w:rsidRPr="00EF65AE">
        <w:rPr>
          <w:rFonts w:cs="Arial"/>
        </w:rPr>
        <w:t>Improving the police response to VAWG has been a key priority of Australia’s support to law and justice sectors in partner countries</w:t>
      </w:r>
      <w:r w:rsidR="00E2253F">
        <w:rPr>
          <w:rFonts w:cs="Arial"/>
        </w:rPr>
        <w:t xml:space="preserve">. </w:t>
      </w:r>
      <w:r w:rsidRPr="00EF65AE">
        <w:rPr>
          <w:rFonts w:cs="Arial"/>
        </w:rPr>
        <w:t xml:space="preserve">Recent evaluations of women’s access to justice in </w:t>
      </w:r>
      <w:r w:rsidR="004305A6">
        <w:rPr>
          <w:rFonts w:cs="Arial"/>
        </w:rPr>
        <w:t xml:space="preserve">Fiji and </w:t>
      </w:r>
      <w:r w:rsidRPr="00EF65AE">
        <w:rPr>
          <w:rFonts w:cs="Arial"/>
        </w:rPr>
        <w:t>Vanuatu, supported by UN Women, indicate that, particularly in urban areas, more women are reporting violence and satisfaction with the care they receive. This is a great improvement from a decade ago.</w:t>
      </w:r>
      <w:r w:rsidRPr="00EF65AE">
        <w:rPr>
          <w:rFonts w:cs="Arial"/>
        </w:rPr>
        <w:fldChar w:fldCharType="begin"/>
      </w:r>
      <w:r w:rsidRPr="00EF65AE">
        <w:rPr>
          <w:rFonts w:cs="Arial"/>
        </w:rPr>
        <w:instrText xml:space="preserve"> ADDIN ZOTERO_ITEM CSL_CITATION {"citationID":"PjnNGcKq","properties":{"formattedCitation":"\\super 81,82\\nosupersub{}","plainCitation":"81,82","noteIndex":0},"citationItems":[{"id":2538,"uris":["http://zotero.org/users/4194704/items/TTJHHC5F"],"uri":["http://zotero.org/users/4194704/items/TTJHHC5F"],"itemData":{"id":2538,"type":"report","title":"Women and Girls Access to the Formal Justice System in Vanuatu","publisher":"UN Women","author":[{"family":"UN Women","given":""}],"issued":{"date-parts":[["2016"]]}}},{"id":2536,"uris":["http://zotero.org/users/4194704/items/EGN2N9NS"],"uri":["http://zotero.org/users/4194704/items/EGN2N9NS"],"itemData":{"id":2536,"type":"report","title":"Balancing the Scales:  Improving Fijian Women's Access to Justice","publisher-place":"Suva, Fiji","event-place":"Suva, Fiji","author":[{"family":"Fiji Women's Rights Movement","given":""}],"issued":{"date-parts":[["2017"]]}}}],"schema":"https://github.com/citation-style-language/schema/raw/master/csl-citation.json"} </w:instrText>
      </w:r>
      <w:r w:rsidRPr="00EF65AE">
        <w:rPr>
          <w:rFonts w:cs="Arial"/>
        </w:rPr>
        <w:fldChar w:fldCharType="separate"/>
      </w:r>
      <w:r w:rsidRPr="00EF65AE">
        <w:rPr>
          <w:rFonts w:cs="Arial"/>
          <w:vertAlign w:val="superscript"/>
          <w:lang w:val="en-US"/>
        </w:rPr>
        <w:t>81,82</w:t>
      </w:r>
      <w:r w:rsidRPr="00EF65AE">
        <w:rPr>
          <w:rFonts w:cs="Arial"/>
        </w:rPr>
        <w:fldChar w:fldCharType="end"/>
      </w:r>
      <w:r w:rsidR="00CA7411">
        <w:rPr>
          <w:rFonts w:cs="Arial"/>
        </w:rPr>
        <w:t xml:space="preserve"> Local women’s organisations, notably</w:t>
      </w:r>
      <w:r w:rsidR="00141FD8">
        <w:rPr>
          <w:rFonts w:cs="Arial"/>
        </w:rPr>
        <w:t xml:space="preserve"> the</w:t>
      </w:r>
      <w:r w:rsidR="00CA7411">
        <w:rPr>
          <w:rFonts w:cs="Arial"/>
        </w:rPr>
        <w:t xml:space="preserve"> FWCC</w:t>
      </w:r>
      <w:r w:rsidR="00B4779C">
        <w:rPr>
          <w:rFonts w:cs="Arial"/>
        </w:rPr>
        <w:t xml:space="preserve"> and VWC</w:t>
      </w:r>
      <w:r w:rsidR="004D1CA7">
        <w:rPr>
          <w:rFonts w:cs="Arial"/>
        </w:rPr>
        <w:t>,</w:t>
      </w:r>
      <w:r w:rsidR="00CA7411">
        <w:rPr>
          <w:rFonts w:cs="Arial"/>
        </w:rPr>
        <w:t xml:space="preserve"> have played a key role in changing attitudes and behaviours.</w:t>
      </w:r>
    </w:p>
    <w:p w14:paraId="7B6186C6" w14:textId="77777777" w:rsidR="00EF65AE" w:rsidRPr="00EF65AE" w:rsidRDefault="00EF65AE" w:rsidP="00EF65AE">
      <w:pPr>
        <w:rPr>
          <w:rFonts w:cs="Arial"/>
        </w:rPr>
      </w:pPr>
      <w:r w:rsidRPr="00EF65AE">
        <w:rPr>
          <w:rFonts w:cs="Arial"/>
        </w:rPr>
        <w:t>A study on responses to family and sexual violence in Lae, PNG, conducted by</w:t>
      </w:r>
      <w:r w:rsidR="00A11B13">
        <w:rPr>
          <w:rFonts w:cs="Arial"/>
        </w:rPr>
        <w:t xml:space="preserve"> the</w:t>
      </w:r>
      <w:r w:rsidRPr="00EF65AE">
        <w:rPr>
          <w:rFonts w:cs="Arial"/>
        </w:rPr>
        <w:t xml:space="preserve"> </w:t>
      </w:r>
      <w:r w:rsidR="004D6E65">
        <w:rPr>
          <w:rFonts w:cs="Arial"/>
        </w:rPr>
        <w:t>ANU</w:t>
      </w:r>
      <w:r w:rsidRPr="00EF65AE">
        <w:rPr>
          <w:rFonts w:cs="Arial"/>
        </w:rPr>
        <w:t xml:space="preserve"> and the University of PNG, with funding from Australia, found that police response to VAWG has improved in Lae in recent years, as a result of police leadership and increased awareness of the Family Protection Act. The study noted that police officers in Lae have become more respectful of women’s decisions and priorities.</w:t>
      </w:r>
      <w:r w:rsidRPr="00EF65AE">
        <w:rPr>
          <w:rFonts w:cs="Arial"/>
        </w:rPr>
        <w:fldChar w:fldCharType="begin"/>
      </w:r>
      <w:r w:rsidRPr="00EF65AE">
        <w:rPr>
          <w:rFonts w:cs="Arial"/>
        </w:rPr>
        <w:instrText xml:space="preserve"> ADDIN ZOTERO_ITEM CSL_CITATION {"citationID":"UNvEDV4T","properties":{"formattedCitation":"\\super 69\\nosupersub{}","plainCitation":"69","noteIndex":0},"citationItems":[{"id":2316,"uris":["http://zotero.org/users/4194704/items/TUVR2W5F"],"uri":["http://zotero.org/users/4194704/items/TUVR2W5F"],"itemData":{"id":2316,"type":"report","title":"Pacific Women Shaping Pacific Development: Annual Progress Report 2016-2017","author":[{"literal":"Pacific Women Shaping Pacific Development"}],"issued":{"date-parts":[["2017"]]}}}],"schema":"https://github.com/citation-style-language/schema/raw/master/csl-citation.json"} </w:instrText>
      </w:r>
      <w:r w:rsidRPr="00EF65AE">
        <w:rPr>
          <w:rFonts w:cs="Arial"/>
        </w:rPr>
        <w:fldChar w:fldCharType="separate"/>
      </w:r>
      <w:r w:rsidRPr="00EF65AE">
        <w:rPr>
          <w:rFonts w:cs="Arial"/>
          <w:vertAlign w:val="superscript"/>
          <w:lang w:val="en-US"/>
        </w:rPr>
        <w:t>69</w:t>
      </w:r>
      <w:r w:rsidRPr="00EF65AE">
        <w:rPr>
          <w:rFonts w:cs="Arial"/>
        </w:rPr>
        <w:fldChar w:fldCharType="end"/>
      </w:r>
      <w:r w:rsidRPr="00EF65AE">
        <w:rPr>
          <w:rFonts w:cs="Arial"/>
        </w:rPr>
        <w:t xml:space="preserve"> Improvements in police response were not observed in all countries, however, and the evaluation team also found many examples where police were criticised for mistreating women.</w:t>
      </w:r>
    </w:p>
    <w:p w14:paraId="677C53C3" w14:textId="413ADAEC" w:rsidR="00EF65AE" w:rsidRPr="00DA259B" w:rsidRDefault="00EF65AE" w:rsidP="00FA19C8">
      <w:pPr>
        <w:pStyle w:val="IndentQuote"/>
        <w:rPr>
          <w:i w:val="0"/>
          <w:iCs/>
        </w:rPr>
      </w:pPr>
      <w:r w:rsidRPr="00C43281">
        <w:t>Most women do not go directly to police</w:t>
      </w:r>
      <w:r w:rsidR="004305A6" w:rsidRPr="00C43281">
        <w:t>—</w:t>
      </w:r>
      <w:r w:rsidRPr="00C43281">
        <w:t>they only go to police as a last resort and, once there, police ended up harassing women. Women felt more unsafe when they went to the police</w:t>
      </w:r>
      <w:r w:rsidR="004305A6" w:rsidRPr="00C43281">
        <w:t xml:space="preserve"> </w:t>
      </w:r>
      <w:r w:rsidRPr="00C43281">
        <w:t>…</w:t>
      </w:r>
      <w:r w:rsidR="004305A6" w:rsidRPr="00C43281">
        <w:t xml:space="preserve"> </w:t>
      </w:r>
      <w:r w:rsidRPr="00C43281">
        <w:t>Police officers had no idea about any relevant legislation on protection of women and girls.</w:t>
      </w:r>
      <w:r w:rsidR="00937123">
        <w:rPr>
          <w:rStyle w:val="QuoteChar"/>
        </w:rPr>
        <w:t xml:space="preserve"> –</w:t>
      </w:r>
      <w:r w:rsidR="00A8582F">
        <w:t xml:space="preserve"> </w:t>
      </w:r>
      <w:r w:rsidR="00A8582F" w:rsidRPr="00B555A0">
        <w:rPr>
          <w:i w:val="0"/>
        </w:rPr>
        <w:t>Representative of</w:t>
      </w:r>
      <w:r w:rsidRPr="00FA19C8">
        <w:t xml:space="preserve"> </w:t>
      </w:r>
      <w:r w:rsidRPr="00DA259B">
        <w:rPr>
          <w:i w:val="0"/>
          <w:iCs/>
        </w:rPr>
        <w:t>NGO respondent, Pakistan</w:t>
      </w:r>
    </w:p>
    <w:p w14:paraId="27A6472B" w14:textId="77777777" w:rsidR="00EF65AE" w:rsidRPr="00EF65AE" w:rsidRDefault="00EF65AE" w:rsidP="00EF65AE">
      <w:pPr>
        <w:rPr>
          <w:rFonts w:cs="Arial"/>
        </w:rPr>
      </w:pPr>
      <w:r w:rsidRPr="00EF65AE">
        <w:rPr>
          <w:rFonts w:cs="Arial"/>
        </w:rPr>
        <w:t xml:space="preserve">Australia’s bilateral aid programs, as well as regional programs funded through </w:t>
      </w:r>
      <w:r w:rsidR="00406E97">
        <w:rPr>
          <w:rFonts w:cs="Arial"/>
        </w:rPr>
        <w:t xml:space="preserve">the </w:t>
      </w:r>
      <w:r w:rsidR="00406E97" w:rsidRPr="00EC1DA8">
        <w:t>Regional Rights and Resources Team</w:t>
      </w:r>
      <w:r w:rsidRPr="00EF65AE">
        <w:rPr>
          <w:rFonts w:cs="Arial"/>
        </w:rPr>
        <w:t xml:space="preserve">, </w:t>
      </w:r>
      <w:r w:rsidR="00141FD8">
        <w:rPr>
          <w:rFonts w:cs="Arial"/>
        </w:rPr>
        <w:t xml:space="preserve">the </w:t>
      </w:r>
      <w:r w:rsidRPr="00EF65AE">
        <w:rPr>
          <w:rFonts w:cs="Arial"/>
        </w:rPr>
        <w:t xml:space="preserve">FWCC and </w:t>
      </w:r>
      <w:r w:rsidR="00141FD8">
        <w:rPr>
          <w:rFonts w:cs="Arial"/>
        </w:rPr>
        <w:t xml:space="preserve">the </w:t>
      </w:r>
      <w:r w:rsidRPr="00EF65AE">
        <w:rPr>
          <w:rFonts w:cs="Arial"/>
        </w:rPr>
        <w:t>A</w:t>
      </w:r>
      <w:r w:rsidR="004305A6">
        <w:rPr>
          <w:rFonts w:cs="Arial"/>
        </w:rPr>
        <w:t>FP</w:t>
      </w:r>
      <w:r w:rsidRPr="00EF65AE">
        <w:rPr>
          <w:rFonts w:cs="Arial"/>
        </w:rPr>
        <w:t xml:space="preserve">, have carried out training in all focus countries to improve the police response to VAWG. According to stakeholders interviewed, the best training programs encouraged participants to reflect on their own attitudes, in addition to improving knowledge and skills: </w:t>
      </w:r>
    </w:p>
    <w:p w14:paraId="3105029B" w14:textId="26BF6BCC" w:rsidR="00EF65AE" w:rsidRPr="00DA259B" w:rsidRDefault="00EF65AE" w:rsidP="00BD20F0">
      <w:pPr>
        <w:pStyle w:val="IndentQuote"/>
        <w:rPr>
          <w:i w:val="0"/>
          <w:iCs/>
        </w:rPr>
      </w:pPr>
      <w:r w:rsidRPr="00C43281">
        <w:t>We recently had a program that focused a lot on self-reflection. A lot of the [police] supervisors came out disheartened by their own behaviour, but they were also willing to change</w:t>
      </w:r>
      <w:r w:rsidR="004305A6" w:rsidRPr="00C43281">
        <w:t xml:space="preserve"> </w:t>
      </w:r>
      <w:r w:rsidRPr="00C43281">
        <w:t>… Sister Lorraine [of Nazareth Centre for Rehabilitation] is good at holding the mirror up and getting people to reflect. It was a really good training.</w:t>
      </w:r>
      <w:r w:rsidRPr="00BD20F0">
        <w:t xml:space="preserve"> </w:t>
      </w:r>
      <w:r w:rsidR="00937123">
        <w:rPr>
          <w:i w:val="0"/>
          <w:iCs/>
        </w:rPr>
        <w:t>–</w:t>
      </w:r>
      <w:r w:rsidRPr="00BD20F0">
        <w:t xml:space="preserve"> </w:t>
      </w:r>
      <w:r w:rsidRPr="00DA259B">
        <w:rPr>
          <w:i w:val="0"/>
          <w:iCs/>
        </w:rPr>
        <w:t>Female police officer, PNG</w:t>
      </w:r>
    </w:p>
    <w:p w14:paraId="2841C0D0" w14:textId="482C4570" w:rsidR="00EF65AE" w:rsidRPr="00EF65AE" w:rsidRDefault="00EF65AE" w:rsidP="00EF65AE">
      <w:pPr>
        <w:rPr>
          <w:rFonts w:cs="Arial"/>
        </w:rPr>
      </w:pPr>
      <w:r w:rsidRPr="00EF65AE">
        <w:rPr>
          <w:rFonts w:cs="Arial"/>
        </w:rPr>
        <w:t>The A</w:t>
      </w:r>
      <w:r w:rsidR="004305A6">
        <w:rPr>
          <w:rFonts w:cs="Arial"/>
        </w:rPr>
        <w:t>FP</w:t>
      </w:r>
      <w:r w:rsidRPr="00EF65AE">
        <w:rPr>
          <w:rFonts w:cs="Arial"/>
        </w:rPr>
        <w:t xml:space="preserve"> has played a critical role in training and advising police across Pacific island countries and Asia, particularly in the focus countries of Fiji, </w:t>
      </w:r>
      <w:r w:rsidR="004305A6">
        <w:rPr>
          <w:rFonts w:cs="Arial"/>
        </w:rPr>
        <w:t xml:space="preserve">PNG, Solomon Islands, </w:t>
      </w:r>
      <w:r w:rsidRPr="00EF65AE">
        <w:rPr>
          <w:rFonts w:cs="Arial"/>
        </w:rPr>
        <w:t xml:space="preserve">Timor-Leste and </w:t>
      </w:r>
      <w:r w:rsidR="004305A6">
        <w:rPr>
          <w:rFonts w:cs="Arial"/>
        </w:rPr>
        <w:t>Vanuatu</w:t>
      </w:r>
      <w:r w:rsidRPr="00EF65AE">
        <w:rPr>
          <w:rFonts w:cs="Arial"/>
        </w:rPr>
        <w:t xml:space="preserve">. </w:t>
      </w:r>
      <w:r w:rsidR="005468A7" w:rsidRPr="00EF65AE">
        <w:rPr>
          <w:rFonts w:cs="Arial"/>
        </w:rPr>
        <w:t>Similarly,</w:t>
      </w:r>
      <w:r w:rsidRPr="00EF65AE">
        <w:rPr>
          <w:rFonts w:cs="Arial"/>
        </w:rPr>
        <w:t xml:space="preserve"> in Pakistan, Australia’s High Commission works through the AFP and directly on supporting women police officers in the Pakistan Police</w:t>
      </w:r>
      <w:r w:rsidR="00141FD8">
        <w:rPr>
          <w:rFonts w:cs="Arial"/>
        </w:rPr>
        <w:t>. This includes</w:t>
      </w:r>
      <w:r w:rsidRPr="00EF65AE">
        <w:rPr>
          <w:rFonts w:cs="Arial"/>
        </w:rPr>
        <w:t xml:space="preserve"> advocacy for </w:t>
      </w:r>
      <w:r w:rsidR="00141FD8">
        <w:rPr>
          <w:rFonts w:cs="Arial"/>
        </w:rPr>
        <w:t>recruiting</w:t>
      </w:r>
      <w:r w:rsidRPr="00EF65AE">
        <w:rPr>
          <w:rFonts w:cs="Arial"/>
        </w:rPr>
        <w:t xml:space="preserve"> women to police forces with the National Police Bureau and </w:t>
      </w:r>
      <w:r w:rsidR="00141FD8">
        <w:rPr>
          <w:rFonts w:cs="Arial"/>
        </w:rPr>
        <w:t>adopting</w:t>
      </w:r>
      <w:r w:rsidRPr="00EF65AE">
        <w:rPr>
          <w:rFonts w:cs="Arial"/>
        </w:rPr>
        <w:t xml:space="preserve"> a Police Gender Policy </w:t>
      </w:r>
      <w:r w:rsidR="00141FD8">
        <w:rPr>
          <w:rFonts w:cs="Arial"/>
        </w:rPr>
        <w:t>on</w:t>
      </w:r>
      <w:r w:rsidR="00141FD8" w:rsidRPr="00EF65AE">
        <w:rPr>
          <w:rFonts w:cs="Arial"/>
        </w:rPr>
        <w:t xml:space="preserve"> </w:t>
      </w:r>
      <w:r w:rsidRPr="00EF65AE">
        <w:rPr>
          <w:rFonts w:cs="Arial"/>
        </w:rPr>
        <w:t xml:space="preserve">women police officers and police interaction with the community. The evaluation team was advised that this work has been quite significant and impactful. </w:t>
      </w:r>
    </w:p>
    <w:p w14:paraId="7D8EB07E" w14:textId="77777777" w:rsidR="00EF65AE" w:rsidRPr="00EF65AE" w:rsidRDefault="00EF65AE" w:rsidP="00EF65AE">
      <w:pPr>
        <w:rPr>
          <w:rFonts w:cs="Arial"/>
        </w:rPr>
      </w:pPr>
      <w:r w:rsidRPr="00EF65AE">
        <w:rPr>
          <w:rFonts w:cs="Arial"/>
        </w:rPr>
        <w:t xml:space="preserve">In addition to its support for national police forces, in a stand-alone program, </w:t>
      </w:r>
      <w:r w:rsidR="009941B8">
        <w:rPr>
          <w:rFonts w:cs="Arial"/>
        </w:rPr>
        <w:t xml:space="preserve">the </w:t>
      </w:r>
      <w:r w:rsidRPr="00EF65AE">
        <w:rPr>
          <w:rFonts w:cs="Arial"/>
        </w:rPr>
        <w:t>AFP has carried out a multi-year Women’s Executive Leadership Program for high-level female police officers in partnership with</w:t>
      </w:r>
      <w:r w:rsidR="00141FD8">
        <w:rPr>
          <w:rFonts w:cs="Arial"/>
        </w:rPr>
        <w:t xml:space="preserve"> the</w:t>
      </w:r>
      <w:r w:rsidRPr="00EF65AE">
        <w:rPr>
          <w:rFonts w:cs="Arial"/>
        </w:rPr>
        <w:t xml:space="preserve"> FWCC and the Tonga Women’s Centre. AFP staff, trainers and program participants overwhelmingly considered that the training program had increased the leadership skills of female police officers and created a valuable support network throughout the region</w:t>
      </w:r>
      <w:r w:rsidR="00141FD8">
        <w:rPr>
          <w:rFonts w:cs="Arial"/>
        </w:rPr>
        <w:t>.</w:t>
      </w:r>
      <w:r w:rsidRPr="00EF65AE">
        <w:rPr>
          <w:rFonts w:cs="Arial"/>
        </w:rPr>
        <w:t xml:space="preserve"> </w:t>
      </w:r>
    </w:p>
    <w:p w14:paraId="6615D62B" w14:textId="0225DBF7" w:rsidR="00EF65AE" w:rsidRPr="00DA259B" w:rsidRDefault="00EF65AE" w:rsidP="00B27119">
      <w:pPr>
        <w:pStyle w:val="IndentQuote"/>
        <w:rPr>
          <w:i w:val="0"/>
          <w:iCs/>
        </w:rPr>
      </w:pPr>
      <w:r w:rsidRPr="00C43281">
        <w:t>I can’t overstate how important [the leadership training] is</w:t>
      </w:r>
      <w:r w:rsidR="009941B8" w:rsidRPr="00C43281">
        <w:t>—</w:t>
      </w:r>
      <w:r w:rsidRPr="00C43281">
        <w:t>we understand each other</w:t>
      </w:r>
      <w:r w:rsidR="009941B8" w:rsidRPr="00C43281">
        <w:t xml:space="preserve"> </w:t>
      </w:r>
      <w:r w:rsidRPr="00C43281">
        <w:t xml:space="preserve">… </w:t>
      </w:r>
      <w:r w:rsidR="009941B8" w:rsidRPr="00C43281">
        <w:t xml:space="preserve"> </w:t>
      </w:r>
      <w:r w:rsidRPr="00C43281">
        <w:t>A key to our success was working with a local women’s organisation in training</w:t>
      </w:r>
      <w:r w:rsidR="00E2253F" w:rsidRPr="00C43281">
        <w:t xml:space="preserve">. </w:t>
      </w:r>
      <w:r w:rsidRPr="00C43281">
        <w:t>There were lots of Family Protection Acts but no one knew how to implement them. We decided to bring them together to upskill, so they could learn from each other.</w:t>
      </w:r>
      <w:r w:rsidRPr="00B27119">
        <w:rPr>
          <w:rStyle w:val="QuoteChar"/>
          <w:i/>
          <w:iCs w:val="0"/>
        </w:rPr>
        <w:t xml:space="preserve"> </w:t>
      </w:r>
      <w:r w:rsidR="00937123">
        <w:rPr>
          <w:rStyle w:val="QuoteChar"/>
        </w:rPr>
        <w:t>–</w:t>
      </w:r>
      <w:r w:rsidRPr="00B27119">
        <w:t xml:space="preserve"> </w:t>
      </w:r>
      <w:r w:rsidR="005468A7">
        <w:br/>
      </w:r>
      <w:r w:rsidRPr="00DA259B">
        <w:rPr>
          <w:i w:val="0"/>
          <w:iCs/>
        </w:rPr>
        <w:t>AFP Officer, Fiji</w:t>
      </w:r>
    </w:p>
    <w:p w14:paraId="6EC62E53" w14:textId="047F987E" w:rsidR="00EF65AE" w:rsidRPr="00DA259B" w:rsidRDefault="00EF65AE" w:rsidP="00B27119">
      <w:pPr>
        <w:pStyle w:val="IndentQuote"/>
        <w:rPr>
          <w:i w:val="0"/>
          <w:iCs/>
        </w:rPr>
      </w:pPr>
      <w:r w:rsidRPr="00C43281">
        <w:t>In terms of this forum, this group of amazing women</w:t>
      </w:r>
      <w:r w:rsidR="009941B8" w:rsidRPr="00C43281">
        <w:t xml:space="preserve"> </w:t>
      </w:r>
      <w:r w:rsidRPr="00C43281">
        <w:t>…</w:t>
      </w:r>
      <w:r w:rsidR="009941B8" w:rsidRPr="00C43281">
        <w:t xml:space="preserve"> </w:t>
      </w:r>
      <w:r w:rsidRPr="00C43281">
        <w:t>it’s an environment where you feel safe, that you can talk about things. It’s a real comfort to come to forums like this and have people who get you and the challenges you face. I get ready to leave and feel, I can take on the rest of the world now.</w:t>
      </w:r>
      <w:r w:rsidRPr="00B27119">
        <w:rPr>
          <w:rStyle w:val="QuoteChar"/>
          <w:i/>
          <w:iCs w:val="0"/>
        </w:rPr>
        <w:t xml:space="preserve"> </w:t>
      </w:r>
      <w:r w:rsidRPr="00DA259B">
        <w:rPr>
          <w:i w:val="0"/>
          <w:iCs/>
        </w:rPr>
        <w:t xml:space="preserve">– Female </w:t>
      </w:r>
      <w:r w:rsidR="002C5553">
        <w:rPr>
          <w:i w:val="0"/>
          <w:iCs/>
        </w:rPr>
        <w:t>p</w:t>
      </w:r>
      <w:r w:rsidRPr="00DA259B">
        <w:rPr>
          <w:i w:val="0"/>
          <w:iCs/>
        </w:rPr>
        <w:t xml:space="preserve">olice </w:t>
      </w:r>
      <w:r w:rsidR="002C5553">
        <w:rPr>
          <w:i w:val="0"/>
          <w:iCs/>
        </w:rPr>
        <w:t>o</w:t>
      </w:r>
      <w:r w:rsidRPr="00DA259B">
        <w:rPr>
          <w:i w:val="0"/>
          <w:iCs/>
        </w:rPr>
        <w:t xml:space="preserve">fficer, participant in </w:t>
      </w:r>
      <w:r w:rsidR="005468A7">
        <w:rPr>
          <w:i w:val="0"/>
          <w:iCs/>
        </w:rPr>
        <w:br/>
      </w:r>
      <w:r w:rsidRPr="00DA259B">
        <w:rPr>
          <w:i w:val="0"/>
          <w:iCs/>
        </w:rPr>
        <w:t>AFP Women’s Executive Leadership Program</w:t>
      </w:r>
    </w:p>
    <w:p w14:paraId="43EC05E9" w14:textId="77777777" w:rsidR="009941B8" w:rsidRDefault="00EF65AE" w:rsidP="00EF65AE">
      <w:pPr>
        <w:rPr>
          <w:rFonts w:cs="Arial"/>
        </w:rPr>
      </w:pPr>
      <w:r w:rsidRPr="00EF65AE">
        <w:rPr>
          <w:rFonts w:cs="Arial"/>
        </w:rPr>
        <w:t>Australia has also supported the creation of specialised police services in many countries, including</w:t>
      </w:r>
      <w:r w:rsidR="009941B8">
        <w:rPr>
          <w:rFonts w:cs="Arial"/>
        </w:rPr>
        <w:t>:</w:t>
      </w:r>
    </w:p>
    <w:p w14:paraId="50AB9AE1" w14:textId="77777777" w:rsidR="009941B8" w:rsidRDefault="00EF65AE" w:rsidP="009941B8">
      <w:pPr>
        <w:pStyle w:val="ListBullet"/>
      </w:pPr>
      <w:r w:rsidRPr="00EF65AE">
        <w:t>Family Protection Units in Vanuatu</w:t>
      </w:r>
    </w:p>
    <w:p w14:paraId="62617E68" w14:textId="77777777" w:rsidR="009941B8" w:rsidRDefault="00EF65AE" w:rsidP="009941B8">
      <w:pPr>
        <w:pStyle w:val="ListBullet"/>
      </w:pPr>
      <w:r w:rsidRPr="00EF65AE">
        <w:t>Family Support Units</w:t>
      </w:r>
      <w:r w:rsidR="009941B8">
        <w:t xml:space="preserve"> </w:t>
      </w:r>
      <w:r w:rsidRPr="00EF65AE">
        <w:t>in Solomon Islands</w:t>
      </w:r>
    </w:p>
    <w:p w14:paraId="513B3F5C" w14:textId="77777777" w:rsidR="009941B8" w:rsidRDefault="00EF65AE" w:rsidP="009941B8">
      <w:pPr>
        <w:pStyle w:val="ListBullet"/>
      </w:pPr>
      <w:bookmarkStart w:id="216" w:name="_Hlk15948259"/>
      <w:r w:rsidRPr="00EF65AE">
        <w:t>Sexual Offen</w:t>
      </w:r>
      <w:r w:rsidR="004D6E65">
        <w:t>c</w:t>
      </w:r>
      <w:r w:rsidRPr="00EF65AE">
        <w:t xml:space="preserve">es Units </w:t>
      </w:r>
      <w:bookmarkEnd w:id="216"/>
      <w:r w:rsidRPr="00EF65AE">
        <w:t>in Fiji</w:t>
      </w:r>
    </w:p>
    <w:p w14:paraId="68FA959E" w14:textId="77777777" w:rsidR="009941B8" w:rsidRDefault="00EF65AE" w:rsidP="009941B8">
      <w:pPr>
        <w:pStyle w:val="ListBullet"/>
      </w:pPr>
      <w:r w:rsidRPr="00EF65AE">
        <w:t>Sexual Offence Squad and Family and Sexual Violence Units (FSVU) in PNG</w:t>
      </w:r>
    </w:p>
    <w:p w14:paraId="704ACF7F" w14:textId="77777777" w:rsidR="009941B8" w:rsidRDefault="00EF65AE" w:rsidP="009941B8">
      <w:pPr>
        <w:pStyle w:val="ListBullet"/>
      </w:pPr>
      <w:r w:rsidRPr="00EF65AE">
        <w:t>Vulnerable Persons’ Unit in Timor-Leste</w:t>
      </w:r>
    </w:p>
    <w:p w14:paraId="01073A12" w14:textId="77777777" w:rsidR="00EF65AE" w:rsidRPr="00EF65AE" w:rsidRDefault="00EF65AE" w:rsidP="007122A0">
      <w:pPr>
        <w:pStyle w:val="ListBullet"/>
      </w:pPr>
      <w:r w:rsidRPr="00EF65AE">
        <w:t xml:space="preserve">specialised units in police stations for women and children in Indonesia called </w:t>
      </w:r>
      <w:r w:rsidR="00FB7335" w:rsidRPr="00EF65AE">
        <w:rPr>
          <w:i/>
        </w:rPr>
        <w:t>Pe</w:t>
      </w:r>
      <w:r w:rsidR="00FB7335">
        <w:rPr>
          <w:i/>
        </w:rPr>
        <w:t xml:space="preserve">layanan </w:t>
      </w:r>
      <w:r w:rsidRPr="00EF65AE">
        <w:rPr>
          <w:i/>
        </w:rPr>
        <w:t>Perempuan dan Anak</w:t>
      </w:r>
      <w:r w:rsidRPr="00EF65AE">
        <w:t>.</w:t>
      </w:r>
    </w:p>
    <w:p w14:paraId="0D4B6CA1" w14:textId="77777777" w:rsidR="00EF65AE" w:rsidRPr="00EF65AE" w:rsidRDefault="00EF65AE" w:rsidP="00EF65AE">
      <w:pPr>
        <w:rPr>
          <w:rFonts w:cs="Arial"/>
          <w:shd w:val="clear" w:color="auto" w:fill="FFFFFF"/>
        </w:rPr>
      </w:pPr>
      <w:r w:rsidRPr="00EF65AE">
        <w:rPr>
          <w:rFonts w:cs="Arial"/>
        </w:rPr>
        <w:t>Among these countries, PNG has the most extensive network of specialised police units (Box 8)</w:t>
      </w:r>
      <w:r w:rsidR="00E2253F">
        <w:rPr>
          <w:rFonts w:cs="Arial"/>
        </w:rPr>
        <w:t xml:space="preserve">. </w:t>
      </w:r>
      <w:r w:rsidRPr="00EF65AE">
        <w:rPr>
          <w:rFonts w:cs="Arial"/>
        </w:rPr>
        <w:t xml:space="preserve">The FSVUs are also the only specialised police program that </w:t>
      </w:r>
      <w:r w:rsidR="00141FD8">
        <w:rPr>
          <w:rFonts w:cs="Arial"/>
        </w:rPr>
        <w:t>was</w:t>
      </w:r>
      <w:r w:rsidRPr="00EF65AE">
        <w:rPr>
          <w:rFonts w:cs="Arial"/>
        </w:rPr>
        <w:t xml:space="preserve"> evaluated</w:t>
      </w:r>
      <w:r w:rsidR="00141FD8">
        <w:rPr>
          <w:rFonts w:cs="Arial"/>
        </w:rPr>
        <w:t xml:space="preserve"> for this report</w:t>
      </w:r>
      <w:r w:rsidRPr="00EF65AE">
        <w:rPr>
          <w:rFonts w:cs="Arial"/>
        </w:rPr>
        <w:t xml:space="preserve">. </w:t>
      </w:r>
    </w:p>
    <w:p w14:paraId="02B2F98F" w14:textId="77777777" w:rsidR="005468A7" w:rsidRDefault="005468A7">
      <w:pPr>
        <w:numPr>
          <w:ilvl w:val="0"/>
          <w:numId w:val="0"/>
        </w:numPr>
        <w:rPr>
          <w:rFonts w:cs="Arial"/>
          <w:b/>
          <w:sz w:val="24"/>
        </w:rPr>
      </w:pPr>
      <w:r>
        <w:rPr>
          <w:rFonts w:cs="Arial"/>
        </w:rPr>
        <w:br w:type="page"/>
      </w:r>
    </w:p>
    <w:p w14:paraId="219316C9" w14:textId="6983DC9A" w:rsidR="00EF65AE" w:rsidRPr="00EF65AE" w:rsidRDefault="00EF65AE" w:rsidP="00EF65AE">
      <w:pPr>
        <w:pStyle w:val="CallOutHeading"/>
        <w:rPr>
          <w:rFonts w:cs="Arial"/>
        </w:rPr>
      </w:pPr>
      <w:r w:rsidRPr="00EF65AE">
        <w:rPr>
          <w:rFonts w:cs="Arial"/>
        </w:rPr>
        <w:t>Box 8: Family and Sexual Violence Units in Papua New Guinea</w:t>
      </w:r>
    </w:p>
    <w:p w14:paraId="22DDE823" w14:textId="77777777" w:rsidR="00EF65AE" w:rsidRPr="00EF65AE" w:rsidRDefault="007F4B30" w:rsidP="00EF65AE">
      <w:pPr>
        <w:pStyle w:val="CallOutBody"/>
        <w:rPr>
          <w:rFonts w:cs="Arial"/>
        </w:rPr>
      </w:pPr>
      <w:r>
        <w:t>The first FSVUs were established in 200</w:t>
      </w:r>
      <w:r w:rsidR="00741064">
        <w:t>8 by the Royal PNG Constabulary</w:t>
      </w:r>
      <w:r w:rsidRPr="007F4B30">
        <w:rPr>
          <w:rFonts w:cs="Arial"/>
        </w:rPr>
        <w:t xml:space="preserve"> </w:t>
      </w:r>
      <w:r w:rsidRPr="00EF65AE">
        <w:rPr>
          <w:rFonts w:cs="Arial"/>
        </w:rPr>
        <w:t>with Australian support</w:t>
      </w:r>
      <w:r>
        <w:rPr>
          <w:rFonts w:cs="Arial"/>
        </w:rPr>
        <w:t>. Since then</w:t>
      </w:r>
      <w:r w:rsidR="00A57C25">
        <w:rPr>
          <w:rFonts w:cs="Arial"/>
        </w:rPr>
        <w:t>,</w:t>
      </w:r>
      <w:r>
        <w:rPr>
          <w:rFonts w:cs="Arial"/>
        </w:rPr>
        <w:t xml:space="preserve"> the number of</w:t>
      </w:r>
      <w:r w:rsidR="00EF65AE" w:rsidRPr="00EF65AE">
        <w:rPr>
          <w:rFonts w:cs="Arial"/>
        </w:rPr>
        <w:t xml:space="preserve"> FSVUs </w:t>
      </w:r>
      <w:r w:rsidR="00A57C25">
        <w:rPr>
          <w:rFonts w:cs="Arial"/>
        </w:rPr>
        <w:t>has</w:t>
      </w:r>
      <w:r>
        <w:rPr>
          <w:rFonts w:cs="Arial"/>
        </w:rPr>
        <w:t xml:space="preserve"> gradually increased. The</w:t>
      </w:r>
      <w:r w:rsidR="00A57C25">
        <w:rPr>
          <w:rFonts w:cs="Arial"/>
        </w:rPr>
        <w:t>y</w:t>
      </w:r>
      <w:r>
        <w:rPr>
          <w:rFonts w:cs="Arial"/>
        </w:rPr>
        <w:t xml:space="preserve"> </w:t>
      </w:r>
      <w:r w:rsidR="00EF65AE" w:rsidRPr="00EF65AE">
        <w:rPr>
          <w:rFonts w:cs="Arial"/>
        </w:rPr>
        <w:t>are mandated to prevent, protect and investigate VAWG offences</w:t>
      </w:r>
      <w:r w:rsidR="009941B8">
        <w:rPr>
          <w:rFonts w:cs="Arial"/>
        </w:rPr>
        <w:t>. They</w:t>
      </w:r>
      <w:r w:rsidR="00EF65AE" w:rsidRPr="00EF65AE">
        <w:rPr>
          <w:rFonts w:cs="Arial"/>
        </w:rPr>
        <w:t xml:space="preserve"> are expected to respond to the specific needs of women and girls experiencing violence, and coordinate with other providers in the</w:t>
      </w:r>
      <w:r w:rsidR="00A57C25">
        <w:rPr>
          <w:rFonts w:cs="Arial"/>
        </w:rPr>
        <w:t xml:space="preserve"> broader</w:t>
      </w:r>
      <w:r w:rsidR="00EF65AE" w:rsidRPr="00EF65AE">
        <w:rPr>
          <w:rFonts w:cs="Arial"/>
        </w:rPr>
        <w:t xml:space="preserve"> referral network. </w:t>
      </w:r>
    </w:p>
    <w:p w14:paraId="6A738417" w14:textId="2B361D2B" w:rsidR="00EF65AE" w:rsidRPr="00B00742" w:rsidRDefault="00EF65AE" w:rsidP="00B00742">
      <w:pPr>
        <w:pStyle w:val="CallOutBody"/>
        <w:rPr>
          <w:rFonts w:cs="Arial"/>
        </w:rPr>
      </w:pPr>
      <w:r w:rsidRPr="00EF65AE">
        <w:rPr>
          <w:rFonts w:cs="Arial"/>
        </w:rPr>
        <w:t>Although the FSVUs have opened an important entry point for women seeking protection and justice for domestic violence, there are challenges. A 2015 evaluation found that few complaints brought to the FSVU were investigated, and even fewer prosecuted</w:t>
      </w:r>
      <w:r w:rsidR="009941B8">
        <w:rPr>
          <w:rFonts w:cs="Arial"/>
        </w:rPr>
        <w:t>. This was</w:t>
      </w:r>
      <w:r w:rsidRPr="00EF65AE">
        <w:rPr>
          <w:rFonts w:cs="Arial"/>
        </w:rPr>
        <w:t xml:space="preserve"> because of: case overload and lack of resources; the tendency of complainants to withdraw and accept compensation in lieu of adjudication; and the disinterest of some police.</w:t>
      </w:r>
      <w:r w:rsidRPr="00EF65AE">
        <w:rPr>
          <w:rFonts w:cs="Arial"/>
        </w:rPr>
        <w:fldChar w:fldCharType="begin"/>
      </w:r>
      <w:r w:rsidRPr="00EF65AE">
        <w:rPr>
          <w:rFonts w:cs="Arial"/>
        </w:rPr>
        <w:instrText xml:space="preserve"> ADDIN ZOTERO_ITEM CSL_CITATION {"citationID":"N2OhVLZL","properties":{"formattedCitation":"\\super 85\\nosupersub{}","plainCitation":"85","noteIndex":0},"citationItems":[{"id":2406,"uris":["http://zotero.org/users/4194704/items/5MCMC2BW"],"uri":["http://zotero.org/users/4194704/items/5MCMC2BW"],"itemData":{"id":2406,"type":"report","title":"Evaluation of the RPNGC Family and Sexual Violence Unit","publisher":"Cardno, Australian Aid","page":"1-63","author":[{"literal":"GHD Pty Ltd"}],"issued":{"date-parts":[["2015"]]}}}],"schema":"https://github.com/citation-style-language/schema/raw/master/csl-citation.json"} </w:instrText>
      </w:r>
      <w:r w:rsidRPr="00EF65AE">
        <w:rPr>
          <w:rFonts w:cs="Arial"/>
        </w:rPr>
        <w:fldChar w:fldCharType="separate"/>
      </w:r>
      <w:r w:rsidRPr="00EF65AE">
        <w:rPr>
          <w:rFonts w:cs="Arial"/>
          <w:vertAlign w:val="superscript"/>
          <w:lang w:val="en-US"/>
        </w:rPr>
        <w:t>85</w:t>
      </w:r>
      <w:r w:rsidRPr="00EF65AE">
        <w:rPr>
          <w:rFonts w:cs="Arial"/>
        </w:rPr>
        <w:fldChar w:fldCharType="end"/>
      </w:r>
      <w:r w:rsidRPr="00EF65AE">
        <w:rPr>
          <w:rFonts w:cs="Arial"/>
        </w:rPr>
        <w:t xml:space="preserve"> </w:t>
      </w:r>
      <w:r w:rsidRPr="00B00742">
        <w:rPr>
          <w:rFonts w:cs="Arial"/>
        </w:rPr>
        <w:t>An additional problem cited by many stakeholders was that FSVUs did not form part of the official structure of the P</w:t>
      </w:r>
      <w:r w:rsidR="009941B8" w:rsidRPr="00B00742">
        <w:rPr>
          <w:rFonts w:cs="Arial"/>
        </w:rPr>
        <w:t>NG</w:t>
      </w:r>
      <w:r w:rsidRPr="00B00742">
        <w:rPr>
          <w:rFonts w:cs="Arial"/>
        </w:rPr>
        <w:t xml:space="preserve"> police. According to a female police officer</w:t>
      </w:r>
      <w:r w:rsidR="00A57C25" w:rsidRPr="00B00742">
        <w:rPr>
          <w:rFonts w:cs="Arial"/>
        </w:rPr>
        <w:t>, this</w:t>
      </w:r>
      <w:r w:rsidRPr="00B00742">
        <w:rPr>
          <w:rFonts w:cs="Arial"/>
        </w:rPr>
        <w:t xml:space="preserve"> affects staff morale and retention</w:t>
      </w:r>
      <w:r w:rsidR="00A57C25" w:rsidRPr="00B00742">
        <w:rPr>
          <w:rFonts w:cs="Arial"/>
        </w:rPr>
        <w:t>:</w:t>
      </w:r>
      <w:r w:rsidRPr="00B00742">
        <w:rPr>
          <w:rFonts w:cs="Arial"/>
        </w:rPr>
        <w:t xml:space="preserve"> </w:t>
      </w:r>
      <w:r w:rsidR="009941B8" w:rsidRPr="00B00742">
        <w:rPr>
          <w:rFonts w:cs="Arial"/>
        </w:rPr>
        <w:t>‘</w:t>
      </w:r>
      <w:r w:rsidRPr="00B00742">
        <w:rPr>
          <w:rFonts w:cs="Arial"/>
        </w:rPr>
        <w:t>People don’t want to work there because they can’t get promoted.</w:t>
      </w:r>
      <w:r w:rsidR="009941B8" w:rsidRPr="00B00742">
        <w:rPr>
          <w:rFonts w:cs="Arial"/>
        </w:rPr>
        <w:t>’</w:t>
      </w:r>
      <w:r w:rsidRPr="00B00742">
        <w:rPr>
          <w:rFonts w:cs="Arial"/>
        </w:rPr>
        <w:t xml:space="preserve"> </w:t>
      </w:r>
    </w:p>
    <w:p w14:paraId="6C9F5E17" w14:textId="77777777" w:rsidR="00EF65AE" w:rsidRPr="00A57C25" w:rsidRDefault="00EF65AE" w:rsidP="00A57C25">
      <w:r w:rsidRPr="00A57C25">
        <w:t>Australia’s significant support for FSVUs through the</w:t>
      </w:r>
      <w:r w:rsidR="00A57C25" w:rsidRPr="00A57C25">
        <w:t xml:space="preserve"> </w:t>
      </w:r>
      <w:r w:rsidR="00A57C25" w:rsidRPr="00720659">
        <w:t>Justice Services and Stability for Development</w:t>
      </w:r>
      <w:bookmarkStart w:id="217" w:name="_Hlk15948528"/>
      <w:r w:rsidRPr="00A57C25">
        <w:t xml:space="preserve"> </w:t>
      </w:r>
      <w:bookmarkEnd w:id="217"/>
      <w:r w:rsidR="0097278F">
        <w:t>P</w:t>
      </w:r>
      <w:r w:rsidRPr="00A57C25">
        <w:t xml:space="preserve">rogram has been integral to </w:t>
      </w:r>
      <w:r w:rsidR="009941B8" w:rsidRPr="00A57C25">
        <w:t>expanding</w:t>
      </w:r>
      <w:r w:rsidRPr="00A57C25">
        <w:t xml:space="preserve"> and strengthening FSVUs. </w:t>
      </w:r>
      <w:r w:rsidR="00506017">
        <w:t>The program</w:t>
      </w:r>
      <w:r w:rsidRPr="00A57C25">
        <w:t xml:space="preserve"> is also supporting continued evaluation and improvements in implementing FSVUs in P</w:t>
      </w:r>
      <w:r w:rsidR="009941B8" w:rsidRPr="00A57C25">
        <w:t>NG</w:t>
      </w:r>
      <w:r w:rsidRPr="00A57C25">
        <w:t xml:space="preserve">. </w:t>
      </w:r>
    </w:p>
    <w:p w14:paraId="38E97C3C" w14:textId="4410762D" w:rsidR="00EF65AE" w:rsidRPr="00EF65AE" w:rsidRDefault="00EF65AE" w:rsidP="00EF65AE">
      <w:pPr>
        <w:rPr>
          <w:rFonts w:cs="Arial"/>
          <w:shd w:val="clear" w:color="auto" w:fill="FFFFFF"/>
        </w:rPr>
      </w:pPr>
      <w:r w:rsidRPr="00EF65AE">
        <w:rPr>
          <w:rFonts w:cs="Arial"/>
          <w:shd w:val="clear" w:color="auto" w:fill="FFFFFF"/>
        </w:rPr>
        <w:t>The location, or lack of appropriate infrastructure, in specialised police units can be a barrier for women to report violence. In Goroka,</w:t>
      </w:r>
      <w:r w:rsidR="00A8582F">
        <w:rPr>
          <w:rFonts w:cs="Arial"/>
          <w:shd w:val="clear" w:color="auto" w:fill="FFFFFF"/>
        </w:rPr>
        <w:t xml:space="preserve"> PNG</w:t>
      </w:r>
      <w:r w:rsidR="00B555A0">
        <w:rPr>
          <w:rFonts w:cs="Arial"/>
          <w:shd w:val="clear" w:color="auto" w:fill="FFFFFF"/>
        </w:rPr>
        <w:t>,</w:t>
      </w:r>
      <w:r w:rsidRPr="00EF65AE">
        <w:rPr>
          <w:rFonts w:cs="Arial"/>
          <w:shd w:val="clear" w:color="auto" w:fill="FFFFFF"/>
        </w:rPr>
        <w:t xml:space="preserve"> for example, the evaluation found that women had to wait outside the office, where anyone, including their husbands, could see them. According to the officer in charge of the FSVU, this often led to women being forced to leave before they could lodge a complaint:</w:t>
      </w:r>
    </w:p>
    <w:p w14:paraId="704FE894" w14:textId="2D59EB62" w:rsidR="00EF65AE" w:rsidRPr="00C43281" w:rsidRDefault="00EF65AE" w:rsidP="00C43281">
      <w:pPr>
        <w:pStyle w:val="IndentQuote"/>
      </w:pPr>
      <w:r w:rsidRPr="00C43281">
        <w:t>There is no space inside our office</w:t>
      </w:r>
      <w:r w:rsidR="0019178A" w:rsidRPr="00C43281">
        <w:t>,</w:t>
      </w:r>
      <w:r w:rsidRPr="00C43281">
        <w:t xml:space="preserve"> so women wait outside</w:t>
      </w:r>
      <w:r w:rsidR="00E2253F" w:rsidRPr="00C43281">
        <w:t xml:space="preserve">. </w:t>
      </w:r>
      <w:r w:rsidRPr="00C43281">
        <w:t xml:space="preserve">Sometimes the husband comes and takes them away. If they scream, we help them. If they don’t scream, we don’t help them. Husbands threaten them silently to go outside the police compound. </w:t>
      </w:r>
    </w:p>
    <w:p w14:paraId="449A6D5A" w14:textId="77777777" w:rsidR="00EF65AE" w:rsidRPr="00EF65AE" w:rsidRDefault="00EF65AE" w:rsidP="00EF65AE">
      <w:pPr>
        <w:rPr>
          <w:rFonts w:cs="Arial"/>
        </w:rPr>
      </w:pPr>
      <w:r w:rsidRPr="00EF65AE">
        <w:rPr>
          <w:rFonts w:cs="Arial"/>
        </w:rPr>
        <w:t>In Pakistan, the issue of location was addressed by separating specialised units from regular police stations, and offering all VAWG services under one roof:</w:t>
      </w:r>
    </w:p>
    <w:p w14:paraId="7361EBA3" w14:textId="760C4EAF" w:rsidR="00EF65AE" w:rsidRPr="00DA259B" w:rsidRDefault="00EF65AE" w:rsidP="00B27119">
      <w:pPr>
        <w:pStyle w:val="IndentQuote"/>
        <w:rPr>
          <w:i w:val="0"/>
          <w:iCs/>
        </w:rPr>
      </w:pPr>
      <w:r w:rsidRPr="00C43281">
        <w:t>There is only one women’s police station. Women thought it was a school because there is a childcare centre there. So, our intervention focussed on how we can build these centres in a way that women will not be scared, will be given good service. In our areas where we work, ratio of women accessing police services has increased.</w:t>
      </w:r>
      <w:r w:rsidRPr="00B27119">
        <w:t xml:space="preserve"> </w:t>
      </w:r>
      <w:r w:rsidR="00937123">
        <w:rPr>
          <w:i w:val="0"/>
          <w:iCs/>
        </w:rPr>
        <w:t>–</w:t>
      </w:r>
      <w:r w:rsidRPr="00B27119">
        <w:t xml:space="preserve"> </w:t>
      </w:r>
      <w:r w:rsidRPr="00DA259B">
        <w:rPr>
          <w:i w:val="0"/>
          <w:iCs/>
        </w:rPr>
        <w:t xml:space="preserve">NGO </w:t>
      </w:r>
      <w:r w:rsidR="00A8582F">
        <w:rPr>
          <w:i w:val="0"/>
          <w:iCs/>
        </w:rPr>
        <w:t>representative</w:t>
      </w:r>
      <w:r w:rsidRPr="00DA259B">
        <w:rPr>
          <w:i w:val="0"/>
          <w:iCs/>
        </w:rPr>
        <w:t>, Pakistan</w:t>
      </w:r>
    </w:p>
    <w:p w14:paraId="0E99B32B" w14:textId="77777777" w:rsidR="00EF65AE" w:rsidRPr="00EF65AE" w:rsidRDefault="00EF65AE" w:rsidP="0046440F">
      <w:pPr>
        <w:pStyle w:val="Heading3NoTOC"/>
      </w:pPr>
      <w:r w:rsidRPr="00EF65AE">
        <w:t>Judicial response</w:t>
      </w:r>
    </w:p>
    <w:p w14:paraId="397B4247" w14:textId="77777777" w:rsidR="00EF65AE" w:rsidRPr="00A50E23" w:rsidRDefault="00EF65AE" w:rsidP="00A50E23">
      <w:pPr>
        <w:rPr>
          <w:rFonts w:cs="Arial"/>
        </w:rPr>
      </w:pPr>
      <w:r w:rsidRPr="00EF65AE">
        <w:rPr>
          <w:rFonts w:cs="Arial"/>
        </w:rPr>
        <w:t xml:space="preserve">In </w:t>
      </w:r>
      <w:r w:rsidR="00A50E23">
        <w:rPr>
          <w:rFonts w:cs="Arial"/>
        </w:rPr>
        <w:t xml:space="preserve">many counties and </w:t>
      </w:r>
      <w:r w:rsidRPr="00EF65AE">
        <w:rPr>
          <w:rFonts w:cs="Arial"/>
        </w:rPr>
        <w:t>all focus countries</w:t>
      </w:r>
      <w:r w:rsidR="00A57C25">
        <w:rPr>
          <w:rFonts w:cs="Arial"/>
        </w:rPr>
        <w:t xml:space="preserve"> in this evaluation</w:t>
      </w:r>
      <w:r w:rsidRPr="00EF65AE">
        <w:rPr>
          <w:rFonts w:cs="Arial"/>
        </w:rPr>
        <w:t xml:space="preserve">, only a small fraction of </w:t>
      </w:r>
      <w:r w:rsidR="00A50E23">
        <w:rPr>
          <w:rFonts w:cs="Arial"/>
        </w:rPr>
        <w:t xml:space="preserve">VAWG </w:t>
      </w:r>
      <w:r w:rsidRPr="00EF65AE">
        <w:rPr>
          <w:rFonts w:cs="Arial"/>
        </w:rPr>
        <w:t xml:space="preserve">cases reported to the police were successfully prosecuted. </w:t>
      </w:r>
      <w:r w:rsidRPr="00A50E23">
        <w:rPr>
          <w:rFonts w:cs="Arial"/>
        </w:rPr>
        <w:t>According to a study carried out in Vanuatu, only about 2 per cent of cases of family and sexual violence are addressed by the justice system.</w:t>
      </w:r>
      <w:r w:rsidRPr="00A50E23">
        <w:rPr>
          <w:rFonts w:cs="Arial"/>
        </w:rPr>
        <w:fldChar w:fldCharType="begin"/>
      </w:r>
      <w:r w:rsidRPr="00A50E23">
        <w:rPr>
          <w:rFonts w:cs="Arial"/>
        </w:rPr>
        <w:instrText xml:space="preserve"> ADDIN ZOTERO_ITEM CSL_CITATION {"citationID":"p7dqSK2F","properties":{"formattedCitation":"\\super 82\\nosupersub{}","plainCitation":"82","noteIndex":0},"citationItems":[{"id":2538,"uris":["http://zotero.org/users/4194704/items/TTJHHC5F"],"uri":["http://zotero.org/users/4194704/items/TTJHHC5F"],"itemData":{"id":2538,"type":"report","title":"Women and Girls Access to the Formal Justice System in Vanuatu","publisher":"UN Women","author":[{"family":"UN Women","given":""}],"issued":{"date-parts":[["2016"]]}}}],"schema":"https://github.com/citation-style-language/schema/raw/master/csl-citation.json"} </w:instrText>
      </w:r>
      <w:r w:rsidRPr="00A50E23">
        <w:rPr>
          <w:rFonts w:cs="Arial"/>
        </w:rPr>
        <w:fldChar w:fldCharType="separate"/>
      </w:r>
      <w:r w:rsidRPr="00A50E23">
        <w:rPr>
          <w:rFonts w:cs="Arial"/>
          <w:vertAlign w:val="superscript"/>
          <w:lang w:val="en-US"/>
        </w:rPr>
        <w:t>82</w:t>
      </w:r>
      <w:r w:rsidRPr="00A50E23">
        <w:rPr>
          <w:rFonts w:cs="Arial"/>
        </w:rPr>
        <w:fldChar w:fldCharType="end"/>
      </w:r>
      <w:r w:rsidRPr="00A50E23">
        <w:rPr>
          <w:rFonts w:cs="Arial"/>
        </w:rPr>
        <w:t xml:space="preserve"> Using the 2009 Vanuatu National Survey on Women’s Lives and Family Relationships, which found that 44 per cent of women experienced domestic violence in the year</w:t>
      </w:r>
      <w:r w:rsidR="00F061F3" w:rsidRPr="00A50E23">
        <w:rPr>
          <w:rFonts w:cs="Arial"/>
        </w:rPr>
        <w:t xml:space="preserve"> before</w:t>
      </w:r>
      <w:r w:rsidRPr="00A50E23">
        <w:rPr>
          <w:rFonts w:cs="Arial"/>
        </w:rPr>
        <w:t xml:space="preserve"> the survey, the authors calculated this would be equivalent to about 23,000 women</w:t>
      </w:r>
      <w:r w:rsidR="00E2253F" w:rsidRPr="00A50E23">
        <w:rPr>
          <w:rFonts w:cs="Arial"/>
        </w:rPr>
        <w:t xml:space="preserve">. </w:t>
      </w:r>
      <w:r w:rsidRPr="00A50E23">
        <w:rPr>
          <w:rFonts w:cs="Arial"/>
        </w:rPr>
        <w:t>In 2012</w:t>
      </w:r>
      <w:r w:rsidR="00F061F3" w:rsidRPr="00A50E23">
        <w:rPr>
          <w:rFonts w:cs="Arial"/>
        </w:rPr>
        <w:t>–</w:t>
      </w:r>
      <w:r w:rsidRPr="00A50E23">
        <w:rPr>
          <w:rFonts w:cs="Arial"/>
        </w:rPr>
        <w:t xml:space="preserve">13, the police laid charges in only 380 cases of physical or sexual violence against a woman or girl. Because the Vanuatu court system does not disaggregate information by sex, it is not known how many of these cases </w:t>
      </w:r>
      <w:r w:rsidR="00F061F3" w:rsidRPr="00A50E23">
        <w:rPr>
          <w:rFonts w:cs="Arial"/>
        </w:rPr>
        <w:t>the courts</w:t>
      </w:r>
      <w:r w:rsidRPr="00A50E23">
        <w:rPr>
          <w:rFonts w:cs="Arial"/>
        </w:rPr>
        <w:t xml:space="preserve"> addressed. </w:t>
      </w:r>
    </w:p>
    <w:p w14:paraId="48AA6679" w14:textId="77777777" w:rsidR="00EF65AE" w:rsidRPr="00EF65AE" w:rsidRDefault="00EF65AE" w:rsidP="00EF65AE">
      <w:pPr>
        <w:rPr>
          <w:rFonts w:cs="Arial"/>
        </w:rPr>
      </w:pPr>
      <w:r w:rsidRPr="00EF65AE">
        <w:rPr>
          <w:rFonts w:cs="Arial"/>
        </w:rPr>
        <w:t xml:space="preserve">A similar study carried out by </w:t>
      </w:r>
      <w:r w:rsidR="00F061F3">
        <w:rPr>
          <w:rFonts w:cs="Arial"/>
        </w:rPr>
        <w:t>t</w:t>
      </w:r>
      <w:r w:rsidRPr="00EF65AE">
        <w:rPr>
          <w:rFonts w:cs="Arial"/>
        </w:rPr>
        <w:t xml:space="preserve">he </w:t>
      </w:r>
      <w:bookmarkStart w:id="218" w:name="_Hlk15948749"/>
      <w:r w:rsidRPr="00EF65AE">
        <w:rPr>
          <w:rFonts w:cs="Arial"/>
        </w:rPr>
        <w:t>Fiji Women’s Rights Movement</w:t>
      </w:r>
      <w:bookmarkEnd w:id="218"/>
      <w:r w:rsidRPr="00EF65AE">
        <w:rPr>
          <w:rFonts w:cs="Arial"/>
        </w:rPr>
        <w:t>, found somewhat better results</w:t>
      </w:r>
      <w:r w:rsidR="00E2253F">
        <w:rPr>
          <w:rFonts w:cs="Arial"/>
        </w:rPr>
        <w:t xml:space="preserve">. </w:t>
      </w:r>
      <w:r w:rsidRPr="00EF65AE">
        <w:rPr>
          <w:rFonts w:cs="Arial"/>
        </w:rPr>
        <w:t>Among the women surveyed, 64 per cent went to other people or organisations to seek help before they went to the police or courts, yet only 6 per cent said this had fully resolved their issues</w:t>
      </w:r>
      <w:r w:rsidR="00E2253F">
        <w:rPr>
          <w:rFonts w:cs="Arial"/>
        </w:rPr>
        <w:t xml:space="preserve">. </w:t>
      </w:r>
      <w:r w:rsidRPr="00EF65AE">
        <w:rPr>
          <w:rFonts w:cs="Arial"/>
        </w:rPr>
        <w:t xml:space="preserve">In contrast, for women whose cases had been finalised in the courts, nine out of </w:t>
      </w:r>
      <w:r w:rsidR="00F061F3">
        <w:rPr>
          <w:rFonts w:cs="Arial"/>
        </w:rPr>
        <w:t>10</w:t>
      </w:r>
      <w:r w:rsidRPr="00EF65AE">
        <w:rPr>
          <w:rFonts w:cs="Arial"/>
        </w:rPr>
        <w:t xml:space="preserve"> obtained the outcome they had sought. Rape cases heard in the High Court in 2016 resulted in a 90 per cent rate of conviction of the accused on a charge of rape and an average final sentence of 10 years and 10 months. </w:t>
      </w:r>
    </w:p>
    <w:p w14:paraId="4C2A1123" w14:textId="77777777" w:rsidR="00EF65AE" w:rsidRPr="00EF65AE" w:rsidRDefault="00EF65AE" w:rsidP="00EF65AE">
      <w:pPr>
        <w:rPr>
          <w:rFonts w:cs="Arial"/>
        </w:rPr>
      </w:pPr>
      <w:r w:rsidRPr="00EF65AE">
        <w:rPr>
          <w:rFonts w:cs="Arial"/>
        </w:rPr>
        <w:t>According to interviews with Australian law and justice programs</w:t>
      </w:r>
      <w:r w:rsidR="00A57C25">
        <w:rPr>
          <w:rFonts w:cs="Arial"/>
        </w:rPr>
        <w:t>,</w:t>
      </w:r>
      <w:r w:rsidRPr="00EF65AE">
        <w:rPr>
          <w:rFonts w:cs="Arial"/>
        </w:rPr>
        <w:t xml:space="preserve"> and AFP advisors in the Pacific island focus countries, improving the justice sector’s capacity to investigate and prosecute sexual and family violence crimes is a critical step for improving survivors’ access to justice</w:t>
      </w:r>
      <w:r w:rsidR="00F061F3">
        <w:rPr>
          <w:rFonts w:cs="Arial"/>
        </w:rPr>
        <w:t xml:space="preserve">. This </w:t>
      </w:r>
      <w:r w:rsidRPr="00EF65AE">
        <w:rPr>
          <w:rFonts w:cs="Arial"/>
        </w:rPr>
        <w:t>is a priority for Australian support.</w:t>
      </w:r>
    </w:p>
    <w:p w14:paraId="04E05C1C" w14:textId="60B5D3FD" w:rsidR="00EF65AE" w:rsidRPr="00EF65AE" w:rsidRDefault="0057488E" w:rsidP="00EF65AE">
      <w:pPr>
        <w:rPr>
          <w:rFonts w:cs="Arial"/>
        </w:rPr>
      </w:pPr>
      <w:r>
        <w:t>In Timor-Leste, some offences falling within the nature of ‘domestic violence’, and all crimes of rape and sexual abuse of minors</w:t>
      </w:r>
      <w:r w:rsidR="00732479">
        <w:t>,</w:t>
      </w:r>
      <w:r>
        <w:t xml:space="preserve"> are defined as a </w:t>
      </w:r>
      <w:r w:rsidR="00A57C25">
        <w:t>‘</w:t>
      </w:r>
      <w:r>
        <w:t>public crime</w:t>
      </w:r>
      <w:r w:rsidR="00A57C25">
        <w:t>’</w:t>
      </w:r>
      <w:r>
        <w:t xml:space="preserve">, which impose mandatory reporting obligations on the police and public servants. Once reported and registered, the case must be prosecuted and there is no option for the courts to mediate. Women and girls are entitled to independent legal representation from a public defender or private lawyer, however in </w:t>
      </w:r>
      <w:r w:rsidR="00B00742">
        <w:t xml:space="preserve">many </w:t>
      </w:r>
      <w:r>
        <w:t xml:space="preserve">cases they are supported by </w:t>
      </w:r>
      <w:r w:rsidR="00A50E23">
        <w:t xml:space="preserve">a </w:t>
      </w:r>
      <w:r>
        <w:t>women and children’s legal aid service</w:t>
      </w:r>
      <w:r w:rsidR="00A50E23">
        <w:t xml:space="preserve"> which is funded by Australia</w:t>
      </w:r>
      <w:r>
        <w:t xml:space="preserve">. Defining </w:t>
      </w:r>
      <w:r w:rsidR="00AE4FE4">
        <w:t>VAWG</w:t>
      </w:r>
      <w:r>
        <w:t xml:space="preserve"> as a</w:t>
      </w:r>
      <w:r w:rsidR="00A57C25">
        <w:t xml:space="preserve"> </w:t>
      </w:r>
      <w:r>
        <w:t>public crime was intended to make police inaction a criminal offence itself, however this has never been applied and there is still widespread impunity for police inaction.</w:t>
      </w:r>
      <w:r w:rsidR="00EF65AE" w:rsidRPr="00EF65AE">
        <w:rPr>
          <w:rFonts w:cs="Arial"/>
        </w:rPr>
        <w:t xml:space="preserve"> </w:t>
      </w:r>
    </w:p>
    <w:p w14:paraId="2E3A6355" w14:textId="5DA6278B" w:rsidR="00EF65AE" w:rsidRPr="00EF65AE" w:rsidRDefault="00EF65AE" w:rsidP="00EF65AE">
      <w:pPr>
        <w:rPr>
          <w:rFonts w:cs="Arial"/>
        </w:rPr>
      </w:pPr>
      <w:r w:rsidRPr="00EF65AE">
        <w:rPr>
          <w:rFonts w:cs="Arial"/>
        </w:rPr>
        <w:t>Across all countries in this evaluation, there was evidence that long delays in processing cases</w:t>
      </w:r>
      <w:r w:rsidR="002474E0">
        <w:rPr>
          <w:rFonts w:cs="Arial"/>
        </w:rPr>
        <w:t>, w</w:t>
      </w:r>
      <w:r w:rsidR="002474E0" w:rsidRPr="00EF65AE">
        <w:rPr>
          <w:rFonts w:cs="Arial"/>
        </w:rPr>
        <w:t>ith cited wai</w:t>
      </w:r>
      <w:r w:rsidR="002474E0">
        <w:rPr>
          <w:rFonts w:cs="Arial"/>
        </w:rPr>
        <w:t>ting times up to several years,</w:t>
      </w:r>
      <w:r w:rsidRPr="00EF65AE">
        <w:rPr>
          <w:rFonts w:cs="Arial"/>
        </w:rPr>
        <w:t xml:space="preserve"> were common and frequently </w:t>
      </w:r>
      <w:r w:rsidR="00A50E23">
        <w:rPr>
          <w:rFonts w:cs="Arial"/>
        </w:rPr>
        <w:t>r</w:t>
      </w:r>
      <w:r w:rsidR="002474E0">
        <w:rPr>
          <w:rFonts w:cs="Arial"/>
        </w:rPr>
        <w:t>esulted in</w:t>
      </w:r>
      <w:r w:rsidRPr="00EF65AE">
        <w:rPr>
          <w:rFonts w:cs="Arial"/>
        </w:rPr>
        <w:t xml:space="preserve"> cases failing to be prosecuted. </w:t>
      </w:r>
      <w:r w:rsidR="002474E0">
        <w:rPr>
          <w:rFonts w:cs="Arial"/>
        </w:rPr>
        <w:t>M</w:t>
      </w:r>
      <w:r w:rsidR="002474E0" w:rsidRPr="00EF65AE">
        <w:rPr>
          <w:rFonts w:cs="Arial"/>
        </w:rPr>
        <w:t xml:space="preserve">any women </w:t>
      </w:r>
      <w:r w:rsidR="002474E0">
        <w:rPr>
          <w:rFonts w:cs="Arial"/>
        </w:rPr>
        <w:t>drop</w:t>
      </w:r>
      <w:r w:rsidR="002474E0" w:rsidRPr="00EF65AE">
        <w:rPr>
          <w:rFonts w:cs="Arial"/>
        </w:rPr>
        <w:t xml:space="preserve"> cases before the</w:t>
      </w:r>
      <w:r w:rsidR="002474E0">
        <w:rPr>
          <w:rFonts w:cs="Arial"/>
        </w:rPr>
        <w:t>y are</w:t>
      </w:r>
      <w:r w:rsidR="002474E0" w:rsidRPr="00EF65AE">
        <w:rPr>
          <w:rFonts w:cs="Arial"/>
        </w:rPr>
        <w:t xml:space="preserve"> finalised</w:t>
      </w:r>
      <w:r w:rsidR="002474E0">
        <w:rPr>
          <w:rFonts w:cs="Arial"/>
        </w:rPr>
        <w:t xml:space="preserve"> because of t</w:t>
      </w:r>
      <w:r w:rsidRPr="00EF65AE">
        <w:rPr>
          <w:rFonts w:cs="Arial"/>
        </w:rPr>
        <w:t>he high burden and cost of regularly travelling to and from court</w:t>
      </w:r>
      <w:r w:rsidR="00E2253F">
        <w:rPr>
          <w:rFonts w:cs="Arial"/>
        </w:rPr>
        <w:t xml:space="preserve">. </w:t>
      </w:r>
      <w:r w:rsidR="00B00742">
        <w:rPr>
          <w:rFonts w:cs="Arial"/>
        </w:rPr>
        <w:t>The</w:t>
      </w:r>
      <w:r w:rsidRPr="00EF65AE">
        <w:rPr>
          <w:rFonts w:cs="Arial"/>
        </w:rPr>
        <w:t xml:space="preserve"> costs for a woman </w:t>
      </w:r>
      <w:r w:rsidR="002474E0">
        <w:rPr>
          <w:rFonts w:cs="Arial"/>
        </w:rPr>
        <w:t xml:space="preserve">in Fiji </w:t>
      </w:r>
      <w:r w:rsidRPr="00EF65AE">
        <w:rPr>
          <w:rFonts w:cs="Arial"/>
        </w:rPr>
        <w:t xml:space="preserve">to bring or respond to a family law matter in the Family Court </w:t>
      </w:r>
      <w:r w:rsidR="00B00742">
        <w:rPr>
          <w:rFonts w:cs="Arial"/>
        </w:rPr>
        <w:t xml:space="preserve">has been estimated to be </w:t>
      </w:r>
      <w:r w:rsidRPr="00EF65AE">
        <w:rPr>
          <w:rFonts w:cs="Arial"/>
        </w:rPr>
        <w:t xml:space="preserve"> equal to the weekly income of a woman living on or around the Basic Needs Poverty Line.</w:t>
      </w:r>
      <w:r w:rsidRPr="00EF65AE">
        <w:rPr>
          <w:rFonts w:cs="Arial"/>
        </w:rPr>
        <w:fldChar w:fldCharType="begin"/>
      </w:r>
      <w:r w:rsidRPr="00EF65AE">
        <w:rPr>
          <w:rFonts w:cs="Arial"/>
        </w:rPr>
        <w:instrText xml:space="preserve"> ADDIN ZOTERO_ITEM CSL_CITATION {"citationID":"Osao2vIL","properties":{"formattedCitation":"\\super 81\\nosupersub{}","plainCitation":"81","noteIndex":0},"citationItems":[{"id":2536,"uris":["http://zotero.org/users/4194704/items/EGN2N9NS"],"uri":["http://zotero.org/users/4194704/items/EGN2N9NS"],"itemData":{"id":2536,"type":"report","title":"Balancing the Scales:  Improving Fijian Women's Access to Justice","publisher-place":"Suva, Fiji","event-place":"Suva, Fiji","author":[{"family":"Fiji Women's Rights Movement","given":""}],"issued":{"date-parts":[["2017"]]}}}],"schema":"https://github.com/citation-style-language/schema/raw/master/csl-citation.json"} </w:instrText>
      </w:r>
      <w:r w:rsidRPr="00EF65AE">
        <w:rPr>
          <w:rFonts w:cs="Arial"/>
        </w:rPr>
        <w:fldChar w:fldCharType="separate"/>
      </w:r>
      <w:r w:rsidRPr="00EF65AE">
        <w:rPr>
          <w:rFonts w:cs="Arial"/>
          <w:vertAlign w:val="superscript"/>
          <w:lang w:val="en-US"/>
        </w:rPr>
        <w:t>81</w:t>
      </w:r>
      <w:r w:rsidRPr="00EF65AE">
        <w:rPr>
          <w:rFonts w:cs="Arial"/>
        </w:rPr>
        <w:fldChar w:fldCharType="end"/>
      </w:r>
      <w:r w:rsidRPr="00EF65AE">
        <w:rPr>
          <w:rFonts w:cs="Arial"/>
        </w:rPr>
        <w:t xml:space="preserve"> </w:t>
      </w:r>
    </w:p>
    <w:p w14:paraId="11018075" w14:textId="4D38B13C" w:rsidR="00EF65AE" w:rsidRPr="00B555A0" w:rsidRDefault="00EF65AE" w:rsidP="005279F4">
      <w:pPr>
        <w:pStyle w:val="IndentQuote"/>
        <w:rPr>
          <w:i w:val="0"/>
          <w:iCs/>
        </w:rPr>
      </w:pPr>
      <w:r w:rsidRPr="00C43281">
        <w:t>Legal process takes years, it is very tiring, and a woman may have to travel five hours to get to the court, only to hear that her case has been deferred to the next month, and the next, and the next. Justice doesn’t work for women</w:t>
      </w:r>
      <w:r w:rsidRPr="005279F4">
        <w:rPr>
          <w:rStyle w:val="QuoteChar"/>
          <w:i/>
          <w:iCs w:val="0"/>
        </w:rPr>
        <w:t>.</w:t>
      </w:r>
      <w:r w:rsidRPr="005279F4">
        <w:t xml:space="preserve"> </w:t>
      </w:r>
      <w:r w:rsidR="00937123">
        <w:rPr>
          <w:i w:val="0"/>
          <w:iCs/>
        </w:rPr>
        <w:t>–</w:t>
      </w:r>
      <w:r w:rsidR="00B555A0">
        <w:t xml:space="preserve"> </w:t>
      </w:r>
      <w:r w:rsidR="00A8582F" w:rsidRPr="00B555A0">
        <w:rPr>
          <w:i w:val="0"/>
        </w:rPr>
        <w:t>Representative of</w:t>
      </w:r>
      <w:r w:rsidRPr="005279F4">
        <w:t xml:space="preserve"> </w:t>
      </w:r>
      <w:r w:rsidRPr="00B555A0">
        <w:rPr>
          <w:i w:val="0"/>
          <w:iCs/>
        </w:rPr>
        <w:t>CSO, Pakistan</w:t>
      </w:r>
    </w:p>
    <w:p w14:paraId="01A9D469" w14:textId="2DB343AE" w:rsidR="00EF65AE" w:rsidRPr="00B555A0" w:rsidRDefault="00EF65AE" w:rsidP="005279F4">
      <w:pPr>
        <w:pStyle w:val="IndentQuote"/>
        <w:rPr>
          <w:i w:val="0"/>
          <w:iCs/>
        </w:rPr>
      </w:pPr>
      <w:r w:rsidRPr="00C43281">
        <w:t>There is only one court house for cases and one day per week where all family matters are heard</w:t>
      </w:r>
      <w:r w:rsidR="00F061F3" w:rsidRPr="00C43281">
        <w:t>—</w:t>
      </w:r>
      <w:r w:rsidRPr="00C43281">
        <w:t>actually half a day in the afternoon</w:t>
      </w:r>
      <w:r w:rsidR="00F061F3" w:rsidRPr="00C43281">
        <w:t xml:space="preserve"> </w:t>
      </w:r>
      <w:r w:rsidRPr="00C43281">
        <w:t>…</w:t>
      </w:r>
      <w:r w:rsidR="00F061F3" w:rsidRPr="00C43281">
        <w:t xml:space="preserve"> </w:t>
      </w:r>
      <w:r w:rsidRPr="00C43281">
        <w:t>The cases are just perpetually adjourned</w:t>
      </w:r>
      <w:r w:rsidR="00F061F3" w:rsidRPr="00C43281">
        <w:t xml:space="preserve"> </w:t>
      </w:r>
      <w:r w:rsidRPr="00C43281">
        <w:t>…</w:t>
      </w:r>
      <w:r w:rsidR="00F061F3" w:rsidRPr="00C43281">
        <w:t xml:space="preserve"> </w:t>
      </w:r>
      <w:r w:rsidRPr="00C43281">
        <w:t>There’s only one legal officer, the Family Unit only has two lawyers. There needs to be capacity building in the legal profession. Sometimes it’s a life or death matter. It’s also very financially stressful, and psychologically. Some children were affected, they didn’t go to school because of delays. This causes more problems.</w:t>
      </w:r>
      <w:r w:rsidR="00F061F3">
        <w:rPr>
          <w:rStyle w:val="QuoteChar"/>
          <w:i/>
          <w:iCs w:val="0"/>
        </w:rPr>
        <w:t>’</w:t>
      </w:r>
      <w:r w:rsidRPr="005279F4">
        <w:t xml:space="preserve"> </w:t>
      </w:r>
      <w:r w:rsidR="00937123">
        <w:rPr>
          <w:i w:val="0"/>
          <w:iCs/>
        </w:rPr>
        <w:t>–</w:t>
      </w:r>
      <w:r w:rsidR="00B555A0">
        <w:t xml:space="preserve"> </w:t>
      </w:r>
      <w:r w:rsidR="00A8582F" w:rsidRPr="00B555A0">
        <w:rPr>
          <w:i w:val="0"/>
          <w:iCs/>
        </w:rPr>
        <w:t>Representative of</w:t>
      </w:r>
      <w:r w:rsidRPr="00B555A0">
        <w:rPr>
          <w:i w:val="0"/>
          <w:iCs/>
        </w:rPr>
        <w:t xml:space="preserve"> </w:t>
      </w:r>
      <w:r w:rsidR="00545490" w:rsidRPr="00B555A0">
        <w:rPr>
          <w:i w:val="0"/>
          <w:iCs/>
        </w:rPr>
        <w:t>s</w:t>
      </w:r>
      <w:r w:rsidRPr="00B555A0">
        <w:rPr>
          <w:i w:val="0"/>
          <w:iCs/>
        </w:rPr>
        <w:t>ervice provider, Solomon Islands</w:t>
      </w:r>
    </w:p>
    <w:p w14:paraId="6B4673B1" w14:textId="77777777" w:rsidR="00EF65AE" w:rsidRPr="00EF65AE" w:rsidRDefault="00EF65AE" w:rsidP="00EF65AE">
      <w:pPr>
        <w:rPr>
          <w:rFonts w:cs="Arial"/>
        </w:rPr>
      </w:pPr>
      <w:r w:rsidRPr="00EF65AE">
        <w:rPr>
          <w:rFonts w:cs="Arial"/>
        </w:rPr>
        <w:t>A study by the International Centre for Advocates against Discrimination on Judicial Sentencing Practices to Sexual and Gender-based Violence in the Pacific Island Region, found that discriminatory attitudes and practices influenced judicial decisions throughout the region.</w:t>
      </w:r>
      <w:r w:rsidRPr="00EF65AE">
        <w:rPr>
          <w:rFonts w:cs="Arial"/>
        </w:rPr>
        <w:fldChar w:fldCharType="begin"/>
      </w:r>
      <w:r w:rsidRPr="00EF65AE">
        <w:rPr>
          <w:rFonts w:cs="Arial"/>
        </w:rPr>
        <w:instrText xml:space="preserve"> ADDIN ZOTERO_ITEM CSL_CITATION {"citationID":"LjZVX3n8","properties":{"formattedCitation":"\\super 86\\nosupersub{}","plainCitation":"86","noteIndex":0},"citationItems":[{"id":2544,"uris":["http://zotero.org/users/4194704/items/F7VTC5PQ"],"uri":["http://zotero.org/users/4194704/items/F7VTC5PQ"],"itemData":{"id":2544,"type":"report","title":"An Analysis of Judicial Sentencing Practices in Sexual and Gender-based Violence Cases in the Pacific Island Region","publisher":"International Center for Advocates Against Discrimination (ICAAD)","author":[{"literal":"Emily Christie"},{"literal":"Hansdeep Singh"},{"literal":"Jaspreet K. Singh"}],"issued":{"date-parts":[["2015"]]}}}],"schema":"https://github.com/citation-style-language/schema/raw/master/csl-citation.json"} </w:instrText>
      </w:r>
      <w:r w:rsidRPr="00EF65AE">
        <w:rPr>
          <w:rFonts w:cs="Arial"/>
        </w:rPr>
        <w:fldChar w:fldCharType="separate"/>
      </w:r>
      <w:r w:rsidRPr="00EF65AE">
        <w:rPr>
          <w:rFonts w:cs="Arial"/>
          <w:vertAlign w:val="superscript"/>
          <w:lang w:val="en-US"/>
        </w:rPr>
        <w:t>86</w:t>
      </w:r>
      <w:r w:rsidRPr="00EF65AE">
        <w:rPr>
          <w:rFonts w:cs="Arial"/>
        </w:rPr>
        <w:fldChar w:fldCharType="end"/>
      </w:r>
      <w:r w:rsidRPr="00EF65AE">
        <w:rPr>
          <w:rFonts w:cs="Arial"/>
        </w:rPr>
        <w:t xml:space="preserve"> Judges were much more likely to reduce final sentences, or eliminate prison time altogether, when </w:t>
      </w:r>
      <w:r w:rsidR="00F061F3">
        <w:rPr>
          <w:rFonts w:cs="Arial"/>
        </w:rPr>
        <w:t>‘</w:t>
      </w:r>
      <w:r w:rsidRPr="00EF65AE">
        <w:rPr>
          <w:rFonts w:cs="Arial"/>
        </w:rPr>
        <w:t>contentious issues</w:t>
      </w:r>
      <w:r w:rsidR="00F061F3">
        <w:rPr>
          <w:rFonts w:cs="Arial"/>
        </w:rPr>
        <w:t>’</w:t>
      </w:r>
      <w:r w:rsidRPr="00EF65AE">
        <w:rPr>
          <w:rFonts w:cs="Arial"/>
        </w:rPr>
        <w:t xml:space="preserve"> were mentioned (defined as gender stereotyping, rape myths or customary practices, such as forgiveness ceremonies</w:t>
      </w:r>
      <w:r w:rsidR="00F061F3">
        <w:rPr>
          <w:rFonts w:cs="Arial"/>
        </w:rPr>
        <w:t>)</w:t>
      </w:r>
      <w:r w:rsidRPr="00EF65AE">
        <w:rPr>
          <w:rFonts w:cs="Arial"/>
        </w:rPr>
        <w:t xml:space="preserve"> that unjustly privilege</w:t>
      </w:r>
      <w:r w:rsidR="00F2405E">
        <w:rPr>
          <w:rFonts w:cs="Arial"/>
        </w:rPr>
        <w:t>d</w:t>
      </w:r>
      <w:r w:rsidRPr="00EF65AE">
        <w:rPr>
          <w:rFonts w:cs="Arial"/>
        </w:rPr>
        <w:t xml:space="preserve"> the interests of the perpetrator over the interests of the victim. </w:t>
      </w:r>
    </w:p>
    <w:p w14:paraId="08D14C4F" w14:textId="77777777" w:rsidR="00EF65AE" w:rsidRPr="00EF65AE" w:rsidRDefault="00EF65AE" w:rsidP="00E92842">
      <w:pPr>
        <w:pStyle w:val="Heading3NoTOC"/>
      </w:pPr>
      <w:r w:rsidRPr="00EF65AE">
        <w:t>Traditional justice</w:t>
      </w:r>
    </w:p>
    <w:p w14:paraId="60692D37" w14:textId="77777777" w:rsidR="00F2405E" w:rsidRDefault="00EF65AE" w:rsidP="00EF65AE">
      <w:pPr>
        <w:rPr>
          <w:rFonts w:cs="Arial"/>
        </w:rPr>
      </w:pPr>
      <w:r w:rsidRPr="00EF65AE">
        <w:rPr>
          <w:rFonts w:cs="Arial"/>
        </w:rPr>
        <w:t>IPOs and specialised police services have greatly increased access to justice in urban areas</w:t>
      </w:r>
      <w:r w:rsidR="00F061F3">
        <w:rPr>
          <w:rFonts w:cs="Arial"/>
        </w:rPr>
        <w:t>, but</w:t>
      </w:r>
      <w:r w:rsidRPr="00EF65AE">
        <w:rPr>
          <w:rFonts w:cs="Arial"/>
        </w:rPr>
        <w:t xml:space="preserve"> their reach does not extend to rural areas. In most countries, traditional forms of justice still prevail, </w:t>
      </w:r>
      <w:r w:rsidR="00F061F3">
        <w:rPr>
          <w:rFonts w:cs="Arial"/>
        </w:rPr>
        <w:t>which</w:t>
      </w:r>
      <w:r w:rsidRPr="00EF65AE">
        <w:rPr>
          <w:rFonts w:cs="Arial"/>
        </w:rPr>
        <w:t xml:space="preserve"> often do not favour women and girls who experience violence. In countries with dual justice systems (recognising both formal and customary laws), new VAWG legislation has clarified or revised the roles of each group. </w:t>
      </w:r>
      <w:r w:rsidR="00F061F3">
        <w:rPr>
          <w:rFonts w:cs="Arial"/>
        </w:rPr>
        <w:t>I</w:t>
      </w:r>
      <w:r w:rsidRPr="00EF65AE">
        <w:rPr>
          <w:rFonts w:cs="Arial"/>
        </w:rPr>
        <w:t xml:space="preserve">n PNG, </w:t>
      </w:r>
      <w:r w:rsidR="00F061F3">
        <w:rPr>
          <w:rFonts w:cs="Arial"/>
        </w:rPr>
        <w:t xml:space="preserve">for example, </w:t>
      </w:r>
      <w:r w:rsidR="003F76AF">
        <w:rPr>
          <w:rFonts w:cs="Arial"/>
        </w:rPr>
        <w:t>v</w:t>
      </w:r>
      <w:r w:rsidRPr="00EF65AE">
        <w:rPr>
          <w:rFonts w:cs="Arial"/>
        </w:rPr>
        <w:t xml:space="preserve">illage </w:t>
      </w:r>
      <w:r w:rsidR="003F76AF">
        <w:rPr>
          <w:rFonts w:cs="Arial"/>
        </w:rPr>
        <w:t>c</w:t>
      </w:r>
      <w:r w:rsidRPr="00EF65AE">
        <w:rPr>
          <w:rFonts w:cs="Arial"/>
        </w:rPr>
        <w:t xml:space="preserve">ourt </w:t>
      </w:r>
      <w:r w:rsidR="003F76AF">
        <w:rPr>
          <w:rFonts w:cs="Arial"/>
        </w:rPr>
        <w:t>m</w:t>
      </w:r>
      <w:r w:rsidRPr="00EF65AE">
        <w:rPr>
          <w:rFonts w:cs="Arial"/>
        </w:rPr>
        <w:t xml:space="preserve">agistrates are authorised to provide </w:t>
      </w:r>
      <w:r w:rsidR="002A22B1">
        <w:rPr>
          <w:rFonts w:cs="Arial"/>
        </w:rPr>
        <w:t>IPOs</w:t>
      </w:r>
      <w:r w:rsidRPr="00EF65AE">
        <w:rPr>
          <w:rFonts w:cs="Arial"/>
        </w:rPr>
        <w:t xml:space="preserve"> to women experiencing domestic violence and to refer breaches to the District Court. Yet, most village </w:t>
      </w:r>
      <w:r w:rsidR="007F4B30">
        <w:rPr>
          <w:rFonts w:cs="Arial"/>
        </w:rPr>
        <w:t xml:space="preserve">court </w:t>
      </w:r>
      <w:r w:rsidRPr="00EF65AE">
        <w:rPr>
          <w:rFonts w:cs="Arial"/>
        </w:rPr>
        <w:t>magistrates</w:t>
      </w:r>
      <w:r w:rsidR="00F2405E">
        <w:rPr>
          <w:rFonts w:cs="Arial"/>
        </w:rPr>
        <w:t>—</w:t>
      </w:r>
      <w:r w:rsidRPr="00EF65AE">
        <w:rPr>
          <w:rFonts w:cs="Arial"/>
        </w:rPr>
        <w:t>who cover a significant proportion of cases</w:t>
      </w:r>
      <w:r w:rsidR="00F2405E">
        <w:rPr>
          <w:rFonts w:cs="Arial"/>
        </w:rPr>
        <w:t>—</w:t>
      </w:r>
      <w:r w:rsidRPr="00EF65AE">
        <w:rPr>
          <w:rFonts w:cs="Arial"/>
        </w:rPr>
        <w:t xml:space="preserve">have not been trained to implement the laws. </w:t>
      </w:r>
    </w:p>
    <w:p w14:paraId="3DF891DD" w14:textId="77777777" w:rsidR="00EF65AE" w:rsidRPr="00EF65AE" w:rsidRDefault="00EF65AE" w:rsidP="00EF65AE">
      <w:pPr>
        <w:rPr>
          <w:rFonts w:cs="Arial"/>
        </w:rPr>
      </w:pPr>
      <w:r w:rsidRPr="00EF65AE">
        <w:rPr>
          <w:rFonts w:cs="Arial"/>
        </w:rPr>
        <w:t xml:space="preserve">The evaluation team spoke to a group of village court magistrates who learned about the new laws on the radio: </w:t>
      </w:r>
    </w:p>
    <w:p w14:paraId="0400A0EF" w14:textId="5D4E37F8" w:rsidR="00EF65AE" w:rsidRPr="00DA259B" w:rsidRDefault="00EF65AE" w:rsidP="005279F4">
      <w:pPr>
        <w:pStyle w:val="IndentQuote"/>
        <w:rPr>
          <w:i w:val="0"/>
          <w:iCs/>
        </w:rPr>
      </w:pPr>
      <w:r w:rsidRPr="00C43281">
        <w:t>A lot of the new laws, I learnt from the radio, some of them are the sorcery act, family act, cyber law, polygamy law. I have not got direct training.</w:t>
      </w:r>
      <w:r w:rsidR="00937123">
        <w:rPr>
          <w:rStyle w:val="QuoteChar"/>
          <w:i/>
          <w:iCs w:val="0"/>
        </w:rPr>
        <w:t xml:space="preserve"> </w:t>
      </w:r>
      <w:r w:rsidR="00937123">
        <w:rPr>
          <w:rStyle w:val="QuoteChar"/>
        </w:rPr>
        <w:t>–</w:t>
      </w:r>
      <w:r w:rsidR="00F2405E">
        <w:t xml:space="preserve"> </w:t>
      </w:r>
      <w:r w:rsidRPr="00DA259B">
        <w:rPr>
          <w:i w:val="0"/>
          <w:iCs/>
        </w:rPr>
        <w:t xml:space="preserve">Village </w:t>
      </w:r>
      <w:r w:rsidR="00B00742">
        <w:rPr>
          <w:i w:val="0"/>
          <w:iCs/>
        </w:rPr>
        <w:t xml:space="preserve">Court </w:t>
      </w:r>
      <w:r w:rsidRPr="00DA259B">
        <w:rPr>
          <w:i w:val="0"/>
          <w:iCs/>
        </w:rPr>
        <w:t xml:space="preserve">Magistrate, </w:t>
      </w:r>
      <w:r w:rsidR="00F2405E">
        <w:rPr>
          <w:i w:val="0"/>
          <w:iCs/>
        </w:rPr>
        <w:t>PNG</w:t>
      </w:r>
    </w:p>
    <w:p w14:paraId="272A958A" w14:textId="77777777" w:rsidR="00EF65AE" w:rsidRPr="00EF65AE" w:rsidRDefault="00EF65AE" w:rsidP="00EF65AE">
      <w:pPr>
        <w:rPr>
          <w:rFonts w:cs="Arial"/>
        </w:rPr>
      </w:pPr>
      <w:r w:rsidRPr="00EF65AE">
        <w:rPr>
          <w:rFonts w:cs="Arial"/>
        </w:rPr>
        <w:t xml:space="preserve">Although </w:t>
      </w:r>
      <w:r w:rsidR="003F76AF">
        <w:rPr>
          <w:rFonts w:cs="Arial"/>
        </w:rPr>
        <w:t>v</w:t>
      </w:r>
      <w:r w:rsidR="00744433">
        <w:rPr>
          <w:rFonts w:cs="Arial"/>
        </w:rPr>
        <w:t xml:space="preserve">illage </w:t>
      </w:r>
      <w:r w:rsidR="003F76AF">
        <w:rPr>
          <w:rFonts w:cs="Arial"/>
        </w:rPr>
        <w:t>c</w:t>
      </w:r>
      <w:r w:rsidR="00744433">
        <w:rPr>
          <w:rFonts w:cs="Arial"/>
        </w:rPr>
        <w:t xml:space="preserve">ourt </w:t>
      </w:r>
      <w:r w:rsidR="003F76AF">
        <w:rPr>
          <w:rFonts w:cs="Arial"/>
        </w:rPr>
        <w:t>m</w:t>
      </w:r>
      <w:r w:rsidRPr="00EF65AE">
        <w:rPr>
          <w:rFonts w:cs="Arial"/>
        </w:rPr>
        <w:t xml:space="preserve">agistrates were aware of the protection order option, they still considered compensation the main method of resolving family violence complaints. </w:t>
      </w:r>
    </w:p>
    <w:p w14:paraId="27B7A920" w14:textId="4EEA4D07" w:rsidR="00EF65AE" w:rsidRPr="00DA259B" w:rsidRDefault="00EF65AE" w:rsidP="005279F4">
      <w:pPr>
        <w:pStyle w:val="IndentQuote"/>
        <w:rPr>
          <w:i w:val="0"/>
          <w:iCs/>
        </w:rPr>
      </w:pPr>
      <w:r w:rsidRPr="00C43281">
        <w:t xml:space="preserve">When I am the presiding magistrate, I ask Peter, why is he beating Leila? He says, </w:t>
      </w:r>
      <w:r w:rsidR="00C10891" w:rsidRPr="00C43281">
        <w:t>‘</w:t>
      </w:r>
      <w:r w:rsidRPr="00C43281">
        <w:t>She is not cooking for me.</w:t>
      </w:r>
      <w:r w:rsidR="00C10891" w:rsidRPr="00C43281">
        <w:t>’</w:t>
      </w:r>
      <w:r w:rsidRPr="00C43281">
        <w:t xml:space="preserve"> I say, </w:t>
      </w:r>
      <w:r w:rsidR="00C10891" w:rsidRPr="00C43281">
        <w:t>‘</w:t>
      </w:r>
      <w:r w:rsidRPr="00C43281">
        <w:t>That is not a good reason.</w:t>
      </w:r>
      <w:r w:rsidR="00C10891" w:rsidRPr="00C43281">
        <w:t>’</w:t>
      </w:r>
      <w:r w:rsidRPr="00C43281">
        <w:t xml:space="preserve"> I penalise him to compensate Leila. He pays a court fine of 100 Kina. He also has to pay her depending on the injury</w:t>
      </w:r>
      <w:r w:rsidR="00E2253F" w:rsidRPr="00C43281">
        <w:t xml:space="preserve">. </w:t>
      </w:r>
      <w:r w:rsidRPr="00C43281">
        <w:t>If she has medical injuries, then I make him pay more (500</w:t>
      </w:r>
      <w:r w:rsidR="00F2405E" w:rsidRPr="00C43281">
        <w:t xml:space="preserve"> to </w:t>
      </w:r>
      <w:r w:rsidRPr="00C43281">
        <w:t>1000 Kina). I can also give a preventative order and say,</w:t>
      </w:r>
      <w:r w:rsidR="00F2405E" w:rsidRPr="00C43281">
        <w:t xml:space="preserve"> </w:t>
      </w:r>
      <w:r w:rsidR="00C10891" w:rsidRPr="00C43281">
        <w:t>‘</w:t>
      </w:r>
      <w:r w:rsidRPr="00C43281">
        <w:t>Peter, as of today you cannot fight Leila.</w:t>
      </w:r>
      <w:r w:rsidR="00C10891" w:rsidRPr="00C43281">
        <w:t>’</w:t>
      </w:r>
      <w:r w:rsidRPr="005279F4">
        <w:t xml:space="preserve"> </w:t>
      </w:r>
      <w:r w:rsidR="0019178A">
        <w:rPr>
          <w:i w:val="0"/>
          <w:iCs/>
        </w:rPr>
        <w:t xml:space="preserve">– </w:t>
      </w:r>
      <w:r w:rsidRPr="00DA259B">
        <w:rPr>
          <w:i w:val="0"/>
          <w:iCs/>
        </w:rPr>
        <w:t xml:space="preserve">Village </w:t>
      </w:r>
      <w:r w:rsidR="00B00742">
        <w:rPr>
          <w:i w:val="0"/>
          <w:iCs/>
        </w:rPr>
        <w:t xml:space="preserve">Court </w:t>
      </w:r>
      <w:r w:rsidRPr="00DA259B">
        <w:rPr>
          <w:i w:val="0"/>
          <w:iCs/>
        </w:rPr>
        <w:t>Magistrate,</w:t>
      </w:r>
      <w:r w:rsidR="00B00742" w:rsidRPr="00DA259B" w:rsidDel="00B00742">
        <w:rPr>
          <w:i w:val="0"/>
          <w:iCs/>
        </w:rPr>
        <w:t xml:space="preserve"> </w:t>
      </w:r>
      <w:r w:rsidRPr="00DA259B">
        <w:rPr>
          <w:i w:val="0"/>
          <w:iCs/>
        </w:rPr>
        <w:t>PNG</w:t>
      </w:r>
    </w:p>
    <w:p w14:paraId="4BDFE9DF" w14:textId="26FE86A4" w:rsidR="00EF65AE" w:rsidRPr="00EF65AE" w:rsidRDefault="00EF65AE" w:rsidP="00EF65AE">
      <w:pPr>
        <w:rPr>
          <w:rFonts w:cs="Arial"/>
        </w:rPr>
      </w:pPr>
      <w:r w:rsidRPr="00EF65AE">
        <w:rPr>
          <w:rFonts w:cs="Arial"/>
        </w:rPr>
        <w:t>In</w:t>
      </w:r>
      <w:r w:rsidR="00F2405E">
        <w:rPr>
          <w:rFonts w:cs="Arial"/>
        </w:rPr>
        <w:t xml:space="preserve"> </w:t>
      </w:r>
      <w:r w:rsidRPr="00EF65AE">
        <w:rPr>
          <w:rFonts w:cs="Arial"/>
        </w:rPr>
        <w:t>Fiji</w:t>
      </w:r>
      <w:r w:rsidR="00F061F3">
        <w:rPr>
          <w:rFonts w:cs="Arial"/>
        </w:rPr>
        <w:t>, PNG, Solomon Islands</w:t>
      </w:r>
      <w:r w:rsidR="00F2405E">
        <w:rPr>
          <w:rFonts w:cs="Arial"/>
        </w:rPr>
        <w:t xml:space="preserve"> and </w:t>
      </w:r>
      <w:r w:rsidRPr="00EF65AE">
        <w:rPr>
          <w:rFonts w:cs="Arial"/>
        </w:rPr>
        <w:t xml:space="preserve">Timor-Leste, where dual justice systems are recognised, customary courts can be less focused on individual justice than restoring community harmony. </w:t>
      </w:r>
      <w:r w:rsidR="005468A7">
        <w:rPr>
          <w:rFonts w:cs="Arial"/>
        </w:rPr>
        <w:br/>
      </w:r>
      <w:r w:rsidRPr="00EF65AE">
        <w:rPr>
          <w:rFonts w:cs="Arial"/>
        </w:rPr>
        <w:t xml:space="preserve">This is reflected in Fiji’s </w:t>
      </w:r>
      <w:r w:rsidRPr="00EF65AE">
        <w:rPr>
          <w:rFonts w:cs="Arial"/>
          <w:i/>
        </w:rPr>
        <w:t>Bulubulu</w:t>
      </w:r>
      <w:r w:rsidRPr="00EF65AE">
        <w:rPr>
          <w:rFonts w:cs="Arial"/>
        </w:rPr>
        <w:t xml:space="preserve"> reconciliation practices, and Vanuatu’s </w:t>
      </w:r>
      <w:r w:rsidR="000C2BB4">
        <w:rPr>
          <w:rFonts w:cs="Arial"/>
          <w:i/>
        </w:rPr>
        <w:t>k</w:t>
      </w:r>
      <w:r w:rsidRPr="00EF65AE">
        <w:rPr>
          <w:rFonts w:cs="Arial"/>
          <w:i/>
        </w:rPr>
        <w:t>astom</w:t>
      </w:r>
      <w:r w:rsidR="002474E0">
        <w:rPr>
          <w:rFonts w:cs="Arial"/>
        </w:rPr>
        <w:t xml:space="preserve"> c</w:t>
      </w:r>
      <w:r w:rsidRPr="00EF65AE">
        <w:rPr>
          <w:rFonts w:cs="Arial"/>
        </w:rPr>
        <w:t xml:space="preserve">ourts. The same issues were found in sexual violence cases where customary courts may be required by law to refer these cases to higher courts, but </w:t>
      </w:r>
      <w:r w:rsidR="00F061F3">
        <w:rPr>
          <w:rFonts w:cs="Arial"/>
        </w:rPr>
        <w:t xml:space="preserve">they </w:t>
      </w:r>
      <w:r w:rsidRPr="00EF65AE">
        <w:rPr>
          <w:rFonts w:cs="Arial"/>
        </w:rPr>
        <w:t xml:space="preserve">often </w:t>
      </w:r>
      <w:r w:rsidR="00F061F3">
        <w:rPr>
          <w:rFonts w:cs="Arial"/>
        </w:rPr>
        <w:t xml:space="preserve">just </w:t>
      </w:r>
      <w:r w:rsidRPr="00EF65AE">
        <w:rPr>
          <w:rFonts w:cs="Arial"/>
        </w:rPr>
        <w:t>accept them and resolve</w:t>
      </w:r>
      <w:r w:rsidR="00F061F3">
        <w:rPr>
          <w:rFonts w:cs="Arial"/>
        </w:rPr>
        <w:t xml:space="preserve"> them</w:t>
      </w:r>
      <w:r w:rsidRPr="00EF65AE">
        <w:rPr>
          <w:rFonts w:cs="Arial"/>
        </w:rPr>
        <w:t xml:space="preserve"> through compensation, or</w:t>
      </w:r>
      <w:r w:rsidR="00B00742">
        <w:rPr>
          <w:rFonts w:cs="Arial"/>
        </w:rPr>
        <w:t xml:space="preserve"> in some cases even</w:t>
      </w:r>
      <w:r w:rsidR="00B555A0">
        <w:rPr>
          <w:rFonts w:cs="Arial"/>
        </w:rPr>
        <w:t xml:space="preserve"> </w:t>
      </w:r>
      <w:r w:rsidRPr="00EF65AE">
        <w:rPr>
          <w:rFonts w:cs="Arial"/>
        </w:rPr>
        <w:t xml:space="preserve">by forcing the woman to marry the rapist. </w:t>
      </w:r>
    </w:p>
    <w:p w14:paraId="681BE128" w14:textId="315CF849" w:rsidR="00EF65AE" w:rsidRPr="00EF65AE" w:rsidRDefault="00EF65AE" w:rsidP="00EF65AE">
      <w:pPr>
        <w:rPr>
          <w:rFonts w:cs="Arial"/>
          <w:sz w:val="24"/>
        </w:rPr>
      </w:pPr>
      <w:r w:rsidRPr="00EF65AE">
        <w:rPr>
          <w:rFonts w:cs="Arial"/>
        </w:rPr>
        <w:t xml:space="preserve">In Indonesia, one barrier to passing the Sexual Violence Bill is that it conflicts with the </w:t>
      </w:r>
      <w:r w:rsidR="005468A7">
        <w:rPr>
          <w:rFonts w:cs="Arial"/>
        </w:rPr>
        <w:br/>
      </w:r>
      <w:r w:rsidRPr="00EF65AE">
        <w:rPr>
          <w:rFonts w:cs="Arial"/>
        </w:rPr>
        <w:t>marriage law:</w:t>
      </w:r>
      <w:r w:rsidRPr="00EF65AE">
        <w:rPr>
          <w:rFonts w:cs="Arial"/>
          <w:sz w:val="24"/>
        </w:rPr>
        <w:t xml:space="preserve"> </w:t>
      </w:r>
    </w:p>
    <w:p w14:paraId="1099B0DF" w14:textId="53D19128" w:rsidR="00EF65AE" w:rsidRPr="005279F4" w:rsidRDefault="00EF65AE" w:rsidP="005279F4">
      <w:pPr>
        <w:pStyle w:val="IndentQuote"/>
      </w:pPr>
      <w:r w:rsidRPr="00C43281">
        <w:t>The biggest challenge is that the Bill conflicts with the Marriage Law, where the minimum age is 16 years for girls and 19 years for boys. In the bill, sexual relationships with children under 18 years old is a crime. If that bill is passed and the law is enacted</w:t>
      </w:r>
      <w:r w:rsidR="003F76AF" w:rsidRPr="00C43281">
        <w:t>—</w:t>
      </w:r>
      <w:r w:rsidRPr="00C43281">
        <w:t>do police proceed with cases of child marriage, like a girl who is 17 who marries an older boy? It is a crime in one law and not in another law. This needs to be reconciled before it can be passed.</w:t>
      </w:r>
      <w:r w:rsidR="00C10891">
        <w:rPr>
          <w:rStyle w:val="QuoteChar"/>
          <w:i/>
          <w:iCs w:val="0"/>
        </w:rPr>
        <w:t xml:space="preserve"> </w:t>
      </w:r>
      <w:r w:rsidR="00937123">
        <w:rPr>
          <w:rStyle w:val="QuoteChar"/>
        </w:rPr>
        <w:t>–</w:t>
      </w:r>
      <w:r w:rsidR="00B555A0">
        <w:rPr>
          <w:rStyle w:val="QuoteChar"/>
          <w:i/>
          <w:iCs w:val="0"/>
        </w:rPr>
        <w:t xml:space="preserve"> </w:t>
      </w:r>
      <w:r w:rsidR="002E462B" w:rsidRPr="00B555A0">
        <w:rPr>
          <w:rStyle w:val="QuoteChar"/>
          <w:iCs w:val="0"/>
        </w:rPr>
        <w:t>Representative of</w:t>
      </w:r>
      <w:r w:rsidR="00D736D9" w:rsidRPr="002E462B">
        <w:t xml:space="preserve"> </w:t>
      </w:r>
      <w:r w:rsidRPr="00DA259B">
        <w:rPr>
          <w:i w:val="0"/>
          <w:iCs/>
        </w:rPr>
        <w:t>CSO, Indonesia</w:t>
      </w:r>
    </w:p>
    <w:p w14:paraId="73231FB8" w14:textId="77777777" w:rsidR="00EF65AE" w:rsidRPr="00EF65AE" w:rsidRDefault="00EF65AE" w:rsidP="00EF65AE">
      <w:pPr>
        <w:rPr>
          <w:rFonts w:cs="Arial"/>
        </w:rPr>
      </w:pPr>
      <w:r w:rsidRPr="00EF65AE">
        <w:rPr>
          <w:rFonts w:cs="Arial"/>
        </w:rPr>
        <w:t>In Afghanistan, anecdotal evidence</w:t>
      </w:r>
      <w:r w:rsidR="00F2405E">
        <w:rPr>
          <w:rFonts w:cs="Arial"/>
        </w:rPr>
        <w:t xml:space="preserve"> suggests</w:t>
      </w:r>
      <w:r w:rsidRPr="00EF65AE">
        <w:rPr>
          <w:rFonts w:cs="Arial"/>
        </w:rPr>
        <w:t xml:space="preserve"> that Australia’s support to the Asia Foundation’s program on addressing EVAW through Islamic perspectives, rather than </w:t>
      </w:r>
      <w:r w:rsidRPr="00F2405E">
        <w:rPr>
          <w:rFonts w:cs="Arial"/>
        </w:rPr>
        <w:t xml:space="preserve">starting from a </w:t>
      </w:r>
      <w:r w:rsidRPr="00DA259B">
        <w:rPr>
          <w:rFonts w:cs="Arial"/>
        </w:rPr>
        <w:t>rights</w:t>
      </w:r>
      <w:r w:rsidRPr="00F2405E">
        <w:rPr>
          <w:rFonts w:cs="Arial"/>
        </w:rPr>
        <w:t>-based approach, has</w:t>
      </w:r>
      <w:r w:rsidRPr="00EF65AE">
        <w:rPr>
          <w:rFonts w:cs="Arial"/>
        </w:rPr>
        <w:t xml:space="preserve"> made informal justice actors more supportive of women in </w:t>
      </w:r>
      <w:r w:rsidR="00F2405E">
        <w:rPr>
          <w:rFonts w:cs="Arial"/>
        </w:rPr>
        <w:t>violence against women</w:t>
      </w:r>
      <w:r w:rsidRPr="00EF65AE">
        <w:rPr>
          <w:rFonts w:cs="Arial"/>
        </w:rPr>
        <w:t xml:space="preserve"> cases. However, as most of these cases continue to be resolved through mediation, it remains to be seen </w:t>
      </w:r>
      <w:r w:rsidR="008B0402">
        <w:rPr>
          <w:rFonts w:cs="Arial"/>
        </w:rPr>
        <w:t>if</w:t>
      </w:r>
      <w:r w:rsidR="008B0402" w:rsidRPr="00EF65AE">
        <w:rPr>
          <w:rFonts w:cs="Arial"/>
        </w:rPr>
        <w:t xml:space="preserve"> </w:t>
      </w:r>
      <w:r w:rsidRPr="00EF65AE">
        <w:rPr>
          <w:rFonts w:cs="Arial"/>
        </w:rPr>
        <w:t xml:space="preserve">this </w:t>
      </w:r>
      <w:r w:rsidR="00F2405E">
        <w:rPr>
          <w:rFonts w:cs="Arial"/>
        </w:rPr>
        <w:t>will lead</w:t>
      </w:r>
      <w:r w:rsidRPr="00EF65AE">
        <w:rPr>
          <w:rFonts w:cs="Arial"/>
        </w:rPr>
        <w:t xml:space="preserve"> to better outcomes for survivors of violence.</w:t>
      </w:r>
      <w:r w:rsidRPr="00EF65AE">
        <w:rPr>
          <w:rFonts w:cs="Arial"/>
        </w:rPr>
        <w:fldChar w:fldCharType="begin"/>
      </w:r>
      <w:r w:rsidRPr="00EF65AE">
        <w:rPr>
          <w:rFonts w:cs="Arial"/>
        </w:rPr>
        <w:instrText xml:space="preserve"> ADDIN ZOTERO_ITEM CSL_CITATION {"citationID":"c95oLehL","properties":{"formattedCitation":"\\super 65\\nosupersub{}","plainCitation":"65","noteIndex":0},"citationItems":[{"id":2500,"uris":["http://zotero.org/users/4194704/items/FGEU7H9B"],"uri":["http://zotero.org/users/4194704/items/FGEU7H9B"],"itemData":{"id":2500,"type":"article-journal","title":"Midterm Review of the DFAT Ending Violence Against Women (EVAW) Program in Afghanistan DFAT MANAGEMENT RESPONSE","author":[{"family":"Huber","given":"Marie &amp; Musleh","suffix":"Nabila"}],"issued":{"date-parts":[["2016"]]}}}],"schema":"https://github.com/citation-style-language/schema/raw/master/csl-citation.json"} </w:instrText>
      </w:r>
      <w:r w:rsidRPr="00EF65AE">
        <w:rPr>
          <w:rFonts w:cs="Arial"/>
        </w:rPr>
        <w:fldChar w:fldCharType="separate"/>
      </w:r>
      <w:r w:rsidRPr="00EF65AE">
        <w:rPr>
          <w:rFonts w:cs="Arial"/>
          <w:vertAlign w:val="superscript"/>
          <w:lang w:val="en-US"/>
        </w:rPr>
        <w:t>65</w:t>
      </w:r>
      <w:r w:rsidRPr="00EF65AE">
        <w:rPr>
          <w:rFonts w:cs="Arial"/>
        </w:rPr>
        <w:fldChar w:fldCharType="end"/>
      </w:r>
      <w:r w:rsidRPr="00EF65AE">
        <w:rPr>
          <w:rFonts w:cs="Arial"/>
        </w:rPr>
        <w:t xml:space="preserve"> </w:t>
      </w:r>
    </w:p>
    <w:p w14:paraId="2584C557" w14:textId="77777777" w:rsidR="00EF65AE" w:rsidRPr="00EF65AE" w:rsidRDefault="00EF65AE" w:rsidP="00360927">
      <w:pPr>
        <w:pStyle w:val="Heading3NoTOC"/>
      </w:pPr>
      <w:r w:rsidRPr="00EF65AE">
        <w:t xml:space="preserve">Pacific </w:t>
      </w:r>
      <w:r w:rsidR="00F061F3">
        <w:t>‘</w:t>
      </w:r>
      <w:r w:rsidRPr="00EF65AE">
        <w:t>no-drop</w:t>
      </w:r>
      <w:r w:rsidR="00F061F3">
        <w:t>’</w:t>
      </w:r>
      <w:r w:rsidRPr="00EF65AE">
        <w:t xml:space="preserve"> policy</w:t>
      </w:r>
    </w:p>
    <w:p w14:paraId="719358DE" w14:textId="77777777" w:rsidR="00F2405E" w:rsidRDefault="00EF65AE" w:rsidP="00EF65AE">
      <w:pPr>
        <w:rPr>
          <w:rFonts w:cs="Arial"/>
        </w:rPr>
      </w:pPr>
      <w:r w:rsidRPr="00EF65AE">
        <w:rPr>
          <w:rFonts w:cs="Arial"/>
        </w:rPr>
        <w:t xml:space="preserve">Several countries in the Pacific have instituted a </w:t>
      </w:r>
      <w:r w:rsidR="00F061F3">
        <w:rPr>
          <w:rFonts w:cs="Arial"/>
        </w:rPr>
        <w:t>‘</w:t>
      </w:r>
      <w:r w:rsidRPr="00EF65AE">
        <w:rPr>
          <w:rFonts w:cs="Arial"/>
        </w:rPr>
        <w:t>no-drop</w:t>
      </w:r>
      <w:r w:rsidR="00F061F3">
        <w:rPr>
          <w:rFonts w:cs="Arial"/>
        </w:rPr>
        <w:t>’</w:t>
      </w:r>
      <w:r w:rsidRPr="00EF65AE">
        <w:rPr>
          <w:rFonts w:cs="Arial"/>
        </w:rPr>
        <w:t xml:space="preserve"> policy, meaning that once a woman has filed a complaint, it cannot be withdrawn without </w:t>
      </w:r>
      <w:r w:rsidR="00F2405E">
        <w:rPr>
          <w:rFonts w:cs="Arial"/>
        </w:rPr>
        <w:t>magistrate</w:t>
      </w:r>
      <w:r w:rsidR="00F2405E" w:rsidRPr="00EF65AE">
        <w:rPr>
          <w:rFonts w:cs="Arial"/>
        </w:rPr>
        <w:t xml:space="preserve"> </w:t>
      </w:r>
      <w:r w:rsidRPr="00EF65AE">
        <w:rPr>
          <w:rFonts w:cs="Arial"/>
        </w:rPr>
        <w:t xml:space="preserve">approval. This </w:t>
      </w:r>
      <w:r w:rsidR="00F2405E">
        <w:rPr>
          <w:rFonts w:cs="Arial"/>
        </w:rPr>
        <w:t>is</w:t>
      </w:r>
      <w:r w:rsidR="00F2405E" w:rsidRPr="00EF65AE">
        <w:rPr>
          <w:rFonts w:cs="Arial"/>
        </w:rPr>
        <w:t xml:space="preserve"> </w:t>
      </w:r>
      <w:r w:rsidRPr="00EF65AE">
        <w:rPr>
          <w:rFonts w:cs="Arial"/>
        </w:rPr>
        <w:t xml:space="preserve">intended to protect women from pressure from husbands, families or others to withdraw the complaint. </w:t>
      </w:r>
    </w:p>
    <w:p w14:paraId="3CC53AAE" w14:textId="77777777" w:rsidR="00EF65AE" w:rsidRPr="00EF65AE" w:rsidRDefault="00EF65AE" w:rsidP="00EF65AE">
      <w:pPr>
        <w:rPr>
          <w:rFonts w:cs="Arial"/>
        </w:rPr>
      </w:pPr>
      <w:r w:rsidRPr="00EF65AE">
        <w:rPr>
          <w:rFonts w:cs="Arial"/>
        </w:rPr>
        <w:t>The evaluation</w:t>
      </w:r>
      <w:r w:rsidR="00F2405E">
        <w:rPr>
          <w:rFonts w:cs="Arial"/>
        </w:rPr>
        <w:t xml:space="preserve"> team</w:t>
      </w:r>
      <w:r w:rsidRPr="00EF65AE">
        <w:rPr>
          <w:rFonts w:cs="Arial"/>
        </w:rPr>
        <w:t xml:space="preserve"> heard evidence from some stakeholders that there may be other, unintended consequences. Some respondents noted that the police could use the policy to dissuade women from filing a complaint, warning her that it was irrevocable. The </w:t>
      </w:r>
      <w:r w:rsidR="001F7E87">
        <w:rPr>
          <w:rFonts w:cs="Arial"/>
        </w:rPr>
        <w:t xml:space="preserve">evaluation </w:t>
      </w:r>
      <w:r w:rsidRPr="00EF65AE">
        <w:rPr>
          <w:rFonts w:cs="Arial"/>
        </w:rPr>
        <w:t xml:space="preserve">team also spoke to a woman in Fiji who was unhappy that she </w:t>
      </w:r>
      <w:r w:rsidR="001F7E87">
        <w:rPr>
          <w:rFonts w:cs="Arial"/>
        </w:rPr>
        <w:t>could not</w:t>
      </w:r>
      <w:r w:rsidRPr="00EF65AE">
        <w:rPr>
          <w:rFonts w:cs="Arial"/>
        </w:rPr>
        <w:t xml:space="preserve"> withdraw her complaint when her situation changed. In Fiji, where the policy originated, there were differing views of its effectiveness:</w:t>
      </w:r>
    </w:p>
    <w:p w14:paraId="7568ECC4" w14:textId="7AA274FA" w:rsidR="00EF65AE" w:rsidRPr="005279F4" w:rsidRDefault="00EF65AE" w:rsidP="005279F4">
      <w:pPr>
        <w:pStyle w:val="IndentQuote"/>
      </w:pPr>
      <w:r w:rsidRPr="00C43281">
        <w:t xml:space="preserve">[The </w:t>
      </w:r>
      <w:r w:rsidR="001F7E87" w:rsidRPr="00C43281">
        <w:t>no-d</w:t>
      </w:r>
      <w:r w:rsidRPr="00C43281">
        <w:t xml:space="preserve">rop </w:t>
      </w:r>
      <w:r w:rsidR="001F7E87" w:rsidRPr="00C43281">
        <w:t>p</w:t>
      </w:r>
      <w:r w:rsidRPr="00C43281">
        <w:t>olicy] is a good policy because in some cases when police officers are not implementing it, we call their boss and remind him that there is a no drop policy and their officers are not doing their job</w:t>
      </w:r>
      <w:r w:rsidR="001F7E87" w:rsidRPr="00C43281">
        <w:t>—</w:t>
      </w:r>
      <w:r w:rsidRPr="00C43281">
        <w:t>it benefits the women.</w:t>
      </w:r>
      <w:r w:rsidRPr="005279F4">
        <w:t xml:space="preserve"> </w:t>
      </w:r>
      <w:r w:rsidR="00937123">
        <w:rPr>
          <w:i w:val="0"/>
          <w:iCs/>
        </w:rPr>
        <w:t>–</w:t>
      </w:r>
      <w:r w:rsidRPr="00DA259B">
        <w:rPr>
          <w:i w:val="0"/>
          <w:iCs/>
        </w:rPr>
        <w:t xml:space="preserve"> </w:t>
      </w:r>
      <w:r w:rsidR="00B555A0">
        <w:rPr>
          <w:i w:val="0"/>
          <w:iCs/>
        </w:rPr>
        <w:t>P</w:t>
      </w:r>
      <w:r w:rsidR="002E462B">
        <w:rPr>
          <w:i w:val="0"/>
          <w:iCs/>
        </w:rPr>
        <w:t>articipant in focus group discussion, Fiji</w:t>
      </w:r>
      <w:r w:rsidRPr="00DA259B">
        <w:rPr>
          <w:i w:val="0"/>
          <w:iCs/>
        </w:rPr>
        <w:t xml:space="preserve"> </w:t>
      </w:r>
    </w:p>
    <w:p w14:paraId="555006F3" w14:textId="2B7FE85A" w:rsidR="00EF65AE" w:rsidRPr="005279F4" w:rsidRDefault="00EF65AE" w:rsidP="005279F4">
      <w:pPr>
        <w:pStyle w:val="IndentQuote"/>
      </w:pPr>
      <w:r w:rsidRPr="00C43281">
        <w:t>The number of cases seeking applications for DVO</w:t>
      </w:r>
      <w:r w:rsidR="002A22B1" w:rsidRPr="00C43281">
        <w:t xml:space="preserve"> [domestic violence order]</w:t>
      </w:r>
      <w:r w:rsidRPr="00C43281">
        <w:t xml:space="preserve"> has dropped. I can’t say it’s more than a suspicion but it’s the police that must be driving people away, asking if you get this order who is going to look after you?</w:t>
      </w:r>
      <w:r w:rsidRPr="005279F4">
        <w:t xml:space="preserve"> </w:t>
      </w:r>
      <w:r w:rsidR="00937123">
        <w:rPr>
          <w:i w:val="0"/>
          <w:iCs/>
        </w:rPr>
        <w:t>–</w:t>
      </w:r>
      <w:r w:rsidR="00F2405E">
        <w:t xml:space="preserve"> </w:t>
      </w:r>
      <w:r w:rsidRPr="00DA259B">
        <w:rPr>
          <w:i w:val="0"/>
          <w:iCs/>
        </w:rPr>
        <w:t>Family Court Justice</w:t>
      </w:r>
      <w:r w:rsidR="00F2405E" w:rsidRPr="00DA259B">
        <w:rPr>
          <w:i w:val="0"/>
          <w:iCs/>
        </w:rPr>
        <w:t xml:space="preserve"> representative</w:t>
      </w:r>
      <w:r w:rsidRPr="00DA259B">
        <w:rPr>
          <w:i w:val="0"/>
          <w:iCs/>
        </w:rPr>
        <w:t>, Fiji</w:t>
      </w:r>
    </w:p>
    <w:p w14:paraId="7A2779E8" w14:textId="77777777" w:rsidR="00EF65AE" w:rsidRPr="00EF65AE" w:rsidRDefault="00EF65AE" w:rsidP="00EF65AE">
      <w:pPr>
        <w:rPr>
          <w:rFonts w:cs="Arial"/>
        </w:rPr>
      </w:pPr>
      <w:r w:rsidRPr="00EF65AE">
        <w:rPr>
          <w:rFonts w:cs="Arial"/>
        </w:rPr>
        <w:t xml:space="preserve">The study on police responses to VAWG in Lae cautioned against the implementation of a no-drop policy in PNG, noting it could set back recent improvements in police respect for women’s choices </w:t>
      </w:r>
      <w:r w:rsidR="001F7E87">
        <w:rPr>
          <w:rFonts w:cs="Arial"/>
        </w:rPr>
        <w:t>on</w:t>
      </w:r>
      <w:r w:rsidRPr="00EF65AE">
        <w:rPr>
          <w:rFonts w:cs="Arial"/>
        </w:rPr>
        <w:t xml:space="preserve"> whether to lodge a complaint.</w:t>
      </w:r>
      <w:r w:rsidRPr="00EF65AE">
        <w:rPr>
          <w:rFonts w:cs="Arial"/>
        </w:rPr>
        <w:fldChar w:fldCharType="begin"/>
      </w:r>
      <w:r w:rsidRPr="00EF65AE">
        <w:rPr>
          <w:rFonts w:cs="Arial"/>
        </w:rPr>
        <w:instrText xml:space="preserve"> ADDIN ZOTERO_ITEM CSL_CITATION {"citationID":"1NnRWB2H","properties":{"formattedCitation":"\\super 87\\nosupersub{}","plainCitation":"87","noteIndex":0},"citationItems":[{"id":2545,"uris":["http://zotero.org/users/4194704/items/GV8KWB32"],"uri":["http://zotero.org/users/4194704/items/GV8KWB32"],"itemData":{"id":2545,"type":"post-weblog","title":"Family Protection Orders in Lae:  Some positive signs","container-title":"DevPolicyPost","author":[{"literal":"Linda Kanan"},{"literal":"Judy Putt"}],"issued":{"date-parts":[["2018",11,23]]}}}],"schema":"https://github.com/citation-style-language/schema/raw/master/csl-citation.json"} </w:instrText>
      </w:r>
      <w:r w:rsidRPr="00EF65AE">
        <w:rPr>
          <w:rFonts w:cs="Arial"/>
        </w:rPr>
        <w:fldChar w:fldCharType="separate"/>
      </w:r>
      <w:r w:rsidRPr="00EF65AE">
        <w:rPr>
          <w:rFonts w:cs="Arial"/>
          <w:vertAlign w:val="superscript"/>
          <w:lang w:val="en-US"/>
        </w:rPr>
        <w:t>87</w:t>
      </w:r>
      <w:r w:rsidRPr="00EF65AE">
        <w:rPr>
          <w:rFonts w:cs="Arial"/>
        </w:rPr>
        <w:fldChar w:fldCharType="end"/>
      </w:r>
    </w:p>
    <w:p w14:paraId="577CAD1F" w14:textId="77777777" w:rsidR="00EF65AE" w:rsidRPr="00EF65AE" w:rsidRDefault="00EF65AE" w:rsidP="00360927">
      <w:pPr>
        <w:pStyle w:val="Heading3NoTOC"/>
      </w:pPr>
      <w:r w:rsidRPr="00EF65AE">
        <w:t>Administrative and service-based data</w:t>
      </w:r>
    </w:p>
    <w:p w14:paraId="650A5135" w14:textId="77777777" w:rsidR="00EF65AE" w:rsidRPr="00EF65AE" w:rsidRDefault="00EF65AE" w:rsidP="00EF65AE">
      <w:pPr>
        <w:rPr>
          <w:rFonts w:cs="Arial"/>
        </w:rPr>
      </w:pPr>
      <w:r w:rsidRPr="00EF65AE">
        <w:rPr>
          <w:rFonts w:cs="Arial"/>
          <w:shd w:val="clear" w:color="auto" w:fill="FFFFFF"/>
        </w:rPr>
        <w:t xml:space="preserve">Despite </w:t>
      </w:r>
      <w:r w:rsidRPr="00EF65AE">
        <w:rPr>
          <w:rFonts w:cs="Arial"/>
        </w:rPr>
        <w:t xml:space="preserve">progress in the justice sectors, weaknesses and inconsistencies in the way administrative records are kept makes it difficult to assess </w:t>
      </w:r>
      <w:r w:rsidR="001F7E87">
        <w:rPr>
          <w:rFonts w:cs="Arial"/>
        </w:rPr>
        <w:t>if</w:t>
      </w:r>
      <w:r w:rsidR="001F7E87" w:rsidRPr="00EF65AE">
        <w:rPr>
          <w:rFonts w:cs="Arial"/>
        </w:rPr>
        <w:t xml:space="preserve"> </w:t>
      </w:r>
      <w:r w:rsidRPr="00EF65AE">
        <w:rPr>
          <w:rFonts w:cs="Arial"/>
        </w:rPr>
        <w:t>laws are being implemented effectively. In most focus countries it was difficult to evaluate quantitatively how successful new laws were, due to weaknesses and inconsistencies in national information systems.</w:t>
      </w:r>
      <w:r w:rsidRPr="00EF65AE">
        <w:rPr>
          <w:rFonts w:cs="Arial"/>
        </w:rPr>
        <w:fldChar w:fldCharType="begin"/>
      </w:r>
      <w:r w:rsidRPr="00EF65AE">
        <w:rPr>
          <w:rFonts w:cs="Arial"/>
        </w:rPr>
        <w:instrText xml:space="preserve"> ADDIN ZOTERO_ITEM CSL_CITATION {"citationID":"P7yKbS5I","properties":{"formattedCitation":"\\super 81\\uc0\\u8211{}83\\nosupersub{}","plainCitation":"81–83","noteIndex":0},"citationItems":[{"id":2536,"uris":["http://zotero.org/users/4194704/items/EGN2N9NS"],"uri":["http://zotero.org/users/4194704/items/EGN2N9NS"],"itemData":{"id":2536,"type":"report","title":"Balancing the Scales:  Improving Fijian Women's Access to Justice","publisher-place":"Suva, Fiji","event-place":"Suva, Fiji","author":[{"family":"Fiji Women's Rights Movement","given":""}],"issued":{"date-parts":[["2017"]]}}},{"id":2538,"uris":["http://zotero.org/users/4194704/items/TTJHHC5F"],"uri":["http://zotero.org/users/4194704/items/TTJHHC5F"],"itemData":{"id":2538,"type":"report","title":"Women and Girls Access to the Formal Justice System in Vanuatu","publisher":"UN Women","author":[{"family":"UN Women","given":""}],"issued":{"date-parts":[["2016"]]}}},{"id":2547,"uris":["http://zotero.org/users/4194704/items/ZDKH3BJF"],"uri":["http://zotero.org/users/4194704/items/ZDKH3BJF"],"itemData":{"id":2547,"type":"report","title":"The use and efficacy of family protection orders as a key response to domestic and family violence: a pilot study in Lae, Papua New Guinea,","publisher-place":"Canberra, Australia","event-place":"Canberra, Australia","author":[{"family":"Putt","given":"Judy"},{"family":"Phillips","given":"T"},{"family":"Thomas","given":"D"},{"family":"Kanan","given":"L"}]}}],"schema":"https://github.com/citation-style-language/schema/raw/master/csl-citation.json"} </w:instrText>
      </w:r>
      <w:r w:rsidRPr="00EF65AE">
        <w:rPr>
          <w:rFonts w:cs="Arial"/>
        </w:rPr>
        <w:fldChar w:fldCharType="separate"/>
      </w:r>
      <w:r w:rsidRPr="00EF65AE">
        <w:rPr>
          <w:rFonts w:cs="Arial"/>
          <w:vertAlign w:val="superscript"/>
          <w:lang w:val="en-US"/>
        </w:rPr>
        <w:t>81–83</w:t>
      </w:r>
      <w:r w:rsidRPr="00EF65AE">
        <w:rPr>
          <w:rFonts w:cs="Arial"/>
        </w:rPr>
        <w:fldChar w:fldCharType="end"/>
      </w:r>
      <w:r w:rsidRPr="00EF65AE">
        <w:rPr>
          <w:rFonts w:cs="Arial"/>
        </w:rPr>
        <w:t xml:space="preserve"> Police and court records are not computerised in most settings and data from rural areas is often missing. In Timor-Leste, the evaluation team heard evidence that court information gaps meant repeat offenders</w:t>
      </w:r>
      <w:r w:rsidR="00A54030">
        <w:rPr>
          <w:rFonts w:cs="Arial"/>
        </w:rPr>
        <w:t xml:space="preserve"> could not be systematically identified</w:t>
      </w:r>
      <w:r w:rsidRPr="00EF65AE">
        <w:rPr>
          <w:rFonts w:cs="Arial"/>
        </w:rPr>
        <w:t xml:space="preserve">. </w:t>
      </w:r>
      <w:r w:rsidRPr="00DA259B">
        <w:rPr>
          <w:rFonts w:cs="Arial"/>
        </w:rPr>
        <w:t>Justice support NGOs</w:t>
      </w:r>
      <w:r w:rsidRPr="00EF65AE">
        <w:rPr>
          <w:rFonts w:cs="Arial"/>
        </w:rPr>
        <w:t xml:space="preserve"> reported they advised police on an ad hoc basis when they became aware of a person who was a repeat offender (such as when they were recognised from a previous case)</w:t>
      </w:r>
      <w:r w:rsidR="00E2253F">
        <w:rPr>
          <w:rFonts w:cs="Arial"/>
        </w:rPr>
        <w:t xml:space="preserve">. </w:t>
      </w:r>
    </w:p>
    <w:p w14:paraId="57DA3B04" w14:textId="20B97FC1" w:rsidR="00EF65AE" w:rsidRPr="00EF65AE" w:rsidRDefault="00EF65AE" w:rsidP="00EF65AE">
      <w:pPr>
        <w:rPr>
          <w:rFonts w:cs="Arial"/>
        </w:rPr>
      </w:pPr>
      <w:r w:rsidRPr="00EF65AE">
        <w:rPr>
          <w:rFonts w:cs="Arial"/>
        </w:rPr>
        <w:t xml:space="preserve">Australia has invested in some initiatives to improve case documentation, including the Justice Information Management System in Solomon Islands. </w:t>
      </w:r>
      <w:r w:rsidR="00F2405E">
        <w:rPr>
          <w:rFonts w:cs="Arial"/>
        </w:rPr>
        <w:t>This</w:t>
      </w:r>
      <w:r w:rsidRPr="00EF65AE">
        <w:rPr>
          <w:rFonts w:cs="Arial"/>
        </w:rPr>
        <w:t xml:space="preserve"> integrated case tracking and data management system operates across the justice sector to support case allocation, case management, and tracking cases through the justice sector. </w:t>
      </w:r>
      <w:r w:rsidR="001F7E87">
        <w:rPr>
          <w:rFonts w:cs="Arial"/>
        </w:rPr>
        <w:t>It</w:t>
      </w:r>
      <w:r w:rsidR="001F7E87" w:rsidRPr="00EF65AE">
        <w:rPr>
          <w:rFonts w:cs="Arial"/>
        </w:rPr>
        <w:t xml:space="preserve"> </w:t>
      </w:r>
      <w:r w:rsidRPr="00EF65AE">
        <w:rPr>
          <w:rFonts w:cs="Arial"/>
        </w:rPr>
        <w:t xml:space="preserve">can collect and disseminate data that assists in strategic planning and policy development. For example, data on </w:t>
      </w:r>
      <w:r w:rsidR="001F7E87">
        <w:rPr>
          <w:rFonts w:cs="Arial"/>
        </w:rPr>
        <w:t>p</w:t>
      </w:r>
      <w:r w:rsidRPr="00EF65AE">
        <w:rPr>
          <w:rFonts w:cs="Arial"/>
        </w:rPr>
        <w:t xml:space="preserve">olice </w:t>
      </w:r>
      <w:r w:rsidR="001F7E87">
        <w:rPr>
          <w:rFonts w:cs="Arial"/>
        </w:rPr>
        <w:t>s</w:t>
      </w:r>
      <w:r w:rsidRPr="00EF65AE">
        <w:rPr>
          <w:rFonts w:cs="Arial"/>
        </w:rPr>
        <w:t xml:space="preserve">afety </w:t>
      </w:r>
      <w:r w:rsidR="001F7E87">
        <w:rPr>
          <w:rFonts w:cs="Arial"/>
        </w:rPr>
        <w:t>n</w:t>
      </w:r>
      <w:r w:rsidRPr="00EF65AE">
        <w:rPr>
          <w:rFonts w:cs="Arial"/>
        </w:rPr>
        <w:t xml:space="preserve">otices, </w:t>
      </w:r>
      <w:r w:rsidR="001F7E87">
        <w:rPr>
          <w:rFonts w:cs="Arial"/>
        </w:rPr>
        <w:t>p</w:t>
      </w:r>
      <w:r w:rsidRPr="00EF65AE">
        <w:rPr>
          <w:rFonts w:cs="Arial"/>
        </w:rPr>
        <w:t xml:space="preserve">rotection </w:t>
      </w:r>
      <w:r w:rsidR="001F7E87">
        <w:rPr>
          <w:rFonts w:cs="Arial"/>
        </w:rPr>
        <w:t>o</w:t>
      </w:r>
      <w:r w:rsidRPr="00EF65AE">
        <w:rPr>
          <w:rFonts w:cs="Arial"/>
        </w:rPr>
        <w:t xml:space="preserve">rders and domestic violence convictions is sourced from </w:t>
      </w:r>
      <w:r w:rsidR="009F03F9">
        <w:rPr>
          <w:rFonts w:cs="Arial"/>
        </w:rPr>
        <w:t>the management system</w:t>
      </w:r>
      <w:r w:rsidRPr="00EF65AE">
        <w:rPr>
          <w:rFonts w:cs="Arial"/>
        </w:rPr>
        <w:t>. While there were no independent evaluations,</w:t>
      </w:r>
      <w:r w:rsidR="006B129C">
        <w:rPr>
          <w:rFonts w:cs="Arial"/>
        </w:rPr>
        <w:t xml:space="preserve"> DFAT</w:t>
      </w:r>
      <w:r w:rsidRPr="00EF65AE">
        <w:rPr>
          <w:rFonts w:cs="Arial"/>
        </w:rPr>
        <w:t xml:space="preserve"> staff in Solomon Islands report</w:t>
      </w:r>
      <w:r w:rsidR="006B129C">
        <w:rPr>
          <w:rFonts w:cs="Arial"/>
        </w:rPr>
        <w:t>ed</w:t>
      </w:r>
      <w:r w:rsidRPr="00EF65AE">
        <w:rPr>
          <w:rFonts w:cs="Arial"/>
        </w:rPr>
        <w:t xml:space="preserve"> that the system has been effective. </w:t>
      </w:r>
    </w:p>
    <w:p w14:paraId="0A367175" w14:textId="77777777" w:rsidR="00EF65AE" w:rsidRPr="00EF65AE" w:rsidRDefault="00EF65AE" w:rsidP="001532F4">
      <w:pPr>
        <w:pStyle w:val="Heading3NoTOC"/>
      </w:pPr>
      <w:r w:rsidRPr="00EF65AE">
        <w:t>Multi-sectoral coordination</w:t>
      </w:r>
    </w:p>
    <w:p w14:paraId="65AB4BFA" w14:textId="77777777" w:rsidR="00EF65AE" w:rsidRPr="00EF65AE" w:rsidRDefault="00EF65AE" w:rsidP="00EF65AE">
      <w:pPr>
        <w:rPr>
          <w:rFonts w:cs="Arial"/>
        </w:rPr>
      </w:pPr>
      <w:r w:rsidRPr="00EF65AE">
        <w:rPr>
          <w:rFonts w:cs="Arial"/>
        </w:rPr>
        <w:t xml:space="preserve">The 2008 ODE evaluation noted very little coordination between the justice sector and other agencies that provided services for survivors, such as shelters, women’s crisis centres, and social welfare officers. </w:t>
      </w:r>
      <w:r w:rsidR="009F03F9">
        <w:rPr>
          <w:rFonts w:cs="Arial"/>
        </w:rPr>
        <w:t>This</w:t>
      </w:r>
      <w:r w:rsidRPr="00EF65AE">
        <w:rPr>
          <w:rFonts w:cs="Arial"/>
        </w:rPr>
        <w:t xml:space="preserve"> evaluation found that improving multi-sectoral coordination and </w:t>
      </w:r>
      <w:r w:rsidR="009F03F9">
        <w:rPr>
          <w:rFonts w:cs="Arial"/>
        </w:rPr>
        <w:t>developing</w:t>
      </w:r>
      <w:r w:rsidRPr="00EF65AE">
        <w:rPr>
          <w:rFonts w:cs="Arial"/>
        </w:rPr>
        <w:t xml:space="preserve"> referral pathways or protocols to standardise how and when survivors are referred between agencies, has been a major focus of Australian law and justice support in many countries. </w:t>
      </w:r>
    </w:p>
    <w:p w14:paraId="778E91AE" w14:textId="198B4DE3" w:rsidR="00EF65AE" w:rsidRPr="00EF65AE" w:rsidRDefault="00EF65AE" w:rsidP="00EF65AE">
      <w:pPr>
        <w:rPr>
          <w:rFonts w:cs="Arial"/>
        </w:rPr>
      </w:pPr>
      <w:r w:rsidRPr="00EF65AE">
        <w:rPr>
          <w:rFonts w:cs="Arial"/>
        </w:rPr>
        <w:t>In PNG, the Justice Services and Stability for Development and the Family and Sexual Violence Action Committee (FSVAC) developed a user-friendly toolkit outlin</w:t>
      </w:r>
      <w:r w:rsidR="001F7E87">
        <w:rPr>
          <w:rFonts w:cs="Arial"/>
        </w:rPr>
        <w:t>ing</w:t>
      </w:r>
      <w:r w:rsidRPr="00EF65AE">
        <w:rPr>
          <w:rFonts w:cs="Arial"/>
        </w:rPr>
        <w:t xml:space="preserve"> the roles and responsibilities of all stakeholders in the referral network. Intensive training was carried out in Port Moresby and Lae</w:t>
      </w:r>
      <w:r w:rsidR="009F03F9">
        <w:rPr>
          <w:rFonts w:cs="Arial"/>
        </w:rPr>
        <w:t xml:space="preserve">, </w:t>
      </w:r>
      <w:r w:rsidRPr="00EF65AE">
        <w:rPr>
          <w:rFonts w:cs="Arial"/>
        </w:rPr>
        <w:t>in coordination with Femili PNG and the Lae FSVAC</w:t>
      </w:r>
      <w:r w:rsidR="009F03F9">
        <w:rPr>
          <w:rFonts w:cs="Arial"/>
        </w:rPr>
        <w:t>. It</w:t>
      </w:r>
      <w:r w:rsidRPr="00EF65AE">
        <w:rPr>
          <w:rFonts w:cs="Arial"/>
        </w:rPr>
        <w:t xml:space="preserve"> will progressively roll out in more provinces. Similarly, in Timor-Leste, the </w:t>
      </w:r>
      <w:r w:rsidRPr="00EF65AE">
        <w:rPr>
          <w:rFonts w:cs="Arial"/>
          <w:i/>
        </w:rPr>
        <w:t>Nabilan</w:t>
      </w:r>
      <w:r w:rsidRPr="00EF65AE">
        <w:rPr>
          <w:rFonts w:cs="Arial"/>
        </w:rPr>
        <w:t xml:space="preserve"> </w:t>
      </w:r>
      <w:r w:rsidR="00732479">
        <w:rPr>
          <w:rFonts w:cs="Arial"/>
        </w:rPr>
        <w:t>p</w:t>
      </w:r>
      <w:r w:rsidRPr="00EF65AE">
        <w:rPr>
          <w:rFonts w:cs="Arial"/>
        </w:rPr>
        <w:t xml:space="preserve">rogram (like the Justice Sector Support Facility before it) supports coordination between all members of the referral network and regularly distributes posters, booklets and, more recently, a mobile phone application, with up-to-date referral member phone numbers. It also explains the referral process to communities and conducts regular training for referral network organisations. </w:t>
      </w:r>
    </w:p>
    <w:p w14:paraId="3377B493" w14:textId="77777777" w:rsidR="001F7E87" w:rsidRPr="00F2275E" w:rsidRDefault="00EF65AE" w:rsidP="00EF65AE">
      <w:pPr>
        <w:rPr>
          <w:rFonts w:cs="Arial"/>
          <w:shd w:val="clear" w:color="auto" w:fill="FFFFFF"/>
          <w:lang w:val="en-US"/>
        </w:rPr>
      </w:pPr>
      <w:r w:rsidRPr="00EF65AE">
        <w:rPr>
          <w:rFonts w:cs="Arial"/>
        </w:rPr>
        <w:t>In Solomon Islands, a formal referral system called SAFENET was established which has greatly strengthened coordination among justice sector actors and other organisations.</w:t>
      </w:r>
      <w:r w:rsidR="00094126" w:rsidRPr="00094126">
        <w:rPr>
          <w:shd w:val="clear" w:color="auto" w:fill="FFFFFF"/>
          <w:lang w:val="en-US"/>
        </w:rPr>
        <w:t xml:space="preserve"> </w:t>
      </w:r>
      <w:r w:rsidR="00094126" w:rsidRPr="00EF65AE">
        <w:rPr>
          <w:shd w:val="clear" w:color="auto" w:fill="FFFFFF"/>
          <w:lang w:val="en-US"/>
        </w:rPr>
        <w:t>SAFENET is considered a promising practice for the Pacific region.</w:t>
      </w:r>
      <w:r w:rsidRPr="00EF65AE">
        <w:rPr>
          <w:rFonts w:cs="Arial"/>
        </w:rPr>
        <w:t xml:space="preserve"> </w:t>
      </w:r>
      <w:r w:rsidR="009F03F9">
        <w:rPr>
          <w:rFonts w:cs="Arial"/>
        </w:rPr>
        <w:t>It</w:t>
      </w:r>
      <w:r w:rsidRPr="00EF65AE">
        <w:rPr>
          <w:rFonts w:cs="Arial"/>
        </w:rPr>
        <w:t xml:space="preserve"> </w:t>
      </w:r>
      <w:r w:rsidR="00161835">
        <w:rPr>
          <w:rFonts w:cs="Arial"/>
        </w:rPr>
        <w:t xml:space="preserve">comprises </w:t>
      </w:r>
      <w:r w:rsidRPr="00EF65AE">
        <w:rPr>
          <w:rFonts w:cs="Arial"/>
        </w:rPr>
        <w:t xml:space="preserve">government and </w:t>
      </w:r>
      <w:r w:rsidR="001F7E87">
        <w:rPr>
          <w:rFonts w:cs="Arial"/>
        </w:rPr>
        <w:t>NGOs:</w:t>
      </w:r>
      <w:r w:rsidRPr="00EF65AE">
        <w:rPr>
          <w:rFonts w:cs="Arial"/>
        </w:rPr>
        <w:t xml:space="preserve"> </w:t>
      </w:r>
    </w:p>
    <w:p w14:paraId="125748B1" w14:textId="77777777" w:rsidR="001F7E87" w:rsidRDefault="00EF65AE" w:rsidP="001F7E87">
      <w:pPr>
        <w:pStyle w:val="ListBullet"/>
        <w:rPr>
          <w:shd w:val="clear" w:color="auto" w:fill="FFFFFF"/>
          <w:lang w:val="en-US"/>
        </w:rPr>
      </w:pPr>
      <w:r w:rsidRPr="00EF65AE">
        <w:rPr>
          <w:shd w:val="clear" w:color="auto" w:fill="FFFFFF"/>
          <w:lang w:val="en-US"/>
        </w:rPr>
        <w:t>Ministry of Women, Youth, Children and Family Affairs</w:t>
      </w:r>
    </w:p>
    <w:p w14:paraId="398C673F" w14:textId="77777777" w:rsidR="001F7E87" w:rsidRDefault="00EF65AE" w:rsidP="001F7E87">
      <w:pPr>
        <w:pStyle w:val="ListBullet"/>
        <w:rPr>
          <w:shd w:val="clear" w:color="auto" w:fill="FFFFFF"/>
          <w:lang w:val="en-US"/>
        </w:rPr>
      </w:pPr>
      <w:r w:rsidRPr="00EF65AE">
        <w:rPr>
          <w:shd w:val="clear" w:color="auto" w:fill="FFFFFF"/>
          <w:lang w:val="en-US"/>
        </w:rPr>
        <w:t>Ministry of Health and Medical Services</w:t>
      </w:r>
    </w:p>
    <w:p w14:paraId="5A61B786" w14:textId="77777777" w:rsidR="001F7E87" w:rsidRDefault="00EF65AE" w:rsidP="001F7E87">
      <w:pPr>
        <w:pStyle w:val="ListBullet"/>
        <w:rPr>
          <w:shd w:val="clear" w:color="auto" w:fill="FFFFFF"/>
          <w:lang w:val="en-US"/>
        </w:rPr>
      </w:pPr>
      <w:r w:rsidRPr="00EF65AE">
        <w:rPr>
          <w:shd w:val="clear" w:color="auto" w:fill="FFFFFF"/>
          <w:lang w:val="en-US"/>
        </w:rPr>
        <w:t>Royal Solomon Islands Police Force</w:t>
      </w:r>
    </w:p>
    <w:p w14:paraId="71CA6F23" w14:textId="77777777" w:rsidR="001F7E87" w:rsidRDefault="00EF65AE" w:rsidP="001F7E87">
      <w:pPr>
        <w:pStyle w:val="ListBullet"/>
        <w:rPr>
          <w:shd w:val="clear" w:color="auto" w:fill="FFFFFF"/>
          <w:lang w:val="en-US"/>
        </w:rPr>
      </w:pPr>
      <w:r w:rsidRPr="00EF65AE">
        <w:rPr>
          <w:shd w:val="clear" w:color="auto" w:fill="FFFFFF"/>
          <w:lang w:val="en-US"/>
        </w:rPr>
        <w:t>Public Solicitors Office</w:t>
      </w:r>
    </w:p>
    <w:p w14:paraId="7E167B49" w14:textId="77777777" w:rsidR="001F7E87" w:rsidRDefault="00EF65AE" w:rsidP="001F7E87">
      <w:pPr>
        <w:pStyle w:val="ListBullet"/>
        <w:rPr>
          <w:shd w:val="clear" w:color="auto" w:fill="FFFFFF"/>
          <w:lang w:val="en-US"/>
        </w:rPr>
      </w:pPr>
      <w:r w:rsidRPr="00EF65AE">
        <w:rPr>
          <w:shd w:val="clear" w:color="auto" w:fill="FFFFFF"/>
          <w:lang w:val="en-US"/>
        </w:rPr>
        <w:t>Family Support Center (FSC)</w:t>
      </w:r>
    </w:p>
    <w:p w14:paraId="3F849D2D" w14:textId="77777777" w:rsidR="008C626D" w:rsidRDefault="00EF65AE" w:rsidP="001F7E87">
      <w:pPr>
        <w:pStyle w:val="ListBullet"/>
        <w:rPr>
          <w:shd w:val="clear" w:color="auto" w:fill="FFFFFF"/>
          <w:lang w:val="en-US"/>
        </w:rPr>
      </w:pPr>
      <w:r w:rsidRPr="00EF65AE">
        <w:rPr>
          <w:shd w:val="clear" w:color="auto" w:fill="FFFFFF"/>
          <w:lang w:val="en-US"/>
        </w:rPr>
        <w:t>Christian Care Center</w:t>
      </w:r>
    </w:p>
    <w:p w14:paraId="5D8E9259" w14:textId="77777777" w:rsidR="008C626D" w:rsidRPr="00DA259B" w:rsidRDefault="008C626D" w:rsidP="001F7E87">
      <w:pPr>
        <w:pStyle w:val="ListBullet"/>
        <w:rPr>
          <w:shd w:val="clear" w:color="auto" w:fill="FFFFFF"/>
          <w:lang w:val="en-US"/>
        </w:rPr>
      </w:pPr>
      <w:r>
        <w:t>Solomon Islands Planned Parenthood Association</w:t>
      </w:r>
    </w:p>
    <w:p w14:paraId="419159B7" w14:textId="1C376295" w:rsidR="001F7E87" w:rsidRDefault="008C626D" w:rsidP="001F7E87">
      <w:pPr>
        <w:pStyle w:val="ListBullet"/>
        <w:rPr>
          <w:shd w:val="clear" w:color="auto" w:fill="FFFFFF"/>
          <w:lang w:val="en-US"/>
        </w:rPr>
      </w:pPr>
      <w:bookmarkStart w:id="219" w:name="_Hlk20736573"/>
      <w:r w:rsidRPr="00DA259B">
        <w:rPr>
          <w:i/>
          <w:iCs/>
        </w:rPr>
        <w:t>Seif Ples</w:t>
      </w:r>
      <w:bookmarkEnd w:id="219"/>
      <w:r w:rsidR="00EF65AE" w:rsidRPr="00EF65AE">
        <w:rPr>
          <w:shd w:val="clear" w:color="auto" w:fill="FFFFFF"/>
          <w:lang w:val="en-US"/>
        </w:rPr>
        <w:t xml:space="preserve">. </w:t>
      </w:r>
    </w:p>
    <w:p w14:paraId="002BA537" w14:textId="2166AF83" w:rsidR="00EF65AE" w:rsidRPr="00EF65AE" w:rsidRDefault="00EF65AE" w:rsidP="001F7E87">
      <w:pPr>
        <w:rPr>
          <w:shd w:val="clear" w:color="auto" w:fill="FFFFFF"/>
          <w:lang w:val="en-US"/>
        </w:rPr>
      </w:pPr>
      <w:r w:rsidRPr="00EF65AE">
        <w:rPr>
          <w:shd w:val="clear" w:color="auto" w:fill="FFFFFF"/>
          <w:lang w:val="en-US"/>
        </w:rPr>
        <w:t xml:space="preserve">Similarly, in Indonesia, with support from </w:t>
      </w:r>
      <w:r w:rsidR="009F03F9">
        <w:rPr>
          <w:shd w:val="clear" w:color="auto" w:fill="FFFFFF"/>
          <w:lang w:val="en-US"/>
        </w:rPr>
        <w:t>the Australia–Indonesia Partnership for Gender Equality and Women’s Empowermen</w:t>
      </w:r>
      <w:r w:rsidR="009F03F9" w:rsidRPr="009F03F9">
        <w:rPr>
          <w:shd w:val="clear" w:color="auto" w:fill="FFFFFF"/>
          <w:lang w:val="en-US"/>
        </w:rPr>
        <w:t>t (</w:t>
      </w:r>
      <w:r w:rsidRPr="009F03F9">
        <w:rPr>
          <w:shd w:val="clear" w:color="auto" w:fill="FFFFFF"/>
          <w:lang w:val="en-US"/>
        </w:rPr>
        <w:t>MAMPU</w:t>
      </w:r>
      <w:r w:rsidR="009F03F9" w:rsidRPr="009F03F9">
        <w:rPr>
          <w:shd w:val="clear" w:color="auto" w:fill="FFFFFF"/>
          <w:lang w:val="en-US"/>
        </w:rPr>
        <w:t xml:space="preserve">) </w:t>
      </w:r>
      <w:r w:rsidRPr="009F03F9">
        <w:rPr>
          <w:shd w:val="clear" w:color="auto" w:fill="FFFFFF"/>
          <w:lang w:val="en-US"/>
        </w:rPr>
        <w:t>program</w:t>
      </w:r>
      <w:r w:rsidRPr="00EF65AE">
        <w:rPr>
          <w:shd w:val="clear" w:color="auto" w:fill="FFFFFF"/>
          <w:lang w:val="en-US"/>
        </w:rPr>
        <w:t>,</w:t>
      </w:r>
      <w:r w:rsidR="001F7E87">
        <w:rPr>
          <w:shd w:val="clear" w:color="auto" w:fill="FFFFFF"/>
          <w:lang w:val="en-US"/>
        </w:rPr>
        <w:t xml:space="preserve"> </w:t>
      </w:r>
      <w:r w:rsidR="009F03F9">
        <w:rPr>
          <w:shd w:val="clear" w:color="auto" w:fill="FFFFFF"/>
          <w:lang w:val="en-US"/>
        </w:rPr>
        <w:t xml:space="preserve">the </w:t>
      </w:r>
      <w:r w:rsidRPr="00EF65AE">
        <w:rPr>
          <w:i/>
          <w:shd w:val="clear" w:color="auto" w:fill="FFFFFF"/>
          <w:lang w:val="en-US"/>
        </w:rPr>
        <w:t>Komnas Perempuan</w:t>
      </w:r>
      <w:r w:rsidR="00C553EB">
        <w:rPr>
          <w:i/>
          <w:shd w:val="clear" w:color="auto" w:fill="FFFFFF"/>
          <w:lang w:val="en-US"/>
        </w:rPr>
        <w:t xml:space="preserve"> and Forum Penyedia</w:t>
      </w:r>
      <w:r w:rsidR="007B2A43">
        <w:rPr>
          <w:i/>
          <w:shd w:val="clear" w:color="auto" w:fill="FFFFFF"/>
          <w:lang w:val="en-US"/>
        </w:rPr>
        <w:t xml:space="preserve"> Layanan</w:t>
      </w:r>
      <w:r w:rsidRPr="00EF65AE">
        <w:rPr>
          <w:i/>
          <w:shd w:val="clear" w:color="auto" w:fill="FFFFFF"/>
          <w:lang w:val="en-US"/>
        </w:rPr>
        <w:t xml:space="preserve"> </w:t>
      </w:r>
      <w:r w:rsidR="00C553EB" w:rsidRPr="00732479">
        <w:rPr>
          <w:iCs/>
          <w:shd w:val="clear" w:color="auto" w:fill="FFFFFF"/>
          <w:lang w:val="en-US"/>
        </w:rPr>
        <w:t>(</w:t>
      </w:r>
      <w:r w:rsidRPr="00DA259B">
        <w:rPr>
          <w:shd w:val="clear" w:color="auto" w:fill="FFFFFF"/>
          <w:lang w:val="en-US"/>
        </w:rPr>
        <w:t>Service Providers’ Forum</w:t>
      </w:r>
      <w:r w:rsidR="00C553EB" w:rsidRPr="009F03F9">
        <w:rPr>
          <w:shd w:val="clear" w:color="auto" w:fill="FFFFFF"/>
          <w:lang w:val="en-US"/>
        </w:rPr>
        <w:t>)</w:t>
      </w:r>
      <w:r w:rsidRPr="009F03F9">
        <w:rPr>
          <w:shd w:val="clear" w:color="auto" w:fill="FFFFFF"/>
          <w:lang w:val="en-US"/>
        </w:rPr>
        <w:t xml:space="preserve"> ha</w:t>
      </w:r>
      <w:r w:rsidR="009F03F9">
        <w:rPr>
          <w:shd w:val="clear" w:color="auto" w:fill="FFFFFF"/>
          <w:lang w:val="en-US"/>
        </w:rPr>
        <w:t>s</w:t>
      </w:r>
      <w:r w:rsidR="00C553EB">
        <w:rPr>
          <w:shd w:val="clear" w:color="auto" w:fill="FFFFFF"/>
          <w:lang w:val="en-US"/>
        </w:rPr>
        <w:t xml:space="preserve"> worked closely together to support </w:t>
      </w:r>
      <w:r w:rsidRPr="00EF65AE">
        <w:rPr>
          <w:shd w:val="clear" w:color="auto" w:fill="FFFFFF"/>
          <w:lang w:val="en-US"/>
        </w:rPr>
        <w:t>frontline (justice, health and shelter) service providers</w:t>
      </w:r>
      <w:r w:rsidR="001F7E87">
        <w:rPr>
          <w:shd w:val="clear" w:color="auto" w:fill="FFFFFF"/>
          <w:lang w:val="en-US"/>
        </w:rPr>
        <w:t>. T</w:t>
      </w:r>
      <w:r w:rsidRPr="00EF65AE">
        <w:rPr>
          <w:shd w:val="clear" w:color="auto" w:fill="FFFFFF"/>
          <w:lang w:val="en-US"/>
        </w:rPr>
        <w:t xml:space="preserve">ogether with other partners, the </w:t>
      </w:r>
      <w:r w:rsidR="009F03F9">
        <w:rPr>
          <w:shd w:val="clear" w:color="auto" w:fill="FFFFFF"/>
          <w:lang w:val="en-US"/>
        </w:rPr>
        <w:t>f</w:t>
      </w:r>
      <w:r w:rsidRPr="00EF65AE">
        <w:rPr>
          <w:shd w:val="clear" w:color="auto" w:fill="FFFFFF"/>
          <w:lang w:val="en-US"/>
        </w:rPr>
        <w:t xml:space="preserve">orum has improved the functioning of the government's Integrated Criminal Justice System for Handling Cases </w:t>
      </w:r>
      <w:r w:rsidR="005468A7">
        <w:rPr>
          <w:shd w:val="clear" w:color="auto" w:fill="FFFFFF"/>
          <w:lang w:val="en-US"/>
        </w:rPr>
        <w:br/>
      </w:r>
      <w:r w:rsidRPr="00EF65AE">
        <w:rPr>
          <w:shd w:val="clear" w:color="auto" w:fill="FFFFFF"/>
          <w:lang w:val="en-US"/>
        </w:rPr>
        <w:t xml:space="preserve">of Violence. </w:t>
      </w:r>
    </w:p>
    <w:p w14:paraId="256DD964" w14:textId="77777777" w:rsidR="00EF65AE" w:rsidRPr="00EF65AE" w:rsidRDefault="00EF65AE" w:rsidP="001532F4">
      <w:pPr>
        <w:pStyle w:val="Heading3NoTOC"/>
      </w:pPr>
      <w:r w:rsidRPr="00EF65AE">
        <w:t xml:space="preserve">Public </w:t>
      </w:r>
      <w:r w:rsidR="001F7E87">
        <w:t>a</w:t>
      </w:r>
      <w:r w:rsidRPr="00EF65AE">
        <w:t xml:space="preserve">wareness of the laws </w:t>
      </w:r>
    </w:p>
    <w:p w14:paraId="0239A3D4" w14:textId="41B2877B" w:rsidR="00EF65AE" w:rsidRDefault="00EF65AE" w:rsidP="00EF65AE">
      <w:pPr>
        <w:rPr>
          <w:rFonts w:cs="Arial"/>
        </w:rPr>
      </w:pPr>
      <w:r w:rsidRPr="00EF65AE">
        <w:rPr>
          <w:rFonts w:cs="Arial"/>
        </w:rPr>
        <w:t>For laws to be successful, there needs to be public awareness of the laws a</w:t>
      </w:r>
      <w:r w:rsidR="00B343EB">
        <w:rPr>
          <w:rFonts w:cs="Arial"/>
        </w:rPr>
        <w:t>nd</w:t>
      </w:r>
      <w:r w:rsidRPr="00EF65AE">
        <w:rPr>
          <w:rFonts w:cs="Arial"/>
        </w:rPr>
        <w:t xml:space="preserve"> public knowledge on how to access legal mechanisms</w:t>
      </w:r>
      <w:r w:rsidR="00E2253F">
        <w:rPr>
          <w:rFonts w:cs="Arial"/>
        </w:rPr>
        <w:t xml:space="preserve">. </w:t>
      </w:r>
      <w:r w:rsidRPr="00EF65AE">
        <w:rPr>
          <w:rFonts w:cs="Arial"/>
        </w:rPr>
        <w:t xml:space="preserve">The evaluation team spoke to many survivors who were unable to successfully prosecute their abusers because they did not understand how the </w:t>
      </w:r>
      <w:r w:rsidR="005468A7">
        <w:rPr>
          <w:rFonts w:cs="Arial"/>
        </w:rPr>
        <w:br/>
      </w:r>
      <w:r w:rsidRPr="00EF65AE">
        <w:rPr>
          <w:rFonts w:cs="Arial"/>
        </w:rPr>
        <w:t xml:space="preserve">laws worked. </w:t>
      </w:r>
    </w:p>
    <w:p w14:paraId="784EBD5A" w14:textId="3D56445A" w:rsidR="00CC4C5C" w:rsidRPr="00DA259B" w:rsidRDefault="00CC4C5C" w:rsidP="00C43281">
      <w:pPr>
        <w:pStyle w:val="IndentQuote"/>
        <w:rPr>
          <w:color w:val="auto"/>
        </w:rPr>
      </w:pPr>
      <w:r w:rsidRPr="00DA259B">
        <w:t>I had just given birth to my baby one year earlier and then he started beating me. I ran away when he hit me, the kidney started bleeding</w:t>
      </w:r>
      <w:r w:rsidR="009F03F9">
        <w:t xml:space="preserve"> </w:t>
      </w:r>
      <w:r w:rsidRPr="00DA259B">
        <w:t>...</w:t>
      </w:r>
      <w:r w:rsidR="009F03F9">
        <w:t xml:space="preserve"> </w:t>
      </w:r>
      <w:r w:rsidRPr="00DA259B">
        <w:t>I took him to the police station, but [his boss] bailed him out. I am not educated, I don’t know what do</w:t>
      </w:r>
      <w:r w:rsidR="00C10891">
        <w:t>—</w:t>
      </w:r>
      <w:r w:rsidRPr="00DA259B">
        <w:t>I don’t know the process that even if you bail, you can still be charged</w:t>
      </w:r>
      <w:r w:rsidR="00C10891">
        <w:t>—</w:t>
      </w:r>
      <w:r w:rsidRPr="00DA259B">
        <w:t>no one explains the charges</w:t>
      </w:r>
      <w:r w:rsidRPr="00DA259B">
        <w:rPr>
          <w:color w:val="auto"/>
        </w:rPr>
        <w:t>.</w:t>
      </w:r>
      <w:r w:rsidR="00027336">
        <w:rPr>
          <w:color w:val="auto"/>
        </w:rPr>
        <w:t xml:space="preserve"> </w:t>
      </w:r>
      <w:r w:rsidR="00937123">
        <w:rPr>
          <w:iCs/>
          <w:color w:val="auto"/>
        </w:rPr>
        <w:t>–</w:t>
      </w:r>
      <w:r w:rsidR="009F03F9">
        <w:rPr>
          <w:color w:val="auto"/>
        </w:rPr>
        <w:t xml:space="preserve"> S</w:t>
      </w:r>
      <w:r w:rsidRPr="00DA259B">
        <w:rPr>
          <w:color w:val="auto"/>
        </w:rPr>
        <w:t xml:space="preserve">urvivor of </w:t>
      </w:r>
      <w:r w:rsidR="00DA259B">
        <w:rPr>
          <w:color w:val="auto"/>
        </w:rPr>
        <w:t>violence</w:t>
      </w:r>
      <w:r w:rsidR="009F03F9">
        <w:rPr>
          <w:color w:val="auto"/>
        </w:rPr>
        <w:t>,</w:t>
      </w:r>
      <w:r w:rsidRPr="00DA259B">
        <w:rPr>
          <w:color w:val="auto"/>
        </w:rPr>
        <w:t xml:space="preserve"> PNG</w:t>
      </w:r>
    </w:p>
    <w:p w14:paraId="7910F993" w14:textId="18AB591F" w:rsidR="00EF65AE" w:rsidRPr="00EF65AE" w:rsidRDefault="001A27FF" w:rsidP="00F2275E">
      <w:pPr>
        <w:numPr>
          <w:ilvl w:val="0"/>
          <w:numId w:val="0"/>
        </w:numPr>
        <w:rPr>
          <w:rFonts w:cs="Arial"/>
        </w:rPr>
      </w:pPr>
      <w:r>
        <w:rPr>
          <w:rFonts w:cs="Arial"/>
        </w:rPr>
        <w:t>The</w:t>
      </w:r>
      <w:r w:rsidR="009F03F9">
        <w:rPr>
          <w:rFonts w:cs="Arial"/>
        </w:rPr>
        <w:t>r</w:t>
      </w:r>
      <w:r w:rsidR="00EF65AE" w:rsidRPr="00EF65AE">
        <w:rPr>
          <w:rFonts w:cs="Arial"/>
        </w:rPr>
        <w:t xml:space="preserve">e are indications that public awareness of the laws and discussion of VAWG has </w:t>
      </w:r>
      <w:r w:rsidR="00D74A07">
        <w:rPr>
          <w:rFonts w:cs="Arial"/>
        </w:rPr>
        <w:br/>
      </w:r>
      <w:r w:rsidR="00EF65AE" w:rsidRPr="00EF65AE">
        <w:rPr>
          <w:rFonts w:cs="Arial"/>
        </w:rPr>
        <w:t>greatly increased.</w:t>
      </w:r>
    </w:p>
    <w:p w14:paraId="1B4386F3" w14:textId="46730A62" w:rsidR="00EF65AE" w:rsidRPr="005279F4" w:rsidRDefault="00EF65AE" w:rsidP="005279F4">
      <w:pPr>
        <w:pStyle w:val="IndentQuote"/>
      </w:pPr>
      <w:r w:rsidRPr="005279F4">
        <w:t>Before domestic violence was something private, out of the public sphere. People are more aware that women and children face the majority of the violence. Society’s view has changed.</w:t>
      </w:r>
      <w:r w:rsidR="00027336">
        <w:t xml:space="preserve"> </w:t>
      </w:r>
      <w:r w:rsidR="00027336">
        <w:rPr>
          <w:i w:val="0"/>
          <w:iCs/>
        </w:rPr>
        <w:t>–</w:t>
      </w:r>
      <w:r w:rsidRPr="005279F4">
        <w:t xml:space="preserve"> </w:t>
      </w:r>
      <w:r w:rsidR="006B129C" w:rsidRPr="00027336">
        <w:rPr>
          <w:i w:val="0"/>
        </w:rPr>
        <w:t>Registrar, Fiji</w:t>
      </w:r>
    </w:p>
    <w:p w14:paraId="089CC636" w14:textId="55BCA466" w:rsidR="00EF65AE" w:rsidRPr="00EF65AE" w:rsidRDefault="00EF65AE" w:rsidP="00EF65AE">
      <w:pPr>
        <w:rPr>
          <w:rFonts w:cs="Arial"/>
        </w:rPr>
      </w:pPr>
      <w:r w:rsidRPr="00EF65AE">
        <w:rPr>
          <w:rFonts w:cs="Arial"/>
        </w:rPr>
        <w:t>Th</w:t>
      </w:r>
      <w:r w:rsidR="009F03F9">
        <w:rPr>
          <w:rFonts w:cs="Arial"/>
        </w:rPr>
        <w:t>is</w:t>
      </w:r>
      <w:r w:rsidRPr="00EF65AE">
        <w:rPr>
          <w:rFonts w:cs="Arial"/>
        </w:rPr>
        <w:t xml:space="preserve"> evaluation found </w:t>
      </w:r>
      <w:r w:rsidR="009F03F9">
        <w:rPr>
          <w:rFonts w:cs="Arial"/>
        </w:rPr>
        <w:t xml:space="preserve">that </w:t>
      </w:r>
      <w:r w:rsidRPr="00EF65AE">
        <w:rPr>
          <w:rFonts w:cs="Arial"/>
        </w:rPr>
        <w:t xml:space="preserve">many </w:t>
      </w:r>
      <w:r w:rsidR="00B343EB">
        <w:rPr>
          <w:rFonts w:cs="Arial"/>
        </w:rPr>
        <w:t xml:space="preserve">CSOs </w:t>
      </w:r>
      <w:r w:rsidRPr="00EF65AE">
        <w:rPr>
          <w:rFonts w:cs="Arial"/>
        </w:rPr>
        <w:t xml:space="preserve">funded by Australia were using community outreach and communication programs to provide public education about the laws and how to use them. In Fiji, the FWCC and </w:t>
      </w:r>
      <w:r w:rsidR="009F03F9">
        <w:rPr>
          <w:rFonts w:cs="Arial"/>
        </w:rPr>
        <w:t xml:space="preserve">the </w:t>
      </w:r>
      <w:r w:rsidR="009F03F9" w:rsidRPr="00EF65AE">
        <w:rPr>
          <w:rFonts w:cs="Arial"/>
        </w:rPr>
        <w:t xml:space="preserve">Fiji Women’s Rights Movement </w:t>
      </w:r>
      <w:r w:rsidRPr="00EF65AE">
        <w:rPr>
          <w:rFonts w:cs="Arial"/>
        </w:rPr>
        <w:t xml:space="preserve">have carried out information campaigns for years to encourage women to exercise their rights and seek services. In Solomon Islands, the Provincial Alliances set up by the Oxfam Safe Families Program in Temotu and Malaita have organised joint community visits for police, magistrates and other stakeholders to talk about </w:t>
      </w:r>
      <w:r w:rsidR="005468A7">
        <w:rPr>
          <w:rFonts w:cs="Arial"/>
        </w:rPr>
        <w:br/>
      </w:r>
      <w:r w:rsidRPr="00EF65AE">
        <w:rPr>
          <w:rFonts w:cs="Arial"/>
        </w:rPr>
        <w:t xml:space="preserve">the law. </w:t>
      </w:r>
    </w:p>
    <w:p w14:paraId="016CC65C" w14:textId="5481E579" w:rsidR="00EF65AE" w:rsidRPr="00EF65AE" w:rsidRDefault="00E034B9" w:rsidP="00EF65AE">
      <w:pPr>
        <w:rPr>
          <w:rFonts w:cs="Arial"/>
        </w:rPr>
      </w:pPr>
      <w:r>
        <w:rPr>
          <w:rFonts w:cs="Arial"/>
        </w:rPr>
        <w:t>The VWC has, through sustained efforts over many years across all provinces</w:t>
      </w:r>
      <w:r w:rsidR="008544A0">
        <w:rPr>
          <w:rFonts w:cs="Arial"/>
        </w:rPr>
        <w:t xml:space="preserve"> in Vanuatu</w:t>
      </w:r>
      <w:r>
        <w:rPr>
          <w:rFonts w:cs="Arial"/>
        </w:rPr>
        <w:t>, increased public awareness of VAWG and associated laws. C</w:t>
      </w:r>
      <w:r w:rsidR="00EF65AE" w:rsidRPr="00EF65AE">
        <w:rPr>
          <w:rFonts w:cs="Arial"/>
        </w:rPr>
        <w:t>ommunit</w:t>
      </w:r>
      <w:r>
        <w:rPr>
          <w:rFonts w:cs="Arial"/>
        </w:rPr>
        <w:t>ies</w:t>
      </w:r>
      <w:r w:rsidR="00EF65AE" w:rsidRPr="00EF65AE">
        <w:rPr>
          <w:rFonts w:cs="Arial"/>
        </w:rPr>
        <w:t xml:space="preserve"> </w:t>
      </w:r>
      <w:r>
        <w:rPr>
          <w:rFonts w:cs="Arial"/>
        </w:rPr>
        <w:t>have been very receptive to visits from</w:t>
      </w:r>
      <w:r w:rsidR="00B4779C">
        <w:rPr>
          <w:rFonts w:cs="Arial"/>
        </w:rPr>
        <w:t xml:space="preserve"> the</w:t>
      </w:r>
      <w:r>
        <w:rPr>
          <w:rFonts w:cs="Arial"/>
        </w:rPr>
        <w:t xml:space="preserve"> VWC</w:t>
      </w:r>
      <w:r w:rsidR="00B343EB">
        <w:rPr>
          <w:rFonts w:cs="Arial"/>
        </w:rPr>
        <w:t>. A</w:t>
      </w:r>
      <w:r w:rsidR="00EF65AE" w:rsidRPr="00EF65AE">
        <w:rPr>
          <w:rFonts w:cs="Arial"/>
        </w:rPr>
        <w:t>ccording to one advisor</w:t>
      </w:r>
      <w:r w:rsidR="00EF65AE" w:rsidRPr="000350C0">
        <w:rPr>
          <w:rFonts w:cs="Arial"/>
        </w:rPr>
        <w:t xml:space="preserve">, </w:t>
      </w:r>
      <w:r w:rsidR="00B343EB" w:rsidRPr="000350C0">
        <w:rPr>
          <w:rFonts w:cs="Arial"/>
        </w:rPr>
        <w:t xml:space="preserve">more than </w:t>
      </w:r>
      <w:r w:rsidR="00EF65AE" w:rsidRPr="00DA259B">
        <w:rPr>
          <w:rFonts w:cs="Arial"/>
        </w:rPr>
        <w:t>1</w:t>
      </w:r>
      <w:r w:rsidR="00C10891" w:rsidRPr="00DA259B">
        <w:rPr>
          <w:rFonts w:cs="Arial"/>
        </w:rPr>
        <w:t>,</w:t>
      </w:r>
      <w:r w:rsidR="00EF65AE" w:rsidRPr="00DA259B">
        <w:rPr>
          <w:rFonts w:cs="Arial"/>
        </w:rPr>
        <w:t>000</w:t>
      </w:r>
      <w:r w:rsidR="00EF65AE" w:rsidRPr="000350C0">
        <w:rPr>
          <w:rFonts w:cs="Arial"/>
        </w:rPr>
        <w:t xml:space="preserve"> people</w:t>
      </w:r>
      <w:r w:rsidR="00EF65AE" w:rsidRPr="00EF65AE">
        <w:rPr>
          <w:rFonts w:cs="Arial"/>
        </w:rPr>
        <w:t xml:space="preserve"> have turned up to hear officials talk about the F</w:t>
      </w:r>
      <w:r w:rsidR="00993A31">
        <w:rPr>
          <w:rFonts w:cs="Arial"/>
        </w:rPr>
        <w:t>amily Protection Act</w:t>
      </w:r>
      <w:r w:rsidR="00EF65AE" w:rsidRPr="00EF65AE">
        <w:rPr>
          <w:rFonts w:cs="Arial"/>
        </w:rPr>
        <w:t xml:space="preserve">. The </w:t>
      </w:r>
      <w:r w:rsidR="006B129C">
        <w:rPr>
          <w:rFonts w:cs="Arial"/>
        </w:rPr>
        <w:t>n</w:t>
      </w:r>
      <w:r w:rsidR="00EF65AE" w:rsidRPr="00EF65AE">
        <w:rPr>
          <w:rFonts w:cs="Arial"/>
        </w:rPr>
        <w:t>i-Vanuatu communication for social change group</w:t>
      </w:r>
      <w:r w:rsidR="00B343EB">
        <w:rPr>
          <w:rFonts w:cs="Arial"/>
        </w:rPr>
        <w:t>,</w:t>
      </w:r>
      <w:r w:rsidR="00EF65AE" w:rsidRPr="00EF65AE">
        <w:rPr>
          <w:rFonts w:cs="Arial"/>
        </w:rPr>
        <w:t xml:space="preserve"> </w:t>
      </w:r>
      <w:r w:rsidR="00EF65AE" w:rsidRPr="00DA259B">
        <w:rPr>
          <w:rFonts w:cs="Arial"/>
          <w:i/>
          <w:iCs/>
        </w:rPr>
        <w:t>Wan Smolbag</w:t>
      </w:r>
      <w:r w:rsidR="00B343EB">
        <w:rPr>
          <w:rFonts w:cs="Arial"/>
        </w:rPr>
        <w:t>,</w:t>
      </w:r>
      <w:r w:rsidR="00EF65AE" w:rsidRPr="00EF65AE">
        <w:rPr>
          <w:rFonts w:cs="Arial"/>
        </w:rPr>
        <w:t xml:space="preserve"> has developed engaging videos and plays about the F</w:t>
      </w:r>
      <w:r w:rsidR="00993A31">
        <w:rPr>
          <w:rFonts w:cs="Arial"/>
        </w:rPr>
        <w:t xml:space="preserve">amily Protection Act </w:t>
      </w:r>
      <w:r w:rsidR="00EF65AE" w:rsidRPr="00EF65AE">
        <w:rPr>
          <w:rFonts w:cs="Arial"/>
        </w:rPr>
        <w:t>and how women can access protection orders. Th</w:t>
      </w:r>
      <w:r w:rsidR="009F03F9">
        <w:rPr>
          <w:rFonts w:cs="Arial"/>
        </w:rPr>
        <w:t>is</w:t>
      </w:r>
      <w:r>
        <w:rPr>
          <w:rFonts w:cs="Arial"/>
        </w:rPr>
        <w:t xml:space="preserve"> evaluation found </w:t>
      </w:r>
      <w:r w:rsidR="00EF65AE" w:rsidRPr="00EF65AE">
        <w:rPr>
          <w:rFonts w:cs="Arial"/>
        </w:rPr>
        <w:t xml:space="preserve">some evidence that </w:t>
      </w:r>
      <w:r w:rsidRPr="00EF65AE">
        <w:rPr>
          <w:rFonts w:cs="Arial"/>
        </w:rPr>
        <w:t>th</w:t>
      </w:r>
      <w:r>
        <w:rPr>
          <w:rFonts w:cs="Arial"/>
        </w:rPr>
        <w:t>ese efforts</w:t>
      </w:r>
      <w:r w:rsidRPr="00EF65AE">
        <w:rPr>
          <w:rFonts w:cs="Arial"/>
        </w:rPr>
        <w:t xml:space="preserve"> </w:t>
      </w:r>
      <w:r>
        <w:rPr>
          <w:rFonts w:cs="Arial"/>
        </w:rPr>
        <w:t xml:space="preserve">have influenced the </w:t>
      </w:r>
      <w:r w:rsidR="009F03F9">
        <w:rPr>
          <w:rFonts w:cs="Arial"/>
        </w:rPr>
        <w:t>b</w:t>
      </w:r>
      <w:r>
        <w:rPr>
          <w:rFonts w:cs="Arial"/>
        </w:rPr>
        <w:t>ehaviour of men</w:t>
      </w:r>
      <w:r w:rsidR="00E2253F">
        <w:rPr>
          <w:rFonts w:cs="Arial"/>
        </w:rPr>
        <w:t xml:space="preserve">. </w:t>
      </w:r>
      <w:r w:rsidR="00EF65AE" w:rsidRPr="00EF65AE">
        <w:rPr>
          <w:rFonts w:cs="Arial"/>
        </w:rPr>
        <w:t>According to a women’s rights activist in Vanuatu</w:t>
      </w:r>
      <w:r w:rsidR="00B343EB">
        <w:rPr>
          <w:rFonts w:cs="Arial"/>
        </w:rPr>
        <w:t>:</w:t>
      </w:r>
      <w:r w:rsidR="00EF65AE" w:rsidRPr="00EF65AE">
        <w:rPr>
          <w:rFonts w:cs="Arial"/>
        </w:rPr>
        <w:t xml:space="preserve"> </w:t>
      </w:r>
    </w:p>
    <w:p w14:paraId="45026880" w14:textId="59E24352" w:rsidR="00EF65AE" w:rsidRPr="00DA259B" w:rsidRDefault="00EF65AE" w:rsidP="00AF12B1">
      <w:pPr>
        <w:pStyle w:val="IndentQuote"/>
        <w:rPr>
          <w:i w:val="0"/>
          <w:iCs/>
        </w:rPr>
      </w:pPr>
      <w:r w:rsidRPr="00AF12B1">
        <w:rPr>
          <w:rStyle w:val="QuoteChar"/>
          <w:i/>
          <w:iCs w:val="0"/>
        </w:rPr>
        <w:t>Another thing I am seeing is that our people are beginning to be aware that there is a law in place that protects women and children and families</w:t>
      </w:r>
      <w:r w:rsidR="00B343EB">
        <w:rPr>
          <w:rStyle w:val="QuoteChar"/>
          <w:i/>
          <w:iCs w:val="0"/>
        </w:rPr>
        <w:t xml:space="preserve"> </w:t>
      </w:r>
      <w:r w:rsidRPr="00AF12B1">
        <w:rPr>
          <w:rStyle w:val="QuoteChar"/>
          <w:i/>
          <w:iCs w:val="0"/>
        </w:rPr>
        <w:t>…</w:t>
      </w:r>
      <w:r w:rsidR="00B343EB">
        <w:rPr>
          <w:rStyle w:val="QuoteChar"/>
          <w:i/>
          <w:iCs w:val="0"/>
        </w:rPr>
        <w:t xml:space="preserve"> </w:t>
      </w:r>
      <w:r w:rsidRPr="00AF12B1">
        <w:rPr>
          <w:rStyle w:val="QuoteChar"/>
          <w:i/>
          <w:iCs w:val="0"/>
        </w:rPr>
        <w:t>it makes men more careful before they commit violence</w:t>
      </w:r>
      <w:r w:rsidR="00E2253F">
        <w:rPr>
          <w:rStyle w:val="QuoteChar"/>
          <w:i/>
          <w:iCs w:val="0"/>
        </w:rPr>
        <w:t xml:space="preserve">. </w:t>
      </w:r>
      <w:r w:rsidRPr="00AF12B1">
        <w:rPr>
          <w:rStyle w:val="QuoteChar"/>
          <w:i/>
          <w:iCs w:val="0"/>
        </w:rPr>
        <w:t xml:space="preserve">I cannot say that there is less violence, but there is more awareness about it as a crime, that, </w:t>
      </w:r>
      <w:r w:rsidR="00C10891">
        <w:rPr>
          <w:rStyle w:val="QuoteChar"/>
          <w:i/>
          <w:iCs w:val="0"/>
        </w:rPr>
        <w:t>‘</w:t>
      </w:r>
      <w:r w:rsidRPr="00AF12B1">
        <w:rPr>
          <w:rStyle w:val="QuoteChar"/>
          <w:i/>
          <w:iCs w:val="0"/>
        </w:rPr>
        <w:t>Maybe I should be careful, or I could get a court order.</w:t>
      </w:r>
      <w:r w:rsidR="00C10891">
        <w:rPr>
          <w:rStyle w:val="QuoteChar"/>
          <w:i/>
          <w:iCs w:val="0"/>
        </w:rPr>
        <w:t>’</w:t>
      </w:r>
      <w:r w:rsidRPr="00AF12B1">
        <w:t xml:space="preserve"> </w:t>
      </w:r>
    </w:p>
    <w:p w14:paraId="086FCF5F" w14:textId="559D6AE9" w:rsidR="00EF65AE" w:rsidRPr="00EF65AE" w:rsidRDefault="00EF65AE" w:rsidP="00EF65AE">
      <w:pPr>
        <w:rPr>
          <w:rFonts w:cs="Arial"/>
        </w:rPr>
      </w:pPr>
      <w:r w:rsidRPr="00EF65AE">
        <w:rPr>
          <w:rFonts w:cs="Arial"/>
        </w:rPr>
        <w:t>It remains to be seen how this awareness will translate into widespread behavioural change. However, in countries where domestic violence laws have been in place for a longer time (such as Fiji, Indonesia and Pakistan), evidence</w:t>
      </w:r>
      <w:r w:rsidR="00A54030">
        <w:rPr>
          <w:rFonts w:cs="Arial"/>
        </w:rPr>
        <w:t xml:space="preserve"> was</w:t>
      </w:r>
      <w:r w:rsidRPr="00EF65AE">
        <w:rPr>
          <w:rFonts w:cs="Arial"/>
        </w:rPr>
        <w:t xml:space="preserve"> that if laws can be implemented consistently, women are more likely to report violence, and that communities are more supportive of survivors </w:t>
      </w:r>
      <w:r w:rsidR="005468A7">
        <w:rPr>
          <w:rFonts w:cs="Arial"/>
        </w:rPr>
        <w:br/>
      </w:r>
      <w:r w:rsidRPr="00EF65AE">
        <w:rPr>
          <w:rFonts w:cs="Arial"/>
        </w:rPr>
        <w:t>of violence.</w:t>
      </w:r>
      <w:r w:rsidRPr="00EF65AE">
        <w:rPr>
          <w:rFonts w:cs="Arial"/>
        </w:rPr>
        <w:fldChar w:fldCharType="begin"/>
      </w:r>
      <w:r w:rsidRPr="00EF65AE">
        <w:rPr>
          <w:rFonts w:cs="Arial"/>
        </w:rPr>
        <w:instrText xml:space="preserve"> ADDIN ZOTERO_ITEM CSL_CITATION {"citationID":"hmvf8Ftp","properties":{"formattedCitation":"\\super 88\\nosupersub{}","plainCitation":"88","noteIndex":0},"citationItems":[{"id":92,"uris":["http://zotero.org/users/4194704/items/R3LYQA9W"],"uri":["http://zotero.org/users/4194704/items/R3LYQA9W"],"itemData":{"id":92,"type":"article-journal","title":"Prevention of violence against women and girls: what does the evidence say?","container-title":"The Lancet","page":"1555-1566","volume":"385","issue":"9977","ISSN":"0140-6736","author":[{"family":"Ellsberg","given":"Mary"},{"family":"Arango","given":"Diana J."},{"family":"Morton","given":"Matthew"},{"family":"Gennari","given":"Floriza"},{"family":"Kiplesund","given":"Sveinung"},{"family":"Contreras","given":"Manuel"},{"family":"Watts","given":"Charlotte"}],"issued":{"date-parts":[["2015"]]}}}],"schema":"https://github.com/citation-style-language/schema/raw/master/csl-citation.json"} </w:instrText>
      </w:r>
      <w:r w:rsidRPr="00EF65AE">
        <w:rPr>
          <w:rFonts w:cs="Arial"/>
        </w:rPr>
        <w:fldChar w:fldCharType="separate"/>
      </w:r>
      <w:r w:rsidRPr="00EF65AE">
        <w:rPr>
          <w:rFonts w:cs="Arial"/>
          <w:vertAlign w:val="superscript"/>
          <w:lang w:val="en-US"/>
        </w:rPr>
        <w:t>88</w:t>
      </w:r>
      <w:r w:rsidRPr="00EF65AE">
        <w:rPr>
          <w:rFonts w:cs="Arial"/>
        </w:rPr>
        <w:fldChar w:fldCharType="end"/>
      </w:r>
    </w:p>
    <w:p w14:paraId="4473186C" w14:textId="0396F1F6" w:rsidR="00EF65AE" w:rsidRPr="00DA259B" w:rsidRDefault="00EF65AE" w:rsidP="00AF12B1">
      <w:pPr>
        <w:pStyle w:val="IndentQuote"/>
        <w:rPr>
          <w:i w:val="0"/>
          <w:iCs/>
        </w:rPr>
      </w:pPr>
      <w:r w:rsidRPr="00C43281">
        <w:t>The number of reports of VAW has increased</w:t>
      </w:r>
      <w:r w:rsidR="00B343EB" w:rsidRPr="00C43281">
        <w:t>—</w:t>
      </w:r>
      <w:r w:rsidRPr="00C43281">
        <w:t>that is good. Now they know there is a law to back them up, and now they know where to go. Before domestic violence was a very taboo issue but now they know. People who used to keep silent, now they are changing</w:t>
      </w:r>
      <w:r w:rsidR="00B343EB" w:rsidRPr="00C43281">
        <w:t xml:space="preserve"> </w:t>
      </w:r>
      <w:r w:rsidRPr="00C43281">
        <w:t>...</w:t>
      </w:r>
      <w:r w:rsidRPr="00AF12B1">
        <w:t xml:space="preserve"> </w:t>
      </w:r>
      <w:r w:rsidR="00937123">
        <w:rPr>
          <w:i w:val="0"/>
          <w:iCs/>
        </w:rPr>
        <w:t>–</w:t>
      </w:r>
      <w:r w:rsidRPr="00AF12B1">
        <w:t xml:space="preserve"> </w:t>
      </w:r>
      <w:r w:rsidRPr="00DA259B">
        <w:rPr>
          <w:i w:val="0"/>
          <w:iCs/>
        </w:rPr>
        <w:t xml:space="preserve">MAMPU </w:t>
      </w:r>
      <w:r w:rsidR="00937123">
        <w:rPr>
          <w:i w:val="0"/>
          <w:iCs/>
        </w:rPr>
        <w:t>p</w:t>
      </w:r>
      <w:r w:rsidRPr="00DA259B">
        <w:rPr>
          <w:i w:val="0"/>
          <w:iCs/>
        </w:rPr>
        <w:t>rogram staff, Indonesia</w:t>
      </w:r>
    </w:p>
    <w:p w14:paraId="0E7CC7D2" w14:textId="0A4984CF" w:rsidR="00EF65AE" w:rsidRPr="00EF65AE" w:rsidRDefault="004A793A" w:rsidP="00170523">
      <w:pPr>
        <w:pStyle w:val="Heading2"/>
      </w:pPr>
      <w:bookmarkStart w:id="220" w:name="_Toc14959601"/>
      <w:bookmarkStart w:id="221" w:name="_Toc15378127"/>
      <w:bookmarkStart w:id="222" w:name="_Toc15378476"/>
      <w:bookmarkStart w:id="223" w:name="_Toc15563006"/>
      <w:bookmarkStart w:id="224" w:name="_Toc23434542"/>
      <w:r w:rsidRPr="00EF65AE">
        <w:t>Findings and recommendation</w:t>
      </w:r>
      <w:bookmarkEnd w:id="220"/>
      <w:bookmarkEnd w:id="221"/>
      <w:bookmarkEnd w:id="222"/>
      <w:bookmarkEnd w:id="223"/>
      <w:bookmarkEnd w:id="224"/>
    </w:p>
    <w:p w14:paraId="640A7BEF" w14:textId="77777777" w:rsidR="00EF65AE" w:rsidRPr="00EF65AE" w:rsidRDefault="00EF65AE" w:rsidP="00EF65AE">
      <w:pPr>
        <w:rPr>
          <w:rFonts w:cs="Arial"/>
        </w:rPr>
      </w:pPr>
      <w:r w:rsidRPr="00EF65AE">
        <w:rPr>
          <w:rFonts w:cs="Arial"/>
        </w:rPr>
        <w:t>In the last decade, Australia has supported the development and enforcement of EVAWG legislation in at least 11 countries in Asia and the Pacific, including in all seven focus countries</w:t>
      </w:r>
      <w:r w:rsidR="00D239A1">
        <w:rPr>
          <w:rFonts w:cs="Arial"/>
        </w:rPr>
        <w:t xml:space="preserve"> in this evaluation</w:t>
      </w:r>
      <w:r w:rsidRPr="00EF65AE">
        <w:rPr>
          <w:rFonts w:cs="Arial"/>
        </w:rPr>
        <w:t xml:space="preserve">. </w:t>
      </w:r>
    </w:p>
    <w:p w14:paraId="014165F5" w14:textId="77777777" w:rsidR="00EF65AE" w:rsidRPr="00EF65AE" w:rsidRDefault="00EF65AE" w:rsidP="00EF65AE">
      <w:pPr>
        <w:rPr>
          <w:rFonts w:cs="Arial"/>
        </w:rPr>
      </w:pPr>
      <w:r w:rsidRPr="00EF65AE">
        <w:rPr>
          <w:rFonts w:cs="Arial"/>
        </w:rPr>
        <w:t>Australia has supported the creation of specialised police services in many countries. In PNG</w:t>
      </w:r>
      <w:r w:rsidR="00D239A1">
        <w:rPr>
          <w:rFonts w:cs="Arial"/>
        </w:rPr>
        <w:t>,</w:t>
      </w:r>
      <w:r w:rsidRPr="00EF65AE">
        <w:rPr>
          <w:rFonts w:cs="Arial"/>
        </w:rPr>
        <w:t xml:space="preserve"> Australia’s significant support for FSVUs has been integral to their strengthening and expansion. </w:t>
      </w:r>
    </w:p>
    <w:p w14:paraId="44F10B38" w14:textId="77777777" w:rsidR="00EF65AE" w:rsidRPr="00EF65AE" w:rsidRDefault="00EF65AE" w:rsidP="00EF65AE">
      <w:pPr>
        <w:rPr>
          <w:rFonts w:cs="Arial"/>
        </w:rPr>
      </w:pPr>
      <w:r w:rsidRPr="00EF65AE">
        <w:rPr>
          <w:rFonts w:cs="Arial"/>
        </w:rPr>
        <w:t xml:space="preserve">Public awareness of laws and rights has increased steadily over the last decade. </w:t>
      </w:r>
    </w:p>
    <w:p w14:paraId="6E484B6B" w14:textId="77777777" w:rsidR="00EF65AE" w:rsidRPr="00EF65AE" w:rsidRDefault="00EF65AE" w:rsidP="00EF65AE">
      <w:pPr>
        <w:rPr>
          <w:rFonts w:cs="Arial"/>
        </w:rPr>
      </w:pPr>
      <w:r w:rsidRPr="00EF65AE">
        <w:rPr>
          <w:rFonts w:cs="Arial"/>
        </w:rPr>
        <w:t xml:space="preserve">However, continued efforts are needed to train justice operators at all levels (police, magistrates and prosecutors) </w:t>
      </w:r>
      <w:r w:rsidRPr="00EF65AE">
        <w:rPr>
          <w:rFonts w:eastAsia="Times New Roman" w:cs="Arial"/>
          <w:shd w:val="clear" w:color="auto" w:fill="FFFFFF"/>
          <w:lang w:val="en-US"/>
        </w:rPr>
        <w:t>to sensitively and appropriately apply the laws,</w:t>
      </w:r>
      <w:r w:rsidRPr="00EF65AE">
        <w:rPr>
          <w:rFonts w:cs="Arial"/>
        </w:rPr>
        <w:t xml:space="preserve"> as well as to educate women regarding their rights and how to use the laws.</w:t>
      </w:r>
    </w:p>
    <w:p w14:paraId="668238A3" w14:textId="77777777" w:rsidR="007F0DF3" w:rsidRPr="00EF65AE" w:rsidRDefault="007F0DF3" w:rsidP="007F0DF3">
      <w:pPr>
        <w:pStyle w:val="Heading3NoTOC"/>
      </w:pPr>
      <w:r w:rsidRPr="00EF65AE">
        <w:t>Recommendation 2: Focus on investments that support the development and implementation of EVAWG legislation with an emphasis on:</w:t>
      </w:r>
    </w:p>
    <w:p w14:paraId="2CC3AD4B" w14:textId="26F4B889" w:rsidR="001A004E" w:rsidRPr="00EF65AE" w:rsidRDefault="001A004E" w:rsidP="001A004E">
      <w:pPr>
        <w:pStyle w:val="ListNumber"/>
      </w:pPr>
      <w:r w:rsidRPr="00EF65AE">
        <w:t xml:space="preserve">strengthening formal justice responses for marginalised women and girls, including women and girls </w:t>
      </w:r>
      <w:r w:rsidRPr="004B1F17">
        <w:t>with disabilities</w:t>
      </w:r>
      <w:r>
        <w:t xml:space="preserve"> and</w:t>
      </w:r>
      <w:r w:rsidRPr="004B1F17">
        <w:t xml:space="preserve"> those living</w:t>
      </w:r>
      <w:r w:rsidRPr="00EF65AE">
        <w:t xml:space="preserve"> in rural areas</w:t>
      </w:r>
    </w:p>
    <w:p w14:paraId="318E5C18" w14:textId="77777777" w:rsidR="007F0DF3" w:rsidRPr="00EF65AE" w:rsidRDefault="007F0DF3" w:rsidP="007F0DF3">
      <w:pPr>
        <w:pStyle w:val="ListNumber"/>
      </w:pPr>
      <w:r w:rsidRPr="00EF65AE">
        <w:t>supporting partner countries to address gaps in legislation, including sexual assault laws, divorce, and child welfare laws</w:t>
      </w:r>
    </w:p>
    <w:p w14:paraId="3D6FCD66" w14:textId="4816030A" w:rsidR="007F0DF3" w:rsidRPr="00EF65AE" w:rsidRDefault="007F0DF3" w:rsidP="007F0DF3">
      <w:pPr>
        <w:pStyle w:val="ListNumber"/>
      </w:pPr>
      <w:r w:rsidRPr="00EF65AE">
        <w:t>continuing training and support for justice operators at national and local levels, including police, magistrates and prosecutors, to strengthen knowledge and capacity to implement the</w:t>
      </w:r>
      <w:r w:rsidR="0012349A">
        <w:t> </w:t>
      </w:r>
      <w:r w:rsidRPr="00EF65AE">
        <w:t>laws</w:t>
      </w:r>
    </w:p>
    <w:p w14:paraId="5CAE2530" w14:textId="7ACB10D9" w:rsidR="007F0DF3" w:rsidRPr="0012349A" w:rsidRDefault="007F0DF3" w:rsidP="0012349A">
      <w:pPr>
        <w:pStyle w:val="ListNumber"/>
        <w:rPr>
          <w:rFonts w:cs="Arial"/>
        </w:rPr>
      </w:pPr>
      <w:r w:rsidRPr="00EF65AE">
        <w:t xml:space="preserve">supporting </w:t>
      </w:r>
      <w:r w:rsidR="008F5071">
        <w:t>civil society organisations</w:t>
      </w:r>
      <w:r w:rsidRPr="00EF65AE">
        <w:t xml:space="preserve"> and national governments to promote public awareness on how to use the laws, and to monitor</w:t>
      </w:r>
      <w:r>
        <w:t xml:space="preserve"> their</w:t>
      </w:r>
      <w:r w:rsidRPr="00EF65AE">
        <w:t xml:space="preserve"> implementation.</w:t>
      </w:r>
    </w:p>
    <w:p w14:paraId="1FD58DF6" w14:textId="3CC81958" w:rsidR="00EF65AE" w:rsidRPr="00EF65AE" w:rsidRDefault="004A793A" w:rsidP="00C740E1">
      <w:pPr>
        <w:pStyle w:val="Heading1"/>
      </w:pPr>
      <w:bookmarkStart w:id="225" w:name="_Toc14959602"/>
      <w:bookmarkStart w:id="226" w:name="_Toc15378128"/>
      <w:bookmarkStart w:id="227" w:name="_Toc15378477"/>
      <w:bookmarkStart w:id="228" w:name="_Toc15563007"/>
      <w:bookmarkStart w:id="229" w:name="_Toc23434543"/>
      <w:r w:rsidRPr="00EF65AE">
        <w:t>Strengthening services</w:t>
      </w:r>
      <w:bookmarkEnd w:id="225"/>
      <w:bookmarkEnd w:id="226"/>
      <w:bookmarkEnd w:id="227"/>
      <w:bookmarkEnd w:id="228"/>
      <w:bookmarkEnd w:id="229"/>
    </w:p>
    <w:p w14:paraId="5EB3E2F1" w14:textId="77777777" w:rsidR="00EF65AE" w:rsidRPr="00EF65AE" w:rsidRDefault="00EF65AE" w:rsidP="005572DA">
      <w:pPr>
        <w:pStyle w:val="Introduction"/>
      </w:pPr>
      <w:bookmarkStart w:id="230" w:name="_Hlk9955161"/>
      <w:r w:rsidRPr="00EF65AE">
        <w:t xml:space="preserve">This chapter assesses the effectiveness of Australia’s support for accessible, appropriate services for women and girls when they experience or are threatened with violence. </w:t>
      </w:r>
      <w:bookmarkEnd w:id="230"/>
      <w:r w:rsidRPr="00EF65AE">
        <w:t xml:space="preserve">It finds that Australia has contributed to greatly increased availability and uptake of EVAWG services since 2008 and has improved the quality of services through selected programs and innovations. </w:t>
      </w:r>
    </w:p>
    <w:p w14:paraId="361629D1" w14:textId="0F1F52DB" w:rsidR="00EF65AE" w:rsidRPr="00EF65AE" w:rsidRDefault="004A793A" w:rsidP="00C740E1">
      <w:pPr>
        <w:pStyle w:val="Heading2"/>
      </w:pPr>
      <w:bookmarkStart w:id="231" w:name="_Toc14959603"/>
      <w:bookmarkStart w:id="232" w:name="_Toc15378129"/>
      <w:bookmarkStart w:id="233" w:name="_Toc15378478"/>
      <w:bookmarkStart w:id="234" w:name="_Toc15563008"/>
      <w:bookmarkStart w:id="235" w:name="_Toc23434544"/>
      <w:r w:rsidRPr="00EF65AE">
        <w:t>The situation in 2008</w:t>
      </w:r>
      <w:bookmarkEnd w:id="231"/>
      <w:bookmarkEnd w:id="232"/>
      <w:bookmarkEnd w:id="233"/>
      <w:bookmarkEnd w:id="234"/>
      <w:bookmarkEnd w:id="235"/>
    </w:p>
    <w:p w14:paraId="0B4F10D8" w14:textId="77777777" w:rsidR="00EF65AE" w:rsidRPr="00EF65AE" w:rsidRDefault="00EF65AE" w:rsidP="00EF65AE">
      <w:pPr>
        <w:rPr>
          <w:rFonts w:cs="Arial"/>
        </w:rPr>
      </w:pPr>
      <w:r w:rsidRPr="00EF65AE">
        <w:rPr>
          <w:rFonts w:cs="Arial"/>
        </w:rPr>
        <w:t>Safe, age-appropriate services are essential to support survivor</w:t>
      </w:r>
      <w:r w:rsidR="00B343EB">
        <w:rPr>
          <w:rFonts w:cs="Arial"/>
        </w:rPr>
        <w:t>s</w:t>
      </w:r>
      <w:r w:rsidRPr="00EF65AE">
        <w:rPr>
          <w:rFonts w:cs="Arial"/>
        </w:rPr>
        <w:t xml:space="preserve"> in identifying, prioritising and meeting </w:t>
      </w:r>
      <w:r w:rsidR="00B343EB">
        <w:rPr>
          <w:rFonts w:cs="Arial"/>
        </w:rPr>
        <w:t>their</w:t>
      </w:r>
      <w:r w:rsidR="00B343EB" w:rsidRPr="00EF65AE">
        <w:rPr>
          <w:rFonts w:cs="Arial"/>
        </w:rPr>
        <w:t xml:space="preserve"> </w:t>
      </w:r>
      <w:r w:rsidRPr="00EF65AE">
        <w:rPr>
          <w:rFonts w:cs="Arial"/>
        </w:rPr>
        <w:t>needs</w:t>
      </w:r>
      <w:r w:rsidR="00E2253F">
        <w:rPr>
          <w:rFonts w:cs="Arial"/>
        </w:rPr>
        <w:t xml:space="preserve">. </w:t>
      </w:r>
      <w:r w:rsidRPr="00EF65AE">
        <w:rPr>
          <w:rFonts w:cs="Arial"/>
        </w:rPr>
        <w:t xml:space="preserve">The 2008 ODE report found </w:t>
      </w:r>
      <w:r w:rsidR="00DA259B" w:rsidRPr="00EF65AE">
        <w:rPr>
          <w:rFonts w:cs="Arial"/>
        </w:rPr>
        <w:t>survivors of violence</w:t>
      </w:r>
      <w:r w:rsidR="00DA259B">
        <w:rPr>
          <w:rFonts w:cs="Arial"/>
        </w:rPr>
        <w:t xml:space="preserve"> had </w:t>
      </w:r>
      <w:r w:rsidR="002E0534">
        <w:rPr>
          <w:rFonts w:cs="Arial"/>
        </w:rPr>
        <w:t xml:space="preserve">very limited </w:t>
      </w:r>
      <w:r w:rsidRPr="00EF65AE">
        <w:rPr>
          <w:rFonts w:cs="Arial"/>
        </w:rPr>
        <w:t xml:space="preserve">access to appropriate services. </w:t>
      </w:r>
      <w:r w:rsidR="002E0534">
        <w:rPr>
          <w:rFonts w:cs="Arial"/>
        </w:rPr>
        <w:t>M</w:t>
      </w:r>
      <w:r w:rsidRPr="00EF65AE">
        <w:rPr>
          <w:rFonts w:cs="Arial"/>
        </w:rPr>
        <w:t xml:space="preserve">any countries </w:t>
      </w:r>
      <w:r w:rsidR="002E0534">
        <w:rPr>
          <w:rFonts w:cs="Arial"/>
        </w:rPr>
        <w:t>had</w:t>
      </w:r>
      <w:r w:rsidRPr="00EF65AE">
        <w:rPr>
          <w:rFonts w:cs="Arial"/>
        </w:rPr>
        <w:t xml:space="preserve"> no safe havens or crisis services</w:t>
      </w:r>
      <w:r w:rsidR="00B343EB">
        <w:rPr>
          <w:rFonts w:cs="Arial"/>
        </w:rPr>
        <w:t>. W</w:t>
      </w:r>
      <w:r w:rsidRPr="00EF65AE">
        <w:rPr>
          <w:rFonts w:cs="Arial"/>
        </w:rPr>
        <w:t xml:space="preserve">here services existed, they were almost exclusively in the capital or in urban areas, inaccessible to many women. </w:t>
      </w:r>
      <w:r w:rsidR="002E0534">
        <w:rPr>
          <w:rFonts w:cs="Arial"/>
        </w:rPr>
        <w:t>Also, t</w:t>
      </w:r>
      <w:r w:rsidRPr="00EF65AE">
        <w:rPr>
          <w:rFonts w:cs="Arial"/>
        </w:rPr>
        <w:t>here was very little consistency in the approach used to support survivors of VAWG</w:t>
      </w:r>
      <w:r w:rsidR="00B343EB">
        <w:rPr>
          <w:rFonts w:cs="Arial"/>
        </w:rPr>
        <w:t>. I</w:t>
      </w:r>
      <w:r w:rsidRPr="00EF65AE">
        <w:rPr>
          <w:rFonts w:cs="Arial"/>
        </w:rPr>
        <w:t>n many places</w:t>
      </w:r>
      <w:r w:rsidR="00B343EB">
        <w:rPr>
          <w:rFonts w:cs="Arial"/>
        </w:rPr>
        <w:t>,</w:t>
      </w:r>
      <w:r w:rsidRPr="00EF65AE">
        <w:rPr>
          <w:rFonts w:cs="Arial"/>
        </w:rPr>
        <w:t xml:space="preserve"> staff had received little or no training</w:t>
      </w:r>
      <w:r w:rsidR="00E2253F">
        <w:rPr>
          <w:rFonts w:cs="Arial"/>
        </w:rPr>
        <w:t xml:space="preserve">. </w:t>
      </w:r>
    </w:p>
    <w:p w14:paraId="7345E0BE" w14:textId="77777777" w:rsidR="00EF65AE" w:rsidRPr="00EF65AE" w:rsidRDefault="00EF65AE" w:rsidP="00EF65AE">
      <w:pPr>
        <w:rPr>
          <w:rFonts w:cs="Arial"/>
        </w:rPr>
      </w:pPr>
      <w:r w:rsidRPr="00EF65AE">
        <w:rPr>
          <w:rFonts w:cs="Arial"/>
        </w:rPr>
        <w:t>The 2008 report recommended:</w:t>
      </w:r>
    </w:p>
    <w:p w14:paraId="5ACBD4A7" w14:textId="460EAD73" w:rsidR="00EF65AE" w:rsidRPr="00EF65AE" w:rsidRDefault="00027336" w:rsidP="005572DA">
      <w:pPr>
        <w:pStyle w:val="ListNumber"/>
      </w:pPr>
      <w:r>
        <w:t>p</w:t>
      </w:r>
      <w:r w:rsidR="00EF65AE" w:rsidRPr="00EF65AE">
        <w:t>rioritising long-term support to service providers</w:t>
      </w:r>
    </w:p>
    <w:p w14:paraId="58A9FFC8" w14:textId="4D253789" w:rsidR="00EF65AE" w:rsidRPr="00EF65AE" w:rsidRDefault="00027336" w:rsidP="005572DA">
      <w:pPr>
        <w:pStyle w:val="ListNumber"/>
      </w:pPr>
      <w:r>
        <w:t>i</w:t>
      </w:r>
      <w:r w:rsidR="00EF65AE" w:rsidRPr="00EF65AE">
        <w:t>nvesting in capacity building and integrated service provision</w:t>
      </w:r>
    </w:p>
    <w:p w14:paraId="0CC671D4" w14:textId="0498FA69" w:rsidR="00EF65AE" w:rsidRPr="00EF65AE" w:rsidRDefault="00027336" w:rsidP="005572DA">
      <w:pPr>
        <w:pStyle w:val="ListNumber"/>
      </w:pPr>
      <w:r>
        <w:t>e</w:t>
      </w:r>
      <w:r w:rsidR="00EF65AE" w:rsidRPr="00EF65AE">
        <w:t>xtending access for rural women, including through informal community-based networks</w:t>
      </w:r>
    </w:p>
    <w:p w14:paraId="34098126" w14:textId="2DB7E833" w:rsidR="00EF65AE" w:rsidRPr="00EF65AE" w:rsidRDefault="00027336" w:rsidP="005572DA">
      <w:pPr>
        <w:pStyle w:val="ListNumber"/>
      </w:pPr>
      <w:r>
        <w:t>s</w:t>
      </w:r>
      <w:r w:rsidR="00EF65AE" w:rsidRPr="00EF65AE">
        <w:t>trengthening government engagement in the health and education sectors.</w:t>
      </w:r>
    </w:p>
    <w:p w14:paraId="6BAC4BF2" w14:textId="740A7BFF" w:rsidR="00EF65AE" w:rsidRPr="00EF65AE" w:rsidRDefault="004A793A" w:rsidP="005572DA">
      <w:pPr>
        <w:pStyle w:val="Heading2"/>
      </w:pPr>
      <w:bookmarkStart w:id="236" w:name="_Toc14959604"/>
      <w:bookmarkStart w:id="237" w:name="_Toc15378130"/>
      <w:bookmarkStart w:id="238" w:name="_Toc15378479"/>
      <w:bookmarkStart w:id="239" w:name="_Toc15563009"/>
      <w:bookmarkStart w:id="240" w:name="_Toc23434545"/>
      <w:r w:rsidRPr="00EF65AE">
        <w:t>Progress to date</w:t>
      </w:r>
      <w:bookmarkEnd w:id="236"/>
      <w:bookmarkEnd w:id="237"/>
      <w:bookmarkEnd w:id="238"/>
      <w:bookmarkEnd w:id="239"/>
      <w:bookmarkEnd w:id="240"/>
    </w:p>
    <w:p w14:paraId="4BEA6525" w14:textId="0C09C533" w:rsidR="00EF65AE" w:rsidRPr="000350C0" w:rsidRDefault="00EF65AE" w:rsidP="00EF65AE">
      <w:pPr>
        <w:rPr>
          <w:rFonts w:cs="Arial"/>
        </w:rPr>
      </w:pPr>
      <w:bookmarkStart w:id="241" w:name="_Hlk18490180"/>
      <w:r w:rsidRPr="00EF65AE">
        <w:rPr>
          <w:rFonts w:cs="Arial"/>
        </w:rPr>
        <w:t xml:space="preserve">Access to comprehensive services for survivors of violence has increased dramatically throughout the </w:t>
      </w:r>
      <w:r w:rsidR="006B129C">
        <w:rPr>
          <w:rFonts w:cs="Arial"/>
        </w:rPr>
        <w:t>Indo-</w:t>
      </w:r>
      <w:r w:rsidRPr="000350C0">
        <w:rPr>
          <w:rFonts w:cs="Arial"/>
        </w:rPr>
        <w:t xml:space="preserve">Pacific, largely as a result of Australia’s increased commitment to fund services. </w:t>
      </w:r>
      <w:bookmarkEnd w:id="241"/>
      <w:r w:rsidRPr="000350C0">
        <w:rPr>
          <w:rFonts w:cs="Arial"/>
        </w:rPr>
        <w:t xml:space="preserve">Compared to 2008, the evaluation team found greater variety and a higher quality of services offered for women and girls in Asia and the Pacific. However, a significant gap </w:t>
      </w:r>
      <w:r w:rsidR="00B343EB" w:rsidRPr="000350C0">
        <w:rPr>
          <w:rFonts w:cs="Arial"/>
        </w:rPr>
        <w:t>remains</w:t>
      </w:r>
      <w:r w:rsidR="00F2275E" w:rsidRPr="000350C0">
        <w:rPr>
          <w:rFonts w:cs="Arial"/>
        </w:rPr>
        <w:t xml:space="preserve"> </w:t>
      </w:r>
      <w:r w:rsidRPr="000350C0">
        <w:rPr>
          <w:rFonts w:cs="Arial"/>
        </w:rPr>
        <w:t>between the scale of need and availability and accessibility of services, particularly in rural and remote locations, and for the most vulnerable women and girls</w:t>
      </w:r>
      <w:r w:rsidR="00B343EB" w:rsidRPr="000350C0">
        <w:rPr>
          <w:rFonts w:cs="Arial"/>
        </w:rPr>
        <w:t>.</w:t>
      </w:r>
    </w:p>
    <w:p w14:paraId="7A371B5F" w14:textId="77777777" w:rsidR="00EF65AE" w:rsidRPr="000350C0" w:rsidRDefault="002E0534" w:rsidP="00EF65AE">
      <w:pPr>
        <w:rPr>
          <w:rFonts w:cs="Arial"/>
        </w:rPr>
      </w:pPr>
      <w:r w:rsidRPr="000350C0">
        <w:rPr>
          <w:rFonts w:cs="Arial"/>
        </w:rPr>
        <w:t>T</w:t>
      </w:r>
      <w:r w:rsidR="00EF65AE" w:rsidRPr="000350C0">
        <w:rPr>
          <w:rFonts w:cs="Arial"/>
        </w:rPr>
        <w:t xml:space="preserve">here is </w:t>
      </w:r>
      <w:r w:rsidR="00B343EB" w:rsidRPr="000350C0">
        <w:rPr>
          <w:rFonts w:cs="Arial"/>
        </w:rPr>
        <w:t xml:space="preserve">now </w:t>
      </w:r>
      <w:r w:rsidR="00EF65AE" w:rsidRPr="000350C0">
        <w:rPr>
          <w:rFonts w:cs="Arial"/>
        </w:rPr>
        <w:t>more global evidence about the most effective organisational models to deliver VAWG services. Successful models combine counselling services with community outreach, active case management and other integrated services, including economic empowerment, shelter and legal support.</w:t>
      </w:r>
      <w:r w:rsidR="00EF65AE" w:rsidRPr="000350C0">
        <w:rPr>
          <w:rFonts w:cs="Arial"/>
        </w:rPr>
        <w:fldChar w:fldCharType="begin"/>
      </w:r>
      <w:r w:rsidR="00EF65AE" w:rsidRPr="000350C0">
        <w:rPr>
          <w:rFonts w:cs="Arial"/>
        </w:rPr>
        <w:instrText xml:space="preserve"> ADDIN ZOTERO_ITEM CSL_CITATION {"citationID":"6whlD7lV","properties":{"formattedCitation":"\\super 89\\nosupersub{}","plainCitation":"89","noteIndex":0},"citationItems":[{"id":2059,"uris":["http://zotero.org/users/4194704/items/9HDK485E"],"uri":["http://zotero.org/users/4194704/items/9HDK485E"],"itemData":{"id":2059,"type":"article-journal","title":"The health-systems response to violence against women","container-title":"Journal of Religion &amp; Abuse","page":"7-14","volume":"8","issue":"4","abstract":"The author uses the Old Testament/Hebrew Scripture text of 2 Samuel 13:1-22 (NRSV) to examine violence against women and girls, redress the popular image of Tamar as a silent participant in a violent situation, and answer the question, Where is God in \"this\"?","DOI":"10.1080/15211030802194449","ISSN":"1521-1037","author":[{"family":"Garcia Moreno","given":"C."},{"literal":"et al"}],"issued":{"date-parts":[["2008"]]}}}],"schema":"https://github.com/citation-style-language/schema/raw/master/csl-citation.json"} </w:instrText>
      </w:r>
      <w:r w:rsidR="00EF65AE" w:rsidRPr="000350C0">
        <w:rPr>
          <w:rFonts w:cs="Arial"/>
        </w:rPr>
        <w:fldChar w:fldCharType="separate"/>
      </w:r>
      <w:r w:rsidR="00EF65AE" w:rsidRPr="000350C0">
        <w:rPr>
          <w:rFonts w:cs="Arial"/>
          <w:vertAlign w:val="superscript"/>
          <w:lang w:val="en-US"/>
        </w:rPr>
        <w:t>89</w:t>
      </w:r>
      <w:r w:rsidR="00EF65AE" w:rsidRPr="000350C0">
        <w:rPr>
          <w:rFonts w:cs="Arial"/>
        </w:rPr>
        <w:fldChar w:fldCharType="end"/>
      </w:r>
      <w:r w:rsidR="00EF65AE" w:rsidRPr="000350C0">
        <w:rPr>
          <w:rFonts w:cs="Arial"/>
        </w:rPr>
        <w:t xml:space="preserve"> </w:t>
      </w:r>
    </w:p>
    <w:p w14:paraId="2F221109" w14:textId="77777777" w:rsidR="00EF65AE" w:rsidRPr="000350C0" w:rsidRDefault="00EF65AE" w:rsidP="003B7D21">
      <w:pPr>
        <w:pStyle w:val="Heading3NoTOC"/>
      </w:pPr>
      <w:r w:rsidRPr="000350C0">
        <w:t>Integrated services</w:t>
      </w:r>
    </w:p>
    <w:p w14:paraId="48F4541F" w14:textId="77777777" w:rsidR="002E0534" w:rsidRPr="000350C0" w:rsidRDefault="00EF65AE" w:rsidP="00EF65AE">
      <w:pPr>
        <w:rPr>
          <w:rFonts w:cs="Arial"/>
        </w:rPr>
      </w:pPr>
      <w:r w:rsidRPr="000350C0">
        <w:rPr>
          <w:rFonts w:cs="Arial"/>
        </w:rPr>
        <w:t xml:space="preserve">The FWCC and VWC </w:t>
      </w:r>
      <w:r w:rsidR="002E0534" w:rsidRPr="000350C0">
        <w:rPr>
          <w:rFonts w:cs="Arial"/>
        </w:rPr>
        <w:t xml:space="preserve">both </w:t>
      </w:r>
      <w:r w:rsidRPr="000350C0">
        <w:rPr>
          <w:rFonts w:cs="Arial"/>
        </w:rPr>
        <w:t>continue to provide a model for holistic, survivor-centred care. Over the last decade</w:t>
      </w:r>
      <w:r w:rsidR="00B343EB" w:rsidRPr="000350C0">
        <w:rPr>
          <w:rFonts w:cs="Arial"/>
        </w:rPr>
        <w:t>,</w:t>
      </w:r>
      <w:r w:rsidRPr="000350C0">
        <w:rPr>
          <w:rFonts w:cs="Arial"/>
        </w:rPr>
        <w:t xml:space="preserve"> the</w:t>
      </w:r>
      <w:r w:rsidR="00B343EB" w:rsidRPr="000350C0">
        <w:rPr>
          <w:rFonts w:cs="Arial"/>
        </w:rPr>
        <w:t xml:space="preserve"> </w:t>
      </w:r>
      <w:r w:rsidRPr="000350C0">
        <w:rPr>
          <w:rFonts w:cs="Arial"/>
        </w:rPr>
        <w:t>number of centres in both countries</w:t>
      </w:r>
      <w:r w:rsidR="00B343EB" w:rsidRPr="000350C0">
        <w:rPr>
          <w:rFonts w:cs="Arial"/>
        </w:rPr>
        <w:t xml:space="preserve"> has increased. The </w:t>
      </w:r>
      <w:r w:rsidRPr="000350C0">
        <w:rPr>
          <w:rFonts w:cs="Arial"/>
        </w:rPr>
        <w:t xml:space="preserve">FWCC has branches in four provinces in Fiji and </w:t>
      </w:r>
      <w:r w:rsidR="00B4779C" w:rsidRPr="000350C0">
        <w:rPr>
          <w:rFonts w:cs="Arial"/>
        </w:rPr>
        <w:t xml:space="preserve">the </w:t>
      </w:r>
      <w:r w:rsidRPr="000350C0">
        <w:rPr>
          <w:rFonts w:cs="Arial"/>
        </w:rPr>
        <w:t xml:space="preserve">VWC branches in all six provinces in Vanuatu. </w:t>
      </w:r>
    </w:p>
    <w:p w14:paraId="604BF889" w14:textId="77777777" w:rsidR="00B343EB" w:rsidRDefault="00EF65AE" w:rsidP="00EF65AE">
      <w:pPr>
        <w:rPr>
          <w:rFonts w:cs="Arial"/>
        </w:rPr>
      </w:pPr>
      <w:r w:rsidRPr="000350C0">
        <w:rPr>
          <w:rFonts w:cs="Arial"/>
        </w:rPr>
        <w:t>Australia’s long-term and core funding support has been catalytic in extending the reach of these services. In particular, Australia’s long-term investment in</w:t>
      </w:r>
      <w:r w:rsidR="00B4779C" w:rsidRPr="000350C0">
        <w:rPr>
          <w:rFonts w:cs="Arial"/>
        </w:rPr>
        <w:t xml:space="preserve"> the</w:t>
      </w:r>
      <w:r w:rsidRPr="000350C0">
        <w:rPr>
          <w:rFonts w:cs="Arial"/>
        </w:rPr>
        <w:t xml:space="preserve"> FWCC has had far-reaching impacts beyond Fiji’s borders, as </w:t>
      </w:r>
      <w:r w:rsidR="00B4779C" w:rsidRPr="000350C0">
        <w:rPr>
          <w:rFonts w:cs="Arial"/>
        </w:rPr>
        <w:t xml:space="preserve">the </w:t>
      </w:r>
      <w:r w:rsidRPr="000350C0">
        <w:rPr>
          <w:rFonts w:cs="Arial"/>
        </w:rPr>
        <w:t>FWCC has, in turn, supported the establishment, operations, and</w:t>
      </w:r>
      <w:r w:rsidRPr="00EF65AE">
        <w:rPr>
          <w:rFonts w:cs="Arial"/>
        </w:rPr>
        <w:t xml:space="preserve"> training of women’s centres in other countries throughout the Pacific, including</w:t>
      </w:r>
      <w:r w:rsidR="00B343EB">
        <w:rPr>
          <w:rFonts w:cs="Arial"/>
        </w:rPr>
        <w:t xml:space="preserve"> the:</w:t>
      </w:r>
    </w:p>
    <w:p w14:paraId="5D8A805A" w14:textId="4E867F11" w:rsidR="00B343EB" w:rsidRDefault="00EF65AE" w:rsidP="00B343EB">
      <w:pPr>
        <w:pStyle w:val="ListBullet"/>
      </w:pPr>
      <w:r w:rsidRPr="00EF65AE">
        <w:t>Family Support Centre in Solomon Islands</w:t>
      </w:r>
    </w:p>
    <w:p w14:paraId="256ADBB5" w14:textId="77777777" w:rsidR="00B343EB" w:rsidRDefault="00EF65AE" w:rsidP="00B343EB">
      <w:pPr>
        <w:pStyle w:val="ListBullet"/>
      </w:pPr>
      <w:r w:rsidRPr="00EF65AE">
        <w:t>Tonga Women and Children Crisis Centre</w:t>
      </w:r>
    </w:p>
    <w:p w14:paraId="0F7B6E85" w14:textId="77777777" w:rsidR="00B343EB" w:rsidRDefault="00EF65AE" w:rsidP="00F2275E">
      <w:pPr>
        <w:pStyle w:val="ListBullet"/>
      </w:pPr>
      <w:r w:rsidRPr="00EF65AE">
        <w:t>Kiribati Women and Children Support Centre</w:t>
      </w:r>
      <w:r w:rsidR="00B343EB">
        <w:t>.</w:t>
      </w:r>
    </w:p>
    <w:p w14:paraId="0D4BADE6" w14:textId="77777777" w:rsidR="00EF65AE" w:rsidRPr="00EF65AE" w:rsidRDefault="00EF65AE" w:rsidP="00EF65AE">
      <w:pPr>
        <w:rPr>
          <w:rFonts w:cs="Arial"/>
        </w:rPr>
      </w:pPr>
      <w:r w:rsidRPr="00EF65AE">
        <w:rPr>
          <w:rFonts w:cs="Arial"/>
        </w:rPr>
        <w:t>In addition to advocacy, training and community mobilisation activities, these centres provide comprehensive survivor-centred care, including psychosocial counselling, legal support, and shelter in some cases</w:t>
      </w:r>
      <w:r w:rsidR="00E2253F">
        <w:rPr>
          <w:rFonts w:cs="Arial"/>
        </w:rPr>
        <w:t xml:space="preserve">. </w:t>
      </w:r>
    </w:p>
    <w:p w14:paraId="2B5B1245" w14:textId="77777777" w:rsidR="00EF65AE" w:rsidRPr="00741064" w:rsidRDefault="00EF65AE" w:rsidP="00EF65AE">
      <w:pPr>
        <w:rPr>
          <w:rFonts w:cs="Arial"/>
        </w:rPr>
      </w:pPr>
      <w:r w:rsidRPr="00EF65AE">
        <w:rPr>
          <w:rFonts w:cs="Arial"/>
        </w:rPr>
        <w:t xml:space="preserve">In Timor-Leste, through the </w:t>
      </w:r>
      <w:r w:rsidRPr="00EF65AE">
        <w:rPr>
          <w:rFonts w:cs="Arial"/>
          <w:i/>
        </w:rPr>
        <w:t>Nabilan</w:t>
      </w:r>
      <w:r w:rsidRPr="00EF65AE">
        <w:rPr>
          <w:rFonts w:cs="Arial"/>
        </w:rPr>
        <w:t xml:space="preserve"> program, Australia has invested in building a strong</w:t>
      </w:r>
      <w:r w:rsidR="002E0534">
        <w:rPr>
          <w:rFonts w:cs="Arial"/>
        </w:rPr>
        <w:t>,</w:t>
      </w:r>
      <w:r w:rsidRPr="00EF65AE">
        <w:rPr>
          <w:rFonts w:cs="Arial"/>
        </w:rPr>
        <w:t xml:space="preserve"> functioning referral service, ensuring that, regardless of where survivor</w:t>
      </w:r>
      <w:r w:rsidR="00B343EB">
        <w:rPr>
          <w:rFonts w:cs="Arial"/>
        </w:rPr>
        <w:t>s</w:t>
      </w:r>
      <w:r w:rsidRPr="00EF65AE">
        <w:rPr>
          <w:rFonts w:cs="Arial"/>
        </w:rPr>
        <w:t xml:space="preserve"> enter first, </w:t>
      </w:r>
      <w:r w:rsidR="00B343EB">
        <w:rPr>
          <w:rFonts w:cs="Arial"/>
        </w:rPr>
        <w:t>they</w:t>
      </w:r>
      <w:r w:rsidRPr="00EF65AE">
        <w:rPr>
          <w:rFonts w:cs="Arial"/>
        </w:rPr>
        <w:t xml:space="preserve"> will have access to all services require</w:t>
      </w:r>
      <w:r w:rsidR="009828D0">
        <w:rPr>
          <w:rFonts w:cs="Arial"/>
        </w:rPr>
        <w:t>d</w:t>
      </w:r>
      <w:r w:rsidRPr="00EF65AE">
        <w:rPr>
          <w:rFonts w:cs="Arial"/>
        </w:rPr>
        <w:t>.</w:t>
      </w:r>
      <w:r w:rsidR="00AE6A11">
        <w:rPr>
          <w:rFonts w:cs="Arial"/>
        </w:rPr>
        <w:t xml:space="preserve"> </w:t>
      </w:r>
      <w:r w:rsidR="00AE6A11" w:rsidRPr="00BC7F33">
        <w:rPr>
          <w:color w:val="auto"/>
        </w:rPr>
        <w:t xml:space="preserve">Through funding from </w:t>
      </w:r>
      <w:r w:rsidR="00AE6A11" w:rsidRPr="00BC7F33">
        <w:rPr>
          <w:i/>
          <w:iCs/>
          <w:color w:val="auto"/>
        </w:rPr>
        <w:t>Nabilan</w:t>
      </w:r>
      <w:r w:rsidR="002E0534" w:rsidRPr="00BC7F33">
        <w:rPr>
          <w:color w:val="auto"/>
        </w:rPr>
        <w:t>,</w:t>
      </w:r>
      <w:r w:rsidR="00AE6A11" w:rsidRPr="00BC7F33">
        <w:rPr>
          <w:color w:val="auto"/>
        </w:rPr>
        <w:t xml:space="preserve"> </w:t>
      </w:r>
      <w:r w:rsidR="002E0534" w:rsidRPr="00BC7F33">
        <w:rPr>
          <w:color w:val="auto"/>
        </w:rPr>
        <w:t>Psychosocial Recovery and Development in East Timor</w:t>
      </w:r>
      <w:r w:rsidR="00DA259B">
        <w:rPr>
          <w:color w:val="auto"/>
        </w:rPr>
        <w:t xml:space="preserve"> (</w:t>
      </w:r>
      <w:r w:rsidR="00BC7F33">
        <w:rPr>
          <w:color w:val="auto"/>
        </w:rPr>
        <w:t>PRADET</w:t>
      </w:r>
      <w:r w:rsidR="00DA259B">
        <w:rPr>
          <w:color w:val="auto"/>
        </w:rPr>
        <w:t>)</w:t>
      </w:r>
      <w:r w:rsidR="00BC7F33">
        <w:rPr>
          <w:color w:val="auto"/>
        </w:rPr>
        <w:t xml:space="preserve"> </w:t>
      </w:r>
      <w:r w:rsidR="00AE6A11" w:rsidRPr="00BC7F33">
        <w:rPr>
          <w:color w:val="auto"/>
        </w:rPr>
        <w:t xml:space="preserve">has established </w:t>
      </w:r>
      <w:r w:rsidR="00AE6A11" w:rsidRPr="00BC7F33">
        <w:rPr>
          <w:i/>
          <w:iCs/>
          <w:color w:val="auto"/>
        </w:rPr>
        <w:t>Fatin Hakamteks</w:t>
      </w:r>
      <w:r w:rsidR="00AE6A11" w:rsidRPr="00BC7F33">
        <w:rPr>
          <w:color w:val="auto"/>
        </w:rPr>
        <w:t xml:space="preserve"> or </w:t>
      </w:r>
      <w:r w:rsidR="002E0534" w:rsidRPr="00BC7F33">
        <w:rPr>
          <w:color w:val="auto"/>
        </w:rPr>
        <w:t>‘</w:t>
      </w:r>
      <w:r w:rsidR="00AE6A11" w:rsidRPr="00BC7F33">
        <w:rPr>
          <w:color w:val="auto"/>
        </w:rPr>
        <w:t>quiet places</w:t>
      </w:r>
      <w:r w:rsidR="002E0534" w:rsidRPr="00BC7F33">
        <w:rPr>
          <w:color w:val="auto"/>
        </w:rPr>
        <w:t>’</w:t>
      </w:r>
      <w:r w:rsidR="00AE6A11" w:rsidRPr="00BC7F33">
        <w:rPr>
          <w:color w:val="auto"/>
        </w:rPr>
        <w:t xml:space="preserve"> in </w:t>
      </w:r>
      <w:r w:rsidR="002E0534" w:rsidRPr="00BC7F33">
        <w:rPr>
          <w:color w:val="auto"/>
        </w:rPr>
        <w:t>five</w:t>
      </w:r>
      <w:r w:rsidR="00AE6A11" w:rsidRPr="00BC7F33">
        <w:rPr>
          <w:color w:val="auto"/>
        </w:rPr>
        <w:t xml:space="preserve"> locations on hospital grounds</w:t>
      </w:r>
      <w:r w:rsidR="002E0534" w:rsidRPr="00BC7F33">
        <w:rPr>
          <w:color w:val="auto"/>
        </w:rPr>
        <w:t>. These</w:t>
      </w:r>
      <w:r w:rsidR="00AE6A11" w:rsidRPr="00BC7F33">
        <w:rPr>
          <w:color w:val="auto"/>
        </w:rPr>
        <w:t xml:space="preserve"> provide counselling, medical forensic protocol examinations, emergency medical care</w:t>
      </w:r>
      <w:r w:rsidR="002E0534" w:rsidRPr="00BC7F33">
        <w:rPr>
          <w:color w:val="auto"/>
        </w:rPr>
        <w:t xml:space="preserve"> and</w:t>
      </w:r>
      <w:r w:rsidR="00AE6A11" w:rsidRPr="00BC7F33">
        <w:rPr>
          <w:color w:val="auto"/>
        </w:rPr>
        <w:t xml:space="preserve"> temporary safe accommodation. Australian</w:t>
      </w:r>
      <w:r w:rsidR="002E0534" w:rsidRPr="00BC7F33">
        <w:rPr>
          <w:color w:val="auto"/>
        </w:rPr>
        <w:t>-</w:t>
      </w:r>
      <w:r w:rsidR="00AE6A11" w:rsidRPr="00BC7F33">
        <w:rPr>
          <w:color w:val="auto"/>
        </w:rPr>
        <w:t xml:space="preserve">funded legal aid officers attend clients at the </w:t>
      </w:r>
      <w:r w:rsidR="00AE6A11" w:rsidRPr="00BC7F33">
        <w:rPr>
          <w:i/>
          <w:iCs/>
          <w:color w:val="auto"/>
        </w:rPr>
        <w:t>Fatin Hak</w:t>
      </w:r>
      <w:r w:rsidR="004F127B">
        <w:rPr>
          <w:i/>
          <w:iCs/>
          <w:color w:val="auto"/>
        </w:rPr>
        <w:t>am</w:t>
      </w:r>
      <w:r w:rsidR="00AE6A11" w:rsidRPr="00BC7F33">
        <w:rPr>
          <w:i/>
          <w:iCs/>
          <w:color w:val="auto"/>
        </w:rPr>
        <w:t>tek</w:t>
      </w:r>
      <w:r w:rsidR="005A0A1E" w:rsidRPr="00BC7F33">
        <w:rPr>
          <w:i/>
          <w:iCs/>
          <w:color w:val="auto"/>
        </w:rPr>
        <w:t>s</w:t>
      </w:r>
      <w:r w:rsidR="00AE6A11" w:rsidRPr="00BC7F33">
        <w:rPr>
          <w:color w:val="auto"/>
        </w:rPr>
        <w:t>.</w:t>
      </w:r>
      <w:r w:rsidR="00E2253F" w:rsidRPr="00BC7F33">
        <w:rPr>
          <w:rFonts w:cs="Arial"/>
          <w:color w:val="auto"/>
        </w:rPr>
        <w:t xml:space="preserve"> </w:t>
      </w:r>
      <w:r w:rsidR="00BF07A9" w:rsidRPr="00BC7F33">
        <w:rPr>
          <w:rFonts w:cs="Arial"/>
          <w:color w:val="auto"/>
        </w:rPr>
        <w:t xml:space="preserve">In </w:t>
      </w:r>
      <w:r w:rsidR="00BF07A9">
        <w:rPr>
          <w:rFonts w:cs="Arial"/>
        </w:rPr>
        <w:t>PNG</w:t>
      </w:r>
      <w:r w:rsidR="005A0A1E">
        <w:rPr>
          <w:rFonts w:cs="Arial"/>
        </w:rPr>
        <w:t>,</w:t>
      </w:r>
      <w:r w:rsidR="00BF07A9" w:rsidRPr="00BF07A9">
        <w:t xml:space="preserve"> </w:t>
      </w:r>
      <w:r w:rsidR="00BF07A9">
        <w:t xml:space="preserve">integrated services providers supported by Australia include Femili PNG and </w:t>
      </w:r>
      <w:r w:rsidR="005A0A1E">
        <w:t xml:space="preserve">the </w:t>
      </w:r>
      <w:r w:rsidR="00BF07A9">
        <w:t>FSVAC.</w:t>
      </w:r>
    </w:p>
    <w:p w14:paraId="5FD8A001" w14:textId="77777777" w:rsidR="00EF65AE" w:rsidRPr="00EF65AE" w:rsidRDefault="00EF65AE" w:rsidP="003B7D21">
      <w:pPr>
        <w:pStyle w:val="Heading3NoTOC"/>
      </w:pPr>
      <w:r w:rsidRPr="00EF65AE">
        <w:t>Health sector response</w:t>
      </w:r>
    </w:p>
    <w:p w14:paraId="147F3662" w14:textId="671D5FAC" w:rsidR="005A0A1E" w:rsidRDefault="00EF65AE" w:rsidP="00EF65AE">
      <w:pPr>
        <w:rPr>
          <w:rFonts w:cs="Arial"/>
        </w:rPr>
      </w:pPr>
      <w:r w:rsidRPr="00EF65AE">
        <w:rPr>
          <w:rFonts w:cs="Arial"/>
        </w:rPr>
        <w:t>The 2008 ODE report noted that, compared to the justice sector, the health sector lagged in EVAWG responses, regionally</w:t>
      </w:r>
      <w:r w:rsidR="009828D0">
        <w:rPr>
          <w:rFonts w:cs="Arial"/>
        </w:rPr>
        <w:t xml:space="preserve"> and</w:t>
      </w:r>
      <w:r w:rsidRPr="00EF65AE">
        <w:rPr>
          <w:rFonts w:cs="Arial"/>
        </w:rPr>
        <w:t xml:space="preserve"> globally. The report recommended that Australia s</w:t>
      </w:r>
      <w:r w:rsidR="00DA259B">
        <w:rPr>
          <w:rFonts w:cs="Arial"/>
        </w:rPr>
        <w:t xml:space="preserve">hould work to </w:t>
      </w:r>
      <w:r w:rsidRPr="00EF65AE">
        <w:rPr>
          <w:rFonts w:cs="Arial"/>
        </w:rPr>
        <w:t>strengthen health sector responses to survivors of VAWG</w:t>
      </w:r>
      <w:r w:rsidR="005A0A1E">
        <w:rPr>
          <w:rFonts w:cs="Arial"/>
        </w:rPr>
        <w:t xml:space="preserve"> by</w:t>
      </w:r>
      <w:r w:rsidR="00DA259B">
        <w:rPr>
          <w:rFonts w:cs="Arial"/>
        </w:rPr>
        <w:t xml:space="preserve"> </w:t>
      </w:r>
      <w:r w:rsidR="00DA259B">
        <w:t>supporting</w:t>
      </w:r>
      <w:r w:rsidR="00D74A07">
        <w:t xml:space="preserve"> the</w:t>
      </w:r>
      <w:r w:rsidR="005A0A1E">
        <w:rPr>
          <w:rFonts w:cs="Arial"/>
        </w:rPr>
        <w:t>:</w:t>
      </w:r>
    </w:p>
    <w:p w14:paraId="6F561648" w14:textId="020FBE47" w:rsidR="005A0A1E" w:rsidRDefault="005A0A1E" w:rsidP="005A0A1E">
      <w:pPr>
        <w:pStyle w:val="ListBullet"/>
      </w:pPr>
      <w:r>
        <w:t>provi</w:t>
      </w:r>
      <w:r w:rsidR="00DA259B">
        <w:t>sion of</w:t>
      </w:r>
      <w:r w:rsidR="00EF65AE" w:rsidRPr="00EF65AE">
        <w:t xml:space="preserve"> stand</w:t>
      </w:r>
      <w:r w:rsidR="009828D0">
        <w:t>-</w:t>
      </w:r>
      <w:r w:rsidR="00EF65AE" w:rsidRPr="00EF65AE">
        <w:t>alone services</w:t>
      </w:r>
    </w:p>
    <w:p w14:paraId="54A1A956" w14:textId="0E2312CD" w:rsidR="00EF65AE" w:rsidRPr="00EF65AE" w:rsidRDefault="00EF65AE" w:rsidP="00BC7F33">
      <w:pPr>
        <w:pStyle w:val="ListBullet"/>
      </w:pPr>
      <w:r w:rsidRPr="00EF65AE">
        <w:t xml:space="preserve">mainstreaming </w:t>
      </w:r>
      <w:r w:rsidR="00D74A07">
        <w:t>of t</w:t>
      </w:r>
      <w:r w:rsidR="005A0A1E">
        <w:t xml:space="preserve">he </w:t>
      </w:r>
      <w:r w:rsidRPr="00EF65AE">
        <w:t>identification</w:t>
      </w:r>
      <w:r w:rsidR="005A0A1E">
        <w:t xml:space="preserve"> of</w:t>
      </w:r>
      <w:r w:rsidRPr="00EF65AE">
        <w:t xml:space="preserve"> and response to EVAWG into primary care and </w:t>
      </w:r>
      <w:r w:rsidR="005468A7">
        <w:br/>
      </w:r>
      <w:r w:rsidRPr="00EF65AE">
        <w:t>emergency care</w:t>
      </w:r>
      <w:r w:rsidR="00E2253F">
        <w:t xml:space="preserve">. </w:t>
      </w:r>
    </w:p>
    <w:p w14:paraId="58EA38B5" w14:textId="5609C461" w:rsidR="00EF65AE" w:rsidRPr="009828D0" w:rsidRDefault="00DA259B" w:rsidP="009828D0">
      <w:pPr>
        <w:rPr>
          <w:rFonts w:cs="Arial"/>
        </w:rPr>
      </w:pPr>
      <w:r>
        <w:rPr>
          <w:rFonts w:cs="Arial"/>
        </w:rPr>
        <w:t>This evaluation found that Australian efforts have contributed to</w:t>
      </w:r>
      <w:r w:rsidR="00EF65AE" w:rsidRPr="009828D0">
        <w:rPr>
          <w:rFonts w:cs="Arial"/>
        </w:rPr>
        <w:t xml:space="preserve"> </w:t>
      </w:r>
      <w:r>
        <w:rPr>
          <w:rFonts w:cs="Arial"/>
        </w:rPr>
        <w:t>considerable</w:t>
      </w:r>
      <w:r w:rsidR="005A0A1E">
        <w:rPr>
          <w:rFonts w:cs="Arial"/>
        </w:rPr>
        <w:t xml:space="preserve"> improv</w:t>
      </w:r>
      <w:r>
        <w:rPr>
          <w:rFonts w:cs="Arial"/>
        </w:rPr>
        <w:t>ement in</w:t>
      </w:r>
      <w:r w:rsidR="005A0A1E">
        <w:rPr>
          <w:rFonts w:cs="Arial"/>
        </w:rPr>
        <w:t xml:space="preserve"> health sector response</w:t>
      </w:r>
      <w:r w:rsidR="00EF65AE" w:rsidRPr="009828D0">
        <w:rPr>
          <w:rFonts w:cs="Arial"/>
        </w:rPr>
        <w:t xml:space="preserve">, </w:t>
      </w:r>
      <w:r w:rsidR="00BC7F33">
        <w:rPr>
          <w:rFonts w:cs="Arial"/>
        </w:rPr>
        <w:t xml:space="preserve">and </w:t>
      </w:r>
      <w:r w:rsidR="005A0A1E">
        <w:rPr>
          <w:rFonts w:cs="Arial"/>
        </w:rPr>
        <w:t>supported</w:t>
      </w:r>
      <w:r w:rsidR="005A0A1E" w:rsidRPr="009828D0">
        <w:rPr>
          <w:rFonts w:cs="Arial"/>
        </w:rPr>
        <w:t xml:space="preserve"> </w:t>
      </w:r>
      <w:r w:rsidR="00EF65AE" w:rsidRPr="009828D0">
        <w:rPr>
          <w:rFonts w:cs="Arial"/>
        </w:rPr>
        <w:t>the development of global standards and protocols for improvi</w:t>
      </w:r>
      <w:r w:rsidR="00BC7F33">
        <w:rPr>
          <w:rFonts w:cs="Arial"/>
        </w:rPr>
        <w:t>ng the quality of VAWG services</w:t>
      </w:r>
      <w:r w:rsidR="00E0277E">
        <w:rPr>
          <w:rFonts w:cs="Arial"/>
        </w:rPr>
        <w:t>.</w:t>
      </w:r>
      <w:r w:rsidR="00BC7F33">
        <w:rPr>
          <w:rFonts w:cs="Arial"/>
        </w:rPr>
        <w:t xml:space="preserve"> </w:t>
      </w:r>
      <w:r w:rsidR="00E0277E">
        <w:rPr>
          <w:rFonts w:cs="Arial"/>
        </w:rPr>
        <w:t>I</w:t>
      </w:r>
      <w:r w:rsidR="00BC7F33">
        <w:rPr>
          <w:rFonts w:cs="Arial"/>
        </w:rPr>
        <w:t>ncluding</w:t>
      </w:r>
      <w:r w:rsidR="00E0277E">
        <w:rPr>
          <w:rFonts w:cs="Arial"/>
        </w:rPr>
        <w:t xml:space="preserve"> the</w:t>
      </w:r>
      <w:r w:rsidR="00EF65AE" w:rsidRPr="009828D0">
        <w:rPr>
          <w:rFonts w:cs="Arial"/>
        </w:rPr>
        <w:t xml:space="preserve">: </w:t>
      </w:r>
    </w:p>
    <w:p w14:paraId="2C8E6A3F" w14:textId="77777777" w:rsidR="00EF65AE" w:rsidRPr="00EF65AE" w:rsidRDefault="00EF65AE" w:rsidP="003B7D21">
      <w:pPr>
        <w:pStyle w:val="ListBullet"/>
      </w:pPr>
      <w:r w:rsidRPr="00EF65AE">
        <w:t>E</w:t>
      </w:r>
      <w:r w:rsidR="008B0402">
        <w:t>ssential Services Package</w:t>
      </w:r>
      <w:r w:rsidRPr="00EF65AE">
        <w:t>, devel</w:t>
      </w:r>
      <w:r w:rsidR="004F127B">
        <w:t>oped through a joint UN Program</w:t>
      </w:r>
      <w:r w:rsidRPr="00EF65AE">
        <w:t xml:space="preserve"> with funding from Australia</w:t>
      </w:r>
      <w:r w:rsidR="004F127B">
        <w:t xml:space="preserve">, which </w:t>
      </w:r>
      <w:r w:rsidR="004F127B" w:rsidRPr="00EF65AE">
        <w:rPr>
          <w:rFonts w:cs="Arial"/>
        </w:rPr>
        <w:t>aims to bridge the gap between international commitments on ending and responding to VAWG and what is implemented at country level</w:t>
      </w:r>
      <w:r w:rsidR="004F127B">
        <w:rPr>
          <w:rFonts w:cs="Arial"/>
        </w:rPr>
        <w:t>.</w:t>
      </w:r>
      <w:r w:rsidRPr="00EF65AE">
        <w:t xml:space="preserve"> </w:t>
      </w:r>
    </w:p>
    <w:p w14:paraId="6E8EBB57" w14:textId="77777777" w:rsidR="00EF65AE" w:rsidRPr="00EF65AE" w:rsidRDefault="009828D0" w:rsidP="003B7D21">
      <w:pPr>
        <w:pStyle w:val="ListBullet"/>
      </w:pPr>
      <w:r>
        <w:t>W</w:t>
      </w:r>
      <w:r w:rsidR="00DA261D">
        <w:t>HO</w:t>
      </w:r>
      <w:r w:rsidR="005A0A1E">
        <w:t>’s</w:t>
      </w:r>
      <w:r w:rsidR="00EF65AE" w:rsidRPr="00EF65AE">
        <w:t xml:space="preserve"> Clinical and Policy Guidelines for Responding to Intimate Partner Violence and Sexual Violence against Women, which form</w:t>
      </w:r>
      <w:r w:rsidR="004F127B">
        <w:t>s</w:t>
      </w:r>
      <w:r w:rsidR="00EF65AE" w:rsidRPr="00EF65AE">
        <w:t xml:space="preserve"> the foundation for the services component of the E</w:t>
      </w:r>
      <w:r w:rsidR="008B0402">
        <w:t>ssential Services Package</w:t>
      </w:r>
      <w:r w:rsidR="00EF65AE" w:rsidRPr="00EF65AE">
        <w:t xml:space="preserve">. </w:t>
      </w:r>
    </w:p>
    <w:p w14:paraId="74B5EB3E" w14:textId="00A69A68" w:rsidR="00EF65AE" w:rsidRPr="000350C0" w:rsidRDefault="00EF65AE" w:rsidP="00EF65AE">
      <w:pPr>
        <w:rPr>
          <w:rFonts w:cs="Arial"/>
        </w:rPr>
      </w:pPr>
      <w:r w:rsidRPr="00EF65AE">
        <w:rPr>
          <w:rFonts w:cs="Arial"/>
        </w:rPr>
        <w:t xml:space="preserve">Both </w:t>
      </w:r>
      <w:r w:rsidR="005A0A1E">
        <w:rPr>
          <w:rFonts w:cs="Arial"/>
        </w:rPr>
        <w:t xml:space="preserve">initiatives </w:t>
      </w:r>
      <w:r w:rsidRPr="00EF65AE">
        <w:rPr>
          <w:rFonts w:cs="Arial"/>
        </w:rPr>
        <w:t>provide clear guidance for policy makers a</w:t>
      </w:r>
      <w:r w:rsidR="009828D0">
        <w:rPr>
          <w:rFonts w:cs="Arial"/>
        </w:rPr>
        <w:t>nd</w:t>
      </w:r>
      <w:r w:rsidRPr="00EF65AE">
        <w:rPr>
          <w:rFonts w:cs="Arial"/>
        </w:rPr>
        <w:t xml:space="preserve"> program managers for </w:t>
      </w:r>
      <w:r w:rsidR="009828D0">
        <w:rPr>
          <w:rFonts w:cs="Arial"/>
        </w:rPr>
        <w:t>providing</w:t>
      </w:r>
      <w:r w:rsidRPr="00EF65AE">
        <w:rPr>
          <w:rFonts w:cs="Arial"/>
        </w:rPr>
        <w:t xml:space="preserve"> quality </w:t>
      </w:r>
      <w:r w:rsidR="009828D0" w:rsidRPr="00EF65AE">
        <w:rPr>
          <w:rFonts w:cs="Arial"/>
        </w:rPr>
        <w:t xml:space="preserve">VAWG </w:t>
      </w:r>
      <w:r w:rsidRPr="00EF65AE">
        <w:rPr>
          <w:rFonts w:cs="Arial"/>
        </w:rPr>
        <w:t>services.</w:t>
      </w:r>
      <w:r w:rsidRPr="000350C0">
        <w:rPr>
          <w:rFonts w:cs="Arial"/>
        </w:rPr>
        <w:t xml:space="preserve"> </w:t>
      </w:r>
      <w:r w:rsidRPr="00BC7F33">
        <w:rPr>
          <w:rFonts w:cs="Arial"/>
        </w:rPr>
        <w:t>Australian funding</w:t>
      </w:r>
      <w:r w:rsidR="00BC7F33">
        <w:rPr>
          <w:rFonts w:cs="Arial"/>
        </w:rPr>
        <w:t xml:space="preserve"> has enabled these</w:t>
      </w:r>
      <w:r w:rsidRPr="00BC7F33">
        <w:rPr>
          <w:rFonts w:cs="Arial"/>
        </w:rPr>
        <w:t xml:space="preserve"> guidelines </w:t>
      </w:r>
      <w:r w:rsidR="00BC7F33">
        <w:rPr>
          <w:rFonts w:cs="Arial"/>
        </w:rPr>
        <w:t>to be</w:t>
      </w:r>
      <w:r w:rsidRPr="00BC7F33">
        <w:rPr>
          <w:rFonts w:cs="Arial"/>
        </w:rPr>
        <w:t xml:space="preserve"> adapted and adopted by several countries</w:t>
      </w:r>
      <w:r w:rsidRPr="000350C0">
        <w:rPr>
          <w:rFonts w:cs="Arial"/>
        </w:rPr>
        <w:t xml:space="preserve"> in </w:t>
      </w:r>
      <w:r w:rsidR="00BC7F33">
        <w:rPr>
          <w:rFonts w:cs="Arial"/>
        </w:rPr>
        <w:t xml:space="preserve">the </w:t>
      </w:r>
      <w:r w:rsidR="006B129C">
        <w:rPr>
          <w:rFonts w:cs="Arial"/>
        </w:rPr>
        <w:t>Indo-</w:t>
      </w:r>
      <w:r w:rsidR="00BC7F33">
        <w:rPr>
          <w:rFonts w:cs="Arial"/>
        </w:rPr>
        <w:t xml:space="preserve">Pacific </w:t>
      </w:r>
      <w:r w:rsidRPr="000350C0">
        <w:rPr>
          <w:rFonts w:cs="Arial"/>
        </w:rPr>
        <w:t xml:space="preserve">(Box 9). </w:t>
      </w:r>
    </w:p>
    <w:p w14:paraId="020EA66F" w14:textId="77777777" w:rsidR="00EF65AE" w:rsidRPr="00EF65AE" w:rsidRDefault="00EF65AE" w:rsidP="00BC7F33">
      <w:pPr>
        <w:pStyle w:val="CallOutHeading"/>
        <w:pBdr>
          <w:bottom w:val="single" w:sz="8" w:space="13" w:color="D8DBDA" w:themeColor="accent5"/>
        </w:pBdr>
        <w:rPr>
          <w:rFonts w:cs="Arial"/>
        </w:rPr>
      </w:pPr>
      <w:r w:rsidRPr="00EF65AE">
        <w:rPr>
          <w:rFonts w:cs="Arial"/>
        </w:rPr>
        <w:t xml:space="preserve">Box 9: Australian support for essential health services </w:t>
      </w:r>
    </w:p>
    <w:p w14:paraId="07139C03" w14:textId="77777777" w:rsidR="00EF65AE" w:rsidRPr="00BD7752" w:rsidRDefault="00EF65AE" w:rsidP="00BC7F33">
      <w:pPr>
        <w:pStyle w:val="CallOutBody"/>
        <w:pBdr>
          <w:bottom w:val="single" w:sz="8" w:space="13" w:color="D8DBDA" w:themeColor="accent5"/>
        </w:pBdr>
      </w:pPr>
      <w:r w:rsidRPr="00BD7752">
        <w:t>With technical and financial support from Australia and UN Women, the Government of Fiji launched Fiji’s Service Delivery Protocol in March 2018. It is designed for key agencies deal</w:t>
      </w:r>
      <w:r w:rsidR="00F35215">
        <w:t>ing</w:t>
      </w:r>
      <w:r w:rsidRPr="00BD7752">
        <w:t xml:space="preserve"> directly with survivors of violence. The protocol details who is responsible, and for what, and when a case is reported. It is expected to improve collaboration, efficiency and effectiveness, as well as line ministries’ awareness of their responsibilities. </w:t>
      </w:r>
    </w:p>
    <w:p w14:paraId="1654CE99" w14:textId="22D2852B" w:rsidR="00EF65AE" w:rsidRPr="00BD7752" w:rsidRDefault="00EF65AE" w:rsidP="00BC7F33">
      <w:pPr>
        <w:pStyle w:val="CallOutBody"/>
        <w:pBdr>
          <w:bottom w:val="single" w:sz="8" w:space="13" w:color="D8DBDA" w:themeColor="accent5"/>
        </w:pBdr>
      </w:pPr>
      <w:r w:rsidRPr="00BD7752">
        <w:t xml:space="preserve">In PNG, Australia supported the National Department of Health in drafting </w:t>
      </w:r>
      <w:r w:rsidR="009828D0">
        <w:t>s</w:t>
      </w:r>
      <w:r w:rsidRPr="00BD7752">
        <w:t xml:space="preserve">tandard </w:t>
      </w:r>
      <w:r w:rsidR="009828D0">
        <w:t>o</w:t>
      </w:r>
      <w:r w:rsidRPr="00BD7752">
        <w:t xml:space="preserve">perating </w:t>
      </w:r>
      <w:r w:rsidR="009828D0">
        <w:t>p</w:t>
      </w:r>
      <w:r w:rsidRPr="00BD7752">
        <w:t xml:space="preserve">rocedures to identify responsibilities, referral systems and standards of practice. The National Department of Health has worked with WHO to adapt the </w:t>
      </w:r>
      <w:r w:rsidR="009828D0">
        <w:t>c</w:t>
      </w:r>
      <w:r w:rsidRPr="00BD7752">
        <w:t xml:space="preserve">linical </w:t>
      </w:r>
      <w:r w:rsidR="009828D0">
        <w:t>g</w:t>
      </w:r>
      <w:r w:rsidRPr="00BD7752">
        <w:t>uidelines, including the five essential services currently provided by the F</w:t>
      </w:r>
      <w:r w:rsidR="00027336">
        <w:t>SCs.</w:t>
      </w:r>
      <w:r w:rsidRPr="00BD7752">
        <w:t xml:space="preserve"> Once rolled out, the</w:t>
      </w:r>
      <w:r w:rsidR="00F35215">
        <w:t xml:space="preserve"> guidelines</w:t>
      </w:r>
      <w:r w:rsidRPr="00BD7752">
        <w:t xml:space="preserve"> have the potential to improve the FSC</w:t>
      </w:r>
      <w:r w:rsidR="00F35215">
        <w:t>'</w:t>
      </w:r>
      <w:r w:rsidRPr="00BD7752">
        <w:t>s</w:t>
      </w:r>
      <w:r w:rsidR="00F35215">
        <w:t xml:space="preserve"> </w:t>
      </w:r>
      <w:r w:rsidRPr="00BD7752">
        <w:t xml:space="preserve">coordination with hospitals. </w:t>
      </w:r>
    </w:p>
    <w:p w14:paraId="4E869432" w14:textId="77777777" w:rsidR="00EF65AE" w:rsidRPr="00BD7752" w:rsidRDefault="00EF65AE" w:rsidP="00BD7752">
      <w:pPr>
        <w:pStyle w:val="CallOutBody"/>
      </w:pPr>
      <w:r w:rsidRPr="00BD7752">
        <w:t>In Solomon Islands, an E</w:t>
      </w:r>
      <w:r w:rsidR="008B0402">
        <w:t>ssential Services Package</w:t>
      </w:r>
      <w:r w:rsidRPr="00BD7752">
        <w:t xml:space="preserve"> pilot country (together with Kiribati), Australia has supported UN Women, UNFPA and Solomon Islands Government to roll out the package of essential services. UNFPA and WHO also work with the Ministry of Health and Medical Services and policy makers to map services and address gaps in access. </w:t>
      </w:r>
    </w:p>
    <w:p w14:paraId="1BF01DD7" w14:textId="2E1C9382" w:rsidR="00C10891" w:rsidRDefault="0057488E" w:rsidP="00BD7752">
      <w:pPr>
        <w:pStyle w:val="CallOutBody"/>
      </w:pPr>
      <w:r>
        <w:t xml:space="preserve">In Timor-Leste, the Australian-funded </w:t>
      </w:r>
      <w:r>
        <w:rPr>
          <w:i/>
          <w:iCs/>
        </w:rPr>
        <w:t xml:space="preserve">Nabilan </w:t>
      </w:r>
      <w:r w:rsidR="00732479">
        <w:t>p</w:t>
      </w:r>
      <w:r>
        <w:t>rogram implemented the WHO</w:t>
      </w:r>
      <w:r w:rsidR="00F35215">
        <w:t xml:space="preserve"> c</w:t>
      </w:r>
      <w:r>
        <w:t xml:space="preserve">linical </w:t>
      </w:r>
      <w:r w:rsidR="00F35215">
        <w:t>g</w:t>
      </w:r>
      <w:r>
        <w:t>uidelines through</w:t>
      </w:r>
      <w:r w:rsidR="00E0277E">
        <w:t xml:space="preserve"> the</w:t>
      </w:r>
      <w:r>
        <w:t xml:space="preserve"> training </w:t>
      </w:r>
      <w:r w:rsidRPr="00BC7F33">
        <w:rPr>
          <w:color w:val="auto"/>
        </w:rPr>
        <w:t>of Ministry of Health medical forensic examiners and</w:t>
      </w:r>
      <w:r w:rsidR="002E0534" w:rsidRPr="00BC7F33">
        <w:rPr>
          <w:color w:val="auto"/>
        </w:rPr>
        <w:t xml:space="preserve"> </w:t>
      </w:r>
      <w:r w:rsidR="004F127B">
        <w:rPr>
          <w:color w:val="auto"/>
        </w:rPr>
        <w:t>PRADET</w:t>
      </w:r>
      <w:r w:rsidR="00BC7F33">
        <w:rPr>
          <w:color w:val="auto"/>
        </w:rPr>
        <w:t xml:space="preserve"> </w:t>
      </w:r>
      <w:r w:rsidRPr="00BC7F33">
        <w:rPr>
          <w:color w:val="auto"/>
        </w:rPr>
        <w:t xml:space="preserve">safe </w:t>
      </w:r>
      <w:r>
        <w:t xml:space="preserve">house staff. </w:t>
      </w:r>
    </w:p>
    <w:p w14:paraId="65B590D4" w14:textId="77777777" w:rsidR="00EF65AE" w:rsidRPr="00BD7752" w:rsidRDefault="0057488E" w:rsidP="00BD7752">
      <w:pPr>
        <w:pStyle w:val="CallOutBody"/>
      </w:pPr>
      <w:r w:rsidRPr="00BC7F33">
        <w:rPr>
          <w:i/>
          <w:iCs/>
        </w:rPr>
        <w:t>Nabilan’s</w:t>
      </w:r>
      <w:r>
        <w:t xml:space="preserve"> work with the Ministry of Social Solidarity and Inclusion on adapting, translating and disseminating Standard Operating Procedures on Case Management and Referral is an </w:t>
      </w:r>
      <w:r w:rsidR="00F35215">
        <w:t>E</w:t>
      </w:r>
      <w:r w:rsidR="008B0402">
        <w:t>ssential Services Package</w:t>
      </w:r>
      <w:r w:rsidR="00F35215">
        <w:t xml:space="preserve"> </w:t>
      </w:r>
      <w:r>
        <w:t>implementation</w:t>
      </w:r>
      <w:r w:rsidR="00F35215">
        <w:t xml:space="preserve"> </w:t>
      </w:r>
      <w:r>
        <w:t>that will help improve the quality of service delivery by all referral network members and the Ministry.</w:t>
      </w:r>
      <w:r w:rsidR="00EF65AE" w:rsidRPr="00BD7752">
        <w:t xml:space="preserve"> </w:t>
      </w:r>
    </w:p>
    <w:p w14:paraId="0181F90D" w14:textId="2A3EF71D" w:rsidR="00EF65AE" w:rsidRPr="00F35215" w:rsidRDefault="00EF65AE" w:rsidP="00EF65AE">
      <w:pPr>
        <w:rPr>
          <w:rFonts w:cs="Arial"/>
        </w:rPr>
      </w:pPr>
      <w:r w:rsidRPr="00EF65AE">
        <w:rPr>
          <w:rFonts w:cs="Arial"/>
        </w:rPr>
        <w:t xml:space="preserve">Australia’s promotion and use of global </w:t>
      </w:r>
      <w:r w:rsidR="00E20CBF">
        <w:rPr>
          <w:rFonts w:cs="Arial"/>
        </w:rPr>
        <w:t>best</w:t>
      </w:r>
      <w:r w:rsidR="00E20CBF" w:rsidRPr="00EF65AE">
        <w:rPr>
          <w:rFonts w:cs="Arial"/>
        </w:rPr>
        <w:t xml:space="preserve"> </w:t>
      </w:r>
      <w:r w:rsidRPr="00EF65AE">
        <w:rPr>
          <w:rFonts w:cs="Arial"/>
        </w:rPr>
        <w:t xml:space="preserve">practice approaches is likely to mark a significant improvement in the quality of services available to women and children experiencing violence, as compared to </w:t>
      </w:r>
      <w:r w:rsidR="009828D0">
        <w:rPr>
          <w:rFonts w:cs="Arial"/>
        </w:rPr>
        <w:t>10</w:t>
      </w:r>
      <w:r w:rsidRPr="00EF65AE">
        <w:rPr>
          <w:rFonts w:cs="Arial"/>
        </w:rPr>
        <w:t xml:space="preserve"> years ago. However, given that </w:t>
      </w:r>
      <w:r w:rsidR="009828D0">
        <w:rPr>
          <w:rFonts w:cs="Arial"/>
        </w:rPr>
        <w:t>E</w:t>
      </w:r>
      <w:r w:rsidR="008B0402">
        <w:rPr>
          <w:rFonts w:cs="Arial"/>
        </w:rPr>
        <w:t>ssential Services Package</w:t>
      </w:r>
      <w:r w:rsidR="009828D0" w:rsidRPr="00EF65AE">
        <w:rPr>
          <w:rFonts w:cs="Arial"/>
        </w:rPr>
        <w:t xml:space="preserve"> </w:t>
      </w:r>
      <w:r w:rsidRPr="00EF65AE">
        <w:rPr>
          <w:rFonts w:cs="Arial"/>
        </w:rPr>
        <w:t xml:space="preserve">implementation is in its early stages, it has not yet been evaluated. As </w:t>
      </w:r>
      <w:r w:rsidRPr="00F35215">
        <w:rPr>
          <w:rFonts w:cs="Arial"/>
        </w:rPr>
        <w:t xml:space="preserve">Australia is resourcing the training and roll-out of components of </w:t>
      </w:r>
      <w:r w:rsidR="00F35215" w:rsidRPr="00BC7F33">
        <w:rPr>
          <w:rFonts w:cs="Arial"/>
        </w:rPr>
        <w:t>E</w:t>
      </w:r>
      <w:r w:rsidR="008B0402">
        <w:rPr>
          <w:rFonts w:cs="Arial"/>
        </w:rPr>
        <w:t>ssential Services Package</w:t>
      </w:r>
      <w:r w:rsidR="00F35215" w:rsidRPr="00BC7F33">
        <w:rPr>
          <w:rFonts w:cs="Arial"/>
        </w:rPr>
        <w:t xml:space="preserve"> components</w:t>
      </w:r>
      <w:r w:rsidRPr="00F35215">
        <w:rPr>
          <w:rFonts w:cs="Arial"/>
        </w:rPr>
        <w:t xml:space="preserve"> across several sites, Australian investment in evaluating the process</w:t>
      </w:r>
      <w:r w:rsidR="00F35215" w:rsidRPr="00BC7F33">
        <w:rPr>
          <w:rFonts w:cs="Arial"/>
        </w:rPr>
        <w:t xml:space="preserve"> and</w:t>
      </w:r>
      <w:r w:rsidRPr="00F35215">
        <w:rPr>
          <w:rFonts w:cs="Arial"/>
        </w:rPr>
        <w:t xml:space="preserve"> outcomes will be an important contribution to </w:t>
      </w:r>
      <w:r w:rsidR="00D74A07">
        <w:rPr>
          <w:rFonts w:cs="Arial"/>
        </w:rPr>
        <w:br/>
      </w:r>
      <w:r w:rsidRPr="00F35215">
        <w:rPr>
          <w:rFonts w:cs="Arial"/>
        </w:rPr>
        <w:t>global evidence.</w:t>
      </w:r>
    </w:p>
    <w:p w14:paraId="723C07A4" w14:textId="77777777" w:rsidR="00EF65AE" w:rsidRPr="00EF65AE" w:rsidRDefault="00EF65AE" w:rsidP="00EF65AE">
      <w:pPr>
        <w:rPr>
          <w:rFonts w:cs="Arial"/>
        </w:rPr>
      </w:pPr>
      <w:r w:rsidRPr="00EF65AE">
        <w:rPr>
          <w:rFonts w:cs="Arial"/>
        </w:rPr>
        <w:t xml:space="preserve">The evaluation team also found evidence of promising examples of Australian investments in mainstreaming EVAWG in healthcare settings in several countries. In Timor-Leste, Health Alliance International recognised gender as a </w:t>
      </w:r>
      <w:bookmarkStart w:id="242" w:name="_Hlk15950876"/>
      <w:r w:rsidRPr="00EF65AE">
        <w:rPr>
          <w:rFonts w:cs="Arial"/>
        </w:rPr>
        <w:t xml:space="preserve">cross-cutting </w:t>
      </w:r>
      <w:bookmarkEnd w:id="242"/>
      <w:r w:rsidRPr="00EF65AE">
        <w:rPr>
          <w:rFonts w:cs="Arial"/>
        </w:rPr>
        <w:t xml:space="preserve">issue and integrated EVAWG into its ante and post-natal care. They expressed a desire to develop comprehensive learning labs for midwives on </w:t>
      </w:r>
      <w:r w:rsidR="00F35215">
        <w:rPr>
          <w:rFonts w:cs="Arial"/>
        </w:rPr>
        <w:t>violence against women</w:t>
      </w:r>
      <w:r w:rsidRPr="00EF65AE">
        <w:rPr>
          <w:rFonts w:cs="Arial"/>
        </w:rPr>
        <w:t xml:space="preserve"> screening, and how to refer and counsel women. Similarly, in Fiji, Empower Pacific provides</w:t>
      </w:r>
      <w:r w:rsidR="00BF07EA">
        <w:rPr>
          <w:rFonts w:cs="Arial"/>
        </w:rPr>
        <w:t xml:space="preserve"> gender-based violence</w:t>
      </w:r>
      <w:r w:rsidRPr="00EF65AE">
        <w:rPr>
          <w:rFonts w:cs="Arial"/>
        </w:rPr>
        <w:t xml:space="preserve"> and </w:t>
      </w:r>
      <w:bookmarkStart w:id="243" w:name="_Hlk15950911"/>
      <w:r w:rsidRPr="00EF65AE">
        <w:rPr>
          <w:rFonts w:cs="Arial"/>
        </w:rPr>
        <w:t xml:space="preserve">HIV/STI </w:t>
      </w:r>
      <w:bookmarkEnd w:id="243"/>
      <w:r w:rsidRPr="00EF65AE">
        <w:rPr>
          <w:rFonts w:cs="Arial"/>
        </w:rPr>
        <w:t xml:space="preserve">counselling for women in antenatal clinics in all divisional hospitals as a part of a memorandum of understanding with the Ministry of Health and Medical Services Pacific. </w:t>
      </w:r>
    </w:p>
    <w:p w14:paraId="03FE06F5" w14:textId="77777777" w:rsidR="00EF65AE" w:rsidRPr="00EF65AE" w:rsidRDefault="00EF65AE" w:rsidP="00EF65AE">
      <w:pPr>
        <w:rPr>
          <w:rFonts w:cs="Arial"/>
        </w:rPr>
      </w:pPr>
      <w:r w:rsidRPr="000350C0">
        <w:rPr>
          <w:rFonts w:cs="Arial"/>
        </w:rPr>
        <w:t xml:space="preserve">The Tugurejo </w:t>
      </w:r>
      <w:r w:rsidR="004F127B">
        <w:rPr>
          <w:rFonts w:cs="Arial"/>
        </w:rPr>
        <w:t xml:space="preserve">Regional Public </w:t>
      </w:r>
      <w:r w:rsidRPr="000350C0">
        <w:rPr>
          <w:rFonts w:cs="Arial"/>
        </w:rPr>
        <w:t>Hospital in Indonesia provides a blueprint for survivor-centred healthcare and clinical services, a</w:t>
      </w:r>
      <w:r w:rsidRPr="00EF65AE">
        <w:rPr>
          <w:rFonts w:cs="Arial"/>
        </w:rPr>
        <w:t xml:space="preserve"> model that could be replicated more systematically throughout Indonesia and, if appropriate and feasible, in other countries. Legislation in 2009 increased funding to district-level services and intensified medical support for women and children. The evaluation team found the hospital infrastructure was appropriately and sensitively designed and </w:t>
      </w:r>
      <w:r w:rsidR="00F35215">
        <w:rPr>
          <w:rFonts w:cs="Arial"/>
        </w:rPr>
        <w:t xml:space="preserve">that </w:t>
      </w:r>
      <w:r w:rsidRPr="00EF65AE">
        <w:rPr>
          <w:rFonts w:cs="Arial"/>
        </w:rPr>
        <w:t>survivors could be referred from the police or referral networks. Hospital staff noted the depth of training and range of staff who were aware of signs of violence and prepared to respond accordingly:</w:t>
      </w:r>
    </w:p>
    <w:p w14:paraId="435DA511" w14:textId="4FBCDC6F" w:rsidR="00EF65AE" w:rsidRPr="00C33806" w:rsidRDefault="00EF65AE" w:rsidP="00C33806">
      <w:pPr>
        <w:pStyle w:val="IndentQuote"/>
      </w:pPr>
      <w:r w:rsidRPr="00C33806">
        <w:rPr>
          <w:rStyle w:val="QuoteChar"/>
          <w:i/>
          <w:iCs w:val="0"/>
        </w:rPr>
        <w:t>In this hospital, all general practitioners in the emergency unit must be able to handle cases regarding violence against women or children</w:t>
      </w:r>
      <w:r w:rsidR="009828D0">
        <w:rPr>
          <w:rStyle w:val="QuoteChar"/>
          <w:i/>
          <w:iCs w:val="0"/>
        </w:rPr>
        <w:t xml:space="preserve"> </w:t>
      </w:r>
      <w:r w:rsidRPr="00C33806">
        <w:rPr>
          <w:rStyle w:val="QuoteChar"/>
          <w:i/>
          <w:iCs w:val="0"/>
        </w:rPr>
        <w:t xml:space="preserve">… When the cases come into the hospital, it’s about the medical problem first. We handle that, then think about if the case goes to justice. </w:t>
      </w:r>
    </w:p>
    <w:p w14:paraId="7A9262A0" w14:textId="1C01DC0D" w:rsidR="00EF65AE" w:rsidRPr="00EF65AE" w:rsidRDefault="009828D0" w:rsidP="00EF65AE">
      <w:pPr>
        <w:rPr>
          <w:rFonts w:cs="Arial"/>
        </w:rPr>
      </w:pPr>
      <w:r>
        <w:rPr>
          <w:rFonts w:cs="Arial"/>
        </w:rPr>
        <w:t>FSCs</w:t>
      </w:r>
      <w:r w:rsidR="00EF65AE" w:rsidRPr="00EF65AE">
        <w:rPr>
          <w:rFonts w:cs="Arial"/>
        </w:rPr>
        <w:t xml:space="preserve"> in PNG are another example of government-funded services based in public hospitals. The first FSC opened in Lae in 2003 and now there are 15 </w:t>
      </w:r>
      <w:r w:rsidR="006B129C">
        <w:rPr>
          <w:rFonts w:cs="Arial"/>
        </w:rPr>
        <w:t>across</w:t>
      </w:r>
      <w:r w:rsidR="00EF65AE" w:rsidRPr="00EF65AE">
        <w:rPr>
          <w:rFonts w:cs="Arial"/>
        </w:rPr>
        <w:t xml:space="preserve"> </w:t>
      </w:r>
      <w:r>
        <w:rPr>
          <w:rFonts w:cs="Arial"/>
        </w:rPr>
        <w:t>PNG</w:t>
      </w:r>
      <w:r w:rsidR="00EF65AE" w:rsidRPr="00EF65AE">
        <w:rPr>
          <w:rFonts w:cs="Arial"/>
        </w:rPr>
        <w:t>. The</w:t>
      </w:r>
      <w:r w:rsidR="007C581A">
        <w:rPr>
          <w:rFonts w:cs="Arial"/>
        </w:rPr>
        <w:t>se</w:t>
      </w:r>
      <w:r w:rsidR="00EF65AE" w:rsidRPr="00EF65AE">
        <w:rPr>
          <w:rFonts w:cs="Arial"/>
        </w:rPr>
        <w:t xml:space="preserve"> are integrated within the National Department of Health and the </w:t>
      </w:r>
      <w:bookmarkStart w:id="244" w:name="_Hlk18491989"/>
      <w:r w:rsidR="004D6E65">
        <w:rPr>
          <w:rFonts w:cs="Arial"/>
        </w:rPr>
        <w:t>p</w:t>
      </w:r>
      <w:r w:rsidR="00EF65AE" w:rsidRPr="00EF65AE">
        <w:rPr>
          <w:rFonts w:cs="Arial"/>
        </w:rPr>
        <w:t xml:space="preserve">rovincial </w:t>
      </w:r>
      <w:r w:rsidR="004D6E65">
        <w:rPr>
          <w:rFonts w:cs="Arial"/>
        </w:rPr>
        <w:t>h</w:t>
      </w:r>
      <w:r w:rsidR="00EF65AE" w:rsidRPr="00EF65AE">
        <w:rPr>
          <w:rFonts w:cs="Arial"/>
        </w:rPr>
        <w:t xml:space="preserve">ealth </w:t>
      </w:r>
      <w:r w:rsidR="004D6E65">
        <w:rPr>
          <w:rFonts w:cs="Arial"/>
        </w:rPr>
        <w:t>a</w:t>
      </w:r>
      <w:r w:rsidR="00EF65AE" w:rsidRPr="00EF65AE">
        <w:rPr>
          <w:rFonts w:cs="Arial"/>
        </w:rPr>
        <w:t>uthorities</w:t>
      </w:r>
      <w:bookmarkEnd w:id="244"/>
      <w:r w:rsidR="00EF65AE" w:rsidRPr="00EF65AE">
        <w:rPr>
          <w:rFonts w:cs="Arial"/>
        </w:rPr>
        <w:t>. Th</w:t>
      </w:r>
      <w:r w:rsidR="007C581A">
        <w:rPr>
          <w:rFonts w:cs="Arial"/>
        </w:rPr>
        <w:t>is</w:t>
      </w:r>
      <w:r w:rsidR="00EF65AE" w:rsidRPr="00EF65AE">
        <w:rPr>
          <w:rFonts w:cs="Arial"/>
        </w:rPr>
        <w:t xml:space="preserve"> evaluation found that while some FSC staff receive salaries from the Department of Health or through NGOs working directly with specific FSCs, </w:t>
      </w:r>
      <w:r w:rsidR="00A54030">
        <w:rPr>
          <w:rFonts w:cs="Arial"/>
        </w:rPr>
        <w:t>volunteers were heavily relied</w:t>
      </w:r>
      <w:r w:rsidR="00EF65AE" w:rsidRPr="00EF65AE">
        <w:rPr>
          <w:rFonts w:cs="Arial"/>
        </w:rPr>
        <w:t xml:space="preserve"> on.</w:t>
      </w:r>
      <w:r w:rsidR="00EF65AE" w:rsidRPr="00EF65AE">
        <w:rPr>
          <w:rFonts w:cs="Arial"/>
        </w:rPr>
        <w:fldChar w:fldCharType="begin"/>
      </w:r>
      <w:r w:rsidR="00EF65AE" w:rsidRPr="00EF65AE">
        <w:rPr>
          <w:rFonts w:cs="Arial"/>
        </w:rPr>
        <w:instrText xml:space="preserve"> ADDIN ZOTERO_ITEM CSL_CITATION {"citationID":"kNTdsC6H","properties":{"formattedCitation":"\\super 90\\nosupersub{}","plainCitation":"90","noteIndex":0},"citationItems":[{"id":2141,"uris":["http://zotero.org/users/4194704/items/43P6DBWD"],"uri":["http://zotero.org/users/4194704/items/43P6DBWD"],"itemData":{"id":2141,"type":"report","title":"Independent Formative Evaluation of Family Support Centres in Papua New Guinea","publisher":"IOD PARC Australia","publisher-place":"Victoria, Australia","event-place":"Victoria, Australia","author":[{"family":"Butcher","given":"Kate"},{"family":"Kaybryn","given":"Jo"},{"family":"Lepani","given":"Katherine"},{"family":"Vagikapi","given":"Moale"},{"family":"Walizopa","given":"Lucy"}],"issued":{"date-parts":[["2016"]]}}}],"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90</w:t>
      </w:r>
      <w:r w:rsidR="00EF65AE" w:rsidRPr="00EF65AE">
        <w:rPr>
          <w:rFonts w:cs="Arial"/>
        </w:rPr>
        <w:fldChar w:fldCharType="end"/>
      </w:r>
      <w:r w:rsidR="00EF65AE" w:rsidRPr="00EF65AE">
        <w:rPr>
          <w:rFonts w:cs="Arial"/>
        </w:rPr>
        <w:t xml:space="preserve"> Although the FSCs were originally designed to be one</w:t>
      </w:r>
      <w:r>
        <w:rPr>
          <w:rFonts w:cs="Arial"/>
        </w:rPr>
        <w:t>-</w:t>
      </w:r>
      <w:r w:rsidR="00EF65AE" w:rsidRPr="00EF65AE">
        <w:rPr>
          <w:rFonts w:cs="Arial"/>
        </w:rPr>
        <w:t>stop</w:t>
      </w:r>
      <w:r>
        <w:rPr>
          <w:rFonts w:cs="Arial"/>
        </w:rPr>
        <w:t>-</w:t>
      </w:r>
      <w:r w:rsidR="00EF65AE" w:rsidRPr="00EF65AE">
        <w:rPr>
          <w:rFonts w:cs="Arial"/>
        </w:rPr>
        <w:t xml:space="preserve">shops, offering police, legal and counselling services to survivors of violence, in reality, most FSCs offer only medical and counselling services. </w:t>
      </w:r>
    </w:p>
    <w:p w14:paraId="5CDE9214" w14:textId="77777777" w:rsidR="007C581A" w:rsidRDefault="00EF65AE" w:rsidP="00EF65AE">
      <w:pPr>
        <w:rPr>
          <w:rFonts w:cs="Arial"/>
        </w:rPr>
      </w:pPr>
      <w:r w:rsidRPr="00EF65AE">
        <w:rPr>
          <w:rFonts w:cs="Arial"/>
        </w:rPr>
        <w:t xml:space="preserve">That said, compared to 10 years ago, the FSC at Port Moresby General Hospital has greatly expanded, </w:t>
      </w:r>
      <w:r w:rsidR="007C581A">
        <w:rPr>
          <w:rFonts w:cs="Arial"/>
        </w:rPr>
        <w:t>providing</w:t>
      </w:r>
      <w:r w:rsidR="007C581A" w:rsidRPr="00EF65AE">
        <w:rPr>
          <w:rFonts w:cs="Arial"/>
        </w:rPr>
        <w:t xml:space="preserve"> </w:t>
      </w:r>
      <w:r w:rsidRPr="00EF65AE">
        <w:rPr>
          <w:rFonts w:cs="Arial"/>
        </w:rPr>
        <w:t xml:space="preserve">specialised services for survivors of sexual assault and child sexual abuse, and separate counselling rooms for women and children. Both the Port Moresby and Lae FSCs are considered models for high quality, survivor-centred care. However, FSC services in smaller towns are much more modest. </w:t>
      </w:r>
    </w:p>
    <w:p w14:paraId="6196F024" w14:textId="77777777" w:rsidR="00EF65AE" w:rsidRPr="00EF65AE" w:rsidRDefault="00EF65AE" w:rsidP="00EF65AE">
      <w:pPr>
        <w:rPr>
          <w:rFonts w:cs="Arial"/>
        </w:rPr>
      </w:pPr>
      <w:r w:rsidRPr="00EF65AE">
        <w:rPr>
          <w:rFonts w:cs="Arial"/>
        </w:rPr>
        <w:t xml:space="preserve">A recent evaluation commissioned by UNICEF found that the quality of services among FSCs was uneven, and they appeared to be </w:t>
      </w:r>
      <w:r w:rsidR="00666C5A">
        <w:rPr>
          <w:rFonts w:cs="Arial"/>
        </w:rPr>
        <w:t>underused</w:t>
      </w:r>
      <w:r w:rsidRPr="00EF65AE">
        <w:rPr>
          <w:rFonts w:cs="Arial"/>
        </w:rPr>
        <w:t>, even in urban areas.</w:t>
      </w:r>
      <w:r w:rsidRPr="00EF65AE">
        <w:rPr>
          <w:rFonts w:cs="Arial"/>
        </w:rPr>
        <w:fldChar w:fldCharType="begin"/>
      </w:r>
      <w:r w:rsidRPr="00EF65AE">
        <w:rPr>
          <w:rFonts w:cs="Arial"/>
        </w:rPr>
        <w:instrText xml:space="preserve"> ADDIN ZOTERO_ITEM CSL_CITATION {"citationID":"JM5ijT6M","properties":{"formattedCitation":"\\super 90\\nosupersub{}","plainCitation":"90","noteIndex":0},"citationItems":[{"id":2141,"uris":["http://zotero.org/users/4194704/items/43P6DBWD"],"uri":["http://zotero.org/users/4194704/items/43P6DBWD"],"itemData":{"id":2141,"type":"report","title":"Independent Formative Evaluation of Family Support Centres in Papua New Guinea","publisher":"IOD PARC Australia","publisher-place":"Victoria, Australia","event-place":"Victoria, Australia","author":[{"family":"Butcher","given":"Kate"},{"family":"Kaybryn","given":"Jo"},{"family":"Lepani","given":"Katherine"},{"family":"Vagikapi","given":"Moale"},{"family":"Walizopa","given":"Lucy"}],"issued":{"date-parts":[["2016"]]}}}],"schema":"https://github.com/citation-style-language/schema/raw/master/csl-citation.json"} </w:instrText>
      </w:r>
      <w:r w:rsidRPr="00EF65AE">
        <w:rPr>
          <w:rFonts w:cs="Arial"/>
        </w:rPr>
        <w:fldChar w:fldCharType="separate"/>
      </w:r>
      <w:r w:rsidRPr="00EF65AE">
        <w:rPr>
          <w:rFonts w:cs="Arial"/>
          <w:vertAlign w:val="superscript"/>
          <w:lang w:val="en-US"/>
        </w:rPr>
        <w:t>90</w:t>
      </w:r>
      <w:r w:rsidRPr="00EF65AE">
        <w:rPr>
          <w:rFonts w:cs="Arial"/>
        </w:rPr>
        <w:fldChar w:fldCharType="end"/>
      </w:r>
      <w:r w:rsidRPr="00EF65AE">
        <w:rPr>
          <w:rFonts w:cs="Arial"/>
        </w:rPr>
        <w:t xml:space="preserve"> Coordination with hospitals and primary prevention was inconsistent and most referrals came from the emergency department or outside the health system</w:t>
      </w:r>
      <w:r w:rsidR="00E2253F">
        <w:rPr>
          <w:rFonts w:cs="Arial"/>
        </w:rPr>
        <w:t xml:space="preserve">. </w:t>
      </w:r>
    </w:p>
    <w:p w14:paraId="76877DFA" w14:textId="3694EB72" w:rsidR="00EF65AE" w:rsidRPr="00EF65AE" w:rsidRDefault="00EF65AE" w:rsidP="00EF65AE">
      <w:pPr>
        <w:rPr>
          <w:rFonts w:cs="Arial"/>
        </w:rPr>
      </w:pPr>
      <w:r w:rsidRPr="00EF65AE">
        <w:rPr>
          <w:rFonts w:cs="Arial"/>
        </w:rPr>
        <w:t xml:space="preserve">Australia has supported the FSCs primarily through their construction and improvements to infrastructure and through technical assistance provided by NGO partners. </w:t>
      </w:r>
      <w:r w:rsidR="00BF07A9">
        <w:t xml:space="preserve">As a way to increase </w:t>
      </w:r>
      <w:r w:rsidR="007C581A">
        <w:t xml:space="preserve">service </w:t>
      </w:r>
      <w:r w:rsidR="00BF07A9" w:rsidRPr="00BC7F33">
        <w:t>awareness</w:t>
      </w:r>
      <w:r w:rsidR="00BF07A9" w:rsidRPr="007C581A">
        <w:t>,</w:t>
      </w:r>
      <w:r w:rsidR="00BF07A9">
        <w:t xml:space="preserve"> the High Commission in Port Moresby </w:t>
      </w:r>
      <w:r w:rsidR="00BF07A9" w:rsidRPr="00BC7F33">
        <w:t xml:space="preserve">and </w:t>
      </w:r>
      <w:r w:rsidR="007C581A">
        <w:t xml:space="preserve">the </w:t>
      </w:r>
      <w:r w:rsidR="00BF07A9" w:rsidRPr="00BC7F33">
        <w:t>Pacific Women Support Unit</w:t>
      </w:r>
      <w:r w:rsidR="00BF07A9">
        <w:t xml:space="preserve"> have made efforts to link FSCs with community-based violence prevention services</w:t>
      </w:r>
      <w:r w:rsidR="007C581A">
        <w:t xml:space="preserve">. </w:t>
      </w:r>
      <w:r w:rsidRPr="00EF65AE">
        <w:rPr>
          <w:rFonts w:cs="Arial"/>
        </w:rPr>
        <w:t>The Pacific Women</w:t>
      </w:r>
      <w:r w:rsidR="00666C5A">
        <w:rPr>
          <w:rFonts w:cs="Arial"/>
        </w:rPr>
        <w:t>-</w:t>
      </w:r>
      <w:r w:rsidRPr="00EF65AE">
        <w:rPr>
          <w:rFonts w:cs="Arial"/>
        </w:rPr>
        <w:t xml:space="preserve">funded </w:t>
      </w:r>
      <w:r w:rsidRPr="00EF65AE">
        <w:rPr>
          <w:rFonts w:cs="Arial"/>
          <w:i/>
          <w:shd w:val="clear" w:color="auto" w:fill="FFFFFF"/>
        </w:rPr>
        <w:t>Komuniti Lukautim Ol</w:t>
      </w:r>
      <w:r w:rsidRPr="00EF65AE">
        <w:rPr>
          <w:rFonts w:cs="Arial"/>
          <w:shd w:val="clear" w:color="auto" w:fill="FFFFFF"/>
        </w:rPr>
        <w:t xml:space="preserve"> </w:t>
      </w:r>
      <w:r w:rsidRPr="00EF65AE">
        <w:rPr>
          <w:rFonts w:cs="Arial"/>
          <w:i/>
          <w:shd w:val="clear" w:color="auto" w:fill="FFFFFF"/>
        </w:rPr>
        <w:t xml:space="preserve">Meri </w:t>
      </w:r>
      <w:r w:rsidRPr="00EF65AE">
        <w:rPr>
          <w:rFonts w:cs="Arial"/>
          <w:shd w:val="clear" w:color="auto" w:fill="FFFFFF"/>
        </w:rPr>
        <w:t>Project, implemented by</w:t>
      </w:r>
      <w:r w:rsidR="007C581A">
        <w:rPr>
          <w:rFonts w:cs="Arial"/>
          <w:shd w:val="clear" w:color="auto" w:fill="FFFFFF"/>
        </w:rPr>
        <w:t xml:space="preserve"> non-profit human development </w:t>
      </w:r>
      <w:r w:rsidR="007C581A" w:rsidRPr="000350C0">
        <w:rPr>
          <w:rFonts w:cs="Arial"/>
          <w:shd w:val="clear" w:color="auto" w:fill="FFFFFF"/>
        </w:rPr>
        <w:t>organisation</w:t>
      </w:r>
      <w:r w:rsidRPr="000350C0">
        <w:rPr>
          <w:rFonts w:cs="Arial"/>
          <w:shd w:val="clear" w:color="auto" w:fill="FFFFFF"/>
        </w:rPr>
        <w:t xml:space="preserve"> FHI</w:t>
      </w:r>
      <w:r w:rsidR="00BC7F33">
        <w:rPr>
          <w:rFonts w:cs="Arial"/>
          <w:shd w:val="clear" w:color="auto" w:fill="FFFFFF"/>
        </w:rPr>
        <w:t xml:space="preserve"> </w:t>
      </w:r>
      <w:r w:rsidRPr="000350C0">
        <w:rPr>
          <w:rFonts w:cs="Arial"/>
          <w:shd w:val="clear" w:color="auto" w:fill="FFFFFF"/>
        </w:rPr>
        <w:t>360, used</w:t>
      </w:r>
      <w:r w:rsidRPr="00EF65AE">
        <w:rPr>
          <w:rFonts w:cs="Arial"/>
          <w:shd w:val="clear" w:color="auto" w:fill="FFFFFF"/>
        </w:rPr>
        <w:t xml:space="preserve"> community mobilisation approaches to improve responses to VAWG by strengthening awareness and </w:t>
      </w:r>
      <w:r w:rsidR="00666C5A">
        <w:rPr>
          <w:rFonts w:cs="Arial"/>
          <w:shd w:val="clear" w:color="auto" w:fill="FFFFFF"/>
        </w:rPr>
        <w:t>use</w:t>
      </w:r>
      <w:r w:rsidR="00666C5A" w:rsidRPr="00EF65AE">
        <w:rPr>
          <w:rFonts w:cs="Arial"/>
          <w:shd w:val="clear" w:color="auto" w:fill="FFFFFF"/>
        </w:rPr>
        <w:t xml:space="preserve"> </w:t>
      </w:r>
      <w:r w:rsidRPr="00EF65AE">
        <w:rPr>
          <w:rFonts w:cs="Arial"/>
          <w:shd w:val="clear" w:color="auto" w:fill="FFFFFF"/>
        </w:rPr>
        <w:t>of FSCs. Additionally</w:t>
      </w:r>
      <w:r w:rsidRPr="007C581A">
        <w:rPr>
          <w:rFonts w:cs="Arial"/>
          <w:shd w:val="clear" w:color="auto" w:fill="FFFFFF"/>
        </w:rPr>
        <w:t xml:space="preserve">, </w:t>
      </w:r>
      <w:r w:rsidRPr="00BC7F33">
        <w:rPr>
          <w:rFonts w:cs="Arial"/>
        </w:rPr>
        <w:t>FHI</w:t>
      </w:r>
      <w:r w:rsidR="00E0277E">
        <w:rPr>
          <w:rFonts w:cs="Arial"/>
        </w:rPr>
        <w:t xml:space="preserve"> </w:t>
      </w:r>
      <w:r w:rsidRPr="00BC7F33">
        <w:rPr>
          <w:rFonts w:cs="Arial"/>
        </w:rPr>
        <w:t>360</w:t>
      </w:r>
      <w:r w:rsidRPr="007C581A">
        <w:rPr>
          <w:rFonts w:cs="Arial"/>
        </w:rPr>
        <w:t xml:space="preserve"> worked</w:t>
      </w:r>
      <w:r w:rsidRPr="00EF65AE">
        <w:rPr>
          <w:rFonts w:cs="Arial"/>
        </w:rPr>
        <w:t xml:space="preserve"> with the Department of Health to </w:t>
      </w:r>
      <w:r w:rsidR="007C581A">
        <w:rPr>
          <w:rFonts w:cs="Arial"/>
        </w:rPr>
        <w:t>train</w:t>
      </w:r>
      <w:r w:rsidRPr="00EF65AE">
        <w:rPr>
          <w:rFonts w:cs="Arial"/>
        </w:rPr>
        <w:t xml:space="preserve"> new FSC staff in </w:t>
      </w:r>
      <w:r w:rsidR="00E0277E">
        <w:rPr>
          <w:rFonts w:cs="Arial"/>
        </w:rPr>
        <w:t>Arawa and Daru</w:t>
      </w:r>
      <w:r w:rsidRPr="00EF65AE">
        <w:rPr>
          <w:rFonts w:cs="Arial"/>
        </w:rPr>
        <w:t>.</w:t>
      </w:r>
      <w:r w:rsidRPr="00EF65AE">
        <w:rPr>
          <w:rFonts w:cs="Arial"/>
        </w:rPr>
        <w:fldChar w:fldCharType="begin"/>
      </w:r>
      <w:r w:rsidRPr="00EF65AE">
        <w:rPr>
          <w:rFonts w:cs="Arial"/>
        </w:rPr>
        <w:instrText xml:space="preserve"> ADDIN ZOTERO_ITEM CSL_CITATION {"citationID":"KeEKqT29","properties":{"formattedCitation":"\\super 91\\nosupersub{}","plainCitation":"91","noteIndex":0},"citationItems":[{"id":2175,"uris":["http://zotero.org/users/4194704/items/L43BUX3Y"],"uri":["http://zotero.org/users/4194704/items/L43BUX3Y"],"itemData":{"id":2175,"type":"report","title":"Pacific Women Papua New Guinea Performance report 2017-2018","publisher":"Pacific Women Shaping Pacific Development, Australian Department of Foreign Affairs and Trade","publisher-place":"Suva","event-place":"Suva","author":[{"family":"Pacific Women Shaping Pacific Development","given":"Support Unit"}],"issued":{"date-parts":[["2018"]]}}}],"schema":"https://github.com/citation-style-language/schema/raw/master/csl-citation.json"} </w:instrText>
      </w:r>
      <w:r w:rsidRPr="00EF65AE">
        <w:rPr>
          <w:rFonts w:cs="Arial"/>
        </w:rPr>
        <w:fldChar w:fldCharType="separate"/>
      </w:r>
      <w:r w:rsidRPr="00EF65AE">
        <w:rPr>
          <w:rFonts w:cs="Arial"/>
          <w:vertAlign w:val="superscript"/>
          <w:lang w:val="en-US"/>
        </w:rPr>
        <w:t>91</w:t>
      </w:r>
      <w:r w:rsidRPr="00EF65AE">
        <w:rPr>
          <w:rFonts w:cs="Arial"/>
        </w:rPr>
        <w:fldChar w:fldCharType="end"/>
      </w:r>
      <w:r w:rsidRPr="00EF65AE" w:rsidDel="00A23921">
        <w:rPr>
          <w:rFonts w:cs="Arial"/>
        </w:rPr>
        <w:t xml:space="preserve"> </w:t>
      </w:r>
    </w:p>
    <w:p w14:paraId="46F8C50C" w14:textId="77777777" w:rsidR="00EF65AE" w:rsidRPr="00EF65AE" w:rsidRDefault="00EF65AE" w:rsidP="00B204DF">
      <w:pPr>
        <w:pStyle w:val="Heading3NoTOC"/>
      </w:pPr>
      <w:r w:rsidRPr="00EF65AE">
        <w:t>Shelters</w:t>
      </w:r>
    </w:p>
    <w:p w14:paraId="50AC467C" w14:textId="2D13E9D5" w:rsidR="00EF65AE" w:rsidRPr="00EF65AE" w:rsidRDefault="00EF65AE" w:rsidP="00EF65AE">
      <w:pPr>
        <w:rPr>
          <w:rFonts w:cs="Arial"/>
        </w:rPr>
      </w:pPr>
      <w:r w:rsidRPr="00EF65AE">
        <w:rPr>
          <w:rFonts w:cs="Arial"/>
        </w:rPr>
        <w:t>Th</w:t>
      </w:r>
      <w:r w:rsidR="007C581A">
        <w:rPr>
          <w:rFonts w:cs="Arial"/>
        </w:rPr>
        <w:t>is</w:t>
      </w:r>
      <w:r w:rsidRPr="00EF65AE">
        <w:rPr>
          <w:rFonts w:cs="Arial"/>
        </w:rPr>
        <w:t xml:space="preserve"> evaluation found that the availability of shelters for women has increased throughout the region, including with support from Australia. With some key exceptions, such as</w:t>
      </w:r>
      <w:r w:rsidR="00B4779C">
        <w:rPr>
          <w:rFonts w:cs="Arial"/>
        </w:rPr>
        <w:t xml:space="preserve"> the</w:t>
      </w:r>
      <w:r w:rsidRPr="00EF65AE">
        <w:rPr>
          <w:rFonts w:cs="Arial"/>
        </w:rPr>
        <w:t xml:space="preserve"> FWCC in Fiji, the great majority of refuges or safe houses for survivors of violence in the focus countries are managed by religious organisations. Many are based in capital cities or municipal urban areas</w:t>
      </w:r>
      <w:r w:rsidR="007C581A">
        <w:rPr>
          <w:rFonts w:cs="Arial"/>
        </w:rPr>
        <w:t xml:space="preserve">. The </w:t>
      </w:r>
      <w:r w:rsidRPr="00EF65AE">
        <w:rPr>
          <w:rFonts w:cs="Arial"/>
        </w:rPr>
        <w:t>excep</w:t>
      </w:r>
      <w:r w:rsidR="007C581A">
        <w:rPr>
          <w:rFonts w:cs="Arial"/>
        </w:rPr>
        <w:t>tion is the</w:t>
      </w:r>
      <w:r w:rsidRPr="00EF65AE">
        <w:rPr>
          <w:rFonts w:cs="Arial"/>
        </w:rPr>
        <w:t xml:space="preserve"> Nazareth Centre, which operates several rural, small, community-based houses for short stays, in addition to its large refuge in Bougainville</w:t>
      </w:r>
      <w:r w:rsidR="00D130A5">
        <w:rPr>
          <w:rFonts w:cs="Arial"/>
        </w:rPr>
        <w:t>, PNG</w:t>
      </w:r>
      <w:r w:rsidRPr="00EF65AE">
        <w:rPr>
          <w:rFonts w:cs="Arial"/>
        </w:rPr>
        <w:t>. Although the C</w:t>
      </w:r>
      <w:r w:rsidR="001F7E87">
        <w:rPr>
          <w:rFonts w:cs="Arial"/>
        </w:rPr>
        <w:t>hristian Care Centre</w:t>
      </w:r>
      <w:r w:rsidRPr="00EF65AE">
        <w:rPr>
          <w:rFonts w:cs="Arial"/>
        </w:rPr>
        <w:t xml:space="preserve"> in Honiara receives survivors from all over Solomon Islands, the Malaita Provincial Council of Women has set up a small refuge for short</w:t>
      </w:r>
      <w:r w:rsidR="00666C5A">
        <w:rPr>
          <w:rFonts w:cs="Arial"/>
        </w:rPr>
        <w:t>-</w:t>
      </w:r>
      <w:r w:rsidRPr="00EF65AE">
        <w:rPr>
          <w:rFonts w:cs="Arial"/>
        </w:rPr>
        <w:t>term stays, and another safe house is being built in</w:t>
      </w:r>
      <w:r w:rsidR="0012349A">
        <w:rPr>
          <w:rFonts w:cs="Arial"/>
        </w:rPr>
        <w:t> </w:t>
      </w:r>
      <w:r w:rsidRPr="00EF65AE">
        <w:rPr>
          <w:rFonts w:cs="Arial"/>
        </w:rPr>
        <w:t xml:space="preserve">Temotu. </w:t>
      </w:r>
    </w:p>
    <w:p w14:paraId="7C18D6D0" w14:textId="77777777" w:rsidR="00EF65AE" w:rsidRPr="00EF65AE" w:rsidRDefault="00EF65AE" w:rsidP="00EF65AE">
      <w:pPr>
        <w:rPr>
          <w:rFonts w:cs="Arial"/>
        </w:rPr>
      </w:pPr>
      <w:r w:rsidRPr="00EF65AE">
        <w:rPr>
          <w:rFonts w:cs="Arial"/>
        </w:rPr>
        <w:t xml:space="preserve">Women are often referred to shelters by police or crisis centres, although some </w:t>
      </w:r>
      <w:r w:rsidR="00666C5A">
        <w:rPr>
          <w:rFonts w:cs="Arial"/>
        </w:rPr>
        <w:t>go</w:t>
      </w:r>
      <w:r w:rsidR="007C581A">
        <w:rPr>
          <w:rFonts w:cs="Arial"/>
        </w:rPr>
        <w:t xml:space="preserve"> </w:t>
      </w:r>
      <w:r w:rsidRPr="00EF65AE">
        <w:rPr>
          <w:rFonts w:cs="Arial"/>
        </w:rPr>
        <w:t xml:space="preserve">on their own. In some cases, </w:t>
      </w:r>
      <w:r w:rsidR="00ED37CB">
        <w:rPr>
          <w:rFonts w:cs="Arial"/>
        </w:rPr>
        <w:t>women enter</w:t>
      </w:r>
      <w:r w:rsidRPr="00EF65AE">
        <w:rPr>
          <w:rFonts w:cs="Arial"/>
        </w:rPr>
        <w:t xml:space="preserve"> through referral pathways, </w:t>
      </w:r>
      <w:r w:rsidR="00ED37CB">
        <w:rPr>
          <w:rFonts w:cs="Arial"/>
        </w:rPr>
        <w:t>such as</w:t>
      </w:r>
      <w:r w:rsidRPr="00EF65AE">
        <w:rPr>
          <w:rFonts w:cs="Arial"/>
        </w:rPr>
        <w:t xml:space="preserve"> SAFENET in Solomon Islands. In Bougainville</w:t>
      </w:r>
      <w:r w:rsidR="00D130A5">
        <w:rPr>
          <w:rFonts w:cs="Arial"/>
        </w:rPr>
        <w:t>,</w:t>
      </w:r>
      <w:r w:rsidR="00545490">
        <w:rPr>
          <w:rFonts w:cs="Arial"/>
        </w:rPr>
        <w:t xml:space="preserve"> </w:t>
      </w:r>
      <w:r w:rsidR="00D130A5">
        <w:rPr>
          <w:rFonts w:cs="Arial"/>
        </w:rPr>
        <w:t>PNG</w:t>
      </w:r>
      <w:r w:rsidRPr="00EF65AE">
        <w:rPr>
          <w:rFonts w:cs="Arial"/>
        </w:rPr>
        <w:t xml:space="preserve">, the FSC </w:t>
      </w:r>
      <w:r w:rsidR="00ED37CB">
        <w:rPr>
          <w:rFonts w:cs="Arial"/>
        </w:rPr>
        <w:t>refers</w:t>
      </w:r>
      <w:r w:rsidRPr="00EF65AE">
        <w:rPr>
          <w:rFonts w:cs="Arial"/>
        </w:rPr>
        <w:t xml:space="preserve"> to the Nazareth Centre</w:t>
      </w:r>
      <w:r w:rsidR="00666C5A">
        <w:rPr>
          <w:rFonts w:cs="Arial"/>
        </w:rPr>
        <w:t>. L</w:t>
      </w:r>
      <w:r w:rsidRPr="00EF65AE">
        <w:rPr>
          <w:rFonts w:cs="Arial"/>
        </w:rPr>
        <w:t xml:space="preserve">ikewise, the </w:t>
      </w:r>
      <w:r w:rsidR="00ED37CB">
        <w:rPr>
          <w:rFonts w:cs="Arial"/>
        </w:rPr>
        <w:t xml:space="preserve">Kafe Urban Women’s Settlers Association, supported by </w:t>
      </w:r>
      <w:r w:rsidRPr="00EF65AE">
        <w:rPr>
          <w:rFonts w:cs="Arial"/>
        </w:rPr>
        <w:t>Oxfam</w:t>
      </w:r>
      <w:r w:rsidR="00ED37CB">
        <w:rPr>
          <w:rFonts w:cs="Arial"/>
        </w:rPr>
        <w:t xml:space="preserve">, </w:t>
      </w:r>
      <w:r w:rsidRPr="00EF65AE">
        <w:rPr>
          <w:rFonts w:cs="Arial"/>
        </w:rPr>
        <w:t xml:space="preserve">and </w:t>
      </w:r>
      <w:r w:rsidR="00ED37CB">
        <w:rPr>
          <w:rFonts w:cs="Arial"/>
        </w:rPr>
        <w:t xml:space="preserve">the </w:t>
      </w:r>
      <w:r w:rsidRPr="00EF65AE">
        <w:rPr>
          <w:rFonts w:cs="Arial"/>
        </w:rPr>
        <w:t xml:space="preserve">Human Rights Defenders in PNG </w:t>
      </w:r>
      <w:r w:rsidR="00ED37CB">
        <w:rPr>
          <w:rFonts w:cs="Arial"/>
        </w:rPr>
        <w:t>refer</w:t>
      </w:r>
      <w:r w:rsidRPr="00EF65AE">
        <w:rPr>
          <w:rFonts w:cs="Arial"/>
        </w:rPr>
        <w:t xml:space="preserve"> to the </w:t>
      </w:r>
      <w:r w:rsidRPr="00EF65AE">
        <w:rPr>
          <w:rFonts w:cs="Arial"/>
          <w:i/>
        </w:rPr>
        <w:t xml:space="preserve">Meri Seif Haus </w:t>
      </w:r>
      <w:r w:rsidRPr="00EF65AE">
        <w:rPr>
          <w:rFonts w:cs="Arial"/>
        </w:rPr>
        <w:t>in Goroka</w:t>
      </w:r>
      <w:r w:rsidRPr="00EF65AE">
        <w:rPr>
          <w:rFonts w:cs="Arial"/>
          <w:i/>
        </w:rPr>
        <w:t>.</w:t>
      </w:r>
      <w:r w:rsidRPr="00EF65AE">
        <w:rPr>
          <w:rFonts w:cs="Arial"/>
        </w:rPr>
        <w:t xml:space="preserve"> </w:t>
      </w:r>
    </w:p>
    <w:p w14:paraId="5FF5EC9C" w14:textId="77777777" w:rsidR="00EF65AE" w:rsidRPr="00EF65AE" w:rsidRDefault="00EF65AE" w:rsidP="00EF65AE">
      <w:pPr>
        <w:rPr>
          <w:rFonts w:cs="Arial"/>
        </w:rPr>
      </w:pPr>
      <w:r w:rsidRPr="00EF65AE">
        <w:rPr>
          <w:rFonts w:cs="Arial"/>
        </w:rPr>
        <w:t>Although most shelters are chronically under-resourced, they provide a short-term, and usually free, opportunity for women to escape dangerous situations, to access counselling, medical and legal services, and obtain protection orders</w:t>
      </w:r>
      <w:r w:rsidR="00E2253F">
        <w:rPr>
          <w:rFonts w:cs="Arial"/>
        </w:rPr>
        <w:t xml:space="preserve">. </w:t>
      </w:r>
      <w:r w:rsidRPr="00EF65AE">
        <w:rPr>
          <w:rFonts w:cs="Arial"/>
        </w:rPr>
        <w:t>It was reported that most women facing domestic violence return to their homes within a few days or weeks</w:t>
      </w:r>
      <w:r w:rsidR="00666C5A">
        <w:rPr>
          <w:rFonts w:cs="Arial"/>
        </w:rPr>
        <w:t>. S</w:t>
      </w:r>
      <w:r w:rsidRPr="00EF65AE">
        <w:rPr>
          <w:rFonts w:cs="Arial"/>
        </w:rPr>
        <w:t xml:space="preserve">ome shelter counsellors participate in mediation between survivors and their families to allow </w:t>
      </w:r>
      <w:r w:rsidR="00666C5A">
        <w:rPr>
          <w:rFonts w:cs="Arial"/>
        </w:rPr>
        <w:t>survivors</w:t>
      </w:r>
      <w:r w:rsidR="00666C5A" w:rsidRPr="00EF65AE">
        <w:rPr>
          <w:rFonts w:cs="Arial"/>
        </w:rPr>
        <w:t xml:space="preserve"> </w:t>
      </w:r>
      <w:r w:rsidRPr="00EF65AE">
        <w:rPr>
          <w:rFonts w:cs="Arial"/>
        </w:rPr>
        <w:t xml:space="preserve">to return safely. In the case of </w:t>
      </w:r>
      <w:r w:rsidR="00666C5A">
        <w:rPr>
          <w:rFonts w:cs="Arial"/>
        </w:rPr>
        <w:t xml:space="preserve">sexually abused </w:t>
      </w:r>
      <w:r w:rsidRPr="00EF65AE">
        <w:rPr>
          <w:rFonts w:cs="Arial"/>
        </w:rPr>
        <w:t>girls</w:t>
      </w:r>
      <w:r w:rsidR="00666C5A">
        <w:rPr>
          <w:rFonts w:cs="Arial"/>
        </w:rPr>
        <w:t>,</w:t>
      </w:r>
      <w:r w:rsidRPr="00EF65AE">
        <w:rPr>
          <w:rFonts w:cs="Arial"/>
        </w:rPr>
        <w:t xml:space="preserve"> shelters also offer a safe place to stay in the capital </w:t>
      </w:r>
      <w:r w:rsidR="00666C5A">
        <w:rPr>
          <w:rFonts w:cs="Arial"/>
        </w:rPr>
        <w:t>during</w:t>
      </w:r>
      <w:r w:rsidR="00666C5A" w:rsidRPr="00EF65AE">
        <w:rPr>
          <w:rFonts w:cs="Arial"/>
        </w:rPr>
        <w:t xml:space="preserve"> </w:t>
      </w:r>
      <w:r w:rsidRPr="00EF65AE">
        <w:rPr>
          <w:rFonts w:cs="Arial"/>
        </w:rPr>
        <w:t xml:space="preserve">criminal proceedings or </w:t>
      </w:r>
      <w:r w:rsidR="00666C5A">
        <w:rPr>
          <w:rFonts w:cs="Arial"/>
        </w:rPr>
        <w:t>when they cannot</w:t>
      </w:r>
      <w:r w:rsidRPr="00EF65AE">
        <w:rPr>
          <w:rFonts w:cs="Arial"/>
        </w:rPr>
        <w:t xml:space="preserve"> return to their villages because of stigma and family rejection.</w:t>
      </w:r>
      <w:r w:rsidR="00C608AA">
        <w:rPr>
          <w:rFonts w:cs="Arial"/>
        </w:rPr>
        <w:t xml:space="preserve"> I</w:t>
      </w:r>
      <w:r w:rsidR="00C608AA" w:rsidRPr="00D7702E">
        <w:rPr>
          <w:rFonts w:cs="Arial"/>
        </w:rPr>
        <w:t xml:space="preserve">n some countries, such as Afghanistan, shelters are </w:t>
      </w:r>
      <w:r w:rsidR="00C608AA">
        <w:rPr>
          <w:rFonts w:cs="Arial"/>
        </w:rPr>
        <w:t>the only</w:t>
      </w:r>
      <w:r w:rsidR="00C608AA" w:rsidRPr="00D7702E">
        <w:rPr>
          <w:rFonts w:cs="Arial"/>
        </w:rPr>
        <w:t xml:space="preserve"> mechanism survivors of violence </w:t>
      </w:r>
      <w:r w:rsidR="000350C0">
        <w:rPr>
          <w:rFonts w:cs="Arial"/>
        </w:rPr>
        <w:t>must</w:t>
      </w:r>
      <w:r w:rsidR="00C608AA" w:rsidRPr="00D7702E">
        <w:rPr>
          <w:rFonts w:cs="Arial"/>
        </w:rPr>
        <w:t xml:space="preserve"> address IPV, due to male guardianship models and lack of mobility. </w:t>
      </w:r>
      <w:r w:rsidRPr="00EF65AE">
        <w:rPr>
          <w:rFonts w:cs="Arial"/>
        </w:rPr>
        <w:t xml:space="preserve"> </w:t>
      </w:r>
    </w:p>
    <w:p w14:paraId="78831108" w14:textId="4057B9EA" w:rsidR="00ED37CB" w:rsidRDefault="00EF65AE" w:rsidP="00ED37CB">
      <w:pPr>
        <w:numPr>
          <w:ilvl w:val="0"/>
          <w:numId w:val="0"/>
        </w:numPr>
        <w:rPr>
          <w:lang w:val="en-US"/>
        </w:rPr>
      </w:pPr>
      <w:r w:rsidRPr="00D7702E">
        <w:rPr>
          <w:rFonts w:cs="Arial"/>
        </w:rPr>
        <w:t xml:space="preserve">While shelters have been a strong focus of Australian investment, and are important, they should not be the only solution. In many settings, shelters are not being </w:t>
      </w:r>
      <w:r w:rsidR="00C608AA">
        <w:rPr>
          <w:rFonts w:cs="Arial"/>
        </w:rPr>
        <w:t>used</w:t>
      </w:r>
      <w:r w:rsidR="00C608AA" w:rsidRPr="00D7702E">
        <w:rPr>
          <w:rFonts w:cs="Arial"/>
        </w:rPr>
        <w:t xml:space="preserve"> </w:t>
      </w:r>
      <w:r w:rsidRPr="00D7702E">
        <w:rPr>
          <w:rFonts w:cs="Arial"/>
        </w:rPr>
        <w:t>by survivors</w:t>
      </w:r>
      <w:r w:rsidR="00C608AA">
        <w:rPr>
          <w:rFonts w:cs="Arial"/>
        </w:rPr>
        <w:t>.</w:t>
      </w:r>
      <w:r w:rsidR="00C608AA" w:rsidRPr="00C608AA">
        <w:rPr>
          <w:lang w:val="en-US"/>
        </w:rPr>
        <w:t xml:space="preserve"> </w:t>
      </w:r>
      <w:r w:rsidR="00D74A07">
        <w:rPr>
          <w:lang w:val="en-US"/>
        </w:rPr>
        <w:t>The r</w:t>
      </w:r>
      <w:r w:rsidR="00ED37CB">
        <w:rPr>
          <w:lang w:val="en-US"/>
        </w:rPr>
        <w:t>easons include:</w:t>
      </w:r>
    </w:p>
    <w:p w14:paraId="5731637B" w14:textId="77777777" w:rsidR="00ED37CB" w:rsidRDefault="00C608AA" w:rsidP="00ED37CB">
      <w:pPr>
        <w:pStyle w:val="ListBullet"/>
        <w:rPr>
          <w:lang w:val="en-US"/>
        </w:rPr>
      </w:pPr>
      <w:r>
        <w:rPr>
          <w:lang w:val="en-US"/>
        </w:rPr>
        <w:t xml:space="preserve">fear of losing custody of children </w:t>
      </w:r>
      <w:r w:rsidR="00ED37CB">
        <w:rPr>
          <w:lang w:val="en-US"/>
        </w:rPr>
        <w:t>after leaving</w:t>
      </w:r>
      <w:r>
        <w:rPr>
          <w:lang w:val="en-US"/>
        </w:rPr>
        <w:t xml:space="preserve"> the </w:t>
      </w:r>
      <w:r w:rsidR="00ED37CB">
        <w:rPr>
          <w:lang w:val="en-US"/>
        </w:rPr>
        <w:t xml:space="preserve">family </w:t>
      </w:r>
      <w:r>
        <w:rPr>
          <w:lang w:val="en-US"/>
        </w:rPr>
        <w:t>house</w:t>
      </w:r>
    </w:p>
    <w:p w14:paraId="1CC23E07" w14:textId="77777777" w:rsidR="00ED37CB" w:rsidRDefault="00C608AA" w:rsidP="00ED37CB">
      <w:pPr>
        <w:pStyle w:val="ListBullet"/>
        <w:rPr>
          <w:lang w:val="en-US"/>
        </w:rPr>
      </w:pPr>
      <w:r>
        <w:rPr>
          <w:lang w:val="en-US"/>
        </w:rPr>
        <w:t xml:space="preserve">fear of harm coming to </w:t>
      </w:r>
      <w:r w:rsidR="00ED37CB">
        <w:rPr>
          <w:lang w:val="en-US"/>
        </w:rPr>
        <w:t>the</w:t>
      </w:r>
      <w:r>
        <w:rPr>
          <w:lang w:val="en-US"/>
        </w:rPr>
        <w:t xml:space="preserve"> children</w:t>
      </w:r>
      <w:r w:rsidR="00ED37CB">
        <w:rPr>
          <w:lang w:val="en-US"/>
        </w:rPr>
        <w:t xml:space="preserve"> who cannot leave the house</w:t>
      </w:r>
    </w:p>
    <w:p w14:paraId="62D24BF0" w14:textId="77777777" w:rsidR="00ED37CB" w:rsidRDefault="00C608AA" w:rsidP="00ED37CB">
      <w:pPr>
        <w:pStyle w:val="ListBullet"/>
        <w:rPr>
          <w:lang w:val="en-US"/>
        </w:rPr>
      </w:pPr>
      <w:r>
        <w:rPr>
          <w:lang w:val="en-US"/>
        </w:rPr>
        <w:t xml:space="preserve">disruption to children’s schooling and daily routines if </w:t>
      </w:r>
      <w:r w:rsidR="00ED37CB">
        <w:rPr>
          <w:lang w:val="en-US"/>
        </w:rPr>
        <w:t xml:space="preserve">they leave </w:t>
      </w:r>
      <w:r>
        <w:rPr>
          <w:lang w:val="en-US"/>
        </w:rPr>
        <w:t xml:space="preserve">the </w:t>
      </w:r>
      <w:r w:rsidR="00ED37CB">
        <w:rPr>
          <w:lang w:val="en-US"/>
        </w:rPr>
        <w:t>house</w:t>
      </w:r>
    </w:p>
    <w:p w14:paraId="38B81546" w14:textId="77777777" w:rsidR="00ED37CB" w:rsidRDefault="00C608AA" w:rsidP="00ED37CB">
      <w:pPr>
        <w:pStyle w:val="ListBullet"/>
        <w:rPr>
          <w:lang w:val="en-US"/>
        </w:rPr>
      </w:pPr>
      <w:r>
        <w:rPr>
          <w:lang w:val="en-US"/>
        </w:rPr>
        <w:t>loss of income if the shelter is far from the source of income-generation activities</w:t>
      </w:r>
    </w:p>
    <w:p w14:paraId="0914E52A" w14:textId="77777777" w:rsidR="00ED37CB" w:rsidRDefault="00C608AA" w:rsidP="00ED37CB">
      <w:pPr>
        <w:pStyle w:val="ListBullet"/>
        <w:rPr>
          <w:lang w:val="en-US"/>
        </w:rPr>
      </w:pPr>
      <w:r>
        <w:rPr>
          <w:lang w:val="en-US"/>
        </w:rPr>
        <w:t xml:space="preserve">shame of people </w:t>
      </w:r>
      <w:r w:rsidR="00ED37CB">
        <w:rPr>
          <w:lang w:val="en-US"/>
        </w:rPr>
        <w:t>learning the survivor has</w:t>
      </w:r>
      <w:r>
        <w:rPr>
          <w:lang w:val="en-US"/>
        </w:rPr>
        <w:t xml:space="preserve"> gone to a shelter</w:t>
      </w:r>
    </w:p>
    <w:p w14:paraId="01A841B8" w14:textId="77777777" w:rsidR="00C4544F" w:rsidRDefault="00ED37CB" w:rsidP="00ED37CB">
      <w:pPr>
        <w:pStyle w:val="ListBullet"/>
        <w:rPr>
          <w:lang w:val="en-US"/>
        </w:rPr>
      </w:pPr>
      <w:r>
        <w:rPr>
          <w:lang w:val="en-US"/>
        </w:rPr>
        <w:t>not being able to pay the fees a few shelters charge</w:t>
      </w:r>
      <w:r w:rsidR="000350C0">
        <w:rPr>
          <w:lang w:val="en-US"/>
        </w:rPr>
        <w:t>.</w:t>
      </w:r>
    </w:p>
    <w:p w14:paraId="2EEDF1EF" w14:textId="0B497BEE" w:rsidR="00C608AA" w:rsidRDefault="00C608AA" w:rsidP="00BC7F33">
      <w:pPr>
        <w:pStyle w:val="ListBullet"/>
        <w:numPr>
          <w:ilvl w:val="0"/>
          <w:numId w:val="0"/>
        </w:numPr>
        <w:rPr>
          <w:lang w:val="en-US"/>
        </w:rPr>
      </w:pPr>
      <w:r>
        <w:rPr>
          <w:lang w:val="en-US"/>
        </w:rPr>
        <w:t xml:space="preserve">On the other hand, for some women and girls at high risk </w:t>
      </w:r>
      <w:r w:rsidR="00C4544F">
        <w:rPr>
          <w:lang w:val="en-US"/>
        </w:rPr>
        <w:t>of</w:t>
      </w:r>
      <w:r>
        <w:rPr>
          <w:lang w:val="en-US"/>
        </w:rPr>
        <w:t xml:space="preserve"> extreme physical or sexual violence, or threats </w:t>
      </w:r>
      <w:r w:rsidR="00C4544F">
        <w:rPr>
          <w:lang w:val="en-US"/>
        </w:rPr>
        <w:t>related</w:t>
      </w:r>
      <w:r>
        <w:rPr>
          <w:lang w:val="en-US"/>
        </w:rPr>
        <w:t xml:space="preserve"> to sorcery accusations, access to a shelter can be </w:t>
      </w:r>
      <w:r w:rsidR="008B44CA">
        <w:rPr>
          <w:lang w:val="en-US"/>
        </w:rPr>
        <w:t>lifesaving</w:t>
      </w:r>
      <w:r>
        <w:rPr>
          <w:lang w:val="en-US"/>
        </w:rPr>
        <w:t>.</w:t>
      </w:r>
    </w:p>
    <w:p w14:paraId="7967193E" w14:textId="34A8ED10" w:rsidR="00C4544F" w:rsidRDefault="00C4544F" w:rsidP="00D108E7">
      <w:pPr>
        <w:rPr>
          <w:rFonts w:cs="Arial"/>
        </w:rPr>
      </w:pPr>
      <w:r>
        <w:rPr>
          <w:rFonts w:cs="Arial"/>
        </w:rPr>
        <w:t>T</w:t>
      </w:r>
      <w:r w:rsidR="00EF65AE" w:rsidRPr="00D7702E">
        <w:rPr>
          <w:rFonts w:cs="Arial"/>
        </w:rPr>
        <w:t xml:space="preserve">he low usage of shelters by women around the world, combined with the cost of </w:t>
      </w:r>
      <w:r>
        <w:rPr>
          <w:rFonts w:cs="Arial"/>
        </w:rPr>
        <w:t>providing</w:t>
      </w:r>
      <w:r w:rsidR="00EF65AE" w:rsidRPr="00D7702E">
        <w:rPr>
          <w:rFonts w:cs="Arial"/>
        </w:rPr>
        <w:t xml:space="preserve"> high-quality care</w:t>
      </w:r>
      <w:r w:rsidR="00E0277E">
        <w:rPr>
          <w:rFonts w:cs="Arial"/>
        </w:rPr>
        <w:t>,</w:t>
      </w:r>
      <w:r>
        <w:rPr>
          <w:rFonts w:cs="Arial"/>
        </w:rPr>
        <w:t xml:space="preserve"> means</w:t>
      </w:r>
      <w:r w:rsidR="00EF65AE" w:rsidRPr="00D7702E">
        <w:rPr>
          <w:rFonts w:cs="Arial"/>
        </w:rPr>
        <w:t xml:space="preserve"> Australia should assess</w:t>
      </w:r>
      <w:r>
        <w:rPr>
          <w:rFonts w:cs="Arial"/>
        </w:rPr>
        <w:t>—</w:t>
      </w:r>
      <w:r w:rsidR="00EF65AE" w:rsidRPr="00D7702E">
        <w:rPr>
          <w:rFonts w:cs="Arial"/>
        </w:rPr>
        <w:t>on a country-by-country case</w:t>
      </w:r>
      <w:r>
        <w:rPr>
          <w:rFonts w:cs="Arial"/>
        </w:rPr>
        <w:t>—</w:t>
      </w:r>
      <w:r w:rsidR="00EF65AE" w:rsidRPr="00D7702E">
        <w:rPr>
          <w:rFonts w:cs="Arial"/>
        </w:rPr>
        <w:t>whether</w:t>
      </w:r>
      <w:r>
        <w:rPr>
          <w:rFonts w:cs="Arial"/>
        </w:rPr>
        <w:t xml:space="preserve"> to support:</w:t>
      </w:r>
    </w:p>
    <w:p w14:paraId="03404671" w14:textId="77777777" w:rsidR="00C4544F" w:rsidRDefault="00C4544F" w:rsidP="00C4544F">
      <w:pPr>
        <w:pStyle w:val="ListBullet"/>
      </w:pPr>
      <w:r>
        <w:t>such shelters</w:t>
      </w:r>
      <w:r w:rsidR="00EF65AE" w:rsidRPr="00D7702E">
        <w:t xml:space="preserve"> </w:t>
      </w:r>
      <w:r>
        <w:t xml:space="preserve">on an </w:t>
      </w:r>
      <w:r w:rsidR="00EF65AE" w:rsidRPr="00D7702E">
        <w:t xml:space="preserve">ongoing </w:t>
      </w:r>
      <w:r>
        <w:t>basis</w:t>
      </w:r>
      <w:r w:rsidR="00EF65AE" w:rsidRPr="00D7702E">
        <w:t>, or</w:t>
      </w:r>
    </w:p>
    <w:p w14:paraId="53DB0FED" w14:textId="77777777" w:rsidR="00C4544F" w:rsidRDefault="00EF65AE" w:rsidP="00C4544F">
      <w:pPr>
        <w:pStyle w:val="ListBullet"/>
      </w:pPr>
      <w:r w:rsidRPr="00D7702E">
        <w:t>community-based</w:t>
      </w:r>
      <w:r w:rsidR="00666C5A">
        <w:t>,</w:t>
      </w:r>
      <w:r w:rsidRPr="00D7702E">
        <w:t xml:space="preserve"> informal support mechanisms </w:t>
      </w:r>
      <w:r w:rsidR="00C4544F">
        <w:t>on</w:t>
      </w:r>
      <w:r w:rsidRPr="00D7702E">
        <w:t xml:space="preserve"> a more sustainable </w:t>
      </w:r>
      <w:r w:rsidR="00C4544F">
        <w:t>basis</w:t>
      </w:r>
      <w:r w:rsidRPr="00D7702E">
        <w:t xml:space="preserve">. </w:t>
      </w:r>
    </w:p>
    <w:p w14:paraId="15FEDDC1" w14:textId="6AD27273" w:rsidR="00EF65AE" w:rsidRPr="00D7702E" w:rsidRDefault="00EF65AE" w:rsidP="00BC7F33">
      <w:pPr>
        <w:pStyle w:val="ListBullet"/>
        <w:numPr>
          <w:ilvl w:val="0"/>
          <w:numId w:val="0"/>
        </w:numPr>
      </w:pPr>
      <w:r w:rsidRPr="00D7702E">
        <w:t>Box 10 discusses some of the challenges</w:t>
      </w:r>
      <w:r w:rsidR="000350C0">
        <w:t xml:space="preserve"> </w:t>
      </w:r>
      <w:r w:rsidR="00E0277E">
        <w:t xml:space="preserve">that </w:t>
      </w:r>
      <w:r w:rsidR="00C4544F">
        <w:t>shelters face</w:t>
      </w:r>
      <w:r w:rsidRPr="00D7702E">
        <w:t xml:space="preserve">, </w:t>
      </w:r>
      <w:r w:rsidR="00C4544F">
        <w:t>through</w:t>
      </w:r>
      <w:r w:rsidRPr="00D7702E">
        <w:t xml:space="preserve"> an example from Pakistan. </w:t>
      </w:r>
    </w:p>
    <w:p w14:paraId="6D8DF9BF" w14:textId="77777777" w:rsidR="00EF65AE" w:rsidRPr="00EF65AE" w:rsidRDefault="00DB2471" w:rsidP="00EF65AE">
      <w:pPr>
        <w:pStyle w:val="CallOutHeading"/>
        <w:rPr>
          <w:rFonts w:cs="Arial"/>
        </w:rPr>
      </w:pPr>
      <w:r>
        <w:rPr>
          <w:rFonts w:cs="Arial"/>
        </w:rPr>
        <w:t>Box 10:</w:t>
      </w:r>
      <w:r w:rsidR="00EF65AE" w:rsidRPr="00EF65AE">
        <w:rPr>
          <w:rFonts w:cs="Arial"/>
        </w:rPr>
        <w:t xml:space="preserve"> </w:t>
      </w:r>
      <w:r w:rsidR="00C4544F">
        <w:rPr>
          <w:rFonts w:cs="Arial"/>
        </w:rPr>
        <w:t xml:space="preserve">Pakistan </w:t>
      </w:r>
      <w:r w:rsidR="00EF65AE" w:rsidRPr="00EF65AE">
        <w:rPr>
          <w:rFonts w:cs="Arial"/>
        </w:rPr>
        <w:t>Women’s Shelter</w:t>
      </w:r>
    </w:p>
    <w:p w14:paraId="7AB2FCE9" w14:textId="0F924EBE" w:rsidR="00C4544F" w:rsidRDefault="00EF65AE" w:rsidP="00EF65AE">
      <w:pPr>
        <w:pStyle w:val="CallOutBody"/>
        <w:rPr>
          <w:rFonts w:cs="Arial"/>
        </w:rPr>
      </w:pPr>
      <w:r w:rsidRPr="00EF65AE">
        <w:rPr>
          <w:rFonts w:cs="Arial"/>
        </w:rPr>
        <w:t xml:space="preserve">In Pakistan, </w:t>
      </w:r>
      <w:r w:rsidR="00E0277E">
        <w:rPr>
          <w:rFonts w:cs="Arial"/>
        </w:rPr>
        <w:t xml:space="preserve">the </w:t>
      </w:r>
      <w:r w:rsidRPr="00EF65AE">
        <w:rPr>
          <w:rFonts w:cs="Arial"/>
        </w:rPr>
        <w:t xml:space="preserve">Australian-funded EVAW Program </w:t>
      </w:r>
      <w:r w:rsidR="00336239">
        <w:rPr>
          <w:rFonts w:cs="Arial"/>
        </w:rPr>
        <w:t xml:space="preserve">has </w:t>
      </w:r>
      <w:r w:rsidRPr="00EF65AE">
        <w:rPr>
          <w:rFonts w:cs="Arial"/>
        </w:rPr>
        <w:t>support</w:t>
      </w:r>
      <w:r w:rsidR="00336239">
        <w:rPr>
          <w:rFonts w:cs="Arial"/>
        </w:rPr>
        <w:t>ed</w:t>
      </w:r>
      <w:r w:rsidRPr="00EF65AE">
        <w:rPr>
          <w:rFonts w:cs="Arial"/>
        </w:rPr>
        <w:t xml:space="preserve"> local NGOs to run a temporary shelter where women can stay from 24 hours to three months</w:t>
      </w:r>
      <w:r w:rsidR="00C4544F">
        <w:rPr>
          <w:rFonts w:cs="Arial"/>
        </w:rPr>
        <w:t>. While there, they can</w:t>
      </w:r>
      <w:r w:rsidRPr="00EF65AE">
        <w:rPr>
          <w:rFonts w:cs="Arial"/>
        </w:rPr>
        <w:t xml:space="preserve"> access skills-building training (some set up small businesses when they leave), legal aid, and psychosocial and reintegration support. </w:t>
      </w:r>
    </w:p>
    <w:p w14:paraId="3F9D5F78" w14:textId="77777777" w:rsidR="00EF65AE" w:rsidRPr="00EF65AE" w:rsidRDefault="00EF65AE" w:rsidP="00EF65AE">
      <w:pPr>
        <w:pStyle w:val="CallOutBody"/>
        <w:rPr>
          <w:rFonts w:cs="Arial"/>
        </w:rPr>
      </w:pPr>
      <w:r w:rsidRPr="00EF65AE">
        <w:rPr>
          <w:rFonts w:cs="Arial"/>
        </w:rPr>
        <w:t xml:space="preserve">The program </w:t>
      </w:r>
      <w:r w:rsidR="00336239">
        <w:rPr>
          <w:rFonts w:cs="Arial"/>
        </w:rPr>
        <w:t>has</w:t>
      </w:r>
      <w:r w:rsidRPr="00EF65AE">
        <w:rPr>
          <w:rFonts w:cs="Arial"/>
        </w:rPr>
        <w:t xml:space="preserve"> also work</w:t>
      </w:r>
      <w:r w:rsidR="00336239">
        <w:rPr>
          <w:rFonts w:cs="Arial"/>
        </w:rPr>
        <w:t>ed</w:t>
      </w:r>
      <w:r w:rsidRPr="00EF65AE">
        <w:rPr>
          <w:rFonts w:cs="Arial"/>
        </w:rPr>
        <w:t xml:space="preserve"> with the </w:t>
      </w:r>
      <w:r w:rsidR="00C4544F">
        <w:rPr>
          <w:rFonts w:cs="Arial"/>
        </w:rPr>
        <w:t>G</w:t>
      </w:r>
      <w:r w:rsidRPr="00EF65AE">
        <w:rPr>
          <w:rFonts w:cs="Arial"/>
        </w:rPr>
        <w:t xml:space="preserve">overnment </w:t>
      </w:r>
      <w:r w:rsidR="00C4544F">
        <w:rPr>
          <w:rFonts w:cs="Arial"/>
        </w:rPr>
        <w:t xml:space="preserve">of Pakistan </w:t>
      </w:r>
      <w:r w:rsidRPr="00EF65AE">
        <w:rPr>
          <w:rFonts w:cs="Arial"/>
        </w:rPr>
        <w:t xml:space="preserve">to improve </w:t>
      </w:r>
      <w:r w:rsidR="00C4544F">
        <w:rPr>
          <w:rFonts w:cs="Arial"/>
        </w:rPr>
        <w:t xml:space="preserve">the </w:t>
      </w:r>
      <w:r w:rsidRPr="00EF65AE">
        <w:rPr>
          <w:rFonts w:cs="Arial"/>
        </w:rPr>
        <w:t>quality</w:t>
      </w:r>
      <w:r w:rsidR="00C4544F">
        <w:rPr>
          <w:rFonts w:cs="Arial"/>
        </w:rPr>
        <w:t xml:space="preserve"> of</w:t>
      </w:r>
      <w:r w:rsidRPr="00EF65AE">
        <w:rPr>
          <w:rFonts w:cs="Arial"/>
        </w:rPr>
        <w:t xml:space="preserve"> and access to government-run shelters</w:t>
      </w:r>
      <w:r w:rsidR="00BC7F33">
        <w:rPr>
          <w:rFonts w:cs="Arial"/>
        </w:rPr>
        <w:t xml:space="preserve">, </w:t>
      </w:r>
      <w:r w:rsidRPr="00EF65AE">
        <w:rPr>
          <w:rFonts w:cs="Arial"/>
        </w:rPr>
        <w:t xml:space="preserve">however these are only accessible with a court order, which presents a barrier for </w:t>
      </w:r>
      <w:r w:rsidR="00360F03">
        <w:rPr>
          <w:rFonts w:cs="Arial"/>
        </w:rPr>
        <w:t>most</w:t>
      </w:r>
      <w:r w:rsidRPr="00EF65AE">
        <w:rPr>
          <w:rFonts w:cs="Arial"/>
        </w:rPr>
        <w:t xml:space="preserve"> survivors who generally do not report.</w:t>
      </w:r>
    </w:p>
    <w:p w14:paraId="13645CEE" w14:textId="77777777" w:rsidR="00C4544F" w:rsidRDefault="00C4544F" w:rsidP="00EF65AE">
      <w:pPr>
        <w:pStyle w:val="CallOutBody"/>
        <w:rPr>
          <w:rFonts w:cs="Arial"/>
        </w:rPr>
      </w:pPr>
      <w:r>
        <w:rPr>
          <w:rFonts w:cs="Arial"/>
        </w:rPr>
        <w:t>T</w:t>
      </w:r>
      <w:r w:rsidR="00EF65AE" w:rsidRPr="00EF65AE">
        <w:rPr>
          <w:rFonts w:cs="Arial"/>
        </w:rPr>
        <w:t>hose accessing shelters</w:t>
      </w:r>
      <w:r>
        <w:rPr>
          <w:rFonts w:cs="Arial"/>
        </w:rPr>
        <w:t xml:space="preserve"> said </w:t>
      </w:r>
      <w:r w:rsidR="00EF65AE" w:rsidRPr="00EF65AE">
        <w:rPr>
          <w:rFonts w:cs="Arial"/>
        </w:rPr>
        <w:t>the attitudes of shelter staff were challeng</w:t>
      </w:r>
      <w:r>
        <w:rPr>
          <w:rFonts w:cs="Arial"/>
        </w:rPr>
        <w:t>ing</w:t>
      </w:r>
      <w:r w:rsidR="00EF65AE" w:rsidRPr="00EF65AE">
        <w:rPr>
          <w:rFonts w:cs="Arial"/>
        </w:rPr>
        <w:t>, a</w:t>
      </w:r>
      <w:r>
        <w:rPr>
          <w:rFonts w:cs="Arial"/>
        </w:rPr>
        <w:t>s were</w:t>
      </w:r>
      <w:r w:rsidR="00EF65AE" w:rsidRPr="00EF65AE">
        <w:rPr>
          <w:rFonts w:cs="Arial"/>
        </w:rPr>
        <w:t xml:space="preserve"> the absence of ethical guidelines </w:t>
      </w:r>
      <w:r>
        <w:rPr>
          <w:rFonts w:cs="Arial"/>
        </w:rPr>
        <w:t>on running</w:t>
      </w:r>
      <w:r w:rsidR="00EF65AE" w:rsidRPr="00EF65AE">
        <w:rPr>
          <w:rFonts w:cs="Arial"/>
        </w:rPr>
        <w:t xml:space="preserve"> them</w:t>
      </w:r>
      <w:r w:rsidR="0097086E">
        <w:rPr>
          <w:rFonts w:cs="Arial"/>
        </w:rPr>
        <w:t>. O</w:t>
      </w:r>
      <w:r w:rsidR="00EF65AE" w:rsidRPr="00EF65AE">
        <w:rPr>
          <w:rFonts w:cs="Arial"/>
        </w:rPr>
        <w:t xml:space="preserve">ne key informant said they are </w:t>
      </w:r>
      <w:r w:rsidR="0097086E">
        <w:rPr>
          <w:rFonts w:cs="Arial"/>
        </w:rPr>
        <w:t>‘</w:t>
      </w:r>
      <w:r w:rsidR="00EF65AE" w:rsidRPr="00EF65AE">
        <w:rPr>
          <w:rFonts w:cs="Arial"/>
        </w:rPr>
        <w:t>more like a jail.</w:t>
      </w:r>
      <w:r w:rsidR="0097086E">
        <w:rPr>
          <w:rFonts w:cs="Arial"/>
        </w:rPr>
        <w:t>’</w:t>
      </w:r>
      <w:r w:rsidR="00EF65AE" w:rsidRPr="00EF65AE">
        <w:rPr>
          <w:rFonts w:cs="Arial"/>
        </w:rPr>
        <w:t xml:space="preserve"> </w:t>
      </w:r>
    </w:p>
    <w:p w14:paraId="0C4DE43D" w14:textId="77777777" w:rsidR="009E1FBE" w:rsidRDefault="00EF65AE" w:rsidP="00EF65AE">
      <w:pPr>
        <w:pStyle w:val="CallOutBody"/>
        <w:rPr>
          <w:rFonts w:cs="Arial"/>
        </w:rPr>
      </w:pPr>
      <w:r w:rsidRPr="00EF65AE">
        <w:rPr>
          <w:rFonts w:cs="Arial"/>
        </w:rPr>
        <w:t xml:space="preserve">To improve service quality in government-run shelters, local partners have worked with government staff and police to improve attitudes when </w:t>
      </w:r>
      <w:r w:rsidR="00C4544F">
        <w:rPr>
          <w:rFonts w:cs="Arial"/>
        </w:rPr>
        <w:t>working</w:t>
      </w:r>
      <w:r w:rsidR="00C4544F" w:rsidRPr="00EF65AE">
        <w:rPr>
          <w:rFonts w:cs="Arial"/>
        </w:rPr>
        <w:t xml:space="preserve"> </w:t>
      </w:r>
      <w:r w:rsidRPr="00EF65AE">
        <w:rPr>
          <w:rFonts w:cs="Arial"/>
        </w:rPr>
        <w:t>with survivors. Another program worked to build trust between the communit</w:t>
      </w:r>
      <w:r w:rsidR="00F2275E">
        <w:rPr>
          <w:rFonts w:cs="Arial"/>
        </w:rPr>
        <w:t>y and police</w:t>
      </w:r>
      <w:r w:rsidR="007A2F8A">
        <w:rPr>
          <w:rFonts w:cs="Arial"/>
        </w:rPr>
        <w:t>.</w:t>
      </w:r>
      <w:r w:rsidRPr="00EF65AE">
        <w:rPr>
          <w:rFonts w:cs="Arial"/>
        </w:rPr>
        <w:t xml:space="preserve"> Many survivors have been in shelters for years, over-burdening the limited spaces available. </w:t>
      </w:r>
    </w:p>
    <w:p w14:paraId="2339C078" w14:textId="5A150856" w:rsidR="00EF65AE" w:rsidRPr="00EF65AE" w:rsidRDefault="009E1FBE" w:rsidP="00EF65AE">
      <w:pPr>
        <w:pStyle w:val="CallOutBody"/>
        <w:rPr>
          <w:rFonts w:cs="Arial"/>
        </w:rPr>
      </w:pPr>
      <w:r>
        <w:rPr>
          <w:rFonts w:cs="Arial"/>
        </w:rPr>
        <w:t>These realities are</w:t>
      </w:r>
      <w:r w:rsidR="00EF65AE" w:rsidRPr="00EF65AE">
        <w:rPr>
          <w:rFonts w:cs="Arial"/>
        </w:rPr>
        <w:t xml:space="preserve"> not unique to Pakistan</w:t>
      </w:r>
      <w:r>
        <w:rPr>
          <w:rFonts w:cs="Arial"/>
        </w:rPr>
        <w:t>. The same holds true of</w:t>
      </w:r>
      <w:r w:rsidR="00EF65AE" w:rsidRPr="00EF65AE">
        <w:rPr>
          <w:rFonts w:cs="Arial"/>
        </w:rPr>
        <w:t xml:space="preserve"> the causes cited</w:t>
      </w:r>
      <w:r>
        <w:rPr>
          <w:rFonts w:cs="Arial"/>
        </w:rPr>
        <w:t xml:space="preserve"> for survivors needing access to shelters, including </w:t>
      </w:r>
      <w:r w:rsidR="00EF65AE" w:rsidRPr="00EF65AE">
        <w:rPr>
          <w:rFonts w:cs="Arial"/>
        </w:rPr>
        <w:t xml:space="preserve">not being able to afford a lawyer, government-provided lawyers not taking their cases, and cases being delayed. </w:t>
      </w:r>
      <w:r>
        <w:rPr>
          <w:rFonts w:cs="Arial"/>
        </w:rPr>
        <w:t>S</w:t>
      </w:r>
      <w:r w:rsidR="007A2F8A">
        <w:rPr>
          <w:rFonts w:cs="Arial"/>
        </w:rPr>
        <w:t xml:space="preserve">helters can </w:t>
      </w:r>
      <w:r>
        <w:rPr>
          <w:rFonts w:cs="Arial"/>
        </w:rPr>
        <w:t xml:space="preserve">also </w:t>
      </w:r>
      <w:r w:rsidR="00EF65AE" w:rsidRPr="00EF65AE">
        <w:rPr>
          <w:rFonts w:cs="Arial"/>
        </w:rPr>
        <w:t>carry heavy social stigma that presents challenges for reintegration</w:t>
      </w:r>
      <w:r>
        <w:rPr>
          <w:rFonts w:cs="Arial"/>
        </w:rPr>
        <w:t>. As</w:t>
      </w:r>
      <w:r w:rsidR="00EF65AE" w:rsidRPr="00EF65AE">
        <w:rPr>
          <w:rFonts w:cs="Arial"/>
        </w:rPr>
        <w:t xml:space="preserve"> one staff member</w:t>
      </w:r>
      <w:r>
        <w:rPr>
          <w:rFonts w:cs="Arial"/>
        </w:rPr>
        <w:t xml:space="preserve"> said</w:t>
      </w:r>
      <w:r w:rsidR="00EF65AE" w:rsidRPr="00EF65AE">
        <w:rPr>
          <w:rFonts w:cs="Arial"/>
        </w:rPr>
        <w:t xml:space="preserve">: </w:t>
      </w:r>
    </w:p>
    <w:p w14:paraId="799979EE" w14:textId="77777777" w:rsidR="00EF65AE" w:rsidRPr="00BC7F33" w:rsidRDefault="00EF65AE" w:rsidP="00EF65AE">
      <w:pPr>
        <w:pStyle w:val="CallOutBody"/>
        <w:rPr>
          <w:rFonts w:cs="Arial"/>
          <w:i/>
          <w:iCs/>
        </w:rPr>
      </w:pPr>
      <w:r w:rsidRPr="00BC7F33">
        <w:rPr>
          <w:rFonts w:cs="Arial"/>
          <w:i/>
          <w:iCs/>
        </w:rPr>
        <w:t>Women who have been there are not seen as good women</w:t>
      </w:r>
      <w:r w:rsidR="0097086E" w:rsidRPr="00BC7F33">
        <w:rPr>
          <w:rFonts w:cs="Arial"/>
          <w:i/>
          <w:iCs/>
        </w:rPr>
        <w:t xml:space="preserve"> </w:t>
      </w:r>
      <w:r w:rsidRPr="00BC7F33">
        <w:rPr>
          <w:rFonts w:cs="Arial"/>
          <w:i/>
          <w:iCs/>
        </w:rPr>
        <w:t>…</w:t>
      </w:r>
      <w:r w:rsidR="0097086E" w:rsidRPr="00BC7F33">
        <w:rPr>
          <w:rFonts w:cs="Arial"/>
          <w:i/>
          <w:iCs/>
        </w:rPr>
        <w:t xml:space="preserve"> </w:t>
      </w:r>
      <w:r w:rsidRPr="00BC7F33">
        <w:rPr>
          <w:rFonts w:cs="Arial"/>
          <w:i/>
          <w:iCs/>
        </w:rPr>
        <w:t>a woman who has left the house has brought shame to her house and cannot go back home</w:t>
      </w:r>
      <w:r w:rsidR="009E1FBE" w:rsidRPr="00BC7F33">
        <w:rPr>
          <w:rFonts w:cs="Arial"/>
          <w:i/>
          <w:iCs/>
        </w:rPr>
        <w:t xml:space="preserve"> </w:t>
      </w:r>
      <w:r w:rsidRPr="00BC7F33">
        <w:rPr>
          <w:rFonts w:cs="Arial"/>
          <w:i/>
          <w:iCs/>
        </w:rPr>
        <w:t>… Some women didn’t want to leave the shelter.</w:t>
      </w:r>
    </w:p>
    <w:p w14:paraId="0FE7A476" w14:textId="77777777" w:rsidR="00EF65AE" w:rsidRPr="00EF65AE" w:rsidRDefault="00EF65AE" w:rsidP="00B204DF">
      <w:pPr>
        <w:pStyle w:val="Heading3NoTOC"/>
      </w:pPr>
      <w:r w:rsidRPr="00EF65AE">
        <w:t xml:space="preserve">Hotlines </w:t>
      </w:r>
    </w:p>
    <w:p w14:paraId="449D063A" w14:textId="77777777" w:rsidR="00EF65AE" w:rsidRPr="00EF65AE" w:rsidRDefault="00EF65AE" w:rsidP="00EF65AE">
      <w:pPr>
        <w:rPr>
          <w:rFonts w:cs="Arial"/>
        </w:rPr>
      </w:pPr>
      <w:r w:rsidRPr="00EF65AE">
        <w:rPr>
          <w:rFonts w:cs="Arial"/>
        </w:rPr>
        <w:t>Th</w:t>
      </w:r>
      <w:r w:rsidR="009E1FBE">
        <w:rPr>
          <w:rFonts w:cs="Arial"/>
        </w:rPr>
        <w:t>is</w:t>
      </w:r>
      <w:r w:rsidR="000350C0">
        <w:rPr>
          <w:rFonts w:cs="Arial"/>
        </w:rPr>
        <w:t xml:space="preserve"> </w:t>
      </w:r>
      <w:r w:rsidRPr="00EF65AE">
        <w:rPr>
          <w:rFonts w:cs="Arial"/>
        </w:rPr>
        <w:t xml:space="preserve">evaluation found that EVAWG-related hotlines </w:t>
      </w:r>
      <w:r w:rsidR="009E1FBE">
        <w:rPr>
          <w:rFonts w:cs="Arial"/>
        </w:rPr>
        <w:t>operate</w:t>
      </w:r>
      <w:r w:rsidRPr="00EF65AE">
        <w:rPr>
          <w:rFonts w:cs="Arial"/>
        </w:rPr>
        <w:t xml:space="preserve"> in all focus countries, taking advantage of widespread accessibility of mobile phones</w:t>
      </w:r>
      <w:r w:rsidR="009E1FBE">
        <w:rPr>
          <w:rFonts w:cs="Arial"/>
        </w:rPr>
        <w:t xml:space="preserve">. These are </w:t>
      </w:r>
      <w:r w:rsidRPr="00EF65AE">
        <w:rPr>
          <w:rFonts w:cs="Arial"/>
        </w:rPr>
        <w:t>primarily funded by Australian and New Zealand development assistance. In most cases, separate hotlines for domestic violence and child protection issues</w:t>
      </w:r>
      <w:r w:rsidR="0097086E">
        <w:rPr>
          <w:rFonts w:cs="Arial"/>
        </w:rPr>
        <w:t xml:space="preserve"> operate</w:t>
      </w:r>
      <w:r w:rsidRPr="00EF65AE">
        <w:rPr>
          <w:rFonts w:cs="Arial"/>
        </w:rPr>
        <w:t>, although stakeholders note the</w:t>
      </w:r>
      <w:r w:rsidR="0097086E">
        <w:rPr>
          <w:rFonts w:cs="Arial"/>
        </w:rPr>
        <w:t>y</w:t>
      </w:r>
      <w:r w:rsidRPr="00EF65AE">
        <w:rPr>
          <w:rFonts w:cs="Arial"/>
        </w:rPr>
        <w:t xml:space="preserve"> could benefit from greater coordination. </w:t>
      </w:r>
    </w:p>
    <w:p w14:paraId="5704C439" w14:textId="77777777" w:rsidR="00EF65AE" w:rsidRPr="00EF65AE" w:rsidRDefault="00EF65AE" w:rsidP="00EF65AE">
      <w:pPr>
        <w:rPr>
          <w:rFonts w:cs="Arial"/>
        </w:rPr>
      </w:pPr>
      <w:r w:rsidRPr="00EF65AE">
        <w:rPr>
          <w:rFonts w:cs="Arial"/>
        </w:rPr>
        <w:t>In 2017, the Fijian Ministry of Women, Children and Poverty Alleviation launched the first national domestic violence helpline, administered by</w:t>
      </w:r>
      <w:r w:rsidR="009E1FBE">
        <w:rPr>
          <w:rFonts w:cs="Arial"/>
        </w:rPr>
        <w:t xml:space="preserve"> the</w:t>
      </w:r>
      <w:r w:rsidRPr="00EF65AE">
        <w:rPr>
          <w:rFonts w:cs="Arial"/>
        </w:rPr>
        <w:t xml:space="preserve"> FWCC with trained counsellors who could refer callers to service providers. A separate hotline for children is managed by Medical Services Pacific. In Pakistan, hotlines were established in response to crisis staff being overwhelmed by calls to their personal numbers.</w:t>
      </w:r>
    </w:p>
    <w:p w14:paraId="6CE8A0C9" w14:textId="77777777" w:rsidR="00EF65AE" w:rsidRPr="00EF65AE" w:rsidRDefault="00EF65AE" w:rsidP="00EF65AE">
      <w:pPr>
        <w:rPr>
          <w:rFonts w:cs="Arial"/>
        </w:rPr>
      </w:pPr>
      <w:r w:rsidRPr="00EF65AE">
        <w:rPr>
          <w:rFonts w:cs="Arial"/>
        </w:rPr>
        <w:t>Telephone hotlines can enable survivors of violence, or concerned friends and relatives, to receive immediate information and support, in most cases, at any time of day or night.</w:t>
      </w:r>
      <w:r w:rsidRPr="00EF65AE">
        <w:rPr>
          <w:rFonts w:cs="Arial"/>
        </w:rPr>
        <w:fldChar w:fldCharType="begin"/>
      </w:r>
      <w:r w:rsidRPr="00EF65AE">
        <w:rPr>
          <w:rFonts w:cs="Arial"/>
        </w:rPr>
        <w:instrText xml:space="preserve"> ADDIN ZOTERO_ITEM CSL_CITATION {"citationID":"SdoX870e","properties":{"formattedCitation":"\\super 50\\nosupersub{}","plainCitation":"50","noteIndex":0},"citationItems":[{"id":117,"uris":["http://zotero.org/users/4194704/items/UNXB52LN"],"uri":["http://zotero.org/users/4194704/items/UNXB52LN"],"itemData":{"id":117,"type":"report","title":"What works to prevent violence against women and girls evidence reviews. Paper 1: State of the field of research on violence against women and girls","publisher":"What Works to Prevent Violence","publisher-place":"Pretoria","event-place":"Pretoria","author":[{"family":"Fulu","given":"Emma"},{"family":"Heise","given":"Lori"}],"issued":{"date-parts":[["2015"]]}}}],"schema":"https://github.com/citation-style-language/schema/raw/master/csl-citation.json"} </w:instrText>
      </w:r>
      <w:r w:rsidRPr="00EF65AE">
        <w:rPr>
          <w:rFonts w:cs="Arial"/>
        </w:rPr>
        <w:fldChar w:fldCharType="separate"/>
      </w:r>
      <w:r w:rsidRPr="00EF65AE">
        <w:rPr>
          <w:rFonts w:cs="Arial"/>
          <w:vertAlign w:val="superscript"/>
          <w:lang w:val="en-US"/>
        </w:rPr>
        <w:t>50</w:t>
      </w:r>
      <w:r w:rsidRPr="00EF65AE">
        <w:rPr>
          <w:rFonts w:cs="Arial"/>
        </w:rPr>
        <w:fldChar w:fldCharType="end"/>
      </w:r>
      <w:r w:rsidRPr="00EF65AE">
        <w:rPr>
          <w:rFonts w:cs="Arial"/>
        </w:rPr>
        <w:t xml:space="preserve"> Agreements with telecommunications providers can</w:t>
      </w:r>
      <w:r w:rsidR="0097086E">
        <w:rPr>
          <w:rFonts w:cs="Arial"/>
        </w:rPr>
        <w:t xml:space="preserve"> </w:t>
      </w:r>
      <w:r w:rsidR="009E1FBE">
        <w:rPr>
          <w:rFonts w:cs="Arial"/>
        </w:rPr>
        <w:t>offer</w:t>
      </w:r>
      <w:r w:rsidRPr="00EF65AE">
        <w:rPr>
          <w:rFonts w:cs="Arial"/>
        </w:rPr>
        <w:t xml:space="preserve"> hotline calls </w:t>
      </w:r>
      <w:r w:rsidR="009E1FBE">
        <w:rPr>
          <w:rFonts w:cs="Arial"/>
        </w:rPr>
        <w:t>for</w:t>
      </w:r>
      <w:r w:rsidR="009E1FBE" w:rsidRPr="00EF65AE">
        <w:rPr>
          <w:rFonts w:cs="Arial"/>
        </w:rPr>
        <w:t xml:space="preserve"> </w:t>
      </w:r>
      <w:r w:rsidRPr="00EF65AE">
        <w:rPr>
          <w:rFonts w:cs="Arial"/>
        </w:rPr>
        <w:t xml:space="preserve">free, increasing </w:t>
      </w:r>
      <w:r w:rsidR="0097086E">
        <w:rPr>
          <w:rFonts w:cs="Arial"/>
        </w:rPr>
        <w:t>service</w:t>
      </w:r>
      <w:r w:rsidR="0097086E" w:rsidRPr="00EF65AE">
        <w:rPr>
          <w:rFonts w:cs="Arial"/>
        </w:rPr>
        <w:t xml:space="preserve"> </w:t>
      </w:r>
      <w:r w:rsidRPr="00EF65AE">
        <w:rPr>
          <w:rFonts w:cs="Arial"/>
        </w:rPr>
        <w:t xml:space="preserve">accessibility to women and girls who may not be able to financially or safely make a billed call. </w:t>
      </w:r>
    </w:p>
    <w:p w14:paraId="336D364E" w14:textId="77777777" w:rsidR="00807702" w:rsidRDefault="00EF65AE" w:rsidP="00EF65AE">
      <w:pPr>
        <w:rPr>
          <w:rFonts w:cs="Arial"/>
        </w:rPr>
      </w:pPr>
      <w:r w:rsidRPr="00EF65AE">
        <w:rPr>
          <w:rFonts w:cs="Arial"/>
        </w:rPr>
        <w:t>Hotlines are</w:t>
      </w:r>
      <w:r w:rsidR="009E1FBE">
        <w:rPr>
          <w:rFonts w:cs="Arial"/>
        </w:rPr>
        <w:t xml:space="preserve"> a</w:t>
      </w:r>
      <w:r w:rsidRPr="00EF65AE">
        <w:rPr>
          <w:rFonts w:cs="Arial"/>
        </w:rPr>
        <w:t xml:space="preserve"> useful part of an integrated approach</w:t>
      </w:r>
      <w:r w:rsidR="009E1FBE">
        <w:rPr>
          <w:rFonts w:cs="Arial"/>
        </w:rPr>
        <w:t>, despite their</w:t>
      </w:r>
      <w:r w:rsidRPr="00EF65AE">
        <w:rPr>
          <w:rFonts w:cs="Arial"/>
        </w:rPr>
        <w:t xml:space="preserve"> limitations and risks. There may be no support for survivors to access the services to which they are referred and limited ability to follow up. One service provider also pointed out</w:t>
      </w:r>
      <w:r w:rsidR="0097086E">
        <w:rPr>
          <w:rFonts w:cs="Arial"/>
        </w:rPr>
        <w:t xml:space="preserve"> that ‘receiving phone calls from strangers </w:t>
      </w:r>
      <w:r w:rsidR="0097086E" w:rsidRPr="00FA1B92">
        <w:rPr>
          <w:rStyle w:val="QuoteChar"/>
          <w:i w:val="0"/>
          <w:iCs w:val="0"/>
        </w:rPr>
        <w:t>can often put survivors at considerable risk</w:t>
      </w:r>
      <w:r w:rsidR="0097086E">
        <w:rPr>
          <w:rStyle w:val="QuoteChar"/>
          <w:i w:val="0"/>
          <w:iCs w:val="0"/>
        </w:rPr>
        <w:t>.’</w:t>
      </w:r>
    </w:p>
    <w:p w14:paraId="7FC92EC4" w14:textId="77777777" w:rsidR="00EF65AE" w:rsidRPr="00EF65AE" w:rsidRDefault="00EF65AE" w:rsidP="00EF65AE">
      <w:pPr>
        <w:rPr>
          <w:rFonts w:cs="Arial"/>
        </w:rPr>
      </w:pPr>
      <w:r w:rsidRPr="00EF65AE">
        <w:rPr>
          <w:rFonts w:cs="Arial"/>
        </w:rPr>
        <w:t xml:space="preserve">Usually staffed by volunteers, hotlines can be low cost to run but challenging to </w:t>
      </w:r>
      <w:r w:rsidR="009E1FBE">
        <w:rPr>
          <w:rFonts w:cs="Arial"/>
        </w:rPr>
        <w:t xml:space="preserve">provide </w:t>
      </w:r>
      <w:r w:rsidRPr="00EF65AE">
        <w:rPr>
          <w:rFonts w:cs="Arial"/>
        </w:rPr>
        <w:t>quality of services</w:t>
      </w:r>
      <w:r w:rsidR="0097086E">
        <w:rPr>
          <w:rFonts w:cs="Arial"/>
        </w:rPr>
        <w:t>. T</w:t>
      </w:r>
      <w:r w:rsidRPr="00EF65AE">
        <w:rPr>
          <w:rFonts w:cs="Arial"/>
        </w:rPr>
        <w:t>urnover of hotline volunteers is often high, meaning that training must be delivered frequently. Further, all hotline providers the evaluation team interviewed reported receiving a large number of prank calls. In Solomon Islands, a</w:t>
      </w:r>
      <w:r w:rsidR="007A2F8A">
        <w:rPr>
          <w:rFonts w:cs="Arial"/>
        </w:rPr>
        <w:t xml:space="preserve"> </w:t>
      </w:r>
      <w:r w:rsidR="008C626D">
        <w:rPr>
          <w:rFonts w:cs="Arial"/>
        </w:rPr>
        <w:t>Telekom</w:t>
      </w:r>
      <w:r w:rsidR="009E1FBE">
        <w:rPr>
          <w:rFonts w:cs="Arial"/>
        </w:rPr>
        <w:t>-</w:t>
      </w:r>
      <w:r w:rsidRPr="00EF65AE">
        <w:rPr>
          <w:rFonts w:cs="Arial"/>
        </w:rPr>
        <w:t>supported hotline explained that hotline staff need to be aware of their own safety, as they sometimes receive calls from stalkers a</w:t>
      </w:r>
      <w:r w:rsidR="0097086E">
        <w:rPr>
          <w:rFonts w:cs="Arial"/>
        </w:rPr>
        <w:t>nd</w:t>
      </w:r>
      <w:r w:rsidRPr="00EF65AE">
        <w:rPr>
          <w:rFonts w:cs="Arial"/>
        </w:rPr>
        <w:t xml:space="preserve"> male perpetrators looking for their wives. Hotlines can also be used for unintended purposes. In Afghanistan, two</w:t>
      </w:r>
      <w:r w:rsidR="0097086E">
        <w:rPr>
          <w:rFonts w:cs="Arial"/>
        </w:rPr>
        <w:t>-</w:t>
      </w:r>
      <w:r w:rsidRPr="00EF65AE">
        <w:rPr>
          <w:rFonts w:cs="Arial"/>
        </w:rPr>
        <w:t>thirds of callers were men seeking support on personal matters.</w:t>
      </w:r>
      <w:r w:rsidRPr="00EF65AE">
        <w:rPr>
          <w:rFonts w:cs="Arial"/>
        </w:rPr>
        <w:fldChar w:fldCharType="begin"/>
      </w:r>
      <w:r w:rsidRPr="00EF65AE">
        <w:rPr>
          <w:rFonts w:cs="Arial"/>
        </w:rPr>
        <w:instrText xml:space="preserve"> ADDIN ZOTERO_ITEM CSL_CITATION {"citationID":"TgEM9CkD","properties":{"formattedCitation":"\\super 92\\nosupersub{}","plainCitation":"92","noteIndex":0},"citationItems":[{"id":2501,"uris":["http://zotero.org/users/4194704/items/2XQ58U53"],"uri":["http://zotero.org/users/4194704/items/2XQ58U53"],"itemData":{"id":2501,"type":"article-journal","title":"Midterm Review of the DFAT Ending Violence Against Women (EVAW) Program in Afghanistan","author":[{"literal":"Adam Smith International"}],"issued":{"date-parts":[["2016"]]}}}],"schema":"https://github.com/citation-style-language/schema/raw/master/csl-citation.json"} </w:instrText>
      </w:r>
      <w:r w:rsidRPr="00EF65AE">
        <w:rPr>
          <w:rFonts w:cs="Arial"/>
        </w:rPr>
        <w:fldChar w:fldCharType="separate"/>
      </w:r>
      <w:r w:rsidRPr="00EF65AE">
        <w:rPr>
          <w:rFonts w:cs="Arial"/>
          <w:vertAlign w:val="superscript"/>
          <w:lang w:val="en-US"/>
        </w:rPr>
        <w:t>92</w:t>
      </w:r>
      <w:r w:rsidRPr="00EF65AE">
        <w:rPr>
          <w:rFonts w:cs="Arial"/>
        </w:rPr>
        <w:fldChar w:fldCharType="end"/>
      </w:r>
      <w:r w:rsidRPr="00EF65AE">
        <w:rPr>
          <w:rFonts w:cs="Arial"/>
        </w:rPr>
        <w:t xml:space="preserve"> </w:t>
      </w:r>
    </w:p>
    <w:p w14:paraId="64140CA3" w14:textId="5456D290" w:rsidR="00EF65AE" w:rsidRPr="00EF65AE" w:rsidRDefault="0097086E" w:rsidP="00EF65AE">
      <w:pPr>
        <w:rPr>
          <w:rFonts w:cs="Arial"/>
        </w:rPr>
      </w:pPr>
      <w:r>
        <w:rPr>
          <w:rFonts w:cs="Arial"/>
        </w:rPr>
        <w:t>S</w:t>
      </w:r>
      <w:r w:rsidR="00EF65AE" w:rsidRPr="00EF65AE">
        <w:rPr>
          <w:rFonts w:cs="Arial"/>
        </w:rPr>
        <w:t>upport for hotlines needs to be informed by an analysis of women’s access and control of mobile technology</w:t>
      </w:r>
      <w:r>
        <w:rPr>
          <w:rFonts w:cs="Arial"/>
        </w:rPr>
        <w:t>. A</w:t>
      </w:r>
      <w:r w:rsidR="00EF65AE" w:rsidRPr="00EF65AE">
        <w:rPr>
          <w:rFonts w:cs="Arial"/>
        </w:rPr>
        <w:t xml:space="preserve"> 2013 survey of women’s access to mobile technology found that about 48 per cent of Afghan women own a cell phone, and 32 per cent have access to a shared phone. Of the remaining 20 per cent, half reported they do</w:t>
      </w:r>
      <w:r>
        <w:rPr>
          <w:rFonts w:cs="Arial"/>
        </w:rPr>
        <w:t xml:space="preserve"> not</w:t>
      </w:r>
      <w:r w:rsidR="00EF65AE" w:rsidRPr="00EF65AE">
        <w:rPr>
          <w:rFonts w:cs="Arial"/>
        </w:rPr>
        <w:t xml:space="preserve"> have a mobile phone because they do not have permission from their family. </w:t>
      </w:r>
    </w:p>
    <w:p w14:paraId="7035B7BB" w14:textId="77777777" w:rsidR="00EF65AE" w:rsidRPr="00EF65AE" w:rsidRDefault="00EF65AE" w:rsidP="00B204DF">
      <w:pPr>
        <w:pStyle w:val="Heading3NoTOC"/>
      </w:pPr>
      <w:r w:rsidRPr="00EF65AE">
        <w:t>Counselling services</w:t>
      </w:r>
    </w:p>
    <w:p w14:paraId="57D67E10" w14:textId="77777777" w:rsidR="00EF65AE" w:rsidRPr="00EF65AE" w:rsidRDefault="00EF65AE" w:rsidP="00EF65AE">
      <w:pPr>
        <w:rPr>
          <w:rStyle w:val="Heading5Char"/>
          <w:rFonts w:ascii="Arial" w:hAnsi="Arial" w:cs="Arial"/>
          <w:color w:val="000000"/>
        </w:rPr>
      </w:pPr>
      <w:r w:rsidRPr="00EF65AE">
        <w:rPr>
          <w:rStyle w:val="Heading5Char"/>
          <w:rFonts w:ascii="Arial" w:hAnsi="Arial" w:cs="Arial"/>
          <w:color w:val="000000"/>
        </w:rPr>
        <w:t>One finding</w:t>
      </w:r>
      <w:r w:rsidR="00DC7C3C">
        <w:rPr>
          <w:rStyle w:val="Heading5Char"/>
          <w:rFonts w:ascii="Arial" w:hAnsi="Arial" w:cs="Arial"/>
          <w:color w:val="000000"/>
        </w:rPr>
        <w:t xml:space="preserve"> </w:t>
      </w:r>
      <w:r w:rsidRPr="00EF65AE">
        <w:rPr>
          <w:rStyle w:val="Heading5Char"/>
          <w:rFonts w:ascii="Arial" w:hAnsi="Arial" w:cs="Arial"/>
          <w:color w:val="000000"/>
        </w:rPr>
        <w:t xml:space="preserve">of the 2008 ODE report was the uneven quality of counselling services </w:t>
      </w:r>
      <w:r w:rsidR="007A2F8A">
        <w:rPr>
          <w:rStyle w:val="Heading5Char"/>
          <w:rFonts w:ascii="Arial" w:hAnsi="Arial" w:cs="Arial"/>
          <w:color w:val="000000"/>
        </w:rPr>
        <w:t>in different locations</w:t>
      </w:r>
      <w:r w:rsidRPr="00EF65AE">
        <w:rPr>
          <w:rStyle w:val="Heading5Char"/>
          <w:rFonts w:ascii="Arial" w:hAnsi="Arial" w:cs="Arial"/>
          <w:color w:val="000000"/>
        </w:rPr>
        <w:t xml:space="preserve">. In particular, the term </w:t>
      </w:r>
      <w:r w:rsidR="00161835">
        <w:rPr>
          <w:rStyle w:val="Heading5Char"/>
          <w:rFonts w:ascii="Arial" w:hAnsi="Arial" w:cs="Arial"/>
          <w:color w:val="000000"/>
        </w:rPr>
        <w:t>‘</w:t>
      </w:r>
      <w:r w:rsidRPr="00EF65AE">
        <w:rPr>
          <w:rStyle w:val="Heading5Char"/>
          <w:rFonts w:ascii="Arial" w:hAnsi="Arial" w:cs="Arial"/>
          <w:color w:val="000000"/>
        </w:rPr>
        <w:t>counselling</w:t>
      </w:r>
      <w:r w:rsidR="00161835">
        <w:rPr>
          <w:rStyle w:val="Heading5Char"/>
          <w:rFonts w:ascii="Arial" w:hAnsi="Arial" w:cs="Arial"/>
          <w:color w:val="000000"/>
        </w:rPr>
        <w:t>’</w:t>
      </w:r>
      <w:r w:rsidRPr="00EF65AE">
        <w:rPr>
          <w:rStyle w:val="Heading5Char"/>
          <w:rFonts w:ascii="Arial" w:hAnsi="Arial" w:cs="Arial"/>
          <w:color w:val="000000"/>
        </w:rPr>
        <w:t xml:space="preserve"> was used widely by many providers,</w:t>
      </w:r>
      <w:r w:rsidR="00DC7C3C">
        <w:rPr>
          <w:rStyle w:val="Heading5Char"/>
          <w:rFonts w:ascii="Arial" w:hAnsi="Arial" w:cs="Arial"/>
          <w:color w:val="000000"/>
        </w:rPr>
        <w:t xml:space="preserve"> including</w:t>
      </w:r>
      <w:r w:rsidRPr="00EF65AE">
        <w:rPr>
          <w:rStyle w:val="Heading5Char"/>
          <w:rFonts w:ascii="Arial" w:hAnsi="Arial" w:cs="Arial"/>
          <w:color w:val="000000"/>
        </w:rPr>
        <w:t xml:space="preserve"> police, magistrates, faith leaders, and community activists, who may not have had formal training or a mandate to provide </w:t>
      </w:r>
      <w:r w:rsidR="00DC7C3C">
        <w:rPr>
          <w:rStyle w:val="Heading5Char"/>
          <w:rFonts w:ascii="Arial" w:hAnsi="Arial" w:cs="Arial"/>
          <w:color w:val="000000"/>
        </w:rPr>
        <w:t>such a service</w:t>
      </w:r>
      <w:r w:rsidRPr="00EF65AE">
        <w:rPr>
          <w:rStyle w:val="Heading5Char"/>
          <w:rFonts w:ascii="Arial" w:hAnsi="Arial" w:cs="Arial"/>
          <w:color w:val="000000"/>
        </w:rPr>
        <w:t>. In practice,</w:t>
      </w:r>
      <w:r w:rsidR="00161835">
        <w:rPr>
          <w:rStyle w:val="Heading5Char"/>
          <w:rFonts w:ascii="Arial" w:hAnsi="Arial" w:cs="Arial"/>
          <w:color w:val="000000"/>
        </w:rPr>
        <w:t xml:space="preserve"> </w:t>
      </w:r>
      <w:r w:rsidR="00DC7C3C">
        <w:rPr>
          <w:rStyle w:val="Heading5Char"/>
          <w:rFonts w:ascii="Arial" w:hAnsi="Arial" w:cs="Arial"/>
          <w:color w:val="000000"/>
        </w:rPr>
        <w:t>this ‘</w:t>
      </w:r>
      <w:r w:rsidRPr="00EF65AE">
        <w:rPr>
          <w:rStyle w:val="Heading5Char"/>
          <w:rFonts w:ascii="Arial" w:hAnsi="Arial" w:cs="Arial"/>
          <w:color w:val="000000"/>
        </w:rPr>
        <w:t>counselling</w:t>
      </w:r>
      <w:r w:rsidR="00DC7C3C">
        <w:rPr>
          <w:rStyle w:val="Heading5Char"/>
          <w:rFonts w:ascii="Arial" w:hAnsi="Arial" w:cs="Arial"/>
          <w:color w:val="000000"/>
        </w:rPr>
        <w:t>’</w:t>
      </w:r>
      <w:r w:rsidRPr="00EF65AE">
        <w:rPr>
          <w:rStyle w:val="Heading5Char"/>
          <w:rFonts w:ascii="Arial" w:hAnsi="Arial" w:cs="Arial"/>
          <w:color w:val="000000"/>
        </w:rPr>
        <w:t xml:space="preserve"> often reinforced prevailing patriarchal norms, such as advising women to be better wives, or avoiding sexual assault by dressing and behaving modestly in public.</w:t>
      </w:r>
    </w:p>
    <w:p w14:paraId="5AAF12D6" w14:textId="1B6A38C6" w:rsidR="00EF65AE" w:rsidRPr="00EF65AE" w:rsidRDefault="00EF65AE" w:rsidP="00EF65AE">
      <w:pPr>
        <w:rPr>
          <w:rFonts w:cs="Arial"/>
        </w:rPr>
      </w:pPr>
      <w:r w:rsidRPr="00EF65AE">
        <w:rPr>
          <w:rFonts w:cs="Arial"/>
        </w:rPr>
        <w:t xml:space="preserve">A review of counselling services found that </w:t>
      </w:r>
      <w:r w:rsidR="00161835">
        <w:rPr>
          <w:rFonts w:cs="Arial"/>
        </w:rPr>
        <w:t>10</w:t>
      </w:r>
      <w:r w:rsidR="00161835" w:rsidRPr="00EF65AE">
        <w:rPr>
          <w:rFonts w:cs="Arial"/>
        </w:rPr>
        <w:t xml:space="preserve"> </w:t>
      </w:r>
      <w:r w:rsidRPr="00EF65AE">
        <w:rPr>
          <w:rFonts w:cs="Arial"/>
        </w:rPr>
        <w:t xml:space="preserve">of </w:t>
      </w:r>
      <w:r w:rsidR="00161835">
        <w:rPr>
          <w:rFonts w:cs="Arial"/>
        </w:rPr>
        <w:t>14</w:t>
      </w:r>
      <w:r w:rsidR="00161835" w:rsidRPr="00EF65AE">
        <w:rPr>
          <w:rFonts w:cs="Arial"/>
        </w:rPr>
        <w:t xml:space="preserve"> </w:t>
      </w:r>
      <w:r w:rsidR="00210394" w:rsidRPr="00EF65AE">
        <w:rPr>
          <w:rFonts w:cs="Arial"/>
        </w:rPr>
        <w:t xml:space="preserve">Pacific </w:t>
      </w:r>
      <w:r w:rsidR="00210394">
        <w:rPr>
          <w:rFonts w:cs="Arial"/>
        </w:rPr>
        <w:t xml:space="preserve">island </w:t>
      </w:r>
      <w:r w:rsidRPr="00EF65AE">
        <w:rPr>
          <w:rFonts w:cs="Arial"/>
        </w:rPr>
        <w:t xml:space="preserve">countries </w:t>
      </w:r>
      <w:r w:rsidR="00210394">
        <w:rPr>
          <w:rFonts w:cs="Arial"/>
        </w:rPr>
        <w:t>had</w:t>
      </w:r>
      <w:r w:rsidR="00210394" w:rsidRPr="00EF65AE">
        <w:rPr>
          <w:rFonts w:cs="Arial"/>
        </w:rPr>
        <w:t xml:space="preserve"> </w:t>
      </w:r>
      <w:r w:rsidRPr="00EF65AE">
        <w:rPr>
          <w:rFonts w:cs="Arial"/>
        </w:rPr>
        <w:t>legislation on family and/or sexual violence mandate counselling</w:t>
      </w:r>
      <w:r w:rsidR="00DC7C3C">
        <w:rPr>
          <w:rFonts w:cs="Arial"/>
        </w:rPr>
        <w:t xml:space="preserve"> as a service. However</w:t>
      </w:r>
      <w:r w:rsidRPr="00EF65AE">
        <w:rPr>
          <w:rFonts w:cs="Arial"/>
        </w:rPr>
        <w:t>, only 40 per cent of organisations had counsellors with a relevant diploma or degree.</w:t>
      </w:r>
      <w:r w:rsidRPr="00EF65AE">
        <w:rPr>
          <w:rFonts w:cs="Arial"/>
        </w:rPr>
        <w:fldChar w:fldCharType="begin"/>
      </w:r>
      <w:r w:rsidRPr="00EF65AE">
        <w:rPr>
          <w:rFonts w:cs="Arial"/>
        </w:rPr>
        <w:instrText xml:space="preserve"> ADDIN ZOTERO_ITEM CSL_CITATION {"citationID":"tx2NEWRb","properties":{"formattedCitation":"\\super 93\\nosupersub{}","plainCitation":"93","noteIndex":0},"citationItems":[{"id":2532,"uris":["http://zotero.org/users/4194704/items/RZCS8EL6"],"uri":["http://zotero.org/users/4194704/items/RZCS8EL6"],"itemData":{"id":2532,"type":"report","title":"Review of Counselling Services in the Pacific","publisher":"Department of Foreign Affairs and Trade","publisher-place":"Suva, Fiji","event-place":"Suva, Fiji","author":[{"family":"Pacific Women Shaping","given":""}],"issued":{"date-parts":[["2017"]]}}}],"schema":"https://github.com/citation-style-language/schema/raw/master/csl-citation.json"} </w:instrText>
      </w:r>
      <w:r w:rsidRPr="00EF65AE">
        <w:rPr>
          <w:rFonts w:cs="Arial"/>
        </w:rPr>
        <w:fldChar w:fldCharType="separate"/>
      </w:r>
      <w:r w:rsidRPr="00EF65AE">
        <w:rPr>
          <w:rFonts w:cs="Arial"/>
          <w:vertAlign w:val="superscript"/>
          <w:lang w:val="en-US"/>
        </w:rPr>
        <w:t>93</w:t>
      </w:r>
      <w:r w:rsidRPr="00EF65AE">
        <w:rPr>
          <w:rFonts w:cs="Arial"/>
        </w:rPr>
        <w:fldChar w:fldCharType="end"/>
      </w:r>
      <w:r w:rsidRPr="00EF65AE">
        <w:rPr>
          <w:rFonts w:cs="Arial"/>
        </w:rPr>
        <w:t xml:space="preserve"> In light of this, it is important for Australia to continue investing in quality regional training. </w:t>
      </w:r>
      <w:r w:rsidR="00DC7C3C">
        <w:rPr>
          <w:rFonts w:cs="Arial"/>
        </w:rPr>
        <w:t xml:space="preserve">The </w:t>
      </w:r>
      <w:r w:rsidRPr="00EF65AE">
        <w:rPr>
          <w:rFonts w:cs="Arial"/>
        </w:rPr>
        <w:t>FWCC’s training is based on decades of experience in providing survivor-centred, psychosocial counselling to survivors of violence and represents global best</w:t>
      </w:r>
      <w:r w:rsidR="00161835">
        <w:rPr>
          <w:rFonts w:cs="Arial"/>
        </w:rPr>
        <w:t>-</w:t>
      </w:r>
      <w:r w:rsidRPr="00EF65AE">
        <w:rPr>
          <w:rFonts w:cs="Arial"/>
        </w:rPr>
        <w:t xml:space="preserve">practice approaches grounded in human rights and gender equity principles. </w:t>
      </w:r>
    </w:p>
    <w:p w14:paraId="09729295" w14:textId="77777777" w:rsidR="00EF65AE" w:rsidRPr="00EF65AE" w:rsidRDefault="00EF65AE" w:rsidP="00EF65AE">
      <w:pPr>
        <w:rPr>
          <w:rFonts w:cs="Arial"/>
        </w:rPr>
      </w:pPr>
      <w:r w:rsidRPr="00EF65AE">
        <w:rPr>
          <w:rFonts w:cs="Arial"/>
        </w:rPr>
        <w:t>Empower Pacific provides counselling and training for VAWG services in several Pacific island countries. It is hospital-based, and most referrals come from doctors or nurses. The evaluation found that while most counsellors and social workers have Australian-accredited diplomas from the University of the South Pacific</w:t>
      </w:r>
      <w:r w:rsidR="00161835">
        <w:rPr>
          <w:rFonts w:cs="Arial"/>
        </w:rPr>
        <w:t>,</w:t>
      </w:r>
      <w:r w:rsidRPr="00EF65AE">
        <w:rPr>
          <w:rFonts w:cs="Arial"/>
        </w:rPr>
        <w:t xml:space="preserve"> the Empower Pacific training and counselling is not specific to VAWG and does not have an explicit gender focus. Some regional VAWG experts consider this a barrier to providing survivor-centred care. More follow-up is needed to assess the relative effectiveness of this approach for EVAWG. </w:t>
      </w:r>
    </w:p>
    <w:p w14:paraId="53722DFB" w14:textId="6E7DF6A6" w:rsidR="00EF65AE" w:rsidRPr="002E462B" w:rsidRDefault="00EF65AE" w:rsidP="002E462B">
      <w:pPr>
        <w:rPr>
          <w:rFonts w:cs="Arial"/>
        </w:rPr>
      </w:pPr>
      <w:r w:rsidRPr="00EF65AE">
        <w:rPr>
          <w:rFonts w:cs="Arial"/>
        </w:rPr>
        <w:t xml:space="preserve">The </w:t>
      </w:r>
      <w:r w:rsidRPr="00EF65AE">
        <w:rPr>
          <w:rFonts w:cs="Arial"/>
          <w:i/>
        </w:rPr>
        <w:t>Nabilan</w:t>
      </w:r>
      <w:r w:rsidRPr="00EF65AE">
        <w:rPr>
          <w:rFonts w:cs="Arial"/>
        </w:rPr>
        <w:t xml:space="preserve"> </w:t>
      </w:r>
      <w:r w:rsidR="00732479">
        <w:rPr>
          <w:rFonts w:cs="Arial"/>
        </w:rPr>
        <w:t>p</w:t>
      </w:r>
      <w:r w:rsidRPr="00EF65AE">
        <w:rPr>
          <w:rFonts w:cs="Arial"/>
        </w:rPr>
        <w:t>rogram in Timor-Leste has developed a nationally</w:t>
      </w:r>
      <w:r w:rsidR="00161835">
        <w:rPr>
          <w:rFonts w:cs="Arial"/>
        </w:rPr>
        <w:t xml:space="preserve"> </w:t>
      </w:r>
      <w:r w:rsidRPr="00EF65AE">
        <w:rPr>
          <w:rFonts w:cs="Arial"/>
        </w:rPr>
        <w:t xml:space="preserve">accredited vocational program that qualifies participants with a Certificate III in </w:t>
      </w:r>
      <w:r w:rsidR="00161835">
        <w:rPr>
          <w:rFonts w:cs="Arial"/>
        </w:rPr>
        <w:t>S</w:t>
      </w:r>
      <w:r w:rsidRPr="00EF65AE">
        <w:rPr>
          <w:rFonts w:cs="Arial"/>
        </w:rPr>
        <w:t xml:space="preserve">ocial </w:t>
      </w:r>
      <w:r w:rsidR="00161835">
        <w:rPr>
          <w:rFonts w:cs="Arial"/>
        </w:rPr>
        <w:t>S</w:t>
      </w:r>
      <w:r w:rsidRPr="00EF65AE">
        <w:rPr>
          <w:rFonts w:cs="Arial"/>
        </w:rPr>
        <w:t xml:space="preserve">ervices. While the </w:t>
      </w:r>
      <w:r w:rsidR="00DC7C3C">
        <w:rPr>
          <w:rFonts w:cs="Arial"/>
        </w:rPr>
        <w:t>program</w:t>
      </w:r>
      <w:r w:rsidR="00DC7C3C" w:rsidRPr="00EF65AE">
        <w:rPr>
          <w:rFonts w:cs="Arial"/>
        </w:rPr>
        <w:t xml:space="preserve"> </w:t>
      </w:r>
      <w:r w:rsidRPr="00EF65AE">
        <w:rPr>
          <w:rFonts w:cs="Arial"/>
        </w:rPr>
        <w:t>includes modules specific to counselling, it also covers topics relevant to Timorese service providers, such as child protection, formal and informal justice approaches to VAWG cases, a</w:t>
      </w:r>
      <w:r w:rsidR="00161835">
        <w:rPr>
          <w:rFonts w:cs="Arial"/>
        </w:rPr>
        <w:t>nd the</w:t>
      </w:r>
      <w:r w:rsidRPr="00EF65AE">
        <w:rPr>
          <w:rFonts w:cs="Arial"/>
        </w:rPr>
        <w:t xml:space="preserve"> foundational concepts of gender, power and human rights. Participants reported</w:t>
      </w:r>
      <w:r w:rsidR="00E0277E">
        <w:rPr>
          <w:rFonts w:cs="Arial"/>
        </w:rPr>
        <w:t xml:space="preserve"> that</w:t>
      </w:r>
      <w:r w:rsidRPr="00EF65AE">
        <w:rPr>
          <w:rFonts w:cs="Arial"/>
        </w:rPr>
        <w:t xml:space="preserve"> their practices improved</w:t>
      </w:r>
      <w:r w:rsidR="00DC7C3C">
        <w:rPr>
          <w:rFonts w:cs="Arial"/>
        </w:rPr>
        <w:t xml:space="preserve"> throughout the program because of</w:t>
      </w:r>
      <w:r w:rsidRPr="00EF65AE">
        <w:rPr>
          <w:rFonts w:cs="Arial"/>
        </w:rPr>
        <w:t xml:space="preserve"> mentorship, M&amp;E tools and high-quality technical assistance for case management. </w:t>
      </w:r>
      <w:r w:rsidRPr="002E462B">
        <w:rPr>
          <w:rFonts w:cs="Arial"/>
        </w:rPr>
        <w:t>Th</w:t>
      </w:r>
      <w:r w:rsidR="00DC7C3C" w:rsidRPr="002E462B">
        <w:rPr>
          <w:rFonts w:cs="Arial"/>
        </w:rPr>
        <w:t>is</w:t>
      </w:r>
      <w:r w:rsidRPr="002E462B">
        <w:rPr>
          <w:rFonts w:cs="Arial"/>
        </w:rPr>
        <w:t xml:space="preserve"> evaluation found evidence that the Cert</w:t>
      </w:r>
      <w:r w:rsidR="00161835" w:rsidRPr="002E462B">
        <w:rPr>
          <w:rFonts w:cs="Arial"/>
        </w:rPr>
        <w:t>ificate</w:t>
      </w:r>
      <w:r w:rsidRPr="002E462B">
        <w:rPr>
          <w:rFonts w:cs="Arial"/>
        </w:rPr>
        <w:t xml:space="preserve"> III training was effective in improving client care skills</w:t>
      </w:r>
      <w:r w:rsidR="00DC7C3C" w:rsidRPr="00A03953">
        <w:rPr>
          <w:rFonts w:cs="Arial"/>
        </w:rPr>
        <w:t xml:space="preserve">, </w:t>
      </w:r>
      <w:r w:rsidRPr="00545490">
        <w:rPr>
          <w:rFonts w:cs="Arial"/>
        </w:rPr>
        <w:t>such as using open, non-judgmental communication</w:t>
      </w:r>
      <w:r w:rsidR="00DC7C3C" w:rsidRPr="00545490">
        <w:rPr>
          <w:rFonts w:cs="Arial"/>
        </w:rPr>
        <w:t xml:space="preserve"> and increasing </w:t>
      </w:r>
      <w:r w:rsidRPr="00545490">
        <w:rPr>
          <w:rFonts w:cs="Arial"/>
        </w:rPr>
        <w:t xml:space="preserve">outreach to </w:t>
      </w:r>
      <w:r w:rsidRPr="002E462B">
        <w:rPr>
          <w:rFonts w:cs="Arial"/>
        </w:rPr>
        <w:t>survivors</w:t>
      </w:r>
      <w:r w:rsidR="00DC7C3C" w:rsidRPr="002E462B">
        <w:rPr>
          <w:rFonts w:cs="Arial"/>
        </w:rPr>
        <w:t xml:space="preserve">. It also broadened the </w:t>
      </w:r>
      <w:r w:rsidRPr="002E462B">
        <w:rPr>
          <w:rFonts w:cs="Arial"/>
        </w:rPr>
        <w:t>perspective</w:t>
      </w:r>
      <w:r w:rsidR="00DC7C3C" w:rsidRPr="002E462B">
        <w:rPr>
          <w:rFonts w:cs="Arial"/>
        </w:rPr>
        <w:t xml:space="preserve"> of those working</w:t>
      </w:r>
      <w:r w:rsidRPr="002E462B">
        <w:rPr>
          <w:rFonts w:cs="Arial"/>
        </w:rPr>
        <w:t xml:space="preserve"> across the range of needs and supports available. Participants emphasised the benefit of peer support and networking with other service providers.</w:t>
      </w:r>
    </w:p>
    <w:p w14:paraId="5E5AD424" w14:textId="18AAACB2" w:rsidR="00EF65AE" w:rsidRPr="00C43281" w:rsidRDefault="00EF65AE" w:rsidP="00C43281">
      <w:pPr>
        <w:pStyle w:val="IndentQuote"/>
      </w:pPr>
      <w:r w:rsidRPr="00C43281">
        <w:t>Through the certificate, the social work course, we came to know each other. Sometimes we get a referral from [organisation name] …</w:t>
      </w:r>
      <w:r w:rsidR="00161835" w:rsidRPr="00C43281">
        <w:t xml:space="preserve"> </w:t>
      </w:r>
      <w:r w:rsidRPr="00C43281">
        <w:t>and we can have a</w:t>
      </w:r>
      <w:r w:rsidRPr="00C43281">
        <w:rPr>
          <w:rStyle w:val="QuoteChar"/>
          <w:i/>
          <w:iCs w:val="0"/>
        </w:rPr>
        <w:t xml:space="preserve"> </w:t>
      </w:r>
      <w:r w:rsidRPr="00C43281">
        <w:t xml:space="preserve">discussion about one case, we can come together about what we think about the case, how are we going to help this woman, or girl. </w:t>
      </w:r>
    </w:p>
    <w:p w14:paraId="5D8960BD" w14:textId="77777777" w:rsidR="00DC7C3C" w:rsidRPr="007A2F8A" w:rsidRDefault="00EF65AE" w:rsidP="00EF65AE">
      <w:pPr>
        <w:rPr>
          <w:rFonts w:eastAsiaTheme="majorEastAsia" w:cs="Arial"/>
          <w:b/>
          <w:bCs/>
          <w:iCs/>
        </w:rPr>
      </w:pPr>
      <w:r w:rsidRPr="00EF65AE">
        <w:rPr>
          <w:rFonts w:cs="Arial"/>
        </w:rPr>
        <w:t xml:space="preserve">Organisations across all </w:t>
      </w:r>
      <w:r w:rsidR="00DC7C3C">
        <w:rPr>
          <w:rFonts w:cs="Arial"/>
        </w:rPr>
        <w:t xml:space="preserve">evaluation </w:t>
      </w:r>
      <w:r w:rsidRPr="00EF65AE">
        <w:rPr>
          <w:rFonts w:cs="Arial"/>
        </w:rPr>
        <w:t>countries reported gaps in counselling services and skills, particularly in remote areas and outer islands. To cover these gaps, counselling service providers use phone and mobile counselling services or community</w:t>
      </w:r>
      <w:r w:rsidR="00DC7C3C">
        <w:rPr>
          <w:rFonts w:cs="Arial"/>
        </w:rPr>
        <w:t xml:space="preserve"> </w:t>
      </w:r>
      <w:r w:rsidRPr="00EF65AE">
        <w:rPr>
          <w:rFonts w:cs="Arial"/>
        </w:rPr>
        <w:t>based</w:t>
      </w:r>
      <w:r w:rsidR="00DC7C3C">
        <w:rPr>
          <w:rFonts w:cs="Arial"/>
        </w:rPr>
        <w:t>,</w:t>
      </w:r>
      <w:r w:rsidRPr="00EF65AE">
        <w:rPr>
          <w:rFonts w:cs="Arial"/>
        </w:rPr>
        <w:t xml:space="preserve"> first</w:t>
      </w:r>
      <w:r w:rsidR="00DC7C3C">
        <w:rPr>
          <w:rFonts w:cs="Arial"/>
        </w:rPr>
        <w:t>-</w:t>
      </w:r>
      <w:r w:rsidRPr="00EF65AE">
        <w:rPr>
          <w:rFonts w:cs="Arial"/>
        </w:rPr>
        <w:t xml:space="preserve">responder initiatives. </w:t>
      </w:r>
      <w:r w:rsidR="00161835">
        <w:rPr>
          <w:rFonts w:cs="Arial"/>
        </w:rPr>
        <w:t>However, a</w:t>
      </w:r>
      <w:r w:rsidRPr="00EF65AE">
        <w:rPr>
          <w:rFonts w:cs="Arial"/>
        </w:rPr>
        <w:t>ccess to counselling</w:t>
      </w:r>
      <w:r w:rsidR="00DC7C3C">
        <w:rPr>
          <w:rFonts w:cs="Arial"/>
        </w:rPr>
        <w:t xml:space="preserve"> </w:t>
      </w:r>
      <w:r w:rsidR="00C92CCB">
        <w:rPr>
          <w:rFonts w:cs="Arial"/>
        </w:rPr>
        <w:t>is</w:t>
      </w:r>
      <w:r w:rsidR="00DC7C3C">
        <w:rPr>
          <w:rFonts w:cs="Arial"/>
        </w:rPr>
        <w:t xml:space="preserve"> limited</w:t>
      </w:r>
      <w:r w:rsidRPr="00EF65AE">
        <w:rPr>
          <w:rFonts w:cs="Arial"/>
        </w:rPr>
        <w:t xml:space="preserve"> </w:t>
      </w:r>
      <w:r w:rsidRPr="00DC7C3C">
        <w:rPr>
          <w:rFonts w:cs="Arial"/>
        </w:rPr>
        <w:t>for</w:t>
      </w:r>
      <w:r w:rsidR="00DC7C3C">
        <w:rPr>
          <w:rFonts w:cs="Arial"/>
        </w:rPr>
        <w:t>:</w:t>
      </w:r>
    </w:p>
    <w:p w14:paraId="7A510F91" w14:textId="1B32EB4D" w:rsidR="00DC7C3C" w:rsidRPr="007A2F8A" w:rsidRDefault="00645AFE" w:rsidP="00DC7C3C">
      <w:pPr>
        <w:pStyle w:val="ListBullet"/>
        <w:rPr>
          <w:rFonts w:eastAsiaTheme="majorEastAsia" w:cs="Arial"/>
          <w:b/>
          <w:bCs/>
          <w:iCs/>
          <w:color w:val="000000"/>
        </w:rPr>
      </w:pPr>
      <w:r>
        <w:rPr>
          <w:rFonts w:cs="Arial"/>
        </w:rPr>
        <w:t>women and girl</w:t>
      </w:r>
      <w:r w:rsidR="00FF7E73">
        <w:rPr>
          <w:rFonts w:cs="Arial"/>
        </w:rPr>
        <w:t>s</w:t>
      </w:r>
      <w:r w:rsidR="00027336">
        <w:rPr>
          <w:rFonts w:cs="Arial"/>
        </w:rPr>
        <w:t xml:space="preserve"> </w:t>
      </w:r>
      <w:r w:rsidR="00EF65AE" w:rsidRPr="007A2F8A">
        <w:t>with disabilities</w:t>
      </w:r>
    </w:p>
    <w:p w14:paraId="12CF36DF" w14:textId="78801EC8" w:rsidR="00DC7C3C" w:rsidRPr="007A2F8A" w:rsidRDefault="00645AFE" w:rsidP="00DC7C3C">
      <w:pPr>
        <w:pStyle w:val="ListBullet"/>
        <w:rPr>
          <w:rFonts w:eastAsiaTheme="majorEastAsia" w:cs="Arial"/>
          <w:b/>
          <w:bCs/>
          <w:iCs/>
          <w:color w:val="000000"/>
        </w:rPr>
      </w:pPr>
      <w:r>
        <w:rPr>
          <w:rFonts w:cs="Arial"/>
        </w:rPr>
        <w:t>women and girl</w:t>
      </w:r>
      <w:r w:rsidR="00FF7E73">
        <w:rPr>
          <w:rFonts w:cs="Arial"/>
        </w:rPr>
        <w:t>s</w:t>
      </w:r>
      <w:r w:rsidR="00027336">
        <w:rPr>
          <w:rFonts w:cs="Arial"/>
        </w:rPr>
        <w:t xml:space="preserve"> </w:t>
      </w:r>
      <w:r w:rsidR="00EF65AE" w:rsidRPr="00EF65AE">
        <w:t>with complex trauma or multiple disorders as a result of abuse</w:t>
      </w:r>
    </w:p>
    <w:p w14:paraId="3278D2F8" w14:textId="26BA1538" w:rsidR="00DC7C3C" w:rsidRPr="007A2F8A" w:rsidRDefault="00645AFE" w:rsidP="00DC7C3C">
      <w:pPr>
        <w:pStyle w:val="ListBullet"/>
        <w:rPr>
          <w:rFonts w:eastAsiaTheme="majorEastAsia" w:cs="Arial"/>
          <w:b/>
          <w:bCs/>
          <w:iCs/>
          <w:color w:val="000000"/>
        </w:rPr>
      </w:pPr>
      <w:r>
        <w:t>young girls and adolescents</w:t>
      </w:r>
    </w:p>
    <w:p w14:paraId="60423248" w14:textId="73D93CA9" w:rsidR="00DC7C3C" w:rsidRPr="007A2F8A" w:rsidRDefault="00645AFE" w:rsidP="00DC7C3C">
      <w:pPr>
        <w:pStyle w:val="ListBullet"/>
        <w:rPr>
          <w:rFonts w:eastAsiaTheme="majorEastAsia" w:cs="Arial"/>
          <w:b/>
          <w:bCs/>
          <w:iCs/>
          <w:color w:val="000000"/>
        </w:rPr>
      </w:pPr>
      <w:r>
        <w:t xml:space="preserve">women </w:t>
      </w:r>
      <w:r w:rsidR="00FF7E73">
        <w:t xml:space="preserve">with different sexual orientation and </w:t>
      </w:r>
      <w:r w:rsidR="00545490">
        <w:t>life experiences</w:t>
      </w:r>
    </w:p>
    <w:p w14:paraId="668FEB37" w14:textId="77777777" w:rsidR="00EF65AE" w:rsidRPr="00EF65AE" w:rsidRDefault="00EF65AE" w:rsidP="007A2F8A">
      <w:pPr>
        <w:pStyle w:val="ListBullet"/>
        <w:rPr>
          <w:rStyle w:val="Heading5Char"/>
          <w:rFonts w:ascii="Arial" w:hAnsi="Arial" w:cs="Arial"/>
          <w:b/>
          <w:bCs/>
          <w:iCs/>
          <w:color w:val="000000"/>
        </w:rPr>
      </w:pPr>
      <w:r w:rsidRPr="00EF65AE">
        <w:t>sex</w:t>
      </w:r>
      <w:r w:rsidR="00161835">
        <w:t>-</w:t>
      </w:r>
      <w:r w:rsidRPr="00EF65AE">
        <w:t xml:space="preserve">worker communities. </w:t>
      </w:r>
    </w:p>
    <w:p w14:paraId="3A3F8EDF" w14:textId="77777777" w:rsidR="00EF65AE" w:rsidRPr="00EF65AE" w:rsidRDefault="00EF65AE" w:rsidP="00EF65AE">
      <w:pPr>
        <w:rPr>
          <w:rFonts w:cs="Arial"/>
        </w:rPr>
      </w:pPr>
      <w:r w:rsidRPr="00EF65AE">
        <w:rPr>
          <w:rFonts w:cs="Arial"/>
        </w:rPr>
        <w:t>While new VAWG legislation and the E</w:t>
      </w:r>
      <w:r w:rsidR="008B0402">
        <w:rPr>
          <w:rFonts w:cs="Arial"/>
        </w:rPr>
        <w:t>ssential Services Package</w:t>
      </w:r>
      <w:r w:rsidRPr="00EF65AE">
        <w:rPr>
          <w:rFonts w:cs="Arial"/>
        </w:rPr>
        <w:t xml:space="preserve"> have contributed to a push to formalise counselling in most countries, it is important that counselling training </w:t>
      </w:r>
      <w:r w:rsidR="007C7D59">
        <w:rPr>
          <w:rFonts w:cs="Arial"/>
        </w:rPr>
        <w:t>be</w:t>
      </w:r>
      <w:r w:rsidR="007C7D59" w:rsidRPr="00EF65AE">
        <w:rPr>
          <w:rFonts w:cs="Arial"/>
        </w:rPr>
        <w:t xml:space="preserve"> </w:t>
      </w:r>
      <w:r w:rsidRPr="00EF65AE">
        <w:rPr>
          <w:rFonts w:cs="Arial"/>
        </w:rPr>
        <w:t>context-specific and rooted in using a survivor-centred approach. Carefully selecting counsellors trained on the causes of VAWG and using a rights-based approach is best practice</w:t>
      </w:r>
      <w:r w:rsidR="00E2253F">
        <w:rPr>
          <w:rFonts w:cs="Arial"/>
        </w:rPr>
        <w:t xml:space="preserve">. </w:t>
      </w:r>
    </w:p>
    <w:p w14:paraId="3358DE73" w14:textId="77777777" w:rsidR="00EF65AE" w:rsidRPr="00EF65AE" w:rsidRDefault="00EF65AE" w:rsidP="00EF65AE">
      <w:pPr>
        <w:rPr>
          <w:rFonts w:cs="Arial"/>
        </w:rPr>
      </w:pPr>
      <w:r w:rsidRPr="00EF65AE">
        <w:rPr>
          <w:rFonts w:cs="Arial"/>
        </w:rPr>
        <w:t>A cost comparison between training approaches has yet to be done</w:t>
      </w:r>
      <w:r w:rsidR="00161835">
        <w:rPr>
          <w:rFonts w:cs="Arial"/>
        </w:rPr>
        <w:t>. W</w:t>
      </w:r>
      <w:r w:rsidRPr="00EF65AE">
        <w:rPr>
          <w:rFonts w:cs="Arial"/>
        </w:rPr>
        <w:t xml:space="preserve">hile initial financial savings </w:t>
      </w:r>
      <w:r w:rsidR="007C7D59">
        <w:rPr>
          <w:rFonts w:cs="Arial"/>
        </w:rPr>
        <w:t>made</w:t>
      </w:r>
      <w:r w:rsidR="007C7D59" w:rsidRPr="00EF65AE">
        <w:rPr>
          <w:rFonts w:cs="Arial"/>
        </w:rPr>
        <w:t xml:space="preserve"> </w:t>
      </w:r>
      <w:r w:rsidRPr="00EF65AE">
        <w:rPr>
          <w:rFonts w:cs="Arial"/>
        </w:rPr>
        <w:t>be made from replicating international models of formal counselling training across multiple countries, this often involves additional costs of fly-in, fly-out consultants. Given the diverse realities on the ground</w:t>
      </w:r>
      <w:r w:rsidR="00161835">
        <w:rPr>
          <w:rFonts w:cs="Arial"/>
        </w:rPr>
        <w:t>,</w:t>
      </w:r>
      <w:r w:rsidRPr="00EF65AE">
        <w:rPr>
          <w:rFonts w:cs="Arial"/>
        </w:rPr>
        <w:t xml:space="preserve"> the evaluation team suggests that locally</w:t>
      </w:r>
      <w:r w:rsidR="007C7D59">
        <w:rPr>
          <w:rFonts w:cs="Arial"/>
        </w:rPr>
        <w:t xml:space="preserve"> </w:t>
      </w:r>
      <w:r w:rsidRPr="00EF65AE">
        <w:rPr>
          <w:rFonts w:cs="Arial"/>
        </w:rPr>
        <w:t xml:space="preserve">adapted training curriculums and assessments, such as </w:t>
      </w:r>
      <w:r w:rsidRPr="00EF65AE">
        <w:rPr>
          <w:rFonts w:cs="Arial"/>
          <w:i/>
        </w:rPr>
        <w:t>Nabilan’s</w:t>
      </w:r>
      <w:r w:rsidRPr="00EF65AE">
        <w:rPr>
          <w:rFonts w:cs="Arial"/>
        </w:rPr>
        <w:t xml:space="preserve"> </w:t>
      </w:r>
      <w:r w:rsidR="007C7D59" w:rsidRPr="00EF65AE">
        <w:rPr>
          <w:rFonts w:cs="Arial"/>
        </w:rPr>
        <w:t xml:space="preserve">Certificate III in </w:t>
      </w:r>
      <w:r w:rsidR="007C7D59">
        <w:rPr>
          <w:rFonts w:cs="Arial"/>
        </w:rPr>
        <w:t>S</w:t>
      </w:r>
      <w:r w:rsidR="007C7D59" w:rsidRPr="00EF65AE">
        <w:rPr>
          <w:rFonts w:cs="Arial"/>
        </w:rPr>
        <w:t xml:space="preserve">ocial </w:t>
      </w:r>
      <w:r w:rsidR="007C7D59">
        <w:rPr>
          <w:rFonts w:cs="Arial"/>
        </w:rPr>
        <w:t>S</w:t>
      </w:r>
      <w:r w:rsidR="007C7D59" w:rsidRPr="00EF65AE">
        <w:rPr>
          <w:rFonts w:cs="Arial"/>
        </w:rPr>
        <w:t>ervices</w:t>
      </w:r>
      <w:r w:rsidRPr="00EF65AE">
        <w:rPr>
          <w:rFonts w:cs="Arial"/>
        </w:rPr>
        <w:t xml:space="preserve">, may be more effective than one-size-fits-all, Australian-designed approaches. </w:t>
      </w:r>
    </w:p>
    <w:p w14:paraId="735AA8A8" w14:textId="77777777" w:rsidR="00EF65AE" w:rsidRPr="00914F62" w:rsidRDefault="00EF65AE" w:rsidP="00BD56A6">
      <w:pPr>
        <w:pStyle w:val="Heading3NoTOC"/>
      </w:pPr>
      <w:r w:rsidRPr="00914F62">
        <w:t>Access to services for girls</w:t>
      </w:r>
    </w:p>
    <w:p w14:paraId="78052EC9" w14:textId="77777777" w:rsidR="00914F62" w:rsidRDefault="00EF65AE" w:rsidP="00EF65AE">
      <w:pPr>
        <w:rPr>
          <w:rFonts w:cs="Arial"/>
        </w:rPr>
      </w:pPr>
      <w:r w:rsidRPr="00476A5B">
        <w:rPr>
          <w:rFonts w:cs="Arial"/>
        </w:rPr>
        <w:t>In the areas of access to justice and services, collaboration between EVAWG and child protection actors is critical, particularly in meeting the needs of adolescent girls (ages 10</w:t>
      </w:r>
      <w:r w:rsidR="00161835" w:rsidRPr="00476A5B">
        <w:rPr>
          <w:rFonts w:cs="Arial"/>
        </w:rPr>
        <w:t xml:space="preserve"> to </w:t>
      </w:r>
      <w:r w:rsidRPr="00476A5B">
        <w:rPr>
          <w:rFonts w:cs="Arial"/>
        </w:rPr>
        <w:t>19).</w:t>
      </w:r>
      <w:r w:rsidRPr="00914F62">
        <w:rPr>
          <w:rFonts w:cs="Arial"/>
        </w:rPr>
        <w:fldChar w:fldCharType="begin"/>
      </w:r>
      <w:r w:rsidRPr="00914F62">
        <w:rPr>
          <w:rFonts w:cs="Arial"/>
        </w:rPr>
        <w:instrText xml:space="preserve"> ADDIN ZOTERO_ITEM CSL_CITATION {"citationID":"uFQewl1k","properties":{"formattedCitation":"\\super 95\\nosupersub{}","plainCitation":"95","noteIndex":0},"citationItems":[{"id":2531,"uris":["http://zotero.org/users/4194704/items/D398XJ5D"],"uri":["http://zotero.org/users/4194704/items/D398XJ5D"],"itemData":{"id":2531,"type":"report","title":"Violence against adolescent girls: Falling through the cracks?","publisher":"Know Violence in Childhood","publisher-place":"New Delhi, India","event-place":"New Delhi, India","author":[{"family":"Ellsberg","given":"Mary"},{"family":"Vyas","given":"Amita"},{"family":"Madrid","given":"Bernadette"},{"family":"Quintanilla","given":"Margarita"},{"family":"Zelaya","given":"Jennifer"},{"family":"Stockl","given":"Heidi"}],"issued":{"date-parts":[["2017"]]}}}],"schema":"https://github.com/citation-style-language/schema/raw/master/csl-citation.json"} </w:instrText>
      </w:r>
      <w:r w:rsidRPr="00914F62">
        <w:rPr>
          <w:rFonts w:cs="Arial"/>
        </w:rPr>
        <w:fldChar w:fldCharType="separate"/>
      </w:r>
      <w:r w:rsidRPr="00914F62">
        <w:rPr>
          <w:rFonts w:cs="Arial"/>
          <w:vertAlign w:val="superscript"/>
          <w:lang w:val="en-US"/>
        </w:rPr>
        <w:t>95</w:t>
      </w:r>
      <w:r w:rsidRPr="00914F62">
        <w:rPr>
          <w:rFonts w:cs="Arial"/>
        </w:rPr>
        <w:fldChar w:fldCharType="end"/>
      </w:r>
      <w:r w:rsidRPr="00914F62">
        <w:rPr>
          <w:rFonts w:cs="Arial"/>
        </w:rPr>
        <w:t xml:space="preserve"> This may take the form of</w:t>
      </w:r>
      <w:r w:rsidR="00914F62">
        <w:rPr>
          <w:rFonts w:cs="Arial"/>
        </w:rPr>
        <w:t>:</w:t>
      </w:r>
    </w:p>
    <w:p w14:paraId="79E0DBAA" w14:textId="77777777" w:rsidR="00914F62" w:rsidRDefault="00EF65AE" w:rsidP="00914F62">
      <w:pPr>
        <w:pStyle w:val="ListBullet"/>
      </w:pPr>
      <w:r w:rsidRPr="00914F62">
        <w:t>co-located services</w:t>
      </w:r>
    </w:p>
    <w:p w14:paraId="4257F255" w14:textId="77777777" w:rsidR="00914F62" w:rsidRDefault="00EF65AE" w:rsidP="00914F62">
      <w:pPr>
        <w:pStyle w:val="ListBullet"/>
      </w:pPr>
      <w:r w:rsidRPr="00914F62">
        <w:t>joint training</w:t>
      </w:r>
    </w:p>
    <w:p w14:paraId="42F87E2C" w14:textId="30EAEF92" w:rsidR="00EF65AE" w:rsidRPr="00914F62" w:rsidRDefault="00EF65AE" w:rsidP="007A2F8A">
      <w:pPr>
        <w:pStyle w:val="ListBullet"/>
      </w:pPr>
      <w:r w:rsidRPr="00914F62">
        <w:t>establishing mechanisms for coordination and collaboration at service</w:t>
      </w:r>
      <w:r w:rsidR="00914F62">
        <w:t>-</w:t>
      </w:r>
      <w:r w:rsidRPr="00914F62">
        <w:t>provider level (case conferencing, shelter protocols</w:t>
      </w:r>
      <w:r w:rsidR="00914F62">
        <w:t>,</w:t>
      </w:r>
      <w:r w:rsidRPr="00914F62">
        <w:t xml:space="preserve"> hotlines) a</w:t>
      </w:r>
      <w:r w:rsidR="00914F62">
        <w:t>nd</w:t>
      </w:r>
      <w:r w:rsidRPr="00914F62">
        <w:t xml:space="preserve"> institutional level (between relevant </w:t>
      </w:r>
      <w:r w:rsidR="00914F62">
        <w:t>m</w:t>
      </w:r>
      <w:r w:rsidRPr="00914F62">
        <w:t xml:space="preserve">inistries for policy and planning). </w:t>
      </w:r>
    </w:p>
    <w:p w14:paraId="520D28E9" w14:textId="6DCAD312" w:rsidR="00914F62" w:rsidRPr="001A01ED" w:rsidRDefault="00C92CCB" w:rsidP="001A01ED">
      <w:pPr>
        <w:rPr>
          <w:rFonts w:cs="Arial"/>
        </w:rPr>
      </w:pPr>
      <w:r>
        <w:rPr>
          <w:rFonts w:cs="Arial"/>
        </w:rPr>
        <w:t xml:space="preserve">Australia has supported initiatives that improve </w:t>
      </w:r>
      <w:r w:rsidR="008C1451">
        <w:rPr>
          <w:rFonts w:cs="Arial"/>
        </w:rPr>
        <w:t>girls’</w:t>
      </w:r>
      <w:r>
        <w:rPr>
          <w:rFonts w:cs="Arial"/>
        </w:rPr>
        <w:t xml:space="preserve"> access to services. </w:t>
      </w:r>
      <w:r w:rsidR="006B1164" w:rsidRPr="00C92CCB">
        <w:rPr>
          <w:rFonts w:cs="Arial"/>
        </w:rPr>
        <w:t>I</w:t>
      </w:r>
      <w:r w:rsidR="00EF65AE" w:rsidRPr="00C92CCB">
        <w:rPr>
          <w:rFonts w:cs="Arial"/>
        </w:rPr>
        <w:t xml:space="preserve">n Fiji, </w:t>
      </w:r>
      <w:r w:rsidR="006B1164" w:rsidRPr="00C92CCB">
        <w:rPr>
          <w:rFonts w:cs="Arial"/>
        </w:rPr>
        <w:t xml:space="preserve">for example, </w:t>
      </w:r>
      <w:r w:rsidR="00EF65AE" w:rsidRPr="00C92CCB">
        <w:rPr>
          <w:rFonts w:cs="Arial"/>
        </w:rPr>
        <w:t xml:space="preserve">counselling services are provided in schools through </w:t>
      </w:r>
      <w:r>
        <w:rPr>
          <w:rFonts w:cs="Arial"/>
        </w:rPr>
        <w:t>collaborative work</w:t>
      </w:r>
      <w:r w:rsidR="00EF65AE" w:rsidRPr="00C92CCB">
        <w:rPr>
          <w:rFonts w:cs="Arial"/>
        </w:rPr>
        <w:t xml:space="preserve"> between the </w:t>
      </w:r>
      <w:r w:rsidR="00D74A07">
        <w:rPr>
          <w:rFonts w:cs="Arial"/>
        </w:rPr>
        <w:br/>
      </w:r>
      <w:r w:rsidR="00EF65AE" w:rsidRPr="00C92CCB">
        <w:rPr>
          <w:rFonts w:cs="Arial"/>
        </w:rPr>
        <w:t>Ministry of Women and Ministry of Education.</w:t>
      </w:r>
      <w:r w:rsidR="00EF65AE" w:rsidRPr="00C92CCB">
        <w:rPr>
          <w:rFonts w:cs="Arial"/>
        </w:rPr>
        <w:fldChar w:fldCharType="begin"/>
      </w:r>
      <w:r w:rsidR="00EF65AE" w:rsidRPr="00C92CCB">
        <w:rPr>
          <w:rFonts w:cs="Arial"/>
        </w:rPr>
        <w:instrText xml:space="preserve"> ADDIN ZOTERO_ITEM CSL_CITATION {"citationID":"67JuyyW0","properties":{"formattedCitation":"\\super 69\\nosupersub{}","plainCitation":"69","noteIndex":0},"citationItems":[{"id":2316,"uris":["http://zotero.org/users/4194704/items/TUVR2W5F"],"uri":["http://zotero.org/users/4194704/items/TUVR2W5F"],"itemData":{"id":2316,"type":"report","title":"Pacific Women Shaping Pacific Development: Annual Progress Report 2016-2017","author":[{"literal":"Pacific Women Shaping Pacific Development"}],"issued":{"date-parts":[["2017"]]}}}],"schema":"https://github.com/citation-style-language/schema/raw/master/csl-citation.json"} </w:instrText>
      </w:r>
      <w:r w:rsidR="00EF65AE" w:rsidRPr="00C92CCB">
        <w:rPr>
          <w:rFonts w:cs="Arial"/>
        </w:rPr>
        <w:fldChar w:fldCharType="separate"/>
      </w:r>
      <w:r w:rsidR="00EF65AE" w:rsidRPr="00C92CCB">
        <w:rPr>
          <w:rFonts w:cs="Arial"/>
          <w:vertAlign w:val="superscript"/>
          <w:lang w:val="en-US"/>
        </w:rPr>
        <w:t>69</w:t>
      </w:r>
      <w:r w:rsidR="00EF65AE" w:rsidRPr="00C92CCB">
        <w:rPr>
          <w:rFonts w:cs="Arial"/>
        </w:rPr>
        <w:fldChar w:fldCharType="end"/>
      </w:r>
      <w:r w:rsidR="00EF65AE" w:rsidRPr="00C92CCB">
        <w:rPr>
          <w:rFonts w:cs="Arial"/>
        </w:rPr>
        <w:t xml:space="preserve"> </w:t>
      </w:r>
      <w:r w:rsidR="001A01ED">
        <w:rPr>
          <w:rFonts w:cs="Arial"/>
        </w:rPr>
        <w:t>Core funding has helped the FWCC enable the</w:t>
      </w:r>
      <w:r w:rsidR="00EF65AE" w:rsidRPr="001A01ED">
        <w:rPr>
          <w:rFonts w:cs="Arial"/>
        </w:rPr>
        <w:t xml:space="preserve"> Tonga Women and Children Crisis Centre and the Kiribati Women and Children Support Centre,</w:t>
      </w:r>
      <w:r w:rsidR="001A01ED">
        <w:rPr>
          <w:rFonts w:cs="Arial"/>
        </w:rPr>
        <w:t xml:space="preserve"> to</w:t>
      </w:r>
      <w:r w:rsidR="00EF65AE" w:rsidRPr="001A01ED">
        <w:rPr>
          <w:rFonts w:cs="Arial"/>
        </w:rPr>
        <w:t xml:space="preserve"> </w:t>
      </w:r>
      <w:r w:rsidR="001A01ED">
        <w:rPr>
          <w:rFonts w:cs="Arial"/>
        </w:rPr>
        <w:t>respond</w:t>
      </w:r>
      <w:r w:rsidR="00EF65AE" w:rsidRPr="001A01ED">
        <w:rPr>
          <w:rFonts w:cs="Arial"/>
        </w:rPr>
        <w:t xml:space="preserve"> to the overlapping needs </w:t>
      </w:r>
      <w:r w:rsidR="00E0277E">
        <w:rPr>
          <w:rFonts w:cs="Arial"/>
        </w:rPr>
        <w:t xml:space="preserve">of </w:t>
      </w:r>
      <w:r w:rsidR="00EF65AE" w:rsidRPr="001A01ED">
        <w:rPr>
          <w:rFonts w:cs="Arial"/>
        </w:rPr>
        <w:t>women and children</w:t>
      </w:r>
      <w:r w:rsidR="00D74A07">
        <w:rPr>
          <w:rFonts w:cs="Arial"/>
        </w:rPr>
        <w:t>.</w:t>
      </w:r>
    </w:p>
    <w:p w14:paraId="5DE7650F" w14:textId="77777777" w:rsidR="00EF65AE" w:rsidRPr="00EF65AE" w:rsidRDefault="008C1451" w:rsidP="00EF65AE">
      <w:pPr>
        <w:rPr>
          <w:rFonts w:cs="Arial"/>
        </w:rPr>
      </w:pPr>
      <w:r>
        <w:rPr>
          <w:rFonts w:cs="Arial"/>
        </w:rPr>
        <w:t xml:space="preserve">Services for girls and adolescents have been much improved </w:t>
      </w:r>
      <w:r w:rsidR="00EF65AE" w:rsidRPr="00EF65AE">
        <w:rPr>
          <w:rFonts w:cs="Arial"/>
        </w:rPr>
        <w:t>over the last 10 years at the FSC in Port Mor</w:t>
      </w:r>
      <w:r>
        <w:rPr>
          <w:rFonts w:cs="Arial"/>
        </w:rPr>
        <w:t>esby General Hospital, PNG. There are now</w:t>
      </w:r>
      <w:r w:rsidR="00EF65AE" w:rsidRPr="00EF65AE">
        <w:rPr>
          <w:rFonts w:cs="Arial"/>
        </w:rPr>
        <w:t xml:space="preserve"> specialised services for survivors of sexual assault and child sexual abuse, with separate counselling rooms available for women and children.</w:t>
      </w:r>
    </w:p>
    <w:p w14:paraId="111CD84E" w14:textId="77777777" w:rsidR="00EF65AE" w:rsidRPr="00EF65AE" w:rsidRDefault="008C1451" w:rsidP="00EF65AE">
      <w:pPr>
        <w:rPr>
          <w:rFonts w:cs="Arial"/>
          <w:sz w:val="20"/>
        </w:rPr>
      </w:pPr>
      <w:r>
        <w:rPr>
          <w:rFonts w:cs="Arial"/>
        </w:rPr>
        <w:t>G</w:t>
      </w:r>
      <w:r w:rsidR="00EF65AE" w:rsidRPr="00EF65AE">
        <w:rPr>
          <w:rFonts w:cs="Arial"/>
        </w:rPr>
        <w:t xml:space="preserve">uidelines for age-appropriate services and referrals can </w:t>
      </w:r>
      <w:r w:rsidR="00914F62">
        <w:rPr>
          <w:rFonts w:cs="Arial"/>
        </w:rPr>
        <w:t>identify</w:t>
      </w:r>
      <w:r w:rsidR="00EF65AE" w:rsidRPr="00EF65AE">
        <w:rPr>
          <w:rFonts w:cs="Arial"/>
        </w:rPr>
        <w:t xml:space="preserve"> points of collaboration and </w:t>
      </w:r>
      <w:r>
        <w:rPr>
          <w:rFonts w:cs="Arial"/>
        </w:rPr>
        <w:t>work needed to ensure the safety of victims</w:t>
      </w:r>
      <w:r w:rsidR="00EF65AE" w:rsidRPr="000350C0">
        <w:rPr>
          <w:rFonts w:cs="Arial"/>
        </w:rPr>
        <w:t xml:space="preserve">. Australian support to UN Women’s Multi-Country Office underpinned </w:t>
      </w:r>
      <w:r w:rsidR="00914F62" w:rsidRPr="000350C0">
        <w:rPr>
          <w:rFonts w:cs="Arial"/>
        </w:rPr>
        <w:t xml:space="preserve">its </w:t>
      </w:r>
      <w:r w:rsidR="00EF65AE" w:rsidRPr="000350C0">
        <w:rPr>
          <w:rFonts w:cs="Arial"/>
        </w:rPr>
        <w:t xml:space="preserve">financial and technical resourcing of the </w:t>
      </w:r>
      <w:bookmarkStart w:id="245" w:name="_Hlk18498388"/>
      <w:r w:rsidR="00EF65AE" w:rsidRPr="00D45CE6">
        <w:rPr>
          <w:rFonts w:cs="Arial"/>
          <w:iCs/>
        </w:rPr>
        <w:t>Fiji National Service Delivery Protocol for Responding to Cases of Gender Based Violence</w:t>
      </w:r>
      <w:r w:rsidR="00EF65AE" w:rsidRPr="000350C0">
        <w:rPr>
          <w:rFonts w:cs="Arial"/>
        </w:rPr>
        <w:t xml:space="preserve"> (2017).</w:t>
      </w:r>
      <w:bookmarkEnd w:id="245"/>
      <w:r w:rsidR="00EF65AE" w:rsidRPr="000350C0">
        <w:rPr>
          <w:rFonts w:cs="Arial"/>
        </w:rPr>
        <w:t xml:space="preserve"> This outlined the role of social welfare</w:t>
      </w:r>
      <w:r w:rsidR="00EF65AE" w:rsidRPr="00EF65AE">
        <w:rPr>
          <w:rFonts w:cs="Arial"/>
        </w:rPr>
        <w:t xml:space="preserve"> departments and child protection actors </w:t>
      </w:r>
      <w:r w:rsidR="00914F62">
        <w:rPr>
          <w:rFonts w:cs="Arial"/>
        </w:rPr>
        <w:t>for</w:t>
      </w:r>
      <w:r w:rsidR="00EF65AE" w:rsidRPr="00EF65AE">
        <w:rPr>
          <w:rFonts w:cs="Arial"/>
        </w:rPr>
        <w:t xml:space="preserve"> EVAWG, as well as how key actors like healthcare workers and the police should respond in cases involving children. Th</w:t>
      </w:r>
      <w:r w:rsidR="00914F62">
        <w:rPr>
          <w:rFonts w:cs="Arial"/>
        </w:rPr>
        <w:t>e</w:t>
      </w:r>
      <w:r w:rsidR="00EF65AE" w:rsidRPr="00EF65AE">
        <w:rPr>
          <w:rFonts w:cs="Arial"/>
        </w:rPr>
        <w:t xml:space="preserve"> protocol draws together policies targeting women and those targeting children to summarise the legislative bas</w:t>
      </w:r>
      <w:r w:rsidR="00D45CE6">
        <w:rPr>
          <w:rFonts w:cs="Arial"/>
        </w:rPr>
        <w:t xml:space="preserve">is for shared responsibilities and </w:t>
      </w:r>
      <w:r w:rsidR="00EF65AE" w:rsidRPr="00EF65AE">
        <w:rPr>
          <w:rFonts w:cs="Arial"/>
        </w:rPr>
        <w:t>offer</w:t>
      </w:r>
      <w:r w:rsidR="00D45CE6">
        <w:rPr>
          <w:rFonts w:cs="Arial"/>
        </w:rPr>
        <w:t>s</w:t>
      </w:r>
      <w:r w:rsidR="00EF65AE" w:rsidRPr="00EF65AE">
        <w:rPr>
          <w:rFonts w:cs="Arial"/>
        </w:rPr>
        <w:t xml:space="preserve"> </w:t>
      </w:r>
      <w:r w:rsidR="00E20CBF">
        <w:rPr>
          <w:rFonts w:cs="Arial"/>
        </w:rPr>
        <w:t>best</w:t>
      </w:r>
      <w:r w:rsidR="009A314A">
        <w:rPr>
          <w:rFonts w:cs="Arial"/>
        </w:rPr>
        <w:t>-</w:t>
      </w:r>
      <w:r w:rsidR="00EF65AE" w:rsidRPr="00EF65AE">
        <w:rPr>
          <w:rFonts w:cs="Arial"/>
        </w:rPr>
        <w:t>practice examples that could be replicated in other contexts.</w:t>
      </w:r>
      <w:r w:rsidR="00EF65AE" w:rsidRPr="00EF65AE">
        <w:rPr>
          <w:rFonts w:cs="Arial"/>
          <w:sz w:val="20"/>
        </w:rPr>
        <w:t xml:space="preserve"> </w:t>
      </w:r>
    </w:p>
    <w:p w14:paraId="1AA2D260" w14:textId="77777777" w:rsidR="00EF65AE" w:rsidRPr="00EF65AE" w:rsidRDefault="00EF65AE" w:rsidP="00BD56A6">
      <w:pPr>
        <w:pStyle w:val="Heading3NoTOC"/>
      </w:pPr>
      <w:r w:rsidRPr="00EF65AE">
        <w:t>Case management</w:t>
      </w:r>
    </w:p>
    <w:p w14:paraId="736D5C87" w14:textId="77777777" w:rsidR="00476A5B" w:rsidRDefault="00EF65AE" w:rsidP="00EF65AE">
      <w:pPr>
        <w:rPr>
          <w:rFonts w:cs="Arial"/>
        </w:rPr>
      </w:pPr>
      <w:r w:rsidRPr="00EF65AE">
        <w:rPr>
          <w:rFonts w:cs="Arial"/>
        </w:rPr>
        <w:t xml:space="preserve">Across all focus countries, service providers acknowledged they had limited visibility of what happened to a woman once she leaves their services. Women typically are required to visit many sites </w:t>
      </w:r>
      <w:r w:rsidR="006B1164">
        <w:rPr>
          <w:rFonts w:cs="Arial"/>
        </w:rPr>
        <w:t>while</w:t>
      </w:r>
      <w:r w:rsidRPr="00EF65AE">
        <w:rPr>
          <w:rFonts w:cs="Arial"/>
        </w:rPr>
        <w:t xml:space="preserve"> filing a complaint</w:t>
      </w:r>
      <w:r w:rsidR="006B1164">
        <w:rPr>
          <w:rFonts w:cs="Arial"/>
        </w:rPr>
        <w:t xml:space="preserve">, including </w:t>
      </w:r>
      <w:r w:rsidRPr="00EF65AE">
        <w:rPr>
          <w:rFonts w:cs="Arial"/>
        </w:rPr>
        <w:t>police stations</w:t>
      </w:r>
      <w:r w:rsidR="006B1164">
        <w:rPr>
          <w:rFonts w:cs="Arial"/>
        </w:rPr>
        <w:t xml:space="preserve">, </w:t>
      </w:r>
      <w:r w:rsidRPr="00EF65AE">
        <w:rPr>
          <w:rFonts w:cs="Arial"/>
        </w:rPr>
        <w:t xml:space="preserve">hospitals </w:t>
      </w:r>
      <w:r w:rsidR="006B1164">
        <w:rPr>
          <w:rFonts w:cs="Arial"/>
        </w:rPr>
        <w:t>and</w:t>
      </w:r>
      <w:r w:rsidR="006B1164" w:rsidRPr="00EF65AE">
        <w:rPr>
          <w:rFonts w:cs="Arial"/>
        </w:rPr>
        <w:t xml:space="preserve"> </w:t>
      </w:r>
      <w:r w:rsidRPr="00EF65AE">
        <w:rPr>
          <w:rFonts w:cs="Arial"/>
        </w:rPr>
        <w:t>counselling services. In the absence of case managers</w:t>
      </w:r>
      <w:r w:rsidR="006B1164">
        <w:rPr>
          <w:rFonts w:cs="Arial"/>
        </w:rPr>
        <w:t>—</w:t>
      </w:r>
      <w:r w:rsidRPr="00EF65AE">
        <w:rPr>
          <w:rFonts w:cs="Arial"/>
        </w:rPr>
        <w:t xml:space="preserve">someone </w:t>
      </w:r>
      <w:r w:rsidR="006B1164">
        <w:rPr>
          <w:rFonts w:cs="Arial"/>
        </w:rPr>
        <w:t>who</w:t>
      </w:r>
      <w:r w:rsidRPr="00EF65AE">
        <w:rPr>
          <w:rFonts w:cs="Arial"/>
        </w:rPr>
        <w:t xml:space="preserve"> provide</w:t>
      </w:r>
      <w:r w:rsidR="006B1164">
        <w:rPr>
          <w:rFonts w:cs="Arial"/>
        </w:rPr>
        <w:t>s</w:t>
      </w:r>
      <w:r w:rsidRPr="00EF65AE">
        <w:rPr>
          <w:rFonts w:cs="Arial"/>
        </w:rPr>
        <w:t xml:space="preserve"> help in navigating th</w:t>
      </w:r>
      <w:r w:rsidR="006B1164">
        <w:rPr>
          <w:rFonts w:cs="Arial"/>
        </w:rPr>
        <w:t>is</w:t>
      </w:r>
      <w:r w:rsidRPr="00EF65AE">
        <w:rPr>
          <w:rFonts w:cs="Arial"/>
        </w:rPr>
        <w:t xml:space="preserve"> complex system, </w:t>
      </w:r>
      <w:r w:rsidR="006B1164">
        <w:rPr>
          <w:rFonts w:cs="Arial"/>
        </w:rPr>
        <w:t xml:space="preserve">including </w:t>
      </w:r>
      <w:r w:rsidRPr="00EF65AE">
        <w:rPr>
          <w:rFonts w:cs="Arial"/>
        </w:rPr>
        <w:t>accompany</w:t>
      </w:r>
      <w:r w:rsidR="006B1164">
        <w:rPr>
          <w:rFonts w:cs="Arial"/>
        </w:rPr>
        <w:t>ing victims</w:t>
      </w:r>
      <w:r w:rsidRPr="00EF65AE">
        <w:rPr>
          <w:rFonts w:cs="Arial"/>
        </w:rPr>
        <w:t xml:space="preserve"> on court dates and follow</w:t>
      </w:r>
      <w:r w:rsidR="006B1164">
        <w:rPr>
          <w:rFonts w:cs="Arial"/>
        </w:rPr>
        <w:t>ing</w:t>
      </w:r>
      <w:r w:rsidR="00476A5B">
        <w:rPr>
          <w:rFonts w:cs="Arial"/>
        </w:rPr>
        <w:t xml:space="preserve"> </w:t>
      </w:r>
      <w:r w:rsidRPr="00EF65AE">
        <w:rPr>
          <w:rFonts w:cs="Arial"/>
        </w:rPr>
        <w:t xml:space="preserve">up with </w:t>
      </w:r>
      <w:r w:rsidR="006B1164">
        <w:rPr>
          <w:rFonts w:cs="Arial"/>
        </w:rPr>
        <w:t>them on case</w:t>
      </w:r>
      <w:r w:rsidRPr="00EF65AE">
        <w:rPr>
          <w:rFonts w:cs="Arial"/>
        </w:rPr>
        <w:t xml:space="preserve"> progress—many women get frustrated and give up</w:t>
      </w:r>
      <w:r w:rsidR="002C72B2">
        <w:rPr>
          <w:rFonts w:cs="Arial"/>
        </w:rPr>
        <w:t xml:space="preserve"> (Box 11)</w:t>
      </w:r>
      <w:r w:rsidRPr="00EF65AE">
        <w:rPr>
          <w:rFonts w:cs="Arial"/>
        </w:rPr>
        <w:t xml:space="preserve">. </w:t>
      </w:r>
    </w:p>
    <w:p w14:paraId="458394F6" w14:textId="77777777" w:rsidR="00EF65AE" w:rsidRPr="00EF65AE" w:rsidRDefault="006B1164" w:rsidP="00EF65AE">
      <w:pPr>
        <w:rPr>
          <w:rFonts w:cs="Arial"/>
        </w:rPr>
      </w:pPr>
      <w:r>
        <w:rPr>
          <w:rFonts w:cs="Arial"/>
        </w:rPr>
        <w:t>W</w:t>
      </w:r>
      <w:r w:rsidR="00EF65AE" w:rsidRPr="00EF65AE">
        <w:rPr>
          <w:rFonts w:cs="Arial"/>
        </w:rPr>
        <w:t xml:space="preserve">omen’s crises centres with comprehensive services, such as </w:t>
      </w:r>
      <w:r w:rsidR="00476A5B">
        <w:rPr>
          <w:rFonts w:cs="Arial"/>
        </w:rPr>
        <w:t xml:space="preserve">the </w:t>
      </w:r>
      <w:r w:rsidR="00EF65AE" w:rsidRPr="00EF65AE">
        <w:rPr>
          <w:rFonts w:cs="Arial"/>
        </w:rPr>
        <w:t>FWCC and VWC, provide case managers (</w:t>
      </w:r>
      <w:r>
        <w:rPr>
          <w:rFonts w:cs="Arial"/>
        </w:rPr>
        <w:t>‘</w:t>
      </w:r>
      <w:r w:rsidR="00EF65AE" w:rsidRPr="00EF65AE">
        <w:rPr>
          <w:rFonts w:cs="Arial"/>
        </w:rPr>
        <w:t>counsellor advocates</w:t>
      </w:r>
      <w:r>
        <w:rPr>
          <w:rFonts w:cs="Arial"/>
        </w:rPr>
        <w:t>’</w:t>
      </w:r>
      <w:r w:rsidR="00EF65AE" w:rsidRPr="00EF65AE">
        <w:rPr>
          <w:rFonts w:cs="Arial"/>
        </w:rPr>
        <w:t>) to accompany women throughout their process</w:t>
      </w:r>
      <w:r w:rsidR="00476A5B">
        <w:rPr>
          <w:rFonts w:cs="Arial"/>
        </w:rPr>
        <w:t>. T</w:t>
      </w:r>
      <w:r w:rsidR="00EF65AE" w:rsidRPr="00EF65AE">
        <w:rPr>
          <w:rFonts w:cs="Arial"/>
        </w:rPr>
        <w:t>his is much less common with government services, such as the FSCs in PNG, or specialised police units. In most cases, women may attend services, but unless they return, there is no effort to find out what happened to them:</w:t>
      </w:r>
    </w:p>
    <w:p w14:paraId="63F68D30" w14:textId="77777777" w:rsidR="00EF65AE" w:rsidRPr="00D45CE6" w:rsidRDefault="00EF65AE" w:rsidP="00B10F0B">
      <w:pPr>
        <w:pStyle w:val="IndentQuote"/>
        <w:rPr>
          <w:i w:val="0"/>
          <w:iCs/>
        </w:rPr>
      </w:pPr>
      <w:r w:rsidRPr="00B10F0B">
        <w:rPr>
          <w:rStyle w:val="QuoteChar"/>
          <w:i/>
          <w:iCs w:val="0"/>
        </w:rPr>
        <w:t>[When girls report rape] some can get married afterwards, some may have problems. But we don’t follow up with them.</w:t>
      </w:r>
      <w:r w:rsidRPr="00B10F0B">
        <w:t xml:space="preserve"> </w:t>
      </w:r>
      <w:r w:rsidR="000350C0">
        <w:rPr>
          <w:i w:val="0"/>
          <w:iCs/>
        </w:rPr>
        <w:t>–</w:t>
      </w:r>
      <w:r w:rsidRPr="00B10F0B">
        <w:t xml:space="preserve"> </w:t>
      </w:r>
      <w:r w:rsidRPr="00D45CE6">
        <w:rPr>
          <w:i w:val="0"/>
          <w:iCs/>
        </w:rPr>
        <w:t>FSVU police officer, PNG</w:t>
      </w:r>
    </w:p>
    <w:p w14:paraId="049352E4" w14:textId="26505549" w:rsidR="0086285E" w:rsidRPr="00ED37CB" w:rsidRDefault="00EF65AE" w:rsidP="00D45CE6">
      <w:pPr>
        <w:numPr>
          <w:ilvl w:val="0"/>
          <w:numId w:val="0"/>
        </w:numPr>
        <w:rPr>
          <w:rFonts w:cs="Arial"/>
        </w:rPr>
      </w:pPr>
      <w:r w:rsidRPr="00ED37CB">
        <w:rPr>
          <w:rFonts w:cs="Arial"/>
        </w:rPr>
        <w:t>In the absence of case management, the evaluation</w:t>
      </w:r>
      <w:r w:rsidR="00476A5B">
        <w:rPr>
          <w:rFonts w:cs="Arial"/>
        </w:rPr>
        <w:t xml:space="preserve"> team</w:t>
      </w:r>
      <w:r w:rsidRPr="00ED37CB">
        <w:rPr>
          <w:rFonts w:cs="Arial"/>
        </w:rPr>
        <w:t xml:space="preserve"> identified other strategies being used by community groups. For example, advocates from </w:t>
      </w:r>
      <w:r w:rsidR="00476A5B">
        <w:rPr>
          <w:rFonts w:cs="Arial"/>
          <w:iCs/>
        </w:rPr>
        <w:t xml:space="preserve">the </w:t>
      </w:r>
      <w:r w:rsidRPr="00ED37CB">
        <w:rPr>
          <w:rFonts w:cs="Arial"/>
        </w:rPr>
        <w:t>K</w:t>
      </w:r>
      <w:r w:rsidR="00ED37CB" w:rsidRPr="00ED37CB">
        <w:rPr>
          <w:rFonts w:cs="Arial"/>
        </w:rPr>
        <w:t>afe Urban Women’s Settlers Association</w:t>
      </w:r>
      <w:r w:rsidRPr="00ED37CB">
        <w:rPr>
          <w:rFonts w:cs="Arial"/>
        </w:rPr>
        <w:t xml:space="preserve"> in Goroka (</w:t>
      </w:r>
      <w:r w:rsidR="00476A5B">
        <w:rPr>
          <w:rFonts w:cs="Arial"/>
        </w:rPr>
        <w:t xml:space="preserve">supported by Pacific Women and </w:t>
      </w:r>
      <w:r w:rsidRPr="00ED37CB">
        <w:rPr>
          <w:rFonts w:cs="Arial"/>
        </w:rPr>
        <w:t>implemented by Oxfam) assisted survivors to navigate services</w:t>
      </w:r>
      <w:r w:rsidR="00476A5B">
        <w:rPr>
          <w:rFonts w:cs="Arial"/>
        </w:rPr>
        <w:t xml:space="preserve">. They also </w:t>
      </w:r>
      <w:r w:rsidRPr="00ED37CB">
        <w:rPr>
          <w:rFonts w:cs="Arial"/>
        </w:rPr>
        <w:t xml:space="preserve">follow up on pending cases at the police station and courts. On </w:t>
      </w:r>
      <w:r w:rsidR="00ED37CB" w:rsidRPr="00ED37CB">
        <w:rPr>
          <w:rFonts w:cs="Arial"/>
        </w:rPr>
        <w:t>the Association’s</w:t>
      </w:r>
      <w:r w:rsidR="00ED37CB">
        <w:rPr>
          <w:rFonts w:cs="Arial"/>
        </w:rPr>
        <w:t xml:space="preserve"> </w:t>
      </w:r>
      <w:r w:rsidR="006B1164" w:rsidRPr="00ED37CB">
        <w:rPr>
          <w:rFonts w:cs="Arial"/>
        </w:rPr>
        <w:t>role</w:t>
      </w:r>
      <w:r w:rsidRPr="00ED37CB">
        <w:rPr>
          <w:rFonts w:cs="Arial"/>
        </w:rPr>
        <w:t>, a police officer commented</w:t>
      </w:r>
      <w:r w:rsidR="006B1164" w:rsidRPr="00ED37CB">
        <w:rPr>
          <w:rFonts w:cs="Arial"/>
        </w:rPr>
        <w:t>:</w:t>
      </w:r>
      <w:r w:rsidRPr="00ED37CB">
        <w:rPr>
          <w:rFonts w:cs="Arial"/>
        </w:rPr>
        <w:t xml:space="preserve"> </w:t>
      </w:r>
    </w:p>
    <w:p w14:paraId="22DFB040" w14:textId="2C25FF74" w:rsidR="00EF65AE" w:rsidRPr="00FA1B92" w:rsidRDefault="00EF65AE" w:rsidP="00FA1B92">
      <w:pPr>
        <w:pStyle w:val="IndentQuote"/>
      </w:pPr>
      <w:r w:rsidRPr="00FA1B92">
        <w:rPr>
          <w:rStyle w:val="QuoteChar"/>
          <w:i/>
          <w:iCs w:val="0"/>
        </w:rPr>
        <w:t xml:space="preserve">She [the advocate] is always at the police station to see what is happening with </w:t>
      </w:r>
      <w:r w:rsidR="00D74A07">
        <w:rPr>
          <w:rStyle w:val="QuoteChar"/>
          <w:i/>
          <w:iCs w:val="0"/>
        </w:rPr>
        <w:br/>
      </w:r>
      <w:r w:rsidRPr="00FA1B92">
        <w:rPr>
          <w:rStyle w:val="QuoteChar"/>
          <w:i/>
          <w:iCs w:val="0"/>
        </w:rPr>
        <w:t>the women.</w:t>
      </w:r>
      <w:r w:rsidRPr="00FA1B92">
        <w:t xml:space="preserve"> </w:t>
      </w:r>
    </w:p>
    <w:p w14:paraId="7A793C4C" w14:textId="77777777" w:rsidR="00EF65AE" w:rsidRDefault="00EF65AE" w:rsidP="00EF65AE">
      <w:pPr>
        <w:rPr>
          <w:rFonts w:cs="Arial"/>
        </w:rPr>
      </w:pPr>
      <w:r w:rsidRPr="00EF65AE">
        <w:rPr>
          <w:rFonts w:cs="Arial"/>
        </w:rPr>
        <w:t>In areas with limited capacity, grass-roots advocates such as the Human Rights Defenders in PNG and CAVAW members in Vanuatu</w:t>
      </w:r>
      <w:r w:rsidR="00476A5B">
        <w:rPr>
          <w:rFonts w:cs="Arial"/>
        </w:rPr>
        <w:t>,</w:t>
      </w:r>
      <w:r w:rsidRPr="00EF65AE">
        <w:rPr>
          <w:rFonts w:cs="Arial"/>
        </w:rPr>
        <w:t xml:space="preserve"> provide informal case management support. </w:t>
      </w:r>
    </w:p>
    <w:p w14:paraId="5ED9782E" w14:textId="77777777" w:rsidR="00EF65AE" w:rsidRPr="00EF65AE" w:rsidRDefault="00EF65AE" w:rsidP="00EF65AE">
      <w:pPr>
        <w:pStyle w:val="CallOutHeading"/>
        <w:rPr>
          <w:rFonts w:cs="Arial"/>
        </w:rPr>
      </w:pPr>
      <w:r w:rsidRPr="00EF65AE">
        <w:rPr>
          <w:rFonts w:cs="Arial"/>
        </w:rPr>
        <w:t xml:space="preserve">Box 11: Improving </w:t>
      </w:r>
      <w:r w:rsidR="006B1164">
        <w:rPr>
          <w:rFonts w:cs="Arial"/>
        </w:rPr>
        <w:t>c</w:t>
      </w:r>
      <w:r w:rsidRPr="00EF65AE">
        <w:rPr>
          <w:rFonts w:cs="Arial"/>
        </w:rPr>
        <w:t xml:space="preserve">ase </w:t>
      </w:r>
      <w:r w:rsidR="006B1164">
        <w:rPr>
          <w:rFonts w:cs="Arial"/>
        </w:rPr>
        <w:t>m</w:t>
      </w:r>
      <w:r w:rsidRPr="00EF65AE">
        <w:rPr>
          <w:rFonts w:cs="Arial"/>
        </w:rPr>
        <w:t>anagement</w:t>
      </w:r>
      <w:r w:rsidR="006B1164">
        <w:rPr>
          <w:rFonts w:cs="Arial"/>
        </w:rPr>
        <w:t>—</w:t>
      </w:r>
      <w:r w:rsidRPr="00EF65AE">
        <w:rPr>
          <w:rFonts w:cs="Arial"/>
        </w:rPr>
        <w:t>Femili P</w:t>
      </w:r>
      <w:r w:rsidR="006B1164">
        <w:rPr>
          <w:rFonts w:cs="Arial"/>
        </w:rPr>
        <w:t>apua New Guinea</w:t>
      </w:r>
    </w:p>
    <w:p w14:paraId="57E452CE" w14:textId="77777777" w:rsidR="00EF65AE" w:rsidRPr="00EF65AE" w:rsidRDefault="00EF65AE" w:rsidP="00EF65AE">
      <w:pPr>
        <w:pStyle w:val="CallOutBody"/>
        <w:rPr>
          <w:rFonts w:cs="Arial"/>
        </w:rPr>
      </w:pPr>
      <w:r w:rsidRPr="00EF65AE">
        <w:rPr>
          <w:rFonts w:cs="Arial"/>
        </w:rPr>
        <w:t>Femili PNG was created in 2013, with Australian support,</w:t>
      </w:r>
      <w:r w:rsidRPr="00EF65AE">
        <w:rPr>
          <w:rFonts w:cs="Arial"/>
          <w:b/>
        </w:rPr>
        <w:t xml:space="preserve"> </w:t>
      </w:r>
      <w:r w:rsidRPr="00EF65AE">
        <w:rPr>
          <w:rFonts w:cs="Arial"/>
        </w:rPr>
        <w:t>as a local NGO dedicated to case management. It was established</w:t>
      </w:r>
      <w:r w:rsidRPr="00EF65AE">
        <w:rPr>
          <w:rFonts w:cs="Arial"/>
          <w:b/>
        </w:rPr>
        <w:t xml:space="preserve"> </w:t>
      </w:r>
      <w:r w:rsidRPr="00EF65AE">
        <w:rPr>
          <w:rFonts w:cs="Arial"/>
        </w:rPr>
        <w:t>in Lae by former staff of the provincial FSC who recognised a need to strengthen coordination among existing services to improve outcomes for survivors.</w:t>
      </w:r>
      <w:r w:rsidRPr="00EF65AE">
        <w:rPr>
          <w:rFonts w:cs="Arial"/>
        </w:rPr>
        <w:fldChar w:fldCharType="begin"/>
      </w:r>
      <w:r w:rsidRPr="00EF65AE">
        <w:rPr>
          <w:rFonts w:cs="Arial"/>
        </w:rPr>
        <w:instrText xml:space="preserve"> ADDIN ZOTERO_ITEM CSL_CITATION {"citationID":"t5VsRr87","properties":{"formattedCitation":"\\super 96\\nosupersub{}","plainCitation":"96","noteIndex":0},"citationItems":[{"id":2527,"uris":["http://zotero.org/users/4194704/items/8EHAAVVV"],"uri":["http://zotero.org/users/4194704/items/8EHAAVVV"],"itemData":{"id":2527,"type":"article-journal","title":"Responding to gender based violence in an urban setting: The early story of Femili PNG","container-title":"Development Bulletin","page":"67-70","issue":"78","author":[{"family":"Howes","given":"Stephen"},{"family":"Ilave","given":"Dengo"},{"family":"Plana","given":"Daisy"}],"issued":{"date-parts":[["2017"]]}}}],"schema":"https://github.com/citation-style-language/schema/raw/master/csl-citation.json"} </w:instrText>
      </w:r>
      <w:r w:rsidRPr="00EF65AE">
        <w:rPr>
          <w:rFonts w:cs="Arial"/>
        </w:rPr>
        <w:fldChar w:fldCharType="separate"/>
      </w:r>
      <w:r w:rsidRPr="00EF65AE">
        <w:rPr>
          <w:rFonts w:cs="Arial"/>
          <w:vertAlign w:val="superscript"/>
          <w:lang w:val="en-US"/>
        </w:rPr>
        <w:t>96</w:t>
      </w:r>
      <w:r w:rsidRPr="00EF65AE">
        <w:rPr>
          <w:rFonts w:cs="Arial"/>
        </w:rPr>
        <w:fldChar w:fldCharType="end"/>
      </w:r>
      <w:r w:rsidRPr="00EF65AE">
        <w:rPr>
          <w:rFonts w:cs="Arial"/>
        </w:rPr>
        <w:t xml:space="preserve"> </w:t>
      </w:r>
    </w:p>
    <w:p w14:paraId="6D4982D3" w14:textId="77777777" w:rsidR="00476A5B" w:rsidRDefault="006B1164" w:rsidP="00EF65AE">
      <w:pPr>
        <w:pStyle w:val="CallOutBody"/>
        <w:rPr>
          <w:rFonts w:cs="Arial"/>
        </w:rPr>
      </w:pPr>
      <w:r>
        <w:rPr>
          <w:rFonts w:cs="Arial"/>
        </w:rPr>
        <w:t>As one staff member said</w:t>
      </w:r>
      <w:r w:rsidR="00476A5B">
        <w:rPr>
          <w:rFonts w:cs="Arial"/>
        </w:rPr>
        <w:t>:</w:t>
      </w:r>
    </w:p>
    <w:p w14:paraId="382CB843" w14:textId="39105CEE" w:rsidR="00EF65AE" w:rsidRPr="00EF65AE" w:rsidRDefault="00EF65AE" w:rsidP="00EF65AE">
      <w:pPr>
        <w:pStyle w:val="CallOutBody"/>
        <w:rPr>
          <w:rFonts w:cs="Arial"/>
        </w:rPr>
      </w:pPr>
      <w:r w:rsidRPr="00D45CE6">
        <w:rPr>
          <w:rFonts w:cs="Arial"/>
          <w:i/>
          <w:iCs/>
        </w:rPr>
        <w:t>When Femili PNG started it was hard to give services because survivors don’t know where to go. We would give psychological and medical care but what about justice? People wouldn’t know where to go after we would help. Femili PNG was created so that cases don’t get lost in</w:t>
      </w:r>
      <w:r w:rsidR="00D74A07">
        <w:rPr>
          <w:rFonts w:cs="Arial"/>
          <w:i/>
          <w:iCs/>
        </w:rPr>
        <w:br/>
      </w:r>
      <w:r w:rsidRPr="00D45CE6">
        <w:rPr>
          <w:rFonts w:cs="Arial"/>
          <w:i/>
          <w:iCs/>
        </w:rPr>
        <w:t>the process.</w:t>
      </w:r>
      <w:r w:rsidRPr="00EF65AE">
        <w:rPr>
          <w:rFonts w:cs="Arial"/>
        </w:rPr>
        <w:t xml:space="preserve"> </w:t>
      </w:r>
    </w:p>
    <w:p w14:paraId="26A5B37D" w14:textId="77777777" w:rsidR="00EF65AE" w:rsidRPr="00EF65AE" w:rsidRDefault="00EF65AE" w:rsidP="00EF65AE">
      <w:pPr>
        <w:pStyle w:val="CallOutBody"/>
        <w:rPr>
          <w:rFonts w:cs="Arial"/>
        </w:rPr>
      </w:pPr>
      <w:r w:rsidRPr="00EF65AE">
        <w:rPr>
          <w:rFonts w:cs="Arial"/>
        </w:rPr>
        <w:t xml:space="preserve">Femili PNG’s innovative approach focuses on survivors rather than services. </w:t>
      </w:r>
      <w:r w:rsidR="00476A5B">
        <w:rPr>
          <w:rFonts w:cs="Arial"/>
        </w:rPr>
        <w:t>Its</w:t>
      </w:r>
      <w:r w:rsidR="00476A5B" w:rsidRPr="00EF65AE">
        <w:rPr>
          <w:rFonts w:cs="Arial"/>
        </w:rPr>
        <w:t xml:space="preserve"> </w:t>
      </w:r>
      <w:r w:rsidRPr="00EF65AE">
        <w:rPr>
          <w:rFonts w:cs="Arial"/>
        </w:rPr>
        <w:t xml:space="preserve">effectiveness is predicated on strong partnerships with existing services, additional resources </w:t>
      </w:r>
      <w:r w:rsidR="006B1164">
        <w:rPr>
          <w:rFonts w:cs="Arial"/>
        </w:rPr>
        <w:t>and/or</w:t>
      </w:r>
      <w:r w:rsidR="006B1164" w:rsidRPr="00EF65AE">
        <w:rPr>
          <w:rFonts w:cs="Arial"/>
        </w:rPr>
        <w:t xml:space="preserve"> </w:t>
      </w:r>
      <w:r w:rsidRPr="00EF65AE">
        <w:rPr>
          <w:rFonts w:cs="Arial"/>
        </w:rPr>
        <w:t xml:space="preserve">support provided as needed. This allows </w:t>
      </w:r>
      <w:r w:rsidR="00476A5B">
        <w:rPr>
          <w:rFonts w:cs="Arial"/>
        </w:rPr>
        <w:t>it</w:t>
      </w:r>
      <w:r w:rsidR="00476A5B" w:rsidRPr="00EF65AE">
        <w:rPr>
          <w:rFonts w:cs="Arial"/>
        </w:rPr>
        <w:t xml:space="preserve"> </w:t>
      </w:r>
      <w:r w:rsidRPr="00EF65AE">
        <w:rPr>
          <w:rFonts w:cs="Arial"/>
        </w:rPr>
        <w:t xml:space="preserve">to successfully take on high-risk cases that would normally fall through bureaucratic cracks. </w:t>
      </w:r>
      <w:r w:rsidR="00476A5B">
        <w:rPr>
          <w:rFonts w:cs="Arial"/>
        </w:rPr>
        <w:t>Femili PNG has</w:t>
      </w:r>
      <w:r w:rsidRPr="00EF65AE">
        <w:rPr>
          <w:rFonts w:cs="Arial"/>
        </w:rPr>
        <w:t xml:space="preserve"> been referred to as </w:t>
      </w:r>
      <w:r w:rsidR="006B1164">
        <w:rPr>
          <w:rFonts w:cs="Arial"/>
        </w:rPr>
        <w:t>‘</w:t>
      </w:r>
      <w:r w:rsidRPr="00EF65AE">
        <w:rPr>
          <w:rFonts w:cs="Arial"/>
        </w:rPr>
        <w:t>The glue between the police force, courts, health systems and women’s shelters.</w:t>
      </w:r>
      <w:r w:rsidR="006B1164">
        <w:rPr>
          <w:rFonts w:cs="Arial"/>
        </w:rPr>
        <w:t>’</w:t>
      </w:r>
      <w:r w:rsidRPr="00EF65AE">
        <w:rPr>
          <w:rFonts w:cs="Arial"/>
        </w:rPr>
        <w:fldChar w:fldCharType="begin"/>
      </w:r>
      <w:r w:rsidRPr="00EF65AE">
        <w:rPr>
          <w:rFonts w:cs="Arial"/>
        </w:rPr>
        <w:instrText xml:space="preserve"> ADDIN ZOTERO_ITEM CSL_CITATION {"citationID":"qYbvd3RS","properties":{"formattedCitation":"\\super 96\\nosupersub{}","plainCitation":"96","noteIndex":0},"citationItems":[{"id":2527,"uris":["http://zotero.org/users/4194704/items/8EHAAVVV"],"uri":["http://zotero.org/users/4194704/items/8EHAAVVV"],"itemData":{"id":2527,"type":"article-journal","title":"Responding to gender based violence in an urban setting: The early story of Femili PNG","container-title":"Development Bulletin","page":"67-70","issue":"78","author":[{"family":"Howes","given":"Stephen"},{"family":"Ilave","given":"Dengo"},{"family":"Plana","given":"Daisy"}],"issued":{"date-parts":[["2017"]]}}}],"schema":"https://github.com/citation-style-language/schema/raw/master/csl-citation.json"} </w:instrText>
      </w:r>
      <w:r w:rsidRPr="00EF65AE">
        <w:rPr>
          <w:rFonts w:cs="Arial"/>
        </w:rPr>
        <w:fldChar w:fldCharType="separate"/>
      </w:r>
      <w:r w:rsidRPr="00EF65AE">
        <w:rPr>
          <w:rFonts w:cs="Arial"/>
          <w:vertAlign w:val="superscript"/>
          <w:lang w:val="en-US"/>
        </w:rPr>
        <w:t>96</w:t>
      </w:r>
      <w:r w:rsidRPr="00EF65AE">
        <w:rPr>
          <w:rFonts w:cs="Arial"/>
        </w:rPr>
        <w:fldChar w:fldCharType="end"/>
      </w:r>
      <w:r w:rsidRPr="00EF65AE">
        <w:rPr>
          <w:rFonts w:cs="Arial"/>
        </w:rPr>
        <w:t xml:space="preserve"> </w:t>
      </w:r>
    </w:p>
    <w:p w14:paraId="3DE39163" w14:textId="77777777" w:rsidR="00476A5B" w:rsidRPr="00D45CE6" w:rsidRDefault="00EF65AE" w:rsidP="00B10F0B">
      <w:pPr>
        <w:pStyle w:val="CallOutBody"/>
        <w:rPr>
          <w:rFonts w:cs="Arial"/>
          <w:i/>
        </w:rPr>
      </w:pPr>
      <w:r w:rsidRPr="00EF65AE">
        <w:rPr>
          <w:rFonts w:cs="Arial"/>
        </w:rPr>
        <w:t xml:space="preserve">Many stakeholders referred to Femili PNG as </w:t>
      </w:r>
      <w:r w:rsidR="00476A5B">
        <w:rPr>
          <w:rFonts w:cs="Arial"/>
        </w:rPr>
        <w:t>‘</w:t>
      </w:r>
      <w:r w:rsidRPr="00EF65AE">
        <w:rPr>
          <w:rFonts w:cs="Arial"/>
        </w:rPr>
        <w:t>best practice</w:t>
      </w:r>
      <w:r w:rsidR="00476A5B">
        <w:rPr>
          <w:rFonts w:cs="Arial"/>
        </w:rPr>
        <w:t>’</w:t>
      </w:r>
      <w:r w:rsidRPr="00EF65AE">
        <w:rPr>
          <w:rFonts w:cs="Arial"/>
        </w:rPr>
        <w:t xml:space="preserve"> because </w:t>
      </w:r>
      <w:r w:rsidR="00476A5B">
        <w:rPr>
          <w:rFonts w:cs="Arial"/>
        </w:rPr>
        <w:t>it has</w:t>
      </w:r>
      <w:r w:rsidRPr="00EF65AE">
        <w:rPr>
          <w:rFonts w:cs="Arial"/>
        </w:rPr>
        <w:t xml:space="preserve"> developed protocols and strategies for improving coordination among services. Through Pacific Women and </w:t>
      </w:r>
      <w:r w:rsidR="00506017">
        <w:rPr>
          <w:rFonts w:cs="Arial"/>
        </w:rPr>
        <w:t xml:space="preserve">the </w:t>
      </w:r>
      <w:r w:rsidRPr="00EF65AE">
        <w:rPr>
          <w:rFonts w:cs="Arial"/>
        </w:rPr>
        <w:t>J</w:t>
      </w:r>
      <w:r w:rsidR="00506017">
        <w:rPr>
          <w:rFonts w:cs="Arial"/>
        </w:rPr>
        <w:t xml:space="preserve">ustice </w:t>
      </w:r>
      <w:r w:rsidRPr="00EF65AE">
        <w:rPr>
          <w:rFonts w:cs="Arial"/>
        </w:rPr>
        <w:t>S</w:t>
      </w:r>
      <w:r w:rsidR="00506017">
        <w:rPr>
          <w:rFonts w:cs="Arial"/>
        </w:rPr>
        <w:t>ervices and Stability for Development program</w:t>
      </w:r>
      <w:r w:rsidRPr="00EF65AE">
        <w:rPr>
          <w:rFonts w:cs="Arial"/>
        </w:rPr>
        <w:t>, Femili PNG has trained other organisations in case management</w:t>
      </w:r>
      <w:r w:rsidR="006B1164">
        <w:rPr>
          <w:rFonts w:cs="Arial"/>
        </w:rPr>
        <w:t>.</w:t>
      </w:r>
    </w:p>
    <w:p w14:paraId="5E4D47AC" w14:textId="77777777" w:rsidR="00EF65AE" w:rsidRPr="00B10F0B" w:rsidRDefault="006B1164" w:rsidP="00B10F0B">
      <w:pPr>
        <w:pStyle w:val="CallOutBody"/>
        <w:rPr>
          <w:rFonts w:cs="Arial"/>
          <w:i/>
        </w:rPr>
      </w:pPr>
      <w:r>
        <w:rPr>
          <w:rFonts w:cs="Arial"/>
        </w:rPr>
        <w:t>I</w:t>
      </w:r>
      <w:r w:rsidR="00EF65AE" w:rsidRPr="00EF65AE">
        <w:rPr>
          <w:rFonts w:cs="Arial"/>
        </w:rPr>
        <w:t xml:space="preserve">n September 2018, </w:t>
      </w:r>
      <w:r w:rsidR="00476A5B">
        <w:rPr>
          <w:rFonts w:cs="Arial"/>
        </w:rPr>
        <w:t xml:space="preserve">Femili PNG </w:t>
      </w:r>
      <w:r w:rsidR="00EF65AE" w:rsidRPr="00EF65AE">
        <w:rPr>
          <w:rFonts w:cs="Arial"/>
        </w:rPr>
        <w:t>opened a new case management centre in Port Moresby.</w:t>
      </w:r>
    </w:p>
    <w:p w14:paraId="55C380FA" w14:textId="77777777" w:rsidR="00EF65AE" w:rsidRPr="00EF65AE" w:rsidRDefault="00EF65AE" w:rsidP="00F20E2C">
      <w:pPr>
        <w:pStyle w:val="Heading3NoTOC"/>
      </w:pPr>
      <w:bookmarkStart w:id="246" w:name="_Toc7126726"/>
      <w:bookmarkStart w:id="247" w:name="_Toc7128047"/>
      <w:bookmarkStart w:id="248" w:name="_Toc7128614"/>
      <w:r w:rsidRPr="00EF65AE">
        <w:t xml:space="preserve">Expanding coverage of services to rural areas </w:t>
      </w:r>
      <w:bookmarkEnd w:id="246"/>
      <w:bookmarkEnd w:id="247"/>
      <w:bookmarkEnd w:id="248"/>
    </w:p>
    <w:p w14:paraId="4837DB73" w14:textId="77777777" w:rsidR="00A75607" w:rsidRDefault="00EF65AE" w:rsidP="00EF65AE">
      <w:pPr>
        <w:rPr>
          <w:rFonts w:cs="Arial"/>
        </w:rPr>
      </w:pPr>
      <w:r w:rsidRPr="00EF65AE">
        <w:rPr>
          <w:rFonts w:cs="Arial"/>
        </w:rPr>
        <w:t xml:space="preserve">Though there have been significant efforts to extend coverage of services since the 2008 evaluation, </w:t>
      </w:r>
      <w:r w:rsidR="00360F03">
        <w:rPr>
          <w:rFonts w:cs="Arial"/>
        </w:rPr>
        <w:t>most</w:t>
      </w:r>
      <w:r w:rsidRPr="00EF65AE">
        <w:rPr>
          <w:rFonts w:cs="Arial"/>
        </w:rPr>
        <w:t xml:space="preserve"> services remain in urban areas. Reaching survivors in rural areas remains challenging across Asia and in Pacific island countries and requires creative approaches. With limited resources and social norms that limit women’s mobility in some settings, this is not an easy problem to solve. A</w:t>
      </w:r>
      <w:r w:rsidR="002E462B">
        <w:rPr>
          <w:rFonts w:cs="Arial"/>
        </w:rPr>
        <w:t xml:space="preserve"> representative from a</w:t>
      </w:r>
      <w:r w:rsidRPr="00EF65AE">
        <w:rPr>
          <w:rFonts w:cs="Arial"/>
        </w:rPr>
        <w:t>n NGO in Pakistan shared that</w:t>
      </w:r>
      <w:r w:rsidR="006B1164">
        <w:rPr>
          <w:rFonts w:cs="Arial"/>
        </w:rPr>
        <w:t>:</w:t>
      </w:r>
      <w:r w:rsidRPr="00EF65AE">
        <w:rPr>
          <w:rFonts w:cs="Arial"/>
        </w:rPr>
        <w:t xml:space="preserve"> </w:t>
      </w:r>
    </w:p>
    <w:p w14:paraId="21EAA272" w14:textId="77777777" w:rsidR="00EF65AE" w:rsidRPr="000350C0" w:rsidRDefault="00EF65AE" w:rsidP="0012349A">
      <w:pPr>
        <w:pStyle w:val="IndentQuote"/>
      </w:pPr>
      <w:r w:rsidRPr="004331DC">
        <w:t xml:space="preserve">Many women don’t know where to go or are more limited in where they can go, due to </w:t>
      </w:r>
      <w:r w:rsidRPr="000350C0">
        <w:t xml:space="preserve">restrictions on mobility; making it more likely they will seek help from community elders or landlords. </w:t>
      </w:r>
    </w:p>
    <w:p w14:paraId="4166B6D2" w14:textId="77777777" w:rsidR="00EF65AE" w:rsidRPr="000350C0" w:rsidRDefault="00EF65AE" w:rsidP="00EF65AE">
      <w:pPr>
        <w:rPr>
          <w:rFonts w:cs="Arial"/>
        </w:rPr>
      </w:pPr>
      <w:r w:rsidRPr="000350C0">
        <w:rPr>
          <w:rFonts w:cs="Arial"/>
        </w:rPr>
        <w:t>This underscores the importance of connecting informal supports</w:t>
      </w:r>
      <w:r w:rsidR="006B1164" w:rsidRPr="000350C0">
        <w:rPr>
          <w:rFonts w:cs="Arial"/>
        </w:rPr>
        <w:t>,</w:t>
      </w:r>
      <w:r w:rsidRPr="000350C0">
        <w:rPr>
          <w:rFonts w:cs="Arial"/>
        </w:rPr>
        <w:t xml:space="preserve"> such as trusted community members</w:t>
      </w:r>
      <w:r w:rsidR="006B1164" w:rsidRPr="000350C0">
        <w:rPr>
          <w:rFonts w:cs="Arial"/>
        </w:rPr>
        <w:t>,</w:t>
      </w:r>
      <w:r w:rsidRPr="000350C0">
        <w:rPr>
          <w:rFonts w:cs="Arial"/>
        </w:rPr>
        <w:t xml:space="preserve"> with key messages and information. Australian aid should, therefore, continue to invest in formal support services while supporting innovative informal and community-based mechanisms. </w:t>
      </w:r>
    </w:p>
    <w:p w14:paraId="1C80741A" w14:textId="5957C228" w:rsidR="00EF65AE" w:rsidRPr="00EF65AE" w:rsidRDefault="00EF65AE" w:rsidP="00EF65AE">
      <w:pPr>
        <w:rPr>
          <w:rFonts w:cs="Arial"/>
        </w:rPr>
      </w:pPr>
      <w:r w:rsidRPr="000350C0">
        <w:rPr>
          <w:rFonts w:cs="Arial"/>
        </w:rPr>
        <w:t>Another approach to increasing</w:t>
      </w:r>
      <w:r w:rsidRPr="00EF65AE">
        <w:rPr>
          <w:rFonts w:cs="Arial"/>
        </w:rPr>
        <w:t xml:space="preserve"> reach and access of services has been to train community members in rural areas to provide basic support to survivors. Australia has supported this in several focus countries, with the most developed program in Vanuatu where the VWC has trained community members organised in </w:t>
      </w:r>
      <w:r w:rsidR="00210394" w:rsidRPr="00EF65AE">
        <w:rPr>
          <w:rFonts w:cs="Arial"/>
        </w:rPr>
        <w:t xml:space="preserve">Committees against Violence against Women </w:t>
      </w:r>
      <w:r w:rsidR="00210394">
        <w:rPr>
          <w:rFonts w:cs="Arial"/>
        </w:rPr>
        <w:t>(</w:t>
      </w:r>
      <w:r w:rsidRPr="00EF65AE">
        <w:rPr>
          <w:rFonts w:cs="Arial"/>
        </w:rPr>
        <w:t>CAVAW</w:t>
      </w:r>
      <w:r w:rsidR="00210394">
        <w:rPr>
          <w:rFonts w:cs="Arial"/>
        </w:rPr>
        <w:t>)</w:t>
      </w:r>
      <w:r w:rsidRPr="00EF65AE">
        <w:rPr>
          <w:rFonts w:cs="Arial"/>
        </w:rPr>
        <w:t>. The</w:t>
      </w:r>
      <w:r w:rsidR="00027336">
        <w:rPr>
          <w:rFonts w:cs="Arial"/>
        </w:rPr>
        <w:tab/>
      </w:r>
      <w:r w:rsidRPr="00EF65AE">
        <w:rPr>
          <w:rFonts w:cs="Arial"/>
        </w:rPr>
        <w:t xml:space="preserve"> CAVAW members facilitate referrals to formal services as needed, raise awareness on VAWG as a human rights issue, and advise local chiefs and survivors in cases of violence in the community.</w:t>
      </w:r>
      <w:r w:rsidRPr="00EF65AE">
        <w:rPr>
          <w:rFonts w:cs="Arial"/>
        </w:rPr>
        <w:fldChar w:fldCharType="begin"/>
      </w:r>
      <w:r w:rsidRPr="00EF65AE">
        <w:rPr>
          <w:rFonts w:cs="Arial"/>
        </w:rPr>
        <w:instrText xml:space="preserve"> ADDIN ZOTERO_ITEM CSL_CITATION {"citationID":"5XE8KbWL","properties":{"formattedCitation":"\\super 97\\nosupersub{}","plainCitation":"97","noteIndex":0},"citationItems":[{"id":240,"uris":["http://zotero.org/users/4194704/items/DCUK4QIG"],"uri":["http://zotero.org/users/4194704/items/DCUK4QIG"],"itemData":{"id":240,"type":"report","title":"Review of Australian aid initiatives in the Pacific aimed at ending violence against women","publisher":"ICRW","author":[{"family":"Mukasa","given":"Stella"},{"family":"McCleary-Sills","given":"Jennifer"},{"family":"Heilman","given":"Brian"},{"family":"Namy","given":"Sophie"}],"issued":{"date-parts":[["2014"]]}}}],"schema":"https://github.com/citation-style-language/schema/raw/master/csl-citation.json"} </w:instrText>
      </w:r>
      <w:r w:rsidRPr="00EF65AE">
        <w:rPr>
          <w:rFonts w:cs="Arial"/>
        </w:rPr>
        <w:fldChar w:fldCharType="separate"/>
      </w:r>
      <w:r w:rsidRPr="00EF65AE">
        <w:rPr>
          <w:rFonts w:cs="Arial"/>
          <w:vertAlign w:val="superscript"/>
          <w:lang w:val="en-US"/>
        </w:rPr>
        <w:t>97</w:t>
      </w:r>
      <w:r w:rsidRPr="00EF65AE">
        <w:rPr>
          <w:rFonts w:cs="Arial"/>
        </w:rPr>
        <w:fldChar w:fldCharType="end"/>
      </w:r>
      <w:r w:rsidRPr="00EF65AE">
        <w:rPr>
          <w:rFonts w:cs="Arial"/>
        </w:rPr>
        <w:t xml:space="preserve"> </w:t>
      </w:r>
      <w:r w:rsidR="00173F90">
        <w:rPr>
          <w:rFonts w:cs="Arial"/>
        </w:rPr>
        <w:t>Forty-one</w:t>
      </w:r>
      <w:r w:rsidRPr="00EF65AE">
        <w:rPr>
          <w:rFonts w:cs="Arial"/>
        </w:rPr>
        <w:t xml:space="preserve"> CAVAW </w:t>
      </w:r>
      <w:r w:rsidR="00173F90">
        <w:rPr>
          <w:rFonts w:cs="Arial"/>
        </w:rPr>
        <w:t>operate across Vanuatu.</w:t>
      </w:r>
      <w:r w:rsidR="00C24E2A">
        <w:rPr>
          <w:rFonts w:cs="Arial"/>
        </w:rPr>
        <w:t xml:space="preserve"> Some CAVAW </w:t>
      </w:r>
      <w:r w:rsidRPr="00EF65AE">
        <w:rPr>
          <w:rFonts w:cs="Arial"/>
        </w:rPr>
        <w:t xml:space="preserve">members have been recruited to serve as </w:t>
      </w:r>
      <w:r w:rsidR="00173F90">
        <w:rPr>
          <w:rFonts w:cs="Arial"/>
        </w:rPr>
        <w:t>‘</w:t>
      </w:r>
      <w:r w:rsidRPr="00EF65AE">
        <w:rPr>
          <w:rFonts w:cs="Arial"/>
        </w:rPr>
        <w:t>authorised persons</w:t>
      </w:r>
      <w:r w:rsidR="00173F90">
        <w:rPr>
          <w:rFonts w:cs="Arial"/>
        </w:rPr>
        <w:t>’ who can</w:t>
      </w:r>
      <w:r w:rsidRPr="00EF65AE">
        <w:rPr>
          <w:rFonts w:cs="Arial"/>
        </w:rPr>
        <w:t xml:space="preserve"> provide protection orders to survivors, with promising results. </w:t>
      </w:r>
    </w:p>
    <w:p w14:paraId="06F2CCCF" w14:textId="77777777" w:rsidR="00EF65AE" w:rsidRPr="00EF65AE" w:rsidRDefault="00EF65AE" w:rsidP="00EF65AE">
      <w:pPr>
        <w:rPr>
          <w:rFonts w:cs="Arial"/>
        </w:rPr>
      </w:pPr>
      <w:r w:rsidRPr="00EF65AE">
        <w:rPr>
          <w:rFonts w:cs="Arial"/>
        </w:rPr>
        <w:t xml:space="preserve">In PNG, both OXFAM and the Nazareth Centre (through </w:t>
      </w:r>
      <w:r w:rsidR="00173F90">
        <w:rPr>
          <w:rFonts w:cs="Arial"/>
        </w:rPr>
        <w:t>International Women’s Development Agency</w:t>
      </w:r>
      <w:r w:rsidRPr="00EF65AE">
        <w:rPr>
          <w:rFonts w:cs="Arial"/>
        </w:rPr>
        <w:t xml:space="preserve">) have received funding </w:t>
      </w:r>
      <w:r w:rsidR="0032055F">
        <w:rPr>
          <w:rFonts w:cs="Arial"/>
        </w:rPr>
        <w:t>through</w:t>
      </w:r>
      <w:r w:rsidRPr="00EF65AE">
        <w:rPr>
          <w:rFonts w:cs="Arial"/>
        </w:rPr>
        <w:t xml:space="preserve"> Pacific Women to train and support more than 2,000 Women Human Rights Defenders, including community counsellors, in Bougainville and the Eastern Highlands. Both programs have a strong human rights focus, and train</w:t>
      </w:r>
      <w:r w:rsidR="00173F90">
        <w:rPr>
          <w:rFonts w:cs="Arial"/>
        </w:rPr>
        <w:t>ing is provided</w:t>
      </w:r>
      <w:r w:rsidRPr="00EF65AE">
        <w:rPr>
          <w:rFonts w:cs="Arial"/>
        </w:rPr>
        <w:t xml:space="preserve"> on advocacy</w:t>
      </w:r>
      <w:r w:rsidR="00173F90">
        <w:rPr>
          <w:rFonts w:cs="Arial"/>
        </w:rPr>
        <w:t>,</w:t>
      </w:r>
      <w:r w:rsidRPr="00EF65AE">
        <w:rPr>
          <w:rFonts w:cs="Arial"/>
        </w:rPr>
        <w:t xml:space="preserve"> communications skills</w:t>
      </w:r>
      <w:r w:rsidR="00173F90">
        <w:rPr>
          <w:rFonts w:cs="Arial"/>
        </w:rPr>
        <w:t xml:space="preserve"> and</w:t>
      </w:r>
      <w:r w:rsidRPr="00EF65AE">
        <w:rPr>
          <w:rFonts w:cs="Arial"/>
        </w:rPr>
        <w:t xml:space="preserve"> counselling. </w:t>
      </w:r>
    </w:p>
    <w:p w14:paraId="2BA7DFFE" w14:textId="73594BCC" w:rsidR="00EF65AE" w:rsidRPr="00EF65AE" w:rsidRDefault="00EF65AE" w:rsidP="00EF65AE">
      <w:pPr>
        <w:rPr>
          <w:rFonts w:cs="Arial"/>
        </w:rPr>
      </w:pPr>
      <w:r w:rsidRPr="00EF65AE">
        <w:rPr>
          <w:rFonts w:cs="Arial"/>
        </w:rPr>
        <w:t>The evaluation team also found evidence of community-based and faith-based programs that encourage their activists to counsel survivors and perpetrators of violence, without sufficient preparation or EVAWG training. A</w:t>
      </w:r>
      <w:r w:rsidR="002E462B">
        <w:rPr>
          <w:rFonts w:cs="Arial"/>
        </w:rPr>
        <w:t xml:space="preserve"> community</w:t>
      </w:r>
      <w:r w:rsidR="00027336">
        <w:rPr>
          <w:rFonts w:cs="Arial"/>
        </w:rPr>
        <w:t xml:space="preserve"> </w:t>
      </w:r>
      <w:r w:rsidR="002E462B">
        <w:rPr>
          <w:rFonts w:cs="Arial"/>
        </w:rPr>
        <w:t>counsellor</w:t>
      </w:r>
      <w:r w:rsidRPr="00EF65AE">
        <w:rPr>
          <w:rFonts w:cs="Arial"/>
        </w:rPr>
        <w:t xml:space="preserve"> </w:t>
      </w:r>
      <w:r w:rsidR="002E462B">
        <w:rPr>
          <w:rFonts w:cs="Arial"/>
        </w:rPr>
        <w:t xml:space="preserve">in the Solomon Islands </w:t>
      </w:r>
      <w:r w:rsidRPr="00EF65AE">
        <w:rPr>
          <w:rFonts w:cs="Arial"/>
        </w:rPr>
        <w:t>told the evaluation</w:t>
      </w:r>
      <w:r w:rsidR="00B70FF2">
        <w:rPr>
          <w:rFonts w:cs="Arial"/>
        </w:rPr>
        <w:t> </w:t>
      </w:r>
      <w:r w:rsidRPr="00EF65AE">
        <w:rPr>
          <w:rFonts w:cs="Arial"/>
        </w:rPr>
        <w:t>team:</w:t>
      </w:r>
    </w:p>
    <w:p w14:paraId="6248CEFD" w14:textId="0B2F1B2D" w:rsidR="00EF65AE" w:rsidRPr="00EF65AE" w:rsidRDefault="00EF65AE" w:rsidP="00B70FF2">
      <w:pPr>
        <w:pStyle w:val="IndentQuote"/>
        <w:keepLines/>
      </w:pPr>
      <w:r w:rsidRPr="001C6E94">
        <w:t>When a woman in my community has been beaten by her husband, I visit her and give her advice to help prevent violence</w:t>
      </w:r>
      <w:r w:rsidR="00E2253F">
        <w:t xml:space="preserve">. </w:t>
      </w:r>
      <w:r w:rsidRPr="001C6E94">
        <w:t xml:space="preserve">I tell her, </w:t>
      </w:r>
      <w:r w:rsidR="0019178A">
        <w:t>‘</w:t>
      </w:r>
      <w:r w:rsidRPr="001C6E94">
        <w:t xml:space="preserve">If he says </w:t>
      </w:r>
      <w:r w:rsidR="0019178A">
        <w:t>“</w:t>
      </w:r>
      <w:r w:rsidRPr="001C6E94">
        <w:t>shut up</w:t>
      </w:r>
      <w:r w:rsidR="0019178A">
        <w:t>”</w:t>
      </w:r>
      <w:r w:rsidRPr="001C6E94">
        <w:t xml:space="preserve"> you shut up; if he wants food ready when he comes home from drinking, you should make him food. If he wants sex, give him sex.</w:t>
      </w:r>
      <w:r w:rsidR="0019178A">
        <w:t>’</w:t>
      </w:r>
      <w:r w:rsidRPr="001C6E94">
        <w:t xml:space="preserve"> </w:t>
      </w:r>
    </w:p>
    <w:p w14:paraId="1E39B733" w14:textId="77777777" w:rsidR="00EF65AE" w:rsidRPr="00EF65AE" w:rsidRDefault="00EF65AE" w:rsidP="00F20E2C">
      <w:pPr>
        <w:pStyle w:val="Heading3NoTOC"/>
      </w:pPr>
      <w:r w:rsidRPr="00EF65AE">
        <w:t xml:space="preserve">Valuing and supporting local expertise </w:t>
      </w:r>
    </w:p>
    <w:p w14:paraId="2735D999" w14:textId="5F309FBA" w:rsidR="00EF65AE" w:rsidRPr="00EF65AE" w:rsidRDefault="00EF65AE" w:rsidP="00EF65AE">
      <w:pPr>
        <w:rPr>
          <w:rFonts w:cs="Arial"/>
        </w:rPr>
      </w:pPr>
      <w:r w:rsidRPr="00EF65AE">
        <w:rPr>
          <w:rFonts w:cs="Arial"/>
        </w:rPr>
        <w:t xml:space="preserve">Women’s rights activists in different </w:t>
      </w:r>
      <w:r w:rsidR="00173F90">
        <w:rPr>
          <w:rFonts w:cs="Arial"/>
        </w:rPr>
        <w:t xml:space="preserve">focus </w:t>
      </w:r>
      <w:r w:rsidRPr="00EF65AE">
        <w:rPr>
          <w:rFonts w:cs="Arial"/>
        </w:rPr>
        <w:t xml:space="preserve">countries expressed frustration with an increasing influx of international organisations </w:t>
      </w:r>
      <w:r w:rsidR="0019178A">
        <w:rPr>
          <w:rFonts w:cs="Arial"/>
        </w:rPr>
        <w:t>that</w:t>
      </w:r>
      <w:r w:rsidR="0019178A" w:rsidRPr="00EF65AE">
        <w:rPr>
          <w:rFonts w:cs="Arial"/>
        </w:rPr>
        <w:t xml:space="preserve"> </w:t>
      </w:r>
      <w:r w:rsidRPr="00EF65AE">
        <w:rPr>
          <w:rFonts w:cs="Arial"/>
        </w:rPr>
        <w:t xml:space="preserve">initiate projects to prevent or respond to VAWG and do not include grassroots experts in design or implementation. One women’s rights activist from a </w:t>
      </w:r>
      <w:r w:rsidR="00D74A07">
        <w:rPr>
          <w:rFonts w:cs="Arial"/>
        </w:rPr>
        <w:br/>
      </w:r>
      <w:r w:rsidRPr="00EF65AE">
        <w:rPr>
          <w:rFonts w:cs="Arial"/>
        </w:rPr>
        <w:t>Pacific island country described her experience:</w:t>
      </w:r>
    </w:p>
    <w:p w14:paraId="57E993A7" w14:textId="77777777" w:rsidR="00EF65AE" w:rsidRPr="006B63B6" w:rsidRDefault="00EF65AE" w:rsidP="006B63B6">
      <w:pPr>
        <w:pStyle w:val="IndentQuote"/>
      </w:pPr>
      <w:r w:rsidRPr="006B63B6">
        <w:t>I would have loved to be in the design of the project. We were not included, but afterwards they asked us to come and do a one-hour talk</w:t>
      </w:r>
      <w:r w:rsidR="00173F90">
        <w:t>—</w:t>
      </w:r>
      <w:r w:rsidRPr="006B63B6">
        <w:t>that is not enough</w:t>
      </w:r>
      <w:r w:rsidR="00173F90">
        <w:t xml:space="preserve"> </w:t>
      </w:r>
      <w:r w:rsidRPr="006B63B6">
        <w:t>… People who were born to do this work have to be well trained, to understand human rights and gender equality, and in the communities, they should use these concepts</w:t>
      </w:r>
      <w:r w:rsidR="00173F90">
        <w:t xml:space="preserve"> </w:t>
      </w:r>
      <w:r w:rsidRPr="006B63B6">
        <w:t>… Sometimes I think these projects are reinforcing women’s submission and we are worried that they can do damage because we are not preaching the same message</w:t>
      </w:r>
      <w:r w:rsidR="00173F90">
        <w:t xml:space="preserve"> </w:t>
      </w:r>
      <w:r w:rsidRPr="006B63B6">
        <w:t>… We say this from our heart, because we are very passionate about this work. I want to see the violence end!</w:t>
      </w:r>
    </w:p>
    <w:p w14:paraId="36D25C0A" w14:textId="77777777" w:rsidR="00EF65AE" w:rsidRPr="00EF65AE" w:rsidRDefault="00EF65AE" w:rsidP="00EF65AE">
      <w:pPr>
        <w:rPr>
          <w:rFonts w:cs="Arial"/>
          <w:lang w:val="en-US"/>
        </w:rPr>
      </w:pPr>
      <w:r w:rsidRPr="00EF65AE">
        <w:rPr>
          <w:rFonts w:cs="Arial"/>
          <w:lang w:val="en-US"/>
        </w:rPr>
        <w:t xml:space="preserve">As more funds continue to be </w:t>
      </w:r>
      <w:r w:rsidRPr="000350C0">
        <w:rPr>
          <w:rFonts w:cs="Arial"/>
          <w:lang w:val="en-US"/>
        </w:rPr>
        <w:t>invested</w:t>
      </w:r>
      <w:r w:rsidRPr="00D45CE6">
        <w:rPr>
          <w:rFonts w:cs="Arial"/>
          <w:lang w:val="en-US"/>
        </w:rPr>
        <w:t>, it will be increasingly critical to balance engaging new partners in EVAWG and learning from best practice</w:t>
      </w:r>
      <w:r w:rsidR="000350C0">
        <w:rPr>
          <w:rFonts w:cs="Arial"/>
          <w:lang w:val="en-US"/>
        </w:rPr>
        <w:t>. It will also be increasingly critical to ensure</w:t>
      </w:r>
      <w:r w:rsidRPr="00D45CE6">
        <w:rPr>
          <w:rFonts w:cs="Arial"/>
          <w:lang w:val="en-US"/>
        </w:rPr>
        <w:t xml:space="preserve"> that the experience of local women’s organisations</w:t>
      </w:r>
      <w:r w:rsidRPr="000350C0">
        <w:rPr>
          <w:rFonts w:cs="Arial"/>
          <w:lang w:val="en-US"/>
        </w:rPr>
        <w:t xml:space="preserve"> and</w:t>
      </w:r>
      <w:r w:rsidRPr="00EF65AE">
        <w:rPr>
          <w:rFonts w:cs="Arial"/>
          <w:lang w:val="en-US"/>
        </w:rPr>
        <w:t xml:space="preserve"> homegrown solutions are included in program design and implementation. </w:t>
      </w:r>
    </w:p>
    <w:p w14:paraId="3F21B477" w14:textId="16F8AD52" w:rsidR="00EF65AE" w:rsidRPr="00EF65AE" w:rsidRDefault="00EF65AE" w:rsidP="00EF65AE">
      <w:pPr>
        <w:rPr>
          <w:rFonts w:cs="Arial"/>
        </w:rPr>
      </w:pPr>
      <w:r w:rsidRPr="00EF65AE">
        <w:rPr>
          <w:rFonts w:cs="Arial"/>
        </w:rPr>
        <w:t xml:space="preserve">Currently, women’s organisations, NGOs, and faith-based organisations are the backbone of EVAWG efforts in </w:t>
      </w:r>
      <w:r w:rsidR="006F77CC">
        <w:rPr>
          <w:rFonts w:cs="Arial"/>
        </w:rPr>
        <w:t>the Indo-Pacific</w:t>
      </w:r>
      <w:r w:rsidRPr="00EF65AE">
        <w:rPr>
          <w:rFonts w:cs="Arial"/>
        </w:rPr>
        <w:t>, providing services to survivors, as well as coordinating and training actors from other sectors. Direct government support remains limited in the region</w:t>
      </w:r>
      <w:r w:rsidR="00173F90">
        <w:rPr>
          <w:rFonts w:cs="Arial"/>
        </w:rPr>
        <w:t>,</w:t>
      </w:r>
      <w:r w:rsidRPr="00EF65AE">
        <w:rPr>
          <w:rFonts w:cs="Arial"/>
        </w:rPr>
        <w:t xml:space="preserve"> reflecting a wider global issue. However, without government support, EVAWG programs are vulnerable to external conditions (</w:t>
      </w:r>
      <w:r w:rsidR="00173F90">
        <w:rPr>
          <w:rFonts w:cs="Arial"/>
        </w:rPr>
        <w:t>for example,</w:t>
      </w:r>
      <w:r w:rsidRPr="00EF65AE">
        <w:rPr>
          <w:rFonts w:cs="Arial"/>
        </w:rPr>
        <w:t xml:space="preserve"> fluctuations in development assistance, interest</w:t>
      </w:r>
      <w:r w:rsidR="00173F90">
        <w:rPr>
          <w:rFonts w:cs="Arial"/>
        </w:rPr>
        <w:t xml:space="preserve"> and</w:t>
      </w:r>
      <w:r w:rsidRPr="00EF65AE">
        <w:rPr>
          <w:rFonts w:cs="Arial"/>
        </w:rPr>
        <w:t xml:space="preserve"> priorities). </w:t>
      </w:r>
    </w:p>
    <w:p w14:paraId="0B1501FD" w14:textId="1F13A900" w:rsidR="00EF65AE" w:rsidRPr="00EF65AE" w:rsidRDefault="00EF65AE" w:rsidP="00EF65AE">
      <w:pPr>
        <w:rPr>
          <w:rFonts w:cs="Arial"/>
        </w:rPr>
      </w:pPr>
      <w:r w:rsidRPr="00EF65AE">
        <w:rPr>
          <w:rFonts w:cs="Arial"/>
        </w:rPr>
        <w:t xml:space="preserve">According to a study on access to justice in Vanuatu, women’s access to police and response services is highly dependent on funding from the Australian Government. The study estimated that 100 per cent of the budget of the VWC and 36 per cent of the operational budget of the Vanuatu Police Force (including the Family Protection Unit) </w:t>
      </w:r>
      <w:r w:rsidR="00E0277E">
        <w:rPr>
          <w:rFonts w:cs="Arial"/>
        </w:rPr>
        <w:t>are</w:t>
      </w:r>
      <w:r w:rsidRPr="00EF65AE">
        <w:rPr>
          <w:rFonts w:cs="Arial"/>
        </w:rPr>
        <w:t xml:space="preserve"> supported by Australian aid.</w:t>
      </w:r>
      <w:r w:rsidRPr="00EF65AE">
        <w:rPr>
          <w:rFonts w:cs="Arial"/>
        </w:rPr>
        <w:fldChar w:fldCharType="begin"/>
      </w:r>
      <w:r w:rsidRPr="00EF65AE">
        <w:rPr>
          <w:rFonts w:cs="Arial"/>
        </w:rPr>
        <w:instrText xml:space="preserve"> ADDIN ZOTERO_ITEM CSL_CITATION {"citationID":"Mef0PysL","properties":{"formattedCitation":"\\super 82\\nosupersub{}","plainCitation":"82","noteIndex":0},"citationItems":[{"id":2538,"uris":["http://zotero.org/users/4194704/items/TTJHHC5F"],"uri":["http://zotero.org/users/4194704/items/TTJHHC5F"],"itemData":{"id":2538,"type":"report","title":"Women and Girls Access to the Formal Justice System in Vanuatu","publisher":"UN Women","author":[{"family":"UN Women","given":""}],"issued":{"date-parts":[["2016"]]}}}],"schema":"https://github.com/citation-style-language/schema/raw/master/csl-citation.json"} </w:instrText>
      </w:r>
      <w:r w:rsidRPr="00EF65AE">
        <w:rPr>
          <w:rFonts w:cs="Arial"/>
        </w:rPr>
        <w:fldChar w:fldCharType="separate"/>
      </w:r>
      <w:r w:rsidRPr="00EF65AE">
        <w:rPr>
          <w:rFonts w:cs="Arial"/>
          <w:vertAlign w:val="superscript"/>
          <w:lang w:val="en-US"/>
        </w:rPr>
        <w:t>82</w:t>
      </w:r>
      <w:r w:rsidRPr="00EF65AE">
        <w:rPr>
          <w:rFonts w:cs="Arial"/>
        </w:rPr>
        <w:fldChar w:fldCharType="end"/>
      </w:r>
      <w:r w:rsidRPr="00EF65AE">
        <w:rPr>
          <w:rFonts w:cs="Arial"/>
        </w:rPr>
        <w:t xml:space="preserve"> This raises significant concerns about sustainability of survivor services across countries</w:t>
      </w:r>
      <w:r w:rsidR="006F77CC">
        <w:rPr>
          <w:rFonts w:cs="Arial"/>
        </w:rPr>
        <w:t xml:space="preserve"> in the Indo-Pacific</w:t>
      </w:r>
      <w:r w:rsidRPr="00EF65AE">
        <w:rPr>
          <w:rFonts w:cs="Arial"/>
        </w:rPr>
        <w:t xml:space="preserve">. </w:t>
      </w:r>
    </w:p>
    <w:p w14:paraId="3FFA08B3" w14:textId="77777777" w:rsidR="00EF65AE" w:rsidRPr="00EF65AE" w:rsidRDefault="00EF65AE" w:rsidP="00EF65AE">
      <w:pPr>
        <w:rPr>
          <w:rFonts w:cs="Arial"/>
        </w:rPr>
      </w:pPr>
      <w:r w:rsidRPr="00EF65AE">
        <w:rPr>
          <w:rFonts w:cs="Arial"/>
        </w:rPr>
        <w:t xml:space="preserve">In many sites visited, the evaluation found it was unrealistic to expect governments to provide effective services in the coming years. Australia’s continued investment in core services, both through governments and NGOs where appropriate, is therefore vital. There are serious risks that major gains would be lost if Australia’s support to services was scaled back. However, Australia also has an important role to play in strategic engagement with partner governments to encourage adequate funding of action plans and services. </w:t>
      </w:r>
    </w:p>
    <w:p w14:paraId="762C80EF" w14:textId="0E9FDC9B" w:rsidR="00EF65AE" w:rsidRPr="00EF65AE" w:rsidRDefault="00173F90" w:rsidP="00EF65AE">
      <w:pPr>
        <w:rPr>
          <w:rFonts w:cs="Arial"/>
        </w:rPr>
      </w:pPr>
      <w:r>
        <w:rPr>
          <w:rFonts w:cs="Arial"/>
        </w:rPr>
        <w:t>S</w:t>
      </w:r>
      <w:r w:rsidR="00EF65AE" w:rsidRPr="00EF65AE">
        <w:rPr>
          <w:rFonts w:cs="Arial"/>
        </w:rPr>
        <w:t xml:space="preserve">ome innovative approaches to funding services are being tested, and their success should continue to be monitored for potential scale up. This includes the </w:t>
      </w:r>
      <w:r w:rsidR="00BF07A9">
        <w:t>Bel isi PNG</w:t>
      </w:r>
      <w:r w:rsidR="00D45CE6">
        <w:t xml:space="preserve"> </w:t>
      </w:r>
      <w:r w:rsidR="00EF65AE" w:rsidRPr="00EF65AE">
        <w:rPr>
          <w:rFonts w:cs="Arial"/>
        </w:rPr>
        <w:t>public-private partnership, which engages the private sector in providing comprehensive services for family and sexual violence as a way to reduce the cost of VAWG on businesses (Box 12</w:t>
      </w:r>
      <w:r w:rsidR="00E0277E">
        <w:rPr>
          <w:rFonts w:cs="Arial"/>
        </w:rPr>
        <w:t>).</w:t>
      </w:r>
      <w:r w:rsidR="00EF65AE" w:rsidRPr="00EF65AE">
        <w:rPr>
          <w:rFonts w:cs="Arial"/>
        </w:rPr>
        <w:fldChar w:fldCharType="begin"/>
      </w:r>
      <w:r w:rsidR="00EF65AE" w:rsidRPr="00EF65AE">
        <w:rPr>
          <w:rFonts w:cs="Arial"/>
        </w:rPr>
        <w:instrText xml:space="preserve"> ADDIN ZOTERO_ITEM CSL_CITATION {"citationID":"KC0Ll0n4","properties":{"formattedCitation":"\\super 91\\nosupersub{}","plainCitation":"91","noteIndex":0},"citationItems":[{"id":2175,"uris":["http://zotero.org/users/4194704/items/L43BUX3Y"],"uri":["http://zotero.org/users/4194704/items/L43BUX3Y"],"itemData":{"id":2175,"type":"report","title":"Pacific Women Papua New Guinea Performance report 2017-2018","publisher":"Pacific Women Shaping Pacific Development, Australian Department of Foreign Affairs and Trade","publisher-place":"Suva","event-place":"Suva","author":[{"family":"Pacific Women Shaping Pacific Development","given":"Support Unit"}],"issued":{"date-parts":[["2018"]]}}}],"schema":"https://github.com/citation-style-language/schema/raw/master/csl-citation.json"}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91</w:t>
      </w:r>
      <w:r w:rsidR="00EF65AE" w:rsidRPr="00EF65AE">
        <w:rPr>
          <w:rFonts w:cs="Arial"/>
        </w:rPr>
        <w:fldChar w:fldCharType="end"/>
      </w:r>
    </w:p>
    <w:p w14:paraId="245B3CB9" w14:textId="77777777" w:rsidR="00EF65AE" w:rsidRPr="00EF65AE" w:rsidRDefault="00EF65AE" w:rsidP="00EF65AE">
      <w:pPr>
        <w:pStyle w:val="CallOutHeading"/>
        <w:rPr>
          <w:rFonts w:cs="Arial"/>
        </w:rPr>
      </w:pPr>
      <w:r w:rsidRPr="00EF65AE">
        <w:rPr>
          <w:rFonts w:cs="Arial"/>
        </w:rPr>
        <w:t xml:space="preserve">Box 12: </w:t>
      </w:r>
      <w:r w:rsidR="00BF07A9">
        <w:t>Bel isi PNG</w:t>
      </w:r>
      <w:r w:rsidR="00173F90">
        <w:rPr>
          <w:rFonts w:cs="Arial"/>
        </w:rPr>
        <w:t>—</w:t>
      </w:r>
      <w:r w:rsidR="0019178A">
        <w:rPr>
          <w:rFonts w:cs="Arial"/>
        </w:rPr>
        <w:t xml:space="preserve"> ‘</w:t>
      </w:r>
      <w:r w:rsidRPr="00EF65AE">
        <w:rPr>
          <w:rFonts w:cs="Arial"/>
        </w:rPr>
        <w:t xml:space="preserve">Improving </w:t>
      </w:r>
      <w:r w:rsidR="00596686">
        <w:rPr>
          <w:rFonts w:cs="Arial"/>
        </w:rPr>
        <w:t>s</w:t>
      </w:r>
      <w:r w:rsidRPr="00EF65AE">
        <w:rPr>
          <w:rFonts w:cs="Arial"/>
        </w:rPr>
        <w:t xml:space="preserve">ervices and </w:t>
      </w:r>
      <w:r w:rsidR="00596686">
        <w:rPr>
          <w:rFonts w:cs="Arial"/>
        </w:rPr>
        <w:t>i</w:t>
      </w:r>
      <w:r w:rsidRPr="00EF65AE">
        <w:rPr>
          <w:rFonts w:cs="Arial"/>
        </w:rPr>
        <w:t xml:space="preserve">nspiring </w:t>
      </w:r>
      <w:r w:rsidR="00596686">
        <w:rPr>
          <w:rFonts w:cs="Arial"/>
        </w:rPr>
        <w:t>l</w:t>
      </w:r>
      <w:r w:rsidRPr="00EF65AE">
        <w:rPr>
          <w:rFonts w:cs="Arial"/>
        </w:rPr>
        <w:t xml:space="preserve">eadership to address </w:t>
      </w:r>
      <w:r w:rsidR="00596686">
        <w:rPr>
          <w:rFonts w:cs="Arial"/>
        </w:rPr>
        <w:t>f</w:t>
      </w:r>
      <w:r w:rsidRPr="00EF65AE">
        <w:rPr>
          <w:rFonts w:cs="Arial"/>
        </w:rPr>
        <w:t xml:space="preserve">amily and </w:t>
      </w:r>
      <w:r w:rsidR="00596686">
        <w:rPr>
          <w:rFonts w:cs="Arial"/>
        </w:rPr>
        <w:t>s</w:t>
      </w:r>
      <w:r w:rsidRPr="00EF65AE">
        <w:rPr>
          <w:rFonts w:cs="Arial"/>
        </w:rPr>
        <w:t xml:space="preserve">exual </w:t>
      </w:r>
      <w:r w:rsidR="00596686">
        <w:rPr>
          <w:rFonts w:cs="Arial"/>
        </w:rPr>
        <w:t>v</w:t>
      </w:r>
      <w:r w:rsidRPr="00EF65AE">
        <w:rPr>
          <w:rFonts w:cs="Arial"/>
        </w:rPr>
        <w:t>iolence in Port Moresby.</w:t>
      </w:r>
      <w:r w:rsidR="00173F90">
        <w:rPr>
          <w:rFonts w:cs="Arial"/>
        </w:rPr>
        <w:t>’</w:t>
      </w:r>
    </w:p>
    <w:p w14:paraId="5B354E43" w14:textId="1DF6E9A9" w:rsidR="00BF07A9" w:rsidRDefault="009061E8" w:rsidP="00D45CE6">
      <w:pPr>
        <w:pStyle w:val="CallOutBody"/>
      </w:pPr>
      <w:r>
        <w:rPr>
          <w:lang w:val="en-US"/>
        </w:rPr>
        <w:t xml:space="preserve">This </w:t>
      </w:r>
      <w:r w:rsidR="00EF65AE" w:rsidRPr="00BF07A9">
        <w:rPr>
          <w:lang w:val="en-US"/>
        </w:rPr>
        <w:t>$13</w:t>
      </w:r>
      <w:r w:rsidR="00173F90" w:rsidRPr="00BF07A9">
        <w:rPr>
          <w:lang w:val="en-US"/>
        </w:rPr>
        <w:t>-</w:t>
      </w:r>
      <w:r w:rsidR="00EF65AE" w:rsidRPr="003823D0">
        <w:rPr>
          <w:lang w:val="en-US"/>
        </w:rPr>
        <w:t>million initiative (jointly funded with $4.5 million from Pacific Women and $8.5 million from private s</w:t>
      </w:r>
      <w:r w:rsidR="00EF65AE" w:rsidRPr="00DD595E">
        <w:rPr>
          <w:lang w:val="en-US"/>
        </w:rPr>
        <w:t>ector subscriptions and in-kind contributions)</w:t>
      </w:r>
      <w:r w:rsidR="00173F90" w:rsidRPr="00BF07A9">
        <w:rPr>
          <w:lang w:val="en-US"/>
        </w:rPr>
        <w:t xml:space="preserve"> </w:t>
      </w:r>
      <w:r w:rsidR="00EF65AE" w:rsidRPr="00BF07A9">
        <w:rPr>
          <w:lang w:val="en-US"/>
        </w:rPr>
        <w:t>complement</w:t>
      </w:r>
      <w:r w:rsidR="00173F90" w:rsidRPr="00BF07A9">
        <w:rPr>
          <w:lang w:val="en-US"/>
        </w:rPr>
        <w:t>s</w:t>
      </w:r>
      <w:r w:rsidR="00EF65AE" w:rsidRPr="00BF07A9">
        <w:rPr>
          <w:lang w:val="en-US"/>
        </w:rPr>
        <w:t xml:space="preserve"> new safe house facilities provided primarily by businesses</w:t>
      </w:r>
      <w:r w:rsidR="00173F90" w:rsidRPr="00BF07A9">
        <w:rPr>
          <w:lang w:val="en-US"/>
        </w:rPr>
        <w:t xml:space="preserve">. </w:t>
      </w:r>
      <w:r w:rsidR="003823D0">
        <w:rPr>
          <w:lang w:val="en-US"/>
        </w:rPr>
        <w:t xml:space="preserve">A </w:t>
      </w:r>
      <w:r w:rsidR="00EF65AE" w:rsidRPr="00BF07A9">
        <w:rPr>
          <w:lang w:val="en-US"/>
        </w:rPr>
        <w:t xml:space="preserve">case management centre in Port Moresby </w:t>
      </w:r>
      <w:r w:rsidR="003823D0">
        <w:rPr>
          <w:lang w:val="en-US"/>
        </w:rPr>
        <w:t xml:space="preserve">managed by Femili PNG </w:t>
      </w:r>
      <w:r w:rsidR="00EF65AE" w:rsidRPr="00BF07A9">
        <w:rPr>
          <w:lang w:val="en-US"/>
        </w:rPr>
        <w:t xml:space="preserve">supports improved coordination between existing service providers. </w:t>
      </w:r>
      <w:r w:rsidR="00BF07A9">
        <w:t>Businesses subscribe for access to the services for their employees and the public may access the services as well on a referral or walk-in basis.</w:t>
      </w:r>
    </w:p>
    <w:p w14:paraId="27083E01" w14:textId="77777777" w:rsidR="00EF65AE" w:rsidRPr="00C420B8" w:rsidRDefault="00EF65AE" w:rsidP="00C420B8">
      <w:pPr>
        <w:pStyle w:val="CallOutBody"/>
        <w:rPr>
          <w:rFonts w:cs="Arial"/>
        </w:rPr>
      </w:pPr>
      <w:r w:rsidRPr="00EF65AE">
        <w:rPr>
          <w:rFonts w:cs="Arial"/>
          <w:lang w:val="en-US"/>
        </w:rPr>
        <w:t xml:space="preserve">Priority is given to promoting business as leaders and advocates to shift norms and behaviours </w:t>
      </w:r>
      <w:r w:rsidR="00173F90">
        <w:rPr>
          <w:rFonts w:cs="Arial"/>
          <w:lang w:val="en-US"/>
        </w:rPr>
        <w:t>relating</w:t>
      </w:r>
      <w:r w:rsidRPr="00EF65AE">
        <w:rPr>
          <w:rFonts w:cs="Arial"/>
          <w:lang w:val="en-US"/>
        </w:rPr>
        <w:t xml:space="preserve"> to the acceptance of family and sexual violence</w:t>
      </w:r>
      <w:r w:rsidR="00E2253F">
        <w:rPr>
          <w:rFonts w:cs="Arial"/>
          <w:lang w:val="en-US"/>
        </w:rPr>
        <w:t xml:space="preserve">. </w:t>
      </w:r>
      <w:r w:rsidRPr="00EF65AE">
        <w:rPr>
          <w:rFonts w:cs="Arial"/>
          <w:lang w:val="en-US"/>
        </w:rPr>
        <w:t>The project aims to galvanise the private sector in partnership with government and civil society to play a transformational leadership role in changing attitudes towards family and sexual violence and improving services for survivors. The project is working closely with the National Capital Distric</w:t>
      </w:r>
      <w:r w:rsidR="00993A31">
        <w:rPr>
          <w:rFonts w:cs="Arial"/>
          <w:lang w:val="en-US"/>
        </w:rPr>
        <w:t>t’s FSVAC</w:t>
      </w:r>
      <w:r w:rsidRPr="00EF65AE">
        <w:rPr>
          <w:rFonts w:cs="Arial"/>
          <w:lang w:val="en-US"/>
        </w:rPr>
        <w:t xml:space="preserve"> Secretariat, as well as several Business Coalition for Women members</w:t>
      </w:r>
      <w:r w:rsidR="00596686">
        <w:rPr>
          <w:rFonts w:cs="Arial"/>
          <w:lang w:val="en-US"/>
        </w:rPr>
        <w:t xml:space="preserve"> and the private sector including </w:t>
      </w:r>
      <w:r w:rsidRPr="00EF65AE">
        <w:rPr>
          <w:rFonts w:cs="Arial"/>
          <w:lang w:val="en-US"/>
        </w:rPr>
        <w:t>the Bank of South Pacific</w:t>
      </w:r>
      <w:r w:rsidR="00596686">
        <w:rPr>
          <w:rFonts w:cs="Arial"/>
          <w:lang w:val="en-US"/>
        </w:rPr>
        <w:t>, Steamships and Oil Search Foundation</w:t>
      </w:r>
      <w:r w:rsidRPr="00EF65AE">
        <w:rPr>
          <w:rFonts w:cs="Arial"/>
          <w:lang w:val="en-US"/>
        </w:rPr>
        <w:t xml:space="preserve">. </w:t>
      </w:r>
    </w:p>
    <w:p w14:paraId="023F61CB" w14:textId="294FE459" w:rsidR="00EF65AE" w:rsidRPr="002640BC" w:rsidRDefault="00EF65AE" w:rsidP="00F20E2C">
      <w:pPr>
        <w:pStyle w:val="Heading3NoTOC"/>
      </w:pPr>
      <w:r w:rsidRPr="002640BC">
        <w:t xml:space="preserve">Services for </w:t>
      </w:r>
      <w:r w:rsidR="00210394">
        <w:t>women and girls</w:t>
      </w:r>
      <w:r w:rsidR="00210394" w:rsidRPr="002640BC">
        <w:t xml:space="preserve"> </w:t>
      </w:r>
      <w:r w:rsidRPr="002640BC">
        <w:t>with disabilities</w:t>
      </w:r>
    </w:p>
    <w:p w14:paraId="5497496A" w14:textId="77777777" w:rsidR="00EF65AE" w:rsidRPr="00EF65AE" w:rsidRDefault="00EF65AE" w:rsidP="00EF65AE">
      <w:pPr>
        <w:rPr>
          <w:rFonts w:cs="Arial"/>
        </w:rPr>
      </w:pPr>
      <w:r w:rsidRPr="006A04E7">
        <w:rPr>
          <w:rFonts w:cs="Arial"/>
        </w:rPr>
        <w:t>Since 2008, awareness of the importance of addressing the needs of people with disabilities has greatly increased</w:t>
      </w:r>
      <w:r w:rsidR="00F15BBA">
        <w:rPr>
          <w:rFonts w:cs="Arial"/>
        </w:rPr>
        <w:t>. While</w:t>
      </w:r>
      <w:r w:rsidRPr="006A04E7">
        <w:rPr>
          <w:rFonts w:cs="Arial"/>
        </w:rPr>
        <w:t xml:space="preserve"> th</w:t>
      </w:r>
      <w:r w:rsidR="00F15BBA">
        <w:rPr>
          <w:rFonts w:cs="Arial"/>
        </w:rPr>
        <w:t>is</w:t>
      </w:r>
      <w:r w:rsidRPr="006A04E7">
        <w:rPr>
          <w:rFonts w:cs="Arial"/>
        </w:rPr>
        <w:t xml:space="preserve"> evaluation found several examples of Australi</w:t>
      </w:r>
      <w:r w:rsidRPr="003C0F97">
        <w:rPr>
          <w:rFonts w:cs="Arial"/>
        </w:rPr>
        <w:t>an-funded service providers who had taken steps to make their centres more accessible</w:t>
      </w:r>
      <w:r w:rsidR="00F15BBA">
        <w:rPr>
          <w:rFonts w:cs="Arial"/>
        </w:rPr>
        <w:t>, it</w:t>
      </w:r>
      <w:r w:rsidRPr="004A0FA5">
        <w:rPr>
          <w:rFonts w:cs="Arial"/>
        </w:rPr>
        <w:t xml:space="preserve"> was</w:t>
      </w:r>
      <w:r w:rsidRPr="00EF65AE">
        <w:rPr>
          <w:rFonts w:cs="Arial"/>
        </w:rPr>
        <w:t xml:space="preserve"> usually limited to physical infrastructure changes such as ramps. Increasing access for women and girls with disabilities not linked to physical mobility remains an issue for most providers. Notable exceptions </w:t>
      </w:r>
      <w:r w:rsidR="00F15BBA">
        <w:rPr>
          <w:rFonts w:cs="Arial"/>
        </w:rPr>
        <w:t>are</w:t>
      </w:r>
      <w:r w:rsidR="00F15BBA" w:rsidRPr="00EF65AE">
        <w:rPr>
          <w:rFonts w:cs="Arial"/>
        </w:rPr>
        <w:t xml:space="preserve"> </w:t>
      </w:r>
      <w:r w:rsidRPr="00EF65AE">
        <w:rPr>
          <w:rFonts w:cs="Arial"/>
        </w:rPr>
        <w:t xml:space="preserve">the FSC in Honiara, where staff are being trained on sign language, and </w:t>
      </w:r>
      <w:r w:rsidRPr="00EF65AE">
        <w:rPr>
          <w:rFonts w:cs="Arial"/>
          <w:i/>
        </w:rPr>
        <w:t>Nabilan</w:t>
      </w:r>
      <w:r w:rsidRPr="00EF65AE">
        <w:rPr>
          <w:rFonts w:cs="Arial"/>
        </w:rPr>
        <w:t xml:space="preserve"> service partners, who </w:t>
      </w:r>
      <w:r w:rsidR="00F15BBA">
        <w:rPr>
          <w:rFonts w:cs="Arial"/>
        </w:rPr>
        <w:t xml:space="preserve">have </w:t>
      </w:r>
      <w:r w:rsidRPr="00EF65AE">
        <w:rPr>
          <w:rFonts w:cs="Arial"/>
        </w:rPr>
        <w:t xml:space="preserve">received training on providing appropriate support to survivors with disabilities. </w:t>
      </w:r>
    </w:p>
    <w:p w14:paraId="4AE848D7" w14:textId="77777777" w:rsidR="00EF65AE" w:rsidRPr="00EF65AE" w:rsidRDefault="00EF65AE" w:rsidP="00EF65AE">
      <w:pPr>
        <w:rPr>
          <w:rFonts w:cs="Arial"/>
        </w:rPr>
      </w:pPr>
      <w:r w:rsidRPr="00EF65AE">
        <w:rPr>
          <w:rFonts w:cs="Arial"/>
        </w:rPr>
        <w:t>Th</w:t>
      </w:r>
      <w:r w:rsidR="00F15BBA">
        <w:rPr>
          <w:rFonts w:cs="Arial"/>
        </w:rPr>
        <w:t>is</w:t>
      </w:r>
      <w:r w:rsidRPr="00EF65AE">
        <w:rPr>
          <w:rFonts w:cs="Arial"/>
        </w:rPr>
        <w:t xml:space="preserve"> evaluation found access to services for women and girls with intellectual disabilities remains a gap across all countries. Australia has supported some recent efforts to address this, such as the first regional EVAW and disabilities meeting carried out in 2017 in Fiji through a partnership between the Pacific Disability Forum and UN Women. In addition, the P</w:t>
      </w:r>
      <w:r w:rsidR="001158AC">
        <w:rPr>
          <w:rFonts w:cs="Arial"/>
        </w:rPr>
        <w:t>acific Disability Forum</w:t>
      </w:r>
      <w:r w:rsidRPr="00EF65AE">
        <w:rPr>
          <w:rFonts w:cs="Arial"/>
        </w:rPr>
        <w:t xml:space="preserve"> and Fiji Disabled People’s Federation, with </w:t>
      </w:r>
      <w:r w:rsidRPr="000350C0">
        <w:rPr>
          <w:rFonts w:cs="Arial"/>
        </w:rPr>
        <w:t xml:space="preserve">technical and financial support from UN Women and the Australian Government, have developed </w:t>
      </w:r>
      <w:r w:rsidR="00F15BBA" w:rsidRPr="000350C0">
        <w:rPr>
          <w:rFonts w:cs="Arial"/>
        </w:rPr>
        <w:t xml:space="preserve">the comprehensive </w:t>
      </w:r>
      <w:bookmarkStart w:id="249" w:name="_Hlk18566360"/>
      <w:r w:rsidRPr="00D45CE6">
        <w:rPr>
          <w:rFonts w:cs="Arial"/>
          <w:iCs/>
        </w:rPr>
        <w:t>Toolkit for Eliminating Violence against Women and Girls with Disabilities in Fiji</w:t>
      </w:r>
      <w:r w:rsidRPr="0097278F">
        <w:rPr>
          <w:rFonts w:cs="Arial"/>
          <w:iCs/>
        </w:rPr>
        <w:t>.</w:t>
      </w:r>
      <w:r w:rsidRPr="00EF65AE">
        <w:rPr>
          <w:rFonts w:cs="Arial"/>
        </w:rPr>
        <w:t xml:space="preserve"> </w:t>
      </w:r>
      <w:bookmarkEnd w:id="249"/>
      <w:r w:rsidRPr="00EF65AE">
        <w:rPr>
          <w:rFonts w:cs="Arial"/>
        </w:rPr>
        <w:t>This toolkit provide</w:t>
      </w:r>
      <w:r w:rsidR="00F15BBA">
        <w:rPr>
          <w:rFonts w:cs="Arial"/>
        </w:rPr>
        <w:t>s</w:t>
      </w:r>
      <w:r w:rsidRPr="00EF65AE">
        <w:rPr>
          <w:rFonts w:cs="Arial"/>
        </w:rPr>
        <w:t xml:space="preserve"> EVAWG service providers and community-based organisations with the knowledge and skills to understand and address the specific needs of women and girls with disabilities. </w:t>
      </w:r>
      <w:r w:rsidR="002640BC">
        <w:rPr>
          <w:rFonts w:cs="Arial"/>
        </w:rPr>
        <w:t>It</w:t>
      </w:r>
      <w:r w:rsidRPr="00EF65AE">
        <w:rPr>
          <w:rFonts w:cs="Arial"/>
        </w:rPr>
        <w:t xml:space="preserve"> has already been adapted for Kiribati and Samoa and should continue to be adapted for other countries in the Pacific.</w:t>
      </w:r>
      <w:r w:rsidRPr="00EF65AE">
        <w:rPr>
          <w:rFonts w:cs="Arial"/>
        </w:rPr>
        <w:fldChar w:fldCharType="begin"/>
      </w:r>
      <w:r w:rsidRPr="00EF65AE">
        <w:rPr>
          <w:rFonts w:cs="Arial"/>
        </w:rPr>
        <w:instrText xml:space="preserve"> ADDIN ZOTERO_ITEM CSL_CITATION {"citationID":"lSHUj6US","properties":{"formattedCitation":"\\super 98\\nosupersub{}","plainCitation":"98","noteIndex":0},"citationItems":[{"id":2242,"uris":["http://zotero.org/users/4194704/items/GYLXN9JF"],"uri":["http://zotero.org/users/4194704/items/GYLXN9JF"],"itemData":{"id":2242,"type":"report","title":"Toolkit on Eliminating Violence against Women and Girls with Disabilities in Fiji","publisher":"Pacific Disability Forum","publisher-place":"Suva, Fiji","event-place":"Suva, Fiji","URL":"http://www.pacificdisability.org/getattachment/Resources/PDF-Resources/Toolkit-on-Eliminating-Violence-Against-Women-And-Girls-With-Disabilities-In-Fiji-(1).pdf.aspx","author":[{"family":"Pacific","given":"Disability Forum"}],"issued":{"date-parts":[["2014"]]}}}],"schema":"https://github.com/citation-style-language/schema/raw/master/csl-citation.json"} </w:instrText>
      </w:r>
      <w:r w:rsidRPr="00EF65AE">
        <w:rPr>
          <w:rFonts w:cs="Arial"/>
        </w:rPr>
        <w:fldChar w:fldCharType="separate"/>
      </w:r>
      <w:r w:rsidRPr="00EF65AE">
        <w:rPr>
          <w:rFonts w:cs="Arial"/>
          <w:vertAlign w:val="superscript"/>
          <w:lang w:val="en-US"/>
        </w:rPr>
        <w:t>98</w:t>
      </w:r>
      <w:r w:rsidRPr="00EF65AE">
        <w:rPr>
          <w:rFonts w:cs="Arial"/>
        </w:rPr>
        <w:fldChar w:fldCharType="end"/>
      </w:r>
      <w:r w:rsidRPr="00EF65AE">
        <w:rPr>
          <w:rFonts w:cs="Arial"/>
        </w:rPr>
        <w:t xml:space="preserve"> </w:t>
      </w:r>
    </w:p>
    <w:p w14:paraId="4C3F4F13" w14:textId="4F2F9E5B" w:rsidR="00EF65AE" w:rsidRPr="00EF65AE" w:rsidRDefault="00EF65AE" w:rsidP="00F20E2C">
      <w:pPr>
        <w:pStyle w:val="Heading3NoTOC"/>
      </w:pPr>
      <w:r w:rsidRPr="00EF65AE">
        <w:t xml:space="preserve">Services for </w:t>
      </w:r>
      <w:r w:rsidR="00196A09">
        <w:t>marginalised women and girls</w:t>
      </w:r>
    </w:p>
    <w:p w14:paraId="33C9661E" w14:textId="63AC9463" w:rsidR="00EF65AE" w:rsidRPr="00EF65AE" w:rsidRDefault="00BB7BC3" w:rsidP="00D45CE6">
      <w:pPr>
        <w:rPr>
          <w:rFonts w:cs="Arial"/>
          <w:shd w:val="clear" w:color="auto" w:fill="FFFFFF"/>
        </w:rPr>
      </w:pPr>
      <w:r>
        <w:rPr>
          <w:rFonts w:cs="Arial"/>
        </w:rPr>
        <w:t>D</w:t>
      </w:r>
      <w:r w:rsidR="00EF65AE" w:rsidRPr="00F15BBA">
        <w:rPr>
          <w:rFonts w:cs="Arial"/>
        </w:rPr>
        <w:t>iscrimination</w:t>
      </w:r>
      <w:r w:rsidR="00EF65AE" w:rsidRPr="00EF65AE">
        <w:rPr>
          <w:rFonts w:cs="Arial"/>
        </w:rPr>
        <w:t xml:space="preserve"> based on sexual orientation and gender identity </w:t>
      </w:r>
      <w:r>
        <w:rPr>
          <w:rFonts w:cs="Arial"/>
        </w:rPr>
        <w:t xml:space="preserve">occurs </w:t>
      </w:r>
      <w:r w:rsidR="00EF65AE" w:rsidRPr="00EF65AE">
        <w:rPr>
          <w:rFonts w:cs="Arial"/>
        </w:rPr>
        <w:t xml:space="preserve">in all corners of </w:t>
      </w:r>
      <w:r w:rsidR="00EF65AE" w:rsidRPr="002640BC">
        <w:t>the world.</w:t>
      </w:r>
      <w:r w:rsidR="00EF65AE" w:rsidRPr="00D45CE6">
        <w:rPr>
          <w:rStyle w:val="FootnoteReference"/>
        </w:rPr>
        <w:fldChar w:fldCharType="begin"/>
      </w:r>
      <w:r w:rsidR="00EF65AE" w:rsidRPr="00D45CE6">
        <w:rPr>
          <w:rStyle w:val="FootnoteReference"/>
        </w:rPr>
        <w:instrText xml:space="preserve"> ADDIN ZOTERO_ITEM CSL_CITATION {"citationID":"gVEBvGXf","properties":{"formattedCitation":"\\super 99\\nosupersub{}","plainCitation":"99","noteIndex":0},"citationItems":[{"id":434,"uris":["http://zotero.org/users/4194704/items/WPYGACNS"],"uri":["http://zotero.org/users/4194704/items/WPYGACNS"],"itemData":{"id":434,"type":"report","title":"Report of the Independent Expert on protection against violence and discrimination based on sexual orientation and gender identity.","publisher":"UN General Assembly","publisher-place":"New York","event-place":"New York","URL":"http://www.un.org/en/ga/search/view_doc.asp?symbol=A/HRC/38/43","number":"A/HRC/38/43","author":[{"literal":"UN Human Rights Council Secretariat"}],"issued":{"date-parts":[["2018"]]},"accessed":{"date-parts":[["2018",7,11]]}}}],"schema":"https://github.com/citation-style-language/schema/raw/master/csl-citation.json"} </w:instrText>
      </w:r>
      <w:r w:rsidR="00EF65AE" w:rsidRPr="00D45CE6">
        <w:rPr>
          <w:rStyle w:val="FootnoteReference"/>
        </w:rPr>
        <w:fldChar w:fldCharType="separate"/>
      </w:r>
      <w:r w:rsidR="00EF65AE" w:rsidRPr="00D45CE6">
        <w:rPr>
          <w:rStyle w:val="FootnoteReference"/>
        </w:rPr>
        <w:t>99</w:t>
      </w:r>
      <w:r w:rsidR="00EF65AE" w:rsidRPr="00D45CE6">
        <w:rPr>
          <w:rStyle w:val="FootnoteReference"/>
        </w:rPr>
        <w:fldChar w:fldCharType="end"/>
      </w:r>
      <w:r w:rsidR="00EF65AE" w:rsidRPr="002640BC">
        <w:t xml:space="preserve"> </w:t>
      </w:r>
      <w:r>
        <w:t>Over t</w:t>
      </w:r>
      <w:r w:rsidR="00EF65AE" w:rsidRPr="002640BC">
        <w:t>he last 10 years</w:t>
      </w:r>
      <w:r w:rsidR="002640BC" w:rsidRPr="002640BC">
        <w:t xml:space="preserve"> </w:t>
      </w:r>
      <w:r>
        <w:t>t</w:t>
      </w:r>
      <w:r w:rsidR="00545490">
        <w:t>here has been</w:t>
      </w:r>
      <w:r w:rsidR="00027336">
        <w:t xml:space="preserve"> </w:t>
      </w:r>
      <w:r w:rsidR="00EF65AE" w:rsidRPr="006A04E7">
        <w:t>increase</w:t>
      </w:r>
      <w:r>
        <w:t>d</w:t>
      </w:r>
      <w:r w:rsidR="00EF65AE" w:rsidRPr="006A04E7">
        <w:t xml:space="preserve"> awareness </w:t>
      </w:r>
      <w:r w:rsidR="00196A09">
        <w:t>that</w:t>
      </w:r>
      <w:r>
        <w:t xml:space="preserve"> the risk of</w:t>
      </w:r>
      <w:r w:rsidR="00196A09">
        <w:t xml:space="preserve"> </w:t>
      </w:r>
      <w:r w:rsidR="00196A09" w:rsidRPr="002640BC">
        <w:t>physical and sexual violence</w:t>
      </w:r>
      <w:r w:rsidR="00196A09">
        <w:rPr>
          <w:rFonts w:cs="Arial"/>
        </w:rPr>
        <w:t xml:space="preserve"> can be </w:t>
      </w:r>
      <w:r>
        <w:t xml:space="preserve">heightened as a result of </w:t>
      </w:r>
      <w:r w:rsidR="00196A09" w:rsidRPr="00EF65AE">
        <w:rPr>
          <w:rFonts w:cs="Arial"/>
        </w:rPr>
        <w:t xml:space="preserve">sexual orientation </w:t>
      </w:r>
      <w:r>
        <w:rPr>
          <w:rFonts w:cs="Arial"/>
        </w:rPr>
        <w:t>or</w:t>
      </w:r>
      <w:r w:rsidR="00196A09" w:rsidRPr="00EF65AE">
        <w:rPr>
          <w:rFonts w:cs="Arial"/>
        </w:rPr>
        <w:t xml:space="preserve"> gender identity </w:t>
      </w:r>
      <w:r w:rsidR="00E2253F" w:rsidRPr="006A04E7">
        <w:t>.</w:t>
      </w:r>
      <w:r w:rsidR="00E2253F">
        <w:rPr>
          <w:rFonts w:cs="Arial"/>
        </w:rPr>
        <w:t xml:space="preserve"> </w:t>
      </w:r>
    </w:p>
    <w:p w14:paraId="505F5B0C" w14:textId="7093E567" w:rsidR="00EF65AE" w:rsidRPr="00EF65AE" w:rsidRDefault="00EF65AE" w:rsidP="00EF65AE">
      <w:pPr>
        <w:rPr>
          <w:rFonts w:cs="Arial"/>
        </w:rPr>
      </w:pPr>
      <w:r w:rsidRPr="00EF65AE">
        <w:rPr>
          <w:rFonts w:cs="Arial"/>
        </w:rPr>
        <w:t xml:space="preserve">While Australian investment </w:t>
      </w:r>
      <w:r w:rsidR="00BB7BC3">
        <w:rPr>
          <w:rFonts w:cs="Arial"/>
        </w:rPr>
        <w:t>has recognised</w:t>
      </w:r>
      <w:r w:rsidRPr="00EF65AE">
        <w:rPr>
          <w:rFonts w:cs="Arial"/>
        </w:rPr>
        <w:t xml:space="preserve"> the need to address </w:t>
      </w:r>
      <w:r w:rsidR="00BB7BC3">
        <w:rPr>
          <w:rFonts w:cs="Arial"/>
        </w:rPr>
        <w:t xml:space="preserve">such </w:t>
      </w:r>
      <w:r w:rsidR="00545490" w:rsidRPr="00EF65AE">
        <w:rPr>
          <w:rFonts w:cs="Arial"/>
        </w:rPr>
        <w:t>violence</w:t>
      </w:r>
      <w:r w:rsidRPr="00EF65AE">
        <w:rPr>
          <w:rFonts w:cs="Arial"/>
        </w:rPr>
        <w:t>, the</w:t>
      </w:r>
      <w:r w:rsidR="00F15BBA">
        <w:rPr>
          <w:rFonts w:cs="Arial"/>
        </w:rPr>
        <w:t xml:space="preserve"> evaluation</w:t>
      </w:r>
      <w:r w:rsidRPr="00EF65AE">
        <w:rPr>
          <w:rFonts w:cs="Arial"/>
        </w:rPr>
        <w:t xml:space="preserve"> team found limited evidence </w:t>
      </w:r>
      <w:r w:rsidR="00BB7BC3">
        <w:rPr>
          <w:rFonts w:cs="Arial"/>
        </w:rPr>
        <w:t xml:space="preserve">that this has translated into </w:t>
      </w:r>
      <w:r w:rsidR="00050BB8">
        <w:rPr>
          <w:rFonts w:cs="Arial"/>
        </w:rPr>
        <w:t>appropriate</w:t>
      </w:r>
      <w:r w:rsidRPr="00EF65AE">
        <w:rPr>
          <w:rFonts w:cs="Arial"/>
        </w:rPr>
        <w:t xml:space="preserve"> counselling and other support services. Building on the experience of the </w:t>
      </w:r>
      <w:r w:rsidRPr="00EF65AE">
        <w:rPr>
          <w:rFonts w:cs="Arial"/>
          <w:i/>
        </w:rPr>
        <w:t xml:space="preserve">Nabilan </w:t>
      </w:r>
      <w:r w:rsidRPr="00EF65AE">
        <w:rPr>
          <w:rFonts w:cs="Arial"/>
        </w:rPr>
        <w:t xml:space="preserve">program, Australia could invest more in training for service providers on how to provide appropriate and non-judgemental care and support to sexually and gender-diverse survivors of violence. </w:t>
      </w:r>
    </w:p>
    <w:p w14:paraId="7534C681" w14:textId="7A4B319B" w:rsidR="00EF65AE" w:rsidRPr="00EF65AE" w:rsidRDefault="004A793A" w:rsidP="00F20E2C">
      <w:pPr>
        <w:pStyle w:val="Heading2"/>
      </w:pPr>
      <w:bookmarkStart w:id="250" w:name="_Toc14959605"/>
      <w:bookmarkStart w:id="251" w:name="_Toc15378131"/>
      <w:bookmarkStart w:id="252" w:name="_Toc15378480"/>
      <w:bookmarkStart w:id="253" w:name="_Toc15563010"/>
      <w:bookmarkStart w:id="254" w:name="_Toc23434546"/>
      <w:bookmarkStart w:id="255" w:name="_Hlk9948054"/>
      <w:r w:rsidRPr="00EF65AE">
        <w:t>Findings and recommendation</w:t>
      </w:r>
      <w:bookmarkEnd w:id="250"/>
      <w:bookmarkEnd w:id="251"/>
      <w:bookmarkEnd w:id="252"/>
      <w:bookmarkEnd w:id="253"/>
      <w:bookmarkEnd w:id="254"/>
    </w:p>
    <w:p w14:paraId="04B03954" w14:textId="2276D939" w:rsidR="00EF65AE" w:rsidRPr="00EF65AE" w:rsidRDefault="00EF65AE" w:rsidP="00EF65AE">
      <w:pPr>
        <w:rPr>
          <w:rFonts w:cs="Arial"/>
        </w:rPr>
      </w:pPr>
      <w:r w:rsidRPr="00EF65AE">
        <w:rPr>
          <w:rFonts w:cs="Arial"/>
        </w:rPr>
        <w:t xml:space="preserve">Australia’s cooperation with women’s organisations, NGOs and faith-based organisations has contributed to much greater awareness and uptake of EVAWG services in </w:t>
      </w:r>
      <w:r w:rsidR="006F77CC">
        <w:rPr>
          <w:rFonts w:cs="Arial"/>
        </w:rPr>
        <w:t xml:space="preserve">countries in the </w:t>
      </w:r>
      <w:r w:rsidR="00D74A07">
        <w:rPr>
          <w:rFonts w:cs="Arial"/>
        </w:rPr>
        <w:br/>
      </w:r>
      <w:r w:rsidR="006F77CC">
        <w:rPr>
          <w:rFonts w:cs="Arial"/>
        </w:rPr>
        <w:t>Indo-Pacific</w:t>
      </w:r>
      <w:r w:rsidRPr="00EF65AE">
        <w:rPr>
          <w:rFonts w:cs="Arial"/>
        </w:rPr>
        <w:t xml:space="preserve"> compared to 2008. </w:t>
      </w:r>
    </w:p>
    <w:p w14:paraId="779405BB" w14:textId="6F296B2C" w:rsidR="00EF65AE" w:rsidRPr="00EF65AE" w:rsidRDefault="00EF65AE" w:rsidP="00EF65AE">
      <w:pPr>
        <w:rPr>
          <w:rFonts w:cs="Arial"/>
        </w:rPr>
      </w:pPr>
      <w:r w:rsidRPr="00EF65AE">
        <w:rPr>
          <w:rFonts w:cs="Arial"/>
        </w:rPr>
        <w:t>Australia has contributed to improved quality of services, for example through support for referral and case</w:t>
      </w:r>
      <w:r w:rsidR="00E0277E">
        <w:rPr>
          <w:rFonts w:cs="Arial"/>
        </w:rPr>
        <w:t>-</w:t>
      </w:r>
      <w:r w:rsidRPr="00EF65AE">
        <w:rPr>
          <w:rFonts w:cs="Arial"/>
        </w:rPr>
        <w:t xml:space="preserve">management approaches, and to strengthen workforce capacity. Complementary Australian support for informal and community-based supports has been relevant and appropriate, particularly in rural and remote areas. </w:t>
      </w:r>
    </w:p>
    <w:p w14:paraId="04ACDC4F" w14:textId="77777777" w:rsidR="00EF65AE" w:rsidRPr="00EF65AE" w:rsidRDefault="00EF65AE" w:rsidP="00EF65AE">
      <w:pPr>
        <w:rPr>
          <w:rFonts w:cs="Arial"/>
        </w:rPr>
      </w:pPr>
      <w:r w:rsidRPr="00EF65AE">
        <w:rPr>
          <w:rFonts w:cs="Arial"/>
        </w:rPr>
        <w:t xml:space="preserve">Australian support to adapt the </w:t>
      </w:r>
      <w:bookmarkStart w:id="256" w:name="_Hlk18566560"/>
      <w:r w:rsidRPr="008B0402">
        <w:rPr>
          <w:rFonts w:cs="Arial"/>
        </w:rPr>
        <w:t>UN</w:t>
      </w:r>
      <w:r w:rsidR="003104B3" w:rsidRPr="008B0402">
        <w:rPr>
          <w:rFonts w:cs="Arial"/>
        </w:rPr>
        <w:t xml:space="preserve">’s </w:t>
      </w:r>
      <w:r w:rsidRPr="00D45CE6">
        <w:rPr>
          <w:rFonts w:cs="Arial"/>
        </w:rPr>
        <w:t>Essential Services Package</w:t>
      </w:r>
      <w:bookmarkEnd w:id="256"/>
      <w:r w:rsidRPr="000350C0">
        <w:rPr>
          <w:rFonts w:cs="Arial"/>
          <w:i/>
        </w:rPr>
        <w:t xml:space="preserve"> </w:t>
      </w:r>
      <w:r w:rsidRPr="000350C0">
        <w:rPr>
          <w:rFonts w:cs="Arial"/>
        </w:rPr>
        <w:t xml:space="preserve">and the </w:t>
      </w:r>
      <w:bookmarkStart w:id="257" w:name="_Hlk17792037"/>
      <w:r w:rsidRPr="00D45CE6">
        <w:rPr>
          <w:rFonts w:cs="Arial"/>
          <w:iCs/>
        </w:rPr>
        <w:t xml:space="preserve">WHO Clinical and Policy Guidelines </w:t>
      </w:r>
      <w:bookmarkEnd w:id="257"/>
      <w:r w:rsidRPr="00BB2795">
        <w:rPr>
          <w:rFonts w:cs="Arial"/>
          <w:iCs/>
        </w:rPr>
        <w:t>i</w:t>
      </w:r>
      <w:r w:rsidRPr="00EF65AE">
        <w:rPr>
          <w:rFonts w:cs="Arial"/>
        </w:rPr>
        <w:t>n Fiji, P</w:t>
      </w:r>
      <w:r w:rsidR="002640BC">
        <w:rPr>
          <w:rFonts w:cs="Arial"/>
        </w:rPr>
        <w:t>NG</w:t>
      </w:r>
      <w:r w:rsidRPr="00EF65AE">
        <w:rPr>
          <w:rFonts w:cs="Arial"/>
        </w:rPr>
        <w:t xml:space="preserve">, Solomon Islands and Timor-Leste is promising, and there are signs that this is improving the quality of services provided in these countries. </w:t>
      </w:r>
    </w:p>
    <w:p w14:paraId="768C8276" w14:textId="571C8F7F" w:rsidR="00EF65AE" w:rsidRPr="00EF65AE" w:rsidRDefault="00EF65AE" w:rsidP="00EF65AE">
      <w:pPr>
        <w:rPr>
          <w:rFonts w:cs="Arial"/>
        </w:rPr>
      </w:pPr>
      <w:r w:rsidRPr="00EF65AE">
        <w:rPr>
          <w:rFonts w:cs="Arial"/>
        </w:rPr>
        <w:t>Australia has also supported some innovative approaches to extending reach to remote areas and outer islands, including</w:t>
      </w:r>
      <w:r w:rsidR="00F15BBA">
        <w:rPr>
          <w:rFonts w:cs="Arial"/>
        </w:rPr>
        <w:t xml:space="preserve"> through </w:t>
      </w:r>
      <w:r w:rsidR="000350C0">
        <w:rPr>
          <w:rFonts w:cs="Arial"/>
        </w:rPr>
        <w:t>using</w:t>
      </w:r>
      <w:r w:rsidRPr="00EF65AE">
        <w:rPr>
          <w:rFonts w:cs="Arial"/>
        </w:rPr>
        <w:t xml:space="preserve"> hotlines and</w:t>
      </w:r>
      <w:r w:rsidR="00F15BBA">
        <w:rPr>
          <w:rFonts w:cs="Arial"/>
        </w:rPr>
        <w:t xml:space="preserve"> by</w:t>
      </w:r>
      <w:r w:rsidRPr="00EF65AE">
        <w:rPr>
          <w:rFonts w:cs="Arial"/>
        </w:rPr>
        <w:t xml:space="preserve"> training community members to provide basic support. However, the effectiveness of these programs has varied, and substantial</w:t>
      </w:r>
      <w:r w:rsidR="00D74A07">
        <w:rPr>
          <w:rFonts w:cs="Arial"/>
        </w:rPr>
        <w:br/>
      </w:r>
      <w:r w:rsidRPr="00EF65AE">
        <w:rPr>
          <w:rFonts w:cs="Arial"/>
        </w:rPr>
        <w:t>gaps remain.</w:t>
      </w:r>
    </w:p>
    <w:p w14:paraId="0775D8D0" w14:textId="77777777" w:rsidR="00EF65AE" w:rsidRPr="00EF65AE" w:rsidRDefault="00EF65AE" w:rsidP="00EF65AE">
      <w:pPr>
        <w:rPr>
          <w:rFonts w:cs="Arial"/>
        </w:rPr>
      </w:pPr>
      <w:r w:rsidRPr="00EF65AE">
        <w:rPr>
          <w:rFonts w:cs="Arial"/>
        </w:rPr>
        <w:t xml:space="preserve">Despite these gains, more work </w:t>
      </w:r>
      <w:r w:rsidR="002640BC">
        <w:rPr>
          <w:rFonts w:cs="Arial"/>
        </w:rPr>
        <w:t>is required so</w:t>
      </w:r>
      <w:r w:rsidRPr="00EF65AE">
        <w:rPr>
          <w:rFonts w:cs="Arial"/>
        </w:rPr>
        <w:t xml:space="preserve"> all women and girls who experience violence </w:t>
      </w:r>
      <w:r w:rsidR="002640BC">
        <w:rPr>
          <w:rFonts w:cs="Arial"/>
        </w:rPr>
        <w:t>can</w:t>
      </w:r>
      <w:r w:rsidRPr="00EF65AE">
        <w:rPr>
          <w:rFonts w:cs="Arial"/>
        </w:rPr>
        <w:t xml:space="preserve"> access quality services according to need. </w:t>
      </w:r>
    </w:p>
    <w:bookmarkEnd w:id="255"/>
    <w:p w14:paraId="4F0B656D" w14:textId="77777777" w:rsidR="007F0DF3" w:rsidRPr="00EF65AE" w:rsidRDefault="007F0DF3" w:rsidP="007F0DF3">
      <w:pPr>
        <w:pStyle w:val="Heading3NoTOC"/>
      </w:pPr>
      <w:r w:rsidRPr="00EF65AE">
        <w:t>Recommendation 3: Continue support to partners delivering holistic care for survivors and improve the quality and accessibility of EVAWG services by:</w:t>
      </w:r>
    </w:p>
    <w:p w14:paraId="033ED37A" w14:textId="5CA5AEA7" w:rsidR="007F0DF3" w:rsidRPr="00EF65AE" w:rsidRDefault="007F0DF3" w:rsidP="007F0DF3">
      <w:pPr>
        <w:pStyle w:val="ListNumber"/>
        <w:numPr>
          <w:ilvl w:val="1"/>
          <w:numId w:val="13"/>
        </w:numPr>
      </w:pPr>
      <w:r w:rsidRPr="00EF65AE">
        <w:t>training health and other service providers in the Essential Services Package</w:t>
      </w:r>
      <w:r>
        <w:t xml:space="preserve"> for Women and Girls Subject to Violence </w:t>
      </w:r>
      <w:r w:rsidRPr="00EF65AE">
        <w:t>and related W</w:t>
      </w:r>
      <w:r>
        <w:t>orld Health Organization (W</w:t>
      </w:r>
      <w:r w:rsidRPr="00EF65AE">
        <w:t>HO</w:t>
      </w:r>
      <w:r>
        <w:t>)</w:t>
      </w:r>
      <w:r w:rsidRPr="00EF65AE">
        <w:t xml:space="preserve"> clinical guidance </w:t>
      </w:r>
      <w:r w:rsidR="00D74A07">
        <w:br/>
      </w:r>
      <w:r w:rsidRPr="00EF65AE">
        <w:t>for EVAWG</w:t>
      </w:r>
    </w:p>
    <w:p w14:paraId="1C43B0BC" w14:textId="77777777" w:rsidR="007F0DF3" w:rsidRPr="00EF65AE" w:rsidRDefault="007F0DF3" w:rsidP="007F0DF3">
      <w:pPr>
        <w:pStyle w:val="ListNumber"/>
      </w:pPr>
      <w:r w:rsidRPr="00EF65AE">
        <w:t>strengthening the quality of counselling services and case management through training and improved standards and oversight</w:t>
      </w:r>
    </w:p>
    <w:p w14:paraId="61B787BF" w14:textId="5F534BA8" w:rsidR="007F0DF3" w:rsidRPr="0044557D" w:rsidRDefault="00196A09" w:rsidP="0012349A">
      <w:pPr>
        <w:pStyle w:val="ListNumber"/>
      </w:pPr>
      <w:r w:rsidRPr="00EF65AE">
        <w:t xml:space="preserve">evaluating and building on EVAWG service innovations with </w:t>
      </w:r>
      <w:r>
        <w:t>non-government organisations (</w:t>
      </w:r>
      <w:r w:rsidRPr="00EF65AE">
        <w:t>NGOs</w:t>
      </w:r>
      <w:r>
        <w:t>)</w:t>
      </w:r>
      <w:r w:rsidRPr="00EF65AE">
        <w:t xml:space="preserve"> and the private sector to make EVAWG services more accessible</w:t>
      </w:r>
      <w:r>
        <w:t xml:space="preserve">, </w:t>
      </w:r>
      <w:r w:rsidRPr="00EF65AE">
        <w:t>for women and girls</w:t>
      </w:r>
      <w:r>
        <w:t xml:space="preserve"> including those who live</w:t>
      </w:r>
      <w:r w:rsidRPr="00EF65AE">
        <w:t xml:space="preserve"> in rural and remote locations</w:t>
      </w:r>
      <w:r>
        <w:t>,</w:t>
      </w:r>
      <w:r w:rsidRPr="00EF65AE">
        <w:t xml:space="preserve"> </w:t>
      </w:r>
      <w:r>
        <w:t>have</w:t>
      </w:r>
      <w:r w:rsidRPr="00EF65AE">
        <w:t xml:space="preserve"> disabilities</w:t>
      </w:r>
      <w:r>
        <w:t>,</w:t>
      </w:r>
      <w:r w:rsidRPr="00EF65AE">
        <w:t xml:space="preserve"> </w:t>
      </w:r>
      <w:r>
        <w:t>and/or are</w:t>
      </w:r>
      <w:r w:rsidR="0012349A">
        <w:t> </w:t>
      </w:r>
      <w:r>
        <w:t>marginalised</w:t>
      </w:r>
      <w:r w:rsidRPr="00EF65AE">
        <w:t>.</w:t>
      </w:r>
    </w:p>
    <w:p w14:paraId="58DF820D" w14:textId="184B3043" w:rsidR="009042F3" w:rsidRDefault="004A793A" w:rsidP="009042F3">
      <w:pPr>
        <w:pStyle w:val="Heading1"/>
      </w:pPr>
      <w:bookmarkStart w:id="258" w:name="_Toc14959606"/>
      <w:bookmarkStart w:id="259" w:name="_Toc15378132"/>
      <w:bookmarkStart w:id="260" w:name="_Toc15378481"/>
      <w:bookmarkStart w:id="261" w:name="_Toc15563011"/>
      <w:bookmarkStart w:id="262" w:name="_Toc23434547"/>
      <w:r w:rsidRPr="00EF65AE">
        <w:t>Preventing violence</w:t>
      </w:r>
      <w:bookmarkStart w:id="263" w:name="_Hlk9955178"/>
      <w:bookmarkEnd w:id="258"/>
      <w:bookmarkEnd w:id="259"/>
      <w:bookmarkEnd w:id="260"/>
      <w:bookmarkEnd w:id="261"/>
      <w:bookmarkEnd w:id="262"/>
    </w:p>
    <w:p w14:paraId="118D1A7F" w14:textId="77777777" w:rsidR="00EF65AE" w:rsidRPr="00EF65AE" w:rsidRDefault="00EF65AE" w:rsidP="009042F3">
      <w:pPr>
        <w:pStyle w:val="Introduction"/>
      </w:pPr>
      <w:r w:rsidRPr="00EF65AE">
        <w:t xml:space="preserve">This chapter assesses Australian development cooperation aimed at preventing </w:t>
      </w:r>
      <w:r w:rsidR="00AE4FE4">
        <w:t>VAWG</w:t>
      </w:r>
      <w:r w:rsidRPr="00EF65AE">
        <w:t xml:space="preserve">. </w:t>
      </w:r>
      <w:bookmarkEnd w:id="263"/>
      <w:r w:rsidRPr="00EF65AE">
        <w:t>Australia has significantly increased investment in prevention programs that aim to shift social norms and gender inequality at community level, in line with global best practise. However, prevention is still the least-developed area of EVAWG work globally and in Australian development cooperation</w:t>
      </w:r>
      <w:r w:rsidR="00F15BBA">
        <w:t xml:space="preserve"> overall</w:t>
      </w:r>
      <w:r w:rsidRPr="00EF65AE">
        <w:t xml:space="preserve">. </w:t>
      </w:r>
    </w:p>
    <w:p w14:paraId="6D3E3195" w14:textId="61789A16" w:rsidR="00EF65AE" w:rsidRPr="00EF65AE" w:rsidRDefault="004A793A" w:rsidP="009042F3">
      <w:pPr>
        <w:pStyle w:val="Heading2"/>
      </w:pPr>
      <w:bookmarkStart w:id="264" w:name="_Toc14959607"/>
      <w:bookmarkStart w:id="265" w:name="_Toc15378133"/>
      <w:bookmarkStart w:id="266" w:name="_Toc15378482"/>
      <w:bookmarkStart w:id="267" w:name="_Toc15563012"/>
      <w:bookmarkStart w:id="268" w:name="_Toc23434548"/>
      <w:r w:rsidRPr="00EF65AE">
        <w:t>The situation in 2008</w:t>
      </w:r>
      <w:bookmarkEnd w:id="264"/>
      <w:bookmarkEnd w:id="265"/>
      <w:bookmarkEnd w:id="266"/>
      <w:bookmarkEnd w:id="267"/>
      <w:bookmarkEnd w:id="268"/>
    </w:p>
    <w:p w14:paraId="06010ADB" w14:textId="77777777" w:rsidR="00EF65AE" w:rsidRPr="000350C0" w:rsidRDefault="00EF65AE" w:rsidP="00EF65AE">
      <w:pPr>
        <w:rPr>
          <w:rFonts w:cs="Arial"/>
        </w:rPr>
      </w:pPr>
      <w:r w:rsidRPr="00EF65AE">
        <w:rPr>
          <w:rFonts w:cs="Arial"/>
        </w:rPr>
        <w:t>The 2008 ODE evaluation found that the greatest barrier to ending violence against women was the belief that it was justified. There was a view that violence was a woman’s problem to resolve, and that it was a private matter in which outsiders should not intervene. Prevention programs were mostly in the early stages of development</w:t>
      </w:r>
      <w:r w:rsidR="00F15BBA">
        <w:rPr>
          <w:rFonts w:cs="Arial"/>
        </w:rPr>
        <w:t xml:space="preserve"> and</w:t>
      </w:r>
      <w:r w:rsidRPr="00EF65AE">
        <w:rPr>
          <w:rFonts w:cs="Arial"/>
        </w:rPr>
        <w:t xml:space="preserve"> selected examples of innovative violence prevention </w:t>
      </w:r>
      <w:r w:rsidRPr="000350C0">
        <w:rPr>
          <w:rFonts w:cs="Arial"/>
        </w:rPr>
        <w:t xml:space="preserve">programs were breaking new ground. </w:t>
      </w:r>
    </w:p>
    <w:p w14:paraId="710A326C" w14:textId="77777777" w:rsidR="00EF65AE" w:rsidRPr="00EF65AE" w:rsidRDefault="00EF65AE" w:rsidP="00EF65AE">
      <w:pPr>
        <w:rPr>
          <w:rFonts w:cs="Arial"/>
        </w:rPr>
      </w:pPr>
      <w:r w:rsidRPr="000350C0">
        <w:rPr>
          <w:rFonts w:cs="Arial"/>
        </w:rPr>
        <w:t>The report recommended</w:t>
      </w:r>
      <w:r w:rsidRPr="00EF65AE">
        <w:rPr>
          <w:rFonts w:cs="Arial"/>
        </w:rPr>
        <w:t xml:space="preserve"> that Australia:</w:t>
      </w:r>
    </w:p>
    <w:p w14:paraId="2F3D4249" w14:textId="0755CF8B" w:rsidR="00EF65AE" w:rsidRPr="00EF65AE" w:rsidRDefault="00EF65AE" w:rsidP="005B3F7B">
      <w:pPr>
        <w:pStyle w:val="ListBullet"/>
      </w:pPr>
      <w:r w:rsidRPr="00EF65AE">
        <w:t>Prioritise support for initiatives with strong emphasis on identifying and transforming gender</w:t>
      </w:r>
      <w:r w:rsidR="00B70FF2">
        <w:t> </w:t>
      </w:r>
      <w:r w:rsidRPr="00EF65AE">
        <w:t>norms.</w:t>
      </w:r>
    </w:p>
    <w:p w14:paraId="5C24B778" w14:textId="77777777" w:rsidR="00EF65AE" w:rsidRPr="00EF65AE" w:rsidRDefault="00EF65AE" w:rsidP="005B3F7B">
      <w:pPr>
        <w:pStyle w:val="ListBullet"/>
      </w:pPr>
      <w:r w:rsidRPr="00EF65AE">
        <w:t xml:space="preserve">Strengthen partnerships with actors and sectors not traditionally involved in addressing violence against women, including faith-based organisations, men and youth. </w:t>
      </w:r>
    </w:p>
    <w:p w14:paraId="079F6557" w14:textId="77777777" w:rsidR="00EF65AE" w:rsidRPr="00EF65AE" w:rsidRDefault="00EF65AE" w:rsidP="005B3F7B">
      <w:pPr>
        <w:pStyle w:val="ListBullet"/>
      </w:pPr>
      <w:r w:rsidRPr="00EF65AE">
        <w:t xml:space="preserve">Identify strategic opportunities to integrate violence against women into different programs and define links between </w:t>
      </w:r>
      <w:r w:rsidR="00F15BBA">
        <w:t xml:space="preserve">such </w:t>
      </w:r>
      <w:r w:rsidRPr="00EF65AE">
        <w:t>violence and related issues</w:t>
      </w:r>
      <w:r w:rsidR="00F15BBA">
        <w:t>,</w:t>
      </w:r>
      <w:r w:rsidRPr="00EF65AE">
        <w:t xml:space="preserve"> including women’s economic empowerment, disaster preparedness and health.</w:t>
      </w:r>
    </w:p>
    <w:p w14:paraId="08FF7FEB" w14:textId="3EC19178" w:rsidR="00EF65AE" w:rsidRPr="00EF65AE" w:rsidRDefault="004A793A" w:rsidP="005B3F7B">
      <w:pPr>
        <w:pStyle w:val="Heading2"/>
      </w:pPr>
      <w:bookmarkStart w:id="269" w:name="_Toc4156955"/>
      <w:bookmarkStart w:id="270" w:name="_Toc14959608"/>
      <w:bookmarkStart w:id="271" w:name="_Toc15378134"/>
      <w:bookmarkStart w:id="272" w:name="_Toc15378483"/>
      <w:bookmarkStart w:id="273" w:name="_Toc15563013"/>
      <w:bookmarkStart w:id="274" w:name="_Toc23434549"/>
      <w:r w:rsidRPr="00EF65AE">
        <w:t xml:space="preserve">International </w:t>
      </w:r>
      <w:r>
        <w:t>best</w:t>
      </w:r>
      <w:r w:rsidR="00E20CBF" w:rsidRPr="00EF65AE">
        <w:t xml:space="preserve"> </w:t>
      </w:r>
      <w:r w:rsidRPr="00EF65AE">
        <w:t>practice on prevention</w:t>
      </w:r>
      <w:bookmarkEnd w:id="269"/>
      <w:bookmarkEnd w:id="270"/>
      <w:bookmarkEnd w:id="271"/>
      <w:bookmarkEnd w:id="272"/>
      <w:bookmarkEnd w:id="273"/>
      <w:bookmarkEnd w:id="274"/>
    </w:p>
    <w:p w14:paraId="4CDB0E85" w14:textId="74AB413B" w:rsidR="00EF65AE" w:rsidRPr="00EF65AE" w:rsidRDefault="00EF65AE" w:rsidP="00EF65AE">
      <w:pPr>
        <w:rPr>
          <w:rFonts w:cs="Arial"/>
        </w:rPr>
      </w:pPr>
      <w:r w:rsidRPr="00EF65AE">
        <w:rPr>
          <w:rFonts w:cs="Arial"/>
        </w:rPr>
        <w:t>While access to justice and quality support services are crucial to respond to the needs of women and girls experiencing violence, prevention efforts are essential to eliminate violence.</w:t>
      </w:r>
      <w:r w:rsidRPr="00EF65AE">
        <w:rPr>
          <w:rFonts w:cs="Arial"/>
        </w:rPr>
        <w:fldChar w:fldCharType="begin"/>
      </w:r>
      <w:r w:rsidRPr="00EF65AE">
        <w:rPr>
          <w:rFonts w:cs="Arial"/>
        </w:rPr>
        <w:instrText xml:space="preserve"> ADDIN ZOTERO_ITEM CSL_CITATION {"citationID":"a1vht37uprl","properties":{"formattedCitation":"\\super 100,101\\nosupersub{}","plainCitation":"100,101","noteIndex":0},"citationItems":[{"id":1817,"uris":["http://zotero.org/users/4194704/items/RVJWKKAR"],"uri":["http://zotero.org/users/4194704/items/RVJWKKAR"],"itemData":{"id":1817,"type":"article-journal","title":"Violence against women: a global public health crisis","container-title":"Scandinavian Journal of Public Health","page":"1-4","volume":"34","issue":"1","ISSN":"1403-4948","journalAbbreviation":"Scand.J.Public Health","author":[{"family":"Ellsberg","given":"M. C."}],"issued":{"date-parts":[["2006"]]}}},{"id":338,"uris":["http://zotero.org/users/4194704/items/IY8E7LGN"],"uri":["http://zotero.org/users/4194704/items/IY8E7LGN"],"itemData":{"id":338,"type":"report","title":"Turning Promises into Action: Gender Equality in the 2030 Agenda for Sustainable Development","publisher":"UN Women","author":[{"literal":"UN Women"}],"issued":{"date-parts":[["2018"]]}}}],"schema":"https://github.com/citation-style-language/schema/raw/master/csl-citation.json"} </w:instrText>
      </w:r>
      <w:r w:rsidRPr="00EF65AE">
        <w:rPr>
          <w:rFonts w:cs="Arial"/>
        </w:rPr>
        <w:fldChar w:fldCharType="separate"/>
      </w:r>
      <w:r w:rsidRPr="00EF65AE">
        <w:rPr>
          <w:rFonts w:cs="Arial"/>
          <w:vertAlign w:val="superscript"/>
          <w:lang w:val="en-US"/>
        </w:rPr>
        <w:t>100,101</w:t>
      </w:r>
      <w:r w:rsidRPr="00EF65AE">
        <w:rPr>
          <w:rFonts w:cs="Arial"/>
        </w:rPr>
        <w:fldChar w:fldCharType="end"/>
      </w:r>
      <w:r w:rsidRPr="00EF65AE">
        <w:rPr>
          <w:rFonts w:cs="Arial"/>
        </w:rPr>
        <w:t xml:space="preserve"> </w:t>
      </w:r>
      <w:r w:rsidR="00D74A07">
        <w:rPr>
          <w:rFonts w:cs="Arial"/>
        </w:rPr>
        <w:br/>
      </w:r>
      <w:r w:rsidRPr="00EF65AE">
        <w:rPr>
          <w:rFonts w:cs="Arial"/>
        </w:rPr>
        <w:t xml:space="preserve">For long-term, sustainable change, a focus on stopping violence before it starts through population-level change is required. A criminal justice-based response may be part of the solution but, on its own, cannot effectively address this pervasive and complex problem. </w:t>
      </w:r>
      <w:r w:rsidR="00B2125B">
        <w:rPr>
          <w:rFonts w:cs="Arial"/>
        </w:rPr>
        <w:t>E</w:t>
      </w:r>
      <w:r w:rsidRPr="00EF65AE">
        <w:rPr>
          <w:rFonts w:cs="Arial"/>
        </w:rPr>
        <w:t>vidence</w:t>
      </w:r>
      <w:r w:rsidR="00B2125B">
        <w:rPr>
          <w:rFonts w:cs="Arial"/>
        </w:rPr>
        <w:t xml:space="preserve"> is increasing</w:t>
      </w:r>
      <w:r w:rsidRPr="00EF65AE">
        <w:rPr>
          <w:rFonts w:cs="Arial"/>
        </w:rPr>
        <w:t xml:space="preserve"> that rates of violence can be reduced within programmatic timeframes through appropriate prevention work.</w:t>
      </w:r>
      <w:r w:rsidRPr="00EF65AE">
        <w:rPr>
          <w:rFonts w:cs="Arial"/>
        </w:rPr>
        <w:fldChar w:fldCharType="begin"/>
      </w:r>
      <w:r w:rsidRPr="00EF65AE">
        <w:rPr>
          <w:rFonts w:cs="Arial"/>
        </w:rPr>
        <w:instrText xml:space="preserve"> ADDIN ZOTERO_ITEM CSL_CITATION {"citationID":"tGCDQFIi","properties":{"formattedCitation":"\\super 88\\nosupersub{}","plainCitation":"88","noteIndex":0},"citationItems":[{"id":92,"uris":["http://zotero.org/users/4194704/items/R3LYQA9W"],"uri":["http://zotero.org/users/4194704/items/R3LYQA9W"],"itemData":{"id":92,"type":"article-journal","title":"Prevention of violence against women and girls: what does the evidence say?","container-title":"The Lancet","page":"1555-1566","volume":"385","issue":"9977","ISSN":"0140-6736","author":[{"family":"Ellsberg","given":"Mary"},{"family":"Arango","given":"Diana J."},{"family":"Morton","given":"Matthew"},{"family":"Gennari","given":"Floriza"},{"family":"Kiplesund","given":"Sveinung"},{"family":"Contreras","given":"Manuel"},{"family":"Watts","given":"Charlotte"}],"issued":{"date-parts":[["2015"]]}}}],"schema":"https://github.com/citation-style-language/schema/raw/master/csl-citation.json"} </w:instrText>
      </w:r>
      <w:r w:rsidRPr="00EF65AE">
        <w:rPr>
          <w:rFonts w:cs="Arial"/>
        </w:rPr>
        <w:fldChar w:fldCharType="separate"/>
      </w:r>
      <w:r w:rsidRPr="00EF65AE">
        <w:rPr>
          <w:rFonts w:cs="Arial"/>
          <w:vertAlign w:val="superscript"/>
          <w:lang w:val="en-US"/>
        </w:rPr>
        <w:t>88</w:t>
      </w:r>
      <w:r w:rsidRPr="00EF65AE">
        <w:rPr>
          <w:rFonts w:cs="Arial"/>
        </w:rPr>
        <w:fldChar w:fldCharType="end"/>
      </w:r>
      <w:r w:rsidRPr="00EF65AE">
        <w:rPr>
          <w:rFonts w:cs="Arial"/>
        </w:rPr>
        <w:t xml:space="preserve"> </w:t>
      </w:r>
    </w:p>
    <w:p w14:paraId="0AC8EE58" w14:textId="58DA0351" w:rsidR="00EF65AE" w:rsidRPr="00EF65AE" w:rsidRDefault="00B2125B" w:rsidP="00EF65AE">
      <w:pPr>
        <w:rPr>
          <w:rFonts w:cs="Arial"/>
        </w:rPr>
      </w:pPr>
      <w:r>
        <w:rPr>
          <w:rFonts w:cs="Arial"/>
        </w:rPr>
        <w:t>For</w:t>
      </w:r>
      <w:r w:rsidR="00EF65AE" w:rsidRPr="00EF65AE">
        <w:rPr>
          <w:rFonts w:cs="Arial"/>
        </w:rPr>
        <w:t xml:space="preserve"> prevention</w:t>
      </w:r>
      <w:r>
        <w:rPr>
          <w:rFonts w:cs="Arial"/>
        </w:rPr>
        <w:t xml:space="preserve"> to be effective</w:t>
      </w:r>
      <w:r w:rsidR="00EF65AE" w:rsidRPr="00EF65AE">
        <w:rPr>
          <w:rFonts w:cs="Arial"/>
        </w:rPr>
        <w:t>, programs need to address the underlying causes and drivers of violence</w:t>
      </w:r>
      <w:r w:rsidR="00921D5D">
        <w:rPr>
          <w:rFonts w:cs="Arial"/>
        </w:rPr>
        <w:t xml:space="preserve"> (Figure 10)</w:t>
      </w:r>
      <w:r w:rsidR="00027336">
        <w:rPr>
          <w:rFonts w:cs="Arial"/>
        </w:rPr>
        <w:t xml:space="preserve"> </w:t>
      </w:r>
      <w:r w:rsidR="006A6EAC">
        <w:rPr>
          <w:rFonts w:cs="Arial"/>
        </w:rPr>
        <w:t>as</w:t>
      </w:r>
      <w:r w:rsidR="00EF65AE" w:rsidRPr="00EF65AE">
        <w:rPr>
          <w:rFonts w:cs="Arial"/>
        </w:rPr>
        <w:t xml:space="preserve"> gender inequality does not look the same in every country and context.</w:t>
      </w:r>
      <w:r w:rsidR="00EF65AE" w:rsidRPr="00EF65AE">
        <w:rPr>
          <w:rFonts w:cs="Arial"/>
        </w:rPr>
        <w:fldChar w:fldCharType="begin"/>
      </w:r>
      <w:r w:rsidR="00EF65AE" w:rsidRPr="00EF65AE">
        <w:rPr>
          <w:rFonts w:cs="Arial"/>
        </w:rPr>
        <w:instrText xml:space="preserve"> ADDIN ZOTERO_ITEM CSL_CITATION {"citationID":"LxarkoLI","properties":{"formattedCitation":"\\super 41,42\\nosupersub{}","plainCitation":"41,42","noteIndex":0},"citationItems":[{"id":340,"uris":["http://zotero.org/users/4194704/items/U5QARWWM"],"uri":["http://zotero.org/users/4194704/items/U5QARWWM"],"itemData":{"id":340,"type":"report","title":"Progress of the World’s Women 2018","publisher":"UN Women","author":[{"literal":"UN Women"}],"issued":{"date-parts":[["0000"]],"season":"forthcoming forthcoming"}}},{"id":254,"uris":["http://zotero.org/users/4194704/items/SIZBT9GC"],"uri":["http://zotero.org/users/4194704/items/SIZBT9GC"],"itemData":{"id":254,"type":"report","title":"Change the story: A shared framework for the primary prevention of violence against women and their children in Australia","publisher":"Our Watch","publisher-place":"Melbourne","event-place":"Melbourne","author":[{"literal":"Our Watch"},{"literal":"Australia’s National Research Organisation for Women’s Safety (ANROWS)"},{"literal":"VicHealth"}],"issued":{"date-parts":[["2015"]]}}}],"schema":"https://github.com/citation-style-language/schema/raw/master/csl-citation.json"}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41,42</w:t>
      </w:r>
      <w:r w:rsidR="00EF65AE" w:rsidRPr="00EF65AE">
        <w:rPr>
          <w:rFonts w:cs="Arial"/>
        </w:rPr>
        <w:fldChar w:fldCharType="end"/>
      </w:r>
      <w:r w:rsidR="00EF65AE" w:rsidRPr="00EF65AE">
        <w:rPr>
          <w:rFonts w:cs="Arial"/>
        </w:rPr>
        <w:t xml:space="preserve"> </w:t>
      </w:r>
      <w:r w:rsidR="002640BC">
        <w:rPr>
          <w:rFonts w:cs="Arial"/>
        </w:rPr>
        <w:t>Various</w:t>
      </w:r>
      <w:r w:rsidR="00EF65AE" w:rsidRPr="00EF65AE">
        <w:rPr>
          <w:rFonts w:cs="Arial"/>
        </w:rPr>
        <w:t xml:space="preserve"> factors at different times during a person’s life interact and contribute to violence occurring.</w:t>
      </w:r>
      <w:r w:rsidR="00EF65AE" w:rsidRPr="00EF65AE">
        <w:rPr>
          <w:rFonts w:cs="Arial"/>
        </w:rPr>
        <w:fldChar w:fldCharType="begin"/>
      </w:r>
      <w:r w:rsidR="00EF65AE" w:rsidRPr="00EF65AE">
        <w:rPr>
          <w:rFonts w:cs="Arial"/>
        </w:rPr>
        <w:instrText xml:space="preserve"> ADDIN ZOTERO_ITEM CSL_CITATION {"citationID":"CqaxMaL1","properties":{"formattedCitation":"\\super 38\\uc0\\u8211{}40\\nosupersub{}","plainCitation":"38–40","noteIndex":0},"citationItems":[{"id":74,"uris":["http://zotero.org/users/4194704/items/WCD967TI"],"uri":["http://zotero.org/users/4194704/items/WCD967TI"],"itemData":{"id":74,"type":"article-journal","title":"Understanding violence against women","author":[{"family":"Crowell","given":"N. A."},{"family":"Burgess","given":"A. W."}],"issued":{"date-parts":[["1996"]]}}},{"id":1033,"uris":["http://zotero.org/users/4194704/items/GS54LAXH"],"uri":["http://zotero.org/users/4194704/items/GS54LAXH"],"itemData":{"id":1033,"type":"article-journal","title":"Violence against women: an integrated, ecological framework","container-title":"Violence Against Women","page":"262-290","volume":"4","issue":"3","abstract":"This article encourages the widespread adoption of an integrated, ecological framework for understanding the origins of gender-based violence. An ecological approach to abuse conceptualizes violence as a multifaceted phenomenon grounded in an interplay among personal, situational, and sociocultural factors. Although drawing on the conceptual advances of earlier theorists, this article goes beyond their work in three significant ways. First, it uses the ecological framework as a heuristic tool to organize the existing research base into an intelligible whole. Whereas other theorists present the framework as a way to think about violence, few have attempted to establish what factors emerge as predictive of abuse at each level of the social ecology. Second, this article integrates results from international and cross-cultural research together with findings from North American social science. And finally, the framework draws from findings related to all types of physical and sexual abuse of women to encourage a more integrated approach to theory building regarding gender-based abuse.","DOI":"10.1177/1077801298004003002","ISSN":"1077-8012","journalAbbreviation":"Violence Against Women","author":[{"family":"Heise","given":"L. L."}],"issued":{"date-parts":[["1998"]]}}},{"id":161,"uris":["http://zotero.org/users/4194704/items/HNSA2ILU"],"uri":["http://zotero.org/users/4194704/items/HNSA2ILU"],"itemData":{"id":161,"type":"report","title":"What works to prevent partner violence: An evidence overview","publisher":"STRIVE Research Consortium, London School of Hygiene and Tropical Medicine","publisher-place":"London","event-place":"London","author":[{"family":"Heise","given":"Lori"}],"issued":{"date-parts":[["2011"]]}}}],"schema":"https://github.com/citation-style-language/schema/raw/master/csl-citation.json"}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38–</w:t>
      </w:r>
      <w:r w:rsidR="00EF65AE" w:rsidRPr="00EF65AE">
        <w:rPr>
          <w:rFonts w:cs="Arial"/>
        </w:rPr>
        <w:fldChar w:fldCharType="end"/>
      </w:r>
      <w:r w:rsidR="00EF65AE" w:rsidRPr="00EF65AE">
        <w:rPr>
          <w:rFonts w:cs="Arial"/>
        </w:rPr>
        <w:fldChar w:fldCharType="begin"/>
      </w:r>
      <w:r w:rsidR="00EF65AE" w:rsidRPr="00EF65AE">
        <w:rPr>
          <w:rFonts w:cs="Arial"/>
        </w:rPr>
        <w:instrText xml:space="preserve"> ADDIN ZOTERO_ITEM CSL_CITATION {"citationID":"wW9swohN","properties":{"formattedCitation":"\\super 41\\nosupersub{}","plainCitation":"41","noteIndex":0},"citationItems":[{"id":254,"uris":["http://zotero.org/users/4194704/items/SIZBT9GC"],"uri":["http://zotero.org/users/4194704/items/SIZBT9GC"],"itemData":{"id":254,"type":"report","title":"Change the story: A shared framework for the primary prevention of violence against women and their children in Australia","publisher":"Our Watch","publisher-place":"Melbourne","event-place":"Melbourne","author":[{"literal":"Our Watch"},{"literal":"Australia’s National Research Organisation for Women’s Safety (ANROWS)"},{"literal":"VicHealth"}],"issued":{"date-parts":[["2015"]]}}}],"schema":"https://github.com/citation-style-language/schema/raw/master/csl-citation.json"}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41</w:t>
      </w:r>
      <w:r w:rsidR="00EF65AE" w:rsidRPr="00EF65AE">
        <w:rPr>
          <w:rFonts w:cs="Arial"/>
        </w:rPr>
        <w:fldChar w:fldCharType="end"/>
      </w:r>
      <w:r w:rsidR="00EF65AE" w:rsidRPr="00EF65AE">
        <w:rPr>
          <w:rFonts w:cs="Arial"/>
        </w:rPr>
        <w:t xml:space="preserve"> For example, individual characteristics</w:t>
      </w:r>
      <w:r>
        <w:rPr>
          <w:rFonts w:cs="Arial"/>
        </w:rPr>
        <w:t>,</w:t>
      </w:r>
      <w:r w:rsidR="00EF65AE" w:rsidRPr="00EF65AE">
        <w:rPr>
          <w:rFonts w:cs="Arial"/>
        </w:rPr>
        <w:t xml:space="preserve"> such as alcohol abuse or mental illness</w:t>
      </w:r>
      <w:r>
        <w:rPr>
          <w:rFonts w:cs="Arial"/>
        </w:rPr>
        <w:t>,</w:t>
      </w:r>
      <w:r w:rsidR="00EF65AE" w:rsidRPr="00EF65AE">
        <w:rPr>
          <w:rFonts w:cs="Arial"/>
        </w:rPr>
        <w:t xml:space="preserve"> do not, on their own, cause men to be violent, but they interact with other factors to increase the likelihood of men using violence.</w:t>
      </w:r>
      <w:r w:rsidR="00EF65AE" w:rsidRPr="00EF65AE">
        <w:rPr>
          <w:rFonts w:cs="Arial"/>
        </w:rPr>
        <w:fldChar w:fldCharType="begin"/>
      </w:r>
      <w:r w:rsidR="00EF65AE" w:rsidRPr="00EF65AE">
        <w:rPr>
          <w:rFonts w:cs="Arial"/>
        </w:rPr>
        <w:instrText xml:space="preserve"> ADDIN ZOTERO_ITEM CSL_CITATION {"citationID":"K2gUjxiA","properties":{"formattedCitation":"\\super 42\\nosupersub{}","plainCitation":"42","noteIndex":0},"citationItems":[{"id":340,"uris":["http://zotero.org/users/4194704/items/U5QARWWM"],"uri":["http://zotero.org/users/4194704/items/U5QARWWM"],"itemData":{"id":340,"type":"report","title":"Progress of the World’s Women 2018","publisher":"UN Women","author":[{"literal":"UN Women"}],"issued":{"date-parts":[["0000"]],"season":"forthcoming forthcoming"}}}],"schema":"https://github.com/citation-style-language/schema/raw/master/csl-citation.json"}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42</w:t>
      </w:r>
      <w:r w:rsidR="00EF65AE" w:rsidRPr="00EF65AE">
        <w:rPr>
          <w:rFonts w:cs="Arial"/>
        </w:rPr>
        <w:fldChar w:fldCharType="end"/>
      </w:r>
    </w:p>
    <w:p w14:paraId="596C5A44" w14:textId="4598A6D1" w:rsidR="00EF65AE" w:rsidRPr="00EF65AE" w:rsidRDefault="00C07D10" w:rsidP="00C07D10">
      <w:pPr>
        <w:pStyle w:val="Caption"/>
      </w:pPr>
      <w:bookmarkStart w:id="275" w:name="_Toc23434592"/>
      <w:r>
        <w:t xml:space="preserve">Figure </w:t>
      </w:r>
      <w:fldSimple w:instr=" SEQ Figure \* ARABIC ">
        <w:r w:rsidR="00760839">
          <w:rPr>
            <w:noProof/>
          </w:rPr>
          <w:t>10</w:t>
        </w:r>
      </w:fldSimple>
      <w:r w:rsidR="00EF65AE" w:rsidRPr="00EF65AE">
        <w:t>: Key elements of effective violence prevention programs</w:t>
      </w:r>
      <w:bookmarkEnd w:id="275"/>
    </w:p>
    <w:p w14:paraId="2CCFDAAA" w14:textId="32B560AF" w:rsidR="003F2EBF" w:rsidRDefault="00880251" w:rsidP="003F2EBF">
      <w:bookmarkStart w:id="276" w:name="_Toc14959609"/>
      <w:r>
        <w:rPr>
          <w:noProof/>
          <w:lang w:eastAsia="en-AU"/>
        </w:rPr>
        <w:drawing>
          <wp:inline distT="0" distB="0" distL="0" distR="0" wp14:anchorId="734AF8E1" wp14:editId="730FF0DC">
            <wp:extent cx="3060700" cy="4584700"/>
            <wp:effectExtent l="0" t="0" r="0" b="0"/>
            <wp:docPr id="16" name="Picture 16" descr="Figure 10 lists nine key elements of effective violence prevention programs. &#10;&#10;At the top is the long-term and intensive elements. &#10;&#10;The other elements are:&#10;&#10;Informed by a strong theory of change&#10;&#10;Address the root causes of violence&#10;&#10;Recognise and address the intersections of different forms of discrimination&#10;&#10;Include multiple and mutually reinforcing components over time&#10;&#10;Work across multiple sectors or multiple levels of the socio-ecological model&#10;&#10;Take a gender-transformative approach&#10;&#10;Engage people of all genders&#10;&#10;Provide tailored and inclusive content for the target aud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6819 Figure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700" cy="4584700"/>
                    </a:xfrm>
                    <a:prstGeom prst="rect">
                      <a:avLst/>
                    </a:prstGeom>
                  </pic:spPr>
                </pic:pic>
              </a:graphicData>
            </a:graphic>
          </wp:inline>
        </w:drawing>
      </w:r>
    </w:p>
    <w:p w14:paraId="3D047E2E" w14:textId="52468640" w:rsidR="00EF65AE" w:rsidRPr="00EF65AE" w:rsidRDefault="00EB3413" w:rsidP="003F2EBF">
      <w:pPr>
        <w:pStyle w:val="Heading2"/>
      </w:pPr>
      <w:bookmarkStart w:id="277" w:name="_Toc15378135"/>
      <w:bookmarkStart w:id="278" w:name="_Toc15378484"/>
      <w:bookmarkStart w:id="279" w:name="_Toc15563014"/>
      <w:bookmarkStart w:id="280" w:name="_Toc23434550"/>
      <w:r w:rsidRPr="00EF65AE">
        <w:t>Progress to date</w:t>
      </w:r>
      <w:bookmarkEnd w:id="276"/>
      <w:bookmarkEnd w:id="277"/>
      <w:bookmarkEnd w:id="278"/>
      <w:bookmarkEnd w:id="279"/>
      <w:bookmarkEnd w:id="280"/>
    </w:p>
    <w:p w14:paraId="70697D0E" w14:textId="77777777" w:rsidR="00EF65AE" w:rsidRPr="00EF65AE" w:rsidRDefault="00EF65AE" w:rsidP="00EF65AE">
      <w:pPr>
        <w:rPr>
          <w:rFonts w:cs="Arial"/>
        </w:rPr>
      </w:pPr>
      <w:r w:rsidRPr="00EF65AE">
        <w:rPr>
          <w:rFonts w:cs="Arial"/>
        </w:rPr>
        <w:t xml:space="preserve">In the evaluation focus countries, there was evidence of much more work being done on prevention compared to 10 years ago. </w:t>
      </w:r>
      <w:r w:rsidR="006A04E7">
        <w:rPr>
          <w:rFonts w:cs="Arial"/>
        </w:rPr>
        <w:t>A</w:t>
      </w:r>
      <w:r w:rsidRPr="00EF65AE">
        <w:rPr>
          <w:rFonts w:cs="Arial"/>
        </w:rPr>
        <w:t xml:space="preserve">ll countries </w:t>
      </w:r>
      <w:r w:rsidR="006A04E7">
        <w:rPr>
          <w:rFonts w:cs="Arial"/>
        </w:rPr>
        <w:t>had</w:t>
      </w:r>
      <w:r w:rsidRPr="00EF65AE">
        <w:rPr>
          <w:rFonts w:cs="Arial"/>
        </w:rPr>
        <w:t xml:space="preserve"> examples of at least some prevention programs being implemented by government, civil society or multilateral agencies, although the</w:t>
      </w:r>
      <w:r w:rsidR="00021516">
        <w:rPr>
          <w:rFonts w:cs="Arial"/>
        </w:rPr>
        <w:t>ir</w:t>
      </w:r>
      <w:r w:rsidRPr="00EF65AE">
        <w:rPr>
          <w:rFonts w:cs="Arial"/>
        </w:rPr>
        <w:t xml:space="preserve"> quality and quantity varied. Within Australian-funded programs, prevention work largely focused on </w:t>
      </w:r>
      <w:bookmarkStart w:id="281" w:name="_Hlk15959617"/>
      <w:r w:rsidRPr="00EF65AE">
        <w:rPr>
          <w:rFonts w:cs="Arial"/>
        </w:rPr>
        <w:t>awareness</w:t>
      </w:r>
      <w:r w:rsidR="006D296F">
        <w:rPr>
          <w:rFonts w:cs="Arial"/>
        </w:rPr>
        <w:t xml:space="preserve"> </w:t>
      </w:r>
      <w:r w:rsidRPr="00EF65AE">
        <w:rPr>
          <w:rFonts w:cs="Arial"/>
        </w:rPr>
        <w:t>raising</w:t>
      </w:r>
      <w:bookmarkEnd w:id="281"/>
      <w:r w:rsidRPr="00EF65AE">
        <w:rPr>
          <w:rFonts w:cs="Arial"/>
        </w:rPr>
        <w:t>, counselling of perpetrators, women’s empowerment, and engaging men and community or religious leaders in EVAWG.</w:t>
      </w:r>
    </w:p>
    <w:p w14:paraId="19EF73D4" w14:textId="77777777" w:rsidR="006A04E7" w:rsidRDefault="00EF65AE" w:rsidP="00EF65AE">
      <w:pPr>
        <w:rPr>
          <w:rFonts w:cs="Arial"/>
        </w:rPr>
      </w:pPr>
      <w:r w:rsidRPr="00EF65AE">
        <w:rPr>
          <w:rFonts w:cs="Arial"/>
        </w:rPr>
        <w:t>Th</w:t>
      </w:r>
      <w:r w:rsidR="00021516">
        <w:rPr>
          <w:rFonts w:cs="Arial"/>
        </w:rPr>
        <w:t>is</w:t>
      </w:r>
      <w:r w:rsidRPr="00EF65AE">
        <w:rPr>
          <w:rFonts w:cs="Arial"/>
        </w:rPr>
        <w:t xml:space="preserve"> evaluation also found that prevention is still </w:t>
      </w:r>
      <w:r w:rsidR="00D45CE6">
        <w:rPr>
          <w:rFonts w:cs="Arial"/>
        </w:rPr>
        <w:t>less developed than access to justice and access to services</w:t>
      </w:r>
      <w:r w:rsidR="000251EA">
        <w:rPr>
          <w:rFonts w:cs="Arial"/>
        </w:rPr>
        <w:t>.</w:t>
      </w:r>
      <w:r w:rsidRPr="00EF65AE">
        <w:rPr>
          <w:rFonts w:cs="Arial"/>
        </w:rPr>
        <w:t xml:space="preserve"> As VAWG prevention is new globally, this is understandable. Investment to support the immediate needs of survivors</w:t>
      </w:r>
      <w:r w:rsidR="006A04E7">
        <w:rPr>
          <w:rFonts w:cs="Arial"/>
        </w:rPr>
        <w:t>—</w:t>
      </w:r>
      <w:r w:rsidRPr="00EF65AE">
        <w:rPr>
          <w:rFonts w:cs="Arial"/>
        </w:rPr>
        <w:t>particularly core funding to frontline service providers</w:t>
      </w:r>
      <w:r w:rsidR="006A04E7">
        <w:rPr>
          <w:rFonts w:cs="Arial"/>
        </w:rPr>
        <w:t>—</w:t>
      </w:r>
      <w:r w:rsidRPr="00EF65AE">
        <w:rPr>
          <w:rFonts w:cs="Arial"/>
        </w:rPr>
        <w:t>must continue. However, now that services and access to justice are more developed in most countries in the region, it is opportune for Australia to expand investments on prev</w:t>
      </w:r>
      <w:r w:rsidR="00921D5D">
        <w:rPr>
          <w:rFonts w:cs="Arial"/>
        </w:rPr>
        <w:t xml:space="preserve">ention, taking a best-practice </w:t>
      </w:r>
      <w:r w:rsidR="00921D5D" w:rsidRPr="00EF65AE">
        <w:rPr>
          <w:rFonts w:cs="Arial"/>
        </w:rPr>
        <w:t>and integrated</w:t>
      </w:r>
      <w:r w:rsidRPr="00EF65AE">
        <w:rPr>
          <w:rFonts w:cs="Arial"/>
        </w:rPr>
        <w:t xml:space="preserve"> approach. </w:t>
      </w:r>
    </w:p>
    <w:p w14:paraId="123B5BAB" w14:textId="5E8A130A" w:rsidR="00EF65AE" w:rsidRPr="00EF65AE" w:rsidRDefault="00EF65AE" w:rsidP="00EF65AE">
      <w:pPr>
        <w:rPr>
          <w:rFonts w:cs="Arial"/>
        </w:rPr>
      </w:pPr>
      <w:bookmarkStart w:id="282" w:name="_Hlk18567282"/>
      <w:r w:rsidRPr="000251EA">
        <w:rPr>
          <w:rFonts w:cs="Arial"/>
          <w:i/>
        </w:rPr>
        <w:t>RESPECT</w:t>
      </w:r>
      <w:r w:rsidR="006A04E7" w:rsidRPr="0019178A">
        <w:rPr>
          <w:rFonts w:cs="Arial"/>
          <w:i/>
        </w:rPr>
        <w:t>—</w:t>
      </w:r>
      <w:r w:rsidRPr="000251EA">
        <w:rPr>
          <w:rFonts w:cs="Arial"/>
          <w:i/>
        </w:rPr>
        <w:t>Preventing</w:t>
      </w:r>
      <w:r w:rsidRPr="0019178A">
        <w:rPr>
          <w:rFonts w:cs="Arial"/>
          <w:i/>
        </w:rPr>
        <w:t xml:space="preserve"> violence against women: A framework for policymakers</w:t>
      </w:r>
      <w:bookmarkEnd w:id="282"/>
      <w:r w:rsidRPr="00EF65AE">
        <w:rPr>
          <w:rFonts w:cs="Arial"/>
        </w:rPr>
        <w:t xml:space="preserve"> is a concise</w:t>
      </w:r>
      <w:r w:rsidR="00937DA6">
        <w:rPr>
          <w:rFonts w:cs="Arial"/>
        </w:rPr>
        <w:t>,</w:t>
      </w:r>
      <w:r w:rsidRPr="00EF65AE">
        <w:rPr>
          <w:rFonts w:cs="Arial"/>
        </w:rPr>
        <w:t xml:space="preserve"> user-friendly document </w:t>
      </w:r>
      <w:r w:rsidR="00021516">
        <w:rPr>
          <w:rFonts w:cs="Arial"/>
        </w:rPr>
        <w:t>that</w:t>
      </w:r>
      <w:r w:rsidR="00021516" w:rsidRPr="00EF65AE">
        <w:rPr>
          <w:rFonts w:cs="Arial"/>
        </w:rPr>
        <w:t xml:space="preserve"> </w:t>
      </w:r>
      <w:r w:rsidRPr="00EF65AE">
        <w:rPr>
          <w:rFonts w:cs="Arial"/>
        </w:rPr>
        <w:t>support</w:t>
      </w:r>
      <w:r w:rsidR="00021516">
        <w:rPr>
          <w:rFonts w:cs="Arial"/>
        </w:rPr>
        <w:t>s</w:t>
      </w:r>
      <w:r w:rsidRPr="00EF65AE">
        <w:rPr>
          <w:rFonts w:cs="Arial"/>
        </w:rPr>
        <w:t xml:space="preserve"> countries </w:t>
      </w:r>
      <w:r w:rsidR="00021516">
        <w:rPr>
          <w:rFonts w:cs="Arial"/>
        </w:rPr>
        <w:t>to</w:t>
      </w:r>
      <w:r w:rsidR="00021516" w:rsidRPr="00EF65AE">
        <w:rPr>
          <w:rFonts w:cs="Arial"/>
        </w:rPr>
        <w:t xml:space="preserve"> </w:t>
      </w:r>
      <w:r w:rsidRPr="00EF65AE">
        <w:rPr>
          <w:rFonts w:cs="Arial"/>
        </w:rPr>
        <w:t xml:space="preserve">identify evidence-based interventions and possible entry points to implement and scale-up </w:t>
      </w:r>
      <w:r w:rsidR="00021516">
        <w:rPr>
          <w:rFonts w:cs="Arial"/>
        </w:rPr>
        <w:t>strategies for preventing</w:t>
      </w:r>
      <w:r w:rsidRPr="00EF65AE">
        <w:rPr>
          <w:rFonts w:cs="Arial"/>
        </w:rPr>
        <w:t xml:space="preserve"> violence against women strategies. </w:t>
      </w:r>
      <w:r w:rsidR="006A04E7">
        <w:rPr>
          <w:rFonts w:cs="Arial"/>
        </w:rPr>
        <w:t>Combining</w:t>
      </w:r>
      <w:r w:rsidR="006A04E7" w:rsidRPr="00EF65AE">
        <w:rPr>
          <w:rFonts w:cs="Arial"/>
        </w:rPr>
        <w:t xml:space="preserve"> </w:t>
      </w:r>
      <w:r w:rsidRPr="00EF65AE">
        <w:rPr>
          <w:rFonts w:cs="Arial"/>
        </w:rPr>
        <w:t>local expertise with this evidence-based framework could provide a useful structure to guide future Australian investment in prevention.</w:t>
      </w:r>
    </w:p>
    <w:p w14:paraId="0A3865D3" w14:textId="77777777" w:rsidR="00EF65AE" w:rsidRPr="00EF65AE" w:rsidRDefault="00EF65AE" w:rsidP="008167F8">
      <w:pPr>
        <w:pStyle w:val="Heading3NoTOC"/>
      </w:pPr>
      <w:r w:rsidRPr="00EF65AE">
        <w:t>Quality of prevention designs</w:t>
      </w:r>
    </w:p>
    <w:p w14:paraId="30A6F3B2" w14:textId="34AE8F21" w:rsidR="00EF65AE" w:rsidRPr="00EF65AE" w:rsidRDefault="00EF65AE" w:rsidP="00EF65AE">
      <w:pPr>
        <w:rPr>
          <w:rFonts w:cs="Arial"/>
        </w:rPr>
      </w:pPr>
      <w:r w:rsidRPr="00EF65AE">
        <w:rPr>
          <w:rFonts w:cs="Arial"/>
        </w:rPr>
        <w:t>Th</w:t>
      </w:r>
      <w:r w:rsidR="00021516">
        <w:rPr>
          <w:rFonts w:cs="Arial"/>
        </w:rPr>
        <w:t>is</w:t>
      </w:r>
      <w:r w:rsidRPr="00EF65AE">
        <w:rPr>
          <w:rFonts w:cs="Arial"/>
        </w:rPr>
        <w:t xml:space="preserve"> evaluation found examples of promising prevention work in all settings; however, design</w:t>
      </w:r>
      <w:r w:rsidR="00021516">
        <w:rPr>
          <w:rFonts w:cs="Arial"/>
        </w:rPr>
        <w:t xml:space="preserve"> quality</w:t>
      </w:r>
      <w:r w:rsidRPr="00EF65AE">
        <w:rPr>
          <w:rFonts w:cs="Arial"/>
        </w:rPr>
        <w:t xml:space="preserve"> vari</w:t>
      </w:r>
      <w:r w:rsidR="00021516">
        <w:rPr>
          <w:rFonts w:cs="Arial"/>
        </w:rPr>
        <w:t>ed</w:t>
      </w:r>
      <w:r w:rsidRPr="00EF65AE">
        <w:rPr>
          <w:rFonts w:cs="Arial"/>
        </w:rPr>
        <w:t>. Most lacked best</w:t>
      </w:r>
      <w:r w:rsidR="006A04E7">
        <w:rPr>
          <w:rFonts w:cs="Arial"/>
        </w:rPr>
        <w:t>-</w:t>
      </w:r>
      <w:r w:rsidRPr="00EF65AE">
        <w:rPr>
          <w:rFonts w:cs="Arial"/>
        </w:rPr>
        <w:t xml:space="preserve">practice design, as they did not encompass activities at multiple levels of the </w:t>
      </w:r>
      <w:r w:rsidR="00E509F9">
        <w:rPr>
          <w:rFonts w:cs="Arial"/>
        </w:rPr>
        <w:t>Socio-e</w:t>
      </w:r>
      <w:r w:rsidRPr="00EF65AE">
        <w:rPr>
          <w:rFonts w:cs="Arial"/>
        </w:rPr>
        <w:t xml:space="preserve">cological Framework. </w:t>
      </w:r>
      <w:r w:rsidR="006A04E7">
        <w:rPr>
          <w:rFonts w:cs="Arial"/>
        </w:rPr>
        <w:t>Instead,</w:t>
      </w:r>
      <w:r w:rsidR="006A04E7" w:rsidRPr="00EF65AE">
        <w:rPr>
          <w:rFonts w:cs="Arial"/>
        </w:rPr>
        <w:t xml:space="preserve"> </w:t>
      </w:r>
      <w:r w:rsidRPr="00EF65AE">
        <w:rPr>
          <w:rFonts w:cs="Arial"/>
        </w:rPr>
        <w:t>designs</w:t>
      </w:r>
      <w:r w:rsidR="006A04E7">
        <w:rPr>
          <w:rFonts w:cs="Arial"/>
        </w:rPr>
        <w:t xml:space="preserve"> only</w:t>
      </w:r>
      <w:r w:rsidRPr="00EF65AE">
        <w:rPr>
          <w:rFonts w:cs="Arial"/>
        </w:rPr>
        <w:t xml:space="preserve"> incorporated</w:t>
      </w:r>
      <w:r w:rsidR="006A04E7">
        <w:rPr>
          <w:rFonts w:cs="Arial"/>
        </w:rPr>
        <w:t xml:space="preserve"> a</w:t>
      </w:r>
      <w:r w:rsidRPr="00EF65AE">
        <w:rPr>
          <w:rFonts w:cs="Arial"/>
        </w:rPr>
        <w:t xml:space="preserve"> few elements of effective violence prevention (</w:t>
      </w:r>
      <w:r w:rsidR="00921D5D">
        <w:rPr>
          <w:rFonts w:cs="Arial"/>
        </w:rPr>
        <w:t>Figure 10</w:t>
      </w:r>
      <w:r w:rsidRPr="00EF65AE">
        <w:rPr>
          <w:rFonts w:cs="Arial"/>
        </w:rPr>
        <w:t>), such as being informed by a clear theory of change, committing resources over the long</w:t>
      </w:r>
      <w:r w:rsidR="006A04E7">
        <w:rPr>
          <w:rFonts w:cs="Arial"/>
        </w:rPr>
        <w:t xml:space="preserve"> </w:t>
      </w:r>
      <w:r w:rsidRPr="00EF65AE">
        <w:rPr>
          <w:rFonts w:cs="Arial"/>
        </w:rPr>
        <w:t xml:space="preserve">term and addressing root causes. In many </w:t>
      </w:r>
      <w:r w:rsidR="00050BB8">
        <w:rPr>
          <w:rFonts w:cs="Arial"/>
        </w:rPr>
        <w:t>locations</w:t>
      </w:r>
      <w:r w:rsidRPr="00EF65AE">
        <w:rPr>
          <w:rFonts w:cs="Arial"/>
        </w:rPr>
        <w:t xml:space="preserve">, prevention programs focused largely on </w:t>
      </w:r>
      <w:r w:rsidR="00373EF8">
        <w:rPr>
          <w:rFonts w:cs="Arial"/>
        </w:rPr>
        <w:t xml:space="preserve">raising </w:t>
      </w:r>
      <w:r w:rsidRPr="00EF65AE">
        <w:rPr>
          <w:rFonts w:cs="Arial"/>
        </w:rPr>
        <w:t xml:space="preserve">awareness, which is </w:t>
      </w:r>
      <w:r w:rsidR="00373EF8">
        <w:rPr>
          <w:rFonts w:cs="Arial"/>
        </w:rPr>
        <w:t>not enough</w:t>
      </w:r>
      <w:r w:rsidR="00373EF8" w:rsidRPr="00EF65AE">
        <w:rPr>
          <w:rFonts w:cs="Arial"/>
        </w:rPr>
        <w:t xml:space="preserve"> </w:t>
      </w:r>
      <w:r w:rsidRPr="00EF65AE">
        <w:rPr>
          <w:rFonts w:cs="Arial"/>
        </w:rPr>
        <w:t xml:space="preserve">to achieve behaviour change. </w:t>
      </w:r>
    </w:p>
    <w:p w14:paraId="0FDFB54E" w14:textId="367F0D78" w:rsidR="00EF65AE" w:rsidRPr="00EF65AE" w:rsidRDefault="00EF65AE" w:rsidP="00EF65AE">
      <w:pPr>
        <w:rPr>
          <w:rFonts w:cs="Arial"/>
        </w:rPr>
      </w:pPr>
      <w:r w:rsidRPr="00EF65AE">
        <w:rPr>
          <w:rFonts w:cs="Arial"/>
        </w:rPr>
        <w:t>Th</w:t>
      </w:r>
      <w:r w:rsidR="00373EF8">
        <w:rPr>
          <w:rFonts w:cs="Arial"/>
        </w:rPr>
        <w:t>is</w:t>
      </w:r>
      <w:r w:rsidRPr="00EF65AE">
        <w:rPr>
          <w:rFonts w:cs="Arial"/>
        </w:rPr>
        <w:t xml:space="preserve"> evaluation found some </w:t>
      </w:r>
      <w:r w:rsidR="00E20CBF">
        <w:rPr>
          <w:rFonts w:cs="Arial"/>
        </w:rPr>
        <w:t>best</w:t>
      </w:r>
      <w:r w:rsidR="009A314A">
        <w:rPr>
          <w:rFonts w:cs="Arial"/>
        </w:rPr>
        <w:t>-</w:t>
      </w:r>
      <w:r w:rsidRPr="00EF65AE">
        <w:rPr>
          <w:rFonts w:cs="Arial"/>
        </w:rPr>
        <w:t>practice</w:t>
      </w:r>
      <w:r w:rsidR="009A314A">
        <w:rPr>
          <w:rFonts w:cs="Arial"/>
        </w:rPr>
        <w:t>,</w:t>
      </w:r>
      <w:r w:rsidRPr="00EF65AE">
        <w:rPr>
          <w:rFonts w:cs="Arial"/>
        </w:rPr>
        <w:t xml:space="preserve"> Australian-funded prevention programs that incorporated almost all best</w:t>
      </w:r>
      <w:r w:rsidR="006A04E7">
        <w:rPr>
          <w:rFonts w:cs="Arial"/>
        </w:rPr>
        <w:t>-</w:t>
      </w:r>
      <w:r w:rsidRPr="00EF65AE">
        <w:rPr>
          <w:rFonts w:cs="Arial"/>
        </w:rPr>
        <w:t>practice</w:t>
      </w:r>
      <w:r w:rsidR="006A04E7">
        <w:rPr>
          <w:rFonts w:cs="Arial"/>
        </w:rPr>
        <w:t xml:space="preserve"> elements</w:t>
      </w:r>
      <w:r w:rsidRPr="00EF65AE">
        <w:rPr>
          <w:rFonts w:cs="Arial"/>
        </w:rPr>
        <w:t xml:space="preserve"> in their design, including </w:t>
      </w:r>
      <w:bookmarkStart w:id="283" w:name="_Hlk18567536"/>
      <w:r w:rsidRPr="00EF65AE">
        <w:rPr>
          <w:rFonts w:cs="Arial"/>
        </w:rPr>
        <w:t>Pakistan’s Challenging Gender-Based Violence Program</w:t>
      </w:r>
      <w:bookmarkEnd w:id="283"/>
      <w:r w:rsidRPr="00EF65AE">
        <w:rPr>
          <w:rFonts w:cs="Arial"/>
        </w:rPr>
        <w:t xml:space="preserve">, and </w:t>
      </w:r>
      <w:r w:rsidR="00373EF8">
        <w:rPr>
          <w:rFonts w:cs="Arial"/>
        </w:rPr>
        <w:t>Timor-Leste’s</w:t>
      </w:r>
      <w:r w:rsidR="00373EF8" w:rsidRPr="00EF65AE">
        <w:rPr>
          <w:rFonts w:cs="Arial"/>
        </w:rPr>
        <w:t xml:space="preserve"> </w:t>
      </w:r>
      <w:r w:rsidRPr="00EF65AE">
        <w:rPr>
          <w:rFonts w:cs="Arial"/>
          <w:i/>
        </w:rPr>
        <w:t>Nabilan</w:t>
      </w:r>
      <w:r w:rsidRPr="00EF65AE">
        <w:rPr>
          <w:rFonts w:cs="Arial"/>
        </w:rPr>
        <w:t xml:space="preserve"> </w:t>
      </w:r>
      <w:r w:rsidR="00732479">
        <w:rPr>
          <w:rFonts w:cs="Arial"/>
        </w:rPr>
        <w:t>p</w:t>
      </w:r>
      <w:r w:rsidRPr="00EF65AE">
        <w:rPr>
          <w:rFonts w:cs="Arial"/>
        </w:rPr>
        <w:t xml:space="preserve">rogram (Box 13). </w:t>
      </w:r>
    </w:p>
    <w:p w14:paraId="143B294F" w14:textId="35660B45" w:rsidR="00EF65AE" w:rsidRPr="00EF65AE" w:rsidRDefault="00EF65AE" w:rsidP="00EF65AE">
      <w:pPr>
        <w:pStyle w:val="CallOutHeading"/>
        <w:rPr>
          <w:rFonts w:cs="Arial"/>
        </w:rPr>
      </w:pPr>
      <w:r w:rsidRPr="00EF65AE">
        <w:rPr>
          <w:rFonts w:cs="Arial"/>
        </w:rPr>
        <w:t xml:space="preserve">Box 13: </w:t>
      </w:r>
      <w:r w:rsidRPr="00EF65AE">
        <w:rPr>
          <w:rFonts w:cs="Arial"/>
          <w:i/>
        </w:rPr>
        <w:t>Nabilan</w:t>
      </w:r>
      <w:r w:rsidRPr="00EF65AE">
        <w:rPr>
          <w:rFonts w:cs="Arial"/>
        </w:rPr>
        <w:t xml:space="preserve"> </w:t>
      </w:r>
      <w:r w:rsidR="00732479">
        <w:rPr>
          <w:rFonts w:cs="Arial"/>
        </w:rPr>
        <w:t>p</w:t>
      </w:r>
      <w:r w:rsidRPr="00EF65AE">
        <w:rPr>
          <w:rFonts w:cs="Arial"/>
        </w:rPr>
        <w:t>rogram in Timor-Leste</w:t>
      </w:r>
    </w:p>
    <w:p w14:paraId="3CAC897A" w14:textId="51AC0430" w:rsidR="00EF65AE" w:rsidRPr="00EF65AE" w:rsidRDefault="00EF65AE" w:rsidP="00EF65AE">
      <w:pPr>
        <w:pStyle w:val="CallOutBody"/>
        <w:rPr>
          <w:rFonts w:cs="Arial"/>
        </w:rPr>
      </w:pPr>
      <w:r w:rsidRPr="00EF65AE">
        <w:rPr>
          <w:rFonts w:cs="Arial"/>
        </w:rPr>
        <w:t xml:space="preserve">To address the causes and consequences of </w:t>
      </w:r>
      <w:r w:rsidR="006A6EAC">
        <w:rPr>
          <w:rFonts w:cs="Arial"/>
        </w:rPr>
        <w:t>violence against women a</w:t>
      </w:r>
      <w:r w:rsidR="00027336">
        <w:rPr>
          <w:rFonts w:cs="Arial"/>
        </w:rPr>
        <w:t>nd</w:t>
      </w:r>
      <w:r w:rsidR="006A6EAC">
        <w:rPr>
          <w:rFonts w:cs="Arial"/>
        </w:rPr>
        <w:t xml:space="preserve"> children</w:t>
      </w:r>
      <w:r w:rsidR="006A6EAC" w:rsidRPr="00EF65AE">
        <w:rPr>
          <w:rFonts w:cs="Arial"/>
        </w:rPr>
        <w:t xml:space="preserve"> </w:t>
      </w:r>
      <w:r w:rsidRPr="00EF65AE">
        <w:rPr>
          <w:rFonts w:cs="Arial"/>
        </w:rPr>
        <w:t xml:space="preserve">in Timor-Leste, Australia has partnered with The Asia Foundation, the Government of Timor-Leste and civil society to deliver </w:t>
      </w:r>
      <w:r w:rsidRPr="00EF65AE">
        <w:rPr>
          <w:rFonts w:cs="Arial"/>
          <w:i/>
        </w:rPr>
        <w:t>Nabilan</w:t>
      </w:r>
      <w:r w:rsidR="006A04E7">
        <w:rPr>
          <w:rFonts w:cs="Arial"/>
          <w:iCs/>
        </w:rPr>
        <w:t xml:space="preserve"> </w:t>
      </w:r>
      <w:r w:rsidRPr="00EF65AE">
        <w:rPr>
          <w:rFonts w:cs="Arial"/>
        </w:rPr>
        <w:t xml:space="preserve">($3 million, 2014–22). </w:t>
      </w:r>
      <w:r w:rsidR="00373EF8">
        <w:rPr>
          <w:rFonts w:cs="Arial"/>
          <w:i/>
          <w:iCs/>
        </w:rPr>
        <w:t>Nabilan</w:t>
      </w:r>
      <w:r w:rsidR="00373EF8">
        <w:rPr>
          <w:rFonts w:cs="Arial"/>
        </w:rPr>
        <w:t xml:space="preserve"> </w:t>
      </w:r>
      <w:r w:rsidRPr="00EF65AE">
        <w:rPr>
          <w:rFonts w:cs="Arial"/>
        </w:rPr>
        <w:t xml:space="preserve">aims to reduce the levels of violence experienced by women and children, and improve their wellbeing, by strengthening Timor-Leste’s overall system of prevention and response. </w:t>
      </w:r>
      <w:r w:rsidR="006A04E7">
        <w:rPr>
          <w:rFonts w:cs="Arial"/>
        </w:rPr>
        <w:t>It</w:t>
      </w:r>
      <w:r w:rsidRPr="00EF65AE">
        <w:rPr>
          <w:rFonts w:cs="Arial"/>
        </w:rPr>
        <w:t xml:space="preserve"> align</w:t>
      </w:r>
      <w:r w:rsidR="00373EF8">
        <w:rPr>
          <w:rFonts w:cs="Arial"/>
        </w:rPr>
        <w:t>s</w:t>
      </w:r>
      <w:r w:rsidRPr="00EF65AE">
        <w:rPr>
          <w:rFonts w:cs="Arial"/>
        </w:rPr>
        <w:t xml:space="preserve"> with Timor-Leste’s National Action Plan on Gender Based Violence and was designed with reference to </w:t>
      </w:r>
      <w:r w:rsidR="00E509F9">
        <w:rPr>
          <w:rFonts w:cs="Arial"/>
        </w:rPr>
        <w:t>the Socio-e</w:t>
      </w:r>
      <w:r w:rsidRPr="00EF65AE">
        <w:rPr>
          <w:rFonts w:cs="Arial"/>
        </w:rPr>
        <w:t xml:space="preserve">cological Framework. </w:t>
      </w:r>
    </w:p>
    <w:p w14:paraId="4222D5A0" w14:textId="0DEF751A" w:rsidR="00EF65AE" w:rsidRPr="00EF65AE" w:rsidRDefault="00EF65AE" w:rsidP="00EF65AE">
      <w:pPr>
        <w:pStyle w:val="CallOutBody"/>
        <w:rPr>
          <w:rFonts w:cs="Arial"/>
        </w:rPr>
      </w:pPr>
      <w:r w:rsidRPr="00EF65AE">
        <w:rPr>
          <w:rFonts w:cs="Arial"/>
          <w:i/>
        </w:rPr>
        <w:t>Nabilan</w:t>
      </w:r>
      <w:r w:rsidRPr="00EF65AE">
        <w:rPr>
          <w:rFonts w:cs="Arial"/>
        </w:rPr>
        <w:t xml:space="preserve"> is an example of a best</w:t>
      </w:r>
      <w:r w:rsidR="006A04E7">
        <w:rPr>
          <w:rFonts w:cs="Arial"/>
        </w:rPr>
        <w:t>-</w:t>
      </w:r>
      <w:r w:rsidRPr="00EF65AE">
        <w:rPr>
          <w:rFonts w:cs="Arial"/>
        </w:rPr>
        <w:t>practice approach to prevention, as assessed internally by DFAT and verified in this evaluation. It was designed to address multiple causes of violence on different levels. It has</w:t>
      </w:r>
      <w:r w:rsidR="00373EF8">
        <w:rPr>
          <w:rFonts w:cs="Arial"/>
        </w:rPr>
        <w:t xml:space="preserve"> the</w:t>
      </w:r>
      <w:r w:rsidRPr="00EF65AE">
        <w:rPr>
          <w:rFonts w:cs="Arial"/>
        </w:rPr>
        <w:t xml:space="preserve"> potential to develop a ‘critical mass’ of behaviour change, which could ultimately lead to fewer women and children experiencing violence in Timor-Leste. It will be possible to independently assess </w:t>
      </w:r>
      <w:r w:rsidR="006A04E7">
        <w:rPr>
          <w:rFonts w:cs="Arial"/>
        </w:rPr>
        <w:t>if</w:t>
      </w:r>
      <w:r w:rsidRPr="00EF65AE">
        <w:rPr>
          <w:rFonts w:cs="Arial"/>
        </w:rPr>
        <w:t xml:space="preserve"> expected change occurs, as a baseline survey was conducted early </w:t>
      </w:r>
      <w:r w:rsidR="00D74A07">
        <w:rPr>
          <w:rFonts w:cs="Arial"/>
        </w:rPr>
        <w:br/>
      </w:r>
      <w:r w:rsidRPr="00EF65AE">
        <w:rPr>
          <w:rFonts w:cs="Arial"/>
        </w:rPr>
        <w:t>in 2015.</w:t>
      </w:r>
    </w:p>
    <w:p w14:paraId="4D6A3FD4" w14:textId="71E9EA88" w:rsidR="00EF65AE" w:rsidRPr="00EF65AE" w:rsidRDefault="00EF65AE" w:rsidP="00EF65AE">
      <w:pPr>
        <w:pStyle w:val="CallOutBody"/>
        <w:rPr>
          <w:rFonts w:cs="Arial"/>
          <w:highlight w:val="yellow"/>
        </w:rPr>
      </w:pPr>
      <w:r w:rsidRPr="00EF65AE">
        <w:rPr>
          <w:rFonts w:cs="Arial"/>
          <w:i/>
        </w:rPr>
        <w:t>Nabilan</w:t>
      </w:r>
      <w:r w:rsidRPr="00EF65AE">
        <w:rPr>
          <w:rFonts w:cs="Arial"/>
        </w:rPr>
        <w:t xml:space="preserve">’s effectiveness is enabled, in part, by the relatively small country and institutional </w:t>
      </w:r>
      <w:r w:rsidR="00D74A07">
        <w:rPr>
          <w:rFonts w:cs="Arial"/>
        </w:rPr>
        <w:br/>
      </w:r>
      <w:r w:rsidRPr="00EF65AE">
        <w:rPr>
          <w:rFonts w:cs="Arial"/>
        </w:rPr>
        <w:t xml:space="preserve">context and Australia’s deep relationship with Timor-Leste. The approach could be harder to replicate but provides a model to consider in other countries where Australia is working with partners </w:t>
      </w:r>
      <w:r w:rsidR="00373EF8">
        <w:rPr>
          <w:rFonts w:cs="Arial"/>
        </w:rPr>
        <w:t>on EVAWG</w:t>
      </w:r>
      <w:r w:rsidRPr="00EF65AE">
        <w:rPr>
          <w:rFonts w:cs="Arial"/>
        </w:rPr>
        <w:t>.</w:t>
      </w:r>
    </w:p>
    <w:p w14:paraId="001F86A7" w14:textId="77777777" w:rsidR="00EF65AE" w:rsidRPr="00EF65AE" w:rsidRDefault="00EF65AE" w:rsidP="008167F8">
      <w:bookmarkStart w:id="284" w:name="_Toc977511"/>
      <w:r w:rsidRPr="00EF65AE">
        <w:t>Australian funding for existing, high-quality organisations</w:t>
      </w:r>
      <w:r w:rsidR="006A04E7">
        <w:t>,</w:t>
      </w:r>
      <w:r w:rsidRPr="00EF65AE">
        <w:t xml:space="preserve"> such as the F</w:t>
      </w:r>
      <w:r w:rsidR="00373EF8">
        <w:t>WCC</w:t>
      </w:r>
      <w:r w:rsidRPr="00EF65AE">
        <w:t xml:space="preserve"> and </w:t>
      </w:r>
      <w:r w:rsidR="00373EF8">
        <w:t>VWC</w:t>
      </w:r>
      <w:r w:rsidR="006A04E7">
        <w:t>,</w:t>
      </w:r>
      <w:r w:rsidRPr="00EF65AE">
        <w:t xml:space="preserve"> was found to be another strategy for supporting global best</w:t>
      </w:r>
      <w:r w:rsidR="006A04E7">
        <w:t>-</w:t>
      </w:r>
      <w:r w:rsidRPr="00EF65AE">
        <w:t>practice prevention approaches.</w:t>
      </w:r>
    </w:p>
    <w:p w14:paraId="547D77F4" w14:textId="77777777" w:rsidR="00EF65AE" w:rsidRPr="00EF65AE" w:rsidRDefault="00EF65AE" w:rsidP="008167F8">
      <w:pPr>
        <w:pStyle w:val="Heading3NoTOC"/>
      </w:pPr>
      <w:r w:rsidRPr="00EF65AE">
        <w:t>Intersectionality and prevention</w:t>
      </w:r>
      <w:bookmarkEnd w:id="284"/>
    </w:p>
    <w:p w14:paraId="428A2E47" w14:textId="3773E1F1" w:rsidR="00EF65AE" w:rsidRPr="00EF65AE" w:rsidRDefault="000A4DD0" w:rsidP="00EF65AE">
      <w:pPr>
        <w:rPr>
          <w:rFonts w:cs="Arial"/>
        </w:rPr>
      </w:pPr>
      <w:r w:rsidRPr="00C41F18">
        <w:rPr>
          <w:rFonts w:cs="Arial"/>
        </w:rPr>
        <w:t>Some</w:t>
      </w:r>
      <w:r w:rsidR="00EF65AE" w:rsidRPr="00C41F18">
        <w:rPr>
          <w:rFonts w:cs="Arial"/>
        </w:rPr>
        <w:t xml:space="preserve"> Australian-funded prevention programs </w:t>
      </w:r>
      <w:r w:rsidRPr="00C41F18">
        <w:rPr>
          <w:rFonts w:cs="Arial"/>
        </w:rPr>
        <w:t xml:space="preserve">have </w:t>
      </w:r>
      <w:r w:rsidR="00EF65AE" w:rsidRPr="00C41F18">
        <w:rPr>
          <w:rFonts w:cs="Arial"/>
        </w:rPr>
        <w:t xml:space="preserve">consistently and systematically </w:t>
      </w:r>
      <w:r w:rsidR="00937DA6">
        <w:rPr>
          <w:rFonts w:cs="Arial"/>
        </w:rPr>
        <w:t xml:space="preserve">taken </w:t>
      </w:r>
      <w:r w:rsidR="00EF65AE" w:rsidRPr="00C41F18">
        <w:rPr>
          <w:rFonts w:cs="Arial"/>
        </w:rPr>
        <w:t xml:space="preserve"> an intersectional approach. The </w:t>
      </w:r>
      <w:r w:rsidR="00EF65AE" w:rsidRPr="00C41F18">
        <w:rPr>
          <w:rFonts w:cs="Arial"/>
          <w:i/>
        </w:rPr>
        <w:t>Peduli</w:t>
      </w:r>
      <w:r w:rsidR="00EF65AE" w:rsidRPr="00C41F18">
        <w:rPr>
          <w:rFonts w:cs="Arial"/>
        </w:rPr>
        <w:t xml:space="preserve"> </w:t>
      </w:r>
      <w:r w:rsidR="0097278F" w:rsidRPr="00C41F18">
        <w:rPr>
          <w:rFonts w:cs="Arial"/>
        </w:rPr>
        <w:t>P</w:t>
      </w:r>
      <w:r w:rsidR="00EF65AE" w:rsidRPr="00C41F18">
        <w:rPr>
          <w:rFonts w:cs="Arial"/>
        </w:rPr>
        <w:t xml:space="preserve">rogram in Indonesia and </w:t>
      </w:r>
      <w:r w:rsidR="00EF65AE" w:rsidRPr="00C41F18">
        <w:rPr>
          <w:rFonts w:cs="Arial"/>
          <w:i/>
        </w:rPr>
        <w:t>Nabilan</w:t>
      </w:r>
      <w:r w:rsidR="00EF65AE" w:rsidRPr="00C41F18">
        <w:rPr>
          <w:rFonts w:cs="Arial"/>
        </w:rPr>
        <w:t xml:space="preserve"> in Timor-Leste</w:t>
      </w:r>
      <w:r w:rsidRPr="00C41F18">
        <w:rPr>
          <w:rFonts w:cs="Arial"/>
        </w:rPr>
        <w:t xml:space="preserve"> have</w:t>
      </w:r>
      <w:r w:rsidR="00EF65AE" w:rsidRPr="00C41F18">
        <w:rPr>
          <w:rFonts w:cs="Arial"/>
        </w:rPr>
        <w:t xml:space="preserve"> engaged meaningfully with organisations</w:t>
      </w:r>
      <w:r w:rsidRPr="00C41F18">
        <w:rPr>
          <w:rFonts w:cs="Arial"/>
        </w:rPr>
        <w:t xml:space="preserve"> representing people with disabilities</w:t>
      </w:r>
      <w:r w:rsidR="00EF65AE" w:rsidRPr="00C41F18">
        <w:rPr>
          <w:rFonts w:cs="Arial"/>
        </w:rPr>
        <w:t xml:space="preserve"> and </w:t>
      </w:r>
      <w:r w:rsidRPr="00C41F18">
        <w:rPr>
          <w:rFonts w:cs="Arial"/>
        </w:rPr>
        <w:t>other marginalised groups</w:t>
      </w:r>
      <w:r w:rsidR="00937DA6">
        <w:rPr>
          <w:rFonts w:cs="Arial"/>
        </w:rPr>
        <w:t>.</w:t>
      </w:r>
      <w:r w:rsidR="00EF65AE" w:rsidRPr="00C41F18">
        <w:rPr>
          <w:rFonts w:cs="Arial"/>
        </w:rPr>
        <w:t xml:space="preserve"> </w:t>
      </w:r>
      <w:r w:rsidR="00EF65AE" w:rsidRPr="00EF65AE">
        <w:rPr>
          <w:rFonts w:cs="Arial"/>
        </w:rPr>
        <w:t xml:space="preserve">Australia has demonstrated increased awareness of the need to address violence </w:t>
      </w:r>
      <w:r w:rsidR="002C2FFE">
        <w:rPr>
          <w:rFonts w:cs="Arial"/>
        </w:rPr>
        <w:t>related to gender identity</w:t>
      </w:r>
      <w:r w:rsidR="00C41F18">
        <w:rPr>
          <w:rFonts w:cs="Arial"/>
        </w:rPr>
        <w:t xml:space="preserve"> and orientation</w:t>
      </w:r>
      <w:r w:rsidR="002C2FFE">
        <w:rPr>
          <w:rFonts w:cs="Arial"/>
        </w:rPr>
        <w:t xml:space="preserve"> </w:t>
      </w:r>
      <w:r w:rsidR="00EF65AE" w:rsidRPr="00EF65AE">
        <w:rPr>
          <w:rFonts w:cs="Arial"/>
        </w:rPr>
        <w:t xml:space="preserve">in its programs. </w:t>
      </w:r>
      <w:r>
        <w:rPr>
          <w:rFonts w:cs="Arial"/>
        </w:rPr>
        <w:t>T</w:t>
      </w:r>
      <w:r w:rsidR="00EF65AE" w:rsidRPr="00EF65AE">
        <w:rPr>
          <w:rFonts w:cs="Arial"/>
        </w:rPr>
        <w:t xml:space="preserve">hese programs </w:t>
      </w:r>
      <w:r>
        <w:rPr>
          <w:rFonts w:cs="Arial"/>
        </w:rPr>
        <w:t>are</w:t>
      </w:r>
      <w:r w:rsidRPr="00EF65AE">
        <w:rPr>
          <w:rFonts w:cs="Arial"/>
        </w:rPr>
        <w:t xml:space="preserve"> </w:t>
      </w:r>
      <w:r w:rsidR="00D74A07">
        <w:rPr>
          <w:rFonts w:cs="Arial"/>
        </w:rPr>
        <w:br/>
      </w:r>
      <w:r w:rsidR="00EF65AE" w:rsidRPr="00EF65AE">
        <w:rPr>
          <w:rFonts w:cs="Arial"/>
        </w:rPr>
        <w:t>relatively limited</w:t>
      </w:r>
      <w:r w:rsidR="00027336">
        <w:rPr>
          <w:rFonts w:cs="Arial"/>
        </w:rPr>
        <w:t>,</w:t>
      </w:r>
      <w:r w:rsidR="00EF65AE" w:rsidRPr="00EF65AE">
        <w:rPr>
          <w:rFonts w:cs="Arial"/>
        </w:rPr>
        <w:t xml:space="preserve"> and work continues to be challenging, particularly in highly </w:t>
      </w:r>
      <w:r w:rsidR="00C553EB">
        <w:rPr>
          <w:rFonts w:cs="Arial"/>
        </w:rPr>
        <w:t xml:space="preserve">conservative or </w:t>
      </w:r>
      <w:r w:rsidR="00EF65AE" w:rsidRPr="00EF65AE">
        <w:rPr>
          <w:rFonts w:cs="Arial"/>
        </w:rPr>
        <w:t xml:space="preserve">religious contexts. </w:t>
      </w:r>
    </w:p>
    <w:p w14:paraId="019BD774" w14:textId="77777777" w:rsidR="00EF65AE" w:rsidRPr="00EF65AE" w:rsidRDefault="00EF65AE" w:rsidP="008167F8">
      <w:pPr>
        <w:pStyle w:val="Heading3NoTOC"/>
      </w:pPr>
      <w:bookmarkStart w:id="285" w:name="_Toc977506"/>
      <w:r w:rsidRPr="00EF65AE">
        <w:t>Community-based prevention programs</w:t>
      </w:r>
      <w:bookmarkEnd w:id="285"/>
    </w:p>
    <w:p w14:paraId="52A52B4C" w14:textId="77777777" w:rsidR="00EF65AE" w:rsidRPr="00EF65AE" w:rsidRDefault="00EF65AE" w:rsidP="00EF65AE">
      <w:pPr>
        <w:rPr>
          <w:rFonts w:cs="Arial"/>
        </w:rPr>
      </w:pPr>
      <w:r w:rsidRPr="00EF65AE">
        <w:rPr>
          <w:rFonts w:cs="Arial"/>
        </w:rPr>
        <w:t>Community mobilisation programs aim to empower women, engage men and change gender norms at a community level. The</w:t>
      </w:r>
      <w:r w:rsidR="006A04E7">
        <w:rPr>
          <w:rFonts w:cs="Arial"/>
        </w:rPr>
        <w:t>y</w:t>
      </w:r>
      <w:r w:rsidRPr="00EF65AE">
        <w:rPr>
          <w:rFonts w:cs="Arial"/>
        </w:rPr>
        <w:t xml:space="preserve"> have </w:t>
      </w:r>
      <w:r w:rsidR="00373EF8">
        <w:rPr>
          <w:rFonts w:cs="Arial"/>
        </w:rPr>
        <w:t>reduced</w:t>
      </w:r>
      <w:r w:rsidRPr="00EF65AE">
        <w:rPr>
          <w:rFonts w:cs="Arial"/>
        </w:rPr>
        <w:t xml:space="preserve"> rates of violence against women.</w:t>
      </w:r>
      <w:r w:rsidRPr="00EF65AE">
        <w:rPr>
          <w:rFonts w:cs="Arial"/>
        </w:rPr>
        <w:fldChar w:fldCharType="begin"/>
      </w:r>
      <w:r w:rsidRPr="00EF65AE">
        <w:rPr>
          <w:rFonts w:cs="Arial"/>
        </w:rPr>
        <w:instrText xml:space="preserve"> ADDIN ZOTERO_ITEM CSL_CITATION {"citationID":"a1d02np4rqp","properties":{"formattedCitation":"\\super 50,52,88\\nosupersub{}","plainCitation":"50,52,88","noteIndex":0},"citationItems":[{"id":117,"uris":["http://zotero.org/users/4194704/items/UNXB52LN"],"uri":["http://zotero.org/users/4194704/items/UNXB52LN"],"itemData":{"id":117,"type":"report","title":"What works to prevent violence against women and girls evidence reviews. Paper 1: State of the field of research on violence against women and girls","publisher":"What Works to Prevent Violence","publisher-place":"Pretoria","event-place":"Pretoria","author":[{"family":"Fulu","given":"Emma"},{"family":"Heise","given":"Lori"}],"issued":{"date-parts":[["2015"]]}}},{"id":195,"uris":["http://zotero.org/users/4194704/items/TNE2AUR8"],"uri":["http://zotero.org/users/4194704/items/TNE2AUR8"],"itemData":{"id":195,"type":"report","title":"What Works Evidence Review: Social norms and violence against women and girls","publisher":"DFID","publisher-place":"London","event-place":"London","author":[{"family":"Jewkes","given":"Rachel"}],"issued":{"date-parts":[["2017"]]}}},{"id":92,"uris":["http://zotero.org/users/4194704/items/R3LYQA9W"],"uri":["http://zotero.org/users/4194704/items/R3LYQA9W"],"itemData":{"id":92,"type":"article-journal","title":"Prevention of violence against women and girls: what does the evidence say?","container-title":"The Lancet","page":"1555-1566","volume":"385","issue":"9977","ISSN":"0140-6736","author":[{"family":"Ellsberg","given":"Mary"},{"family":"Arango","given":"Diana J."},{"family":"Morton","given":"Matthew"},{"family":"Gennari","given":"Floriza"},{"family":"Kiplesund","given":"Sveinung"},{"family":"Contreras","given":"Manuel"},{"family":"Watts","given":"Charlotte"}],"issued":{"date-parts":[["2015"]]}}}],"schema":"https://github.com/citation-style-language/schema/raw/master/csl-citation.json"} </w:instrText>
      </w:r>
      <w:r w:rsidRPr="00EF65AE">
        <w:rPr>
          <w:rFonts w:cs="Arial"/>
        </w:rPr>
        <w:fldChar w:fldCharType="separate"/>
      </w:r>
      <w:r w:rsidRPr="00EF65AE">
        <w:rPr>
          <w:rFonts w:cs="Arial"/>
          <w:vertAlign w:val="superscript"/>
          <w:lang w:val="en-US"/>
        </w:rPr>
        <w:t>50,52,88</w:t>
      </w:r>
      <w:r w:rsidRPr="00EF65AE">
        <w:rPr>
          <w:rFonts w:cs="Arial"/>
        </w:rPr>
        <w:fldChar w:fldCharType="end"/>
      </w:r>
      <w:r w:rsidRPr="00EF65AE">
        <w:rPr>
          <w:rFonts w:cs="Arial"/>
        </w:rPr>
        <w:t xml:space="preserve"> The most effective include participatory workshops that explore gender and relationships, build skills and engage a wide range of stakeholders.</w:t>
      </w:r>
      <w:r w:rsidRPr="00EF65AE">
        <w:rPr>
          <w:rFonts w:cs="Arial"/>
        </w:rPr>
        <w:fldChar w:fldCharType="begin"/>
      </w:r>
      <w:r w:rsidRPr="00EF65AE">
        <w:rPr>
          <w:rFonts w:cs="Arial"/>
        </w:rPr>
        <w:instrText xml:space="preserve"> ADDIN ZOTERO_ITEM CSL_CITATION {"citationID":"a1dg238pf4o","properties":{"formattedCitation":"\\super 52\\nosupersub{}","plainCitation":"52","noteIndex":0},"citationItems":[{"id":195,"uris":["http://zotero.org/users/4194704/items/TNE2AUR8"],"uri":["http://zotero.org/users/4194704/items/TNE2AUR8"],"itemData":{"id":195,"type":"report","title":"What Works Evidence Review: Social norms and violence against women and girls","publisher":"DFID","publisher-place":"London","event-place":"London","author":[{"family":"Jewkes","given":"Rachel"}],"issued":{"date-parts":[["2017"]]}}}],"schema":"https://github.com/citation-style-language/schema/raw/master/csl-citation.json"} </w:instrText>
      </w:r>
      <w:r w:rsidRPr="00EF65AE">
        <w:rPr>
          <w:rFonts w:cs="Arial"/>
        </w:rPr>
        <w:fldChar w:fldCharType="separate"/>
      </w:r>
      <w:r w:rsidRPr="00EF65AE">
        <w:rPr>
          <w:rFonts w:cs="Arial"/>
          <w:vertAlign w:val="superscript"/>
          <w:lang w:val="en-US"/>
        </w:rPr>
        <w:t>52</w:t>
      </w:r>
      <w:r w:rsidRPr="00EF65AE">
        <w:rPr>
          <w:rFonts w:cs="Arial"/>
        </w:rPr>
        <w:fldChar w:fldCharType="end"/>
      </w:r>
      <w:r w:rsidRPr="00EF65AE">
        <w:rPr>
          <w:rFonts w:cs="Arial"/>
        </w:rPr>
        <w:t xml:space="preserve"> </w:t>
      </w:r>
    </w:p>
    <w:p w14:paraId="257AD841" w14:textId="2DF82E11" w:rsidR="00EF65AE" w:rsidRPr="000251EA" w:rsidRDefault="00EF65AE" w:rsidP="000231B9">
      <w:pPr>
        <w:pStyle w:val="IndentQuote"/>
        <w:rPr>
          <w:i w:val="0"/>
          <w:iCs/>
        </w:rPr>
      </w:pPr>
      <w:r w:rsidRPr="00B70FF2">
        <w:t xml:space="preserve">In our culture, men are on top. But after Community Conversations, we see some women (especially mothers), more empowered to have a voice, even in their family. Everyone, kids and people with disabilities, and everyone has right to speak out. </w:t>
      </w:r>
      <w:r w:rsidR="00D74A07" w:rsidRPr="00B70FF2">
        <w:br/>
      </w:r>
      <w:r w:rsidRPr="00B70FF2">
        <w:t xml:space="preserve">Even young girls have more voice now. </w:t>
      </w:r>
      <w:r w:rsidRPr="000251EA">
        <w:rPr>
          <w:i w:val="0"/>
          <w:iCs/>
        </w:rPr>
        <w:t xml:space="preserve">– </w:t>
      </w:r>
      <w:r w:rsidR="00027336">
        <w:rPr>
          <w:i w:val="0"/>
          <w:iCs/>
        </w:rPr>
        <w:t>R</w:t>
      </w:r>
      <w:r w:rsidR="00C41F18">
        <w:rPr>
          <w:i w:val="0"/>
          <w:iCs/>
        </w:rPr>
        <w:t>epresentative of c</w:t>
      </w:r>
      <w:r w:rsidRPr="000251EA">
        <w:rPr>
          <w:i w:val="0"/>
          <w:iCs/>
        </w:rPr>
        <w:t>ommunity-based organisation, PNG</w:t>
      </w:r>
    </w:p>
    <w:p w14:paraId="74C70C27" w14:textId="77777777" w:rsidR="00EF65AE" w:rsidRPr="00EF65AE" w:rsidRDefault="00EF65AE" w:rsidP="00EF65AE">
      <w:pPr>
        <w:rPr>
          <w:rFonts w:cs="Arial"/>
        </w:rPr>
      </w:pPr>
      <w:r w:rsidRPr="00EF65AE">
        <w:rPr>
          <w:rFonts w:cs="Arial"/>
        </w:rPr>
        <w:t>Compared to the 2008 ODE evaluation, this evaluation found an increase in Australian-funded</w:t>
      </w:r>
      <w:r w:rsidR="006A04E7">
        <w:rPr>
          <w:rFonts w:cs="Arial"/>
        </w:rPr>
        <w:t>,</w:t>
      </w:r>
      <w:r w:rsidRPr="00EF65AE">
        <w:rPr>
          <w:rFonts w:cs="Arial"/>
        </w:rPr>
        <w:t xml:space="preserve"> community-based prevention programs. These focused on social norm change and included substantial investments in Indonesia, Kiribati, </w:t>
      </w:r>
      <w:r w:rsidR="006A04E7">
        <w:rPr>
          <w:rFonts w:cs="Arial"/>
        </w:rPr>
        <w:t xml:space="preserve">Pakistan, </w:t>
      </w:r>
      <w:r w:rsidRPr="00EF65AE">
        <w:rPr>
          <w:rFonts w:cs="Arial"/>
        </w:rPr>
        <w:t>P</w:t>
      </w:r>
      <w:r w:rsidR="006A04E7">
        <w:rPr>
          <w:rFonts w:cs="Arial"/>
        </w:rPr>
        <w:t>NG</w:t>
      </w:r>
      <w:r w:rsidRPr="00EF65AE">
        <w:rPr>
          <w:rFonts w:cs="Arial"/>
        </w:rPr>
        <w:t xml:space="preserve">, Solomon Islands and Timor-Leste. Indeed, community-based prevention is now one of the most common types of Australian-supported prevention programs in the Pacific. Some programs extend to rural and remote areas. </w:t>
      </w:r>
    </w:p>
    <w:p w14:paraId="132A2C82" w14:textId="77777777" w:rsidR="00EF65AE" w:rsidRPr="00EF65AE" w:rsidRDefault="00EF65AE" w:rsidP="00EF65AE">
      <w:pPr>
        <w:rPr>
          <w:rFonts w:cs="Arial"/>
        </w:rPr>
      </w:pPr>
      <w:r w:rsidRPr="00EF65AE">
        <w:rPr>
          <w:rFonts w:cs="Arial"/>
        </w:rPr>
        <w:t>Th</w:t>
      </w:r>
      <w:r w:rsidR="008A277B">
        <w:rPr>
          <w:rFonts w:cs="Arial"/>
        </w:rPr>
        <w:t>is</w:t>
      </w:r>
      <w:r w:rsidRPr="00EF65AE">
        <w:rPr>
          <w:rFonts w:cs="Arial"/>
        </w:rPr>
        <w:t xml:space="preserve"> evaluation found </w:t>
      </w:r>
      <w:r w:rsidR="008A277B">
        <w:rPr>
          <w:rFonts w:cs="Arial"/>
        </w:rPr>
        <w:t xml:space="preserve">that </w:t>
      </w:r>
      <w:r w:rsidRPr="00EF65AE">
        <w:rPr>
          <w:rFonts w:cs="Arial"/>
        </w:rPr>
        <w:t xml:space="preserve">these programs </w:t>
      </w:r>
      <w:r w:rsidR="00921D5D">
        <w:rPr>
          <w:rFonts w:cs="Arial"/>
        </w:rPr>
        <w:t>are</w:t>
      </w:r>
      <w:r w:rsidRPr="00EF65AE">
        <w:rPr>
          <w:rFonts w:cs="Arial"/>
        </w:rPr>
        <w:t xml:space="preserve"> having some success, however, implementation quality varie</w:t>
      </w:r>
      <w:r w:rsidR="008A277B">
        <w:rPr>
          <w:rFonts w:cs="Arial"/>
        </w:rPr>
        <w:t>s</w:t>
      </w:r>
      <w:r w:rsidRPr="00EF65AE">
        <w:rPr>
          <w:rFonts w:cs="Arial"/>
        </w:rPr>
        <w:t xml:space="preserve"> across </w:t>
      </w:r>
      <w:r w:rsidR="00DE3FE9">
        <w:rPr>
          <w:rFonts w:cs="Arial"/>
        </w:rPr>
        <w:t>focus</w:t>
      </w:r>
      <w:r w:rsidR="00DE3FE9" w:rsidRPr="00EF65AE">
        <w:rPr>
          <w:rFonts w:cs="Arial"/>
        </w:rPr>
        <w:t xml:space="preserve"> </w:t>
      </w:r>
      <w:r w:rsidRPr="00EF65AE">
        <w:rPr>
          <w:rFonts w:cs="Arial"/>
        </w:rPr>
        <w:t>countries.</w:t>
      </w:r>
    </w:p>
    <w:p w14:paraId="53FA1FE9" w14:textId="77777777" w:rsidR="00EF65AE" w:rsidRPr="00EF65AE" w:rsidRDefault="00EF65AE" w:rsidP="00EF65AE">
      <w:pPr>
        <w:rPr>
          <w:rFonts w:cs="Arial"/>
        </w:rPr>
      </w:pPr>
      <w:r w:rsidRPr="00EF65AE">
        <w:rPr>
          <w:rFonts w:cs="Arial"/>
          <w:b/>
        </w:rPr>
        <w:t xml:space="preserve">Volunteerism: </w:t>
      </w:r>
      <w:r w:rsidRPr="00EF65AE">
        <w:rPr>
          <w:rFonts w:cs="Arial"/>
        </w:rPr>
        <w:t>Community-based programs often depend on volunteers to take messages to communities. This helps with sustainability, but it can be hard to motivate people to work for free, especially whe</w:t>
      </w:r>
      <w:r w:rsidR="00DE3FE9">
        <w:rPr>
          <w:rFonts w:cs="Arial"/>
        </w:rPr>
        <w:t>re</w:t>
      </w:r>
      <w:r w:rsidRPr="00EF65AE">
        <w:rPr>
          <w:rFonts w:cs="Arial"/>
        </w:rPr>
        <w:t xml:space="preserve"> employment rates</w:t>
      </w:r>
      <w:r w:rsidR="00DE3FE9">
        <w:rPr>
          <w:rFonts w:cs="Arial"/>
        </w:rPr>
        <w:t xml:space="preserve"> are low</w:t>
      </w:r>
      <w:r w:rsidRPr="00EF65AE">
        <w:rPr>
          <w:rFonts w:cs="Arial"/>
        </w:rPr>
        <w:t xml:space="preserve">. Australian-supported programs in </w:t>
      </w:r>
      <w:r w:rsidR="008A277B">
        <w:rPr>
          <w:rFonts w:cs="Arial"/>
        </w:rPr>
        <w:t xml:space="preserve">Pakistan and </w:t>
      </w:r>
      <w:r w:rsidRPr="00EF65AE">
        <w:rPr>
          <w:rFonts w:cs="Arial"/>
        </w:rPr>
        <w:t>Timor-Leste addressed this by trying to bring other benefits and opportunities to volunteers and their communit</w:t>
      </w:r>
      <w:r w:rsidR="008A277B">
        <w:rPr>
          <w:rFonts w:cs="Arial"/>
        </w:rPr>
        <w:t>ies</w:t>
      </w:r>
      <w:r w:rsidRPr="00EF65AE">
        <w:rPr>
          <w:rFonts w:cs="Arial"/>
        </w:rPr>
        <w:t>, such as study tours, computer classes, and travel for conferences and workshops. Australia could better support these approaches by ensuring budget</w:t>
      </w:r>
      <w:r w:rsidR="008A277B">
        <w:rPr>
          <w:rFonts w:cs="Arial"/>
        </w:rPr>
        <w:t>s are</w:t>
      </w:r>
      <w:r w:rsidRPr="00EF65AE">
        <w:rPr>
          <w:rFonts w:cs="Arial"/>
        </w:rPr>
        <w:t xml:space="preserve"> available to support volunteer needs and by capitalising on synergies between economic empowerment programs and community-based prevention programs. </w:t>
      </w:r>
    </w:p>
    <w:p w14:paraId="3DA71FB0" w14:textId="15A34ACD" w:rsidR="00EF65AE" w:rsidRPr="00EF65AE" w:rsidRDefault="00EF65AE" w:rsidP="00EF65AE">
      <w:pPr>
        <w:rPr>
          <w:rFonts w:cs="Arial"/>
        </w:rPr>
      </w:pPr>
      <w:r w:rsidRPr="00EF65AE">
        <w:rPr>
          <w:rFonts w:cs="Arial"/>
          <w:b/>
        </w:rPr>
        <w:t xml:space="preserve">Staff training: </w:t>
      </w:r>
      <w:r w:rsidRPr="00EF65AE">
        <w:rPr>
          <w:rFonts w:cs="Arial"/>
        </w:rPr>
        <w:t xml:space="preserve">There is global evidence that staff working on prevention programs need to self-reflect before they can effectively support others in the community to change attitudes and behaviours. This is especially relevant in contexts where staff have no prior background in human rights or gender equality. In the </w:t>
      </w:r>
      <w:r w:rsidR="00DE3FE9">
        <w:rPr>
          <w:rFonts w:cs="Arial"/>
        </w:rPr>
        <w:t xml:space="preserve">focus </w:t>
      </w:r>
      <w:r w:rsidRPr="00EF65AE">
        <w:rPr>
          <w:rFonts w:cs="Arial"/>
        </w:rPr>
        <w:t>countries, program managers considered</w:t>
      </w:r>
      <w:r w:rsidR="00DE3FE9">
        <w:rPr>
          <w:rFonts w:cs="Arial"/>
        </w:rPr>
        <w:t xml:space="preserve"> that</w:t>
      </w:r>
      <w:r w:rsidRPr="00EF65AE">
        <w:rPr>
          <w:rFonts w:cs="Arial"/>
        </w:rPr>
        <w:t xml:space="preserve"> support for initial staff development was insufficient—in funding and time—</w:t>
      </w:r>
      <w:r w:rsidR="00DE3FE9">
        <w:rPr>
          <w:rFonts w:cs="Arial"/>
        </w:rPr>
        <w:t>which</w:t>
      </w:r>
      <w:r w:rsidRPr="00EF65AE">
        <w:rPr>
          <w:rFonts w:cs="Arial"/>
        </w:rPr>
        <w:t xml:space="preserve"> led to problems with </w:t>
      </w:r>
      <w:r w:rsidR="00D74A07">
        <w:rPr>
          <w:rFonts w:cs="Arial"/>
        </w:rPr>
        <w:br/>
      </w:r>
      <w:r w:rsidRPr="00EF65AE">
        <w:rPr>
          <w:rFonts w:cs="Arial"/>
        </w:rPr>
        <w:t xml:space="preserve">program effectiveness. Similar training is also important for prevention program managers in Australian </w:t>
      </w:r>
      <w:r w:rsidR="008B0402">
        <w:rPr>
          <w:rFonts w:cs="Arial"/>
        </w:rPr>
        <w:t>Posts</w:t>
      </w:r>
      <w:r w:rsidRPr="00EF65AE">
        <w:rPr>
          <w:rFonts w:cs="Arial"/>
        </w:rPr>
        <w:t xml:space="preserve">. </w:t>
      </w:r>
    </w:p>
    <w:p w14:paraId="4F7767F2" w14:textId="77777777" w:rsidR="00EF65AE" w:rsidRPr="00EF65AE" w:rsidRDefault="00EF65AE" w:rsidP="00EF65AE">
      <w:pPr>
        <w:rPr>
          <w:rFonts w:cs="Arial"/>
        </w:rPr>
      </w:pPr>
      <w:r w:rsidRPr="00EF65AE">
        <w:rPr>
          <w:rFonts w:cs="Arial"/>
          <w:b/>
        </w:rPr>
        <w:t xml:space="preserve">Clear messages: </w:t>
      </w:r>
      <w:r w:rsidRPr="00EF65AE">
        <w:rPr>
          <w:rFonts w:cs="Arial"/>
        </w:rPr>
        <w:t xml:space="preserve">One of the strongest learnings from evaluation field visits was that without clear messages, it was difficult for program staff to effectively communicate key prevention ideas to volunteers, and for volunteers to communicate prevention ideas to community members. Clear prevention messages were those which made sense in the context and which staff and volunteers could easily understand and explain to others. </w:t>
      </w:r>
    </w:p>
    <w:p w14:paraId="32DB93EB" w14:textId="1FD0951B" w:rsidR="00EF65AE" w:rsidRPr="00EF65AE" w:rsidRDefault="00EF65AE" w:rsidP="00EF65AE">
      <w:pPr>
        <w:rPr>
          <w:rFonts w:cs="Arial"/>
        </w:rPr>
      </w:pPr>
      <w:r w:rsidRPr="00EF65AE">
        <w:rPr>
          <w:rFonts w:cs="Arial"/>
          <w:b/>
        </w:rPr>
        <w:t xml:space="preserve">Scaling up based on evidence: </w:t>
      </w:r>
      <w:r w:rsidRPr="00EF65AE">
        <w:rPr>
          <w:rFonts w:cs="Arial"/>
        </w:rPr>
        <w:t>Th</w:t>
      </w:r>
      <w:r w:rsidR="008A277B">
        <w:rPr>
          <w:rFonts w:cs="Arial"/>
        </w:rPr>
        <w:t>is</w:t>
      </w:r>
      <w:r w:rsidRPr="00EF65AE">
        <w:rPr>
          <w:rFonts w:cs="Arial"/>
        </w:rPr>
        <w:t xml:space="preserve"> evaluation found examples of prevention programs being scaled up without robust evidence regarding their effects—including unintended effects. This risked expanding programs that could do harm or wasting resources on ineffective programs. Rural and remote locations</w:t>
      </w:r>
      <w:r w:rsidR="008B44CA">
        <w:rPr>
          <w:rFonts w:cs="Arial"/>
        </w:rPr>
        <w:t>,</w:t>
      </w:r>
      <w:r w:rsidRPr="00EF65AE">
        <w:rPr>
          <w:rFonts w:cs="Arial"/>
        </w:rPr>
        <w:t xml:space="preserve"> in particular, remain underserved by prevention</w:t>
      </w:r>
      <w:r w:rsidR="008A277B">
        <w:rPr>
          <w:rFonts w:cs="Arial"/>
        </w:rPr>
        <w:t xml:space="preserve"> </w:t>
      </w:r>
      <w:r w:rsidRPr="00EF65AE">
        <w:rPr>
          <w:rFonts w:cs="Arial"/>
        </w:rPr>
        <w:t>and all EVAWG</w:t>
      </w:r>
      <w:r w:rsidR="008A277B">
        <w:rPr>
          <w:rFonts w:cs="Arial"/>
        </w:rPr>
        <w:t xml:space="preserve"> </w:t>
      </w:r>
      <w:r w:rsidRPr="00EF65AE">
        <w:rPr>
          <w:rFonts w:cs="Arial"/>
        </w:rPr>
        <w:t xml:space="preserve">programming. They should be a priority for prevention and other EVAWG assistance, </w:t>
      </w:r>
      <w:r w:rsidR="008A277B">
        <w:rPr>
          <w:rFonts w:cs="Arial"/>
        </w:rPr>
        <w:t>bearing in mind that such</w:t>
      </w:r>
      <w:r w:rsidR="008A277B" w:rsidRPr="00EF65AE">
        <w:rPr>
          <w:rFonts w:cs="Arial"/>
        </w:rPr>
        <w:t xml:space="preserve"> </w:t>
      </w:r>
      <w:r w:rsidRPr="00EF65AE">
        <w:rPr>
          <w:rFonts w:cs="Arial"/>
        </w:rPr>
        <w:t xml:space="preserve">assistance needs to be informed by reliable, contextualised evidence to give it the best chance </w:t>
      </w:r>
      <w:r w:rsidR="00D74A07">
        <w:rPr>
          <w:rFonts w:cs="Arial"/>
        </w:rPr>
        <w:br/>
      </w:r>
      <w:r w:rsidRPr="00EF65AE">
        <w:rPr>
          <w:rFonts w:cs="Arial"/>
        </w:rPr>
        <w:t>of success.</w:t>
      </w:r>
    </w:p>
    <w:p w14:paraId="2CC67284" w14:textId="5D3522F0" w:rsidR="00EF65AE" w:rsidRPr="00EF65AE" w:rsidRDefault="00EF65AE" w:rsidP="00EF65AE">
      <w:pPr>
        <w:rPr>
          <w:rFonts w:cs="Arial"/>
        </w:rPr>
      </w:pPr>
      <w:r w:rsidRPr="00EF65AE">
        <w:rPr>
          <w:rFonts w:cs="Arial"/>
          <w:b/>
        </w:rPr>
        <w:t xml:space="preserve">Triggers or root causes: </w:t>
      </w:r>
      <w:r w:rsidRPr="00EF65AE">
        <w:rPr>
          <w:rFonts w:cs="Arial"/>
        </w:rPr>
        <w:t xml:space="preserve">Most Australian-funded community-based prevention programs took a </w:t>
      </w:r>
      <w:r w:rsidR="00795A13">
        <w:rPr>
          <w:rFonts w:cs="Arial"/>
        </w:rPr>
        <w:t>best</w:t>
      </w:r>
      <w:r w:rsidR="00DE3FE9">
        <w:rPr>
          <w:rFonts w:cs="Arial"/>
        </w:rPr>
        <w:t>-</w:t>
      </w:r>
      <w:r w:rsidRPr="00EF65AE">
        <w:rPr>
          <w:rFonts w:cs="Arial"/>
        </w:rPr>
        <w:t>practice approach by focusing on gender inequality as the root cause of EVAWG. However, some programs continued to focus on triggers of violence</w:t>
      </w:r>
      <w:r w:rsidR="008A277B">
        <w:rPr>
          <w:rFonts w:cs="Arial"/>
        </w:rPr>
        <w:t>,</w:t>
      </w:r>
      <w:r w:rsidRPr="00EF65AE">
        <w:rPr>
          <w:rFonts w:cs="Arial"/>
        </w:rPr>
        <w:t xml:space="preserve"> such as alcohol consumption or economic status. Asking communities to identify triggers, rather than guiding them through a power-based understanding of the root causes of violence, may be counterproductive and reinforce harmful gender norms in the long term. Addressing triggers may temporarily stem some individual cases of violence, but it is also likely to detract resources away from longer-term, gender</w:t>
      </w:r>
      <w:r w:rsidR="00292D44">
        <w:rPr>
          <w:rFonts w:cs="Arial"/>
        </w:rPr>
        <w:t>-</w:t>
      </w:r>
      <w:r w:rsidRPr="00EF65AE">
        <w:rPr>
          <w:rFonts w:cs="Arial"/>
        </w:rPr>
        <w:t>transformative work. If prevention program staff understand the differences between root causes and triggers, they can respond more effectively.</w:t>
      </w:r>
    </w:p>
    <w:p w14:paraId="54240B1E" w14:textId="77777777" w:rsidR="00DE3FE9" w:rsidRDefault="00EF65AE" w:rsidP="00EF65AE">
      <w:pPr>
        <w:rPr>
          <w:rFonts w:cs="Arial"/>
        </w:rPr>
      </w:pPr>
      <w:r w:rsidRPr="00EF65AE">
        <w:rPr>
          <w:rFonts w:cs="Arial"/>
        </w:rPr>
        <w:t>The most effective community mobilisation approaches used by Australian-supported programs</w:t>
      </w:r>
      <w:r w:rsidR="00DE3FE9">
        <w:rPr>
          <w:rFonts w:cs="Arial"/>
        </w:rPr>
        <w:t>:</w:t>
      </w:r>
    </w:p>
    <w:p w14:paraId="05CB5D96" w14:textId="77777777" w:rsidR="00DE3FE9" w:rsidRDefault="00DE3FE9" w:rsidP="00DE3FE9">
      <w:pPr>
        <w:pStyle w:val="ListBullet"/>
      </w:pPr>
      <w:r>
        <w:t xml:space="preserve">were </w:t>
      </w:r>
      <w:r w:rsidR="00EF65AE" w:rsidRPr="00EF65AE">
        <w:t>long</w:t>
      </w:r>
      <w:r w:rsidR="0019178A">
        <w:t xml:space="preserve"> </w:t>
      </w:r>
      <w:r w:rsidR="00EF65AE" w:rsidRPr="00EF65AE">
        <w:t>term</w:t>
      </w:r>
    </w:p>
    <w:p w14:paraId="65D1F53E" w14:textId="77777777" w:rsidR="00DE3FE9" w:rsidRDefault="00EF65AE" w:rsidP="00DE3FE9">
      <w:pPr>
        <w:pStyle w:val="ListBullet"/>
      </w:pPr>
      <w:r w:rsidRPr="00EF65AE">
        <w:t>engaged a wide range of stakeholders</w:t>
      </w:r>
    </w:p>
    <w:p w14:paraId="42BA3CBE" w14:textId="77777777" w:rsidR="00DE3FE9" w:rsidRDefault="00EF65AE" w:rsidP="00DE3FE9">
      <w:pPr>
        <w:pStyle w:val="ListBullet"/>
      </w:pPr>
      <w:r w:rsidRPr="00EF65AE">
        <w:t>included components to build foundational skills</w:t>
      </w:r>
    </w:p>
    <w:p w14:paraId="7DB90A1B" w14:textId="77777777" w:rsidR="00DE3FE9" w:rsidRDefault="00EF65AE" w:rsidP="00DE3FE9">
      <w:pPr>
        <w:pStyle w:val="ListBullet"/>
      </w:pPr>
      <w:r w:rsidRPr="00EF65AE">
        <w:t>held participatory workshops exploring gender and relationships</w:t>
      </w:r>
    </w:p>
    <w:p w14:paraId="3EC599C8" w14:textId="77777777" w:rsidR="00DE3FE9" w:rsidRDefault="00EF65AE" w:rsidP="00DE3FE9">
      <w:pPr>
        <w:pStyle w:val="ListBullet"/>
      </w:pPr>
      <w:r w:rsidRPr="00EF65AE">
        <w:t xml:space="preserve">incorporated change processes for staff and volunteers. </w:t>
      </w:r>
    </w:p>
    <w:p w14:paraId="3DA95DC1" w14:textId="3267CAAF" w:rsidR="00EF65AE" w:rsidRPr="00EF65AE" w:rsidRDefault="00EF65AE" w:rsidP="00DE3FE9">
      <w:r w:rsidRPr="00EF65AE">
        <w:t xml:space="preserve">In some settings, Australia has led by example </w:t>
      </w:r>
      <w:r w:rsidR="008A277B">
        <w:t>by</w:t>
      </w:r>
      <w:r w:rsidR="008A277B" w:rsidRPr="00EF65AE">
        <w:t xml:space="preserve"> </w:t>
      </w:r>
      <w:r w:rsidRPr="00EF65AE">
        <w:t xml:space="preserve">investing in staff training, implementing internal domestic violence policies at Australian </w:t>
      </w:r>
      <w:r w:rsidR="00075611">
        <w:t>p</w:t>
      </w:r>
      <w:r w:rsidR="008B0402">
        <w:t>osts</w:t>
      </w:r>
      <w:r w:rsidRPr="00EF65AE">
        <w:t xml:space="preserve">, and encouraging program partners to do the same. This has potential to influence positive social norm change in the workplace and to improve the effectiveness of Australian-funded violence prevention programs. </w:t>
      </w:r>
    </w:p>
    <w:p w14:paraId="257E959F" w14:textId="77777777" w:rsidR="00EF65AE" w:rsidRPr="00EF65AE" w:rsidRDefault="00EF65AE" w:rsidP="00EF65AE">
      <w:pPr>
        <w:rPr>
          <w:rFonts w:cs="Arial"/>
        </w:rPr>
      </w:pPr>
      <w:r w:rsidRPr="00EF65AE">
        <w:rPr>
          <w:rFonts w:cs="Arial"/>
        </w:rPr>
        <w:t xml:space="preserve">Australia has provided funding to </w:t>
      </w:r>
      <w:r w:rsidRPr="000350C0">
        <w:rPr>
          <w:rFonts w:cs="Arial"/>
        </w:rPr>
        <w:t xml:space="preserve">adapt </w:t>
      </w:r>
      <w:r w:rsidRPr="000251EA">
        <w:rPr>
          <w:rFonts w:cs="Arial"/>
          <w:i/>
        </w:rPr>
        <w:t>SASA</w:t>
      </w:r>
      <w:r w:rsidRPr="000350C0">
        <w:rPr>
          <w:rFonts w:cs="Arial"/>
          <w:i/>
        </w:rPr>
        <w:t xml:space="preserve">! </w:t>
      </w:r>
      <w:r w:rsidRPr="000350C0">
        <w:rPr>
          <w:rFonts w:cs="Arial"/>
        </w:rPr>
        <w:t>for VAWG-prevention in selected Asia</w:t>
      </w:r>
      <w:r w:rsidR="004D79DC" w:rsidRPr="000350C0">
        <w:rPr>
          <w:rFonts w:cs="Arial"/>
        </w:rPr>
        <w:t>n</w:t>
      </w:r>
      <w:r w:rsidRPr="000350C0">
        <w:rPr>
          <w:rFonts w:cs="Arial"/>
        </w:rPr>
        <w:t xml:space="preserve"> and Pacific island countries (Box 14), with technical support from the Raising Voices</w:t>
      </w:r>
      <w:r w:rsidR="00DE3FE9" w:rsidRPr="000350C0">
        <w:rPr>
          <w:rFonts w:cs="Arial"/>
        </w:rPr>
        <w:t xml:space="preserve"> NGO,</w:t>
      </w:r>
      <w:r w:rsidRPr="000350C0">
        <w:rPr>
          <w:rFonts w:cs="Arial"/>
        </w:rPr>
        <w:t xml:space="preserve"> which pioneered the approach in Uganda. </w:t>
      </w:r>
      <w:r w:rsidRPr="000251EA">
        <w:rPr>
          <w:rFonts w:cs="Arial"/>
          <w:i/>
        </w:rPr>
        <w:t>SASA</w:t>
      </w:r>
      <w:r w:rsidRPr="000350C0">
        <w:rPr>
          <w:rFonts w:cs="Arial"/>
          <w:i/>
        </w:rPr>
        <w:t>!</w:t>
      </w:r>
      <w:r w:rsidRPr="000350C0">
        <w:rPr>
          <w:rFonts w:cs="Arial"/>
        </w:rPr>
        <w:t>—a Kiswahili word that means ‘now’—is an activist kit which aims to provoke critical analysis and discussion</w:t>
      </w:r>
      <w:r w:rsidRPr="00EF65AE">
        <w:rPr>
          <w:rFonts w:cs="Arial"/>
        </w:rPr>
        <w:t xml:space="preserve"> in communities on how to use power positively. It was shown to reduce women’s experiences of physical partner violence by 52 per cent in Uganda.</w:t>
      </w:r>
      <w:r w:rsidRPr="00EF65AE">
        <w:rPr>
          <w:rFonts w:cs="Arial"/>
        </w:rPr>
        <w:fldChar w:fldCharType="begin"/>
      </w:r>
      <w:r w:rsidRPr="00EF65AE">
        <w:rPr>
          <w:rFonts w:cs="Arial"/>
        </w:rPr>
        <w:instrText xml:space="preserve"> ADDIN ZOTERO_ITEM CSL_CITATION {"citationID":"GHkomBBH","properties":{"formattedCitation":"\\super 88,105\\nosupersub{}","plainCitation":"88,105","noteIndex":0},"citationItems":[{"id":92,"uris":["http://zotero.org/users/4194704/items/R3LYQA9W"],"uri":["http://zotero.org/users/4194704/items/R3LYQA9W"],"itemData":{"id":92,"type":"article-journal","title":"Prevention of violence against women and girls: what does the evidence say?","container-title":"The Lancet","page":"1555-1566","volume":"385","issue":"9977","ISSN":"0140-6736","author":[{"family":"Ellsberg","given":"Mary"},{"family":"Arango","given":"Diana J."},{"family":"Morton","given":"Matthew"},{"family":"Gennari","given":"Floriza"},{"family":"Kiplesund","given":"Sveinung"},{"family":"Contreras","given":"Manuel"},{"family":"Watts","given":"Charlotte"}],"issued":{"date-parts":[["2015"]]}}},{"id":16,"uris":["http://zotero.org/users/4194704/items/GFKVLFB2"],"uri":["http://zotero.org/users/4194704/items/GFKVLFB2"],"itemData":{"id":16,"type":"article-journal","title":"Findings from the SASA! Study: a cluster randomized controlled trial to assess the impact of a community mobilization intervention to prevent violence against women and reduce HIV risk in Kampala, Uganda","container-title":"BMC medicine","page":"122","volume":"12","issue":"1","ISSN":"1741-7015","author":[{"family":"Abramsky","given":"Tanya"},{"family":"Devries","given":"Karen"},{"family":"Kiss","given":"Ligia"},{"family":"Nakuti","given":"Janet"},{"family":"Kyegombe","given":"Nambusi"},{"family":"Starmann","given":"Elizabeth"},{"family":"Cundill","given":"Bonnie"},{"family":"Francisco","given":"Leilani"},{"family":"Kaye","given":"Dan"},{"family":"Musuya","given":"Tina"}],"issued":{"date-parts":[["2014"]]}}}],"schema":"https://github.com/citation-style-language/schema/raw/master/csl-citation.json"} </w:instrText>
      </w:r>
      <w:r w:rsidRPr="00EF65AE">
        <w:rPr>
          <w:rFonts w:cs="Arial"/>
        </w:rPr>
        <w:fldChar w:fldCharType="separate"/>
      </w:r>
      <w:r w:rsidRPr="00EF65AE">
        <w:rPr>
          <w:rFonts w:cs="Arial"/>
          <w:vertAlign w:val="superscript"/>
          <w:lang w:val="en-US"/>
        </w:rPr>
        <w:t>88,105</w:t>
      </w:r>
      <w:r w:rsidRPr="00EF65AE">
        <w:rPr>
          <w:rFonts w:cs="Arial"/>
        </w:rPr>
        <w:fldChar w:fldCharType="end"/>
      </w:r>
    </w:p>
    <w:p w14:paraId="043ECCCE" w14:textId="77777777" w:rsidR="00EF65AE" w:rsidRPr="00EF65AE" w:rsidRDefault="00EF65AE" w:rsidP="00EF65AE">
      <w:pPr>
        <w:rPr>
          <w:rFonts w:cs="Arial"/>
        </w:rPr>
      </w:pPr>
      <w:r w:rsidRPr="00EF65AE">
        <w:rPr>
          <w:rFonts w:cs="Arial"/>
        </w:rPr>
        <w:t xml:space="preserve">In keeping with good international practice, most </w:t>
      </w:r>
      <w:bookmarkStart w:id="286" w:name="_Hlk20740714"/>
      <w:r w:rsidRPr="00EF65AE">
        <w:rPr>
          <w:rFonts w:cs="Arial"/>
          <w:i/>
        </w:rPr>
        <w:t>SASA!</w:t>
      </w:r>
      <w:r w:rsidRPr="00EF65AE">
        <w:rPr>
          <w:rFonts w:cs="Arial"/>
        </w:rPr>
        <w:t xml:space="preserve"> adaptations</w:t>
      </w:r>
      <w:bookmarkEnd w:id="286"/>
      <w:r w:rsidRPr="00EF65AE">
        <w:rPr>
          <w:rFonts w:cs="Arial"/>
        </w:rPr>
        <w:t xml:space="preserve"> include plans for rigorous evaluation. These efforts will produce important lessons on adapting </w:t>
      </w:r>
      <w:r w:rsidRPr="00EF65AE">
        <w:rPr>
          <w:rFonts w:cs="Arial"/>
          <w:i/>
        </w:rPr>
        <w:t>SASA!</w:t>
      </w:r>
      <w:r w:rsidRPr="00EF65AE">
        <w:rPr>
          <w:rFonts w:cs="Arial"/>
        </w:rPr>
        <w:t xml:space="preserve"> to rural, remote and high-prevalence settings. Linkages </w:t>
      </w:r>
      <w:r w:rsidR="00DE3FE9">
        <w:rPr>
          <w:rFonts w:cs="Arial"/>
        </w:rPr>
        <w:t>are needed</w:t>
      </w:r>
      <w:r w:rsidRPr="00EF65AE">
        <w:rPr>
          <w:rFonts w:cs="Arial"/>
        </w:rPr>
        <w:t xml:space="preserve"> between different evaluations to draw out common lessons </w:t>
      </w:r>
      <w:r w:rsidR="00DE3FE9">
        <w:rPr>
          <w:rFonts w:cs="Arial"/>
        </w:rPr>
        <w:t>and</w:t>
      </w:r>
      <w:r w:rsidR="00DE3FE9" w:rsidRPr="00EF65AE">
        <w:rPr>
          <w:rFonts w:cs="Arial"/>
        </w:rPr>
        <w:t xml:space="preserve"> </w:t>
      </w:r>
      <w:r w:rsidRPr="00EF65AE">
        <w:rPr>
          <w:rFonts w:cs="Arial"/>
        </w:rPr>
        <w:t xml:space="preserve">inform all violence prevention assistance. Given the extent of Australian investment, there is significant scope for learning across Australian-funded </w:t>
      </w:r>
      <w:r w:rsidRPr="00EF65AE">
        <w:rPr>
          <w:rFonts w:cs="Arial"/>
          <w:i/>
        </w:rPr>
        <w:t xml:space="preserve">SASA! </w:t>
      </w:r>
      <w:r w:rsidRPr="00EF65AE">
        <w:rPr>
          <w:rFonts w:cs="Arial"/>
        </w:rPr>
        <w:t xml:space="preserve">programs. </w:t>
      </w:r>
    </w:p>
    <w:p w14:paraId="7843BEB8" w14:textId="297E1974" w:rsidR="00EF65AE" w:rsidRPr="00EF65AE" w:rsidRDefault="00EF65AE" w:rsidP="00EF65AE">
      <w:pPr>
        <w:pStyle w:val="CallOutHeading"/>
        <w:rPr>
          <w:rFonts w:cs="Arial"/>
        </w:rPr>
      </w:pPr>
      <w:r w:rsidRPr="00EF65AE">
        <w:rPr>
          <w:rFonts w:cs="Arial"/>
        </w:rPr>
        <w:t xml:space="preserve">Box 14: </w:t>
      </w:r>
      <w:r w:rsidRPr="00EF65AE">
        <w:rPr>
          <w:rFonts w:cs="Arial"/>
          <w:i/>
        </w:rPr>
        <w:t xml:space="preserve">SASA! </w:t>
      </w:r>
      <w:r w:rsidRPr="00EF65AE">
        <w:rPr>
          <w:rFonts w:cs="Arial"/>
        </w:rPr>
        <w:t>adaptations in countries</w:t>
      </w:r>
      <w:r w:rsidR="006F77CC">
        <w:rPr>
          <w:rFonts w:cs="Arial"/>
        </w:rPr>
        <w:t xml:space="preserve"> in the Indo-Pacific</w:t>
      </w:r>
      <w:r w:rsidRPr="00EF65AE">
        <w:rPr>
          <w:rFonts w:cs="Arial"/>
        </w:rPr>
        <w:t xml:space="preserve"> </w:t>
      </w:r>
    </w:p>
    <w:p w14:paraId="59F88869" w14:textId="77777777" w:rsidR="00EF65AE" w:rsidRPr="00EF65AE" w:rsidRDefault="00EF65AE" w:rsidP="00EF65AE">
      <w:pPr>
        <w:pStyle w:val="CallOutBody"/>
        <w:rPr>
          <w:rFonts w:cs="Arial"/>
        </w:rPr>
      </w:pPr>
      <w:r w:rsidRPr="00EF65AE">
        <w:rPr>
          <w:rFonts w:cs="Arial"/>
        </w:rPr>
        <w:t xml:space="preserve">In </w:t>
      </w:r>
      <w:r w:rsidRPr="00EF65AE">
        <w:rPr>
          <w:rFonts w:cs="Arial"/>
          <w:b/>
        </w:rPr>
        <w:t>Kiribati</w:t>
      </w:r>
      <w:r w:rsidRPr="00EF65AE">
        <w:rPr>
          <w:rFonts w:cs="Arial"/>
        </w:rPr>
        <w:t xml:space="preserve">, the Ministry of Women, Youth, Sport, and Social Affairs of the Government of Kiribati is implementing the Strengthening Peaceful Villages </w:t>
      </w:r>
      <w:r w:rsidR="0097278F">
        <w:rPr>
          <w:rFonts w:cs="Arial"/>
        </w:rPr>
        <w:t>P</w:t>
      </w:r>
      <w:r w:rsidRPr="00EF65AE">
        <w:rPr>
          <w:rFonts w:cs="Arial"/>
        </w:rPr>
        <w:t xml:space="preserve">rogram in South Tarawa, supported by UN Women. With joint funding from Australia and the European Union, the program is adapting elements of </w:t>
      </w:r>
      <w:r w:rsidRPr="00EF65AE">
        <w:rPr>
          <w:rFonts w:cs="Arial"/>
          <w:i/>
        </w:rPr>
        <w:t xml:space="preserve">SASA! </w:t>
      </w:r>
      <w:r w:rsidRPr="00EF65AE">
        <w:rPr>
          <w:rFonts w:cs="Arial"/>
        </w:rPr>
        <w:t xml:space="preserve">A rigorous impact evaluation of the </w:t>
      </w:r>
      <w:r w:rsidR="00DE3FE9">
        <w:rPr>
          <w:rFonts w:cs="Arial"/>
        </w:rPr>
        <w:t>five</w:t>
      </w:r>
      <w:r w:rsidRPr="00EF65AE">
        <w:rPr>
          <w:rFonts w:cs="Arial"/>
        </w:rPr>
        <w:t>-year program is being conducted with results available in 2022.</w:t>
      </w:r>
    </w:p>
    <w:p w14:paraId="2E960FD1" w14:textId="77777777" w:rsidR="00EF65AE" w:rsidRPr="00EF65AE" w:rsidRDefault="00EF65AE" w:rsidP="00EF65AE">
      <w:pPr>
        <w:pStyle w:val="CallOutBody"/>
        <w:rPr>
          <w:rFonts w:cs="Arial"/>
        </w:rPr>
      </w:pPr>
      <w:r w:rsidRPr="00EF65AE">
        <w:rPr>
          <w:rFonts w:cs="Arial"/>
        </w:rPr>
        <w:t xml:space="preserve">In </w:t>
      </w:r>
      <w:r w:rsidRPr="00EF65AE">
        <w:rPr>
          <w:rFonts w:cs="Arial"/>
          <w:b/>
        </w:rPr>
        <w:t>Papua New Guinea</w:t>
      </w:r>
      <w:r w:rsidRPr="00EF65AE">
        <w:rPr>
          <w:rFonts w:cs="Arial"/>
        </w:rPr>
        <w:t>, Population Services International</w:t>
      </w:r>
      <w:r w:rsidR="00DE3FE9">
        <w:rPr>
          <w:rFonts w:cs="Arial"/>
        </w:rPr>
        <w:t>,</w:t>
      </w:r>
      <w:r w:rsidRPr="00EF65AE">
        <w:rPr>
          <w:rFonts w:cs="Arial"/>
        </w:rPr>
        <w:t xml:space="preserve"> PNG and partners are piloting an adaptation of </w:t>
      </w:r>
      <w:r w:rsidRPr="00EF65AE">
        <w:rPr>
          <w:rFonts w:cs="Arial"/>
          <w:i/>
        </w:rPr>
        <w:t>SASA!</w:t>
      </w:r>
      <w:r w:rsidRPr="00EF65AE">
        <w:rPr>
          <w:rFonts w:cs="Arial"/>
        </w:rPr>
        <w:t xml:space="preserve"> in urban and rural site</w:t>
      </w:r>
      <w:r w:rsidR="00CC2D81">
        <w:rPr>
          <w:rFonts w:cs="Arial"/>
        </w:rPr>
        <w:t>s</w:t>
      </w:r>
      <w:r w:rsidRPr="00EF65AE">
        <w:rPr>
          <w:rFonts w:cs="Arial"/>
        </w:rPr>
        <w:t xml:space="preserve">. They have adapted the program by integrating bride-price, child marriage and polygamy aspects. </w:t>
      </w:r>
    </w:p>
    <w:p w14:paraId="4DE99F70" w14:textId="575C7263" w:rsidR="00EF65AE" w:rsidRPr="00EF65AE" w:rsidRDefault="00EF65AE" w:rsidP="00EF65AE">
      <w:pPr>
        <w:pStyle w:val="CallOutBody"/>
        <w:rPr>
          <w:rFonts w:cs="Arial"/>
        </w:rPr>
      </w:pPr>
      <w:r w:rsidRPr="00EF65AE">
        <w:rPr>
          <w:rFonts w:cs="Arial"/>
        </w:rPr>
        <w:t xml:space="preserve">In </w:t>
      </w:r>
      <w:r w:rsidRPr="00EF65AE">
        <w:rPr>
          <w:rFonts w:cs="Arial"/>
          <w:b/>
        </w:rPr>
        <w:t>Timor-Leste</w:t>
      </w:r>
      <w:r w:rsidRPr="00EF65AE">
        <w:rPr>
          <w:rFonts w:cs="Arial"/>
        </w:rPr>
        <w:t xml:space="preserve">, The Asia Foundation and local partners are implementing a </w:t>
      </w:r>
      <w:r w:rsidRPr="00EF65AE">
        <w:rPr>
          <w:rFonts w:cs="Arial"/>
          <w:i/>
        </w:rPr>
        <w:t>SASA!</w:t>
      </w:r>
      <w:r w:rsidRPr="00EF65AE">
        <w:rPr>
          <w:rFonts w:cs="Arial"/>
        </w:rPr>
        <w:t xml:space="preserve"> approach under the Australian-funded </w:t>
      </w:r>
      <w:r w:rsidRPr="00EF65AE">
        <w:rPr>
          <w:rFonts w:cs="Arial"/>
          <w:i/>
        </w:rPr>
        <w:t>Nabilan</w:t>
      </w:r>
      <w:r w:rsidRPr="00EF65AE">
        <w:rPr>
          <w:rFonts w:cs="Arial"/>
        </w:rPr>
        <w:t xml:space="preserve"> program. Here, the adaptation was informed by learning from the </w:t>
      </w:r>
      <w:r w:rsidRPr="00EF65AE">
        <w:rPr>
          <w:rFonts w:cs="Arial"/>
          <w:i/>
        </w:rPr>
        <w:t>Nabilan</w:t>
      </w:r>
      <w:r w:rsidRPr="00EF65AE">
        <w:rPr>
          <w:rFonts w:cs="Arial"/>
        </w:rPr>
        <w:t xml:space="preserve"> baseline survey, including specific risk factors that drive men to </w:t>
      </w:r>
      <w:r w:rsidR="00D74A07">
        <w:rPr>
          <w:rFonts w:cs="Arial"/>
        </w:rPr>
        <w:br/>
      </w:r>
      <w:r w:rsidRPr="00EF65AE">
        <w:rPr>
          <w:rFonts w:cs="Arial"/>
        </w:rPr>
        <w:t xml:space="preserve">perpetrate violence. </w:t>
      </w:r>
    </w:p>
    <w:p w14:paraId="169675B7" w14:textId="77777777" w:rsidR="00EF65AE" w:rsidRPr="00EF65AE" w:rsidRDefault="00DE3FE9" w:rsidP="00EF65AE">
      <w:pPr>
        <w:pStyle w:val="CallOutBody"/>
        <w:rPr>
          <w:rFonts w:cs="Arial"/>
        </w:rPr>
      </w:pPr>
      <w:r>
        <w:rPr>
          <w:rFonts w:cs="Arial"/>
        </w:rPr>
        <w:t>In</w:t>
      </w:r>
      <w:r w:rsidRPr="00EF65AE">
        <w:rPr>
          <w:rFonts w:cs="Arial"/>
        </w:rPr>
        <w:t xml:space="preserve"> </w:t>
      </w:r>
      <w:r w:rsidR="00EF65AE" w:rsidRPr="00EF65AE">
        <w:rPr>
          <w:rFonts w:cs="Arial"/>
          <w:b/>
        </w:rPr>
        <w:t>Pakistan</w:t>
      </w:r>
      <w:r>
        <w:rPr>
          <w:rFonts w:cs="Arial"/>
          <w:bCs/>
        </w:rPr>
        <w:t>, the</w:t>
      </w:r>
      <w:r w:rsidR="00EF65AE" w:rsidRPr="00EF65AE">
        <w:rPr>
          <w:rFonts w:cs="Arial"/>
        </w:rPr>
        <w:t xml:space="preserve"> EVAW </w:t>
      </w:r>
      <w:r w:rsidR="0097278F">
        <w:rPr>
          <w:rFonts w:cs="Arial"/>
        </w:rPr>
        <w:t>P</w:t>
      </w:r>
      <w:r w:rsidR="00EF65AE" w:rsidRPr="00EF65AE">
        <w:rPr>
          <w:rFonts w:cs="Arial"/>
        </w:rPr>
        <w:t>rogram</w:t>
      </w:r>
      <w:r>
        <w:rPr>
          <w:rFonts w:cs="Arial"/>
        </w:rPr>
        <w:t xml:space="preserve"> is</w:t>
      </w:r>
      <w:r w:rsidR="00EF65AE" w:rsidRPr="00EF65AE">
        <w:rPr>
          <w:rFonts w:cs="Arial"/>
        </w:rPr>
        <w:t xml:space="preserve"> working through partner organisations</w:t>
      </w:r>
      <w:r>
        <w:rPr>
          <w:rFonts w:cs="Arial"/>
        </w:rPr>
        <w:t xml:space="preserve"> and</w:t>
      </w:r>
      <w:r w:rsidR="00EF65AE" w:rsidRPr="00EF65AE">
        <w:rPr>
          <w:rFonts w:cs="Arial"/>
        </w:rPr>
        <w:t xml:space="preserve"> implementing a </w:t>
      </w:r>
      <w:r w:rsidR="00EF65AE" w:rsidRPr="00EF65AE">
        <w:rPr>
          <w:rFonts w:cs="Arial"/>
          <w:i/>
        </w:rPr>
        <w:t>SASA!</w:t>
      </w:r>
      <w:r w:rsidR="00EF65AE" w:rsidRPr="00EF65AE">
        <w:rPr>
          <w:rFonts w:cs="Arial"/>
        </w:rPr>
        <w:t xml:space="preserve"> adaptation called ‘Challenging GBV’ in 45 communities covering two provinces. They have focused on communities where partners have already worked for a number of years. </w:t>
      </w:r>
    </w:p>
    <w:p w14:paraId="252EA1C8" w14:textId="699F9C75" w:rsidR="00EF65AE" w:rsidRPr="000251EA" w:rsidRDefault="00EF65AE" w:rsidP="00EF65AE">
      <w:pPr>
        <w:pStyle w:val="CallOutBody"/>
        <w:rPr>
          <w:rFonts w:cs="Arial"/>
        </w:rPr>
      </w:pPr>
      <w:r w:rsidRPr="00EF65AE">
        <w:rPr>
          <w:rFonts w:cs="Arial"/>
        </w:rPr>
        <w:t xml:space="preserve">In </w:t>
      </w:r>
      <w:r w:rsidRPr="00EF65AE">
        <w:rPr>
          <w:rFonts w:cs="Arial"/>
          <w:b/>
        </w:rPr>
        <w:t>Fiji</w:t>
      </w:r>
      <w:r w:rsidRPr="00EF65AE">
        <w:rPr>
          <w:rFonts w:cs="Arial"/>
        </w:rPr>
        <w:t xml:space="preserve">, the House of Sarah is implementing a prevention </w:t>
      </w:r>
      <w:r w:rsidRPr="000350C0">
        <w:rPr>
          <w:rFonts w:cs="Arial"/>
        </w:rPr>
        <w:t xml:space="preserve">project </w:t>
      </w:r>
      <w:bookmarkStart w:id="287" w:name="_Hlk18568531"/>
      <w:r w:rsidRPr="000251EA">
        <w:rPr>
          <w:rFonts w:cs="Arial"/>
          <w:iCs/>
        </w:rPr>
        <w:t>Preventing Violence Against Women in Fiji's Faith Settings</w:t>
      </w:r>
      <w:bookmarkEnd w:id="287"/>
      <w:r w:rsidRPr="000350C0">
        <w:rPr>
          <w:rFonts w:cs="Arial"/>
        </w:rPr>
        <w:t xml:space="preserve"> to adapt the </w:t>
      </w:r>
      <w:bookmarkStart w:id="288" w:name="_Hlk18568539"/>
      <w:r w:rsidRPr="000350C0">
        <w:rPr>
          <w:rFonts w:cs="Arial"/>
          <w:i/>
        </w:rPr>
        <w:t xml:space="preserve">SASA! </w:t>
      </w:r>
      <w:r w:rsidRPr="000251EA">
        <w:rPr>
          <w:rFonts w:cs="Arial"/>
          <w:i/>
        </w:rPr>
        <w:t>Faith</w:t>
      </w:r>
      <w:bookmarkEnd w:id="288"/>
      <w:r w:rsidRPr="000350C0">
        <w:rPr>
          <w:rFonts w:cs="Arial"/>
        </w:rPr>
        <w:t xml:space="preserve"> community mobilisation approach. House of Sarah is working in partnership with UN Women, supported by the </w:t>
      </w:r>
      <w:bookmarkStart w:id="289" w:name="_Hlk18568547"/>
      <w:r w:rsidRPr="000251EA">
        <w:rPr>
          <w:rFonts w:cs="Arial"/>
        </w:rPr>
        <w:t xml:space="preserve">Pacific Partnership to </w:t>
      </w:r>
      <w:r w:rsidR="00D74A07">
        <w:rPr>
          <w:rFonts w:cs="Arial"/>
        </w:rPr>
        <w:br/>
      </w:r>
      <w:r w:rsidRPr="000251EA">
        <w:rPr>
          <w:rFonts w:cs="Arial"/>
        </w:rPr>
        <w:t>End Violence Against Women and Girls. </w:t>
      </w:r>
    </w:p>
    <w:bookmarkEnd w:id="289"/>
    <w:p w14:paraId="09014742" w14:textId="77777777" w:rsidR="00EF65AE" w:rsidRPr="00EF65AE" w:rsidRDefault="00EF65AE" w:rsidP="00EF65AE">
      <w:pPr>
        <w:rPr>
          <w:rFonts w:cs="Arial"/>
        </w:rPr>
      </w:pPr>
      <w:r w:rsidRPr="00EF65AE">
        <w:rPr>
          <w:rFonts w:cs="Arial"/>
        </w:rPr>
        <w:t xml:space="preserve">While </w:t>
      </w:r>
      <w:r w:rsidRPr="00EF65AE">
        <w:rPr>
          <w:rFonts w:cs="Arial"/>
          <w:i/>
        </w:rPr>
        <w:t>SASA!</w:t>
      </w:r>
      <w:r w:rsidRPr="00EF65AE">
        <w:rPr>
          <w:rFonts w:cs="Arial"/>
        </w:rPr>
        <w:t xml:space="preserve"> is a promising community-mobilisation model, best practice for prevention work requires effort across multiple sectors and through multiple strategies. There is also a need to balance evidence-based programs from overseas and home-grown solutions. Across </w:t>
      </w:r>
      <w:r w:rsidR="00F24B92">
        <w:rPr>
          <w:rFonts w:cs="Arial"/>
        </w:rPr>
        <w:t>focus</w:t>
      </w:r>
      <w:r w:rsidR="00F24B92" w:rsidRPr="00EF65AE">
        <w:rPr>
          <w:rFonts w:cs="Arial"/>
        </w:rPr>
        <w:t xml:space="preserve"> </w:t>
      </w:r>
      <w:r w:rsidRPr="00EF65AE">
        <w:rPr>
          <w:rFonts w:cs="Arial"/>
        </w:rPr>
        <w:t xml:space="preserve">countries, many local organisations </w:t>
      </w:r>
      <w:r w:rsidR="008A277B">
        <w:rPr>
          <w:rFonts w:cs="Arial"/>
        </w:rPr>
        <w:t>indicated</w:t>
      </w:r>
      <w:r w:rsidR="008A277B" w:rsidRPr="00EF65AE">
        <w:rPr>
          <w:rFonts w:cs="Arial"/>
        </w:rPr>
        <w:t xml:space="preserve"> </w:t>
      </w:r>
      <w:r w:rsidRPr="00EF65AE">
        <w:rPr>
          <w:rFonts w:cs="Arial"/>
        </w:rPr>
        <w:t>that home-grown solutions which understand the local context are most effective.</w:t>
      </w:r>
    </w:p>
    <w:p w14:paraId="11175B0A" w14:textId="77777777" w:rsidR="00EF65AE" w:rsidRPr="00EF65AE" w:rsidRDefault="00EF65AE" w:rsidP="008167F8">
      <w:pPr>
        <w:pStyle w:val="Heading3NoTOC"/>
      </w:pPr>
      <w:r w:rsidRPr="00EF65AE">
        <w:t>Women’s empowerment</w:t>
      </w:r>
    </w:p>
    <w:p w14:paraId="480C3A9E" w14:textId="77777777" w:rsidR="008A277B" w:rsidRDefault="00EF65AE" w:rsidP="00EF65AE">
      <w:pPr>
        <w:rPr>
          <w:rFonts w:cs="Arial"/>
        </w:rPr>
      </w:pPr>
      <w:r w:rsidRPr="00EF65AE">
        <w:rPr>
          <w:rFonts w:cs="Arial"/>
        </w:rPr>
        <w:t>Australia has invested significantly in women’s leadership across the region</w:t>
      </w:r>
      <w:r w:rsidR="00F24B92">
        <w:rPr>
          <w:rFonts w:cs="Arial"/>
        </w:rPr>
        <w:t>. I</w:t>
      </w:r>
      <w:r w:rsidRPr="00EF65AE">
        <w:rPr>
          <w:rFonts w:cs="Arial"/>
        </w:rPr>
        <w:t>n some cases</w:t>
      </w:r>
      <w:r w:rsidR="008A277B">
        <w:rPr>
          <w:rFonts w:cs="Arial"/>
        </w:rPr>
        <w:t>,</w:t>
      </w:r>
      <w:r w:rsidR="00F24B92">
        <w:rPr>
          <w:rFonts w:cs="Arial"/>
        </w:rPr>
        <w:t xml:space="preserve"> this</w:t>
      </w:r>
      <w:r w:rsidRPr="00EF65AE">
        <w:rPr>
          <w:rFonts w:cs="Arial"/>
        </w:rPr>
        <w:t xml:space="preserve"> has the potential to impact upon EVAWG</w:t>
      </w:r>
      <w:r w:rsidR="008A277B">
        <w:rPr>
          <w:rFonts w:cs="Arial"/>
        </w:rPr>
        <w:t>.</w:t>
      </w:r>
      <w:r w:rsidR="00F24B92">
        <w:rPr>
          <w:rFonts w:cs="Arial"/>
        </w:rPr>
        <w:t xml:space="preserve"> I</w:t>
      </w:r>
      <w:r w:rsidRPr="00EF65AE">
        <w:rPr>
          <w:rFonts w:cs="Arial"/>
        </w:rPr>
        <w:t>n other cases</w:t>
      </w:r>
      <w:r w:rsidR="00F24B92">
        <w:rPr>
          <w:rFonts w:cs="Arial"/>
        </w:rPr>
        <w:t>, it</w:t>
      </w:r>
      <w:r w:rsidRPr="00EF65AE">
        <w:rPr>
          <w:rFonts w:cs="Arial"/>
        </w:rPr>
        <w:t xml:space="preserve"> is less directly aligned. The MAMPU </w:t>
      </w:r>
      <w:r w:rsidR="0097278F">
        <w:rPr>
          <w:rFonts w:cs="Arial"/>
        </w:rPr>
        <w:t>P</w:t>
      </w:r>
      <w:r w:rsidRPr="00EF65AE">
        <w:rPr>
          <w:rFonts w:cs="Arial"/>
        </w:rPr>
        <w:t>rogram in Indonesia addresses traditional gender norms, reaches out to men and youth</w:t>
      </w:r>
      <w:r w:rsidR="008A277B">
        <w:rPr>
          <w:rFonts w:cs="Arial"/>
        </w:rPr>
        <w:t>,</w:t>
      </w:r>
      <w:r w:rsidRPr="00EF65AE">
        <w:rPr>
          <w:rFonts w:cs="Arial"/>
        </w:rPr>
        <w:t xml:space="preserve"> and places violence against women within a broader context of social change. As one of five pillars of the program, EVAW is addressed within MAMPU’s implementation of grassroots women’s empowerment more broadly, providing a voice for women to disrupt traditional gender roles and norms and contribute to broader social change.</w:t>
      </w:r>
    </w:p>
    <w:p w14:paraId="18318AC7" w14:textId="675165C7" w:rsidR="00EF65AE" w:rsidRPr="00EF65AE" w:rsidRDefault="00EF65AE" w:rsidP="00EF65AE">
      <w:pPr>
        <w:rPr>
          <w:rFonts w:cs="Arial"/>
        </w:rPr>
      </w:pPr>
      <w:r w:rsidRPr="00EF65AE">
        <w:rPr>
          <w:rFonts w:cs="Arial"/>
        </w:rPr>
        <w:t xml:space="preserve">Over its five years of operation, the program has demonstrated significant improvements in women’s empowerment and position within society at local level. This, in turn, has translated into better, more responsive services for survivors of violence as well as a range of other changes, including broader gender and child-responsive policies and services. Working in </w:t>
      </w:r>
      <w:r w:rsidR="00F24B92">
        <w:rPr>
          <w:rFonts w:cs="Arial"/>
        </w:rPr>
        <w:t>more than</w:t>
      </w:r>
      <w:r w:rsidR="00F24B92" w:rsidRPr="00EF65AE">
        <w:rPr>
          <w:rFonts w:cs="Arial"/>
        </w:rPr>
        <w:t xml:space="preserve"> </w:t>
      </w:r>
      <w:r w:rsidRPr="00EF65AE">
        <w:rPr>
          <w:rFonts w:cs="Arial"/>
        </w:rPr>
        <w:t>27</w:t>
      </w:r>
      <w:r w:rsidR="0012349A">
        <w:rPr>
          <w:rFonts w:cs="Arial"/>
        </w:rPr>
        <w:t> </w:t>
      </w:r>
      <w:r w:rsidRPr="00EF65AE">
        <w:rPr>
          <w:rFonts w:cs="Arial"/>
        </w:rPr>
        <w:t xml:space="preserve">provinces, 145 districts and 936 villages, </w:t>
      </w:r>
      <w:r w:rsidR="00F24B92">
        <w:rPr>
          <w:rFonts w:cs="Arial"/>
        </w:rPr>
        <w:t xml:space="preserve">MAMPU </w:t>
      </w:r>
      <w:r w:rsidRPr="00EF65AE">
        <w:rPr>
          <w:rFonts w:cs="Arial"/>
        </w:rPr>
        <w:t xml:space="preserve">has had a significant impact in Indonesia. </w:t>
      </w:r>
    </w:p>
    <w:p w14:paraId="3FA5C3CB" w14:textId="77777777" w:rsidR="00EF65AE" w:rsidRPr="00EF65AE" w:rsidRDefault="00EF65AE" w:rsidP="00EF65AE">
      <w:pPr>
        <w:rPr>
          <w:rFonts w:cs="Arial"/>
        </w:rPr>
      </w:pPr>
      <w:r w:rsidRPr="00EF65AE">
        <w:rPr>
          <w:rFonts w:cs="Arial"/>
        </w:rPr>
        <w:t xml:space="preserve">Women’s economic empowerment is one of Australia’s development priority areas and an outcome of Pacific Women. </w:t>
      </w:r>
      <w:r w:rsidR="00F24B92">
        <w:rPr>
          <w:rFonts w:cs="Arial"/>
        </w:rPr>
        <w:t>E</w:t>
      </w:r>
      <w:r w:rsidRPr="00EF65AE">
        <w:rPr>
          <w:rFonts w:cs="Arial"/>
        </w:rPr>
        <w:t>vidence</w:t>
      </w:r>
      <w:r w:rsidR="00F24B92">
        <w:rPr>
          <w:rFonts w:cs="Arial"/>
        </w:rPr>
        <w:t xml:space="preserve"> is mixed</w:t>
      </w:r>
      <w:r w:rsidRPr="00EF65AE">
        <w:rPr>
          <w:rFonts w:cs="Arial"/>
        </w:rPr>
        <w:t xml:space="preserve"> on the effectiveness of economic empowerment, microfinance programs and cash transfer programs to reduce violence against women. Systematic reviews of the evidence suggest that whether women’s economic empowerment programs increase or reduce the risk of violence against women depends on context-specific factors, including the proportion of women in the workforce, and the male partner’s comparative education and employment status.</w:t>
      </w:r>
      <w:r w:rsidRPr="00EF65AE">
        <w:rPr>
          <w:rFonts w:cs="Arial"/>
        </w:rPr>
        <w:fldChar w:fldCharType="begin"/>
      </w:r>
      <w:r w:rsidRPr="00EF65AE">
        <w:rPr>
          <w:rFonts w:cs="Arial"/>
        </w:rPr>
        <w:instrText xml:space="preserve"> ADDIN ZOTERO_ITEM CSL_CITATION {"citationID":"IlgaJrn1","properties":{"formattedCitation":"\\super 51,106,107\\nosupersub{}","plainCitation":"51,106,107","noteIndex":0},"citationItems":[{"id":163,"uris":["http://zotero.org/users/4194704/items/LY8M4WTY"],"uri":["http://zotero.org/users/4194704/items/LY8M4WTY"],"itemData":{"id":163,"type":"article-journal","title":"Cross-national and multilevel correlates of partner violence: an analysis of data from population-based surveys","container-title":"The Lancet Global Health","page":"e332-e340","volume":"3","issue":"6","ISSN":"2214-109X","author":[{"family":"Heise","given":"Lori"},{"family":"Kotsadam","given":"Andreas"}],"issued":{"date-parts":[["2015"]]}}},{"id":390,"uris":["http://zotero.org/users/4194704/items/BW5CK3RB"],"uri":["http://zotero.org/users/4194704/items/BW5CK3RB"],"itemData":{"id":390,"type":"article-journal","title":"How does economic empowerment affect women's risk of intimate partner violence in low and middle income countries? A systematic review of published evidence","container-title":"Journal of international Development","page":"577-602","volume":"21","issue":"5","ISSN":"1099-1328","author":[{"family":"Vyas","given":"Seema"},{"family":"Watts","given":"Charlotte"}],"issued":{"date-parts":[["2009"]]}}},{"id":36,"uris":["http://zotero.org/users/4194704/items/DSG6WPGA"],"uri":["http://zotero.org/users/4194704/items/DSG6WPGA"],"itemData":{"id":36,"type":"article-journal","title":"Cash transfers: what does the evidence say","container-title":"A rigorous review of programme impact and the role of design and implementation features. London: ODI","author":[{"family":"Bastagli","given":"Francesca"},{"family":"Hagen-Zanker","given":"Jessica"},{"family":"Harman","given":"Luke"},{"family":"Barca","given":"Valentina"},{"family":"Sturge","given":"Georgina"},{"family":"Schmidt","given":"Tanja"},{"family":"Pellerano","given":"Lucca"}],"issued":{"date-parts":[["2016"]]}}}],"schema":"https://github.com/citation-style-language/schema/raw/master/csl-citation.json"} </w:instrText>
      </w:r>
      <w:r w:rsidRPr="00EF65AE">
        <w:rPr>
          <w:rFonts w:cs="Arial"/>
        </w:rPr>
        <w:fldChar w:fldCharType="separate"/>
      </w:r>
      <w:r w:rsidRPr="00EF65AE">
        <w:rPr>
          <w:rFonts w:cs="Arial"/>
          <w:vertAlign w:val="superscript"/>
          <w:lang w:val="en-US"/>
        </w:rPr>
        <w:t>51,106,107</w:t>
      </w:r>
      <w:r w:rsidRPr="00EF65AE">
        <w:rPr>
          <w:rFonts w:cs="Arial"/>
        </w:rPr>
        <w:fldChar w:fldCharType="end"/>
      </w:r>
    </w:p>
    <w:p w14:paraId="555511DF" w14:textId="424D2958" w:rsidR="00EF65AE" w:rsidRPr="00EF65AE" w:rsidRDefault="00EF65AE" w:rsidP="00EF65AE">
      <w:pPr>
        <w:rPr>
          <w:rFonts w:cs="Arial"/>
        </w:rPr>
      </w:pPr>
      <w:r w:rsidRPr="00EF65AE">
        <w:rPr>
          <w:rFonts w:cs="Arial"/>
        </w:rPr>
        <w:t xml:space="preserve">As Australian-supported research demonstrates, women’s economic programming </w:t>
      </w:r>
      <w:r w:rsidRPr="001D0E57">
        <w:rPr>
          <w:rFonts w:cs="Arial"/>
        </w:rPr>
        <w:t xml:space="preserve">must take a </w:t>
      </w:r>
      <w:r w:rsidRPr="000251EA">
        <w:rPr>
          <w:rFonts w:cs="Arial"/>
        </w:rPr>
        <w:t>do</w:t>
      </w:r>
      <w:r w:rsidR="001D0E57" w:rsidRPr="000251EA">
        <w:rPr>
          <w:rFonts w:cs="Arial"/>
        </w:rPr>
        <w:t>-</w:t>
      </w:r>
      <w:r w:rsidRPr="000251EA">
        <w:rPr>
          <w:rFonts w:cs="Arial"/>
        </w:rPr>
        <w:t>no</w:t>
      </w:r>
      <w:r w:rsidR="001D0E57" w:rsidRPr="000251EA">
        <w:rPr>
          <w:rFonts w:cs="Arial"/>
        </w:rPr>
        <w:t>-</w:t>
      </w:r>
      <w:r w:rsidRPr="000251EA">
        <w:rPr>
          <w:rFonts w:cs="Arial"/>
        </w:rPr>
        <w:t>harm approach</w:t>
      </w:r>
      <w:r w:rsidRPr="001D0E57">
        <w:rPr>
          <w:rFonts w:cs="Arial"/>
        </w:rPr>
        <w:t>,</w:t>
      </w:r>
      <w:r w:rsidR="00795A13">
        <w:rPr>
          <w:rFonts w:cs="Arial"/>
        </w:rPr>
        <w:t xml:space="preserve"> and</w:t>
      </w:r>
      <w:r w:rsidRPr="001D0E57">
        <w:rPr>
          <w:rFonts w:cs="Arial"/>
        </w:rPr>
        <w:t xml:space="preserve"> programs should be community</w:t>
      </w:r>
      <w:r w:rsidR="001D0E57">
        <w:rPr>
          <w:rFonts w:cs="Arial"/>
        </w:rPr>
        <w:t xml:space="preserve"> </w:t>
      </w:r>
      <w:r w:rsidRPr="001D0E57">
        <w:rPr>
          <w:rFonts w:cs="Arial"/>
        </w:rPr>
        <w:t>based and gender</w:t>
      </w:r>
      <w:r w:rsidR="001D0E57">
        <w:rPr>
          <w:rFonts w:cs="Arial"/>
        </w:rPr>
        <w:t xml:space="preserve"> </w:t>
      </w:r>
      <w:r w:rsidRPr="001D0E57">
        <w:rPr>
          <w:rFonts w:cs="Arial"/>
        </w:rPr>
        <w:t>transformat</w:t>
      </w:r>
      <w:r w:rsidRPr="00EF65AE">
        <w:rPr>
          <w:rFonts w:cs="Arial"/>
        </w:rPr>
        <w:t>ive</w:t>
      </w:r>
      <w:r w:rsidR="001D0E57">
        <w:rPr>
          <w:rFonts w:cs="Arial"/>
        </w:rPr>
        <w:t>. T</w:t>
      </w:r>
      <w:r w:rsidRPr="00EF65AE">
        <w:rPr>
          <w:rFonts w:cs="Arial"/>
        </w:rPr>
        <w:t>hey must also work with men.</w:t>
      </w:r>
      <w:r w:rsidRPr="00EF65AE">
        <w:rPr>
          <w:rFonts w:cs="Arial"/>
        </w:rPr>
        <w:fldChar w:fldCharType="begin"/>
      </w:r>
      <w:r w:rsidRPr="00EF65AE">
        <w:rPr>
          <w:rFonts w:cs="Arial"/>
        </w:rPr>
        <w:instrText xml:space="preserve"> ADDIN ZOTERO_ITEM CSL_CITATION {"citationID":"Xof1rbVU","properties":{"formattedCitation":"\\super 108\\uc0\\u8211{}110\\nosupersub{}","plainCitation":"108–110","noteIndex":0},"citationItems":[{"id":463,"uris":["http://zotero.org/users/4194704/items/E6FMY2QS"],"uri":["http://zotero.org/users/4194704/items/E6FMY2QS"],"itemData":{"id":463,"type":"report","title":"Do No Harm Research: Solomon Islands","publisher":"Department of Pacific Affairs at ANU and the International Women's Development Agency","publisher-place":"Canberra","event-place":"Canberra","author":[{"family":"Eves","given":"Richard"},{"family":"Lusby","given":"Stephanie"},{"family":"Araia","given":"Thomas"},{"family":"Maeni","given":"Mary-Fay"},{"family":"Martin","given":"Rose"}],"issued":{"date-parts":[["2018"]]}}},{"id":2498,"uris":["http://zotero.org/users/4194704/items/ICX8CW8M"],"uri":["http://zotero.org/users/4194704/items/ICX8CW8M"],"itemData":{"id":2498,"type":"report","title":"Do No Harm Research: Bougainville","publisher":"Department of Pacific Affairs","publisher-place":"Canberra ACT","event-place":"Canberra ACT","author":[{"family":"Eves","given":"Richard"},{"family":"Kouro","given":"Genevieve"},{"family":"Simiha","given":"Steven"},{"family":"Subalik","given":"Irene"}],"issued":{"date-parts":[["2018"]]}}},{"id":464,"uris":["http://zotero.org/users/4194704/items/ZXXMS6UL"],"uri":["http://zotero.org/users/4194704/items/ZXXMS6UL"],"itemData":{"id":464,"type":"report","title":"Do No Harm Research: Papua New Guinea","publisher":"Department of Pacific Affairs at ANU and the International Women's Development Agency","publisher-place":"Canberra","event-place":"Canberra","author":[{"family":"Eves","given":"Richard"},{"family":"Kouro","given":"Genevieve"},{"family":"Simiha","given":"Steven"},{"family":"Subalik","given":"Irene"}],"issued":{"date-parts":[["2018"]]}}}],"schema":"https://github.com/citation-style-language/schema/raw/master/csl-citation.json"} </w:instrText>
      </w:r>
      <w:r w:rsidRPr="00EF65AE">
        <w:rPr>
          <w:rFonts w:cs="Arial"/>
        </w:rPr>
        <w:fldChar w:fldCharType="separate"/>
      </w:r>
      <w:r w:rsidRPr="00EF65AE">
        <w:rPr>
          <w:rFonts w:cs="Arial"/>
          <w:vertAlign w:val="superscript"/>
          <w:lang w:val="en-US"/>
        </w:rPr>
        <w:t>108–110</w:t>
      </w:r>
      <w:r w:rsidRPr="00EF65AE">
        <w:rPr>
          <w:rFonts w:cs="Arial"/>
        </w:rPr>
        <w:fldChar w:fldCharType="end"/>
      </w:r>
    </w:p>
    <w:p w14:paraId="3B9B6AA9" w14:textId="7032EE22" w:rsidR="00EF65AE" w:rsidRPr="00EF65AE" w:rsidRDefault="001D0E57" w:rsidP="00EF65AE">
      <w:pPr>
        <w:rPr>
          <w:rFonts w:cs="Arial"/>
        </w:rPr>
      </w:pPr>
      <w:r>
        <w:rPr>
          <w:rFonts w:cs="Arial"/>
        </w:rPr>
        <w:t>O</w:t>
      </w:r>
      <w:r w:rsidR="00EF65AE" w:rsidRPr="00EF65AE">
        <w:rPr>
          <w:rFonts w:cs="Arial"/>
        </w:rPr>
        <w:t xml:space="preserve">pportunities </w:t>
      </w:r>
      <w:r>
        <w:rPr>
          <w:rFonts w:cs="Arial"/>
        </w:rPr>
        <w:t xml:space="preserve">exist </w:t>
      </w:r>
      <w:r w:rsidR="00EF65AE" w:rsidRPr="00EF65AE">
        <w:rPr>
          <w:rFonts w:cs="Arial"/>
        </w:rPr>
        <w:t>to integrate gender</w:t>
      </w:r>
      <w:r w:rsidR="00292D44">
        <w:rPr>
          <w:rFonts w:cs="Arial"/>
        </w:rPr>
        <w:t>-</w:t>
      </w:r>
      <w:r w:rsidR="00EF65AE" w:rsidRPr="00EF65AE">
        <w:rPr>
          <w:rFonts w:cs="Arial"/>
        </w:rPr>
        <w:t>transformative economic empowerment interventions into other larger</w:t>
      </w:r>
      <w:r>
        <w:rPr>
          <w:rFonts w:cs="Arial"/>
        </w:rPr>
        <w:t>-</w:t>
      </w:r>
      <w:r w:rsidR="00EF65AE" w:rsidRPr="00EF65AE">
        <w:rPr>
          <w:rFonts w:cs="Arial"/>
        </w:rPr>
        <w:t>scale social support or poverty</w:t>
      </w:r>
      <w:r>
        <w:rPr>
          <w:rFonts w:cs="Arial"/>
        </w:rPr>
        <w:t>-</w:t>
      </w:r>
      <w:r w:rsidR="00EF65AE" w:rsidRPr="00EF65AE">
        <w:rPr>
          <w:rFonts w:cs="Arial"/>
        </w:rPr>
        <w:t>reduction initiatives</w:t>
      </w:r>
      <w:r w:rsidR="00E2253F">
        <w:rPr>
          <w:rFonts w:cs="Arial"/>
        </w:rPr>
        <w:t xml:space="preserve">. </w:t>
      </w:r>
      <w:r w:rsidR="00EF65AE" w:rsidRPr="00EF65AE">
        <w:rPr>
          <w:rFonts w:cs="Arial"/>
        </w:rPr>
        <w:t xml:space="preserve">Addressing women’s economic empowerment and </w:t>
      </w:r>
      <w:r>
        <w:rPr>
          <w:rFonts w:cs="Arial"/>
        </w:rPr>
        <w:t>violence against women</w:t>
      </w:r>
      <w:r w:rsidR="00EF65AE" w:rsidRPr="00EF65AE">
        <w:rPr>
          <w:rFonts w:cs="Arial"/>
        </w:rPr>
        <w:t xml:space="preserve"> in isolation from each other potentially results in threads of women’s rights programming working at cross</w:t>
      </w:r>
      <w:r>
        <w:rPr>
          <w:rFonts w:cs="Arial"/>
        </w:rPr>
        <w:t xml:space="preserve"> </w:t>
      </w:r>
      <w:r w:rsidR="00EF65AE" w:rsidRPr="00EF65AE">
        <w:rPr>
          <w:rFonts w:cs="Arial"/>
        </w:rPr>
        <w:t>purposes. Australia should consider VAWG risk mitigation as part of a</w:t>
      </w:r>
      <w:r>
        <w:rPr>
          <w:rFonts w:cs="Arial"/>
        </w:rPr>
        <w:t xml:space="preserve">ll </w:t>
      </w:r>
      <w:r w:rsidR="00EF65AE" w:rsidRPr="00EF65AE">
        <w:rPr>
          <w:rFonts w:cs="Arial"/>
        </w:rPr>
        <w:t>planned women’s economic empowerment</w:t>
      </w:r>
      <w:r w:rsidR="00EF65AE" w:rsidRPr="00EF65AE" w:rsidDel="00B165BD">
        <w:rPr>
          <w:rFonts w:cs="Arial"/>
        </w:rPr>
        <w:t xml:space="preserve"> </w:t>
      </w:r>
      <w:r w:rsidR="00EF65AE" w:rsidRPr="00EF65AE">
        <w:rPr>
          <w:rFonts w:cs="Arial"/>
        </w:rPr>
        <w:t xml:space="preserve">interventions and maximise the positive benefits of such interventions to potentially reduce VAWG and address harmful gender norms. </w:t>
      </w:r>
    </w:p>
    <w:p w14:paraId="54579648" w14:textId="77777777" w:rsidR="00EF65AE" w:rsidRPr="00EF65AE" w:rsidRDefault="00EF65AE" w:rsidP="008167F8">
      <w:pPr>
        <w:pStyle w:val="Heading3NoTOC"/>
      </w:pPr>
      <w:r w:rsidRPr="00EF65AE">
        <w:t>Engaging men and boys</w:t>
      </w:r>
    </w:p>
    <w:p w14:paraId="3F2D2D89" w14:textId="37510148" w:rsidR="00EF65AE" w:rsidRPr="00EF65AE" w:rsidRDefault="00EF65AE" w:rsidP="00EF65AE">
      <w:pPr>
        <w:rPr>
          <w:rFonts w:cs="Arial"/>
        </w:rPr>
      </w:pPr>
      <w:r w:rsidRPr="00EF65AE">
        <w:rPr>
          <w:rFonts w:cs="Arial"/>
        </w:rPr>
        <w:t xml:space="preserve">Programs that primarily target </w:t>
      </w:r>
      <w:r w:rsidR="00075611">
        <w:rPr>
          <w:rFonts w:cs="Arial"/>
        </w:rPr>
        <w:t>men</w:t>
      </w:r>
      <w:r w:rsidR="00075611" w:rsidRPr="00EF65AE">
        <w:rPr>
          <w:rFonts w:cs="Arial"/>
        </w:rPr>
        <w:t xml:space="preserve"> </w:t>
      </w:r>
      <w:r w:rsidRPr="00EF65AE">
        <w:rPr>
          <w:rFonts w:cs="Arial"/>
        </w:rPr>
        <w:t xml:space="preserve">and </w:t>
      </w:r>
      <w:r w:rsidR="00075611">
        <w:rPr>
          <w:rFonts w:cs="Arial"/>
        </w:rPr>
        <w:t>boys</w:t>
      </w:r>
      <w:r w:rsidR="00075611" w:rsidRPr="00EF65AE">
        <w:rPr>
          <w:rFonts w:cs="Arial"/>
        </w:rPr>
        <w:t xml:space="preserve"> </w:t>
      </w:r>
      <w:r w:rsidRPr="00EF65AE">
        <w:rPr>
          <w:rFonts w:cs="Arial"/>
        </w:rPr>
        <w:t>can be effective in addressing VAWG if they take a gender</w:t>
      </w:r>
      <w:r w:rsidR="00F24B92">
        <w:rPr>
          <w:rFonts w:cs="Arial"/>
        </w:rPr>
        <w:t>-</w:t>
      </w:r>
      <w:r w:rsidRPr="00EF65AE">
        <w:rPr>
          <w:rFonts w:cs="Arial"/>
        </w:rPr>
        <w:t>transformative approach, involve intense community mobilisation, and address men, women, boys and girls within the same program or in coordination with other organisations.</w:t>
      </w:r>
      <w:r w:rsidRPr="00EF65AE">
        <w:rPr>
          <w:rFonts w:cs="Arial"/>
        </w:rPr>
        <w:fldChar w:fldCharType="begin"/>
      </w:r>
      <w:r w:rsidRPr="00EF65AE">
        <w:rPr>
          <w:rFonts w:cs="Arial"/>
        </w:rPr>
        <w:instrText xml:space="preserve"> ADDIN EN.CITE &lt;EndNote&gt;&lt;Cite&gt;&lt;Author&gt;Heise&lt;/Author&gt;&lt;Year&gt;2011&lt;/Year&gt;&lt;RecNum&gt;71&lt;/RecNum&gt;&lt;DisplayText&gt;(Heise, 2011)&lt;/DisplayText&gt;&lt;record&gt;&lt;rec-number&gt;71&lt;/rec-number&gt;&lt;foreign-keys&gt;&lt;key app="EN" db-id="rwrpxexri20xr1ezz9452exrtsse5rsfs220" timestamp="1524033519"&gt;71&lt;/key&gt;&lt;/foreign-keys&gt;&lt;ref-type name="Report"&gt;27&lt;/ref-type&gt;&lt;contributors&gt;&lt;authors&gt;&lt;author&gt;Lori Heise&lt;/author&gt;&lt;/authors&gt;&lt;/contributors&gt;&lt;titles&gt;&lt;title&gt;What works to prevent partner violence: An evidence overview&lt;/title&gt;&lt;/titles&gt;&lt;dates&gt;&lt;year&gt;2011&lt;/year&gt;&lt;/dates&gt;&lt;pub-location&gt;London&lt;/pub-location&gt;&lt;publisher&gt;STRIVE Research Consortium, London School of Hygiene and Tropical Medicine&lt;/publisher&gt;&lt;urls&gt;&lt;related-urls&gt;&lt;url&gt;http://researchonline.lshtm.ac.uk/21062/&lt;/url&gt;&lt;/related-urls&gt;&lt;/urls&gt;&lt;access-date&gt;18th April 2018&lt;/access-date&gt;&lt;/record&gt;&lt;/Cite&gt;&lt;/EndNote&gt;</w:instrText>
      </w:r>
      <w:r w:rsidRPr="00EF65AE">
        <w:rPr>
          <w:rFonts w:cs="Arial"/>
        </w:rPr>
        <w:fldChar w:fldCharType="separate"/>
      </w:r>
      <w:r w:rsidRPr="00EF65AE">
        <w:rPr>
          <w:rFonts w:cs="Arial"/>
          <w:vertAlign w:val="superscript"/>
        </w:rPr>
        <w:t>47</w:t>
      </w:r>
      <w:r w:rsidRPr="00EF65AE">
        <w:rPr>
          <w:rFonts w:cs="Arial"/>
        </w:rPr>
        <w:fldChar w:fldCharType="end"/>
      </w:r>
      <w:r w:rsidRPr="00EF65AE">
        <w:rPr>
          <w:rFonts w:cs="Arial"/>
        </w:rPr>
        <w:t xml:space="preserve"> </w:t>
      </w:r>
      <w:r w:rsidR="00D74A07">
        <w:rPr>
          <w:rFonts w:cs="Arial"/>
        </w:rPr>
        <w:br/>
      </w:r>
      <w:r w:rsidRPr="00EF65AE">
        <w:rPr>
          <w:rFonts w:cs="Arial"/>
        </w:rPr>
        <w:t xml:space="preserve">It is best practice that working with men and boys should be guided by and accountable to women’s organisations. </w:t>
      </w:r>
    </w:p>
    <w:p w14:paraId="4338B164" w14:textId="77777777" w:rsidR="00EF65AE" w:rsidRPr="00EF65AE" w:rsidRDefault="00EF65AE" w:rsidP="00EF65AE">
      <w:pPr>
        <w:rPr>
          <w:rFonts w:cs="Arial"/>
        </w:rPr>
      </w:pPr>
      <w:r w:rsidRPr="00EF65AE">
        <w:rPr>
          <w:rFonts w:cs="Arial"/>
        </w:rPr>
        <w:t>Th</w:t>
      </w:r>
      <w:r w:rsidR="001D0E57">
        <w:rPr>
          <w:rFonts w:cs="Arial"/>
        </w:rPr>
        <w:t>is</w:t>
      </w:r>
      <w:r w:rsidRPr="00EF65AE">
        <w:rPr>
          <w:rFonts w:cs="Arial"/>
        </w:rPr>
        <w:t xml:space="preserve"> evaluation found some promising examples of Australian-supported programs that effectively engaged with men and boys to prevent violence and were well-regarded by stakeho</w:t>
      </w:r>
      <w:r w:rsidR="00921D5D">
        <w:rPr>
          <w:rFonts w:cs="Arial"/>
        </w:rPr>
        <w:t>lders, including in Fiji (Box 15</w:t>
      </w:r>
      <w:r w:rsidRPr="00EF65AE">
        <w:rPr>
          <w:rFonts w:cs="Arial"/>
        </w:rPr>
        <w:t>), P</w:t>
      </w:r>
      <w:r w:rsidR="00F24B92">
        <w:rPr>
          <w:rFonts w:cs="Arial"/>
        </w:rPr>
        <w:t>NG</w:t>
      </w:r>
      <w:r w:rsidRPr="00EF65AE">
        <w:rPr>
          <w:rFonts w:cs="Arial"/>
        </w:rPr>
        <w:t>, Solomon Islands and Timor-Leste. While programs involving men and boys are likely to include perpetrators, even if unintentionally, the global evidence on the effectiveness of court-mandated programs with perpetrators is limited and inconclusive, and dropout rates for such programs are high.</w:t>
      </w:r>
      <w:r w:rsidRPr="00EF65AE">
        <w:rPr>
          <w:rFonts w:cs="Arial"/>
        </w:rPr>
        <w:fldChar w:fldCharType="begin"/>
      </w:r>
      <w:r w:rsidRPr="00EF65AE">
        <w:rPr>
          <w:rFonts w:cs="Arial"/>
        </w:rPr>
        <w:instrText xml:space="preserve"> ADDIN ZOTERO_ITEM CSL_CITATION {"citationID":"dDMECPaL","properties":{"formattedCitation":"\\super 49,88\\nosupersub{}","plainCitation":"49,88","noteIndex":0},"citationItems":[{"id":92,"uris":["http://zotero.org/users/4194704/items/R3LYQA9W"],"uri":["http://zotero.org/users/4194704/items/R3LYQA9W"],"itemData":{"id":92,"type":"article-journal","title":"Prevention of violence against women and girls: what does the evidence say?","container-title":"The Lancet","page":"1555-1566","volume":"385","issue":"9977","ISSN":"0140-6736","author":[{"family":"Ellsberg","given":"Mary"},{"family":"Arango","given":"Diana J."},{"family":"Morton","given":"Matthew"},{"family":"Gennari","given":"Floriza"},{"family":"Kiplesund","given":"Sveinung"},{"family":"Contreras","given":"Manuel"},{"family":"Watts","given":"Charlotte"}],"issued":{"date-parts":[["2015"]]}}},{"id":198,"uris":["http://zotero.org/users/4194704/items/UY3IHJXA"],"uri":["http://zotero.org/users/4194704/items/UY3IHJXA"],"itemData":{"id":198,"type":"article-journal","title":"From work with men and boys to changes of social norms and reduction of inequities in gender relations: a conceptual shift in prevention of violence against women and girls","container-title":"The Lancet","page":"1580-1589","volume":"385","issue":"9977","ISSN":"0140-6736","author":[{"family":"Jewkes","given":"Rachel"},{"family":"Flood","given":"Michael"},{"family":"Lang","given":"James"}],"issued":{"date-parts":[["2015"]]}}}],"schema":"https://github.com/citation-style-language/schema/raw/master/csl-citation.json"} </w:instrText>
      </w:r>
      <w:r w:rsidRPr="00EF65AE">
        <w:rPr>
          <w:rFonts w:cs="Arial"/>
        </w:rPr>
        <w:fldChar w:fldCharType="separate"/>
      </w:r>
      <w:r w:rsidRPr="00EF65AE">
        <w:rPr>
          <w:rFonts w:cs="Arial"/>
          <w:vertAlign w:val="superscript"/>
          <w:lang w:val="en-US"/>
        </w:rPr>
        <w:t>49,88</w:t>
      </w:r>
      <w:r w:rsidRPr="00EF65AE">
        <w:rPr>
          <w:rFonts w:cs="Arial"/>
        </w:rPr>
        <w:fldChar w:fldCharType="end"/>
      </w:r>
      <w:r w:rsidRPr="00EF65AE">
        <w:rPr>
          <w:rFonts w:cs="Arial"/>
        </w:rPr>
        <w:t xml:space="preserve"> While there may be demand for such programs, Australia should continue to exercise caution in funding court-mandated perpetrator programs, because evidence suggests that </w:t>
      </w:r>
      <w:r w:rsidR="00F24B92">
        <w:rPr>
          <w:rFonts w:cs="Arial"/>
        </w:rPr>
        <w:t>these</w:t>
      </w:r>
      <w:r w:rsidR="00F24B92" w:rsidRPr="00EF65AE">
        <w:rPr>
          <w:rFonts w:cs="Arial"/>
        </w:rPr>
        <w:t xml:space="preserve"> </w:t>
      </w:r>
      <w:r w:rsidRPr="00EF65AE">
        <w:rPr>
          <w:rFonts w:cs="Arial"/>
        </w:rPr>
        <w:t>can cause more harm than good.</w:t>
      </w:r>
      <w:r w:rsidRPr="00EF65AE">
        <w:rPr>
          <w:rFonts w:cs="Arial"/>
        </w:rPr>
        <w:fldChar w:fldCharType="begin"/>
      </w:r>
      <w:r w:rsidRPr="00EF65AE">
        <w:rPr>
          <w:rFonts w:cs="Arial"/>
        </w:rPr>
        <w:instrText xml:space="preserve"> ADDIN ZOTERO_ITEM CSL_CITATION {"citationID":"fIPHK2as","properties":{"formattedCitation":"\\super 88\\nosupersub{}","plainCitation":"88","noteIndex":0},"citationItems":[{"id":92,"uris":["http://zotero.org/users/4194704/items/R3LYQA9W"],"uri":["http://zotero.org/users/4194704/items/R3LYQA9W"],"itemData":{"id":92,"type":"article-journal","title":"Prevention of violence against women and girls: what does the evidence say?","container-title":"The Lancet","page":"1555-1566","volume":"385","issue":"9977","ISSN":"0140-6736","author":[{"family":"Ellsberg","given":"Mary"},{"family":"Arango","given":"Diana J."},{"family":"Morton","given":"Matthew"},{"family":"Gennari","given":"Floriza"},{"family":"Kiplesund","given":"Sveinung"},{"family":"Contreras","given":"Manuel"},{"family":"Watts","given":"Charlotte"}],"issued":{"date-parts":[["2015"]]}}}],"schema":"https://github.com/citation-style-language/schema/raw/master/csl-citation.json"} </w:instrText>
      </w:r>
      <w:r w:rsidRPr="00EF65AE">
        <w:rPr>
          <w:rFonts w:cs="Arial"/>
        </w:rPr>
        <w:fldChar w:fldCharType="separate"/>
      </w:r>
      <w:r w:rsidRPr="00EF65AE">
        <w:rPr>
          <w:rFonts w:cs="Arial"/>
          <w:vertAlign w:val="superscript"/>
          <w:lang w:val="en-US"/>
        </w:rPr>
        <w:t>88</w:t>
      </w:r>
      <w:r w:rsidRPr="00EF65AE">
        <w:rPr>
          <w:rFonts w:cs="Arial"/>
        </w:rPr>
        <w:fldChar w:fldCharType="end"/>
      </w:r>
    </w:p>
    <w:p w14:paraId="70FA3440" w14:textId="77777777" w:rsidR="00EF65AE" w:rsidRPr="00EF65AE" w:rsidRDefault="00EF65AE" w:rsidP="00EF65AE">
      <w:pPr>
        <w:rPr>
          <w:rFonts w:cs="Arial"/>
        </w:rPr>
      </w:pPr>
      <w:r w:rsidRPr="00EF65AE">
        <w:rPr>
          <w:rFonts w:cs="Arial"/>
        </w:rPr>
        <w:t>Programs includ</w:t>
      </w:r>
      <w:r w:rsidR="001D0E57">
        <w:rPr>
          <w:rFonts w:cs="Arial"/>
        </w:rPr>
        <w:t>ing</w:t>
      </w:r>
      <w:r w:rsidRPr="00EF65AE">
        <w:rPr>
          <w:rFonts w:cs="Arial"/>
        </w:rPr>
        <w:t xml:space="preserve"> </w:t>
      </w:r>
      <w:r w:rsidR="001D0E57">
        <w:rPr>
          <w:rFonts w:cs="Arial"/>
        </w:rPr>
        <w:t>women and men</w:t>
      </w:r>
      <w:r w:rsidRPr="00EF65AE">
        <w:rPr>
          <w:rFonts w:cs="Arial"/>
        </w:rPr>
        <w:t xml:space="preserve"> should provide opportunities for same-sex conversations, particularly so women can discuss issues considered very sensitive or taboo. The evaluation team met with a group of women who had been participating in a community-based violence prevention program for over a year</w:t>
      </w:r>
      <w:r w:rsidR="001D0E57">
        <w:rPr>
          <w:rFonts w:cs="Arial"/>
        </w:rPr>
        <w:t>,</w:t>
      </w:r>
      <w:r w:rsidRPr="00EF65AE">
        <w:rPr>
          <w:rFonts w:cs="Arial"/>
        </w:rPr>
        <w:t xml:space="preserve"> in joint meetings with community men. It was</w:t>
      </w:r>
      <w:r w:rsidR="00F24B92">
        <w:rPr>
          <w:rFonts w:cs="Arial"/>
        </w:rPr>
        <w:t xml:space="preserve"> not</w:t>
      </w:r>
      <w:r w:rsidRPr="00EF65AE">
        <w:rPr>
          <w:rFonts w:cs="Arial"/>
        </w:rPr>
        <w:t xml:space="preserve"> until the women met alone with the</w:t>
      </w:r>
      <w:r w:rsidR="001D0E57">
        <w:rPr>
          <w:rFonts w:cs="Arial"/>
        </w:rPr>
        <w:t xml:space="preserve"> evaluation</w:t>
      </w:r>
      <w:r w:rsidRPr="00EF65AE">
        <w:rPr>
          <w:rFonts w:cs="Arial"/>
        </w:rPr>
        <w:t xml:space="preserve"> team that the</w:t>
      </w:r>
      <w:r w:rsidR="00F24B92">
        <w:rPr>
          <w:rFonts w:cs="Arial"/>
        </w:rPr>
        <w:t>y</w:t>
      </w:r>
      <w:r w:rsidRPr="00EF65AE">
        <w:rPr>
          <w:rFonts w:cs="Arial"/>
        </w:rPr>
        <w:t xml:space="preserve"> talked about marital rape as a common problem. Until then, the women had not realised that other women were facing the same problem and had not wanted to discuss it in front of their husbands.</w:t>
      </w:r>
    </w:p>
    <w:p w14:paraId="49B35CCE" w14:textId="77777777" w:rsidR="00EF65AE" w:rsidRPr="00EF65AE" w:rsidRDefault="00921D5D" w:rsidP="00EF65AE">
      <w:pPr>
        <w:pStyle w:val="CallOutHeading"/>
        <w:rPr>
          <w:rFonts w:cs="Arial"/>
        </w:rPr>
      </w:pPr>
      <w:r>
        <w:rPr>
          <w:rFonts w:cs="Arial"/>
        </w:rPr>
        <w:t>Box 15</w:t>
      </w:r>
      <w:r w:rsidR="00EF65AE" w:rsidRPr="00EF65AE">
        <w:rPr>
          <w:rFonts w:cs="Arial"/>
        </w:rPr>
        <w:t>: Male advocacy program in Fiji</w:t>
      </w:r>
    </w:p>
    <w:p w14:paraId="00FC37DC" w14:textId="77777777" w:rsidR="00EF65AE" w:rsidRPr="00EF65AE" w:rsidRDefault="00EF65AE" w:rsidP="00EF65AE">
      <w:pPr>
        <w:pStyle w:val="CallOutBody"/>
        <w:rPr>
          <w:rFonts w:cs="Arial"/>
        </w:rPr>
      </w:pPr>
      <w:r w:rsidRPr="00EF65AE">
        <w:rPr>
          <w:rFonts w:cs="Arial"/>
        </w:rPr>
        <w:t xml:space="preserve">Australia supports the FWCC </w:t>
      </w:r>
      <w:bookmarkStart w:id="290" w:name="_Hlk18569063"/>
      <w:r w:rsidRPr="000251EA">
        <w:rPr>
          <w:rFonts w:cs="Arial"/>
          <w:iCs/>
        </w:rPr>
        <w:t xml:space="preserve">Male Advocacy for Women’s Human Rights and Against Violence against Women </w:t>
      </w:r>
      <w:r w:rsidRPr="00993A31">
        <w:rPr>
          <w:rFonts w:cs="Arial"/>
          <w:iCs/>
        </w:rPr>
        <w:t>p</w:t>
      </w:r>
      <w:r w:rsidRPr="00EF65AE">
        <w:rPr>
          <w:rFonts w:cs="Arial"/>
        </w:rPr>
        <w:t>rogram</w:t>
      </w:r>
      <w:bookmarkEnd w:id="290"/>
      <w:r w:rsidRPr="00EF65AE">
        <w:rPr>
          <w:rFonts w:cs="Arial"/>
        </w:rPr>
        <w:t>. Th</w:t>
      </w:r>
      <w:r w:rsidR="001D0E57">
        <w:rPr>
          <w:rFonts w:cs="Arial"/>
        </w:rPr>
        <w:t>is</w:t>
      </w:r>
      <w:r w:rsidRPr="00EF65AE">
        <w:rPr>
          <w:rFonts w:cs="Arial"/>
        </w:rPr>
        <w:t xml:space="preserve"> internationally recognised program is a joint initiative with the Fiji </w:t>
      </w:r>
      <w:r w:rsidR="00F24B92">
        <w:rPr>
          <w:rFonts w:cs="Arial"/>
        </w:rPr>
        <w:t>G</w:t>
      </w:r>
      <w:r w:rsidRPr="00EF65AE">
        <w:rPr>
          <w:rFonts w:cs="Arial"/>
        </w:rPr>
        <w:t xml:space="preserve">overnment to train </w:t>
      </w:r>
      <w:r w:rsidR="00F24B92">
        <w:rPr>
          <w:rFonts w:cs="Arial"/>
        </w:rPr>
        <w:t>m</w:t>
      </w:r>
      <w:r w:rsidRPr="00EF65AE">
        <w:rPr>
          <w:rFonts w:cs="Arial"/>
        </w:rPr>
        <w:t xml:space="preserve">ale </w:t>
      </w:r>
      <w:r w:rsidR="00F24B92">
        <w:rPr>
          <w:rFonts w:cs="Arial"/>
        </w:rPr>
        <w:t>a</w:t>
      </w:r>
      <w:r w:rsidRPr="00EF65AE">
        <w:rPr>
          <w:rFonts w:cs="Arial"/>
        </w:rPr>
        <w:t>dvocates to promote EVAWG at community, national and regional</w:t>
      </w:r>
      <w:r w:rsidR="00F24B92">
        <w:rPr>
          <w:rFonts w:cs="Arial"/>
        </w:rPr>
        <w:t xml:space="preserve"> </w:t>
      </w:r>
      <w:r w:rsidRPr="00EF65AE">
        <w:rPr>
          <w:rFonts w:cs="Arial"/>
        </w:rPr>
        <w:t>levels. The program trains men in positions of authority, such as village chiefs, police officers and government officials</w:t>
      </w:r>
      <w:r w:rsidR="001D0E57">
        <w:rPr>
          <w:rFonts w:cs="Arial"/>
        </w:rPr>
        <w:t>,</w:t>
      </w:r>
      <w:r w:rsidRPr="00EF65AE">
        <w:rPr>
          <w:rFonts w:cs="Arial"/>
        </w:rPr>
        <w:t xml:space="preserve"> to influence their communities and peers, and be allies for women’s rights and women’s organisations. It has been replicated in P</w:t>
      </w:r>
      <w:r w:rsidR="00F24B92">
        <w:rPr>
          <w:rFonts w:cs="Arial"/>
        </w:rPr>
        <w:t>NG</w:t>
      </w:r>
      <w:r w:rsidRPr="00EF65AE">
        <w:rPr>
          <w:rFonts w:cs="Arial"/>
        </w:rPr>
        <w:t xml:space="preserve">, Tonga, Solomon Islands and Vanuatu, mainly with support from Australia. </w:t>
      </w:r>
    </w:p>
    <w:p w14:paraId="66F7B169" w14:textId="77777777" w:rsidR="00EF65AE" w:rsidRPr="00EF65AE" w:rsidRDefault="001D0E57" w:rsidP="00EF65AE">
      <w:pPr>
        <w:pStyle w:val="CallOutBody"/>
        <w:rPr>
          <w:rFonts w:cs="Arial"/>
        </w:rPr>
      </w:pPr>
      <w:r>
        <w:rPr>
          <w:rFonts w:cs="Arial"/>
        </w:rPr>
        <w:t>Fiji’s</w:t>
      </w:r>
      <w:r w:rsidRPr="00EF65AE">
        <w:rPr>
          <w:rFonts w:cs="Arial"/>
        </w:rPr>
        <w:t xml:space="preserve"> </w:t>
      </w:r>
      <w:r w:rsidR="00EF65AE" w:rsidRPr="00EF65AE">
        <w:rPr>
          <w:rFonts w:cs="Arial"/>
        </w:rPr>
        <w:t xml:space="preserve">male advocacy program involves several stages of awareness raising and training, working through layers of social norms </w:t>
      </w:r>
      <w:r>
        <w:rPr>
          <w:rFonts w:cs="Arial"/>
        </w:rPr>
        <w:t>that</w:t>
      </w:r>
      <w:r w:rsidRPr="00EF65AE">
        <w:rPr>
          <w:rFonts w:cs="Arial"/>
        </w:rPr>
        <w:t xml:space="preserve"> </w:t>
      </w:r>
      <w:r w:rsidR="00EF65AE" w:rsidRPr="00EF65AE">
        <w:rPr>
          <w:rFonts w:cs="Arial"/>
        </w:rPr>
        <w:t xml:space="preserve">had previously justified violence against women. </w:t>
      </w:r>
    </w:p>
    <w:p w14:paraId="475DF5B7" w14:textId="77777777" w:rsidR="00EF65AE" w:rsidRPr="00EF65AE" w:rsidRDefault="00EF65AE" w:rsidP="00EF65AE">
      <w:pPr>
        <w:pStyle w:val="CallOutBody"/>
        <w:rPr>
          <w:rFonts w:cs="Arial"/>
        </w:rPr>
      </w:pPr>
      <w:r w:rsidRPr="00EF65AE">
        <w:rPr>
          <w:rFonts w:cs="Arial"/>
        </w:rPr>
        <w:t xml:space="preserve">FWCC experiences over the last decade have shown </w:t>
      </w:r>
      <w:r w:rsidR="00F24B92">
        <w:rPr>
          <w:rFonts w:cs="Arial"/>
        </w:rPr>
        <w:t xml:space="preserve">that </w:t>
      </w:r>
      <w:r w:rsidRPr="00EF65AE">
        <w:rPr>
          <w:rFonts w:cs="Arial"/>
        </w:rPr>
        <w:t>the</w:t>
      </w:r>
      <w:r w:rsidR="00F24B92">
        <w:rPr>
          <w:rFonts w:cs="Arial"/>
        </w:rPr>
        <w:t xml:space="preserve">se </w:t>
      </w:r>
      <w:r w:rsidRPr="00EF65AE">
        <w:rPr>
          <w:rFonts w:cs="Arial"/>
        </w:rPr>
        <w:t>principles are important for guiding effective prevention work with men and boys:</w:t>
      </w:r>
    </w:p>
    <w:p w14:paraId="7AA85A59" w14:textId="77777777" w:rsidR="00EF65AE" w:rsidRPr="00EF65AE" w:rsidRDefault="00EF65AE" w:rsidP="00EF65AE">
      <w:pPr>
        <w:pStyle w:val="CallOutBody"/>
        <w:rPr>
          <w:rFonts w:cs="Arial"/>
        </w:rPr>
      </w:pPr>
      <w:r w:rsidRPr="00EF65AE">
        <w:rPr>
          <w:rFonts w:cs="Arial"/>
        </w:rPr>
        <w:t>1) Using a human rights framework to increase men’s awareness of gender equality as a human right, which involves challenging traditional and cultural beliefs and practices on violence against women and gender relations.</w:t>
      </w:r>
    </w:p>
    <w:p w14:paraId="279F059D" w14:textId="77777777" w:rsidR="00EF65AE" w:rsidRPr="00EF65AE" w:rsidRDefault="00EF65AE" w:rsidP="00EF65AE">
      <w:pPr>
        <w:pStyle w:val="CallOutBody"/>
        <w:rPr>
          <w:rFonts w:cs="Arial"/>
        </w:rPr>
      </w:pPr>
      <w:r w:rsidRPr="00EF65AE">
        <w:rPr>
          <w:rFonts w:cs="Arial"/>
        </w:rPr>
        <w:t xml:space="preserve">2) </w:t>
      </w:r>
      <w:r w:rsidR="00F24B92">
        <w:rPr>
          <w:rFonts w:cs="Arial"/>
        </w:rPr>
        <w:t>Raising t</w:t>
      </w:r>
      <w:r w:rsidRPr="00EF65AE">
        <w:rPr>
          <w:rFonts w:cs="Arial"/>
        </w:rPr>
        <w:t xml:space="preserve">he importance of men addressing their own violence before they can be effective advocates or provide counselling to other men and providing training and support for this. </w:t>
      </w:r>
    </w:p>
    <w:p w14:paraId="1AA7267D" w14:textId="77777777" w:rsidR="00EF65AE" w:rsidRPr="00EF65AE" w:rsidRDefault="00EF65AE" w:rsidP="00EF65AE">
      <w:pPr>
        <w:pStyle w:val="CallOutBody"/>
        <w:rPr>
          <w:rFonts w:cs="Arial"/>
        </w:rPr>
      </w:pPr>
      <w:r w:rsidRPr="00EF65AE">
        <w:rPr>
          <w:rFonts w:cs="Arial"/>
        </w:rPr>
        <w:t xml:space="preserve">3) </w:t>
      </w:r>
      <w:r w:rsidR="00F24B92">
        <w:rPr>
          <w:rFonts w:cs="Arial"/>
        </w:rPr>
        <w:t>Raising t</w:t>
      </w:r>
      <w:r w:rsidRPr="00EF65AE">
        <w:rPr>
          <w:rFonts w:cs="Arial"/>
        </w:rPr>
        <w:t>he importance of accountability of men’s groups to women’s organisations and to the human rights of both women and men.</w:t>
      </w:r>
    </w:p>
    <w:p w14:paraId="197C43B5" w14:textId="77777777" w:rsidR="00EF65AE" w:rsidRPr="00EF65AE" w:rsidRDefault="00EF65AE" w:rsidP="008167F8">
      <w:pPr>
        <w:pStyle w:val="Heading3NoTOC"/>
      </w:pPr>
      <w:r w:rsidRPr="00EF65AE">
        <w:t xml:space="preserve">Faith-based prevention </w:t>
      </w:r>
    </w:p>
    <w:p w14:paraId="4F3E365E" w14:textId="4424CA27" w:rsidR="001D0E57" w:rsidRDefault="00EF65AE" w:rsidP="00EF65AE">
      <w:pPr>
        <w:rPr>
          <w:rFonts w:cs="Arial"/>
        </w:rPr>
      </w:pPr>
      <w:r w:rsidRPr="00EF65AE">
        <w:rPr>
          <w:rFonts w:cs="Arial"/>
        </w:rPr>
        <w:t>Australia has recently begun investing in faith-based prevention work in many</w:t>
      </w:r>
      <w:r w:rsidR="00173F90">
        <w:rPr>
          <w:rFonts w:cs="Arial"/>
        </w:rPr>
        <w:t xml:space="preserve"> focus</w:t>
      </w:r>
      <w:r w:rsidRPr="00EF65AE">
        <w:rPr>
          <w:rFonts w:cs="Arial"/>
        </w:rPr>
        <w:t xml:space="preserve"> countries reviewed, including Afghanistan, Fiji, Indonesia, Pakistan, P</w:t>
      </w:r>
      <w:r w:rsidR="00F24B92">
        <w:rPr>
          <w:rFonts w:cs="Arial"/>
        </w:rPr>
        <w:t>NG</w:t>
      </w:r>
      <w:r w:rsidRPr="00EF65AE">
        <w:rPr>
          <w:rFonts w:cs="Arial"/>
        </w:rPr>
        <w:t xml:space="preserve"> and Solomon Islands. Faith-based engagement is promising and appropriate in countries where religious beliefs are integral to women</w:t>
      </w:r>
      <w:r w:rsidR="00795A13">
        <w:rPr>
          <w:rFonts w:cs="Arial"/>
        </w:rPr>
        <w:t>’s</w:t>
      </w:r>
      <w:r w:rsidRPr="00EF65AE">
        <w:rPr>
          <w:rFonts w:cs="Arial"/>
        </w:rPr>
        <w:t xml:space="preserve"> and men’s values, identity and social norms. In these settings</w:t>
      </w:r>
      <w:r w:rsidR="00F24B92">
        <w:rPr>
          <w:rFonts w:cs="Arial"/>
        </w:rPr>
        <w:t>,</w:t>
      </w:r>
      <w:r w:rsidRPr="00EF65AE">
        <w:rPr>
          <w:rFonts w:cs="Arial"/>
        </w:rPr>
        <w:t xml:space="preserve"> it is important to work with faith leaders, as they are likely to be key influencers of people’s behaviour. </w:t>
      </w:r>
    </w:p>
    <w:p w14:paraId="20B89628" w14:textId="77777777" w:rsidR="00EF65AE" w:rsidRPr="00EF65AE" w:rsidRDefault="00EF65AE" w:rsidP="00EF65AE">
      <w:pPr>
        <w:rPr>
          <w:rFonts w:cs="Arial"/>
        </w:rPr>
      </w:pPr>
      <w:r w:rsidRPr="00EF65AE">
        <w:rPr>
          <w:rFonts w:cs="Arial"/>
        </w:rPr>
        <w:t>Framing EVAWG messaging within faith may make language and messages more accessible</w:t>
      </w:r>
      <w:r w:rsidR="001D0E57">
        <w:rPr>
          <w:rFonts w:cs="Arial"/>
        </w:rPr>
        <w:t>,</w:t>
      </w:r>
      <w:r w:rsidRPr="00EF65AE">
        <w:rPr>
          <w:rFonts w:cs="Arial"/>
        </w:rPr>
        <w:t xml:space="preserve"> familiar, and likely to be understood. For example, Australian support to The Asia Foundation in Afghanistan has been able to promote progressive interpretations of women’s rights in Islam. </w:t>
      </w:r>
    </w:p>
    <w:p w14:paraId="6465467C" w14:textId="77777777" w:rsidR="00EF65AE" w:rsidRPr="00EF65AE" w:rsidRDefault="00EF65AE" w:rsidP="00EF65AE">
      <w:pPr>
        <w:rPr>
          <w:rFonts w:cs="Arial"/>
        </w:rPr>
      </w:pPr>
      <w:r w:rsidRPr="00EF65AE">
        <w:rPr>
          <w:rFonts w:cs="Arial"/>
        </w:rPr>
        <w:t>Working with faith communities can also mitigate backlash against EVAWG programs being seen a ‘foreign import’ and strengthen justification for EVAWG. A respondent from an Australian-funded program in Pakistan reported:</w:t>
      </w:r>
    </w:p>
    <w:p w14:paraId="1C4DE79A" w14:textId="77777777" w:rsidR="00EF65AE" w:rsidRPr="00123CB7" w:rsidRDefault="00EF65AE" w:rsidP="00123CB7">
      <w:pPr>
        <w:pStyle w:val="IndentQuote"/>
      </w:pPr>
      <w:r w:rsidRPr="00123CB7">
        <w:t xml:space="preserve">There was no backlash because we engaged with the religious groups and that really helped make them more supportive. </w:t>
      </w:r>
    </w:p>
    <w:p w14:paraId="73BACFA4" w14:textId="5CDFB477" w:rsidR="00EF65AE" w:rsidRPr="00EF65AE" w:rsidRDefault="00EF65AE" w:rsidP="00EF65AE">
      <w:pPr>
        <w:rPr>
          <w:rFonts w:cs="Arial"/>
        </w:rPr>
      </w:pPr>
      <w:r w:rsidRPr="00EF65AE">
        <w:rPr>
          <w:rFonts w:cs="Arial"/>
        </w:rPr>
        <w:t>However, some faith-based messaging on EVAWG can lack nuance or be problematic. In</w:t>
      </w:r>
      <w:r w:rsidR="00027336">
        <w:rPr>
          <w:rFonts w:cs="Arial"/>
        </w:rPr>
        <w:t xml:space="preserve"> </w:t>
      </w:r>
      <w:r w:rsidRPr="00EF65AE">
        <w:rPr>
          <w:rFonts w:cs="Arial"/>
        </w:rPr>
        <w:t>particular</w:t>
      </w:r>
      <w:r w:rsidR="00D74A07">
        <w:rPr>
          <w:rFonts w:cs="Arial"/>
        </w:rPr>
        <w:t>,</w:t>
      </w:r>
      <w:r w:rsidRPr="00EF65AE">
        <w:rPr>
          <w:rFonts w:cs="Arial"/>
        </w:rPr>
        <w:t xml:space="preserve"> it can be difficult to discuss certain topics related to VAWG, suc</w:t>
      </w:r>
      <w:r w:rsidR="00921D5D">
        <w:rPr>
          <w:rFonts w:cs="Arial"/>
        </w:rPr>
        <w:t>h as reproductive rights (Box 16</w:t>
      </w:r>
      <w:r w:rsidRPr="00EF65AE">
        <w:rPr>
          <w:rFonts w:cs="Arial"/>
        </w:rPr>
        <w:t>)</w:t>
      </w:r>
      <w:r w:rsidR="00027336">
        <w:rPr>
          <w:rFonts w:cs="Arial"/>
        </w:rPr>
        <w:t>,</w:t>
      </w:r>
      <w:r w:rsidRPr="00EF65AE">
        <w:rPr>
          <w:rFonts w:cs="Arial"/>
        </w:rPr>
        <w:t xml:space="preserve"> when working with faith leaders. </w:t>
      </w:r>
      <w:r w:rsidR="00815766">
        <w:rPr>
          <w:rFonts w:cs="Arial"/>
        </w:rPr>
        <w:t xml:space="preserve"> </w:t>
      </w:r>
    </w:p>
    <w:p w14:paraId="60BCB878" w14:textId="77777777" w:rsidR="00EF65AE" w:rsidRPr="00EF65AE" w:rsidRDefault="00921D5D" w:rsidP="00EF65AE">
      <w:pPr>
        <w:pStyle w:val="CallOutHeading"/>
        <w:rPr>
          <w:rFonts w:cs="Arial"/>
        </w:rPr>
      </w:pPr>
      <w:r>
        <w:rPr>
          <w:rFonts w:cs="Arial"/>
        </w:rPr>
        <w:t>Box 16</w:t>
      </w:r>
      <w:r w:rsidR="00EF65AE" w:rsidRPr="00EF65AE">
        <w:rPr>
          <w:rFonts w:cs="Arial"/>
        </w:rPr>
        <w:t>: Challenges working with faith communities in Timor-Leste</w:t>
      </w:r>
    </w:p>
    <w:p w14:paraId="42FDB108" w14:textId="77777777" w:rsidR="00EF65AE" w:rsidRPr="00EF65AE" w:rsidRDefault="00EF65AE" w:rsidP="00EF65AE">
      <w:pPr>
        <w:pStyle w:val="CallOutBody"/>
        <w:rPr>
          <w:rFonts w:cs="Arial"/>
        </w:rPr>
      </w:pPr>
      <w:r w:rsidRPr="00EF65AE">
        <w:rPr>
          <w:rFonts w:cs="Arial"/>
        </w:rPr>
        <w:t>Timor-Leste is a young country and knowledge of human rights and sexual and reproductive health in the community is relatively low, especially among women. Australia supports work to expand sexual and reproductive health, including through Marie Stopes International</w:t>
      </w:r>
      <w:r w:rsidR="0057488E">
        <w:rPr>
          <w:rFonts w:cs="Arial"/>
        </w:rPr>
        <w:t xml:space="preserve"> Timor-Leste</w:t>
      </w:r>
      <w:r w:rsidRPr="00EF65AE">
        <w:rPr>
          <w:rFonts w:cs="Arial"/>
        </w:rPr>
        <w:t xml:space="preserve">. </w:t>
      </w:r>
    </w:p>
    <w:p w14:paraId="197D46CB" w14:textId="77777777" w:rsidR="00EF65AE" w:rsidRPr="00EF65AE" w:rsidRDefault="00EF65AE" w:rsidP="00EF65AE">
      <w:pPr>
        <w:pStyle w:val="CallOutBody"/>
        <w:rPr>
          <w:rFonts w:cs="Arial"/>
        </w:rPr>
      </w:pPr>
      <w:r w:rsidRPr="00EF65AE">
        <w:rPr>
          <w:rFonts w:cs="Arial"/>
        </w:rPr>
        <w:t>Through this assistance, there is evidence that attitudes about, and knowledge of, contraception are slowly changing. However, the reproductive health context is difficult</w:t>
      </w:r>
      <w:r w:rsidR="00F24B92">
        <w:rPr>
          <w:rFonts w:cs="Arial"/>
        </w:rPr>
        <w:t>. S</w:t>
      </w:r>
      <w:r w:rsidRPr="00EF65AE">
        <w:rPr>
          <w:rFonts w:cs="Arial"/>
        </w:rPr>
        <w:t xml:space="preserve">ome messaging only scratches the surface and conservative faith leaders can reinforce problematic gender stereotypes and messages about men’s control over women. </w:t>
      </w:r>
    </w:p>
    <w:p w14:paraId="761186C6" w14:textId="77777777" w:rsidR="00EF65AE" w:rsidRPr="00EF65AE" w:rsidRDefault="00EF65AE" w:rsidP="00EF65AE">
      <w:pPr>
        <w:pStyle w:val="CallOutBody"/>
        <w:rPr>
          <w:rFonts w:cs="Arial"/>
        </w:rPr>
      </w:pPr>
      <w:r w:rsidRPr="00EF65AE">
        <w:rPr>
          <w:rFonts w:cs="Arial"/>
        </w:rPr>
        <w:t xml:space="preserve">In Timor-Leste, the Church is interested in reducing teenage pregnancy rates, but promotes abstinence-based programs rather than contraception or addressing gender inequality. The ABC (abstinence, be faithful, use condoms) approach of other Christian countries has been reworked with influence from Timor-Leste’s Catholic Church so that the letter C stands for ‘control yourself.’ </w:t>
      </w:r>
    </w:p>
    <w:p w14:paraId="196C6081" w14:textId="6668F6E2" w:rsidR="00EF65AE" w:rsidRPr="00EF65AE" w:rsidRDefault="00EF65AE" w:rsidP="00EF65AE">
      <w:pPr>
        <w:rPr>
          <w:rFonts w:cs="Arial"/>
        </w:rPr>
      </w:pPr>
      <w:r w:rsidRPr="00EF65AE">
        <w:rPr>
          <w:rFonts w:cs="Arial"/>
        </w:rPr>
        <w:t>Working successfully with faith-based communities is crucial for community mobilisation and</w:t>
      </w:r>
      <w:r w:rsidR="00AD577C">
        <w:rPr>
          <w:rFonts w:cs="Arial"/>
        </w:rPr>
        <w:t xml:space="preserve"> it</w:t>
      </w:r>
      <w:r w:rsidRPr="00EF65AE">
        <w:rPr>
          <w:rFonts w:cs="Arial"/>
        </w:rPr>
        <w:t xml:space="preserve"> can help make space to discuss gender equality and VAWG more openly. Engaging with faith leaders and institutions should be based on local analysis in each setting to assess </w:t>
      </w:r>
      <w:r w:rsidR="008B0402">
        <w:rPr>
          <w:rFonts w:cs="Arial"/>
        </w:rPr>
        <w:t>if</w:t>
      </w:r>
      <w:r w:rsidR="008B0402" w:rsidRPr="00EF65AE">
        <w:rPr>
          <w:rFonts w:cs="Arial"/>
        </w:rPr>
        <w:t xml:space="preserve"> </w:t>
      </w:r>
      <w:r w:rsidRPr="00EF65AE">
        <w:rPr>
          <w:rFonts w:cs="Arial"/>
        </w:rPr>
        <w:t xml:space="preserve">religious structures have potential to influence the target audience. For example, a local community in Solomon Islands reported that very few men attend church, suggesting that faith-based violence prevention programs that conveyed messages through church sermons may not be reaching the </w:t>
      </w:r>
      <w:r w:rsidR="00D74A07">
        <w:rPr>
          <w:rFonts w:cs="Arial"/>
        </w:rPr>
        <w:br/>
      </w:r>
      <w:r w:rsidRPr="00EF65AE">
        <w:rPr>
          <w:rFonts w:cs="Arial"/>
        </w:rPr>
        <w:t xml:space="preserve">entire community. </w:t>
      </w:r>
    </w:p>
    <w:p w14:paraId="6DBEF107" w14:textId="77777777" w:rsidR="00EF65AE" w:rsidRPr="00EF65AE" w:rsidRDefault="00EF65AE" w:rsidP="00EF65AE">
      <w:pPr>
        <w:rPr>
          <w:rFonts w:cs="Arial"/>
        </w:rPr>
      </w:pPr>
      <w:r w:rsidRPr="00EF65AE">
        <w:rPr>
          <w:rFonts w:cs="Arial"/>
        </w:rPr>
        <w:t>As working with faith-based communities to address VAWG is a new field globally, Australia, as a donor providing funding to many organisations engaging in faith-based programs, is well</w:t>
      </w:r>
      <w:r w:rsidR="00AD577C">
        <w:rPr>
          <w:rFonts w:cs="Arial"/>
        </w:rPr>
        <w:t xml:space="preserve"> </w:t>
      </w:r>
      <w:r w:rsidRPr="00EF65AE">
        <w:rPr>
          <w:rFonts w:cs="Arial"/>
        </w:rPr>
        <w:t>placed to bring together shared learning on faith-based approaches.</w:t>
      </w:r>
      <w:r w:rsidRPr="00EF65AE" w:rsidDel="000A0188">
        <w:rPr>
          <w:rFonts w:cs="Arial"/>
        </w:rPr>
        <w:t xml:space="preserve"> </w:t>
      </w:r>
    </w:p>
    <w:p w14:paraId="51319446" w14:textId="77777777" w:rsidR="00EF65AE" w:rsidRPr="00EF65AE" w:rsidRDefault="00EF65AE" w:rsidP="008167F8">
      <w:pPr>
        <w:pStyle w:val="Heading3NoTOC"/>
      </w:pPr>
      <w:r w:rsidRPr="00EF65AE">
        <w:t>Addressing violence against children to prevent violence against women</w:t>
      </w:r>
    </w:p>
    <w:p w14:paraId="76122FA5" w14:textId="77777777" w:rsidR="00AD577C" w:rsidRDefault="00EF65AE" w:rsidP="00EF65AE">
      <w:pPr>
        <w:rPr>
          <w:rFonts w:cs="Arial"/>
        </w:rPr>
      </w:pPr>
      <w:r w:rsidRPr="00EF65AE">
        <w:rPr>
          <w:rFonts w:cs="Arial"/>
        </w:rPr>
        <w:t xml:space="preserve">A cycle of violence exists between violence against children and violence against women. Efforts to address </w:t>
      </w:r>
      <w:r w:rsidR="00AD577C">
        <w:rPr>
          <w:rFonts w:cs="Arial"/>
        </w:rPr>
        <w:t>violence against children</w:t>
      </w:r>
      <w:r w:rsidRPr="00EF65AE">
        <w:rPr>
          <w:rFonts w:cs="Arial"/>
        </w:rPr>
        <w:t xml:space="preserve"> can </w:t>
      </w:r>
      <w:r w:rsidR="00C14760">
        <w:rPr>
          <w:rFonts w:cs="Arial"/>
        </w:rPr>
        <w:t>therefore</w:t>
      </w:r>
      <w:r w:rsidR="00C14760" w:rsidRPr="00EF65AE">
        <w:rPr>
          <w:rFonts w:cs="Arial"/>
        </w:rPr>
        <w:t xml:space="preserve"> </w:t>
      </w:r>
      <w:r w:rsidRPr="00EF65AE">
        <w:rPr>
          <w:rFonts w:cs="Arial"/>
        </w:rPr>
        <w:t xml:space="preserve">help prevent </w:t>
      </w:r>
      <w:r w:rsidR="00AD577C">
        <w:rPr>
          <w:rFonts w:cs="Arial"/>
        </w:rPr>
        <w:t>violence against women</w:t>
      </w:r>
      <w:r w:rsidR="00E2253F">
        <w:rPr>
          <w:rFonts w:cs="Arial"/>
        </w:rPr>
        <w:t xml:space="preserve">. </w:t>
      </w:r>
    </w:p>
    <w:p w14:paraId="32BAD490" w14:textId="77777777" w:rsidR="00EF65AE" w:rsidRPr="00324DB9" w:rsidRDefault="00EF65AE" w:rsidP="00EF65AE">
      <w:pPr>
        <w:rPr>
          <w:rFonts w:cs="Arial"/>
        </w:rPr>
      </w:pPr>
      <w:r w:rsidRPr="00EF65AE">
        <w:rPr>
          <w:rFonts w:cs="Arial"/>
        </w:rPr>
        <w:t>Australia is supporting promising work on better integrating child protection justice</w:t>
      </w:r>
      <w:r w:rsidR="00AD577C">
        <w:rPr>
          <w:rFonts w:cs="Arial"/>
        </w:rPr>
        <w:t>,</w:t>
      </w:r>
      <w:r w:rsidRPr="00EF65AE">
        <w:rPr>
          <w:rFonts w:cs="Arial"/>
        </w:rPr>
        <w:t xml:space="preserve"> service responses and EVAWG work. This reflects best practice, as collaboration between EVAWG and child protection actors is critical, particularly in meeting the needs of adolescent girls (ages 10</w:t>
      </w:r>
      <w:r w:rsidR="00C14760">
        <w:rPr>
          <w:rFonts w:cs="Arial"/>
        </w:rPr>
        <w:t xml:space="preserve"> to </w:t>
      </w:r>
      <w:r w:rsidRPr="00EF65AE">
        <w:rPr>
          <w:rFonts w:cs="Arial"/>
        </w:rPr>
        <w:t>19) who may fall through the cracks.</w:t>
      </w:r>
      <w:r w:rsidRPr="00EF65AE">
        <w:rPr>
          <w:rFonts w:cs="Arial"/>
        </w:rPr>
        <w:fldChar w:fldCharType="begin"/>
      </w:r>
      <w:r w:rsidRPr="00EF65AE">
        <w:rPr>
          <w:rFonts w:cs="Arial"/>
        </w:rPr>
        <w:instrText xml:space="preserve"> ADDIN ZOTERO_ITEM CSL_CITATION {"citationID":"cbGjsukr","properties":{"formattedCitation":"\\super 95\\nosupersub{}","plainCitation":"95","noteIndex":0},"citationItems":[{"id":2531,"uris":["http://zotero.org/users/4194704/items/D398XJ5D"],"uri":["http://zotero.org/users/4194704/items/D398XJ5D"],"itemData":{"id":2531,"type":"report","title":"Violence against adolescent girls: Falling through the cracks?","publisher":"Know Violence in Childhood","publisher-place":"New Delhi, India","event-place":"New Delhi, India","author":[{"family":"Ellsberg","given":"Mary"},{"family":"Vyas","given":"Amita"},{"family":"Madrid","given":"Bernadette"},{"family":"Quintanilla","given":"Margarita"},{"family":"Zelaya","given":"Jennifer"},{"family":"Stockl","given":"Heidi"}],"issued":{"date-parts":[["2017"]]}}}],"schema":"https://github.com/citation-style-language/schema/raw/master/csl-citation.json"} </w:instrText>
      </w:r>
      <w:r w:rsidRPr="00EF65AE">
        <w:rPr>
          <w:rFonts w:cs="Arial"/>
        </w:rPr>
        <w:fldChar w:fldCharType="separate"/>
      </w:r>
      <w:r w:rsidRPr="00EF65AE">
        <w:rPr>
          <w:rFonts w:cs="Arial"/>
          <w:vertAlign w:val="superscript"/>
          <w:lang w:val="en-US"/>
        </w:rPr>
        <w:t>95</w:t>
      </w:r>
      <w:r w:rsidRPr="00EF65AE">
        <w:rPr>
          <w:rFonts w:cs="Arial"/>
        </w:rPr>
        <w:fldChar w:fldCharType="end"/>
      </w:r>
      <w:r w:rsidRPr="00EF65AE">
        <w:rPr>
          <w:rFonts w:cs="Arial"/>
        </w:rPr>
        <w:t xml:space="preserve"> Regional funding </w:t>
      </w:r>
      <w:r w:rsidR="00B164EF">
        <w:rPr>
          <w:rFonts w:cs="Arial"/>
        </w:rPr>
        <w:t xml:space="preserve">through Pacific Women </w:t>
      </w:r>
      <w:r w:rsidRPr="00EF65AE">
        <w:rPr>
          <w:rFonts w:cs="Arial"/>
        </w:rPr>
        <w:t xml:space="preserve">to establish a dedicated </w:t>
      </w:r>
      <w:bookmarkStart w:id="291" w:name="_Hlk18569518"/>
      <w:r w:rsidRPr="000251EA">
        <w:rPr>
          <w:rFonts w:cs="Arial"/>
          <w:iCs/>
        </w:rPr>
        <w:t>Pacific Girl</w:t>
      </w:r>
      <w:r w:rsidRPr="00324DB9">
        <w:rPr>
          <w:rFonts w:cs="Arial"/>
        </w:rPr>
        <w:t xml:space="preserve"> program</w:t>
      </w:r>
      <w:bookmarkEnd w:id="291"/>
      <w:r w:rsidRPr="00324DB9">
        <w:rPr>
          <w:rFonts w:cs="Arial"/>
        </w:rPr>
        <w:t>, focused on adolescent girls, is a positive development.</w:t>
      </w:r>
    </w:p>
    <w:p w14:paraId="44796976" w14:textId="405DA083" w:rsidR="00EF65AE" w:rsidRPr="00EF65AE" w:rsidRDefault="00EF65AE" w:rsidP="00EF65AE">
      <w:pPr>
        <w:rPr>
          <w:rFonts w:cs="Arial"/>
        </w:rPr>
      </w:pPr>
      <w:r w:rsidRPr="00EF65AE">
        <w:rPr>
          <w:rFonts w:cs="Arial"/>
        </w:rPr>
        <w:t xml:space="preserve">Across justice and service providers, guidelines for age-appropriate services and referrals can be developed in a way that identifies points of collaboration and offers specific guidance to implement them safely and age-appropriately. A positive example is Australia’s support to UN Women’s </w:t>
      </w:r>
      <w:r w:rsidR="00D74A07">
        <w:rPr>
          <w:rFonts w:cs="Arial"/>
        </w:rPr>
        <w:br/>
      </w:r>
      <w:r w:rsidRPr="00EF65AE">
        <w:rPr>
          <w:rFonts w:cs="Arial"/>
        </w:rPr>
        <w:t xml:space="preserve">Multi-Country Office for financial and technical resourcing of the </w:t>
      </w:r>
      <w:r w:rsidRPr="000251EA">
        <w:rPr>
          <w:rFonts w:cs="Arial"/>
          <w:iCs/>
        </w:rPr>
        <w:t>Fiji National Service Delivery Protocol for Responding to Cases of Gender Based Violence</w:t>
      </w:r>
      <w:r w:rsidRPr="00EF65AE">
        <w:rPr>
          <w:rFonts w:cs="Arial"/>
        </w:rPr>
        <w:t xml:space="preserve"> (2017). This protocol outlines the role of social welfare departments and child protection actors in relation to EVAWG, as well as how key actors like healthcare workers and the police should respond in cases involving children. It draws together policies targeting women and targeting children to summarise the legislative basis for shared responsibilities. Both the protocol and the analysis inform</w:t>
      </w:r>
      <w:r w:rsidR="00C14760">
        <w:rPr>
          <w:rFonts w:cs="Arial"/>
        </w:rPr>
        <w:t>ing</w:t>
      </w:r>
      <w:r w:rsidRPr="00EF65AE">
        <w:rPr>
          <w:rFonts w:cs="Arial"/>
        </w:rPr>
        <w:t xml:space="preserve"> it offer good</w:t>
      </w:r>
      <w:r w:rsidR="00C14760">
        <w:rPr>
          <w:rFonts w:cs="Arial"/>
        </w:rPr>
        <w:t>-</w:t>
      </w:r>
      <w:r w:rsidRPr="00EF65AE">
        <w:rPr>
          <w:rFonts w:cs="Arial"/>
        </w:rPr>
        <w:t>practice examples that could be replicated with Australian support in other contexts.</w:t>
      </w:r>
    </w:p>
    <w:p w14:paraId="00CFA2D9" w14:textId="77777777" w:rsidR="00EF65AE" w:rsidRPr="00EF65AE" w:rsidRDefault="00C14760" w:rsidP="00EF65AE">
      <w:pPr>
        <w:rPr>
          <w:rFonts w:cs="Arial"/>
        </w:rPr>
      </w:pPr>
      <w:r>
        <w:rPr>
          <w:rFonts w:cs="Arial"/>
        </w:rPr>
        <w:t>S</w:t>
      </w:r>
      <w:r w:rsidR="00EF65AE" w:rsidRPr="00EF65AE">
        <w:rPr>
          <w:rFonts w:cs="Arial"/>
        </w:rPr>
        <w:t>ome</w:t>
      </w:r>
      <w:r>
        <w:rPr>
          <w:rFonts w:cs="Arial"/>
        </w:rPr>
        <w:t xml:space="preserve"> examples are</w:t>
      </w:r>
      <w:r w:rsidR="00EF65AE" w:rsidRPr="00EF65AE">
        <w:rPr>
          <w:rFonts w:cs="Arial"/>
        </w:rPr>
        <w:t xml:space="preserve"> promising, </w:t>
      </w:r>
      <w:r>
        <w:rPr>
          <w:rFonts w:cs="Arial"/>
        </w:rPr>
        <w:t xml:space="preserve">but </w:t>
      </w:r>
      <w:r w:rsidR="00EF65AE" w:rsidRPr="00EF65AE">
        <w:rPr>
          <w:rFonts w:cs="Arial"/>
        </w:rPr>
        <w:t xml:space="preserve">there is a need </w:t>
      </w:r>
      <w:r w:rsidR="00AD577C">
        <w:rPr>
          <w:rFonts w:cs="Arial"/>
        </w:rPr>
        <w:t>to underpin</w:t>
      </w:r>
      <w:r w:rsidR="00EF65AE" w:rsidRPr="00EF65AE">
        <w:rPr>
          <w:rFonts w:cs="Arial"/>
        </w:rPr>
        <w:t xml:space="preserve"> future child protection policies and programs </w:t>
      </w:r>
      <w:r w:rsidR="00AD577C">
        <w:rPr>
          <w:rFonts w:cs="Arial"/>
        </w:rPr>
        <w:t>with</w:t>
      </w:r>
      <w:r w:rsidR="00EF65AE" w:rsidRPr="00EF65AE">
        <w:rPr>
          <w:rFonts w:cs="Arial"/>
        </w:rPr>
        <w:t xml:space="preserve"> better data on the intersections of violence against children and VAWG.</w:t>
      </w:r>
      <w:r w:rsidR="00EF65AE" w:rsidRPr="00EF65AE">
        <w:rPr>
          <w:rFonts w:cs="Arial"/>
        </w:rPr>
        <w:fldChar w:fldCharType="begin"/>
      </w:r>
      <w:r w:rsidR="00EF65AE" w:rsidRPr="00EF65AE">
        <w:rPr>
          <w:rFonts w:cs="Arial"/>
        </w:rPr>
        <w:instrText xml:space="preserve"> ADDIN ZOTERO_ITEM CSL_CITATION {"citationID":"SLVqilVP","properties":{"formattedCitation":"\\super 80\\nosupersub{}","plainCitation":"80","noteIndex":0},"citationItems":[{"id":2560,"uris":["http://zotero.org/users/4194704/items/N8IK5J3B"],"uri":["http://zotero.org/users/4194704/items/N8IK5J3B"],"itemData":{"id":2560,"type":"report","title":"Review of UNICEF Pacific Child Protection Programme.","publisher":"Department of Foreign Affairs and Trade","publisher-place":"Canberra, Australia","event-place":"Canberra, Australia","URL":"https://dfat.gov.au/about-us/publications/Documents/unicef-pacific-multi-country-child-protection-programme-independent-review.pdf","author":[{"family":"Szamier","given":"Margot"},{"family":"Attenborough","given":"Juliet"}],"issued":{"date-parts":[["2017"]]},"accessed":{"date-parts":[["2019",1,19]]}}}],"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80</w:t>
      </w:r>
      <w:r w:rsidR="00EF65AE" w:rsidRPr="00EF65AE">
        <w:rPr>
          <w:rFonts w:cs="Arial"/>
        </w:rPr>
        <w:fldChar w:fldCharType="end"/>
      </w:r>
      <w:r w:rsidR="00EF65AE" w:rsidRPr="00EF65AE">
        <w:rPr>
          <w:rFonts w:cs="Arial"/>
        </w:rPr>
        <w:t xml:space="preserve"> Entry points include co-located services, joint training, and establishing mechanisms for coordination and collaboration at service provider level (</w:t>
      </w:r>
      <w:r w:rsidR="00161835">
        <w:rPr>
          <w:rFonts w:cs="Arial"/>
        </w:rPr>
        <w:t>that is,</w:t>
      </w:r>
      <w:r w:rsidR="00EF65AE" w:rsidRPr="00EF65AE">
        <w:rPr>
          <w:rFonts w:cs="Arial"/>
        </w:rPr>
        <w:t xml:space="preserve"> case conferencing, shelter protocols</w:t>
      </w:r>
      <w:r w:rsidR="00161835">
        <w:rPr>
          <w:rFonts w:cs="Arial"/>
        </w:rPr>
        <w:t xml:space="preserve"> and</w:t>
      </w:r>
      <w:r w:rsidR="00EF65AE" w:rsidRPr="00EF65AE">
        <w:rPr>
          <w:rFonts w:cs="Arial"/>
        </w:rPr>
        <w:t xml:space="preserve"> hotlines) as well as </w:t>
      </w:r>
      <w:r w:rsidR="00AD577C">
        <w:rPr>
          <w:rFonts w:cs="Arial"/>
        </w:rPr>
        <w:t xml:space="preserve">at </w:t>
      </w:r>
      <w:r w:rsidR="00EF65AE" w:rsidRPr="00EF65AE">
        <w:rPr>
          <w:rFonts w:cs="Arial"/>
        </w:rPr>
        <w:t>institutional level (</w:t>
      </w:r>
      <w:r w:rsidR="00161835">
        <w:rPr>
          <w:rFonts w:cs="Arial"/>
        </w:rPr>
        <w:t>that is,</w:t>
      </w:r>
      <w:r w:rsidR="00EF65AE" w:rsidRPr="00EF65AE">
        <w:rPr>
          <w:rFonts w:cs="Arial"/>
        </w:rPr>
        <w:t xml:space="preserve"> between relevant </w:t>
      </w:r>
      <w:r w:rsidR="00AD577C">
        <w:rPr>
          <w:rFonts w:cs="Arial"/>
        </w:rPr>
        <w:t>m</w:t>
      </w:r>
      <w:r w:rsidR="00EF65AE" w:rsidRPr="00EF65AE">
        <w:rPr>
          <w:rFonts w:cs="Arial"/>
        </w:rPr>
        <w:t xml:space="preserve">inistries for policy and planning purposes). Australia’s investments in prevention could also be more effective by better addressing intersections. </w:t>
      </w:r>
    </w:p>
    <w:p w14:paraId="38A6FD2E" w14:textId="77777777" w:rsidR="00EF65AE" w:rsidRPr="00EF65AE" w:rsidRDefault="00EF65AE" w:rsidP="00EF65AE">
      <w:pPr>
        <w:rPr>
          <w:rFonts w:cs="Arial"/>
        </w:rPr>
      </w:pPr>
      <w:r w:rsidRPr="00EF65AE">
        <w:rPr>
          <w:rFonts w:cs="Arial"/>
        </w:rPr>
        <w:t xml:space="preserve">Some stakeholders expressed that child protection was an area where stronger, high-level advocacy from Australia could have a positive impact on their work. It should be noted, however, that </w:t>
      </w:r>
      <w:r w:rsidR="000251EA">
        <w:rPr>
          <w:rFonts w:cs="Arial"/>
        </w:rPr>
        <w:t>there are</w:t>
      </w:r>
      <w:r w:rsidR="00AD577C">
        <w:rPr>
          <w:rFonts w:cs="Arial"/>
        </w:rPr>
        <w:t xml:space="preserve"> </w:t>
      </w:r>
      <w:r w:rsidR="000251EA">
        <w:rPr>
          <w:rFonts w:cs="Arial"/>
        </w:rPr>
        <w:t>risks</w:t>
      </w:r>
      <w:r w:rsidRPr="00EF65AE">
        <w:rPr>
          <w:rFonts w:cs="Arial"/>
        </w:rPr>
        <w:t>. EVAWG</w:t>
      </w:r>
      <w:r w:rsidR="000251EA">
        <w:rPr>
          <w:rFonts w:cs="Arial"/>
        </w:rPr>
        <w:t xml:space="preserve"> stakeholders noted</w:t>
      </w:r>
      <w:r w:rsidRPr="00EF65AE">
        <w:rPr>
          <w:rFonts w:cs="Arial"/>
        </w:rPr>
        <w:t xml:space="preserve"> that children’s rights may be given precedence over women’s rights (as happened in early HIV programming around mother-to-child transmission), </w:t>
      </w:r>
      <w:r w:rsidR="000251EA">
        <w:rPr>
          <w:rFonts w:cs="Arial"/>
        </w:rPr>
        <w:t>and</w:t>
      </w:r>
      <w:r w:rsidRPr="00EF65AE">
        <w:rPr>
          <w:rFonts w:cs="Arial"/>
        </w:rPr>
        <w:t xml:space="preserve"> th</w:t>
      </w:r>
      <w:r w:rsidR="00AD577C">
        <w:rPr>
          <w:rFonts w:cs="Arial"/>
        </w:rPr>
        <w:t>at women</w:t>
      </w:r>
      <w:r w:rsidRPr="00EF65AE">
        <w:rPr>
          <w:rFonts w:cs="Arial"/>
        </w:rPr>
        <w:t xml:space="preserve"> </w:t>
      </w:r>
      <w:r w:rsidR="000251EA">
        <w:rPr>
          <w:rFonts w:cs="Arial"/>
        </w:rPr>
        <w:t>may be</w:t>
      </w:r>
      <w:r w:rsidRPr="00EF65AE">
        <w:rPr>
          <w:rFonts w:cs="Arial"/>
        </w:rPr>
        <w:t xml:space="preserve"> separated from their children. On the other hand, child protection actors </w:t>
      </w:r>
      <w:r w:rsidR="00597A8C">
        <w:rPr>
          <w:rFonts w:cs="Arial"/>
        </w:rPr>
        <w:t>consider</w:t>
      </w:r>
      <w:r w:rsidRPr="00EF65AE">
        <w:rPr>
          <w:rFonts w:cs="Arial"/>
        </w:rPr>
        <w:t xml:space="preserve"> that children’s needs, particularly those of boys, may not be appropriately addressed in programs designed with adult women in mind.</w:t>
      </w:r>
      <w:r w:rsidRPr="00EF65AE">
        <w:rPr>
          <w:rFonts w:cs="Arial"/>
        </w:rPr>
        <w:fldChar w:fldCharType="begin"/>
      </w:r>
      <w:r w:rsidRPr="00EF65AE">
        <w:rPr>
          <w:rFonts w:cs="Arial"/>
        </w:rPr>
        <w:instrText xml:space="preserve"> ADDIN ZOTERO_ITEM CSL_CITATION {"citationID":"PV2dpLDQ","properties":{"formattedCitation":"\\super 25\\nosupersub{}","plainCitation":"25","noteIndex":0},"citationItems":[{"id":148,"uris":["http://zotero.org/users/4194704/items/KDNDQT2G"],"uri":["http://zotero.org/users/4194704/items/KDNDQT2G"],"itemData":{"id":148,"type":"article-journal","title":"Bridging the gaps: a global review of intersections of violence against women and violence against children","container-title":"Global health action","page":"31516","volume":"9","issue":"1","ISSN":"1654-9716","author":[{"family":"Guedes","given":"Alessandra"},{"family":"Bott","given":"Sarah"},{"family":"Garcia-Moreno","given":"Claudia"},{"family":"Colombini","given":"Manuela"}],"issued":{"date-parts":[["2016"]]}}}],"schema":"https://github.com/citation-style-language/schema/raw/master/csl-citation.json"} </w:instrText>
      </w:r>
      <w:r w:rsidRPr="00EF65AE">
        <w:rPr>
          <w:rFonts w:cs="Arial"/>
        </w:rPr>
        <w:fldChar w:fldCharType="separate"/>
      </w:r>
      <w:r w:rsidRPr="00EF65AE">
        <w:rPr>
          <w:rFonts w:cs="Arial"/>
          <w:vertAlign w:val="superscript"/>
          <w:lang w:val="en-US"/>
        </w:rPr>
        <w:t>25</w:t>
      </w:r>
      <w:r w:rsidRPr="00EF65AE">
        <w:rPr>
          <w:rFonts w:cs="Arial"/>
        </w:rPr>
        <w:fldChar w:fldCharType="end"/>
      </w:r>
      <w:r w:rsidRPr="00EF65AE">
        <w:rPr>
          <w:rFonts w:cs="Arial"/>
        </w:rPr>
        <w:t xml:space="preserve"> Australia could contribute to mitigating these risks by encouraging open discussion with partners and addressing in programs on an ongoing basis.</w:t>
      </w:r>
    </w:p>
    <w:p w14:paraId="794B96D7" w14:textId="1ECC57ED" w:rsidR="00EF65AE" w:rsidRPr="00EF65AE" w:rsidRDefault="00EF65AE" w:rsidP="00EF65AE">
      <w:pPr>
        <w:rPr>
          <w:rFonts w:cs="Arial"/>
        </w:rPr>
      </w:pPr>
      <w:r w:rsidRPr="00EF65AE">
        <w:rPr>
          <w:rFonts w:cs="Arial"/>
        </w:rPr>
        <w:t xml:space="preserve">Overall, Australia’s support </w:t>
      </w:r>
      <w:r w:rsidR="00075611">
        <w:rPr>
          <w:rFonts w:cs="Arial"/>
        </w:rPr>
        <w:t>for</w:t>
      </w:r>
      <w:r w:rsidRPr="00EF65AE">
        <w:rPr>
          <w:rFonts w:cs="Arial"/>
        </w:rPr>
        <w:t xml:space="preserve"> programming</w:t>
      </w:r>
      <w:r w:rsidR="00075611">
        <w:rPr>
          <w:rFonts w:cs="Arial"/>
        </w:rPr>
        <w:t xml:space="preserve"> addressing violence against children</w:t>
      </w:r>
      <w:r w:rsidRPr="00EF65AE">
        <w:rPr>
          <w:rFonts w:cs="Arial"/>
        </w:rPr>
        <w:t xml:space="preserve"> is promising</w:t>
      </w:r>
      <w:r w:rsidR="00C14760">
        <w:rPr>
          <w:rFonts w:cs="Arial"/>
        </w:rPr>
        <w:t xml:space="preserve"> even though it</w:t>
      </w:r>
      <w:r w:rsidRPr="00EF65AE">
        <w:rPr>
          <w:rFonts w:cs="Arial"/>
        </w:rPr>
        <w:t xml:space="preserve"> appears to </w:t>
      </w:r>
      <w:r w:rsidR="00C14760">
        <w:rPr>
          <w:rFonts w:cs="Arial"/>
        </w:rPr>
        <w:t>take an</w:t>
      </w:r>
      <w:r w:rsidR="00C14760" w:rsidRPr="00EF65AE">
        <w:rPr>
          <w:rFonts w:cs="Arial"/>
        </w:rPr>
        <w:t xml:space="preserve"> </w:t>
      </w:r>
      <w:r w:rsidRPr="00EF65AE">
        <w:rPr>
          <w:rFonts w:cs="Arial"/>
        </w:rPr>
        <w:t xml:space="preserve">ad hoc rather than a coordinated, evidence-based approach to identify areas of intersection with child protection at local, national and regional levels, and work across relevant divisions and funding mechanisms to resource them. This presents an opportunity for </w:t>
      </w:r>
      <w:r w:rsidR="000251EA">
        <w:rPr>
          <w:rFonts w:cs="Arial"/>
        </w:rPr>
        <w:t>Australia</w:t>
      </w:r>
      <w:r w:rsidRPr="00EF65AE">
        <w:rPr>
          <w:rFonts w:cs="Arial"/>
        </w:rPr>
        <w:t xml:space="preserve"> to use its resources and convening authority to identify more effective policy and programming responses.</w:t>
      </w:r>
    </w:p>
    <w:p w14:paraId="63E6A632" w14:textId="77777777" w:rsidR="00EF65AE" w:rsidRPr="00EF65AE" w:rsidRDefault="00EF65AE" w:rsidP="008167F8">
      <w:pPr>
        <w:pStyle w:val="Heading3NoTOC"/>
      </w:pPr>
      <w:r w:rsidRPr="00EF65AE">
        <w:t>Schools</w:t>
      </w:r>
    </w:p>
    <w:p w14:paraId="2282C22E" w14:textId="4BA9CF7E" w:rsidR="00EF65AE" w:rsidRPr="00F06AE7" w:rsidRDefault="00EF65AE" w:rsidP="00F06AE7">
      <w:pPr>
        <w:rPr>
          <w:rFonts w:cs="Arial"/>
        </w:rPr>
      </w:pPr>
      <w:r w:rsidRPr="00EF65AE">
        <w:rPr>
          <w:rFonts w:cs="Arial"/>
        </w:rPr>
        <w:t>In the focus countries</w:t>
      </w:r>
      <w:r w:rsidR="00C14760">
        <w:rPr>
          <w:rFonts w:cs="Arial"/>
        </w:rPr>
        <w:t>,</w:t>
      </w:r>
      <w:r w:rsidRPr="00EF65AE">
        <w:rPr>
          <w:rFonts w:cs="Arial"/>
        </w:rPr>
        <w:t xml:space="preserve"> no evidence</w:t>
      </w:r>
      <w:r w:rsidR="00A54030">
        <w:rPr>
          <w:rFonts w:cs="Arial"/>
        </w:rPr>
        <w:t xml:space="preserve"> exists</w:t>
      </w:r>
      <w:r w:rsidRPr="00EF65AE">
        <w:rPr>
          <w:rFonts w:cs="Arial"/>
        </w:rPr>
        <w:t xml:space="preserve"> of Australia supporting a whole</w:t>
      </w:r>
      <w:r w:rsidR="00027336">
        <w:rPr>
          <w:rFonts w:cs="Arial"/>
        </w:rPr>
        <w:t>-of-</w:t>
      </w:r>
      <w:r w:rsidRPr="00EF65AE">
        <w:rPr>
          <w:rFonts w:cs="Arial"/>
        </w:rPr>
        <w:t xml:space="preserve">school approach, which is a key gap in Australia’s support for preventing VAWG in the region. </w:t>
      </w:r>
      <w:r w:rsidR="00C14760">
        <w:rPr>
          <w:rFonts w:cs="Arial"/>
        </w:rPr>
        <w:t>More</w:t>
      </w:r>
      <w:r w:rsidR="00C14760" w:rsidRPr="00EF65AE">
        <w:rPr>
          <w:rFonts w:cs="Arial"/>
        </w:rPr>
        <w:t xml:space="preserve"> </w:t>
      </w:r>
      <w:r w:rsidRPr="00EF65AE">
        <w:rPr>
          <w:rFonts w:cs="Arial"/>
        </w:rPr>
        <w:t>investment in this area would strengthen Australian program engagement with girls and children. Th</w:t>
      </w:r>
      <w:r w:rsidR="002D09AE">
        <w:rPr>
          <w:rFonts w:cs="Arial"/>
        </w:rPr>
        <w:t>is</w:t>
      </w:r>
      <w:r w:rsidRPr="00EF65AE">
        <w:rPr>
          <w:rFonts w:cs="Arial"/>
        </w:rPr>
        <w:t xml:space="preserve"> evaluation found that Australia has supported some promising curriculum approaches, such as a respectful relationships curriculum in P</w:t>
      </w:r>
      <w:r w:rsidR="00C14760">
        <w:rPr>
          <w:rFonts w:cs="Arial"/>
        </w:rPr>
        <w:t>NG</w:t>
      </w:r>
      <w:r w:rsidR="00921D5D">
        <w:rPr>
          <w:rFonts w:cs="Arial"/>
        </w:rPr>
        <w:t xml:space="preserve"> (Box 17</w:t>
      </w:r>
      <w:r w:rsidRPr="00EF65AE">
        <w:rPr>
          <w:rFonts w:cs="Arial"/>
        </w:rPr>
        <w:t xml:space="preserve">). Positive discipline and positive parenting programs are also expanding with Australian support. </w:t>
      </w:r>
    </w:p>
    <w:p w14:paraId="0D601569" w14:textId="02EB9755" w:rsidR="00EF65AE" w:rsidRPr="00EF65AE" w:rsidRDefault="00921D5D" w:rsidP="00EF65AE">
      <w:pPr>
        <w:pStyle w:val="CallOutHeading"/>
        <w:rPr>
          <w:rFonts w:cs="Arial"/>
        </w:rPr>
      </w:pPr>
      <w:r>
        <w:rPr>
          <w:rFonts w:cs="Arial"/>
        </w:rPr>
        <w:t>Box 17</w:t>
      </w:r>
      <w:r w:rsidR="00EF65AE" w:rsidRPr="00EF65AE">
        <w:rPr>
          <w:rFonts w:cs="Arial"/>
        </w:rPr>
        <w:t xml:space="preserve">: School-based advocacy program in </w:t>
      </w:r>
      <w:r w:rsidR="00D130A5">
        <w:rPr>
          <w:rFonts w:cs="Arial"/>
        </w:rPr>
        <w:t>PNG</w:t>
      </w:r>
    </w:p>
    <w:p w14:paraId="3A22278D" w14:textId="356873D2" w:rsidR="00EF65AE" w:rsidRPr="00EF65AE" w:rsidRDefault="00EF65AE" w:rsidP="00EF65AE">
      <w:pPr>
        <w:pStyle w:val="CallOutBody"/>
        <w:rPr>
          <w:rFonts w:cs="Arial"/>
        </w:rPr>
      </w:pPr>
      <w:r w:rsidRPr="00EF65AE">
        <w:rPr>
          <w:rFonts w:cs="Arial"/>
        </w:rPr>
        <w:t>The Australian-supported Nazareth Centre for Rehabilitation in Bougainville</w:t>
      </w:r>
      <w:r w:rsidR="00D130A5">
        <w:rPr>
          <w:rFonts w:cs="Arial"/>
        </w:rPr>
        <w:t>, PNG</w:t>
      </w:r>
      <w:r w:rsidR="00027336">
        <w:rPr>
          <w:rFonts w:cs="Arial"/>
        </w:rPr>
        <w:t>,</w:t>
      </w:r>
      <w:r w:rsidRPr="00EF65AE">
        <w:rPr>
          <w:rFonts w:cs="Arial"/>
        </w:rPr>
        <w:t xml:space="preserve"> introduced a school-based advocacy program where centre counsellors go to schools and teach modules on sexual and reproductive health. They also conduct social norm change activities with young boys and girls. They provide one-on-one counselling for children who remain traumatised by the </w:t>
      </w:r>
      <w:r w:rsidR="00C14760">
        <w:rPr>
          <w:rFonts w:cs="Arial"/>
        </w:rPr>
        <w:t>10</w:t>
      </w:r>
      <w:r w:rsidRPr="00EF65AE">
        <w:rPr>
          <w:rFonts w:cs="Arial"/>
        </w:rPr>
        <w:t xml:space="preserve">-year armed civil war that ended in 1998. </w:t>
      </w:r>
    </w:p>
    <w:p w14:paraId="4B540DDC" w14:textId="77777777" w:rsidR="00EF65AE" w:rsidRPr="00EF65AE" w:rsidRDefault="00EF65AE" w:rsidP="00EF65AE">
      <w:pPr>
        <w:pStyle w:val="CallOutBody"/>
        <w:rPr>
          <w:rFonts w:cs="Arial"/>
        </w:rPr>
      </w:pPr>
      <w:r w:rsidRPr="00EF65AE">
        <w:rPr>
          <w:rFonts w:cs="Arial"/>
        </w:rPr>
        <w:t xml:space="preserve">The program is showing success in changing children’s attitudes and behaviours and has </w:t>
      </w:r>
      <w:r w:rsidR="00C14760">
        <w:rPr>
          <w:rFonts w:cs="Arial"/>
        </w:rPr>
        <w:t>succeeded in</w:t>
      </w:r>
      <w:r w:rsidRPr="00EF65AE">
        <w:rPr>
          <w:rFonts w:cs="Arial"/>
        </w:rPr>
        <w:t xml:space="preserve"> reducing anti-social behaviours among children, such as bullying and swearing. Nazareth Centre’s counsellors, who work in the schools, also observe a reduction in children arming themselves at school, for example with bush knives</w:t>
      </w:r>
      <w:r w:rsidR="00E2253F">
        <w:rPr>
          <w:rFonts w:cs="Arial"/>
        </w:rPr>
        <w:t xml:space="preserve">. </w:t>
      </w:r>
    </w:p>
    <w:p w14:paraId="72A48F41" w14:textId="77777777" w:rsidR="00EF65AE" w:rsidRPr="00EF65AE" w:rsidRDefault="00EF65AE" w:rsidP="008167F8">
      <w:pPr>
        <w:pStyle w:val="Heading3NoTOC"/>
      </w:pPr>
      <w:r w:rsidRPr="00EF65AE">
        <w:t>Sports</w:t>
      </w:r>
    </w:p>
    <w:p w14:paraId="2E18A4C1" w14:textId="69FF7B26" w:rsidR="00EF65AE" w:rsidRPr="00EF65AE" w:rsidRDefault="00EF65AE" w:rsidP="00EF65AE">
      <w:pPr>
        <w:rPr>
          <w:rFonts w:cs="Arial"/>
        </w:rPr>
      </w:pPr>
      <w:r w:rsidRPr="00EF65AE">
        <w:rPr>
          <w:rFonts w:cs="Arial"/>
        </w:rPr>
        <w:t xml:space="preserve">Another way to strengthen school-based investments in violence prevention could be to combine them with sports-based initiatives. Sports can be a good way to involve youth and other target groups in violence prevention programs. </w:t>
      </w:r>
      <w:r w:rsidR="00795A13">
        <w:rPr>
          <w:rFonts w:cs="Arial"/>
        </w:rPr>
        <w:t>They</w:t>
      </w:r>
      <w:r w:rsidRPr="00EF65AE">
        <w:rPr>
          <w:rFonts w:cs="Arial"/>
        </w:rPr>
        <w:t xml:space="preserve"> can </w:t>
      </w:r>
      <w:r w:rsidR="00C14760">
        <w:rPr>
          <w:rFonts w:cs="Arial"/>
        </w:rPr>
        <w:t>provide</w:t>
      </w:r>
      <w:r w:rsidR="00C14760" w:rsidRPr="00EF65AE">
        <w:rPr>
          <w:rFonts w:cs="Arial"/>
        </w:rPr>
        <w:t xml:space="preserve"> </w:t>
      </w:r>
      <w:r w:rsidRPr="00EF65AE">
        <w:rPr>
          <w:rFonts w:cs="Arial"/>
        </w:rPr>
        <w:t>non-threatening and engaging entry points on otherwise sensitive topics in some settings, such as gender inequality and violence. Sports can also have positive secondary outcomes for women and girls</w:t>
      </w:r>
      <w:r w:rsidR="00A5412E">
        <w:rPr>
          <w:rFonts w:cs="Arial"/>
        </w:rPr>
        <w:t>, including</w:t>
      </w:r>
      <w:r w:rsidRPr="00EF65AE">
        <w:rPr>
          <w:rFonts w:cs="Arial"/>
        </w:rPr>
        <w:t xml:space="preserve"> physical and mental wellbeing, empowerment, </w:t>
      </w:r>
      <w:r w:rsidR="00A5412E">
        <w:rPr>
          <w:rFonts w:cs="Arial"/>
        </w:rPr>
        <w:t>increased</w:t>
      </w:r>
      <w:r w:rsidR="00A5412E" w:rsidRPr="00EF65AE">
        <w:rPr>
          <w:rFonts w:cs="Arial"/>
        </w:rPr>
        <w:t xml:space="preserve"> </w:t>
      </w:r>
      <w:r w:rsidRPr="00EF65AE">
        <w:rPr>
          <w:rFonts w:cs="Arial"/>
        </w:rPr>
        <w:t>confidence and increas</w:t>
      </w:r>
      <w:r w:rsidR="00A5412E">
        <w:rPr>
          <w:rFonts w:cs="Arial"/>
        </w:rPr>
        <w:t>ed</w:t>
      </w:r>
      <w:r w:rsidRPr="00EF65AE">
        <w:rPr>
          <w:rFonts w:cs="Arial"/>
        </w:rPr>
        <w:t xml:space="preserve"> access to public spaces. </w:t>
      </w:r>
    </w:p>
    <w:p w14:paraId="02754893" w14:textId="77777777" w:rsidR="00EF65AE" w:rsidRPr="00EF65AE" w:rsidRDefault="00EF65AE" w:rsidP="00EF65AE">
      <w:pPr>
        <w:rPr>
          <w:rFonts w:cs="Arial"/>
        </w:rPr>
      </w:pPr>
      <w:r w:rsidRPr="00EF65AE">
        <w:rPr>
          <w:rFonts w:cs="Arial"/>
        </w:rPr>
        <w:t>Australia has supported some promising approaches in P</w:t>
      </w:r>
      <w:r w:rsidR="00C14760">
        <w:rPr>
          <w:rFonts w:cs="Arial"/>
        </w:rPr>
        <w:t>NG</w:t>
      </w:r>
      <w:r w:rsidR="00921D5D">
        <w:rPr>
          <w:rFonts w:cs="Arial"/>
        </w:rPr>
        <w:t xml:space="preserve"> and Fiji (Box 18</w:t>
      </w:r>
      <w:r w:rsidRPr="00EF65AE">
        <w:rPr>
          <w:rFonts w:cs="Arial"/>
        </w:rPr>
        <w:t xml:space="preserve">). </w:t>
      </w:r>
    </w:p>
    <w:p w14:paraId="686DD550" w14:textId="77777777" w:rsidR="00EF65AE" w:rsidRPr="00EF65AE" w:rsidRDefault="00921D5D" w:rsidP="00EF65AE">
      <w:pPr>
        <w:pStyle w:val="CallOutHeading"/>
        <w:rPr>
          <w:rFonts w:cs="Arial"/>
        </w:rPr>
      </w:pPr>
      <w:r>
        <w:rPr>
          <w:rFonts w:cs="Arial"/>
        </w:rPr>
        <w:t>Box 18</w:t>
      </w:r>
      <w:r w:rsidR="00EF65AE" w:rsidRPr="00EF65AE">
        <w:rPr>
          <w:rFonts w:cs="Arial"/>
        </w:rPr>
        <w:t>: Using sports for violence prevention in Fiji</w:t>
      </w:r>
    </w:p>
    <w:p w14:paraId="589D5AD2" w14:textId="77777777" w:rsidR="00EF65AE" w:rsidRPr="00EF65AE" w:rsidRDefault="00EF65AE" w:rsidP="00EF65AE">
      <w:pPr>
        <w:pStyle w:val="CallOutBody"/>
        <w:rPr>
          <w:rFonts w:cs="Arial"/>
        </w:rPr>
      </w:pPr>
      <w:r w:rsidRPr="00EF65AE">
        <w:rPr>
          <w:rFonts w:cs="Arial"/>
        </w:rPr>
        <w:t>With Australian support, the Fiji Volleyball Association has implemented community-based sports programs which are changing volleyball competitions and tournaments to be gender-inclusive, and to discuss and challenge harmful social norms. These activities look to be on track for positive impact on attitudes and social norms</w:t>
      </w:r>
      <w:r w:rsidR="00C14760">
        <w:rPr>
          <w:rFonts w:cs="Arial"/>
        </w:rPr>
        <w:t>. I</w:t>
      </w:r>
      <w:r w:rsidRPr="00EF65AE">
        <w:rPr>
          <w:rFonts w:cs="Arial"/>
        </w:rPr>
        <w:t xml:space="preserve">n some cases, </w:t>
      </w:r>
      <w:r w:rsidR="00C14760">
        <w:rPr>
          <w:rFonts w:cs="Arial"/>
        </w:rPr>
        <w:t xml:space="preserve">they </w:t>
      </w:r>
      <w:r w:rsidRPr="00EF65AE">
        <w:rPr>
          <w:rFonts w:cs="Arial"/>
        </w:rPr>
        <w:t xml:space="preserve">have instigated and encouraged discussion of VAWG in settings where it was not previously discussed. </w:t>
      </w:r>
    </w:p>
    <w:p w14:paraId="27B20554" w14:textId="77777777" w:rsidR="00EF65AE" w:rsidRPr="00EF65AE" w:rsidRDefault="00EF65AE" w:rsidP="00EF65AE">
      <w:pPr>
        <w:pStyle w:val="CallOutBody"/>
        <w:rPr>
          <w:rFonts w:cs="Arial"/>
        </w:rPr>
      </w:pPr>
      <w:r w:rsidRPr="00EF65AE">
        <w:rPr>
          <w:rFonts w:cs="Arial"/>
        </w:rPr>
        <w:t>Gender quotas have been introduced to the Volleyball Association’s Constitution to increase the number of female teams in formal competitions. As a result, the number of women’s clubs has doubled. Efforts to change internal policies have sought to empower women and break down barriers around male dominance and aggression, such as</w:t>
      </w:r>
      <w:r w:rsidR="00A5412E">
        <w:rPr>
          <w:rFonts w:cs="Arial"/>
        </w:rPr>
        <w:t xml:space="preserve"> by</w:t>
      </w:r>
      <w:r w:rsidRPr="00EF65AE">
        <w:rPr>
          <w:rFonts w:cs="Arial"/>
        </w:rPr>
        <w:t xml:space="preserve"> encouraging female referees to preside over high-level matches and training female coaches. </w:t>
      </w:r>
    </w:p>
    <w:p w14:paraId="73833597" w14:textId="77777777" w:rsidR="00EF65AE" w:rsidRPr="00EF65AE" w:rsidRDefault="00EF65AE" w:rsidP="00EF65AE">
      <w:pPr>
        <w:pStyle w:val="CallOutBody"/>
        <w:rPr>
          <w:rFonts w:cs="Arial"/>
        </w:rPr>
      </w:pPr>
      <w:r w:rsidRPr="00EF65AE">
        <w:rPr>
          <w:rFonts w:cs="Arial"/>
        </w:rPr>
        <w:t xml:space="preserve">In community programs, the </w:t>
      </w:r>
      <w:r w:rsidR="00C14760">
        <w:rPr>
          <w:rFonts w:cs="Arial"/>
        </w:rPr>
        <w:t>a</w:t>
      </w:r>
      <w:r w:rsidRPr="00EF65AE">
        <w:rPr>
          <w:rFonts w:cs="Arial"/>
        </w:rPr>
        <w:t>ssociation drew on research to put in place risk mitigation strategies for backlash against women playing sport. For example, research in one site found that 1pm</w:t>
      </w:r>
      <w:r w:rsidR="00C14760">
        <w:rPr>
          <w:rFonts w:cs="Arial"/>
        </w:rPr>
        <w:t xml:space="preserve"> to </w:t>
      </w:r>
      <w:r w:rsidRPr="00EF65AE">
        <w:rPr>
          <w:rFonts w:cs="Arial"/>
        </w:rPr>
        <w:t xml:space="preserve">3pm was the best time for women to fit sport </w:t>
      </w:r>
      <w:bookmarkStart w:id="292" w:name="_Hlk15961927"/>
      <w:r w:rsidRPr="00EF65AE">
        <w:rPr>
          <w:rFonts w:cs="Arial"/>
        </w:rPr>
        <w:t xml:space="preserve">in-between </w:t>
      </w:r>
      <w:bookmarkEnd w:id="292"/>
      <w:r w:rsidRPr="00EF65AE">
        <w:rPr>
          <w:rFonts w:cs="Arial"/>
        </w:rPr>
        <w:t>their other responsibilities</w:t>
      </w:r>
      <w:r w:rsidR="00C14760">
        <w:rPr>
          <w:rFonts w:cs="Arial"/>
        </w:rPr>
        <w:t xml:space="preserve">. It was also the </w:t>
      </w:r>
      <w:r w:rsidRPr="00EF65AE">
        <w:rPr>
          <w:rFonts w:cs="Arial"/>
        </w:rPr>
        <w:t>least likely</w:t>
      </w:r>
      <w:r w:rsidR="00C14760">
        <w:rPr>
          <w:rFonts w:cs="Arial"/>
        </w:rPr>
        <w:t xml:space="preserve"> time</w:t>
      </w:r>
      <w:r w:rsidRPr="00EF65AE">
        <w:rPr>
          <w:rFonts w:cs="Arial"/>
        </w:rPr>
        <w:t xml:space="preserve"> to</w:t>
      </w:r>
      <w:r w:rsidR="00E13AE6">
        <w:rPr>
          <w:rFonts w:cs="Arial"/>
        </w:rPr>
        <w:t xml:space="preserve"> provoke backlash from men. The association u</w:t>
      </w:r>
      <w:r w:rsidRPr="00EF65AE">
        <w:rPr>
          <w:rFonts w:cs="Arial"/>
        </w:rPr>
        <w:t>sed the FWCC to check that their messages about VAWG and harassment were evidence</w:t>
      </w:r>
      <w:r w:rsidR="004B4E9A">
        <w:rPr>
          <w:rFonts w:cs="Arial"/>
        </w:rPr>
        <w:t xml:space="preserve"> </w:t>
      </w:r>
      <w:r w:rsidRPr="00EF65AE">
        <w:rPr>
          <w:rFonts w:cs="Arial"/>
        </w:rPr>
        <w:t xml:space="preserve">based and in line with best practice. </w:t>
      </w:r>
    </w:p>
    <w:p w14:paraId="0BABC60A" w14:textId="77777777" w:rsidR="00EF65AE" w:rsidRPr="00EF65AE" w:rsidRDefault="00EF65AE" w:rsidP="00EF65AE">
      <w:pPr>
        <w:rPr>
          <w:rFonts w:cs="Arial"/>
        </w:rPr>
      </w:pPr>
      <w:r w:rsidRPr="00EF65AE">
        <w:rPr>
          <w:rFonts w:cs="Arial"/>
        </w:rPr>
        <w:t xml:space="preserve">Sports for development is a growing area of interest for Australia, particularly through recently announced funding for sports in Pacific island countries. </w:t>
      </w:r>
      <w:r w:rsidR="009B0986">
        <w:rPr>
          <w:rFonts w:cs="Arial"/>
        </w:rPr>
        <w:t>I</w:t>
      </w:r>
      <w:r w:rsidRPr="00EF65AE">
        <w:rPr>
          <w:rFonts w:cs="Arial"/>
        </w:rPr>
        <w:t xml:space="preserve">t is important to note, </w:t>
      </w:r>
      <w:r w:rsidR="009B0986">
        <w:rPr>
          <w:rFonts w:cs="Arial"/>
        </w:rPr>
        <w:t xml:space="preserve">however, that </w:t>
      </w:r>
      <w:r w:rsidRPr="00EF65AE">
        <w:rPr>
          <w:rFonts w:cs="Arial"/>
        </w:rPr>
        <w:t xml:space="preserve">while participating in sport may build women and girls’ self-confidence and leadership skills, it will not necessarily, or automatically, prevent violence. Indeed, </w:t>
      </w:r>
      <w:r w:rsidR="0083695F">
        <w:rPr>
          <w:rFonts w:cs="Arial"/>
        </w:rPr>
        <w:t xml:space="preserve">with </w:t>
      </w:r>
      <w:r w:rsidRPr="00EF65AE">
        <w:rPr>
          <w:rFonts w:cs="Arial"/>
        </w:rPr>
        <w:t xml:space="preserve">certain sports seen as a male domain, women and girls’ participation may initially be met with strong backlash. </w:t>
      </w:r>
      <w:r w:rsidR="009B0986">
        <w:rPr>
          <w:rFonts w:cs="Arial"/>
        </w:rPr>
        <w:t>T</w:t>
      </w:r>
      <w:r w:rsidRPr="00EF65AE">
        <w:rPr>
          <w:rFonts w:cs="Arial"/>
        </w:rPr>
        <w:t xml:space="preserve">o shift social norms about VAWG, sports programs should focus on women and girls and must involve men and boys. </w:t>
      </w:r>
    </w:p>
    <w:p w14:paraId="57D91B90" w14:textId="77777777" w:rsidR="00EF65AE" w:rsidRPr="00EF65AE" w:rsidRDefault="00EF65AE" w:rsidP="008167F8">
      <w:pPr>
        <w:pStyle w:val="Heading3NoTOC"/>
      </w:pPr>
      <w:bookmarkStart w:id="293" w:name="_Toc977508"/>
      <w:r w:rsidRPr="00EF65AE">
        <w:t>Media initiatives</w:t>
      </w:r>
      <w:bookmarkEnd w:id="293"/>
    </w:p>
    <w:p w14:paraId="3F034A6A" w14:textId="77777777" w:rsidR="00EF65AE" w:rsidRPr="00EF65AE" w:rsidRDefault="00EF65AE" w:rsidP="00EF65AE">
      <w:pPr>
        <w:rPr>
          <w:rStyle w:val="BodyTextChar"/>
          <w:rFonts w:cs="Arial"/>
        </w:rPr>
      </w:pPr>
      <w:r w:rsidRPr="00EF65AE">
        <w:rPr>
          <w:rStyle w:val="BodyTextChar"/>
          <w:rFonts w:cs="Arial"/>
        </w:rPr>
        <w:t>Media and communications can provide a forum for engaging the community in conversations about social norms and gender norms, but EVAWG messages through mass media</w:t>
      </w:r>
      <w:r w:rsidR="009B0986">
        <w:rPr>
          <w:rStyle w:val="BodyTextChar"/>
          <w:rFonts w:cs="Arial"/>
        </w:rPr>
        <w:t>—</w:t>
      </w:r>
      <w:r w:rsidRPr="00EF65AE">
        <w:rPr>
          <w:rStyle w:val="BodyTextChar"/>
          <w:rFonts w:cs="Arial"/>
        </w:rPr>
        <w:t>such as television, radio, billboards, social media and other platforms</w:t>
      </w:r>
      <w:r w:rsidR="009B0986">
        <w:rPr>
          <w:rStyle w:val="BodyTextChar"/>
          <w:rFonts w:cs="Arial"/>
        </w:rPr>
        <w:t>—</w:t>
      </w:r>
      <w:r w:rsidRPr="00EF65AE">
        <w:rPr>
          <w:rStyle w:val="BodyTextChar"/>
          <w:rFonts w:cs="Arial"/>
        </w:rPr>
        <w:t>have not, on their own, worked to change behaviours. They can</w:t>
      </w:r>
      <w:r w:rsidR="009B0986">
        <w:rPr>
          <w:rStyle w:val="BodyTextChar"/>
          <w:rFonts w:cs="Arial"/>
        </w:rPr>
        <w:t>,</w:t>
      </w:r>
      <w:r w:rsidRPr="00EF65AE">
        <w:rPr>
          <w:rStyle w:val="BodyTextChar"/>
          <w:rFonts w:cs="Arial"/>
        </w:rPr>
        <w:t xml:space="preserve"> however, play a role in public discussions and breaking the silence about violence, its causes and consequences.</w:t>
      </w:r>
      <w:r w:rsidRPr="00EF65AE">
        <w:rPr>
          <w:rStyle w:val="BodyTextChar"/>
          <w:rFonts w:cs="Arial"/>
        </w:rPr>
        <w:fldChar w:fldCharType="begin"/>
      </w:r>
      <w:r w:rsidRPr="00EF65AE">
        <w:rPr>
          <w:rStyle w:val="BodyTextChar"/>
          <w:rFonts w:cs="Arial"/>
        </w:rPr>
        <w:instrText xml:space="preserve"> ADDIN ZOTERO_ITEM CSL_CITATION {"citationID":"XsRkh3AO","properties":{"formattedCitation":"\\super 52,111\\nosupersub{}","plainCitation":"52,111","noteIndex":0},"citationItems":[{"id":195,"uris":["http://zotero.org/users/4194704/items/TNE2AUR8"],"uri":["http://zotero.org/users/4194704/items/TNE2AUR8"],"itemData":{"id":195,"type":"report","title":"What Works Evidence Review: Social norms and violence against women and girls","publisher":"DFID","publisher-place":"London","event-place":"London","author":[{"family":"Jewkes","given":"Rachel"}],"issued":{"date-parts":[["2017"]]}}},{"id":861,"uris":["http://zotero.org/users/4194704/items/CE4XXXS4"],"uri":["http://zotero.org/users/4194704/items/CE4XXXS4"],"itemData":{"id":861,"type":"book","title":"Catalyzing personal and social change aroung gender, sexuality, HIV: IMpact evaluation of puntos de encuentro's communication strategy in Nicaragua","publisher":"Puntos de Encuentro; CIDS/UNAN Leon; PATH; Horizons Program","author":[{"family":"Solorzano","given":"I."},{"family":"Bank","given":"A."},{"family":"Pena","given":"R."},{"family":"Espinoza","given":"H."},{"family":"Ellsberg","given":"M."},{"family":"Pulerwitz","given":"J."}],"issued":{"date-parts":[["2008"]]}}}],"schema":"https://github.com/citation-style-language/schema/raw/master/csl-citation.json"} </w:instrText>
      </w:r>
      <w:r w:rsidRPr="00EF65AE">
        <w:rPr>
          <w:rStyle w:val="BodyTextChar"/>
          <w:rFonts w:cs="Arial"/>
        </w:rPr>
        <w:fldChar w:fldCharType="separate"/>
      </w:r>
      <w:r w:rsidRPr="00EF65AE">
        <w:rPr>
          <w:rFonts w:cs="Arial"/>
          <w:vertAlign w:val="superscript"/>
          <w:lang w:val="en-US"/>
        </w:rPr>
        <w:t>52,111</w:t>
      </w:r>
      <w:r w:rsidRPr="00EF65AE">
        <w:rPr>
          <w:rStyle w:val="BodyTextChar"/>
          <w:rFonts w:cs="Arial"/>
        </w:rPr>
        <w:fldChar w:fldCharType="end"/>
      </w:r>
      <w:r w:rsidRPr="00EF65AE">
        <w:rPr>
          <w:rStyle w:val="BodyTextChar"/>
          <w:rFonts w:cs="Arial"/>
        </w:rPr>
        <w:t xml:space="preserve"> </w:t>
      </w:r>
    </w:p>
    <w:p w14:paraId="7C4A9BF2" w14:textId="77777777" w:rsidR="00EF65AE" w:rsidRPr="00EF65AE" w:rsidRDefault="00EF65AE" w:rsidP="00EF65AE">
      <w:pPr>
        <w:rPr>
          <w:rFonts w:cs="Arial"/>
        </w:rPr>
      </w:pPr>
      <w:r w:rsidRPr="00EF65AE">
        <w:rPr>
          <w:rStyle w:val="BodyTextChar"/>
          <w:rFonts w:cs="Arial"/>
        </w:rPr>
        <w:t>Effective media and communication initiatives combine media communication with communication through other channels (</w:t>
      </w:r>
      <w:r w:rsidR="00173F90">
        <w:rPr>
          <w:rStyle w:val="BodyTextChar"/>
          <w:rFonts w:cs="Arial"/>
        </w:rPr>
        <w:t>for example,</w:t>
      </w:r>
      <w:r w:rsidRPr="00EF65AE">
        <w:rPr>
          <w:rStyle w:val="BodyTextChar"/>
          <w:rFonts w:cs="Arial"/>
        </w:rPr>
        <w:t xml:space="preserve"> using multiple forms of media, and working with grassroots organisations to reinforce the messages). Messaging needs to be carefully planned and tested for each context. Well-meaning media and communications interventions can be ineffective or, at worst, do harm, if they replicate harmful social norms about women</w:t>
      </w:r>
      <w:r w:rsidR="009B0986">
        <w:rPr>
          <w:rStyle w:val="BodyTextChar"/>
          <w:rFonts w:cs="Arial"/>
        </w:rPr>
        <w:t>’s</w:t>
      </w:r>
      <w:r w:rsidRPr="00EF65AE">
        <w:rPr>
          <w:rStyle w:val="BodyTextChar"/>
          <w:rFonts w:cs="Arial"/>
        </w:rPr>
        <w:t xml:space="preserve"> and men’s roles, or do not clearly condemn all forms of violence</w:t>
      </w:r>
      <w:r w:rsidRPr="00EF65AE">
        <w:rPr>
          <w:rFonts w:cs="Arial"/>
        </w:rPr>
        <w:t>.</w:t>
      </w:r>
    </w:p>
    <w:p w14:paraId="554D9224" w14:textId="21476443" w:rsidR="00EF65AE" w:rsidRPr="00EF65AE" w:rsidRDefault="00EF65AE" w:rsidP="00EF65AE">
      <w:pPr>
        <w:rPr>
          <w:rFonts w:cs="Arial"/>
        </w:rPr>
      </w:pPr>
      <w:r w:rsidRPr="00EF65AE">
        <w:rPr>
          <w:rFonts w:cs="Arial"/>
        </w:rPr>
        <w:t>In the focus countries, th</w:t>
      </w:r>
      <w:r w:rsidR="0083695F">
        <w:rPr>
          <w:rFonts w:cs="Arial"/>
        </w:rPr>
        <w:t>is</w:t>
      </w:r>
      <w:r w:rsidRPr="00EF65AE">
        <w:rPr>
          <w:rFonts w:cs="Arial"/>
        </w:rPr>
        <w:t xml:space="preserve"> evaluation found limited evidence of multi-component, best</w:t>
      </w:r>
      <w:r w:rsidR="009B0986">
        <w:rPr>
          <w:rFonts w:cs="Arial"/>
        </w:rPr>
        <w:t>-</w:t>
      </w:r>
      <w:r w:rsidRPr="00EF65AE">
        <w:rPr>
          <w:rFonts w:cs="Arial"/>
        </w:rPr>
        <w:t xml:space="preserve">practice communication interventions. One exception was the Australian-funded </w:t>
      </w:r>
      <w:r w:rsidRPr="00EF65AE">
        <w:rPr>
          <w:rFonts w:cs="Arial"/>
          <w:i/>
        </w:rPr>
        <w:t xml:space="preserve">Nabilan </w:t>
      </w:r>
      <w:r w:rsidR="00732479">
        <w:rPr>
          <w:rFonts w:cs="Arial"/>
          <w:iCs/>
        </w:rPr>
        <w:t>p</w:t>
      </w:r>
      <w:r w:rsidRPr="00EF65AE">
        <w:rPr>
          <w:rFonts w:cs="Arial"/>
        </w:rPr>
        <w:t xml:space="preserve">rogram in Timor-Leste. One component of its messages included </w:t>
      </w:r>
      <w:bookmarkStart w:id="294" w:name="_Hlk15962335"/>
      <w:r w:rsidR="000350C0" w:rsidRPr="00EF65AE">
        <w:rPr>
          <w:rFonts w:cs="Arial"/>
        </w:rPr>
        <w:t>trialling</w:t>
      </w:r>
      <w:r w:rsidRPr="00EF65AE">
        <w:rPr>
          <w:rFonts w:cs="Arial"/>
        </w:rPr>
        <w:t xml:space="preserve"> </w:t>
      </w:r>
      <w:bookmarkEnd w:id="294"/>
      <w:r w:rsidRPr="00EF65AE">
        <w:rPr>
          <w:rFonts w:cs="Arial"/>
        </w:rPr>
        <w:t xml:space="preserve">and adapting a viral British video on consent, and airing it in cinemas, </w:t>
      </w:r>
      <w:r w:rsidR="009B0986">
        <w:rPr>
          <w:rFonts w:cs="Arial"/>
        </w:rPr>
        <w:t xml:space="preserve">on </w:t>
      </w:r>
      <w:r w:rsidRPr="00EF65AE">
        <w:rPr>
          <w:rFonts w:cs="Arial"/>
        </w:rPr>
        <w:t xml:space="preserve">television, </w:t>
      </w:r>
      <w:r w:rsidR="009B0986">
        <w:rPr>
          <w:rFonts w:cs="Arial"/>
        </w:rPr>
        <w:t xml:space="preserve">through </w:t>
      </w:r>
      <w:r w:rsidRPr="00EF65AE">
        <w:rPr>
          <w:rFonts w:cs="Arial"/>
        </w:rPr>
        <w:t xml:space="preserve">social media, </w:t>
      </w:r>
      <w:r w:rsidR="009B0986">
        <w:rPr>
          <w:rFonts w:cs="Arial"/>
        </w:rPr>
        <w:t xml:space="preserve">in </w:t>
      </w:r>
      <w:r w:rsidRPr="00EF65AE">
        <w:rPr>
          <w:rFonts w:cs="Arial"/>
        </w:rPr>
        <w:t>service</w:t>
      </w:r>
      <w:r w:rsidR="0083695F">
        <w:rPr>
          <w:rFonts w:cs="Arial"/>
        </w:rPr>
        <w:t>-</w:t>
      </w:r>
      <w:r w:rsidRPr="00EF65AE">
        <w:rPr>
          <w:rFonts w:cs="Arial"/>
        </w:rPr>
        <w:t xml:space="preserve">provider waiting areas, and in gender sensitivity and violence prevention training. The following year, additional messages linked to the </w:t>
      </w:r>
      <w:bookmarkStart w:id="295" w:name="_Hlk18571325"/>
      <w:r w:rsidRPr="00597A8C">
        <w:rPr>
          <w:rFonts w:cs="Arial"/>
          <w:iCs/>
        </w:rPr>
        <w:t>16 Days of Activism</w:t>
      </w:r>
      <w:r w:rsidRPr="00EF65AE">
        <w:rPr>
          <w:rFonts w:cs="Arial"/>
        </w:rPr>
        <w:t xml:space="preserve"> </w:t>
      </w:r>
      <w:bookmarkEnd w:id="295"/>
      <w:r w:rsidRPr="00EF65AE">
        <w:rPr>
          <w:rFonts w:cs="Arial"/>
        </w:rPr>
        <w:t xml:space="preserve">were aired on television, online and radio to </w:t>
      </w:r>
      <w:r w:rsidR="00D74A07">
        <w:rPr>
          <w:rFonts w:cs="Arial"/>
        </w:rPr>
        <w:br/>
      </w:r>
      <w:r w:rsidRPr="00EF65AE">
        <w:rPr>
          <w:rFonts w:cs="Arial"/>
        </w:rPr>
        <w:t>expand coverage</w:t>
      </w:r>
      <w:r w:rsidR="00E2253F">
        <w:rPr>
          <w:rFonts w:cs="Arial"/>
        </w:rPr>
        <w:t xml:space="preserve">. </w:t>
      </w:r>
    </w:p>
    <w:p w14:paraId="1BEC5967" w14:textId="62D13D77" w:rsidR="00AC1183" w:rsidRDefault="00EF65AE" w:rsidP="00EF65AE">
      <w:pPr>
        <w:rPr>
          <w:rFonts w:cs="Arial"/>
        </w:rPr>
      </w:pPr>
      <w:r w:rsidRPr="00EF65AE">
        <w:rPr>
          <w:rFonts w:cs="Arial"/>
        </w:rPr>
        <w:t xml:space="preserve">Another example of a successful home-grown social communication initiative is </w:t>
      </w:r>
      <w:r w:rsidRPr="00535C1D">
        <w:rPr>
          <w:rFonts w:cs="Arial"/>
          <w:i/>
          <w:iCs/>
        </w:rPr>
        <w:t>Wan Smolbag</w:t>
      </w:r>
      <w:r w:rsidRPr="00EF65AE">
        <w:rPr>
          <w:rFonts w:cs="Arial"/>
        </w:rPr>
        <w:t xml:space="preserve"> in Vanuatu. Founded in 1989, </w:t>
      </w:r>
      <w:r w:rsidRPr="00535C1D">
        <w:rPr>
          <w:rFonts w:cs="Arial"/>
          <w:i/>
          <w:iCs/>
        </w:rPr>
        <w:t>Wan Smolbag</w:t>
      </w:r>
      <w:r w:rsidRPr="00EF65AE">
        <w:rPr>
          <w:rFonts w:cs="Arial"/>
        </w:rPr>
        <w:t xml:space="preserve"> creates popular theatre, </w:t>
      </w:r>
      <w:r w:rsidR="009B0986">
        <w:rPr>
          <w:rFonts w:cs="Arial"/>
        </w:rPr>
        <w:t xml:space="preserve">television </w:t>
      </w:r>
      <w:r w:rsidRPr="00EF65AE">
        <w:rPr>
          <w:rFonts w:cs="Arial"/>
        </w:rPr>
        <w:t>programs</w:t>
      </w:r>
      <w:r w:rsidR="009B0986">
        <w:rPr>
          <w:rFonts w:cs="Arial"/>
        </w:rPr>
        <w:t xml:space="preserve"> (</w:t>
      </w:r>
      <w:r w:rsidRPr="00EF65AE">
        <w:rPr>
          <w:rFonts w:cs="Arial"/>
        </w:rPr>
        <w:t>like the popular Love Patrol</w:t>
      </w:r>
      <w:r w:rsidR="009B0986">
        <w:rPr>
          <w:rFonts w:cs="Arial"/>
        </w:rPr>
        <w:t>)</w:t>
      </w:r>
      <w:r w:rsidRPr="00EF65AE">
        <w:rPr>
          <w:rFonts w:cs="Arial"/>
        </w:rPr>
        <w:t>, and films with a strong gender focus</w:t>
      </w:r>
      <w:r w:rsidR="00E2253F">
        <w:rPr>
          <w:rFonts w:cs="Arial"/>
        </w:rPr>
        <w:t xml:space="preserve">. </w:t>
      </w:r>
      <w:r w:rsidRPr="00EF65AE">
        <w:rPr>
          <w:rFonts w:cs="Arial"/>
        </w:rPr>
        <w:t>Many programs address sensitive issues, such as domestic and sexual violence, in a way that encourages critical reflection on traditional social norms and practices. The film T</w:t>
      </w:r>
      <w:r w:rsidR="00C24E2A">
        <w:rPr>
          <w:rFonts w:cs="Arial"/>
        </w:rPr>
        <w:t>a</w:t>
      </w:r>
      <w:r w:rsidRPr="00EF65AE">
        <w:rPr>
          <w:rFonts w:cs="Arial"/>
        </w:rPr>
        <w:t xml:space="preserve">lemaot, funded by Pacific Women, shows how community members blame women when </w:t>
      </w:r>
      <w:r w:rsidR="009B0986">
        <w:rPr>
          <w:rFonts w:cs="Arial"/>
        </w:rPr>
        <w:t>they</w:t>
      </w:r>
      <w:r w:rsidR="009B0986" w:rsidRPr="00EF65AE">
        <w:rPr>
          <w:rFonts w:cs="Arial"/>
        </w:rPr>
        <w:t xml:space="preserve"> </w:t>
      </w:r>
      <w:r w:rsidRPr="00EF65AE">
        <w:rPr>
          <w:rFonts w:cs="Arial"/>
        </w:rPr>
        <w:t>are raped</w:t>
      </w:r>
      <w:r w:rsidR="00E2253F">
        <w:rPr>
          <w:rFonts w:cs="Arial"/>
        </w:rPr>
        <w:t xml:space="preserve">. </w:t>
      </w:r>
      <w:r w:rsidRPr="00EF65AE">
        <w:rPr>
          <w:rFonts w:cs="Arial"/>
        </w:rPr>
        <w:t>A</w:t>
      </w:r>
      <w:r w:rsidR="007961C8">
        <w:rPr>
          <w:rFonts w:cs="Arial"/>
        </w:rPr>
        <w:t xml:space="preserve"> female leader working with</w:t>
      </w:r>
      <w:r w:rsidR="00027336">
        <w:rPr>
          <w:rFonts w:cs="Arial"/>
        </w:rPr>
        <w:t xml:space="preserve"> </w:t>
      </w:r>
      <w:r w:rsidR="0083695F">
        <w:rPr>
          <w:rFonts w:cs="Arial"/>
        </w:rPr>
        <w:t>Pacific Women</w:t>
      </w:r>
      <w:r w:rsidR="008C0AF0">
        <w:rPr>
          <w:rFonts w:cs="Arial"/>
        </w:rPr>
        <w:t xml:space="preserve"> </w:t>
      </w:r>
      <w:r w:rsidR="006A6EAC">
        <w:rPr>
          <w:rFonts w:cs="Arial"/>
        </w:rPr>
        <w:t>described the impact of the film</w:t>
      </w:r>
      <w:r w:rsidR="009B0986">
        <w:rPr>
          <w:rFonts w:cs="Arial"/>
        </w:rPr>
        <w:t>:</w:t>
      </w:r>
      <w:r w:rsidRPr="00EF65AE">
        <w:rPr>
          <w:rFonts w:cs="Arial"/>
        </w:rPr>
        <w:t xml:space="preserve"> </w:t>
      </w:r>
    </w:p>
    <w:p w14:paraId="552E9497" w14:textId="030FE186" w:rsidR="00EF65AE" w:rsidRPr="00EF65AE" w:rsidRDefault="00EF65AE" w:rsidP="00AC1183">
      <w:pPr>
        <w:pStyle w:val="IndentQuote"/>
      </w:pPr>
      <w:r w:rsidRPr="00F06AE7">
        <w:t>Afterwards, the chief said, ‘thank you for showing that,’ because he reali</w:t>
      </w:r>
      <w:r w:rsidR="00075611">
        <w:t>s</w:t>
      </w:r>
      <w:r w:rsidRPr="00F06AE7">
        <w:t>ed that this was how he had behaved in the past, and that he should change.</w:t>
      </w:r>
    </w:p>
    <w:p w14:paraId="77074C54" w14:textId="32682950" w:rsidR="00EF65AE" w:rsidRPr="00D218B0" w:rsidRDefault="00EF65AE" w:rsidP="00597A8C">
      <w:r w:rsidRPr="00EF65AE">
        <w:rPr>
          <w:rFonts w:cs="Arial"/>
        </w:rPr>
        <w:t>Australia’s media interventions could be more consistently multi-component. There are opportunities for Australia to fund more long-term, evidence-based</w:t>
      </w:r>
      <w:r w:rsidR="009B0986">
        <w:rPr>
          <w:rFonts w:cs="Arial"/>
        </w:rPr>
        <w:t>,</w:t>
      </w:r>
      <w:r w:rsidRPr="00EF65AE">
        <w:rPr>
          <w:rFonts w:cs="Arial"/>
        </w:rPr>
        <w:t xml:space="preserve"> telenovela-type projects in Asia. In countries </w:t>
      </w:r>
      <w:r w:rsidR="009B0986">
        <w:rPr>
          <w:rFonts w:cs="Arial"/>
        </w:rPr>
        <w:t xml:space="preserve">with </w:t>
      </w:r>
      <w:r w:rsidRPr="00EF65AE">
        <w:rPr>
          <w:rFonts w:cs="Arial"/>
        </w:rPr>
        <w:t xml:space="preserve">high </w:t>
      </w:r>
      <w:r w:rsidR="009B0986">
        <w:rPr>
          <w:rFonts w:cs="Arial"/>
        </w:rPr>
        <w:t>I</w:t>
      </w:r>
      <w:r w:rsidRPr="00EF65AE">
        <w:rPr>
          <w:rFonts w:cs="Arial"/>
        </w:rPr>
        <w:t xml:space="preserve">nternet usage, Australia could also support </w:t>
      </w:r>
      <w:r w:rsidR="00795A13">
        <w:rPr>
          <w:rFonts w:cs="Arial"/>
        </w:rPr>
        <w:t xml:space="preserve">the </w:t>
      </w:r>
      <w:r w:rsidRPr="00EF65AE">
        <w:rPr>
          <w:rFonts w:cs="Arial"/>
        </w:rPr>
        <w:t>strategic use of social media by partners</w:t>
      </w:r>
      <w:r w:rsidR="0083695F">
        <w:rPr>
          <w:rFonts w:cs="Arial"/>
        </w:rPr>
        <w:t>.</w:t>
      </w:r>
    </w:p>
    <w:p w14:paraId="6E082CCC" w14:textId="140C5E57" w:rsidR="00EF65AE" w:rsidRPr="00EF65AE" w:rsidRDefault="004A793A" w:rsidP="008167F8">
      <w:pPr>
        <w:pStyle w:val="Heading2"/>
      </w:pPr>
      <w:bookmarkStart w:id="296" w:name="_Toc4156958"/>
      <w:bookmarkStart w:id="297" w:name="_Toc14959610"/>
      <w:bookmarkStart w:id="298" w:name="_Toc15378136"/>
      <w:bookmarkStart w:id="299" w:name="_Toc15378485"/>
      <w:bookmarkStart w:id="300" w:name="_Toc15563015"/>
      <w:bookmarkStart w:id="301" w:name="_Toc23434551"/>
      <w:r w:rsidRPr="00EF65AE">
        <w:t>Findings and recommendation</w:t>
      </w:r>
      <w:bookmarkEnd w:id="296"/>
      <w:bookmarkEnd w:id="297"/>
      <w:bookmarkEnd w:id="298"/>
      <w:bookmarkEnd w:id="299"/>
      <w:bookmarkEnd w:id="300"/>
      <w:bookmarkEnd w:id="301"/>
    </w:p>
    <w:p w14:paraId="4AAB78BB" w14:textId="77777777" w:rsidR="00EF65AE" w:rsidRPr="00EF65AE" w:rsidRDefault="00EF65AE" w:rsidP="00EF65AE">
      <w:pPr>
        <w:rPr>
          <w:rFonts w:cs="Arial"/>
        </w:rPr>
      </w:pPr>
      <w:r w:rsidRPr="00EF65AE">
        <w:rPr>
          <w:rFonts w:cs="Arial"/>
        </w:rPr>
        <w:t>The</w:t>
      </w:r>
      <w:r w:rsidR="009061E8">
        <w:rPr>
          <w:rFonts w:cs="Arial"/>
        </w:rPr>
        <w:t>re are</w:t>
      </w:r>
      <w:r w:rsidRPr="00EF65AE">
        <w:rPr>
          <w:rFonts w:cs="Arial"/>
        </w:rPr>
        <w:t xml:space="preserve"> </w:t>
      </w:r>
      <w:r w:rsidR="009061E8">
        <w:rPr>
          <w:rFonts w:cs="Arial"/>
        </w:rPr>
        <w:t>many more</w:t>
      </w:r>
      <w:r w:rsidRPr="00EF65AE">
        <w:rPr>
          <w:rFonts w:cs="Arial"/>
        </w:rPr>
        <w:t xml:space="preserve"> prevention programs </w:t>
      </w:r>
      <w:r w:rsidR="009061E8">
        <w:rPr>
          <w:rFonts w:cs="Arial"/>
        </w:rPr>
        <w:t>than in</w:t>
      </w:r>
      <w:r w:rsidRPr="00EF65AE">
        <w:rPr>
          <w:rFonts w:cs="Arial"/>
        </w:rPr>
        <w:t xml:space="preserve"> 2008, along with more widespread acceptance that VAWG is a problem that can be prevented. </w:t>
      </w:r>
    </w:p>
    <w:p w14:paraId="2F438A0E" w14:textId="77777777" w:rsidR="00EF65AE" w:rsidRPr="00EF65AE" w:rsidRDefault="00EF65AE" w:rsidP="00EF65AE">
      <w:pPr>
        <w:rPr>
          <w:rFonts w:cs="Arial"/>
        </w:rPr>
      </w:pPr>
      <w:r w:rsidRPr="00EF65AE">
        <w:rPr>
          <w:rFonts w:cs="Arial"/>
        </w:rPr>
        <w:t xml:space="preserve">Australia has significantly increased investment in prevention programs that aim to shift social norms and gender inequality at community level. </w:t>
      </w:r>
    </w:p>
    <w:p w14:paraId="4D14190C" w14:textId="77777777" w:rsidR="00EF65AE" w:rsidRPr="00EF65AE" w:rsidRDefault="00EF65AE" w:rsidP="00EF65AE">
      <w:pPr>
        <w:rPr>
          <w:rFonts w:cs="Arial"/>
        </w:rPr>
      </w:pPr>
      <w:r w:rsidRPr="00EF65AE">
        <w:rPr>
          <w:rFonts w:cs="Arial"/>
        </w:rPr>
        <w:t xml:space="preserve">Australian funding recognises global evidence that population-level change in attitudes and behaviours is required to end violence. </w:t>
      </w:r>
    </w:p>
    <w:p w14:paraId="1711B2A9" w14:textId="0212B459" w:rsidR="00EF65AE" w:rsidRPr="00EF65AE" w:rsidRDefault="009A314A" w:rsidP="00EF65AE">
      <w:pPr>
        <w:rPr>
          <w:rFonts w:cs="Arial"/>
        </w:rPr>
      </w:pPr>
      <w:r>
        <w:rPr>
          <w:rFonts w:cs="Arial"/>
        </w:rPr>
        <w:t xml:space="preserve">Australia has </w:t>
      </w:r>
      <w:r w:rsidR="00EF65AE" w:rsidRPr="00EF65AE">
        <w:rPr>
          <w:rFonts w:cs="Arial"/>
        </w:rPr>
        <w:t xml:space="preserve">opportunities to lead on and contribute to </w:t>
      </w:r>
      <w:r>
        <w:rPr>
          <w:rFonts w:cs="Arial"/>
        </w:rPr>
        <w:t>developing</w:t>
      </w:r>
      <w:r w:rsidR="00EF65AE" w:rsidRPr="00EF65AE">
        <w:rPr>
          <w:rFonts w:cs="Arial"/>
        </w:rPr>
        <w:t xml:space="preserve"> integrated</w:t>
      </w:r>
      <w:r w:rsidR="009061E8">
        <w:rPr>
          <w:rFonts w:cs="Arial"/>
        </w:rPr>
        <w:t>, best</w:t>
      </w:r>
      <w:r w:rsidR="00795A13">
        <w:rPr>
          <w:rFonts w:cs="Arial"/>
        </w:rPr>
        <w:t>-</w:t>
      </w:r>
      <w:r w:rsidR="009061E8">
        <w:rPr>
          <w:rFonts w:cs="Arial"/>
        </w:rPr>
        <w:t>practice</w:t>
      </w:r>
      <w:r w:rsidR="00EF65AE" w:rsidRPr="00EF65AE">
        <w:rPr>
          <w:rFonts w:cs="Arial"/>
        </w:rPr>
        <w:t xml:space="preserve"> approaches to prevent</w:t>
      </w:r>
      <w:r w:rsidR="009061E8">
        <w:rPr>
          <w:rFonts w:cs="Arial"/>
        </w:rPr>
        <w:t xml:space="preserve"> </w:t>
      </w:r>
      <w:r w:rsidR="009061E8" w:rsidRPr="00EF65AE">
        <w:rPr>
          <w:rFonts w:cs="Arial"/>
        </w:rPr>
        <w:t>VAWG</w:t>
      </w:r>
      <w:r w:rsidR="00EF65AE" w:rsidRPr="00EF65AE">
        <w:rPr>
          <w:rFonts w:cs="Arial"/>
        </w:rPr>
        <w:t xml:space="preserve">. </w:t>
      </w:r>
    </w:p>
    <w:p w14:paraId="1CFFB3F2" w14:textId="77777777" w:rsidR="00EF65AE" w:rsidRPr="00EF65AE" w:rsidRDefault="00EF65AE" w:rsidP="00EF65AE">
      <w:pPr>
        <w:rPr>
          <w:rFonts w:cs="Arial"/>
        </w:rPr>
      </w:pPr>
      <w:r w:rsidRPr="00EF65AE">
        <w:rPr>
          <w:rFonts w:cs="Arial"/>
        </w:rPr>
        <w:t>Given the scale of VAWG,</w:t>
      </w:r>
      <w:r w:rsidR="009061E8">
        <w:rPr>
          <w:rFonts w:cs="Arial"/>
        </w:rPr>
        <w:t xml:space="preserve"> Australian investments should increasingly prioritise</w:t>
      </w:r>
      <w:r w:rsidRPr="00EF65AE">
        <w:rPr>
          <w:rFonts w:cs="Arial"/>
        </w:rPr>
        <w:t xml:space="preserve"> prevention. </w:t>
      </w:r>
    </w:p>
    <w:p w14:paraId="18A70762" w14:textId="77777777" w:rsidR="007F0DF3" w:rsidRPr="00EF65AE" w:rsidRDefault="007F0DF3" w:rsidP="007F0DF3">
      <w:pPr>
        <w:pStyle w:val="Heading3NoTOC"/>
      </w:pPr>
      <w:bookmarkStart w:id="302" w:name="_Toc14959611"/>
      <w:r w:rsidRPr="00EF65AE">
        <w:t>Recommendation 4: Expand work on prevention of VAWG by</w:t>
      </w:r>
      <w:r>
        <w:t>:</w:t>
      </w:r>
    </w:p>
    <w:p w14:paraId="5AD3047B" w14:textId="77777777" w:rsidR="007F0DF3" w:rsidRPr="00EF65AE" w:rsidRDefault="007F0DF3" w:rsidP="007F0DF3">
      <w:pPr>
        <w:pStyle w:val="ListNumber"/>
        <w:numPr>
          <w:ilvl w:val="1"/>
          <w:numId w:val="13"/>
        </w:numPr>
      </w:pPr>
      <w:r w:rsidRPr="00EF65AE">
        <w:t>ensuring investment is long</w:t>
      </w:r>
      <w:r>
        <w:t xml:space="preserve"> </w:t>
      </w:r>
      <w:r w:rsidRPr="00EF65AE">
        <w:t>term, including to local women’s organisations, and based on best practice, drawing upon and adapting the global RESPECT framework</w:t>
      </w:r>
    </w:p>
    <w:p w14:paraId="6C5FC044" w14:textId="77777777" w:rsidR="007F0DF3" w:rsidRPr="00EF65AE" w:rsidRDefault="007F0DF3" w:rsidP="007F0DF3">
      <w:pPr>
        <w:pStyle w:val="ListNumber"/>
      </w:pPr>
      <w:r w:rsidRPr="00EF65AE">
        <w:t>investing in programs that coordinate with justice and services and move beyond awareness</w:t>
      </w:r>
      <w:r w:rsidR="006D296F">
        <w:t xml:space="preserve"> </w:t>
      </w:r>
      <w:r w:rsidRPr="00EF65AE">
        <w:t>raising to addressing social norms</w:t>
      </w:r>
    </w:p>
    <w:p w14:paraId="305FEBE3" w14:textId="77777777" w:rsidR="007F0DF3" w:rsidRPr="00EF65AE" w:rsidRDefault="007F0DF3" w:rsidP="007F0DF3">
      <w:pPr>
        <w:pStyle w:val="ListNumber"/>
      </w:pPr>
      <w:r w:rsidRPr="00EF65AE">
        <w:t>playing a more significant role at national and regional levels in bringing EVAWG and child protection actors to the table to identify more effective ways to address VAWG and child protection intersections through funding, partnerships, policies, programs and evaluations</w:t>
      </w:r>
    </w:p>
    <w:p w14:paraId="6AE92E9E" w14:textId="77777777" w:rsidR="007F0DF3" w:rsidRPr="00EF65AE" w:rsidRDefault="007F0DF3" w:rsidP="007F0DF3">
      <w:pPr>
        <w:pStyle w:val="ListNumber"/>
      </w:pPr>
      <w:r w:rsidRPr="00EF65AE">
        <w:t>strengthening prevention research capacity in the region and invest</w:t>
      </w:r>
      <w:r>
        <w:t>ing</w:t>
      </w:r>
      <w:r w:rsidRPr="00EF65AE">
        <w:t xml:space="preserve"> more in coordination between Australian-supported prevention interventions</w:t>
      </w:r>
      <w:r w:rsidR="008F5071">
        <w:t>,</w:t>
      </w:r>
      <w:r w:rsidRPr="00EF65AE">
        <w:t xml:space="preserve"> to draw out common lessons and better inform the violence prevention field as a whole</w:t>
      </w:r>
      <w:r w:rsidR="008F5071">
        <w:t>. O</w:t>
      </w:r>
      <w:r w:rsidRPr="00EF65AE">
        <w:t>ptions could include:</w:t>
      </w:r>
    </w:p>
    <w:p w14:paraId="0EAE445C" w14:textId="77777777" w:rsidR="007F0DF3" w:rsidRPr="00EF65AE" w:rsidRDefault="007F0DF3" w:rsidP="007F0DF3">
      <w:pPr>
        <w:pStyle w:val="ListNumber2"/>
      </w:pPr>
      <w:r w:rsidRPr="00EF65AE">
        <w:t>establishing collaboration with the DFID</w:t>
      </w:r>
      <w:r>
        <w:t>-</w:t>
      </w:r>
      <w:r w:rsidRPr="00EF65AE">
        <w:t>funded What Works, which is developing similar capacity among countries that receive DFID support</w:t>
      </w:r>
    </w:p>
    <w:p w14:paraId="4E8132B2" w14:textId="77777777" w:rsidR="000350C0" w:rsidRPr="000350C0" w:rsidRDefault="007F0DF3" w:rsidP="007F0DF3">
      <w:pPr>
        <w:pStyle w:val="ListNumber2"/>
      </w:pPr>
      <w:r w:rsidRPr="00EF65AE">
        <w:t xml:space="preserve">establishing a Prevention Learning Hub to build capacity on prevention research in the region, share learnings and conduct meta-analyses </w:t>
      </w:r>
      <w:r w:rsidRPr="000350C0">
        <w:t xml:space="preserve">across </w:t>
      </w:r>
      <w:r w:rsidRPr="00597A8C">
        <w:t>countries. If pursued</w:t>
      </w:r>
      <w:r w:rsidRPr="000350C0">
        <w:t xml:space="preserve">, this would need to be: </w:t>
      </w:r>
    </w:p>
    <w:p w14:paraId="4D82B61F" w14:textId="77777777" w:rsidR="000350C0" w:rsidRDefault="007F0DF3" w:rsidP="00597A8C">
      <w:pPr>
        <w:pStyle w:val="ListNumber2"/>
        <w:numPr>
          <w:ilvl w:val="0"/>
          <w:numId w:val="28"/>
        </w:numPr>
      </w:pPr>
      <w:r w:rsidRPr="00597A8C">
        <w:t>led</w:t>
      </w:r>
      <w:r w:rsidRPr="000350C0">
        <w:t xml:space="preserve"> by local actors such as the Pacific Women’s</w:t>
      </w:r>
      <w:r w:rsidRPr="00EF65AE">
        <w:t xml:space="preserve"> Network Against Violence Against Women</w:t>
      </w:r>
      <w:r>
        <w:t xml:space="preserve"> (Pacific Women)</w:t>
      </w:r>
    </w:p>
    <w:p w14:paraId="2A91ACD6" w14:textId="77777777" w:rsidR="007F0DF3" w:rsidRPr="00EF65AE" w:rsidRDefault="007F0DF3" w:rsidP="00597A8C">
      <w:pPr>
        <w:pStyle w:val="ListNumber2"/>
        <w:numPr>
          <w:ilvl w:val="0"/>
          <w:numId w:val="28"/>
        </w:numPr>
      </w:pPr>
      <w:r w:rsidRPr="00EF65AE">
        <w:t>developed in collaboration with other significant partners such as UN Women, Equality Institute, Prevention Collaborative</w:t>
      </w:r>
      <w:r>
        <w:t>, and</w:t>
      </w:r>
      <w:r w:rsidRPr="00EF65AE">
        <w:t xml:space="preserve"> Raising Voices</w:t>
      </w:r>
    </w:p>
    <w:p w14:paraId="31A064F6" w14:textId="3E5F6C68" w:rsidR="007F0DF3" w:rsidRPr="00EF65AE" w:rsidRDefault="007F0DF3" w:rsidP="007F0DF3">
      <w:pPr>
        <w:pStyle w:val="ListNumber2"/>
      </w:pPr>
      <w:r w:rsidRPr="00EF65AE">
        <w:t xml:space="preserve">making linkages between Australian-funded </w:t>
      </w:r>
      <w:r w:rsidRPr="00CC2E25">
        <w:rPr>
          <w:i/>
          <w:iCs/>
        </w:rPr>
        <w:t>SASA!</w:t>
      </w:r>
      <w:r w:rsidRPr="00EF65AE">
        <w:t xml:space="preserve"> </w:t>
      </w:r>
      <w:r w:rsidR="00353460">
        <w:t>a</w:t>
      </w:r>
      <w:r w:rsidRPr="00EF65AE">
        <w:t>daptations in countries</w:t>
      </w:r>
      <w:r w:rsidR="006F77CC">
        <w:t xml:space="preserve"> in the Indo-Pacific</w:t>
      </w:r>
      <w:r w:rsidRPr="00EF65AE">
        <w:t xml:space="preserve"> and sharing lessons from their evaluations.</w:t>
      </w:r>
    </w:p>
    <w:p w14:paraId="7B1E202A" w14:textId="4CDBB6C8" w:rsidR="00EF65AE" w:rsidRPr="00EF65AE" w:rsidRDefault="004A793A" w:rsidP="00C47C7B">
      <w:pPr>
        <w:pStyle w:val="Heading1"/>
      </w:pPr>
      <w:bookmarkStart w:id="303" w:name="_Toc15378137"/>
      <w:bookmarkStart w:id="304" w:name="_Toc15378486"/>
      <w:bookmarkStart w:id="305" w:name="_Toc15563016"/>
      <w:bookmarkStart w:id="306" w:name="_Toc23434552"/>
      <w:r w:rsidRPr="00EF65AE">
        <w:t>Building an evidence base and shared learning</w:t>
      </w:r>
      <w:bookmarkEnd w:id="302"/>
      <w:bookmarkEnd w:id="303"/>
      <w:bookmarkEnd w:id="304"/>
      <w:bookmarkEnd w:id="305"/>
      <w:bookmarkEnd w:id="306"/>
    </w:p>
    <w:p w14:paraId="4DC4F400" w14:textId="77777777" w:rsidR="00EF65AE" w:rsidRPr="00EF65AE" w:rsidRDefault="00EF65AE" w:rsidP="005C4C04">
      <w:pPr>
        <w:pStyle w:val="Introduction"/>
      </w:pPr>
      <w:bookmarkStart w:id="307" w:name="_Hlk9955198"/>
      <w:r w:rsidRPr="00EF65AE">
        <w:t>This chapter examines how Australia has contributed to strengthening the evidence base on the prevalence</w:t>
      </w:r>
      <w:r w:rsidR="009B0986">
        <w:t xml:space="preserve"> of EVAWG</w:t>
      </w:r>
      <w:r w:rsidRPr="00EF65AE">
        <w:t>. It assesses the quality and effectiveness of Australian contributions to learning on EVAWG</w:t>
      </w:r>
      <w:r w:rsidR="009B0986">
        <w:t>,</w:t>
      </w:r>
      <w:r w:rsidRPr="00EF65AE">
        <w:t xml:space="preserve"> including</w:t>
      </w:r>
      <w:r w:rsidR="009B0986">
        <w:t xml:space="preserve"> through</w:t>
      </w:r>
      <w:r w:rsidRPr="00EF65AE">
        <w:t xml:space="preserve"> research, program </w:t>
      </w:r>
      <w:r w:rsidR="00506017">
        <w:t>M&amp;E</w:t>
      </w:r>
      <w:r w:rsidRPr="00EF65AE">
        <w:t>, and sharing and using evidence to improve action.</w:t>
      </w:r>
      <w:bookmarkEnd w:id="307"/>
      <w:r w:rsidRPr="00EF65AE">
        <w:t xml:space="preserve"> It finds selected good</w:t>
      </w:r>
      <w:r w:rsidR="003C0F97">
        <w:t>-</w:t>
      </w:r>
      <w:r w:rsidRPr="00EF65AE">
        <w:t xml:space="preserve">quality evidence and research on EVAWG that aligns with international </w:t>
      </w:r>
      <w:r w:rsidR="00E20CBF">
        <w:t>best</w:t>
      </w:r>
      <w:r w:rsidR="00E20CBF" w:rsidRPr="00EF65AE">
        <w:t xml:space="preserve"> </w:t>
      </w:r>
      <w:r w:rsidRPr="00EF65AE">
        <w:t>practice. However, Australia has generally not kept pace with improvements on EVAWG evidence internationally.</w:t>
      </w:r>
    </w:p>
    <w:p w14:paraId="17D190E0" w14:textId="51CD587D" w:rsidR="00EF65AE" w:rsidRPr="00EF65AE" w:rsidRDefault="004A793A" w:rsidP="00C47C7B">
      <w:pPr>
        <w:pStyle w:val="Heading2"/>
      </w:pPr>
      <w:bookmarkStart w:id="308" w:name="_Toc14959612"/>
      <w:bookmarkStart w:id="309" w:name="_Toc15378138"/>
      <w:bookmarkStart w:id="310" w:name="_Toc15378487"/>
      <w:bookmarkStart w:id="311" w:name="_Toc15563017"/>
      <w:bookmarkStart w:id="312" w:name="_Toc23434553"/>
      <w:r w:rsidRPr="00EF65AE">
        <w:t>The situation in 2008</w:t>
      </w:r>
      <w:bookmarkEnd w:id="308"/>
      <w:bookmarkEnd w:id="309"/>
      <w:bookmarkEnd w:id="310"/>
      <w:bookmarkEnd w:id="311"/>
      <w:bookmarkEnd w:id="312"/>
    </w:p>
    <w:p w14:paraId="5DAF91ED" w14:textId="3B9910F7" w:rsidR="00EF65AE" w:rsidRPr="00EF65AE" w:rsidRDefault="00EF65AE" w:rsidP="00EF65AE">
      <w:pPr>
        <w:rPr>
          <w:rFonts w:cs="Arial"/>
        </w:rPr>
      </w:pPr>
      <w:r w:rsidRPr="00EF65AE">
        <w:rPr>
          <w:rFonts w:cs="Arial"/>
        </w:rPr>
        <w:t>In 2008</w:t>
      </w:r>
      <w:r w:rsidR="0083695F">
        <w:rPr>
          <w:rFonts w:cs="Arial"/>
        </w:rPr>
        <w:t>,</w:t>
      </w:r>
      <w:r w:rsidRPr="00EF65AE">
        <w:rPr>
          <w:rFonts w:cs="Arial"/>
        </w:rPr>
        <w:t xml:space="preserve"> there were no population-based surveys on VAWG in the Pacific region and only a handful carried out in Asia. The 2008 ODE evaluation found little quantitative evidence on violence against women in Melanesia and Timor</w:t>
      </w:r>
      <w:r w:rsidR="003C0F97">
        <w:rPr>
          <w:rFonts w:cs="Arial"/>
        </w:rPr>
        <w:t>-Leste</w:t>
      </w:r>
      <w:r w:rsidRPr="00EF65AE">
        <w:rPr>
          <w:rFonts w:cs="Arial"/>
        </w:rPr>
        <w:t xml:space="preserve">, with few published studies and a lack of quantitative research. Studies in </w:t>
      </w:r>
      <w:r w:rsidR="003C0F97">
        <w:rPr>
          <w:rFonts w:cs="Arial"/>
        </w:rPr>
        <w:t xml:space="preserve">Fiji, </w:t>
      </w:r>
      <w:r w:rsidRPr="00EF65AE">
        <w:rPr>
          <w:rFonts w:cs="Arial"/>
        </w:rPr>
        <w:t>P</w:t>
      </w:r>
      <w:r w:rsidR="003C0F97">
        <w:rPr>
          <w:rFonts w:cs="Arial"/>
        </w:rPr>
        <w:t>NG and</w:t>
      </w:r>
      <w:r w:rsidRPr="00EF65AE">
        <w:rPr>
          <w:rFonts w:cs="Arial"/>
        </w:rPr>
        <w:t xml:space="preserve"> Timor</w:t>
      </w:r>
      <w:r w:rsidR="003C0F97">
        <w:rPr>
          <w:rFonts w:cs="Arial"/>
        </w:rPr>
        <w:t>-Leste</w:t>
      </w:r>
      <w:r w:rsidRPr="00EF65AE">
        <w:rPr>
          <w:rFonts w:cs="Arial"/>
        </w:rPr>
        <w:t xml:space="preserve"> used different methodologies and definitions, which made comparisons difficult. In 2008, there were also very few evaluations</w:t>
      </w:r>
      <w:r w:rsidR="00795A13">
        <w:rPr>
          <w:rFonts w:cs="Arial"/>
        </w:rPr>
        <w:t xml:space="preserve">, </w:t>
      </w:r>
      <w:r w:rsidRPr="00EF65AE">
        <w:rPr>
          <w:rFonts w:cs="Arial"/>
        </w:rPr>
        <w:t>or even documentation</w:t>
      </w:r>
      <w:r w:rsidR="00795A13">
        <w:rPr>
          <w:rFonts w:cs="Arial"/>
        </w:rPr>
        <w:t xml:space="preserve">, </w:t>
      </w:r>
      <w:r w:rsidRPr="00EF65AE">
        <w:rPr>
          <w:rFonts w:cs="Arial"/>
        </w:rPr>
        <w:t>on Australia’s EVAWG assistance, as activities were included in regional or larger bilateral programs.</w:t>
      </w:r>
    </w:p>
    <w:p w14:paraId="337E25E9" w14:textId="7389023D" w:rsidR="00EF65AE" w:rsidRPr="00EF65AE" w:rsidRDefault="004A793A" w:rsidP="00C47C7B">
      <w:pPr>
        <w:pStyle w:val="Heading2"/>
      </w:pPr>
      <w:bookmarkStart w:id="313" w:name="_Toc14959613"/>
      <w:bookmarkStart w:id="314" w:name="_Toc15378139"/>
      <w:bookmarkStart w:id="315" w:name="_Toc15378488"/>
      <w:bookmarkStart w:id="316" w:name="_Toc15563018"/>
      <w:bookmarkStart w:id="317" w:name="_Toc23434554"/>
      <w:r w:rsidRPr="00EF65AE">
        <w:t>Progress to date</w:t>
      </w:r>
      <w:bookmarkEnd w:id="313"/>
      <w:bookmarkEnd w:id="314"/>
      <w:bookmarkEnd w:id="315"/>
      <w:bookmarkEnd w:id="316"/>
      <w:bookmarkEnd w:id="317"/>
    </w:p>
    <w:p w14:paraId="09813C4E" w14:textId="77777777" w:rsidR="00EF65AE" w:rsidRPr="00EF65AE" w:rsidRDefault="00EF65AE" w:rsidP="00C47C7B">
      <w:pPr>
        <w:pStyle w:val="Heading3NoTOC"/>
      </w:pPr>
      <w:r w:rsidRPr="00EF65AE">
        <w:t xml:space="preserve">Prevalence studies </w:t>
      </w:r>
    </w:p>
    <w:p w14:paraId="3DF33BF3" w14:textId="77777777" w:rsidR="0083695F" w:rsidRDefault="00EF65AE" w:rsidP="00EF65AE">
      <w:pPr>
        <w:rPr>
          <w:rFonts w:cs="Arial"/>
        </w:rPr>
      </w:pPr>
      <w:r w:rsidRPr="00EF65AE">
        <w:rPr>
          <w:rFonts w:cs="Arial"/>
        </w:rPr>
        <w:t>The global evidence base on the prevalence and patterns of VAWG has expanded significantly in the last decade. As of 2017, at least 30 countries in Asia and the Pacific had undertaken national or subnational prevalence studies on VAWG. Australia has supported 12 of these</w:t>
      </w:r>
      <w:r w:rsidR="0083695F">
        <w:rPr>
          <w:rFonts w:cs="Arial"/>
        </w:rPr>
        <w:t>:</w:t>
      </w:r>
    </w:p>
    <w:p w14:paraId="374FBB49" w14:textId="77777777" w:rsidR="0083695F" w:rsidRDefault="00EF65AE" w:rsidP="0083695F">
      <w:pPr>
        <w:pStyle w:val="ListBullet"/>
      </w:pPr>
      <w:r w:rsidRPr="00EF65AE">
        <w:t>Timor-Leste</w:t>
      </w:r>
    </w:p>
    <w:p w14:paraId="08D0A97A" w14:textId="77777777" w:rsidR="0083695F" w:rsidRDefault="00EF65AE" w:rsidP="0083695F">
      <w:pPr>
        <w:pStyle w:val="ListBullet"/>
      </w:pPr>
      <w:r w:rsidRPr="00EF65AE">
        <w:t>Cambodia</w:t>
      </w:r>
    </w:p>
    <w:p w14:paraId="48026B83" w14:textId="77777777" w:rsidR="0083695F" w:rsidRDefault="00EF65AE" w:rsidP="0083695F">
      <w:pPr>
        <w:pStyle w:val="ListBullet"/>
      </w:pPr>
      <w:r w:rsidRPr="00EF65AE">
        <w:t>Solomon Islands</w:t>
      </w:r>
    </w:p>
    <w:p w14:paraId="1FE3514A" w14:textId="77777777" w:rsidR="0083695F" w:rsidRDefault="00EF65AE" w:rsidP="0083695F">
      <w:pPr>
        <w:pStyle w:val="ListBullet"/>
      </w:pPr>
      <w:r w:rsidRPr="00EF65AE">
        <w:t>Vanuatu</w:t>
      </w:r>
    </w:p>
    <w:p w14:paraId="6EB24F68" w14:textId="77777777" w:rsidR="0083695F" w:rsidRDefault="00EF65AE" w:rsidP="0083695F">
      <w:pPr>
        <w:pStyle w:val="ListBullet"/>
      </w:pPr>
      <w:r w:rsidRPr="00EF65AE">
        <w:t>Fiji</w:t>
      </w:r>
    </w:p>
    <w:p w14:paraId="499D4C94" w14:textId="77777777" w:rsidR="0083695F" w:rsidRDefault="00EF65AE" w:rsidP="0083695F">
      <w:pPr>
        <w:pStyle w:val="ListBullet"/>
      </w:pPr>
      <w:r w:rsidRPr="00EF65AE">
        <w:t>Kiribati</w:t>
      </w:r>
    </w:p>
    <w:p w14:paraId="328FB716" w14:textId="77777777" w:rsidR="0083695F" w:rsidRDefault="00EF65AE" w:rsidP="0083695F">
      <w:pPr>
        <w:pStyle w:val="ListBullet"/>
      </w:pPr>
      <w:r w:rsidRPr="00EF65AE">
        <w:t>Tonga</w:t>
      </w:r>
    </w:p>
    <w:p w14:paraId="4E6FA15B" w14:textId="77777777" w:rsidR="0083695F" w:rsidRDefault="00EF65AE" w:rsidP="0083695F">
      <w:pPr>
        <w:pStyle w:val="ListBullet"/>
      </w:pPr>
      <w:r w:rsidRPr="00EF65AE">
        <w:t>Cook Islands</w:t>
      </w:r>
    </w:p>
    <w:p w14:paraId="2B8DFC26" w14:textId="77777777" w:rsidR="0083695F" w:rsidRDefault="00EF65AE" w:rsidP="0083695F">
      <w:pPr>
        <w:pStyle w:val="ListBullet"/>
      </w:pPr>
      <w:r w:rsidRPr="00EF65AE">
        <w:t>Federated States of Micronesia</w:t>
      </w:r>
    </w:p>
    <w:p w14:paraId="010EFA5A" w14:textId="77777777" w:rsidR="0083695F" w:rsidRDefault="00EF65AE" w:rsidP="0083695F">
      <w:pPr>
        <w:pStyle w:val="ListBullet"/>
      </w:pPr>
      <w:r w:rsidRPr="00EF65AE">
        <w:t>Marshall Islands</w:t>
      </w:r>
    </w:p>
    <w:p w14:paraId="36A6F92E" w14:textId="77777777" w:rsidR="0083695F" w:rsidRDefault="00EF65AE" w:rsidP="0083695F">
      <w:pPr>
        <w:pStyle w:val="ListBullet"/>
      </w:pPr>
      <w:r w:rsidRPr="00EF65AE">
        <w:t>Nauru</w:t>
      </w:r>
    </w:p>
    <w:p w14:paraId="3EB2332D" w14:textId="77777777" w:rsidR="0083695F" w:rsidRDefault="00EF65AE" w:rsidP="0083695F">
      <w:pPr>
        <w:pStyle w:val="ListBullet"/>
      </w:pPr>
      <w:r w:rsidRPr="00EF65AE">
        <w:t>Palau.</w:t>
      </w:r>
      <w:r w:rsidRPr="00EF65AE">
        <w:fldChar w:fldCharType="begin"/>
      </w:r>
      <w:r w:rsidRPr="00EF65AE">
        <w:instrText xml:space="preserve"> ADDIN ZOTERO_ITEM CSL_CITATION {"citationID":"zQ2QFXFw","properties":{"formattedCitation":"\\super 18\\nosupersub{}","plainCitation":"18","noteIndex":0},"citationItems":[{"id":2352,"uris":["http://zotero.org/users/4194704/items/LG9Z6FIX"],"uri":["http://zotero.org/users/4194704/items/LG9Z6FIX"],"itemData":{"id":2352,"type":"report","title":"2017 Narrative Report for the UNFPA-DFAT “kNOwVAWdata” initiative: Strengthening Regional and National Capacities to Measure Violence against Women in Asia and the Pacific (2016-2019)","author":[{"literal":"UNFPA"}],"issued":{"date-parts":[["2017"]]}}}],"schema":"https://github.com/citation-style-language/schema/raw/master/csl-citation.json"} </w:instrText>
      </w:r>
      <w:r w:rsidRPr="00EF65AE">
        <w:fldChar w:fldCharType="separate"/>
      </w:r>
      <w:r w:rsidRPr="00EF65AE">
        <w:rPr>
          <w:vertAlign w:val="superscript"/>
          <w:lang w:val="en-US"/>
        </w:rPr>
        <w:t>18</w:t>
      </w:r>
      <w:r w:rsidRPr="00EF65AE">
        <w:fldChar w:fldCharType="end"/>
      </w:r>
      <w:r w:rsidRPr="00EF65AE">
        <w:t xml:space="preserve"> </w:t>
      </w:r>
    </w:p>
    <w:p w14:paraId="55622601" w14:textId="77777777" w:rsidR="00EF65AE" w:rsidRPr="00EF65AE" w:rsidRDefault="00EF65AE" w:rsidP="0083695F">
      <w:r w:rsidRPr="00EF65AE">
        <w:t>Several studies were carried out in partnership with UNFPA and the Secretariat of the Pacific Community (SPC). Others were undertaken directly by Australia’s partners including the</w:t>
      </w:r>
      <w:r w:rsidR="0083695F">
        <w:t xml:space="preserve"> FWCC</w:t>
      </w:r>
      <w:r w:rsidR="008C1AEE">
        <w:t>,</w:t>
      </w:r>
      <w:r w:rsidRPr="00EF65AE">
        <w:t xml:space="preserve"> </w:t>
      </w:r>
      <w:r w:rsidRPr="00EF65AE">
        <w:rPr>
          <w:i/>
        </w:rPr>
        <w:t>Nabilan</w:t>
      </w:r>
      <w:r w:rsidRPr="00EF65AE">
        <w:t xml:space="preserve"> in Timor-Leste</w:t>
      </w:r>
      <w:r w:rsidR="008C1AEE">
        <w:t xml:space="preserve"> and the VWC</w:t>
      </w:r>
      <w:r w:rsidRPr="00EF65AE">
        <w:t>.</w:t>
      </w:r>
      <w:r w:rsidRPr="00EF65AE">
        <w:fldChar w:fldCharType="begin"/>
      </w:r>
      <w:r w:rsidRPr="00EF65AE">
        <w:instrText xml:space="preserve"> ADDIN ZOTERO_ITEM CSL_CITATION {"citationID":"PrKH73d1","properties":{"formattedCitation":"\\super 20,112,113\\nosupersub{}","plainCitation":"20,112,113","noteIndex":0},"citationItems":[{"id":318,"uris":["http://zotero.org/users/4194704/items/ZFBP3BVU"],"uri":["http://zotero.org/users/4194704/items/ZFBP3BVU"],"itemData":{"id":318,"type":"report","title":"Understanding Violence against Women and Children in Timor-Leste: Findings from the Nabilan Baseline Study - Main Report","publisher":"The Asia Foundation","publisher-place":"Dili","event-place":"Dili","author":[{"literal":"The Asia Foundation"}],"issued":{"date-parts":[["2016"]]}}},{"id":2259,"uris":["http://zotero.org/users/4194704/items/V98VYKYF"],"uri":["http://zotero.org/users/4194704/items/V98VYKYF"],"itemData":{"id":2259,"type":"report","title":"Somebody’s Life, Everybody’s Business! National Research on Women’s Health and Life Experiences in Fiji (2010/2011): A survey exploring the prevalence, incidence, and attitudes to intimate partner violence in Fiji","publisher":"Fiji Women’s Crisis Centre","publisher-place":"Suva","event-place":"Suva","URL":"http://evaw-global-database.unwomen.org/-/media/files/un%20women/vaw/vaw%20survey/fiji%20vaw%20survey.pdf","author":[{"family":"Fiji Women’s","given":"Crisis Centre"}],"issued":{"date-parts":[["2013"]]}}},{"id":376,"uris":["http://zotero.org/users/4194704/items/R6W76WCB"],"uri":["http://zotero.org/users/4194704/items/R6W76WCB"],"itemData":{"id":376,"type":"report","title":"Vanuatu National Survey on Women’s Lives and Family Relationships","publisher":"Vanuatu Women’s Centre","publisher-place":"Port Vila","event-place":"Port Vila","author":[{"literal":"Vanuatu Women’s Centre (VWC)"}],"issued":{"date-parts":[["2011"]]}}}],"schema":"https://github.com/citation-style-language/schema/raw/master/csl-citation.json"} </w:instrText>
      </w:r>
      <w:r w:rsidRPr="00EF65AE">
        <w:fldChar w:fldCharType="separate"/>
      </w:r>
      <w:r w:rsidRPr="00EF65AE">
        <w:rPr>
          <w:vertAlign w:val="superscript"/>
          <w:lang w:val="en-US"/>
        </w:rPr>
        <w:t>20,112,113</w:t>
      </w:r>
      <w:r w:rsidRPr="00EF65AE">
        <w:fldChar w:fldCharType="end"/>
      </w:r>
      <w:r w:rsidRPr="00EF65AE">
        <w:t xml:space="preserve"> All Australian-supported studies used the methodology of </w:t>
      </w:r>
      <w:bookmarkStart w:id="318" w:name="_Hlk18571809"/>
      <w:r w:rsidR="003C0F97">
        <w:t>WHO’s</w:t>
      </w:r>
      <w:r w:rsidRPr="00EF65AE">
        <w:t xml:space="preserve"> </w:t>
      </w:r>
      <w:r w:rsidR="005E588E">
        <w:t>m</w:t>
      </w:r>
      <w:r w:rsidRPr="00EF65AE">
        <w:t xml:space="preserve">ulti-country </w:t>
      </w:r>
      <w:r w:rsidR="005E588E">
        <w:t>s</w:t>
      </w:r>
      <w:r w:rsidRPr="00EF65AE">
        <w:t xml:space="preserve">tudy on </w:t>
      </w:r>
      <w:r w:rsidR="005E588E">
        <w:t>w</w:t>
      </w:r>
      <w:r w:rsidRPr="00EF65AE">
        <w:t xml:space="preserve">omen’s </w:t>
      </w:r>
      <w:r w:rsidR="005E588E">
        <w:t>h</w:t>
      </w:r>
      <w:r w:rsidRPr="00EF65AE">
        <w:t xml:space="preserve">ealth and </w:t>
      </w:r>
      <w:r w:rsidR="005E588E">
        <w:t>d</w:t>
      </w:r>
      <w:r w:rsidRPr="00EF65AE">
        <w:t xml:space="preserve">omestic </w:t>
      </w:r>
      <w:r w:rsidR="005E588E">
        <w:t>v</w:t>
      </w:r>
      <w:r w:rsidRPr="00EF65AE">
        <w:t>iolence</w:t>
      </w:r>
      <w:bookmarkEnd w:id="318"/>
      <w:r w:rsidRPr="00EF65AE">
        <w:t>, which is considered best practice.</w:t>
      </w:r>
      <w:r w:rsidRPr="00EF65AE">
        <w:fldChar w:fldCharType="begin"/>
      </w:r>
      <w:r w:rsidRPr="00EF65AE">
        <w:instrText xml:space="preserve"> ADDIN ZOTERO_ITEM CSL_CITATION {"citationID":"bpq768he","properties":{"formattedCitation":"\\super 114\\nosupersub{}","plainCitation":"114","noteIndex":0},"citationItems":[{"id":128,"uris":["http://zotero.org/users/4194704/items/DD8N9PRU"],"uri":["http://zotero.org/users/4194704/items/DD8N9PRU"],"itemData":{"id":128,"type":"report","title":"WHO multi-country study on women's health and domestic violence against women: initial results on prevalence, health outcomes and women's responses","publisher":"World Health Organization (WHO)","publisher-place":"Geneva","event-place":"Geneva","author":[{"family":"García-Moreno","given":"Claudia"},{"literal":"Henrica A. F.M. Jansen"},{"literal":"Mary Ellsberg"},{"literal":"Lori Heise"},{"literal":"Charlotte Watts"}],"issued":{"date-parts":[["2005"]]}}}],"schema":"https://github.com/citation-style-language/schema/raw/master/csl-citation.json"} </w:instrText>
      </w:r>
      <w:r w:rsidRPr="00EF65AE">
        <w:fldChar w:fldCharType="separate"/>
      </w:r>
      <w:r w:rsidRPr="00EF65AE">
        <w:rPr>
          <w:vertAlign w:val="superscript"/>
          <w:lang w:val="en-US"/>
        </w:rPr>
        <w:t>114</w:t>
      </w:r>
      <w:r w:rsidRPr="00EF65AE">
        <w:fldChar w:fldCharType="end"/>
      </w:r>
      <w:r w:rsidRPr="00EF65AE">
        <w:t xml:space="preserve"> </w:t>
      </w:r>
    </w:p>
    <w:p w14:paraId="3158DA58" w14:textId="77777777" w:rsidR="003C0F97" w:rsidRDefault="00EF65AE" w:rsidP="00EF65AE">
      <w:pPr>
        <w:rPr>
          <w:rFonts w:cs="Arial"/>
        </w:rPr>
      </w:pPr>
      <w:r w:rsidRPr="00EF65AE">
        <w:rPr>
          <w:rFonts w:cs="Arial"/>
        </w:rPr>
        <w:t>There is considerable evidence that Australian-supported VAWG prevalence studies have had a significant and tangible impact in</w:t>
      </w:r>
      <w:r w:rsidR="003C0F97">
        <w:rPr>
          <w:rFonts w:cs="Arial"/>
        </w:rPr>
        <w:t>:</w:t>
      </w:r>
    </w:p>
    <w:p w14:paraId="38BD1D9D" w14:textId="77777777" w:rsidR="003C0F97" w:rsidRDefault="00EF65AE" w:rsidP="003C0F97">
      <w:pPr>
        <w:pStyle w:val="ListBullet"/>
      </w:pPr>
      <w:r w:rsidRPr="00EF65AE">
        <w:t>raising awareness about the scale of VAWG</w:t>
      </w:r>
    </w:p>
    <w:p w14:paraId="4A25D9FD" w14:textId="77777777" w:rsidR="003C0F97" w:rsidRDefault="00EF65AE" w:rsidP="003C0F97">
      <w:pPr>
        <w:pStyle w:val="ListBullet"/>
      </w:pPr>
      <w:r w:rsidRPr="00EF65AE">
        <w:t>increasing political leadership</w:t>
      </w:r>
      <w:r w:rsidR="008C1AEE">
        <w:t xml:space="preserve"> of</w:t>
      </w:r>
      <w:r w:rsidRPr="00EF65AE">
        <w:t xml:space="preserve"> and commitment to the issue</w:t>
      </w:r>
    </w:p>
    <w:p w14:paraId="2928A377" w14:textId="77777777" w:rsidR="003C0F97" w:rsidRDefault="00EF65AE" w:rsidP="003C0F97">
      <w:pPr>
        <w:pStyle w:val="ListBullet"/>
      </w:pPr>
      <w:r w:rsidRPr="00EF65AE">
        <w:t>influencing domestic violence legislation and policy</w:t>
      </w:r>
    </w:p>
    <w:p w14:paraId="1713DCEE" w14:textId="77777777" w:rsidR="003C0F97" w:rsidRDefault="00EF65AE" w:rsidP="003C0F97">
      <w:pPr>
        <w:pStyle w:val="ListBullet"/>
      </w:pPr>
      <w:r w:rsidRPr="00EF65AE">
        <w:t xml:space="preserve">increasing the provision of essential services and programs to EVAWG. </w:t>
      </w:r>
    </w:p>
    <w:p w14:paraId="700F61FC" w14:textId="77777777" w:rsidR="00EF65AE" w:rsidRPr="00EF65AE" w:rsidRDefault="003C0F97" w:rsidP="003C0F97">
      <w:r>
        <w:t>The impact</w:t>
      </w:r>
      <w:r w:rsidRPr="00EF65AE">
        <w:t xml:space="preserve"> </w:t>
      </w:r>
      <w:r w:rsidR="00EF65AE" w:rsidRPr="00EF65AE">
        <w:t>was emphasised repeatedly in interviews with the evaluation team:</w:t>
      </w:r>
    </w:p>
    <w:p w14:paraId="192F0459" w14:textId="77777777" w:rsidR="00EF65AE" w:rsidRPr="00597A8C" w:rsidRDefault="00EF65AE" w:rsidP="00A34A53">
      <w:pPr>
        <w:pStyle w:val="IndentQuote"/>
        <w:rPr>
          <w:i w:val="0"/>
          <w:iCs/>
        </w:rPr>
      </w:pPr>
      <w:r w:rsidRPr="00A34A53">
        <w:t xml:space="preserve">The FWCC study on prevalence rates around GBV [gender-based violence] has been a bedrock to offshoot and address other issues and to influence policies and laws. </w:t>
      </w:r>
      <w:r w:rsidR="005F3E62">
        <w:rPr>
          <w:i w:val="0"/>
          <w:iCs/>
        </w:rPr>
        <w:t>–</w:t>
      </w:r>
      <w:r w:rsidRPr="00A34A53">
        <w:t xml:space="preserve"> </w:t>
      </w:r>
      <w:r w:rsidRPr="00597A8C">
        <w:rPr>
          <w:i w:val="0"/>
          <w:iCs/>
        </w:rPr>
        <w:t>Women’s rights advocate, Fiji</w:t>
      </w:r>
    </w:p>
    <w:p w14:paraId="3BC6914A" w14:textId="77777777" w:rsidR="00EF65AE" w:rsidRPr="00A34A53" w:rsidRDefault="00EF65AE" w:rsidP="00A34A53">
      <w:pPr>
        <w:pStyle w:val="IndentQuote"/>
      </w:pPr>
      <w:r w:rsidRPr="00A34A53">
        <w:t xml:space="preserve">Without that [Family Health and Safety Study] survey, I don’t think we would be where we are today. That was a turning point, because it revealed a high prevalence rate in Solomon Islands. </w:t>
      </w:r>
      <w:r w:rsidR="005F3E62">
        <w:rPr>
          <w:i w:val="0"/>
          <w:iCs/>
        </w:rPr>
        <w:t>–</w:t>
      </w:r>
      <w:r w:rsidR="008C1AEE">
        <w:t xml:space="preserve"> </w:t>
      </w:r>
      <w:r w:rsidRPr="00597A8C">
        <w:rPr>
          <w:i w:val="0"/>
          <w:iCs/>
        </w:rPr>
        <w:t>Ministry of Health official, Solomon Islands</w:t>
      </w:r>
    </w:p>
    <w:p w14:paraId="4BC09E3F" w14:textId="7DF454C1" w:rsidR="00EF65AE" w:rsidRPr="00597A8C" w:rsidRDefault="00EF65AE" w:rsidP="00A34A53">
      <w:pPr>
        <w:pStyle w:val="IndentQuote"/>
        <w:rPr>
          <w:i w:val="0"/>
          <w:iCs/>
        </w:rPr>
      </w:pPr>
      <w:r w:rsidRPr="00A34A53">
        <w:t>The [Family Health and Safety Study] has changed totally everything from 2008 to 2013. There was a huge burst in awareness about the issue. After that, there were more programs and organisations taking responsibility to make awareness.</w:t>
      </w:r>
      <w:r w:rsidR="005F3E62">
        <w:rPr>
          <w:i w:val="0"/>
          <w:iCs/>
        </w:rPr>
        <w:t xml:space="preserve"> –</w:t>
      </w:r>
      <w:r w:rsidR="008C1AEE">
        <w:t xml:space="preserve"> </w:t>
      </w:r>
      <w:r w:rsidR="006A6EAC" w:rsidRPr="00CE22E0">
        <w:rPr>
          <w:i w:val="0"/>
        </w:rPr>
        <w:t>Representative of</w:t>
      </w:r>
      <w:r w:rsidR="006A6EAC">
        <w:t xml:space="preserve"> </w:t>
      </w:r>
      <w:r w:rsidR="008B44CA">
        <w:rPr>
          <w:i w:val="0"/>
          <w:iCs/>
        </w:rPr>
        <w:t>s</w:t>
      </w:r>
      <w:r w:rsidRPr="00597A8C">
        <w:rPr>
          <w:i w:val="0"/>
          <w:iCs/>
        </w:rPr>
        <w:t>ervice provider, Solomon Islands</w:t>
      </w:r>
    </w:p>
    <w:p w14:paraId="3783B2F9" w14:textId="3C91E20B" w:rsidR="00EF65AE" w:rsidRPr="00EF65AE" w:rsidRDefault="00EF65AE" w:rsidP="00EF65AE">
      <w:pPr>
        <w:rPr>
          <w:rFonts w:cs="Arial"/>
          <w:highlight w:val="green"/>
        </w:rPr>
      </w:pPr>
      <w:r w:rsidRPr="00EF65AE">
        <w:rPr>
          <w:rFonts w:cs="Arial"/>
        </w:rPr>
        <w:t>Prevalence studies have also provided a strong evidence base to inform the best</w:t>
      </w:r>
      <w:r w:rsidR="003C0F97">
        <w:rPr>
          <w:rFonts w:cs="Arial"/>
        </w:rPr>
        <w:t>-</w:t>
      </w:r>
      <w:r w:rsidRPr="00EF65AE">
        <w:rPr>
          <w:rFonts w:cs="Arial"/>
        </w:rPr>
        <w:t xml:space="preserve">practice design of EVAWG programs. In Timor-Leste, the Australian-funded </w:t>
      </w:r>
      <w:r w:rsidRPr="00EF65AE">
        <w:rPr>
          <w:rFonts w:cs="Arial"/>
          <w:i/>
        </w:rPr>
        <w:t xml:space="preserve">Nabilan </w:t>
      </w:r>
      <w:r w:rsidR="00732479">
        <w:rPr>
          <w:rFonts w:cs="Arial"/>
          <w:iCs/>
        </w:rPr>
        <w:t>p</w:t>
      </w:r>
      <w:r w:rsidRPr="00EF65AE">
        <w:rPr>
          <w:rFonts w:cs="Arial"/>
        </w:rPr>
        <w:t xml:space="preserve">rogram began with a rigorous national prevalence study using </w:t>
      </w:r>
      <w:r w:rsidR="008C1AEE">
        <w:rPr>
          <w:rFonts w:cs="Arial"/>
        </w:rPr>
        <w:t xml:space="preserve">the methodologies of </w:t>
      </w:r>
      <w:r w:rsidRPr="00EF65AE">
        <w:rPr>
          <w:rFonts w:cs="Arial"/>
        </w:rPr>
        <w:t>WHO</w:t>
      </w:r>
      <w:r w:rsidR="003C0F97">
        <w:rPr>
          <w:rFonts w:cs="Arial"/>
        </w:rPr>
        <w:t xml:space="preserve">’s </w:t>
      </w:r>
      <w:r w:rsidR="005E588E">
        <w:rPr>
          <w:rFonts w:cs="Arial"/>
        </w:rPr>
        <w:t>m</w:t>
      </w:r>
      <w:r w:rsidR="003C0F97" w:rsidRPr="00EF65AE">
        <w:rPr>
          <w:rFonts w:cs="Arial"/>
        </w:rPr>
        <w:t xml:space="preserve">ulti-country </w:t>
      </w:r>
      <w:r w:rsidR="005E588E">
        <w:rPr>
          <w:rFonts w:cs="Arial"/>
        </w:rPr>
        <w:t>s</w:t>
      </w:r>
      <w:r w:rsidR="003C0F97" w:rsidRPr="00EF65AE">
        <w:rPr>
          <w:rFonts w:cs="Arial"/>
        </w:rPr>
        <w:t xml:space="preserve">tudy on </w:t>
      </w:r>
      <w:r w:rsidR="005E588E">
        <w:rPr>
          <w:rFonts w:cs="Arial"/>
        </w:rPr>
        <w:t>w</w:t>
      </w:r>
      <w:r w:rsidR="003C0F97" w:rsidRPr="00EF65AE">
        <w:rPr>
          <w:rFonts w:cs="Arial"/>
        </w:rPr>
        <w:t xml:space="preserve">omen’s </w:t>
      </w:r>
      <w:r w:rsidR="005E588E">
        <w:rPr>
          <w:rFonts w:cs="Arial"/>
        </w:rPr>
        <w:t>h</w:t>
      </w:r>
      <w:r w:rsidR="003C0F97" w:rsidRPr="00EF65AE">
        <w:rPr>
          <w:rFonts w:cs="Arial"/>
        </w:rPr>
        <w:t xml:space="preserve">ealth and </w:t>
      </w:r>
      <w:r w:rsidR="005E588E">
        <w:rPr>
          <w:rFonts w:cs="Arial"/>
        </w:rPr>
        <w:t>d</w:t>
      </w:r>
      <w:r w:rsidR="003C0F97" w:rsidRPr="00EF65AE">
        <w:rPr>
          <w:rFonts w:cs="Arial"/>
        </w:rPr>
        <w:t xml:space="preserve">omestic </w:t>
      </w:r>
      <w:r w:rsidR="005E588E">
        <w:rPr>
          <w:rFonts w:cs="Arial"/>
        </w:rPr>
        <w:t>v</w:t>
      </w:r>
      <w:r w:rsidR="003C0F97" w:rsidRPr="00EF65AE">
        <w:rPr>
          <w:rFonts w:cs="Arial"/>
        </w:rPr>
        <w:t>iolence</w:t>
      </w:r>
      <w:r w:rsidRPr="00EF65AE">
        <w:rPr>
          <w:rFonts w:cs="Arial"/>
        </w:rPr>
        <w:t xml:space="preserve"> and the </w:t>
      </w:r>
      <w:bookmarkStart w:id="319" w:name="_Hlk18914952"/>
      <w:r w:rsidR="004A0FA5" w:rsidRPr="00200331">
        <w:t xml:space="preserve">United Nations </w:t>
      </w:r>
      <w:r w:rsidR="004A0FA5" w:rsidRPr="00F12BBB">
        <w:t>Multi-Country Study on Men and Violence in Asia and the Pacific</w:t>
      </w:r>
      <w:bookmarkEnd w:id="319"/>
      <w:r w:rsidRPr="00EF65AE">
        <w:rPr>
          <w:rFonts w:cs="Arial"/>
        </w:rPr>
        <w:t>. Producing such high-quality research was a significant investment but</w:t>
      </w:r>
      <w:r w:rsidR="008C1AEE">
        <w:rPr>
          <w:rFonts w:cs="Arial"/>
        </w:rPr>
        <w:t xml:space="preserve"> it</w:t>
      </w:r>
      <w:r w:rsidRPr="00EF65AE">
        <w:rPr>
          <w:rFonts w:cs="Arial"/>
        </w:rPr>
        <w:t xml:space="preserve"> has paid dividends as an important policy dialogue tool that is highly valued across sectors and stakeholders in Timor-Leste. </w:t>
      </w:r>
      <w:r w:rsidR="004A0FA5">
        <w:rPr>
          <w:rFonts w:cs="Arial"/>
        </w:rPr>
        <w:t>E</w:t>
      </w:r>
      <w:r w:rsidRPr="00EF65AE">
        <w:rPr>
          <w:rFonts w:cs="Arial"/>
        </w:rPr>
        <w:t>vidence</w:t>
      </w:r>
      <w:r w:rsidR="004A0FA5">
        <w:rPr>
          <w:rFonts w:cs="Arial"/>
        </w:rPr>
        <w:t xml:space="preserve"> exists</w:t>
      </w:r>
      <w:r w:rsidR="00284A39">
        <w:rPr>
          <w:rFonts w:cs="Arial"/>
        </w:rPr>
        <w:t xml:space="preserve"> that this research is s</w:t>
      </w:r>
      <w:r w:rsidRPr="00EF65AE">
        <w:rPr>
          <w:rFonts w:cs="Arial"/>
        </w:rPr>
        <w:t xml:space="preserve">een as catalytic. It provided a baseline to measure change against, and the data has directly informed the content of </w:t>
      </w:r>
      <w:bookmarkStart w:id="320" w:name="_Hlk18572195"/>
      <w:r w:rsidR="00D74A07">
        <w:rPr>
          <w:rFonts w:cs="Arial"/>
        </w:rPr>
        <w:br/>
        <w:t>T</w:t>
      </w:r>
      <w:r w:rsidRPr="00EF65AE">
        <w:rPr>
          <w:rFonts w:cs="Arial"/>
        </w:rPr>
        <w:t xml:space="preserve">imor-Leste’s latest </w:t>
      </w:r>
      <w:r w:rsidR="005E588E">
        <w:rPr>
          <w:rFonts w:cs="Arial"/>
        </w:rPr>
        <w:t>n</w:t>
      </w:r>
      <w:r w:rsidRPr="00EF65AE">
        <w:rPr>
          <w:rFonts w:cs="Arial"/>
        </w:rPr>
        <w:t xml:space="preserve">ational </w:t>
      </w:r>
      <w:r w:rsidR="005E588E">
        <w:rPr>
          <w:rFonts w:cs="Arial"/>
        </w:rPr>
        <w:t>a</w:t>
      </w:r>
      <w:r w:rsidRPr="00EF65AE">
        <w:rPr>
          <w:rFonts w:cs="Arial"/>
        </w:rPr>
        <w:t xml:space="preserve">ction </w:t>
      </w:r>
      <w:r w:rsidR="005E588E">
        <w:rPr>
          <w:rFonts w:cs="Arial"/>
        </w:rPr>
        <w:t>p</w:t>
      </w:r>
      <w:r w:rsidRPr="00EF65AE">
        <w:rPr>
          <w:rFonts w:cs="Arial"/>
        </w:rPr>
        <w:t>lan on EVAWG</w:t>
      </w:r>
      <w:bookmarkEnd w:id="320"/>
      <w:r w:rsidRPr="00EF65AE">
        <w:rPr>
          <w:rFonts w:cs="Arial"/>
        </w:rPr>
        <w:t xml:space="preserve">, as well as the design of </w:t>
      </w:r>
      <w:r w:rsidRPr="00EF65AE">
        <w:rPr>
          <w:rFonts w:cs="Arial"/>
          <w:i/>
        </w:rPr>
        <w:t>Nabilan</w:t>
      </w:r>
      <w:r w:rsidR="00B46F5A">
        <w:rPr>
          <w:rFonts w:cs="Arial"/>
        </w:rPr>
        <w:t xml:space="preserve"> </w:t>
      </w:r>
      <w:r w:rsidRPr="00EF65AE">
        <w:rPr>
          <w:rFonts w:cs="Arial"/>
        </w:rPr>
        <w:t>(Box 13).</w:t>
      </w:r>
    </w:p>
    <w:p w14:paraId="5275DD5D" w14:textId="77777777" w:rsidR="00EF65AE" w:rsidRPr="00EF65AE" w:rsidRDefault="00EF65AE" w:rsidP="00EF65AE">
      <w:pPr>
        <w:rPr>
          <w:rFonts w:cs="Arial"/>
        </w:rPr>
      </w:pPr>
      <w:r w:rsidRPr="00EF65AE">
        <w:rPr>
          <w:rFonts w:cs="Arial"/>
        </w:rPr>
        <w:t xml:space="preserve">Australia also funded the UN Multi-Country Study, which collected data on men’s perpetration of </w:t>
      </w:r>
      <w:r w:rsidR="00E96FFE">
        <w:rPr>
          <w:rFonts w:cs="Arial"/>
        </w:rPr>
        <w:t>violence against women</w:t>
      </w:r>
      <w:r w:rsidRPr="00EF65AE">
        <w:rPr>
          <w:rFonts w:cs="Arial"/>
        </w:rPr>
        <w:t xml:space="preserve"> in six countries in the region (Bangladesh, Cambodia, China, Indonesia, Sri Lanka and P</w:t>
      </w:r>
      <w:r w:rsidR="004A0FA5">
        <w:rPr>
          <w:rFonts w:cs="Arial"/>
        </w:rPr>
        <w:t>NG</w:t>
      </w:r>
      <w:r w:rsidRPr="00EF65AE">
        <w:rPr>
          <w:rFonts w:cs="Arial"/>
        </w:rPr>
        <w:t>).</w:t>
      </w:r>
      <w:r w:rsidRPr="00EF65AE">
        <w:rPr>
          <w:rFonts w:cs="Arial"/>
        </w:rPr>
        <w:fldChar w:fldCharType="begin"/>
      </w:r>
      <w:r w:rsidRPr="00EF65AE">
        <w:rPr>
          <w:rFonts w:cs="Arial"/>
        </w:rPr>
        <w:instrText xml:space="preserve"> ADDIN ZOTERO_ITEM CSL_CITATION {"citationID":"KnPEB4zy","properties":{"formattedCitation":"\\super 17\\nosupersub{}","plainCitation":"17","noteIndex":0},"citationItems":[{"id":124,"uris":["http://zotero.org/users/4194704/items/6HLNL2NC"],"uri":["http://zotero.org/users/4194704/items/6HLNL2NC"],"itemData":{"id":124,"type":"book","title":"Why Do Some Men Use Violence Against Women and how Can We Prevent It?: Quantitative Findings from the United Nations Multi-country Study on Men and Violence in Asia and the Pacific","publisher":"UNDP, UNFPA, UN Women and UNV","publisher-place":"Bangkok","event-place":"Bangkok","ISBN":"974-680-360-3","author":[{"family":"Fulu","given":"Emma"},{"family":"Warner","given":"Xian"},{"family":"Miedema","given":"Stephanie"},{"family":"Jewkes","given":"Rachel"},{"family":"Roselli","given":"Tim"},{"family":"Lang","given":"James"}],"issued":{"date-parts":[["2013"]]}}}],"schema":"https://github.com/citation-style-language/schema/raw/master/csl-citation.json"} </w:instrText>
      </w:r>
      <w:r w:rsidRPr="00EF65AE">
        <w:rPr>
          <w:rFonts w:cs="Arial"/>
        </w:rPr>
        <w:fldChar w:fldCharType="separate"/>
      </w:r>
      <w:r w:rsidRPr="00EF65AE">
        <w:rPr>
          <w:rFonts w:cs="Arial"/>
          <w:vertAlign w:val="superscript"/>
          <w:lang w:val="en-US"/>
        </w:rPr>
        <w:t>17</w:t>
      </w:r>
      <w:r w:rsidRPr="00EF65AE">
        <w:rPr>
          <w:rFonts w:cs="Arial"/>
        </w:rPr>
        <w:fldChar w:fldCharType="end"/>
      </w:r>
      <w:r w:rsidRPr="00EF65AE">
        <w:rPr>
          <w:rFonts w:cs="Arial"/>
        </w:rPr>
        <w:t xml:space="preserve"> </w:t>
      </w:r>
      <w:r w:rsidRPr="00EF65AE">
        <w:rPr>
          <w:rFonts w:cs="Arial"/>
          <w:bCs/>
        </w:rPr>
        <w:t xml:space="preserve">The study found that </w:t>
      </w:r>
      <w:r w:rsidRPr="00EF65AE">
        <w:rPr>
          <w:rFonts w:cs="Arial"/>
          <w:shd w:val="clear" w:color="auto" w:fill="FFFFFF"/>
          <w:lang w:val="en-IN"/>
        </w:rPr>
        <w:t xml:space="preserve">nearly </w:t>
      </w:r>
      <w:r w:rsidR="004A0FA5">
        <w:rPr>
          <w:rFonts w:cs="Arial"/>
          <w:shd w:val="clear" w:color="auto" w:fill="FFFFFF"/>
          <w:lang w:val="en-IN"/>
        </w:rPr>
        <w:t>one-</w:t>
      </w:r>
      <w:r w:rsidRPr="00EF65AE">
        <w:rPr>
          <w:rFonts w:cs="Arial"/>
          <w:shd w:val="clear" w:color="auto" w:fill="FFFFFF"/>
          <w:lang w:val="en-IN"/>
        </w:rPr>
        <w:t xml:space="preserve">quarter of men interviewed reported having perpetrated rape against a woman or girl, ranging from 10 per cent to 62 per cent across </w:t>
      </w:r>
      <w:r w:rsidR="00597A8C">
        <w:rPr>
          <w:rFonts w:cs="Arial"/>
          <w:shd w:val="clear" w:color="auto" w:fill="FFFFFF"/>
          <w:lang w:val="en-IN"/>
        </w:rPr>
        <w:t>countries</w:t>
      </w:r>
      <w:r w:rsidRPr="00EF65AE">
        <w:rPr>
          <w:rFonts w:cs="Arial"/>
          <w:shd w:val="clear" w:color="auto" w:fill="FFFFFF"/>
          <w:lang w:val="en-IN"/>
        </w:rPr>
        <w:t>.</w:t>
      </w:r>
      <w:r w:rsidR="004A0FA5">
        <w:rPr>
          <w:rFonts w:cs="Arial"/>
          <w:shd w:val="clear" w:color="auto" w:fill="FFFFFF"/>
          <w:lang w:val="en-IN"/>
        </w:rPr>
        <w:t xml:space="preserve"> </w:t>
      </w:r>
      <w:r w:rsidR="00360F03">
        <w:rPr>
          <w:rFonts w:cs="Arial"/>
          <w:shd w:val="clear" w:color="auto" w:fill="FFFFFF"/>
          <w:lang w:val="en-IN"/>
        </w:rPr>
        <w:t>Most</w:t>
      </w:r>
      <w:r w:rsidRPr="00EF65AE">
        <w:rPr>
          <w:rFonts w:cs="Arial"/>
          <w:shd w:val="clear" w:color="auto" w:fill="FFFFFF"/>
          <w:lang w:val="en-IN"/>
        </w:rPr>
        <w:t xml:space="preserve"> men who committed rape reported they had done so for the first time before the age of 20. </w:t>
      </w:r>
      <w:r w:rsidRPr="00EF65AE">
        <w:rPr>
          <w:rFonts w:cs="Arial"/>
        </w:rPr>
        <w:t xml:space="preserve">The study has been influential in policy and program design over the past few years, highlighting the need to engage with men and boys and address harmful social norms around masculinity to prevent VAWG. </w:t>
      </w:r>
    </w:p>
    <w:p w14:paraId="0EBA09A3" w14:textId="25285AAF" w:rsidR="00EF65AE" w:rsidRPr="00EF65AE" w:rsidRDefault="00EF65AE" w:rsidP="00EF65AE">
      <w:pPr>
        <w:rPr>
          <w:rFonts w:cs="Arial"/>
        </w:rPr>
      </w:pPr>
      <w:r w:rsidRPr="00EF65AE">
        <w:rPr>
          <w:rFonts w:cs="Arial"/>
        </w:rPr>
        <w:t xml:space="preserve">While prevalence studies have been important, there remains insufficient data to understand </w:t>
      </w:r>
      <w:r w:rsidR="00A872DB">
        <w:rPr>
          <w:rFonts w:cs="Arial"/>
        </w:rPr>
        <w:t>if</w:t>
      </w:r>
      <w:r w:rsidR="00A872DB" w:rsidRPr="00EF65AE">
        <w:rPr>
          <w:rFonts w:cs="Arial"/>
        </w:rPr>
        <w:t xml:space="preserve"> </w:t>
      </w:r>
      <w:r w:rsidRPr="00EF65AE">
        <w:rPr>
          <w:rFonts w:cs="Arial"/>
        </w:rPr>
        <w:t xml:space="preserve">violence is increasing, decreasing or staying the same. </w:t>
      </w:r>
      <w:r w:rsidR="00A872DB" w:rsidRPr="00A872DB">
        <w:rPr>
          <w:rFonts w:cs="Arial"/>
        </w:rPr>
        <w:t xml:space="preserve">Data </w:t>
      </w:r>
      <w:r w:rsidRPr="00A872DB">
        <w:rPr>
          <w:rFonts w:cs="Arial"/>
        </w:rPr>
        <w:t>will likely be collected through other surveys</w:t>
      </w:r>
      <w:r w:rsidR="00A872DB">
        <w:rPr>
          <w:rFonts w:cs="Arial"/>
        </w:rPr>
        <w:t xml:space="preserve">. </w:t>
      </w:r>
      <w:r w:rsidRPr="00597A8C">
        <w:rPr>
          <w:rFonts w:cs="Arial"/>
        </w:rPr>
        <w:t>Australian investment in stand-alone prevalence studies is no longer a priority for investment</w:t>
      </w:r>
      <w:r w:rsidRPr="00A872DB">
        <w:rPr>
          <w:rFonts w:cs="Arial"/>
        </w:rPr>
        <w:t xml:space="preserve"> for the region.</w:t>
      </w:r>
      <w:r w:rsidRPr="00EF65AE">
        <w:rPr>
          <w:rFonts w:cs="Arial"/>
        </w:rPr>
        <w:t xml:space="preserve"> That said, it is critical to ensure that new surveys</w:t>
      </w:r>
      <w:r w:rsidR="00A872DB">
        <w:rPr>
          <w:rFonts w:cs="Arial"/>
        </w:rPr>
        <w:t>,</w:t>
      </w:r>
      <w:r w:rsidRPr="00EF65AE">
        <w:rPr>
          <w:rFonts w:cs="Arial"/>
        </w:rPr>
        <w:t xml:space="preserve"> includ</w:t>
      </w:r>
      <w:r w:rsidR="004A0FA5">
        <w:rPr>
          <w:rFonts w:cs="Arial"/>
        </w:rPr>
        <w:t>ing</w:t>
      </w:r>
      <w:r w:rsidRPr="00EF65AE">
        <w:rPr>
          <w:rFonts w:cs="Arial"/>
        </w:rPr>
        <w:t xml:space="preserve"> domestic violence modules</w:t>
      </w:r>
      <w:r w:rsidR="00A872DB">
        <w:rPr>
          <w:rFonts w:cs="Arial"/>
        </w:rPr>
        <w:t>,</w:t>
      </w:r>
      <w:r w:rsidRPr="00EF65AE">
        <w:rPr>
          <w:rFonts w:cs="Arial"/>
        </w:rPr>
        <w:t xml:space="preserve"> follow best practice for safe and ethical data collection and adhere to the </w:t>
      </w:r>
      <w:bookmarkStart w:id="321" w:name="_Hlk18573100"/>
      <w:r w:rsidR="00D74A07">
        <w:rPr>
          <w:rFonts w:cs="Arial"/>
        </w:rPr>
        <w:br/>
      </w:r>
      <w:r w:rsidRPr="00EF65AE">
        <w:rPr>
          <w:rFonts w:cs="Arial"/>
        </w:rPr>
        <w:t>WHO Safety and Ethical Guidelines</w:t>
      </w:r>
      <w:bookmarkEnd w:id="321"/>
      <w:r w:rsidRPr="00EF65AE">
        <w:rPr>
          <w:rFonts w:cs="Arial"/>
        </w:rPr>
        <w:t>.</w:t>
      </w:r>
    </w:p>
    <w:p w14:paraId="12106552" w14:textId="77777777" w:rsidR="00EF65AE" w:rsidRPr="00EF65AE" w:rsidRDefault="00EF65AE" w:rsidP="00C47C7B">
      <w:pPr>
        <w:pStyle w:val="Heading3NoTOC"/>
      </w:pPr>
      <w:r w:rsidRPr="00EF65AE">
        <w:t>Data collection and research</w:t>
      </w:r>
    </w:p>
    <w:p w14:paraId="1A0BA99F" w14:textId="31C8855E" w:rsidR="00EF65AE" w:rsidRPr="00EF65AE" w:rsidRDefault="00EF65AE" w:rsidP="00EF65AE">
      <w:pPr>
        <w:rPr>
          <w:rFonts w:cs="Arial"/>
          <w:spacing w:val="-2"/>
        </w:rPr>
      </w:pPr>
      <w:r w:rsidRPr="00EF65AE">
        <w:rPr>
          <w:rFonts w:cs="Arial"/>
        </w:rPr>
        <w:t>Australia has made significant contributions to capacity building for national statistic</w:t>
      </w:r>
      <w:r w:rsidR="00075611">
        <w:rPr>
          <w:rFonts w:cs="Arial"/>
        </w:rPr>
        <w:t>al</w:t>
      </w:r>
      <w:r w:rsidRPr="00EF65AE">
        <w:rPr>
          <w:rFonts w:cs="Arial"/>
        </w:rPr>
        <w:t xml:space="preserve"> offices and research organisations in </w:t>
      </w:r>
      <w:r w:rsidR="006F77CC">
        <w:rPr>
          <w:rFonts w:cs="Arial"/>
        </w:rPr>
        <w:t>the Indo-Pacific</w:t>
      </w:r>
      <w:r w:rsidRPr="00EF65AE">
        <w:rPr>
          <w:rFonts w:cs="Arial"/>
        </w:rPr>
        <w:t xml:space="preserve"> on how to </w:t>
      </w:r>
      <w:r w:rsidR="00BF07EA">
        <w:rPr>
          <w:rFonts w:cs="Arial"/>
        </w:rPr>
        <w:t>conduct</w:t>
      </w:r>
      <w:r w:rsidR="00BF07EA" w:rsidRPr="00EF65AE">
        <w:rPr>
          <w:rFonts w:cs="Arial"/>
        </w:rPr>
        <w:t xml:space="preserve"> </w:t>
      </w:r>
      <w:r w:rsidRPr="00EF65AE">
        <w:rPr>
          <w:rFonts w:cs="Arial"/>
        </w:rPr>
        <w:t>rigorous and ethical research on VAWG</w:t>
      </w:r>
      <w:r w:rsidR="00BF07EA">
        <w:rPr>
          <w:rFonts w:cs="Arial"/>
        </w:rPr>
        <w:t>. Australia</w:t>
      </w:r>
      <w:r w:rsidRPr="00EF65AE">
        <w:rPr>
          <w:rFonts w:cs="Arial"/>
        </w:rPr>
        <w:t xml:space="preserve"> </w:t>
      </w:r>
      <w:r w:rsidRPr="00EF65AE">
        <w:rPr>
          <w:rFonts w:cs="Arial"/>
          <w:spacing w:val="-2"/>
        </w:rPr>
        <w:t>has</w:t>
      </w:r>
      <w:r w:rsidR="00BF07EA">
        <w:rPr>
          <w:rFonts w:cs="Arial"/>
          <w:spacing w:val="-2"/>
        </w:rPr>
        <w:t xml:space="preserve"> also</w:t>
      </w:r>
      <w:r w:rsidRPr="00EF65AE">
        <w:rPr>
          <w:rFonts w:cs="Arial"/>
          <w:spacing w:val="-2"/>
        </w:rPr>
        <w:t xml:space="preserve"> </w:t>
      </w:r>
      <w:r w:rsidR="004A0FA5">
        <w:rPr>
          <w:rFonts w:cs="Arial"/>
          <w:spacing w:val="-2"/>
        </w:rPr>
        <w:t>contributed</w:t>
      </w:r>
      <w:r w:rsidRPr="00EF65AE">
        <w:rPr>
          <w:rFonts w:cs="Arial"/>
          <w:spacing w:val="-2"/>
        </w:rPr>
        <w:t xml:space="preserve"> to broader capacity for conducting prevalence studies through support for the kNOwVAWdata initiative. Launched in 2016, kNOwVAWdata is a partnership with UNFPA, the University of Melbourne and </w:t>
      </w:r>
      <w:bookmarkStart w:id="322" w:name="_Hlk15963536"/>
      <w:r w:rsidRPr="00EF65AE">
        <w:rPr>
          <w:rFonts w:cs="Arial"/>
          <w:spacing w:val="-2"/>
        </w:rPr>
        <w:t>Australia’s National Research Organisation for Women’s Safety</w:t>
      </w:r>
      <w:r w:rsidR="00BF07EA">
        <w:rPr>
          <w:rFonts w:cs="Arial"/>
          <w:spacing w:val="-2"/>
        </w:rPr>
        <w:t>. It</w:t>
      </w:r>
      <w:bookmarkEnd w:id="322"/>
      <w:r w:rsidRPr="00EF65AE">
        <w:rPr>
          <w:rFonts w:cs="Arial"/>
          <w:spacing w:val="-2"/>
        </w:rPr>
        <w:t xml:space="preserve"> supports VAWG data collection and use in Asia and Pacific island countries, and aims to strengthen regional and national capacity to measure VAWG.</w:t>
      </w:r>
      <w:r w:rsidRPr="00EF65AE">
        <w:rPr>
          <w:rFonts w:cs="Arial"/>
          <w:spacing w:val="-2"/>
        </w:rPr>
        <w:fldChar w:fldCharType="begin"/>
      </w:r>
      <w:r w:rsidRPr="00EF65AE">
        <w:rPr>
          <w:rFonts w:cs="Arial"/>
          <w:spacing w:val="-2"/>
        </w:rPr>
        <w:instrText xml:space="preserve"> ADDIN ZOTERO_ITEM CSL_CITATION {"citationID":"YLnkNqrW","properties":{"formattedCitation":"\\super 18\\nosupersub{}","plainCitation":"18","noteIndex":0},"citationItems":[{"id":2352,"uris":["http://zotero.org/users/4194704/items/LG9Z6FIX"],"uri":["http://zotero.org/users/4194704/items/LG9Z6FIX"],"itemData":{"id":2352,"type":"report","title":"2017 Narrative Report for the UNFPA-DFAT “kNOwVAWdata” initiative: Strengthening Regional and National Capacities to Measure Violence against Women in Asia and the Pacific (2016-2019)","author":[{"literal":"UNFPA"}],"issued":{"date-parts":[["2017"]]}}}],"schema":"https://github.com/citation-style-language/schema/raw/master/csl-citation.json"} </w:instrText>
      </w:r>
      <w:r w:rsidRPr="00EF65AE">
        <w:rPr>
          <w:rFonts w:cs="Arial"/>
          <w:spacing w:val="-2"/>
        </w:rPr>
        <w:fldChar w:fldCharType="separate"/>
      </w:r>
      <w:r w:rsidRPr="00EF65AE">
        <w:rPr>
          <w:rFonts w:cs="Arial"/>
          <w:vertAlign w:val="superscript"/>
          <w:lang w:val="en-US"/>
        </w:rPr>
        <w:t>18</w:t>
      </w:r>
      <w:r w:rsidRPr="00EF65AE">
        <w:rPr>
          <w:rFonts w:cs="Arial"/>
          <w:spacing w:val="-2"/>
        </w:rPr>
        <w:fldChar w:fldCharType="end"/>
      </w:r>
      <w:r w:rsidRPr="00EF65AE">
        <w:rPr>
          <w:rFonts w:cs="Arial"/>
          <w:spacing w:val="-2"/>
        </w:rPr>
        <w:t xml:space="preserve"> This kind of support is vital to improve research on VAWG</w:t>
      </w:r>
      <w:r w:rsidR="004A0FA5">
        <w:rPr>
          <w:rFonts w:cs="Arial"/>
          <w:spacing w:val="-2"/>
        </w:rPr>
        <w:t>,</w:t>
      </w:r>
      <w:r w:rsidRPr="00EF65AE">
        <w:rPr>
          <w:rFonts w:cs="Arial"/>
          <w:spacing w:val="-2"/>
        </w:rPr>
        <w:t xml:space="preserve"> including </w:t>
      </w:r>
      <w:r w:rsidR="00BF07EA">
        <w:rPr>
          <w:rFonts w:cs="Arial"/>
          <w:spacing w:val="-2"/>
        </w:rPr>
        <w:t>the</w:t>
      </w:r>
      <w:r w:rsidR="00BF07EA" w:rsidRPr="00EF65AE">
        <w:rPr>
          <w:rFonts w:cs="Arial"/>
          <w:spacing w:val="-2"/>
        </w:rPr>
        <w:t xml:space="preserve"> </w:t>
      </w:r>
      <w:r w:rsidRPr="00EF65AE">
        <w:rPr>
          <w:rFonts w:cs="Arial"/>
          <w:spacing w:val="-2"/>
        </w:rPr>
        <w:t>ability</w:t>
      </w:r>
      <w:r w:rsidR="00BF07EA">
        <w:rPr>
          <w:rFonts w:cs="Arial"/>
          <w:spacing w:val="-2"/>
        </w:rPr>
        <w:t xml:space="preserve"> of countries</w:t>
      </w:r>
      <w:r w:rsidRPr="00EF65AE">
        <w:rPr>
          <w:rFonts w:cs="Arial"/>
          <w:spacing w:val="-2"/>
        </w:rPr>
        <w:t xml:space="preserve"> to report on S</w:t>
      </w:r>
      <w:r w:rsidR="008F43CF">
        <w:rPr>
          <w:rFonts w:cs="Arial"/>
          <w:spacing w:val="-2"/>
        </w:rPr>
        <w:t>ustainable Development Goal</w:t>
      </w:r>
      <w:r w:rsidRPr="00EF65AE">
        <w:rPr>
          <w:rFonts w:cs="Arial"/>
          <w:spacing w:val="-2"/>
        </w:rPr>
        <w:t xml:space="preserve"> indicators. </w:t>
      </w:r>
    </w:p>
    <w:p w14:paraId="4C770065" w14:textId="77777777" w:rsidR="00EF65AE" w:rsidRPr="00EF65AE" w:rsidRDefault="00EF65AE" w:rsidP="00EF65AE">
      <w:pPr>
        <w:rPr>
          <w:rFonts w:cs="Arial"/>
        </w:rPr>
      </w:pPr>
      <w:r w:rsidRPr="00EF65AE">
        <w:rPr>
          <w:rFonts w:cs="Arial"/>
        </w:rPr>
        <w:t xml:space="preserve">Addressing violence against women with disabilities has been a priority of Australian investment in recent years. Australian support to </w:t>
      </w:r>
      <w:r w:rsidRPr="00174B49">
        <w:rPr>
          <w:rFonts w:cs="Arial"/>
        </w:rPr>
        <w:t xml:space="preserve">the </w:t>
      </w:r>
      <w:bookmarkStart w:id="323" w:name="_Hlk18578699"/>
      <w:r w:rsidRPr="00597A8C">
        <w:rPr>
          <w:rFonts w:cs="Arial"/>
        </w:rPr>
        <w:t>Triple Jeopardy</w:t>
      </w:r>
      <w:r w:rsidRPr="00174B49">
        <w:rPr>
          <w:rFonts w:cs="Arial"/>
        </w:rPr>
        <w:t xml:space="preserve"> s</w:t>
      </w:r>
      <w:r w:rsidRPr="00EF65AE">
        <w:rPr>
          <w:rFonts w:cs="Arial"/>
        </w:rPr>
        <w:t xml:space="preserve">tudy </w:t>
      </w:r>
      <w:bookmarkEnd w:id="323"/>
      <w:r w:rsidRPr="00EF65AE">
        <w:rPr>
          <w:rFonts w:cs="Arial"/>
        </w:rPr>
        <w:t>in Cambodia</w:t>
      </w:r>
      <w:r w:rsidRPr="00EF65AE">
        <w:rPr>
          <w:rFonts w:cs="Arial"/>
        </w:rPr>
        <w:fldChar w:fldCharType="begin"/>
      </w:r>
      <w:r w:rsidRPr="00EF65AE">
        <w:rPr>
          <w:rFonts w:cs="Arial"/>
        </w:rPr>
        <w:instrText xml:space="preserve"> ADDIN ZOTERO_ITEM CSL_CITATION {"citationID":"gdP8ytaG","properties":{"formattedCitation":"\\super 28\\nosupersub{}","plainCitation":"28","noteIndex":0},"citationItems":[{"id":2279,"uris":["http://zotero.org/users/4194704/items/MMPIUMBW"],"uri":["http://zotero.org/users/4194704/items/MMPIUMBW"],"itemData":{"id":2279,"type":"article-journal","title":"Triple Jeopardy: Gender-based violence and human rights violations experienced by women with disabilities in Cambodia","container-title":"AusAID Research Working Paper","volume":"1","URL":"https://www.cbm.org/article/downloads/89816/Triple_Jeopardy_Working_Paper.pdf","author":[{"family":"Astbury","given":"Jill"},{"family":"Walji","given":"Fareen"}],"issued":{"date-parts":[["2013"]]}}}],"schema":"https://github.com/citation-style-language/schema/raw/master/csl-citation.json"} </w:instrText>
      </w:r>
      <w:r w:rsidRPr="00EF65AE">
        <w:rPr>
          <w:rFonts w:cs="Arial"/>
        </w:rPr>
        <w:fldChar w:fldCharType="separate"/>
      </w:r>
      <w:r w:rsidRPr="00EF65AE">
        <w:rPr>
          <w:rFonts w:cs="Arial"/>
          <w:vertAlign w:val="superscript"/>
          <w:lang w:val="en-US"/>
        </w:rPr>
        <w:t>28</w:t>
      </w:r>
      <w:r w:rsidRPr="00EF65AE">
        <w:rPr>
          <w:rFonts w:cs="Arial"/>
        </w:rPr>
        <w:fldChar w:fldCharType="end"/>
      </w:r>
      <w:r w:rsidR="00BF07EA">
        <w:rPr>
          <w:rFonts w:cs="Arial"/>
        </w:rPr>
        <w:t>,</w:t>
      </w:r>
      <w:r w:rsidRPr="00EF65AE">
        <w:rPr>
          <w:rFonts w:cs="Arial"/>
        </w:rPr>
        <w:t xml:space="preserve"> and to the </w:t>
      </w:r>
      <w:r w:rsidRPr="00EF65AE">
        <w:rPr>
          <w:rFonts w:cs="Arial"/>
          <w:i/>
        </w:rPr>
        <w:t xml:space="preserve">Nabilan </w:t>
      </w:r>
      <w:r w:rsidRPr="00EF65AE">
        <w:rPr>
          <w:rFonts w:cs="Arial"/>
        </w:rPr>
        <w:t>baseline study in Timor-Leste</w:t>
      </w:r>
      <w:r w:rsidRPr="00EF65AE">
        <w:rPr>
          <w:rFonts w:cs="Arial"/>
        </w:rPr>
        <w:fldChar w:fldCharType="begin"/>
      </w:r>
      <w:r w:rsidRPr="00EF65AE">
        <w:rPr>
          <w:rFonts w:cs="Arial"/>
        </w:rPr>
        <w:instrText xml:space="preserve"> ADDIN ZOTERO_ITEM CSL_CITATION {"citationID":"E3WELXDY","properties":{"formattedCitation":"\\super 20\\nosupersub{}","plainCitation":"20","noteIndex":0},"citationItems":[{"id":318,"uris":["http://zotero.org/users/4194704/items/ZFBP3BVU"],"uri":["http://zotero.org/users/4194704/items/ZFBP3BVU"],"itemData":{"id":318,"type":"report","title":"Understanding Violence against Women and Children in Timor-Leste: Findings from the Nabilan Baseline Study - Main Report","publisher":"The Asia Foundation","publisher-place":"Dili","event-place":"Dili","author":[{"literal":"The Asia Foundation"}],"issued":{"date-parts":[["2016"]]}}}],"schema":"https://github.com/citation-style-language/schema/raw/master/csl-citation.json"} </w:instrText>
      </w:r>
      <w:r w:rsidRPr="00EF65AE">
        <w:rPr>
          <w:rFonts w:cs="Arial"/>
        </w:rPr>
        <w:fldChar w:fldCharType="separate"/>
      </w:r>
      <w:r w:rsidRPr="00EF65AE">
        <w:rPr>
          <w:rFonts w:cs="Arial"/>
          <w:vertAlign w:val="superscript"/>
          <w:lang w:val="en-US"/>
        </w:rPr>
        <w:t>20</w:t>
      </w:r>
      <w:r w:rsidRPr="00EF65AE">
        <w:rPr>
          <w:rFonts w:cs="Arial"/>
        </w:rPr>
        <w:fldChar w:fldCharType="end"/>
      </w:r>
      <w:r w:rsidRPr="00EF65AE">
        <w:rPr>
          <w:rFonts w:cs="Arial"/>
        </w:rPr>
        <w:t xml:space="preserve">, has contributed to filling the gap in the evidence base on </w:t>
      </w:r>
      <w:r w:rsidR="00F373A8">
        <w:rPr>
          <w:rFonts w:cs="Arial"/>
        </w:rPr>
        <w:t>VAWG</w:t>
      </w:r>
      <w:r w:rsidRPr="00EF65AE">
        <w:rPr>
          <w:rFonts w:cs="Arial"/>
        </w:rPr>
        <w:t xml:space="preserve"> with </w:t>
      </w:r>
      <w:r w:rsidR="00BF07EA">
        <w:rPr>
          <w:rFonts w:cs="Arial"/>
        </w:rPr>
        <w:t xml:space="preserve">disabilities </w:t>
      </w:r>
      <w:r w:rsidRPr="00EF65AE">
        <w:rPr>
          <w:rFonts w:cs="Arial"/>
        </w:rPr>
        <w:t xml:space="preserve">in Asia. </w:t>
      </w:r>
    </w:p>
    <w:p w14:paraId="0C56EF0C" w14:textId="77777777" w:rsidR="00EF65AE" w:rsidRPr="00EF65AE" w:rsidRDefault="00EF65AE" w:rsidP="00EF65AE">
      <w:pPr>
        <w:rPr>
          <w:rFonts w:cs="Arial"/>
        </w:rPr>
      </w:pPr>
      <w:r w:rsidRPr="00EF65AE">
        <w:rPr>
          <w:rFonts w:cs="Arial"/>
        </w:rPr>
        <w:t xml:space="preserve">Australia has also made important contributions to qualitative studies to understand VAWG, including on social norms, sorcery accusation-related violence (Annex 6), and </w:t>
      </w:r>
      <w:bookmarkStart w:id="324" w:name="_Hlk15963606"/>
      <w:r w:rsidRPr="00EF65AE">
        <w:rPr>
          <w:rFonts w:cs="Arial"/>
        </w:rPr>
        <w:t>do</w:t>
      </w:r>
      <w:r w:rsidR="001D0E57">
        <w:rPr>
          <w:rFonts w:cs="Arial"/>
        </w:rPr>
        <w:t>-</w:t>
      </w:r>
      <w:r w:rsidRPr="00EF65AE">
        <w:rPr>
          <w:rFonts w:cs="Arial"/>
        </w:rPr>
        <w:t>no</w:t>
      </w:r>
      <w:r w:rsidR="001D0E57">
        <w:rPr>
          <w:rFonts w:cs="Arial"/>
        </w:rPr>
        <w:t>-</w:t>
      </w:r>
      <w:r w:rsidRPr="00EF65AE">
        <w:rPr>
          <w:rFonts w:cs="Arial"/>
        </w:rPr>
        <w:t xml:space="preserve">harm </w:t>
      </w:r>
      <w:bookmarkEnd w:id="324"/>
      <w:r w:rsidRPr="00EF65AE">
        <w:rPr>
          <w:rFonts w:cs="Arial"/>
        </w:rPr>
        <w:t>approaches to VAWG.</w:t>
      </w:r>
      <w:r w:rsidRPr="00EF65AE">
        <w:rPr>
          <w:rFonts w:cs="Arial"/>
        </w:rPr>
        <w:fldChar w:fldCharType="begin"/>
      </w:r>
      <w:r w:rsidRPr="00EF65AE">
        <w:rPr>
          <w:rFonts w:cs="Arial"/>
        </w:rPr>
        <w:instrText xml:space="preserve"> ADDIN ZOTERO_ITEM CSL_CITATION {"citationID":"fAbX7Snf","properties":{"formattedCitation":"\\super 37,108\\uc0\\u8211{}110\\nosupersub{}","plainCitation":"37,108–110","noteIndex":0},"citationItems":[{"id":"LnUt4Vs6/CMsxilnf","uris":["http://zotero.org/users/local/dqL838ot/items/ICLLU4K2"],"uri":["http://zotero.org/users/local/dqL838ot/items/ICLLU4K2"],"itemData":{"id":"iRMXrjCL/nH6RyDhq","type":"chapter","title":"The spread of sorcery killing and its social implications","container-title":"Talking it Through: Responses to sorcery and witchcraft beliefs and practices in Melanesia","publisher":"ANU Press","publisher-place":"Canberra","event-place":"Canberra","author":[{"family":"Urame","given":"Jack"}],"editor":[{"family":"Forsyth","given":"Miranda"},{"family":"Eves","given":"Richard"}],"issued":{"date-parts":[["2015"]]}}},{"id":463,"uris":["http://zotero.org/users/4194704/items/E6FMY2QS"],"uri":["http://zotero.org/users/4194704/items/E6FMY2QS"],"itemData":{"id":463,"type":"report","title":"Do No Harm Research: Solomon Islands","publisher":"Department of Pacific Affairs at ANU and the International Women's Development Agency","publisher-place":"Canberra","event-place":"Canberra","author":[{"family":"Eves","given":"Richard"},{"family":"Lusby","given":"Stephanie"},{"family":"Araia","given":"Thomas"},{"family":"Maeni","given":"Mary-Fay"},{"family":"Martin","given":"Rose"}],"issued":{"date-parts":[["2018"]]}}},{"id":2498,"uris":["http://zotero.org/users/4194704/items/ICX8CW8M"],"uri":["http://zotero.org/users/4194704/items/ICX8CW8M"],"itemData":{"id":2498,"type":"report","title":"Do No Harm Research: Bougainville","publisher":"Department of Pacific Affairs","publisher-place":"Canberra ACT","event-place":"Canberra ACT","author":[{"family":"Eves","given":"Richard"},{"family":"Kouro","given":"Genevieve"},{"family":"Simiha","given":"Steven"},{"family":"Subalik","given":"Irene"}],"issued":{"date-parts":[["2018"]]}}},{"id":464,"uris":["http://zotero.org/users/4194704/items/ZXXMS6UL"],"uri":["http://zotero.org/users/4194704/items/ZXXMS6UL"],"itemData":{"id":464,"type":"report","title":"Do No Harm Research: Papua New Guinea","publisher":"Department of Pacific Affairs at ANU and the International Women's Development Agency","publisher-place":"Canberra","event-place":"Canberra","author":[{"family":"Eves","given":"Richard"},{"family":"Kouro","given":"Genevieve"},{"family":"Simiha","given":"Steven"},{"family":"Subalik","given":"Irene"}],"issued":{"date-parts":[["2018"]]}}}],"schema":"https://github.com/citation-style-language/schema/raw/master/csl-citation.json"} </w:instrText>
      </w:r>
      <w:r w:rsidRPr="00EF65AE">
        <w:rPr>
          <w:rFonts w:cs="Arial"/>
        </w:rPr>
        <w:fldChar w:fldCharType="separate"/>
      </w:r>
      <w:r w:rsidRPr="00EF65AE">
        <w:rPr>
          <w:rFonts w:cs="Arial"/>
          <w:vertAlign w:val="superscript"/>
          <w:lang w:val="en-US"/>
        </w:rPr>
        <w:t>37,108–110</w:t>
      </w:r>
      <w:r w:rsidRPr="00EF65AE">
        <w:rPr>
          <w:rFonts w:cs="Arial"/>
        </w:rPr>
        <w:fldChar w:fldCharType="end"/>
      </w:r>
      <w:r w:rsidRPr="00EF65AE">
        <w:rPr>
          <w:rFonts w:cs="Arial"/>
        </w:rPr>
        <w:t xml:space="preserve"> Many of these</w:t>
      </w:r>
      <w:r w:rsidR="00BF07EA">
        <w:rPr>
          <w:rFonts w:cs="Arial"/>
        </w:rPr>
        <w:t xml:space="preserve"> studies</w:t>
      </w:r>
      <w:r w:rsidRPr="00EF65AE">
        <w:rPr>
          <w:rFonts w:cs="Arial"/>
        </w:rPr>
        <w:t xml:space="preserve"> have made significant contributions to global and local evidence. For example, </w:t>
      </w:r>
      <w:r w:rsidR="004A0FA5">
        <w:rPr>
          <w:rFonts w:cs="Arial"/>
        </w:rPr>
        <w:t>d</w:t>
      </w:r>
      <w:r w:rsidRPr="00EF65AE">
        <w:rPr>
          <w:rFonts w:cs="Arial"/>
        </w:rPr>
        <w:t>o</w:t>
      </w:r>
      <w:r w:rsidR="001D0E57">
        <w:rPr>
          <w:rFonts w:cs="Arial"/>
        </w:rPr>
        <w:t>-</w:t>
      </w:r>
      <w:r w:rsidR="004A0FA5">
        <w:rPr>
          <w:rFonts w:cs="Arial"/>
        </w:rPr>
        <w:t>n</w:t>
      </w:r>
      <w:r w:rsidRPr="00EF65AE">
        <w:rPr>
          <w:rFonts w:cs="Arial"/>
        </w:rPr>
        <w:t>o</w:t>
      </w:r>
      <w:r w:rsidR="001D0E57">
        <w:rPr>
          <w:rFonts w:cs="Arial"/>
        </w:rPr>
        <w:t>-</w:t>
      </w:r>
      <w:r w:rsidR="004A0FA5">
        <w:rPr>
          <w:rFonts w:cs="Arial"/>
        </w:rPr>
        <w:t>h</w:t>
      </w:r>
      <w:r w:rsidRPr="00EF65AE">
        <w:rPr>
          <w:rFonts w:cs="Arial"/>
        </w:rPr>
        <w:t>arm research conducted in P</w:t>
      </w:r>
      <w:r w:rsidR="004A0FA5">
        <w:rPr>
          <w:rFonts w:cs="Arial"/>
        </w:rPr>
        <w:t>NG</w:t>
      </w:r>
      <w:r w:rsidRPr="00EF65AE">
        <w:rPr>
          <w:rFonts w:cs="Arial"/>
        </w:rPr>
        <w:t xml:space="preserve"> and Solomon Islands was the first of its kind in the Pacific</w:t>
      </w:r>
      <w:r w:rsidR="004A0FA5">
        <w:rPr>
          <w:rFonts w:cs="Arial"/>
        </w:rPr>
        <w:t>. It</w:t>
      </w:r>
      <w:r w:rsidRPr="00EF65AE">
        <w:rPr>
          <w:rFonts w:cs="Arial"/>
        </w:rPr>
        <w:t xml:space="preserve"> found that participating in economic empowerment programs </w:t>
      </w:r>
      <w:r w:rsidR="008C626D">
        <w:rPr>
          <w:rFonts w:cs="Arial"/>
        </w:rPr>
        <w:t>may lead to</w:t>
      </w:r>
      <w:r w:rsidRPr="00EF65AE">
        <w:rPr>
          <w:rFonts w:cs="Arial"/>
        </w:rPr>
        <w:t xml:space="preserve"> increased risk or experience of violence. The research provided advice on ensuring the effectiveness of programs and taking do</w:t>
      </w:r>
      <w:r w:rsidR="001D0E57">
        <w:rPr>
          <w:rFonts w:cs="Arial"/>
        </w:rPr>
        <w:t>-</w:t>
      </w:r>
      <w:r w:rsidRPr="00EF65AE">
        <w:rPr>
          <w:rFonts w:cs="Arial"/>
        </w:rPr>
        <w:t>no</w:t>
      </w:r>
      <w:r w:rsidR="001D0E57">
        <w:rPr>
          <w:rFonts w:cs="Arial"/>
        </w:rPr>
        <w:t>-</w:t>
      </w:r>
      <w:r w:rsidRPr="00EF65AE">
        <w:rPr>
          <w:rFonts w:cs="Arial"/>
        </w:rPr>
        <w:t>harm approaches to women’s economic empowerment initiatives, directly informing Australian-</w:t>
      </w:r>
      <w:r w:rsidR="00921D5D">
        <w:rPr>
          <w:rFonts w:cs="Arial"/>
        </w:rPr>
        <w:t>supported EVAWG programs (Box 19</w:t>
      </w:r>
      <w:r w:rsidRPr="00EF65AE">
        <w:rPr>
          <w:rFonts w:cs="Arial"/>
        </w:rPr>
        <w:t>).</w:t>
      </w:r>
      <w:r w:rsidRPr="00EF65AE">
        <w:rPr>
          <w:rFonts w:cs="Arial"/>
          <w:highlight w:val="yellow"/>
        </w:rPr>
        <w:fldChar w:fldCharType="begin"/>
      </w:r>
      <w:r w:rsidRPr="00EF65AE">
        <w:rPr>
          <w:rFonts w:cs="Arial"/>
          <w:highlight w:val="yellow"/>
        </w:rPr>
        <w:instrText xml:space="preserve"> ADDIN ZOTERO_ITEM CSL_CITATION {"citationID":"nuSgVz2q","properties":{"formattedCitation":"\\super 108\\uc0\\u8211{}110\\nosupersub{}","plainCitation":"108–110","noteIndex":0},"citationItems":[{"id":463,"uris":["http://zotero.org/users/4194704/items/E6FMY2QS"],"uri":["http://zotero.org/users/4194704/items/E6FMY2QS"],"itemData":{"id":463,"type":"report","title":"Do No Harm Research: Solomon Islands","publisher":"Department of Pacific Affairs at ANU and the International Women's Development Agency","publisher-place":"Canberra","event-place":"Canberra","author":[{"family":"Eves","given":"Richard"},{"family":"Lusby","given":"Stephanie"},{"family":"Araia","given":"Thomas"},{"family":"Maeni","given":"Mary-Fay"},{"family":"Martin","given":"Rose"}],"issued":{"date-parts":[["2018"]]}}},{"id":2498,"uris":["http://zotero.org/users/4194704/items/ICX8CW8M"],"uri":["http://zotero.org/users/4194704/items/ICX8CW8M"],"itemData":{"id":2498,"type":"report","title":"Do No Harm Research: Bougainville","publisher":"Department of Pacific Affairs","publisher-place":"Canberra ACT","event-place":"Canberra ACT","author":[{"family":"Eves","given":"Richard"},{"family":"Kouro","given":"Genevieve"},{"family":"Simiha","given":"Steven"},{"family":"Subalik","given":"Irene"}],"issued":{"date-parts":[["2018"]]}}},{"id":464,"uris":["http://zotero.org/users/4194704/items/ZXXMS6UL"],"uri":["http://zotero.org/users/4194704/items/ZXXMS6UL"],"itemData":{"id":464,"type":"report","title":"Do No Harm Research: Papua New Guinea","publisher":"Department of Pacific Affairs at ANU and the International Women's Development Agency","publisher-place":"Canberra","event-place":"Canberra","author":[{"family":"Eves","given":"Richard"},{"family":"Kouro","given":"Genevieve"},{"family":"Simiha","given":"Steven"},{"family":"Subalik","given":"Irene"}],"issued":{"date-parts":[["2018"]]}}}],"schema":"https://github.com/citation-style-language/schema/raw/master/csl-citation.json"} </w:instrText>
      </w:r>
      <w:r w:rsidRPr="00EF65AE">
        <w:rPr>
          <w:rFonts w:cs="Arial"/>
          <w:highlight w:val="yellow"/>
        </w:rPr>
        <w:fldChar w:fldCharType="separate"/>
      </w:r>
      <w:r w:rsidRPr="00EF65AE">
        <w:rPr>
          <w:rFonts w:cs="Arial"/>
          <w:vertAlign w:val="superscript"/>
          <w:lang w:val="en-US"/>
        </w:rPr>
        <w:t>108–110</w:t>
      </w:r>
      <w:r w:rsidRPr="00EF65AE">
        <w:rPr>
          <w:rFonts w:cs="Arial"/>
          <w:highlight w:val="yellow"/>
        </w:rPr>
        <w:fldChar w:fldCharType="end"/>
      </w:r>
    </w:p>
    <w:p w14:paraId="7E1D565A" w14:textId="1C382169" w:rsidR="004A0FA5" w:rsidRDefault="00EF65AE" w:rsidP="00D54F55">
      <w:pPr>
        <w:rPr>
          <w:rFonts w:cs="Arial"/>
        </w:rPr>
      </w:pPr>
      <w:r w:rsidRPr="00EF65AE">
        <w:rPr>
          <w:rFonts w:cs="Arial"/>
        </w:rPr>
        <w:t>Australian research led by</w:t>
      </w:r>
      <w:r w:rsidR="00BF07EA">
        <w:rPr>
          <w:rFonts w:cs="Arial"/>
        </w:rPr>
        <w:t xml:space="preserve"> the</w:t>
      </w:r>
      <w:r w:rsidRPr="00EF65AE">
        <w:rPr>
          <w:rFonts w:cs="Arial"/>
        </w:rPr>
        <w:t xml:space="preserve"> ANU is specifically supporting the PNG</w:t>
      </w:r>
      <w:r w:rsidR="004A0FA5">
        <w:rPr>
          <w:rFonts w:cs="Arial"/>
        </w:rPr>
        <w:t xml:space="preserve"> Government</w:t>
      </w:r>
      <w:r w:rsidRPr="00EF65AE">
        <w:rPr>
          <w:rFonts w:cs="Arial"/>
        </w:rPr>
        <w:t xml:space="preserve"> to address the Special Rapporteur’s reflection on the need for systematic information available on the numbers of persons accused, persecuted or killed as a result of sorcery accusations. More than </w:t>
      </w:r>
      <w:r w:rsidR="004A0FA5">
        <w:rPr>
          <w:rFonts w:cs="Arial"/>
        </w:rPr>
        <w:t>20</w:t>
      </w:r>
      <w:r w:rsidR="004A0FA5" w:rsidRPr="00EF65AE">
        <w:rPr>
          <w:rFonts w:cs="Arial"/>
        </w:rPr>
        <w:t xml:space="preserve"> </w:t>
      </w:r>
      <w:r w:rsidRPr="00EF65AE">
        <w:rPr>
          <w:rFonts w:cs="Arial"/>
        </w:rPr>
        <w:t>years of media</w:t>
      </w:r>
      <w:r w:rsidR="004A0FA5">
        <w:rPr>
          <w:rFonts w:cs="Arial"/>
        </w:rPr>
        <w:t xml:space="preserve"> records,</w:t>
      </w:r>
      <w:r w:rsidRPr="00EF65AE">
        <w:rPr>
          <w:rFonts w:cs="Arial"/>
        </w:rPr>
        <w:t xml:space="preserve"> court records a</w:t>
      </w:r>
      <w:r w:rsidR="004A0FA5">
        <w:rPr>
          <w:rFonts w:cs="Arial"/>
        </w:rPr>
        <w:t>nd</w:t>
      </w:r>
      <w:r w:rsidRPr="00EF65AE">
        <w:rPr>
          <w:rFonts w:cs="Arial"/>
        </w:rPr>
        <w:t xml:space="preserve"> detailed recording</w:t>
      </w:r>
      <w:r w:rsidR="004A0FA5">
        <w:rPr>
          <w:rFonts w:cs="Arial"/>
        </w:rPr>
        <w:t>s</w:t>
      </w:r>
      <w:r w:rsidRPr="00EF65AE">
        <w:rPr>
          <w:rFonts w:cs="Arial"/>
        </w:rPr>
        <w:t xml:space="preserve"> of 357 </w:t>
      </w:r>
      <w:r w:rsidR="00473C64">
        <w:rPr>
          <w:rFonts w:cs="Arial"/>
        </w:rPr>
        <w:t xml:space="preserve">VAWG </w:t>
      </w:r>
      <w:r w:rsidRPr="00EF65AE">
        <w:rPr>
          <w:rFonts w:cs="Arial"/>
        </w:rPr>
        <w:t>are being analysed. This will provide</w:t>
      </w:r>
      <w:r w:rsidR="004A0FA5">
        <w:rPr>
          <w:rFonts w:cs="Arial"/>
        </w:rPr>
        <w:t xml:space="preserve"> g</w:t>
      </w:r>
      <w:r w:rsidRPr="00EF65AE">
        <w:rPr>
          <w:rFonts w:cs="Arial"/>
        </w:rPr>
        <w:t>overnment</w:t>
      </w:r>
      <w:r w:rsidR="004A0FA5">
        <w:rPr>
          <w:rFonts w:cs="Arial"/>
        </w:rPr>
        <w:t xml:space="preserve"> </w:t>
      </w:r>
      <w:r w:rsidRPr="00EF65AE">
        <w:rPr>
          <w:rFonts w:cs="Arial"/>
        </w:rPr>
        <w:t xml:space="preserve">agencies </w:t>
      </w:r>
      <w:r w:rsidR="004A0FA5">
        <w:rPr>
          <w:rFonts w:cs="Arial"/>
        </w:rPr>
        <w:t>with:</w:t>
      </w:r>
    </w:p>
    <w:p w14:paraId="4686C756" w14:textId="77777777" w:rsidR="004A0FA5" w:rsidRDefault="00EF65AE" w:rsidP="004A0FA5">
      <w:pPr>
        <w:pStyle w:val="ListBullet"/>
      </w:pPr>
      <w:r w:rsidRPr="00EF65AE">
        <w:t>numbers of persons accused</w:t>
      </w:r>
    </w:p>
    <w:p w14:paraId="3B9A05D5" w14:textId="77777777" w:rsidR="004A0FA5" w:rsidRDefault="00EF65AE" w:rsidP="004A0FA5">
      <w:pPr>
        <w:pStyle w:val="ListBullet"/>
      </w:pPr>
      <w:r w:rsidRPr="00EF65AE">
        <w:t>characteristics</w:t>
      </w:r>
      <w:r w:rsidR="00BF07EA">
        <w:t xml:space="preserve"> of the accused</w:t>
      </w:r>
    </w:p>
    <w:p w14:paraId="1EDEA32F" w14:textId="77777777" w:rsidR="004A0FA5" w:rsidRDefault="00EF65AE" w:rsidP="004A0FA5">
      <w:pPr>
        <w:pStyle w:val="ListBullet"/>
      </w:pPr>
      <w:r w:rsidRPr="00EF65AE">
        <w:t>how often (or not) accusations are leading to violence</w:t>
      </w:r>
    </w:p>
    <w:p w14:paraId="5E26FDA4" w14:textId="77777777" w:rsidR="00EF65AE" w:rsidRPr="00D54F55" w:rsidRDefault="00EF65AE" w:rsidP="00284A39">
      <w:pPr>
        <w:pStyle w:val="ListBullet"/>
      </w:pPr>
      <w:r w:rsidRPr="00EF65AE">
        <w:t>how violence is being prevented and by whom</w:t>
      </w:r>
      <w:r w:rsidR="00E2253F">
        <w:t xml:space="preserve">. </w:t>
      </w:r>
    </w:p>
    <w:p w14:paraId="18DD65EE" w14:textId="77777777" w:rsidR="00EF65AE" w:rsidRPr="00EF65AE" w:rsidRDefault="00EF65AE" w:rsidP="00C47C7B">
      <w:pPr>
        <w:pStyle w:val="CallOutHeading"/>
      </w:pPr>
      <w:r w:rsidRPr="00EF65AE">
        <w:t>B</w:t>
      </w:r>
      <w:r w:rsidR="00921D5D">
        <w:t>ox 19</w:t>
      </w:r>
      <w:r w:rsidRPr="00EF65AE">
        <w:t xml:space="preserve">: Lessons on </w:t>
      </w:r>
      <w:r w:rsidR="004B4E9A">
        <w:t>ending violence against women and girls</w:t>
      </w:r>
      <w:r w:rsidRPr="00EF65AE">
        <w:t xml:space="preserve"> from Australian-funded </w:t>
      </w:r>
      <w:r w:rsidR="004A0FA5">
        <w:t>d</w:t>
      </w:r>
      <w:r w:rsidRPr="00EF65AE">
        <w:t>o</w:t>
      </w:r>
      <w:r w:rsidR="001D0E57">
        <w:t>-</w:t>
      </w:r>
      <w:r w:rsidRPr="00EF65AE">
        <w:t>no</w:t>
      </w:r>
      <w:r w:rsidR="001D0E57">
        <w:t>-</w:t>
      </w:r>
      <w:r w:rsidRPr="00EF65AE">
        <w:t>harm research</w:t>
      </w:r>
    </w:p>
    <w:p w14:paraId="009C1DC7" w14:textId="77777777" w:rsidR="00EF65AE" w:rsidRPr="00EF65AE" w:rsidRDefault="00EF65AE" w:rsidP="00EF65AE">
      <w:pPr>
        <w:pStyle w:val="CallOutBody"/>
        <w:rPr>
          <w:rFonts w:cs="Arial"/>
        </w:rPr>
      </w:pPr>
      <w:r w:rsidRPr="00EF65AE">
        <w:rPr>
          <w:rFonts w:cs="Arial"/>
        </w:rPr>
        <w:t xml:space="preserve">With funding </w:t>
      </w:r>
      <w:r w:rsidR="00CC2D81">
        <w:rPr>
          <w:rFonts w:cs="Arial"/>
        </w:rPr>
        <w:t xml:space="preserve">through </w:t>
      </w:r>
      <w:r w:rsidRPr="00EF65AE">
        <w:rPr>
          <w:rFonts w:cs="Arial"/>
        </w:rPr>
        <w:t xml:space="preserve">Pacific Women, DFAT commissioned the </w:t>
      </w:r>
      <w:bookmarkStart w:id="325" w:name="_Hlk18579011"/>
      <w:r w:rsidRPr="00EF65AE">
        <w:rPr>
          <w:rFonts w:cs="Arial"/>
        </w:rPr>
        <w:t xml:space="preserve">State, Society and Governance in Melanesia </w:t>
      </w:r>
      <w:r w:rsidR="0097278F">
        <w:rPr>
          <w:rFonts w:cs="Arial"/>
        </w:rPr>
        <w:t>P</w:t>
      </w:r>
      <w:r w:rsidRPr="00EF65AE">
        <w:rPr>
          <w:rFonts w:cs="Arial"/>
        </w:rPr>
        <w:t>rogram</w:t>
      </w:r>
      <w:bookmarkEnd w:id="325"/>
      <w:r w:rsidR="009E00A3">
        <w:rPr>
          <w:rFonts w:cs="Arial"/>
        </w:rPr>
        <w:t xml:space="preserve"> (</w:t>
      </w:r>
      <w:r w:rsidR="009E00A3" w:rsidRPr="00EF65AE">
        <w:rPr>
          <w:rFonts w:cs="Arial"/>
        </w:rPr>
        <w:t>now called the Department of Political Affairs</w:t>
      </w:r>
      <w:r w:rsidR="009E00A3">
        <w:rPr>
          <w:rFonts w:cs="Arial"/>
        </w:rPr>
        <w:t>)</w:t>
      </w:r>
      <w:r w:rsidRPr="00EF65AE">
        <w:rPr>
          <w:rFonts w:cs="Arial"/>
        </w:rPr>
        <w:t xml:space="preserve"> at the A</w:t>
      </w:r>
      <w:r w:rsidR="004A0FA5">
        <w:rPr>
          <w:rFonts w:cs="Arial"/>
        </w:rPr>
        <w:t>NU</w:t>
      </w:r>
      <w:r w:rsidR="003D2F68">
        <w:rPr>
          <w:rFonts w:cs="Arial"/>
        </w:rPr>
        <w:t xml:space="preserve"> </w:t>
      </w:r>
      <w:r w:rsidRPr="00EF65AE">
        <w:rPr>
          <w:rFonts w:cs="Arial"/>
        </w:rPr>
        <w:t xml:space="preserve">and the International Women's Development Agency to research links between violence against women and women’s economic empowerment. Field research in </w:t>
      </w:r>
      <w:r w:rsidR="003D2F68">
        <w:rPr>
          <w:rFonts w:cs="Arial"/>
        </w:rPr>
        <w:t xml:space="preserve">PNG and </w:t>
      </w:r>
      <w:r w:rsidRPr="00EF65AE">
        <w:rPr>
          <w:rFonts w:cs="Arial"/>
        </w:rPr>
        <w:t>Solomon Islands from 2014 to 2018 involved 485 interviews.</w:t>
      </w:r>
    </w:p>
    <w:p w14:paraId="002F0542" w14:textId="77777777" w:rsidR="00BF07EA" w:rsidRPr="00BF07EA" w:rsidRDefault="00EF65AE" w:rsidP="00AD0639">
      <w:pPr>
        <w:pStyle w:val="CallOutBody"/>
      </w:pPr>
      <w:r w:rsidRPr="00EF65AE">
        <w:rPr>
          <w:rFonts w:cs="Arial"/>
        </w:rPr>
        <w:t xml:space="preserve">Female participants said they valued the opportunity to earn an income and were positive about the benefits. However, they also talked about </w:t>
      </w:r>
      <w:r w:rsidR="00BF07EA">
        <w:rPr>
          <w:rFonts w:cs="Arial"/>
        </w:rPr>
        <w:t xml:space="preserve">the </w:t>
      </w:r>
      <w:r w:rsidRPr="00EF65AE">
        <w:rPr>
          <w:rFonts w:cs="Arial"/>
        </w:rPr>
        <w:t>negative impacts</w:t>
      </w:r>
      <w:r w:rsidR="00BF07EA">
        <w:rPr>
          <w:rFonts w:cs="Arial"/>
        </w:rPr>
        <w:t xml:space="preserve"> of earning an income</w:t>
      </w:r>
      <w:r w:rsidRPr="00EF65AE">
        <w:rPr>
          <w:rFonts w:cs="Arial"/>
        </w:rPr>
        <w:t>, including the burden of extra work</w:t>
      </w:r>
      <w:r w:rsidR="003D2F68">
        <w:rPr>
          <w:rFonts w:cs="Arial"/>
        </w:rPr>
        <w:t>,</w:t>
      </w:r>
      <w:r w:rsidRPr="00EF65AE">
        <w:rPr>
          <w:rFonts w:cs="Arial"/>
        </w:rPr>
        <w:t xml:space="preserve"> difficulties finding childcare</w:t>
      </w:r>
      <w:r w:rsidR="003D2F68">
        <w:rPr>
          <w:rFonts w:cs="Arial"/>
        </w:rPr>
        <w:t>,</w:t>
      </w:r>
      <w:r w:rsidRPr="00EF65AE">
        <w:rPr>
          <w:rFonts w:cs="Arial"/>
        </w:rPr>
        <w:t xml:space="preserve"> problems accessing markets</w:t>
      </w:r>
      <w:r w:rsidR="003D2F68">
        <w:rPr>
          <w:rFonts w:cs="Arial"/>
        </w:rPr>
        <w:t>,</w:t>
      </w:r>
      <w:r w:rsidRPr="00EF65AE">
        <w:rPr>
          <w:rFonts w:cs="Arial"/>
        </w:rPr>
        <w:t xml:space="preserve"> and increased demand from husbands and relatives for money. </w:t>
      </w:r>
    </w:p>
    <w:p w14:paraId="26E95DAA" w14:textId="77777777" w:rsidR="00AD0639" w:rsidRPr="00597A8C" w:rsidRDefault="00EF65AE" w:rsidP="00AD0639">
      <w:pPr>
        <w:pStyle w:val="CallOutBody"/>
        <w:rPr>
          <w:color w:val="auto"/>
        </w:rPr>
      </w:pPr>
      <w:r w:rsidRPr="00EF65AE">
        <w:rPr>
          <w:rFonts w:cs="Arial"/>
        </w:rPr>
        <w:t xml:space="preserve">The research </w:t>
      </w:r>
      <w:r w:rsidR="00BF07EA">
        <w:rPr>
          <w:rFonts w:cs="Arial"/>
        </w:rPr>
        <w:t xml:space="preserve">also </w:t>
      </w:r>
      <w:r w:rsidRPr="00EF65AE">
        <w:rPr>
          <w:rFonts w:cs="Arial"/>
        </w:rPr>
        <w:t xml:space="preserve">found that partners rarely agreed about household expenditure, domestic tasks and discretionary spending, and </w:t>
      </w:r>
      <w:r w:rsidR="00BF07EA">
        <w:rPr>
          <w:rFonts w:cs="Arial"/>
        </w:rPr>
        <w:t xml:space="preserve">that </w:t>
      </w:r>
      <w:r w:rsidRPr="00EF65AE">
        <w:rPr>
          <w:rFonts w:cs="Arial"/>
        </w:rPr>
        <w:t>women’s income often contributed to marital conflict and violence</w:t>
      </w:r>
      <w:r w:rsidRPr="00597A8C">
        <w:rPr>
          <w:rFonts w:cs="Arial"/>
          <w:color w:val="auto"/>
        </w:rPr>
        <w:t xml:space="preserve">. </w:t>
      </w:r>
      <w:r w:rsidR="00BF07EA" w:rsidRPr="00597A8C">
        <w:rPr>
          <w:color w:val="auto"/>
        </w:rPr>
        <w:t>It</w:t>
      </w:r>
      <w:r w:rsidR="00AD0639" w:rsidRPr="00597A8C">
        <w:rPr>
          <w:color w:val="auto"/>
        </w:rPr>
        <w:t xml:space="preserve"> highlights the importance of </w:t>
      </w:r>
      <w:r w:rsidR="00BF07EA" w:rsidRPr="00597A8C">
        <w:rPr>
          <w:color w:val="auto"/>
        </w:rPr>
        <w:t xml:space="preserve">incorporating strategies into </w:t>
      </w:r>
      <w:r w:rsidR="00AD0639" w:rsidRPr="00597A8C">
        <w:rPr>
          <w:color w:val="auto"/>
        </w:rPr>
        <w:t xml:space="preserve">economic empowerment programming </w:t>
      </w:r>
      <w:r w:rsidR="00BF07EA" w:rsidRPr="00597A8C">
        <w:rPr>
          <w:color w:val="auto"/>
        </w:rPr>
        <w:t>which</w:t>
      </w:r>
      <w:r w:rsidR="00AD0639" w:rsidRPr="00597A8C">
        <w:rPr>
          <w:color w:val="auto"/>
        </w:rPr>
        <w:t xml:space="preserve"> challenge gender norms and practices between spouses to achieve real change for women.</w:t>
      </w:r>
    </w:p>
    <w:p w14:paraId="61BB19EF" w14:textId="77777777" w:rsidR="00EF65AE" w:rsidRPr="00EF65AE" w:rsidRDefault="00EF65AE" w:rsidP="007051F9">
      <w:pPr>
        <w:pStyle w:val="Heading3NoTOC"/>
      </w:pPr>
      <w:r w:rsidRPr="00EF65AE">
        <w:t>Administrative data</w:t>
      </w:r>
    </w:p>
    <w:p w14:paraId="61DECBBA" w14:textId="77777777" w:rsidR="00EF65AE" w:rsidRPr="00EF65AE" w:rsidRDefault="00EF65AE" w:rsidP="00EF65AE">
      <w:pPr>
        <w:rPr>
          <w:rFonts w:cs="Arial"/>
        </w:rPr>
      </w:pPr>
      <w:r w:rsidRPr="00EF65AE">
        <w:rPr>
          <w:rFonts w:cs="Arial"/>
        </w:rPr>
        <w:t xml:space="preserve">Among the focus countries, the evaluation team found examples of Australian-supported programs not fully aligned with the important ethical aspects of working in the sensitive area of EVAWG. One area of concern was safe and ethical sharing of sensitive data. Women and girls experiencing violence may be at further risk if confidentiality is not maintained, for example if a perpetrator </w:t>
      </w:r>
      <w:r w:rsidR="00BF07EA">
        <w:rPr>
          <w:rFonts w:cs="Arial"/>
        </w:rPr>
        <w:t>finds out that</w:t>
      </w:r>
      <w:r w:rsidRPr="00EF65AE">
        <w:rPr>
          <w:rFonts w:cs="Arial"/>
        </w:rPr>
        <w:t xml:space="preserve"> they attended a police station or other service provider.</w:t>
      </w:r>
    </w:p>
    <w:p w14:paraId="3B3A799C" w14:textId="2E0FAE0F" w:rsidR="00EF65AE" w:rsidRPr="00EF65AE" w:rsidRDefault="00EF65AE" w:rsidP="00EF65AE">
      <w:pPr>
        <w:rPr>
          <w:rFonts w:cs="Arial"/>
        </w:rPr>
      </w:pPr>
      <w:r w:rsidRPr="00EF65AE">
        <w:rPr>
          <w:rFonts w:cs="Arial"/>
        </w:rPr>
        <w:t>Safe and ethical sharing of sensitive data can be implemented through appropriate information</w:t>
      </w:r>
      <w:r w:rsidR="00BF07EA">
        <w:rPr>
          <w:rFonts w:cs="Arial"/>
        </w:rPr>
        <w:t>-</w:t>
      </w:r>
      <w:r w:rsidRPr="00EF65AE">
        <w:rPr>
          <w:rFonts w:cs="Arial"/>
        </w:rPr>
        <w:t xml:space="preserve">sharing protocols. Here the humanitarian community could provide an example of best practice with the inter-agency </w:t>
      </w:r>
      <w:r w:rsidR="006B7082">
        <w:rPr>
          <w:rFonts w:cs="Arial"/>
        </w:rPr>
        <w:t>g</w:t>
      </w:r>
      <w:r w:rsidR="00506017" w:rsidRPr="00597A8C">
        <w:rPr>
          <w:rFonts w:cs="Arial"/>
        </w:rPr>
        <w:t>ender</w:t>
      </w:r>
      <w:r w:rsidR="006B7082">
        <w:rPr>
          <w:rFonts w:cs="Arial"/>
        </w:rPr>
        <w:t>-b</w:t>
      </w:r>
      <w:r w:rsidR="00506017" w:rsidRPr="00597A8C">
        <w:rPr>
          <w:rFonts w:cs="Arial"/>
        </w:rPr>
        <w:t xml:space="preserve">ased </w:t>
      </w:r>
      <w:r w:rsidR="006B7082">
        <w:rPr>
          <w:rFonts w:cs="Arial"/>
        </w:rPr>
        <w:t>v</w:t>
      </w:r>
      <w:r w:rsidR="00506017" w:rsidRPr="00597A8C">
        <w:rPr>
          <w:rFonts w:cs="Arial"/>
        </w:rPr>
        <w:t>iolence</w:t>
      </w:r>
      <w:r w:rsidRPr="00506017">
        <w:rPr>
          <w:rFonts w:cs="Arial"/>
        </w:rPr>
        <w:t xml:space="preserve"> </w:t>
      </w:r>
      <w:r w:rsidR="006B7082">
        <w:rPr>
          <w:rFonts w:cs="Arial"/>
        </w:rPr>
        <w:t>i</w:t>
      </w:r>
      <w:r w:rsidRPr="00506017">
        <w:rPr>
          <w:rFonts w:cs="Arial"/>
        </w:rPr>
        <w:t xml:space="preserve">nformation </w:t>
      </w:r>
      <w:r w:rsidR="006B7082">
        <w:rPr>
          <w:rFonts w:cs="Arial"/>
        </w:rPr>
        <w:t>m</w:t>
      </w:r>
      <w:r w:rsidRPr="00506017">
        <w:rPr>
          <w:rFonts w:cs="Arial"/>
        </w:rPr>
        <w:t xml:space="preserve">anagement </w:t>
      </w:r>
      <w:r w:rsidR="006B7082">
        <w:rPr>
          <w:rFonts w:cs="Arial"/>
        </w:rPr>
        <w:t>s</w:t>
      </w:r>
      <w:r w:rsidRPr="00506017">
        <w:rPr>
          <w:rFonts w:cs="Arial"/>
        </w:rPr>
        <w:t>ystem</w:t>
      </w:r>
      <w:r w:rsidRPr="00EF65AE">
        <w:rPr>
          <w:rFonts w:cs="Arial"/>
        </w:rPr>
        <w:t xml:space="preserve"> and its </w:t>
      </w:r>
      <w:r w:rsidR="003D2F68" w:rsidRPr="00EF65AE">
        <w:rPr>
          <w:rFonts w:cs="Arial"/>
        </w:rPr>
        <w:t>information</w:t>
      </w:r>
      <w:r w:rsidR="00BF07EA">
        <w:rPr>
          <w:rFonts w:cs="Arial"/>
        </w:rPr>
        <w:t>-</w:t>
      </w:r>
      <w:r w:rsidR="003D2F68" w:rsidRPr="00EF65AE">
        <w:rPr>
          <w:rFonts w:cs="Arial"/>
        </w:rPr>
        <w:t xml:space="preserve">sharing protocols </w:t>
      </w:r>
      <w:r w:rsidRPr="00EF65AE">
        <w:rPr>
          <w:rFonts w:cs="Arial"/>
        </w:rPr>
        <w:t>template. Australia could consider engaging technical specialists to support partners</w:t>
      </w:r>
      <w:r w:rsidR="00795A13">
        <w:rPr>
          <w:rFonts w:cs="Arial"/>
        </w:rPr>
        <w:t xml:space="preserve"> to</w:t>
      </w:r>
      <w:r w:rsidRPr="00EF65AE">
        <w:rPr>
          <w:rFonts w:cs="Arial"/>
        </w:rPr>
        <w:t xml:space="preserve"> implement best practice EVAWG data use and sharing. </w:t>
      </w:r>
    </w:p>
    <w:p w14:paraId="4D5823BF" w14:textId="77777777" w:rsidR="00EF65AE" w:rsidRPr="00EF65AE" w:rsidRDefault="00EF65AE" w:rsidP="007051F9">
      <w:pPr>
        <w:pStyle w:val="Heading3NoTOC"/>
      </w:pPr>
      <w:r w:rsidRPr="00EF65AE">
        <w:t>Evaluations</w:t>
      </w:r>
      <w:r w:rsidR="0090713A">
        <w:t xml:space="preserve"> of Australian EVAWG programs</w:t>
      </w:r>
    </w:p>
    <w:p w14:paraId="49603A91" w14:textId="77777777" w:rsidR="00EF65AE" w:rsidRPr="00EF65AE" w:rsidRDefault="00EF65AE" w:rsidP="00EF65AE">
      <w:pPr>
        <w:rPr>
          <w:rFonts w:cs="Arial"/>
        </w:rPr>
      </w:pPr>
      <w:r w:rsidRPr="00EF65AE">
        <w:rPr>
          <w:rFonts w:cs="Arial"/>
        </w:rPr>
        <w:t>At the time of the 2008 ODE report, very few evaluations</w:t>
      </w:r>
      <w:r w:rsidR="00BF07EA">
        <w:rPr>
          <w:rFonts w:cs="Arial"/>
        </w:rPr>
        <w:t xml:space="preserve"> had been conducted</w:t>
      </w:r>
      <w:r w:rsidRPr="00EF65AE">
        <w:rPr>
          <w:rFonts w:cs="Arial"/>
        </w:rPr>
        <w:t xml:space="preserve"> of Australia’s EVAWG programs, or even document</w:t>
      </w:r>
      <w:r w:rsidR="00BF07EA">
        <w:rPr>
          <w:rFonts w:cs="Arial"/>
        </w:rPr>
        <w:t>ed</w:t>
      </w:r>
      <w:r w:rsidRPr="00EF65AE">
        <w:rPr>
          <w:rFonts w:cs="Arial"/>
        </w:rPr>
        <w:t>, as many activities were included in larger bilateral or regional programs. This evaluation assessed the quality of Australian EVAWG program evaluations over the past decade (Annex 1</w:t>
      </w:r>
      <w:r w:rsidR="00921D5D">
        <w:rPr>
          <w:rFonts w:cs="Arial"/>
        </w:rPr>
        <w:t>—E</w:t>
      </w:r>
      <w:r w:rsidR="00B43E90">
        <w:rPr>
          <w:rFonts w:cs="Arial"/>
        </w:rPr>
        <w:t>valuation</w:t>
      </w:r>
      <w:r w:rsidRPr="00EF65AE">
        <w:rPr>
          <w:rFonts w:cs="Arial"/>
        </w:rPr>
        <w:t xml:space="preserve"> methodology). </w:t>
      </w:r>
      <w:r w:rsidR="00360F03">
        <w:rPr>
          <w:rFonts w:cs="Arial"/>
        </w:rPr>
        <w:t>Most</w:t>
      </w:r>
      <w:r w:rsidRPr="00EF65AE">
        <w:rPr>
          <w:rFonts w:cs="Arial"/>
        </w:rPr>
        <w:t xml:space="preserve"> Australian program evaluations were high quality in describing </w:t>
      </w:r>
      <w:r w:rsidR="003D2F68">
        <w:rPr>
          <w:rFonts w:cs="Arial"/>
        </w:rPr>
        <w:t>their</w:t>
      </w:r>
      <w:r w:rsidR="003D2F68" w:rsidRPr="00EF65AE">
        <w:rPr>
          <w:rFonts w:cs="Arial"/>
        </w:rPr>
        <w:t xml:space="preserve"> </w:t>
      </w:r>
      <w:r w:rsidRPr="00EF65AE">
        <w:rPr>
          <w:rFonts w:cs="Arial"/>
        </w:rPr>
        <w:t>objectives</w:t>
      </w:r>
      <w:r w:rsidR="003D2F68">
        <w:rPr>
          <w:rFonts w:cs="Arial"/>
        </w:rPr>
        <w:t xml:space="preserve"> and</w:t>
      </w:r>
      <w:r w:rsidRPr="00EF65AE">
        <w:rPr>
          <w:rFonts w:cs="Arial"/>
        </w:rPr>
        <w:t xml:space="preserve"> context</w:t>
      </w:r>
      <w:r w:rsidR="003D2F68">
        <w:rPr>
          <w:rFonts w:cs="Arial"/>
        </w:rPr>
        <w:t>. They were also high quality in</w:t>
      </w:r>
      <w:r w:rsidRPr="00EF65AE">
        <w:rPr>
          <w:rFonts w:cs="Arial"/>
        </w:rPr>
        <w:t xml:space="preserve"> responding to evaluation questions and drawing on evidence and M&amp;E data. However, most were less able to select an appropriate methodology and scope, and clearly describe limitations or ethical issues</w:t>
      </w:r>
      <w:r w:rsidR="00E2253F">
        <w:rPr>
          <w:rFonts w:cs="Arial"/>
        </w:rPr>
        <w:t>.</w:t>
      </w:r>
    </w:p>
    <w:p w14:paraId="0BB3A0E6" w14:textId="77777777" w:rsidR="00EF65AE" w:rsidRDefault="00EF65AE" w:rsidP="00EF65AE">
      <w:pPr>
        <w:rPr>
          <w:rFonts w:cs="Arial"/>
        </w:rPr>
      </w:pPr>
      <w:r w:rsidRPr="00D57015">
        <w:rPr>
          <w:rFonts w:cs="Arial"/>
        </w:rPr>
        <w:t>While considerable progress has been made since 2008 in producing relevant evidence for policy and programs</w:t>
      </w:r>
      <w:r w:rsidRPr="00EF65AE">
        <w:rPr>
          <w:rFonts w:cs="Arial"/>
        </w:rPr>
        <w:t xml:space="preserve">, and monitoring and evaluating Australian EVAWG programs, more work is needed to understand </w:t>
      </w:r>
      <w:r w:rsidR="00BF07EA">
        <w:rPr>
          <w:rFonts w:cs="Arial"/>
        </w:rPr>
        <w:t>program</w:t>
      </w:r>
      <w:r w:rsidR="00BF07EA" w:rsidRPr="00EF65AE">
        <w:rPr>
          <w:rFonts w:cs="Arial"/>
        </w:rPr>
        <w:t xml:space="preserve"> </w:t>
      </w:r>
      <w:r w:rsidRPr="00EF65AE">
        <w:rPr>
          <w:rFonts w:cs="Arial"/>
        </w:rPr>
        <w:t xml:space="preserve">effectiveness. To date, M&amp;E efforts </w:t>
      </w:r>
      <w:r w:rsidR="00BF07EA">
        <w:rPr>
          <w:rFonts w:cs="Arial"/>
        </w:rPr>
        <w:t xml:space="preserve">have focused </w:t>
      </w:r>
      <w:r w:rsidRPr="00EF65AE">
        <w:rPr>
          <w:rFonts w:cs="Arial"/>
        </w:rPr>
        <w:t xml:space="preserve">on process and outputs. </w:t>
      </w:r>
      <w:r w:rsidRPr="0090713A">
        <w:rPr>
          <w:rFonts w:cs="Arial"/>
        </w:rPr>
        <w:t>The evaluations reviewed focused largely on process indicators such as whether activities were carried out as planned, rather than whether expected impact</w:t>
      </w:r>
      <w:r w:rsidR="0090713A">
        <w:rPr>
          <w:rFonts w:cs="Arial"/>
        </w:rPr>
        <w:t>s were</w:t>
      </w:r>
      <w:r w:rsidRPr="0090713A">
        <w:rPr>
          <w:rFonts w:cs="Arial"/>
        </w:rPr>
        <w:t xml:space="preserve"> achieved (outputs not outcomes). While process evaluations provided useful and relevant assessments of program advances, a</w:t>
      </w:r>
      <w:r w:rsidR="00D57015" w:rsidRPr="0090713A">
        <w:rPr>
          <w:rFonts w:cs="Arial"/>
        </w:rPr>
        <w:t>nd</w:t>
      </w:r>
      <w:r w:rsidRPr="0090713A">
        <w:rPr>
          <w:rFonts w:cs="Arial"/>
        </w:rPr>
        <w:t xml:space="preserve"> recommendations for future directions, they did not address program effectiveness or impact. Within short to</w:t>
      </w:r>
      <w:r w:rsidRPr="00EF65AE">
        <w:rPr>
          <w:rFonts w:cs="Arial"/>
        </w:rPr>
        <w:t xml:space="preserve"> medium-term program timeframes, the impact may not be reduced prevalence of </w:t>
      </w:r>
      <w:r w:rsidR="00AE4FE4">
        <w:rPr>
          <w:rFonts w:cs="Arial"/>
        </w:rPr>
        <w:t>VAWG</w:t>
      </w:r>
      <w:r w:rsidRPr="00EF65AE">
        <w:rPr>
          <w:rFonts w:cs="Arial"/>
        </w:rPr>
        <w:t xml:space="preserve">, but there are other globally recognised measures to indicate </w:t>
      </w:r>
      <w:r w:rsidR="00D57015">
        <w:rPr>
          <w:rFonts w:cs="Arial"/>
        </w:rPr>
        <w:t>if</w:t>
      </w:r>
      <w:r w:rsidR="00D57015" w:rsidRPr="00EF65AE">
        <w:rPr>
          <w:rFonts w:cs="Arial"/>
        </w:rPr>
        <w:t xml:space="preserve"> </w:t>
      </w:r>
      <w:r w:rsidRPr="00EF65AE">
        <w:rPr>
          <w:rFonts w:cs="Arial"/>
        </w:rPr>
        <w:t>programs are on the right track toward these long-term outcomes. This is illustrated in</w:t>
      </w:r>
      <w:r w:rsidR="00862EAB">
        <w:rPr>
          <w:rFonts w:cs="Arial"/>
        </w:rPr>
        <w:t xml:space="preserve"> </w:t>
      </w:r>
      <w:r w:rsidR="009E00A3" w:rsidRPr="009E00A3">
        <w:rPr>
          <w:rFonts w:cs="Arial"/>
        </w:rPr>
        <w:t>Figure 11</w:t>
      </w:r>
      <w:r w:rsidRPr="009E00A3">
        <w:rPr>
          <w:rFonts w:cs="Arial"/>
        </w:rPr>
        <w:t>,</w:t>
      </w:r>
      <w:r w:rsidRPr="00EF65AE">
        <w:rPr>
          <w:rFonts w:cs="Arial"/>
        </w:rPr>
        <w:t xml:space="preserve"> a diagram adapted from an Australian national guide to prevention monitoring.</w:t>
      </w:r>
    </w:p>
    <w:p w14:paraId="05305154" w14:textId="5A1960D5" w:rsidR="001C6759" w:rsidRPr="005A236E" w:rsidRDefault="00C07D10" w:rsidP="00C07D10">
      <w:pPr>
        <w:pStyle w:val="Caption"/>
      </w:pPr>
      <w:bookmarkStart w:id="326" w:name="_Toc23434593"/>
      <w:r>
        <w:t xml:space="preserve">Figure </w:t>
      </w:r>
      <w:fldSimple w:instr=" SEQ Figure \* ARABIC ">
        <w:r w:rsidR="00760839">
          <w:rPr>
            <w:noProof/>
          </w:rPr>
          <w:t>11</w:t>
        </w:r>
      </w:fldSimple>
      <w:r>
        <w:t xml:space="preserve">: </w:t>
      </w:r>
      <w:r w:rsidR="001C6759" w:rsidRPr="005A236E">
        <w:t>The expected process of change: Progress in prevention of VAWG</w:t>
      </w:r>
      <w:bookmarkEnd w:id="326"/>
    </w:p>
    <w:p w14:paraId="29ACB8B7" w14:textId="270C96A9" w:rsidR="001C6759" w:rsidRPr="00EF65AE" w:rsidRDefault="004A3677" w:rsidP="00EF65AE">
      <w:pPr>
        <w:rPr>
          <w:rFonts w:cs="Arial"/>
        </w:rPr>
      </w:pPr>
      <w:r w:rsidRPr="004A3677">
        <w:rPr>
          <w:rFonts w:cs="Arial"/>
          <w:noProof/>
          <w:lang w:eastAsia="en-AU"/>
        </w:rPr>
        <w:drawing>
          <wp:inline distT="0" distB="0" distL="0" distR="0" wp14:anchorId="28FC9A00" wp14:editId="63E10D0E">
            <wp:extent cx="6120130" cy="6710022"/>
            <wp:effectExtent l="0" t="0" r="1270" b="0"/>
            <wp:docPr id="5" name="Picture 5" descr="Figure 11 summarise that much has to be achieved over many years to reduce the prevalence of 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6710022"/>
                    </a:xfrm>
                    <a:prstGeom prst="rect">
                      <a:avLst/>
                    </a:prstGeom>
                  </pic:spPr>
                </pic:pic>
              </a:graphicData>
            </a:graphic>
          </wp:inline>
        </w:drawing>
      </w:r>
    </w:p>
    <w:p w14:paraId="7B3955B6" w14:textId="77777777" w:rsidR="00726D55" w:rsidRDefault="00726D55" w:rsidP="00EF65AE">
      <w:pPr>
        <w:rPr>
          <w:rFonts w:cs="Arial"/>
        </w:rPr>
      </w:pPr>
    </w:p>
    <w:p w14:paraId="62371CF8" w14:textId="7881B059" w:rsidR="00EF65AE" w:rsidRPr="00EF65AE" w:rsidRDefault="00EF65AE" w:rsidP="00EF65AE">
      <w:pPr>
        <w:rPr>
          <w:rFonts w:cs="Arial"/>
        </w:rPr>
      </w:pPr>
      <w:r w:rsidRPr="00EF65AE">
        <w:rPr>
          <w:rFonts w:cs="Arial"/>
        </w:rPr>
        <w:t>Almost all evaluations reviewed used qualitative methods and were commissioned at the end of the program cycle, without baseline data against which to compare results. In most cases, it was not possible to infer actual changes resulting from program</w:t>
      </w:r>
      <w:r w:rsidR="00795A13">
        <w:rPr>
          <w:rFonts w:cs="Arial"/>
        </w:rPr>
        <w:t>-</w:t>
      </w:r>
      <w:r w:rsidRPr="00EF65AE">
        <w:rPr>
          <w:rFonts w:cs="Arial"/>
        </w:rPr>
        <w:t xml:space="preserve">stated outcome indicators, such as changes in attitudes or behaviours, or reductions in violence. </w:t>
      </w:r>
    </w:p>
    <w:p w14:paraId="775F43C9" w14:textId="5DE079D1" w:rsidR="00EF65AE" w:rsidRPr="00EF65AE" w:rsidRDefault="00EF65AE" w:rsidP="00EF65AE">
      <w:pPr>
        <w:rPr>
          <w:rFonts w:cs="Arial"/>
          <w:highlight w:val="yellow"/>
        </w:rPr>
      </w:pPr>
      <w:r w:rsidRPr="00EF65AE">
        <w:rPr>
          <w:rFonts w:cs="Arial"/>
        </w:rPr>
        <w:t xml:space="preserve">Better research and evaluation </w:t>
      </w:r>
      <w:r w:rsidR="00335EE7">
        <w:rPr>
          <w:rFonts w:cs="Arial"/>
        </w:rPr>
        <w:t>are</w:t>
      </w:r>
      <w:r w:rsidRPr="00EF65AE">
        <w:rPr>
          <w:rFonts w:cs="Arial"/>
        </w:rPr>
        <w:t xml:space="preserve"> needed to understand how innovative programs can be successfully adapted to different settings, and how smaller programs can be scaled up in cost-effective ways, without sacrificing quality. In some </w:t>
      </w:r>
      <w:r w:rsidR="00D57015">
        <w:rPr>
          <w:rFonts w:cs="Arial"/>
        </w:rPr>
        <w:t xml:space="preserve">focus </w:t>
      </w:r>
      <w:r w:rsidRPr="00EF65AE">
        <w:rPr>
          <w:rFonts w:cs="Arial"/>
        </w:rPr>
        <w:t xml:space="preserve">countries reviewed, evidence </w:t>
      </w:r>
      <w:r w:rsidR="00A54030">
        <w:rPr>
          <w:rFonts w:cs="Arial"/>
        </w:rPr>
        <w:t xml:space="preserve">was </w:t>
      </w:r>
      <w:r w:rsidRPr="00EF65AE">
        <w:rPr>
          <w:rFonts w:cs="Arial"/>
        </w:rPr>
        <w:t>that Australian-supported programs (prevention programs in particular) were sometimes being scaled up without evidence of positive outcomes or pilot studies to determine their impact. Piloting and scaling up based on evidence require a significant, long-term investment in intervention research</w:t>
      </w:r>
      <w:r w:rsidR="0090713A">
        <w:rPr>
          <w:rFonts w:cs="Arial"/>
        </w:rPr>
        <w:t>. This will enable better understanding of</w:t>
      </w:r>
      <w:r w:rsidRPr="00EF65AE">
        <w:rPr>
          <w:rFonts w:cs="Arial"/>
        </w:rPr>
        <w:t xml:space="preserve"> which programs work</w:t>
      </w:r>
      <w:r w:rsidR="00D57015">
        <w:rPr>
          <w:rFonts w:cs="Arial"/>
        </w:rPr>
        <w:t xml:space="preserve"> and</w:t>
      </w:r>
      <w:r w:rsidRPr="00EF65AE">
        <w:rPr>
          <w:rFonts w:cs="Arial"/>
        </w:rPr>
        <w:t xml:space="preserve"> how they work, </w:t>
      </w:r>
      <w:r w:rsidR="0090713A">
        <w:rPr>
          <w:rFonts w:cs="Arial"/>
        </w:rPr>
        <w:t xml:space="preserve">improving the </w:t>
      </w:r>
      <w:r w:rsidRPr="00EF65AE">
        <w:rPr>
          <w:rFonts w:cs="Arial"/>
        </w:rPr>
        <w:t>chance</w:t>
      </w:r>
      <w:r w:rsidR="00D57015">
        <w:rPr>
          <w:rFonts w:cs="Arial"/>
        </w:rPr>
        <w:t xml:space="preserve"> that</w:t>
      </w:r>
      <w:r w:rsidRPr="00EF65AE">
        <w:rPr>
          <w:rFonts w:cs="Arial"/>
        </w:rPr>
        <w:t xml:space="preserve"> learning can be applied to other settings and contexts. </w:t>
      </w:r>
      <w:r w:rsidRPr="00EF65AE">
        <w:rPr>
          <w:rFonts w:cs="Arial"/>
          <w:i/>
        </w:rPr>
        <w:t>Nabilan</w:t>
      </w:r>
      <w:r w:rsidRPr="00EF65AE">
        <w:rPr>
          <w:rFonts w:cs="Arial"/>
        </w:rPr>
        <w:t xml:space="preserve"> is a promising example of Australia funding pilot programs and associated measurement of outcomes (Box 13). </w:t>
      </w:r>
    </w:p>
    <w:p w14:paraId="1CB8733A" w14:textId="3F43D0A8" w:rsidR="00EF65AE" w:rsidRPr="00EF65AE" w:rsidRDefault="00EF65AE" w:rsidP="00EF65AE">
      <w:pPr>
        <w:rPr>
          <w:rFonts w:cs="Arial"/>
        </w:rPr>
      </w:pPr>
      <w:r w:rsidRPr="00EF65AE">
        <w:rPr>
          <w:rFonts w:cs="Arial"/>
        </w:rPr>
        <w:t xml:space="preserve">Australia’s significant investment in EVAWG presents an opportunity to expand the evidence base on what works to prevent VAWG with lessons from </w:t>
      </w:r>
      <w:r w:rsidR="00473C64">
        <w:rPr>
          <w:rFonts w:cs="Arial"/>
        </w:rPr>
        <w:t>Indo-</w:t>
      </w:r>
      <w:r w:rsidR="007961C8">
        <w:rPr>
          <w:rFonts w:cs="Arial"/>
        </w:rPr>
        <w:t>Pacific</w:t>
      </w:r>
      <w:r w:rsidRPr="00EF65AE">
        <w:rPr>
          <w:rFonts w:cs="Arial"/>
        </w:rPr>
        <w:t xml:space="preserve"> countries, which have historically been under-represented in the global literature. This evidence of what works to prevent violence in low-resource, high-prevalence and remote settings will also have important applications in other parts of the world.</w:t>
      </w:r>
    </w:p>
    <w:p w14:paraId="6B293FA0" w14:textId="77777777" w:rsidR="00EF65AE" w:rsidRPr="00EF65AE" w:rsidRDefault="00EF65AE" w:rsidP="00EF65AE">
      <w:pPr>
        <w:rPr>
          <w:rFonts w:cs="Arial"/>
        </w:rPr>
      </w:pPr>
      <w:r w:rsidRPr="00EF65AE">
        <w:rPr>
          <w:rFonts w:cs="Arial"/>
        </w:rPr>
        <w:t xml:space="preserve">One strategy to expand </w:t>
      </w:r>
      <w:r w:rsidR="0090713A">
        <w:rPr>
          <w:rFonts w:cs="Arial"/>
        </w:rPr>
        <w:t>the</w:t>
      </w:r>
      <w:r w:rsidR="0090713A" w:rsidRPr="00EF65AE">
        <w:rPr>
          <w:rFonts w:cs="Arial"/>
        </w:rPr>
        <w:t xml:space="preserve"> </w:t>
      </w:r>
      <w:r w:rsidRPr="00EF65AE">
        <w:rPr>
          <w:rFonts w:cs="Arial"/>
        </w:rPr>
        <w:t xml:space="preserve">evidence is investing in rigorous impact evaluations. While Australia has been </w:t>
      </w:r>
      <w:r w:rsidR="0090713A">
        <w:rPr>
          <w:rFonts w:cs="Arial"/>
        </w:rPr>
        <w:t>a</w:t>
      </w:r>
      <w:r w:rsidR="0090713A" w:rsidRPr="00EF65AE">
        <w:rPr>
          <w:rFonts w:cs="Arial"/>
        </w:rPr>
        <w:t xml:space="preserve"> </w:t>
      </w:r>
      <w:r w:rsidRPr="00EF65AE">
        <w:rPr>
          <w:rFonts w:cs="Arial"/>
        </w:rPr>
        <w:t xml:space="preserve">leading partner contributing to prevalence studies in the region, it has been less influential in building evidence around what works to prevent VAWG through impact evaluations. </w:t>
      </w:r>
      <w:r w:rsidR="00D57015">
        <w:rPr>
          <w:rFonts w:cs="Arial"/>
        </w:rPr>
        <w:t>T</w:t>
      </w:r>
      <w:r w:rsidRPr="00EF65AE">
        <w:rPr>
          <w:rFonts w:cs="Arial"/>
        </w:rPr>
        <w:t>his is changing,</w:t>
      </w:r>
      <w:r w:rsidR="00D57015">
        <w:rPr>
          <w:rFonts w:cs="Arial"/>
        </w:rPr>
        <w:t xml:space="preserve"> however, with</w:t>
      </w:r>
      <w:r w:rsidRPr="00EF65AE">
        <w:rPr>
          <w:rFonts w:cs="Arial"/>
        </w:rPr>
        <w:t xml:space="preserve"> Australia on the cusp of becoming a more significant player in this area, with a number of important evaluations of Australian-funded prevention programs underway or being planned, including an evaluation of the </w:t>
      </w:r>
      <w:r w:rsidRPr="00597A8C">
        <w:rPr>
          <w:rFonts w:cs="Arial"/>
          <w:i/>
          <w:iCs/>
        </w:rPr>
        <w:t>SASA!</w:t>
      </w:r>
      <w:r w:rsidRPr="00EF65AE">
        <w:rPr>
          <w:rFonts w:cs="Arial"/>
        </w:rPr>
        <w:t xml:space="preserve"> adaptation in Kiribati (B</w:t>
      </w:r>
      <w:r w:rsidR="009E00A3">
        <w:rPr>
          <w:rFonts w:cs="Arial"/>
        </w:rPr>
        <w:t>ox 14</w:t>
      </w:r>
      <w:r w:rsidRPr="00EF65AE">
        <w:rPr>
          <w:rFonts w:cs="Arial"/>
        </w:rPr>
        <w:t xml:space="preserve">). </w:t>
      </w:r>
    </w:p>
    <w:p w14:paraId="287AC8E0" w14:textId="77777777" w:rsidR="00EF65AE" w:rsidRPr="00EF65AE" w:rsidRDefault="00EF65AE" w:rsidP="007051F9">
      <w:pPr>
        <w:pStyle w:val="Heading3NoTOC"/>
      </w:pPr>
      <w:r w:rsidRPr="00EF65AE">
        <w:t>Monitoring capability</w:t>
      </w:r>
    </w:p>
    <w:p w14:paraId="0978F4A6" w14:textId="77777777" w:rsidR="00EF65AE" w:rsidRPr="00EF65AE" w:rsidRDefault="00EF65AE" w:rsidP="00EF65AE">
      <w:pPr>
        <w:rPr>
          <w:rFonts w:cs="Arial"/>
        </w:rPr>
      </w:pPr>
      <w:r w:rsidRPr="00EF65AE">
        <w:rPr>
          <w:rFonts w:cs="Arial"/>
        </w:rPr>
        <w:t>Across all countries and programs reviewed, the quality of EVAWG project M&amp;E systems and reports</w:t>
      </w:r>
      <w:r w:rsidR="00A54030">
        <w:rPr>
          <w:rFonts w:cs="Arial"/>
        </w:rPr>
        <w:t xml:space="preserve"> varied considerably</w:t>
      </w:r>
      <w:r w:rsidRPr="00EF65AE">
        <w:rPr>
          <w:rFonts w:cs="Arial"/>
        </w:rPr>
        <w:t xml:space="preserve"> (Annex 7 </w:t>
      </w:r>
      <w:r w:rsidR="005A236E">
        <w:rPr>
          <w:rFonts w:cs="Arial"/>
        </w:rPr>
        <w:t>discusses</w:t>
      </w:r>
      <w:r w:rsidR="0090713A">
        <w:rPr>
          <w:rFonts w:cs="Arial"/>
        </w:rPr>
        <w:t xml:space="preserve"> in </w:t>
      </w:r>
      <w:r w:rsidRPr="00EF65AE">
        <w:rPr>
          <w:rFonts w:cs="Arial"/>
        </w:rPr>
        <w:t xml:space="preserve">more detail the quality of evaluations undertaken for the Australian EVAWG investments reviewed). Some programs lacked a systematic M&amp;E system and identified this as an area requiring improvement. In many cases, programs lacked a clear </w:t>
      </w:r>
      <w:r w:rsidR="009A314A">
        <w:rPr>
          <w:rFonts w:cs="Arial"/>
        </w:rPr>
        <w:t>t</w:t>
      </w:r>
      <w:r w:rsidRPr="00EF65AE">
        <w:rPr>
          <w:rFonts w:cs="Arial"/>
        </w:rPr>
        <w:t xml:space="preserve">heory of </w:t>
      </w:r>
      <w:r w:rsidR="009A314A">
        <w:rPr>
          <w:rFonts w:cs="Arial"/>
        </w:rPr>
        <w:t>c</w:t>
      </w:r>
      <w:r w:rsidRPr="00EF65AE">
        <w:rPr>
          <w:rFonts w:cs="Arial"/>
        </w:rPr>
        <w:t>hange. As noted in the limitations</w:t>
      </w:r>
      <w:r w:rsidR="00D57015">
        <w:rPr>
          <w:rFonts w:cs="Arial"/>
        </w:rPr>
        <w:t xml:space="preserve"> described in </w:t>
      </w:r>
      <w:r w:rsidRPr="00EF65AE">
        <w:rPr>
          <w:rFonts w:cs="Arial"/>
        </w:rPr>
        <w:t>Section 1.5, this limited the ability of this</w:t>
      </w:r>
      <w:r w:rsidR="0090713A">
        <w:rPr>
          <w:rFonts w:cs="Arial"/>
        </w:rPr>
        <w:t xml:space="preserve"> evaluation</w:t>
      </w:r>
      <w:r w:rsidRPr="00EF65AE">
        <w:rPr>
          <w:rFonts w:cs="Arial"/>
        </w:rPr>
        <w:t xml:space="preserve"> and other evaluations to accurately assess program effectiveness. M&amp;E is therefore a priority area for more technical support. </w:t>
      </w:r>
    </w:p>
    <w:p w14:paraId="004E2B6C" w14:textId="77777777" w:rsidR="00EF65AE" w:rsidRPr="00EF2C21" w:rsidRDefault="00EF65AE" w:rsidP="00EF2C21">
      <w:pPr>
        <w:rPr>
          <w:rFonts w:cs="Arial"/>
        </w:rPr>
      </w:pPr>
      <w:r w:rsidRPr="00EF65AE">
        <w:rPr>
          <w:rFonts w:cs="Arial"/>
        </w:rPr>
        <w:t>Pacific Women, primarily through its</w:t>
      </w:r>
      <w:r w:rsidRPr="00EF65AE" w:rsidDel="009A6B55">
        <w:rPr>
          <w:rFonts w:cs="Arial"/>
        </w:rPr>
        <w:t xml:space="preserve"> </w:t>
      </w:r>
      <w:r w:rsidR="00A363ED">
        <w:rPr>
          <w:rFonts w:cs="Arial"/>
        </w:rPr>
        <w:t>s</w:t>
      </w:r>
      <w:r w:rsidRPr="00EF65AE">
        <w:rPr>
          <w:rFonts w:cs="Arial"/>
        </w:rPr>
        <w:t xml:space="preserve">upport </w:t>
      </w:r>
      <w:r w:rsidR="00A363ED">
        <w:rPr>
          <w:rFonts w:cs="Arial"/>
        </w:rPr>
        <w:t>u</w:t>
      </w:r>
      <w:r w:rsidRPr="00EF65AE">
        <w:rPr>
          <w:rFonts w:cs="Arial"/>
        </w:rPr>
        <w:t>nits, has endeavoured to strengthen M&amp;E capacity and learning.</w:t>
      </w:r>
      <w:r w:rsidRPr="00EF65AE">
        <w:rPr>
          <w:rFonts w:cs="Arial"/>
        </w:rPr>
        <w:fldChar w:fldCharType="begin"/>
      </w:r>
      <w:r w:rsidRPr="00EF65AE">
        <w:rPr>
          <w:rFonts w:cs="Arial"/>
        </w:rPr>
        <w:instrText xml:space="preserve"> ADDIN ZOTERO_ITEM CSL_CITATION {"citationID":"OHdl9Yt6","properties":{"formattedCitation":"\\super 115,116\\nosupersub{}","plainCitation":"115,116","noteIndex":0},"citationItems":[{"id":2127,"uris":["http://zotero.org/users/4194704/items/KBSJUY2P"],"uri":["http://zotero.org/users/4194704/items/KBSJUY2P"],"itemData":{"id":2127,"type":"report","title":"Papua New Guinea Monitoring, Evaluation and Learning Framework","publisher":"Cardno","author":[{"literal":"Cardno"}],"issued":{"date-parts":[["2018"]]}}},{"id":2129,"uris":["http://zotero.org/users/4194704/items/J9F9H2XJ"],"uri":["http://zotero.org/users/4194704/items/J9F9H2XJ"],"itemData":{"id":2129,"type":"report","title":"Monitoring, Evaluation and Learning Framework","publisher":"Cardno Emerging Markets","author":[{"literal":"Cardno"}],"issued":{"date-parts":[["2017"]]}}}],"schema":"https://github.com/citation-style-language/schema/raw/master/csl-citation.json"} </w:instrText>
      </w:r>
      <w:r w:rsidRPr="00EF65AE">
        <w:rPr>
          <w:rFonts w:cs="Arial"/>
        </w:rPr>
        <w:fldChar w:fldCharType="separate"/>
      </w:r>
      <w:r w:rsidRPr="00EF65AE">
        <w:rPr>
          <w:rFonts w:cs="Arial"/>
          <w:vertAlign w:val="superscript"/>
          <w:lang w:val="en-US"/>
        </w:rPr>
        <w:t>115,116</w:t>
      </w:r>
      <w:r w:rsidRPr="00EF65AE">
        <w:rPr>
          <w:rFonts w:cs="Arial"/>
        </w:rPr>
        <w:fldChar w:fldCharType="end"/>
      </w:r>
      <w:r w:rsidRPr="00EF65AE">
        <w:rPr>
          <w:rFonts w:cs="Arial"/>
        </w:rPr>
        <w:t xml:space="preserve"> The </w:t>
      </w:r>
      <w:bookmarkStart w:id="327" w:name="_Hlk18580758"/>
      <w:r w:rsidRPr="00EF65AE">
        <w:rPr>
          <w:rFonts w:cs="Arial"/>
        </w:rPr>
        <w:t>Pacific Women Monitoring, Evaluation and Learning Framework</w:t>
      </w:r>
      <w:bookmarkEnd w:id="327"/>
      <w:r w:rsidR="00EF2C21">
        <w:rPr>
          <w:rFonts w:cs="Arial"/>
        </w:rPr>
        <w:t xml:space="preserve"> provides</w:t>
      </w:r>
      <w:r w:rsidRPr="00EF65AE">
        <w:rPr>
          <w:rFonts w:cs="Arial"/>
        </w:rPr>
        <w:t xml:space="preserve"> clear, practical guidance for understanding and building a </w:t>
      </w:r>
      <w:r w:rsidR="009A314A">
        <w:rPr>
          <w:rFonts w:cs="Arial"/>
        </w:rPr>
        <w:t>t</w:t>
      </w:r>
      <w:r w:rsidRPr="00EF65AE">
        <w:rPr>
          <w:rFonts w:cs="Arial"/>
        </w:rPr>
        <w:t xml:space="preserve">heory of </w:t>
      </w:r>
      <w:r w:rsidR="009A314A">
        <w:rPr>
          <w:rFonts w:cs="Arial"/>
        </w:rPr>
        <w:t>c</w:t>
      </w:r>
      <w:r w:rsidRPr="00EF65AE">
        <w:rPr>
          <w:rFonts w:cs="Arial"/>
        </w:rPr>
        <w:t>hange and an M&amp;E plan align</w:t>
      </w:r>
      <w:r w:rsidR="00A363ED">
        <w:rPr>
          <w:rFonts w:cs="Arial"/>
        </w:rPr>
        <w:t>ing</w:t>
      </w:r>
      <w:r w:rsidRPr="00EF65AE">
        <w:rPr>
          <w:rFonts w:cs="Arial"/>
        </w:rPr>
        <w:t xml:space="preserve"> with Pacific Women outcomes. The M&amp;E t</w:t>
      </w:r>
      <w:r w:rsidR="00EF2C21">
        <w:rPr>
          <w:rFonts w:cs="Arial"/>
        </w:rPr>
        <w:t>oolkit</w:t>
      </w:r>
      <w:r w:rsidRPr="00EF65AE">
        <w:rPr>
          <w:rFonts w:cs="Arial"/>
        </w:rPr>
        <w:t xml:space="preserve"> provide</w:t>
      </w:r>
      <w:r w:rsidR="00EF2C21">
        <w:rPr>
          <w:rFonts w:cs="Arial"/>
        </w:rPr>
        <w:t>s</w:t>
      </w:r>
      <w:r w:rsidRPr="00EF65AE">
        <w:rPr>
          <w:rFonts w:cs="Arial"/>
        </w:rPr>
        <w:t xml:space="preserve"> basic information on qualitative and quantitative research and data collection methods. </w:t>
      </w:r>
      <w:r w:rsidRPr="00EF2C21">
        <w:rPr>
          <w:rFonts w:cs="Arial"/>
        </w:rPr>
        <w:t xml:space="preserve">These planning and monitoring tools have helped improve the </w:t>
      </w:r>
      <w:r w:rsidR="00EF2C21">
        <w:rPr>
          <w:rFonts w:cs="Arial"/>
        </w:rPr>
        <w:t xml:space="preserve">availability, </w:t>
      </w:r>
      <w:r w:rsidRPr="00EF2C21">
        <w:rPr>
          <w:rFonts w:cs="Arial"/>
        </w:rPr>
        <w:t xml:space="preserve">quality and </w:t>
      </w:r>
      <w:r w:rsidR="00EF2C21" w:rsidRPr="00EF2C21">
        <w:rPr>
          <w:rFonts w:cs="Arial"/>
        </w:rPr>
        <w:t xml:space="preserve">comparability </w:t>
      </w:r>
      <w:r w:rsidRPr="00EF2C21">
        <w:rPr>
          <w:rFonts w:cs="Arial"/>
        </w:rPr>
        <w:t xml:space="preserve">of data for Australian EVAWG programs in the Pacific. However, program partners need ongoing, intensive training and mentoring to use the M&amp;E tools. </w:t>
      </w:r>
    </w:p>
    <w:p w14:paraId="51E47AAB" w14:textId="77777777" w:rsidR="00EF65AE" w:rsidRPr="00EF65AE" w:rsidRDefault="00EF65AE" w:rsidP="00EF65AE">
      <w:pPr>
        <w:rPr>
          <w:rFonts w:cs="Arial"/>
          <w:spacing w:val="-2"/>
          <w:shd w:val="clear" w:color="auto" w:fill="FFFFFF"/>
        </w:rPr>
      </w:pPr>
      <w:r w:rsidRPr="00EF65AE">
        <w:rPr>
          <w:rFonts w:cs="Arial"/>
        </w:rPr>
        <w:t>Th</w:t>
      </w:r>
      <w:r w:rsidR="00A363ED">
        <w:rPr>
          <w:rFonts w:cs="Arial"/>
        </w:rPr>
        <w:t>is</w:t>
      </w:r>
      <w:r w:rsidRPr="00EF65AE">
        <w:rPr>
          <w:rFonts w:cs="Arial"/>
        </w:rPr>
        <w:t xml:space="preserve"> evaluation found that capacity among partners and program staff to implement M&amp;E systems was a key barrier across all countries reviewed. The Pacific Fund, funded by Australia and managed by UN Women, has played an important role in strengthening M&amp;E capacity. </w:t>
      </w:r>
      <w:r w:rsidRPr="00EF65AE">
        <w:rPr>
          <w:rFonts w:cs="Arial"/>
          <w:spacing w:val="-2"/>
          <w:shd w:val="clear" w:color="auto" w:fill="FFFFFF"/>
        </w:rPr>
        <w:t>A potentially promising approach is M&amp;E House in Timor-Leste, which offers an alternative approach to the fly-in, fly-out M&amp;E consultant model seen in many focus countries.</w:t>
      </w:r>
    </w:p>
    <w:p w14:paraId="4542C0F2" w14:textId="77777777" w:rsidR="00EF65AE" w:rsidRPr="00EF65AE" w:rsidRDefault="00EF65AE" w:rsidP="007051F9">
      <w:pPr>
        <w:pStyle w:val="Heading3NoTOC"/>
      </w:pPr>
      <w:r w:rsidRPr="00EF65AE">
        <w:t xml:space="preserve">Telling a more compelling story about prevention through research </w:t>
      </w:r>
    </w:p>
    <w:p w14:paraId="2CF0EF70" w14:textId="77777777" w:rsidR="00EF65AE" w:rsidRPr="00EF65AE" w:rsidRDefault="00EF65AE" w:rsidP="00EF65AE">
      <w:pPr>
        <w:rPr>
          <w:rFonts w:cs="Arial"/>
        </w:rPr>
      </w:pPr>
      <w:r w:rsidRPr="00EF65AE">
        <w:rPr>
          <w:rFonts w:cs="Arial"/>
        </w:rPr>
        <w:t>Long-term investment in prevention programs can be hard to sell in political contexts that look for tangible outputs and quick wins. But the evidence</w:t>
      </w:r>
      <w:r w:rsidR="00A363ED">
        <w:rPr>
          <w:rFonts w:cs="Arial"/>
        </w:rPr>
        <w:t xml:space="preserve"> for the value of such investment</w:t>
      </w:r>
      <w:r w:rsidRPr="00EF65AE">
        <w:rPr>
          <w:rFonts w:cs="Arial"/>
        </w:rPr>
        <w:t xml:space="preserve"> is emerging</w:t>
      </w:r>
      <w:r w:rsidR="00B96358">
        <w:rPr>
          <w:rFonts w:cs="Arial"/>
        </w:rPr>
        <w:t>. E</w:t>
      </w:r>
      <w:r w:rsidRPr="00EF65AE">
        <w:rPr>
          <w:rFonts w:cs="Arial"/>
        </w:rPr>
        <w:t xml:space="preserve">valuations of prevention programs are beginning to demonstrate what works in the region, and there is positive change among those reached by prevention programs. </w:t>
      </w:r>
    </w:p>
    <w:p w14:paraId="321E6844" w14:textId="77777777" w:rsidR="00EF65AE" w:rsidRPr="00EF65AE" w:rsidRDefault="00EF65AE" w:rsidP="00EF65AE">
      <w:pPr>
        <w:rPr>
          <w:rFonts w:cs="Arial"/>
        </w:rPr>
      </w:pPr>
      <w:r w:rsidRPr="00EF65AE">
        <w:rPr>
          <w:rFonts w:cs="Arial"/>
        </w:rPr>
        <w:t>When it comes to M&amp;E for prevention programs, the focus has often been on measur</w:t>
      </w:r>
      <w:r w:rsidR="00A363ED">
        <w:rPr>
          <w:rFonts w:cs="Arial"/>
        </w:rPr>
        <w:t>ing</w:t>
      </w:r>
      <w:r w:rsidRPr="00EF65AE">
        <w:rPr>
          <w:rFonts w:cs="Arial"/>
        </w:rPr>
        <w:t xml:space="preserve"> prevalence change; that is, a decrease in VAWG. In reality, it may take many years of sustained prevention efforts to create quantifiable change in prevalence rates. This is acknowledged in the Australian national context, in the </w:t>
      </w:r>
      <w:bookmarkStart w:id="328" w:name="_Hlk18580986"/>
      <w:r w:rsidRPr="00EF65AE">
        <w:rPr>
          <w:rFonts w:cs="Arial"/>
        </w:rPr>
        <w:t>National Plan to Reduce Violence against Women and their Children 2010</w:t>
      </w:r>
      <w:r w:rsidR="00B96358">
        <w:rPr>
          <w:rFonts w:cs="Arial"/>
        </w:rPr>
        <w:t>–</w:t>
      </w:r>
      <w:r w:rsidRPr="00EF65AE">
        <w:rPr>
          <w:rFonts w:cs="Arial"/>
        </w:rPr>
        <w:t>2022</w:t>
      </w:r>
      <w:bookmarkEnd w:id="328"/>
      <w:r w:rsidRPr="00EF65AE">
        <w:rPr>
          <w:rFonts w:cs="Arial"/>
        </w:rPr>
        <w:t>, being implemented through a series of four, three-year action plans, and the recently published guide to prevention monitoring.</w:t>
      </w:r>
      <w:r w:rsidRPr="00EF65AE">
        <w:rPr>
          <w:rFonts w:cs="Arial"/>
        </w:rPr>
        <w:fldChar w:fldCharType="begin"/>
      </w:r>
      <w:r w:rsidRPr="00EF65AE">
        <w:rPr>
          <w:rFonts w:cs="Arial"/>
        </w:rPr>
        <w:instrText xml:space="preserve"> ADDIN ZOTERO_ITEM CSL_CITATION {"citationID":"jwqfjV5g","properties":{"formattedCitation":"\\super 117\\nosupersub{}","plainCitation":"117","noteIndex":0},"citationItems":[{"id":2562,"uris":["http://zotero.org/users/4194704/items/XEU79SIL"],"uri":["http://zotero.org/users/4194704/items/XEU79SIL"],"itemData":{"id":2562,"type":"report","title":"Counting on change: A guide to prevention monitoring.","publisher":"Our Watch","publisher-place":"Melbourne, Australia","event-place":"Melbourne, Australia","author":[{"literal":"Our Watch"},{"literal":"ANROWS"}]}}],"schema":"https://github.com/citation-style-language/schema/raw/master/csl-citation.json"} </w:instrText>
      </w:r>
      <w:r w:rsidRPr="00EF65AE">
        <w:rPr>
          <w:rFonts w:cs="Arial"/>
        </w:rPr>
        <w:fldChar w:fldCharType="separate"/>
      </w:r>
      <w:r w:rsidRPr="00EF65AE">
        <w:rPr>
          <w:rFonts w:cs="Arial"/>
          <w:vertAlign w:val="superscript"/>
          <w:lang w:val="en-US"/>
        </w:rPr>
        <w:t>117</w:t>
      </w:r>
      <w:r w:rsidRPr="00EF65AE">
        <w:rPr>
          <w:rFonts w:cs="Arial"/>
        </w:rPr>
        <w:fldChar w:fldCharType="end"/>
      </w:r>
    </w:p>
    <w:p w14:paraId="5392C49B" w14:textId="77777777" w:rsidR="00142A7D" w:rsidRPr="00142A7D" w:rsidRDefault="00EF65AE" w:rsidP="004D2CDF">
      <w:r w:rsidRPr="00142A7D">
        <w:rPr>
          <w:rFonts w:cs="Arial"/>
        </w:rPr>
        <w:t xml:space="preserve">Across the </w:t>
      </w:r>
      <w:r w:rsidR="00B96358" w:rsidRPr="00142A7D">
        <w:rPr>
          <w:rFonts w:cs="Arial"/>
        </w:rPr>
        <w:t xml:space="preserve">focus </w:t>
      </w:r>
      <w:r w:rsidRPr="00142A7D">
        <w:rPr>
          <w:rFonts w:cs="Arial"/>
        </w:rPr>
        <w:t>countries in this evaluation there is an important story that could be told by Australian programs around what change looks like. By tracking short, medium and long-term progress towards prevention, programs could demonstrate that change is happening and outcomes moving in the right direction (</w:t>
      </w:r>
      <w:r w:rsidR="009E00A3">
        <w:rPr>
          <w:rFonts w:cs="Arial"/>
        </w:rPr>
        <w:t>Figure 11</w:t>
      </w:r>
      <w:r w:rsidRPr="00142A7D">
        <w:rPr>
          <w:rFonts w:cs="Arial"/>
        </w:rPr>
        <w:t xml:space="preserve">). For example, </w:t>
      </w:r>
      <w:r w:rsidR="00B96358" w:rsidRPr="00142A7D">
        <w:rPr>
          <w:rFonts w:cs="Arial"/>
        </w:rPr>
        <w:t>before</w:t>
      </w:r>
      <w:r w:rsidRPr="00142A7D">
        <w:rPr>
          <w:rFonts w:cs="Arial"/>
        </w:rPr>
        <w:t xml:space="preserve"> prevalence changes, programs could expect shifts in community attitudes towards gender and violence, shifts towards more positive social norms, improvements in the capacity of program partners working on prevention, </w:t>
      </w:r>
      <w:r w:rsidR="00142A7D" w:rsidRPr="00142A7D">
        <w:rPr>
          <w:rFonts w:cs="Arial"/>
        </w:rPr>
        <w:t>and/</w:t>
      </w:r>
      <w:r w:rsidRPr="00142A7D">
        <w:rPr>
          <w:rFonts w:cs="Arial"/>
        </w:rPr>
        <w:t>or increase</w:t>
      </w:r>
      <w:r w:rsidR="00B96358" w:rsidRPr="00142A7D">
        <w:rPr>
          <w:rFonts w:cs="Arial"/>
        </w:rPr>
        <w:t>s</w:t>
      </w:r>
      <w:r w:rsidRPr="00142A7D">
        <w:rPr>
          <w:rFonts w:cs="Arial"/>
        </w:rPr>
        <w:t xml:space="preserve"> in women and girls reporting to formal services. </w:t>
      </w:r>
      <w:bookmarkStart w:id="329" w:name="_Ref15559681"/>
    </w:p>
    <w:bookmarkEnd w:id="329"/>
    <w:p w14:paraId="408D4839" w14:textId="77777777" w:rsidR="00EF65AE" w:rsidRPr="00EF65AE" w:rsidRDefault="00EF65AE" w:rsidP="007051F9">
      <w:pPr>
        <w:pStyle w:val="Heading3NoTOC"/>
      </w:pPr>
      <w:r w:rsidRPr="00EF65AE">
        <w:t>Sharing learning within countries</w:t>
      </w:r>
    </w:p>
    <w:p w14:paraId="07188B5A" w14:textId="35C5377F" w:rsidR="00EF65AE" w:rsidRPr="00DD595E" w:rsidRDefault="00EF65AE" w:rsidP="00AF48BA">
      <w:pPr>
        <w:rPr>
          <w:rFonts w:cs="Arial"/>
        </w:rPr>
      </w:pPr>
      <w:r w:rsidRPr="00DD595E">
        <w:rPr>
          <w:rFonts w:cs="Arial"/>
        </w:rPr>
        <w:t xml:space="preserve">At country level, Australian </w:t>
      </w:r>
      <w:r w:rsidR="00075611">
        <w:rPr>
          <w:rFonts w:cs="Arial"/>
        </w:rPr>
        <w:t>p</w:t>
      </w:r>
      <w:r w:rsidR="00A363ED">
        <w:rPr>
          <w:rFonts w:cs="Arial"/>
        </w:rPr>
        <w:t>osts</w:t>
      </w:r>
      <w:r w:rsidR="00A363ED" w:rsidRPr="00DD595E">
        <w:rPr>
          <w:rFonts w:cs="Arial"/>
        </w:rPr>
        <w:t xml:space="preserve"> </w:t>
      </w:r>
      <w:r w:rsidRPr="00DD595E">
        <w:rPr>
          <w:rFonts w:cs="Arial"/>
        </w:rPr>
        <w:t>have played a useful role in building connections</w:t>
      </w:r>
      <w:r w:rsidR="00A363ED">
        <w:rPr>
          <w:rFonts w:cs="Arial"/>
        </w:rPr>
        <w:t>,</w:t>
      </w:r>
      <w:r w:rsidRPr="00DD595E">
        <w:rPr>
          <w:rFonts w:cs="Arial"/>
        </w:rPr>
        <w:t xml:space="preserve"> providing spaces for discussion and sharing learning that improve t</w:t>
      </w:r>
      <w:r w:rsidRPr="00AD0639">
        <w:rPr>
          <w:rFonts w:cs="Arial"/>
        </w:rPr>
        <w:t>he effectiveness of Australia’s aid program</w:t>
      </w:r>
      <w:r w:rsidR="00E958B5">
        <w:rPr>
          <w:rFonts w:cs="Arial"/>
        </w:rPr>
        <w:t xml:space="preserve"> and</w:t>
      </w:r>
      <w:r w:rsidRPr="00AD0639">
        <w:rPr>
          <w:rFonts w:cs="Arial"/>
        </w:rPr>
        <w:t xml:space="preserve"> other programs, and fulfil important ethical obligations in EVAWG. </w:t>
      </w:r>
      <w:r w:rsidR="00B96358" w:rsidRPr="00AD0639">
        <w:rPr>
          <w:rFonts w:cs="Arial"/>
        </w:rPr>
        <w:t>P</w:t>
      </w:r>
      <w:r w:rsidRPr="00DD595E">
        <w:rPr>
          <w:rFonts w:cs="Arial"/>
        </w:rPr>
        <w:t xml:space="preserve">ositive examples of Australian support for </w:t>
      </w:r>
      <w:r w:rsidR="00A363ED">
        <w:rPr>
          <w:rFonts w:cs="Arial"/>
        </w:rPr>
        <w:t>developing</w:t>
      </w:r>
      <w:r w:rsidRPr="00DD595E">
        <w:rPr>
          <w:rFonts w:cs="Arial"/>
        </w:rPr>
        <w:t xml:space="preserve"> communities of practice</w:t>
      </w:r>
      <w:r w:rsidR="00B96358" w:rsidRPr="00DD595E">
        <w:rPr>
          <w:rFonts w:cs="Arial"/>
        </w:rPr>
        <w:t xml:space="preserve"> emerged</w:t>
      </w:r>
      <w:r w:rsidRPr="00DD595E">
        <w:rPr>
          <w:rFonts w:cs="Arial"/>
        </w:rPr>
        <w:t xml:space="preserve"> in many </w:t>
      </w:r>
      <w:r w:rsidR="00173F90" w:rsidRPr="00DD595E">
        <w:rPr>
          <w:rFonts w:cs="Arial"/>
        </w:rPr>
        <w:t>focus</w:t>
      </w:r>
      <w:r w:rsidRPr="00DD595E">
        <w:rPr>
          <w:rFonts w:cs="Arial"/>
        </w:rPr>
        <w:t xml:space="preserve"> countries. In P</w:t>
      </w:r>
      <w:r w:rsidR="00173F90" w:rsidRPr="00DD595E">
        <w:rPr>
          <w:rFonts w:cs="Arial"/>
        </w:rPr>
        <w:t>NG</w:t>
      </w:r>
      <w:r w:rsidR="00B96358" w:rsidRPr="00DD595E">
        <w:rPr>
          <w:rFonts w:cs="Arial"/>
        </w:rPr>
        <w:t xml:space="preserve">, for example, </w:t>
      </w:r>
      <w:r w:rsidRPr="00DD595E">
        <w:rPr>
          <w:rFonts w:cs="Arial"/>
        </w:rPr>
        <w:t>Australia has helped facilitate di</w:t>
      </w:r>
      <w:r w:rsidR="00B96358" w:rsidRPr="00DD595E">
        <w:rPr>
          <w:rFonts w:cs="Arial"/>
        </w:rPr>
        <w:t>scussion</w:t>
      </w:r>
      <w:r w:rsidRPr="00DD595E">
        <w:rPr>
          <w:rFonts w:cs="Arial"/>
        </w:rPr>
        <w:t xml:space="preserve">, </w:t>
      </w:r>
      <w:r w:rsidR="00142A7D">
        <w:rPr>
          <w:rFonts w:cs="Arial"/>
        </w:rPr>
        <w:t>link</w:t>
      </w:r>
      <w:r w:rsidRPr="00DD595E">
        <w:rPr>
          <w:rFonts w:cs="Arial"/>
        </w:rPr>
        <w:t xml:space="preserve"> programs, engage with the private sector, and actively support sharing and coordinati</w:t>
      </w:r>
      <w:r w:rsidR="00A363ED">
        <w:rPr>
          <w:rFonts w:cs="Arial"/>
        </w:rPr>
        <w:t>ng</w:t>
      </w:r>
      <w:r w:rsidRPr="00DD595E">
        <w:rPr>
          <w:rFonts w:cs="Arial"/>
        </w:rPr>
        <w:t xml:space="preserve"> platforms</w:t>
      </w:r>
      <w:r w:rsidR="00E958B5">
        <w:rPr>
          <w:rFonts w:cs="Arial"/>
        </w:rPr>
        <w:t>,</w:t>
      </w:r>
      <w:r w:rsidRPr="00DD595E">
        <w:rPr>
          <w:rFonts w:cs="Arial"/>
        </w:rPr>
        <w:t xml:space="preserve"> such as ‘lunch</w:t>
      </w:r>
      <w:r w:rsidR="00B96358" w:rsidRPr="00DD595E">
        <w:rPr>
          <w:rFonts w:cs="Arial"/>
        </w:rPr>
        <w:t>-</w:t>
      </w:r>
      <w:r w:rsidRPr="00DD595E">
        <w:rPr>
          <w:rFonts w:cs="Arial"/>
        </w:rPr>
        <w:t>and</w:t>
      </w:r>
      <w:r w:rsidR="00B96358" w:rsidRPr="00DD595E">
        <w:rPr>
          <w:rFonts w:cs="Arial"/>
        </w:rPr>
        <w:t>-</w:t>
      </w:r>
      <w:r w:rsidRPr="00DD595E">
        <w:rPr>
          <w:rFonts w:cs="Arial"/>
        </w:rPr>
        <w:t xml:space="preserve">learn’ meetings and annual </w:t>
      </w:r>
      <w:r w:rsidR="00B96358" w:rsidRPr="00DD595E">
        <w:rPr>
          <w:rFonts w:cs="Arial"/>
        </w:rPr>
        <w:t>l</w:t>
      </w:r>
      <w:r w:rsidRPr="00DD595E">
        <w:rPr>
          <w:rFonts w:cs="Arial"/>
        </w:rPr>
        <w:t xml:space="preserve">earning </w:t>
      </w:r>
      <w:r w:rsidR="00B96358" w:rsidRPr="00DD595E">
        <w:rPr>
          <w:rFonts w:cs="Arial"/>
        </w:rPr>
        <w:t>w</w:t>
      </w:r>
      <w:r w:rsidRPr="00DD595E">
        <w:rPr>
          <w:rFonts w:cs="Arial"/>
        </w:rPr>
        <w:t>orkshops.</w:t>
      </w:r>
      <w:r w:rsidRPr="00DD595E">
        <w:rPr>
          <w:rFonts w:cs="Arial"/>
        </w:rPr>
        <w:fldChar w:fldCharType="begin"/>
      </w:r>
      <w:r w:rsidRPr="00DD595E">
        <w:rPr>
          <w:rFonts w:cs="Arial"/>
        </w:rPr>
        <w:instrText xml:space="preserve"> ADDIN ZOTERO_ITEM CSL_CITATION {"citationID":"DftUCkAY","properties":{"formattedCitation":"\\super 118\\nosupersub{}","plainCitation":"118","noteIndex":0},"citationItems":[{"id":496,"uris":["http://zotero.org/users/4194704/items/TLVBYDWB"],"uri":["http://zotero.org/users/4194704/items/TLVBYDWB"],"itemData":{"id":496,"type":"report","title":"Pacific Women Papua New Guinea Performance report 2017-2018","publisher":"Pacific Women Shaping Pacific Development, Australian Department of Foreign Affairs and Trade","publisher-place":"Suva","event-place":"Suva","author":[{"literal":"Pacific Women Shaping Pacific Development Support Unit"}],"issued":{"date-parts":[["2018"]]}}}],"schema":"https://github.com/citation-style-language/schema/raw/master/csl-citation.json"} </w:instrText>
      </w:r>
      <w:r w:rsidRPr="00DD595E">
        <w:rPr>
          <w:rFonts w:cs="Arial"/>
        </w:rPr>
        <w:fldChar w:fldCharType="separate"/>
      </w:r>
      <w:r w:rsidRPr="00DD595E">
        <w:rPr>
          <w:rFonts w:cs="Arial"/>
          <w:vertAlign w:val="superscript"/>
          <w:lang w:val="en-US"/>
        </w:rPr>
        <w:t>118</w:t>
      </w:r>
      <w:r w:rsidRPr="00DD595E">
        <w:rPr>
          <w:rFonts w:cs="Arial"/>
        </w:rPr>
        <w:fldChar w:fldCharType="end"/>
      </w:r>
      <w:r w:rsidR="00DD595E" w:rsidRPr="00DD595E">
        <w:t xml:space="preserve"> </w:t>
      </w:r>
      <w:r w:rsidR="00DD595E">
        <w:t>Most Pacific Women partners in PNG share training materials on the program</w:t>
      </w:r>
      <w:r w:rsidR="00A363ED">
        <w:t>’</w:t>
      </w:r>
      <w:r w:rsidR="00DD595E">
        <w:t xml:space="preserve">s website as well as at PNG </w:t>
      </w:r>
      <w:r w:rsidR="00A363ED">
        <w:t>a</w:t>
      </w:r>
      <w:r w:rsidR="00DD595E">
        <w:t xml:space="preserve">nnual </w:t>
      </w:r>
      <w:r w:rsidR="00A363ED">
        <w:t>l</w:t>
      </w:r>
      <w:r w:rsidR="00DD595E">
        <w:t xml:space="preserve">earning </w:t>
      </w:r>
      <w:r w:rsidR="00A363ED">
        <w:t>w</w:t>
      </w:r>
      <w:r w:rsidR="00DD595E">
        <w:t xml:space="preserve">orkshops and </w:t>
      </w:r>
      <w:r w:rsidR="00A363ED">
        <w:t>through</w:t>
      </w:r>
      <w:r w:rsidR="00DD595E">
        <w:t xml:space="preserve"> other </w:t>
      </w:r>
      <w:r w:rsidR="00A363ED">
        <w:t>opportunities</w:t>
      </w:r>
      <w:r w:rsidR="00DD595E">
        <w:t>.</w:t>
      </w:r>
      <w:r w:rsidRPr="00DD595E">
        <w:rPr>
          <w:rFonts w:cs="Arial"/>
        </w:rPr>
        <w:t xml:space="preserve"> </w:t>
      </w:r>
      <w:r w:rsidR="00DD595E">
        <w:rPr>
          <w:rFonts w:cs="Arial"/>
        </w:rPr>
        <w:t>In</w:t>
      </w:r>
      <w:r w:rsidRPr="00DD595E">
        <w:rPr>
          <w:rFonts w:cs="Arial"/>
        </w:rPr>
        <w:t xml:space="preserve"> Timor-Leste, Australia has </w:t>
      </w:r>
      <w:r w:rsidR="00DD595E">
        <w:rPr>
          <w:rFonts w:cs="Arial"/>
        </w:rPr>
        <w:t xml:space="preserve">shared learning through </w:t>
      </w:r>
      <w:r w:rsidRPr="00DD595E">
        <w:rPr>
          <w:rFonts w:cs="Arial"/>
        </w:rPr>
        <w:t>the establishment of the Social Norms Change Ambassadors</w:t>
      </w:r>
      <w:r w:rsidR="00B96358" w:rsidRPr="00DD595E">
        <w:rPr>
          <w:rFonts w:cs="Arial"/>
        </w:rPr>
        <w:t xml:space="preserve"> N</w:t>
      </w:r>
      <w:r w:rsidRPr="00DD595E">
        <w:rPr>
          <w:rFonts w:cs="Arial"/>
        </w:rPr>
        <w:t xml:space="preserve">etwork to bring together local staff across a range of sectors, </w:t>
      </w:r>
      <w:r w:rsidR="0009447E">
        <w:rPr>
          <w:rFonts w:cs="Arial"/>
        </w:rPr>
        <w:t>and</w:t>
      </w:r>
      <w:r w:rsidRPr="00DD595E">
        <w:rPr>
          <w:rFonts w:cs="Arial"/>
        </w:rPr>
        <w:t xml:space="preserve"> partners across all Australian funding mechanisms. </w:t>
      </w:r>
    </w:p>
    <w:p w14:paraId="53A6AA99" w14:textId="77777777" w:rsidR="00B555CA" w:rsidRDefault="00B96358" w:rsidP="00EF65AE">
      <w:pPr>
        <w:rPr>
          <w:rFonts w:cs="Arial"/>
        </w:rPr>
      </w:pPr>
      <w:r>
        <w:rPr>
          <w:rFonts w:cs="Arial"/>
        </w:rPr>
        <w:t>Some</w:t>
      </w:r>
      <w:r w:rsidR="00EF65AE" w:rsidRPr="00EF65AE">
        <w:rPr>
          <w:rFonts w:cs="Arial"/>
        </w:rPr>
        <w:t xml:space="preserve"> examples, however, suggested</w:t>
      </w:r>
      <w:r>
        <w:rPr>
          <w:rFonts w:cs="Arial"/>
        </w:rPr>
        <w:t xml:space="preserve"> that</w:t>
      </w:r>
      <w:r w:rsidR="00EF65AE" w:rsidRPr="00EF65AE">
        <w:rPr>
          <w:rFonts w:cs="Arial"/>
        </w:rPr>
        <w:t xml:space="preserve"> Australia could play a stronger leadership role to encourage learning among partners. </w:t>
      </w:r>
      <w:r>
        <w:rPr>
          <w:rFonts w:cs="Arial"/>
        </w:rPr>
        <w:t>S</w:t>
      </w:r>
      <w:r w:rsidR="00EF65AE" w:rsidRPr="00EF65AE">
        <w:rPr>
          <w:rFonts w:cs="Arial"/>
        </w:rPr>
        <w:t>ome Pacific Women</w:t>
      </w:r>
      <w:r w:rsidR="00EF65AE" w:rsidRPr="00EF65AE">
        <w:rPr>
          <w:rFonts w:cs="Arial"/>
          <w:i/>
        </w:rPr>
        <w:t xml:space="preserve"> </w:t>
      </w:r>
      <w:r w:rsidR="00EF65AE" w:rsidRPr="00EF65AE">
        <w:rPr>
          <w:rFonts w:cs="Arial"/>
        </w:rPr>
        <w:t xml:space="preserve">partners expressed a view that their program manuals and approaches were proprietary information. When asked </w:t>
      </w:r>
      <w:r>
        <w:rPr>
          <w:rFonts w:cs="Arial"/>
        </w:rPr>
        <w:t>if</w:t>
      </w:r>
      <w:r w:rsidRPr="00EF65AE">
        <w:rPr>
          <w:rFonts w:cs="Arial"/>
        </w:rPr>
        <w:t xml:space="preserve"> </w:t>
      </w:r>
      <w:r w:rsidR="00EF65AE" w:rsidRPr="00EF65AE">
        <w:rPr>
          <w:rFonts w:cs="Arial"/>
        </w:rPr>
        <w:t xml:space="preserve">they had ever shared their training materials with other organisations working on EVAWG, </w:t>
      </w:r>
      <w:r w:rsidR="006A6EAC">
        <w:rPr>
          <w:rFonts w:cs="Arial"/>
        </w:rPr>
        <w:t xml:space="preserve">a representative from </w:t>
      </w:r>
      <w:r w:rsidR="00EF65AE" w:rsidRPr="00EF65AE">
        <w:rPr>
          <w:rFonts w:cs="Arial"/>
        </w:rPr>
        <w:t>one partner said</w:t>
      </w:r>
      <w:r>
        <w:rPr>
          <w:rFonts w:cs="Arial"/>
        </w:rPr>
        <w:t>:</w:t>
      </w:r>
      <w:r w:rsidR="00EF65AE" w:rsidRPr="00EF65AE">
        <w:rPr>
          <w:rFonts w:cs="Arial"/>
        </w:rPr>
        <w:t xml:space="preserve"> </w:t>
      </w:r>
    </w:p>
    <w:p w14:paraId="3BEBA48C" w14:textId="77777777" w:rsidR="00B555CA" w:rsidRPr="00B555CA" w:rsidRDefault="00EF65AE" w:rsidP="00B555CA">
      <w:pPr>
        <w:pStyle w:val="IndentQuote"/>
      </w:pPr>
      <w:r w:rsidRPr="00D54F55">
        <w:t>We would only share our materials if we were paid to do a training. Our methodology belongs to us</w:t>
      </w:r>
      <w:r w:rsidRPr="00EF65AE">
        <w:t xml:space="preserve">. </w:t>
      </w:r>
    </w:p>
    <w:p w14:paraId="5A145717" w14:textId="135FAEB4" w:rsidR="00416ED8" w:rsidRDefault="00EF65AE" w:rsidP="00EF65AE">
      <w:pPr>
        <w:rPr>
          <w:rFonts w:cs="Arial"/>
        </w:rPr>
      </w:pPr>
      <w:r w:rsidRPr="00EF65AE">
        <w:rPr>
          <w:rFonts w:cs="Arial"/>
        </w:rPr>
        <w:t xml:space="preserve">This is an issue worth clarifying, as the lack of coordination and collaboration among partners doing similar work has negative repercussions for communities and for implementing </w:t>
      </w:r>
      <w:r w:rsidR="008B44CA">
        <w:rPr>
          <w:rFonts w:cs="Arial"/>
        </w:rPr>
        <w:br/>
      </w:r>
      <w:r w:rsidRPr="00EF65AE">
        <w:rPr>
          <w:rFonts w:cs="Arial"/>
        </w:rPr>
        <w:t>national plans</w:t>
      </w:r>
      <w:r w:rsidR="0009447E">
        <w:rPr>
          <w:rFonts w:cs="Arial"/>
        </w:rPr>
        <w:t>.</w:t>
      </w:r>
    </w:p>
    <w:p w14:paraId="595DEB17" w14:textId="77777777" w:rsidR="00EF65AE" w:rsidRPr="00EF65AE" w:rsidRDefault="00EF65AE" w:rsidP="00EF65AE">
      <w:pPr>
        <w:rPr>
          <w:rFonts w:cs="Arial"/>
        </w:rPr>
      </w:pPr>
      <w:r w:rsidRPr="00EF65AE">
        <w:rPr>
          <w:rFonts w:cs="Arial"/>
        </w:rPr>
        <w:t>There is a role for Australia to encourage and support women’s organisations and women’s movements across the region to be at the forefront of coordination efforts</w:t>
      </w:r>
      <w:r w:rsidR="0009447E">
        <w:rPr>
          <w:rFonts w:cs="Arial"/>
        </w:rPr>
        <w:t>. This includes developing</w:t>
      </w:r>
      <w:r w:rsidRPr="00EF65AE">
        <w:rPr>
          <w:rFonts w:cs="Arial"/>
        </w:rPr>
        <w:t xml:space="preserve"> </w:t>
      </w:r>
      <w:r w:rsidR="00B96358">
        <w:rPr>
          <w:rFonts w:cs="Arial"/>
        </w:rPr>
        <w:t>more</w:t>
      </w:r>
      <w:r w:rsidR="00B96358" w:rsidRPr="00EF65AE">
        <w:rPr>
          <w:rFonts w:cs="Arial"/>
        </w:rPr>
        <w:t xml:space="preserve"> </w:t>
      </w:r>
      <w:r w:rsidRPr="00EF65AE">
        <w:rPr>
          <w:rFonts w:cs="Arial"/>
        </w:rPr>
        <w:t>link</w:t>
      </w:r>
      <w:r w:rsidR="0009447E">
        <w:rPr>
          <w:rFonts w:cs="Arial"/>
        </w:rPr>
        <w:t>s</w:t>
      </w:r>
      <w:r w:rsidRPr="00EF65AE">
        <w:rPr>
          <w:rFonts w:cs="Arial"/>
        </w:rPr>
        <w:t xml:space="preserve"> to women’s organisations and movements worldwide. Australian support for local researchers is also incredibly powerful and stands to inform EVAWG work from the grassroots up.</w:t>
      </w:r>
    </w:p>
    <w:p w14:paraId="0310B41D" w14:textId="77777777" w:rsidR="00EF65AE" w:rsidRPr="00EF65AE" w:rsidRDefault="00EF65AE" w:rsidP="007051F9">
      <w:pPr>
        <w:pStyle w:val="Heading3NoTOC"/>
      </w:pPr>
      <w:r w:rsidRPr="00EF65AE">
        <w:t>Sharing learning within Australian programs</w:t>
      </w:r>
    </w:p>
    <w:p w14:paraId="32DA7F72" w14:textId="19CC03C0" w:rsidR="00EF65AE" w:rsidRPr="00EF65AE" w:rsidRDefault="00EF65AE" w:rsidP="00EF65AE">
      <w:pPr>
        <w:rPr>
          <w:rFonts w:cs="Arial"/>
        </w:rPr>
      </w:pPr>
      <w:r w:rsidRPr="00EF65AE">
        <w:rPr>
          <w:rFonts w:cs="Arial"/>
        </w:rPr>
        <w:t xml:space="preserve">Perhaps one of the most significant opportunities in Australia’s EVAWG work is sharing what has been learned between and within Australia’s overseas </w:t>
      </w:r>
      <w:r w:rsidR="00075611">
        <w:rPr>
          <w:rFonts w:cs="Arial"/>
        </w:rPr>
        <w:t>p</w:t>
      </w:r>
      <w:r w:rsidR="0009447E">
        <w:rPr>
          <w:rFonts w:cs="Arial"/>
        </w:rPr>
        <w:t>osts</w:t>
      </w:r>
      <w:r w:rsidRPr="00EF65AE">
        <w:rPr>
          <w:rFonts w:cs="Arial"/>
        </w:rPr>
        <w:t xml:space="preserve">. </w:t>
      </w:r>
      <w:r w:rsidR="00B96358">
        <w:rPr>
          <w:rFonts w:cs="Arial"/>
        </w:rPr>
        <w:t>S</w:t>
      </w:r>
      <w:r w:rsidRPr="00EF65AE">
        <w:rPr>
          <w:rFonts w:cs="Arial"/>
        </w:rPr>
        <w:t xml:space="preserve">ome promising examples </w:t>
      </w:r>
      <w:r w:rsidR="00B96358">
        <w:rPr>
          <w:rFonts w:cs="Arial"/>
        </w:rPr>
        <w:t>emerged</w:t>
      </w:r>
      <w:r w:rsidRPr="00EF65AE">
        <w:rPr>
          <w:rFonts w:cs="Arial"/>
        </w:rPr>
        <w:t xml:space="preserve"> in some </w:t>
      </w:r>
      <w:r w:rsidR="00B96358">
        <w:rPr>
          <w:rFonts w:cs="Arial"/>
        </w:rPr>
        <w:t>focus</w:t>
      </w:r>
      <w:r w:rsidRPr="00EF65AE">
        <w:rPr>
          <w:rFonts w:cs="Arial"/>
        </w:rPr>
        <w:t xml:space="preserve"> countries reviewed. For example, the Australian Embassy in Dili used to good effect </w:t>
      </w:r>
      <w:bookmarkStart w:id="330" w:name="_Hlk18581521"/>
      <w:r w:rsidRPr="00EF65AE">
        <w:rPr>
          <w:rFonts w:cs="Arial"/>
        </w:rPr>
        <w:t>DFAT</w:t>
      </w:r>
      <w:r w:rsidR="0009447E">
        <w:rPr>
          <w:rFonts w:cs="Arial"/>
        </w:rPr>
        <w:t>’s</w:t>
      </w:r>
      <w:r w:rsidRPr="00EF65AE">
        <w:rPr>
          <w:rFonts w:cs="Arial"/>
        </w:rPr>
        <w:t xml:space="preserve"> </w:t>
      </w:r>
      <w:r w:rsidRPr="00142A7D">
        <w:rPr>
          <w:rFonts w:cs="Arial"/>
        </w:rPr>
        <w:t>Gender</w:t>
      </w:r>
      <w:r w:rsidRPr="0009447E">
        <w:rPr>
          <w:rFonts w:cs="Arial"/>
        </w:rPr>
        <w:t xml:space="preserve"> Ac</w:t>
      </w:r>
      <w:r w:rsidRPr="00EF65AE">
        <w:rPr>
          <w:rFonts w:cs="Arial"/>
        </w:rPr>
        <w:t xml:space="preserve">tion Plan, </w:t>
      </w:r>
      <w:bookmarkEnd w:id="330"/>
      <w:r w:rsidRPr="00EF65AE">
        <w:rPr>
          <w:rFonts w:cs="Arial"/>
        </w:rPr>
        <w:t xml:space="preserve">including </w:t>
      </w:r>
      <w:r w:rsidR="008035D2">
        <w:rPr>
          <w:rFonts w:cs="Arial"/>
        </w:rPr>
        <w:t>by adding</w:t>
      </w:r>
      <w:r w:rsidRPr="00EF65AE">
        <w:rPr>
          <w:rFonts w:cs="Arial"/>
        </w:rPr>
        <w:t xml:space="preserve"> an accompanying disability inclusion matrix. Embassy staff used this </w:t>
      </w:r>
      <w:r w:rsidR="00142A7D">
        <w:rPr>
          <w:rFonts w:cs="Arial"/>
        </w:rPr>
        <w:t>matrix</w:t>
      </w:r>
      <w:r w:rsidRPr="00EF65AE">
        <w:rPr>
          <w:rFonts w:cs="Arial"/>
        </w:rPr>
        <w:t xml:space="preserve"> to collate the broad impact across programs, making it possible </w:t>
      </w:r>
      <w:r w:rsidR="008B44CA">
        <w:rPr>
          <w:rFonts w:cs="Arial"/>
        </w:rPr>
        <w:br/>
      </w:r>
      <w:r w:rsidRPr="00EF65AE">
        <w:rPr>
          <w:rFonts w:cs="Arial"/>
        </w:rPr>
        <w:t xml:space="preserve">to demonstrate that investments in gender and inclusion improved the success of all </w:t>
      </w:r>
      <w:r w:rsidR="008B44CA">
        <w:rPr>
          <w:rFonts w:cs="Arial"/>
        </w:rPr>
        <w:br/>
      </w:r>
      <w:r w:rsidRPr="00EF65AE">
        <w:rPr>
          <w:rFonts w:cs="Arial"/>
        </w:rPr>
        <w:t xml:space="preserve">other investments. </w:t>
      </w:r>
    </w:p>
    <w:p w14:paraId="03581A20" w14:textId="77777777" w:rsidR="00EF65AE" w:rsidRPr="00EF65AE" w:rsidRDefault="00EF65AE" w:rsidP="00EF65AE">
      <w:pPr>
        <w:rPr>
          <w:rFonts w:cs="Arial"/>
        </w:rPr>
      </w:pPr>
      <w:r w:rsidRPr="00EF65AE">
        <w:rPr>
          <w:rFonts w:cs="Arial"/>
        </w:rPr>
        <w:t xml:space="preserve">In all evaluation </w:t>
      </w:r>
      <w:r w:rsidR="00142A7D">
        <w:rPr>
          <w:rFonts w:cs="Arial"/>
        </w:rPr>
        <w:t>countries</w:t>
      </w:r>
      <w:r w:rsidRPr="00EF65AE">
        <w:rPr>
          <w:rFonts w:cs="Arial"/>
        </w:rPr>
        <w:t xml:space="preserve">, Australian and local staff </w:t>
      </w:r>
      <w:r w:rsidR="008035D2">
        <w:rPr>
          <w:rFonts w:cs="Arial"/>
        </w:rPr>
        <w:t>wanted</w:t>
      </w:r>
      <w:r w:rsidRPr="00EF65AE">
        <w:rPr>
          <w:rFonts w:cs="Arial"/>
        </w:rPr>
        <w:t xml:space="preserve"> more opportunities to share approaches across countries. For example, several faith-based organisations </w:t>
      </w:r>
      <w:r w:rsidR="008035D2">
        <w:rPr>
          <w:rFonts w:cs="Arial"/>
        </w:rPr>
        <w:t xml:space="preserve">are </w:t>
      </w:r>
      <w:r w:rsidRPr="00EF65AE">
        <w:rPr>
          <w:rFonts w:cs="Arial"/>
        </w:rPr>
        <w:t xml:space="preserve">doing prevention work in the Pacific, and </w:t>
      </w:r>
      <w:r w:rsidR="0009447E">
        <w:rPr>
          <w:rFonts w:cs="Arial"/>
        </w:rPr>
        <w:t>some</w:t>
      </w:r>
      <w:r w:rsidRPr="00EF65AE">
        <w:rPr>
          <w:rFonts w:cs="Arial"/>
        </w:rPr>
        <w:t xml:space="preserve"> partners</w:t>
      </w:r>
      <w:r w:rsidR="008035D2">
        <w:rPr>
          <w:rFonts w:cs="Arial"/>
        </w:rPr>
        <w:t xml:space="preserve"> are</w:t>
      </w:r>
      <w:r w:rsidRPr="00EF65AE">
        <w:rPr>
          <w:rFonts w:cs="Arial"/>
        </w:rPr>
        <w:t xml:space="preserve"> implementing </w:t>
      </w:r>
      <w:r w:rsidRPr="00142A7D">
        <w:rPr>
          <w:rFonts w:cs="Arial"/>
          <w:i/>
          <w:iCs/>
        </w:rPr>
        <w:t>SASA!</w:t>
      </w:r>
      <w:r w:rsidRPr="00EF65AE">
        <w:rPr>
          <w:rFonts w:cs="Arial"/>
        </w:rPr>
        <w:t xml:space="preserve"> </w:t>
      </w:r>
      <w:r w:rsidR="008035D2">
        <w:rPr>
          <w:rFonts w:cs="Arial"/>
        </w:rPr>
        <w:t>a</w:t>
      </w:r>
      <w:r w:rsidRPr="00EF65AE">
        <w:rPr>
          <w:rFonts w:cs="Arial"/>
        </w:rPr>
        <w:t>pproaches. Encouraging active learning processes among partners could greatly enhance coordination and program adaptation</w:t>
      </w:r>
      <w:r w:rsidR="008035D2">
        <w:rPr>
          <w:rFonts w:cs="Arial"/>
        </w:rPr>
        <w:t>. It could also</w:t>
      </w:r>
      <w:r w:rsidRPr="00EF65AE">
        <w:rPr>
          <w:rFonts w:cs="Arial"/>
        </w:rPr>
        <w:t xml:space="preserve"> contribute to global dialogues. </w:t>
      </w:r>
    </w:p>
    <w:p w14:paraId="65EF02B5" w14:textId="77777777" w:rsidR="0009447E" w:rsidRDefault="00EF65AE" w:rsidP="00EF65AE">
      <w:pPr>
        <w:rPr>
          <w:rFonts w:cs="Arial"/>
        </w:rPr>
      </w:pPr>
      <w:r w:rsidRPr="00EF65AE">
        <w:rPr>
          <w:rFonts w:cs="Arial"/>
        </w:rPr>
        <w:t>While the increase of M&amp;E data since 2008 provides a rich base of information and analysis to aid future programs, across the</w:t>
      </w:r>
      <w:r w:rsidR="008035D2">
        <w:rPr>
          <w:rFonts w:cs="Arial"/>
        </w:rPr>
        <w:t xml:space="preserve"> focus</w:t>
      </w:r>
      <w:r w:rsidRPr="00EF65AE">
        <w:rPr>
          <w:rFonts w:cs="Arial"/>
        </w:rPr>
        <w:t xml:space="preserve"> countries reviewed, </w:t>
      </w:r>
      <w:r w:rsidR="008035D2">
        <w:rPr>
          <w:rFonts w:cs="Arial"/>
        </w:rPr>
        <w:t>this</w:t>
      </w:r>
      <w:r w:rsidR="008035D2" w:rsidRPr="00EF65AE">
        <w:rPr>
          <w:rFonts w:cs="Arial"/>
        </w:rPr>
        <w:t xml:space="preserve"> </w:t>
      </w:r>
      <w:r w:rsidRPr="00EF65AE">
        <w:rPr>
          <w:rFonts w:cs="Arial"/>
        </w:rPr>
        <w:t>appeared to also be generating a large amount of overlapping data. Many organisations and government agencies receive funding through several types of programs</w:t>
      </w:r>
      <w:r w:rsidR="0009447E">
        <w:rPr>
          <w:rFonts w:cs="Arial"/>
        </w:rPr>
        <w:t xml:space="preserve">, which </w:t>
      </w:r>
      <w:r w:rsidRPr="00EF65AE">
        <w:rPr>
          <w:rFonts w:cs="Arial"/>
        </w:rPr>
        <w:t>might require</w:t>
      </w:r>
      <w:r w:rsidR="0009447E">
        <w:rPr>
          <w:rFonts w:cs="Arial"/>
        </w:rPr>
        <w:t xml:space="preserve"> them</w:t>
      </w:r>
      <w:r w:rsidRPr="00EF65AE">
        <w:rPr>
          <w:rFonts w:cs="Arial"/>
        </w:rPr>
        <w:t xml:space="preserve"> to participate in numerous review and evaluation efforts. This can lead to evaluation fatigue. </w:t>
      </w:r>
    </w:p>
    <w:p w14:paraId="1D47C5BA" w14:textId="77777777" w:rsidR="00EF65AE" w:rsidRPr="00EF65AE" w:rsidRDefault="00EF65AE" w:rsidP="00EF65AE">
      <w:pPr>
        <w:rPr>
          <w:rFonts w:cs="Arial"/>
        </w:rPr>
      </w:pPr>
      <w:r w:rsidRPr="00EF65AE">
        <w:rPr>
          <w:rFonts w:cs="Arial"/>
        </w:rPr>
        <w:t xml:space="preserve">In some countries reviewed, Australia’s partners said they were being asked to meet with multiple evaluation teams, sometimes in quick succession, and there was a perception that results were not always fed back </w:t>
      </w:r>
      <w:r w:rsidR="008035D2">
        <w:rPr>
          <w:rFonts w:cs="Arial"/>
        </w:rPr>
        <w:t>to improve</w:t>
      </w:r>
      <w:r w:rsidRPr="00EF65AE">
        <w:rPr>
          <w:rFonts w:cs="Arial"/>
        </w:rPr>
        <w:t xml:space="preserve"> program</w:t>
      </w:r>
      <w:r w:rsidR="008035D2">
        <w:rPr>
          <w:rFonts w:cs="Arial"/>
        </w:rPr>
        <w:t>s</w:t>
      </w:r>
      <w:r w:rsidRPr="00EF65AE">
        <w:rPr>
          <w:rFonts w:cs="Arial"/>
        </w:rPr>
        <w:t xml:space="preserve"> or provid</w:t>
      </w:r>
      <w:r w:rsidR="008035D2">
        <w:rPr>
          <w:rFonts w:cs="Arial"/>
        </w:rPr>
        <w:t>e</w:t>
      </w:r>
      <w:r w:rsidRPr="00EF65AE">
        <w:rPr>
          <w:rFonts w:cs="Arial"/>
        </w:rPr>
        <w:t xml:space="preserve"> useful recommendations. This contributed to a sense that information was not being shared adequately among stakeholders within </w:t>
      </w:r>
      <w:r w:rsidR="0009447E">
        <w:rPr>
          <w:rFonts w:cs="Arial"/>
        </w:rPr>
        <w:t xml:space="preserve">the </w:t>
      </w:r>
      <w:r w:rsidRPr="00EF65AE">
        <w:rPr>
          <w:rFonts w:cs="Arial"/>
        </w:rPr>
        <w:t>Australian aid</w:t>
      </w:r>
      <w:r w:rsidR="0009447E">
        <w:rPr>
          <w:rFonts w:cs="Arial"/>
        </w:rPr>
        <w:t xml:space="preserve"> program</w:t>
      </w:r>
      <w:r w:rsidRPr="00EF65AE">
        <w:rPr>
          <w:rFonts w:cs="Arial"/>
        </w:rPr>
        <w:t>. This highlights the importance of using all available M&amp;E data without duplication or additional burden on partners.</w:t>
      </w:r>
    </w:p>
    <w:p w14:paraId="65794097" w14:textId="77777777" w:rsidR="00EF65AE" w:rsidRPr="00EF65AE" w:rsidRDefault="00EF65AE" w:rsidP="007051F9">
      <w:pPr>
        <w:pStyle w:val="Heading3NoTOC"/>
      </w:pPr>
      <w:r w:rsidRPr="00EF65AE">
        <w:t>Sharing learning regionally and globally</w:t>
      </w:r>
    </w:p>
    <w:p w14:paraId="77AFE0C1" w14:textId="475C2B1E" w:rsidR="00EF65AE" w:rsidRPr="00EF65AE" w:rsidRDefault="00AE55ED" w:rsidP="00EF65AE">
      <w:pPr>
        <w:rPr>
          <w:rFonts w:cs="Arial"/>
        </w:rPr>
      </w:pPr>
      <w:r>
        <w:rPr>
          <w:rFonts w:cs="Arial"/>
        </w:rPr>
        <w:t>In</w:t>
      </w:r>
      <w:r w:rsidR="00EF65AE" w:rsidRPr="00EF65AE">
        <w:rPr>
          <w:rFonts w:cs="Arial"/>
        </w:rPr>
        <w:t>ternational</w:t>
      </w:r>
      <w:r>
        <w:rPr>
          <w:rFonts w:cs="Arial"/>
        </w:rPr>
        <w:t>ly</w:t>
      </w:r>
      <w:r w:rsidR="00E958B5">
        <w:rPr>
          <w:rFonts w:cs="Arial"/>
        </w:rPr>
        <w:t>,</w:t>
      </w:r>
      <w:r>
        <w:rPr>
          <w:rFonts w:cs="Arial"/>
        </w:rPr>
        <w:t xml:space="preserve"> there are a number of </w:t>
      </w:r>
      <w:r w:rsidR="00EF65AE" w:rsidRPr="00EF65AE">
        <w:rPr>
          <w:rFonts w:cs="Arial"/>
        </w:rPr>
        <w:t>longer-term, inter-agency initiatives around EVAWG</w:t>
      </w:r>
      <w:r w:rsidR="00E958B5">
        <w:rPr>
          <w:rFonts w:cs="Arial"/>
        </w:rPr>
        <w:t>,</w:t>
      </w:r>
      <w:r w:rsidR="00EF65AE" w:rsidRPr="00EF65AE">
        <w:rPr>
          <w:rFonts w:cs="Arial"/>
        </w:rPr>
        <w:t xml:space="preserve"> such as DFID’s What Works</w:t>
      </w:r>
      <w:r w:rsidR="0009447E">
        <w:rPr>
          <w:rFonts w:cs="Arial"/>
        </w:rPr>
        <w:t xml:space="preserve"> and</w:t>
      </w:r>
      <w:r w:rsidR="00EF65AE" w:rsidRPr="00EF65AE">
        <w:rPr>
          <w:rFonts w:cs="Arial"/>
        </w:rPr>
        <w:t xml:space="preserve"> the UN’s kNOwVAWdata</w:t>
      </w:r>
      <w:r w:rsidR="0009447E">
        <w:rPr>
          <w:rFonts w:cs="Arial"/>
        </w:rPr>
        <w:t>. Australia supports many such initiatives</w:t>
      </w:r>
      <w:r>
        <w:rPr>
          <w:rFonts w:cs="Arial"/>
        </w:rPr>
        <w:t xml:space="preserve"> and</w:t>
      </w:r>
      <w:r w:rsidR="002B6D8A">
        <w:rPr>
          <w:rFonts w:cs="Arial"/>
        </w:rPr>
        <w:t xml:space="preserve"> </w:t>
      </w:r>
      <w:r>
        <w:rPr>
          <w:rFonts w:cs="Arial"/>
        </w:rPr>
        <w:t>shares</w:t>
      </w:r>
      <w:r w:rsidR="00EF65AE" w:rsidRPr="00EF65AE">
        <w:rPr>
          <w:rFonts w:cs="Arial"/>
        </w:rPr>
        <w:t xml:space="preserve"> learning from local, national and regional contexts</w:t>
      </w:r>
      <w:r w:rsidR="00E958B5">
        <w:rPr>
          <w:rFonts w:cs="Arial"/>
        </w:rPr>
        <w:t xml:space="preserve">, </w:t>
      </w:r>
      <w:r w:rsidR="002B6D8A">
        <w:rPr>
          <w:rFonts w:cs="Arial"/>
        </w:rPr>
        <w:t>including those</w:t>
      </w:r>
      <w:r w:rsidR="00EF65AE" w:rsidRPr="00EF65AE">
        <w:rPr>
          <w:rFonts w:cs="Arial"/>
        </w:rPr>
        <w:t xml:space="preserve"> covered by this evaluation. Australia should continue to support analytical work that synthesises the evidence from evaluations and identifies common lessons to inform the EVAW</w:t>
      </w:r>
      <w:r w:rsidR="00AF5F1F">
        <w:rPr>
          <w:rFonts w:cs="Arial"/>
        </w:rPr>
        <w:t>G</w:t>
      </w:r>
      <w:r w:rsidR="00EF65AE" w:rsidRPr="00EF65AE">
        <w:rPr>
          <w:rFonts w:cs="Arial"/>
        </w:rPr>
        <w:t xml:space="preserve"> field. </w:t>
      </w:r>
    </w:p>
    <w:p w14:paraId="314E4EA4" w14:textId="633935F6" w:rsidR="00EF65AE" w:rsidRPr="00EF65AE" w:rsidRDefault="00EF65AE" w:rsidP="00EF65AE">
      <w:pPr>
        <w:rPr>
          <w:rFonts w:cs="Arial"/>
        </w:rPr>
      </w:pPr>
      <w:r w:rsidRPr="00EF65AE">
        <w:rPr>
          <w:rFonts w:cs="Arial"/>
        </w:rPr>
        <w:t xml:space="preserve">Australia could consider hosting a shared learning forum to bring together organisations conducting EVAWG work in the region, or around </w:t>
      </w:r>
      <w:r w:rsidR="002B6D8A">
        <w:rPr>
          <w:rFonts w:cs="Arial"/>
        </w:rPr>
        <w:t xml:space="preserve">evaluations of </w:t>
      </w:r>
      <w:r w:rsidRPr="00EF65AE">
        <w:rPr>
          <w:rFonts w:cs="Arial"/>
        </w:rPr>
        <w:t>a</w:t>
      </w:r>
      <w:r w:rsidR="002B6D8A">
        <w:rPr>
          <w:rFonts w:cs="Arial"/>
        </w:rPr>
        <w:t xml:space="preserve"> single</w:t>
      </w:r>
      <w:r w:rsidRPr="00EF65AE">
        <w:rPr>
          <w:rFonts w:cs="Arial"/>
        </w:rPr>
        <w:t xml:space="preserve"> aspect </w:t>
      </w:r>
      <w:r w:rsidR="002B6D8A">
        <w:rPr>
          <w:rFonts w:cs="Arial"/>
        </w:rPr>
        <w:t xml:space="preserve">of EVAWG, </w:t>
      </w:r>
      <w:r w:rsidRPr="00EF65AE">
        <w:rPr>
          <w:rFonts w:cs="Arial"/>
        </w:rPr>
        <w:t>such as prevention program impact. A more sustainable approach</w:t>
      </w:r>
      <w:r w:rsidR="002B6D8A">
        <w:rPr>
          <w:rFonts w:cs="Arial"/>
        </w:rPr>
        <w:t xml:space="preserve"> with greater impact</w:t>
      </w:r>
      <w:r w:rsidRPr="00EF65AE">
        <w:rPr>
          <w:rFonts w:cs="Arial"/>
        </w:rPr>
        <w:t xml:space="preserve"> could be to establish a </w:t>
      </w:r>
      <w:r w:rsidR="002B6D8A">
        <w:rPr>
          <w:rFonts w:cs="Arial"/>
        </w:rPr>
        <w:t>l</w:t>
      </w:r>
      <w:r w:rsidRPr="00EF65AE">
        <w:rPr>
          <w:rFonts w:cs="Arial"/>
        </w:rPr>
        <w:t xml:space="preserve">earning </w:t>
      </w:r>
      <w:r w:rsidR="002B6D8A">
        <w:rPr>
          <w:rFonts w:cs="Arial"/>
        </w:rPr>
        <w:t>h</w:t>
      </w:r>
      <w:r w:rsidRPr="00EF65AE">
        <w:rPr>
          <w:rFonts w:cs="Arial"/>
        </w:rPr>
        <w:t xml:space="preserve">ub to build ongoing capacity </w:t>
      </w:r>
      <w:r w:rsidR="002B6D8A">
        <w:rPr>
          <w:rFonts w:cs="Arial"/>
        </w:rPr>
        <w:t>for</w:t>
      </w:r>
      <w:r w:rsidR="002B6D8A" w:rsidRPr="00EF65AE">
        <w:rPr>
          <w:rFonts w:cs="Arial"/>
        </w:rPr>
        <w:t xml:space="preserve"> </w:t>
      </w:r>
      <w:r w:rsidRPr="00EF65AE">
        <w:rPr>
          <w:rFonts w:cs="Arial"/>
        </w:rPr>
        <w:t>research in the region</w:t>
      </w:r>
      <w:r w:rsidR="002B6D8A">
        <w:rPr>
          <w:rFonts w:cs="Arial"/>
        </w:rPr>
        <w:t xml:space="preserve">. </w:t>
      </w:r>
      <w:r w:rsidR="00AF5F1F">
        <w:rPr>
          <w:rFonts w:cs="Arial"/>
        </w:rPr>
        <w:t xml:space="preserve">A </w:t>
      </w:r>
      <w:r w:rsidR="002B6D8A">
        <w:rPr>
          <w:rFonts w:cs="Arial"/>
        </w:rPr>
        <w:t>learning hub could also support sharing</w:t>
      </w:r>
      <w:r w:rsidRPr="00EF65AE">
        <w:rPr>
          <w:rFonts w:cs="Arial"/>
        </w:rPr>
        <w:t xml:space="preserve"> learnings and conduct</w:t>
      </w:r>
      <w:r w:rsidR="002B6D8A">
        <w:rPr>
          <w:rFonts w:cs="Arial"/>
        </w:rPr>
        <w:t>ing</w:t>
      </w:r>
      <w:r w:rsidRPr="00EF65AE">
        <w:rPr>
          <w:rFonts w:cs="Arial"/>
        </w:rPr>
        <w:t xml:space="preserve"> meta-analysis across countries. </w:t>
      </w:r>
      <w:r w:rsidR="002B6D8A">
        <w:rPr>
          <w:rFonts w:cs="Arial"/>
        </w:rPr>
        <w:t>It</w:t>
      </w:r>
      <w:r w:rsidR="008035D2" w:rsidRPr="00EF65AE">
        <w:rPr>
          <w:rFonts w:cs="Arial"/>
        </w:rPr>
        <w:t xml:space="preserve"> </w:t>
      </w:r>
      <w:r w:rsidRPr="00EF65AE">
        <w:rPr>
          <w:rFonts w:cs="Arial"/>
        </w:rPr>
        <w:t xml:space="preserve">could </w:t>
      </w:r>
      <w:r w:rsidR="002B6D8A">
        <w:rPr>
          <w:rFonts w:cs="Arial"/>
        </w:rPr>
        <w:t xml:space="preserve">also </w:t>
      </w:r>
      <w:r w:rsidRPr="00EF65AE">
        <w:rPr>
          <w:rFonts w:cs="Arial"/>
        </w:rPr>
        <w:t xml:space="preserve">focus on building evidence in prevention, </w:t>
      </w:r>
      <w:r w:rsidR="002B6D8A">
        <w:rPr>
          <w:rFonts w:cs="Arial"/>
        </w:rPr>
        <w:t>which is</w:t>
      </w:r>
      <w:r w:rsidRPr="00EF65AE">
        <w:rPr>
          <w:rFonts w:cs="Arial"/>
        </w:rPr>
        <w:t xml:space="preserve"> the least developed area of Australian and global work. It would make sense for </w:t>
      </w:r>
      <w:r w:rsidR="008035D2">
        <w:rPr>
          <w:rFonts w:cs="Arial"/>
        </w:rPr>
        <w:t>this type of hub</w:t>
      </w:r>
      <w:r w:rsidRPr="00EF65AE">
        <w:rPr>
          <w:rFonts w:cs="Arial"/>
        </w:rPr>
        <w:t xml:space="preserve"> to be developed in collaboration with other partners already playing a significant role in this space globally.</w:t>
      </w:r>
    </w:p>
    <w:p w14:paraId="242BAD3E" w14:textId="1411C15F" w:rsidR="00EF65AE" w:rsidRPr="00EF65AE" w:rsidRDefault="004A793A" w:rsidP="007051F9">
      <w:pPr>
        <w:pStyle w:val="Heading2"/>
      </w:pPr>
      <w:bookmarkStart w:id="331" w:name="_Toc14959614"/>
      <w:bookmarkStart w:id="332" w:name="_Toc15378140"/>
      <w:bookmarkStart w:id="333" w:name="_Toc15378489"/>
      <w:bookmarkStart w:id="334" w:name="_Toc15563019"/>
      <w:bookmarkStart w:id="335" w:name="_Toc23434555"/>
      <w:bookmarkStart w:id="336" w:name="_Hlk9950444"/>
      <w:r w:rsidRPr="00EF65AE">
        <w:t>Findings and recommendation</w:t>
      </w:r>
      <w:bookmarkEnd w:id="331"/>
      <w:bookmarkEnd w:id="332"/>
      <w:bookmarkEnd w:id="333"/>
      <w:bookmarkEnd w:id="334"/>
      <w:bookmarkEnd w:id="335"/>
    </w:p>
    <w:p w14:paraId="3AA1D7D3" w14:textId="77777777" w:rsidR="00EF65AE" w:rsidRPr="00EF65AE" w:rsidRDefault="00EF65AE" w:rsidP="00EF65AE">
      <w:pPr>
        <w:rPr>
          <w:rFonts w:cs="Arial"/>
        </w:rPr>
      </w:pPr>
      <w:r w:rsidRPr="00EF65AE">
        <w:rPr>
          <w:rFonts w:cs="Arial"/>
        </w:rPr>
        <w:t xml:space="preserve">Overall, while some good efforts and important partnerships have been made, the quality of Australian monitoring, evaluation and research on EVAWG has not kept pace with improved international standards, guidance and </w:t>
      </w:r>
      <w:r w:rsidR="00E20CBF">
        <w:rPr>
          <w:rFonts w:cs="Arial"/>
        </w:rPr>
        <w:t>best</w:t>
      </w:r>
      <w:r w:rsidR="00E20CBF" w:rsidRPr="00EF65AE">
        <w:rPr>
          <w:rFonts w:cs="Arial"/>
        </w:rPr>
        <w:t xml:space="preserve"> </w:t>
      </w:r>
      <w:r w:rsidRPr="00EF65AE">
        <w:rPr>
          <w:rFonts w:cs="Arial"/>
        </w:rPr>
        <w:t xml:space="preserve">practice. </w:t>
      </w:r>
    </w:p>
    <w:p w14:paraId="6DE18B3F" w14:textId="77777777" w:rsidR="00EF65AE" w:rsidRPr="00EF65AE" w:rsidRDefault="00EF65AE" w:rsidP="00EF65AE">
      <w:pPr>
        <w:rPr>
          <w:rFonts w:cs="Arial"/>
        </w:rPr>
      </w:pPr>
      <w:r w:rsidRPr="00EF65AE">
        <w:rPr>
          <w:rFonts w:cs="Arial"/>
        </w:rPr>
        <w:t xml:space="preserve">Australia’s main contribution on learning has been funding for prevalence studies which have been a highly valued and catalytic advocacy and policy dialogue tool. Overall, there is now a lot more evidence </w:t>
      </w:r>
      <w:r w:rsidR="00AF5F1F">
        <w:rPr>
          <w:rFonts w:cs="Arial"/>
        </w:rPr>
        <w:t xml:space="preserve">on </w:t>
      </w:r>
      <w:r w:rsidRPr="00EF65AE">
        <w:rPr>
          <w:rFonts w:cs="Arial"/>
        </w:rPr>
        <w:t xml:space="preserve">prevalence than in 2008, which means inter-country comparisons are possible. </w:t>
      </w:r>
    </w:p>
    <w:p w14:paraId="00A7E8AD" w14:textId="77777777" w:rsidR="00EF65AE" w:rsidRPr="00EF65AE" w:rsidRDefault="00EF65AE" w:rsidP="00EF65AE">
      <w:pPr>
        <w:rPr>
          <w:rFonts w:cs="Arial"/>
        </w:rPr>
      </w:pPr>
      <w:r w:rsidRPr="00AE55ED">
        <w:rPr>
          <w:rFonts w:cs="Arial"/>
        </w:rPr>
        <w:t>M&amp;</w:t>
      </w:r>
      <w:r w:rsidRPr="001158AC">
        <w:rPr>
          <w:rFonts w:cs="Arial"/>
        </w:rPr>
        <w:t>E</w:t>
      </w:r>
      <w:r w:rsidRPr="002B6D8A">
        <w:rPr>
          <w:rFonts w:cs="Arial"/>
        </w:rPr>
        <w:t xml:space="preserve"> systems</w:t>
      </w:r>
      <w:r w:rsidRPr="00EF65AE">
        <w:rPr>
          <w:rFonts w:cs="Arial"/>
        </w:rPr>
        <w:t xml:space="preserve"> have improved, although there is a need to strengthen DFAT and program partner</w:t>
      </w:r>
      <w:r w:rsidR="008035D2">
        <w:rPr>
          <w:rFonts w:cs="Arial"/>
        </w:rPr>
        <w:t xml:space="preserve"> capacity</w:t>
      </w:r>
      <w:r w:rsidRPr="00EF65AE">
        <w:rPr>
          <w:rFonts w:cs="Arial"/>
        </w:rPr>
        <w:t xml:space="preserve"> in M&amp;E</w:t>
      </w:r>
      <w:r w:rsidR="002B6D8A">
        <w:rPr>
          <w:rFonts w:cs="Arial"/>
        </w:rPr>
        <w:t>. This includes</w:t>
      </w:r>
      <w:r w:rsidRPr="00EF65AE">
        <w:rPr>
          <w:rFonts w:cs="Arial"/>
        </w:rPr>
        <w:t xml:space="preserve"> qualitative and quantitative methods for </w:t>
      </w:r>
      <w:r w:rsidR="002B6D8A">
        <w:rPr>
          <w:rFonts w:cs="Arial"/>
        </w:rPr>
        <w:t xml:space="preserve">collecting and analysing </w:t>
      </w:r>
      <w:r w:rsidRPr="00EF65AE">
        <w:rPr>
          <w:rFonts w:cs="Arial"/>
        </w:rPr>
        <w:t xml:space="preserve">data. In particular, M&amp;E should not just </w:t>
      </w:r>
      <w:r w:rsidR="00BF07EA">
        <w:rPr>
          <w:rFonts w:cs="Arial"/>
        </w:rPr>
        <w:t>focus</w:t>
      </w:r>
      <w:r w:rsidRPr="00EF65AE">
        <w:rPr>
          <w:rFonts w:cs="Arial"/>
        </w:rPr>
        <w:t xml:space="preserve"> on proving success but pivot to a genuine investment in learning that is fed back into programs to improve them, and to inform decisions about scale-up. </w:t>
      </w:r>
    </w:p>
    <w:p w14:paraId="00F244A8" w14:textId="77777777" w:rsidR="00B70FF2" w:rsidRDefault="00B70FF2">
      <w:pPr>
        <w:numPr>
          <w:ilvl w:val="0"/>
          <w:numId w:val="0"/>
        </w:numPr>
        <w:rPr>
          <w:rFonts w:asciiTheme="majorHAnsi" w:eastAsiaTheme="majorEastAsia" w:hAnsiTheme="majorHAnsi" w:cstheme="majorBidi"/>
          <w:b/>
          <w:bCs/>
          <w:color w:val="000000" w:themeColor="text1"/>
          <w:sz w:val="20"/>
        </w:rPr>
      </w:pPr>
      <w:bookmarkStart w:id="337" w:name="_Toc14959615"/>
      <w:bookmarkStart w:id="338" w:name="_Toc15378141"/>
      <w:bookmarkStart w:id="339" w:name="_Toc15378490"/>
      <w:bookmarkEnd w:id="336"/>
      <w:r>
        <w:br w:type="page"/>
      </w:r>
    </w:p>
    <w:p w14:paraId="4495E0D5" w14:textId="0CE3243F" w:rsidR="007F0DF3" w:rsidRPr="00EF65AE" w:rsidRDefault="007F0DF3" w:rsidP="007F0DF3">
      <w:pPr>
        <w:pStyle w:val="Heading3NoTOC"/>
        <w:rPr>
          <w:highlight w:val="yellow"/>
        </w:rPr>
      </w:pPr>
      <w:r w:rsidRPr="00EF65AE">
        <w:t>Recommendation 5: Continue to enhance evaluation and learning to improve EVAWG outcomes by:</w:t>
      </w:r>
    </w:p>
    <w:p w14:paraId="44DF16C2" w14:textId="77777777" w:rsidR="007F0DF3" w:rsidRPr="00FD505C" w:rsidRDefault="007F0DF3" w:rsidP="007F0DF3">
      <w:pPr>
        <w:pStyle w:val="ListNumber"/>
        <w:numPr>
          <w:ilvl w:val="1"/>
          <w:numId w:val="13"/>
        </w:numPr>
      </w:pPr>
      <w:r w:rsidRPr="00FD505C">
        <w:t xml:space="preserve">enhancing shared learning to ensure investments contribute to regional and global knowledge, and model </w:t>
      </w:r>
      <w:r>
        <w:t>best</w:t>
      </w:r>
      <w:r w:rsidRPr="00FD505C">
        <w:t xml:space="preserve"> practice</w:t>
      </w:r>
    </w:p>
    <w:p w14:paraId="3D78EB71" w14:textId="77777777" w:rsidR="007F0DF3" w:rsidRPr="00FD505C" w:rsidRDefault="007F0DF3" w:rsidP="007F0DF3">
      <w:pPr>
        <w:pStyle w:val="ListNumber"/>
      </w:pPr>
      <w:r w:rsidRPr="00FD505C">
        <w:t xml:space="preserve">supporting better sharing of lessons between and within </w:t>
      </w:r>
      <w:r>
        <w:t>posts</w:t>
      </w:r>
      <w:r w:rsidRPr="00FD505C">
        <w:t>, and between Australian-funded partners</w:t>
      </w:r>
    </w:p>
    <w:p w14:paraId="62ED1528" w14:textId="77777777" w:rsidR="007F0DF3" w:rsidRDefault="007F0DF3" w:rsidP="007F0DF3">
      <w:pPr>
        <w:pStyle w:val="ListNumber"/>
      </w:pPr>
      <w:r w:rsidRPr="00FD505C">
        <w:t>focusing on more coordinated and high-profile research to ensure that Australia is engaged in a global leadership role in EVAWG</w:t>
      </w:r>
      <w:r>
        <w:t>, which</w:t>
      </w:r>
      <w:r w:rsidRPr="00FD505C">
        <w:t xml:space="preserve"> should include collaborati</w:t>
      </w:r>
      <w:r>
        <w:t>ng</w:t>
      </w:r>
      <w:r w:rsidRPr="00FD505C">
        <w:t xml:space="preserve"> with local and international stakeholders, including research institutions, to improve, consolidate and share the </w:t>
      </w:r>
      <w:r>
        <w:t xml:space="preserve">EVAWG </w:t>
      </w:r>
      <w:r w:rsidRPr="00FD505C">
        <w:t>evidence</w:t>
      </w:r>
      <w:r>
        <w:t xml:space="preserve"> </w:t>
      </w:r>
      <w:r w:rsidRPr="00FD505C">
        <w:t xml:space="preserve">base </w:t>
      </w:r>
    </w:p>
    <w:p w14:paraId="1ED4CA3A" w14:textId="0EF76C06" w:rsidR="007F0DF3" w:rsidRDefault="007F0DF3" w:rsidP="0012349A">
      <w:pPr>
        <w:pStyle w:val="ListNumber"/>
      </w:pPr>
      <w:r w:rsidRPr="00FD505C">
        <w:t>increasing investment in rigorous but diverse quantitative and qualitative evaluation of prevention programs (including practice</w:t>
      </w:r>
      <w:r w:rsidRPr="00EF65AE">
        <w:t>-based learning, feminist and women</w:t>
      </w:r>
      <w:r>
        <w:t>-</w:t>
      </w:r>
      <w:r w:rsidRPr="00EF65AE">
        <w:t>centred methods</w:t>
      </w:r>
      <w:r>
        <w:t>,</w:t>
      </w:r>
      <w:r w:rsidRPr="00EF65AE">
        <w:t xml:space="preserve"> and analysis) to build the evidence of what works.</w:t>
      </w:r>
    </w:p>
    <w:p w14:paraId="645ED05C" w14:textId="1F713955" w:rsidR="00EF65AE" w:rsidRPr="00EF65AE" w:rsidRDefault="004A793A" w:rsidP="006425F3">
      <w:pPr>
        <w:pStyle w:val="Heading1"/>
      </w:pPr>
      <w:bookmarkStart w:id="340" w:name="_Toc15563020"/>
      <w:bookmarkStart w:id="341" w:name="_Toc23434556"/>
      <w:r w:rsidRPr="00EF65AE">
        <w:t>Future directions</w:t>
      </w:r>
      <w:bookmarkEnd w:id="337"/>
      <w:bookmarkEnd w:id="338"/>
      <w:bookmarkEnd w:id="339"/>
      <w:bookmarkEnd w:id="340"/>
      <w:bookmarkEnd w:id="341"/>
    </w:p>
    <w:p w14:paraId="246C4997" w14:textId="77777777" w:rsidR="00B14CE2" w:rsidRDefault="00EF65AE" w:rsidP="005C4C04">
      <w:pPr>
        <w:pStyle w:val="Introduction"/>
      </w:pPr>
      <w:r w:rsidRPr="00EF65AE">
        <w:t xml:space="preserve">This chapter looks forward at issues that will increasingly impact on EVAWG, providing both opportunities and risks. </w:t>
      </w:r>
      <w:bookmarkStart w:id="342" w:name="_Toc14959616"/>
    </w:p>
    <w:p w14:paraId="694FFC78" w14:textId="342E6C53" w:rsidR="00EF65AE" w:rsidRPr="00EF65AE" w:rsidRDefault="004A793A" w:rsidP="00B14CE2">
      <w:pPr>
        <w:pStyle w:val="Heading2"/>
      </w:pPr>
      <w:bookmarkStart w:id="343" w:name="_Toc15378142"/>
      <w:bookmarkStart w:id="344" w:name="_Toc15378491"/>
      <w:bookmarkStart w:id="345" w:name="_Toc15563021"/>
      <w:bookmarkStart w:id="346" w:name="_Toc23434557"/>
      <w:r w:rsidRPr="00EF65AE">
        <w:t xml:space="preserve">Emerging </w:t>
      </w:r>
      <w:r w:rsidRPr="00B14CE2">
        <w:t>issues</w:t>
      </w:r>
      <w:r w:rsidRPr="00EF65AE">
        <w:t xml:space="preserve"> and new frontiers</w:t>
      </w:r>
      <w:bookmarkEnd w:id="342"/>
      <w:bookmarkEnd w:id="343"/>
      <w:bookmarkEnd w:id="344"/>
      <w:bookmarkEnd w:id="345"/>
      <w:bookmarkEnd w:id="346"/>
    </w:p>
    <w:p w14:paraId="3C9586E6" w14:textId="77777777" w:rsidR="00EF65AE" w:rsidRPr="00EF65AE" w:rsidRDefault="00EF65AE" w:rsidP="00B14CE2">
      <w:r w:rsidRPr="00EF65AE">
        <w:t xml:space="preserve">Globalisation, and the advent of new technology, are significant external factors </w:t>
      </w:r>
      <w:r w:rsidR="00E631C9">
        <w:t>with</w:t>
      </w:r>
      <w:r w:rsidRPr="00EF65AE">
        <w:t xml:space="preserve"> growing potential to affect Australia’s EVAWG work. </w:t>
      </w:r>
      <w:r w:rsidR="00E631C9">
        <w:t>While d</w:t>
      </w:r>
      <w:r w:rsidRPr="00EF65AE">
        <w:t xml:space="preserve">evelopments in these areas present opportunities for more effective and coordinated responses to VAWG, </w:t>
      </w:r>
      <w:r w:rsidR="00E631C9">
        <w:t>they</w:t>
      </w:r>
      <w:r w:rsidR="00E631C9" w:rsidRPr="00EF65AE">
        <w:t xml:space="preserve"> </w:t>
      </w:r>
      <w:r w:rsidRPr="00EF65AE">
        <w:t>also pose significant risks for</w:t>
      </w:r>
      <w:r w:rsidR="008035D2">
        <w:t xml:space="preserve"> the future safety and security of</w:t>
      </w:r>
      <w:r w:rsidRPr="00EF65AE">
        <w:t xml:space="preserve"> women and girls.</w:t>
      </w:r>
    </w:p>
    <w:p w14:paraId="4F64F055" w14:textId="77777777" w:rsidR="00EF65AE" w:rsidRPr="00EF65AE" w:rsidRDefault="00EF65AE" w:rsidP="00B14CE2">
      <w:pPr>
        <w:pStyle w:val="Heading3NoTOC"/>
      </w:pPr>
      <w:r w:rsidRPr="00EF65AE">
        <w:t>Globalisation</w:t>
      </w:r>
    </w:p>
    <w:p w14:paraId="6E64D15B" w14:textId="77777777" w:rsidR="00EF65AE" w:rsidRPr="00EF65AE" w:rsidRDefault="00EF65AE" w:rsidP="00EF65AE">
      <w:pPr>
        <w:rPr>
          <w:rFonts w:cs="Arial"/>
        </w:rPr>
      </w:pPr>
      <w:r w:rsidRPr="00EF65AE">
        <w:rPr>
          <w:rFonts w:cs="Arial"/>
        </w:rPr>
        <w:t xml:space="preserve">The body of global research into the impact of globalisation on </w:t>
      </w:r>
      <w:r w:rsidR="00AE4FE4">
        <w:rPr>
          <w:rFonts w:cs="Arial"/>
        </w:rPr>
        <w:t>VAWG</w:t>
      </w:r>
      <w:r w:rsidR="00E631C9">
        <w:rPr>
          <w:rFonts w:cs="Arial"/>
        </w:rPr>
        <w:t xml:space="preserve"> is increasing</w:t>
      </w:r>
      <w:r w:rsidRPr="00EF65AE">
        <w:rPr>
          <w:rFonts w:cs="Arial"/>
        </w:rPr>
        <w:t>.</w:t>
      </w:r>
      <w:r w:rsidRPr="00EF65AE">
        <w:rPr>
          <w:rFonts w:cs="Arial"/>
        </w:rPr>
        <w:fldChar w:fldCharType="begin"/>
      </w:r>
      <w:r w:rsidRPr="00EF65AE">
        <w:rPr>
          <w:rFonts w:cs="Arial"/>
        </w:rPr>
        <w:instrText xml:space="preserve"> ADDIN ZOTERO_ITEM CSL_CITATION {"citationID":"8dVmrCsg","properties":{"formattedCitation":"\\super 1\\nosupersub{}","plainCitation":"1","noteIndex":0},"citationItems":[{"id":1863,"uris":["http://zotero.org/users/4194704/items/BNPY3VKG"],"uri":["http://zotero.org/users/4194704/items/BNPY3VKG"],"itemData":{"id":1863,"type":"article-journal","title":"Violence Against Women: Globalizing the Integrated Ecological Model","container-title":"Violence Against Women","page":"1431-1455","volume":"21","issue":"12","abstract":"Globalization theories have proliferated over the past two decades. However, global developments have yet to be systematically incorporated into theories around violence against women. This article proposes to add a global level to the existing ecological model framework, popularized by Lori Heise in 1998, to explore the relationships between global processes and experiences of violence against women. Data from the Maldives and Cambodia are used to assess how globalized ideologies, economic development and integration, religious fundamentalisms, and global cultural exchange, as components of a larger globalization process, have affected men and women's experiences and perceptions of violence against women.","DOI":"10.1177/1077801215596244","ISSN":"1552-8448","journalAbbreviation":"Violence Against Women","author":[{"family":"Fulu","given":"E."},{"family":"Miedema","given":"S."}],"issued":{"date-parts":[["2015"]]}}}],"schema":"https://github.com/citation-style-language/schema/raw/master/csl-citation.json"} </w:instrText>
      </w:r>
      <w:r w:rsidRPr="00EF65AE">
        <w:rPr>
          <w:rFonts w:cs="Arial"/>
        </w:rPr>
        <w:fldChar w:fldCharType="separate"/>
      </w:r>
      <w:r w:rsidRPr="00EF65AE">
        <w:rPr>
          <w:rFonts w:cs="Arial"/>
          <w:vertAlign w:val="superscript"/>
          <w:lang w:val="en-US"/>
        </w:rPr>
        <w:t>1</w:t>
      </w:r>
      <w:r w:rsidRPr="00EF65AE">
        <w:rPr>
          <w:rFonts w:cs="Arial"/>
        </w:rPr>
        <w:fldChar w:fldCharType="end"/>
      </w:r>
      <w:r w:rsidRPr="00EF65AE">
        <w:rPr>
          <w:rFonts w:cs="Arial"/>
        </w:rPr>
        <w:t xml:space="preserve"> This research has found that an increase in the movement of women within and across borders can make them vulnerable to physical and economic exploitation and </w:t>
      </w:r>
      <w:r w:rsidR="008035D2">
        <w:rPr>
          <w:rFonts w:cs="Arial"/>
        </w:rPr>
        <w:t xml:space="preserve">that </w:t>
      </w:r>
      <w:r w:rsidRPr="00EF65AE">
        <w:rPr>
          <w:rFonts w:cs="Arial"/>
        </w:rPr>
        <w:t>trafficking of women and girls is increasingly sustained by global mechanisms and international crime networks.</w:t>
      </w:r>
      <w:r w:rsidRPr="00EF65AE">
        <w:rPr>
          <w:rFonts w:cs="Arial"/>
        </w:rPr>
        <w:fldChar w:fldCharType="begin"/>
      </w:r>
      <w:r w:rsidRPr="00EF65AE">
        <w:rPr>
          <w:rFonts w:cs="Arial"/>
        </w:rPr>
        <w:instrText xml:space="preserve"> ADDIN ZOTERO_ITEM CSL_CITATION {"citationID":"MvZ2wG2L","properties":{"formattedCitation":"\\super 119,120\\nosupersub{}","plainCitation":"119,120","noteIndex":0},"citationItems":[{"id":457,"uris":["http://zotero.org/users/4194704/items/YD8BH34W"],"uri":["http://zotero.org/users/4194704/items/YD8BH34W"],"itemData":{"id":457,"type":"report","title":"Current Statistics on Human Trafficking and Slavery","publisher":"Hagar International","publisher-place":"Melbourne","event-place":"Melbourne","URL":"https://hagarinternational.org/australia/files/Hagar-Slavery-Statistics.pdf","author":[{"literal":"Hagar International"}],"issued":{"date-parts":[["2013"]]},"accessed":{"date-parts":[["2018",8,16]]}}},{"id":2478,"uris":["http://zotero.org/users/4194704/items/7UXTG3CP"],"uri":["http://zotero.org/users/4194704/items/7UXTG3CP"],"itemData":{"id":2478,"type":"report","title":"The Australia-Asia program to combat trafficking in persons: Independent Mid-Term Review Final Report","publisher":"Agulhas","author":[{"family":"Hext","given":"Shaun"},{"family":"Scheye","given":"Eric"},{"family":"Cox","given":"Marcus"}],"issued":{"date-parts":[["2016"]]}}}],"schema":"https://github.com/citation-style-language/schema/raw/master/csl-citation.json"} </w:instrText>
      </w:r>
      <w:r w:rsidRPr="00EF65AE">
        <w:rPr>
          <w:rFonts w:cs="Arial"/>
        </w:rPr>
        <w:fldChar w:fldCharType="separate"/>
      </w:r>
      <w:r w:rsidRPr="00EF65AE">
        <w:rPr>
          <w:rFonts w:cs="Arial"/>
          <w:vertAlign w:val="superscript"/>
          <w:lang w:val="en-US"/>
        </w:rPr>
        <w:t>119,120</w:t>
      </w:r>
      <w:r w:rsidRPr="00EF65AE">
        <w:rPr>
          <w:rFonts w:cs="Arial"/>
        </w:rPr>
        <w:fldChar w:fldCharType="end"/>
      </w:r>
    </w:p>
    <w:p w14:paraId="2CC08027" w14:textId="77777777" w:rsidR="00EF65AE" w:rsidRPr="00EF65AE" w:rsidRDefault="00EF65AE" w:rsidP="00EF65AE">
      <w:pPr>
        <w:rPr>
          <w:rFonts w:cs="Arial"/>
        </w:rPr>
      </w:pPr>
      <w:r w:rsidRPr="00EF65AE">
        <w:rPr>
          <w:rFonts w:cs="Arial"/>
        </w:rPr>
        <w:t xml:space="preserve">Globalisation offers opportunities </w:t>
      </w:r>
      <w:r w:rsidR="00E631C9">
        <w:rPr>
          <w:rFonts w:cs="Arial"/>
        </w:rPr>
        <w:t>to</w:t>
      </w:r>
      <w:r w:rsidR="00E631C9" w:rsidRPr="00EF65AE">
        <w:rPr>
          <w:rFonts w:cs="Arial"/>
        </w:rPr>
        <w:t xml:space="preserve"> </w:t>
      </w:r>
      <w:r w:rsidRPr="00EF65AE">
        <w:rPr>
          <w:rFonts w:cs="Arial"/>
        </w:rPr>
        <w:t>promot</w:t>
      </w:r>
      <w:r w:rsidR="00E631C9">
        <w:rPr>
          <w:rFonts w:cs="Arial"/>
        </w:rPr>
        <w:t>e</w:t>
      </w:r>
      <w:r w:rsidRPr="00EF65AE">
        <w:rPr>
          <w:rFonts w:cs="Arial"/>
        </w:rPr>
        <w:t xml:space="preserve"> gender equality and women’s empowerment</w:t>
      </w:r>
      <w:r w:rsidR="00E631C9">
        <w:rPr>
          <w:rFonts w:cs="Arial"/>
        </w:rPr>
        <w:t>. It also puts</w:t>
      </w:r>
      <w:r w:rsidRPr="00EF65AE">
        <w:rPr>
          <w:rFonts w:cs="Arial"/>
        </w:rPr>
        <w:t xml:space="preserve"> women’s rights and safety</w:t>
      </w:r>
      <w:r w:rsidR="00E631C9">
        <w:rPr>
          <w:rFonts w:cs="Arial"/>
        </w:rPr>
        <w:t xml:space="preserve"> at risk</w:t>
      </w:r>
      <w:r w:rsidRPr="00EF65AE">
        <w:rPr>
          <w:rFonts w:cs="Arial"/>
        </w:rPr>
        <w:t xml:space="preserve">. Emerging global trends </w:t>
      </w:r>
      <w:r w:rsidR="00E631C9">
        <w:rPr>
          <w:rFonts w:cs="Arial"/>
        </w:rPr>
        <w:t>can</w:t>
      </w:r>
      <w:r w:rsidRPr="00EF65AE">
        <w:rPr>
          <w:rFonts w:cs="Arial"/>
        </w:rPr>
        <w:t xml:space="preserve"> trigger or shift rates and patterns of VAWG by influencing the drivers of violence related to gender inequality and gender norms. </w:t>
      </w:r>
    </w:p>
    <w:p w14:paraId="700127D0" w14:textId="77777777" w:rsidR="00EF65AE" w:rsidRPr="00EF65AE" w:rsidRDefault="00EF65AE" w:rsidP="00EF65AE">
      <w:pPr>
        <w:rPr>
          <w:rFonts w:cs="Arial"/>
        </w:rPr>
      </w:pPr>
      <w:r w:rsidRPr="00EF65AE">
        <w:rPr>
          <w:rFonts w:cs="Arial"/>
        </w:rPr>
        <w:t>Rapid economic development has shifted gender roles and gendered power dynamics</w:t>
      </w:r>
      <w:r w:rsidR="00E631C9">
        <w:rPr>
          <w:rFonts w:cs="Arial"/>
        </w:rPr>
        <w:t>. I</w:t>
      </w:r>
      <w:r w:rsidRPr="00EF65AE">
        <w:rPr>
          <w:rFonts w:cs="Arial"/>
        </w:rPr>
        <w:t xml:space="preserve">n some cases, </w:t>
      </w:r>
      <w:r w:rsidR="00E631C9">
        <w:rPr>
          <w:rFonts w:cs="Arial"/>
        </w:rPr>
        <w:t xml:space="preserve">this has </w:t>
      </w:r>
      <w:r w:rsidRPr="00EF65AE">
        <w:rPr>
          <w:rFonts w:cs="Arial"/>
        </w:rPr>
        <w:t>increas</w:t>
      </w:r>
      <w:r w:rsidR="00E631C9">
        <w:rPr>
          <w:rFonts w:cs="Arial"/>
        </w:rPr>
        <w:t>ed</w:t>
      </w:r>
      <w:r w:rsidRPr="00EF65AE">
        <w:rPr>
          <w:rFonts w:cs="Arial"/>
        </w:rPr>
        <w:t xml:space="preserve"> women’s risk of violence from men</w:t>
      </w:r>
      <w:r w:rsidR="00E631C9">
        <w:rPr>
          <w:rFonts w:cs="Arial"/>
        </w:rPr>
        <w:t>. I</w:t>
      </w:r>
      <w:r w:rsidRPr="00EF65AE">
        <w:rPr>
          <w:rFonts w:cs="Arial"/>
        </w:rPr>
        <w:t xml:space="preserve">n other cases, </w:t>
      </w:r>
      <w:r w:rsidR="00E631C9">
        <w:rPr>
          <w:rFonts w:cs="Arial"/>
        </w:rPr>
        <w:t xml:space="preserve">it has </w:t>
      </w:r>
      <w:r w:rsidRPr="00EF65AE">
        <w:rPr>
          <w:rFonts w:cs="Arial"/>
        </w:rPr>
        <w:t>provid</w:t>
      </w:r>
      <w:r w:rsidR="00E631C9">
        <w:rPr>
          <w:rFonts w:cs="Arial"/>
        </w:rPr>
        <w:t>ed</w:t>
      </w:r>
      <w:r w:rsidRPr="00EF65AE">
        <w:rPr>
          <w:rFonts w:cs="Arial"/>
        </w:rPr>
        <w:t xml:space="preserve"> opportunities for women’s economic empowerment.</w:t>
      </w:r>
    </w:p>
    <w:p w14:paraId="776159FC" w14:textId="77777777" w:rsidR="00EF65AE" w:rsidRPr="002A6350" w:rsidRDefault="00EF65AE" w:rsidP="00EF65AE">
      <w:pPr>
        <w:rPr>
          <w:rFonts w:cs="Arial"/>
        </w:rPr>
      </w:pPr>
      <w:r w:rsidRPr="00EF65AE">
        <w:rPr>
          <w:rFonts w:cs="Arial"/>
        </w:rPr>
        <w:t>The global spread of religious fundamentalisms of all types are curtailing women’s rights</w:t>
      </w:r>
      <w:r w:rsidR="00E631C9">
        <w:rPr>
          <w:rFonts w:cs="Arial"/>
        </w:rPr>
        <w:t>. A</w:t>
      </w:r>
      <w:r w:rsidRPr="00EF65AE">
        <w:rPr>
          <w:rFonts w:cs="Arial"/>
        </w:rPr>
        <w:t xml:space="preserve">t the same time, models of masculinity predicated on violence and sexual dominance over women are being disseminated through films and </w:t>
      </w:r>
      <w:r w:rsidRPr="002A6350">
        <w:rPr>
          <w:rFonts w:cs="Arial"/>
        </w:rPr>
        <w:t>television.</w:t>
      </w:r>
      <w:r w:rsidRPr="002A6350">
        <w:rPr>
          <w:rFonts w:cs="Arial"/>
        </w:rPr>
        <w:fldChar w:fldCharType="begin"/>
      </w:r>
      <w:r w:rsidRPr="002A6350">
        <w:rPr>
          <w:rFonts w:cs="Arial"/>
        </w:rPr>
        <w:instrText xml:space="preserve"> ADDIN ZOTERO_ITEM CSL_CITATION {"citationID":"6ZGCG8A9","properties":{"formattedCitation":"\\super 1\\nosupersub{}","plainCitation":"1","noteIndex":0},"citationItems":[{"id":1863,"uris":["http://zotero.org/users/4194704/items/BNPY3VKG"],"uri":["http://zotero.org/users/4194704/items/BNPY3VKG"],"itemData":{"id":1863,"type":"article-journal","title":"Violence Against Women: Globalizing the Integrated Ecological Model","container-title":"Violence Against Women","page":"1431-1455","volume":"21","issue":"12","abstract":"Globalization theories have proliferated over the past two decades. However, global developments have yet to be systematically incorporated into theories around violence against women. This article proposes to add a global level to the existing ecological model framework, popularized by Lori Heise in 1998, to explore the relationships between global processes and experiences of violence against women. Data from the Maldives and Cambodia are used to assess how globalized ideologies, economic development and integration, religious fundamentalisms, and global cultural exchange, as components of a larger globalization process, have affected men and women's experiences and perceptions of violence against women.","DOI":"10.1177/1077801215596244","ISSN":"1552-8448","journalAbbreviation":"Violence Against Women","author":[{"family":"Fulu","given":"E."},{"family":"Miedema","given":"S."}],"issued":{"date-parts":[["2015"]]}}}],"schema":"https://github.com/citation-style-language/schema/raw/master/csl-citation.json"} </w:instrText>
      </w:r>
      <w:r w:rsidRPr="002A6350">
        <w:rPr>
          <w:rFonts w:cs="Arial"/>
        </w:rPr>
        <w:fldChar w:fldCharType="separate"/>
      </w:r>
      <w:r w:rsidRPr="002A6350">
        <w:rPr>
          <w:rFonts w:cs="Arial"/>
          <w:vertAlign w:val="superscript"/>
          <w:lang w:val="en-US"/>
        </w:rPr>
        <w:t>1</w:t>
      </w:r>
      <w:r w:rsidRPr="002A6350">
        <w:rPr>
          <w:rFonts w:cs="Arial"/>
        </w:rPr>
        <w:fldChar w:fldCharType="end"/>
      </w:r>
      <w:r w:rsidRPr="002A6350">
        <w:rPr>
          <w:rFonts w:cs="Arial"/>
        </w:rPr>
        <w:t xml:space="preserve"> </w:t>
      </w:r>
    </w:p>
    <w:p w14:paraId="6CC60976" w14:textId="77777777" w:rsidR="00EF65AE" w:rsidRPr="00EF65AE" w:rsidRDefault="00EF65AE" w:rsidP="00EF65AE">
      <w:pPr>
        <w:rPr>
          <w:rFonts w:cs="Arial"/>
          <w:highlight w:val="yellow"/>
        </w:rPr>
      </w:pPr>
      <w:r w:rsidRPr="00EF65AE">
        <w:rPr>
          <w:rFonts w:cs="Arial"/>
        </w:rPr>
        <w:t>Looking forward</w:t>
      </w:r>
      <w:r w:rsidR="00F36F07">
        <w:rPr>
          <w:rFonts w:cs="Arial"/>
        </w:rPr>
        <w:t>,</w:t>
      </w:r>
      <w:r w:rsidRPr="00EF65AE">
        <w:rPr>
          <w:rFonts w:cs="Arial"/>
        </w:rPr>
        <w:t xml:space="preserve"> the Australian Government needs to assess the risks of global trends affecting potential EVAWG programs, and retain flexibility to develop the most effective approaches, solutions and protections in a rapidly changing world. Such solutions should be devised in close collaboration with those intended to benefit from them</w:t>
      </w:r>
      <w:r w:rsidR="00E631C9">
        <w:rPr>
          <w:rFonts w:cs="Arial"/>
        </w:rPr>
        <w:t>. They should also</w:t>
      </w:r>
      <w:r w:rsidR="00F36F07">
        <w:rPr>
          <w:rFonts w:cs="Arial"/>
        </w:rPr>
        <w:t xml:space="preserve"> be</w:t>
      </w:r>
      <w:r w:rsidRPr="00EF65AE">
        <w:rPr>
          <w:rFonts w:cs="Arial"/>
        </w:rPr>
        <w:t xml:space="preserve"> consistent with international guidelines for inclusive and ethical research on VAWG. This is true of EVAWG programs, but equally of all Australian development cooperation which needs to be aware of changing global patterns that may impact </w:t>
      </w:r>
      <w:bookmarkStart w:id="347" w:name="_Hlk16087491"/>
      <w:r w:rsidR="00E631C9">
        <w:rPr>
          <w:rFonts w:cs="Arial"/>
        </w:rPr>
        <w:t xml:space="preserve">on </w:t>
      </w:r>
      <w:r w:rsidRPr="00EF65AE">
        <w:rPr>
          <w:rFonts w:cs="Arial"/>
        </w:rPr>
        <w:t>women and girls</w:t>
      </w:r>
      <w:r w:rsidR="00E631C9">
        <w:rPr>
          <w:rFonts w:cs="Arial"/>
        </w:rPr>
        <w:t xml:space="preserve"> and their</w:t>
      </w:r>
      <w:bookmarkEnd w:id="347"/>
      <w:r w:rsidRPr="00EF65AE">
        <w:rPr>
          <w:rFonts w:cs="Arial"/>
        </w:rPr>
        <w:t xml:space="preserve"> experience of violence in any sector. </w:t>
      </w:r>
      <w:bookmarkStart w:id="348" w:name="_Hlk16087500"/>
      <w:r w:rsidRPr="00EF65AE">
        <w:rPr>
          <w:rFonts w:cs="Arial"/>
        </w:rPr>
        <w:t>Do</w:t>
      </w:r>
      <w:r w:rsidR="001D0E57">
        <w:rPr>
          <w:rFonts w:cs="Arial"/>
        </w:rPr>
        <w:t>-</w:t>
      </w:r>
      <w:r w:rsidRPr="00EF65AE">
        <w:rPr>
          <w:rFonts w:cs="Arial"/>
        </w:rPr>
        <w:t>no</w:t>
      </w:r>
      <w:r w:rsidR="001D0E57">
        <w:rPr>
          <w:rFonts w:cs="Arial"/>
        </w:rPr>
        <w:t>-</w:t>
      </w:r>
      <w:r w:rsidRPr="00EF65AE">
        <w:rPr>
          <w:rFonts w:cs="Arial"/>
        </w:rPr>
        <w:t xml:space="preserve">harm </w:t>
      </w:r>
      <w:bookmarkEnd w:id="348"/>
      <w:r w:rsidRPr="00EF65AE">
        <w:rPr>
          <w:rFonts w:cs="Arial"/>
        </w:rPr>
        <w:t xml:space="preserve">approaches will be required to mitigate risks. </w:t>
      </w:r>
    </w:p>
    <w:p w14:paraId="0465E9E2" w14:textId="77777777" w:rsidR="00EF65AE" w:rsidRPr="00EF65AE" w:rsidRDefault="00EF65AE" w:rsidP="00B14CE2">
      <w:pPr>
        <w:pStyle w:val="Heading3NoTOC"/>
      </w:pPr>
      <w:r w:rsidRPr="00EF65AE">
        <w:t>New technology</w:t>
      </w:r>
    </w:p>
    <w:p w14:paraId="54CA39E0" w14:textId="77777777" w:rsidR="00E631C9" w:rsidRDefault="00EF65AE" w:rsidP="00EF65AE">
      <w:pPr>
        <w:rPr>
          <w:rFonts w:cs="Arial"/>
        </w:rPr>
      </w:pPr>
      <w:r w:rsidRPr="00EF65AE">
        <w:rPr>
          <w:rFonts w:cs="Arial"/>
        </w:rPr>
        <w:t>The expansion of mobile and digital technology offers new opportunities a</w:t>
      </w:r>
      <w:r w:rsidR="00E631C9">
        <w:rPr>
          <w:rFonts w:cs="Arial"/>
        </w:rPr>
        <w:t>s well as</w:t>
      </w:r>
      <w:r w:rsidRPr="00EF65AE">
        <w:rPr>
          <w:rFonts w:cs="Arial"/>
        </w:rPr>
        <w:t xml:space="preserve"> increased risks for women and girls. Access to new information technologies and </w:t>
      </w:r>
      <w:r w:rsidR="00AE55ED">
        <w:rPr>
          <w:rFonts w:cs="Arial"/>
        </w:rPr>
        <w:t xml:space="preserve">social </w:t>
      </w:r>
      <w:r w:rsidRPr="00EF65AE">
        <w:rPr>
          <w:rFonts w:cs="Arial"/>
        </w:rPr>
        <w:t>media can have a huge impact on women’s lives, introducing them to ideas and ways of thinking that can open possibilities.</w:t>
      </w:r>
      <w:r w:rsidRPr="00EF65AE">
        <w:rPr>
          <w:rFonts w:cs="Arial"/>
        </w:rPr>
        <w:fldChar w:fldCharType="begin"/>
      </w:r>
      <w:r w:rsidRPr="00EF65AE">
        <w:rPr>
          <w:rFonts w:cs="Arial"/>
        </w:rPr>
        <w:instrText xml:space="preserve"> ADDIN ZOTERO_ITEM CSL_CITATION {"citationID":"7nqHac8I","properties":{"formattedCitation":"\\super 121\\nosupersub{}","plainCitation":"121","noteIndex":0},"citationItems":[{"id":2541,"uris":["http://zotero.org/users/4194704/items/V6YIE3KC"],"uri":["http://zotero.org/users/4194704/items/V6YIE3KC"],"itemData":{"id":2541,"type":"report","title":"Born to be free: A Regional Study of Interventions to Enhance Women and Girls’ Safety and Mobility in Public Spaces, Asia Pacific Region","publisher":"UN Women and KWDI","author":[{"literal":"UN Women and KWDI"}],"issued":{"date-parts":[["2016"]]}}}],"schema":"https://github.com/citation-style-language/schema/raw/master/csl-citation.json"} </w:instrText>
      </w:r>
      <w:r w:rsidRPr="00EF65AE">
        <w:rPr>
          <w:rFonts w:cs="Arial"/>
        </w:rPr>
        <w:fldChar w:fldCharType="separate"/>
      </w:r>
      <w:r w:rsidRPr="00EF65AE">
        <w:rPr>
          <w:rFonts w:cs="Arial"/>
          <w:vertAlign w:val="superscript"/>
          <w:lang w:val="en-US"/>
        </w:rPr>
        <w:t>121</w:t>
      </w:r>
      <w:r w:rsidRPr="00EF65AE">
        <w:rPr>
          <w:rFonts w:cs="Arial"/>
        </w:rPr>
        <w:fldChar w:fldCharType="end"/>
      </w:r>
      <w:r w:rsidRPr="00EF65AE">
        <w:rPr>
          <w:rFonts w:cs="Arial"/>
        </w:rPr>
        <w:t xml:space="preserve"> </w:t>
      </w:r>
    </w:p>
    <w:p w14:paraId="6D1B17BF" w14:textId="77777777" w:rsidR="00EF65AE" w:rsidRPr="00EF65AE" w:rsidRDefault="00EF65AE" w:rsidP="00EF65AE">
      <w:pPr>
        <w:rPr>
          <w:rFonts w:cs="Arial"/>
        </w:rPr>
      </w:pPr>
      <w:r w:rsidRPr="00EF65AE">
        <w:rPr>
          <w:rFonts w:cs="Arial"/>
        </w:rPr>
        <w:t>New technology has increased access to information and links to service providers</w:t>
      </w:r>
      <w:r w:rsidR="00F36F07">
        <w:rPr>
          <w:rFonts w:cs="Arial"/>
        </w:rPr>
        <w:t xml:space="preserve">. It </w:t>
      </w:r>
      <w:r w:rsidRPr="00EF65AE">
        <w:rPr>
          <w:rFonts w:cs="Arial"/>
        </w:rPr>
        <w:t>has enabled accessible, detailed, real-time reporting of violence and connections to international movements such as #metoo. In Timor-Leste, for example, Australia has funded the development of a</w:t>
      </w:r>
      <w:r w:rsidRPr="00EF65AE">
        <w:rPr>
          <w:rFonts w:cs="Arial"/>
          <w:i/>
        </w:rPr>
        <w:t xml:space="preserve"> </w:t>
      </w:r>
      <w:r w:rsidRPr="00EF65AE">
        <w:rPr>
          <w:rFonts w:cs="Arial"/>
        </w:rPr>
        <w:t xml:space="preserve">mobile phone application helping frontline service providers coordinate responses for women and girls experiencing violence and enabling people to seek help. </w:t>
      </w:r>
    </w:p>
    <w:p w14:paraId="436ADE44" w14:textId="79192E02" w:rsidR="00EF65AE" w:rsidRPr="00EF65AE" w:rsidRDefault="00EF65AE" w:rsidP="00EF65AE">
      <w:pPr>
        <w:rPr>
          <w:rFonts w:cs="Arial"/>
        </w:rPr>
      </w:pPr>
      <w:r w:rsidRPr="00EF65AE">
        <w:rPr>
          <w:rFonts w:cs="Arial"/>
        </w:rPr>
        <w:t xml:space="preserve">Online applications and tools are being used in many countries to report sexual harassment and create virtual safe spaces for women, girls, men and boys to take a stand against sexual harassment in public spaces. Mobile applications </w:t>
      </w:r>
      <w:r w:rsidR="00F36F07">
        <w:rPr>
          <w:rFonts w:cs="Arial"/>
        </w:rPr>
        <w:t>are being</w:t>
      </w:r>
      <w:r w:rsidRPr="00EF65AE">
        <w:rPr>
          <w:rFonts w:cs="Arial"/>
        </w:rPr>
        <w:t xml:space="preserve"> used to enhance research methodologies, such as geographic </w:t>
      </w:r>
      <w:r w:rsidRPr="003200F5">
        <w:rPr>
          <w:rFonts w:cs="Arial"/>
        </w:rPr>
        <w:t>information systems to map and rate areas based on their safety for women</w:t>
      </w:r>
      <w:r w:rsidR="00506B25" w:rsidRPr="003200F5">
        <w:rPr>
          <w:rFonts w:cs="Arial"/>
        </w:rPr>
        <w:t xml:space="preserve"> and girls. These applications area also being used</w:t>
      </w:r>
      <w:r w:rsidRPr="003200F5">
        <w:rPr>
          <w:rFonts w:cs="Arial"/>
        </w:rPr>
        <w:t xml:space="preserve"> </w:t>
      </w:r>
      <w:r w:rsidR="00506B25">
        <w:rPr>
          <w:rFonts w:cs="Arial"/>
        </w:rPr>
        <w:t>to ethically and safely collect</w:t>
      </w:r>
      <w:r w:rsidRPr="00506B25">
        <w:rPr>
          <w:rFonts w:cs="Arial"/>
        </w:rPr>
        <w:t xml:space="preserve"> data on VAWG.</w:t>
      </w:r>
      <w:r w:rsidRPr="00EF65AE">
        <w:rPr>
          <w:rFonts w:cs="Arial"/>
        </w:rPr>
        <w:t xml:space="preserve"> Australian-funded prevalence studies have </w:t>
      </w:r>
      <w:r w:rsidR="00506B25">
        <w:rPr>
          <w:rFonts w:cs="Arial"/>
        </w:rPr>
        <w:t xml:space="preserve">also </w:t>
      </w:r>
      <w:r w:rsidRPr="00EF65AE">
        <w:rPr>
          <w:rFonts w:cs="Arial"/>
        </w:rPr>
        <w:t xml:space="preserve">used handheld tablets </w:t>
      </w:r>
      <w:r w:rsidR="00506B25">
        <w:rPr>
          <w:rFonts w:cs="Arial"/>
        </w:rPr>
        <w:t xml:space="preserve">to </w:t>
      </w:r>
      <w:r w:rsidR="00D74A07">
        <w:rPr>
          <w:rFonts w:cs="Arial"/>
        </w:rPr>
        <w:br/>
      </w:r>
      <w:r w:rsidR="00506B25">
        <w:rPr>
          <w:rFonts w:cs="Arial"/>
        </w:rPr>
        <w:t>collect</w:t>
      </w:r>
      <w:r w:rsidR="00506B25" w:rsidRPr="00EF65AE">
        <w:rPr>
          <w:rFonts w:cs="Arial"/>
        </w:rPr>
        <w:t xml:space="preserve"> </w:t>
      </w:r>
      <w:r w:rsidRPr="00EF65AE">
        <w:rPr>
          <w:rFonts w:cs="Arial"/>
        </w:rPr>
        <w:t xml:space="preserve">data. </w:t>
      </w:r>
    </w:p>
    <w:p w14:paraId="75DDB57C" w14:textId="25C02820" w:rsidR="00506B25" w:rsidRDefault="00EF65AE" w:rsidP="00EF65AE">
      <w:pPr>
        <w:rPr>
          <w:rFonts w:cs="Arial"/>
        </w:rPr>
      </w:pPr>
      <w:r w:rsidRPr="00EF65AE">
        <w:rPr>
          <w:rFonts w:cs="Arial"/>
        </w:rPr>
        <w:t>However, new technology and enhanced connectivity can also in some settings in</w:t>
      </w:r>
      <w:r w:rsidR="004D3A6B">
        <w:rPr>
          <w:rFonts w:cs="Arial"/>
        </w:rPr>
        <w:t>crease</w:t>
      </w:r>
      <w:r w:rsidRPr="00EF65AE">
        <w:rPr>
          <w:rFonts w:cs="Arial"/>
        </w:rPr>
        <w:t xml:space="preserve"> exposure to violence</w:t>
      </w:r>
      <w:r w:rsidR="00506B25">
        <w:rPr>
          <w:rFonts w:cs="Arial"/>
        </w:rPr>
        <w:t xml:space="preserve"> and/</w:t>
      </w:r>
      <w:r w:rsidRPr="00EF65AE">
        <w:rPr>
          <w:rFonts w:cs="Arial"/>
        </w:rPr>
        <w:t xml:space="preserve">or cause backlash. For example, links with international women’s rights movements can push debate and increase awareness about women’s rights at national level. </w:t>
      </w:r>
      <w:r w:rsidR="00D74A07">
        <w:rPr>
          <w:rFonts w:cs="Arial"/>
        </w:rPr>
        <w:br/>
      </w:r>
      <w:r w:rsidRPr="00EF65AE">
        <w:rPr>
          <w:rFonts w:cs="Arial"/>
        </w:rPr>
        <w:t xml:space="preserve">In the Maldives, however, </w:t>
      </w:r>
      <w:r w:rsidR="00506B25">
        <w:rPr>
          <w:rFonts w:cs="Arial"/>
        </w:rPr>
        <w:t>this</w:t>
      </w:r>
      <w:r w:rsidRPr="00EF65AE">
        <w:rPr>
          <w:rFonts w:cs="Arial"/>
        </w:rPr>
        <w:t xml:space="preserve"> led to more patriarchal and unequal gender dynamics </w:t>
      </w:r>
      <w:r w:rsidR="00506B25">
        <w:rPr>
          <w:rFonts w:cs="Arial"/>
        </w:rPr>
        <w:t>caused by</w:t>
      </w:r>
      <w:r w:rsidRPr="00EF65AE">
        <w:rPr>
          <w:rFonts w:cs="Arial"/>
        </w:rPr>
        <w:t xml:space="preserve"> backlash against global discourse.</w:t>
      </w:r>
      <w:r w:rsidRPr="00EF65AE">
        <w:rPr>
          <w:rFonts w:cs="Arial"/>
        </w:rPr>
        <w:fldChar w:fldCharType="begin"/>
      </w:r>
      <w:r w:rsidRPr="00EF65AE">
        <w:rPr>
          <w:rFonts w:cs="Arial"/>
        </w:rPr>
        <w:instrText xml:space="preserve"> ADDIN ZOTERO_ITEM CSL_CITATION {"citationID":"7neOhP6E","properties":{"formattedCitation":"\\super 1\\nosupersub{}","plainCitation":"1","noteIndex":0},"citationItems":[{"id":1863,"uris":["http://zotero.org/users/4194704/items/BNPY3VKG"],"uri":["http://zotero.org/users/4194704/items/BNPY3VKG"],"itemData":{"id":1863,"type":"article-journal","title":"Violence Against Women: Globalizing the Integrated Ecological Model","container-title":"Violence Against Women","page":"1431-1455","volume":"21","issue":"12","abstract":"Globalization theories have proliferated over the past two decades. However, global developments have yet to be systematically incorporated into theories around violence against women. This article proposes to add a global level to the existing ecological model framework, popularized by Lori Heise in 1998, to explore the relationships between global processes and experiences of violence against women. Data from the Maldives and Cambodia are used to assess how globalized ideologies, economic development and integration, religious fundamentalisms, and global cultural exchange, as components of a larger globalization process, have affected men and women's experiences and perceptions of violence against women.","DOI":"10.1177/1077801215596244","ISSN":"1552-8448","journalAbbreviation":"Violence Against Women","author":[{"family":"Fulu","given":"E."},{"family":"Miedema","given":"S."}],"issued":{"date-parts":[["2015"]]}}}],"schema":"https://github.com/citation-style-language/schema/raw/master/csl-citation.json"} </w:instrText>
      </w:r>
      <w:r w:rsidRPr="00EF65AE">
        <w:rPr>
          <w:rFonts w:cs="Arial"/>
        </w:rPr>
        <w:fldChar w:fldCharType="separate"/>
      </w:r>
      <w:r w:rsidRPr="00EF65AE">
        <w:rPr>
          <w:rFonts w:cs="Arial"/>
          <w:vertAlign w:val="superscript"/>
          <w:lang w:val="en-US"/>
        </w:rPr>
        <w:t>1</w:t>
      </w:r>
      <w:r w:rsidRPr="00EF65AE">
        <w:rPr>
          <w:rFonts w:cs="Arial"/>
        </w:rPr>
        <w:fldChar w:fldCharType="end"/>
      </w:r>
      <w:r w:rsidRPr="00EF65AE">
        <w:rPr>
          <w:rFonts w:cs="Arial"/>
        </w:rPr>
        <w:t xml:space="preserve"> </w:t>
      </w:r>
    </w:p>
    <w:p w14:paraId="55884DA2" w14:textId="77777777" w:rsidR="00EF65AE" w:rsidRPr="002A6350" w:rsidRDefault="00EF65AE" w:rsidP="00EF65AE">
      <w:pPr>
        <w:rPr>
          <w:rFonts w:cs="Arial"/>
        </w:rPr>
      </w:pPr>
      <w:r w:rsidRPr="00EF65AE">
        <w:rPr>
          <w:rFonts w:cs="Arial"/>
        </w:rPr>
        <w:t xml:space="preserve">Digital technology is also linked to new and emerging forms of VAWG such as online sexual harassment, stalking and revenge porn. These and other emerging issues could be considered as potential focus issues for any future Australian Government work with partners to improve EVAWG monitoring, evaluation and </w:t>
      </w:r>
      <w:r w:rsidRPr="002A6350">
        <w:rPr>
          <w:rFonts w:cs="Arial"/>
        </w:rPr>
        <w:t>learning (</w:t>
      </w:r>
      <w:r w:rsidRPr="003200F5">
        <w:rPr>
          <w:rFonts w:cs="Arial"/>
        </w:rPr>
        <w:t>see</w:t>
      </w:r>
      <w:r w:rsidRPr="002A6350">
        <w:rPr>
          <w:rFonts w:cs="Arial"/>
        </w:rPr>
        <w:t xml:space="preserve"> also Chapter 6).</w:t>
      </w:r>
    </w:p>
    <w:p w14:paraId="691715CB" w14:textId="5513A8DF" w:rsidR="00B003E7" w:rsidRPr="00EF65AE" w:rsidRDefault="004A793A" w:rsidP="00B003E7">
      <w:pPr>
        <w:pStyle w:val="Heading2"/>
      </w:pPr>
      <w:bookmarkStart w:id="349" w:name="_Toc23434558"/>
      <w:r>
        <w:t>Future work</w:t>
      </w:r>
      <w:bookmarkEnd w:id="349"/>
    </w:p>
    <w:p w14:paraId="35ABF3B3" w14:textId="77777777" w:rsidR="00EF65AE" w:rsidRPr="00EF65AE" w:rsidRDefault="00EF65AE" w:rsidP="00EF65AE">
      <w:pPr>
        <w:rPr>
          <w:rFonts w:cs="Arial"/>
        </w:rPr>
      </w:pPr>
      <w:r w:rsidRPr="00EF65AE">
        <w:rPr>
          <w:rFonts w:cs="Arial"/>
        </w:rPr>
        <w:t>The gains made in EVAWG over the past 10 years are significant and should be celebrated. They set the stage for a promising future if investment is sustained, strengthened and expanded in certain areas. Based on the findings, th</w:t>
      </w:r>
      <w:r w:rsidR="00506B25">
        <w:rPr>
          <w:rFonts w:cs="Arial"/>
        </w:rPr>
        <w:t>is</w:t>
      </w:r>
      <w:r w:rsidRPr="00EF65AE">
        <w:rPr>
          <w:rFonts w:cs="Arial"/>
        </w:rPr>
        <w:t xml:space="preserve"> evaluation concludes that Australia needs to:</w:t>
      </w:r>
    </w:p>
    <w:p w14:paraId="20B0E389" w14:textId="77777777" w:rsidR="00EF65AE" w:rsidRPr="00EF65AE" w:rsidRDefault="00EF65AE" w:rsidP="00EF65AE">
      <w:pPr>
        <w:rPr>
          <w:rFonts w:cs="Arial"/>
        </w:rPr>
      </w:pPr>
      <w:r w:rsidRPr="00EF65AE">
        <w:rPr>
          <w:rFonts w:cs="Arial"/>
          <w:b/>
        </w:rPr>
        <w:t>Sustain and strengthen</w:t>
      </w:r>
      <w:r w:rsidRPr="00EF65AE">
        <w:rPr>
          <w:rFonts w:cs="Arial"/>
        </w:rPr>
        <w:t xml:space="preserve"> fragile gains through continued funding and leadership, including through regional and flexible mechanisms. </w:t>
      </w:r>
    </w:p>
    <w:p w14:paraId="3D15B984" w14:textId="77777777" w:rsidR="00EF65AE" w:rsidRPr="00EF65AE" w:rsidRDefault="00EF65AE" w:rsidP="00EF65AE">
      <w:pPr>
        <w:rPr>
          <w:rFonts w:eastAsia="Times New Roman" w:cs="Arial"/>
        </w:rPr>
      </w:pPr>
      <w:r w:rsidRPr="00EF65AE">
        <w:rPr>
          <w:rFonts w:cs="Arial"/>
          <w:b/>
        </w:rPr>
        <w:t>Maintain core funding</w:t>
      </w:r>
      <w:r w:rsidRPr="00EF65AE">
        <w:rPr>
          <w:rFonts w:cs="Arial"/>
        </w:rPr>
        <w:t xml:space="preserve"> where it exists, and expand where it does</w:t>
      </w:r>
      <w:r w:rsidR="00F36F07">
        <w:rPr>
          <w:rFonts w:cs="Arial"/>
        </w:rPr>
        <w:t xml:space="preserve"> not</w:t>
      </w:r>
      <w:r w:rsidRPr="00EF65AE">
        <w:rPr>
          <w:rFonts w:cs="Arial"/>
        </w:rPr>
        <w:t>, to local women's organisations. This is based on the catalytic role and effectiveness of local women's organisations in advancing national progress on EVAWG.</w:t>
      </w:r>
    </w:p>
    <w:p w14:paraId="057AC005" w14:textId="77777777" w:rsidR="00EF65AE" w:rsidRPr="00EF65AE" w:rsidRDefault="00EF65AE" w:rsidP="00EF65AE">
      <w:pPr>
        <w:rPr>
          <w:rFonts w:cs="Arial"/>
        </w:rPr>
      </w:pPr>
      <w:r w:rsidRPr="00EF65AE">
        <w:rPr>
          <w:rFonts w:cs="Arial"/>
          <w:b/>
        </w:rPr>
        <w:t>Stay the course</w:t>
      </w:r>
      <w:r w:rsidRPr="00EF65AE">
        <w:rPr>
          <w:rFonts w:cs="Arial"/>
        </w:rPr>
        <w:t xml:space="preserve"> in investing in access to justice with a focus now on implementation</w:t>
      </w:r>
      <w:r w:rsidRPr="00EF65AE">
        <w:rPr>
          <w:rFonts w:cs="Arial"/>
          <w:i/>
        </w:rPr>
        <w:t xml:space="preserve"> </w:t>
      </w:r>
      <w:r w:rsidRPr="00EF65AE">
        <w:rPr>
          <w:rFonts w:cs="Arial"/>
        </w:rPr>
        <w:t>of legislation and ensuring access for the most marginalised women and girls.</w:t>
      </w:r>
    </w:p>
    <w:p w14:paraId="512522BB" w14:textId="77777777" w:rsidR="00EF65AE" w:rsidRPr="00EF65AE" w:rsidRDefault="00EF65AE" w:rsidP="00EF65AE">
      <w:pPr>
        <w:rPr>
          <w:rFonts w:cs="Arial"/>
        </w:rPr>
      </w:pPr>
      <w:r w:rsidRPr="00EF65AE">
        <w:rPr>
          <w:rFonts w:cs="Arial"/>
          <w:b/>
        </w:rPr>
        <w:t xml:space="preserve">Maintain </w:t>
      </w:r>
      <w:r w:rsidRPr="003200F5">
        <w:rPr>
          <w:rFonts w:cs="Arial"/>
        </w:rPr>
        <w:t>investment in support services</w:t>
      </w:r>
      <w:r w:rsidRPr="00EF65AE">
        <w:rPr>
          <w:rFonts w:cs="Arial"/>
        </w:rPr>
        <w:t>, particularly the Essential Services Package, with a focus on addressing gaps in coverage.</w:t>
      </w:r>
    </w:p>
    <w:p w14:paraId="18B25280" w14:textId="77777777" w:rsidR="00EF65AE" w:rsidRPr="00EF65AE" w:rsidRDefault="00EF65AE" w:rsidP="00EF65AE">
      <w:pPr>
        <w:rPr>
          <w:rFonts w:cs="Arial"/>
        </w:rPr>
      </w:pPr>
      <w:r w:rsidRPr="00EF65AE">
        <w:rPr>
          <w:rFonts w:cs="Arial"/>
          <w:b/>
        </w:rPr>
        <w:t>Pivot investment</w:t>
      </w:r>
      <w:r w:rsidRPr="00EF65AE">
        <w:rPr>
          <w:rFonts w:cs="Arial"/>
        </w:rPr>
        <w:t xml:space="preserve"> to intensify high-level policy dialogue, align investment with global frameworks, and integrate an intersectional approach across programs.</w:t>
      </w:r>
    </w:p>
    <w:p w14:paraId="0C13C7ED" w14:textId="77777777" w:rsidR="00EF65AE" w:rsidRPr="00EF65AE" w:rsidRDefault="00EF65AE" w:rsidP="00EF65AE">
      <w:pPr>
        <w:rPr>
          <w:rFonts w:cs="Arial"/>
        </w:rPr>
      </w:pPr>
      <w:r w:rsidRPr="00EF65AE">
        <w:rPr>
          <w:rFonts w:cs="Arial"/>
          <w:b/>
        </w:rPr>
        <w:t>Invest more</w:t>
      </w:r>
      <w:r w:rsidRPr="00EF65AE">
        <w:rPr>
          <w:rFonts w:cs="Arial"/>
        </w:rPr>
        <w:t xml:space="preserve"> </w:t>
      </w:r>
      <w:r w:rsidRPr="003200F5">
        <w:rPr>
          <w:rFonts w:cs="Arial"/>
          <w:b/>
          <w:bCs/>
        </w:rPr>
        <w:t xml:space="preserve">in </w:t>
      </w:r>
      <w:r w:rsidR="00506B25" w:rsidRPr="003200F5">
        <w:rPr>
          <w:rFonts w:cs="Arial"/>
          <w:b/>
          <w:bCs/>
        </w:rPr>
        <w:t>VAWG</w:t>
      </w:r>
      <w:r w:rsidR="00E04064" w:rsidRPr="003200F5">
        <w:rPr>
          <w:rFonts w:cs="Arial"/>
          <w:b/>
          <w:bCs/>
        </w:rPr>
        <w:t xml:space="preserve"> </w:t>
      </w:r>
      <w:r w:rsidRPr="003200F5">
        <w:rPr>
          <w:rFonts w:cs="Arial"/>
          <w:b/>
          <w:bCs/>
        </w:rPr>
        <w:t>prevention</w:t>
      </w:r>
      <w:r w:rsidRPr="00EF65AE">
        <w:rPr>
          <w:rFonts w:cs="Arial"/>
        </w:rPr>
        <w:t xml:space="preserve">, including building the evidence base and capacity for prevention in the region. </w:t>
      </w:r>
    </w:p>
    <w:p w14:paraId="6DE99740" w14:textId="77777777" w:rsidR="00EF65AE" w:rsidRPr="00EF65AE" w:rsidRDefault="00EF65AE" w:rsidP="00EF65AE">
      <w:pPr>
        <w:rPr>
          <w:rFonts w:cs="Arial"/>
        </w:rPr>
      </w:pPr>
      <w:r w:rsidRPr="00EF65AE">
        <w:rPr>
          <w:rFonts w:eastAsia="Times New Roman" w:cs="Arial"/>
          <w:b/>
        </w:rPr>
        <w:t xml:space="preserve">Build </w:t>
      </w:r>
      <w:r w:rsidRPr="00EF65AE">
        <w:rPr>
          <w:rFonts w:cs="Arial"/>
          <w:b/>
        </w:rPr>
        <w:t xml:space="preserve">more </w:t>
      </w:r>
      <w:r w:rsidRPr="00EF65AE">
        <w:rPr>
          <w:rFonts w:cs="Arial"/>
        </w:rPr>
        <w:t>shared learning opportunities and ensure investments</w:t>
      </w:r>
      <w:r w:rsidR="00506B25">
        <w:rPr>
          <w:rFonts w:cs="Arial"/>
        </w:rPr>
        <w:t xml:space="preserve"> in this area</w:t>
      </w:r>
      <w:r w:rsidRPr="00EF65AE">
        <w:rPr>
          <w:rFonts w:cs="Arial"/>
        </w:rPr>
        <w:t xml:space="preserve"> make a significant contribution to regional and global knowledge and model </w:t>
      </w:r>
      <w:r w:rsidR="00E20CBF">
        <w:rPr>
          <w:rFonts w:cs="Arial"/>
        </w:rPr>
        <w:t>best</w:t>
      </w:r>
      <w:r w:rsidR="00E20CBF" w:rsidRPr="00EF65AE">
        <w:rPr>
          <w:rFonts w:cs="Arial"/>
        </w:rPr>
        <w:t xml:space="preserve"> </w:t>
      </w:r>
      <w:r w:rsidRPr="00EF65AE">
        <w:rPr>
          <w:rFonts w:cs="Arial"/>
        </w:rPr>
        <w:t xml:space="preserve">practice. </w:t>
      </w:r>
    </w:p>
    <w:p w14:paraId="355C6F62" w14:textId="77777777" w:rsidR="009469BC" w:rsidRPr="009469BC" w:rsidRDefault="00EF65AE" w:rsidP="004D25FE">
      <w:r w:rsidRPr="003200F5">
        <w:rPr>
          <w:rFonts w:eastAsia="Times New Roman" w:cs="Arial"/>
          <w:b/>
          <w:bCs/>
        </w:rPr>
        <w:t xml:space="preserve">Invest differently through </w:t>
      </w:r>
      <w:r w:rsidRPr="003200F5">
        <w:rPr>
          <w:rFonts w:cs="Arial"/>
          <w:b/>
          <w:bCs/>
        </w:rPr>
        <w:t>collaborating</w:t>
      </w:r>
      <w:r w:rsidRPr="009469BC">
        <w:rPr>
          <w:rFonts w:cs="Arial"/>
        </w:rPr>
        <w:t xml:space="preserve"> with other donors and key global partnerships to play a stronger global leadership role in EVAWG.</w:t>
      </w:r>
      <w:bookmarkStart w:id="350" w:name="_Toc14959618"/>
    </w:p>
    <w:p w14:paraId="3629C344" w14:textId="0779983B" w:rsidR="002A6350" w:rsidRDefault="004A793A" w:rsidP="002A6350">
      <w:pPr>
        <w:pStyle w:val="Heading1NoNumber"/>
      </w:pPr>
      <w:bookmarkStart w:id="351" w:name="_Toc15560005"/>
      <w:bookmarkStart w:id="352" w:name="_Toc23434559"/>
      <w:bookmarkEnd w:id="350"/>
      <w:r>
        <w:t>Reference</w:t>
      </w:r>
      <w:bookmarkEnd w:id="351"/>
      <w:r>
        <w:t xml:space="preserve"> list</w:t>
      </w:r>
      <w:bookmarkEnd w:id="352"/>
    </w:p>
    <w:p w14:paraId="7B34D82C" w14:textId="77777777" w:rsidR="002A6350" w:rsidRDefault="002A6350" w:rsidP="002A6350">
      <w:pPr>
        <w:pStyle w:val="ReferenceTab"/>
      </w:pPr>
      <w:r>
        <w:rPr>
          <w:sz w:val="20"/>
        </w:rPr>
        <w:fldChar w:fldCharType="begin"/>
      </w:r>
      <w:r>
        <w:rPr>
          <w:sz w:val="20"/>
        </w:rPr>
        <w:instrText xml:space="preserve"> ADDIN ZOTERO_BIBL {"uncited":[],"omitted":[],"custom":[]} CSL_BIBLIOGRAPHY </w:instrText>
      </w:r>
      <w:r>
        <w:rPr>
          <w:sz w:val="20"/>
        </w:rPr>
        <w:fldChar w:fldCharType="separate"/>
      </w:r>
      <w:r>
        <w:t xml:space="preserve">1. </w:t>
      </w:r>
      <w:r>
        <w:tab/>
        <w:t xml:space="preserve">Fulu E, Miedema S. </w:t>
      </w:r>
      <w:r w:rsidR="009B3C12">
        <w:t>'</w:t>
      </w:r>
      <w:r>
        <w:t>Violence Against Women: Globalizing the Integrated Ecological Model</w:t>
      </w:r>
      <w:r w:rsidR="009B3C12">
        <w:t>'</w:t>
      </w:r>
      <w:r>
        <w:t xml:space="preserve">. </w:t>
      </w:r>
      <w:r>
        <w:rPr>
          <w:i/>
          <w:iCs/>
        </w:rPr>
        <w:t xml:space="preserve">Violence </w:t>
      </w:r>
      <w:r w:rsidR="009B3C12">
        <w:rPr>
          <w:i/>
          <w:iCs/>
        </w:rPr>
        <w:t xml:space="preserve">Against </w:t>
      </w:r>
      <w:r>
        <w:rPr>
          <w:i/>
          <w:iCs/>
        </w:rPr>
        <w:t>Women</w:t>
      </w:r>
      <w:r>
        <w:t>. 2015</w:t>
      </w:r>
      <w:r w:rsidR="009B3C12">
        <w:t xml:space="preserve">. </w:t>
      </w:r>
      <w:r>
        <w:t>21 (12):1431</w:t>
      </w:r>
      <w:r w:rsidR="009B3C12">
        <w:t>–</w:t>
      </w:r>
      <w:r>
        <w:t>1455. doi:10.1177/1077801215596244</w:t>
      </w:r>
    </w:p>
    <w:p w14:paraId="35561356" w14:textId="77777777" w:rsidR="002A6350" w:rsidRDefault="002A6350" w:rsidP="002A6350">
      <w:pPr>
        <w:pStyle w:val="ReferenceTab"/>
      </w:pPr>
      <w:r>
        <w:t xml:space="preserve">2. </w:t>
      </w:r>
      <w:r>
        <w:tab/>
        <w:t xml:space="preserve">Ellsberg M, Bradley C, Egan A, Haddad A. </w:t>
      </w:r>
      <w:r w:rsidRPr="003200F5">
        <w:rPr>
          <w:i/>
          <w:iCs/>
        </w:rPr>
        <w:t>Violence against women in Melanesia and East Timor: Building on global and regional promising approaches.</w:t>
      </w:r>
      <w:r>
        <w:t xml:space="preserve"> </w:t>
      </w:r>
      <w:r w:rsidRPr="003200F5">
        <w:t>Aus</w:t>
      </w:r>
      <w:r w:rsidR="004E46D2">
        <w:t>tralian Agency of International Development. Canberra, Australia.</w:t>
      </w:r>
      <w:r>
        <w:t xml:space="preserve"> 2008.</w:t>
      </w:r>
    </w:p>
    <w:p w14:paraId="42308DC1" w14:textId="77777777" w:rsidR="002A6350" w:rsidRDefault="002A6350" w:rsidP="002A6350">
      <w:pPr>
        <w:pStyle w:val="ReferenceTab"/>
      </w:pPr>
      <w:r>
        <w:t xml:space="preserve">3. </w:t>
      </w:r>
      <w:r>
        <w:tab/>
        <w:t xml:space="preserve">Ellsberg M, Heilman B, Namy S, Contreras M, Hayes R. </w:t>
      </w:r>
      <w:r>
        <w:rPr>
          <w:i/>
          <w:iCs/>
        </w:rPr>
        <w:t xml:space="preserve">Violence against Women in Melanesia and Timor-Leste: Progress </w:t>
      </w:r>
      <w:r w:rsidR="009B3C12">
        <w:rPr>
          <w:i/>
          <w:iCs/>
        </w:rPr>
        <w:t>m</w:t>
      </w:r>
      <w:r>
        <w:rPr>
          <w:i/>
          <w:iCs/>
        </w:rPr>
        <w:t>ade since the 2008 Office of Development Effectiveness Report</w:t>
      </w:r>
      <w:r>
        <w:t>. International Center for Research on Women; 2012. https://www.usip.org/sites/default/files/missing-peace/Ellsberg-Mary.pdf</w:t>
      </w:r>
    </w:p>
    <w:p w14:paraId="5BBAF1D7" w14:textId="77777777" w:rsidR="002A6350" w:rsidRPr="00406CB7" w:rsidRDefault="002A6350" w:rsidP="002A6350">
      <w:pPr>
        <w:pStyle w:val="ReferenceTab"/>
      </w:pPr>
      <w:r>
        <w:t xml:space="preserve">4. </w:t>
      </w:r>
      <w:r>
        <w:tab/>
      </w:r>
      <w:r w:rsidR="003200F5">
        <w:t>World Health Organization</w:t>
      </w:r>
      <w:r w:rsidRPr="00406CB7">
        <w:t xml:space="preserve"> </w:t>
      </w:r>
      <w:r w:rsidRPr="003200F5">
        <w:rPr>
          <w:i/>
          <w:iCs/>
        </w:rPr>
        <w:t>Putting Wo</w:t>
      </w:r>
      <w:r w:rsidR="003200F5">
        <w:rPr>
          <w:i/>
          <w:iCs/>
        </w:rPr>
        <w:t>men’s Safety First:  </w:t>
      </w:r>
      <w:r w:rsidRPr="003200F5">
        <w:rPr>
          <w:i/>
          <w:iCs/>
        </w:rPr>
        <w:t xml:space="preserve">Ethical </w:t>
      </w:r>
      <w:r w:rsidR="003200F5">
        <w:rPr>
          <w:i/>
          <w:iCs/>
        </w:rPr>
        <w:t>and Safety Recommendations for Research on Domestic Violence A</w:t>
      </w:r>
      <w:r w:rsidRPr="003200F5">
        <w:rPr>
          <w:i/>
          <w:iCs/>
        </w:rPr>
        <w:t>gainst Women</w:t>
      </w:r>
      <w:r w:rsidRPr="00406CB7">
        <w:t>. 2002.</w:t>
      </w:r>
    </w:p>
    <w:p w14:paraId="2DDC9EF2" w14:textId="77777777" w:rsidR="002A6350" w:rsidRDefault="002A6350" w:rsidP="002A6350">
      <w:pPr>
        <w:pStyle w:val="ReferenceTab"/>
      </w:pPr>
      <w:r>
        <w:t xml:space="preserve">5. </w:t>
      </w:r>
      <w:r>
        <w:tab/>
        <w:t>Australasian Evaluation Society</w:t>
      </w:r>
      <w:r w:rsidR="004B4E80">
        <w:t xml:space="preserve"> (AES)</w:t>
      </w:r>
      <w:r>
        <w:t xml:space="preserve">. </w:t>
      </w:r>
      <w:r>
        <w:rPr>
          <w:i/>
          <w:iCs/>
        </w:rPr>
        <w:t>Guidelines for the Ethical Conduct of Evaluations</w:t>
      </w:r>
      <w:r>
        <w:t>. AES</w:t>
      </w:r>
      <w:r w:rsidR="009B3C12">
        <w:t>.</w:t>
      </w:r>
      <w:r>
        <w:t xml:space="preserve"> 2013.</w:t>
      </w:r>
    </w:p>
    <w:p w14:paraId="03CA7B97" w14:textId="77777777" w:rsidR="002A6350" w:rsidRDefault="002A6350" w:rsidP="002A6350">
      <w:pPr>
        <w:pStyle w:val="ReferenceTab"/>
      </w:pPr>
      <w:r>
        <w:t xml:space="preserve">6. </w:t>
      </w:r>
      <w:r>
        <w:tab/>
        <w:t xml:space="preserve">Ellsberg M, Potts A. </w:t>
      </w:r>
      <w:r>
        <w:rPr>
          <w:i/>
          <w:iCs/>
        </w:rPr>
        <w:t xml:space="preserve">Ethical </w:t>
      </w:r>
      <w:r w:rsidR="009B3C12">
        <w:rPr>
          <w:i/>
          <w:iCs/>
        </w:rPr>
        <w:t>c</w:t>
      </w:r>
      <w:r>
        <w:rPr>
          <w:i/>
          <w:iCs/>
        </w:rPr>
        <w:t xml:space="preserve">onsiderations for </w:t>
      </w:r>
      <w:r w:rsidR="009B3C12">
        <w:rPr>
          <w:i/>
          <w:iCs/>
        </w:rPr>
        <w:t>r</w:t>
      </w:r>
      <w:r>
        <w:rPr>
          <w:i/>
          <w:iCs/>
        </w:rPr>
        <w:t>esearch and</w:t>
      </w:r>
      <w:r w:rsidR="009B3C12">
        <w:rPr>
          <w:i/>
          <w:iCs/>
        </w:rPr>
        <w:t xml:space="preserve"> e</w:t>
      </w:r>
      <w:r>
        <w:rPr>
          <w:i/>
          <w:iCs/>
        </w:rPr>
        <w:t xml:space="preserve">valuation </w:t>
      </w:r>
      <w:r w:rsidR="009B3C12">
        <w:rPr>
          <w:i/>
          <w:iCs/>
        </w:rPr>
        <w:t>o</w:t>
      </w:r>
      <w:r>
        <w:rPr>
          <w:i/>
          <w:iCs/>
        </w:rPr>
        <w:t xml:space="preserve">n </w:t>
      </w:r>
      <w:r w:rsidR="009B3C12">
        <w:rPr>
          <w:i/>
          <w:iCs/>
        </w:rPr>
        <w:t>e</w:t>
      </w:r>
      <w:r>
        <w:rPr>
          <w:i/>
          <w:iCs/>
        </w:rPr>
        <w:t xml:space="preserve">nding </w:t>
      </w:r>
      <w:r w:rsidR="009B3C12">
        <w:rPr>
          <w:i/>
          <w:iCs/>
        </w:rPr>
        <w:t>v</w:t>
      </w:r>
      <w:r>
        <w:rPr>
          <w:i/>
          <w:iCs/>
        </w:rPr>
        <w:t xml:space="preserve">iolence </w:t>
      </w:r>
      <w:r w:rsidR="009B3C12">
        <w:rPr>
          <w:i/>
          <w:iCs/>
        </w:rPr>
        <w:t>a</w:t>
      </w:r>
      <w:r>
        <w:rPr>
          <w:i/>
          <w:iCs/>
        </w:rPr>
        <w:t xml:space="preserve">gainst </w:t>
      </w:r>
      <w:r w:rsidR="009B3C12">
        <w:rPr>
          <w:i/>
          <w:iCs/>
        </w:rPr>
        <w:t>w</w:t>
      </w:r>
      <w:r>
        <w:rPr>
          <w:i/>
          <w:iCs/>
        </w:rPr>
        <w:t xml:space="preserve">omen and </w:t>
      </w:r>
      <w:r w:rsidR="009B3C12">
        <w:rPr>
          <w:i/>
          <w:iCs/>
        </w:rPr>
        <w:t>g</w:t>
      </w:r>
      <w:r>
        <w:rPr>
          <w:i/>
          <w:iCs/>
        </w:rPr>
        <w:t>irls</w:t>
      </w:r>
      <w:r>
        <w:t>. Department of Foreign Affairs and Trade</w:t>
      </w:r>
      <w:r w:rsidR="009B3C12">
        <w:t>.</w:t>
      </w:r>
      <w:r>
        <w:t xml:space="preserve"> 2018.</w:t>
      </w:r>
    </w:p>
    <w:p w14:paraId="09F402E3" w14:textId="77777777" w:rsidR="002A6350" w:rsidRPr="003200F5" w:rsidRDefault="002A6350" w:rsidP="002A6350">
      <w:pPr>
        <w:pStyle w:val="ReferenceTab"/>
        <w:rPr>
          <w:i/>
          <w:iCs/>
        </w:rPr>
      </w:pPr>
      <w:r>
        <w:t xml:space="preserve">7. </w:t>
      </w:r>
      <w:r>
        <w:tab/>
        <w:t xml:space="preserve">United Nations Economic and Social Council. </w:t>
      </w:r>
      <w:r w:rsidRPr="003200F5">
        <w:rPr>
          <w:i/>
          <w:iCs/>
        </w:rPr>
        <w:t>Report on the 57th Session of the Commission on the Status of Women. 2013.</w:t>
      </w:r>
    </w:p>
    <w:p w14:paraId="711F6653" w14:textId="77777777" w:rsidR="002A6350" w:rsidRDefault="002A6350" w:rsidP="002A6350">
      <w:pPr>
        <w:pStyle w:val="ReferenceTab"/>
      </w:pPr>
      <w:r>
        <w:t xml:space="preserve">8. </w:t>
      </w:r>
      <w:r>
        <w:tab/>
        <w:t xml:space="preserve">García-Moreno C, Zimmerman C, Morris-Gehring A, et al. </w:t>
      </w:r>
      <w:r w:rsidR="00DC6215">
        <w:t>'</w:t>
      </w:r>
      <w:r>
        <w:t>Addressing violence against women: a call to action</w:t>
      </w:r>
      <w:r w:rsidR="00DC6215">
        <w:t>'</w:t>
      </w:r>
      <w:r>
        <w:t xml:space="preserve">. </w:t>
      </w:r>
      <w:r>
        <w:rPr>
          <w:i/>
          <w:iCs/>
        </w:rPr>
        <w:t>The Lancet</w:t>
      </w:r>
      <w:r>
        <w:t>. 2015</w:t>
      </w:r>
      <w:r w:rsidR="00DC6215">
        <w:t xml:space="preserve">. </w:t>
      </w:r>
      <w:r>
        <w:t>385 (9978):1685</w:t>
      </w:r>
      <w:r w:rsidR="00DC6215">
        <w:t>–</w:t>
      </w:r>
      <w:r>
        <w:t>1695.</w:t>
      </w:r>
    </w:p>
    <w:p w14:paraId="5CA57044" w14:textId="77777777" w:rsidR="002A6350" w:rsidRPr="004D2CDF" w:rsidRDefault="002A6350" w:rsidP="002A6350">
      <w:pPr>
        <w:pStyle w:val="ReferenceTab"/>
      </w:pPr>
      <w:r>
        <w:t xml:space="preserve">9. </w:t>
      </w:r>
      <w:r>
        <w:tab/>
        <w:t xml:space="preserve">Devries KM, Mak JY, García-Moreno C, et al. </w:t>
      </w:r>
      <w:r w:rsidR="00DC6215">
        <w:t>'</w:t>
      </w:r>
      <w:r>
        <w:t xml:space="preserve">The </w:t>
      </w:r>
      <w:r w:rsidR="00DC6215">
        <w:t>G</w:t>
      </w:r>
      <w:r>
        <w:t xml:space="preserve">lobal </w:t>
      </w:r>
      <w:r w:rsidR="00DC6215">
        <w:t>P</w:t>
      </w:r>
      <w:r>
        <w:t xml:space="preserve">revalence of </w:t>
      </w:r>
      <w:r w:rsidR="00DC6215">
        <w:t>I</w:t>
      </w:r>
      <w:r>
        <w:t xml:space="preserve">ntimate </w:t>
      </w:r>
      <w:r w:rsidR="00DC6215">
        <w:t>P</w:t>
      </w:r>
      <w:r>
        <w:t xml:space="preserve">artner </w:t>
      </w:r>
      <w:r w:rsidR="00DC6215">
        <w:t>V</w:t>
      </w:r>
      <w:r>
        <w:t xml:space="preserve">iolence </w:t>
      </w:r>
      <w:r w:rsidR="00DC6215">
        <w:t>A</w:t>
      </w:r>
      <w:r>
        <w:t xml:space="preserve">gainst </w:t>
      </w:r>
      <w:r w:rsidR="00DC6215">
        <w:t>W</w:t>
      </w:r>
      <w:r>
        <w:t>omen</w:t>
      </w:r>
      <w:r w:rsidR="00DC6215">
        <w:t>'</w:t>
      </w:r>
      <w:r>
        <w:t xml:space="preserve">. </w:t>
      </w:r>
      <w:r>
        <w:rPr>
          <w:i/>
          <w:iCs/>
        </w:rPr>
        <w:t>Science</w:t>
      </w:r>
      <w:r>
        <w:t>. 2013</w:t>
      </w:r>
      <w:r w:rsidR="00DC6215">
        <w:t xml:space="preserve">. </w:t>
      </w:r>
      <w:r>
        <w:t>340 (6140):15</w:t>
      </w:r>
      <w:r w:rsidRPr="004D2CDF">
        <w:t>27</w:t>
      </w:r>
      <w:r w:rsidR="00DC6215" w:rsidRPr="004D2CDF">
        <w:t>–</w:t>
      </w:r>
      <w:r w:rsidRPr="004D2CDF">
        <w:t>1528.</w:t>
      </w:r>
    </w:p>
    <w:p w14:paraId="51D0D31E" w14:textId="77777777" w:rsidR="002A6350" w:rsidRPr="004D2CDF" w:rsidRDefault="002A6350" w:rsidP="002A6350">
      <w:pPr>
        <w:pStyle w:val="ReferenceTab"/>
      </w:pPr>
      <w:r w:rsidRPr="004D2CDF">
        <w:t xml:space="preserve">10. </w:t>
      </w:r>
      <w:r w:rsidRPr="004D2CDF">
        <w:tab/>
        <w:t>Centers for Disease Control</w:t>
      </w:r>
      <w:r w:rsidR="003200F5" w:rsidRPr="004D2CDF">
        <w:t xml:space="preserve"> (CDC)</w:t>
      </w:r>
      <w:r w:rsidRPr="004D2CDF">
        <w:t xml:space="preserve"> and Prevention. </w:t>
      </w:r>
      <w:r w:rsidR="00DC6215" w:rsidRPr="004D2CDF">
        <w:t>'</w:t>
      </w:r>
      <w:r w:rsidRPr="004D2CDF">
        <w:t>Costs of Intimate Partner Violence against Women in the United States</w:t>
      </w:r>
      <w:r w:rsidR="00DC6215" w:rsidRPr="004D2CDF">
        <w:t>'.</w:t>
      </w:r>
      <w:r w:rsidRPr="004D2CDF">
        <w:t xml:space="preserve"> </w:t>
      </w:r>
      <w:r w:rsidRPr="004D2CDF">
        <w:rPr>
          <w:i/>
          <w:iCs/>
        </w:rPr>
        <w:t>Atlanta</w:t>
      </w:r>
      <w:r w:rsidR="00DC6215" w:rsidRPr="004D2CDF">
        <w:rPr>
          <w:i/>
          <w:iCs/>
        </w:rPr>
        <w:t xml:space="preserve"> Magazine</w:t>
      </w:r>
      <w:r w:rsidRPr="004D2CDF">
        <w:t>: CDC</w:t>
      </w:r>
      <w:r w:rsidR="004B4E80" w:rsidRPr="004D2CDF">
        <w:t>.</w:t>
      </w:r>
      <w:r w:rsidRPr="004D2CDF">
        <w:t xml:space="preserve"> National Center for Injury Prevention and Control</w:t>
      </w:r>
      <w:r w:rsidR="00DC6215" w:rsidRPr="004D2CDF">
        <w:t>.</w:t>
      </w:r>
      <w:r w:rsidRPr="004D2CDF">
        <w:t xml:space="preserve"> 2003.</w:t>
      </w:r>
    </w:p>
    <w:p w14:paraId="53400DC0" w14:textId="77777777" w:rsidR="002A6350" w:rsidRPr="004D2CDF" w:rsidRDefault="002A6350" w:rsidP="002A6350">
      <w:pPr>
        <w:pStyle w:val="ReferenceTab"/>
      </w:pPr>
      <w:r w:rsidRPr="004D2CDF">
        <w:t xml:space="preserve">11. </w:t>
      </w:r>
      <w:r w:rsidRPr="004D2CDF">
        <w:tab/>
        <w:t xml:space="preserve">Walby S. </w:t>
      </w:r>
      <w:r w:rsidRPr="004D2CDF">
        <w:rPr>
          <w:i/>
          <w:iCs/>
        </w:rPr>
        <w:t>The Cost of Domestic Violence</w:t>
      </w:r>
      <w:r w:rsidRPr="004D2CDF">
        <w:t>. London: Department of Trade and Industry</w:t>
      </w:r>
      <w:r w:rsidR="00DC6215" w:rsidRPr="004D2CDF">
        <w:t>.</w:t>
      </w:r>
      <w:r w:rsidRPr="004D2CDF">
        <w:t xml:space="preserve"> 2004.</w:t>
      </w:r>
    </w:p>
    <w:p w14:paraId="5B5C4F26" w14:textId="77777777" w:rsidR="002A6350" w:rsidRPr="004D2CDF" w:rsidRDefault="002A6350" w:rsidP="002A6350">
      <w:pPr>
        <w:pStyle w:val="ReferenceTab"/>
      </w:pPr>
      <w:r w:rsidRPr="004D2CDF">
        <w:rPr>
          <w:lang w:val="sv-SE"/>
        </w:rPr>
        <w:t xml:space="preserve">12. </w:t>
      </w:r>
      <w:r w:rsidRPr="004D2CDF">
        <w:rPr>
          <w:lang w:val="sv-SE"/>
        </w:rPr>
        <w:tab/>
        <w:t xml:space="preserve">Bonomi AE, Anderson ML, Rivara FP, Thompson RS. </w:t>
      </w:r>
      <w:r w:rsidR="00DC6215" w:rsidRPr="004D2CDF">
        <w:rPr>
          <w:lang w:val="sv-SE"/>
        </w:rPr>
        <w:t>'</w:t>
      </w:r>
      <w:r w:rsidRPr="004D2CDF">
        <w:t>Health care utilization and costs associated with physical and nonphysical</w:t>
      </w:r>
      <w:r w:rsidRPr="004D2CDF">
        <w:rPr>
          <w:rFonts w:ascii="Cambria Math" w:hAnsi="Cambria Math" w:cs="Cambria Math"/>
        </w:rPr>
        <w:t>‐</w:t>
      </w:r>
      <w:r w:rsidRPr="004D2CDF">
        <w:t>only intimate partner violence</w:t>
      </w:r>
      <w:r w:rsidR="00DC6215" w:rsidRPr="004D2CDF">
        <w:t>'</w:t>
      </w:r>
      <w:r w:rsidRPr="004D2CDF">
        <w:t xml:space="preserve">. </w:t>
      </w:r>
      <w:r w:rsidRPr="004D2CDF">
        <w:rPr>
          <w:i/>
          <w:iCs/>
        </w:rPr>
        <w:t>Health Serv</w:t>
      </w:r>
      <w:r w:rsidR="00DC6215" w:rsidRPr="004D2CDF">
        <w:rPr>
          <w:i/>
          <w:iCs/>
        </w:rPr>
        <w:t>ices Research</w:t>
      </w:r>
      <w:r w:rsidRPr="004D2CDF">
        <w:t>. 2009</w:t>
      </w:r>
      <w:r w:rsidR="00DC6215" w:rsidRPr="004D2CDF">
        <w:t xml:space="preserve">. </w:t>
      </w:r>
      <w:r w:rsidRPr="004D2CDF">
        <w:t>44 (3):1052</w:t>
      </w:r>
      <w:r w:rsidR="00DC6215" w:rsidRPr="004D2CDF">
        <w:t>–</w:t>
      </w:r>
      <w:r w:rsidRPr="004D2CDF">
        <w:t>1067.</w:t>
      </w:r>
    </w:p>
    <w:p w14:paraId="7F553AD2" w14:textId="77777777" w:rsidR="002A6350" w:rsidRPr="004D2CDF" w:rsidRDefault="002A6350" w:rsidP="002A6350">
      <w:pPr>
        <w:pStyle w:val="ReferenceTab"/>
      </w:pPr>
      <w:r w:rsidRPr="004D2CDF">
        <w:t xml:space="preserve">13. </w:t>
      </w:r>
      <w:r w:rsidRPr="004D2CDF">
        <w:tab/>
        <w:t xml:space="preserve">PricewaterhouseCoopers Australia (PwC), Our Watch, VicHealth. </w:t>
      </w:r>
      <w:r w:rsidRPr="004D2CDF">
        <w:rPr>
          <w:i/>
          <w:iCs/>
        </w:rPr>
        <w:t xml:space="preserve">A </w:t>
      </w:r>
      <w:r w:rsidR="00DC6215" w:rsidRPr="004D2CDF">
        <w:rPr>
          <w:i/>
          <w:iCs/>
        </w:rPr>
        <w:t>h</w:t>
      </w:r>
      <w:r w:rsidRPr="004D2CDF">
        <w:rPr>
          <w:i/>
          <w:iCs/>
        </w:rPr>
        <w:t xml:space="preserve">igh </w:t>
      </w:r>
      <w:r w:rsidR="00DC6215" w:rsidRPr="004D2CDF">
        <w:rPr>
          <w:i/>
          <w:iCs/>
        </w:rPr>
        <w:t>p</w:t>
      </w:r>
      <w:r w:rsidRPr="004D2CDF">
        <w:rPr>
          <w:i/>
          <w:iCs/>
        </w:rPr>
        <w:t xml:space="preserve">rice to </w:t>
      </w:r>
      <w:r w:rsidR="00DC6215" w:rsidRPr="004D2CDF">
        <w:rPr>
          <w:i/>
          <w:iCs/>
        </w:rPr>
        <w:t>p</w:t>
      </w:r>
      <w:r w:rsidRPr="004D2CDF">
        <w:rPr>
          <w:i/>
          <w:iCs/>
        </w:rPr>
        <w:t xml:space="preserve">ay: The </w:t>
      </w:r>
      <w:r w:rsidR="00DC6215" w:rsidRPr="004D2CDF">
        <w:rPr>
          <w:i/>
          <w:iCs/>
        </w:rPr>
        <w:t>e</w:t>
      </w:r>
      <w:r w:rsidRPr="004D2CDF">
        <w:rPr>
          <w:i/>
          <w:iCs/>
        </w:rPr>
        <w:t xml:space="preserve">conomic </w:t>
      </w:r>
      <w:r w:rsidR="00DC6215" w:rsidRPr="004D2CDF">
        <w:rPr>
          <w:i/>
          <w:iCs/>
        </w:rPr>
        <w:t>c</w:t>
      </w:r>
      <w:r w:rsidRPr="004D2CDF">
        <w:rPr>
          <w:i/>
          <w:iCs/>
        </w:rPr>
        <w:t xml:space="preserve">ase for </w:t>
      </w:r>
      <w:r w:rsidR="00DC6215" w:rsidRPr="004D2CDF">
        <w:rPr>
          <w:i/>
          <w:iCs/>
        </w:rPr>
        <w:t>p</w:t>
      </w:r>
      <w:r w:rsidRPr="004D2CDF">
        <w:rPr>
          <w:i/>
          <w:iCs/>
        </w:rPr>
        <w:t xml:space="preserve">reventing </w:t>
      </w:r>
      <w:r w:rsidR="00DC6215" w:rsidRPr="004D2CDF">
        <w:rPr>
          <w:i/>
          <w:iCs/>
        </w:rPr>
        <w:t>v</w:t>
      </w:r>
      <w:r w:rsidRPr="004D2CDF">
        <w:rPr>
          <w:i/>
          <w:iCs/>
        </w:rPr>
        <w:t xml:space="preserve">iolence against </w:t>
      </w:r>
      <w:r w:rsidR="00DC6215" w:rsidRPr="004D2CDF">
        <w:rPr>
          <w:i/>
          <w:iCs/>
        </w:rPr>
        <w:t>w</w:t>
      </w:r>
      <w:r w:rsidRPr="004D2CDF">
        <w:rPr>
          <w:i/>
          <w:iCs/>
        </w:rPr>
        <w:t>omen</w:t>
      </w:r>
      <w:r w:rsidRPr="004D2CDF">
        <w:t>. Melbourne</w:t>
      </w:r>
      <w:r w:rsidR="00DC6215" w:rsidRPr="004D2CDF">
        <w:t>.</w:t>
      </w:r>
      <w:r w:rsidRPr="004D2CDF">
        <w:t xml:space="preserve"> PwC</w:t>
      </w:r>
      <w:r w:rsidR="00DC6215" w:rsidRPr="004D2CDF">
        <w:t>.</w:t>
      </w:r>
      <w:r w:rsidRPr="004D2CDF">
        <w:t xml:space="preserve"> 2015.</w:t>
      </w:r>
    </w:p>
    <w:p w14:paraId="03BE7836" w14:textId="77777777" w:rsidR="002A6350" w:rsidRPr="004D2CDF" w:rsidRDefault="002A6350" w:rsidP="002A6350">
      <w:pPr>
        <w:pStyle w:val="ReferenceTab"/>
      </w:pPr>
      <w:r w:rsidRPr="004D2CDF">
        <w:t xml:space="preserve">14. </w:t>
      </w:r>
      <w:r w:rsidRPr="004D2CDF">
        <w:tab/>
        <w:t xml:space="preserve">Garcia-Moreno C, Heise L, Jansen HA, Ellsberg M, Watts C. </w:t>
      </w:r>
      <w:r w:rsidR="00DC6215" w:rsidRPr="004D2CDF">
        <w:t>'</w:t>
      </w:r>
      <w:r w:rsidRPr="004D2CDF">
        <w:t>Public health. Violence against women</w:t>
      </w:r>
      <w:r w:rsidR="00DC6215" w:rsidRPr="004D2CDF">
        <w:t>'</w:t>
      </w:r>
      <w:r w:rsidRPr="004D2CDF">
        <w:t xml:space="preserve">. </w:t>
      </w:r>
      <w:r w:rsidRPr="004D2CDF">
        <w:rPr>
          <w:i/>
          <w:iCs/>
        </w:rPr>
        <w:t>Science</w:t>
      </w:r>
      <w:r w:rsidRPr="004D2CDF">
        <w:t>. 2005</w:t>
      </w:r>
      <w:r w:rsidR="00DC6215" w:rsidRPr="004D2CDF">
        <w:t>.</w:t>
      </w:r>
      <w:r w:rsidRPr="004D2CDF">
        <w:t>310 (5752):1282</w:t>
      </w:r>
      <w:r w:rsidR="00022E1A" w:rsidRPr="004D2CDF">
        <w:t>–</w:t>
      </w:r>
      <w:r w:rsidRPr="004D2CDF">
        <w:t>1283. doi:10/5752/1282</w:t>
      </w:r>
    </w:p>
    <w:p w14:paraId="3D167514" w14:textId="77777777" w:rsidR="002A6350" w:rsidRPr="004D2CDF" w:rsidRDefault="002A6350" w:rsidP="002A6350">
      <w:pPr>
        <w:pStyle w:val="ReferenceTab"/>
      </w:pPr>
      <w:r w:rsidRPr="004D2CDF">
        <w:t xml:space="preserve">15. </w:t>
      </w:r>
      <w:r w:rsidRPr="004D2CDF">
        <w:tab/>
        <w:t>Central Statistics Organization (CSO), Ministry of Public Health, ICF. Afghanistan Demographic and Health Survey 2015. Kabul</w:t>
      </w:r>
      <w:r w:rsidR="00DC6215" w:rsidRPr="004D2CDF">
        <w:t>.</w:t>
      </w:r>
      <w:r w:rsidRPr="004D2CDF">
        <w:t xml:space="preserve"> C</w:t>
      </w:r>
      <w:r w:rsidR="00DC6215" w:rsidRPr="004D2CDF">
        <w:t>SO.</w:t>
      </w:r>
      <w:r w:rsidRPr="004D2CDF">
        <w:t xml:space="preserve"> 2017.</w:t>
      </w:r>
    </w:p>
    <w:p w14:paraId="2196425B" w14:textId="77777777" w:rsidR="002A6350" w:rsidRDefault="002A6350" w:rsidP="002A6350">
      <w:pPr>
        <w:pStyle w:val="ReferenceTab"/>
      </w:pPr>
      <w:r w:rsidRPr="004D2CDF">
        <w:t xml:space="preserve">16. </w:t>
      </w:r>
      <w:r w:rsidRPr="004D2CDF">
        <w:tab/>
        <w:t>World Health Organi</w:t>
      </w:r>
      <w:r w:rsidR="00DC6215" w:rsidRPr="004D2CDF">
        <w:t>z</w:t>
      </w:r>
      <w:r w:rsidRPr="004D2CDF">
        <w:t xml:space="preserve">ation, UN Women Cambodia. </w:t>
      </w:r>
      <w:r w:rsidRPr="004D2CDF">
        <w:rPr>
          <w:i/>
          <w:iCs/>
        </w:rPr>
        <w:t>National Survey on Women’s Health and Life Experiences in Cambodia</w:t>
      </w:r>
      <w:r w:rsidRPr="004D2CDF">
        <w:t>. Phnom Penh</w:t>
      </w:r>
      <w:r w:rsidR="00DC6215" w:rsidRPr="004D2CDF">
        <w:t>.</w:t>
      </w:r>
      <w:r w:rsidRPr="004D2CDF">
        <w:t xml:space="preserve"> Ministry of Women’s</w:t>
      </w:r>
      <w:r>
        <w:t xml:space="preserve"> Affairs, Kingdom of Cambodia</w:t>
      </w:r>
      <w:r w:rsidR="00DC6215">
        <w:t>.</w:t>
      </w:r>
      <w:r>
        <w:t xml:space="preserve"> 2015.</w:t>
      </w:r>
    </w:p>
    <w:p w14:paraId="1C7C587B" w14:textId="77777777" w:rsidR="002A6350" w:rsidRDefault="002A6350" w:rsidP="002A6350">
      <w:pPr>
        <w:pStyle w:val="ReferenceTab"/>
      </w:pPr>
      <w:r>
        <w:t xml:space="preserve">17. </w:t>
      </w:r>
      <w:r>
        <w:tab/>
        <w:t xml:space="preserve">Fulu E, Warner X, Miedema S, Jewkes R, Roselli T, Lang J. </w:t>
      </w:r>
      <w:r w:rsidRPr="003200F5">
        <w:rPr>
          <w:i/>
          <w:iCs/>
        </w:rPr>
        <w:t>Why Do Some Men Use Violence Against Women and How Can We Prevent It?: Quantitative Findings from the United Nations Multi-Country Study on Men and Violence in Asia and the Pacific</w:t>
      </w:r>
      <w:r>
        <w:t>. Bangkok</w:t>
      </w:r>
      <w:r w:rsidR="00DC6215">
        <w:t>.</w:t>
      </w:r>
      <w:r>
        <w:t xml:space="preserve"> U</w:t>
      </w:r>
      <w:r w:rsidR="00DC6215">
        <w:t>nited Nations Development Programme</w:t>
      </w:r>
      <w:r>
        <w:t>, U</w:t>
      </w:r>
      <w:r w:rsidR="00DC6215">
        <w:t xml:space="preserve">nited </w:t>
      </w:r>
      <w:r>
        <w:t>N</w:t>
      </w:r>
      <w:r w:rsidR="00DC6215">
        <w:t>ation</w:t>
      </w:r>
      <w:r w:rsidR="00022E1A">
        <w:t>s</w:t>
      </w:r>
      <w:r w:rsidR="00DC6215">
        <w:t xml:space="preserve"> Population Fund</w:t>
      </w:r>
      <w:r>
        <w:t>, UN Women and U</w:t>
      </w:r>
      <w:r w:rsidR="00DC6215">
        <w:t xml:space="preserve">nited </w:t>
      </w:r>
      <w:r>
        <w:t>N</w:t>
      </w:r>
      <w:r w:rsidR="00DC6215">
        <w:t xml:space="preserve">ations </w:t>
      </w:r>
      <w:r>
        <w:t>V</w:t>
      </w:r>
      <w:r w:rsidR="00DC6215">
        <w:t>olunteers.</w:t>
      </w:r>
      <w:r>
        <w:t xml:space="preserve"> 2013.</w:t>
      </w:r>
    </w:p>
    <w:p w14:paraId="695B1BBB" w14:textId="77777777" w:rsidR="002A6350" w:rsidRPr="004D2CDF" w:rsidRDefault="002A6350" w:rsidP="002A6350">
      <w:pPr>
        <w:pStyle w:val="ReferenceTab"/>
      </w:pPr>
      <w:r w:rsidRPr="004D2CDF">
        <w:t xml:space="preserve">18. </w:t>
      </w:r>
      <w:r w:rsidRPr="004D2CDF">
        <w:tab/>
        <w:t>U</w:t>
      </w:r>
      <w:r w:rsidR="004B4E80" w:rsidRPr="004D2CDF">
        <w:t>nited National Population Fund (U</w:t>
      </w:r>
      <w:r w:rsidRPr="004D2CDF">
        <w:t>NFPA</w:t>
      </w:r>
      <w:r w:rsidR="004B4E80" w:rsidRPr="004D2CDF">
        <w:t>)</w:t>
      </w:r>
      <w:r w:rsidRPr="004D2CDF">
        <w:t>. 2017 Narrative Report for the UNFPA</w:t>
      </w:r>
      <w:r w:rsidR="00DC6215" w:rsidRPr="004D2CDF">
        <w:t>–</w:t>
      </w:r>
      <w:r w:rsidRPr="004D2CDF">
        <w:t>DFAT KNOwVAWdata” Initiative: Strengthening Regional and National Capacities to Measure Violence against Women in Asia and the Pacific (2016</w:t>
      </w:r>
      <w:r w:rsidR="00DC6215" w:rsidRPr="004D2CDF">
        <w:t>–</w:t>
      </w:r>
      <w:r w:rsidRPr="004D2CDF">
        <w:t>2019). 2017.</w:t>
      </w:r>
    </w:p>
    <w:p w14:paraId="6743C5D9" w14:textId="77777777" w:rsidR="002A6350" w:rsidRDefault="002A6350" w:rsidP="002A6350">
      <w:pPr>
        <w:pStyle w:val="ReferenceTab"/>
      </w:pPr>
      <w:r>
        <w:rPr>
          <w:lang w:val="sv-SE"/>
        </w:rPr>
        <w:t xml:space="preserve">19. </w:t>
      </w:r>
      <w:r>
        <w:rPr>
          <w:lang w:val="sv-SE"/>
        </w:rPr>
        <w:tab/>
        <w:t xml:space="preserve">Jansen HAFM, Johansson-Fua S, Hafoka-Blake B, ‘Ilolahia GR. </w:t>
      </w:r>
      <w:r>
        <w:rPr>
          <w:i/>
          <w:iCs/>
        </w:rPr>
        <w:t>National Study on Domestic Violence against Women in Tonga 2009</w:t>
      </w:r>
      <w:r>
        <w:t>. Nuku’alofa, Kingdom of Tonga</w:t>
      </w:r>
      <w:r w:rsidR="00DC6215">
        <w:t>.</w:t>
      </w:r>
      <w:r>
        <w:t xml:space="preserve"> Ma’a Fafine mo e Famili Inc. 2012.</w:t>
      </w:r>
    </w:p>
    <w:p w14:paraId="2E0A0BC5" w14:textId="77777777" w:rsidR="002A6350" w:rsidRDefault="002A6350" w:rsidP="002A6350">
      <w:pPr>
        <w:pStyle w:val="ReferenceTab"/>
      </w:pPr>
      <w:r>
        <w:t xml:space="preserve">20. </w:t>
      </w:r>
      <w:r>
        <w:tab/>
        <w:t>The Asia Foundation.</w:t>
      </w:r>
      <w:r w:rsidRPr="004D2CDF">
        <w:rPr>
          <w:i/>
          <w:iCs/>
        </w:rPr>
        <w:t xml:space="preserve"> Understanding Violence against Women and Children in Timor-Leste: Findings from the </w:t>
      </w:r>
      <w:r w:rsidRPr="00DC6215">
        <w:t>Nabilan</w:t>
      </w:r>
      <w:r w:rsidRPr="004D2CDF">
        <w:rPr>
          <w:i/>
          <w:iCs/>
        </w:rPr>
        <w:t xml:space="preserve"> Baseline Study</w:t>
      </w:r>
      <w:r>
        <w:t>—Main Report. Dili</w:t>
      </w:r>
      <w:r w:rsidR="00DC6215">
        <w:t>.</w:t>
      </w:r>
      <w:r>
        <w:t xml:space="preserve"> The Asia Foundation</w:t>
      </w:r>
      <w:r w:rsidR="00DC6215">
        <w:t>.</w:t>
      </w:r>
      <w:r>
        <w:t xml:space="preserve"> 2016.</w:t>
      </w:r>
    </w:p>
    <w:p w14:paraId="52725AA9" w14:textId="77777777" w:rsidR="002A6350" w:rsidRDefault="002A6350" w:rsidP="002A6350">
      <w:pPr>
        <w:pStyle w:val="ReferenceTab"/>
      </w:pPr>
      <w:r>
        <w:t xml:space="preserve">21. </w:t>
      </w:r>
      <w:r>
        <w:tab/>
        <w:t xml:space="preserve">Bhattacharjya M, Fulu E, Murthy L, Seshu MS, Cabassi J, Vallejo-Mestres M. </w:t>
      </w:r>
      <w:r>
        <w:rPr>
          <w:i/>
          <w:iCs/>
        </w:rPr>
        <w:t>The Right(s) Evidence</w:t>
      </w:r>
      <w:r w:rsidR="00DC6215" w:rsidRPr="00022E1A">
        <w:rPr>
          <w:i/>
          <w:iCs/>
        </w:rPr>
        <w:t>—</w:t>
      </w:r>
      <w:r w:rsidRPr="00022E1A">
        <w:rPr>
          <w:i/>
          <w:iCs/>
        </w:rPr>
        <w:t>Sex Work, Violence and HIV in Asia: A Multi-Country Qualitative Study</w:t>
      </w:r>
      <w:r w:rsidRPr="00022E1A">
        <w:t>. Bangkok</w:t>
      </w:r>
      <w:r w:rsidR="00DC6215" w:rsidRPr="00022E1A">
        <w:t>.</w:t>
      </w:r>
      <w:r w:rsidRPr="00022E1A">
        <w:t xml:space="preserve"> U</w:t>
      </w:r>
      <w:r w:rsidR="004B4E80">
        <w:t>nited Nations Population Fund</w:t>
      </w:r>
      <w:r w:rsidRPr="00022E1A">
        <w:t>, U</w:t>
      </w:r>
      <w:r w:rsidR="004B4E80">
        <w:t>nited Nations Development Programme</w:t>
      </w:r>
      <w:r>
        <w:t xml:space="preserve"> and A</w:t>
      </w:r>
      <w:r w:rsidR="004B4E80">
        <w:t>sia Pacific Network of Sex Workers</w:t>
      </w:r>
      <w:r w:rsidR="002C7776">
        <w:t>.</w:t>
      </w:r>
      <w:r>
        <w:t xml:space="preserve"> 2015.</w:t>
      </w:r>
    </w:p>
    <w:p w14:paraId="080CD3EC" w14:textId="77777777" w:rsidR="002A6350" w:rsidRDefault="002A6350" w:rsidP="002A6350">
      <w:pPr>
        <w:pStyle w:val="ReferenceTab"/>
      </w:pPr>
      <w:r>
        <w:t xml:space="preserve">22. </w:t>
      </w:r>
      <w:r>
        <w:tab/>
        <w:t>UNICEF. Violence against Children in East Asia and the Pacific: A Regional Review and Synthesis of Findings. Bangkok: UNICEF E</w:t>
      </w:r>
      <w:r w:rsidR="004B4E80">
        <w:t>ast Asia and Pacific Regional Office</w:t>
      </w:r>
      <w:r w:rsidR="002C7776">
        <w:t>.</w:t>
      </w:r>
      <w:r>
        <w:t xml:space="preserve"> 2014.</w:t>
      </w:r>
    </w:p>
    <w:p w14:paraId="6F2AC5FF" w14:textId="77777777" w:rsidR="002A6350" w:rsidRDefault="002A6350" w:rsidP="002A6350">
      <w:pPr>
        <w:pStyle w:val="ReferenceTab"/>
      </w:pPr>
      <w:r>
        <w:t xml:space="preserve">23. </w:t>
      </w:r>
      <w:r>
        <w:tab/>
        <w:t xml:space="preserve">UNICEF. </w:t>
      </w:r>
      <w:r w:rsidRPr="004D2CDF">
        <w:rPr>
          <w:i/>
          <w:iCs/>
        </w:rPr>
        <w:t>Harmful Connections: Examining the Relationship between Violence against Women and Violence against Children in the South Pacific</w:t>
      </w:r>
      <w:r>
        <w:t>. Suva, Fiji: UNICEF</w:t>
      </w:r>
      <w:r w:rsidR="00022E1A">
        <w:t>.</w:t>
      </w:r>
      <w:r>
        <w:t xml:space="preserve"> 2015.</w:t>
      </w:r>
    </w:p>
    <w:p w14:paraId="56FAA97E" w14:textId="77777777" w:rsidR="002A6350" w:rsidRDefault="002A6350" w:rsidP="002A6350">
      <w:pPr>
        <w:pStyle w:val="ReferenceTab"/>
      </w:pPr>
      <w:r>
        <w:t xml:space="preserve">24. </w:t>
      </w:r>
      <w:r>
        <w:tab/>
        <w:t xml:space="preserve">Secretariat of the Pacific Community (SPC). </w:t>
      </w:r>
      <w:r>
        <w:rPr>
          <w:i/>
          <w:iCs/>
        </w:rPr>
        <w:t>Solomon Islands Family Health and Safety Study: A Study on Violence against Women and Children</w:t>
      </w:r>
      <w:r>
        <w:t>. Noumea, New Caledonia: S</w:t>
      </w:r>
      <w:r w:rsidR="00022E1A">
        <w:t>PC.</w:t>
      </w:r>
      <w:r>
        <w:t xml:space="preserve"> 2009.</w:t>
      </w:r>
    </w:p>
    <w:p w14:paraId="6945294D" w14:textId="77777777" w:rsidR="002A6350" w:rsidRDefault="002A6350" w:rsidP="002A6350">
      <w:pPr>
        <w:pStyle w:val="ReferenceTab"/>
      </w:pPr>
      <w:r>
        <w:t xml:space="preserve">25. </w:t>
      </w:r>
      <w:r>
        <w:tab/>
        <w:t xml:space="preserve">Guedes A, Bott S, Garcia-Moreno C, Colombini M. </w:t>
      </w:r>
      <w:r w:rsidR="00022E1A">
        <w:t>'</w:t>
      </w:r>
      <w:r>
        <w:t>Bridging the gaps: a global review of intersections of violence against women and violence against children</w:t>
      </w:r>
      <w:r w:rsidR="00022E1A">
        <w:t>'</w:t>
      </w:r>
      <w:r>
        <w:t xml:space="preserve">. </w:t>
      </w:r>
      <w:r>
        <w:rPr>
          <w:i/>
          <w:iCs/>
        </w:rPr>
        <w:t>Global Health Action</w:t>
      </w:r>
      <w:r>
        <w:t>. 2016</w:t>
      </w:r>
      <w:r w:rsidR="00AC4D82">
        <w:t>.</w:t>
      </w:r>
      <w:r>
        <w:t>9 (1):31516.</w:t>
      </w:r>
    </w:p>
    <w:p w14:paraId="1D4E69B5" w14:textId="77777777" w:rsidR="002A6350" w:rsidRDefault="002A6350" w:rsidP="002A6350">
      <w:pPr>
        <w:pStyle w:val="ReferenceTab"/>
      </w:pPr>
      <w:r>
        <w:t xml:space="preserve">26. </w:t>
      </w:r>
      <w:r>
        <w:tab/>
        <w:t xml:space="preserve">Namy S, Carlson C, O’Hara K, et al. </w:t>
      </w:r>
      <w:r w:rsidR="00022E1A">
        <w:t>'</w:t>
      </w:r>
      <w:r>
        <w:t>Towards a feminist understanding of intersecting violence against women and children in the family</w:t>
      </w:r>
      <w:r w:rsidR="00022E1A">
        <w:t>'</w:t>
      </w:r>
      <w:r>
        <w:t xml:space="preserve">. </w:t>
      </w:r>
      <w:r>
        <w:rPr>
          <w:i/>
          <w:iCs/>
        </w:rPr>
        <w:t>Social Science and Medicine</w:t>
      </w:r>
      <w:r>
        <w:t>. 2017</w:t>
      </w:r>
      <w:r w:rsidR="00022E1A">
        <w:t>.</w:t>
      </w:r>
      <w:r>
        <w:t>184:40</w:t>
      </w:r>
      <w:r w:rsidR="00022E1A">
        <w:t>–</w:t>
      </w:r>
      <w:r>
        <w:t>48. doi:10.1016/j.socscimed.2017.04.042</w:t>
      </w:r>
    </w:p>
    <w:p w14:paraId="643A0C75" w14:textId="77777777" w:rsidR="002A6350" w:rsidRDefault="002A6350" w:rsidP="002A6350">
      <w:pPr>
        <w:pStyle w:val="ReferenceTab"/>
      </w:pPr>
      <w:r>
        <w:t xml:space="preserve">27. </w:t>
      </w:r>
      <w:r>
        <w:tab/>
        <w:t xml:space="preserve">UNICEF, UNFPA. </w:t>
      </w:r>
      <w:r w:rsidRPr="004D2CDF">
        <w:rPr>
          <w:i/>
          <w:iCs/>
        </w:rPr>
        <w:t>Making the Connection: Intimate Partner Violence and Violence against Children in Eastern Europe and Central Asia</w:t>
      </w:r>
      <w:r>
        <w:t xml:space="preserve">. UNICEF </w:t>
      </w:r>
      <w:r w:rsidR="00406CB7">
        <w:t>and</w:t>
      </w:r>
      <w:r>
        <w:t xml:space="preserve"> U</w:t>
      </w:r>
      <w:r w:rsidR="004B4E80">
        <w:t>nited Nations Popluation Fund</w:t>
      </w:r>
      <w:r w:rsidR="000C066A">
        <w:t>.</w:t>
      </w:r>
      <w:r>
        <w:t xml:space="preserve"> 2018.</w:t>
      </w:r>
    </w:p>
    <w:p w14:paraId="21FCDE31" w14:textId="77777777" w:rsidR="002A6350" w:rsidRDefault="002A6350" w:rsidP="002A6350">
      <w:pPr>
        <w:pStyle w:val="ReferenceTab"/>
      </w:pPr>
      <w:r>
        <w:t xml:space="preserve">28. </w:t>
      </w:r>
      <w:r>
        <w:tab/>
        <w:t xml:space="preserve">Astbury J, Walji F. </w:t>
      </w:r>
      <w:r w:rsidR="004B4E80">
        <w:t>'</w:t>
      </w:r>
      <w:r>
        <w:t>Triple Jeopardy: Gender-based violence and human rights violations experienced by women with disabilities in Cambodia</w:t>
      </w:r>
      <w:r w:rsidR="004B4E80">
        <w:t>'</w:t>
      </w:r>
      <w:r>
        <w:t xml:space="preserve">. </w:t>
      </w:r>
      <w:bookmarkStart w:id="353" w:name="_Hlk19166711"/>
      <w:r>
        <w:rPr>
          <w:i/>
          <w:iCs/>
        </w:rPr>
        <w:t>Aus</w:t>
      </w:r>
      <w:r w:rsidR="004B4E80">
        <w:rPr>
          <w:i/>
          <w:iCs/>
        </w:rPr>
        <w:t>tralian Agency for International Development</w:t>
      </w:r>
      <w:r>
        <w:rPr>
          <w:i/>
          <w:iCs/>
        </w:rPr>
        <w:t xml:space="preserve"> Res</w:t>
      </w:r>
      <w:r w:rsidR="00022E1A">
        <w:rPr>
          <w:i/>
          <w:iCs/>
        </w:rPr>
        <w:t>earch</w:t>
      </w:r>
      <w:r>
        <w:rPr>
          <w:i/>
          <w:iCs/>
        </w:rPr>
        <w:t xml:space="preserve"> Work</w:t>
      </w:r>
      <w:r w:rsidR="00022E1A">
        <w:rPr>
          <w:i/>
          <w:iCs/>
        </w:rPr>
        <w:t>ing</w:t>
      </w:r>
      <w:r>
        <w:rPr>
          <w:i/>
          <w:iCs/>
        </w:rPr>
        <w:t xml:space="preserve"> Pap</w:t>
      </w:r>
      <w:bookmarkEnd w:id="353"/>
      <w:r w:rsidR="00022E1A">
        <w:rPr>
          <w:i/>
          <w:iCs/>
        </w:rPr>
        <w:t>er</w:t>
      </w:r>
      <w:r>
        <w:t>. 2013</w:t>
      </w:r>
      <w:r w:rsidR="000C066A">
        <w:t>.</w:t>
      </w:r>
      <w:r>
        <w:t>1. https://www.cbm.org/article/downloads/89816/Triple_Jeopardy_Working_Paper.pdf</w:t>
      </w:r>
    </w:p>
    <w:p w14:paraId="7CE4B0AC" w14:textId="77777777" w:rsidR="002A6350" w:rsidRDefault="002A6350" w:rsidP="002A6350">
      <w:pPr>
        <w:pStyle w:val="ReferenceTab"/>
      </w:pPr>
      <w:r>
        <w:t xml:space="preserve">29. </w:t>
      </w:r>
      <w:r>
        <w:tab/>
        <w:t xml:space="preserve">Dinh HH, Tran KT. </w:t>
      </w:r>
      <w:r w:rsidRPr="004D2CDF">
        <w:rPr>
          <w:i/>
          <w:iCs/>
        </w:rPr>
        <w:t>Being LGBT in Asia: Viet Nam Country Report</w:t>
      </w:r>
      <w:r w:rsidR="00406CB7" w:rsidRPr="004D2CDF">
        <w:rPr>
          <w:i/>
          <w:iCs/>
        </w:rPr>
        <w:t>—</w:t>
      </w:r>
      <w:r w:rsidRPr="004D2CDF">
        <w:rPr>
          <w:i/>
          <w:iCs/>
        </w:rPr>
        <w:t>A Participatory Review and Analysis of the Legal and Social Environment for Lesbian, Gay, Bisexual and Transgender (LGBT) Persons and Civil Society</w:t>
      </w:r>
      <w:r>
        <w:t>. U</w:t>
      </w:r>
      <w:r w:rsidR="004B4E80">
        <w:t>nited Nations Development Programme</w:t>
      </w:r>
      <w:r>
        <w:t xml:space="preserve"> and U</w:t>
      </w:r>
      <w:r w:rsidR="004B4E80">
        <w:t>nited States Agency for International Development</w:t>
      </w:r>
      <w:r w:rsidR="00022E1A">
        <w:t>.</w:t>
      </w:r>
      <w:r>
        <w:t xml:space="preserve"> 2014. http://www.asia-pacific.undp.org/content/dam/rbap/docs/Research%20&amp;%20Publications/hiv_aids/rbap-hhd-2014-blia-viet-nam-country-report.pdf Accessed 5 July 2018.</w:t>
      </w:r>
    </w:p>
    <w:p w14:paraId="6C5AC37F" w14:textId="77777777" w:rsidR="002A6350" w:rsidRDefault="002A6350" w:rsidP="002A6350">
      <w:pPr>
        <w:pStyle w:val="ReferenceTab"/>
      </w:pPr>
      <w:r>
        <w:t xml:space="preserve">30. </w:t>
      </w:r>
      <w:r>
        <w:tab/>
      </w:r>
      <w:bookmarkStart w:id="354" w:name="_Hlk19166965"/>
      <w:r>
        <w:t xml:space="preserve">The International Gay and Lesbian Human Rights Commission (IGLHRC). </w:t>
      </w:r>
      <w:r>
        <w:rPr>
          <w:i/>
          <w:iCs/>
        </w:rPr>
        <w:t>Violence Through the Lens of Lesbians, Bisexual Women and Trans People in Asia</w:t>
      </w:r>
      <w:r>
        <w:t>. New York</w:t>
      </w:r>
      <w:r w:rsidR="004B4E80">
        <w:t>.</w:t>
      </w:r>
      <w:r>
        <w:t xml:space="preserve"> IGLHRC</w:t>
      </w:r>
      <w:r w:rsidR="000C066A">
        <w:t>.</w:t>
      </w:r>
      <w:r>
        <w:t xml:space="preserve"> 2014.</w:t>
      </w:r>
    </w:p>
    <w:bookmarkEnd w:id="354"/>
    <w:p w14:paraId="710AD9A4" w14:textId="299A3E84" w:rsidR="002A6350" w:rsidRDefault="002A6350" w:rsidP="002A6350">
      <w:pPr>
        <w:pStyle w:val="ReferenceTab"/>
      </w:pPr>
      <w:r>
        <w:t xml:space="preserve">31. </w:t>
      </w:r>
      <w:r>
        <w:tab/>
      </w:r>
      <w:r w:rsidR="00022E1A">
        <w:t>i</w:t>
      </w:r>
      <w:r w:rsidR="00CE22E0">
        <w:t>bid.</w:t>
      </w:r>
    </w:p>
    <w:p w14:paraId="484C682E" w14:textId="77777777" w:rsidR="002A6350" w:rsidRDefault="002A6350" w:rsidP="002A6350">
      <w:pPr>
        <w:pStyle w:val="ReferenceTab"/>
      </w:pPr>
      <w:r>
        <w:t xml:space="preserve">32. </w:t>
      </w:r>
      <w:r>
        <w:tab/>
        <w:t xml:space="preserve">Fulu E, Warner X. </w:t>
      </w:r>
      <w:r>
        <w:rPr>
          <w:i/>
          <w:iCs/>
        </w:rPr>
        <w:t>Literature Review: Ending Violence Against Women and Girls</w:t>
      </w:r>
      <w:r>
        <w:t>. Department of Foreign Affairs and Trade</w:t>
      </w:r>
      <w:r w:rsidR="004B4E80">
        <w:t>. Canberra, Australia.</w:t>
      </w:r>
      <w:r>
        <w:t xml:space="preserve"> 2018.</w:t>
      </w:r>
    </w:p>
    <w:p w14:paraId="36459370" w14:textId="77777777" w:rsidR="002A6350" w:rsidRDefault="002A6350" w:rsidP="002A6350">
      <w:pPr>
        <w:pStyle w:val="ReferenceTab"/>
      </w:pPr>
      <w:r>
        <w:t xml:space="preserve">33. </w:t>
      </w:r>
      <w:r>
        <w:tab/>
        <w:t>Trans Murder Monitoring. 2</w:t>
      </w:r>
      <w:r w:rsidR="00022E1A">
        <w:t>,</w:t>
      </w:r>
      <w:r>
        <w:t xml:space="preserve">609 reported murders of trans and gender-diverse people in 71 countries worldwide (1 January 2008 </w:t>
      </w:r>
      <w:r w:rsidR="00022E1A">
        <w:t>to</w:t>
      </w:r>
      <w:r>
        <w:t xml:space="preserve"> 30 September 2017). 2018. https://transrespect.org/wp-content/uploads/2017/11/TvT_TMM_TDoR2017_2008-2017_Map_EN.pdf Accessed </w:t>
      </w:r>
      <w:r w:rsidR="00BE05B7">
        <w:t xml:space="preserve">11 </w:t>
      </w:r>
      <w:r>
        <w:t>July 2018.</w:t>
      </w:r>
    </w:p>
    <w:p w14:paraId="26360AA7" w14:textId="77777777" w:rsidR="002A6350" w:rsidRDefault="002A6350" w:rsidP="002A6350">
      <w:pPr>
        <w:pStyle w:val="ReferenceTab"/>
      </w:pPr>
      <w:r>
        <w:t xml:space="preserve">34. </w:t>
      </w:r>
      <w:r>
        <w:tab/>
        <w:t xml:space="preserve">Rede Feto and ASEAN SOGIE Caucus. </w:t>
      </w:r>
      <w:r>
        <w:rPr>
          <w:i/>
          <w:iCs/>
        </w:rPr>
        <w:t>A Research Report on the Lives of Lesbian and Bisexual Women and Transgender Men in Timor-Leste</w:t>
      </w:r>
      <w:r>
        <w:t>. Dili and Quezon City</w:t>
      </w:r>
      <w:r w:rsidR="00022E1A">
        <w:t>.</w:t>
      </w:r>
      <w:r>
        <w:t xml:space="preserve"> Rede Feto and ASEAN SOGIE Caucus</w:t>
      </w:r>
      <w:r w:rsidR="00022E1A">
        <w:t>.</w:t>
      </w:r>
      <w:r>
        <w:t xml:space="preserve"> 2017.</w:t>
      </w:r>
    </w:p>
    <w:p w14:paraId="02436FC7" w14:textId="77777777" w:rsidR="002A6350" w:rsidRDefault="002A6350" w:rsidP="002A6350">
      <w:pPr>
        <w:pStyle w:val="ReferenceTab"/>
      </w:pPr>
      <w:r>
        <w:t xml:space="preserve">35. </w:t>
      </w:r>
      <w:r>
        <w:tab/>
        <w:t xml:space="preserve">Oxfam. </w:t>
      </w:r>
      <w:r w:rsidRPr="004D2CDF">
        <w:rPr>
          <w:i/>
          <w:iCs/>
        </w:rPr>
        <w:t>The Long Way Home: Relocation of Survivors of Gender-Based Violence in PNG</w:t>
      </w:r>
      <w:r>
        <w:t>. Port Moresby: Oxfam</w:t>
      </w:r>
      <w:r w:rsidR="004B4E80">
        <w:t>.</w:t>
      </w:r>
    </w:p>
    <w:p w14:paraId="7023E73A" w14:textId="77777777" w:rsidR="002A6350" w:rsidRDefault="002A6350" w:rsidP="002A6350">
      <w:pPr>
        <w:pStyle w:val="ReferenceTab"/>
      </w:pPr>
      <w:r>
        <w:t xml:space="preserve">36. </w:t>
      </w:r>
      <w:r>
        <w:tab/>
        <w:t>UNIFEM. Ending Violence against Women and Girls: Evidence, Data and Knowledge in the Pacific Island Countries</w:t>
      </w:r>
      <w:r w:rsidR="00022E1A">
        <w:t>—</w:t>
      </w:r>
      <w:r>
        <w:t>Literature Review and Annotated Bibliography. Suva</w:t>
      </w:r>
      <w:r w:rsidR="004B4E80">
        <w:t>.</w:t>
      </w:r>
      <w:r>
        <w:t xml:space="preserve"> U</w:t>
      </w:r>
      <w:r w:rsidR="004B4E80">
        <w:t xml:space="preserve">nited Nations Development Fund for Women </w:t>
      </w:r>
      <w:r>
        <w:t>Pacific Sub-Regional Office</w:t>
      </w:r>
      <w:r w:rsidR="004B4E80">
        <w:t>.</w:t>
      </w:r>
      <w:r>
        <w:t xml:space="preserve"> 2010.</w:t>
      </w:r>
    </w:p>
    <w:p w14:paraId="2C6A9648" w14:textId="77777777" w:rsidR="002A6350" w:rsidRDefault="002A6350" w:rsidP="002A6350">
      <w:pPr>
        <w:pStyle w:val="ReferenceTab"/>
      </w:pPr>
      <w:r>
        <w:t xml:space="preserve">37. </w:t>
      </w:r>
      <w:r>
        <w:tab/>
        <w:t xml:space="preserve">Urame J. The spread of sorcery killing and its social implications. In Forsyth M, Eves R, eds. </w:t>
      </w:r>
      <w:r>
        <w:rPr>
          <w:i/>
          <w:iCs/>
        </w:rPr>
        <w:t>Talking It Through: Responses to Sorcery and Witchcraft Beliefs and Practices in Melanesia</w:t>
      </w:r>
      <w:r>
        <w:t>.  A</w:t>
      </w:r>
      <w:r w:rsidR="00BE05B7">
        <w:t>ustralian National University</w:t>
      </w:r>
      <w:r>
        <w:t xml:space="preserve"> Press</w:t>
      </w:r>
      <w:r w:rsidR="001026A4">
        <w:t>.</w:t>
      </w:r>
      <w:r w:rsidR="004E46D2">
        <w:t xml:space="preserve"> Canberra, Australia.</w:t>
      </w:r>
      <w:r>
        <w:t xml:space="preserve"> 2015.</w:t>
      </w:r>
    </w:p>
    <w:p w14:paraId="10141C74" w14:textId="77777777" w:rsidR="002A6350" w:rsidRDefault="002A6350" w:rsidP="002A6350">
      <w:pPr>
        <w:pStyle w:val="ReferenceTab"/>
      </w:pPr>
      <w:r>
        <w:t xml:space="preserve">38. </w:t>
      </w:r>
      <w:r>
        <w:tab/>
        <w:t xml:space="preserve">Crowell NA, Burgess AW. </w:t>
      </w:r>
      <w:r w:rsidRPr="004D2CDF">
        <w:rPr>
          <w:i/>
          <w:iCs/>
        </w:rPr>
        <w:t>Understanding violence against women</w:t>
      </w:r>
      <w:r>
        <w:t>. 1996.</w:t>
      </w:r>
    </w:p>
    <w:p w14:paraId="6E944EE0" w14:textId="77777777" w:rsidR="002A6350" w:rsidRDefault="002A6350" w:rsidP="002A6350">
      <w:pPr>
        <w:pStyle w:val="ReferenceTab"/>
      </w:pPr>
      <w:r>
        <w:t xml:space="preserve">39. </w:t>
      </w:r>
      <w:r>
        <w:tab/>
        <w:t xml:space="preserve">Heise L. </w:t>
      </w:r>
      <w:r w:rsidR="001026A4">
        <w:t>'</w:t>
      </w:r>
      <w:r>
        <w:t>Violence against women: an integrated, ecological framework</w:t>
      </w:r>
      <w:r w:rsidR="001026A4">
        <w:t>'</w:t>
      </w:r>
      <w:r>
        <w:t xml:space="preserve">. </w:t>
      </w:r>
      <w:r>
        <w:rPr>
          <w:i/>
          <w:iCs/>
        </w:rPr>
        <w:t>Violence</w:t>
      </w:r>
      <w:r w:rsidR="001026A4">
        <w:rPr>
          <w:i/>
          <w:iCs/>
        </w:rPr>
        <w:t xml:space="preserve"> Against</w:t>
      </w:r>
      <w:r>
        <w:rPr>
          <w:i/>
          <w:iCs/>
        </w:rPr>
        <w:t xml:space="preserve"> Women</w:t>
      </w:r>
      <w:r>
        <w:t>. 1998;</w:t>
      </w:r>
      <w:r w:rsidR="00776A12">
        <w:t xml:space="preserve"> </w:t>
      </w:r>
      <w:r>
        <w:t>4 (3):262</w:t>
      </w:r>
      <w:r w:rsidR="002C7776">
        <w:t>–</w:t>
      </w:r>
      <w:r>
        <w:t>290. doi:10.1177/1077801298004003002</w:t>
      </w:r>
    </w:p>
    <w:p w14:paraId="4AA2E52E" w14:textId="77777777" w:rsidR="002A6350" w:rsidRDefault="002A6350" w:rsidP="002A6350">
      <w:pPr>
        <w:pStyle w:val="ReferenceTab"/>
      </w:pPr>
      <w:r>
        <w:t xml:space="preserve">40. </w:t>
      </w:r>
      <w:r>
        <w:tab/>
        <w:t xml:space="preserve">Heise L. </w:t>
      </w:r>
      <w:r>
        <w:rPr>
          <w:i/>
          <w:iCs/>
        </w:rPr>
        <w:t>What Works to Prevent Partner Violence: An Evidence Overview</w:t>
      </w:r>
      <w:r>
        <w:t>. London: STRIVE Research Consortium, London School of Hygiene and Tropical Medicine</w:t>
      </w:r>
      <w:r w:rsidR="001026A4">
        <w:t>.</w:t>
      </w:r>
      <w:r>
        <w:t xml:space="preserve"> 2011.</w:t>
      </w:r>
    </w:p>
    <w:p w14:paraId="663EEEA6" w14:textId="77777777" w:rsidR="002A6350" w:rsidRDefault="002A6350" w:rsidP="002A6350">
      <w:pPr>
        <w:pStyle w:val="ReferenceTab"/>
      </w:pPr>
      <w:r>
        <w:t xml:space="preserve">41. </w:t>
      </w:r>
      <w:r>
        <w:tab/>
        <w:t xml:space="preserve">Our Watch, Australia’s National Research Organisation for Women’s Safety, VicHealth. </w:t>
      </w:r>
      <w:r>
        <w:rPr>
          <w:i/>
          <w:iCs/>
        </w:rPr>
        <w:t>Change the Story: A Shared Framework for the Primary Prevention of Violence against Women and Their Children in Australia</w:t>
      </w:r>
      <w:r>
        <w:t>. Melbourne</w:t>
      </w:r>
      <w:r w:rsidR="004B4E80">
        <w:t>.</w:t>
      </w:r>
      <w:r>
        <w:t xml:space="preserve"> Our Watch</w:t>
      </w:r>
      <w:r w:rsidR="001026A4">
        <w:t>.</w:t>
      </w:r>
      <w:r>
        <w:t xml:space="preserve"> 2015.</w:t>
      </w:r>
    </w:p>
    <w:p w14:paraId="17564773" w14:textId="77777777" w:rsidR="002A6350" w:rsidRDefault="002A6350" w:rsidP="002A6350">
      <w:pPr>
        <w:pStyle w:val="ReferenceTab"/>
      </w:pPr>
      <w:r>
        <w:t xml:space="preserve">42. </w:t>
      </w:r>
      <w:r>
        <w:tab/>
        <w:t xml:space="preserve">UN Women. </w:t>
      </w:r>
      <w:r w:rsidRPr="004D2CDF">
        <w:rPr>
          <w:i/>
          <w:iCs/>
        </w:rPr>
        <w:t>Progress of the World’s Women 2018</w:t>
      </w:r>
      <w:r>
        <w:t>. UN Women</w:t>
      </w:r>
    </w:p>
    <w:p w14:paraId="63FFC4E4" w14:textId="77777777" w:rsidR="002A6350" w:rsidRPr="00394345" w:rsidRDefault="002A6350" w:rsidP="002A6350">
      <w:pPr>
        <w:pStyle w:val="ReferenceTab"/>
      </w:pPr>
      <w:r>
        <w:t xml:space="preserve">43. </w:t>
      </w:r>
      <w:r>
        <w:tab/>
        <w:t xml:space="preserve">Secretariat of the Pacific Community (SPC). </w:t>
      </w:r>
      <w:r>
        <w:rPr>
          <w:i/>
          <w:iCs/>
        </w:rPr>
        <w:t xml:space="preserve">Kiribati Family Health and Support Study: A </w:t>
      </w:r>
      <w:r w:rsidRPr="00394345">
        <w:rPr>
          <w:i/>
          <w:iCs/>
        </w:rPr>
        <w:t>Study on Violence against Women and Children</w:t>
      </w:r>
      <w:r w:rsidRPr="00394345">
        <w:t>. Noumea, New Caledonia</w:t>
      </w:r>
      <w:r w:rsidR="001026A4" w:rsidRPr="00394345">
        <w:t>.</w:t>
      </w:r>
      <w:r w:rsidRPr="00394345">
        <w:t xml:space="preserve"> S</w:t>
      </w:r>
      <w:r w:rsidR="001026A4" w:rsidRPr="00394345">
        <w:t>PC.</w:t>
      </w:r>
      <w:r w:rsidRPr="00394345">
        <w:t xml:space="preserve"> 2010.</w:t>
      </w:r>
    </w:p>
    <w:p w14:paraId="66314EEB" w14:textId="77777777" w:rsidR="002A6350" w:rsidRPr="00394345" w:rsidRDefault="002A6350" w:rsidP="002A6350">
      <w:pPr>
        <w:pStyle w:val="ReferenceTab"/>
      </w:pPr>
      <w:r w:rsidRPr="00394345">
        <w:t xml:space="preserve">44. </w:t>
      </w:r>
      <w:r w:rsidRPr="00394345">
        <w:tab/>
        <w:t xml:space="preserve">Hassan Y. </w:t>
      </w:r>
      <w:bookmarkStart w:id="355" w:name="_Hlk19172917"/>
      <w:r w:rsidRPr="00394345">
        <w:rPr>
          <w:i/>
          <w:iCs/>
        </w:rPr>
        <w:t>The Haven Becomes Hell</w:t>
      </w:r>
      <w:r w:rsidR="004B4E80" w:rsidRPr="00394345">
        <w:rPr>
          <w:i/>
          <w:iCs/>
        </w:rPr>
        <w:t>: a study of domestic violence in Pakistan</w:t>
      </w:r>
      <w:bookmarkEnd w:id="355"/>
      <w:r w:rsidRPr="00394345">
        <w:t xml:space="preserve">. </w:t>
      </w:r>
      <w:r w:rsidRPr="00394345">
        <w:rPr>
          <w:i/>
          <w:iCs/>
        </w:rPr>
        <w:t>Lahore Pak</w:t>
      </w:r>
      <w:r w:rsidR="00394345" w:rsidRPr="00394345">
        <w:rPr>
          <w:i/>
          <w:iCs/>
        </w:rPr>
        <w:t>istan:</w:t>
      </w:r>
      <w:r w:rsidRPr="00394345">
        <w:rPr>
          <w:i/>
          <w:iCs/>
        </w:rPr>
        <w:t xml:space="preserve"> Shirkat Gah</w:t>
      </w:r>
      <w:r w:rsidR="00394345" w:rsidRPr="00394345">
        <w:t xml:space="preserve"> and Women Living under Muslim Laws</w:t>
      </w:r>
      <w:r w:rsidRPr="00394345">
        <w:t xml:space="preserve"> 1995.</w:t>
      </w:r>
    </w:p>
    <w:p w14:paraId="0CAD8363" w14:textId="77777777" w:rsidR="002A6350" w:rsidRDefault="002A6350" w:rsidP="002A6350">
      <w:pPr>
        <w:pStyle w:val="ReferenceTab"/>
      </w:pPr>
      <w:r>
        <w:t xml:space="preserve">45. </w:t>
      </w:r>
      <w:r>
        <w:tab/>
        <w:t xml:space="preserve">Jejeebhoy SJ. </w:t>
      </w:r>
      <w:r w:rsidR="001026A4">
        <w:t>'</w:t>
      </w:r>
      <w:r>
        <w:t>Adolescent sexual and reproductive behavior: a review of the evidence from India</w:t>
      </w:r>
      <w:r w:rsidR="001026A4">
        <w:t>'</w:t>
      </w:r>
      <w:r>
        <w:t xml:space="preserve">. </w:t>
      </w:r>
      <w:r>
        <w:rPr>
          <w:i/>
          <w:iCs/>
        </w:rPr>
        <w:t>Social Science and Medicine</w:t>
      </w:r>
      <w:r>
        <w:t>. 1998</w:t>
      </w:r>
      <w:r w:rsidR="001026A4">
        <w:t xml:space="preserve">. </w:t>
      </w:r>
      <w:r>
        <w:t>46 (10):1275</w:t>
      </w:r>
      <w:r w:rsidR="00AC4D82">
        <w:t>–</w:t>
      </w:r>
      <w:r>
        <w:t>1290.</w:t>
      </w:r>
    </w:p>
    <w:p w14:paraId="779623A9" w14:textId="77777777" w:rsidR="002A6350" w:rsidRDefault="002A6350" w:rsidP="002A6350">
      <w:pPr>
        <w:pStyle w:val="ReferenceTab"/>
      </w:pPr>
      <w:r>
        <w:t xml:space="preserve">46. </w:t>
      </w:r>
      <w:r>
        <w:tab/>
        <w:t xml:space="preserve">Schuler SR, Lenzi R, Yount KM. </w:t>
      </w:r>
      <w:r w:rsidR="001026A4">
        <w:t>'</w:t>
      </w:r>
      <w:r>
        <w:t>Justification of intimate partner violence in rural Bangladesh: what survey questions fail to capture</w:t>
      </w:r>
      <w:r w:rsidR="001026A4">
        <w:t>'</w:t>
      </w:r>
      <w:r>
        <w:t xml:space="preserve">. </w:t>
      </w:r>
      <w:r>
        <w:rPr>
          <w:i/>
          <w:iCs/>
        </w:rPr>
        <w:t>Studies in Family Planning</w:t>
      </w:r>
      <w:r>
        <w:t>. 2011</w:t>
      </w:r>
      <w:r w:rsidR="001026A4">
        <w:t xml:space="preserve">. </w:t>
      </w:r>
      <w:r>
        <w:t>42 (1):21</w:t>
      </w:r>
      <w:r w:rsidR="00AC4D82">
        <w:t>–</w:t>
      </w:r>
      <w:r>
        <w:t>28.</w:t>
      </w:r>
    </w:p>
    <w:p w14:paraId="55E2FB29" w14:textId="77777777" w:rsidR="002A6350" w:rsidRDefault="002A6350" w:rsidP="002A6350">
      <w:pPr>
        <w:pStyle w:val="ReferenceTab"/>
      </w:pPr>
      <w:r>
        <w:t xml:space="preserve">47. </w:t>
      </w:r>
      <w:r>
        <w:tab/>
        <w:t>Alexander-Scott M, Bell E, Holden J. D</w:t>
      </w:r>
      <w:r w:rsidR="004B4E80">
        <w:t>epartment for International Development</w:t>
      </w:r>
      <w:r>
        <w:t xml:space="preserve"> Guidance Note: Shifting Social Norms to Tackle Violence against Women and Girls (VAWG). London</w:t>
      </w:r>
      <w:r w:rsidR="001026A4">
        <w:t>.</w:t>
      </w:r>
      <w:r>
        <w:t xml:space="preserve"> VAWG Helpdesk</w:t>
      </w:r>
      <w:r w:rsidR="001026A4">
        <w:t>.</w:t>
      </w:r>
      <w:r>
        <w:t xml:space="preserve"> 2016.</w:t>
      </w:r>
    </w:p>
    <w:p w14:paraId="7FCA3BF7" w14:textId="77777777" w:rsidR="002A6350" w:rsidRDefault="002A6350" w:rsidP="002A6350">
      <w:pPr>
        <w:pStyle w:val="ReferenceTab"/>
      </w:pPr>
      <w:r>
        <w:t xml:space="preserve">48. </w:t>
      </w:r>
      <w:r>
        <w:tab/>
        <w:t xml:space="preserve">World Health Organization (WHO). </w:t>
      </w:r>
      <w:r w:rsidRPr="004D2CDF">
        <w:rPr>
          <w:i/>
          <w:iCs/>
        </w:rPr>
        <w:t>Preventing Intimate Partner and Sexual Violence against Women: Taking Action and Generating Evidence</w:t>
      </w:r>
      <w:r>
        <w:t>. W</w:t>
      </w:r>
      <w:r w:rsidR="001026A4">
        <w:t>HO.</w:t>
      </w:r>
      <w:r>
        <w:t xml:space="preserve"> 2010.</w:t>
      </w:r>
    </w:p>
    <w:p w14:paraId="0C6B7E66" w14:textId="77777777" w:rsidR="002A6350" w:rsidRDefault="002A6350" w:rsidP="002A6350">
      <w:pPr>
        <w:pStyle w:val="ReferenceTab"/>
      </w:pPr>
      <w:r>
        <w:t xml:space="preserve">49. </w:t>
      </w:r>
      <w:r>
        <w:tab/>
        <w:t xml:space="preserve">Jewkes R, Flood M, Lang J. </w:t>
      </w:r>
      <w:r w:rsidR="001026A4">
        <w:t>'</w:t>
      </w:r>
      <w:r>
        <w:t>From work with men and boys to changes of social norms and reduction of inequities in gender relations: a conceptual shift in prevention of violence against women and girls</w:t>
      </w:r>
      <w:r w:rsidR="001026A4">
        <w:t>'</w:t>
      </w:r>
      <w:r>
        <w:t xml:space="preserve">. </w:t>
      </w:r>
      <w:r>
        <w:rPr>
          <w:i/>
          <w:iCs/>
        </w:rPr>
        <w:t>The Lancet</w:t>
      </w:r>
      <w:r>
        <w:t>. 2015</w:t>
      </w:r>
      <w:r w:rsidR="001026A4">
        <w:t xml:space="preserve">. </w:t>
      </w:r>
      <w:r>
        <w:t>385 (9977):1580</w:t>
      </w:r>
      <w:r w:rsidR="001026A4">
        <w:t>–</w:t>
      </w:r>
      <w:r>
        <w:t>1589.</w:t>
      </w:r>
    </w:p>
    <w:p w14:paraId="12DCD8B6" w14:textId="77777777" w:rsidR="002A6350" w:rsidRDefault="002A6350" w:rsidP="002A6350">
      <w:pPr>
        <w:pStyle w:val="ReferenceTab"/>
      </w:pPr>
      <w:r>
        <w:t xml:space="preserve">50. </w:t>
      </w:r>
      <w:r>
        <w:tab/>
        <w:t xml:space="preserve">Fulu E, Heise L. What Works to Prevent Violence against Women and Girls Evidence Reviews. </w:t>
      </w:r>
      <w:r w:rsidRPr="004D2CDF">
        <w:rPr>
          <w:i/>
          <w:iCs/>
        </w:rPr>
        <w:t>Paper 1: State of the Field of Research on Violence against Women and Girls</w:t>
      </w:r>
      <w:r>
        <w:t>. Pretoria: What Works to Prevent Violence</w:t>
      </w:r>
      <w:r w:rsidR="001026A4">
        <w:t>.</w:t>
      </w:r>
      <w:r>
        <w:t xml:space="preserve"> 2015.</w:t>
      </w:r>
    </w:p>
    <w:p w14:paraId="3D7286CC" w14:textId="77777777" w:rsidR="002A6350" w:rsidRDefault="002A6350" w:rsidP="002A6350">
      <w:pPr>
        <w:pStyle w:val="ReferenceTab"/>
      </w:pPr>
      <w:r>
        <w:t xml:space="preserve">51. </w:t>
      </w:r>
      <w:r>
        <w:tab/>
        <w:t xml:space="preserve">Heise L, Kotsadam A. Cross-national and multilevel correlates of partner violence: an analysis of data from population-based surveys. </w:t>
      </w:r>
      <w:r w:rsidR="001026A4">
        <w:rPr>
          <w:i/>
          <w:iCs/>
        </w:rPr>
        <w:t xml:space="preserve">The </w:t>
      </w:r>
      <w:r>
        <w:rPr>
          <w:i/>
          <w:iCs/>
        </w:rPr>
        <w:t>Lancet Global Health</w:t>
      </w:r>
      <w:r>
        <w:t>. 2015</w:t>
      </w:r>
      <w:r w:rsidR="001026A4">
        <w:t xml:space="preserve">. </w:t>
      </w:r>
      <w:r>
        <w:t>3 (6):e332</w:t>
      </w:r>
      <w:r w:rsidR="001026A4">
        <w:t>–</w:t>
      </w:r>
      <w:r>
        <w:t>e340.</w:t>
      </w:r>
    </w:p>
    <w:p w14:paraId="6DAA214A" w14:textId="77777777" w:rsidR="002A6350" w:rsidRDefault="002A6350" w:rsidP="002A6350">
      <w:pPr>
        <w:pStyle w:val="ReferenceTab"/>
      </w:pPr>
      <w:r>
        <w:t xml:space="preserve">52. </w:t>
      </w:r>
      <w:r>
        <w:tab/>
        <w:t xml:space="preserve">Jewkes R. </w:t>
      </w:r>
      <w:r w:rsidRPr="004D2CDF">
        <w:rPr>
          <w:i/>
          <w:iCs/>
        </w:rPr>
        <w:t>What Works Evidence Review: Social Norms and Violence against Women and Girls</w:t>
      </w:r>
      <w:r>
        <w:t>. London</w:t>
      </w:r>
      <w:r w:rsidR="001026A4">
        <w:t>.</w:t>
      </w:r>
      <w:r>
        <w:t xml:space="preserve"> D</w:t>
      </w:r>
      <w:r w:rsidR="00A07A23">
        <w:t>epartment for International Development</w:t>
      </w:r>
      <w:r w:rsidR="001026A4">
        <w:t>.</w:t>
      </w:r>
      <w:r>
        <w:t xml:space="preserve"> 2017.</w:t>
      </w:r>
    </w:p>
    <w:p w14:paraId="32CC0447" w14:textId="77777777" w:rsidR="002A6350" w:rsidRDefault="002A6350" w:rsidP="002A6350">
      <w:pPr>
        <w:pStyle w:val="ReferenceTab"/>
      </w:pPr>
      <w:r>
        <w:t xml:space="preserve">53. </w:t>
      </w:r>
      <w:r>
        <w:tab/>
        <w:t xml:space="preserve">Yodanis CL. </w:t>
      </w:r>
      <w:r w:rsidR="001026A4">
        <w:t>'</w:t>
      </w:r>
      <w:r>
        <w:t>Gender inequality, violence against women, and fear: a cross-national test of the feminist theory of violence against women</w:t>
      </w:r>
      <w:r w:rsidR="001026A4">
        <w:t>'</w:t>
      </w:r>
      <w:r>
        <w:t xml:space="preserve">. </w:t>
      </w:r>
      <w:r>
        <w:rPr>
          <w:i/>
          <w:iCs/>
        </w:rPr>
        <w:t>Journal of Interpersonal Violence</w:t>
      </w:r>
      <w:r>
        <w:t>. 2004</w:t>
      </w:r>
      <w:r w:rsidR="001026A4">
        <w:t>.</w:t>
      </w:r>
      <w:r>
        <w:t>19 (6):655</w:t>
      </w:r>
      <w:r w:rsidR="001026A4">
        <w:t>–</w:t>
      </w:r>
      <w:r>
        <w:t>675.</w:t>
      </w:r>
    </w:p>
    <w:p w14:paraId="57CCDCF3" w14:textId="77777777" w:rsidR="002A6350" w:rsidRDefault="002A6350" w:rsidP="002A6350">
      <w:pPr>
        <w:pStyle w:val="ReferenceTab"/>
      </w:pPr>
      <w:r>
        <w:t>5</w:t>
      </w:r>
      <w:r w:rsidRPr="00394345">
        <w:t xml:space="preserve">4. </w:t>
      </w:r>
      <w:r w:rsidRPr="00394345">
        <w:tab/>
      </w:r>
      <w:bookmarkStart w:id="356" w:name="_Hlk19168005"/>
      <w:r w:rsidRPr="00394345">
        <w:t xml:space="preserve">World Bank. </w:t>
      </w:r>
      <w:r w:rsidR="001026A4" w:rsidRPr="00394345">
        <w:t xml:space="preserve">'Protecting women from violence'. </w:t>
      </w:r>
      <w:r w:rsidRPr="00394345">
        <w:t>Women, Business, and the Law</w:t>
      </w:r>
      <w:bookmarkEnd w:id="356"/>
      <w:r w:rsidRPr="00394345">
        <w:t>.</w:t>
      </w:r>
      <w:r w:rsidR="006458FD" w:rsidRPr="00394345">
        <w:t xml:space="preserve"> Washington: World Bank Publications.</w:t>
      </w:r>
    </w:p>
    <w:p w14:paraId="69454937" w14:textId="77777777" w:rsidR="002A6350" w:rsidRDefault="002A6350" w:rsidP="002A6350">
      <w:pPr>
        <w:pStyle w:val="ReferenceTab"/>
      </w:pPr>
      <w:r>
        <w:t xml:space="preserve">55. </w:t>
      </w:r>
      <w:r>
        <w:tab/>
        <w:t xml:space="preserve">UN Women. </w:t>
      </w:r>
      <w:r w:rsidRPr="004D2CDF">
        <w:rPr>
          <w:i/>
          <w:iCs/>
        </w:rPr>
        <w:t xml:space="preserve">Progress of the </w:t>
      </w:r>
      <w:r w:rsidR="001026A4" w:rsidRPr="004D2CDF">
        <w:rPr>
          <w:i/>
          <w:iCs/>
        </w:rPr>
        <w:t>W</w:t>
      </w:r>
      <w:r w:rsidRPr="004D2CDF">
        <w:rPr>
          <w:i/>
          <w:iCs/>
        </w:rPr>
        <w:t xml:space="preserve">orld’s </w:t>
      </w:r>
      <w:r w:rsidR="001026A4" w:rsidRPr="004D2CDF">
        <w:rPr>
          <w:i/>
          <w:iCs/>
        </w:rPr>
        <w:t>W</w:t>
      </w:r>
      <w:r w:rsidRPr="004D2CDF">
        <w:rPr>
          <w:i/>
          <w:iCs/>
        </w:rPr>
        <w:t xml:space="preserve">omen: In </w:t>
      </w:r>
      <w:r w:rsidR="001026A4" w:rsidRPr="004D2CDF">
        <w:rPr>
          <w:i/>
          <w:iCs/>
        </w:rPr>
        <w:t>P</w:t>
      </w:r>
      <w:r w:rsidRPr="004D2CDF">
        <w:rPr>
          <w:i/>
          <w:iCs/>
        </w:rPr>
        <w:t xml:space="preserve">ursuit of </w:t>
      </w:r>
      <w:r w:rsidR="001026A4" w:rsidRPr="004D2CDF">
        <w:rPr>
          <w:i/>
          <w:iCs/>
        </w:rPr>
        <w:t>J</w:t>
      </w:r>
      <w:r w:rsidRPr="004D2CDF">
        <w:rPr>
          <w:i/>
          <w:iCs/>
        </w:rPr>
        <w:t>ustice</w:t>
      </w:r>
      <w:r>
        <w:t>. 2011.</w:t>
      </w:r>
    </w:p>
    <w:p w14:paraId="2216B540" w14:textId="77777777" w:rsidR="002A6350" w:rsidRDefault="002A6350" w:rsidP="002A6350">
      <w:pPr>
        <w:pStyle w:val="ReferenceTab"/>
      </w:pPr>
      <w:r>
        <w:t xml:space="preserve">56. </w:t>
      </w:r>
      <w:r>
        <w:tab/>
      </w:r>
      <w:bookmarkStart w:id="357" w:name="_Hlk19168015"/>
      <w:r>
        <w:t>World Bank Group.</w:t>
      </w:r>
      <w:r w:rsidR="002F4C96">
        <w:t xml:space="preserve"> </w:t>
      </w:r>
      <w:r w:rsidR="006458FD" w:rsidRPr="006458FD">
        <w:t>'</w:t>
      </w:r>
      <w:r w:rsidRPr="004D2CDF">
        <w:t>Getting to Equal</w:t>
      </w:r>
      <w:r w:rsidR="006458FD" w:rsidRPr="004D2CDF">
        <w:t>’</w:t>
      </w:r>
      <w:r>
        <w:t>.</w:t>
      </w:r>
      <w:r w:rsidR="002F4C96">
        <w:t xml:space="preserve"> </w:t>
      </w:r>
      <w:r w:rsidR="006458FD">
        <w:t>Women, Business, and the Law.</w:t>
      </w:r>
      <w:r>
        <w:t xml:space="preserve"> Washington: World Bank Publications</w:t>
      </w:r>
      <w:r w:rsidR="00E92742">
        <w:t>.</w:t>
      </w:r>
      <w:r>
        <w:t xml:space="preserve"> 2015. doi:10.1596/978-1-4648-0677-3</w:t>
      </w:r>
      <w:bookmarkEnd w:id="357"/>
    </w:p>
    <w:p w14:paraId="5C340BCD" w14:textId="77777777" w:rsidR="002A6350" w:rsidRDefault="002A6350" w:rsidP="002A6350">
      <w:pPr>
        <w:pStyle w:val="ReferenceTab"/>
      </w:pPr>
      <w:r>
        <w:t xml:space="preserve">57. </w:t>
      </w:r>
      <w:r>
        <w:tab/>
        <w:t xml:space="preserve">Pacific Women Shaping Pacific Development Support Unit. </w:t>
      </w:r>
      <w:r>
        <w:rPr>
          <w:i/>
          <w:iCs/>
        </w:rPr>
        <w:t>Legislative Barriers to Gender Equality in Pacific Island Countries</w:t>
      </w:r>
      <w:r>
        <w:t>. Suva</w:t>
      </w:r>
      <w:r w:rsidR="006458FD">
        <w:t>.</w:t>
      </w:r>
      <w:r>
        <w:t xml:space="preserve"> Pacific Women</w:t>
      </w:r>
      <w:r w:rsidR="006458FD">
        <w:t>.</w:t>
      </w:r>
      <w:r>
        <w:t xml:space="preserve"> 2018.</w:t>
      </w:r>
    </w:p>
    <w:p w14:paraId="53B5901D" w14:textId="77777777" w:rsidR="002A6350" w:rsidRDefault="002A6350" w:rsidP="002A6350">
      <w:pPr>
        <w:pStyle w:val="ReferenceTab"/>
      </w:pPr>
      <w:r>
        <w:t xml:space="preserve">58. </w:t>
      </w:r>
      <w:r>
        <w:tab/>
        <w:t xml:space="preserve">The Equality Institute. </w:t>
      </w:r>
      <w:r w:rsidR="006458FD">
        <w:t>'</w:t>
      </w:r>
      <w:r>
        <w:t>Piecing Together the Evidence on Social Norms and Violence against Women</w:t>
      </w:r>
      <w:r w:rsidR="006458FD">
        <w:t>'</w:t>
      </w:r>
      <w:r>
        <w:t>. Melbourne: The Equality Institute</w:t>
      </w:r>
      <w:r w:rsidR="006458FD">
        <w:t>.</w:t>
      </w:r>
      <w:r>
        <w:t xml:space="preserve"> 2017.</w:t>
      </w:r>
    </w:p>
    <w:p w14:paraId="77667DCD" w14:textId="77777777" w:rsidR="002A6350" w:rsidRDefault="002A6350" w:rsidP="002A6350">
      <w:pPr>
        <w:pStyle w:val="ReferenceTab"/>
      </w:pPr>
      <w:r>
        <w:t xml:space="preserve">59. </w:t>
      </w:r>
      <w:r>
        <w:tab/>
        <w:t>Chen J. Intersectionality Matters: A Guide to Engaging Immigrant and Refugee Communities to Prevent Violence against Women. Melbourne</w:t>
      </w:r>
      <w:r w:rsidR="006458FD">
        <w:t>.</w:t>
      </w:r>
      <w:r>
        <w:t xml:space="preserve"> Multicul</w:t>
      </w:r>
      <w:r w:rsidR="002F4C96">
        <w:t>tural Centre for Women’s Health</w:t>
      </w:r>
      <w:r w:rsidR="006458FD">
        <w:t>.</w:t>
      </w:r>
      <w:r>
        <w:t xml:space="preserve"> 2017.</w:t>
      </w:r>
    </w:p>
    <w:p w14:paraId="31F51670" w14:textId="77777777" w:rsidR="002A6350" w:rsidRDefault="002A6350" w:rsidP="002A6350">
      <w:pPr>
        <w:pStyle w:val="ReferenceTab"/>
      </w:pPr>
      <w:r>
        <w:t xml:space="preserve">60. </w:t>
      </w:r>
      <w:r>
        <w:tab/>
        <w:t xml:space="preserve">Pacific Islands Forum Secretariat. </w:t>
      </w:r>
      <w:r>
        <w:rPr>
          <w:i/>
          <w:iCs/>
        </w:rPr>
        <w:t>Pacific Leaders Gender Equality Declaration Trend Assessment Report 2012</w:t>
      </w:r>
      <w:r w:rsidR="006458FD">
        <w:rPr>
          <w:i/>
          <w:iCs/>
        </w:rPr>
        <w:t>–</w:t>
      </w:r>
      <w:r>
        <w:rPr>
          <w:i/>
          <w:iCs/>
        </w:rPr>
        <w:t>2016</w:t>
      </w:r>
      <w:r>
        <w:t>. Suva</w:t>
      </w:r>
      <w:r w:rsidR="006458FD">
        <w:t>.</w:t>
      </w:r>
      <w:r>
        <w:t xml:space="preserve"> Pacific Islands Forum Secretariat</w:t>
      </w:r>
      <w:r w:rsidR="006458FD">
        <w:t>.</w:t>
      </w:r>
      <w:r>
        <w:t xml:space="preserve"> 2016. http://www.aidsdatahub.org/sites/default/files/publication/Pacific_Leaders_Gender_Equality_Declaration_2016.pdf</w:t>
      </w:r>
    </w:p>
    <w:p w14:paraId="226A8EFF" w14:textId="77777777" w:rsidR="002A6350" w:rsidRDefault="002A6350" w:rsidP="002A6350">
      <w:pPr>
        <w:pStyle w:val="ReferenceTab"/>
      </w:pPr>
      <w:r>
        <w:t xml:space="preserve">61. </w:t>
      </w:r>
      <w:r>
        <w:tab/>
        <w:t xml:space="preserve">Association of South East Asian Nations (ASEAN). </w:t>
      </w:r>
      <w:r>
        <w:rPr>
          <w:i/>
          <w:iCs/>
        </w:rPr>
        <w:t>ASEAN Regional Plan of Action on the Elimination of Violence against Women</w:t>
      </w:r>
      <w:r>
        <w:t>. Jakarta</w:t>
      </w:r>
      <w:r w:rsidR="006458FD">
        <w:t>.</w:t>
      </w:r>
      <w:r>
        <w:t xml:space="preserve"> ASEAN Secretariat</w:t>
      </w:r>
      <w:r w:rsidR="006458FD">
        <w:t>.</w:t>
      </w:r>
      <w:r>
        <w:t xml:space="preserve"> 2016.</w:t>
      </w:r>
    </w:p>
    <w:p w14:paraId="6CFC8AFA" w14:textId="77777777" w:rsidR="002A6350" w:rsidRDefault="002A6350" w:rsidP="002A6350">
      <w:pPr>
        <w:pStyle w:val="ReferenceTab"/>
      </w:pPr>
      <w:r>
        <w:t xml:space="preserve">62. </w:t>
      </w:r>
      <w:r>
        <w:tab/>
        <w:t xml:space="preserve">Dicker N. </w:t>
      </w:r>
      <w:r>
        <w:rPr>
          <w:i/>
          <w:iCs/>
        </w:rPr>
        <w:t>Policy Analysis: Australia’s Commitments to Ending Violence Against Women and Girls</w:t>
      </w:r>
      <w:r>
        <w:t>. Department of Foreign Affairs and Trade</w:t>
      </w:r>
      <w:r w:rsidR="00406CB7">
        <w:t>.</w:t>
      </w:r>
      <w:r w:rsidR="00297880">
        <w:t xml:space="preserve"> Canberra, Australia.</w:t>
      </w:r>
      <w:r>
        <w:t xml:space="preserve"> 2017.</w:t>
      </w:r>
    </w:p>
    <w:p w14:paraId="2F6C7775" w14:textId="77777777" w:rsidR="002A6350" w:rsidRDefault="002A6350" w:rsidP="002A6350">
      <w:pPr>
        <w:pStyle w:val="ReferenceTab"/>
      </w:pPr>
      <w:r>
        <w:t xml:space="preserve">63. </w:t>
      </w:r>
      <w:r>
        <w:tab/>
        <w:t>D</w:t>
      </w:r>
      <w:r w:rsidR="006458FD">
        <w:t>epartment of Foreign Affairs and Trade</w:t>
      </w:r>
      <w:r w:rsidR="00297880">
        <w:t xml:space="preserve"> (DFAT)</w:t>
      </w:r>
      <w:r>
        <w:t xml:space="preserve">. </w:t>
      </w:r>
      <w:r>
        <w:rPr>
          <w:i/>
          <w:iCs/>
        </w:rPr>
        <w:t>Effective Aid</w:t>
      </w:r>
      <w:r>
        <w:t>.</w:t>
      </w:r>
      <w:r w:rsidR="00394345">
        <w:t xml:space="preserve"> </w:t>
      </w:r>
      <w:r>
        <w:t>DFAT</w:t>
      </w:r>
      <w:r w:rsidR="00406CB7">
        <w:t>.</w:t>
      </w:r>
      <w:r>
        <w:t xml:space="preserve"> </w:t>
      </w:r>
      <w:r w:rsidR="004E46D2">
        <w:t xml:space="preserve">Canberra, Australia. </w:t>
      </w:r>
      <w:r>
        <w:t>2012.</w:t>
      </w:r>
    </w:p>
    <w:p w14:paraId="6F2F86DD" w14:textId="77777777" w:rsidR="002A6350" w:rsidRDefault="002A6350" w:rsidP="002A6350">
      <w:pPr>
        <w:pStyle w:val="ReferenceTab"/>
      </w:pPr>
      <w:r>
        <w:t xml:space="preserve">64. </w:t>
      </w:r>
      <w:r>
        <w:tab/>
        <w:t>D</w:t>
      </w:r>
      <w:r w:rsidR="006458FD">
        <w:t>epartment of Foreign Affairs and Trade</w:t>
      </w:r>
      <w:r w:rsidR="00297880">
        <w:t xml:space="preserve"> (DFAT)</w:t>
      </w:r>
      <w:r>
        <w:t xml:space="preserve">. </w:t>
      </w:r>
      <w:r w:rsidRPr="004D2CDF">
        <w:rPr>
          <w:i/>
          <w:iCs/>
        </w:rPr>
        <w:t xml:space="preserve">Australian </w:t>
      </w:r>
      <w:r w:rsidR="006458FD" w:rsidRPr="004D2CDF">
        <w:rPr>
          <w:i/>
          <w:iCs/>
        </w:rPr>
        <w:t>a</w:t>
      </w:r>
      <w:r w:rsidRPr="004D2CDF">
        <w:rPr>
          <w:i/>
          <w:iCs/>
        </w:rPr>
        <w:t xml:space="preserve">id: Promoting </w:t>
      </w:r>
      <w:r w:rsidR="006458FD" w:rsidRPr="004D2CDF">
        <w:rPr>
          <w:i/>
          <w:iCs/>
        </w:rPr>
        <w:t>p</w:t>
      </w:r>
      <w:r w:rsidRPr="004D2CDF">
        <w:rPr>
          <w:i/>
          <w:iCs/>
        </w:rPr>
        <w:t xml:space="preserve">rosperity, </w:t>
      </w:r>
      <w:r w:rsidR="006458FD" w:rsidRPr="004D2CDF">
        <w:rPr>
          <w:i/>
          <w:iCs/>
        </w:rPr>
        <w:t>r</w:t>
      </w:r>
      <w:r w:rsidRPr="004D2CDF">
        <w:rPr>
          <w:i/>
          <w:iCs/>
        </w:rPr>
        <w:t xml:space="preserve">educing </w:t>
      </w:r>
      <w:r w:rsidR="006458FD" w:rsidRPr="004D2CDF">
        <w:rPr>
          <w:i/>
          <w:iCs/>
        </w:rPr>
        <w:t>p</w:t>
      </w:r>
      <w:r w:rsidRPr="004D2CDF">
        <w:rPr>
          <w:i/>
          <w:iCs/>
        </w:rPr>
        <w:t xml:space="preserve">overty, </w:t>
      </w:r>
      <w:r w:rsidR="006458FD" w:rsidRPr="004D2CDF">
        <w:rPr>
          <w:i/>
          <w:iCs/>
        </w:rPr>
        <w:t>e</w:t>
      </w:r>
      <w:r w:rsidRPr="004D2CDF">
        <w:rPr>
          <w:i/>
          <w:iCs/>
        </w:rPr>
        <w:t xml:space="preserve">nhancing </w:t>
      </w:r>
      <w:r w:rsidR="006458FD" w:rsidRPr="004D2CDF">
        <w:rPr>
          <w:i/>
          <w:iCs/>
        </w:rPr>
        <w:t>s</w:t>
      </w:r>
      <w:r w:rsidRPr="004D2CDF">
        <w:rPr>
          <w:i/>
          <w:iCs/>
        </w:rPr>
        <w:t>tability</w:t>
      </w:r>
      <w:r>
        <w:t>.</w:t>
      </w:r>
      <w:r w:rsidR="00394345">
        <w:t xml:space="preserve"> </w:t>
      </w:r>
      <w:r>
        <w:t>DFAT</w:t>
      </w:r>
      <w:r w:rsidR="00406CB7">
        <w:t>.</w:t>
      </w:r>
      <w:r>
        <w:t xml:space="preserve"> </w:t>
      </w:r>
      <w:r w:rsidR="004E46D2">
        <w:t xml:space="preserve">Canberra, Australia. </w:t>
      </w:r>
      <w:r>
        <w:t>2014.</w:t>
      </w:r>
    </w:p>
    <w:p w14:paraId="0D55B171" w14:textId="77777777" w:rsidR="002A6350" w:rsidRDefault="002A6350" w:rsidP="002A6350">
      <w:pPr>
        <w:pStyle w:val="ReferenceTab"/>
      </w:pPr>
      <w:r>
        <w:t xml:space="preserve">65. </w:t>
      </w:r>
      <w:r>
        <w:tab/>
        <w:t xml:space="preserve">Huber M, Nabila M. </w:t>
      </w:r>
      <w:r w:rsidRPr="004D2CDF">
        <w:rPr>
          <w:i/>
          <w:iCs/>
        </w:rPr>
        <w:t>Midterm Review of the DFAT Ending Violence Against Women (EVAW) Program in Afghanistan</w:t>
      </w:r>
      <w:r w:rsidR="006458FD">
        <w:t>.</w:t>
      </w:r>
      <w:r>
        <w:t xml:space="preserve"> M</w:t>
      </w:r>
      <w:r w:rsidR="006458FD">
        <w:t>anagement response</w:t>
      </w:r>
      <w:r>
        <w:t xml:space="preserve">. </w:t>
      </w:r>
      <w:r w:rsidR="006458FD">
        <w:t>D</w:t>
      </w:r>
      <w:r w:rsidR="004E46D2">
        <w:t>epartment of Foreign Affairs and Tra</w:t>
      </w:r>
      <w:r w:rsidR="00297880">
        <w:t>d</w:t>
      </w:r>
      <w:r w:rsidR="004E46D2">
        <w:t>e</w:t>
      </w:r>
      <w:r w:rsidR="006458FD">
        <w:t xml:space="preserve">. </w:t>
      </w:r>
      <w:r w:rsidR="004E46D2">
        <w:t xml:space="preserve">Canberra, Australia. </w:t>
      </w:r>
      <w:r>
        <w:t>2016.</w:t>
      </w:r>
    </w:p>
    <w:p w14:paraId="2B84F7EC" w14:textId="77777777" w:rsidR="002A6350" w:rsidRDefault="002A6350" w:rsidP="002A6350">
      <w:pPr>
        <w:pStyle w:val="ReferenceTab"/>
      </w:pPr>
      <w:r>
        <w:t xml:space="preserve">66. </w:t>
      </w:r>
      <w:r>
        <w:tab/>
      </w:r>
      <w:bookmarkStart w:id="358" w:name="_Hlk19168446"/>
      <w:r>
        <w:t xml:space="preserve">Htun M, Weldon SL. </w:t>
      </w:r>
      <w:r w:rsidR="006458FD">
        <w:t>'</w:t>
      </w:r>
      <w:r>
        <w:t>The Civic Origins of Progressive Policy Change: Combating Violence against Women in Global Perspective, 1975–2005</w:t>
      </w:r>
      <w:r w:rsidR="006458FD">
        <w:t>'</w:t>
      </w:r>
      <w:r>
        <w:t xml:space="preserve">. </w:t>
      </w:r>
      <w:r>
        <w:rPr>
          <w:i/>
          <w:iCs/>
        </w:rPr>
        <w:t>American Political Science Review</w:t>
      </w:r>
      <w:r>
        <w:t>. 2012</w:t>
      </w:r>
      <w:r w:rsidR="006458FD">
        <w:t>.</w:t>
      </w:r>
      <w:r>
        <w:t>106(3):548-569. doi:10.1017/S0003055412000226</w:t>
      </w:r>
    </w:p>
    <w:p w14:paraId="2727D13B" w14:textId="77777777" w:rsidR="002A6350" w:rsidRPr="004D2CDF" w:rsidRDefault="002A6350" w:rsidP="002A6350">
      <w:pPr>
        <w:pStyle w:val="ReferenceTab"/>
        <w:rPr>
          <w:highlight w:val="yellow"/>
        </w:rPr>
      </w:pPr>
      <w:r>
        <w:t xml:space="preserve">67. </w:t>
      </w:r>
      <w:r>
        <w:tab/>
        <w:t xml:space="preserve">Htun M, Weldon SL. The </w:t>
      </w:r>
      <w:r w:rsidR="006458FD">
        <w:t>C</w:t>
      </w:r>
      <w:r>
        <w:t xml:space="preserve">ivic </w:t>
      </w:r>
      <w:r w:rsidR="006458FD">
        <w:t>O</w:t>
      </w:r>
      <w:r>
        <w:t xml:space="preserve">rigins of </w:t>
      </w:r>
      <w:r w:rsidR="006458FD">
        <w:t>P</w:t>
      </w:r>
      <w:r>
        <w:t xml:space="preserve">rogressive </w:t>
      </w:r>
      <w:r w:rsidR="006458FD">
        <w:t>P</w:t>
      </w:r>
      <w:r>
        <w:t xml:space="preserve">olicy </w:t>
      </w:r>
      <w:r w:rsidR="006458FD">
        <w:t>C</w:t>
      </w:r>
      <w:r>
        <w:t xml:space="preserve">hange: </w:t>
      </w:r>
      <w:r w:rsidR="006458FD">
        <w:t>C</w:t>
      </w:r>
      <w:r>
        <w:t xml:space="preserve">ombating </w:t>
      </w:r>
      <w:r w:rsidR="006458FD">
        <w:t>V</w:t>
      </w:r>
      <w:r>
        <w:t xml:space="preserve">iolence against </w:t>
      </w:r>
      <w:r w:rsidR="006458FD">
        <w:t>W</w:t>
      </w:r>
      <w:r w:rsidR="00394345">
        <w:t xml:space="preserve">omen in </w:t>
      </w:r>
      <w:r w:rsidR="006458FD">
        <w:t>G</w:t>
      </w:r>
      <w:r>
        <w:t xml:space="preserve">lobal </w:t>
      </w:r>
      <w:r w:rsidR="006458FD">
        <w:t>P</w:t>
      </w:r>
      <w:r>
        <w:t>erspective, 1975</w:t>
      </w:r>
      <w:r w:rsidR="00406CB7">
        <w:t>–</w:t>
      </w:r>
      <w:r>
        <w:t>2005</w:t>
      </w:r>
      <w:r w:rsidR="006458FD">
        <w:t>'</w:t>
      </w:r>
      <w:r>
        <w:t xml:space="preserve">. </w:t>
      </w:r>
      <w:r>
        <w:rPr>
          <w:i/>
          <w:iCs/>
        </w:rPr>
        <w:t>American Political Science Review.</w:t>
      </w:r>
      <w:r>
        <w:t xml:space="preserve"> 2012</w:t>
      </w:r>
      <w:r w:rsidR="006458FD">
        <w:t>.</w:t>
      </w:r>
      <w:r>
        <w:t>106 (3).</w:t>
      </w:r>
      <w:bookmarkEnd w:id="358"/>
    </w:p>
    <w:p w14:paraId="3D929CA0" w14:textId="77777777" w:rsidR="002A6350" w:rsidRDefault="002A6350" w:rsidP="002A6350">
      <w:pPr>
        <w:pStyle w:val="ReferenceTab"/>
      </w:pPr>
      <w:r>
        <w:t xml:space="preserve">68. </w:t>
      </w:r>
      <w:r>
        <w:tab/>
        <w:t xml:space="preserve">Pacific Women Shaping Pacific Development. </w:t>
      </w:r>
      <w:r>
        <w:rPr>
          <w:i/>
          <w:iCs/>
        </w:rPr>
        <w:t>Pacific Women Roadmap</w:t>
      </w:r>
      <w:r>
        <w:t>. Suva</w:t>
      </w:r>
      <w:r w:rsidR="006458FD">
        <w:t>.</w:t>
      </w:r>
      <w:r>
        <w:t xml:space="preserve"> D</w:t>
      </w:r>
      <w:r w:rsidR="006458FD">
        <w:t>epartment of Foreign Affairs and Trade</w:t>
      </w:r>
      <w:r w:rsidR="00406CB7">
        <w:t>.</w:t>
      </w:r>
      <w:r w:rsidR="00297880">
        <w:t xml:space="preserve"> Canberra, Australia.</w:t>
      </w:r>
      <w:r>
        <w:t xml:space="preserve"> 2017. https://dfat.gov.au/about-us/publications/Documents/pacific-women-roadmap.pdf</w:t>
      </w:r>
    </w:p>
    <w:p w14:paraId="3C8F77F2" w14:textId="77777777" w:rsidR="002A6350" w:rsidRDefault="002A6350" w:rsidP="002A6350">
      <w:pPr>
        <w:pStyle w:val="ReferenceTab"/>
      </w:pPr>
      <w:r>
        <w:t xml:space="preserve">69. </w:t>
      </w:r>
      <w:r>
        <w:tab/>
        <w:t xml:space="preserve">Pacific Women Shaping Pacific Development. </w:t>
      </w:r>
      <w:r>
        <w:rPr>
          <w:i/>
        </w:rPr>
        <w:t>Pacific Women Shaping Pacific Development: Annual Progress Report</w:t>
      </w:r>
      <w:r>
        <w:t xml:space="preserve"> 2016</w:t>
      </w:r>
      <w:r w:rsidR="006458FD">
        <w:t>–</w:t>
      </w:r>
      <w:r>
        <w:t>2017. 2017.</w:t>
      </w:r>
    </w:p>
    <w:p w14:paraId="66F9663D" w14:textId="77777777" w:rsidR="002A6350" w:rsidRDefault="002A6350" w:rsidP="002A6350">
      <w:pPr>
        <w:pStyle w:val="ReferenceTab"/>
      </w:pPr>
      <w:r>
        <w:t xml:space="preserve">70. </w:t>
      </w:r>
      <w:r>
        <w:tab/>
        <w:t>UN Women Fiji Muti-Country Office. The Pacific Fund Story: Learning from 10 Years of Granting, Technical Support and Partnership. 2019.</w:t>
      </w:r>
    </w:p>
    <w:p w14:paraId="08D41E83" w14:textId="77777777" w:rsidR="002A6350" w:rsidRPr="00394345" w:rsidRDefault="002A6350" w:rsidP="002A6350">
      <w:pPr>
        <w:pStyle w:val="ReferenceTab"/>
      </w:pPr>
      <w:r>
        <w:t>71</w:t>
      </w:r>
      <w:r w:rsidRPr="00394345">
        <w:t xml:space="preserve">. </w:t>
      </w:r>
      <w:r w:rsidRPr="00394345">
        <w:tab/>
        <w:t xml:space="preserve">National Council to Reduce Violence Against Women and Their Children. </w:t>
      </w:r>
      <w:r w:rsidRPr="00394345">
        <w:rPr>
          <w:i/>
          <w:iCs/>
        </w:rPr>
        <w:t xml:space="preserve">The Cost of Violence against Women and </w:t>
      </w:r>
      <w:r w:rsidR="006458FD" w:rsidRPr="00394345">
        <w:rPr>
          <w:i/>
          <w:iCs/>
        </w:rPr>
        <w:t>t</w:t>
      </w:r>
      <w:r w:rsidRPr="00394345">
        <w:rPr>
          <w:i/>
          <w:iCs/>
        </w:rPr>
        <w:t>heir Children.</w:t>
      </w:r>
      <w:r w:rsidRPr="00394345">
        <w:t xml:space="preserve"> 2009. https://www.dss.gov.au/sites/default/files/dochttps://www.dss.gov.au/sites/default/files/documents/05_2012/vawc_economic_report.pdf</w:t>
      </w:r>
    </w:p>
    <w:p w14:paraId="4CA32DBA" w14:textId="77777777" w:rsidR="002A6350" w:rsidRPr="00394345" w:rsidRDefault="002A6350" w:rsidP="002A6350">
      <w:pPr>
        <w:pStyle w:val="ReferenceTab"/>
      </w:pPr>
      <w:r w:rsidRPr="00394345">
        <w:t xml:space="preserve">72. </w:t>
      </w:r>
      <w:r w:rsidRPr="00394345">
        <w:tab/>
        <w:t>Australian Domestic and Family Violence Clearinghouse, U</w:t>
      </w:r>
      <w:r w:rsidR="00BE05B7" w:rsidRPr="00394345">
        <w:t>niversity of New South Wales</w:t>
      </w:r>
      <w:r w:rsidRPr="00394345">
        <w:t xml:space="preserve">. </w:t>
      </w:r>
      <w:r w:rsidRPr="00394345">
        <w:rPr>
          <w:i/>
          <w:iCs/>
        </w:rPr>
        <w:t>Key Findings</w:t>
      </w:r>
      <w:r w:rsidR="00406CB7" w:rsidRPr="00394345">
        <w:rPr>
          <w:i/>
          <w:iCs/>
        </w:rPr>
        <w:t>—</w:t>
      </w:r>
      <w:r w:rsidRPr="00394345">
        <w:rPr>
          <w:i/>
          <w:iCs/>
        </w:rPr>
        <w:t>Safe at Home, Safe at Work? National Domestic Violence and the Workplace Survey 2011.</w:t>
      </w:r>
      <w:r w:rsidRPr="00394345">
        <w:t xml:space="preserve"> 2011. https://www.arts.unsw.edu.au/media/FASSFile/Key_Findings__National_Domestic_Violence_and_the_Workplace_Survey_2011.pdf</w:t>
      </w:r>
    </w:p>
    <w:p w14:paraId="2B1E23DF" w14:textId="77777777" w:rsidR="002A6350" w:rsidRDefault="002A6350" w:rsidP="002A6350">
      <w:pPr>
        <w:pStyle w:val="ReferenceTab"/>
      </w:pPr>
      <w:r>
        <w:t xml:space="preserve">73. </w:t>
      </w:r>
      <w:r>
        <w:tab/>
        <w:t xml:space="preserve">Cardno Emerging Markets (Australia) PL. </w:t>
      </w:r>
      <w:r>
        <w:rPr>
          <w:i/>
          <w:iCs/>
        </w:rPr>
        <w:t xml:space="preserve">Mapping Paper: Private Sector </w:t>
      </w:r>
      <w:r w:rsidR="00A07A23">
        <w:rPr>
          <w:i/>
          <w:iCs/>
        </w:rPr>
        <w:t>r</w:t>
      </w:r>
      <w:r>
        <w:rPr>
          <w:i/>
          <w:iCs/>
        </w:rPr>
        <w:t xml:space="preserve">esponses to </w:t>
      </w:r>
      <w:r w:rsidR="00A07A23">
        <w:rPr>
          <w:i/>
          <w:iCs/>
        </w:rPr>
        <w:t>e</w:t>
      </w:r>
      <w:r>
        <w:rPr>
          <w:i/>
          <w:iCs/>
        </w:rPr>
        <w:t xml:space="preserve">nding </w:t>
      </w:r>
      <w:r w:rsidR="00A07A23">
        <w:rPr>
          <w:i/>
          <w:iCs/>
        </w:rPr>
        <w:t>v</w:t>
      </w:r>
      <w:r>
        <w:rPr>
          <w:i/>
          <w:iCs/>
        </w:rPr>
        <w:t xml:space="preserve">iolence against </w:t>
      </w:r>
      <w:r w:rsidR="00A07A23">
        <w:rPr>
          <w:i/>
          <w:iCs/>
        </w:rPr>
        <w:t>w</w:t>
      </w:r>
      <w:r>
        <w:rPr>
          <w:i/>
          <w:iCs/>
        </w:rPr>
        <w:t>omen in the Pacific</w:t>
      </w:r>
      <w:r>
        <w:t>. Pacific Women Shaping Pacific Development</w:t>
      </w:r>
      <w:r w:rsidR="00BE05B7">
        <w:t>.</w:t>
      </w:r>
      <w:r>
        <w:t xml:space="preserve"> 201</w:t>
      </w:r>
      <w:r w:rsidR="00A07A23">
        <w:t>4</w:t>
      </w:r>
      <w:r>
        <w:t>. https://pacificwomen.org/wp-content/uploads/2017/09/Mapping-Paper-Private-Sector-Response-to-EVAW-in-the-Pacific.pdf</w:t>
      </w:r>
    </w:p>
    <w:p w14:paraId="3E52D9AF" w14:textId="77777777" w:rsidR="002A6350" w:rsidRDefault="002A6350" w:rsidP="002A6350">
      <w:pPr>
        <w:pStyle w:val="ReferenceTab"/>
      </w:pPr>
      <w:r>
        <w:t xml:space="preserve">74. </w:t>
      </w:r>
      <w:r>
        <w:tab/>
        <w:t xml:space="preserve">Darko E, Smith W, Walker D. </w:t>
      </w:r>
      <w:r>
        <w:rPr>
          <w:i/>
          <w:iCs/>
        </w:rPr>
        <w:t xml:space="preserve">Gender </w:t>
      </w:r>
      <w:r w:rsidR="00A07A23">
        <w:rPr>
          <w:i/>
          <w:iCs/>
        </w:rPr>
        <w:t>v</w:t>
      </w:r>
      <w:r>
        <w:rPr>
          <w:i/>
          <w:iCs/>
        </w:rPr>
        <w:t xml:space="preserve">iolence in Papua New Guinea: The </w:t>
      </w:r>
      <w:r w:rsidR="00A07A23">
        <w:rPr>
          <w:i/>
          <w:iCs/>
        </w:rPr>
        <w:t>c</w:t>
      </w:r>
      <w:r>
        <w:rPr>
          <w:i/>
          <w:iCs/>
        </w:rPr>
        <w:t xml:space="preserve">ost to </w:t>
      </w:r>
      <w:r w:rsidR="00A07A23">
        <w:rPr>
          <w:i/>
          <w:iCs/>
        </w:rPr>
        <w:t>b</w:t>
      </w:r>
      <w:r>
        <w:rPr>
          <w:i/>
          <w:iCs/>
        </w:rPr>
        <w:t>usiness</w:t>
      </w:r>
      <w:r>
        <w:t>. London</w:t>
      </w:r>
      <w:r w:rsidR="00BE05B7">
        <w:t>.</w:t>
      </w:r>
      <w:r>
        <w:t xml:space="preserve"> Overseas Development Institute</w:t>
      </w:r>
      <w:r w:rsidR="00AC4D82">
        <w:t>.</w:t>
      </w:r>
      <w:r>
        <w:t xml:space="preserve"> 2015. https://www.odi.org/sites/odi.org.uk/files/odi-assets/publications-opinion-files/9886.pdf Accessed </w:t>
      </w:r>
      <w:r w:rsidR="00BE05B7">
        <w:t xml:space="preserve">24 </w:t>
      </w:r>
      <w:r>
        <w:t>August, 2018.</w:t>
      </w:r>
    </w:p>
    <w:p w14:paraId="0B75E6D8" w14:textId="77777777" w:rsidR="002A6350" w:rsidRDefault="002A6350" w:rsidP="002A6350">
      <w:pPr>
        <w:pStyle w:val="ReferenceTab"/>
      </w:pPr>
      <w:r>
        <w:t xml:space="preserve">75. </w:t>
      </w:r>
      <w:r>
        <w:tab/>
        <w:t xml:space="preserve">CARE International. </w:t>
      </w:r>
      <w:r w:rsidR="00A07A23">
        <w:t>'</w:t>
      </w:r>
      <w:r w:rsidRPr="004D2CDF">
        <w:rPr>
          <w:i/>
          <w:iCs/>
        </w:rPr>
        <w:t xml:space="preserve">I </w:t>
      </w:r>
      <w:r w:rsidR="00A07A23">
        <w:rPr>
          <w:i/>
          <w:iCs/>
        </w:rPr>
        <w:t>k</w:t>
      </w:r>
      <w:r w:rsidRPr="004D2CDF">
        <w:rPr>
          <w:i/>
          <w:iCs/>
        </w:rPr>
        <w:t xml:space="preserve">now I </w:t>
      </w:r>
      <w:r w:rsidR="00A07A23">
        <w:rPr>
          <w:i/>
          <w:iCs/>
        </w:rPr>
        <w:t>c</w:t>
      </w:r>
      <w:r w:rsidRPr="004D2CDF">
        <w:rPr>
          <w:i/>
          <w:iCs/>
        </w:rPr>
        <w:t xml:space="preserve">annot </w:t>
      </w:r>
      <w:r w:rsidR="00A07A23">
        <w:rPr>
          <w:i/>
          <w:iCs/>
        </w:rPr>
        <w:t>q</w:t>
      </w:r>
      <w:r w:rsidRPr="004D2CDF">
        <w:rPr>
          <w:i/>
          <w:iCs/>
        </w:rPr>
        <w:t>uit</w:t>
      </w:r>
      <w:r w:rsidR="00A07A23">
        <w:rPr>
          <w:i/>
          <w:iCs/>
        </w:rPr>
        <w:t>.'</w:t>
      </w:r>
      <w:r w:rsidRPr="004D2CDF">
        <w:rPr>
          <w:i/>
          <w:iCs/>
        </w:rPr>
        <w:t xml:space="preserve"> The Prevalence and Productivity Cost of Sexual Harassment to the Cambodian Garment Industry, Research Summary</w:t>
      </w:r>
      <w:r>
        <w:t>. 2017. https://insights.careinternational.org.uk/media/k2/attachments/SHCS_Full_Technical_Report_March_2017.pdf</w:t>
      </w:r>
    </w:p>
    <w:p w14:paraId="45259EE5" w14:textId="77777777" w:rsidR="002A6350" w:rsidRDefault="002A6350" w:rsidP="002A6350">
      <w:pPr>
        <w:pStyle w:val="ReferenceTab"/>
      </w:pPr>
      <w:r>
        <w:t xml:space="preserve">76. </w:t>
      </w:r>
      <w:r>
        <w:tab/>
        <w:t xml:space="preserve">UN Women National Committee Australia. </w:t>
      </w:r>
      <w:r>
        <w:rPr>
          <w:i/>
          <w:iCs/>
        </w:rPr>
        <w:t>Taking the</w:t>
      </w:r>
      <w:r w:rsidR="00A07A23">
        <w:rPr>
          <w:i/>
          <w:iCs/>
        </w:rPr>
        <w:t xml:space="preserve"> f</w:t>
      </w:r>
      <w:r>
        <w:rPr>
          <w:i/>
          <w:iCs/>
        </w:rPr>
        <w:t xml:space="preserve">irst </w:t>
      </w:r>
      <w:r w:rsidR="00A07A23">
        <w:rPr>
          <w:i/>
          <w:iCs/>
        </w:rPr>
        <w:t>s</w:t>
      </w:r>
      <w:r>
        <w:rPr>
          <w:i/>
          <w:iCs/>
        </w:rPr>
        <w:t>tep: Workplace</w:t>
      </w:r>
      <w:r w:rsidR="00A07A23">
        <w:rPr>
          <w:i/>
          <w:iCs/>
        </w:rPr>
        <w:t xml:space="preserve"> r</w:t>
      </w:r>
      <w:r>
        <w:rPr>
          <w:i/>
          <w:iCs/>
        </w:rPr>
        <w:t xml:space="preserve">esponses to </w:t>
      </w:r>
      <w:r w:rsidR="00A07A23">
        <w:rPr>
          <w:i/>
          <w:iCs/>
        </w:rPr>
        <w:t>d</w:t>
      </w:r>
      <w:r>
        <w:rPr>
          <w:i/>
          <w:iCs/>
        </w:rPr>
        <w:t xml:space="preserve">omestic and </w:t>
      </w:r>
      <w:r w:rsidR="00A07A23">
        <w:rPr>
          <w:i/>
          <w:iCs/>
        </w:rPr>
        <w:t>f</w:t>
      </w:r>
      <w:r>
        <w:rPr>
          <w:i/>
          <w:iCs/>
        </w:rPr>
        <w:t xml:space="preserve">amily </w:t>
      </w:r>
      <w:r w:rsidR="00A07A23">
        <w:rPr>
          <w:i/>
          <w:iCs/>
        </w:rPr>
        <w:t>v</w:t>
      </w:r>
      <w:r>
        <w:rPr>
          <w:i/>
          <w:iCs/>
        </w:rPr>
        <w:t>iolence.</w:t>
      </w:r>
      <w:r>
        <w:t xml:space="preserve"> 2017. https://unwomen.org.au/wp-content/uploads/2017/12/Taking_the_First_Step_UNWNCA_Report.pdf</w:t>
      </w:r>
    </w:p>
    <w:p w14:paraId="4F4D9A65" w14:textId="77777777" w:rsidR="002A6350" w:rsidRDefault="002A6350" w:rsidP="002A6350">
      <w:pPr>
        <w:pStyle w:val="ReferenceTab"/>
      </w:pPr>
      <w:r>
        <w:t xml:space="preserve">77. </w:t>
      </w:r>
      <w:r>
        <w:tab/>
        <w:t xml:space="preserve">Biersack A. Human Rights Work in Papua New Guinea, Fiji and Vanuatu. In Biersack J Macintyre, ed. </w:t>
      </w:r>
      <w:r>
        <w:rPr>
          <w:i/>
          <w:iCs/>
        </w:rPr>
        <w:t>Gender and Human Rights</w:t>
      </w:r>
      <w:r>
        <w:t>. A</w:t>
      </w:r>
      <w:r w:rsidR="002C7776">
        <w:t>ustralian National University</w:t>
      </w:r>
      <w:r>
        <w:t xml:space="preserve"> Press</w:t>
      </w:r>
      <w:r w:rsidR="00406CB7">
        <w:t xml:space="preserve">. </w:t>
      </w:r>
      <w:r>
        <w:t>271</w:t>
      </w:r>
      <w:r w:rsidR="00AC4D82">
        <w:t>–</w:t>
      </w:r>
      <w:r>
        <w:t>341.</w:t>
      </w:r>
    </w:p>
    <w:p w14:paraId="6F290169" w14:textId="77777777" w:rsidR="002A6350" w:rsidRDefault="002A6350" w:rsidP="002A6350">
      <w:pPr>
        <w:pStyle w:val="ReferenceTab"/>
      </w:pPr>
      <w:r>
        <w:t xml:space="preserve">78. </w:t>
      </w:r>
      <w:r>
        <w:tab/>
        <w:t xml:space="preserve">Forsyth M. New Draft National Action Plan to Address Sorcery Accusation-Related Violence in Papua New Guinea. </w:t>
      </w:r>
      <w:r>
        <w:rPr>
          <w:i/>
          <w:iCs/>
        </w:rPr>
        <w:t>A</w:t>
      </w:r>
      <w:bookmarkStart w:id="359" w:name="_Hlk19169085"/>
      <w:r w:rsidR="00BE05B7">
        <w:rPr>
          <w:i/>
          <w:iCs/>
        </w:rPr>
        <w:t>ustralian National University (AN</w:t>
      </w:r>
      <w:r>
        <w:rPr>
          <w:i/>
          <w:iCs/>
        </w:rPr>
        <w:t>U</w:t>
      </w:r>
      <w:r w:rsidR="00BE05B7">
        <w:rPr>
          <w:i/>
          <w:iCs/>
        </w:rPr>
        <w:t>)</w:t>
      </w:r>
      <w:r>
        <w:rPr>
          <w:i/>
          <w:iCs/>
        </w:rPr>
        <w:t xml:space="preserve"> Brief</w:t>
      </w:r>
      <w:r w:rsidR="00BE05B7">
        <w:rPr>
          <w:i/>
          <w:iCs/>
        </w:rPr>
        <w:t>:</w:t>
      </w:r>
      <w:r>
        <w:rPr>
          <w:i/>
          <w:iCs/>
        </w:rPr>
        <w:t xml:space="preserve"> </w:t>
      </w:r>
      <w:bookmarkStart w:id="360" w:name="_Hlk19169187"/>
      <w:r>
        <w:rPr>
          <w:i/>
          <w:iCs/>
        </w:rPr>
        <w:t>State</w:t>
      </w:r>
      <w:r w:rsidR="00BE05B7">
        <w:rPr>
          <w:i/>
          <w:iCs/>
        </w:rPr>
        <w:t>,</w:t>
      </w:r>
      <w:r>
        <w:rPr>
          <w:i/>
          <w:iCs/>
        </w:rPr>
        <w:t xml:space="preserve"> Soc</w:t>
      </w:r>
      <w:r w:rsidR="00BE05B7">
        <w:rPr>
          <w:i/>
          <w:iCs/>
        </w:rPr>
        <w:t>iety</w:t>
      </w:r>
      <w:r>
        <w:rPr>
          <w:i/>
          <w:iCs/>
        </w:rPr>
        <w:t xml:space="preserve"> </w:t>
      </w:r>
      <w:r w:rsidR="00BE05B7">
        <w:rPr>
          <w:i/>
          <w:iCs/>
        </w:rPr>
        <w:t>and Governance of</w:t>
      </w:r>
      <w:r>
        <w:rPr>
          <w:i/>
          <w:iCs/>
        </w:rPr>
        <w:t xml:space="preserve"> Melanes</w:t>
      </w:r>
      <w:bookmarkEnd w:id="359"/>
      <w:r w:rsidR="00BE05B7">
        <w:rPr>
          <w:i/>
          <w:iCs/>
        </w:rPr>
        <w:t>ia</w:t>
      </w:r>
      <w:r>
        <w:t xml:space="preserve">. </w:t>
      </w:r>
      <w:bookmarkEnd w:id="360"/>
      <w:r w:rsidR="00BE05B7">
        <w:t>ANU Press</w:t>
      </w:r>
      <w:r w:rsidR="00297880">
        <w:t xml:space="preserve"> </w:t>
      </w:r>
      <w:r>
        <w:t>2014</w:t>
      </w:r>
      <w:r w:rsidR="00297880">
        <w:t>.</w:t>
      </w:r>
      <w:r w:rsidR="00406CB7">
        <w:t xml:space="preserve"> </w:t>
      </w:r>
      <w:r>
        <w:t xml:space="preserve">2014 (18). http://bellschool.anu.edu.au/sites/default/files/publications/attachments/2015-12/IB-2014-18-Forsyth-ONLINE_0.pdf Accessed </w:t>
      </w:r>
      <w:r w:rsidR="00BE05B7">
        <w:t xml:space="preserve">17 </w:t>
      </w:r>
      <w:r w:rsidR="00394345">
        <w:t>August</w:t>
      </w:r>
      <w:r>
        <w:t xml:space="preserve"> 2018.</w:t>
      </w:r>
    </w:p>
    <w:p w14:paraId="1328087E" w14:textId="77777777" w:rsidR="002A6350" w:rsidRDefault="002A6350" w:rsidP="002A6350">
      <w:pPr>
        <w:pStyle w:val="ReferenceTab"/>
      </w:pPr>
      <w:r>
        <w:t xml:space="preserve">79. </w:t>
      </w:r>
      <w:r>
        <w:tab/>
        <w:t xml:space="preserve">Foana’ota L. </w:t>
      </w:r>
      <w:r w:rsidR="00BE05B7">
        <w:t>'</w:t>
      </w:r>
      <w:r>
        <w:t>Sorcery and witchcraft as a negative force on economic and social development in Solomon Islands</w:t>
      </w:r>
      <w:r w:rsidR="00BE05B7">
        <w:t>'</w:t>
      </w:r>
      <w:r>
        <w:t xml:space="preserve">. In Forsyth M, Eves R, eds. </w:t>
      </w:r>
      <w:r>
        <w:rPr>
          <w:i/>
          <w:iCs/>
        </w:rPr>
        <w:t>Talking It Through: Responses to Sorcery and Witchcraft Beliefs and Practices in Melanesia</w:t>
      </w:r>
      <w:r>
        <w:t>. A</w:t>
      </w:r>
      <w:r w:rsidR="00BE05B7">
        <w:t>ustralian National University</w:t>
      </w:r>
      <w:r>
        <w:t xml:space="preserve"> Press</w:t>
      </w:r>
      <w:r w:rsidR="00BE05B7">
        <w:t>.</w:t>
      </w:r>
      <w:r>
        <w:t xml:space="preserve"> </w:t>
      </w:r>
      <w:r w:rsidR="004E46D2">
        <w:t xml:space="preserve">Canberra, Australia. </w:t>
      </w:r>
      <w:r>
        <w:t>2015.</w:t>
      </w:r>
    </w:p>
    <w:p w14:paraId="01DA7A42" w14:textId="77777777" w:rsidR="002A6350" w:rsidRDefault="002A6350" w:rsidP="002A6350">
      <w:pPr>
        <w:pStyle w:val="ReferenceTab"/>
      </w:pPr>
      <w:r>
        <w:t xml:space="preserve">80. </w:t>
      </w:r>
      <w:r>
        <w:tab/>
        <w:t xml:space="preserve">Szamier M, Attenborough J. </w:t>
      </w:r>
      <w:r>
        <w:rPr>
          <w:i/>
          <w:iCs/>
        </w:rPr>
        <w:t>Review of UNICEF Pacific Child Protection Programme.</w:t>
      </w:r>
      <w:r w:rsidR="00394345">
        <w:rPr>
          <w:i/>
          <w:iCs/>
        </w:rPr>
        <w:t xml:space="preserve"> </w:t>
      </w:r>
      <w:r>
        <w:t>Department of Foreign Affairs and Trade</w:t>
      </w:r>
      <w:r w:rsidR="00BE05B7">
        <w:t>.</w:t>
      </w:r>
      <w:r w:rsidR="004E46D2">
        <w:t xml:space="preserve"> Canberra, Australia.</w:t>
      </w:r>
      <w:r>
        <w:t xml:space="preserve"> 2017. https://dfat.gov.au/about-us/publications/Documents/unicef-pacific-multi-country-child-protection-programme-independent-review.pdf Accessed </w:t>
      </w:r>
      <w:r w:rsidR="00BE05B7">
        <w:t xml:space="preserve">19 </w:t>
      </w:r>
      <w:r>
        <w:t>January 2019.</w:t>
      </w:r>
    </w:p>
    <w:p w14:paraId="3590D719" w14:textId="77777777" w:rsidR="002A6350" w:rsidRDefault="002A6350" w:rsidP="002A6350">
      <w:pPr>
        <w:pStyle w:val="ReferenceTab"/>
      </w:pPr>
      <w:r>
        <w:t xml:space="preserve">81. </w:t>
      </w:r>
      <w:r>
        <w:tab/>
        <w:t xml:space="preserve">Fiji Women’s Rights Movement. </w:t>
      </w:r>
      <w:r w:rsidRPr="004D2CDF">
        <w:rPr>
          <w:i/>
          <w:iCs/>
        </w:rPr>
        <w:t>Balancing the Scales: Improving Fijian Women’s Access to Justice</w:t>
      </w:r>
      <w:r>
        <w:t>. Suva, Fiji</w:t>
      </w:r>
      <w:r w:rsidR="00BE05B7">
        <w:t>.</w:t>
      </w:r>
      <w:r>
        <w:t xml:space="preserve"> 2017.</w:t>
      </w:r>
    </w:p>
    <w:p w14:paraId="10989881" w14:textId="77777777" w:rsidR="002A6350" w:rsidRDefault="002A6350" w:rsidP="002A6350">
      <w:pPr>
        <w:pStyle w:val="ReferenceTab"/>
      </w:pPr>
      <w:r>
        <w:t xml:space="preserve">82. </w:t>
      </w:r>
      <w:r>
        <w:tab/>
        <w:t xml:space="preserve">UN Women. </w:t>
      </w:r>
      <w:r w:rsidRPr="004D2CDF">
        <w:rPr>
          <w:i/>
          <w:iCs/>
        </w:rPr>
        <w:t>Women and Girls Access to the Formal Justice System in Vanuatu</w:t>
      </w:r>
      <w:r>
        <w:t>. UN Women</w:t>
      </w:r>
      <w:r w:rsidR="00BE05B7">
        <w:t>.</w:t>
      </w:r>
      <w:r>
        <w:t xml:space="preserve"> 2016.</w:t>
      </w:r>
    </w:p>
    <w:p w14:paraId="491F3CBE" w14:textId="77777777" w:rsidR="002A6350" w:rsidRDefault="002A6350" w:rsidP="002A6350">
      <w:pPr>
        <w:pStyle w:val="ReferenceTab"/>
      </w:pPr>
      <w:r>
        <w:t xml:space="preserve">83. </w:t>
      </w:r>
      <w:r>
        <w:tab/>
        <w:t>Putt J, Phillips T, Thomas D, Kanan L. The Use and Efficacy of Family Protection Orders as a Key Response to Domestic and Family Violence: A Pilot Study in Lae, Papua New Guinea. Canberra</w:t>
      </w:r>
      <w:r w:rsidR="004E46D2">
        <w:t>,</w:t>
      </w:r>
      <w:r>
        <w:t xml:space="preserve"> Australia</w:t>
      </w:r>
      <w:r w:rsidR="00BE05B7">
        <w:t>.</w:t>
      </w:r>
    </w:p>
    <w:p w14:paraId="4E6A217C" w14:textId="77777777" w:rsidR="002A6350" w:rsidRDefault="002A6350" w:rsidP="002A6350">
      <w:pPr>
        <w:pStyle w:val="ReferenceTab"/>
      </w:pPr>
      <w:r>
        <w:t xml:space="preserve">84. </w:t>
      </w:r>
      <w:r>
        <w:tab/>
        <w:t>Department of Pacific Affairs and Development Policy Centre, Australian National University</w:t>
      </w:r>
      <w:r w:rsidR="00BE05B7">
        <w:t xml:space="preserve"> (ANU)</w:t>
      </w:r>
      <w:r>
        <w:t xml:space="preserve">. </w:t>
      </w:r>
      <w:r>
        <w:rPr>
          <w:i/>
          <w:iCs/>
        </w:rPr>
        <w:t>FemliPNG Protection Order Data 2016</w:t>
      </w:r>
      <w:r w:rsidR="00BE05B7">
        <w:rPr>
          <w:i/>
          <w:iCs/>
        </w:rPr>
        <w:t>–</w:t>
      </w:r>
      <w:r>
        <w:rPr>
          <w:i/>
          <w:iCs/>
        </w:rPr>
        <w:t>2017</w:t>
      </w:r>
      <w:r>
        <w:t>. A</w:t>
      </w:r>
      <w:r w:rsidR="00BE05B7">
        <w:t>NU.</w:t>
      </w:r>
      <w:r>
        <w:t xml:space="preserve"> 2018.</w:t>
      </w:r>
    </w:p>
    <w:p w14:paraId="5893716E" w14:textId="77777777" w:rsidR="002A6350" w:rsidRDefault="002A6350" w:rsidP="002A6350">
      <w:pPr>
        <w:pStyle w:val="ReferenceTab"/>
      </w:pPr>
      <w:r>
        <w:t xml:space="preserve">85. </w:t>
      </w:r>
      <w:r>
        <w:tab/>
        <w:t xml:space="preserve">GHD Pty Ltd. </w:t>
      </w:r>
      <w:r w:rsidRPr="004D2CDF">
        <w:rPr>
          <w:i/>
          <w:iCs/>
        </w:rPr>
        <w:t>Evaluation of the RPNGC Family and Sexual Violence Unit</w:t>
      </w:r>
      <w:r w:rsidR="00BE05B7" w:rsidRPr="004D2CDF">
        <w:rPr>
          <w:i/>
          <w:iCs/>
        </w:rPr>
        <w:t>s</w:t>
      </w:r>
      <w:r>
        <w:t xml:space="preserve">. Cardno, Australian </w:t>
      </w:r>
      <w:r w:rsidR="00BE05B7">
        <w:t>Agency for International Development.</w:t>
      </w:r>
      <w:r>
        <w:t xml:space="preserve"> 2015:1</w:t>
      </w:r>
      <w:r w:rsidR="00BE05B7">
        <w:t>–</w:t>
      </w:r>
      <w:r>
        <w:t>63.</w:t>
      </w:r>
    </w:p>
    <w:p w14:paraId="2B736B91" w14:textId="77777777" w:rsidR="002A6350" w:rsidRDefault="002A6350" w:rsidP="002A6350">
      <w:pPr>
        <w:pStyle w:val="ReferenceTab"/>
      </w:pPr>
      <w:r>
        <w:t xml:space="preserve">86. </w:t>
      </w:r>
      <w:r>
        <w:tab/>
        <w:t xml:space="preserve">Christie E, Singh H, Singh JK. </w:t>
      </w:r>
      <w:r w:rsidRPr="004D2CDF">
        <w:rPr>
          <w:i/>
          <w:iCs/>
        </w:rPr>
        <w:t>An Analysis of Judicial Sentencing Practices in Sexual and Gender-Based Violence Cases in the Pacific Island Region. International Center for Advocates Against Discrimination</w:t>
      </w:r>
      <w:r w:rsidR="00BE05B7">
        <w:t>.</w:t>
      </w:r>
      <w:r>
        <w:t xml:space="preserve"> 2015.</w:t>
      </w:r>
    </w:p>
    <w:p w14:paraId="05F27504" w14:textId="77777777" w:rsidR="002A6350" w:rsidRDefault="002A6350" w:rsidP="002A6350">
      <w:pPr>
        <w:pStyle w:val="ReferenceTab"/>
      </w:pPr>
      <w:r>
        <w:t xml:space="preserve">87. </w:t>
      </w:r>
      <w:r>
        <w:tab/>
        <w:t xml:space="preserve">Kanan L, Putt J. </w:t>
      </w:r>
      <w:bookmarkStart w:id="361" w:name="_Hlk19169538"/>
      <w:r w:rsidR="00BE05B7">
        <w:t>'</w:t>
      </w:r>
      <w:r w:rsidRPr="004D2CDF">
        <w:rPr>
          <w:iCs/>
        </w:rPr>
        <w:t>Family</w:t>
      </w:r>
      <w:r>
        <w:rPr>
          <w:i/>
        </w:rPr>
        <w:t xml:space="preserve"> </w:t>
      </w:r>
      <w:r w:rsidR="00A07A23">
        <w:rPr>
          <w:iCs/>
        </w:rPr>
        <w:t>p</w:t>
      </w:r>
      <w:r>
        <w:t xml:space="preserve">rotection </w:t>
      </w:r>
      <w:r w:rsidR="00A07A23">
        <w:t>o</w:t>
      </w:r>
      <w:r>
        <w:t>rders in Lae</w:t>
      </w:r>
      <w:bookmarkEnd w:id="361"/>
      <w:r>
        <w:t xml:space="preserve">: </w:t>
      </w:r>
      <w:r w:rsidR="00A07A23">
        <w:t>s</w:t>
      </w:r>
      <w:r>
        <w:t>ome positive signs</w:t>
      </w:r>
      <w:r w:rsidR="00BE05B7">
        <w:t>'</w:t>
      </w:r>
      <w:r>
        <w:t xml:space="preserve">. </w:t>
      </w:r>
      <w:r>
        <w:rPr>
          <w:i/>
          <w:iCs/>
        </w:rPr>
        <w:t>DevPolicy Blog</w:t>
      </w:r>
      <w:r>
        <w:t xml:space="preserve">. </w:t>
      </w:r>
      <w:r w:rsidR="00BE05B7">
        <w:t xml:space="preserve">Development Policy Centre. </w:t>
      </w:r>
      <w:r>
        <w:t xml:space="preserve">November 2018. https://www.devpolicy.org/family-protection-orders-in-lae-positive-signs-20181122/ </w:t>
      </w:r>
    </w:p>
    <w:p w14:paraId="417FDE0A" w14:textId="77777777" w:rsidR="002A6350" w:rsidRDefault="002A6350" w:rsidP="002A6350">
      <w:pPr>
        <w:pStyle w:val="ReferenceTab"/>
      </w:pPr>
      <w:r>
        <w:t xml:space="preserve">88. </w:t>
      </w:r>
      <w:r>
        <w:tab/>
        <w:t xml:space="preserve">Ellsberg M, Arango DJ, Morton M, et al. </w:t>
      </w:r>
      <w:r w:rsidR="00BE05B7">
        <w:t>'</w:t>
      </w:r>
      <w:r>
        <w:t>Prevention of violence against women and girls: what does the evidence say?</w:t>
      </w:r>
      <w:r w:rsidR="00BE05B7">
        <w:t>'</w:t>
      </w:r>
      <w:r>
        <w:t xml:space="preserve"> </w:t>
      </w:r>
      <w:r>
        <w:rPr>
          <w:i/>
          <w:iCs/>
        </w:rPr>
        <w:t>The Lancet</w:t>
      </w:r>
      <w:r>
        <w:t>. 2015</w:t>
      </w:r>
      <w:r w:rsidR="00BE05B7">
        <w:t xml:space="preserve">. </w:t>
      </w:r>
      <w:r>
        <w:t>385(9977):1555</w:t>
      </w:r>
      <w:r w:rsidR="00BE05B7">
        <w:t>–</w:t>
      </w:r>
      <w:r>
        <w:t>1566.</w:t>
      </w:r>
    </w:p>
    <w:p w14:paraId="6175F953" w14:textId="77777777" w:rsidR="002A6350" w:rsidRPr="002F4C96" w:rsidRDefault="002A6350" w:rsidP="002A6350">
      <w:pPr>
        <w:pStyle w:val="ReferenceTab"/>
      </w:pPr>
      <w:r w:rsidRPr="002F4C96">
        <w:t xml:space="preserve">89. </w:t>
      </w:r>
      <w:r w:rsidRPr="002F4C96">
        <w:tab/>
      </w:r>
      <w:bookmarkStart w:id="362" w:name="_Hlk19169730"/>
      <w:r w:rsidRPr="002F4C96">
        <w:t xml:space="preserve">Garcia Moreno C, et al. </w:t>
      </w:r>
      <w:r w:rsidR="00BE05B7" w:rsidRPr="002F4C96">
        <w:t>'</w:t>
      </w:r>
      <w:r w:rsidRPr="002F4C96">
        <w:t>The health-systems response to violence against women</w:t>
      </w:r>
      <w:r w:rsidR="00BE05B7" w:rsidRPr="002F4C96">
        <w:t>'</w:t>
      </w:r>
      <w:r w:rsidRPr="002F4C96">
        <w:t xml:space="preserve">. </w:t>
      </w:r>
      <w:r w:rsidRPr="002F4C96">
        <w:rPr>
          <w:i/>
          <w:iCs/>
        </w:rPr>
        <w:t>Journal of Religion and Abuse</w:t>
      </w:r>
      <w:r w:rsidRPr="002F4C96">
        <w:t>. 2008</w:t>
      </w:r>
      <w:r w:rsidR="00BE05B7" w:rsidRPr="002F4C96">
        <w:t xml:space="preserve">. </w:t>
      </w:r>
      <w:r w:rsidRPr="002F4C96">
        <w:t>8(4):7</w:t>
      </w:r>
      <w:r w:rsidR="00BE05B7" w:rsidRPr="002F4C96">
        <w:t>–</w:t>
      </w:r>
      <w:r w:rsidRPr="002F4C96">
        <w:t>14. doi:10.1080/15211030802194449</w:t>
      </w:r>
      <w:bookmarkEnd w:id="362"/>
    </w:p>
    <w:p w14:paraId="05EAE13D" w14:textId="77777777" w:rsidR="002A6350" w:rsidRPr="002F4C96" w:rsidRDefault="002A6350" w:rsidP="002A6350">
      <w:pPr>
        <w:pStyle w:val="ReferenceTab"/>
      </w:pPr>
      <w:r w:rsidRPr="002F4C96">
        <w:t xml:space="preserve">90. </w:t>
      </w:r>
      <w:r w:rsidRPr="002F4C96">
        <w:tab/>
        <w:t xml:space="preserve">Butcher K, Kaybryn J, Lepani K, Vagikapi M, Walizopa L. </w:t>
      </w:r>
      <w:r w:rsidRPr="002F4C96">
        <w:rPr>
          <w:i/>
          <w:iCs/>
        </w:rPr>
        <w:t>Independent Formative Evaluation of Family Support Centres in Papua New Guinea</w:t>
      </w:r>
      <w:r w:rsidRPr="002F4C96">
        <w:t>. Victoria, Australia</w:t>
      </w:r>
      <w:r w:rsidR="00BE05B7" w:rsidRPr="002F4C96">
        <w:t>.</w:t>
      </w:r>
      <w:r w:rsidRPr="002F4C96">
        <w:t xml:space="preserve"> IOD PARC Australia</w:t>
      </w:r>
      <w:r w:rsidR="00BE05B7" w:rsidRPr="002F4C96">
        <w:t>.</w:t>
      </w:r>
      <w:r w:rsidRPr="002F4C96">
        <w:t xml:space="preserve"> 2016.</w:t>
      </w:r>
    </w:p>
    <w:p w14:paraId="1ECF8CD9" w14:textId="77777777" w:rsidR="002A6350" w:rsidRPr="002F4C96" w:rsidRDefault="002A6350" w:rsidP="002A6350">
      <w:pPr>
        <w:pStyle w:val="ReferenceTab"/>
      </w:pPr>
      <w:r w:rsidRPr="002F4C96">
        <w:t xml:space="preserve">91. </w:t>
      </w:r>
      <w:r w:rsidRPr="002F4C96">
        <w:tab/>
        <w:t xml:space="preserve">Pacific Women Shaping Pacific Development SU. </w:t>
      </w:r>
      <w:r w:rsidRPr="002F4C96">
        <w:rPr>
          <w:i/>
          <w:iCs/>
        </w:rPr>
        <w:t>Pacific Women Papua New Guinea Performance Report 2017</w:t>
      </w:r>
      <w:r w:rsidR="00BE05B7" w:rsidRPr="002F4C96">
        <w:rPr>
          <w:i/>
          <w:iCs/>
        </w:rPr>
        <w:t>–</w:t>
      </w:r>
      <w:r w:rsidRPr="002F4C96">
        <w:rPr>
          <w:i/>
          <w:iCs/>
        </w:rPr>
        <w:t>2018</w:t>
      </w:r>
      <w:r w:rsidRPr="002F4C96">
        <w:t>. Suva: Pacific Women</w:t>
      </w:r>
      <w:r w:rsidR="00BE05B7" w:rsidRPr="002F4C96">
        <w:t xml:space="preserve">. </w:t>
      </w:r>
      <w:r w:rsidRPr="002F4C96">
        <w:t>Department of Foreign Affairs and Trade</w:t>
      </w:r>
      <w:r w:rsidR="00BE05B7" w:rsidRPr="002F4C96">
        <w:t>. Canberra</w:t>
      </w:r>
      <w:r w:rsidR="004E46D2" w:rsidRPr="002F4C96">
        <w:t>, Australia.</w:t>
      </w:r>
      <w:r w:rsidRPr="002F4C96">
        <w:t xml:space="preserve"> 2018.</w:t>
      </w:r>
    </w:p>
    <w:p w14:paraId="1B5B1057" w14:textId="77777777" w:rsidR="002A6350" w:rsidRPr="002F4C96" w:rsidRDefault="002A6350" w:rsidP="002A6350">
      <w:pPr>
        <w:pStyle w:val="ReferenceTab"/>
      </w:pPr>
      <w:r w:rsidRPr="002F4C96">
        <w:t xml:space="preserve">92. </w:t>
      </w:r>
      <w:r w:rsidRPr="002F4C96">
        <w:tab/>
        <w:t xml:space="preserve">Adam Smith International. </w:t>
      </w:r>
      <w:r w:rsidRPr="002F4C96">
        <w:rPr>
          <w:i/>
          <w:iCs/>
        </w:rPr>
        <w:t>Midterm Review of the DFAT Ending Violence Against Women (EVAW) Program in Afghanistan</w:t>
      </w:r>
      <w:r w:rsidRPr="002F4C96">
        <w:t xml:space="preserve">. </w:t>
      </w:r>
      <w:r w:rsidR="00BE05B7" w:rsidRPr="002F4C96">
        <w:t>D</w:t>
      </w:r>
      <w:r w:rsidR="007157F2" w:rsidRPr="002F4C96">
        <w:t>epartment of Foreign Affairs and Trade. Canberra</w:t>
      </w:r>
      <w:r w:rsidR="004E46D2" w:rsidRPr="002F4C96">
        <w:t>, Australia</w:t>
      </w:r>
      <w:r w:rsidR="00BE05B7" w:rsidRPr="002F4C96">
        <w:t xml:space="preserve">. </w:t>
      </w:r>
      <w:r w:rsidRPr="002F4C96">
        <w:t>2016.</w:t>
      </w:r>
    </w:p>
    <w:p w14:paraId="0F8E933B" w14:textId="77777777" w:rsidR="002A6350" w:rsidRPr="002F4C96" w:rsidRDefault="002A6350" w:rsidP="002A6350">
      <w:pPr>
        <w:pStyle w:val="ReferenceTab"/>
      </w:pPr>
      <w:r w:rsidRPr="002F4C96">
        <w:t xml:space="preserve">93. </w:t>
      </w:r>
      <w:r w:rsidRPr="002F4C96">
        <w:tab/>
        <w:t xml:space="preserve">Pacific Women Shaping Pacific Development. </w:t>
      </w:r>
      <w:r w:rsidRPr="002F4C96">
        <w:rPr>
          <w:i/>
          <w:iCs/>
        </w:rPr>
        <w:t>Review of Counselling Services in the Pacific</w:t>
      </w:r>
      <w:r w:rsidRPr="002F4C96">
        <w:t>. Suva, Fiji</w:t>
      </w:r>
      <w:r w:rsidR="007157F2" w:rsidRPr="002F4C96">
        <w:t xml:space="preserve">. </w:t>
      </w:r>
      <w:r w:rsidRPr="002F4C96">
        <w:t>Foreign Affairs and Trade</w:t>
      </w:r>
      <w:r w:rsidR="007157F2" w:rsidRPr="002F4C96">
        <w:t>. Canberra</w:t>
      </w:r>
      <w:r w:rsidR="004E46D2" w:rsidRPr="002F4C96">
        <w:t>, Australia</w:t>
      </w:r>
      <w:r w:rsidR="007157F2" w:rsidRPr="002F4C96">
        <w:t>.</w:t>
      </w:r>
      <w:r w:rsidRPr="002F4C96">
        <w:t xml:space="preserve"> 2017.</w:t>
      </w:r>
    </w:p>
    <w:p w14:paraId="6BB2E5B2" w14:textId="77777777" w:rsidR="002A6350" w:rsidRPr="002F4C96" w:rsidRDefault="002A6350" w:rsidP="002A6350">
      <w:pPr>
        <w:pStyle w:val="ReferenceTab"/>
      </w:pPr>
      <w:r w:rsidRPr="002F4C96">
        <w:t xml:space="preserve">94. </w:t>
      </w:r>
      <w:r w:rsidRPr="002F4C96">
        <w:tab/>
        <w:t>itad. Pacific Women Shaping Pacific Development: 3</w:t>
      </w:r>
      <w:r w:rsidR="007157F2" w:rsidRPr="002F4C96">
        <w:t xml:space="preserve"> </w:t>
      </w:r>
      <w:r w:rsidRPr="002F4C96">
        <w:t>Year Evaluation</w:t>
      </w:r>
      <w:r w:rsidR="007157F2" w:rsidRPr="002F4C96">
        <w:t>—</w:t>
      </w:r>
      <w:r w:rsidRPr="002F4C96">
        <w:t>Final Report. 2017.</w:t>
      </w:r>
    </w:p>
    <w:p w14:paraId="4922BE65" w14:textId="77777777" w:rsidR="002A6350" w:rsidRPr="002F4C96" w:rsidRDefault="002A6350" w:rsidP="002A6350">
      <w:pPr>
        <w:pStyle w:val="ReferenceTab"/>
      </w:pPr>
      <w:r w:rsidRPr="002F4C96">
        <w:t xml:space="preserve">95. </w:t>
      </w:r>
      <w:r w:rsidRPr="002F4C96">
        <w:tab/>
        <w:t xml:space="preserve">Ellsberg M, Vyas A, Madrid B, Quintanilla M, Zelaya J, Stockl H. </w:t>
      </w:r>
      <w:r w:rsidRPr="002F4C96">
        <w:rPr>
          <w:i/>
          <w:iCs/>
        </w:rPr>
        <w:t>Violence against Adolescent Girls: Falling through the Cracks?</w:t>
      </w:r>
      <w:r w:rsidRPr="002F4C96">
        <w:t xml:space="preserve"> New Delhi, India</w:t>
      </w:r>
      <w:r w:rsidR="007157F2" w:rsidRPr="002F4C96">
        <w:t>.</w:t>
      </w:r>
      <w:r w:rsidRPr="002F4C96">
        <w:t xml:space="preserve"> Know Violence in Childhood</w:t>
      </w:r>
      <w:r w:rsidR="007157F2" w:rsidRPr="002F4C96">
        <w:t>.</w:t>
      </w:r>
      <w:r w:rsidRPr="002F4C96">
        <w:t xml:space="preserve"> 2017.</w:t>
      </w:r>
    </w:p>
    <w:p w14:paraId="54EF15B6" w14:textId="77777777" w:rsidR="002A6350" w:rsidRDefault="002A6350" w:rsidP="002A6350">
      <w:pPr>
        <w:pStyle w:val="ReferenceTab"/>
      </w:pPr>
      <w:r w:rsidRPr="002F4C96">
        <w:t xml:space="preserve">96. </w:t>
      </w:r>
      <w:r w:rsidRPr="002F4C96">
        <w:tab/>
        <w:t xml:space="preserve">Howes S, Ilave D, Plana D. </w:t>
      </w:r>
      <w:r w:rsidR="007157F2" w:rsidRPr="002F4C96">
        <w:t>'</w:t>
      </w:r>
      <w:r w:rsidRPr="002F4C96">
        <w:t>Responding to gender based violence in an urban setting: Th</w:t>
      </w:r>
      <w:r>
        <w:t>e early story of Femili PNG</w:t>
      </w:r>
      <w:r w:rsidR="007157F2">
        <w:t>'</w:t>
      </w:r>
      <w:r>
        <w:t xml:space="preserve">. </w:t>
      </w:r>
      <w:r>
        <w:rPr>
          <w:i/>
          <w:iCs/>
        </w:rPr>
        <w:t>Dev</w:t>
      </w:r>
      <w:r w:rsidR="007157F2">
        <w:rPr>
          <w:i/>
          <w:iCs/>
        </w:rPr>
        <w:t>elopment</w:t>
      </w:r>
      <w:r>
        <w:rPr>
          <w:i/>
          <w:iCs/>
        </w:rPr>
        <w:t xml:space="preserve"> Bull</w:t>
      </w:r>
      <w:r w:rsidR="007157F2">
        <w:rPr>
          <w:i/>
          <w:iCs/>
        </w:rPr>
        <w:t>etin</w:t>
      </w:r>
      <w:r>
        <w:t>. 2017</w:t>
      </w:r>
      <w:r w:rsidR="007157F2">
        <w:t xml:space="preserve">. </w:t>
      </w:r>
      <w:r>
        <w:t>(78):67</w:t>
      </w:r>
      <w:r w:rsidR="007157F2">
        <w:t>–</w:t>
      </w:r>
      <w:r>
        <w:t>70.</w:t>
      </w:r>
    </w:p>
    <w:p w14:paraId="7320CBF8" w14:textId="77777777" w:rsidR="002A6350" w:rsidRPr="002F4C96" w:rsidRDefault="002A6350" w:rsidP="002A6350">
      <w:pPr>
        <w:pStyle w:val="ReferenceTab"/>
      </w:pPr>
      <w:r>
        <w:t xml:space="preserve">97. </w:t>
      </w:r>
      <w:r>
        <w:tab/>
        <w:t xml:space="preserve">Mukasa S, McCleary-Sills J, Heilman B, Namy S. </w:t>
      </w:r>
      <w:r w:rsidRPr="004D2CDF">
        <w:rPr>
          <w:i/>
          <w:iCs/>
        </w:rPr>
        <w:t>Review of Australian Aid Initiatives in the Pacific Aimed at Ending Violence against Women</w:t>
      </w:r>
      <w:r>
        <w:t>. I</w:t>
      </w:r>
      <w:r w:rsidR="007157F2">
        <w:t>nternational Center for Research on Women.</w:t>
      </w:r>
      <w:r>
        <w:t xml:space="preserve"> 2</w:t>
      </w:r>
      <w:r w:rsidRPr="002F4C96">
        <w:t>014.</w:t>
      </w:r>
    </w:p>
    <w:p w14:paraId="4C3DD5AA" w14:textId="77777777" w:rsidR="002A6350" w:rsidRPr="002F4C96" w:rsidRDefault="002A6350" w:rsidP="002A6350">
      <w:pPr>
        <w:pStyle w:val="ReferenceTab"/>
      </w:pPr>
      <w:r w:rsidRPr="002F4C96">
        <w:t xml:space="preserve">98. </w:t>
      </w:r>
      <w:r w:rsidRPr="002F4C96">
        <w:tab/>
        <w:t>Pacific D</w:t>
      </w:r>
      <w:r w:rsidR="002F4C96" w:rsidRPr="002F4C96">
        <w:t xml:space="preserve">isability </w:t>
      </w:r>
      <w:r w:rsidRPr="002F4C96">
        <w:t>F</w:t>
      </w:r>
      <w:r w:rsidR="002F4C96" w:rsidRPr="002F4C96">
        <w:t>orum</w:t>
      </w:r>
      <w:r w:rsidRPr="002F4C96">
        <w:t xml:space="preserve">. </w:t>
      </w:r>
      <w:r w:rsidRPr="002F4C96">
        <w:rPr>
          <w:i/>
          <w:iCs/>
        </w:rPr>
        <w:t>Toolkit on Eliminating Violence against Women and Girls with Disabilities in Fiji</w:t>
      </w:r>
      <w:r w:rsidRPr="002F4C96">
        <w:t>. Suva, Fiji</w:t>
      </w:r>
      <w:r w:rsidR="007157F2" w:rsidRPr="002F4C96">
        <w:t>.</w:t>
      </w:r>
      <w:r w:rsidRPr="002F4C96">
        <w:t xml:space="preserve"> Pacific Disability Forum</w:t>
      </w:r>
      <w:r w:rsidR="007157F2" w:rsidRPr="002F4C96">
        <w:t>.</w:t>
      </w:r>
      <w:r w:rsidRPr="002F4C96">
        <w:t xml:space="preserve"> 2014. http://www.pacificdisability.org/getattachment/Resources/PDF-Resources/Toolkit-on-Eliminating-Violence-Against-Women-And-Girls-With-Disabilities-In-Fiji-(1).pdf.aspx</w:t>
      </w:r>
    </w:p>
    <w:p w14:paraId="7B3ABC3C" w14:textId="1D22A786" w:rsidR="002A6350" w:rsidRPr="002F4C96" w:rsidRDefault="002A6350" w:rsidP="002A6350">
      <w:pPr>
        <w:pStyle w:val="ReferenceTab"/>
      </w:pPr>
      <w:r w:rsidRPr="002F4C96">
        <w:t xml:space="preserve">99. </w:t>
      </w:r>
      <w:r w:rsidRPr="002F4C96">
        <w:tab/>
        <w:t xml:space="preserve">UN Human Rights Council Secretariat. </w:t>
      </w:r>
      <w:r w:rsidRPr="002F4C96">
        <w:rPr>
          <w:i/>
          <w:iCs/>
        </w:rPr>
        <w:t xml:space="preserve">Report of the Independent Expert on </w:t>
      </w:r>
      <w:r w:rsidR="00A07A23" w:rsidRPr="002F4C96">
        <w:rPr>
          <w:i/>
          <w:iCs/>
        </w:rPr>
        <w:t>p</w:t>
      </w:r>
      <w:r w:rsidRPr="002F4C96">
        <w:rPr>
          <w:i/>
          <w:iCs/>
        </w:rPr>
        <w:t xml:space="preserve">rotection against </w:t>
      </w:r>
      <w:r w:rsidR="00A07A23" w:rsidRPr="002F4C96">
        <w:rPr>
          <w:i/>
          <w:iCs/>
        </w:rPr>
        <w:t>v</w:t>
      </w:r>
      <w:r w:rsidRPr="002F4C96">
        <w:rPr>
          <w:i/>
          <w:iCs/>
        </w:rPr>
        <w:t xml:space="preserve">iolence and </w:t>
      </w:r>
      <w:r w:rsidR="00A07A23" w:rsidRPr="002F4C96">
        <w:rPr>
          <w:i/>
          <w:iCs/>
        </w:rPr>
        <w:t>d</w:t>
      </w:r>
      <w:r w:rsidRPr="002F4C96">
        <w:rPr>
          <w:i/>
          <w:iCs/>
        </w:rPr>
        <w:t xml:space="preserve">iscrimination </w:t>
      </w:r>
      <w:r w:rsidR="00A07A23" w:rsidRPr="002F4C96">
        <w:rPr>
          <w:i/>
          <w:iCs/>
        </w:rPr>
        <w:t>b</w:t>
      </w:r>
      <w:r w:rsidRPr="002F4C96">
        <w:rPr>
          <w:i/>
          <w:iCs/>
        </w:rPr>
        <w:t xml:space="preserve">ased on </w:t>
      </w:r>
      <w:r w:rsidR="00A07A23" w:rsidRPr="002F4C96">
        <w:rPr>
          <w:i/>
          <w:iCs/>
        </w:rPr>
        <w:t>s</w:t>
      </w:r>
      <w:r w:rsidRPr="002F4C96">
        <w:rPr>
          <w:i/>
          <w:iCs/>
        </w:rPr>
        <w:t xml:space="preserve">exual </w:t>
      </w:r>
      <w:r w:rsidR="00A07A23" w:rsidRPr="002F4C96">
        <w:rPr>
          <w:i/>
          <w:iCs/>
        </w:rPr>
        <w:t>o</w:t>
      </w:r>
      <w:r w:rsidRPr="002F4C96">
        <w:rPr>
          <w:i/>
          <w:iCs/>
        </w:rPr>
        <w:t xml:space="preserve">rientation and </w:t>
      </w:r>
      <w:r w:rsidR="00A07A23" w:rsidRPr="002F4C96">
        <w:rPr>
          <w:i/>
          <w:iCs/>
        </w:rPr>
        <w:t>g</w:t>
      </w:r>
      <w:r w:rsidRPr="002F4C96">
        <w:rPr>
          <w:i/>
          <w:iCs/>
        </w:rPr>
        <w:t xml:space="preserve">ender </w:t>
      </w:r>
      <w:r w:rsidR="00A07A23" w:rsidRPr="002F4C96">
        <w:rPr>
          <w:i/>
          <w:iCs/>
        </w:rPr>
        <w:t>i</w:t>
      </w:r>
      <w:r w:rsidRPr="002F4C96">
        <w:rPr>
          <w:i/>
          <w:iCs/>
        </w:rPr>
        <w:t>dentity</w:t>
      </w:r>
      <w:r w:rsidRPr="002F4C96">
        <w:t>. New York</w:t>
      </w:r>
      <w:r w:rsidR="00297880" w:rsidRPr="002F4C96">
        <w:t>.</w:t>
      </w:r>
      <w:r w:rsidRPr="002F4C96">
        <w:t xml:space="preserve"> UN General Assembly</w:t>
      </w:r>
      <w:r w:rsidR="007157F2" w:rsidRPr="002F4C96">
        <w:t>.</w:t>
      </w:r>
      <w:r w:rsidRPr="002F4C96">
        <w:t xml:space="preserve"> 2018. http://www.un.org/en/ga/search/view_doc.asp?symbol=A/HRC/38/43 Accessed </w:t>
      </w:r>
      <w:r w:rsidR="00BE05B7" w:rsidRPr="002F4C96">
        <w:t xml:space="preserve">11 </w:t>
      </w:r>
      <w:r w:rsidRPr="002F4C96">
        <w:t>July 2018</w:t>
      </w:r>
      <w:r w:rsidR="00CE22E0">
        <w:t>.</w:t>
      </w:r>
    </w:p>
    <w:p w14:paraId="17545611" w14:textId="77777777" w:rsidR="002A6350" w:rsidRPr="002F4C96" w:rsidRDefault="002A6350" w:rsidP="002A6350">
      <w:pPr>
        <w:pStyle w:val="ReferenceTab"/>
      </w:pPr>
      <w:r w:rsidRPr="002F4C96">
        <w:t xml:space="preserve">100. </w:t>
      </w:r>
      <w:r w:rsidRPr="002F4C96">
        <w:tab/>
        <w:t xml:space="preserve">Ellsberg MC. Violence against women: a global public health crisis. </w:t>
      </w:r>
      <w:r w:rsidRPr="002F4C96">
        <w:rPr>
          <w:i/>
          <w:iCs/>
        </w:rPr>
        <w:t>Scandinavian Journal of Public Health</w:t>
      </w:r>
      <w:r w:rsidRPr="002F4C96">
        <w:t>. 2006</w:t>
      </w:r>
      <w:r w:rsidR="00BE05B7" w:rsidRPr="002F4C96">
        <w:t xml:space="preserve">. </w:t>
      </w:r>
      <w:r w:rsidRPr="002F4C96">
        <w:t>34(1):1</w:t>
      </w:r>
      <w:r w:rsidR="00BE05B7" w:rsidRPr="002F4C96">
        <w:t>–</w:t>
      </w:r>
      <w:r w:rsidRPr="002F4C96">
        <w:t>4.</w:t>
      </w:r>
    </w:p>
    <w:p w14:paraId="19767EDA" w14:textId="77777777" w:rsidR="002A6350" w:rsidRPr="002F4C96" w:rsidRDefault="002A6350" w:rsidP="002A6350">
      <w:pPr>
        <w:pStyle w:val="ReferenceTab"/>
      </w:pPr>
      <w:r w:rsidRPr="002F4C96">
        <w:t xml:space="preserve">101. </w:t>
      </w:r>
      <w:r w:rsidRPr="002F4C96">
        <w:tab/>
        <w:t xml:space="preserve">UN Women. </w:t>
      </w:r>
      <w:r w:rsidRPr="002F4C96">
        <w:rPr>
          <w:i/>
          <w:iCs/>
        </w:rPr>
        <w:t>Turning Promises into Action: Gender Equality in the 2030 Agenda for Sustainable Development</w:t>
      </w:r>
      <w:r w:rsidRPr="002F4C96">
        <w:t>. UN Women</w:t>
      </w:r>
      <w:r w:rsidR="00297880" w:rsidRPr="002F4C96">
        <w:t>.</w:t>
      </w:r>
      <w:r w:rsidRPr="002F4C96">
        <w:t xml:space="preserve"> 2018.</w:t>
      </w:r>
    </w:p>
    <w:p w14:paraId="71ED3F45" w14:textId="77777777" w:rsidR="002A6350" w:rsidRPr="002F4C96" w:rsidRDefault="002A6350" w:rsidP="002A6350">
      <w:pPr>
        <w:pStyle w:val="ReferenceTab"/>
      </w:pPr>
      <w:r w:rsidRPr="002F4C96">
        <w:t xml:space="preserve">102. </w:t>
      </w:r>
      <w:r w:rsidRPr="002F4C96">
        <w:tab/>
        <w:t xml:space="preserve">Gupta, GR. </w:t>
      </w:r>
      <w:r w:rsidR="007157F2" w:rsidRPr="002F4C96">
        <w:t>'</w:t>
      </w:r>
      <w:r w:rsidRPr="002F4C96">
        <w:t>Gender, sexuality, and HIV/AIDS: The what, the why, and the how</w:t>
      </w:r>
      <w:r w:rsidR="007157F2" w:rsidRPr="002F4C96">
        <w:t>'</w:t>
      </w:r>
      <w:r w:rsidRPr="002F4C96">
        <w:t xml:space="preserve">. </w:t>
      </w:r>
      <w:r w:rsidR="007157F2" w:rsidRPr="002F4C96">
        <w:rPr>
          <w:i/>
          <w:iCs/>
        </w:rPr>
        <w:t xml:space="preserve">The </w:t>
      </w:r>
      <w:r w:rsidRPr="002F4C96">
        <w:rPr>
          <w:i/>
          <w:iCs/>
        </w:rPr>
        <w:t>Siecus Report</w:t>
      </w:r>
      <w:r w:rsidRPr="002F4C96">
        <w:t>. 2001</w:t>
      </w:r>
      <w:r w:rsidR="00BE05B7" w:rsidRPr="002F4C96">
        <w:t xml:space="preserve">. </w:t>
      </w:r>
      <w:r w:rsidRPr="002F4C96">
        <w:t>29(5).</w:t>
      </w:r>
    </w:p>
    <w:p w14:paraId="35A11E3F" w14:textId="77777777" w:rsidR="002A6350" w:rsidRPr="002F4C96" w:rsidRDefault="002A6350" w:rsidP="002A6350">
      <w:pPr>
        <w:pStyle w:val="ReferenceTab"/>
      </w:pPr>
      <w:r w:rsidRPr="002F4C96">
        <w:t xml:space="preserve">103. </w:t>
      </w:r>
      <w:r w:rsidRPr="002F4C96">
        <w:tab/>
        <w:t xml:space="preserve">Dworkin SL, Fleming PJ, Colvin CJ. The promises and limitations of gender-transformative health programming with men: critical reflections from the field. </w:t>
      </w:r>
      <w:r w:rsidRPr="002F4C96">
        <w:rPr>
          <w:i/>
          <w:iCs/>
        </w:rPr>
        <w:t>Culture, Health and Sexuality</w:t>
      </w:r>
      <w:r w:rsidRPr="002F4C96">
        <w:t>. 2015</w:t>
      </w:r>
      <w:r w:rsidR="00BE05B7" w:rsidRPr="002F4C96">
        <w:t>.</w:t>
      </w:r>
      <w:r w:rsidRPr="002F4C96">
        <w:t>17(sup2):128</w:t>
      </w:r>
      <w:r w:rsidR="00BE05B7" w:rsidRPr="002F4C96">
        <w:t>–</w:t>
      </w:r>
      <w:r w:rsidRPr="002F4C96">
        <w:t>143.</w:t>
      </w:r>
    </w:p>
    <w:p w14:paraId="01122B2F" w14:textId="77777777" w:rsidR="002A6350" w:rsidRDefault="002A6350" w:rsidP="002A6350">
      <w:pPr>
        <w:pStyle w:val="ReferenceTab"/>
      </w:pPr>
      <w:r w:rsidRPr="002F4C96">
        <w:t xml:space="preserve">104. </w:t>
      </w:r>
      <w:r w:rsidRPr="002F4C96">
        <w:tab/>
        <w:t xml:space="preserve">Barker G, Ricardo C, Nascimento M, Olukoya A, Santos C. </w:t>
      </w:r>
      <w:r w:rsidR="007157F2" w:rsidRPr="002F4C96">
        <w:t>'</w:t>
      </w:r>
      <w:r w:rsidRPr="002F4C96">
        <w:t>Questioning gender norms with men to improve health outcomes: evidence of impact</w:t>
      </w:r>
      <w:r w:rsidR="007157F2" w:rsidRPr="002F4C96">
        <w:t>'</w:t>
      </w:r>
      <w:r w:rsidRPr="002F4C96">
        <w:t>.</w:t>
      </w:r>
      <w:r>
        <w:t xml:space="preserve"> </w:t>
      </w:r>
      <w:r>
        <w:rPr>
          <w:i/>
          <w:iCs/>
        </w:rPr>
        <w:t>Global Public Health</w:t>
      </w:r>
      <w:r>
        <w:t>. 2010</w:t>
      </w:r>
      <w:r w:rsidR="00BE05B7">
        <w:t>.</w:t>
      </w:r>
      <w:r>
        <w:t>5(5):539</w:t>
      </w:r>
      <w:r w:rsidR="00BE05B7">
        <w:t>–</w:t>
      </w:r>
      <w:r>
        <w:t>553.</w:t>
      </w:r>
    </w:p>
    <w:p w14:paraId="310F6AD0" w14:textId="77777777" w:rsidR="002A6350" w:rsidRDefault="002A6350" w:rsidP="002A6350">
      <w:pPr>
        <w:pStyle w:val="ReferenceTab"/>
      </w:pPr>
      <w:r>
        <w:t xml:space="preserve">105. </w:t>
      </w:r>
      <w:r>
        <w:tab/>
        <w:t xml:space="preserve">Abramsky T, Devries K, Kiss L, et al. </w:t>
      </w:r>
      <w:r w:rsidR="007157F2">
        <w:t>'</w:t>
      </w:r>
      <w:r>
        <w:t>Findings from the SASA! Study: a cluster randomized controlled trial to assess the impact of a community mobilization intervention to prevent violence against women and reduce HIV risk in Kampala, Uganda</w:t>
      </w:r>
      <w:r w:rsidR="007157F2">
        <w:t>'</w:t>
      </w:r>
      <w:r>
        <w:t xml:space="preserve">. </w:t>
      </w:r>
      <w:r>
        <w:rPr>
          <w:i/>
          <w:iCs/>
        </w:rPr>
        <w:t>BMC Medicine</w:t>
      </w:r>
      <w:r>
        <w:t>. 2014</w:t>
      </w:r>
      <w:r w:rsidR="007157F2">
        <w:t xml:space="preserve">. </w:t>
      </w:r>
      <w:r>
        <w:t>12(1):122.</w:t>
      </w:r>
    </w:p>
    <w:p w14:paraId="37818501" w14:textId="77777777" w:rsidR="002A6350" w:rsidRDefault="002A6350" w:rsidP="002A6350">
      <w:pPr>
        <w:pStyle w:val="ReferenceTab"/>
      </w:pPr>
      <w:r>
        <w:t xml:space="preserve">106. </w:t>
      </w:r>
      <w:r>
        <w:tab/>
        <w:t xml:space="preserve">Vyas S, Watts C. </w:t>
      </w:r>
      <w:r w:rsidR="007157F2">
        <w:t>'</w:t>
      </w:r>
      <w:r>
        <w:t>How does economic empowerment affect women’s risk of intimate partner violence in low and middle income countries? A systematic review of published evidence</w:t>
      </w:r>
      <w:r w:rsidR="007157F2">
        <w:t>'</w:t>
      </w:r>
      <w:r>
        <w:t xml:space="preserve">. </w:t>
      </w:r>
      <w:r>
        <w:rPr>
          <w:i/>
        </w:rPr>
        <w:t xml:space="preserve">Journal of </w:t>
      </w:r>
      <w:r>
        <w:rPr>
          <w:i/>
          <w:iCs/>
        </w:rPr>
        <w:t>International Development</w:t>
      </w:r>
      <w:r>
        <w:t>. 2009</w:t>
      </w:r>
      <w:r w:rsidR="007157F2">
        <w:t xml:space="preserve">. </w:t>
      </w:r>
      <w:r>
        <w:t>21(5):577</w:t>
      </w:r>
      <w:r w:rsidR="007157F2">
        <w:t>–</w:t>
      </w:r>
      <w:r>
        <w:t>602.</w:t>
      </w:r>
    </w:p>
    <w:p w14:paraId="7ED85BBA" w14:textId="77777777" w:rsidR="002A6350" w:rsidRDefault="002A6350" w:rsidP="002A6350">
      <w:pPr>
        <w:pStyle w:val="ReferenceTab"/>
      </w:pPr>
      <w:r>
        <w:t xml:space="preserve">107. </w:t>
      </w:r>
      <w:r>
        <w:tab/>
        <w:t xml:space="preserve">Bastagli F, Hagen-Zanker J, Harman L, et al. </w:t>
      </w:r>
      <w:r w:rsidRPr="004D2CDF">
        <w:rPr>
          <w:i/>
          <w:iCs/>
        </w:rPr>
        <w:t>Cash transfers: what does the evidence say: A rigorous review of impacts and the role of design and implementation features</w:t>
      </w:r>
      <w:r w:rsidR="007157F2" w:rsidRPr="004D2CDF">
        <w:rPr>
          <w:i/>
          <w:iCs/>
        </w:rPr>
        <w:t>.</w:t>
      </w:r>
      <w:r>
        <w:t xml:space="preserve"> </w:t>
      </w:r>
      <w:r>
        <w:rPr>
          <w:iCs/>
        </w:rPr>
        <w:t>O</w:t>
      </w:r>
      <w:r w:rsidR="007157F2">
        <w:rPr>
          <w:iCs/>
        </w:rPr>
        <w:t>verseas Development Institute</w:t>
      </w:r>
      <w:r>
        <w:t>. 2016.</w:t>
      </w:r>
    </w:p>
    <w:p w14:paraId="4D43E75B" w14:textId="77777777" w:rsidR="002A6350" w:rsidRDefault="002A6350" w:rsidP="002A6350">
      <w:pPr>
        <w:pStyle w:val="ReferenceTab"/>
      </w:pPr>
      <w:r>
        <w:t xml:space="preserve">108. </w:t>
      </w:r>
      <w:r>
        <w:tab/>
        <w:t xml:space="preserve">Eves R, Lusby S, Araia T, Maeni M-F, Martin R. </w:t>
      </w:r>
      <w:r>
        <w:rPr>
          <w:i/>
          <w:iCs/>
        </w:rPr>
        <w:t>Do No Harm Research: Solomon Islands</w:t>
      </w:r>
      <w:r>
        <w:t>.Department of Pacific Affairs at A</w:t>
      </w:r>
      <w:r w:rsidR="007157F2">
        <w:t>ustralian National University</w:t>
      </w:r>
      <w:r>
        <w:t xml:space="preserve"> and the International Women’s Development Agency</w:t>
      </w:r>
      <w:r w:rsidR="007157F2">
        <w:t>.</w:t>
      </w:r>
      <w:r>
        <w:t xml:space="preserve"> </w:t>
      </w:r>
      <w:r w:rsidR="007157F2">
        <w:t>Canberra</w:t>
      </w:r>
      <w:r w:rsidR="004E46D2">
        <w:t>, Australia</w:t>
      </w:r>
      <w:r w:rsidR="007157F2">
        <w:t xml:space="preserve">. </w:t>
      </w:r>
      <w:r>
        <w:t>2018.</w:t>
      </w:r>
    </w:p>
    <w:p w14:paraId="410F6068" w14:textId="77777777" w:rsidR="002A6350" w:rsidRDefault="002A6350" w:rsidP="002A6350">
      <w:pPr>
        <w:pStyle w:val="ReferenceTab"/>
      </w:pPr>
      <w:r>
        <w:t xml:space="preserve">109. </w:t>
      </w:r>
      <w:r>
        <w:tab/>
        <w:t xml:space="preserve">Eves R, Kouro G, Simiha S, Subalik I. </w:t>
      </w:r>
      <w:r>
        <w:rPr>
          <w:i/>
          <w:iCs/>
        </w:rPr>
        <w:t>Do No Harm Research: Bougainville</w:t>
      </w:r>
      <w:r>
        <w:t>. Canberra ACT: Department of Pacific Affairs</w:t>
      </w:r>
      <w:r w:rsidR="007157F2">
        <w:t xml:space="preserve"> at Australian National University. Canberra</w:t>
      </w:r>
      <w:r w:rsidR="004E46D2">
        <w:t>, Australia</w:t>
      </w:r>
      <w:r w:rsidR="007157F2">
        <w:t>.</w:t>
      </w:r>
      <w:r>
        <w:t xml:space="preserve"> 2018.</w:t>
      </w:r>
    </w:p>
    <w:p w14:paraId="05F2412A" w14:textId="77777777" w:rsidR="002A6350" w:rsidRDefault="002A6350" w:rsidP="002A6350">
      <w:pPr>
        <w:pStyle w:val="ReferenceTab"/>
      </w:pPr>
      <w:r>
        <w:t xml:space="preserve">110. </w:t>
      </w:r>
      <w:r>
        <w:tab/>
        <w:t xml:space="preserve">Eves R, Kouro G, Simiha S, Subalik I. </w:t>
      </w:r>
      <w:r>
        <w:rPr>
          <w:i/>
          <w:iCs/>
        </w:rPr>
        <w:t>Do No Harm Research: Papua New Guinea</w:t>
      </w:r>
      <w:r>
        <w:t>. Department of Pacific Affairs at A</w:t>
      </w:r>
      <w:r w:rsidR="007157F2">
        <w:t>ustralian National University</w:t>
      </w:r>
      <w:r>
        <w:t xml:space="preserve"> and the International Women’s Development Agency</w:t>
      </w:r>
      <w:r w:rsidR="007157F2">
        <w:t>. Canberra</w:t>
      </w:r>
      <w:r w:rsidR="004E46D2">
        <w:t>, Australia</w:t>
      </w:r>
      <w:r w:rsidR="007157F2">
        <w:t>.</w:t>
      </w:r>
      <w:r>
        <w:t xml:space="preserve"> 2018.</w:t>
      </w:r>
    </w:p>
    <w:p w14:paraId="39BA9165" w14:textId="77777777" w:rsidR="002A6350" w:rsidRDefault="002A6350" w:rsidP="002A6350">
      <w:pPr>
        <w:pStyle w:val="ReferenceTab"/>
      </w:pPr>
      <w:r>
        <w:t xml:space="preserve">111. </w:t>
      </w:r>
      <w:r>
        <w:tab/>
        <w:t xml:space="preserve">Solorzano I, Bank A, Pena R, Espinoza H, Ellsberg M, Pulerwitz J. </w:t>
      </w:r>
      <w:r w:rsidRPr="004D2CDF">
        <w:rPr>
          <w:i/>
          <w:iCs/>
        </w:rPr>
        <w:t xml:space="preserve">Catalyzing Personal and Social Change Aroung Gender, Sexuality, HIV: </w:t>
      </w:r>
      <w:bookmarkStart w:id="363" w:name="_Hlk19170464"/>
      <w:r w:rsidRPr="004D2CDF">
        <w:rPr>
          <w:i/>
          <w:iCs/>
        </w:rPr>
        <w:t>I</w:t>
      </w:r>
      <w:r w:rsidR="007157F2" w:rsidRPr="004D2CDF">
        <w:rPr>
          <w:i/>
          <w:iCs/>
        </w:rPr>
        <w:t>m</w:t>
      </w:r>
      <w:r w:rsidRPr="004D2CDF">
        <w:rPr>
          <w:i/>
          <w:iCs/>
        </w:rPr>
        <w:t>pact</w:t>
      </w:r>
      <w:bookmarkEnd w:id="363"/>
      <w:r w:rsidRPr="004D2CDF">
        <w:rPr>
          <w:i/>
          <w:iCs/>
        </w:rPr>
        <w:t xml:space="preserve"> Evaluation of Puntos de Encuentro’s Communication Strategy in Nicaragua</w:t>
      </w:r>
      <w:r>
        <w:t>. Puntos de Encuentro</w:t>
      </w:r>
      <w:r w:rsidR="004E46D2">
        <w:t>.</w:t>
      </w:r>
      <w:r>
        <w:t xml:space="preserve"> CIDS/UNAN Leon</w:t>
      </w:r>
      <w:r w:rsidR="004E46D2">
        <w:t>.</w:t>
      </w:r>
      <w:r>
        <w:t xml:space="preserve"> PATH</w:t>
      </w:r>
      <w:r w:rsidR="004E46D2">
        <w:t>.</w:t>
      </w:r>
      <w:r>
        <w:t xml:space="preserve"> Horizons Program</w:t>
      </w:r>
      <w:r w:rsidR="004E46D2">
        <w:t>.</w:t>
      </w:r>
      <w:r>
        <w:t xml:space="preserve"> 2008.</w:t>
      </w:r>
    </w:p>
    <w:p w14:paraId="45689ED1" w14:textId="77777777" w:rsidR="002A6350" w:rsidRDefault="002A6350" w:rsidP="002A6350">
      <w:pPr>
        <w:pStyle w:val="ReferenceTab"/>
      </w:pPr>
      <w:r>
        <w:t xml:space="preserve">112. </w:t>
      </w:r>
      <w:r>
        <w:tab/>
        <w:t xml:space="preserve">Fiji Women’s Crisis Center. </w:t>
      </w:r>
      <w:r w:rsidRPr="004D2CDF">
        <w:rPr>
          <w:i/>
          <w:iCs/>
        </w:rPr>
        <w:t xml:space="preserve">Somebody’s Life, Everybody’s Business! National Research on Women’s Health and Life Experiences in Fiji (2010/2011): A </w:t>
      </w:r>
      <w:r w:rsidR="00A07A23">
        <w:rPr>
          <w:i/>
          <w:iCs/>
        </w:rPr>
        <w:t>s</w:t>
      </w:r>
      <w:r w:rsidRPr="004D2CDF">
        <w:rPr>
          <w:i/>
          <w:iCs/>
        </w:rPr>
        <w:t xml:space="preserve">urvey </w:t>
      </w:r>
      <w:r w:rsidR="00A07A23">
        <w:rPr>
          <w:i/>
          <w:iCs/>
        </w:rPr>
        <w:t>e</w:t>
      </w:r>
      <w:r w:rsidRPr="004D2CDF">
        <w:rPr>
          <w:i/>
          <w:iCs/>
        </w:rPr>
        <w:t xml:space="preserve">xploring the </w:t>
      </w:r>
      <w:r w:rsidR="00A07A23">
        <w:rPr>
          <w:i/>
          <w:iCs/>
        </w:rPr>
        <w:t>p</w:t>
      </w:r>
      <w:r w:rsidRPr="004D2CDF">
        <w:rPr>
          <w:i/>
          <w:iCs/>
        </w:rPr>
        <w:t xml:space="preserve">revalence, </w:t>
      </w:r>
      <w:r w:rsidR="00A07A23">
        <w:rPr>
          <w:i/>
          <w:iCs/>
        </w:rPr>
        <w:t>i</w:t>
      </w:r>
      <w:r w:rsidRPr="004D2CDF">
        <w:rPr>
          <w:i/>
          <w:iCs/>
        </w:rPr>
        <w:t xml:space="preserve">ncidence, and </w:t>
      </w:r>
      <w:r w:rsidR="00A07A23">
        <w:rPr>
          <w:i/>
          <w:iCs/>
        </w:rPr>
        <w:t>a</w:t>
      </w:r>
      <w:r w:rsidRPr="004D2CDF">
        <w:rPr>
          <w:i/>
          <w:iCs/>
        </w:rPr>
        <w:t xml:space="preserve">ttitudes to </w:t>
      </w:r>
      <w:r w:rsidR="00A07A23">
        <w:rPr>
          <w:i/>
          <w:iCs/>
        </w:rPr>
        <w:t>i</w:t>
      </w:r>
      <w:r w:rsidRPr="004D2CDF">
        <w:rPr>
          <w:i/>
          <w:iCs/>
        </w:rPr>
        <w:t xml:space="preserve">ntimate </w:t>
      </w:r>
      <w:r w:rsidR="00A07A23">
        <w:rPr>
          <w:i/>
          <w:iCs/>
        </w:rPr>
        <w:t>p</w:t>
      </w:r>
      <w:r w:rsidRPr="004D2CDF">
        <w:rPr>
          <w:i/>
          <w:iCs/>
        </w:rPr>
        <w:t xml:space="preserve">artner </w:t>
      </w:r>
      <w:r w:rsidR="00A07A23">
        <w:rPr>
          <w:i/>
          <w:iCs/>
        </w:rPr>
        <w:t>v</w:t>
      </w:r>
      <w:r w:rsidRPr="004D2CDF">
        <w:rPr>
          <w:i/>
          <w:iCs/>
        </w:rPr>
        <w:t>iolence in Fiji</w:t>
      </w:r>
      <w:r>
        <w:t>. Suva</w:t>
      </w:r>
      <w:r w:rsidR="004E46D2">
        <w:t>.</w:t>
      </w:r>
      <w:r>
        <w:t xml:space="preserve"> Fiji Women’s Crisis Centre</w:t>
      </w:r>
      <w:r w:rsidR="004E46D2">
        <w:t>.</w:t>
      </w:r>
      <w:r>
        <w:t xml:space="preserve"> 2013. http://evaw-global-database.unwomen.org/-/media/files/un%20women/vaw/vaw%20survey/fiji%20vaw%20survey.pdf</w:t>
      </w:r>
    </w:p>
    <w:p w14:paraId="59A18A92" w14:textId="77777777" w:rsidR="002A6350" w:rsidRDefault="002A6350" w:rsidP="002A6350">
      <w:pPr>
        <w:pStyle w:val="ReferenceTab"/>
      </w:pPr>
      <w:r>
        <w:t xml:space="preserve">113. </w:t>
      </w:r>
      <w:r>
        <w:tab/>
        <w:t xml:space="preserve">Vanuatu Women’s Centre. </w:t>
      </w:r>
      <w:r>
        <w:rPr>
          <w:i/>
          <w:iCs/>
        </w:rPr>
        <w:t>Vanuatu National Survey on Women’s Lives and Family Relationships</w:t>
      </w:r>
      <w:r>
        <w:t>. Port Vila</w:t>
      </w:r>
      <w:r w:rsidR="004E46D2">
        <w:t>.</w:t>
      </w:r>
      <w:r>
        <w:t xml:space="preserve"> Vanuatu Women’s Centre</w:t>
      </w:r>
      <w:r w:rsidR="004E46D2">
        <w:t>.</w:t>
      </w:r>
      <w:r>
        <w:t xml:space="preserve"> 2011.</w:t>
      </w:r>
    </w:p>
    <w:p w14:paraId="254DEA4B" w14:textId="77777777" w:rsidR="002A6350" w:rsidRPr="002F4C96" w:rsidRDefault="002A6350" w:rsidP="002A6350">
      <w:pPr>
        <w:pStyle w:val="ReferenceTab"/>
      </w:pPr>
      <w:r>
        <w:t xml:space="preserve">114. </w:t>
      </w:r>
      <w:r>
        <w:tab/>
        <w:t xml:space="preserve">García-Moreno C, Henrica A, Jansen FM, Ellsberg MA, Heise L, Watts C. </w:t>
      </w:r>
      <w:r w:rsidRPr="004D2CDF">
        <w:rPr>
          <w:i/>
          <w:iCs/>
        </w:rPr>
        <w:t>WHO Multi-Country Study on Women’s Health and Domestic Violence against Women: Initial Results on Prevalence, Health Outcomes and Women’s Responses</w:t>
      </w:r>
      <w:r>
        <w:t>. Geneva: World Health Organi</w:t>
      </w:r>
      <w:r w:rsidR="004E46D2">
        <w:t>z</w:t>
      </w:r>
      <w:r>
        <w:t>ation (WHO)</w:t>
      </w:r>
      <w:r w:rsidR="004E46D2">
        <w:t>.</w:t>
      </w:r>
      <w:r>
        <w:t xml:space="preserve"> 20</w:t>
      </w:r>
      <w:r w:rsidRPr="002F4C96">
        <w:t>05.</w:t>
      </w:r>
    </w:p>
    <w:p w14:paraId="3921FE43" w14:textId="77777777" w:rsidR="002A6350" w:rsidRPr="002F4C96" w:rsidRDefault="002A6350" w:rsidP="002A6350">
      <w:pPr>
        <w:pStyle w:val="ReferenceTab"/>
      </w:pPr>
      <w:r w:rsidRPr="002F4C96">
        <w:t xml:space="preserve">115. </w:t>
      </w:r>
      <w:r w:rsidRPr="002F4C96">
        <w:tab/>
      </w:r>
      <w:bookmarkStart w:id="364" w:name="_Hlk19170604"/>
      <w:r w:rsidRPr="002F4C96">
        <w:t xml:space="preserve">Cardno. </w:t>
      </w:r>
      <w:r w:rsidRPr="002F4C96">
        <w:rPr>
          <w:i/>
          <w:iCs/>
        </w:rPr>
        <w:t>Papua New Guinea Monitoring, Evaluation and Learning Framework</w:t>
      </w:r>
      <w:r w:rsidRPr="002F4C96">
        <w:t>. Cardno</w:t>
      </w:r>
      <w:r w:rsidR="004E46D2" w:rsidRPr="002F4C96">
        <w:t>.</w:t>
      </w:r>
      <w:r w:rsidRPr="002F4C96">
        <w:t xml:space="preserve"> 2018.</w:t>
      </w:r>
    </w:p>
    <w:p w14:paraId="682420F6" w14:textId="77777777" w:rsidR="002A6350" w:rsidRPr="002F4C96" w:rsidRDefault="002A6350" w:rsidP="002A6350">
      <w:pPr>
        <w:pStyle w:val="ReferenceTab"/>
      </w:pPr>
      <w:r w:rsidRPr="002F4C96">
        <w:t xml:space="preserve">116. </w:t>
      </w:r>
      <w:r w:rsidRPr="002F4C96">
        <w:tab/>
        <w:t xml:space="preserve">Cardno. </w:t>
      </w:r>
      <w:r w:rsidRPr="002F4C96">
        <w:rPr>
          <w:i/>
          <w:iCs/>
        </w:rPr>
        <w:t>Monitoring, Evaluation and Learning Framework</w:t>
      </w:r>
      <w:r w:rsidRPr="002F4C96">
        <w:t>. Cardno Emerging Markets</w:t>
      </w:r>
      <w:r w:rsidR="004E46D2" w:rsidRPr="002F4C96">
        <w:t>.</w:t>
      </w:r>
      <w:r w:rsidRPr="002F4C96">
        <w:t xml:space="preserve"> 2017.</w:t>
      </w:r>
    </w:p>
    <w:bookmarkEnd w:id="364"/>
    <w:p w14:paraId="4D11684A" w14:textId="77777777" w:rsidR="002A6350" w:rsidRPr="002F4C96" w:rsidRDefault="002A6350" w:rsidP="002A6350">
      <w:pPr>
        <w:pStyle w:val="ReferenceTab"/>
      </w:pPr>
      <w:r w:rsidRPr="002F4C96">
        <w:t xml:space="preserve">117. </w:t>
      </w:r>
      <w:r w:rsidRPr="002F4C96">
        <w:tab/>
        <w:t xml:space="preserve">Our Watch, </w:t>
      </w:r>
      <w:r w:rsidR="001608B7" w:rsidRPr="00130BA6">
        <w:t>Australia's National Research Organisation for Women's Safety</w:t>
      </w:r>
      <w:r w:rsidRPr="002F4C96">
        <w:t xml:space="preserve">. </w:t>
      </w:r>
      <w:r w:rsidRPr="002F4C96">
        <w:rPr>
          <w:i/>
          <w:iCs/>
        </w:rPr>
        <w:t>Counting on Change: A Guide to Prevention Monitoring.</w:t>
      </w:r>
      <w:r w:rsidRPr="002F4C96">
        <w:t xml:space="preserve"> Melbourne, Australia: Our Watch</w:t>
      </w:r>
      <w:r w:rsidR="00297880" w:rsidRPr="002F4C96">
        <w:t>.</w:t>
      </w:r>
    </w:p>
    <w:p w14:paraId="2FDAC071" w14:textId="77777777" w:rsidR="002A6350" w:rsidRPr="002F4C96" w:rsidRDefault="002A6350" w:rsidP="002A6350">
      <w:pPr>
        <w:pStyle w:val="ReferenceTab"/>
      </w:pPr>
      <w:r w:rsidRPr="002F4C96">
        <w:t xml:space="preserve">118. </w:t>
      </w:r>
      <w:r w:rsidRPr="002F4C96">
        <w:tab/>
        <w:t xml:space="preserve">Pacific Women Shaping Pacific Development Support Unit. </w:t>
      </w:r>
      <w:r w:rsidRPr="002F4C96">
        <w:rPr>
          <w:i/>
          <w:iCs/>
        </w:rPr>
        <w:t>Pacific Women Papua New Guinea Performance Report 2017</w:t>
      </w:r>
      <w:r w:rsidR="004E46D2" w:rsidRPr="002F4C96">
        <w:rPr>
          <w:i/>
          <w:iCs/>
        </w:rPr>
        <w:t>–</w:t>
      </w:r>
      <w:r w:rsidRPr="002F4C96">
        <w:rPr>
          <w:i/>
          <w:iCs/>
        </w:rPr>
        <w:t>2018</w:t>
      </w:r>
      <w:r w:rsidRPr="002F4C96">
        <w:t>. Suva: Pacific Women</w:t>
      </w:r>
      <w:r w:rsidR="004E46D2" w:rsidRPr="002F4C96">
        <w:t>.</w:t>
      </w:r>
      <w:r w:rsidR="00776A12">
        <w:t xml:space="preserve"> </w:t>
      </w:r>
      <w:r w:rsidRPr="002F4C96">
        <w:t>Department of Foreign Affairs and Trade</w:t>
      </w:r>
      <w:r w:rsidR="004E46D2" w:rsidRPr="002F4C96">
        <w:t>. Canberra, Australia.</w:t>
      </w:r>
      <w:r w:rsidRPr="002F4C96">
        <w:t xml:space="preserve"> 2018.</w:t>
      </w:r>
    </w:p>
    <w:p w14:paraId="7615758E" w14:textId="77777777" w:rsidR="002A6350" w:rsidRPr="002F4C96" w:rsidRDefault="002A6350" w:rsidP="002A6350">
      <w:pPr>
        <w:pStyle w:val="ReferenceTab"/>
      </w:pPr>
      <w:r w:rsidRPr="002F4C96">
        <w:t xml:space="preserve">119. </w:t>
      </w:r>
      <w:r w:rsidRPr="002F4C96">
        <w:tab/>
        <w:t xml:space="preserve">Hagar International. </w:t>
      </w:r>
      <w:r w:rsidRPr="002F4C96">
        <w:rPr>
          <w:i/>
          <w:iCs/>
        </w:rPr>
        <w:t>Current Statistics on Human Trafficking and Slavery</w:t>
      </w:r>
      <w:r w:rsidRPr="002F4C96">
        <w:t>. Melbourne</w:t>
      </w:r>
      <w:r w:rsidR="004E46D2" w:rsidRPr="002F4C96">
        <w:t>.</w:t>
      </w:r>
      <w:r w:rsidRPr="002F4C96">
        <w:t xml:space="preserve"> Hagar International</w:t>
      </w:r>
      <w:r w:rsidR="004E46D2" w:rsidRPr="002F4C96">
        <w:t>.</w:t>
      </w:r>
      <w:r w:rsidRPr="002F4C96">
        <w:t xml:space="preserve"> 2013. https://hagarinternational.org/australia/files/Hagar-Slavery-Statistics.pdf Accessed </w:t>
      </w:r>
      <w:r w:rsidR="00BE05B7" w:rsidRPr="002F4C96">
        <w:t xml:space="preserve">16 </w:t>
      </w:r>
      <w:r w:rsidRPr="002F4C96">
        <w:t>August 2018.</w:t>
      </w:r>
    </w:p>
    <w:p w14:paraId="304BC5DE" w14:textId="77777777" w:rsidR="002A6350" w:rsidRDefault="002A6350" w:rsidP="002A6350">
      <w:pPr>
        <w:pStyle w:val="ReferenceTab"/>
      </w:pPr>
      <w:r w:rsidRPr="002F4C96">
        <w:t xml:space="preserve">120. </w:t>
      </w:r>
      <w:r w:rsidRPr="002F4C96">
        <w:tab/>
        <w:t xml:space="preserve">Hext S, Scheye E, Cox M. </w:t>
      </w:r>
      <w:r w:rsidRPr="002F4C96">
        <w:rPr>
          <w:i/>
          <w:iCs/>
        </w:rPr>
        <w:t>The Australia-Asia Program to Combat Trafficking in Persons:</w:t>
      </w:r>
      <w:r w:rsidRPr="004D2CDF">
        <w:rPr>
          <w:i/>
          <w:iCs/>
        </w:rPr>
        <w:t xml:space="preserve"> Independent Mid-Term Review Final Report</w:t>
      </w:r>
      <w:r>
        <w:t>. Agulhas</w:t>
      </w:r>
      <w:r w:rsidR="004E46D2">
        <w:t>.</w:t>
      </w:r>
      <w:r>
        <w:t xml:space="preserve"> 2016.</w:t>
      </w:r>
    </w:p>
    <w:p w14:paraId="65F2A419" w14:textId="77777777" w:rsidR="002A6350" w:rsidRDefault="002A6350" w:rsidP="002A6350">
      <w:pPr>
        <w:pStyle w:val="ReferenceTab"/>
      </w:pPr>
      <w:r>
        <w:t xml:space="preserve">121. </w:t>
      </w:r>
      <w:r>
        <w:tab/>
        <w:t>UN Women and K</w:t>
      </w:r>
      <w:r w:rsidR="004E46D2">
        <w:t>orean Women's Development Institute (KWDI)</w:t>
      </w:r>
      <w:r>
        <w:t xml:space="preserve">. </w:t>
      </w:r>
      <w:r w:rsidRPr="004D2CDF">
        <w:rPr>
          <w:i/>
          <w:iCs/>
        </w:rPr>
        <w:t>Born to Be Free: A Regional Study of Interventions to Enhance Women and Girls’ Safety and Mobility in Public Spaces, Asia Pacific Region.</w:t>
      </w:r>
      <w:r>
        <w:t xml:space="preserve"> UN Women and K</w:t>
      </w:r>
      <w:r w:rsidR="00297880">
        <w:t>orean Women's Development Institute</w:t>
      </w:r>
      <w:r w:rsidR="004E46D2">
        <w:t>.</w:t>
      </w:r>
      <w:r>
        <w:t xml:space="preserve"> 2016.</w:t>
      </w:r>
    </w:p>
    <w:p w14:paraId="288E33BE" w14:textId="77777777" w:rsidR="002A6350" w:rsidRDefault="002A6350" w:rsidP="002A6350">
      <w:pPr>
        <w:pStyle w:val="ReferenceTab"/>
      </w:pPr>
      <w:r>
        <w:t xml:space="preserve">122. </w:t>
      </w:r>
      <w:r>
        <w:tab/>
        <w:t xml:space="preserve">DFAT. </w:t>
      </w:r>
      <w:r>
        <w:rPr>
          <w:i/>
          <w:iCs/>
        </w:rPr>
        <w:t>Australia</w:t>
      </w:r>
      <w:r w:rsidR="002F4C96">
        <w:rPr>
          <w:i/>
          <w:iCs/>
        </w:rPr>
        <w:t>'</w:t>
      </w:r>
      <w:r>
        <w:rPr>
          <w:i/>
          <w:iCs/>
        </w:rPr>
        <w:t>s Humanitarian Response to the Syria Crisis.</w:t>
      </w:r>
      <w:r>
        <w:t xml:space="preserve"> </w:t>
      </w:r>
      <w:r w:rsidR="004E46D2">
        <w:t xml:space="preserve"> </w:t>
      </w:r>
      <w:r>
        <w:t>Department of Foreign Affairs and Trade</w:t>
      </w:r>
      <w:r w:rsidR="004E46D2">
        <w:t>. Canberra, Australia.</w:t>
      </w:r>
      <w:r>
        <w:t xml:space="preserve"> 2015.</w:t>
      </w:r>
    </w:p>
    <w:p w14:paraId="7263BFA3" w14:textId="77777777" w:rsidR="002A6350" w:rsidRDefault="002A6350" w:rsidP="002A6350">
      <w:pPr>
        <w:pStyle w:val="ReferenceTab"/>
      </w:pPr>
      <w:r>
        <w:t xml:space="preserve">123. </w:t>
      </w:r>
      <w:r>
        <w:tab/>
        <w:t xml:space="preserve">DFAT. </w:t>
      </w:r>
      <w:r>
        <w:rPr>
          <w:i/>
          <w:iCs/>
        </w:rPr>
        <w:t>Evaluation of Australia’s Humanitarian Assistance to Mynanmar</w:t>
      </w:r>
      <w:r>
        <w:t>. Department of Foreign Affairs and Trade</w:t>
      </w:r>
      <w:r w:rsidR="004E46D2">
        <w:t>. Canberra, Australia.</w:t>
      </w:r>
      <w:r>
        <w:t xml:space="preserve"> 2017.</w:t>
      </w:r>
    </w:p>
    <w:p w14:paraId="77BBB238" w14:textId="77777777" w:rsidR="002A6350" w:rsidRDefault="002A6350" w:rsidP="002A6350">
      <w:pPr>
        <w:pStyle w:val="ReferenceTab"/>
      </w:pPr>
      <w:r>
        <w:t xml:space="preserve">124. </w:t>
      </w:r>
      <w:r>
        <w:tab/>
        <w:t xml:space="preserve">Asia Pacific Forum on Women, Law, and Development. </w:t>
      </w:r>
      <w:r>
        <w:rPr>
          <w:i/>
          <w:iCs/>
        </w:rPr>
        <w:t>Climate Change and Natural Disasters Affecting Women Peace and Security</w:t>
      </w:r>
      <w:r>
        <w:t>. Asia Pacific Forum on Women, Law, and Development</w:t>
      </w:r>
      <w:r w:rsidR="002C7776">
        <w:t>.</w:t>
      </w:r>
      <w:r>
        <w:t xml:space="preserve"> 2015.</w:t>
      </w:r>
    </w:p>
    <w:p w14:paraId="76B0FEA9" w14:textId="77777777" w:rsidR="002A6350" w:rsidRDefault="002A6350" w:rsidP="002A6350">
      <w:pPr>
        <w:pStyle w:val="ReferenceTab"/>
      </w:pPr>
      <w:r>
        <w:t xml:space="preserve">125. </w:t>
      </w:r>
      <w:r>
        <w:tab/>
        <w:t xml:space="preserve">Coalition of Feminists for Social Change (COFEM). </w:t>
      </w:r>
      <w:r>
        <w:rPr>
          <w:i/>
          <w:iCs/>
        </w:rPr>
        <w:t>Feminist Approaches to Building Knowledge and Evidence on GBV</w:t>
      </w:r>
      <w:r>
        <w:t>. COFEM</w:t>
      </w:r>
      <w:r w:rsidR="002C7776">
        <w:t>.</w:t>
      </w:r>
      <w:r>
        <w:t xml:space="preserve"> 2018.</w:t>
      </w:r>
    </w:p>
    <w:p w14:paraId="7F267E05" w14:textId="77777777" w:rsidR="002A6350" w:rsidRDefault="002A6350" w:rsidP="002A6350">
      <w:pPr>
        <w:pStyle w:val="ReferenceTab"/>
      </w:pPr>
      <w:r>
        <w:t xml:space="preserve">126. </w:t>
      </w:r>
      <w:r>
        <w:tab/>
        <w:t xml:space="preserve">Steering Committee for the Review of Government Service Provision. </w:t>
      </w:r>
      <w:r>
        <w:rPr>
          <w:i/>
          <w:iCs/>
        </w:rPr>
        <w:t>Overcoming Indigenous Disadvantage: Key Indicators 2016</w:t>
      </w:r>
      <w:r>
        <w:t>. Productivity Commission</w:t>
      </w:r>
      <w:r w:rsidR="004E46D2">
        <w:t>. Canberra, Australia.</w:t>
      </w:r>
      <w:r>
        <w:t xml:space="preserve"> 2016.</w:t>
      </w:r>
    </w:p>
    <w:p w14:paraId="02BD83ED" w14:textId="77777777" w:rsidR="002A6350" w:rsidRDefault="002A6350" w:rsidP="002A6350">
      <w:pPr>
        <w:pStyle w:val="ReferenceTab"/>
      </w:pPr>
      <w:r>
        <w:t xml:space="preserve">127. </w:t>
      </w:r>
      <w:r>
        <w:tab/>
        <w:t xml:space="preserve">Frohmader C, Ricci C. </w:t>
      </w:r>
      <w:r>
        <w:rPr>
          <w:i/>
          <w:iCs/>
        </w:rPr>
        <w:t>Improving Service Responses for Women with Disability Experiencing Violence: 1800RESPECT</w:t>
      </w:r>
      <w:r>
        <w:t>. Lenah Valley</w:t>
      </w:r>
      <w:r w:rsidR="002C7776">
        <w:t>.</w:t>
      </w:r>
      <w:r>
        <w:t xml:space="preserve"> Women with Disabilities Australia</w:t>
      </w:r>
      <w:r w:rsidR="002C7776">
        <w:t>.</w:t>
      </w:r>
      <w:r>
        <w:t xml:space="preserve"> 2016.</w:t>
      </w:r>
    </w:p>
    <w:p w14:paraId="3B7AC32F" w14:textId="77777777" w:rsidR="002A6350" w:rsidRDefault="002A6350" w:rsidP="002A6350">
      <w:pPr>
        <w:pStyle w:val="ReferenceTab"/>
      </w:pPr>
      <w:r>
        <w:t xml:space="preserve">129. </w:t>
      </w:r>
      <w:r>
        <w:tab/>
        <w:t xml:space="preserve">Thomas V, Kauli J, Rawstorne P. </w:t>
      </w:r>
      <w:r w:rsidRPr="004D2CDF">
        <w:rPr>
          <w:i/>
          <w:iCs/>
        </w:rPr>
        <w:t>Understanding Gender-Based and Sorcery Related Violence in Papua New Guinea: An Analysis of Data Collected from Oxfam Partners 2013</w:t>
      </w:r>
      <w:r w:rsidR="002C7776" w:rsidRPr="004D2CDF">
        <w:rPr>
          <w:i/>
          <w:iCs/>
        </w:rPr>
        <w:t>–</w:t>
      </w:r>
      <w:r w:rsidRPr="004D2CDF">
        <w:rPr>
          <w:i/>
          <w:iCs/>
        </w:rPr>
        <w:t>2016</w:t>
      </w:r>
      <w:r>
        <w:t>. Port Moresby</w:t>
      </w:r>
      <w:r w:rsidR="002C7776">
        <w:t>.</w:t>
      </w:r>
      <w:r>
        <w:t xml:space="preserve"> Oxfam and Queensland University of Technology</w:t>
      </w:r>
      <w:r w:rsidR="002C7776">
        <w:t>.</w:t>
      </w:r>
      <w:r>
        <w:t xml:space="preserve"> 2017.</w:t>
      </w:r>
    </w:p>
    <w:p w14:paraId="6F9EC2BB" w14:textId="77777777" w:rsidR="002A6350" w:rsidRDefault="002A6350" w:rsidP="002A6350">
      <w:pPr>
        <w:pStyle w:val="ReferenceTab"/>
      </w:pPr>
      <w:r>
        <w:t xml:space="preserve">130. </w:t>
      </w:r>
      <w:r>
        <w:tab/>
        <w:t xml:space="preserve">Taylor J, Araujo N. </w:t>
      </w:r>
      <w:r w:rsidR="002C7776">
        <w:t>'</w:t>
      </w:r>
      <w:r>
        <w:t>Sorcery talk, gender violence and the law in Vanuatu</w:t>
      </w:r>
      <w:r w:rsidR="002C7776">
        <w:t>'</w:t>
      </w:r>
      <w:r>
        <w:t xml:space="preserve">. In Biersack A, Jolly M, Macintyre M, eds. </w:t>
      </w:r>
      <w:r>
        <w:rPr>
          <w:i/>
          <w:iCs/>
        </w:rPr>
        <w:t>Gender, Violence and Human Rights: Seeking Justice in Fiji, Papua New Guinea and Vanuatu</w:t>
      </w:r>
      <w:r>
        <w:t>. A</w:t>
      </w:r>
      <w:r w:rsidR="002C7776">
        <w:t>ustralian National University</w:t>
      </w:r>
      <w:r>
        <w:t xml:space="preserve"> Press</w:t>
      </w:r>
      <w:r w:rsidR="004E46D2">
        <w:t>. Canberra, Australia.</w:t>
      </w:r>
      <w:r>
        <w:t xml:space="preserve"> 2016.</w:t>
      </w:r>
    </w:p>
    <w:p w14:paraId="38A17CEA" w14:textId="77777777" w:rsidR="002A6350" w:rsidRDefault="002A6350" w:rsidP="002A6350">
      <w:pPr>
        <w:pStyle w:val="ReferenceTab"/>
      </w:pPr>
      <w:r>
        <w:t xml:space="preserve">131. </w:t>
      </w:r>
      <w:r>
        <w:tab/>
        <w:t xml:space="preserve">Vanuatu Women’s Centre. </w:t>
      </w:r>
      <w:r>
        <w:rPr>
          <w:i/>
          <w:iCs/>
        </w:rPr>
        <w:t>Vanuatu National Survey on Women’s Lives and Family Relationships</w:t>
      </w:r>
      <w:r>
        <w:t>. Port Vila</w:t>
      </w:r>
      <w:r w:rsidR="002C7776">
        <w:t>.</w:t>
      </w:r>
      <w:r>
        <w:t xml:space="preserve"> Vanuatu Women’s Centre</w:t>
      </w:r>
      <w:r w:rsidR="002C7776">
        <w:t>.</w:t>
      </w:r>
      <w:r>
        <w:t xml:space="preserve"> 2011.</w:t>
      </w:r>
    </w:p>
    <w:p w14:paraId="2641F5F3" w14:textId="77777777" w:rsidR="002A6350" w:rsidRDefault="002A6350" w:rsidP="002A6350">
      <w:pPr>
        <w:pStyle w:val="ReferenceTab"/>
      </w:pPr>
      <w:r>
        <w:t xml:space="preserve">132. </w:t>
      </w:r>
      <w:r>
        <w:tab/>
        <w:t>Fo</w:t>
      </w:r>
      <w:r w:rsidR="002F4C96">
        <w:t>rsyth M. New Draft National Acti</w:t>
      </w:r>
      <w:r>
        <w:t xml:space="preserve">on Plan to Address Sorcery Accusation-Related Violence in Papua New Guinea. </w:t>
      </w:r>
      <w:r>
        <w:rPr>
          <w:i/>
          <w:iCs/>
        </w:rPr>
        <w:t>A</w:t>
      </w:r>
      <w:r w:rsidR="002C7776">
        <w:rPr>
          <w:i/>
          <w:iCs/>
        </w:rPr>
        <w:t>ustralian National University</w:t>
      </w:r>
      <w:r>
        <w:rPr>
          <w:i/>
          <w:iCs/>
        </w:rPr>
        <w:t xml:space="preserve"> Brief State</w:t>
      </w:r>
      <w:r w:rsidR="002C7776">
        <w:rPr>
          <w:i/>
          <w:iCs/>
        </w:rPr>
        <w:t>, Society and Governance of</w:t>
      </w:r>
      <w:r>
        <w:rPr>
          <w:i/>
          <w:iCs/>
        </w:rPr>
        <w:t xml:space="preserve"> Melanes</w:t>
      </w:r>
      <w:r w:rsidR="002C7776">
        <w:rPr>
          <w:i/>
          <w:iCs/>
        </w:rPr>
        <w:t>ia</w:t>
      </w:r>
      <w:r>
        <w:t>. 2014</w:t>
      </w:r>
      <w:r w:rsidR="002C7776">
        <w:t xml:space="preserve">. </w:t>
      </w:r>
      <w:r>
        <w:t xml:space="preserve">2014(18). http://bellschool.anu.edu.au/sites/default/files/publications/attachments/2015-12/IB-2014-18-Forsyth-ONLINE_0.pdf Accessed </w:t>
      </w:r>
      <w:r w:rsidR="00BE05B7">
        <w:t xml:space="preserve">17 </w:t>
      </w:r>
      <w:r>
        <w:t>August 2018.</w:t>
      </w:r>
    </w:p>
    <w:p w14:paraId="4B85360E" w14:textId="77777777" w:rsidR="002A6350" w:rsidRDefault="002A6350" w:rsidP="002A6350">
      <w:pPr>
        <w:pStyle w:val="ReferenceTab"/>
      </w:pPr>
      <w:r>
        <w:t xml:space="preserve">133. </w:t>
      </w:r>
      <w:r>
        <w:tab/>
      </w:r>
      <w:r w:rsidR="002C7776">
        <w:t xml:space="preserve">United Nations </w:t>
      </w:r>
      <w:r>
        <w:t xml:space="preserve">Human Rights Council. </w:t>
      </w:r>
      <w:r w:rsidRPr="004D2CDF">
        <w:rPr>
          <w:i/>
          <w:iCs/>
        </w:rPr>
        <w:t>Promotion and Protection of All Human Rights, Civil, Political, Economic, Social and Cultural Rights, Including the Right to Development: Report of the Special Rapporteur on Extrajudicial, Summary or Arbitrary Executions</w:t>
      </w:r>
      <w:r>
        <w:t xml:space="preserve">. United Nations General Assembly. </w:t>
      </w:r>
    </w:p>
    <w:p w14:paraId="50779B90" w14:textId="77777777" w:rsidR="002A6350" w:rsidRDefault="002A6350" w:rsidP="002A6350">
      <w:pPr>
        <w:pStyle w:val="ReferenceTab"/>
      </w:pPr>
      <w:r>
        <w:t xml:space="preserve">134. </w:t>
      </w:r>
      <w:r>
        <w:tab/>
        <w:t xml:space="preserve">Taylor J, Araujo N. Sorcery talk, gender violence and the law in Vanuatu. In Biersack A, Jolly M, Macintyre M, eds. </w:t>
      </w:r>
      <w:r>
        <w:rPr>
          <w:i/>
          <w:iCs/>
        </w:rPr>
        <w:t>Gender, Violence and Human Rights: Seeking Justice in Fiji, Papua New Guinea and Vanuatu</w:t>
      </w:r>
      <w:r>
        <w:t>. A</w:t>
      </w:r>
      <w:r w:rsidR="004E46D2">
        <w:t>ustralian National University</w:t>
      </w:r>
      <w:r>
        <w:t xml:space="preserve"> Press</w:t>
      </w:r>
      <w:r w:rsidR="004E46D2">
        <w:t>. Canberra, Australia.</w:t>
      </w:r>
      <w:r>
        <w:t xml:space="preserve"> 2016.</w:t>
      </w:r>
    </w:p>
    <w:p w14:paraId="1797D368" w14:textId="77777777" w:rsidR="002A6350" w:rsidRDefault="002A6350" w:rsidP="002A6350">
      <w:pPr>
        <w:pStyle w:val="ReferenceTab"/>
      </w:pPr>
      <w:r>
        <w:t xml:space="preserve">135. </w:t>
      </w:r>
      <w:r>
        <w:tab/>
        <w:t xml:space="preserve">Thomas V, Kauli J, Rawstorne P. </w:t>
      </w:r>
      <w:r w:rsidRPr="004D2CDF">
        <w:rPr>
          <w:i/>
          <w:iCs/>
        </w:rPr>
        <w:t>Understanding Gender-Based and Sorcery Related Violence in Papua New Guinea: An Analysis of Data Collected from Oxfam Partners 2013</w:t>
      </w:r>
      <w:r w:rsidR="002C7776">
        <w:rPr>
          <w:i/>
          <w:iCs/>
        </w:rPr>
        <w:t>–</w:t>
      </w:r>
      <w:r w:rsidRPr="004D2CDF">
        <w:rPr>
          <w:i/>
          <w:iCs/>
        </w:rPr>
        <w:t>2016</w:t>
      </w:r>
      <w:r>
        <w:t>. Port Moresby: Oxfam and Queensland University of Technology</w:t>
      </w:r>
      <w:r w:rsidR="004E46D2">
        <w:t>.</w:t>
      </w:r>
      <w:r>
        <w:t xml:space="preserve"> 2017.</w:t>
      </w:r>
    </w:p>
    <w:p w14:paraId="36960C6E" w14:textId="77777777" w:rsidR="002A6350" w:rsidRPr="00130BA6" w:rsidRDefault="002A6350" w:rsidP="00CE22E0">
      <w:pPr>
        <w:pStyle w:val="ReferenceTab"/>
      </w:pPr>
      <w:r w:rsidRPr="000F229A">
        <w:t>136. Pacific Regional</w:t>
      </w:r>
      <w:bookmarkStart w:id="365" w:name="_Hlk19171418"/>
      <w:r w:rsidRPr="000F229A">
        <w:t xml:space="preserve"> R</w:t>
      </w:r>
      <w:r w:rsidR="00130BA6">
        <w:t>i</w:t>
      </w:r>
      <w:r w:rsidRPr="000F229A">
        <w:t>ghts</w:t>
      </w:r>
      <w:bookmarkEnd w:id="365"/>
      <w:r w:rsidRPr="000F229A">
        <w:t xml:space="preserve"> Resource Team. </w:t>
      </w:r>
      <w:r w:rsidRPr="00CE22E0">
        <w:rPr>
          <w:i/>
          <w:iCs/>
        </w:rPr>
        <w:t>Supplement to L</w:t>
      </w:r>
      <w:r w:rsidR="00130BA6" w:rsidRPr="00CE22E0">
        <w:rPr>
          <w:i/>
          <w:iCs/>
        </w:rPr>
        <w:t>aw for Pacific Women</w:t>
      </w:r>
      <w:r w:rsidRPr="00CE22E0">
        <w:rPr>
          <w:i/>
          <w:iCs/>
        </w:rPr>
        <w:t>: A Legal Rights Handbook</w:t>
      </w:r>
      <w:r w:rsidRPr="000F229A">
        <w:t>. Suva: Secretariat of the Pacific Community. Suva, Fiji</w:t>
      </w:r>
      <w:r w:rsidR="004B4E80" w:rsidRPr="000F229A">
        <w:t>.</w:t>
      </w:r>
      <w:r w:rsidRPr="000F229A">
        <w:t xml:space="preserve"> Pacific Regional R</w:t>
      </w:r>
      <w:r w:rsidR="004B4E80" w:rsidRPr="00130BA6">
        <w:t>i</w:t>
      </w:r>
      <w:r w:rsidRPr="00130BA6">
        <w:t>ghts Resou</w:t>
      </w:r>
      <w:r w:rsidR="002C7776" w:rsidRPr="00130BA6">
        <w:t>r</w:t>
      </w:r>
      <w:r w:rsidRPr="00130BA6">
        <w:t>ce Team</w:t>
      </w:r>
      <w:r w:rsidR="004E46D2" w:rsidRPr="00130BA6">
        <w:t>.</w:t>
      </w:r>
      <w:r w:rsidRPr="00130BA6">
        <w:t xml:space="preserve"> 2013.</w:t>
      </w:r>
    </w:p>
    <w:p w14:paraId="3567B506" w14:textId="77777777" w:rsidR="002A6350" w:rsidRDefault="002A6350" w:rsidP="002A6350">
      <w:pPr>
        <w:pStyle w:val="ReferenceTab"/>
      </w:pPr>
      <w:r>
        <w:t xml:space="preserve">137. </w:t>
      </w:r>
      <w:r>
        <w:tab/>
        <w:t xml:space="preserve">World Bank. </w:t>
      </w:r>
      <w:r>
        <w:rPr>
          <w:i/>
          <w:iCs/>
        </w:rPr>
        <w:t>Women, Business and the Law 2018</w:t>
      </w:r>
      <w:r>
        <w:t>. Washington, D.C</w:t>
      </w:r>
      <w:r w:rsidR="002C7776">
        <w:t>.</w:t>
      </w:r>
      <w:r>
        <w:t xml:space="preserve"> World Bank</w:t>
      </w:r>
      <w:r w:rsidR="004E46D2">
        <w:t>.</w:t>
      </w:r>
      <w:r>
        <w:t xml:space="preserve"> 2018.</w:t>
      </w:r>
    </w:p>
    <w:p w14:paraId="66987195" w14:textId="3B826E93" w:rsidR="002A6350" w:rsidRPr="00130BA6" w:rsidRDefault="002A6350" w:rsidP="002A6350">
      <w:pPr>
        <w:pStyle w:val="ReferenceTab"/>
        <w:rPr>
          <w:rStyle w:val="Hyperlink"/>
          <w:color w:val="000000"/>
          <w:u w:val="none"/>
          <w:lang w:val="en-US"/>
        </w:rPr>
      </w:pPr>
      <w:r>
        <w:t xml:space="preserve">138. </w:t>
      </w:r>
      <w:r w:rsidR="002F4C96">
        <w:t>Forsyth M, Gibbs P, Hukula F, Putt J, Munau L Losoncz I</w:t>
      </w:r>
      <w:r w:rsidR="00CE22E0">
        <w:t>.</w:t>
      </w:r>
      <w:r>
        <w:t xml:space="preserve"> </w:t>
      </w:r>
      <w:hyperlink r:id="rId23" w:history="1">
        <w:r w:rsidRPr="00776A12">
          <w:rPr>
            <w:rStyle w:val="Hyperlink"/>
            <w:rFonts w:eastAsia="Times New Roman" w:cs="Arial"/>
            <w:color w:val="000000" w:themeColor="text1"/>
            <w:sz w:val="23"/>
            <w:szCs w:val="23"/>
          </w:rPr>
          <w:t>Ten preliminary findings concerning sorcery accusation-related violence in Papua New Guinea.</w:t>
        </w:r>
      </w:hyperlink>
      <w:r>
        <w:rPr>
          <w:sz w:val="20"/>
        </w:rPr>
        <w:fldChar w:fldCharType="end"/>
      </w:r>
      <w:r w:rsidR="00776A12">
        <w:rPr>
          <w:sz w:val="20"/>
        </w:rPr>
        <w:t xml:space="preserve"> </w:t>
      </w:r>
      <w:r w:rsidR="00776A12" w:rsidRPr="00776A12">
        <w:t>Development Policy Discussion paper No.80</w:t>
      </w:r>
      <w:r w:rsidR="00776A12">
        <w:t>,</w:t>
      </w:r>
      <w:r w:rsidR="00776A12" w:rsidRPr="00776A12">
        <w:t xml:space="preserve"> 2019</w:t>
      </w:r>
      <w:r w:rsidR="00776A12">
        <w:t>.</w:t>
      </w:r>
      <w:r w:rsidR="00776A12" w:rsidRPr="00776A12">
        <w:t xml:space="preserve"> SSRN: </w:t>
      </w:r>
      <w:hyperlink r:id="rId24" w:history="1">
        <w:r w:rsidR="00776A12" w:rsidRPr="0023764A">
          <w:rPr>
            <w:rStyle w:val="Hyperlink"/>
            <w:lang w:val="en-US"/>
          </w:rPr>
          <w:t xml:space="preserve">http://dx.doi.org/10.2139/ssrn.3360817 </w:t>
        </w:r>
      </w:hyperlink>
    </w:p>
    <w:p w14:paraId="014A4922" w14:textId="6C185C1E" w:rsidR="00A37DCD" w:rsidRDefault="00310FFD" w:rsidP="00130BA6">
      <w:pPr>
        <w:pStyle w:val="ReferenceTab"/>
      </w:pPr>
      <w:r>
        <w:rPr>
          <w:shd w:val="clear" w:color="auto" w:fill="FDFCF8"/>
        </w:rPr>
        <w:t xml:space="preserve">139. </w:t>
      </w:r>
      <w:r w:rsidR="00A37DCD">
        <w:rPr>
          <w:shd w:val="clear" w:color="auto" w:fill="FDFCF8"/>
        </w:rPr>
        <w:t>Cox P</w:t>
      </w:r>
      <w:r>
        <w:rPr>
          <w:shd w:val="clear" w:color="auto" w:fill="FDFCF8"/>
        </w:rPr>
        <w:t>.</w:t>
      </w:r>
      <w:r w:rsidR="00CE22E0">
        <w:rPr>
          <w:shd w:val="clear" w:color="auto" w:fill="FDFCF8"/>
        </w:rPr>
        <w:t xml:space="preserve"> </w:t>
      </w:r>
      <w:r w:rsidR="00A37DCD" w:rsidRPr="00310FFD">
        <w:rPr>
          <w:rStyle w:val="Emphasis"/>
          <w:rFonts w:eastAsia="Times New Roman"/>
          <w:color w:val="0A0A0A"/>
          <w:shd w:val="clear" w:color="auto" w:fill="FDFCF8"/>
        </w:rPr>
        <w:t>Violence against women: Additional analysis of the Australian Bureau of Statistics’ Personal Safety Survey, 2012</w:t>
      </w:r>
      <w:r w:rsidRPr="00310FFD">
        <w:rPr>
          <w:shd w:val="clear" w:color="auto" w:fill="FDFCF8"/>
        </w:rPr>
        <w:t xml:space="preserve"> </w:t>
      </w:r>
      <w:r w:rsidRPr="00130BA6">
        <w:t>Australia's National Research Organisation for Women's Safety</w:t>
      </w:r>
      <w:r w:rsidRPr="00310FFD">
        <w:rPr>
          <w:rFonts w:cs="Arial"/>
          <w:color w:val="545454"/>
          <w:sz w:val="21"/>
          <w:szCs w:val="21"/>
        </w:rPr>
        <w:t xml:space="preserve"> </w:t>
      </w:r>
      <w:r w:rsidRPr="00310FFD">
        <w:rPr>
          <w:shd w:val="clear" w:color="auto" w:fill="FDFCF8"/>
        </w:rPr>
        <w:t>Sydney</w:t>
      </w:r>
      <w:r w:rsidR="00A37DCD">
        <w:rPr>
          <w:shd w:val="clear" w:color="auto" w:fill="FDFCF8"/>
        </w:rPr>
        <w:t>.</w:t>
      </w:r>
      <w:r>
        <w:rPr>
          <w:shd w:val="clear" w:color="auto" w:fill="FDFCF8"/>
        </w:rPr>
        <w:t xml:space="preserve"> 2016.</w:t>
      </w:r>
    </w:p>
    <w:p w14:paraId="19E45553" w14:textId="76CBCF96" w:rsidR="00A37DCD" w:rsidRDefault="00310FFD" w:rsidP="00130BA6">
      <w:pPr>
        <w:pStyle w:val="ReferenceTab"/>
      </w:pPr>
      <w:r>
        <w:t xml:space="preserve">140. </w:t>
      </w:r>
      <w:r w:rsidR="00A37DCD">
        <w:t>Australian B</w:t>
      </w:r>
      <w:r>
        <w:t>ureau of Statistics (ABS).</w:t>
      </w:r>
      <w:r w:rsidR="00A37DCD">
        <w:t xml:space="preserve"> ‘4906.0</w:t>
      </w:r>
      <w:r w:rsidR="00CE22E0">
        <w:t>—</w:t>
      </w:r>
      <w:r w:rsidR="00A37DCD">
        <w:t>Personal Safety, Australia, 2012’.</w:t>
      </w:r>
      <w:r w:rsidR="00CE22E0">
        <w:t xml:space="preserve"> </w:t>
      </w:r>
      <w:r>
        <w:t>ABS</w:t>
      </w:r>
      <w:r w:rsidR="00A37DCD">
        <w:t xml:space="preserve"> Canberra: ABS.</w:t>
      </w:r>
      <w:r>
        <w:t xml:space="preserve"> 2013</w:t>
      </w:r>
      <w:r w:rsidR="00CE22E0">
        <w:t>.</w:t>
      </w:r>
    </w:p>
    <w:p w14:paraId="67AA1EED" w14:textId="7C50EFA2" w:rsidR="00A37DCD" w:rsidRDefault="00310FFD" w:rsidP="00130BA6">
      <w:pPr>
        <w:pStyle w:val="ReferenceTab"/>
      </w:pPr>
      <w:r>
        <w:t xml:space="preserve">141. </w:t>
      </w:r>
      <w:r w:rsidR="00A37DCD">
        <w:t xml:space="preserve">Fanslow J, Robinson E. ‘Violence against women in New Zealand: prevalence and health consequences’ </w:t>
      </w:r>
      <w:r w:rsidR="00A37DCD" w:rsidRPr="00130BA6">
        <w:rPr>
          <w:i/>
        </w:rPr>
        <w:t>The New Zealand Medical Journal</w:t>
      </w:r>
      <w:r w:rsidR="000F229A">
        <w:t xml:space="preserve"> 2004 </w:t>
      </w:r>
      <w:r w:rsidR="00A37DCD">
        <w:t>117:1206</w:t>
      </w:r>
      <w:r w:rsidR="00CE22E0">
        <w:t>.</w:t>
      </w:r>
    </w:p>
    <w:p w14:paraId="04716446" w14:textId="58BBFDF7" w:rsidR="006321DD" w:rsidRDefault="006321DD" w:rsidP="00CE22E0">
      <w:pPr>
        <w:pStyle w:val="ReferenceTab"/>
      </w:pPr>
      <w:r>
        <w:t>142</w:t>
      </w:r>
      <w:r w:rsidR="005B6F29">
        <w:t>.</w:t>
      </w:r>
      <w:r>
        <w:t xml:space="preserve"> Duvvury N, Callan A, Carney P, Raghavendra S. ‘Intimate Partner Violence: Economic Costs and Implications for Growth and Development’, </w:t>
      </w:r>
      <w:r>
        <w:rPr>
          <w:i/>
          <w:iCs/>
        </w:rPr>
        <w:t>Women’s Voice, Agency, &amp; Participation Research Series 2013 no.</w:t>
      </w:r>
      <w:r w:rsidR="00E958B5">
        <w:rPr>
          <w:i/>
          <w:iCs/>
        </w:rPr>
        <w:t xml:space="preserve"> </w:t>
      </w:r>
      <w:r>
        <w:rPr>
          <w:i/>
          <w:iCs/>
        </w:rPr>
        <w:t>3</w:t>
      </w:r>
      <w:r>
        <w:t>, The World Bank, 2013</w:t>
      </w:r>
      <w:r w:rsidR="00CE22E0">
        <w:t>.</w:t>
      </w:r>
    </w:p>
    <w:p w14:paraId="2E8B73BA" w14:textId="77777777" w:rsidR="00A11466" w:rsidRPr="00F35492" w:rsidRDefault="00A11466" w:rsidP="00A11466"/>
    <w:p w14:paraId="50EA4C01" w14:textId="77777777" w:rsidR="00823C7C" w:rsidRPr="00823C7C" w:rsidRDefault="00823C7C" w:rsidP="00823C7C">
      <w:pPr>
        <w:pStyle w:val="AnnexHeading"/>
      </w:pPr>
      <w:bookmarkStart w:id="366" w:name="_Toc15563024"/>
      <w:bookmarkStart w:id="367" w:name="_Toc23434560"/>
      <w:r>
        <w:t xml:space="preserve">Evaluation </w:t>
      </w:r>
      <w:r w:rsidR="004C5A65">
        <w:t>m</w:t>
      </w:r>
      <w:r>
        <w:t>ethodology</w:t>
      </w:r>
      <w:bookmarkEnd w:id="366"/>
      <w:bookmarkEnd w:id="367"/>
    </w:p>
    <w:p w14:paraId="4772AEC9" w14:textId="77777777" w:rsidR="00EF65AE" w:rsidRPr="00EF65AE" w:rsidRDefault="00EF65AE" w:rsidP="009005FA">
      <w:pPr>
        <w:pStyle w:val="AnnexSubHeading"/>
      </w:pPr>
      <w:bookmarkStart w:id="368" w:name="_Toc2869563"/>
      <w:bookmarkStart w:id="369" w:name="_Toc4156973"/>
      <w:bookmarkStart w:id="370" w:name="_Toc7209407"/>
      <w:bookmarkStart w:id="371" w:name="_Toc10114149"/>
      <w:bookmarkStart w:id="372" w:name="_Toc10400333"/>
      <w:bookmarkStart w:id="373" w:name="_Toc14959620"/>
      <w:bookmarkStart w:id="374" w:name="_Toc15563025"/>
      <w:bookmarkStart w:id="375" w:name="_Toc20307938"/>
      <w:bookmarkStart w:id="376" w:name="_Toc21365299"/>
      <w:bookmarkStart w:id="377" w:name="_Toc23434561"/>
      <w:r w:rsidRPr="00EF65AE">
        <w:rPr>
          <w:lang w:val="en-GB" w:eastAsia="en-AU"/>
        </w:rPr>
        <w:t>Evaluation purpose and scope</w:t>
      </w:r>
      <w:bookmarkEnd w:id="368"/>
      <w:bookmarkEnd w:id="369"/>
      <w:bookmarkEnd w:id="370"/>
      <w:bookmarkEnd w:id="371"/>
      <w:bookmarkEnd w:id="372"/>
      <w:bookmarkEnd w:id="373"/>
      <w:bookmarkEnd w:id="374"/>
      <w:bookmarkEnd w:id="375"/>
      <w:bookmarkEnd w:id="376"/>
      <w:bookmarkEnd w:id="377"/>
    </w:p>
    <w:p w14:paraId="15A8287E" w14:textId="0C226D25" w:rsidR="00EF65AE" w:rsidRPr="00A76693" w:rsidRDefault="00EF65AE" w:rsidP="00A76693">
      <w:pPr>
        <w:rPr>
          <w:rFonts w:cs="Arial"/>
        </w:rPr>
      </w:pPr>
      <w:bookmarkStart w:id="378" w:name="_Hlk18585091"/>
      <w:r w:rsidRPr="00506B25">
        <w:rPr>
          <w:rFonts w:cs="Arial"/>
        </w:rPr>
        <w:t xml:space="preserve">Office of Development Effectiveness (ODE) </w:t>
      </w:r>
      <w:bookmarkEnd w:id="378"/>
      <w:r w:rsidRPr="00506B25">
        <w:rPr>
          <w:rFonts w:cs="Arial"/>
        </w:rPr>
        <w:t>commissioned this strategic evaluation to assess the effectiveness, relevance and reach of Australian development cooperatio</w:t>
      </w:r>
      <w:r w:rsidRPr="00897712">
        <w:rPr>
          <w:rFonts w:cs="Arial"/>
        </w:rPr>
        <w:t xml:space="preserve">n to </w:t>
      </w:r>
      <w:bookmarkStart w:id="379" w:name="_Hlk18585102"/>
      <w:r w:rsidRPr="00897712">
        <w:rPr>
          <w:rFonts w:cs="Arial"/>
        </w:rPr>
        <w:t>end violence against women and girls</w:t>
      </w:r>
      <w:r w:rsidR="00506B25" w:rsidRPr="00897712">
        <w:rPr>
          <w:rFonts w:cs="Arial"/>
        </w:rPr>
        <w:t xml:space="preserve"> (EV</w:t>
      </w:r>
      <w:r w:rsidR="00506B25" w:rsidRPr="00523018">
        <w:rPr>
          <w:rFonts w:cs="Arial"/>
        </w:rPr>
        <w:t>AWG)</w:t>
      </w:r>
      <w:bookmarkEnd w:id="379"/>
      <w:r w:rsidRPr="00523018">
        <w:rPr>
          <w:rFonts w:cs="Arial"/>
        </w:rPr>
        <w:t xml:space="preserve"> since earlier studies in 2008 and 2012. The baseline for measuring progress was </w:t>
      </w:r>
      <w:r w:rsidRPr="002A6350">
        <w:rPr>
          <w:rFonts w:cs="Arial"/>
        </w:rPr>
        <w:t xml:space="preserve">the 2008 ODE evaluation report, </w:t>
      </w:r>
      <w:r w:rsidRPr="00455ADE">
        <w:rPr>
          <w:rFonts w:cs="Arial"/>
          <w:i/>
          <w:iCs/>
        </w:rPr>
        <w:t>Violence against women</w:t>
      </w:r>
      <w:r w:rsidR="00572A8A" w:rsidRPr="00455ADE">
        <w:rPr>
          <w:rFonts w:cs="Arial"/>
          <w:i/>
          <w:iCs/>
        </w:rPr>
        <w:t xml:space="preserve"> in Melanesia and </w:t>
      </w:r>
      <w:r w:rsidR="00747258">
        <w:rPr>
          <w:rFonts w:cs="Arial"/>
          <w:i/>
          <w:iCs/>
        </w:rPr>
        <w:br/>
      </w:r>
      <w:r w:rsidRPr="00455ADE">
        <w:rPr>
          <w:rFonts w:cs="Arial"/>
          <w:i/>
          <w:iCs/>
        </w:rPr>
        <w:t>Timor</w:t>
      </w:r>
      <w:r w:rsidR="00572A8A" w:rsidRPr="00455ADE">
        <w:rPr>
          <w:rFonts w:cs="Arial"/>
          <w:i/>
          <w:iCs/>
        </w:rPr>
        <w:t>-Leste</w:t>
      </w:r>
      <w:r w:rsidRPr="00455ADE">
        <w:rPr>
          <w:rFonts w:cs="Arial"/>
          <w:i/>
          <w:iCs/>
        </w:rPr>
        <w:t>: Building on global and regional promising approaches</w:t>
      </w:r>
      <w:r w:rsidR="00A76693">
        <w:rPr>
          <w:rFonts w:cs="Arial"/>
        </w:rPr>
        <w:t xml:space="preserve"> which </w:t>
      </w:r>
      <w:r w:rsidRPr="00A76693">
        <w:rPr>
          <w:rFonts w:cs="Arial"/>
        </w:rPr>
        <w:t>assessed promising approaches to EVAWG in five countries: Fiji, P</w:t>
      </w:r>
      <w:r w:rsidR="00E958B5">
        <w:rPr>
          <w:rFonts w:cs="Arial"/>
        </w:rPr>
        <w:t>apua New Guinea (P</w:t>
      </w:r>
      <w:r w:rsidR="003C0F97" w:rsidRPr="00A76693">
        <w:rPr>
          <w:rFonts w:cs="Arial"/>
        </w:rPr>
        <w:t>NG</w:t>
      </w:r>
      <w:r w:rsidR="00E958B5">
        <w:rPr>
          <w:rFonts w:cs="Arial"/>
        </w:rPr>
        <w:t>)</w:t>
      </w:r>
      <w:r w:rsidRPr="00A76693">
        <w:rPr>
          <w:rFonts w:cs="Arial"/>
        </w:rPr>
        <w:t xml:space="preserve">, Solomon Islands, </w:t>
      </w:r>
      <w:r w:rsidR="00E958B5">
        <w:rPr>
          <w:rFonts w:cs="Arial"/>
        </w:rPr>
        <w:br/>
      </w:r>
      <w:r w:rsidR="003C0F97" w:rsidRPr="00A76693">
        <w:rPr>
          <w:rFonts w:cs="Arial"/>
        </w:rPr>
        <w:t xml:space="preserve">Timor-Leste and </w:t>
      </w:r>
      <w:r w:rsidRPr="00A76693">
        <w:rPr>
          <w:rFonts w:cs="Arial"/>
        </w:rPr>
        <w:t xml:space="preserve">Vanuatu. </w:t>
      </w:r>
    </w:p>
    <w:p w14:paraId="6F262A95" w14:textId="77777777" w:rsidR="00506B25" w:rsidRDefault="00EF65AE" w:rsidP="00EF65AE">
      <w:pPr>
        <w:rPr>
          <w:rFonts w:cs="Arial"/>
        </w:rPr>
      </w:pPr>
      <w:r w:rsidRPr="00EF65AE">
        <w:rPr>
          <w:rFonts w:cs="Arial"/>
        </w:rPr>
        <w:t xml:space="preserve">The key purpose of this evaluation was to update </w:t>
      </w:r>
      <w:r w:rsidRPr="00455ADE">
        <w:rPr>
          <w:rFonts w:cs="Arial"/>
        </w:rPr>
        <w:t>previous findings</w:t>
      </w:r>
      <w:r w:rsidR="00506B25">
        <w:rPr>
          <w:rFonts w:cs="Arial"/>
        </w:rPr>
        <w:t>,</w:t>
      </w:r>
      <w:r w:rsidRPr="00EF65AE">
        <w:rPr>
          <w:rFonts w:cs="Arial"/>
        </w:rPr>
        <w:t xml:space="preserve"> provide practical lessons and</w:t>
      </w:r>
      <w:r w:rsidR="00506B25">
        <w:rPr>
          <w:rFonts w:cs="Arial"/>
        </w:rPr>
        <w:t xml:space="preserve"> make</w:t>
      </w:r>
      <w:r w:rsidRPr="00EF65AE">
        <w:rPr>
          <w:rFonts w:cs="Arial"/>
        </w:rPr>
        <w:t xml:space="preserve"> recommendations for Australia’s future aid program and policy engagement on EVAWG. </w:t>
      </w:r>
    </w:p>
    <w:p w14:paraId="263C9AE7" w14:textId="77777777" w:rsidR="00EF65AE" w:rsidRPr="00EF65AE" w:rsidRDefault="00EF65AE" w:rsidP="00EF65AE">
      <w:pPr>
        <w:rPr>
          <w:rFonts w:cs="Arial"/>
        </w:rPr>
      </w:pPr>
      <w:r w:rsidRPr="00EF65AE">
        <w:rPr>
          <w:rFonts w:cs="Arial"/>
        </w:rPr>
        <w:t>The intended audience</w:t>
      </w:r>
      <w:r w:rsidR="00506B25">
        <w:rPr>
          <w:rFonts w:cs="Arial"/>
        </w:rPr>
        <w:t xml:space="preserve"> for this evaluation</w:t>
      </w:r>
      <w:r w:rsidRPr="00EF65AE">
        <w:rPr>
          <w:rFonts w:cs="Arial"/>
        </w:rPr>
        <w:t xml:space="preserve"> is leaders and managers</w:t>
      </w:r>
      <w:r w:rsidR="00B43E90">
        <w:rPr>
          <w:rFonts w:cs="Arial"/>
        </w:rPr>
        <w:t xml:space="preserve"> in the Department of Foreign Affairs and Trade (DFAT)</w:t>
      </w:r>
      <w:r w:rsidRPr="00EF65AE">
        <w:rPr>
          <w:rFonts w:cs="Arial"/>
        </w:rPr>
        <w:t xml:space="preserve"> who already have a strong commitment to, and prior knowledge of, strategies and programs to end violence and empower women and girls.</w:t>
      </w:r>
    </w:p>
    <w:p w14:paraId="7E0F64A9" w14:textId="77777777" w:rsidR="00EF65AE" w:rsidRPr="00EF65AE" w:rsidRDefault="00EF65AE" w:rsidP="00EF65AE">
      <w:pPr>
        <w:rPr>
          <w:rFonts w:cs="Arial"/>
        </w:rPr>
      </w:pPr>
      <w:r w:rsidRPr="00EF65AE">
        <w:rPr>
          <w:rFonts w:cs="Arial"/>
        </w:rPr>
        <w:t>This evaluation assessed</w:t>
      </w:r>
      <w:r w:rsidR="00184E3A">
        <w:rPr>
          <w:rFonts w:cs="Arial"/>
        </w:rPr>
        <w:t xml:space="preserve"> the</w:t>
      </w:r>
      <w:r w:rsidRPr="00EF65AE">
        <w:rPr>
          <w:rFonts w:cs="Arial"/>
        </w:rPr>
        <w:t>:</w:t>
      </w:r>
    </w:p>
    <w:p w14:paraId="2F9591F2" w14:textId="77777777" w:rsidR="00EF65AE" w:rsidRPr="00EF65AE" w:rsidRDefault="00EF65AE" w:rsidP="00C638CA">
      <w:pPr>
        <w:pStyle w:val="ListBullet"/>
      </w:pPr>
      <w:r w:rsidRPr="00EF65AE">
        <w:t xml:space="preserve">quality of Australia’s political leadership and policy dialogue to strengthen the enabling environment to </w:t>
      </w:r>
      <w:r w:rsidR="00B43E90">
        <w:t>EVAWG</w:t>
      </w:r>
    </w:p>
    <w:p w14:paraId="180CAFC8" w14:textId="77777777" w:rsidR="00A76693" w:rsidRDefault="00EF65AE" w:rsidP="00A76693">
      <w:pPr>
        <w:pStyle w:val="ListBullet"/>
      </w:pPr>
      <w:r w:rsidRPr="00EF65AE">
        <w:t>extent to which Australia fostered learning to improve program effectiveness and outcomes.</w:t>
      </w:r>
    </w:p>
    <w:p w14:paraId="39C04E58" w14:textId="77777777" w:rsidR="00EF65AE" w:rsidRPr="00A76693" w:rsidRDefault="00EF65AE" w:rsidP="00A76693">
      <w:pPr>
        <w:pStyle w:val="ListBullet"/>
      </w:pPr>
      <w:r w:rsidRPr="00A76693">
        <w:rPr>
          <w:rFonts w:cs="Arial"/>
        </w:rPr>
        <w:t>effectiveness, relevance and reach of Australian d</w:t>
      </w:r>
      <w:r w:rsidR="00572A8A" w:rsidRPr="00A76693">
        <w:rPr>
          <w:rFonts w:cs="Arial"/>
        </w:rPr>
        <w:t xml:space="preserve">evelopment cooperation to </w:t>
      </w:r>
      <w:r w:rsidR="00A76693">
        <w:rPr>
          <w:rFonts w:cs="Arial"/>
        </w:rPr>
        <w:t xml:space="preserve">end </w:t>
      </w:r>
      <w:r w:rsidRPr="00A76693">
        <w:rPr>
          <w:rFonts w:cs="Arial"/>
        </w:rPr>
        <w:t>VAWG in the same key areas considered in the 2008 evaluation</w:t>
      </w:r>
      <w:r w:rsidR="00B43E90" w:rsidRPr="00A76693">
        <w:rPr>
          <w:rFonts w:cs="Arial"/>
        </w:rPr>
        <w:t>.</w:t>
      </w:r>
      <w:r w:rsidRPr="00A76693">
        <w:rPr>
          <w:rFonts w:cs="Arial"/>
        </w:rPr>
        <w:t xml:space="preserve"> </w:t>
      </w:r>
    </w:p>
    <w:p w14:paraId="218A52C6" w14:textId="77777777" w:rsidR="00EF65AE" w:rsidRPr="00EF65AE" w:rsidRDefault="00EF65AE" w:rsidP="00A76693">
      <w:pPr>
        <w:pStyle w:val="ListBullet2"/>
      </w:pPr>
      <w:r w:rsidRPr="00EF65AE">
        <w:t>increas</w:t>
      </w:r>
      <w:r w:rsidR="00A76693">
        <w:t>ing</w:t>
      </w:r>
      <w:r w:rsidRPr="00EF65AE">
        <w:t xml:space="preserve"> access to justice</w:t>
      </w:r>
    </w:p>
    <w:p w14:paraId="5296305F" w14:textId="77777777" w:rsidR="00EF65AE" w:rsidRPr="00EF65AE" w:rsidRDefault="00EF65AE" w:rsidP="00A76693">
      <w:pPr>
        <w:pStyle w:val="ListBullet2"/>
      </w:pPr>
      <w:r w:rsidRPr="00EF65AE">
        <w:t>improving access to quality services</w:t>
      </w:r>
    </w:p>
    <w:p w14:paraId="66CAA06C" w14:textId="1BC88010" w:rsidR="00EF65AE" w:rsidRPr="00EF65AE" w:rsidRDefault="00EF65AE" w:rsidP="00A76693">
      <w:pPr>
        <w:pStyle w:val="ListBullet2"/>
      </w:pPr>
      <w:r w:rsidRPr="00EF65AE">
        <w:t>preventing violence</w:t>
      </w:r>
      <w:r w:rsidR="00CE22E0">
        <w:t>.</w:t>
      </w:r>
    </w:p>
    <w:p w14:paraId="06794F5E" w14:textId="7C8CB11C" w:rsidR="00EF65AE" w:rsidRPr="00EF65AE" w:rsidRDefault="00EF65AE" w:rsidP="00EF65AE">
      <w:pPr>
        <w:rPr>
          <w:rFonts w:cs="Arial"/>
        </w:rPr>
      </w:pPr>
      <w:r w:rsidRPr="00EF65AE">
        <w:rPr>
          <w:rFonts w:cs="Arial"/>
        </w:rPr>
        <w:t xml:space="preserve">Table 1 lists the key questions and sub-questions </w:t>
      </w:r>
      <w:r w:rsidR="00B43E90">
        <w:rPr>
          <w:rFonts w:cs="Arial"/>
        </w:rPr>
        <w:t>that</w:t>
      </w:r>
      <w:r w:rsidR="00B43E90" w:rsidRPr="00EF65AE">
        <w:rPr>
          <w:rFonts w:cs="Arial"/>
        </w:rPr>
        <w:t xml:space="preserve"> </w:t>
      </w:r>
      <w:r w:rsidRPr="00EF65AE">
        <w:rPr>
          <w:rFonts w:cs="Arial"/>
        </w:rPr>
        <w:t>guided th</w:t>
      </w:r>
      <w:r w:rsidR="00B43E90">
        <w:rPr>
          <w:rFonts w:cs="Arial"/>
        </w:rPr>
        <w:t>is evaluation</w:t>
      </w:r>
      <w:r w:rsidRPr="00EF65AE">
        <w:rPr>
          <w:rFonts w:cs="Arial"/>
        </w:rPr>
        <w:t xml:space="preserve"> in each of </w:t>
      </w:r>
      <w:r w:rsidR="008B44CA">
        <w:rPr>
          <w:rFonts w:cs="Arial"/>
        </w:rPr>
        <w:br/>
      </w:r>
      <w:r w:rsidRPr="00EF65AE">
        <w:rPr>
          <w:rFonts w:cs="Arial"/>
        </w:rPr>
        <w:t>the</w:t>
      </w:r>
      <w:r w:rsidR="00184E3A">
        <w:rPr>
          <w:rFonts w:cs="Arial"/>
        </w:rPr>
        <w:t>se</w:t>
      </w:r>
      <w:r w:rsidRPr="00EF65AE">
        <w:rPr>
          <w:rFonts w:cs="Arial"/>
        </w:rPr>
        <w:t xml:space="preserve"> areas. </w:t>
      </w:r>
    </w:p>
    <w:p w14:paraId="76E66D7C" w14:textId="68AD6F2A" w:rsidR="00FA1B92" w:rsidRPr="00FA1B92" w:rsidRDefault="00FA1B92" w:rsidP="00FA1B92">
      <w:pPr>
        <w:pStyle w:val="Caption"/>
      </w:pPr>
      <w:r>
        <w:t xml:space="preserve">Table </w:t>
      </w:r>
      <w:fldSimple w:instr=" SEQ Table \* ARABIC ">
        <w:r w:rsidR="00760839">
          <w:rPr>
            <w:noProof/>
          </w:rPr>
          <w:t>1</w:t>
        </w:r>
      </w:fldSimple>
      <w:r>
        <w:t xml:space="preserve">: </w:t>
      </w:r>
      <w:r w:rsidRPr="00FA1B92">
        <w:t>Evaluation questions</w:t>
      </w:r>
    </w:p>
    <w:p w14:paraId="010331ED" w14:textId="77777777" w:rsidR="00EF65AE" w:rsidRPr="00EF65AE" w:rsidRDefault="00EF65AE" w:rsidP="00EF65AE">
      <w:pPr>
        <w:rPr>
          <w:rFonts w:cs="Arial"/>
          <w:szCs w:val="18"/>
        </w:rPr>
      </w:pPr>
      <w:r w:rsidRPr="00EF65AE">
        <w:rPr>
          <w:rFonts w:cs="Arial"/>
        </w:rPr>
        <w:t xml:space="preserve">To align with the 2008 evaluation, </w:t>
      </w:r>
      <w:r w:rsidR="00B43E90">
        <w:rPr>
          <w:rFonts w:cs="Arial"/>
        </w:rPr>
        <w:t>this evaluation</w:t>
      </w:r>
      <w:r w:rsidRPr="00EF65AE">
        <w:rPr>
          <w:rFonts w:cs="Arial"/>
        </w:rPr>
        <w:t xml:space="preserve"> used a thematic approach when considering the</w:t>
      </w:r>
      <w:r w:rsidR="00B43E90">
        <w:rPr>
          <w:rFonts w:cs="Arial"/>
        </w:rPr>
        <w:t>se</w:t>
      </w:r>
      <w:r w:rsidRPr="00EF65AE">
        <w:rPr>
          <w:rFonts w:cs="Arial"/>
        </w:rPr>
        <w:t xml:space="preserve"> key evaluation questions. </w:t>
      </w:r>
    </w:p>
    <w:tbl>
      <w:tblPr>
        <w:tblStyle w:val="TableGrid"/>
        <w:tblW w:w="5000" w:type="pct"/>
        <w:tblLook w:val="0420" w:firstRow="1" w:lastRow="0" w:firstColumn="0" w:lastColumn="0" w:noHBand="0" w:noVBand="1"/>
      </w:tblPr>
      <w:tblGrid>
        <w:gridCol w:w="3116"/>
        <w:gridCol w:w="6512"/>
      </w:tblGrid>
      <w:tr w:rsidR="00EF65AE" w:rsidRPr="00EC1DA8" w14:paraId="17BA8854" w14:textId="77777777" w:rsidTr="000A09C4">
        <w:trPr>
          <w:cnfStyle w:val="100000000000" w:firstRow="1" w:lastRow="0" w:firstColumn="0" w:lastColumn="0" w:oddVBand="0" w:evenVBand="0" w:oddHBand="0" w:evenHBand="0" w:firstRowFirstColumn="0" w:firstRowLastColumn="0" w:lastRowFirstColumn="0" w:lastRowLastColumn="0"/>
        </w:trPr>
        <w:tc>
          <w:tcPr>
            <w:tcW w:w="1618" w:type="pct"/>
          </w:tcPr>
          <w:p w14:paraId="729EF895" w14:textId="77777777" w:rsidR="00EF65AE" w:rsidRPr="00EC1DA8" w:rsidRDefault="00EF65AE" w:rsidP="00EF65AE">
            <w:pPr>
              <w:rPr>
                <w:b w:val="0"/>
              </w:rPr>
            </w:pPr>
            <w:r w:rsidRPr="00EC1DA8">
              <w:t>Key questions</w:t>
            </w:r>
          </w:p>
        </w:tc>
        <w:tc>
          <w:tcPr>
            <w:tcW w:w="3382" w:type="pct"/>
          </w:tcPr>
          <w:p w14:paraId="57B361C4" w14:textId="77777777" w:rsidR="00EF65AE" w:rsidRPr="00EC1DA8" w:rsidRDefault="00EF65AE" w:rsidP="00EF65AE">
            <w:pPr>
              <w:rPr>
                <w:b w:val="0"/>
              </w:rPr>
            </w:pPr>
            <w:r w:rsidRPr="00EC1DA8">
              <w:t>Guiding sub-questions</w:t>
            </w:r>
          </w:p>
        </w:tc>
      </w:tr>
      <w:tr w:rsidR="00EF65AE" w:rsidRPr="00EC1DA8" w14:paraId="4B9D166F" w14:textId="77777777" w:rsidTr="000A09C4">
        <w:tc>
          <w:tcPr>
            <w:tcW w:w="1618" w:type="pct"/>
          </w:tcPr>
          <w:p w14:paraId="6A0CB61C" w14:textId="77777777" w:rsidR="00EF65AE" w:rsidRPr="00EC1DA8" w:rsidRDefault="00184E3A" w:rsidP="00EF65AE">
            <w:r>
              <w:t xml:space="preserve">1. </w:t>
            </w:r>
            <w:r w:rsidR="00EF65AE" w:rsidRPr="00EC1DA8">
              <w:t>Enabling environment: To what extent have DFAT investments and strategies contributed to creating an enabling environment for EVAWG through political leadership and policy dialogue?</w:t>
            </w:r>
          </w:p>
        </w:tc>
        <w:tc>
          <w:tcPr>
            <w:tcW w:w="3382" w:type="pct"/>
          </w:tcPr>
          <w:p w14:paraId="04B347D6" w14:textId="77777777" w:rsidR="00EF65AE" w:rsidRPr="00EC1DA8" w:rsidRDefault="00EF65AE" w:rsidP="00EF65AE">
            <w:r w:rsidRPr="00EC1DA8">
              <w:t>What have been the outcomes (intended or unintended) of Australia's engagement in EVAWG as a policy and programming priority?</w:t>
            </w:r>
          </w:p>
          <w:p w14:paraId="6CD7934A" w14:textId="77777777" w:rsidR="00EF65AE" w:rsidRPr="00EC1DA8" w:rsidRDefault="00EF65AE" w:rsidP="00EF65AE">
            <w:r w:rsidRPr="00EC1DA8">
              <w:t>To what degree has EVAWG programming been mainstreamed into broader sector programs (health, education, governance</w:t>
            </w:r>
            <w:r w:rsidR="00161835">
              <w:t xml:space="preserve"> and</w:t>
            </w:r>
            <w:r w:rsidRPr="00EC1DA8">
              <w:t xml:space="preserve"> economic development)?</w:t>
            </w:r>
          </w:p>
          <w:p w14:paraId="253A60B7" w14:textId="77777777" w:rsidR="00EF65AE" w:rsidRPr="00EC1DA8" w:rsidRDefault="00EF65AE" w:rsidP="00EF65AE">
            <w:r w:rsidRPr="00EC1DA8">
              <w:t xml:space="preserve">How does Australia's investment support local leadership, networks, </w:t>
            </w:r>
            <w:r w:rsidR="00161835">
              <w:t>and</w:t>
            </w:r>
            <w:r w:rsidRPr="00EC1DA8">
              <w:t xml:space="preserve"> coalitions for reform at country level?</w:t>
            </w:r>
          </w:p>
        </w:tc>
      </w:tr>
      <w:tr w:rsidR="00EF65AE" w:rsidRPr="00EC1DA8" w14:paraId="2F093EC1" w14:textId="77777777" w:rsidTr="000A09C4">
        <w:tc>
          <w:tcPr>
            <w:tcW w:w="1618" w:type="pct"/>
          </w:tcPr>
          <w:p w14:paraId="647284E0" w14:textId="5F75B03A" w:rsidR="00EF65AE" w:rsidRPr="00EC1DA8" w:rsidRDefault="001B118A" w:rsidP="00EF65AE">
            <w:r>
              <w:t xml:space="preserve">2. </w:t>
            </w:r>
            <w:r w:rsidR="00EF65AE" w:rsidRPr="00EC1DA8">
              <w:t>Effectiveness: To what extent have DFAT EVAWG investments and strategies been effective at meeting their objectives over the last 10 years?</w:t>
            </w:r>
          </w:p>
        </w:tc>
        <w:tc>
          <w:tcPr>
            <w:tcW w:w="3382" w:type="pct"/>
          </w:tcPr>
          <w:p w14:paraId="18607C70" w14:textId="77777777" w:rsidR="00EF65AE" w:rsidRPr="00EC1DA8" w:rsidRDefault="00EF65AE" w:rsidP="00EF65AE">
            <w:r w:rsidRPr="00EC1DA8">
              <w:t>How responsive has Australian aid been to the 2008 and 2012 evaluations and to maintaining their 2009 commitments?</w:t>
            </w:r>
          </w:p>
          <w:p w14:paraId="4892A037" w14:textId="72D7B5A1" w:rsidR="00EF65AE" w:rsidRPr="00EC1DA8" w:rsidRDefault="00EF65AE" w:rsidP="00EF65AE">
            <w:r w:rsidRPr="00EC1DA8">
              <w:t xml:space="preserve">What evidence exists that speaks to the effectiveness of </w:t>
            </w:r>
            <w:r w:rsidR="00747258">
              <w:br/>
            </w:r>
            <w:r w:rsidRPr="00EC1DA8">
              <w:t>DFAT-</w:t>
            </w:r>
            <w:r w:rsidR="00455ADE">
              <w:t>s</w:t>
            </w:r>
            <w:r w:rsidRPr="00EC1DA8">
              <w:t>upported EVAWG programming?</w:t>
            </w:r>
          </w:p>
          <w:p w14:paraId="3C193B6B" w14:textId="77777777" w:rsidR="00EF65AE" w:rsidRPr="00EC1DA8" w:rsidRDefault="00EF65AE" w:rsidP="00EF65AE">
            <w:r w:rsidRPr="00EC1DA8">
              <w:t>What lessons can be learned to improve the effectiveness of DFAT's future investments, and contribute to global knowledge?</w:t>
            </w:r>
          </w:p>
        </w:tc>
      </w:tr>
      <w:tr w:rsidR="00EF65AE" w:rsidRPr="00EC1DA8" w14:paraId="2E2BFBF1" w14:textId="77777777" w:rsidTr="000A09C4">
        <w:tc>
          <w:tcPr>
            <w:tcW w:w="1618" w:type="pct"/>
          </w:tcPr>
          <w:p w14:paraId="10B94583" w14:textId="77777777" w:rsidR="00EF65AE" w:rsidRPr="00EC1DA8" w:rsidRDefault="00184E3A" w:rsidP="00EF65AE">
            <w:r>
              <w:t xml:space="preserve">3. </w:t>
            </w:r>
            <w:r w:rsidR="00EF65AE" w:rsidRPr="00EC1DA8">
              <w:t>Relevance: How relevant are DFAT investments and strategies to local, national and global EVAWG needs?</w:t>
            </w:r>
          </w:p>
        </w:tc>
        <w:tc>
          <w:tcPr>
            <w:tcW w:w="3382" w:type="pct"/>
          </w:tcPr>
          <w:p w14:paraId="2EAC6C70" w14:textId="77777777" w:rsidR="00EF65AE" w:rsidRPr="00EC1DA8" w:rsidRDefault="00EF65AE" w:rsidP="00EF65AE">
            <w:r w:rsidRPr="00EC1DA8">
              <w:t>To what degree does DFAT-supported programming align with emerging evidence for best practices?</w:t>
            </w:r>
          </w:p>
          <w:p w14:paraId="27C8C0DB" w14:textId="77777777" w:rsidR="00EF65AE" w:rsidRPr="00EC1DA8" w:rsidRDefault="00EF65AE" w:rsidP="00EF65AE">
            <w:r w:rsidRPr="00EC1DA8">
              <w:t>How successful has DFAT been in developing contextualised programs and strategies that are appropriate to local needs?</w:t>
            </w:r>
          </w:p>
          <w:p w14:paraId="5B9B65ED" w14:textId="77777777" w:rsidR="00EF65AE" w:rsidRPr="00EC1DA8" w:rsidRDefault="00EF65AE" w:rsidP="00EF65AE">
            <w:r w:rsidRPr="00EC1DA8">
              <w:t>Are EVAWG efforts responding to violence against girls, and connecting with Australia's aid work on child protection?</w:t>
            </w:r>
          </w:p>
          <w:p w14:paraId="73A2232A" w14:textId="77777777" w:rsidR="00EF65AE" w:rsidRPr="00EC1DA8" w:rsidRDefault="00EF65AE" w:rsidP="00EF65AE">
            <w:r w:rsidRPr="00EC1DA8">
              <w:t>How has DFAT EVAWG programming addressed conflict and humanitarian issues?</w:t>
            </w:r>
          </w:p>
        </w:tc>
      </w:tr>
      <w:tr w:rsidR="00EF65AE" w:rsidRPr="00EC1DA8" w14:paraId="6B5FD854" w14:textId="77777777" w:rsidTr="000A09C4">
        <w:tc>
          <w:tcPr>
            <w:tcW w:w="1618" w:type="pct"/>
          </w:tcPr>
          <w:p w14:paraId="686D25CA" w14:textId="77777777" w:rsidR="00EF65AE" w:rsidRPr="00EC1DA8" w:rsidRDefault="00184E3A" w:rsidP="00EF65AE">
            <w:r>
              <w:t xml:space="preserve">4. </w:t>
            </w:r>
            <w:r w:rsidR="00EF65AE" w:rsidRPr="00EC1DA8">
              <w:t>Reach: To what extent have DFAT investments and strategies extended the reach of services and programs to reach the most vulnerable and marginalised populations?</w:t>
            </w:r>
          </w:p>
        </w:tc>
        <w:tc>
          <w:tcPr>
            <w:tcW w:w="3382" w:type="pct"/>
          </w:tcPr>
          <w:p w14:paraId="3E4F9D09" w14:textId="77777777" w:rsidR="00EF65AE" w:rsidRPr="00EC1DA8" w:rsidRDefault="00EF65AE" w:rsidP="00EF65AE">
            <w:r w:rsidRPr="00EC1DA8">
              <w:t>Who is being reached? Who is being left out?</w:t>
            </w:r>
            <w:r w:rsidRPr="00EC1DA8">
              <w:tab/>
            </w:r>
          </w:p>
          <w:p w14:paraId="0F483644" w14:textId="77777777" w:rsidR="00EF65AE" w:rsidRPr="00EC1DA8" w:rsidRDefault="00EF65AE" w:rsidP="00EF65AE">
            <w:r w:rsidRPr="00EC1DA8">
              <w:t>What has been learned about barriers and enablers for accessing programs and services?</w:t>
            </w:r>
          </w:p>
          <w:p w14:paraId="605699EE" w14:textId="77777777" w:rsidR="00EF65AE" w:rsidRPr="00EC1DA8" w:rsidRDefault="00EF65AE" w:rsidP="00EF65AE">
            <w:r w:rsidRPr="00EC1DA8">
              <w:t>Are there examples of programs that have been or could be scaled up?</w:t>
            </w:r>
          </w:p>
          <w:p w14:paraId="755C2762" w14:textId="217C3880" w:rsidR="00EF65AE" w:rsidRPr="00EC1DA8" w:rsidRDefault="00EF65AE" w:rsidP="00EF65AE">
            <w:bookmarkStart w:id="380" w:name="_Hlk20735731"/>
            <w:r w:rsidRPr="00EC1DA8">
              <w:t>What are we learning about disability and social inclusion in EVAWG services and prevention?</w:t>
            </w:r>
            <w:bookmarkEnd w:id="380"/>
          </w:p>
        </w:tc>
      </w:tr>
      <w:tr w:rsidR="00EF65AE" w:rsidRPr="00EC1DA8" w14:paraId="754A323A" w14:textId="77777777" w:rsidTr="000A09C4">
        <w:trPr>
          <w:trHeight w:val="40"/>
        </w:trPr>
        <w:tc>
          <w:tcPr>
            <w:tcW w:w="1618" w:type="pct"/>
          </w:tcPr>
          <w:p w14:paraId="56FB06ED" w14:textId="77777777" w:rsidR="00EF65AE" w:rsidRPr="00EC1DA8" w:rsidRDefault="00184E3A" w:rsidP="00EF65AE">
            <w:r>
              <w:t xml:space="preserve">5. </w:t>
            </w:r>
            <w:r w:rsidR="00EF65AE" w:rsidRPr="00EC1DA8">
              <w:t>Learning: To what extent has DFAT fostered a learning environment in which measurement and monitoring are used to improve the effectiveness of EVAWG programs?</w:t>
            </w:r>
          </w:p>
        </w:tc>
        <w:tc>
          <w:tcPr>
            <w:tcW w:w="3382" w:type="pct"/>
          </w:tcPr>
          <w:p w14:paraId="7745880A" w14:textId="77777777" w:rsidR="00EF65AE" w:rsidRPr="00EC1DA8" w:rsidRDefault="00EF65AE" w:rsidP="00EF65AE">
            <w:r w:rsidRPr="00EC1DA8">
              <w:t xml:space="preserve">Do the methods, indicators, and </w:t>
            </w:r>
            <w:r w:rsidR="00B43E90">
              <w:t>monitoring and evaluation (</w:t>
            </w:r>
            <w:r w:rsidRPr="00EC1DA8">
              <w:t>M&amp;E</w:t>
            </w:r>
            <w:r w:rsidR="00B43E90">
              <w:t>)</w:t>
            </w:r>
            <w:r w:rsidRPr="00EC1DA8">
              <w:t xml:space="preserve"> systems currently used align with best practices?</w:t>
            </w:r>
          </w:p>
          <w:p w14:paraId="4180CE96" w14:textId="77777777" w:rsidR="00EF65AE" w:rsidRPr="00EC1DA8" w:rsidRDefault="00EF65AE" w:rsidP="00EF65AE">
            <w:r w:rsidRPr="00EC1DA8">
              <w:t>How can these be improved (including attention to safety and ethical considerations)?</w:t>
            </w:r>
          </w:p>
          <w:p w14:paraId="05821A27" w14:textId="77777777" w:rsidR="00EF65AE" w:rsidRPr="00EC1DA8" w:rsidRDefault="00EF65AE" w:rsidP="00EF65AE">
            <w:r w:rsidRPr="00EC1DA8">
              <w:t xml:space="preserve">What are we learning about the impact of social norms on access to justice and services and prevention of </w:t>
            </w:r>
            <w:r w:rsidR="00B43E90">
              <w:t>violence against women and girls (</w:t>
            </w:r>
            <w:r w:rsidRPr="00EC1DA8">
              <w:t>VAWG</w:t>
            </w:r>
            <w:r w:rsidR="007D06DB">
              <w:t>)</w:t>
            </w:r>
            <w:r w:rsidRPr="00EC1DA8">
              <w:t>?</w:t>
            </w:r>
          </w:p>
          <w:p w14:paraId="6B31EC7C" w14:textId="77777777" w:rsidR="00EF65AE" w:rsidRPr="00EC1DA8" w:rsidRDefault="00EF65AE" w:rsidP="00EF65AE">
            <w:r w:rsidRPr="00EC1DA8">
              <w:t>Is emerging evidence being used to inform ongoing learning, policymaking, and planning?</w:t>
            </w:r>
          </w:p>
        </w:tc>
      </w:tr>
    </w:tbl>
    <w:p w14:paraId="540E3956" w14:textId="77777777" w:rsidR="00EF65AE" w:rsidRPr="00EF65AE" w:rsidRDefault="00EF65AE" w:rsidP="009005FA">
      <w:pPr>
        <w:pStyle w:val="AnnexSubHeading"/>
        <w:rPr>
          <w:lang w:val="en-GB" w:eastAsia="en-AU"/>
        </w:rPr>
      </w:pPr>
      <w:bookmarkStart w:id="381" w:name="_Toc2869564"/>
      <w:bookmarkStart w:id="382" w:name="_Toc4156974"/>
      <w:bookmarkStart w:id="383" w:name="_Toc7209408"/>
      <w:bookmarkStart w:id="384" w:name="_Toc10114150"/>
      <w:bookmarkStart w:id="385" w:name="_Toc10400334"/>
      <w:bookmarkStart w:id="386" w:name="_Toc14959621"/>
      <w:bookmarkStart w:id="387" w:name="_Toc15563026"/>
      <w:bookmarkStart w:id="388" w:name="_Toc20307939"/>
      <w:bookmarkStart w:id="389" w:name="_Toc21365300"/>
      <w:bookmarkStart w:id="390" w:name="_Toc23434562"/>
      <w:r w:rsidRPr="00EF65AE">
        <w:rPr>
          <w:lang w:val="en-GB" w:eastAsia="en-AU"/>
        </w:rPr>
        <w:t>Evaluation team</w:t>
      </w:r>
      <w:bookmarkEnd w:id="381"/>
      <w:bookmarkEnd w:id="382"/>
      <w:bookmarkEnd w:id="383"/>
      <w:bookmarkEnd w:id="384"/>
      <w:bookmarkEnd w:id="385"/>
      <w:bookmarkEnd w:id="386"/>
      <w:bookmarkEnd w:id="387"/>
      <w:bookmarkEnd w:id="388"/>
      <w:bookmarkEnd w:id="389"/>
      <w:bookmarkEnd w:id="390"/>
    </w:p>
    <w:p w14:paraId="40BA67AB" w14:textId="5F59A014" w:rsidR="00EF65AE" w:rsidRPr="00EF65AE" w:rsidRDefault="00EF65AE" w:rsidP="00EF65AE">
      <w:pPr>
        <w:rPr>
          <w:rFonts w:cs="Arial"/>
        </w:rPr>
      </w:pPr>
      <w:r w:rsidRPr="00EF65AE">
        <w:rPr>
          <w:rFonts w:cs="Arial"/>
        </w:rPr>
        <w:t xml:space="preserve">The evaluation team comprised seven professionals from the </w:t>
      </w:r>
      <w:bookmarkStart w:id="391" w:name="_Hlk18586082"/>
      <w:r w:rsidRPr="00EF65AE">
        <w:rPr>
          <w:rFonts w:cs="Arial"/>
        </w:rPr>
        <w:t>Global Women’s Institute (GWI)</w:t>
      </w:r>
      <w:bookmarkEnd w:id="391"/>
      <w:r w:rsidRPr="00EF65AE">
        <w:rPr>
          <w:rFonts w:cs="Arial"/>
        </w:rPr>
        <w:t xml:space="preserve"> at the George Washington University and the Equality Institute. </w:t>
      </w:r>
      <w:r w:rsidR="00A54030">
        <w:rPr>
          <w:rFonts w:cs="Arial"/>
        </w:rPr>
        <w:t xml:space="preserve">It </w:t>
      </w:r>
      <w:r w:rsidRPr="00EF65AE">
        <w:rPr>
          <w:rFonts w:cs="Arial"/>
        </w:rPr>
        <w:t xml:space="preserve">was led by Dr Mary Ellsberg, Executive Director of GWI, who </w:t>
      </w:r>
      <w:r w:rsidR="00843483">
        <w:rPr>
          <w:rFonts w:cs="Arial"/>
        </w:rPr>
        <w:t>also</w:t>
      </w:r>
      <w:r w:rsidRPr="00EF65AE">
        <w:rPr>
          <w:rFonts w:cs="Arial"/>
        </w:rPr>
        <w:t xml:space="preserve"> led ODE’s 2008 evaluation</w:t>
      </w:r>
      <w:r w:rsidR="00CE22E0">
        <w:rPr>
          <w:rFonts w:cs="Arial"/>
        </w:rPr>
        <w:t>.</w:t>
      </w:r>
      <w:r w:rsidRPr="00EF65AE">
        <w:rPr>
          <w:rFonts w:cs="Arial"/>
        </w:rPr>
        <w:t xml:space="preserve"> The</w:t>
      </w:r>
      <w:r w:rsidR="00A54030">
        <w:rPr>
          <w:rFonts w:cs="Arial"/>
        </w:rPr>
        <w:t xml:space="preserve"> evaluation</w:t>
      </w:r>
      <w:r w:rsidRPr="00EF65AE">
        <w:rPr>
          <w:rFonts w:cs="Arial"/>
        </w:rPr>
        <w:t xml:space="preserve"> team worked closely with ODE in all stages of planning, data collection and analysis. </w:t>
      </w:r>
    </w:p>
    <w:p w14:paraId="4A27D347" w14:textId="77777777" w:rsidR="00EF65AE" w:rsidRPr="00EF65AE" w:rsidRDefault="00EF65AE" w:rsidP="009005FA">
      <w:pPr>
        <w:pStyle w:val="AnnexSubHeading"/>
        <w:rPr>
          <w:lang w:val="en-GB" w:eastAsia="en-AU"/>
        </w:rPr>
      </w:pPr>
      <w:bookmarkStart w:id="392" w:name="_Toc2869565"/>
      <w:bookmarkStart w:id="393" w:name="_Toc4156975"/>
      <w:bookmarkStart w:id="394" w:name="_Toc7209409"/>
      <w:bookmarkStart w:id="395" w:name="_Toc10114151"/>
      <w:bookmarkStart w:id="396" w:name="_Toc10400335"/>
      <w:bookmarkStart w:id="397" w:name="_Toc14959622"/>
      <w:bookmarkStart w:id="398" w:name="_Toc15563027"/>
      <w:bookmarkStart w:id="399" w:name="_Toc20307940"/>
      <w:bookmarkStart w:id="400" w:name="_Toc21365301"/>
      <w:bookmarkStart w:id="401" w:name="_Toc23434563"/>
      <w:r w:rsidRPr="00EF65AE">
        <w:rPr>
          <w:lang w:val="en-GB" w:eastAsia="en-AU"/>
        </w:rPr>
        <w:t>Overview of approach and methodology</w:t>
      </w:r>
      <w:bookmarkEnd w:id="392"/>
      <w:bookmarkEnd w:id="393"/>
      <w:bookmarkEnd w:id="394"/>
      <w:bookmarkEnd w:id="395"/>
      <w:bookmarkEnd w:id="396"/>
      <w:bookmarkEnd w:id="397"/>
      <w:bookmarkEnd w:id="398"/>
      <w:bookmarkEnd w:id="399"/>
      <w:bookmarkEnd w:id="400"/>
      <w:bookmarkEnd w:id="401"/>
    </w:p>
    <w:p w14:paraId="74E1218F" w14:textId="77777777" w:rsidR="00EF65AE" w:rsidRPr="00EF65AE" w:rsidRDefault="00111BE5" w:rsidP="00EF65AE">
      <w:pPr>
        <w:rPr>
          <w:rFonts w:cs="Arial"/>
        </w:rPr>
      </w:pPr>
      <w:r>
        <w:rPr>
          <w:rFonts w:cs="Arial"/>
        </w:rPr>
        <w:t>An overview of the m</w:t>
      </w:r>
      <w:r w:rsidR="00D81EC4">
        <w:rPr>
          <w:rFonts w:cs="Arial"/>
        </w:rPr>
        <w:t>ethodology is shown in Figure 12</w:t>
      </w:r>
      <w:r>
        <w:rPr>
          <w:rFonts w:cs="Arial"/>
        </w:rPr>
        <w:t xml:space="preserve">. </w:t>
      </w:r>
      <w:r w:rsidR="00EF65AE" w:rsidRPr="00EF65AE">
        <w:rPr>
          <w:rFonts w:cs="Arial"/>
        </w:rPr>
        <w:t>The evaluation team gathered evidence in</w:t>
      </w:r>
      <w:r w:rsidR="007D06DB">
        <w:rPr>
          <w:rFonts w:cs="Arial"/>
        </w:rPr>
        <w:t xml:space="preserve"> </w:t>
      </w:r>
      <w:r w:rsidR="00EF65AE" w:rsidRPr="00EF65AE">
        <w:rPr>
          <w:rFonts w:cs="Arial"/>
        </w:rPr>
        <w:t>three phases:</w:t>
      </w:r>
    </w:p>
    <w:p w14:paraId="7BD151D3" w14:textId="77777777" w:rsidR="00EF65AE" w:rsidRPr="00EF65AE" w:rsidRDefault="00184E3A" w:rsidP="001B118A">
      <w:pPr>
        <w:pStyle w:val="ListNumber"/>
      </w:pPr>
      <w:r>
        <w:t>S</w:t>
      </w:r>
      <w:r w:rsidR="00EF65AE" w:rsidRPr="00EF65AE">
        <w:t>ystematic review of existing evaluations of activities and programs commissioned by DFAT. This included a quality assessment of evaluation documents according to DFAT standards.</w:t>
      </w:r>
    </w:p>
    <w:p w14:paraId="283CF4A1" w14:textId="77777777" w:rsidR="00EF65AE" w:rsidRPr="00EF65AE" w:rsidRDefault="00184E3A" w:rsidP="001B118A">
      <w:pPr>
        <w:pStyle w:val="ListNumber"/>
      </w:pPr>
      <w:r>
        <w:t>R</w:t>
      </w:r>
      <w:r w:rsidR="00EF65AE" w:rsidRPr="00EF65AE">
        <w:t xml:space="preserve">eview of current knowledge and best practices in EVAWG programming, with an emphasis on Asia and the Pacific. </w:t>
      </w:r>
    </w:p>
    <w:p w14:paraId="45818A65" w14:textId="77777777" w:rsidR="00EF65AE" w:rsidRDefault="00184E3A" w:rsidP="001B118A">
      <w:pPr>
        <w:pStyle w:val="ListNumber"/>
      </w:pPr>
      <w:r>
        <w:t>I</w:t>
      </w:r>
      <w:r w:rsidR="00EF65AE" w:rsidRPr="00EF65AE">
        <w:t xml:space="preserve">n-depth review of selected EVAWG investments in selected focus countries and regional programs through primary data collection and analysis. </w:t>
      </w:r>
    </w:p>
    <w:p w14:paraId="15A73097" w14:textId="674A36DF" w:rsidR="00EF65AE" w:rsidRPr="002A6350" w:rsidRDefault="00C07D10" w:rsidP="00C07D10">
      <w:pPr>
        <w:pStyle w:val="Caption"/>
      </w:pPr>
      <w:bookmarkStart w:id="402" w:name="_Toc23434594"/>
      <w:r>
        <w:t xml:space="preserve">Figure </w:t>
      </w:r>
      <w:fldSimple w:instr=" SEQ Figure \* ARABIC ">
        <w:r w:rsidR="00760839">
          <w:rPr>
            <w:noProof/>
          </w:rPr>
          <w:t>12</w:t>
        </w:r>
      </w:fldSimple>
      <w:r w:rsidR="00FA1B92" w:rsidRPr="002A6350">
        <w:t xml:space="preserve">: </w:t>
      </w:r>
      <w:r w:rsidR="00EF65AE" w:rsidRPr="002A6350">
        <w:t xml:space="preserve">Overview of </w:t>
      </w:r>
      <w:r w:rsidR="00843483">
        <w:t xml:space="preserve">methodology used in </w:t>
      </w:r>
      <w:r w:rsidR="00C43F11">
        <w:t xml:space="preserve">this </w:t>
      </w:r>
      <w:r w:rsidR="00EF65AE" w:rsidRPr="002A6350">
        <w:t>evaluation</w:t>
      </w:r>
      <w:bookmarkEnd w:id="402"/>
      <w:r w:rsidR="00EF65AE" w:rsidRPr="002A6350">
        <w:t xml:space="preserve"> </w:t>
      </w:r>
    </w:p>
    <w:p w14:paraId="49FFD9E9" w14:textId="77777777" w:rsidR="00EF65AE" w:rsidRPr="00EF65AE" w:rsidRDefault="006927AA" w:rsidP="00EF65AE">
      <w:pPr>
        <w:rPr>
          <w:rFonts w:cs="Arial"/>
          <w:highlight w:val="lightGray"/>
        </w:rPr>
      </w:pPr>
      <w:r w:rsidRPr="00CF380F">
        <w:rPr>
          <w:noProof/>
          <w:lang w:eastAsia="en-AU"/>
        </w:rPr>
        <w:drawing>
          <wp:inline distT="0" distB="0" distL="0" distR="0" wp14:anchorId="602A4A0E" wp14:editId="67DB00CB">
            <wp:extent cx="5784960" cy="3813875"/>
            <wp:effectExtent l="0" t="0" r="6350" b="0"/>
            <wp:docPr id="73" name="Picture 73" descr="Figure 12 is an illustration of methodology overview used in this evaluation. A complete description of the illustration is in the main text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4960" cy="3813875"/>
                    </a:xfrm>
                    <a:prstGeom prst="rect">
                      <a:avLst/>
                    </a:prstGeom>
                  </pic:spPr>
                </pic:pic>
              </a:graphicData>
            </a:graphic>
          </wp:inline>
        </w:drawing>
      </w:r>
    </w:p>
    <w:p w14:paraId="77579D4D" w14:textId="77777777" w:rsidR="00EF65AE" w:rsidRPr="00EF65AE" w:rsidRDefault="00EF65AE" w:rsidP="009005FA">
      <w:pPr>
        <w:pStyle w:val="AnnexSubHeading"/>
        <w:rPr>
          <w:lang w:val="en-GB" w:eastAsia="en-AU"/>
        </w:rPr>
      </w:pPr>
      <w:bookmarkStart w:id="403" w:name="_Toc2869567"/>
      <w:bookmarkStart w:id="404" w:name="_Toc14959623"/>
      <w:bookmarkStart w:id="405" w:name="_Toc15563028"/>
      <w:bookmarkStart w:id="406" w:name="_Toc20307941"/>
      <w:bookmarkStart w:id="407" w:name="_Toc21365302"/>
      <w:bookmarkStart w:id="408" w:name="_Toc23434564"/>
      <w:r w:rsidRPr="00EF65AE">
        <w:rPr>
          <w:lang w:val="en-GB" w:eastAsia="en-AU"/>
        </w:rPr>
        <w:t xml:space="preserve">Systematic </w:t>
      </w:r>
      <w:r w:rsidR="00C43F11">
        <w:rPr>
          <w:lang w:val="en-GB" w:eastAsia="en-AU"/>
        </w:rPr>
        <w:t xml:space="preserve">document </w:t>
      </w:r>
      <w:r w:rsidRPr="00EF65AE">
        <w:rPr>
          <w:lang w:val="en-GB" w:eastAsia="en-AU"/>
        </w:rPr>
        <w:t>review</w:t>
      </w:r>
      <w:bookmarkEnd w:id="403"/>
      <w:bookmarkEnd w:id="404"/>
      <w:bookmarkEnd w:id="405"/>
      <w:bookmarkEnd w:id="406"/>
      <w:bookmarkEnd w:id="407"/>
      <w:bookmarkEnd w:id="408"/>
    </w:p>
    <w:p w14:paraId="773A951F" w14:textId="77777777" w:rsidR="00EF65AE" w:rsidRPr="00EF65AE" w:rsidRDefault="00EF65AE" w:rsidP="00EF65AE">
      <w:pPr>
        <w:rPr>
          <w:rFonts w:cs="Arial"/>
        </w:rPr>
      </w:pPr>
      <w:r w:rsidRPr="00EF65AE">
        <w:rPr>
          <w:rFonts w:cs="Arial"/>
        </w:rPr>
        <w:t>The GWI conducted a systematic desk-based review of DFAT investment documents drawn from the last decade, to identify and synthesise preliminary lessons learned across available evaluations and to assess</w:t>
      </w:r>
      <w:r w:rsidR="00AE0BBF">
        <w:rPr>
          <w:rFonts w:cs="Arial"/>
        </w:rPr>
        <w:t xml:space="preserve"> the</w:t>
      </w:r>
      <w:r w:rsidRPr="00EF65AE">
        <w:rPr>
          <w:rFonts w:cs="Arial"/>
        </w:rPr>
        <w:t>:</w:t>
      </w:r>
    </w:p>
    <w:p w14:paraId="1D77B3BC" w14:textId="77777777" w:rsidR="00EF65AE" w:rsidRPr="00EF65AE" w:rsidRDefault="00EF65AE" w:rsidP="000A09C4">
      <w:pPr>
        <w:pStyle w:val="ListBullet"/>
      </w:pPr>
      <w:r w:rsidRPr="00EF65AE">
        <w:t>quality of evidence emerging from these investments</w:t>
      </w:r>
      <w:r w:rsidR="00897712">
        <w:t xml:space="preserve">, which were </w:t>
      </w:r>
      <w:r w:rsidRPr="00EF65AE">
        <w:t xml:space="preserve">assessed using a quality assessment tool based on </w:t>
      </w:r>
      <w:bookmarkStart w:id="409" w:name="_Hlk18586542"/>
      <w:r w:rsidRPr="00EF65AE">
        <w:t xml:space="preserve">the DFAT Monitoring and Evaluation Standards </w:t>
      </w:r>
      <w:bookmarkEnd w:id="409"/>
      <w:r w:rsidRPr="00EF65AE">
        <w:t>(DFAT, 2017)</w:t>
      </w:r>
    </w:p>
    <w:p w14:paraId="1436F550" w14:textId="77777777" w:rsidR="00EF65AE" w:rsidRPr="00EF65AE" w:rsidRDefault="00EF65AE" w:rsidP="000A09C4">
      <w:pPr>
        <w:pStyle w:val="ListBullet"/>
      </w:pPr>
      <w:r w:rsidRPr="00EF65AE">
        <w:t>opportunities for improved monitoring, evaluation and learning</w:t>
      </w:r>
    </w:p>
    <w:p w14:paraId="1B6DB284" w14:textId="77777777" w:rsidR="00EF65AE" w:rsidRPr="00EF65AE" w:rsidRDefault="00EF65AE" w:rsidP="000A09C4">
      <w:pPr>
        <w:pStyle w:val="ListBullet"/>
      </w:pPr>
      <w:r w:rsidRPr="00EF65AE">
        <w:t>initial thematic findings in response to the key evaluation questions across the focus countries.</w:t>
      </w:r>
    </w:p>
    <w:p w14:paraId="5A662B1F" w14:textId="452D2720" w:rsidR="00897712" w:rsidRDefault="00EF65AE" w:rsidP="00E17E19">
      <w:pPr>
        <w:numPr>
          <w:ilvl w:val="0"/>
          <w:numId w:val="0"/>
        </w:numPr>
        <w:rPr>
          <w:rFonts w:cs="Arial"/>
        </w:rPr>
      </w:pPr>
      <w:r w:rsidRPr="00E17E19">
        <w:rPr>
          <w:rFonts w:cs="Arial"/>
        </w:rPr>
        <w:t xml:space="preserve">GWI reviewed 73 investments and 382 documents shared by ODE and sourced from </w:t>
      </w:r>
      <w:r w:rsidR="00AE0BBF">
        <w:rPr>
          <w:rFonts w:cs="Arial"/>
        </w:rPr>
        <w:t>DFAT’s</w:t>
      </w:r>
      <w:r w:rsidR="00AE0BBF" w:rsidRPr="00E17E19">
        <w:rPr>
          <w:rFonts w:cs="Arial"/>
        </w:rPr>
        <w:t xml:space="preserve"> </w:t>
      </w:r>
      <w:r w:rsidRPr="00E17E19">
        <w:rPr>
          <w:rFonts w:cs="Arial"/>
        </w:rPr>
        <w:t>AidWorks database (</w:t>
      </w:r>
      <w:r w:rsidR="00760839">
        <w:rPr>
          <w:rFonts w:cs="Arial"/>
        </w:rPr>
        <w:fldChar w:fldCharType="begin"/>
      </w:r>
      <w:r w:rsidR="00760839">
        <w:rPr>
          <w:rFonts w:cs="Arial"/>
        </w:rPr>
        <w:instrText xml:space="preserve"> REF _Ref21365456 \h </w:instrText>
      </w:r>
      <w:r w:rsidR="00760839">
        <w:rPr>
          <w:rFonts w:cs="Arial"/>
        </w:rPr>
      </w:r>
      <w:r w:rsidR="00760839">
        <w:rPr>
          <w:rFonts w:cs="Arial"/>
        </w:rPr>
        <w:fldChar w:fldCharType="separate"/>
      </w:r>
      <w:r w:rsidR="00760839">
        <w:t xml:space="preserve">Figure </w:t>
      </w:r>
      <w:r w:rsidR="00760839">
        <w:rPr>
          <w:noProof/>
        </w:rPr>
        <w:t>13</w:t>
      </w:r>
      <w:r w:rsidR="00760839">
        <w:rPr>
          <w:rFonts w:cs="Arial"/>
        </w:rPr>
        <w:fldChar w:fldCharType="end"/>
      </w:r>
      <w:r w:rsidRPr="002A6350">
        <w:rPr>
          <w:rFonts w:cs="Arial"/>
        </w:rPr>
        <w:t>). The review in</w:t>
      </w:r>
      <w:r w:rsidRPr="00E17E19">
        <w:rPr>
          <w:rFonts w:cs="Arial"/>
        </w:rPr>
        <w:t xml:space="preserve">cluded DFAT program design and annual reports, mid-term reviews, evaluations and management responses. </w:t>
      </w:r>
      <w:r w:rsidR="00897712">
        <w:rPr>
          <w:rFonts w:cs="Arial"/>
        </w:rPr>
        <w:t>T</w:t>
      </w:r>
      <w:r w:rsidRPr="00E17E19">
        <w:rPr>
          <w:rFonts w:cs="Arial"/>
        </w:rPr>
        <w:t xml:space="preserve">he </w:t>
      </w:r>
      <w:r w:rsidR="00A54030">
        <w:rPr>
          <w:rFonts w:cs="Arial"/>
        </w:rPr>
        <w:t xml:space="preserve">evaluation </w:t>
      </w:r>
      <w:r w:rsidRPr="00E17E19">
        <w:rPr>
          <w:rFonts w:cs="Arial"/>
        </w:rPr>
        <w:t>team</w:t>
      </w:r>
      <w:r w:rsidR="00897712">
        <w:rPr>
          <w:rFonts w:cs="Arial"/>
        </w:rPr>
        <w:t xml:space="preserve"> also</w:t>
      </w:r>
      <w:r w:rsidRPr="00E17E19">
        <w:rPr>
          <w:rFonts w:cs="Arial"/>
        </w:rPr>
        <w:t xml:space="preserve"> reviewed other relevant publications, such as</w:t>
      </w:r>
      <w:r w:rsidR="00897712">
        <w:rPr>
          <w:rFonts w:cs="Arial"/>
        </w:rPr>
        <w:t>:</w:t>
      </w:r>
    </w:p>
    <w:p w14:paraId="1C9134CE" w14:textId="77777777" w:rsidR="00897712" w:rsidRDefault="00EF65AE" w:rsidP="00897712">
      <w:pPr>
        <w:pStyle w:val="ListBullet"/>
      </w:pPr>
      <w:r w:rsidRPr="00E17E19">
        <w:t>U</w:t>
      </w:r>
      <w:r w:rsidR="00AE0BBF">
        <w:t xml:space="preserve">nited </w:t>
      </w:r>
      <w:r w:rsidRPr="00E17E19">
        <w:t>N</w:t>
      </w:r>
      <w:r w:rsidR="00AE0BBF">
        <w:t>ations</w:t>
      </w:r>
      <w:r w:rsidRPr="00E17E19">
        <w:t xml:space="preserve"> country gender assessments</w:t>
      </w:r>
    </w:p>
    <w:p w14:paraId="09A395EF" w14:textId="77777777" w:rsidR="00897712" w:rsidRDefault="00897712" w:rsidP="00897712">
      <w:pPr>
        <w:pStyle w:val="ListBullet"/>
      </w:pPr>
      <w:r>
        <w:t>N</w:t>
      </w:r>
      <w:r w:rsidR="00EF65AE" w:rsidRPr="00E17E19">
        <w:t xml:space="preserve">ational </w:t>
      </w:r>
      <w:r w:rsidR="00AE0BBF" w:rsidRPr="00720659">
        <w:t>Convention on the Elimination of all Forms of Discrimination against Women</w:t>
      </w:r>
      <w:r w:rsidR="00AE0BBF" w:rsidRPr="00E17E19">
        <w:t xml:space="preserve"> </w:t>
      </w:r>
      <w:r w:rsidR="00EF65AE" w:rsidRPr="00E17E19">
        <w:t>and shadow reports</w:t>
      </w:r>
    </w:p>
    <w:p w14:paraId="63BBB628" w14:textId="77777777" w:rsidR="00897712" w:rsidRDefault="00EF65AE" w:rsidP="00897712">
      <w:pPr>
        <w:pStyle w:val="ListBullet"/>
      </w:pPr>
      <w:r w:rsidRPr="00E17E19">
        <w:t>research reports</w:t>
      </w:r>
    </w:p>
    <w:p w14:paraId="33480F8C" w14:textId="77777777" w:rsidR="00897712" w:rsidRDefault="00EF65AE" w:rsidP="00897712">
      <w:pPr>
        <w:pStyle w:val="ListBullet"/>
      </w:pPr>
      <w:r w:rsidRPr="00E17E19">
        <w:t>relevant country-level laws</w:t>
      </w:r>
    </w:p>
    <w:p w14:paraId="6E8940BA" w14:textId="77777777" w:rsidR="00897712" w:rsidRDefault="00EF65AE" w:rsidP="00897712">
      <w:pPr>
        <w:pStyle w:val="ListBullet"/>
      </w:pPr>
      <w:r w:rsidRPr="00E17E19">
        <w:t>policy documents.</w:t>
      </w:r>
    </w:p>
    <w:p w14:paraId="22851BBB" w14:textId="217B3FE9" w:rsidR="00EF65AE" w:rsidRPr="00111BE5" w:rsidRDefault="00C07D10" w:rsidP="00C07D10">
      <w:pPr>
        <w:pStyle w:val="Caption"/>
        <w:rPr>
          <w:rFonts w:cs="Arial"/>
          <w:b w:val="0"/>
        </w:rPr>
      </w:pPr>
      <w:bookmarkStart w:id="410" w:name="_Ref21365456"/>
      <w:bookmarkStart w:id="411" w:name="_Toc23434595"/>
      <w:r>
        <w:t xml:space="preserve">Figure </w:t>
      </w:r>
      <w:fldSimple w:instr=" SEQ Figure \* ARABIC ">
        <w:r w:rsidR="00760839">
          <w:rPr>
            <w:noProof/>
          </w:rPr>
          <w:t>13</w:t>
        </w:r>
      </w:fldSimple>
      <w:bookmarkEnd w:id="410"/>
      <w:r w:rsidR="00EF65AE" w:rsidRPr="00111BE5">
        <w:rPr>
          <w:rFonts w:cs="Arial"/>
          <w:b w:val="0"/>
        </w:rPr>
        <w:t xml:space="preserve">: </w:t>
      </w:r>
      <w:r w:rsidR="00EF65AE" w:rsidRPr="00747258">
        <w:rPr>
          <w:rFonts w:cs="Arial"/>
          <w:bCs w:val="0"/>
        </w:rPr>
        <w:t>Type and number of investment documents reviewed</w:t>
      </w:r>
      <w:bookmarkEnd w:id="411"/>
    </w:p>
    <w:p w14:paraId="678587A8" w14:textId="2B831337" w:rsidR="00EF65AE" w:rsidRDefault="00880251" w:rsidP="00D54206">
      <w:r>
        <w:rPr>
          <w:noProof/>
          <w:lang w:eastAsia="en-AU"/>
        </w:rPr>
        <w:drawing>
          <wp:inline distT="0" distB="0" distL="0" distR="0" wp14:anchorId="5E84E81D" wp14:editId="3A6A7736">
            <wp:extent cx="6120130" cy="2850515"/>
            <wp:effectExtent l="0" t="0" r="1270" b="0"/>
            <wp:docPr id="17" name="Picture 17" descr="Figure 13 is a column bar graph illustrating that this evaluation looked at a large number and many types of investment documents as part of the research stage. &#10;&#10;The graph shows the number of documents by type:&#10;&#10;19 formative work&#10;132 design&#10;78 mid-term review or reports&#10;26 mid-term review management responses&#10;27 final evaluations or reports&#10;6 final evaluation management responses&#10;27 products&#10;43 Pacific Women documents&#10;14 documents from other sour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6819 Figure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2850515"/>
                    </a:xfrm>
                    <a:prstGeom prst="rect">
                      <a:avLst/>
                    </a:prstGeom>
                  </pic:spPr>
                </pic:pic>
              </a:graphicData>
            </a:graphic>
          </wp:inline>
        </w:drawing>
      </w:r>
    </w:p>
    <w:p w14:paraId="08B2371D" w14:textId="77777777" w:rsidR="00843483" w:rsidRPr="002A6350" w:rsidRDefault="00843483" w:rsidP="00843483">
      <w:r w:rsidRPr="00E17E19">
        <w:t>The systematic review excluded Aid Quality Checks</w:t>
      </w:r>
      <w:r w:rsidRPr="000A09C4">
        <w:rPr>
          <w:rStyle w:val="FootnoteReference"/>
        </w:rPr>
        <w:footnoteReference w:id="3"/>
      </w:r>
      <w:r w:rsidRPr="00E17E19">
        <w:t xml:space="preserve">, which ODE determined were of limited </w:t>
      </w:r>
      <w:r>
        <w:t>use</w:t>
      </w:r>
      <w:r w:rsidRPr="00E17E19">
        <w:t xml:space="preserve"> and validity for th</w:t>
      </w:r>
      <w:r>
        <w:t>is</w:t>
      </w:r>
      <w:r w:rsidRPr="00E17E19">
        <w:t xml:space="preserve"> evaluation </w:t>
      </w:r>
      <w:r>
        <w:t>because only a</w:t>
      </w:r>
      <w:r w:rsidRPr="00E17E19">
        <w:t xml:space="preserve"> small number </w:t>
      </w:r>
      <w:r>
        <w:t>were</w:t>
      </w:r>
      <w:r w:rsidRPr="00E17E19">
        <w:t xml:space="preserve"> relevant</w:t>
      </w:r>
      <w:r>
        <w:t xml:space="preserve">. This means the quantitative data in the Aid Quality Checks </w:t>
      </w:r>
      <w:r w:rsidRPr="00E17E19">
        <w:t>could not be used to draw generalisations</w:t>
      </w:r>
      <w:r>
        <w:t>,</w:t>
      </w:r>
      <w:r w:rsidRPr="00E17E19">
        <w:t xml:space="preserve"> and</w:t>
      </w:r>
      <w:r>
        <w:t xml:space="preserve"> that the general nature of their </w:t>
      </w:r>
      <w:r w:rsidRPr="002A6350">
        <w:t xml:space="preserve">commentary was of limited relevance. </w:t>
      </w:r>
    </w:p>
    <w:p w14:paraId="37F90969" w14:textId="77777777" w:rsidR="00EF65AE" w:rsidRPr="00EF65AE" w:rsidRDefault="00EF65AE" w:rsidP="009005FA">
      <w:pPr>
        <w:pStyle w:val="AnnexSubHeading"/>
        <w:rPr>
          <w:lang w:val="en-GB" w:eastAsia="en-AU"/>
        </w:rPr>
      </w:pPr>
      <w:bookmarkStart w:id="412" w:name="_Toc2869568"/>
      <w:bookmarkStart w:id="413" w:name="_Toc14959624"/>
      <w:bookmarkStart w:id="414" w:name="_Toc15563029"/>
      <w:bookmarkStart w:id="415" w:name="_Toc20307942"/>
      <w:bookmarkStart w:id="416" w:name="_Toc21365303"/>
      <w:bookmarkStart w:id="417" w:name="_Toc23434565"/>
      <w:r w:rsidRPr="00EF65AE">
        <w:rPr>
          <w:lang w:val="en-GB" w:eastAsia="en-AU"/>
        </w:rPr>
        <w:t>Data collection for in-depth review</w:t>
      </w:r>
      <w:bookmarkEnd w:id="412"/>
      <w:bookmarkEnd w:id="413"/>
      <w:bookmarkEnd w:id="414"/>
      <w:bookmarkEnd w:id="415"/>
      <w:bookmarkEnd w:id="416"/>
      <w:bookmarkEnd w:id="417"/>
    </w:p>
    <w:p w14:paraId="67EACB9F" w14:textId="0840B61B" w:rsidR="00EF65AE" w:rsidRPr="000A64F6" w:rsidRDefault="00EF65AE" w:rsidP="000A64F6">
      <w:pPr>
        <w:rPr>
          <w:rFonts w:cs="Arial"/>
        </w:rPr>
      </w:pPr>
      <w:r w:rsidRPr="00EF65AE">
        <w:rPr>
          <w:rFonts w:cs="Arial"/>
        </w:rPr>
        <w:t>Given th</w:t>
      </w:r>
      <w:r w:rsidR="00897712">
        <w:rPr>
          <w:rFonts w:cs="Arial"/>
        </w:rPr>
        <w:t>is evaluation’s</w:t>
      </w:r>
      <w:r w:rsidR="002A6350">
        <w:rPr>
          <w:rFonts w:cs="Arial"/>
        </w:rPr>
        <w:t xml:space="preserve"> </w:t>
      </w:r>
      <w:r w:rsidRPr="00EF65AE">
        <w:rPr>
          <w:rFonts w:cs="Arial"/>
        </w:rPr>
        <w:t xml:space="preserve">ambitious aims and the broad geographical reach of Australian assistance, </w:t>
      </w:r>
      <w:r w:rsidR="00111BE5">
        <w:rPr>
          <w:rFonts w:cs="Arial"/>
        </w:rPr>
        <w:t>the evaluation team and ODE jointly decided</w:t>
      </w:r>
      <w:r w:rsidRPr="00EF65AE">
        <w:rPr>
          <w:rFonts w:cs="Arial"/>
        </w:rPr>
        <w:t xml:space="preserve"> to narrow </w:t>
      </w:r>
      <w:r w:rsidR="00AE0BBF">
        <w:rPr>
          <w:rFonts w:cs="Arial"/>
        </w:rPr>
        <w:t>evaluation</w:t>
      </w:r>
      <w:r w:rsidR="00AE0BBF" w:rsidRPr="00EF65AE">
        <w:rPr>
          <w:rFonts w:cs="Arial"/>
        </w:rPr>
        <w:t xml:space="preserve"> </w:t>
      </w:r>
      <w:r w:rsidRPr="00EF65AE">
        <w:rPr>
          <w:rFonts w:cs="Arial"/>
        </w:rPr>
        <w:t>scope</w:t>
      </w:r>
      <w:r w:rsidR="00E2253F">
        <w:rPr>
          <w:rFonts w:cs="Arial"/>
        </w:rPr>
        <w:t xml:space="preserve">. </w:t>
      </w:r>
      <w:r w:rsidRPr="00EF65AE">
        <w:rPr>
          <w:rFonts w:cs="Arial"/>
        </w:rPr>
        <w:t xml:space="preserve">The </w:t>
      </w:r>
      <w:r w:rsidR="000A64F6">
        <w:rPr>
          <w:rFonts w:cs="Arial"/>
        </w:rPr>
        <w:t>evaluation focused</w:t>
      </w:r>
      <w:r w:rsidRPr="00EF65AE">
        <w:rPr>
          <w:rFonts w:cs="Arial"/>
        </w:rPr>
        <w:t xml:space="preserve"> on the five countries included in the 2008 report: Fiji; Papua New Guinea</w:t>
      </w:r>
      <w:r w:rsidR="00AE0BBF">
        <w:rPr>
          <w:rFonts w:cs="Arial"/>
        </w:rPr>
        <w:t xml:space="preserve"> (PNG)</w:t>
      </w:r>
      <w:r w:rsidRPr="00EF65AE">
        <w:rPr>
          <w:rFonts w:cs="Arial"/>
        </w:rPr>
        <w:t>; Solomon Isl</w:t>
      </w:r>
      <w:r w:rsidR="000A64F6">
        <w:rPr>
          <w:rFonts w:cs="Arial"/>
        </w:rPr>
        <w:t>ands; Timor-Leste</w:t>
      </w:r>
      <w:r w:rsidR="00E958B5">
        <w:rPr>
          <w:rFonts w:cs="Arial"/>
        </w:rPr>
        <w:t>;</w:t>
      </w:r>
      <w:r w:rsidR="000A64F6">
        <w:rPr>
          <w:rFonts w:cs="Arial"/>
        </w:rPr>
        <w:t xml:space="preserve"> and Vanuatu. </w:t>
      </w:r>
      <w:r w:rsidRPr="000A64F6">
        <w:rPr>
          <w:rFonts w:cs="Arial"/>
        </w:rPr>
        <w:t xml:space="preserve">The existence of robust baseline data in these countries, as well as continuing evidence of strong investment and progress on the recommendations of the original </w:t>
      </w:r>
      <w:r w:rsidR="00523018" w:rsidRPr="000A64F6">
        <w:rPr>
          <w:rFonts w:cs="Arial"/>
        </w:rPr>
        <w:t>evaluation</w:t>
      </w:r>
      <w:r w:rsidR="00AE0BBF" w:rsidRPr="000A64F6">
        <w:rPr>
          <w:rFonts w:cs="Arial"/>
        </w:rPr>
        <w:t>,</w:t>
      </w:r>
      <w:r w:rsidRPr="000A64F6">
        <w:rPr>
          <w:rFonts w:cs="Arial"/>
        </w:rPr>
        <w:t xml:space="preserve"> provided a unique opportunity to assess changes over a </w:t>
      </w:r>
      <w:r w:rsidR="00AE0BBF" w:rsidRPr="000A64F6">
        <w:rPr>
          <w:rFonts w:cs="Arial"/>
        </w:rPr>
        <w:t>10</w:t>
      </w:r>
      <w:r w:rsidRPr="000A64F6">
        <w:rPr>
          <w:rFonts w:cs="Arial"/>
        </w:rPr>
        <w:t xml:space="preserve">-year period </w:t>
      </w:r>
    </w:p>
    <w:p w14:paraId="359281BB" w14:textId="08276D2F" w:rsidR="00EF65AE" w:rsidRPr="00EF65AE" w:rsidRDefault="00EF65AE" w:rsidP="00EF65AE">
      <w:pPr>
        <w:rPr>
          <w:rFonts w:cs="Arial"/>
        </w:rPr>
      </w:pPr>
      <w:r w:rsidRPr="00EF65AE">
        <w:rPr>
          <w:rFonts w:cs="Arial"/>
        </w:rPr>
        <w:t xml:space="preserve">However, </w:t>
      </w:r>
      <w:r w:rsidR="000A64F6">
        <w:rPr>
          <w:rFonts w:cs="Arial"/>
        </w:rPr>
        <w:t>to review work underway in</w:t>
      </w:r>
      <w:r w:rsidRPr="00EF65AE">
        <w:rPr>
          <w:rFonts w:cs="Arial"/>
        </w:rPr>
        <w:t xml:space="preserve"> Asian countries, two </w:t>
      </w:r>
      <w:r w:rsidR="00AE0BBF">
        <w:rPr>
          <w:rFonts w:cs="Arial"/>
        </w:rPr>
        <w:t xml:space="preserve">new </w:t>
      </w:r>
      <w:r w:rsidRPr="00EF65AE">
        <w:rPr>
          <w:rFonts w:cs="Arial"/>
        </w:rPr>
        <w:t xml:space="preserve">countries, Indonesia and Pakistan, were included. These </w:t>
      </w:r>
      <w:r w:rsidR="000A64F6">
        <w:rPr>
          <w:rFonts w:cs="Arial"/>
        </w:rPr>
        <w:t>countries both</w:t>
      </w:r>
      <w:r w:rsidRPr="00EF65AE">
        <w:rPr>
          <w:rFonts w:cs="Arial"/>
        </w:rPr>
        <w:t xml:space="preserve"> have major EVAWG programs</w:t>
      </w:r>
      <w:r w:rsidR="000A64F6">
        <w:rPr>
          <w:rFonts w:cs="Arial"/>
        </w:rPr>
        <w:t xml:space="preserve"> supported by Australia</w:t>
      </w:r>
      <w:r w:rsidRPr="00EF65AE">
        <w:rPr>
          <w:rFonts w:cs="Arial"/>
        </w:rPr>
        <w:t xml:space="preserve"> and </w:t>
      </w:r>
      <w:r w:rsidR="00075611">
        <w:rPr>
          <w:rFonts w:cs="Arial"/>
        </w:rPr>
        <w:t>p</w:t>
      </w:r>
      <w:r w:rsidR="000A64F6">
        <w:rPr>
          <w:rFonts w:cs="Arial"/>
        </w:rPr>
        <w:t xml:space="preserve">osts </w:t>
      </w:r>
      <w:r w:rsidRPr="00EF65AE">
        <w:rPr>
          <w:rFonts w:cs="Arial"/>
        </w:rPr>
        <w:t>were interest</w:t>
      </w:r>
      <w:r w:rsidR="00AE0BBF">
        <w:rPr>
          <w:rFonts w:cs="Arial"/>
        </w:rPr>
        <w:t xml:space="preserve">ed </w:t>
      </w:r>
      <w:r w:rsidRPr="00EF65AE">
        <w:rPr>
          <w:rFonts w:cs="Arial"/>
        </w:rPr>
        <w:t>in</w:t>
      </w:r>
      <w:r w:rsidR="00523018">
        <w:rPr>
          <w:rFonts w:cs="Arial"/>
        </w:rPr>
        <w:t>,</w:t>
      </w:r>
      <w:r w:rsidRPr="00EF65AE">
        <w:rPr>
          <w:rFonts w:cs="Arial"/>
        </w:rPr>
        <w:t xml:space="preserve"> and able to support</w:t>
      </w:r>
      <w:r w:rsidR="00523018">
        <w:rPr>
          <w:rFonts w:cs="Arial"/>
        </w:rPr>
        <w:t>,</w:t>
      </w:r>
      <w:r w:rsidRPr="00EF65AE">
        <w:rPr>
          <w:rFonts w:cs="Arial"/>
        </w:rPr>
        <w:t xml:space="preserve"> the evaluation. </w:t>
      </w:r>
    </w:p>
    <w:p w14:paraId="5087BD26" w14:textId="7A9F55E3" w:rsidR="00EF65AE" w:rsidRPr="00D50EEF" w:rsidRDefault="000A64F6" w:rsidP="00D50EEF">
      <w:pPr>
        <w:rPr>
          <w:rFonts w:cs="Arial"/>
        </w:rPr>
      </w:pPr>
      <w:r w:rsidRPr="002A6350">
        <w:rPr>
          <w:rFonts w:cs="Arial"/>
        </w:rPr>
        <w:t xml:space="preserve">The systematic review of documents directly informed the selection of </w:t>
      </w:r>
      <w:r w:rsidRPr="00EF65AE">
        <w:t>program</w:t>
      </w:r>
      <w:r>
        <w:t>s</w:t>
      </w:r>
      <w:r w:rsidRPr="00EF65AE">
        <w:t xml:space="preserve"> for </w:t>
      </w:r>
      <w:r>
        <w:t>in</w:t>
      </w:r>
      <w:r w:rsidR="00E958B5">
        <w:t>-</w:t>
      </w:r>
      <w:r>
        <w:t>depth review</w:t>
      </w:r>
      <w:r>
        <w:rPr>
          <w:rFonts w:cs="Arial"/>
        </w:rPr>
        <w:t xml:space="preserve">. </w:t>
      </w:r>
      <w:r w:rsidR="00EF65AE" w:rsidRPr="000A64F6">
        <w:rPr>
          <w:rFonts w:cs="Arial"/>
        </w:rPr>
        <w:t xml:space="preserve">Altogether, country-level and regional activities selected included approximately </w:t>
      </w:r>
      <w:r w:rsidR="00747258">
        <w:rPr>
          <w:rFonts w:cs="Arial"/>
        </w:rPr>
        <w:br/>
      </w:r>
      <w:r w:rsidR="00EF65AE" w:rsidRPr="000A64F6">
        <w:rPr>
          <w:rFonts w:cs="Arial"/>
        </w:rPr>
        <w:t xml:space="preserve">200 programs and activities with a total investment of about </w:t>
      </w:r>
      <w:bookmarkStart w:id="418" w:name="_Hlk16405550"/>
      <w:r w:rsidR="00EF65AE" w:rsidRPr="000A64F6">
        <w:rPr>
          <w:rFonts w:cs="Arial"/>
        </w:rPr>
        <w:t>$195 million</w:t>
      </w:r>
      <w:bookmarkEnd w:id="418"/>
      <w:r w:rsidR="00EF65AE" w:rsidRPr="000A64F6">
        <w:rPr>
          <w:rFonts w:cs="Arial"/>
        </w:rPr>
        <w:t>.</w:t>
      </w:r>
      <w:r w:rsidR="00D50EEF">
        <w:rPr>
          <w:rFonts w:cs="Arial"/>
        </w:rPr>
        <w:t xml:space="preserve"> </w:t>
      </w:r>
      <w:r w:rsidR="00EF65AE" w:rsidRPr="00D50EEF">
        <w:rPr>
          <w:rFonts w:cs="Arial"/>
        </w:rPr>
        <w:t xml:space="preserve">The criteria </w:t>
      </w:r>
      <w:r w:rsidR="00D50EEF" w:rsidRPr="00D50EEF">
        <w:rPr>
          <w:rFonts w:cs="Arial"/>
        </w:rPr>
        <w:t xml:space="preserve">used to select </w:t>
      </w:r>
      <w:r w:rsidR="00EF65AE" w:rsidRPr="00D50EEF">
        <w:rPr>
          <w:rFonts w:cs="Arial"/>
        </w:rPr>
        <w:t>EVAWG investments</w:t>
      </w:r>
      <w:r w:rsidR="00406E97" w:rsidRPr="00D50EEF">
        <w:rPr>
          <w:rFonts w:cs="Arial"/>
        </w:rPr>
        <w:t xml:space="preserve"> </w:t>
      </w:r>
      <w:r w:rsidR="00D50EEF" w:rsidRPr="00D50EEF">
        <w:rPr>
          <w:rFonts w:cs="Arial"/>
        </w:rPr>
        <w:t>for</w:t>
      </w:r>
      <w:r w:rsidR="00EF65AE" w:rsidRPr="00D50EEF">
        <w:rPr>
          <w:rFonts w:cs="Arial"/>
        </w:rPr>
        <w:t xml:space="preserve"> in-depth</w:t>
      </w:r>
      <w:r w:rsidR="00D50EEF" w:rsidRPr="00D50EEF">
        <w:rPr>
          <w:rFonts w:cs="Arial"/>
        </w:rPr>
        <w:t xml:space="preserve"> review were</w:t>
      </w:r>
      <w:r w:rsidR="00EF65AE" w:rsidRPr="00D50EEF">
        <w:rPr>
          <w:rFonts w:cs="Arial"/>
        </w:rPr>
        <w:t xml:space="preserve">: </w:t>
      </w:r>
    </w:p>
    <w:p w14:paraId="027028F5" w14:textId="77777777" w:rsidR="00EF65AE" w:rsidRPr="00EF65AE" w:rsidRDefault="00523018" w:rsidP="00902861">
      <w:pPr>
        <w:pStyle w:val="ListBullet"/>
      </w:pPr>
      <w:r>
        <w:t>r</w:t>
      </w:r>
      <w:r w:rsidR="00EF65AE" w:rsidRPr="00EF65AE">
        <w:t>elevance</w:t>
      </w:r>
      <w:r w:rsidR="00406E97">
        <w:t>—</w:t>
      </w:r>
      <w:r w:rsidR="00EF65AE" w:rsidRPr="00EF65AE">
        <w:t>selected investments with a targeted EVAWG function</w:t>
      </w:r>
    </w:p>
    <w:p w14:paraId="23E003CA" w14:textId="77777777" w:rsidR="00EF65AE" w:rsidRPr="00EF65AE" w:rsidRDefault="00EF65AE" w:rsidP="00902861">
      <w:pPr>
        <w:pStyle w:val="ListBullet"/>
      </w:pPr>
      <w:r w:rsidRPr="00EF65AE">
        <w:t>program focus</w:t>
      </w:r>
      <w:r w:rsidR="00523018">
        <w:t xml:space="preserve"> area—</w:t>
      </w:r>
      <w:r w:rsidRPr="00EF65AE">
        <w:t>mix of access to justice, service and prevention</w:t>
      </w:r>
    </w:p>
    <w:p w14:paraId="63FE2C7B" w14:textId="77777777" w:rsidR="00EF65AE" w:rsidRPr="00EF65AE" w:rsidRDefault="00EF65AE" w:rsidP="00902861">
      <w:pPr>
        <w:pStyle w:val="ListBullet"/>
      </w:pPr>
      <w:r w:rsidRPr="00EF65AE">
        <w:t>size of investment</w:t>
      </w:r>
      <w:r w:rsidR="00406E97">
        <w:t>—</w:t>
      </w:r>
      <w:r w:rsidRPr="00EF65AE">
        <w:t xml:space="preserve">range of budget amounts, with multi-country or regional programming </w:t>
      </w:r>
      <w:r w:rsidR="00406E97">
        <w:t>of</w:t>
      </w:r>
      <w:r w:rsidR="00406E97" w:rsidRPr="00EF65AE">
        <w:t xml:space="preserve"> </w:t>
      </w:r>
      <w:r w:rsidR="00523018">
        <w:t>$</w:t>
      </w:r>
      <w:r w:rsidRPr="00EF65AE">
        <w:t>10 million or more</w:t>
      </w:r>
    </w:p>
    <w:p w14:paraId="28FD6232" w14:textId="07E9BC8E" w:rsidR="00EF65AE" w:rsidRPr="00EF65AE" w:rsidRDefault="00EF65AE" w:rsidP="00902861">
      <w:pPr>
        <w:pStyle w:val="ListBullet"/>
      </w:pPr>
      <w:r w:rsidRPr="00EF65AE">
        <w:t>implementing partner type</w:t>
      </w:r>
      <w:r w:rsidR="006B1164">
        <w:t xml:space="preserve"> </w:t>
      </w:r>
      <w:r w:rsidRPr="00EF65AE">
        <w:t xml:space="preserve">chosen investments reflected </w:t>
      </w:r>
      <w:r w:rsidR="00523018">
        <w:t>different</w:t>
      </w:r>
      <w:r w:rsidR="00523018" w:rsidRPr="00EF65AE">
        <w:t xml:space="preserve"> </w:t>
      </w:r>
      <w:r w:rsidRPr="00EF65AE">
        <w:t>partner</w:t>
      </w:r>
      <w:r w:rsidR="00406E97">
        <w:t xml:space="preserve"> type</w:t>
      </w:r>
      <w:r w:rsidRPr="00EF65AE">
        <w:t>s</w:t>
      </w:r>
      <w:r w:rsidR="00D50EEF">
        <w:t xml:space="preserve"> (</w:t>
      </w:r>
      <w:r w:rsidR="00D50EEF" w:rsidRPr="00EF65AE">
        <w:t xml:space="preserve">government, </w:t>
      </w:r>
      <w:r w:rsidR="00E958B5">
        <w:t>civil society organisation</w:t>
      </w:r>
      <w:r w:rsidR="00D50EEF">
        <w:t xml:space="preserve"> and</w:t>
      </w:r>
      <w:r w:rsidR="00D50EEF" w:rsidRPr="00EF65AE">
        <w:t xml:space="preserve"> multilateral</w:t>
      </w:r>
      <w:r w:rsidR="00D50EEF">
        <w:t xml:space="preserve"> organisation)</w:t>
      </w:r>
    </w:p>
    <w:p w14:paraId="1BACE724" w14:textId="77777777" w:rsidR="00EF65AE" w:rsidRPr="00EF65AE" w:rsidRDefault="00EF65AE" w:rsidP="00902861">
      <w:pPr>
        <w:pStyle w:val="ListBullet"/>
      </w:pPr>
      <w:r w:rsidRPr="00EF65AE">
        <w:t>evaluation or independent review conducted</w:t>
      </w:r>
      <w:r w:rsidR="00523018">
        <w:t>—</w:t>
      </w:r>
      <w:r w:rsidRPr="00EF65AE">
        <w:t>at least one mid-term and/or final evaluation.</w:t>
      </w:r>
    </w:p>
    <w:p w14:paraId="532C14C9" w14:textId="77777777" w:rsidR="00EF65AE" w:rsidRPr="00EF65AE" w:rsidRDefault="00B17BAF" w:rsidP="00EF65AE">
      <w:pPr>
        <w:rPr>
          <w:rFonts w:cs="Arial"/>
        </w:rPr>
      </w:pPr>
      <w:bookmarkStart w:id="419" w:name="_Hlk18587444"/>
      <w:r>
        <w:rPr>
          <w:rFonts w:cs="Arial"/>
        </w:rPr>
        <w:t>Annex 2</w:t>
      </w:r>
      <w:r w:rsidR="00EF65AE" w:rsidRPr="00EF65AE">
        <w:rPr>
          <w:rFonts w:cs="Arial"/>
        </w:rPr>
        <w:t xml:space="preserve"> lists the investments considered in-depth. </w:t>
      </w:r>
      <w:bookmarkEnd w:id="419"/>
    </w:p>
    <w:p w14:paraId="5D265283" w14:textId="77777777" w:rsidR="00EF65AE" w:rsidRPr="00EF65AE" w:rsidRDefault="00EF65AE" w:rsidP="009005FA">
      <w:pPr>
        <w:pStyle w:val="AnnexSubHeading"/>
        <w:rPr>
          <w:lang w:val="en-GB" w:eastAsia="en-AU"/>
        </w:rPr>
      </w:pPr>
      <w:bookmarkStart w:id="420" w:name="_Toc14959625"/>
      <w:bookmarkStart w:id="421" w:name="_Toc15563030"/>
      <w:bookmarkStart w:id="422" w:name="_Toc20307943"/>
      <w:bookmarkStart w:id="423" w:name="_Toc21365304"/>
      <w:bookmarkStart w:id="424" w:name="_Toc23434566"/>
      <w:r w:rsidRPr="00EF65AE">
        <w:rPr>
          <w:lang w:val="en-GB" w:eastAsia="en-AU"/>
        </w:rPr>
        <w:t>Assessment of the quality of existing evaluations</w:t>
      </w:r>
      <w:bookmarkEnd w:id="420"/>
      <w:bookmarkEnd w:id="421"/>
      <w:bookmarkEnd w:id="422"/>
      <w:bookmarkEnd w:id="423"/>
      <w:bookmarkEnd w:id="424"/>
    </w:p>
    <w:p w14:paraId="22385038" w14:textId="77777777" w:rsidR="00EF65AE" w:rsidRPr="00EF65AE" w:rsidRDefault="009B0986" w:rsidP="00EF65AE">
      <w:pPr>
        <w:rPr>
          <w:rFonts w:cs="Arial"/>
        </w:rPr>
      </w:pPr>
      <w:r>
        <w:rPr>
          <w:rFonts w:cs="Arial"/>
        </w:rPr>
        <w:t>T</w:t>
      </w:r>
      <w:r w:rsidR="00EF65AE" w:rsidRPr="00EF65AE">
        <w:rPr>
          <w:rFonts w:cs="Arial"/>
        </w:rPr>
        <w:t xml:space="preserve">o assess the overall quality of external evaluations </w:t>
      </w:r>
      <w:r w:rsidR="00406E97">
        <w:rPr>
          <w:rFonts w:cs="Arial"/>
        </w:rPr>
        <w:t>of</w:t>
      </w:r>
      <w:r w:rsidR="00EF65AE" w:rsidRPr="00EF65AE">
        <w:rPr>
          <w:rFonts w:cs="Arial"/>
        </w:rPr>
        <w:t xml:space="preserve"> recent EVAWG programs, the evaluation team conducted an in-depth review of 59 program evaluations for the seven focus countries. The quality of evaluation documents was measured systematically using a quality assessment tool developed by the </w:t>
      </w:r>
      <w:r w:rsidR="00A54030">
        <w:rPr>
          <w:rFonts w:cs="Arial"/>
        </w:rPr>
        <w:t xml:space="preserve">evaluation </w:t>
      </w:r>
      <w:r w:rsidR="00EF65AE" w:rsidRPr="00EF65AE">
        <w:rPr>
          <w:rFonts w:cs="Arial"/>
        </w:rPr>
        <w:t>team based on the elements in Standard 6</w:t>
      </w:r>
      <w:r w:rsidR="00523018">
        <w:rPr>
          <w:rFonts w:cs="Arial"/>
        </w:rPr>
        <w:t>,</w:t>
      </w:r>
      <w:r w:rsidR="00EF65AE" w:rsidRPr="00EF65AE">
        <w:rPr>
          <w:rFonts w:cs="Arial"/>
        </w:rPr>
        <w:t xml:space="preserve"> Independent Evaluation Reports</w:t>
      </w:r>
      <w:r w:rsidR="00523018">
        <w:rPr>
          <w:rFonts w:cs="Arial"/>
        </w:rPr>
        <w:t>,</w:t>
      </w:r>
      <w:r w:rsidR="00EF65AE" w:rsidRPr="00EF65AE">
        <w:rPr>
          <w:rFonts w:cs="Arial"/>
        </w:rPr>
        <w:t xml:space="preserve"> DFAT Monitoring </w:t>
      </w:r>
      <w:r w:rsidR="00523018">
        <w:rPr>
          <w:rFonts w:cs="Arial"/>
        </w:rPr>
        <w:t>and</w:t>
      </w:r>
      <w:r w:rsidR="00EF65AE" w:rsidRPr="00EF65AE">
        <w:rPr>
          <w:rFonts w:cs="Arial"/>
        </w:rPr>
        <w:t xml:space="preserve"> Evaluation Standards (2017)</w:t>
      </w:r>
      <w:r w:rsidR="00E2253F">
        <w:rPr>
          <w:rFonts w:cs="Arial"/>
        </w:rPr>
        <w:t xml:space="preserve">. </w:t>
      </w:r>
      <w:r w:rsidR="00EF65AE" w:rsidRPr="00EF65AE">
        <w:rPr>
          <w:rFonts w:cs="Arial"/>
        </w:rPr>
        <w:t>Each criteri</w:t>
      </w:r>
      <w:r w:rsidR="00523018">
        <w:rPr>
          <w:rFonts w:cs="Arial"/>
        </w:rPr>
        <w:t>on</w:t>
      </w:r>
      <w:r w:rsidR="00EF65AE" w:rsidRPr="00EF65AE">
        <w:rPr>
          <w:rFonts w:cs="Arial"/>
        </w:rPr>
        <w:t xml:space="preserve"> was assigned a point value </w:t>
      </w:r>
      <w:r w:rsidR="00523018">
        <w:rPr>
          <w:rFonts w:cs="Arial"/>
        </w:rPr>
        <w:t xml:space="preserve">of </w:t>
      </w:r>
      <w:r w:rsidR="00EF65AE" w:rsidRPr="00EF65AE">
        <w:rPr>
          <w:rFonts w:cs="Arial"/>
        </w:rPr>
        <w:t>between 0.5 and 1, with a maximum total score of 9. The outcome of this assessment is in Annex 7</w:t>
      </w:r>
      <w:r w:rsidR="00523018">
        <w:rPr>
          <w:rFonts w:cs="Arial"/>
        </w:rPr>
        <w:t>, Assessment of external evaluations of Australian EVAWG investments</w:t>
      </w:r>
      <w:r w:rsidR="00EF65AE" w:rsidRPr="00EF65AE">
        <w:rPr>
          <w:rFonts w:cs="Arial"/>
        </w:rPr>
        <w:t>.</w:t>
      </w:r>
    </w:p>
    <w:p w14:paraId="656A4C02" w14:textId="77777777" w:rsidR="00EF65AE" w:rsidRPr="00EF65AE" w:rsidRDefault="00EF65AE" w:rsidP="009005FA">
      <w:pPr>
        <w:pStyle w:val="AnnexSubHeading"/>
        <w:rPr>
          <w:lang w:val="en-GB" w:eastAsia="en-AU"/>
        </w:rPr>
      </w:pPr>
      <w:bookmarkStart w:id="425" w:name="_Toc14959626"/>
      <w:bookmarkStart w:id="426" w:name="_Toc15563031"/>
      <w:bookmarkStart w:id="427" w:name="_Toc20307944"/>
      <w:bookmarkStart w:id="428" w:name="_Toc21365305"/>
      <w:bookmarkStart w:id="429" w:name="_Toc23434567"/>
      <w:r w:rsidRPr="00EF65AE">
        <w:rPr>
          <w:lang w:val="en-GB" w:eastAsia="en-AU"/>
        </w:rPr>
        <w:t>Humanitarian assistance</w:t>
      </w:r>
      <w:bookmarkEnd w:id="425"/>
      <w:bookmarkEnd w:id="426"/>
      <w:bookmarkEnd w:id="427"/>
      <w:bookmarkEnd w:id="428"/>
      <w:bookmarkEnd w:id="429"/>
    </w:p>
    <w:p w14:paraId="39F2D67F" w14:textId="5196AB23" w:rsidR="00EF65AE" w:rsidRPr="00EF65AE" w:rsidRDefault="00EF65AE" w:rsidP="00EF65AE">
      <w:pPr>
        <w:rPr>
          <w:rFonts w:cs="Arial"/>
        </w:rPr>
      </w:pPr>
      <w:r w:rsidRPr="00EF65AE">
        <w:rPr>
          <w:rFonts w:cs="Arial"/>
        </w:rPr>
        <w:t>Due to the large amount of humanitarian assistance provided as core support and the difficulty of teasing out specific EVAWG funding from these investments, the</w:t>
      </w:r>
      <w:r w:rsidR="00523018">
        <w:rPr>
          <w:rFonts w:cs="Arial"/>
        </w:rPr>
        <w:t xml:space="preserve"> evaluation</w:t>
      </w:r>
      <w:r w:rsidRPr="00EF65AE">
        <w:rPr>
          <w:rFonts w:cs="Arial"/>
        </w:rPr>
        <w:t xml:space="preserve"> team</w:t>
      </w:r>
      <w:r w:rsidR="00523018">
        <w:rPr>
          <w:rFonts w:cs="Arial"/>
        </w:rPr>
        <w:t xml:space="preserve">, </w:t>
      </w:r>
      <w:r w:rsidR="00406E97">
        <w:rPr>
          <w:rFonts w:cs="Arial"/>
        </w:rPr>
        <w:t>in consultation with ODE</w:t>
      </w:r>
      <w:r w:rsidR="00523018">
        <w:rPr>
          <w:rFonts w:cs="Arial"/>
        </w:rPr>
        <w:t xml:space="preserve">, </w:t>
      </w:r>
      <w:r w:rsidRPr="00EF65AE">
        <w:rPr>
          <w:rFonts w:cs="Arial"/>
        </w:rPr>
        <w:t>decided only to address humanitarian-related EVAWG programming in the seven focus countries. In addition to bilateral EVAWG assistance in each country, th</w:t>
      </w:r>
      <w:r w:rsidR="00523018">
        <w:rPr>
          <w:rFonts w:cs="Arial"/>
        </w:rPr>
        <w:t>is</w:t>
      </w:r>
      <w:r w:rsidRPr="00EF65AE">
        <w:rPr>
          <w:rFonts w:cs="Arial"/>
        </w:rPr>
        <w:t xml:space="preserve"> evaluation included five regional or global investments with significant humanitarian</w:t>
      </w:r>
      <w:r w:rsidR="001C5D1A">
        <w:rPr>
          <w:rFonts w:cs="Arial"/>
        </w:rPr>
        <w:t>-</w:t>
      </w:r>
      <w:r w:rsidRPr="00EF65AE">
        <w:rPr>
          <w:rFonts w:cs="Arial"/>
        </w:rPr>
        <w:t>related</w:t>
      </w:r>
      <w:r w:rsidR="00747258">
        <w:rPr>
          <w:rFonts w:cs="Arial"/>
        </w:rPr>
        <w:t xml:space="preserve"> activities (primarily in the Pacific region)</w:t>
      </w:r>
      <w:r w:rsidR="00523018">
        <w:rPr>
          <w:rFonts w:cs="Arial"/>
        </w:rPr>
        <w:t>.</w:t>
      </w:r>
      <w:r w:rsidRPr="00EF65AE">
        <w:rPr>
          <w:rFonts w:cs="Arial"/>
        </w:rPr>
        <w:t xml:space="preserve"> </w:t>
      </w:r>
    </w:p>
    <w:p w14:paraId="341BA3F3" w14:textId="77777777" w:rsidR="00EF65AE" w:rsidRPr="00EF65AE" w:rsidRDefault="00EF65AE" w:rsidP="00EF65AE">
      <w:pPr>
        <w:rPr>
          <w:rFonts w:cs="Arial"/>
        </w:rPr>
      </w:pPr>
      <w:r w:rsidRPr="00EF65AE">
        <w:rPr>
          <w:rFonts w:cs="Arial"/>
        </w:rPr>
        <w:t>By focusing on Australian EVAWG programming in each country, regardless of funding mechanism or source, the</w:t>
      </w:r>
      <w:r w:rsidR="00523018">
        <w:rPr>
          <w:rFonts w:cs="Arial"/>
        </w:rPr>
        <w:t xml:space="preserve"> evaluation</w:t>
      </w:r>
      <w:r w:rsidRPr="00EF65AE">
        <w:rPr>
          <w:rFonts w:cs="Arial"/>
        </w:rPr>
        <w:t xml:space="preserve"> team gain</w:t>
      </w:r>
      <w:r w:rsidR="00406E97">
        <w:rPr>
          <w:rFonts w:cs="Arial"/>
        </w:rPr>
        <w:t>ed</w:t>
      </w:r>
      <w:r w:rsidRPr="00EF65AE">
        <w:rPr>
          <w:rFonts w:cs="Arial"/>
        </w:rPr>
        <w:t xml:space="preserve"> a better sense of </w:t>
      </w:r>
      <w:r w:rsidR="00406E97">
        <w:rPr>
          <w:rFonts w:cs="Arial"/>
        </w:rPr>
        <w:t>each country’s</w:t>
      </w:r>
      <w:r w:rsidRPr="00EF65AE">
        <w:rPr>
          <w:rFonts w:cs="Arial"/>
        </w:rPr>
        <w:t xml:space="preserve"> overall progress and challenges, as well as the level of coordination among DFAT programs. </w:t>
      </w:r>
      <w:r w:rsidRPr="00572A8A">
        <w:rPr>
          <w:rFonts w:cs="Arial"/>
          <w:bCs/>
        </w:rPr>
        <w:t>Annex 8</w:t>
      </w:r>
      <w:r w:rsidRPr="00EF65AE">
        <w:rPr>
          <w:rFonts w:cs="Arial"/>
        </w:rPr>
        <w:t xml:space="preserve"> provides an overview of the</w:t>
      </w:r>
      <w:r w:rsidR="00A54030">
        <w:rPr>
          <w:rFonts w:cs="Arial"/>
        </w:rPr>
        <w:t xml:space="preserve"> evaluation</w:t>
      </w:r>
      <w:r w:rsidRPr="00EF65AE">
        <w:rPr>
          <w:rFonts w:cs="Arial"/>
        </w:rPr>
        <w:t xml:space="preserve"> team’s </w:t>
      </w:r>
      <w:r w:rsidR="00D50EEF">
        <w:rPr>
          <w:rFonts w:cs="Arial"/>
        </w:rPr>
        <w:t xml:space="preserve">preliminary </w:t>
      </w:r>
      <w:r w:rsidRPr="00EF65AE">
        <w:rPr>
          <w:rFonts w:cs="Arial"/>
        </w:rPr>
        <w:t>findings on EVAWG-related humanitarian assistance.</w:t>
      </w:r>
    </w:p>
    <w:p w14:paraId="236D64A4" w14:textId="77777777" w:rsidR="00EF65AE" w:rsidRPr="00EF65AE" w:rsidRDefault="00EF65AE" w:rsidP="009005FA">
      <w:pPr>
        <w:pStyle w:val="AnnexSubHeading"/>
        <w:rPr>
          <w:lang w:val="en-GB" w:eastAsia="en-AU"/>
        </w:rPr>
      </w:pPr>
      <w:bookmarkStart w:id="430" w:name="_Toc14959627"/>
      <w:bookmarkStart w:id="431" w:name="_Toc15563032"/>
      <w:bookmarkStart w:id="432" w:name="_Toc20307945"/>
      <w:bookmarkStart w:id="433" w:name="_Toc21365306"/>
      <w:bookmarkStart w:id="434" w:name="_Toc23434568"/>
      <w:r w:rsidRPr="00EF65AE">
        <w:rPr>
          <w:lang w:val="en-GB" w:eastAsia="en-AU"/>
        </w:rPr>
        <w:t>Field visits</w:t>
      </w:r>
      <w:bookmarkEnd w:id="430"/>
      <w:bookmarkEnd w:id="431"/>
      <w:bookmarkEnd w:id="432"/>
      <w:bookmarkEnd w:id="433"/>
      <w:bookmarkEnd w:id="434"/>
    </w:p>
    <w:p w14:paraId="36BAA65E" w14:textId="77777777" w:rsidR="00EF65AE" w:rsidRPr="00EF65AE" w:rsidRDefault="00EF65AE" w:rsidP="00EF65AE">
      <w:pPr>
        <w:rPr>
          <w:rFonts w:cs="Arial"/>
        </w:rPr>
      </w:pPr>
      <w:r w:rsidRPr="00EF65AE">
        <w:rPr>
          <w:rFonts w:cs="Arial"/>
        </w:rPr>
        <w:t>Team members visited five countries—Fiji, Indonesia, P</w:t>
      </w:r>
      <w:r w:rsidR="00406E97">
        <w:rPr>
          <w:rFonts w:cs="Arial"/>
        </w:rPr>
        <w:t>NG</w:t>
      </w:r>
      <w:r w:rsidRPr="00EF65AE">
        <w:rPr>
          <w:rFonts w:cs="Arial"/>
        </w:rPr>
        <w:t xml:space="preserve">, Solomon Islands and Timor-Leste—between May and August 2018. They conducted telephone interviews with stakeholders for programs in Pakistan and Vanuatu. All team members participated in the first country visit (Fiji) to finalise the research plan and standardise the methodology. DFAT, ODE and the evaluation team jointly developed the program of site visits, focus groups and in-depth interviews </w:t>
      </w:r>
      <w:r w:rsidR="0010095B">
        <w:rPr>
          <w:rFonts w:cs="Arial"/>
        </w:rPr>
        <w:t>for</w:t>
      </w:r>
      <w:r w:rsidR="0010095B" w:rsidRPr="00EF65AE">
        <w:rPr>
          <w:rFonts w:cs="Arial"/>
        </w:rPr>
        <w:t xml:space="preserve"> </w:t>
      </w:r>
      <w:r w:rsidRPr="00EF65AE">
        <w:rPr>
          <w:rFonts w:cs="Arial"/>
        </w:rPr>
        <w:t xml:space="preserve">each country. Fieldwork in each country other than Fiji included the capital city </w:t>
      </w:r>
      <w:r w:rsidR="0010095B">
        <w:rPr>
          <w:rFonts w:cs="Arial"/>
        </w:rPr>
        <w:t>and</w:t>
      </w:r>
      <w:r w:rsidR="001158AC">
        <w:rPr>
          <w:rFonts w:cs="Arial"/>
        </w:rPr>
        <w:t xml:space="preserve"> </w:t>
      </w:r>
      <w:r w:rsidRPr="00EF65AE">
        <w:rPr>
          <w:rFonts w:cs="Arial"/>
        </w:rPr>
        <w:t xml:space="preserve">provincial locations. </w:t>
      </w:r>
    </w:p>
    <w:p w14:paraId="74E97D24" w14:textId="77777777" w:rsidR="00747258" w:rsidRDefault="00747258">
      <w:pPr>
        <w:numPr>
          <w:ilvl w:val="0"/>
          <w:numId w:val="0"/>
        </w:numPr>
        <w:rPr>
          <w:rFonts w:cs="Arial"/>
        </w:rPr>
      </w:pPr>
      <w:r>
        <w:rPr>
          <w:rFonts w:cs="Arial"/>
        </w:rPr>
        <w:br w:type="page"/>
      </w:r>
    </w:p>
    <w:p w14:paraId="318D463B" w14:textId="1C0B347E" w:rsidR="00EF65AE" w:rsidRPr="00EF65AE" w:rsidRDefault="00EF65AE" w:rsidP="00EF65AE">
      <w:pPr>
        <w:rPr>
          <w:rFonts w:cs="Arial"/>
        </w:rPr>
      </w:pPr>
      <w:r w:rsidRPr="00EF65AE">
        <w:rPr>
          <w:rFonts w:cs="Arial"/>
        </w:rPr>
        <w:t>The</w:t>
      </w:r>
      <w:r w:rsidR="00A54030">
        <w:rPr>
          <w:rFonts w:cs="Arial"/>
        </w:rPr>
        <w:t xml:space="preserve"> evaluation</w:t>
      </w:r>
      <w:r w:rsidRPr="00EF65AE">
        <w:rPr>
          <w:rFonts w:cs="Arial"/>
        </w:rPr>
        <w:t xml:space="preserve"> team collected data in each country using a mix of methods:</w:t>
      </w:r>
    </w:p>
    <w:p w14:paraId="13CC165C" w14:textId="77777777" w:rsidR="00EF65AE" w:rsidRPr="00747258" w:rsidRDefault="00EF65AE" w:rsidP="0012349A">
      <w:pPr>
        <w:pStyle w:val="ListParagraph"/>
      </w:pPr>
      <w:r w:rsidRPr="00747258">
        <w:rPr>
          <w:b/>
          <w:bCs/>
        </w:rPr>
        <w:t>Document review:</w:t>
      </w:r>
      <w:r w:rsidRPr="00747258">
        <w:t xml:space="preserve"> The team expanded and updated systematic </w:t>
      </w:r>
      <w:r w:rsidR="00C43F11" w:rsidRPr="00747258">
        <w:t xml:space="preserve">document </w:t>
      </w:r>
      <w:r w:rsidRPr="00747258">
        <w:t>review findings as new information emerged from the field.</w:t>
      </w:r>
    </w:p>
    <w:p w14:paraId="1782817E" w14:textId="5EBB49D1" w:rsidR="00EF65AE" w:rsidRPr="00EF65AE" w:rsidRDefault="00A54030" w:rsidP="0012349A">
      <w:pPr>
        <w:pStyle w:val="ListParagraph"/>
      </w:pPr>
      <w:r w:rsidRPr="00D50EEF">
        <w:rPr>
          <w:b/>
          <w:bCs/>
        </w:rPr>
        <w:t>F</w:t>
      </w:r>
      <w:r w:rsidR="00EF65AE" w:rsidRPr="00D50EEF">
        <w:rPr>
          <w:b/>
          <w:bCs/>
        </w:rPr>
        <w:t xml:space="preserve">ocus </w:t>
      </w:r>
      <w:r w:rsidR="0010095B" w:rsidRPr="00D50EEF">
        <w:rPr>
          <w:b/>
          <w:bCs/>
        </w:rPr>
        <w:t>g</w:t>
      </w:r>
      <w:r w:rsidR="00EF65AE" w:rsidRPr="00D50EEF">
        <w:rPr>
          <w:b/>
          <w:bCs/>
        </w:rPr>
        <w:t xml:space="preserve">roup </w:t>
      </w:r>
      <w:r w:rsidR="0010095B" w:rsidRPr="00D50EEF">
        <w:rPr>
          <w:b/>
          <w:bCs/>
        </w:rPr>
        <w:t>d</w:t>
      </w:r>
      <w:r w:rsidR="00EF65AE" w:rsidRPr="00D50EEF">
        <w:rPr>
          <w:b/>
          <w:bCs/>
        </w:rPr>
        <w:t>iscussions:</w:t>
      </w:r>
      <w:r w:rsidR="00EF65AE" w:rsidRPr="00EF65AE">
        <w:t xml:space="preserve"> The team used participatory methods for </w:t>
      </w:r>
      <w:r>
        <w:t>45 focus group</w:t>
      </w:r>
      <w:r w:rsidR="0010095B">
        <w:t xml:space="preserve"> discussions,</w:t>
      </w:r>
      <w:r w:rsidR="00EF65AE" w:rsidRPr="00EF65AE">
        <w:t xml:space="preserve"> including timelines, incomplete stories, Venn </w:t>
      </w:r>
      <w:r>
        <w:t>d</w:t>
      </w:r>
      <w:r w:rsidR="00EF65AE" w:rsidRPr="00EF65AE">
        <w:t>iagrams, free listing</w:t>
      </w:r>
      <w:r w:rsidR="0010095B">
        <w:t>s</w:t>
      </w:r>
      <w:r w:rsidR="00EF65AE" w:rsidRPr="00EF65AE">
        <w:t xml:space="preserve">, and community and stakeholder mapping. </w:t>
      </w:r>
      <w:r>
        <w:t>This</w:t>
      </w:r>
      <w:r w:rsidR="0010095B">
        <w:t xml:space="preserve"> helped the team</w:t>
      </w:r>
      <w:r w:rsidR="00EF65AE" w:rsidRPr="00EF65AE">
        <w:t xml:space="preserve"> understand the perspectives of local community members, program beneficiaries and others </w:t>
      </w:r>
      <w:r w:rsidR="0010095B">
        <w:t>on</w:t>
      </w:r>
      <w:r w:rsidR="0010095B" w:rsidRPr="00EF65AE">
        <w:t xml:space="preserve"> </w:t>
      </w:r>
      <w:r w:rsidR="00EF65AE" w:rsidRPr="00EF65AE">
        <w:t xml:space="preserve">changes in social norms, behaviours and policies </w:t>
      </w:r>
      <w:r w:rsidR="0010095B">
        <w:t>relating</w:t>
      </w:r>
      <w:r w:rsidR="00EF65AE" w:rsidRPr="00EF65AE">
        <w:t xml:space="preserve"> to EVAWG.</w:t>
      </w:r>
      <w:r w:rsidR="00EF65AE" w:rsidRPr="00F654FC">
        <w:rPr>
          <w:rStyle w:val="FootnoteReference"/>
        </w:rPr>
        <w:footnoteReference w:id="4"/>
      </w:r>
      <w:r w:rsidR="00EF65AE" w:rsidRPr="00EF65AE">
        <w:t xml:space="preserve"> The</w:t>
      </w:r>
      <w:r>
        <w:t>se</w:t>
      </w:r>
      <w:r w:rsidR="0010095B">
        <w:t xml:space="preserve"> discussions</w:t>
      </w:r>
      <w:r w:rsidR="00EF65AE" w:rsidRPr="00EF65AE">
        <w:t xml:space="preserve"> </w:t>
      </w:r>
      <w:r w:rsidR="00046D1C" w:rsidRPr="00EF65AE">
        <w:t>in</w:t>
      </w:r>
      <w:r w:rsidR="00046D1C">
        <w:t>cluded</w:t>
      </w:r>
      <w:r w:rsidR="00046D1C" w:rsidRPr="00EF65AE">
        <w:t xml:space="preserve"> </w:t>
      </w:r>
      <w:r w:rsidR="00EF65AE" w:rsidRPr="00EF65AE">
        <w:t>community women and men, youth, village chiefs and magistrates, police, program implementers, service providers, activists, women and girls living with disabilities,</w:t>
      </w:r>
      <w:r w:rsidR="00046D1C">
        <w:t xml:space="preserve"> and </w:t>
      </w:r>
      <w:r w:rsidR="00EF65AE" w:rsidRPr="00EF65AE">
        <w:t xml:space="preserve"> </w:t>
      </w:r>
      <w:r w:rsidR="00046D1C">
        <w:t>people</w:t>
      </w:r>
      <w:r w:rsidR="008F3244">
        <w:t xml:space="preserve"> </w:t>
      </w:r>
      <w:r w:rsidR="00046D1C">
        <w:t>across</w:t>
      </w:r>
      <w:r w:rsidR="008F3244">
        <w:t xml:space="preserve"> </w:t>
      </w:r>
      <w:r w:rsidR="00046D1C">
        <w:t>the spectrum</w:t>
      </w:r>
      <w:r w:rsidR="008F3244">
        <w:t xml:space="preserve"> of sexual orientation</w:t>
      </w:r>
      <w:r w:rsidR="00046D1C">
        <w:t>s</w:t>
      </w:r>
      <w:r w:rsidR="008F3244">
        <w:t xml:space="preserve"> and</w:t>
      </w:r>
      <w:r w:rsidR="00046D1C">
        <w:t xml:space="preserve"> gender</w:t>
      </w:r>
      <w:r w:rsidR="008F3244">
        <w:t xml:space="preserve"> identities</w:t>
      </w:r>
      <w:r w:rsidR="00EF65AE" w:rsidRPr="00EF65AE">
        <w:t xml:space="preserve">. </w:t>
      </w:r>
    </w:p>
    <w:p w14:paraId="04AE8FDA" w14:textId="432D5A07" w:rsidR="00EF65AE" w:rsidRPr="00EF65AE" w:rsidRDefault="00A54030" w:rsidP="0012349A">
      <w:pPr>
        <w:pStyle w:val="ListParagraph"/>
      </w:pPr>
      <w:r>
        <w:rPr>
          <w:b/>
          <w:bCs/>
        </w:rPr>
        <w:t>I</w:t>
      </w:r>
      <w:r w:rsidR="00EF65AE" w:rsidRPr="00D50EEF">
        <w:rPr>
          <w:b/>
          <w:bCs/>
        </w:rPr>
        <w:t>nterviews</w:t>
      </w:r>
      <w:r w:rsidR="00EF65AE" w:rsidRPr="00EF65AE">
        <w:t>: The team</w:t>
      </w:r>
      <w:r>
        <w:t xml:space="preserve"> conducted 138 in-depth</w:t>
      </w:r>
      <w:r w:rsidR="00EF65AE" w:rsidRPr="00EF65AE">
        <w:t xml:space="preserve"> interview</w:t>
      </w:r>
      <w:r>
        <w:t>s with</w:t>
      </w:r>
      <w:r w:rsidR="00EF65AE" w:rsidRPr="00EF65AE">
        <w:t xml:space="preserve"> key stakeholders</w:t>
      </w:r>
      <w:r>
        <w:t>. This included</w:t>
      </w:r>
      <w:r w:rsidR="00EF65AE" w:rsidRPr="00EF65AE">
        <w:t xml:space="preserve"> service providers, justice system operators (magistrates, police and prosecutors), donors, national and local government authorities (including </w:t>
      </w:r>
      <w:r w:rsidR="0010095B">
        <w:t>m</w:t>
      </w:r>
      <w:r w:rsidR="00EF65AE" w:rsidRPr="00EF65AE">
        <w:t xml:space="preserve">inistries of </w:t>
      </w:r>
      <w:r w:rsidR="0010095B">
        <w:t>w</w:t>
      </w:r>
      <w:r w:rsidR="00EF65AE" w:rsidRPr="00EF65AE">
        <w:t xml:space="preserve">omen, </w:t>
      </w:r>
      <w:r w:rsidR="0010095B">
        <w:t>j</w:t>
      </w:r>
      <w:r w:rsidR="00EF65AE" w:rsidRPr="00EF65AE">
        <w:t xml:space="preserve">ustice, </w:t>
      </w:r>
      <w:r w:rsidR="0010095B">
        <w:t>e</w:t>
      </w:r>
      <w:r w:rsidR="00EF65AE" w:rsidRPr="00EF65AE">
        <w:t xml:space="preserve">ducation, </w:t>
      </w:r>
      <w:r w:rsidR="0010095B">
        <w:t>f</w:t>
      </w:r>
      <w:r w:rsidR="00EF65AE" w:rsidRPr="00EF65AE">
        <w:t>inance and other relevant officials), members of national parliament</w:t>
      </w:r>
      <w:r w:rsidR="0010095B">
        <w:t>s</w:t>
      </w:r>
      <w:r w:rsidR="00EF65AE" w:rsidRPr="00EF65AE">
        <w:t xml:space="preserve">, DFAT officers at </w:t>
      </w:r>
      <w:r w:rsidR="00075611">
        <w:t>p</w:t>
      </w:r>
      <w:r w:rsidR="00EF65AE" w:rsidRPr="00EF65AE">
        <w:t>ost and in Canberra</w:t>
      </w:r>
      <w:r w:rsidR="0010095B">
        <w:t>, and</w:t>
      </w:r>
      <w:r w:rsidR="00EF65AE" w:rsidRPr="00EF65AE">
        <w:t xml:space="preserve"> country-level national </w:t>
      </w:r>
      <w:r w:rsidR="0010095B">
        <w:t xml:space="preserve">government </w:t>
      </w:r>
      <w:r w:rsidR="006D296F">
        <w:t>organisations</w:t>
      </w:r>
      <w:r w:rsidR="00EF65AE" w:rsidRPr="00EF65AE">
        <w:t xml:space="preserve">, women’s organisations, and survivors of violence. Interviews were carried out using semi-structured interview guides tailored to the context and subject of each interview. Interviews with key stakeholders in Pakistan </w:t>
      </w:r>
      <w:r w:rsidR="0010095B">
        <w:t xml:space="preserve">and Vanuatu </w:t>
      </w:r>
      <w:r w:rsidR="00EF65AE" w:rsidRPr="00EF65AE">
        <w:t xml:space="preserve">were conducted </w:t>
      </w:r>
      <w:r w:rsidR="0010095B">
        <w:t>by</w:t>
      </w:r>
      <w:r w:rsidR="0010095B" w:rsidRPr="00EF65AE">
        <w:t xml:space="preserve"> </w:t>
      </w:r>
      <w:r w:rsidR="00EF65AE" w:rsidRPr="00EF65AE">
        <w:t xml:space="preserve">telephone. </w:t>
      </w:r>
    </w:p>
    <w:p w14:paraId="37D13FD7" w14:textId="5E1260E4" w:rsidR="00EF65AE" w:rsidRPr="00EF65AE" w:rsidRDefault="00EF65AE" w:rsidP="00EF65AE">
      <w:pPr>
        <w:rPr>
          <w:rFonts w:cs="Arial"/>
        </w:rPr>
      </w:pPr>
      <w:r w:rsidRPr="00EF65AE">
        <w:rPr>
          <w:rFonts w:cs="Arial"/>
        </w:rPr>
        <w:t>At the end of each field visit, the</w:t>
      </w:r>
      <w:r w:rsidR="00A54030">
        <w:rPr>
          <w:rFonts w:cs="Arial"/>
        </w:rPr>
        <w:t xml:space="preserve"> evaluation</w:t>
      </w:r>
      <w:r w:rsidRPr="00EF65AE">
        <w:rPr>
          <w:rFonts w:cs="Arial"/>
        </w:rPr>
        <w:t xml:space="preserve"> team presented and discussed preliminary findings with the Australian </w:t>
      </w:r>
      <w:r w:rsidR="00075611">
        <w:rPr>
          <w:rFonts w:cs="Arial"/>
        </w:rPr>
        <w:t>p</w:t>
      </w:r>
      <w:r w:rsidR="0010095B">
        <w:rPr>
          <w:rFonts w:cs="Arial"/>
        </w:rPr>
        <w:t>ost</w:t>
      </w:r>
      <w:r w:rsidRPr="00EF65AE">
        <w:rPr>
          <w:rFonts w:cs="Arial"/>
        </w:rPr>
        <w:t>. In P</w:t>
      </w:r>
      <w:r w:rsidR="0010095B">
        <w:rPr>
          <w:rFonts w:cs="Arial"/>
        </w:rPr>
        <w:t>NG</w:t>
      </w:r>
      <w:r w:rsidRPr="00EF65AE">
        <w:rPr>
          <w:rFonts w:cs="Arial"/>
        </w:rPr>
        <w:t xml:space="preserve"> and Solomon Islands, discussions also involved other key stakeholders from government and non-government organisations. On return from the field, the </w:t>
      </w:r>
      <w:r w:rsidR="00A54030">
        <w:rPr>
          <w:rFonts w:cs="Arial"/>
        </w:rPr>
        <w:t xml:space="preserve">evaluation </w:t>
      </w:r>
      <w:r w:rsidRPr="00EF65AE">
        <w:rPr>
          <w:rFonts w:cs="Arial"/>
        </w:rPr>
        <w:t xml:space="preserve">team refined and drafted the preliminary findings into </w:t>
      </w:r>
      <w:r w:rsidR="0010095B">
        <w:rPr>
          <w:rFonts w:cs="Arial"/>
        </w:rPr>
        <w:t>a</w:t>
      </w:r>
      <w:r w:rsidRPr="00EF65AE">
        <w:rPr>
          <w:rFonts w:cs="Arial"/>
        </w:rPr>
        <w:t>ide</w:t>
      </w:r>
      <w:r w:rsidR="0010095B">
        <w:rPr>
          <w:rFonts w:cs="Arial"/>
        </w:rPr>
        <w:t>-m</w:t>
      </w:r>
      <w:r w:rsidRPr="00EF65AE">
        <w:rPr>
          <w:rFonts w:cs="Arial"/>
        </w:rPr>
        <w:t>emoire</w:t>
      </w:r>
      <w:r w:rsidR="0010095B">
        <w:rPr>
          <w:rFonts w:cs="Arial"/>
        </w:rPr>
        <w:t>s</w:t>
      </w:r>
      <w:r w:rsidRPr="00EF65AE">
        <w:rPr>
          <w:rFonts w:cs="Arial"/>
        </w:rPr>
        <w:t xml:space="preserve"> for each country.</w:t>
      </w:r>
    </w:p>
    <w:p w14:paraId="718AE3EF" w14:textId="77777777" w:rsidR="00D50EEF" w:rsidRPr="00EF65AE" w:rsidRDefault="0010095B" w:rsidP="00D50EEF">
      <w:r>
        <w:rPr>
          <w:rFonts w:cs="Arial"/>
        </w:rPr>
        <w:t>More than</w:t>
      </w:r>
      <w:r w:rsidR="00EF65AE" w:rsidRPr="00EF65AE">
        <w:rPr>
          <w:rFonts w:cs="Arial"/>
        </w:rPr>
        <w:t xml:space="preserve"> 750 individuals participated in the evaluation process. The number of interviews and focus group discussions by country is presented in Table </w:t>
      </w:r>
      <w:r w:rsidR="005A236E">
        <w:rPr>
          <w:rFonts w:cs="Arial"/>
        </w:rPr>
        <w:t>2</w:t>
      </w:r>
      <w:r w:rsidR="00EF65AE" w:rsidRPr="00EF65AE">
        <w:rPr>
          <w:rFonts w:cs="Arial"/>
        </w:rPr>
        <w:t>.</w:t>
      </w:r>
      <w:r w:rsidR="00D50EEF">
        <w:rPr>
          <w:rFonts w:cs="Arial"/>
        </w:rPr>
        <w:t xml:space="preserve"> </w:t>
      </w:r>
      <w:r w:rsidR="00D50EEF" w:rsidRPr="00EF65AE">
        <w:t>Annex 3 list</w:t>
      </w:r>
      <w:r w:rsidR="00D50EEF">
        <w:t>s</w:t>
      </w:r>
      <w:r w:rsidR="00D50EEF" w:rsidRPr="00EF65AE">
        <w:t xml:space="preserve"> organisations consulted by country.</w:t>
      </w:r>
    </w:p>
    <w:p w14:paraId="785736F1" w14:textId="77777777" w:rsidR="00EF65AE" w:rsidRPr="00EF65AE" w:rsidRDefault="00D36612" w:rsidP="00D36612">
      <w:pPr>
        <w:pStyle w:val="Caption"/>
      </w:pPr>
      <w:r>
        <w:t xml:space="preserve">Table </w:t>
      </w:r>
      <w:r w:rsidR="005A236E">
        <w:t>2</w:t>
      </w:r>
      <w:r w:rsidR="00EF65AE" w:rsidRPr="00EF65AE">
        <w:t xml:space="preserve">: Focus group discussions and </w:t>
      </w:r>
      <w:r w:rsidR="004D3A6B">
        <w:t>interviews</w:t>
      </w:r>
      <w:r w:rsidR="00EF65AE" w:rsidRPr="00EF65AE">
        <w:t xml:space="preserve"> by country</w:t>
      </w:r>
    </w:p>
    <w:tbl>
      <w:tblPr>
        <w:tblStyle w:val="TableGrid"/>
        <w:tblW w:w="5000" w:type="pct"/>
        <w:tblLook w:val="0460" w:firstRow="1" w:lastRow="1" w:firstColumn="0" w:lastColumn="0" w:noHBand="0" w:noVBand="1"/>
      </w:tblPr>
      <w:tblGrid>
        <w:gridCol w:w="2407"/>
        <w:gridCol w:w="2407"/>
        <w:gridCol w:w="2407"/>
        <w:gridCol w:w="2407"/>
      </w:tblGrid>
      <w:tr w:rsidR="00EF65AE" w:rsidRPr="00EC1DA8" w14:paraId="29B01822" w14:textId="77777777" w:rsidTr="00B70FF2">
        <w:trPr>
          <w:cnfStyle w:val="100000000000" w:firstRow="1" w:lastRow="0" w:firstColumn="0" w:lastColumn="0" w:oddVBand="0" w:evenVBand="0" w:oddHBand="0" w:evenHBand="0" w:firstRowFirstColumn="0" w:firstRowLastColumn="0" w:lastRowFirstColumn="0" w:lastRowLastColumn="0"/>
          <w:trHeight w:val="758"/>
        </w:trPr>
        <w:tc>
          <w:tcPr>
            <w:tcW w:w="1250" w:type="pct"/>
          </w:tcPr>
          <w:p w14:paraId="44E3A3C7" w14:textId="77777777" w:rsidR="00EF65AE" w:rsidRPr="00EC1DA8" w:rsidRDefault="00EF65AE" w:rsidP="00EF65AE">
            <w:r w:rsidRPr="00EC1DA8">
              <w:t>Countries</w:t>
            </w:r>
          </w:p>
        </w:tc>
        <w:tc>
          <w:tcPr>
            <w:tcW w:w="1250" w:type="pct"/>
          </w:tcPr>
          <w:p w14:paraId="6C0ED63E" w14:textId="77777777" w:rsidR="00EF65AE" w:rsidRPr="00EC1DA8" w:rsidRDefault="00EF65AE" w:rsidP="00EF65AE">
            <w:r w:rsidRPr="00EC1DA8">
              <w:t>F</w:t>
            </w:r>
            <w:r w:rsidR="0010095B">
              <w:t>ocus group discussions</w:t>
            </w:r>
          </w:p>
        </w:tc>
        <w:tc>
          <w:tcPr>
            <w:tcW w:w="1250" w:type="pct"/>
          </w:tcPr>
          <w:p w14:paraId="103DF745" w14:textId="77777777" w:rsidR="00EF65AE" w:rsidRPr="00EC1DA8" w:rsidRDefault="00EF65AE" w:rsidP="00EF65AE">
            <w:r w:rsidRPr="00EC1DA8">
              <w:t>Interviews</w:t>
            </w:r>
          </w:p>
        </w:tc>
        <w:tc>
          <w:tcPr>
            <w:tcW w:w="1250" w:type="pct"/>
          </w:tcPr>
          <w:p w14:paraId="3443D787" w14:textId="77777777" w:rsidR="00EF65AE" w:rsidRPr="00EC1DA8" w:rsidRDefault="00EF65AE" w:rsidP="00EF65AE">
            <w:r w:rsidRPr="00EC1DA8">
              <w:t>Total people</w:t>
            </w:r>
          </w:p>
        </w:tc>
      </w:tr>
      <w:tr w:rsidR="00EF65AE" w:rsidRPr="00EC1DA8" w14:paraId="1F9D67E4" w14:textId="77777777" w:rsidTr="00B70FF2">
        <w:trPr>
          <w:trHeight w:val="373"/>
        </w:trPr>
        <w:tc>
          <w:tcPr>
            <w:tcW w:w="1250" w:type="pct"/>
          </w:tcPr>
          <w:p w14:paraId="639A8BC5" w14:textId="77777777" w:rsidR="00EF65AE" w:rsidRPr="00EC1DA8" w:rsidRDefault="00EF65AE" w:rsidP="00EF65AE">
            <w:r w:rsidRPr="00EC1DA8">
              <w:t>Fiji</w:t>
            </w:r>
          </w:p>
        </w:tc>
        <w:tc>
          <w:tcPr>
            <w:tcW w:w="1250" w:type="pct"/>
          </w:tcPr>
          <w:p w14:paraId="3AF0DFFB" w14:textId="77777777" w:rsidR="00EF65AE" w:rsidRPr="00EC1DA8" w:rsidRDefault="00EF65AE" w:rsidP="00EF65AE">
            <w:r w:rsidRPr="00EC1DA8">
              <w:t>6</w:t>
            </w:r>
          </w:p>
        </w:tc>
        <w:tc>
          <w:tcPr>
            <w:tcW w:w="1250" w:type="pct"/>
          </w:tcPr>
          <w:p w14:paraId="45CD6ABD" w14:textId="77777777" w:rsidR="00EF65AE" w:rsidRPr="00EC1DA8" w:rsidRDefault="00EF65AE" w:rsidP="00EF65AE">
            <w:r w:rsidRPr="00EC1DA8">
              <w:t>25</w:t>
            </w:r>
          </w:p>
        </w:tc>
        <w:tc>
          <w:tcPr>
            <w:tcW w:w="1250" w:type="pct"/>
          </w:tcPr>
          <w:p w14:paraId="7484A43B" w14:textId="77777777" w:rsidR="00EF65AE" w:rsidRPr="00EC1DA8" w:rsidRDefault="00EF65AE" w:rsidP="00EF65AE">
            <w:r w:rsidRPr="00EC1DA8">
              <w:t>120</w:t>
            </w:r>
          </w:p>
        </w:tc>
      </w:tr>
      <w:tr w:rsidR="00EF65AE" w:rsidRPr="00EC1DA8" w14:paraId="2B9614F5" w14:textId="77777777" w:rsidTr="00F973BE">
        <w:tc>
          <w:tcPr>
            <w:tcW w:w="1250" w:type="pct"/>
          </w:tcPr>
          <w:p w14:paraId="74A7646D" w14:textId="77777777" w:rsidR="00EF65AE" w:rsidRPr="00EC1DA8" w:rsidRDefault="00EF65AE" w:rsidP="00EF65AE">
            <w:r w:rsidRPr="00EC1DA8">
              <w:t>Papua New Guinea</w:t>
            </w:r>
          </w:p>
        </w:tc>
        <w:tc>
          <w:tcPr>
            <w:tcW w:w="1250" w:type="pct"/>
          </w:tcPr>
          <w:p w14:paraId="54C49831" w14:textId="77777777" w:rsidR="00EF65AE" w:rsidRPr="00EC1DA8" w:rsidRDefault="00EF65AE" w:rsidP="00EF65AE">
            <w:r w:rsidRPr="00EC1DA8">
              <w:t>6</w:t>
            </w:r>
          </w:p>
        </w:tc>
        <w:tc>
          <w:tcPr>
            <w:tcW w:w="1250" w:type="pct"/>
          </w:tcPr>
          <w:p w14:paraId="150F6D8A" w14:textId="77777777" w:rsidR="00EF65AE" w:rsidRPr="00EC1DA8" w:rsidRDefault="00EF65AE" w:rsidP="00EF65AE">
            <w:r w:rsidRPr="00EC1DA8">
              <w:t>29</w:t>
            </w:r>
          </w:p>
        </w:tc>
        <w:tc>
          <w:tcPr>
            <w:tcW w:w="1250" w:type="pct"/>
          </w:tcPr>
          <w:p w14:paraId="0BEA0387" w14:textId="77777777" w:rsidR="00EF65AE" w:rsidRPr="00EC1DA8" w:rsidRDefault="00EF65AE" w:rsidP="00EF65AE">
            <w:r w:rsidRPr="00EC1DA8">
              <w:t>106</w:t>
            </w:r>
          </w:p>
        </w:tc>
      </w:tr>
      <w:tr w:rsidR="00EF65AE" w:rsidRPr="00EC1DA8" w14:paraId="2AFC93DD" w14:textId="77777777" w:rsidTr="00F973BE">
        <w:tc>
          <w:tcPr>
            <w:tcW w:w="1250" w:type="pct"/>
          </w:tcPr>
          <w:p w14:paraId="37AEB659" w14:textId="77777777" w:rsidR="00EF65AE" w:rsidRPr="00EC1DA8" w:rsidRDefault="00EF65AE" w:rsidP="00EF65AE">
            <w:r w:rsidRPr="00EC1DA8">
              <w:t>Solomon Islands</w:t>
            </w:r>
          </w:p>
        </w:tc>
        <w:tc>
          <w:tcPr>
            <w:tcW w:w="1250" w:type="pct"/>
          </w:tcPr>
          <w:p w14:paraId="449648C7" w14:textId="77777777" w:rsidR="00EF65AE" w:rsidRPr="00EC1DA8" w:rsidRDefault="00EF65AE" w:rsidP="00EF65AE">
            <w:r w:rsidRPr="00EC1DA8">
              <w:t>8</w:t>
            </w:r>
          </w:p>
        </w:tc>
        <w:tc>
          <w:tcPr>
            <w:tcW w:w="1250" w:type="pct"/>
          </w:tcPr>
          <w:p w14:paraId="5472C8F7" w14:textId="77777777" w:rsidR="00EF65AE" w:rsidRPr="00EC1DA8" w:rsidRDefault="00EF65AE" w:rsidP="00EF65AE">
            <w:r w:rsidRPr="00EC1DA8">
              <w:t>25</w:t>
            </w:r>
          </w:p>
        </w:tc>
        <w:tc>
          <w:tcPr>
            <w:tcW w:w="1250" w:type="pct"/>
          </w:tcPr>
          <w:p w14:paraId="5294A14B" w14:textId="77777777" w:rsidR="00EF65AE" w:rsidRPr="00EC1DA8" w:rsidRDefault="00EF65AE" w:rsidP="00EF65AE">
            <w:r w:rsidRPr="00EC1DA8">
              <w:t>154</w:t>
            </w:r>
          </w:p>
        </w:tc>
      </w:tr>
      <w:tr w:rsidR="00EF65AE" w:rsidRPr="00EC1DA8" w14:paraId="09B26CA8" w14:textId="77777777" w:rsidTr="00F973BE">
        <w:tc>
          <w:tcPr>
            <w:tcW w:w="1250" w:type="pct"/>
          </w:tcPr>
          <w:p w14:paraId="36C1420E" w14:textId="77777777" w:rsidR="00EF65AE" w:rsidRPr="00EC1DA8" w:rsidRDefault="00EF65AE" w:rsidP="00EF65AE">
            <w:r w:rsidRPr="00EC1DA8">
              <w:t>Vanuatu</w:t>
            </w:r>
          </w:p>
        </w:tc>
        <w:tc>
          <w:tcPr>
            <w:tcW w:w="1250" w:type="pct"/>
          </w:tcPr>
          <w:p w14:paraId="2F0FD27A" w14:textId="77777777" w:rsidR="00EF65AE" w:rsidRPr="00EC1DA8" w:rsidRDefault="00EF65AE" w:rsidP="00EF65AE">
            <w:r w:rsidRPr="00EC1DA8">
              <w:t>0</w:t>
            </w:r>
          </w:p>
        </w:tc>
        <w:tc>
          <w:tcPr>
            <w:tcW w:w="1250" w:type="pct"/>
          </w:tcPr>
          <w:p w14:paraId="0D0A5F6D" w14:textId="77777777" w:rsidR="00EF65AE" w:rsidRPr="00EC1DA8" w:rsidRDefault="00EF65AE" w:rsidP="00EF65AE">
            <w:r w:rsidRPr="00EC1DA8">
              <w:t>10</w:t>
            </w:r>
          </w:p>
        </w:tc>
        <w:tc>
          <w:tcPr>
            <w:tcW w:w="1250" w:type="pct"/>
          </w:tcPr>
          <w:p w14:paraId="61FB888D" w14:textId="77777777" w:rsidR="00EF65AE" w:rsidRPr="00EC1DA8" w:rsidRDefault="00EF65AE" w:rsidP="00EF65AE">
            <w:r w:rsidRPr="00EC1DA8">
              <w:t>13</w:t>
            </w:r>
          </w:p>
        </w:tc>
      </w:tr>
      <w:tr w:rsidR="00EF65AE" w:rsidRPr="00EC1DA8" w14:paraId="7042F5D8" w14:textId="77777777" w:rsidTr="00F973BE">
        <w:tc>
          <w:tcPr>
            <w:tcW w:w="1250" w:type="pct"/>
          </w:tcPr>
          <w:p w14:paraId="1CFF1DEF" w14:textId="77777777" w:rsidR="00EF65AE" w:rsidRPr="00EC1DA8" w:rsidRDefault="00EF65AE" w:rsidP="00EF65AE">
            <w:r w:rsidRPr="00EC1DA8">
              <w:t>Pakistan</w:t>
            </w:r>
          </w:p>
        </w:tc>
        <w:tc>
          <w:tcPr>
            <w:tcW w:w="1250" w:type="pct"/>
          </w:tcPr>
          <w:p w14:paraId="022C1672" w14:textId="77777777" w:rsidR="00EF65AE" w:rsidRPr="00EC1DA8" w:rsidRDefault="00EF65AE" w:rsidP="00EF65AE">
            <w:r w:rsidRPr="00EC1DA8">
              <w:t>0</w:t>
            </w:r>
          </w:p>
        </w:tc>
        <w:tc>
          <w:tcPr>
            <w:tcW w:w="1250" w:type="pct"/>
          </w:tcPr>
          <w:p w14:paraId="7065C4DD" w14:textId="77777777" w:rsidR="00EF65AE" w:rsidRPr="00EC1DA8" w:rsidRDefault="00EF65AE" w:rsidP="00EF65AE">
            <w:r w:rsidRPr="00EC1DA8">
              <w:t>5</w:t>
            </w:r>
          </w:p>
        </w:tc>
        <w:tc>
          <w:tcPr>
            <w:tcW w:w="1250" w:type="pct"/>
          </w:tcPr>
          <w:p w14:paraId="0B3E4DFF" w14:textId="77777777" w:rsidR="00EF65AE" w:rsidRPr="00EC1DA8" w:rsidRDefault="00EF65AE" w:rsidP="00EF65AE">
            <w:r w:rsidRPr="00EC1DA8">
              <w:t>8</w:t>
            </w:r>
          </w:p>
        </w:tc>
      </w:tr>
      <w:tr w:rsidR="00EF65AE" w:rsidRPr="00EC1DA8" w14:paraId="58A4D976" w14:textId="77777777" w:rsidTr="00F973BE">
        <w:tc>
          <w:tcPr>
            <w:tcW w:w="1250" w:type="pct"/>
          </w:tcPr>
          <w:p w14:paraId="53DE40E0" w14:textId="77777777" w:rsidR="00EF65AE" w:rsidRPr="00EC1DA8" w:rsidRDefault="00EF65AE" w:rsidP="00EF65AE">
            <w:r w:rsidRPr="00EC1DA8">
              <w:t>Indonesia</w:t>
            </w:r>
          </w:p>
        </w:tc>
        <w:tc>
          <w:tcPr>
            <w:tcW w:w="1250" w:type="pct"/>
          </w:tcPr>
          <w:p w14:paraId="106BB050" w14:textId="77777777" w:rsidR="00EF65AE" w:rsidRPr="00EC1DA8" w:rsidRDefault="00EF65AE" w:rsidP="00EF65AE">
            <w:r w:rsidRPr="00EC1DA8">
              <w:t>15</w:t>
            </w:r>
          </w:p>
        </w:tc>
        <w:tc>
          <w:tcPr>
            <w:tcW w:w="1250" w:type="pct"/>
          </w:tcPr>
          <w:p w14:paraId="0E57A5DD" w14:textId="77777777" w:rsidR="00EF65AE" w:rsidRPr="00EC1DA8" w:rsidRDefault="00EF65AE" w:rsidP="00EF65AE">
            <w:r w:rsidRPr="00EC1DA8">
              <w:t>12</w:t>
            </w:r>
          </w:p>
        </w:tc>
        <w:tc>
          <w:tcPr>
            <w:tcW w:w="1250" w:type="pct"/>
          </w:tcPr>
          <w:p w14:paraId="5382B69F" w14:textId="77777777" w:rsidR="00EF65AE" w:rsidRPr="00EC1DA8" w:rsidRDefault="00EF65AE" w:rsidP="00EF65AE">
            <w:r w:rsidRPr="00EC1DA8">
              <w:t>175</w:t>
            </w:r>
          </w:p>
        </w:tc>
      </w:tr>
      <w:tr w:rsidR="00EF65AE" w:rsidRPr="00EC1DA8" w14:paraId="4203E444" w14:textId="77777777" w:rsidTr="00F973BE">
        <w:tc>
          <w:tcPr>
            <w:tcW w:w="1250" w:type="pct"/>
          </w:tcPr>
          <w:p w14:paraId="47376CB1" w14:textId="77777777" w:rsidR="00EF65AE" w:rsidRPr="00EC1DA8" w:rsidRDefault="00EF65AE" w:rsidP="00EF65AE">
            <w:r w:rsidRPr="00EC1DA8">
              <w:t>Timor-Leste</w:t>
            </w:r>
          </w:p>
        </w:tc>
        <w:tc>
          <w:tcPr>
            <w:tcW w:w="1250" w:type="pct"/>
          </w:tcPr>
          <w:p w14:paraId="3451A090" w14:textId="77777777" w:rsidR="00EF65AE" w:rsidRPr="00EC1DA8" w:rsidRDefault="00EF65AE" w:rsidP="00EF65AE">
            <w:r w:rsidRPr="00EC1DA8">
              <w:t>10</w:t>
            </w:r>
          </w:p>
        </w:tc>
        <w:tc>
          <w:tcPr>
            <w:tcW w:w="1250" w:type="pct"/>
          </w:tcPr>
          <w:p w14:paraId="3A897B1F" w14:textId="77777777" w:rsidR="00EF65AE" w:rsidRPr="00EC1DA8" w:rsidRDefault="00EF65AE" w:rsidP="00EF65AE">
            <w:r w:rsidRPr="00EC1DA8">
              <w:t>22</w:t>
            </w:r>
          </w:p>
        </w:tc>
        <w:tc>
          <w:tcPr>
            <w:tcW w:w="1250" w:type="pct"/>
          </w:tcPr>
          <w:p w14:paraId="474520B0" w14:textId="77777777" w:rsidR="00EF65AE" w:rsidRPr="00EC1DA8" w:rsidRDefault="00EF65AE" w:rsidP="00EF65AE">
            <w:r w:rsidRPr="00EC1DA8">
              <w:t>128</w:t>
            </w:r>
          </w:p>
        </w:tc>
      </w:tr>
      <w:tr w:rsidR="00EF65AE" w:rsidRPr="00EC1DA8" w14:paraId="73094D22" w14:textId="77777777" w:rsidTr="00F973BE">
        <w:tc>
          <w:tcPr>
            <w:tcW w:w="1250" w:type="pct"/>
          </w:tcPr>
          <w:p w14:paraId="2A58E6DC" w14:textId="77777777" w:rsidR="00EF65AE" w:rsidRPr="00EC1DA8" w:rsidRDefault="00EF65AE" w:rsidP="00EF65AE">
            <w:r w:rsidRPr="00EC1DA8">
              <w:t>Canberra</w:t>
            </w:r>
          </w:p>
        </w:tc>
        <w:tc>
          <w:tcPr>
            <w:tcW w:w="1250" w:type="pct"/>
          </w:tcPr>
          <w:p w14:paraId="2F9D5DD0" w14:textId="77777777" w:rsidR="00EF65AE" w:rsidRPr="00EC1DA8" w:rsidRDefault="00EF65AE" w:rsidP="00EF65AE">
            <w:r w:rsidRPr="00EC1DA8">
              <w:t>0</w:t>
            </w:r>
          </w:p>
        </w:tc>
        <w:tc>
          <w:tcPr>
            <w:tcW w:w="1250" w:type="pct"/>
          </w:tcPr>
          <w:p w14:paraId="4324D0E0" w14:textId="77777777" w:rsidR="00EF65AE" w:rsidRPr="00EC1DA8" w:rsidRDefault="00EF65AE" w:rsidP="00EF65AE">
            <w:r w:rsidRPr="00EC1DA8">
              <w:t>10</w:t>
            </w:r>
          </w:p>
        </w:tc>
        <w:tc>
          <w:tcPr>
            <w:tcW w:w="1250" w:type="pct"/>
          </w:tcPr>
          <w:p w14:paraId="766DF2D2" w14:textId="77777777" w:rsidR="00EF65AE" w:rsidRPr="00EC1DA8" w:rsidRDefault="00EF65AE" w:rsidP="00EF65AE">
            <w:r w:rsidRPr="00EC1DA8">
              <w:t>50</w:t>
            </w:r>
          </w:p>
        </w:tc>
      </w:tr>
      <w:tr w:rsidR="00EF65AE" w:rsidRPr="00EC1DA8" w14:paraId="27BA2E43" w14:textId="77777777" w:rsidTr="00F973BE">
        <w:trPr>
          <w:cnfStyle w:val="010000000000" w:firstRow="0" w:lastRow="1" w:firstColumn="0" w:lastColumn="0" w:oddVBand="0" w:evenVBand="0" w:oddHBand="0" w:evenHBand="0" w:firstRowFirstColumn="0" w:firstRowLastColumn="0" w:lastRowFirstColumn="0" w:lastRowLastColumn="0"/>
        </w:trPr>
        <w:tc>
          <w:tcPr>
            <w:tcW w:w="1250" w:type="pct"/>
          </w:tcPr>
          <w:p w14:paraId="46E11274" w14:textId="77777777" w:rsidR="00EF65AE" w:rsidRPr="00EC1DA8" w:rsidRDefault="00EF65AE" w:rsidP="00EF65AE">
            <w:r w:rsidRPr="00EC1DA8">
              <w:t>TOTAL</w:t>
            </w:r>
          </w:p>
        </w:tc>
        <w:tc>
          <w:tcPr>
            <w:tcW w:w="1250" w:type="pct"/>
          </w:tcPr>
          <w:p w14:paraId="438DC4C8" w14:textId="77777777" w:rsidR="00EF65AE" w:rsidRPr="00EC1DA8" w:rsidRDefault="00EF65AE" w:rsidP="00EF65AE">
            <w:r w:rsidRPr="00EC1DA8">
              <w:t>45</w:t>
            </w:r>
          </w:p>
        </w:tc>
        <w:tc>
          <w:tcPr>
            <w:tcW w:w="1250" w:type="pct"/>
          </w:tcPr>
          <w:p w14:paraId="30C301ED" w14:textId="77777777" w:rsidR="00EF65AE" w:rsidRPr="00EC1DA8" w:rsidRDefault="00EF65AE" w:rsidP="00EF65AE">
            <w:r w:rsidRPr="00EC1DA8">
              <w:t>138</w:t>
            </w:r>
          </w:p>
        </w:tc>
        <w:tc>
          <w:tcPr>
            <w:tcW w:w="1250" w:type="pct"/>
          </w:tcPr>
          <w:p w14:paraId="442DAFB3" w14:textId="77777777" w:rsidR="00EF65AE" w:rsidRPr="00EC1DA8" w:rsidRDefault="00EF65AE" w:rsidP="00EF65AE">
            <w:r w:rsidRPr="00EC1DA8">
              <w:t>754</w:t>
            </w:r>
          </w:p>
        </w:tc>
      </w:tr>
    </w:tbl>
    <w:p w14:paraId="2C8D77B7" w14:textId="77777777" w:rsidR="00EF65AE" w:rsidRPr="00EF65AE" w:rsidRDefault="00EF65AE" w:rsidP="009005FA">
      <w:pPr>
        <w:pStyle w:val="AnnexSubHeading"/>
        <w:rPr>
          <w:lang w:val="en-GB" w:eastAsia="en-AU"/>
        </w:rPr>
      </w:pPr>
      <w:bookmarkStart w:id="435" w:name="_Toc2869569"/>
      <w:bookmarkStart w:id="436" w:name="_Toc14959628"/>
      <w:bookmarkStart w:id="437" w:name="_Toc15563033"/>
      <w:bookmarkStart w:id="438" w:name="_Toc20307946"/>
      <w:bookmarkStart w:id="439" w:name="_Toc21365307"/>
      <w:bookmarkStart w:id="440" w:name="_Toc23434569"/>
      <w:r w:rsidRPr="00EF65AE">
        <w:rPr>
          <w:lang w:val="en-GB" w:eastAsia="en-AU"/>
        </w:rPr>
        <w:t>Analysis</w:t>
      </w:r>
      <w:bookmarkEnd w:id="435"/>
      <w:bookmarkEnd w:id="436"/>
      <w:bookmarkEnd w:id="437"/>
      <w:bookmarkEnd w:id="438"/>
      <w:bookmarkEnd w:id="439"/>
      <w:bookmarkEnd w:id="440"/>
    </w:p>
    <w:p w14:paraId="4A3663DF" w14:textId="77777777" w:rsidR="00EF65AE" w:rsidRPr="00EF65AE" w:rsidRDefault="0010095B" w:rsidP="00EF65AE">
      <w:pPr>
        <w:rPr>
          <w:rFonts w:cs="Arial"/>
        </w:rPr>
      </w:pPr>
      <w:r>
        <w:rPr>
          <w:rFonts w:cs="Arial"/>
        </w:rPr>
        <w:t>Interviews were a</w:t>
      </w:r>
      <w:r w:rsidR="00EF65AE" w:rsidRPr="00EF65AE">
        <w:rPr>
          <w:rFonts w:cs="Arial"/>
        </w:rPr>
        <w:t>udio record</w:t>
      </w:r>
      <w:r>
        <w:rPr>
          <w:rFonts w:cs="Arial"/>
        </w:rPr>
        <w:t>ed with</w:t>
      </w:r>
      <w:r w:rsidR="00EF65AE" w:rsidRPr="00EF65AE">
        <w:rPr>
          <w:rFonts w:cs="Arial"/>
        </w:rPr>
        <w:t xml:space="preserve"> note takers work</w:t>
      </w:r>
      <w:r>
        <w:rPr>
          <w:rFonts w:cs="Arial"/>
        </w:rPr>
        <w:t>ing</w:t>
      </w:r>
      <w:r w:rsidR="00EF65AE" w:rsidRPr="00EF65AE">
        <w:rPr>
          <w:rFonts w:cs="Arial"/>
        </w:rPr>
        <w:t xml:space="preserve"> contemporaneously. Photographs were taken of participatory exercises and transcribed. </w:t>
      </w:r>
      <w:r w:rsidR="00D50EEF">
        <w:rPr>
          <w:rFonts w:cs="Arial"/>
        </w:rPr>
        <w:t>C</w:t>
      </w:r>
      <w:r w:rsidR="00EF65AE" w:rsidRPr="00EF65AE">
        <w:rPr>
          <w:rFonts w:cs="Arial"/>
        </w:rPr>
        <w:t xml:space="preserve">lose to </w:t>
      </w:r>
      <w:r>
        <w:rPr>
          <w:rFonts w:cs="Arial"/>
        </w:rPr>
        <w:t>100</w:t>
      </w:r>
      <w:r w:rsidR="00EF65AE" w:rsidRPr="00EF65AE">
        <w:rPr>
          <w:rFonts w:cs="Arial"/>
        </w:rPr>
        <w:t xml:space="preserve"> individual data files with notes from meetings </w:t>
      </w:r>
      <w:r w:rsidR="00D50EEF">
        <w:rPr>
          <w:rFonts w:cs="Arial"/>
        </w:rPr>
        <w:t xml:space="preserve">were entered </w:t>
      </w:r>
      <w:r w:rsidR="00EF65AE" w:rsidRPr="00EF65AE">
        <w:rPr>
          <w:rFonts w:cs="Arial"/>
        </w:rPr>
        <w:t>into qualitative data analysis software OpenCode</w:t>
      </w:r>
      <w:r w:rsidR="00F7275F">
        <w:rPr>
          <w:rFonts w:cs="Arial"/>
        </w:rPr>
        <w:t xml:space="preserve">. Each interview was </w:t>
      </w:r>
      <w:r w:rsidR="00EF65AE" w:rsidRPr="00EF65AE">
        <w:rPr>
          <w:rFonts w:cs="Arial"/>
        </w:rPr>
        <w:t xml:space="preserve">coded </w:t>
      </w:r>
      <w:r w:rsidR="0068766C">
        <w:rPr>
          <w:rFonts w:cs="Arial"/>
        </w:rPr>
        <w:t xml:space="preserve">then analysed </w:t>
      </w:r>
      <w:r w:rsidR="00EF65AE" w:rsidRPr="00EF65AE">
        <w:rPr>
          <w:rFonts w:cs="Arial"/>
        </w:rPr>
        <w:t>using several dozen pre-determined codes a</w:t>
      </w:r>
      <w:r w:rsidR="00F7275F">
        <w:rPr>
          <w:rFonts w:cs="Arial"/>
        </w:rPr>
        <w:t>nd</w:t>
      </w:r>
      <w:r w:rsidR="00EF65AE" w:rsidRPr="00EF65AE">
        <w:rPr>
          <w:rFonts w:cs="Arial"/>
        </w:rPr>
        <w:t xml:space="preserve"> additional codes developed </w:t>
      </w:r>
      <w:r w:rsidR="00F7275F">
        <w:rPr>
          <w:rFonts w:cs="Arial"/>
        </w:rPr>
        <w:t>during</w:t>
      </w:r>
      <w:r w:rsidR="00EF65AE" w:rsidRPr="00EF65AE">
        <w:rPr>
          <w:rFonts w:cs="Arial"/>
        </w:rPr>
        <w:t xml:space="preserve"> analysi</w:t>
      </w:r>
      <w:r w:rsidR="00D50EEF">
        <w:rPr>
          <w:rFonts w:cs="Arial"/>
        </w:rPr>
        <w:t>s</w:t>
      </w:r>
      <w:r w:rsidR="00EF65AE" w:rsidRPr="00EF65AE">
        <w:rPr>
          <w:rFonts w:cs="Arial"/>
        </w:rPr>
        <w:t>. Additional codes were included as new themes arose</w:t>
      </w:r>
      <w:r w:rsidR="00F7275F">
        <w:rPr>
          <w:rFonts w:cs="Arial"/>
        </w:rPr>
        <w:t xml:space="preserve">. </w:t>
      </w:r>
    </w:p>
    <w:p w14:paraId="23A24B4A" w14:textId="77777777" w:rsidR="00EF65AE" w:rsidRPr="00EF65AE" w:rsidRDefault="0068766C" w:rsidP="00EF65AE">
      <w:pPr>
        <w:rPr>
          <w:rFonts w:cs="Arial"/>
        </w:rPr>
      </w:pPr>
      <w:r>
        <w:rPr>
          <w:rFonts w:cs="Arial"/>
        </w:rPr>
        <w:t>C</w:t>
      </w:r>
      <w:r w:rsidR="00EF65AE" w:rsidRPr="00EF65AE">
        <w:rPr>
          <w:rFonts w:cs="Arial"/>
        </w:rPr>
        <w:t xml:space="preserve">oded texts </w:t>
      </w:r>
      <w:r>
        <w:rPr>
          <w:rFonts w:cs="Arial"/>
        </w:rPr>
        <w:t xml:space="preserve">were used </w:t>
      </w:r>
      <w:r w:rsidR="00EF65AE" w:rsidRPr="00EF65AE">
        <w:rPr>
          <w:rFonts w:cs="Arial"/>
        </w:rPr>
        <w:t xml:space="preserve">during </w:t>
      </w:r>
      <w:r w:rsidR="00EF65AE" w:rsidRPr="00572A8A">
        <w:rPr>
          <w:rFonts w:cs="Arial"/>
          <w:bCs/>
        </w:rPr>
        <w:t>a three-day analysis workshop</w:t>
      </w:r>
      <w:r w:rsidR="00EF65AE" w:rsidRPr="00EF65AE">
        <w:rPr>
          <w:rFonts w:cs="Arial"/>
        </w:rPr>
        <w:t xml:space="preserve"> to map findings to key questions. Common themes and differences in the data were compared across countries and in the four key areas of EVAWG assistance (justice, services, prevention and enabling environment). </w:t>
      </w:r>
      <w:r w:rsidR="00F7275F">
        <w:rPr>
          <w:rFonts w:cs="Arial"/>
        </w:rPr>
        <w:t>F</w:t>
      </w:r>
      <w:r w:rsidR="00EF65AE" w:rsidRPr="00EF65AE">
        <w:rPr>
          <w:rFonts w:cs="Arial"/>
        </w:rPr>
        <w:t xml:space="preserve">indings were mapped against the </w:t>
      </w:r>
      <w:r w:rsidR="00F7275F">
        <w:rPr>
          <w:rFonts w:cs="Arial"/>
        </w:rPr>
        <w:t>k</w:t>
      </w:r>
      <w:r w:rsidR="00EF65AE" w:rsidRPr="00EF65AE">
        <w:rPr>
          <w:rFonts w:cs="Arial"/>
        </w:rPr>
        <w:t xml:space="preserve">ey </w:t>
      </w:r>
      <w:r w:rsidR="00F7275F">
        <w:rPr>
          <w:rFonts w:cs="Arial"/>
        </w:rPr>
        <w:t>e</w:t>
      </w:r>
      <w:r w:rsidR="00EF65AE" w:rsidRPr="00EF65AE">
        <w:rPr>
          <w:rFonts w:cs="Arial"/>
        </w:rPr>
        <w:t>valuation</w:t>
      </w:r>
      <w:r w:rsidR="00F7275F">
        <w:rPr>
          <w:rFonts w:cs="Arial"/>
        </w:rPr>
        <w:t xml:space="preserve"> q</w:t>
      </w:r>
      <w:r w:rsidR="00EF65AE" w:rsidRPr="00EF65AE">
        <w:rPr>
          <w:rFonts w:cs="Arial"/>
        </w:rPr>
        <w:t>uestions to ensure all questions were addressed. Direct quot</w:t>
      </w:r>
      <w:r w:rsidR="00F7275F">
        <w:rPr>
          <w:rFonts w:cs="Arial"/>
        </w:rPr>
        <w:t>es</w:t>
      </w:r>
      <w:r w:rsidR="00EF65AE" w:rsidRPr="00EF65AE">
        <w:rPr>
          <w:rFonts w:cs="Arial"/>
        </w:rPr>
        <w:t xml:space="preserve"> were selected to illustrate key findings. </w:t>
      </w:r>
    </w:p>
    <w:p w14:paraId="242F113A" w14:textId="77777777" w:rsidR="00EF65AE" w:rsidRPr="00EF65AE" w:rsidRDefault="00EF65AE" w:rsidP="00EF65AE">
      <w:pPr>
        <w:rPr>
          <w:rFonts w:cs="Arial"/>
        </w:rPr>
      </w:pPr>
      <w:r w:rsidRPr="00EF65AE">
        <w:rPr>
          <w:rFonts w:cs="Arial"/>
        </w:rPr>
        <w:t xml:space="preserve">Each question was answered using a triangulation of data sources, </w:t>
      </w:r>
      <w:r w:rsidR="0068766C">
        <w:rPr>
          <w:rFonts w:cs="Arial"/>
        </w:rPr>
        <w:t>as</w:t>
      </w:r>
      <w:r w:rsidRPr="00EF65AE">
        <w:rPr>
          <w:rFonts w:cs="Arial"/>
        </w:rPr>
        <w:t xml:space="preserve"> the</w:t>
      </w:r>
      <w:r w:rsidR="0068766C">
        <w:rPr>
          <w:rFonts w:cs="Arial"/>
        </w:rPr>
        <w:t xml:space="preserve"> evaluation</w:t>
      </w:r>
      <w:r w:rsidR="00A54030">
        <w:rPr>
          <w:rFonts w:cs="Arial"/>
        </w:rPr>
        <w:t xml:space="preserve"> </w:t>
      </w:r>
      <w:r w:rsidRPr="00EF65AE">
        <w:rPr>
          <w:rFonts w:cs="Arial"/>
        </w:rPr>
        <w:t>team ask</w:t>
      </w:r>
      <w:r w:rsidR="0068766C">
        <w:rPr>
          <w:rFonts w:cs="Arial"/>
        </w:rPr>
        <w:t>ed</w:t>
      </w:r>
      <w:r w:rsidRPr="00EF65AE">
        <w:rPr>
          <w:rFonts w:cs="Arial"/>
        </w:rPr>
        <w:t xml:space="preserve"> similar questions of many actors during focus group discussions and interviews in seven countries. </w:t>
      </w:r>
      <w:r w:rsidR="00F7275F">
        <w:rPr>
          <w:rFonts w:cs="Arial"/>
        </w:rPr>
        <w:t>A</w:t>
      </w:r>
      <w:r w:rsidRPr="00EF65AE">
        <w:rPr>
          <w:rFonts w:cs="Arial"/>
        </w:rPr>
        <w:t xml:space="preserve">nswers passed through the individual and collective judgement of the evaluation team, their reading of additional documentary sources, and their knowledge of best practices on the subject. </w:t>
      </w:r>
    </w:p>
    <w:p w14:paraId="3CB4B284" w14:textId="1C64803C" w:rsidR="00EF65AE" w:rsidRPr="0068766C" w:rsidRDefault="00EF65AE" w:rsidP="0068766C">
      <w:pPr>
        <w:rPr>
          <w:rFonts w:cs="Arial"/>
        </w:rPr>
      </w:pPr>
      <w:r w:rsidRPr="00EF65AE">
        <w:rPr>
          <w:rFonts w:cs="Arial"/>
        </w:rPr>
        <w:t xml:space="preserve">Draft reports were reviewed for accuracy by staff from DFAT Canberra and </w:t>
      </w:r>
      <w:r w:rsidR="00075611">
        <w:rPr>
          <w:rFonts w:cs="Arial"/>
        </w:rPr>
        <w:t>p</w:t>
      </w:r>
      <w:r w:rsidRPr="00EF65AE">
        <w:rPr>
          <w:rFonts w:cs="Arial"/>
        </w:rPr>
        <w:t>osts,</w:t>
      </w:r>
      <w:r w:rsidR="00A54030">
        <w:rPr>
          <w:rFonts w:cs="Arial"/>
        </w:rPr>
        <w:t xml:space="preserve"> </w:t>
      </w:r>
      <w:r w:rsidRPr="00EF65AE">
        <w:rPr>
          <w:rFonts w:cs="Arial"/>
        </w:rPr>
        <w:t>key stakeholders and experts from the region</w:t>
      </w:r>
      <w:r w:rsidR="00F7275F">
        <w:rPr>
          <w:rFonts w:cs="Arial"/>
        </w:rPr>
        <w:t xml:space="preserve">. </w:t>
      </w:r>
      <w:r w:rsidR="0068766C">
        <w:rPr>
          <w:rFonts w:cs="Arial"/>
        </w:rPr>
        <w:t>Feedback was</w:t>
      </w:r>
      <w:r w:rsidRPr="00EF65AE">
        <w:rPr>
          <w:rFonts w:cs="Arial"/>
        </w:rPr>
        <w:t xml:space="preserve"> incorporated into </w:t>
      </w:r>
      <w:r w:rsidR="0068766C">
        <w:rPr>
          <w:rFonts w:cs="Arial"/>
        </w:rPr>
        <w:t xml:space="preserve">the report. </w:t>
      </w:r>
      <w:r w:rsidRPr="0068766C">
        <w:rPr>
          <w:rFonts w:cs="Arial"/>
        </w:rPr>
        <w:t xml:space="preserve">Feedback from key stakeholders on the first draft indicated that findings largely reflected their own lived experiences. The evaluation team made every effort to correct mistakes and omissions and to consider alternative views to </w:t>
      </w:r>
      <w:r w:rsidR="00F7275F" w:rsidRPr="0068766C">
        <w:rPr>
          <w:rFonts w:cs="Arial"/>
        </w:rPr>
        <w:t>their</w:t>
      </w:r>
      <w:r w:rsidRPr="0068766C">
        <w:rPr>
          <w:rFonts w:cs="Arial"/>
        </w:rPr>
        <w:t xml:space="preserve"> own. </w:t>
      </w:r>
    </w:p>
    <w:p w14:paraId="7B3140A0" w14:textId="77777777" w:rsidR="00EF65AE" w:rsidRPr="00EF65AE" w:rsidRDefault="00EF65AE" w:rsidP="009005FA">
      <w:pPr>
        <w:pStyle w:val="AnnexSubHeading"/>
        <w:rPr>
          <w:lang w:val="en-GB" w:eastAsia="en-AU"/>
        </w:rPr>
      </w:pPr>
      <w:bookmarkStart w:id="441" w:name="_Toc2869570"/>
      <w:bookmarkStart w:id="442" w:name="_Toc4156977"/>
      <w:bookmarkStart w:id="443" w:name="_Toc7209411"/>
      <w:bookmarkStart w:id="444" w:name="_Toc10114152"/>
      <w:bookmarkStart w:id="445" w:name="_Toc10400336"/>
      <w:bookmarkStart w:id="446" w:name="_Toc14959629"/>
      <w:bookmarkStart w:id="447" w:name="_Toc15563034"/>
      <w:bookmarkStart w:id="448" w:name="_Toc20307947"/>
      <w:bookmarkStart w:id="449" w:name="_Toc21365308"/>
      <w:bookmarkStart w:id="450" w:name="_Toc23434570"/>
      <w:r w:rsidRPr="00EF65AE">
        <w:rPr>
          <w:lang w:val="en-GB" w:eastAsia="en-AU"/>
        </w:rPr>
        <w:t>Ethical considerations</w:t>
      </w:r>
      <w:bookmarkEnd w:id="441"/>
      <w:bookmarkEnd w:id="442"/>
      <w:bookmarkEnd w:id="443"/>
      <w:bookmarkEnd w:id="444"/>
      <w:bookmarkEnd w:id="445"/>
      <w:bookmarkEnd w:id="446"/>
      <w:bookmarkEnd w:id="447"/>
      <w:bookmarkEnd w:id="448"/>
      <w:bookmarkEnd w:id="449"/>
      <w:bookmarkEnd w:id="450"/>
    </w:p>
    <w:p w14:paraId="2B892FB0" w14:textId="5FC94C7B" w:rsidR="00EF65AE" w:rsidRPr="00EF65AE" w:rsidRDefault="00EF65AE" w:rsidP="00EF65AE">
      <w:pPr>
        <w:rPr>
          <w:rFonts w:cs="Arial"/>
        </w:rPr>
      </w:pPr>
      <w:r w:rsidRPr="00EF65AE">
        <w:rPr>
          <w:rFonts w:cs="Arial"/>
        </w:rPr>
        <w:t>The evaluation adhered to the ethical and safety guidelines developed by the Australasian Evaluation Society’s guidelines and the World Health Organi</w:t>
      </w:r>
      <w:r w:rsidR="00DA261D">
        <w:rPr>
          <w:rFonts w:cs="Arial"/>
        </w:rPr>
        <w:t>z</w:t>
      </w:r>
      <w:r w:rsidRPr="00EF65AE">
        <w:rPr>
          <w:rFonts w:cs="Arial"/>
        </w:rPr>
        <w:t xml:space="preserve">ation’s </w:t>
      </w:r>
      <w:r w:rsidRPr="00EF65AE">
        <w:rPr>
          <w:rFonts w:cs="Arial"/>
          <w:i/>
        </w:rPr>
        <w:t>Ethical and Safety Recommendations for Researching Violence against Women and Girls</w:t>
      </w:r>
      <w:r w:rsidRPr="00EF65AE">
        <w:rPr>
          <w:rFonts w:cs="Arial"/>
        </w:rPr>
        <w:t xml:space="preserve"> (WHO, 2001.) These principles are summari</w:t>
      </w:r>
      <w:r w:rsidR="00F7275F">
        <w:rPr>
          <w:rFonts w:cs="Arial"/>
        </w:rPr>
        <w:t>s</w:t>
      </w:r>
      <w:r w:rsidRPr="00EF65AE">
        <w:rPr>
          <w:rFonts w:cs="Arial"/>
        </w:rPr>
        <w:t xml:space="preserve">ed in a guidance paper drafted by </w:t>
      </w:r>
      <w:r w:rsidR="00F7275F">
        <w:rPr>
          <w:rFonts w:cs="Arial"/>
        </w:rPr>
        <w:t>the G</w:t>
      </w:r>
      <w:r w:rsidR="00E958B5">
        <w:rPr>
          <w:rFonts w:cs="Arial"/>
        </w:rPr>
        <w:t>WI’s</w:t>
      </w:r>
      <w:r w:rsidR="00F7275F">
        <w:rPr>
          <w:rFonts w:cs="Arial"/>
        </w:rPr>
        <w:t xml:space="preserve"> Institute</w:t>
      </w:r>
      <w:r w:rsidRPr="00EF65AE">
        <w:rPr>
          <w:rFonts w:cs="Arial"/>
        </w:rPr>
        <w:t xml:space="preserve"> and published on the ODE section of DFAT</w:t>
      </w:r>
      <w:r w:rsidR="00F7275F">
        <w:rPr>
          <w:rFonts w:cs="Arial"/>
        </w:rPr>
        <w:t>’s</w:t>
      </w:r>
      <w:r w:rsidRPr="00EF65AE">
        <w:rPr>
          <w:rFonts w:cs="Arial"/>
        </w:rPr>
        <w:t xml:space="preserve"> website (DFAT, 2018)</w:t>
      </w:r>
      <w:r w:rsidR="00E2253F">
        <w:rPr>
          <w:rFonts w:cs="Arial"/>
        </w:rPr>
        <w:t xml:space="preserve">. </w:t>
      </w:r>
    </w:p>
    <w:p w14:paraId="48F74CA0" w14:textId="77777777" w:rsidR="00F7275F" w:rsidRDefault="00EF65AE" w:rsidP="00EF65AE">
      <w:pPr>
        <w:rPr>
          <w:rFonts w:cs="Arial"/>
        </w:rPr>
      </w:pPr>
      <w:r w:rsidRPr="00EF65AE">
        <w:rPr>
          <w:rFonts w:cs="Arial"/>
        </w:rPr>
        <w:t xml:space="preserve">The </w:t>
      </w:r>
      <w:r w:rsidR="00F7275F">
        <w:rPr>
          <w:rFonts w:cs="Arial"/>
        </w:rPr>
        <w:t xml:space="preserve">evaluation’s </w:t>
      </w:r>
      <w:r w:rsidRPr="00EF65AE">
        <w:rPr>
          <w:rFonts w:cs="Arial"/>
        </w:rPr>
        <w:t xml:space="preserve">guiding principle was to avoid actions that might place respondents or researchers at risk of physical, emotional or social harm. Informed consent was obtained for all interviews, audio recordings and photographs. All interviews were conducted in complete privacy to ensure confidentiality. No photographs of survivors of violence were used in the report and names and identifying characteristics of informants were modified to protect confidentiality, unless consent was explicitly given (in the case of public figures). </w:t>
      </w:r>
    </w:p>
    <w:p w14:paraId="52438039" w14:textId="161D7510" w:rsidR="00EF65AE" w:rsidRPr="00EF65AE" w:rsidRDefault="00F7275F" w:rsidP="00EF65AE">
      <w:pPr>
        <w:rPr>
          <w:rFonts w:cs="Arial"/>
        </w:rPr>
      </w:pPr>
      <w:r>
        <w:rPr>
          <w:rFonts w:cs="Arial"/>
        </w:rPr>
        <w:t>F</w:t>
      </w:r>
      <w:r w:rsidR="00EF65AE" w:rsidRPr="00EF65AE">
        <w:rPr>
          <w:rFonts w:cs="Arial"/>
        </w:rPr>
        <w:t xml:space="preserve">ocus group discussions addressed the opinions and knowledge of participants on </w:t>
      </w:r>
      <w:r>
        <w:rPr>
          <w:rFonts w:cs="Arial"/>
        </w:rPr>
        <w:t xml:space="preserve">EVAWG </w:t>
      </w:r>
      <w:r w:rsidR="00EF65AE" w:rsidRPr="00EF65AE">
        <w:rPr>
          <w:rFonts w:cs="Arial"/>
        </w:rPr>
        <w:t xml:space="preserve">issues and participants were explicitly not encouraged to share personal experiences. All survivors were contacted through service providers and were already receiving support services </w:t>
      </w:r>
      <w:r>
        <w:rPr>
          <w:rFonts w:cs="Arial"/>
        </w:rPr>
        <w:t>when interviewed</w:t>
      </w:r>
      <w:r w:rsidR="00EF65AE" w:rsidRPr="00EF65AE">
        <w:rPr>
          <w:rFonts w:cs="Arial"/>
        </w:rPr>
        <w:t>. Interviews with survivors always concluded with a message developed by</w:t>
      </w:r>
      <w:r w:rsidR="00E958B5">
        <w:rPr>
          <w:rFonts w:cs="Arial"/>
        </w:rPr>
        <w:t xml:space="preserve"> the</w:t>
      </w:r>
      <w:r w:rsidR="00EF65AE" w:rsidRPr="00EF65AE">
        <w:rPr>
          <w:rFonts w:cs="Arial"/>
        </w:rPr>
        <w:t xml:space="preserve"> W</w:t>
      </w:r>
      <w:r>
        <w:rPr>
          <w:rFonts w:cs="Arial"/>
        </w:rPr>
        <w:t>orld Health Organi</w:t>
      </w:r>
      <w:r w:rsidR="00DA261D">
        <w:rPr>
          <w:rFonts w:cs="Arial"/>
        </w:rPr>
        <w:t>z</w:t>
      </w:r>
      <w:r>
        <w:rPr>
          <w:rFonts w:cs="Arial"/>
        </w:rPr>
        <w:t>ation</w:t>
      </w:r>
      <w:r w:rsidR="00EF65AE" w:rsidRPr="00EF65AE">
        <w:rPr>
          <w:rFonts w:cs="Arial"/>
        </w:rPr>
        <w:t xml:space="preserve"> emphasi</w:t>
      </w:r>
      <w:r>
        <w:rPr>
          <w:rFonts w:cs="Arial"/>
        </w:rPr>
        <w:t>sing</w:t>
      </w:r>
      <w:r w:rsidR="00EF65AE" w:rsidRPr="00EF65AE">
        <w:rPr>
          <w:rFonts w:cs="Arial"/>
        </w:rPr>
        <w:t xml:space="preserve"> the strength and resilience of survivors and the unacceptability of violence in all cases.</w:t>
      </w:r>
    </w:p>
    <w:p w14:paraId="029AEC58" w14:textId="77777777" w:rsidR="00EF65AE" w:rsidRPr="00EF65AE" w:rsidRDefault="00EF65AE" w:rsidP="00EF65AE">
      <w:pPr>
        <w:rPr>
          <w:rFonts w:cs="Arial"/>
        </w:rPr>
      </w:pPr>
      <w:r w:rsidRPr="00EF65AE">
        <w:rPr>
          <w:rFonts w:cs="Arial"/>
        </w:rPr>
        <w:t>The evaluation team assured all informants that</w:t>
      </w:r>
      <w:r w:rsidR="0025325B">
        <w:rPr>
          <w:rFonts w:cs="Arial"/>
        </w:rPr>
        <w:t xml:space="preserve"> neither</w:t>
      </w:r>
      <w:r w:rsidRPr="00EF65AE">
        <w:rPr>
          <w:rFonts w:cs="Arial"/>
        </w:rPr>
        <w:t xml:space="preserve"> their comments nor identifiable information</w:t>
      </w:r>
      <w:r w:rsidR="0025325B">
        <w:rPr>
          <w:rFonts w:cs="Arial"/>
        </w:rPr>
        <w:t xml:space="preserve"> would be shared</w:t>
      </w:r>
      <w:r w:rsidR="00D008EA">
        <w:rPr>
          <w:rFonts w:cs="Arial"/>
        </w:rPr>
        <w:t xml:space="preserve"> </w:t>
      </w:r>
      <w:r w:rsidRPr="00EF65AE">
        <w:rPr>
          <w:rFonts w:cs="Arial"/>
        </w:rPr>
        <w:t>with DFAT or anyone else. ODE and DFAT participants in the evaluation agreed to abide by these ethical guidelines</w:t>
      </w:r>
      <w:r w:rsidR="00E2253F">
        <w:rPr>
          <w:rFonts w:cs="Arial"/>
        </w:rPr>
        <w:t xml:space="preserve">. </w:t>
      </w:r>
    </w:p>
    <w:p w14:paraId="0C699316" w14:textId="77777777" w:rsidR="00EF65AE" w:rsidRPr="00EF65AE" w:rsidRDefault="00EF65AE" w:rsidP="00B9603B">
      <w:pPr>
        <w:pStyle w:val="AnnexSubHeading"/>
        <w:rPr>
          <w:lang w:val="en-GB" w:eastAsia="en-AU"/>
        </w:rPr>
      </w:pPr>
      <w:bookmarkStart w:id="451" w:name="_Toc2869571"/>
      <w:bookmarkStart w:id="452" w:name="_Toc4156978"/>
      <w:bookmarkStart w:id="453" w:name="_Toc7209412"/>
      <w:bookmarkStart w:id="454" w:name="_Toc10114153"/>
      <w:bookmarkStart w:id="455" w:name="_Toc10400337"/>
      <w:bookmarkStart w:id="456" w:name="_Toc14959630"/>
      <w:bookmarkStart w:id="457" w:name="_Toc15563035"/>
      <w:bookmarkStart w:id="458" w:name="_Toc20307948"/>
      <w:bookmarkStart w:id="459" w:name="_Toc21365309"/>
      <w:bookmarkStart w:id="460" w:name="_Toc23434571"/>
      <w:r w:rsidRPr="00EF65AE">
        <w:rPr>
          <w:lang w:val="en-GB" w:eastAsia="en-AU"/>
        </w:rPr>
        <w:t>Limitations</w:t>
      </w:r>
      <w:bookmarkEnd w:id="451"/>
      <w:bookmarkEnd w:id="452"/>
      <w:bookmarkEnd w:id="453"/>
      <w:bookmarkEnd w:id="454"/>
      <w:bookmarkEnd w:id="455"/>
      <w:bookmarkEnd w:id="456"/>
      <w:bookmarkEnd w:id="457"/>
      <w:bookmarkEnd w:id="458"/>
      <w:bookmarkEnd w:id="459"/>
      <w:bookmarkEnd w:id="460"/>
    </w:p>
    <w:p w14:paraId="493C5F6D" w14:textId="77777777" w:rsidR="00EF65AE" w:rsidRPr="00EF65AE" w:rsidRDefault="00EF65AE" w:rsidP="00EF65AE">
      <w:pPr>
        <w:rPr>
          <w:rFonts w:cs="Arial"/>
        </w:rPr>
      </w:pPr>
      <w:r w:rsidRPr="00EF65AE">
        <w:rPr>
          <w:rFonts w:cs="Arial"/>
        </w:rPr>
        <w:t>The</w:t>
      </w:r>
      <w:r w:rsidR="0025325B">
        <w:rPr>
          <w:rFonts w:cs="Arial"/>
        </w:rPr>
        <w:t>se factors</w:t>
      </w:r>
      <w:r w:rsidRPr="00EF65AE">
        <w:rPr>
          <w:rFonts w:cs="Arial"/>
        </w:rPr>
        <w:t xml:space="preserve"> limit</w:t>
      </w:r>
      <w:r w:rsidR="0025325B">
        <w:rPr>
          <w:rFonts w:cs="Arial"/>
        </w:rPr>
        <w:t>ed the evaluations</w:t>
      </w:r>
      <w:r w:rsidRPr="00EF65AE">
        <w:rPr>
          <w:rFonts w:cs="Arial"/>
        </w:rPr>
        <w:t xml:space="preserve"> generalisability and validity:</w:t>
      </w:r>
    </w:p>
    <w:p w14:paraId="2C25BE6B" w14:textId="77777777" w:rsidR="00EF65AE" w:rsidRPr="00EF65AE" w:rsidRDefault="00EF65AE" w:rsidP="00902861">
      <w:pPr>
        <w:pStyle w:val="ListNumber"/>
      </w:pPr>
      <w:r w:rsidRPr="00EF65AE">
        <w:t>Since the 2008 ODE report, Australian assistance to EVAWG has expanded enormously</w:t>
      </w:r>
      <w:r w:rsidR="0025325B">
        <w:t>—</w:t>
      </w:r>
      <w:r w:rsidRPr="00EF65AE">
        <w:t>in size a</w:t>
      </w:r>
      <w:r w:rsidR="0025325B">
        <w:t>nd</w:t>
      </w:r>
      <w:r w:rsidRPr="00EF65AE">
        <w:t xml:space="preserve"> number of countries receiving support</w:t>
      </w:r>
      <w:r w:rsidR="00E2253F">
        <w:t xml:space="preserve">. </w:t>
      </w:r>
      <w:r w:rsidRPr="00EF65AE">
        <w:t>Only seven countries were reviewed in this report. Although the</w:t>
      </w:r>
      <w:r w:rsidR="0025325B">
        <w:t>se</w:t>
      </w:r>
      <w:r w:rsidRPr="00EF65AE">
        <w:t xml:space="preserve"> countries and </w:t>
      </w:r>
      <w:r w:rsidR="0025325B">
        <w:t xml:space="preserve">the </w:t>
      </w:r>
      <w:r w:rsidRPr="00EF65AE">
        <w:t>programs included in the study represent a large proportion of Australian investments, it was not possible</w:t>
      </w:r>
      <w:r w:rsidR="0025325B">
        <w:t xml:space="preserve"> </w:t>
      </w:r>
      <w:r w:rsidRPr="00EF65AE">
        <w:t>to re</w:t>
      </w:r>
      <w:r w:rsidR="0068766C">
        <w:t>view</w:t>
      </w:r>
      <w:r w:rsidRPr="00EF65AE">
        <w:t xml:space="preserve"> all </w:t>
      </w:r>
      <w:r w:rsidR="0068766C">
        <w:t xml:space="preserve">EVAWG work supported by </w:t>
      </w:r>
      <w:r w:rsidRPr="00EF65AE">
        <w:t xml:space="preserve">Australia. </w:t>
      </w:r>
    </w:p>
    <w:p w14:paraId="3F06D3A8" w14:textId="0785C97E" w:rsidR="00EF65AE" w:rsidRPr="00EF65AE" w:rsidRDefault="00EF65AE" w:rsidP="00902861">
      <w:pPr>
        <w:pStyle w:val="ListNumber"/>
      </w:pPr>
      <w:r w:rsidRPr="00EF65AE">
        <w:t xml:space="preserve">Although an effort was made to achieve a balance between geographical regions, the Pacific region and Timor-Leste figure more prominently in the report, by virtue of the scale of investments and availability of evidence. </w:t>
      </w:r>
      <w:r w:rsidR="00572A8A">
        <w:t>As</w:t>
      </w:r>
      <w:r w:rsidRPr="00EF65AE">
        <w:t xml:space="preserve"> Australia is the main donor in most Pacific countries reviewed</w:t>
      </w:r>
      <w:r w:rsidR="00E958B5">
        <w:t>,</w:t>
      </w:r>
      <w:r w:rsidR="00572A8A">
        <w:t xml:space="preserve"> </w:t>
      </w:r>
      <w:r w:rsidR="00B8572E">
        <w:t>it was possible to assess what has been achieved as a result of Australian support for EVAWG programs. It</w:t>
      </w:r>
      <w:r w:rsidR="00572A8A">
        <w:t xml:space="preserve"> was</w:t>
      </w:r>
      <w:r w:rsidRPr="00EF65AE">
        <w:t xml:space="preserve"> more difficult to draw conclusions </w:t>
      </w:r>
      <w:r w:rsidR="0025325B">
        <w:t>on</w:t>
      </w:r>
      <w:r w:rsidR="0025325B" w:rsidRPr="00EF65AE">
        <w:t xml:space="preserve"> </w:t>
      </w:r>
      <w:r w:rsidRPr="00EF65AE">
        <w:t xml:space="preserve">Australia’s contribution to change </w:t>
      </w:r>
      <w:r w:rsidR="00572A8A">
        <w:t xml:space="preserve">in </w:t>
      </w:r>
      <w:r w:rsidR="00572A8A" w:rsidRPr="00EF65AE">
        <w:t>Indonesia and Pakistan</w:t>
      </w:r>
      <w:r w:rsidR="00572A8A">
        <w:t xml:space="preserve"> as they</w:t>
      </w:r>
      <w:r w:rsidR="00572A8A" w:rsidRPr="00EF65AE">
        <w:t xml:space="preserve"> have a much broader donor base than Pacific </w:t>
      </w:r>
      <w:r w:rsidR="00AF5F1F">
        <w:t>i</w:t>
      </w:r>
      <w:r w:rsidR="00B8572E">
        <w:t>sland countries.</w:t>
      </w:r>
    </w:p>
    <w:p w14:paraId="03F2A422" w14:textId="22DB6B04" w:rsidR="00EF65AE" w:rsidRPr="00EF65AE" w:rsidRDefault="00EF65AE" w:rsidP="00902861">
      <w:pPr>
        <w:pStyle w:val="ListNumber"/>
      </w:pPr>
      <w:r w:rsidRPr="00EF65AE">
        <w:t xml:space="preserve">It was not possible to give equal weight to each </w:t>
      </w:r>
      <w:r w:rsidR="006E54D6">
        <w:t>k</w:t>
      </w:r>
      <w:r w:rsidRPr="00EF65AE">
        <w:t xml:space="preserve">ey </w:t>
      </w:r>
      <w:r w:rsidR="006E54D6">
        <w:t>e</w:t>
      </w:r>
      <w:r w:rsidRPr="00EF65AE">
        <w:t xml:space="preserve">valuation </w:t>
      </w:r>
      <w:r w:rsidR="006E54D6">
        <w:t>q</w:t>
      </w:r>
      <w:r w:rsidRPr="00EF65AE">
        <w:t>uestion in every country</w:t>
      </w:r>
      <w:r w:rsidR="00E2253F">
        <w:t xml:space="preserve">. </w:t>
      </w:r>
      <w:r w:rsidR="006E54D6">
        <w:t>F</w:t>
      </w:r>
      <w:r w:rsidRPr="00EF65AE">
        <w:t xml:space="preserve">ield visits were meant to provide useful feedback in real time to DFAT country programs. Therefore, the selection of interviews and visits reflected, to some extent, </w:t>
      </w:r>
      <w:r w:rsidR="006E54D6">
        <w:t>DFAT</w:t>
      </w:r>
      <w:r w:rsidR="006E54D6" w:rsidRPr="00EF65AE">
        <w:t xml:space="preserve"> </w:t>
      </w:r>
      <w:r w:rsidRPr="00EF65AE">
        <w:t>priorities</w:t>
      </w:r>
      <w:r w:rsidR="0068766C">
        <w:t xml:space="preserve"> of</w:t>
      </w:r>
      <w:r w:rsidRPr="00EF65AE">
        <w:t xml:space="preserve"> </w:t>
      </w:r>
      <w:r w:rsidR="00075611">
        <w:t>p</w:t>
      </w:r>
      <w:r w:rsidRPr="00EF65AE">
        <w:t>osts at the time of the visit rather than what was needed to make direct comparisons to the 2008 baseline.</w:t>
      </w:r>
    </w:p>
    <w:p w14:paraId="0E8F6680" w14:textId="77777777" w:rsidR="00EF65AE" w:rsidRPr="00EF65AE" w:rsidRDefault="00EF65AE" w:rsidP="00902861">
      <w:pPr>
        <w:pStyle w:val="ListNumber"/>
      </w:pPr>
      <w:r w:rsidRPr="00EF65AE">
        <w:t>The</w:t>
      </w:r>
      <w:r w:rsidR="00A54030">
        <w:t xml:space="preserve"> evaluation</w:t>
      </w:r>
      <w:r w:rsidRPr="00EF65AE">
        <w:t xml:space="preserve"> team spent a relatively brief amount of time in five of the countries, and two countries were evaluated remotely. The </w:t>
      </w:r>
      <w:r w:rsidR="006E54D6">
        <w:t xml:space="preserve">evaluation’s </w:t>
      </w:r>
      <w:r w:rsidRPr="00EF65AE">
        <w:t xml:space="preserve">purpose was to assess the overall effectiveness of Australian investments, </w:t>
      </w:r>
      <w:r w:rsidR="006E54D6">
        <w:t>not the effectiveness of</w:t>
      </w:r>
      <w:r w:rsidRPr="00EF65AE">
        <w:t xml:space="preserve"> specific program</w:t>
      </w:r>
      <w:r w:rsidR="006E54D6">
        <w:t>s</w:t>
      </w:r>
      <w:r w:rsidRPr="00EF65AE">
        <w:t xml:space="preserve">. Although the team </w:t>
      </w:r>
      <w:r w:rsidR="006E54D6">
        <w:t>tried</w:t>
      </w:r>
      <w:r w:rsidRPr="00EF65AE">
        <w:t xml:space="preserve"> to interview a wide range of stakeholders and </w:t>
      </w:r>
      <w:r w:rsidR="006E54D6">
        <w:t xml:space="preserve">assess </w:t>
      </w:r>
      <w:r w:rsidRPr="00EF65AE">
        <w:t xml:space="preserve">programs in each country, it is possible that some important perspectives were not </w:t>
      </w:r>
      <w:r w:rsidR="0068766C">
        <w:t>included</w:t>
      </w:r>
      <w:r w:rsidRPr="00EF65AE">
        <w:t xml:space="preserve">. </w:t>
      </w:r>
    </w:p>
    <w:p w14:paraId="2E5BEE2E" w14:textId="77777777" w:rsidR="00EF65AE" w:rsidRPr="00EF65AE" w:rsidRDefault="00EF65AE" w:rsidP="00902861">
      <w:pPr>
        <w:pStyle w:val="ListNumber"/>
      </w:pPr>
      <w:r w:rsidRPr="00EF65AE">
        <w:t>The</w:t>
      </w:r>
      <w:r w:rsidR="00A54030">
        <w:t xml:space="preserve"> evaluation</w:t>
      </w:r>
      <w:r w:rsidRPr="00EF65AE">
        <w:t xml:space="preserve"> team’s ability to assess the </w:t>
      </w:r>
      <w:r w:rsidR="006E54D6">
        <w:t>program</w:t>
      </w:r>
      <w:r w:rsidRPr="00EF65AE">
        <w:t xml:space="preserve"> programming was constrained by the number and quality of existing evaluations. Although documentation of programs and activities funded by Australia</w:t>
      </w:r>
      <w:r w:rsidR="00A54030">
        <w:t xml:space="preserve"> was generally adequate</w:t>
      </w:r>
      <w:r w:rsidRPr="00EF65AE">
        <w:t xml:space="preserve">, </w:t>
      </w:r>
      <w:r w:rsidR="006E54D6">
        <w:t>it</w:t>
      </w:r>
      <w:r w:rsidR="006E54D6" w:rsidRPr="00EF65AE">
        <w:t xml:space="preserve"> </w:t>
      </w:r>
      <w:r w:rsidRPr="00EF65AE">
        <w:t>was mainly descriptive and process oriented. Very few evaluations using rigorous methods—such as baseline</w:t>
      </w:r>
      <w:r w:rsidR="006E54D6">
        <w:t xml:space="preserve"> and </w:t>
      </w:r>
      <w:r w:rsidRPr="00EF65AE">
        <w:t>end</w:t>
      </w:r>
      <w:r w:rsidR="006E54D6">
        <w:t>-</w:t>
      </w:r>
      <w:r w:rsidRPr="00EF65AE">
        <w:t>line comparisons, or comparisons between groups—ha</w:t>
      </w:r>
      <w:r w:rsidR="006E54D6">
        <w:t>d</w:t>
      </w:r>
      <w:r w:rsidRPr="00EF65AE">
        <w:t xml:space="preserve"> been conducted to measure </w:t>
      </w:r>
      <w:r w:rsidR="00682B77">
        <w:t>intervention</w:t>
      </w:r>
      <w:r w:rsidR="00682B77" w:rsidRPr="00EF65AE">
        <w:t xml:space="preserve"> </w:t>
      </w:r>
      <w:r w:rsidRPr="00EF65AE">
        <w:t xml:space="preserve">impact. </w:t>
      </w:r>
    </w:p>
    <w:p w14:paraId="17CD1E99" w14:textId="4F9491EC" w:rsidR="00EF65AE" w:rsidRPr="00EF65AE" w:rsidRDefault="00EF65AE" w:rsidP="00902861">
      <w:pPr>
        <w:pStyle w:val="ListNumber"/>
      </w:pPr>
      <w:r w:rsidRPr="00EF65AE">
        <w:t xml:space="preserve">Many of the most innovative programs and activities (for example, Pacific Women) </w:t>
      </w:r>
      <w:r w:rsidR="00682B77">
        <w:t xml:space="preserve">had </w:t>
      </w:r>
      <w:r w:rsidRPr="00EF65AE">
        <w:t xml:space="preserve">only started within the last five years. It would not be reasonable to expect tangible outcomes in such a short </w:t>
      </w:r>
      <w:r w:rsidR="00682B77">
        <w:t>time</w:t>
      </w:r>
      <w:r w:rsidRPr="00EF65AE">
        <w:t xml:space="preserve">. In such cases, the evaluation team </w:t>
      </w:r>
      <w:r w:rsidR="00682B77">
        <w:t>could</w:t>
      </w:r>
      <w:r w:rsidRPr="00EF65AE">
        <w:t xml:space="preserve"> only assess </w:t>
      </w:r>
      <w:r w:rsidR="00682B77">
        <w:t>if a</w:t>
      </w:r>
      <w:r w:rsidRPr="00EF65AE">
        <w:t xml:space="preserve"> project was in keeping with best practice and on track for success. </w:t>
      </w:r>
    </w:p>
    <w:p w14:paraId="331B9CCA" w14:textId="0A0C1E93" w:rsidR="00EF65AE" w:rsidRPr="00EF65AE" w:rsidRDefault="00EF65AE" w:rsidP="00902861">
      <w:pPr>
        <w:pStyle w:val="ListNumber"/>
      </w:pPr>
      <w:r w:rsidRPr="00EF65AE">
        <w:t xml:space="preserve">Due to the </w:t>
      </w:r>
      <w:r w:rsidR="00682B77">
        <w:t xml:space="preserve">study’s </w:t>
      </w:r>
      <w:r w:rsidRPr="00EF65AE">
        <w:t>broad scope and lack of reliable data sources, the review was limited in its ability to assess intersectional and life-course variations</w:t>
      </w:r>
      <w:r w:rsidR="002C2FFE">
        <w:t>.</w:t>
      </w:r>
      <w:r w:rsidRPr="00EF65AE">
        <w:t xml:space="preserve"> </w:t>
      </w:r>
      <w:r w:rsidR="00682B77">
        <w:t>This included</w:t>
      </w:r>
      <w:r w:rsidRPr="00EF65AE">
        <w:t xml:space="preserve"> potentially differential and uneven impacts and benefit</w:t>
      </w:r>
      <w:r w:rsidR="00682B77">
        <w:t>s</w:t>
      </w:r>
      <w:r w:rsidRPr="00EF65AE">
        <w:t xml:space="preserve"> based on socio-economic and cultural differences between women and girls based on poverty status, and then</w:t>
      </w:r>
      <w:r w:rsidR="00682B77">
        <w:t xml:space="preserve"> areas such as</w:t>
      </w:r>
      <w:r w:rsidRPr="00EF65AE">
        <w:t xml:space="preserve"> age, religion, class</w:t>
      </w:r>
      <w:r w:rsidR="00682B77">
        <w:t xml:space="preserve"> and</w:t>
      </w:r>
      <w:r w:rsidRPr="00EF65AE">
        <w:t xml:space="preserve"> HIV status.</w:t>
      </w:r>
    </w:p>
    <w:p w14:paraId="455AB69E" w14:textId="77777777" w:rsidR="00EF65AE" w:rsidRPr="009D530A" w:rsidRDefault="00682B77" w:rsidP="00D108E7">
      <w:pPr>
        <w:pStyle w:val="ListNumber"/>
        <w:rPr>
          <w:rFonts w:cs="Arial"/>
        </w:rPr>
      </w:pPr>
      <w:r>
        <w:t>At</w:t>
      </w:r>
      <w:r w:rsidR="00572A8A">
        <w:t xml:space="preserve"> </w:t>
      </w:r>
      <w:r>
        <w:t>a</w:t>
      </w:r>
      <w:r w:rsidR="00EF65AE" w:rsidRPr="00EF65AE">
        <w:t>n early stage</w:t>
      </w:r>
      <w:r>
        <w:t>, the</w:t>
      </w:r>
      <w:r w:rsidR="006841AB">
        <w:t xml:space="preserve"> evaluation</w:t>
      </w:r>
      <w:r>
        <w:t xml:space="preserve"> team assessed </w:t>
      </w:r>
      <w:r w:rsidR="00EF65AE" w:rsidRPr="00EF65AE">
        <w:t xml:space="preserve">that humanitarian assistance could not be substantively considered within </w:t>
      </w:r>
      <w:r>
        <w:t>evaluation</w:t>
      </w:r>
      <w:r w:rsidRPr="00EF65AE">
        <w:t xml:space="preserve"> </w:t>
      </w:r>
      <w:r w:rsidR="00EF65AE" w:rsidRPr="00EF65AE">
        <w:t>scope (time and resources). An overview of the humanitarian work considered is in Annex 8</w:t>
      </w:r>
      <w:r w:rsidR="0068766C">
        <w:t>.</w:t>
      </w:r>
    </w:p>
    <w:p w14:paraId="441C9EF2" w14:textId="77777777" w:rsidR="00EF65AE" w:rsidRPr="00093711" w:rsidRDefault="000E34E6" w:rsidP="00902861">
      <w:pPr>
        <w:pStyle w:val="AnnexHeading"/>
        <w:rPr>
          <w:noProof/>
        </w:rPr>
      </w:pPr>
      <w:bookmarkStart w:id="461" w:name="_Toc2869572"/>
      <w:bookmarkStart w:id="462" w:name="_Toc4156979"/>
      <w:bookmarkStart w:id="463" w:name="_Toc7209413"/>
      <w:bookmarkStart w:id="464" w:name="_Toc14959631"/>
      <w:bookmarkStart w:id="465" w:name="_Toc15378145"/>
      <w:bookmarkStart w:id="466" w:name="_Toc15378494"/>
      <w:bookmarkStart w:id="467" w:name="_Toc15563036"/>
      <w:bookmarkStart w:id="468" w:name="_Toc23434572"/>
      <w:r>
        <w:rPr>
          <w:noProof/>
        </w:rPr>
        <w:t>I</w:t>
      </w:r>
      <w:r w:rsidR="004F0C71">
        <w:rPr>
          <w:noProof/>
        </w:rPr>
        <w:t xml:space="preserve">nvestments </w:t>
      </w:r>
      <w:r w:rsidR="002B24C3">
        <w:rPr>
          <w:noProof/>
        </w:rPr>
        <w:t>reviewed</w:t>
      </w:r>
      <w:r w:rsidR="004F0C71">
        <w:rPr>
          <w:noProof/>
        </w:rPr>
        <w:t xml:space="preserve"> in-depth</w:t>
      </w:r>
      <w:bookmarkEnd w:id="461"/>
      <w:bookmarkEnd w:id="462"/>
      <w:bookmarkEnd w:id="463"/>
      <w:bookmarkEnd w:id="464"/>
      <w:bookmarkEnd w:id="465"/>
      <w:bookmarkEnd w:id="466"/>
      <w:bookmarkEnd w:id="467"/>
      <w:bookmarkEnd w:id="468"/>
    </w:p>
    <w:p w14:paraId="190A71B3" w14:textId="1F58EE63" w:rsidR="005A25D5" w:rsidRPr="005A25D5" w:rsidRDefault="005A25D5" w:rsidP="00D36612">
      <w:pPr>
        <w:pStyle w:val="Caption"/>
        <w:rPr>
          <w:b w:val="0"/>
        </w:rPr>
      </w:pPr>
      <w:r w:rsidRPr="005A25D5">
        <w:rPr>
          <w:b w:val="0"/>
        </w:rPr>
        <w:t>This Annex has tables listing Australian investments reviewed in depth in this evaluation.</w:t>
      </w:r>
    </w:p>
    <w:p w14:paraId="40B893F4" w14:textId="77777777" w:rsidR="00EF65AE" w:rsidRPr="00EF65AE" w:rsidRDefault="00D36612" w:rsidP="00D36612">
      <w:pPr>
        <w:pStyle w:val="Caption"/>
      </w:pPr>
      <w:r>
        <w:t xml:space="preserve">Table </w:t>
      </w:r>
      <w:r w:rsidR="005A236E">
        <w:t>3</w:t>
      </w:r>
      <w:r w:rsidR="00EF65AE" w:rsidRPr="00EF65AE">
        <w:t>: Bilateral, regional and global investments considered in-depth through primary data collection</w:t>
      </w:r>
    </w:p>
    <w:tbl>
      <w:tblPr>
        <w:tblStyle w:val="TableGrid"/>
        <w:tblW w:w="5000" w:type="pct"/>
        <w:tblLook w:val="0420" w:firstRow="1" w:lastRow="0" w:firstColumn="0" w:lastColumn="0" w:noHBand="0" w:noVBand="1"/>
      </w:tblPr>
      <w:tblGrid>
        <w:gridCol w:w="1473"/>
        <w:gridCol w:w="3343"/>
        <w:gridCol w:w="4812"/>
      </w:tblGrid>
      <w:tr w:rsidR="00EF65AE" w:rsidRPr="0077119C" w14:paraId="2AC2AE3B" w14:textId="77777777" w:rsidTr="00B70FF2">
        <w:trPr>
          <w:cnfStyle w:val="100000000000" w:firstRow="1" w:lastRow="0" w:firstColumn="0" w:lastColumn="0" w:oddVBand="0" w:evenVBand="0" w:oddHBand="0" w:evenHBand="0" w:firstRowFirstColumn="0" w:firstRowLastColumn="0" w:lastRowFirstColumn="0" w:lastRowLastColumn="0"/>
        </w:trPr>
        <w:tc>
          <w:tcPr>
            <w:tcW w:w="765" w:type="pct"/>
          </w:tcPr>
          <w:p w14:paraId="0410CCC3" w14:textId="77777777" w:rsidR="00EF65AE" w:rsidRPr="0077119C" w:rsidRDefault="00EF65AE" w:rsidP="00EF65AE">
            <w:r w:rsidRPr="0077119C">
              <w:t>Country or region</w:t>
            </w:r>
          </w:p>
        </w:tc>
        <w:tc>
          <w:tcPr>
            <w:tcW w:w="1736" w:type="pct"/>
          </w:tcPr>
          <w:p w14:paraId="138C1582" w14:textId="77777777" w:rsidR="00EF65AE" w:rsidRPr="0077119C" w:rsidRDefault="00EF65AE" w:rsidP="00EF65AE">
            <w:r w:rsidRPr="0077119C">
              <w:t xml:space="preserve">Investment name, timeframe, estimated </w:t>
            </w:r>
            <w:r w:rsidRPr="00DB1A92">
              <w:t>value</w:t>
            </w:r>
            <w:r w:rsidR="00093711" w:rsidRPr="00DB1A92">
              <w:t xml:space="preserve"> (</w:t>
            </w:r>
            <w:r w:rsidR="00093711" w:rsidRPr="009402F6">
              <w:t>AUD)</w:t>
            </w:r>
          </w:p>
        </w:tc>
        <w:tc>
          <w:tcPr>
            <w:tcW w:w="2499" w:type="pct"/>
          </w:tcPr>
          <w:p w14:paraId="0021C657" w14:textId="77777777" w:rsidR="00EF65AE" w:rsidRPr="0077119C" w:rsidRDefault="00EF65AE" w:rsidP="00EF65AE">
            <w:r w:rsidRPr="0077119C">
              <w:t>Description</w:t>
            </w:r>
          </w:p>
        </w:tc>
      </w:tr>
      <w:tr w:rsidR="00EF65AE" w:rsidRPr="0077119C" w14:paraId="4BC8DAA1" w14:textId="77777777" w:rsidTr="00B70FF2">
        <w:trPr>
          <w:trHeight w:val="1633"/>
        </w:trPr>
        <w:tc>
          <w:tcPr>
            <w:tcW w:w="765" w:type="pct"/>
          </w:tcPr>
          <w:p w14:paraId="09A2D0E0" w14:textId="77777777" w:rsidR="00EF65AE" w:rsidRPr="0077119C" w:rsidRDefault="00EF65AE" w:rsidP="00EF65AE">
            <w:r w:rsidRPr="0077119C">
              <w:t>Afghanistan</w:t>
            </w:r>
          </w:p>
        </w:tc>
        <w:tc>
          <w:tcPr>
            <w:tcW w:w="1736" w:type="pct"/>
          </w:tcPr>
          <w:p w14:paraId="4633CF28" w14:textId="77777777" w:rsidR="00EF65AE" w:rsidRPr="0077119C" w:rsidRDefault="00EF65AE" w:rsidP="00EF65AE">
            <w:r w:rsidRPr="0077119C">
              <w:t>Afghan Independent Human Rights Commission</w:t>
            </w:r>
          </w:p>
          <w:p w14:paraId="4C9F0AB2" w14:textId="77777777" w:rsidR="00EF65AE" w:rsidRPr="0077119C" w:rsidRDefault="00EF65AE" w:rsidP="00EF65AE">
            <w:r w:rsidRPr="0077119C">
              <w:t>2015 to 2016</w:t>
            </w:r>
          </w:p>
          <w:p w14:paraId="0C6A2E5A" w14:textId="77777777" w:rsidR="00EF65AE" w:rsidRPr="0077119C" w:rsidRDefault="00EF65AE" w:rsidP="00EF65AE">
            <w:r w:rsidRPr="0077119C">
              <w:t>$2 million</w:t>
            </w:r>
          </w:p>
        </w:tc>
        <w:tc>
          <w:tcPr>
            <w:tcW w:w="2499" w:type="pct"/>
          </w:tcPr>
          <w:p w14:paraId="6080E472" w14:textId="77777777" w:rsidR="00EF65AE" w:rsidRPr="0077119C" w:rsidRDefault="00EF65AE" w:rsidP="00EF65AE">
            <w:r w:rsidRPr="0077119C">
              <w:t xml:space="preserve">Funding </w:t>
            </w:r>
            <w:r w:rsidR="00682B77">
              <w:t xml:space="preserve">was </w:t>
            </w:r>
            <w:r w:rsidRPr="0077119C">
              <w:t xml:space="preserve">provided for a dedicated Commissioner for Women’s </w:t>
            </w:r>
            <w:r w:rsidR="00682B77">
              <w:t>R</w:t>
            </w:r>
            <w:r w:rsidRPr="0077119C">
              <w:t>ights, and a Women’s Rights Unit to receive complaints and investigate cases of violence against women</w:t>
            </w:r>
            <w:r w:rsidR="00E2253F">
              <w:t xml:space="preserve">. </w:t>
            </w:r>
          </w:p>
        </w:tc>
      </w:tr>
      <w:tr w:rsidR="00EF65AE" w:rsidRPr="0077119C" w14:paraId="726E6A0F" w14:textId="77777777" w:rsidTr="00B70FF2">
        <w:tc>
          <w:tcPr>
            <w:tcW w:w="765" w:type="pct"/>
          </w:tcPr>
          <w:p w14:paraId="73783DEF" w14:textId="77777777" w:rsidR="00EF65AE" w:rsidRPr="0077119C" w:rsidRDefault="00EF65AE" w:rsidP="00EF65AE">
            <w:r w:rsidRPr="0077119C">
              <w:t>Indonesia</w:t>
            </w:r>
          </w:p>
        </w:tc>
        <w:tc>
          <w:tcPr>
            <w:tcW w:w="1736" w:type="pct"/>
          </w:tcPr>
          <w:p w14:paraId="66ECE5CB" w14:textId="77777777" w:rsidR="00EF65AE" w:rsidRPr="0077119C" w:rsidRDefault="00EF65AE" w:rsidP="00EF65AE">
            <w:r w:rsidRPr="0077119C">
              <w:t xml:space="preserve">Australia Indonesia Partnership for Justice </w:t>
            </w:r>
          </w:p>
          <w:p w14:paraId="29389336" w14:textId="77777777" w:rsidR="00EF65AE" w:rsidRPr="0077119C" w:rsidRDefault="00EF65AE" w:rsidP="00EF65AE">
            <w:r w:rsidRPr="0077119C">
              <w:t>2009 to 2017</w:t>
            </w:r>
          </w:p>
          <w:p w14:paraId="7A7438C2" w14:textId="77777777" w:rsidR="00EF65AE" w:rsidRPr="0077119C" w:rsidRDefault="00EF65AE" w:rsidP="00EF65AE">
            <w:r w:rsidRPr="0077119C">
              <w:t>$60 million</w:t>
            </w:r>
          </w:p>
        </w:tc>
        <w:tc>
          <w:tcPr>
            <w:tcW w:w="2499" w:type="pct"/>
          </w:tcPr>
          <w:p w14:paraId="57B268E1" w14:textId="77777777" w:rsidR="00EF65AE" w:rsidRPr="0077119C" w:rsidRDefault="00E17F7B" w:rsidP="00EF65AE">
            <w:r>
              <w:t>I</w:t>
            </w:r>
            <w:r w:rsidR="00EF65AE" w:rsidRPr="0077119C">
              <w:t>mprove</w:t>
            </w:r>
            <w:r w:rsidR="005B788C">
              <w:t>d</w:t>
            </w:r>
            <w:r w:rsidR="00EF65AE" w:rsidRPr="0077119C">
              <w:t xml:space="preserve"> access to better quality legal information and services, particularly for vulnerable and marginalised groups. </w:t>
            </w:r>
          </w:p>
        </w:tc>
      </w:tr>
      <w:tr w:rsidR="00EF65AE" w:rsidRPr="0077119C" w14:paraId="5AE75371" w14:textId="77777777" w:rsidTr="00B70FF2">
        <w:tc>
          <w:tcPr>
            <w:tcW w:w="765" w:type="pct"/>
          </w:tcPr>
          <w:p w14:paraId="10E7B7FD" w14:textId="77777777" w:rsidR="00EF65AE" w:rsidRPr="0077119C" w:rsidRDefault="00EF65AE" w:rsidP="00EF65AE">
            <w:r w:rsidRPr="0077119C">
              <w:t>Indonesia</w:t>
            </w:r>
          </w:p>
        </w:tc>
        <w:tc>
          <w:tcPr>
            <w:tcW w:w="1736" w:type="pct"/>
          </w:tcPr>
          <w:p w14:paraId="248A262D" w14:textId="77777777" w:rsidR="00EF65AE" w:rsidRPr="0077119C" w:rsidRDefault="00EF65AE" w:rsidP="00EF65AE">
            <w:r w:rsidRPr="0077119C">
              <w:t xml:space="preserve">Australia Indonesia Partnership for Justice </w:t>
            </w:r>
            <w:r w:rsidR="00210BC9">
              <w:t>Phase</w:t>
            </w:r>
            <w:r w:rsidRPr="0077119C">
              <w:t xml:space="preserve"> II</w:t>
            </w:r>
          </w:p>
          <w:p w14:paraId="62E747D7" w14:textId="77777777" w:rsidR="00EF65AE" w:rsidRPr="0077119C" w:rsidRDefault="00EF65AE" w:rsidP="00EF65AE">
            <w:r w:rsidRPr="0077119C">
              <w:t>2014 to 2022</w:t>
            </w:r>
          </w:p>
          <w:p w14:paraId="5DBBE57C" w14:textId="77777777" w:rsidR="00EF65AE" w:rsidRPr="0077119C" w:rsidRDefault="00EF65AE" w:rsidP="00EF65AE">
            <w:r w:rsidRPr="0077119C">
              <w:t>$40 million</w:t>
            </w:r>
          </w:p>
        </w:tc>
        <w:tc>
          <w:tcPr>
            <w:tcW w:w="2499" w:type="pct"/>
          </w:tcPr>
          <w:p w14:paraId="0C5FB2D9" w14:textId="77777777" w:rsidR="00DB1A92" w:rsidRDefault="00E17F7B" w:rsidP="00EF65AE">
            <w:r>
              <w:t>B</w:t>
            </w:r>
            <w:r w:rsidR="00EF65AE" w:rsidRPr="0077119C">
              <w:t xml:space="preserve">rings together two Australian aid investments to strengthen the rule of law and security environment in Indonesia. </w:t>
            </w:r>
          </w:p>
          <w:p w14:paraId="4E5CD86B" w14:textId="77777777" w:rsidR="00EF65AE" w:rsidRPr="0077119C" w:rsidRDefault="00E17F7B" w:rsidP="00EF65AE">
            <w:r>
              <w:t>F</w:t>
            </w:r>
            <w:r w:rsidR="00EF65AE" w:rsidRPr="0077119C">
              <w:t xml:space="preserve">ocuses on leveraging Indonesia’s resources to support court reform, prison reform and gender equality. </w:t>
            </w:r>
          </w:p>
        </w:tc>
      </w:tr>
      <w:tr w:rsidR="00EF65AE" w:rsidRPr="0077119C" w14:paraId="474492FF" w14:textId="77777777" w:rsidTr="00B70FF2">
        <w:tc>
          <w:tcPr>
            <w:tcW w:w="765" w:type="pct"/>
          </w:tcPr>
          <w:p w14:paraId="7778F655" w14:textId="77777777" w:rsidR="00EF65AE" w:rsidRPr="0077119C" w:rsidRDefault="00EF65AE" w:rsidP="00EF65AE">
            <w:r w:rsidRPr="0077119C">
              <w:t>Indonesia</w:t>
            </w:r>
          </w:p>
        </w:tc>
        <w:tc>
          <w:tcPr>
            <w:tcW w:w="1736" w:type="pct"/>
          </w:tcPr>
          <w:p w14:paraId="768F0460" w14:textId="77777777" w:rsidR="00EF65AE" w:rsidRPr="00597FC9" w:rsidRDefault="0039025C" w:rsidP="00EF65AE">
            <w:pPr>
              <w:rPr>
                <w:color w:val="auto"/>
              </w:rPr>
            </w:pPr>
            <w:r w:rsidRPr="00597FC9">
              <w:rPr>
                <w:color w:val="auto"/>
              </w:rPr>
              <w:t>Australia</w:t>
            </w:r>
            <w:r w:rsidR="00DB1A92" w:rsidRPr="00597FC9">
              <w:rPr>
                <w:color w:val="auto"/>
              </w:rPr>
              <w:t>–</w:t>
            </w:r>
            <w:r w:rsidRPr="00597FC9">
              <w:rPr>
                <w:color w:val="auto"/>
              </w:rPr>
              <w:t>Indonesia Partnership for Gender Equality and Women’s Empowerment</w:t>
            </w:r>
          </w:p>
          <w:p w14:paraId="67A7CD7C" w14:textId="77777777" w:rsidR="00EF65AE" w:rsidRPr="00597FC9" w:rsidRDefault="00EF65AE" w:rsidP="00EF65AE">
            <w:pPr>
              <w:rPr>
                <w:color w:val="auto"/>
              </w:rPr>
            </w:pPr>
            <w:r w:rsidRPr="00597FC9">
              <w:rPr>
                <w:color w:val="auto"/>
              </w:rPr>
              <w:t>2012 to 20</w:t>
            </w:r>
            <w:r w:rsidR="00AF48BA" w:rsidRPr="00597FC9">
              <w:rPr>
                <w:color w:val="auto"/>
              </w:rPr>
              <w:t>20</w:t>
            </w:r>
          </w:p>
          <w:p w14:paraId="2B82FC91" w14:textId="77777777" w:rsidR="00EF65AE" w:rsidRPr="00597FC9" w:rsidRDefault="00EF65AE" w:rsidP="00EF65AE">
            <w:pPr>
              <w:rPr>
                <w:color w:val="auto"/>
              </w:rPr>
            </w:pPr>
            <w:r w:rsidRPr="00597FC9">
              <w:rPr>
                <w:color w:val="auto"/>
              </w:rPr>
              <w:t>$</w:t>
            </w:r>
            <w:r w:rsidR="00AF48BA" w:rsidRPr="00597FC9">
              <w:rPr>
                <w:color w:val="auto"/>
              </w:rPr>
              <w:t>108</w:t>
            </w:r>
            <w:r w:rsidRPr="00597FC9">
              <w:rPr>
                <w:color w:val="auto"/>
              </w:rPr>
              <w:t xml:space="preserve"> million</w:t>
            </w:r>
          </w:p>
        </w:tc>
        <w:tc>
          <w:tcPr>
            <w:tcW w:w="2499" w:type="pct"/>
          </w:tcPr>
          <w:p w14:paraId="5B201D71" w14:textId="77777777" w:rsidR="00DB1A92" w:rsidRDefault="00E17F7B" w:rsidP="00EF65AE">
            <w:pPr>
              <w:rPr>
                <w:color w:val="auto"/>
              </w:rPr>
            </w:pPr>
            <w:r>
              <w:rPr>
                <w:color w:val="auto"/>
              </w:rPr>
              <w:t>E</w:t>
            </w:r>
            <w:r w:rsidR="00EF65AE" w:rsidRPr="00597FC9">
              <w:rPr>
                <w:color w:val="auto"/>
              </w:rPr>
              <w:t>ngage</w:t>
            </w:r>
            <w:r w:rsidR="006F1404">
              <w:rPr>
                <w:color w:val="auto"/>
              </w:rPr>
              <w:t>s</w:t>
            </w:r>
            <w:r w:rsidR="00EF65AE" w:rsidRPr="00597FC9">
              <w:rPr>
                <w:color w:val="auto"/>
              </w:rPr>
              <w:t xml:space="preserve"> government, civil society, and the private sector to drive policy and regulatory reforms to address poverty reduction, focus</w:t>
            </w:r>
            <w:r w:rsidR="00D86382">
              <w:rPr>
                <w:color w:val="auto"/>
              </w:rPr>
              <w:t>ing</w:t>
            </w:r>
            <w:r w:rsidR="00EF65AE" w:rsidRPr="00597FC9">
              <w:rPr>
                <w:color w:val="auto"/>
              </w:rPr>
              <w:t xml:space="preserve"> on women.</w:t>
            </w:r>
          </w:p>
          <w:p w14:paraId="7A165EED" w14:textId="77777777" w:rsidR="00EF65AE" w:rsidRPr="00597FC9" w:rsidRDefault="00E17F7B" w:rsidP="00EF65AE">
            <w:pPr>
              <w:rPr>
                <w:color w:val="auto"/>
              </w:rPr>
            </w:pPr>
            <w:r>
              <w:rPr>
                <w:color w:val="auto"/>
              </w:rPr>
              <w:t>I</w:t>
            </w:r>
            <w:r w:rsidR="00EF65AE" w:rsidRPr="00597FC9">
              <w:rPr>
                <w:color w:val="auto"/>
              </w:rPr>
              <w:t>mprove</w:t>
            </w:r>
            <w:r>
              <w:rPr>
                <w:color w:val="auto"/>
              </w:rPr>
              <w:t>s</w:t>
            </w:r>
            <w:r w:rsidR="00EF65AE" w:rsidRPr="00597FC9">
              <w:rPr>
                <w:color w:val="auto"/>
              </w:rPr>
              <w:t xml:space="preserve"> women’s access to government programs for social protection and strengthen women’s leadership to address violence against women</w:t>
            </w:r>
            <w:r w:rsidR="00E2253F" w:rsidRPr="00597FC9">
              <w:rPr>
                <w:color w:val="auto"/>
              </w:rPr>
              <w:t xml:space="preserve">. </w:t>
            </w:r>
          </w:p>
        </w:tc>
      </w:tr>
      <w:tr w:rsidR="00EF65AE" w:rsidRPr="0077119C" w14:paraId="3BB1C9BB" w14:textId="77777777" w:rsidTr="00B70FF2">
        <w:tc>
          <w:tcPr>
            <w:tcW w:w="765" w:type="pct"/>
          </w:tcPr>
          <w:p w14:paraId="2CC825DE" w14:textId="77777777" w:rsidR="00EF65AE" w:rsidRPr="0077119C" w:rsidRDefault="00EF65AE" w:rsidP="00EF65AE">
            <w:r w:rsidRPr="0077119C">
              <w:t>Indonesia</w:t>
            </w:r>
          </w:p>
        </w:tc>
        <w:tc>
          <w:tcPr>
            <w:tcW w:w="1736" w:type="pct"/>
          </w:tcPr>
          <w:p w14:paraId="15617856" w14:textId="11BB9740" w:rsidR="00EF65AE" w:rsidRPr="0077119C" w:rsidRDefault="00EF65AE" w:rsidP="00EF65AE">
            <w:r w:rsidRPr="0077119C">
              <w:t xml:space="preserve">Support to Marginalised </w:t>
            </w:r>
            <w:r w:rsidRPr="002A6350">
              <w:t>Groups (PEDULI Phase</w:t>
            </w:r>
            <w:r w:rsidR="00F973BE">
              <w:t> </w:t>
            </w:r>
            <w:r w:rsidRPr="002A6350">
              <w:t>II</w:t>
            </w:r>
            <w:r w:rsidRPr="0077119C">
              <w:t>)</w:t>
            </w:r>
          </w:p>
          <w:p w14:paraId="5752480B" w14:textId="77777777" w:rsidR="00EF65AE" w:rsidRPr="0077119C" w:rsidRDefault="00EF65AE" w:rsidP="00EF65AE">
            <w:r w:rsidRPr="0077119C">
              <w:t>2016 to 2019</w:t>
            </w:r>
          </w:p>
          <w:p w14:paraId="0AA2AECF" w14:textId="77777777" w:rsidR="00EF65AE" w:rsidRPr="0077119C" w:rsidRDefault="00EF65AE" w:rsidP="00EF65AE">
            <w:r w:rsidRPr="0077119C">
              <w:t>$18 million</w:t>
            </w:r>
          </w:p>
        </w:tc>
        <w:tc>
          <w:tcPr>
            <w:tcW w:w="2499" w:type="pct"/>
          </w:tcPr>
          <w:p w14:paraId="1E18E264" w14:textId="77777777" w:rsidR="00EF65AE" w:rsidRPr="0077119C" w:rsidRDefault="00EF65AE" w:rsidP="000F4DD4">
            <w:r w:rsidRPr="00597FC9">
              <w:rPr>
                <w:color w:val="auto"/>
              </w:rPr>
              <w:t xml:space="preserve">Australia's flagship program to </w:t>
            </w:r>
            <w:r w:rsidR="00E17F7B">
              <w:rPr>
                <w:color w:val="auto"/>
              </w:rPr>
              <w:t>promote social inclusion. F</w:t>
            </w:r>
            <w:r w:rsidR="005B788C">
              <w:rPr>
                <w:color w:val="auto"/>
              </w:rPr>
              <w:t>ocuses</w:t>
            </w:r>
            <w:r w:rsidR="00DB1746" w:rsidRPr="00597FC9">
              <w:rPr>
                <w:color w:val="auto"/>
              </w:rPr>
              <w:t xml:space="preserve"> on </w:t>
            </w:r>
            <w:r w:rsidR="00AF48BA" w:rsidRPr="00597FC9">
              <w:rPr>
                <w:color w:val="auto"/>
              </w:rPr>
              <w:t>vulnerable g</w:t>
            </w:r>
            <w:r w:rsidR="00DB1746" w:rsidRPr="00597FC9">
              <w:rPr>
                <w:color w:val="auto"/>
              </w:rPr>
              <w:t>roups including</w:t>
            </w:r>
            <w:r w:rsidR="00AF48BA" w:rsidRPr="00597FC9">
              <w:rPr>
                <w:color w:val="auto"/>
              </w:rPr>
              <w:t xml:space="preserve"> </w:t>
            </w:r>
            <w:r w:rsidRPr="00597FC9">
              <w:rPr>
                <w:color w:val="auto"/>
              </w:rPr>
              <w:t>c</w:t>
            </w:r>
            <w:r w:rsidRPr="0077119C">
              <w:t xml:space="preserve">hildren and adolescents, people with disabilities, male-to-female </w:t>
            </w:r>
            <w:r w:rsidR="000F4DD4" w:rsidRPr="0077119C">
              <w:t>transgender and</w:t>
            </w:r>
            <w:r w:rsidRPr="0077119C">
              <w:t xml:space="preserve"> victims of human rights violations.</w:t>
            </w:r>
          </w:p>
        </w:tc>
      </w:tr>
      <w:tr w:rsidR="00EF65AE" w:rsidRPr="0077119C" w14:paraId="79185D35" w14:textId="77777777" w:rsidTr="00B70FF2">
        <w:trPr>
          <w:cantSplit/>
        </w:trPr>
        <w:tc>
          <w:tcPr>
            <w:tcW w:w="765" w:type="pct"/>
          </w:tcPr>
          <w:p w14:paraId="2E94D5A3" w14:textId="77777777" w:rsidR="00EF65AE" w:rsidRPr="0077119C" w:rsidRDefault="00EF65AE" w:rsidP="00EF65AE">
            <w:r w:rsidRPr="0077119C">
              <w:t>Indonesia</w:t>
            </w:r>
          </w:p>
        </w:tc>
        <w:tc>
          <w:tcPr>
            <w:tcW w:w="1736" w:type="pct"/>
          </w:tcPr>
          <w:p w14:paraId="1ED4ABBA" w14:textId="77777777" w:rsidR="00EF65AE" w:rsidRPr="0077119C" w:rsidRDefault="00EF65AE" w:rsidP="00EF65AE">
            <w:r w:rsidRPr="0077119C">
              <w:t xml:space="preserve">Support for Indonesia National Commission on Violence </w:t>
            </w:r>
            <w:r w:rsidR="00210BC9">
              <w:t>A</w:t>
            </w:r>
            <w:r w:rsidRPr="0077119C">
              <w:t xml:space="preserve">gainst Women </w:t>
            </w:r>
          </w:p>
          <w:p w14:paraId="5FCCCC6B" w14:textId="77777777" w:rsidR="00EF65AE" w:rsidRPr="0077119C" w:rsidRDefault="00EF65AE" w:rsidP="00EF65AE">
            <w:r w:rsidRPr="0077119C">
              <w:t>2008 to 2013</w:t>
            </w:r>
          </w:p>
          <w:p w14:paraId="4ECB1A82" w14:textId="77777777" w:rsidR="00EF65AE" w:rsidRPr="0077119C" w:rsidRDefault="00EF65AE" w:rsidP="009402F6">
            <w:r w:rsidRPr="0077119C">
              <w:t>$2.1 million</w:t>
            </w:r>
          </w:p>
        </w:tc>
        <w:tc>
          <w:tcPr>
            <w:tcW w:w="2499" w:type="pct"/>
          </w:tcPr>
          <w:p w14:paraId="60C4CDCF" w14:textId="77777777" w:rsidR="00EF65AE" w:rsidRPr="0077119C" w:rsidRDefault="00E17F7B" w:rsidP="00E17F7B">
            <w:r>
              <w:t xml:space="preserve">Enables commission to development </w:t>
            </w:r>
            <w:r w:rsidR="00EF65AE" w:rsidRPr="0077119C">
              <w:t>knowledge and expertise in addressing violence against women, influenc</w:t>
            </w:r>
            <w:r>
              <w:t>e</w:t>
            </w:r>
            <w:r w:rsidR="00EF65AE" w:rsidRPr="0077119C">
              <w:t xml:space="preserve"> relevant policy debates affecting women’s rights and strengthen </w:t>
            </w:r>
            <w:r w:rsidR="00210BC9">
              <w:t>its</w:t>
            </w:r>
            <w:r w:rsidR="00EF65AE" w:rsidRPr="0077119C">
              <w:t xml:space="preserve"> managerial capacity and institutional development. </w:t>
            </w:r>
          </w:p>
        </w:tc>
      </w:tr>
      <w:tr w:rsidR="00EF65AE" w:rsidRPr="0077119C" w14:paraId="0BB3372F" w14:textId="77777777" w:rsidTr="00B70FF2">
        <w:tc>
          <w:tcPr>
            <w:tcW w:w="765" w:type="pct"/>
          </w:tcPr>
          <w:p w14:paraId="36BCA062" w14:textId="77777777" w:rsidR="00EF65AE" w:rsidRPr="0077119C" w:rsidRDefault="00EF65AE" w:rsidP="00EF65AE">
            <w:r w:rsidRPr="0077119C">
              <w:t>Pakistan</w:t>
            </w:r>
          </w:p>
        </w:tc>
        <w:tc>
          <w:tcPr>
            <w:tcW w:w="1736" w:type="pct"/>
          </w:tcPr>
          <w:p w14:paraId="7D619941" w14:textId="77777777" w:rsidR="00EF65AE" w:rsidRPr="0077119C" w:rsidRDefault="00EF65AE" w:rsidP="00EF65AE">
            <w:r w:rsidRPr="0077119C">
              <w:t>Pakistan Ending Violence Against Women Program</w:t>
            </w:r>
          </w:p>
          <w:p w14:paraId="244141A9" w14:textId="77777777" w:rsidR="00EF65AE" w:rsidRPr="0077119C" w:rsidRDefault="00EF65AE" w:rsidP="00B8572E">
            <w:pPr>
              <w:numPr>
                <w:ilvl w:val="0"/>
                <w:numId w:val="0"/>
              </w:numPr>
            </w:pPr>
            <w:r w:rsidRPr="0077119C">
              <w:t>2013</w:t>
            </w:r>
            <w:r w:rsidR="00DB1A92">
              <w:t xml:space="preserve"> to</w:t>
            </w:r>
            <w:r w:rsidRPr="0077119C">
              <w:t xml:space="preserve"> 2020</w:t>
            </w:r>
          </w:p>
          <w:p w14:paraId="7680AB5C" w14:textId="77777777" w:rsidR="00EF65AE" w:rsidRPr="0077119C" w:rsidRDefault="00EF65AE" w:rsidP="00EF65AE">
            <w:r w:rsidRPr="0077119C">
              <w:t>$13.6 million</w:t>
            </w:r>
          </w:p>
        </w:tc>
        <w:tc>
          <w:tcPr>
            <w:tcW w:w="2499" w:type="pct"/>
          </w:tcPr>
          <w:p w14:paraId="413AE6C0" w14:textId="77777777" w:rsidR="00EF65AE" w:rsidRPr="0077119C" w:rsidRDefault="00E17F7B" w:rsidP="00E17F7B">
            <w:r>
              <w:t>S</w:t>
            </w:r>
            <w:r w:rsidR="00EF65AE" w:rsidRPr="0077119C">
              <w:t>upports national and provincial efforts to end violence against women</w:t>
            </w:r>
            <w:r w:rsidR="00210BC9">
              <w:t xml:space="preserve"> in-country</w:t>
            </w:r>
            <w:r>
              <w:t xml:space="preserve"> by improving </w:t>
            </w:r>
            <w:r w:rsidR="00EF65AE" w:rsidRPr="0077119C">
              <w:t>accessibility and quality of services for women affected by violence, implementation of legislative and policy frameworks, and women’s</w:t>
            </w:r>
            <w:r>
              <w:t xml:space="preserve"> rights</w:t>
            </w:r>
            <w:r w:rsidR="00EF65AE" w:rsidRPr="0077119C">
              <w:t xml:space="preserve">. </w:t>
            </w:r>
          </w:p>
        </w:tc>
      </w:tr>
      <w:tr w:rsidR="00EF65AE" w:rsidRPr="0077119C" w14:paraId="23ABD152" w14:textId="77777777" w:rsidTr="00B70FF2">
        <w:tc>
          <w:tcPr>
            <w:tcW w:w="765" w:type="pct"/>
          </w:tcPr>
          <w:p w14:paraId="7558BAF8" w14:textId="77777777" w:rsidR="00EF65AE" w:rsidRPr="0077119C" w:rsidRDefault="00EF65AE" w:rsidP="00EF65AE">
            <w:r w:rsidRPr="0077119C">
              <w:t>Papua New Guinea</w:t>
            </w:r>
          </w:p>
        </w:tc>
        <w:tc>
          <w:tcPr>
            <w:tcW w:w="1736" w:type="pct"/>
          </w:tcPr>
          <w:p w14:paraId="6809C56F" w14:textId="77777777" w:rsidR="00DB1A92" w:rsidRDefault="00EF65AE" w:rsidP="00AF48BA">
            <w:r w:rsidRPr="0077119C">
              <w:t xml:space="preserve">Gender Equality/Gender </w:t>
            </w:r>
            <w:r w:rsidR="00DB1A92">
              <w:t>B</w:t>
            </w:r>
            <w:r w:rsidRPr="0077119C">
              <w:t xml:space="preserve">ased </w:t>
            </w:r>
            <w:r w:rsidR="00DB1A92">
              <w:t>V</w:t>
            </w:r>
            <w:r w:rsidRPr="0077119C">
              <w:t>iolence</w:t>
            </w:r>
          </w:p>
          <w:p w14:paraId="59E83194" w14:textId="77777777" w:rsidR="00EF65AE" w:rsidRPr="0077119C" w:rsidRDefault="00EF65AE" w:rsidP="00AF48BA">
            <w:r w:rsidRPr="0077119C">
              <w:t>2008 to</w:t>
            </w:r>
            <w:r w:rsidR="00DB1A92">
              <w:t xml:space="preserve"> </w:t>
            </w:r>
            <w:r w:rsidRPr="0077119C">
              <w:t>202</w:t>
            </w:r>
            <w:r w:rsidR="00DD595E">
              <w:t>2</w:t>
            </w:r>
          </w:p>
          <w:p w14:paraId="3BC2D714" w14:textId="77777777" w:rsidR="00EF65AE" w:rsidRPr="0077119C" w:rsidRDefault="00EF65AE" w:rsidP="00EF65AE">
            <w:r w:rsidRPr="0077119C">
              <w:t>$</w:t>
            </w:r>
            <w:r w:rsidR="00DD595E">
              <w:t>105</w:t>
            </w:r>
            <w:r w:rsidRPr="0077119C">
              <w:t xml:space="preserve"> million</w:t>
            </w:r>
          </w:p>
        </w:tc>
        <w:tc>
          <w:tcPr>
            <w:tcW w:w="2499" w:type="pct"/>
          </w:tcPr>
          <w:p w14:paraId="3CC1EBB7" w14:textId="77777777" w:rsidR="006F1404" w:rsidRDefault="00E17F7B" w:rsidP="00EF65AE">
            <w:r>
              <w:t>S</w:t>
            </w:r>
            <w:r w:rsidR="00EF65AE" w:rsidRPr="0077119C">
              <w:t>upports key agencies of the</w:t>
            </w:r>
            <w:r w:rsidR="00210BC9">
              <w:t xml:space="preserve"> </w:t>
            </w:r>
            <w:r w:rsidR="00EF65AE" w:rsidRPr="0077119C">
              <w:t>Government of P</w:t>
            </w:r>
            <w:r w:rsidR="006F1404">
              <w:t>NG</w:t>
            </w:r>
            <w:r w:rsidR="00EF65AE" w:rsidRPr="0077119C">
              <w:t xml:space="preserve"> to advance gender equality and eliminate gender-based violence</w:t>
            </w:r>
            <w:r w:rsidR="00E2253F">
              <w:t xml:space="preserve">. </w:t>
            </w:r>
          </w:p>
          <w:p w14:paraId="767C8FF6" w14:textId="77777777" w:rsidR="00EF65AE" w:rsidRPr="0077119C" w:rsidRDefault="00EF65AE" w:rsidP="009402F6">
            <w:r w:rsidRPr="0077119C">
              <w:t>Civil society</w:t>
            </w:r>
            <w:r w:rsidR="006F1404">
              <w:t xml:space="preserve"> </w:t>
            </w:r>
            <w:r w:rsidRPr="0077119C">
              <w:t xml:space="preserve">supported to develop networks and influence government policy. </w:t>
            </w:r>
          </w:p>
        </w:tc>
      </w:tr>
      <w:tr w:rsidR="00EF65AE" w:rsidRPr="0077119C" w14:paraId="7A6734D8" w14:textId="77777777" w:rsidTr="00B70FF2">
        <w:tc>
          <w:tcPr>
            <w:tcW w:w="765" w:type="pct"/>
          </w:tcPr>
          <w:p w14:paraId="118A017F" w14:textId="77777777" w:rsidR="00EF65AE" w:rsidRPr="0077119C" w:rsidRDefault="00EF65AE" w:rsidP="00EF65AE">
            <w:r w:rsidRPr="0077119C">
              <w:t>Solomon Islands</w:t>
            </w:r>
          </w:p>
        </w:tc>
        <w:tc>
          <w:tcPr>
            <w:tcW w:w="1736" w:type="pct"/>
          </w:tcPr>
          <w:p w14:paraId="76681C48" w14:textId="77777777" w:rsidR="00EF65AE" w:rsidRPr="0077119C" w:rsidRDefault="00EF65AE" w:rsidP="00EF65AE">
            <w:r w:rsidRPr="0077119C">
              <w:t>Addressing Gender Equality in Solomon Islands</w:t>
            </w:r>
          </w:p>
          <w:p w14:paraId="1311EA60" w14:textId="77777777" w:rsidR="00EF65AE" w:rsidRDefault="00EF65AE" w:rsidP="00AF48BA">
            <w:r w:rsidRPr="0077119C">
              <w:t>2012 to 2022</w:t>
            </w:r>
          </w:p>
          <w:p w14:paraId="31590DDD" w14:textId="77777777" w:rsidR="00DB1A92" w:rsidRPr="0077119C" w:rsidRDefault="00DB1A92" w:rsidP="00AF48BA">
            <w:r>
              <w:t>$32 million</w:t>
            </w:r>
          </w:p>
        </w:tc>
        <w:tc>
          <w:tcPr>
            <w:tcW w:w="2499" w:type="pct"/>
          </w:tcPr>
          <w:p w14:paraId="40759879" w14:textId="77777777" w:rsidR="00EF65AE" w:rsidRPr="0077119C" w:rsidRDefault="0072365A" w:rsidP="0072365A">
            <w:r>
              <w:t>Works to</w:t>
            </w:r>
            <w:r w:rsidR="009402F6">
              <w:t xml:space="preserve"> </w:t>
            </w:r>
            <w:r w:rsidR="00EF65AE" w:rsidRPr="0077119C">
              <w:t>reduc</w:t>
            </w:r>
            <w:r>
              <w:t>e</w:t>
            </w:r>
            <w:r w:rsidR="00EF65AE" w:rsidRPr="0077119C">
              <w:t xml:space="preserve"> violence against women, improve access to the legal system and increase support services for survivors. </w:t>
            </w:r>
          </w:p>
        </w:tc>
      </w:tr>
      <w:tr w:rsidR="00EF65AE" w:rsidRPr="0077119C" w14:paraId="2E1B5955" w14:textId="77777777" w:rsidTr="00B70FF2">
        <w:trPr>
          <w:trHeight w:val="1648"/>
        </w:trPr>
        <w:tc>
          <w:tcPr>
            <w:tcW w:w="765" w:type="pct"/>
          </w:tcPr>
          <w:p w14:paraId="646328F8" w14:textId="77777777" w:rsidR="00EF65AE" w:rsidRPr="0077119C" w:rsidRDefault="00EF65AE" w:rsidP="00EF65AE">
            <w:r w:rsidRPr="0077119C">
              <w:t>Solomon Islands</w:t>
            </w:r>
          </w:p>
        </w:tc>
        <w:tc>
          <w:tcPr>
            <w:tcW w:w="1736" w:type="pct"/>
          </w:tcPr>
          <w:p w14:paraId="4B279E84" w14:textId="77777777" w:rsidR="00DB1A92" w:rsidRDefault="00EF65AE" w:rsidP="00DB1746">
            <w:r w:rsidRPr="0077119C">
              <w:t>Solomon Islands Justice Program</w:t>
            </w:r>
          </w:p>
          <w:p w14:paraId="49F9016C" w14:textId="77777777" w:rsidR="00EF65AE" w:rsidRPr="0077119C" w:rsidRDefault="00EF65AE" w:rsidP="00DB1746">
            <w:r w:rsidRPr="0077119C">
              <w:t>2013 to 2017</w:t>
            </w:r>
          </w:p>
          <w:p w14:paraId="70B87368" w14:textId="77777777" w:rsidR="00EF65AE" w:rsidRPr="0077119C" w:rsidRDefault="00EF65AE" w:rsidP="00EF65AE">
            <w:r w:rsidRPr="0077119C">
              <w:t>$42 million</w:t>
            </w:r>
          </w:p>
        </w:tc>
        <w:tc>
          <w:tcPr>
            <w:tcW w:w="2499" w:type="pct"/>
          </w:tcPr>
          <w:p w14:paraId="6F30618D" w14:textId="77777777" w:rsidR="00EF65AE" w:rsidRPr="0077119C" w:rsidRDefault="005B788C" w:rsidP="0072365A">
            <w:r>
              <w:t>Worked</w:t>
            </w:r>
            <w:r w:rsidR="0072365A">
              <w:t xml:space="preserve"> to </w:t>
            </w:r>
            <w:r w:rsidR="00EF65AE" w:rsidRPr="0077119C">
              <w:t>strengthen the legal system and increase access to justice</w:t>
            </w:r>
            <w:r w:rsidR="00E2253F">
              <w:t xml:space="preserve"> </w:t>
            </w:r>
            <w:r w:rsidR="0072365A">
              <w:t>and</w:t>
            </w:r>
            <w:r w:rsidR="00EF65AE" w:rsidRPr="0077119C">
              <w:t xml:space="preserve"> to strengthen laws, expand services and focus on violence against women and gender equality in the workplace. </w:t>
            </w:r>
          </w:p>
        </w:tc>
      </w:tr>
      <w:tr w:rsidR="00597FC9" w:rsidRPr="0077119C" w14:paraId="4ABD60BB" w14:textId="77777777" w:rsidTr="00B70FF2">
        <w:tc>
          <w:tcPr>
            <w:tcW w:w="765" w:type="pct"/>
          </w:tcPr>
          <w:p w14:paraId="6A3ED623" w14:textId="1A3A36EF" w:rsidR="00597FC9" w:rsidRPr="0077119C" w:rsidRDefault="00597FC9" w:rsidP="00597FC9">
            <w:r w:rsidRPr="00682B77">
              <w:t>Timor</w:t>
            </w:r>
            <w:r>
              <w:t>-Leste</w:t>
            </w:r>
          </w:p>
        </w:tc>
        <w:tc>
          <w:tcPr>
            <w:tcW w:w="1736" w:type="pct"/>
          </w:tcPr>
          <w:p w14:paraId="07A9E8C4" w14:textId="77777777" w:rsidR="00597FC9" w:rsidRPr="0077119C" w:rsidRDefault="00597FC9" w:rsidP="00597FC9">
            <w:r w:rsidRPr="0077119C">
              <w:t>Ending Violence Against Women in Timor-Leste</w:t>
            </w:r>
          </w:p>
          <w:p w14:paraId="1C5357D6" w14:textId="77777777" w:rsidR="00597FC9" w:rsidRPr="0077119C" w:rsidRDefault="00597FC9" w:rsidP="00597FC9">
            <w:r w:rsidRPr="0077119C">
              <w:t>2012 to 2022</w:t>
            </w:r>
          </w:p>
          <w:p w14:paraId="445D5BCC" w14:textId="77777777" w:rsidR="00597FC9" w:rsidRPr="0077119C" w:rsidRDefault="00597FC9" w:rsidP="00597FC9">
            <w:r w:rsidRPr="0077119C">
              <w:t>$33.6 million</w:t>
            </w:r>
          </w:p>
        </w:tc>
        <w:tc>
          <w:tcPr>
            <w:tcW w:w="2499" w:type="pct"/>
          </w:tcPr>
          <w:p w14:paraId="4C977DA5" w14:textId="77777777" w:rsidR="00597FC9" w:rsidRDefault="00597FC9" w:rsidP="00597FC9">
            <w:r>
              <w:t>W</w:t>
            </w:r>
            <w:r w:rsidRPr="0077119C">
              <w:t xml:space="preserve">orks with government and </w:t>
            </w:r>
            <w:r>
              <w:t xml:space="preserve">non-government organisation </w:t>
            </w:r>
            <w:r w:rsidRPr="0077119C">
              <w:t xml:space="preserve">partners to reduce violence against women and children. </w:t>
            </w:r>
          </w:p>
          <w:p w14:paraId="6ABC094B" w14:textId="77777777" w:rsidR="00597FC9" w:rsidRDefault="00597FC9" w:rsidP="00597FC9">
            <w:r>
              <w:t>C</w:t>
            </w:r>
            <w:r w:rsidRPr="0077119C">
              <w:t xml:space="preserve">overs prevention, provision of services and access to justice. </w:t>
            </w:r>
          </w:p>
        </w:tc>
      </w:tr>
      <w:tr w:rsidR="00EF65AE" w:rsidRPr="0077119C" w14:paraId="17F5D056" w14:textId="77777777" w:rsidTr="00B70FF2">
        <w:tc>
          <w:tcPr>
            <w:tcW w:w="765" w:type="pct"/>
          </w:tcPr>
          <w:p w14:paraId="5E34C1A5" w14:textId="77777777" w:rsidR="00EF65AE" w:rsidRPr="0077119C" w:rsidRDefault="00EF65AE" w:rsidP="00EF65AE">
            <w:r w:rsidRPr="0077119C">
              <w:t>Vanuatu</w:t>
            </w:r>
          </w:p>
        </w:tc>
        <w:tc>
          <w:tcPr>
            <w:tcW w:w="1736" w:type="pct"/>
          </w:tcPr>
          <w:p w14:paraId="28F5BD5F" w14:textId="77777777" w:rsidR="00DB1A92" w:rsidRDefault="00562749" w:rsidP="00DB1746">
            <w:r>
              <w:t>Vanuatu Australia Policing and Justice Program</w:t>
            </w:r>
          </w:p>
          <w:p w14:paraId="766EA499" w14:textId="77777777" w:rsidR="00EF65AE" w:rsidRPr="0077119C" w:rsidRDefault="00EF65AE" w:rsidP="00DB1746">
            <w:r w:rsidRPr="0077119C">
              <w:t>2011 to 2017</w:t>
            </w:r>
          </w:p>
          <w:p w14:paraId="0DAD7F8A" w14:textId="77777777" w:rsidR="00EF65AE" w:rsidRPr="0077119C" w:rsidRDefault="00EF65AE" w:rsidP="00EF65AE">
            <w:r w:rsidRPr="0077119C">
              <w:t>$20 million</w:t>
            </w:r>
          </w:p>
        </w:tc>
        <w:tc>
          <w:tcPr>
            <w:tcW w:w="2499" w:type="pct"/>
          </w:tcPr>
          <w:p w14:paraId="540291A5" w14:textId="77777777" w:rsidR="007342B7" w:rsidRDefault="0072365A" w:rsidP="00210BC9">
            <w:r>
              <w:t>Supported</w:t>
            </w:r>
            <w:r w:rsidR="00EF65AE" w:rsidRPr="0077119C">
              <w:t xml:space="preserve"> the Government of Vanuatu to streamline planning and implementation in the law and justice sector. </w:t>
            </w:r>
          </w:p>
          <w:p w14:paraId="019A4FD8" w14:textId="77777777" w:rsidR="00EF65AE" w:rsidRPr="0077119C" w:rsidRDefault="007342B7" w:rsidP="00210BC9">
            <w:r>
              <w:t xml:space="preserve">This </w:t>
            </w:r>
            <w:r w:rsidR="00EF65AE" w:rsidRPr="0077119C">
              <w:t xml:space="preserve">included inclusive community-based pilots, focusing on women and children who experienced violence, to develop evidence for policy and programming. </w:t>
            </w:r>
          </w:p>
        </w:tc>
      </w:tr>
      <w:tr w:rsidR="00EF65AE" w:rsidRPr="0077119C" w14:paraId="2BFE2678" w14:textId="77777777" w:rsidTr="00B70FF2">
        <w:tc>
          <w:tcPr>
            <w:tcW w:w="765" w:type="pct"/>
          </w:tcPr>
          <w:p w14:paraId="4C4635EE" w14:textId="77777777" w:rsidR="00EF65AE" w:rsidRPr="0077119C" w:rsidRDefault="00EF65AE" w:rsidP="00EF65AE">
            <w:r w:rsidRPr="0077119C">
              <w:t>Global</w:t>
            </w:r>
          </w:p>
        </w:tc>
        <w:tc>
          <w:tcPr>
            <w:tcW w:w="1736" w:type="pct"/>
          </w:tcPr>
          <w:p w14:paraId="3C8FC3C4" w14:textId="77777777" w:rsidR="00EF65AE" w:rsidRPr="0077119C" w:rsidRDefault="00EF65AE" w:rsidP="00EF65AE">
            <w:r w:rsidRPr="0077119C">
              <w:t xml:space="preserve">Australian NGO Cooperation Program </w:t>
            </w:r>
          </w:p>
          <w:p w14:paraId="7255FF55" w14:textId="77777777" w:rsidR="00EF65AE" w:rsidRPr="0077119C" w:rsidRDefault="00EF65AE" w:rsidP="00EF65AE">
            <w:r w:rsidRPr="0077119C">
              <w:t>2007</w:t>
            </w:r>
            <w:r w:rsidR="00DB1A92">
              <w:t xml:space="preserve"> </w:t>
            </w:r>
            <w:r w:rsidRPr="0077119C">
              <w:t>to 2018</w:t>
            </w:r>
          </w:p>
          <w:p w14:paraId="68314481" w14:textId="77777777" w:rsidR="00EF65AE" w:rsidRPr="0077119C" w:rsidRDefault="00EF65AE" w:rsidP="00EF65AE">
            <w:r w:rsidRPr="0077119C">
              <w:t xml:space="preserve">$6.4 million </w:t>
            </w:r>
          </w:p>
        </w:tc>
        <w:tc>
          <w:tcPr>
            <w:tcW w:w="2499" w:type="pct"/>
          </w:tcPr>
          <w:p w14:paraId="451E06F8" w14:textId="20EF94F4" w:rsidR="00EF65AE" w:rsidRPr="0077119C" w:rsidRDefault="007342B7" w:rsidP="0072365A">
            <w:r>
              <w:t>Th</w:t>
            </w:r>
            <w:r w:rsidR="0072365A">
              <w:t xml:space="preserve">is </w:t>
            </w:r>
            <w:r w:rsidR="00EF65AE" w:rsidRPr="0077119C">
              <w:t>partnership between</w:t>
            </w:r>
            <w:r>
              <w:t xml:space="preserve"> the</w:t>
            </w:r>
            <w:r w:rsidR="00EF65AE" w:rsidRPr="0077119C">
              <w:t xml:space="preserve"> Australian Government and accredited Australian </w:t>
            </w:r>
            <w:r w:rsidR="00004CFB">
              <w:t xml:space="preserve">non-government </w:t>
            </w:r>
            <w:r>
              <w:t>organisations</w:t>
            </w:r>
            <w:r w:rsidR="0072365A">
              <w:t xml:space="preserve"> has</w:t>
            </w:r>
            <w:r>
              <w:t xml:space="preserve"> supported</w:t>
            </w:r>
            <w:r w:rsidR="00EF65AE" w:rsidRPr="0077119C">
              <w:t xml:space="preserve"> </w:t>
            </w:r>
            <w:r w:rsidR="0072365A">
              <w:t xml:space="preserve">many </w:t>
            </w:r>
            <w:r w:rsidR="00EF65AE" w:rsidRPr="0077119C">
              <w:t xml:space="preserve">community-based projects that have </w:t>
            </w:r>
            <w:r w:rsidR="0072365A">
              <w:t>focused on</w:t>
            </w:r>
            <w:r>
              <w:t xml:space="preserve"> EVAWG</w:t>
            </w:r>
            <w:r w:rsidR="00EF65AE" w:rsidRPr="0077119C">
              <w:t>.</w:t>
            </w:r>
          </w:p>
        </w:tc>
      </w:tr>
      <w:tr w:rsidR="00EF65AE" w:rsidRPr="0077119C" w14:paraId="49578DA6" w14:textId="77777777" w:rsidTr="00B70FF2">
        <w:tc>
          <w:tcPr>
            <w:tcW w:w="765" w:type="pct"/>
          </w:tcPr>
          <w:p w14:paraId="5016A348" w14:textId="77777777" w:rsidR="00EF65AE" w:rsidRPr="0077119C" w:rsidRDefault="00EF65AE" w:rsidP="00EF65AE">
            <w:r w:rsidRPr="0077119C">
              <w:t>Global</w:t>
            </w:r>
          </w:p>
        </w:tc>
        <w:tc>
          <w:tcPr>
            <w:tcW w:w="1736" w:type="pct"/>
          </w:tcPr>
          <w:p w14:paraId="0F82EB42" w14:textId="77777777" w:rsidR="00DB1A92" w:rsidRDefault="00EF65AE" w:rsidP="00DB1746">
            <w:r w:rsidRPr="0077119C">
              <w:t xml:space="preserve">Violence Against Women Initiative </w:t>
            </w:r>
          </w:p>
          <w:p w14:paraId="2C87FE3F" w14:textId="77777777" w:rsidR="00EF65AE" w:rsidRPr="0077119C" w:rsidRDefault="00EF65AE" w:rsidP="00DB1746">
            <w:r w:rsidRPr="0077119C">
              <w:t>2009 to 2020</w:t>
            </w:r>
          </w:p>
          <w:p w14:paraId="7831845C" w14:textId="77777777" w:rsidR="00EF65AE" w:rsidRPr="0077119C" w:rsidRDefault="00EF65AE" w:rsidP="00EF65AE">
            <w:r w:rsidRPr="0077119C">
              <w:t>$30 million</w:t>
            </w:r>
          </w:p>
        </w:tc>
        <w:tc>
          <w:tcPr>
            <w:tcW w:w="2499" w:type="pct"/>
          </w:tcPr>
          <w:p w14:paraId="1EAFB695" w14:textId="77777777" w:rsidR="007342B7" w:rsidRDefault="0072365A" w:rsidP="00EF65AE">
            <w:r>
              <w:t>Helps</w:t>
            </w:r>
            <w:r w:rsidR="00EF65AE" w:rsidRPr="0077119C">
              <w:t xml:space="preserve"> ensure women and girls can access a core set of services to meet their emergency and immediate needs. </w:t>
            </w:r>
          </w:p>
          <w:p w14:paraId="55FC4107" w14:textId="77777777" w:rsidR="00EF65AE" w:rsidRPr="0077119C" w:rsidRDefault="00004CFB" w:rsidP="00EF65AE">
            <w:r>
              <w:t>S</w:t>
            </w:r>
            <w:r w:rsidR="00EF65AE" w:rsidRPr="0077119C">
              <w:t xml:space="preserve">ervices include emergency hotlines, safety and police protection, shelter and housing, crisis counselling and health care. </w:t>
            </w:r>
          </w:p>
        </w:tc>
      </w:tr>
      <w:tr w:rsidR="00EF65AE" w:rsidRPr="0077119C" w14:paraId="71590D2F" w14:textId="77777777" w:rsidTr="00B70FF2">
        <w:tc>
          <w:tcPr>
            <w:tcW w:w="765" w:type="pct"/>
          </w:tcPr>
          <w:p w14:paraId="3EE1E68E" w14:textId="77777777" w:rsidR="00EF65AE" w:rsidRPr="0077119C" w:rsidRDefault="00EF65AE" w:rsidP="00EF65AE">
            <w:r w:rsidRPr="0077119C">
              <w:t>Pacific Regional</w:t>
            </w:r>
          </w:p>
        </w:tc>
        <w:tc>
          <w:tcPr>
            <w:tcW w:w="1736" w:type="pct"/>
          </w:tcPr>
          <w:p w14:paraId="7B56B9D6" w14:textId="77777777" w:rsidR="00EF65AE" w:rsidRPr="0077119C" w:rsidRDefault="00EF65AE" w:rsidP="00EF65AE">
            <w:r w:rsidRPr="0077119C">
              <w:t>Fiji Women’s Crisis Centre</w:t>
            </w:r>
          </w:p>
          <w:p w14:paraId="4924484B" w14:textId="77777777" w:rsidR="00EF65AE" w:rsidRDefault="00EF65AE" w:rsidP="00B8572E">
            <w:pPr>
              <w:numPr>
                <w:ilvl w:val="0"/>
                <w:numId w:val="0"/>
              </w:numPr>
            </w:pPr>
            <w:r w:rsidRPr="0077119C">
              <w:t>2009 to 2017</w:t>
            </w:r>
          </w:p>
          <w:p w14:paraId="0FF64156" w14:textId="77777777" w:rsidR="00DB1A92" w:rsidRPr="0077119C" w:rsidRDefault="00DB1A92" w:rsidP="00DB1A92">
            <w:r w:rsidRPr="0077119C">
              <w:t>$7.3 million</w:t>
            </w:r>
          </w:p>
          <w:p w14:paraId="75353CC8" w14:textId="77777777" w:rsidR="00DB1A92" w:rsidRPr="0077119C" w:rsidRDefault="00DB1A92" w:rsidP="00B8572E">
            <w:pPr>
              <w:numPr>
                <w:ilvl w:val="0"/>
                <w:numId w:val="0"/>
              </w:numPr>
            </w:pPr>
          </w:p>
        </w:tc>
        <w:tc>
          <w:tcPr>
            <w:tcW w:w="2499" w:type="pct"/>
          </w:tcPr>
          <w:p w14:paraId="1669BBDF" w14:textId="77777777" w:rsidR="00EF65AE" w:rsidRPr="0077119C" w:rsidRDefault="00EF65AE" w:rsidP="005B788C">
            <w:r w:rsidRPr="0077119C">
              <w:t>The F</w:t>
            </w:r>
            <w:r w:rsidR="00406E97">
              <w:t>iji Women’s Crisis Centre</w:t>
            </w:r>
            <w:r w:rsidRPr="0077119C">
              <w:t xml:space="preserve"> provides technical support and mentoring to organisations working in the Pacific region. </w:t>
            </w:r>
            <w:r w:rsidR="00004CFB">
              <w:t>It</w:t>
            </w:r>
            <w:r w:rsidRPr="0077119C">
              <w:t xml:space="preserve"> aims to reduce individual and institutional tolerance of violence against women, and increase availability of services </w:t>
            </w:r>
            <w:r w:rsidR="00004CFB">
              <w:t>including</w:t>
            </w:r>
            <w:r w:rsidRPr="0077119C">
              <w:t xml:space="preserve"> crisis counselling, legal advice, advocacy, multi-sectoral coordination, training, education and awareness. </w:t>
            </w:r>
          </w:p>
        </w:tc>
      </w:tr>
      <w:tr w:rsidR="00EF65AE" w:rsidRPr="0077119C" w14:paraId="42B1D4B7" w14:textId="77777777" w:rsidTr="00B70FF2">
        <w:tc>
          <w:tcPr>
            <w:tcW w:w="765" w:type="pct"/>
          </w:tcPr>
          <w:p w14:paraId="005BC69B" w14:textId="77777777" w:rsidR="00EF65AE" w:rsidRPr="0077119C" w:rsidRDefault="00EF65AE" w:rsidP="00EF65AE">
            <w:r w:rsidRPr="0077119C">
              <w:t>Pacific Regional</w:t>
            </w:r>
          </w:p>
        </w:tc>
        <w:tc>
          <w:tcPr>
            <w:tcW w:w="1736" w:type="pct"/>
          </w:tcPr>
          <w:p w14:paraId="5BDEC59B" w14:textId="77777777" w:rsidR="00EF65AE" w:rsidRPr="0077119C" w:rsidRDefault="00EF65AE" w:rsidP="00EF65AE">
            <w:r w:rsidRPr="0077119C">
              <w:t xml:space="preserve">Pacific Women Shaping Pacific Development (Pacific Women) </w:t>
            </w:r>
          </w:p>
          <w:p w14:paraId="0C4FA5FA" w14:textId="77777777" w:rsidR="00EF65AE" w:rsidRPr="0077119C" w:rsidRDefault="00EF65AE" w:rsidP="00B8572E">
            <w:pPr>
              <w:numPr>
                <w:ilvl w:val="0"/>
                <w:numId w:val="0"/>
              </w:numPr>
            </w:pPr>
            <w:r w:rsidRPr="0077119C">
              <w:t>2012 to 2022</w:t>
            </w:r>
          </w:p>
          <w:p w14:paraId="669F2170" w14:textId="77777777" w:rsidR="00EF65AE" w:rsidRPr="0077119C" w:rsidRDefault="00EF65AE" w:rsidP="00EF65AE">
            <w:r w:rsidRPr="0077119C">
              <w:t>$149 million</w:t>
            </w:r>
          </w:p>
        </w:tc>
        <w:tc>
          <w:tcPr>
            <w:tcW w:w="2499" w:type="pct"/>
          </w:tcPr>
          <w:p w14:paraId="01D2B9AE" w14:textId="77777777" w:rsidR="0072365A" w:rsidRDefault="0072365A" w:rsidP="0072365A">
            <w:r>
              <w:t>S</w:t>
            </w:r>
            <w:r w:rsidR="00EF65AE" w:rsidRPr="0077119C">
              <w:t>upports women in 14 Pacific countries to meet the commitments made in the 2012 Pacific Island Forum Leaders’ Gender Equality Declaration</w:t>
            </w:r>
            <w:r w:rsidR="00E2253F">
              <w:t>.</w:t>
            </w:r>
          </w:p>
          <w:p w14:paraId="0C2A0295" w14:textId="77777777" w:rsidR="00EF65AE" w:rsidRPr="0077119C" w:rsidRDefault="0072365A" w:rsidP="0072365A">
            <w:r>
              <w:t>Works</w:t>
            </w:r>
            <w:r w:rsidR="00004CFB">
              <w:t xml:space="preserve"> </w:t>
            </w:r>
            <w:r w:rsidR="00EF65AE" w:rsidRPr="0077119C">
              <w:t xml:space="preserve">to reduce violence against women and girls </w:t>
            </w:r>
            <w:r w:rsidR="00004CFB">
              <w:t xml:space="preserve">by </w:t>
            </w:r>
            <w:r w:rsidR="00EF65AE" w:rsidRPr="0077119C">
              <w:t>focus</w:t>
            </w:r>
            <w:r w:rsidR="00004CFB">
              <w:t>ing</w:t>
            </w:r>
            <w:r w:rsidR="00EF65AE" w:rsidRPr="0077119C">
              <w:t xml:space="preserve"> on support services and counselling, increasing access to justice and healthcare, </w:t>
            </w:r>
            <w:r w:rsidR="00004CFB">
              <w:t xml:space="preserve">and </w:t>
            </w:r>
            <w:r w:rsidR="00EF65AE" w:rsidRPr="0077119C">
              <w:t>strengthening legal systems, prevention and advocacy.</w:t>
            </w:r>
          </w:p>
        </w:tc>
      </w:tr>
      <w:tr w:rsidR="00EF65AE" w:rsidRPr="0077119C" w14:paraId="56C86AEB" w14:textId="77777777" w:rsidTr="00B70FF2">
        <w:tc>
          <w:tcPr>
            <w:tcW w:w="765" w:type="pct"/>
          </w:tcPr>
          <w:p w14:paraId="3B3A3EFF" w14:textId="77777777" w:rsidR="00EF65AE" w:rsidRPr="0077119C" w:rsidRDefault="00EF65AE" w:rsidP="00EF65AE">
            <w:r w:rsidRPr="0077119C">
              <w:t>Pacific Regional</w:t>
            </w:r>
          </w:p>
        </w:tc>
        <w:tc>
          <w:tcPr>
            <w:tcW w:w="1736" w:type="pct"/>
          </w:tcPr>
          <w:p w14:paraId="448F94FA" w14:textId="77777777" w:rsidR="00EF65AE" w:rsidRPr="0077119C" w:rsidRDefault="00EF65AE" w:rsidP="00EF65AE">
            <w:r w:rsidRPr="0077119C">
              <w:t xml:space="preserve">Regional Rights and Resources Team </w:t>
            </w:r>
          </w:p>
          <w:p w14:paraId="53531A94" w14:textId="77777777" w:rsidR="00EF65AE" w:rsidRPr="0077119C" w:rsidRDefault="00EF65AE" w:rsidP="00EF65AE">
            <w:r w:rsidRPr="0077119C">
              <w:t>2006 to 2020</w:t>
            </w:r>
          </w:p>
          <w:p w14:paraId="362F7EDA" w14:textId="77777777" w:rsidR="00EF65AE" w:rsidRPr="0077119C" w:rsidRDefault="00EF65AE" w:rsidP="00EF65AE">
            <w:r w:rsidRPr="0077119C">
              <w:t>$17.5 million</w:t>
            </w:r>
          </w:p>
        </w:tc>
        <w:tc>
          <w:tcPr>
            <w:tcW w:w="2499" w:type="pct"/>
          </w:tcPr>
          <w:p w14:paraId="572237ED" w14:textId="77777777" w:rsidR="00EF65AE" w:rsidRPr="0077119C" w:rsidRDefault="00EF65AE" w:rsidP="0072365A">
            <w:r w:rsidRPr="0077119C">
              <w:t xml:space="preserve">The </w:t>
            </w:r>
            <w:r w:rsidR="00406E97">
              <w:t>team</w:t>
            </w:r>
            <w:r w:rsidRPr="0077119C">
              <w:t xml:space="preserve"> provides policy advice, technical support and training on human rights, governance, democracy and the rule of law. </w:t>
            </w:r>
          </w:p>
        </w:tc>
      </w:tr>
    </w:tbl>
    <w:p w14:paraId="61BAA1D2" w14:textId="77777777" w:rsidR="00EF65AE" w:rsidRPr="00EF65AE" w:rsidRDefault="00EF65AE" w:rsidP="00EF65AE">
      <w:pPr>
        <w:rPr>
          <w:rFonts w:cs="Arial"/>
        </w:rPr>
      </w:pPr>
    </w:p>
    <w:p w14:paraId="4FDED712" w14:textId="77777777" w:rsidR="00EF65AE" w:rsidRPr="00EF65AE" w:rsidRDefault="00D36612" w:rsidP="00D36612">
      <w:pPr>
        <w:pStyle w:val="Caption"/>
      </w:pPr>
      <w:r>
        <w:t xml:space="preserve">Table </w:t>
      </w:r>
      <w:r w:rsidR="005A236E">
        <w:t>4</w:t>
      </w:r>
      <w:r w:rsidR="00EF65AE" w:rsidRPr="00EF65AE">
        <w:t xml:space="preserve">: </w:t>
      </w:r>
      <w:r w:rsidR="005B788C">
        <w:t xml:space="preserve">EVAWG </w:t>
      </w:r>
      <w:r w:rsidR="00EF65AE" w:rsidRPr="00EF65AE">
        <w:t>projects</w:t>
      </w:r>
      <w:r w:rsidR="005B788C">
        <w:t xml:space="preserve"> funded through Pacific Women Shaping Pacific Development</w:t>
      </w:r>
      <w:r w:rsidR="00EF65AE" w:rsidRPr="00EF65AE">
        <w:t xml:space="preserve"> (2013–20)</w:t>
      </w:r>
      <w:r w:rsidR="005A25D5">
        <w:t xml:space="preserve"> reviewed in detail in this evaluation</w:t>
      </w:r>
    </w:p>
    <w:tbl>
      <w:tblPr>
        <w:tblStyle w:val="TableGrid"/>
        <w:tblW w:w="0" w:type="auto"/>
        <w:tblLook w:val="0420" w:firstRow="1" w:lastRow="0" w:firstColumn="0" w:lastColumn="0" w:noHBand="0" w:noVBand="1"/>
      </w:tblPr>
      <w:tblGrid>
        <w:gridCol w:w="1314"/>
        <w:gridCol w:w="6066"/>
        <w:gridCol w:w="2248"/>
      </w:tblGrid>
      <w:tr w:rsidR="00093711" w:rsidRPr="0077119C" w14:paraId="45CADCC1" w14:textId="77777777" w:rsidTr="00057B37">
        <w:trPr>
          <w:cnfStyle w:val="100000000000" w:firstRow="1" w:lastRow="0" w:firstColumn="0" w:lastColumn="0" w:oddVBand="0" w:evenVBand="0" w:oddHBand="0" w:evenHBand="0" w:firstRowFirstColumn="0" w:firstRowLastColumn="0" w:lastRowFirstColumn="0" w:lastRowLastColumn="0"/>
        </w:trPr>
        <w:tc>
          <w:tcPr>
            <w:tcW w:w="0" w:type="auto"/>
          </w:tcPr>
          <w:p w14:paraId="32EDA8F4" w14:textId="77777777" w:rsidR="00EF65AE" w:rsidRPr="002A6350" w:rsidRDefault="00EF65AE" w:rsidP="00EF65AE">
            <w:r w:rsidRPr="002A6350">
              <w:t>Country</w:t>
            </w:r>
          </w:p>
        </w:tc>
        <w:tc>
          <w:tcPr>
            <w:tcW w:w="0" w:type="auto"/>
          </w:tcPr>
          <w:p w14:paraId="62776331" w14:textId="77777777" w:rsidR="00EF65AE" w:rsidRPr="002A6350" w:rsidRDefault="00EF65AE" w:rsidP="00EF65AE">
            <w:r w:rsidRPr="002A6350">
              <w:t>Project</w:t>
            </w:r>
          </w:p>
        </w:tc>
        <w:tc>
          <w:tcPr>
            <w:tcW w:w="0" w:type="auto"/>
          </w:tcPr>
          <w:p w14:paraId="192544BE" w14:textId="77777777" w:rsidR="00EF65AE" w:rsidRPr="002A6350" w:rsidRDefault="00EF65AE" w:rsidP="00ED261F">
            <w:r w:rsidRPr="002A6350">
              <w:t xml:space="preserve">Sum of </w:t>
            </w:r>
            <w:r w:rsidR="003C0F97" w:rsidRPr="002A6350">
              <w:t>t</w:t>
            </w:r>
            <w:r w:rsidRPr="002A6350">
              <w:t xml:space="preserve">otal </w:t>
            </w:r>
            <w:r w:rsidR="003C0F97" w:rsidRPr="002A6350">
              <w:t>f</w:t>
            </w:r>
            <w:r w:rsidRPr="002A6350">
              <w:t>unding</w:t>
            </w:r>
            <w:r w:rsidR="00ED261F">
              <w:t xml:space="preserve"> commitments</w:t>
            </w:r>
            <w:r w:rsidR="00093711" w:rsidRPr="002A6350">
              <w:t xml:space="preserve"> </w:t>
            </w:r>
            <w:r w:rsidR="00093711" w:rsidRPr="005B788C">
              <w:t>AUD</w:t>
            </w:r>
          </w:p>
        </w:tc>
      </w:tr>
      <w:tr w:rsidR="00093711" w:rsidRPr="0077119C" w14:paraId="3FDF06C0" w14:textId="77777777" w:rsidTr="00C12D5C">
        <w:tc>
          <w:tcPr>
            <w:tcW w:w="0" w:type="auto"/>
          </w:tcPr>
          <w:p w14:paraId="1283A6A4" w14:textId="77777777" w:rsidR="00EF65AE" w:rsidRPr="0077119C" w:rsidRDefault="00EF65AE" w:rsidP="00EF65AE">
            <w:r w:rsidRPr="0077119C">
              <w:t>Fiji</w:t>
            </w:r>
          </w:p>
        </w:tc>
        <w:tc>
          <w:tcPr>
            <w:tcW w:w="0" w:type="auto"/>
          </w:tcPr>
          <w:p w14:paraId="5F9CA2D7" w14:textId="77777777" w:rsidR="00EF65AE" w:rsidRPr="0077119C" w:rsidRDefault="00EF65AE" w:rsidP="00EF65AE">
            <w:r w:rsidRPr="0077119C">
              <w:t xml:space="preserve">Fiji Women’s Crisis Centre </w:t>
            </w:r>
            <w:r w:rsidR="00004CFB">
              <w:t>p</w:t>
            </w:r>
            <w:r w:rsidRPr="0077119C">
              <w:t xml:space="preserve">rograms to </w:t>
            </w:r>
            <w:r w:rsidR="00004CFB">
              <w:t>e</w:t>
            </w:r>
            <w:r w:rsidRPr="0077119C">
              <w:t xml:space="preserve">liminate </w:t>
            </w:r>
            <w:r w:rsidR="00004CFB">
              <w:t>v</w:t>
            </w:r>
            <w:r w:rsidRPr="0077119C">
              <w:t xml:space="preserve">iolence against </w:t>
            </w:r>
            <w:r w:rsidR="00004CFB">
              <w:t>w</w:t>
            </w:r>
            <w:r w:rsidRPr="0077119C">
              <w:t>omen in Fiji and the Pacific (Fiji Women’s Crisis Centre)</w:t>
            </w:r>
          </w:p>
        </w:tc>
        <w:tc>
          <w:tcPr>
            <w:tcW w:w="0" w:type="auto"/>
          </w:tcPr>
          <w:p w14:paraId="171FF3F7" w14:textId="77777777" w:rsidR="00EF65AE" w:rsidRPr="0077119C" w:rsidRDefault="00ED261F" w:rsidP="00EF65AE">
            <w:r>
              <w:t>$</w:t>
            </w:r>
            <w:r w:rsidR="00EF65AE" w:rsidRPr="0077119C">
              <w:t>6</w:t>
            </w:r>
            <w:r w:rsidR="002C2147">
              <w:t>.3 million</w:t>
            </w:r>
          </w:p>
        </w:tc>
      </w:tr>
      <w:tr w:rsidR="00093711" w:rsidRPr="0077119C" w14:paraId="4A69132F" w14:textId="77777777" w:rsidTr="00C12D5C">
        <w:tc>
          <w:tcPr>
            <w:tcW w:w="0" w:type="auto"/>
          </w:tcPr>
          <w:p w14:paraId="6A12BA2E" w14:textId="77777777" w:rsidR="00EF65AE" w:rsidRPr="0077119C" w:rsidRDefault="00EF65AE" w:rsidP="00EF65AE">
            <w:r w:rsidRPr="0077119C">
              <w:t>Fiji</w:t>
            </w:r>
          </w:p>
        </w:tc>
        <w:tc>
          <w:tcPr>
            <w:tcW w:w="0" w:type="auto"/>
          </w:tcPr>
          <w:p w14:paraId="6B7D6D05" w14:textId="77777777" w:rsidR="00EF65AE" w:rsidRPr="0077119C" w:rsidRDefault="00093711" w:rsidP="00EF65AE">
            <w:r>
              <w:t>G</w:t>
            </w:r>
            <w:r w:rsidR="00EF65AE" w:rsidRPr="0077119C">
              <w:t>ender equality through ecumenical-based approaches (House of Sarah)</w:t>
            </w:r>
          </w:p>
        </w:tc>
        <w:tc>
          <w:tcPr>
            <w:tcW w:w="0" w:type="auto"/>
          </w:tcPr>
          <w:p w14:paraId="45CC51C0" w14:textId="77777777" w:rsidR="00EF65AE" w:rsidRPr="0077119C" w:rsidRDefault="00ED261F" w:rsidP="00EF65AE">
            <w:r>
              <w:t>$</w:t>
            </w:r>
            <w:r w:rsidR="002C2147">
              <w:t>0.</w:t>
            </w:r>
            <w:r w:rsidR="00EF65AE" w:rsidRPr="0077119C">
              <w:t>13</w:t>
            </w:r>
            <w:r w:rsidR="002C2147">
              <w:t xml:space="preserve"> million</w:t>
            </w:r>
          </w:p>
        </w:tc>
      </w:tr>
      <w:tr w:rsidR="00093711" w:rsidRPr="0077119C" w14:paraId="71D25F72" w14:textId="77777777" w:rsidTr="00C12D5C">
        <w:tc>
          <w:tcPr>
            <w:tcW w:w="0" w:type="auto"/>
          </w:tcPr>
          <w:p w14:paraId="3C11C326" w14:textId="77777777" w:rsidR="00EF65AE" w:rsidRPr="0077119C" w:rsidRDefault="00EF65AE" w:rsidP="00EF65AE">
            <w:r w:rsidRPr="0077119C">
              <w:t>Fiji</w:t>
            </w:r>
          </w:p>
        </w:tc>
        <w:tc>
          <w:tcPr>
            <w:tcW w:w="0" w:type="auto"/>
          </w:tcPr>
          <w:p w14:paraId="107850D0" w14:textId="77777777" w:rsidR="00EF65AE" w:rsidRPr="0077119C" w:rsidRDefault="00EF65AE" w:rsidP="00EF65AE">
            <w:r w:rsidRPr="0077119C">
              <w:t>Sexual reproductive health services for women and youth (Medical Services Pacific)</w:t>
            </w:r>
          </w:p>
        </w:tc>
        <w:tc>
          <w:tcPr>
            <w:tcW w:w="0" w:type="auto"/>
          </w:tcPr>
          <w:p w14:paraId="72C10464" w14:textId="77777777" w:rsidR="00EF65AE" w:rsidRPr="0077119C" w:rsidRDefault="00ED261F" w:rsidP="00B8572E">
            <w:pPr>
              <w:numPr>
                <w:ilvl w:val="0"/>
                <w:numId w:val="0"/>
              </w:numPr>
            </w:pPr>
            <w:r>
              <w:t>$</w:t>
            </w:r>
            <w:r w:rsidR="002C2147">
              <w:t>1.0 million</w:t>
            </w:r>
          </w:p>
        </w:tc>
      </w:tr>
      <w:tr w:rsidR="00093711" w:rsidRPr="0077119C" w14:paraId="57BBCFD7" w14:textId="77777777" w:rsidTr="00C12D5C">
        <w:tc>
          <w:tcPr>
            <w:tcW w:w="0" w:type="auto"/>
          </w:tcPr>
          <w:p w14:paraId="2EA480A4" w14:textId="77777777" w:rsidR="00EF65AE" w:rsidRPr="0077119C" w:rsidRDefault="00EF65AE" w:rsidP="00EF65AE">
            <w:r w:rsidRPr="0077119C">
              <w:t>Fiji</w:t>
            </w:r>
          </w:p>
        </w:tc>
        <w:tc>
          <w:tcPr>
            <w:tcW w:w="0" w:type="auto"/>
          </w:tcPr>
          <w:p w14:paraId="77E7E087" w14:textId="77777777" w:rsidR="00EF65AE" w:rsidRPr="0077119C" w:rsidRDefault="00093711" w:rsidP="00EF65AE">
            <w:r>
              <w:t>W</w:t>
            </w:r>
            <w:r w:rsidR="00EF65AE" w:rsidRPr="0077119C">
              <w:t>omen’s empowerment through holistic and sustainable service delivery (Empower Pacific)</w:t>
            </w:r>
          </w:p>
        </w:tc>
        <w:tc>
          <w:tcPr>
            <w:tcW w:w="0" w:type="auto"/>
          </w:tcPr>
          <w:p w14:paraId="159D89CA" w14:textId="77777777" w:rsidR="00EF65AE" w:rsidRPr="0077119C" w:rsidRDefault="00ED261F" w:rsidP="00EF65AE">
            <w:r>
              <w:t>$</w:t>
            </w:r>
            <w:r w:rsidR="002C2147">
              <w:t>0.</w:t>
            </w:r>
            <w:r w:rsidR="00EF65AE" w:rsidRPr="0077119C">
              <w:t>27</w:t>
            </w:r>
            <w:r w:rsidR="002C2147">
              <w:t xml:space="preserve"> million</w:t>
            </w:r>
          </w:p>
        </w:tc>
      </w:tr>
      <w:tr w:rsidR="00093711" w:rsidRPr="0077119C" w14:paraId="4A47BBDE" w14:textId="77777777" w:rsidTr="00C12D5C">
        <w:tc>
          <w:tcPr>
            <w:tcW w:w="0" w:type="auto"/>
          </w:tcPr>
          <w:p w14:paraId="5B21538E" w14:textId="77777777" w:rsidR="00EF65AE" w:rsidRPr="0077119C" w:rsidRDefault="00EF65AE" w:rsidP="00EF65AE">
            <w:r w:rsidRPr="0077119C">
              <w:t>Fiji</w:t>
            </w:r>
          </w:p>
        </w:tc>
        <w:tc>
          <w:tcPr>
            <w:tcW w:w="0" w:type="auto"/>
          </w:tcPr>
          <w:p w14:paraId="288F505E" w14:textId="77777777" w:rsidR="00EF65AE" w:rsidRPr="0077119C" w:rsidRDefault="00EF65AE" w:rsidP="00EF65AE">
            <w:r w:rsidRPr="0077119C">
              <w:t xml:space="preserve">WEAVERS project (Pacific Conference of Churches) </w:t>
            </w:r>
          </w:p>
        </w:tc>
        <w:tc>
          <w:tcPr>
            <w:tcW w:w="0" w:type="auto"/>
          </w:tcPr>
          <w:p w14:paraId="1D0B0190" w14:textId="77777777" w:rsidR="00EF65AE" w:rsidRPr="0077119C" w:rsidRDefault="00ED261F" w:rsidP="00EF65AE">
            <w:r>
              <w:t>$</w:t>
            </w:r>
            <w:r w:rsidR="002C2147">
              <w:t>0.0</w:t>
            </w:r>
            <w:r w:rsidR="00EF65AE" w:rsidRPr="0077119C">
              <w:t>8</w:t>
            </w:r>
            <w:r w:rsidR="002C2147">
              <w:t xml:space="preserve"> million</w:t>
            </w:r>
          </w:p>
        </w:tc>
      </w:tr>
      <w:tr w:rsidR="00093711" w:rsidRPr="0077119C" w14:paraId="04AF24FB" w14:textId="77777777" w:rsidTr="00C12D5C">
        <w:tc>
          <w:tcPr>
            <w:tcW w:w="0" w:type="auto"/>
          </w:tcPr>
          <w:p w14:paraId="25085B33" w14:textId="77777777" w:rsidR="00EF65AE" w:rsidRPr="0077119C" w:rsidRDefault="00EF65AE" w:rsidP="00EF65AE">
            <w:r w:rsidRPr="0077119C">
              <w:t>Papua New Guinea</w:t>
            </w:r>
          </w:p>
        </w:tc>
        <w:tc>
          <w:tcPr>
            <w:tcW w:w="0" w:type="auto"/>
          </w:tcPr>
          <w:p w14:paraId="4C9F6FB2" w14:textId="77777777" w:rsidR="00EF65AE" w:rsidRPr="0077119C" w:rsidRDefault="00EF65AE" w:rsidP="00EF65AE">
            <w:r w:rsidRPr="0077119C">
              <w:t>Building the capacity of P</w:t>
            </w:r>
            <w:r w:rsidR="004D6E65">
              <w:t>NG</w:t>
            </w:r>
            <w:r w:rsidRPr="0077119C">
              <w:t>’s Family and Sexual Violence Action Committee (Institute of National Affairs and consultant)</w:t>
            </w:r>
          </w:p>
        </w:tc>
        <w:tc>
          <w:tcPr>
            <w:tcW w:w="0" w:type="auto"/>
          </w:tcPr>
          <w:p w14:paraId="1B8CD409" w14:textId="77777777" w:rsidR="00EF65AE" w:rsidRPr="0077119C" w:rsidRDefault="00ED261F" w:rsidP="00EF65AE">
            <w:r>
              <w:t>$</w:t>
            </w:r>
            <w:r w:rsidR="002C2147">
              <w:t>0.</w:t>
            </w:r>
            <w:r w:rsidR="00EF65AE" w:rsidRPr="0077119C">
              <w:t>92</w:t>
            </w:r>
            <w:r w:rsidR="002C2147">
              <w:t xml:space="preserve"> million</w:t>
            </w:r>
          </w:p>
        </w:tc>
      </w:tr>
      <w:tr w:rsidR="00093711" w:rsidRPr="0077119C" w14:paraId="4000F943" w14:textId="77777777" w:rsidTr="00C12D5C">
        <w:tc>
          <w:tcPr>
            <w:tcW w:w="0" w:type="auto"/>
          </w:tcPr>
          <w:p w14:paraId="4E2A5E24" w14:textId="77777777" w:rsidR="00EF65AE" w:rsidRPr="0077119C" w:rsidRDefault="00EF65AE" w:rsidP="00EF65AE">
            <w:r w:rsidRPr="0077119C">
              <w:t>Papua New Guinea</w:t>
            </w:r>
          </w:p>
        </w:tc>
        <w:tc>
          <w:tcPr>
            <w:tcW w:w="0" w:type="auto"/>
          </w:tcPr>
          <w:p w14:paraId="4A6A6451" w14:textId="77777777" w:rsidR="00EF65AE" w:rsidRPr="0077119C" w:rsidRDefault="00EF65AE" w:rsidP="00EF65AE">
            <w:r w:rsidRPr="0077119C">
              <w:t xml:space="preserve">Construction of </w:t>
            </w:r>
            <w:r w:rsidR="00004CFB">
              <w:t xml:space="preserve">the </w:t>
            </w:r>
            <w:r w:rsidRPr="0077119C">
              <w:t>Koki market transit centre (Koki Market)</w:t>
            </w:r>
          </w:p>
        </w:tc>
        <w:tc>
          <w:tcPr>
            <w:tcW w:w="0" w:type="auto"/>
          </w:tcPr>
          <w:p w14:paraId="6E975E13" w14:textId="77777777" w:rsidR="00EF65AE" w:rsidRPr="0077119C" w:rsidRDefault="00ED261F" w:rsidP="00EF65AE">
            <w:r>
              <w:t>$</w:t>
            </w:r>
            <w:r w:rsidR="002C2147">
              <w:t>0.</w:t>
            </w:r>
            <w:r w:rsidR="00EF65AE" w:rsidRPr="0077119C">
              <w:t>49</w:t>
            </w:r>
            <w:r w:rsidR="002C2147">
              <w:t xml:space="preserve"> million</w:t>
            </w:r>
          </w:p>
        </w:tc>
      </w:tr>
      <w:tr w:rsidR="00093711" w:rsidRPr="0077119C" w14:paraId="3EF33088" w14:textId="77777777" w:rsidTr="00C12D5C">
        <w:tc>
          <w:tcPr>
            <w:tcW w:w="0" w:type="auto"/>
          </w:tcPr>
          <w:p w14:paraId="00674AA6" w14:textId="77777777" w:rsidR="00EF65AE" w:rsidRPr="0077119C" w:rsidRDefault="00EF65AE" w:rsidP="00EF65AE">
            <w:r w:rsidRPr="0077119C">
              <w:t>Papua New Guinea</w:t>
            </w:r>
          </w:p>
        </w:tc>
        <w:tc>
          <w:tcPr>
            <w:tcW w:w="0" w:type="auto"/>
          </w:tcPr>
          <w:p w14:paraId="15A7647A" w14:textId="77777777" w:rsidR="00EF65AE" w:rsidRPr="0077119C" w:rsidRDefault="00EF65AE" w:rsidP="00EF65AE">
            <w:r w:rsidRPr="0077119C">
              <w:t>Creating a movement to end violence against women in P</w:t>
            </w:r>
            <w:r w:rsidR="004D6E65">
              <w:t>NG</w:t>
            </w:r>
            <w:r w:rsidR="00004CFB">
              <w:t>—</w:t>
            </w:r>
            <w:r w:rsidRPr="005B788C">
              <w:rPr>
                <w:i/>
                <w:iCs/>
              </w:rPr>
              <w:t>SASA!</w:t>
            </w:r>
            <w:r w:rsidRPr="0077119C">
              <w:t xml:space="preserve"> pilot and Family Support Centre assistance project (Population Services International P</w:t>
            </w:r>
            <w:r w:rsidR="00004CFB">
              <w:t>apua New Guinea</w:t>
            </w:r>
            <w:r w:rsidRPr="0077119C">
              <w:t>)</w:t>
            </w:r>
          </w:p>
        </w:tc>
        <w:tc>
          <w:tcPr>
            <w:tcW w:w="0" w:type="auto"/>
          </w:tcPr>
          <w:p w14:paraId="51C64934" w14:textId="77777777" w:rsidR="00EF65AE" w:rsidRPr="0077119C" w:rsidRDefault="00ED261F" w:rsidP="00EF65AE">
            <w:r>
              <w:t>$</w:t>
            </w:r>
            <w:r w:rsidR="00EF65AE" w:rsidRPr="0077119C">
              <w:t>3</w:t>
            </w:r>
            <w:r w:rsidR="002C2147">
              <w:t>.5 million</w:t>
            </w:r>
          </w:p>
        </w:tc>
      </w:tr>
      <w:tr w:rsidR="00093711" w:rsidRPr="0077119C" w14:paraId="31DB0A27" w14:textId="77777777" w:rsidTr="00C12D5C">
        <w:tc>
          <w:tcPr>
            <w:tcW w:w="0" w:type="auto"/>
          </w:tcPr>
          <w:p w14:paraId="129998E4" w14:textId="77777777" w:rsidR="00EF65AE" w:rsidRPr="0077119C" w:rsidRDefault="00EF65AE" w:rsidP="00EF65AE">
            <w:r w:rsidRPr="0077119C">
              <w:t>Papua New Guinea</w:t>
            </w:r>
          </w:p>
        </w:tc>
        <w:tc>
          <w:tcPr>
            <w:tcW w:w="0" w:type="auto"/>
          </w:tcPr>
          <w:p w14:paraId="298B213F" w14:textId="77777777" w:rsidR="00EF65AE" w:rsidRPr="0077119C" w:rsidRDefault="00EF65AE" w:rsidP="00EF65AE">
            <w:r w:rsidRPr="0077119C">
              <w:t>End Violence against Children Campaign (UNICEF)</w:t>
            </w:r>
          </w:p>
        </w:tc>
        <w:tc>
          <w:tcPr>
            <w:tcW w:w="0" w:type="auto"/>
          </w:tcPr>
          <w:p w14:paraId="59872D20" w14:textId="77777777" w:rsidR="00EF65AE" w:rsidRPr="0077119C" w:rsidRDefault="00ED261F" w:rsidP="00EF65AE">
            <w:r>
              <w:t>$</w:t>
            </w:r>
            <w:r w:rsidR="002C2147">
              <w:t>2.0 million</w:t>
            </w:r>
          </w:p>
        </w:tc>
      </w:tr>
      <w:tr w:rsidR="00093711" w:rsidRPr="0077119C" w14:paraId="2CE32C6A" w14:textId="77777777" w:rsidTr="00C12D5C">
        <w:tc>
          <w:tcPr>
            <w:tcW w:w="0" w:type="auto"/>
          </w:tcPr>
          <w:p w14:paraId="3B2158BA" w14:textId="77777777" w:rsidR="00EF65AE" w:rsidRPr="0077119C" w:rsidRDefault="00EF65AE" w:rsidP="00EF65AE">
            <w:r w:rsidRPr="0077119C">
              <w:t>Papua New Guinea</w:t>
            </w:r>
          </w:p>
        </w:tc>
        <w:tc>
          <w:tcPr>
            <w:tcW w:w="0" w:type="auto"/>
          </w:tcPr>
          <w:p w14:paraId="0955BA41" w14:textId="77777777" w:rsidR="00EF65AE" w:rsidRPr="0077119C" w:rsidRDefault="00EF65AE" w:rsidP="00EF65AE">
            <w:r w:rsidRPr="0077119C">
              <w:t xml:space="preserve">Establishment of </w:t>
            </w:r>
            <w:r w:rsidR="00993A31">
              <w:t>F</w:t>
            </w:r>
            <w:r w:rsidRPr="0077119C">
              <w:t xml:space="preserve">amily </w:t>
            </w:r>
            <w:r w:rsidR="00993A31">
              <w:t>S</w:t>
            </w:r>
            <w:r w:rsidRPr="0077119C">
              <w:t xml:space="preserve">upport </w:t>
            </w:r>
            <w:r w:rsidR="00993A31">
              <w:t>C</w:t>
            </w:r>
            <w:r w:rsidRPr="0077119C">
              <w:t xml:space="preserve">entres at Arawa Hospital, Bougainville and Daru Hospital, </w:t>
            </w:r>
            <w:r w:rsidR="00004CFB">
              <w:t xml:space="preserve">and in </w:t>
            </w:r>
            <w:r w:rsidRPr="0077119C">
              <w:t>Western Province (Health and Education Procurement Facility and the Health and HIV Implementing Services Provider)</w:t>
            </w:r>
          </w:p>
        </w:tc>
        <w:tc>
          <w:tcPr>
            <w:tcW w:w="0" w:type="auto"/>
          </w:tcPr>
          <w:p w14:paraId="38D70B8F" w14:textId="77777777" w:rsidR="00EF65AE" w:rsidRPr="0077119C" w:rsidRDefault="00ED261F" w:rsidP="00EF65AE">
            <w:r>
              <w:t>$</w:t>
            </w:r>
            <w:r w:rsidR="00EF65AE" w:rsidRPr="0077119C">
              <w:t>1</w:t>
            </w:r>
            <w:r w:rsidR="002C2147">
              <w:t>.2 million</w:t>
            </w:r>
          </w:p>
        </w:tc>
      </w:tr>
      <w:tr w:rsidR="00093711" w:rsidRPr="0077119C" w14:paraId="48743DBA" w14:textId="77777777" w:rsidTr="00C12D5C">
        <w:tc>
          <w:tcPr>
            <w:tcW w:w="0" w:type="auto"/>
          </w:tcPr>
          <w:p w14:paraId="222BB294" w14:textId="77777777" w:rsidR="00EF65AE" w:rsidRPr="0077119C" w:rsidRDefault="00EF65AE" w:rsidP="00EF65AE">
            <w:r w:rsidRPr="0077119C">
              <w:t>Papua New Guinea</w:t>
            </w:r>
          </w:p>
        </w:tc>
        <w:tc>
          <w:tcPr>
            <w:tcW w:w="0" w:type="auto"/>
          </w:tcPr>
          <w:p w14:paraId="016EA9F7" w14:textId="77777777" w:rsidR="00EF65AE" w:rsidRPr="0077119C" w:rsidRDefault="00EF65AE" w:rsidP="00EF65AE">
            <w:r w:rsidRPr="0077119C">
              <w:t>Family and Sexual Violence Case Management Centre</w:t>
            </w:r>
            <w:r w:rsidR="00004CFB">
              <w:t>’s</w:t>
            </w:r>
            <w:r w:rsidRPr="0077119C">
              <w:t xml:space="preserve"> ‘Femili PNG’ (Oxfam in P</w:t>
            </w:r>
            <w:r w:rsidR="004D6E65">
              <w:t>NG</w:t>
            </w:r>
            <w:r w:rsidRPr="0077119C">
              <w:t xml:space="preserve"> with Australian National University)</w:t>
            </w:r>
          </w:p>
        </w:tc>
        <w:tc>
          <w:tcPr>
            <w:tcW w:w="0" w:type="auto"/>
          </w:tcPr>
          <w:p w14:paraId="0D7B262D" w14:textId="77777777" w:rsidR="00EF65AE" w:rsidRPr="0077119C" w:rsidRDefault="00ED261F" w:rsidP="002C2147">
            <w:r>
              <w:t>$</w:t>
            </w:r>
            <w:r w:rsidR="00EF65AE" w:rsidRPr="0077119C">
              <w:t>3</w:t>
            </w:r>
            <w:r w:rsidR="002C2147">
              <w:t>.1 million</w:t>
            </w:r>
          </w:p>
        </w:tc>
      </w:tr>
      <w:tr w:rsidR="00093711" w:rsidRPr="0077119C" w14:paraId="0251A2D0" w14:textId="77777777" w:rsidTr="00C12D5C">
        <w:tc>
          <w:tcPr>
            <w:tcW w:w="0" w:type="auto"/>
          </w:tcPr>
          <w:p w14:paraId="2E70E273" w14:textId="77777777" w:rsidR="00EF65AE" w:rsidRPr="0077119C" w:rsidRDefault="00EF65AE" w:rsidP="00EF65AE">
            <w:r w:rsidRPr="0077119C">
              <w:t>Papua New Guinea</w:t>
            </w:r>
          </w:p>
        </w:tc>
        <w:tc>
          <w:tcPr>
            <w:tcW w:w="0" w:type="auto"/>
          </w:tcPr>
          <w:p w14:paraId="3BAC17B7" w14:textId="77777777" w:rsidR="00EF65AE" w:rsidRPr="0077119C" w:rsidRDefault="00EF65AE" w:rsidP="00EF65AE">
            <w:r w:rsidRPr="0077119C">
              <w:t>Family and Sexual Violence Case Management: Building on Success for National Impact (Femili PNG)</w:t>
            </w:r>
          </w:p>
        </w:tc>
        <w:tc>
          <w:tcPr>
            <w:tcW w:w="0" w:type="auto"/>
          </w:tcPr>
          <w:p w14:paraId="54169B53" w14:textId="77777777" w:rsidR="00EF65AE" w:rsidRPr="0077119C" w:rsidRDefault="00ED261F" w:rsidP="00EF65AE">
            <w:r>
              <w:t>$</w:t>
            </w:r>
            <w:r w:rsidR="00EF65AE" w:rsidRPr="0077119C">
              <w:t>2</w:t>
            </w:r>
            <w:r w:rsidR="002C2147">
              <w:t>.7 million</w:t>
            </w:r>
          </w:p>
        </w:tc>
      </w:tr>
      <w:tr w:rsidR="00093711" w:rsidRPr="0077119C" w14:paraId="300115DA" w14:textId="77777777" w:rsidTr="00C12D5C">
        <w:tc>
          <w:tcPr>
            <w:tcW w:w="0" w:type="auto"/>
          </w:tcPr>
          <w:p w14:paraId="10DFA902" w14:textId="77777777" w:rsidR="00EF65AE" w:rsidRPr="0077119C" w:rsidRDefault="00EF65AE" w:rsidP="00EF65AE">
            <w:r w:rsidRPr="0077119C">
              <w:t>Papua New Guinea</w:t>
            </w:r>
          </w:p>
        </w:tc>
        <w:tc>
          <w:tcPr>
            <w:tcW w:w="0" w:type="auto"/>
          </w:tcPr>
          <w:p w14:paraId="6F6361FB" w14:textId="77777777" w:rsidR="00EF65AE" w:rsidRPr="0077119C" w:rsidRDefault="00EF65AE" w:rsidP="00EF65AE">
            <w:r w:rsidRPr="0077119C">
              <w:t xml:space="preserve">Family Support Centre at Eastern Highlands </w:t>
            </w:r>
            <w:r w:rsidR="00004CFB">
              <w:t>H</w:t>
            </w:r>
            <w:r w:rsidRPr="0077119C">
              <w:t>ospital (Eastern Highlands Provincial Health Authority)</w:t>
            </w:r>
          </w:p>
        </w:tc>
        <w:tc>
          <w:tcPr>
            <w:tcW w:w="0" w:type="auto"/>
          </w:tcPr>
          <w:p w14:paraId="52B2CA20" w14:textId="77777777" w:rsidR="00EF65AE" w:rsidRPr="0077119C" w:rsidRDefault="00ED261F" w:rsidP="00EF65AE">
            <w:r>
              <w:t>$</w:t>
            </w:r>
            <w:r w:rsidR="002C2147">
              <w:t>0.28 million</w:t>
            </w:r>
          </w:p>
        </w:tc>
      </w:tr>
      <w:tr w:rsidR="00093711" w:rsidRPr="0077119C" w14:paraId="062DCEB4" w14:textId="77777777" w:rsidTr="00C12D5C">
        <w:tc>
          <w:tcPr>
            <w:tcW w:w="0" w:type="auto"/>
          </w:tcPr>
          <w:p w14:paraId="34B01913" w14:textId="77777777" w:rsidR="00EF65AE" w:rsidRPr="0077119C" w:rsidRDefault="00EF65AE" w:rsidP="00EF65AE">
            <w:r w:rsidRPr="0077119C">
              <w:t>Papua New Guinea</w:t>
            </w:r>
          </w:p>
        </w:tc>
        <w:tc>
          <w:tcPr>
            <w:tcW w:w="0" w:type="auto"/>
          </w:tcPr>
          <w:p w14:paraId="62BEAF50" w14:textId="77777777" w:rsidR="00EF65AE" w:rsidRPr="0077119C" w:rsidRDefault="00093711" w:rsidP="00EF65AE">
            <w:r>
              <w:t>‘</w:t>
            </w:r>
            <w:r w:rsidR="00EF65AE" w:rsidRPr="0077119C">
              <w:t>From Gender Based Violence to Gender Justice and Healing</w:t>
            </w:r>
            <w:r>
              <w:t>’</w:t>
            </w:r>
            <w:r w:rsidR="00EF65AE" w:rsidRPr="0077119C">
              <w:t xml:space="preserve"> (International Women’s Development Agency and Nazareth Centre for Rehabilitation)</w:t>
            </w:r>
          </w:p>
        </w:tc>
        <w:tc>
          <w:tcPr>
            <w:tcW w:w="0" w:type="auto"/>
          </w:tcPr>
          <w:p w14:paraId="48587FDB" w14:textId="77777777" w:rsidR="00EF65AE" w:rsidRPr="0077119C" w:rsidRDefault="00ED261F" w:rsidP="00EF65AE">
            <w:r>
              <w:t>$</w:t>
            </w:r>
            <w:r w:rsidR="00EF65AE" w:rsidRPr="0077119C">
              <w:t>1</w:t>
            </w:r>
            <w:r w:rsidR="002C2147">
              <w:t>.7 million</w:t>
            </w:r>
          </w:p>
        </w:tc>
      </w:tr>
      <w:tr w:rsidR="00093711" w:rsidRPr="0077119C" w14:paraId="44083773" w14:textId="77777777" w:rsidTr="00C12D5C">
        <w:tc>
          <w:tcPr>
            <w:tcW w:w="0" w:type="auto"/>
          </w:tcPr>
          <w:p w14:paraId="265F7036" w14:textId="77777777" w:rsidR="00EF65AE" w:rsidRPr="0077119C" w:rsidRDefault="00EF65AE" w:rsidP="00EF65AE">
            <w:r w:rsidRPr="0077119C">
              <w:t>Papua New Guinea</w:t>
            </w:r>
          </w:p>
        </w:tc>
        <w:tc>
          <w:tcPr>
            <w:tcW w:w="0" w:type="auto"/>
          </w:tcPr>
          <w:p w14:paraId="36609086" w14:textId="77777777" w:rsidR="00EF65AE" w:rsidRPr="0077119C" w:rsidRDefault="00EF65AE" w:rsidP="00EF65AE">
            <w:r w:rsidRPr="0077119C">
              <w:t>Highlands Sexual, Reproductive and Maternal Health Project (CARE International in P</w:t>
            </w:r>
            <w:r w:rsidR="004D6E65">
              <w:t>NG</w:t>
            </w:r>
            <w:r w:rsidRPr="0077119C">
              <w:t>)</w:t>
            </w:r>
          </w:p>
        </w:tc>
        <w:tc>
          <w:tcPr>
            <w:tcW w:w="0" w:type="auto"/>
          </w:tcPr>
          <w:p w14:paraId="31953468" w14:textId="77777777" w:rsidR="00EF65AE" w:rsidRPr="0077119C" w:rsidRDefault="00ED261F" w:rsidP="00EF65AE">
            <w:r>
              <w:t>$</w:t>
            </w:r>
            <w:r w:rsidR="00EF65AE" w:rsidRPr="0077119C">
              <w:t>1</w:t>
            </w:r>
            <w:r w:rsidR="002C2147">
              <w:t>.0 million</w:t>
            </w:r>
          </w:p>
        </w:tc>
      </w:tr>
      <w:tr w:rsidR="00093711" w:rsidRPr="0077119C" w14:paraId="73E939C3" w14:textId="77777777" w:rsidTr="00C12D5C">
        <w:tc>
          <w:tcPr>
            <w:tcW w:w="0" w:type="auto"/>
          </w:tcPr>
          <w:p w14:paraId="0A43FD10" w14:textId="77777777" w:rsidR="00EF65AE" w:rsidRPr="0077119C" w:rsidRDefault="00EF65AE" w:rsidP="00EF65AE">
            <w:r w:rsidRPr="0077119C">
              <w:t>Papua New Guinea</w:t>
            </w:r>
          </w:p>
        </w:tc>
        <w:tc>
          <w:tcPr>
            <w:tcW w:w="0" w:type="auto"/>
          </w:tcPr>
          <w:p w14:paraId="6D5010D2" w14:textId="77777777" w:rsidR="00EF65AE" w:rsidRPr="0077119C" w:rsidRDefault="00EF65AE" w:rsidP="00EF65AE">
            <w:r w:rsidRPr="0077119C">
              <w:t xml:space="preserve">Increase in </w:t>
            </w:r>
            <w:r w:rsidR="00993A31">
              <w:t>F</w:t>
            </w:r>
            <w:r w:rsidRPr="0077119C">
              <w:t xml:space="preserve">amily </w:t>
            </w:r>
            <w:r w:rsidR="00993A31">
              <w:t>S</w:t>
            </w:r>
            <w:r w:rsidRPr="0077119C">
              <w:t xml:space="preserve">upport </w:t>
            </w:r>
            <w:r w:rsidR="00993A31">
              <w:t>C</w:t>
            </w:r>
            <w:r w:rsidRPr="0077119C">
              <w:t xml:space="preserve">entres (Port Moresby General Hospital) </w:t>
            </w:r>
          </w:p>
        </w:tc>
        <w:tc>
          <w:tcPr>
            <w:tcW w:w="0" w:type="auto"/>
          </w:tcPr>
          <w:p w14:paraId="33A24977" w14:textId="77777777" w:rsidR="00EF65AE" w:rsidRPr="0077119C" w:rsidRDefault="00ED261F" w:rsidP="00EF65AE">
            <w:r>
              <w:t>$</w:t>
            </w:r>
            <w:r w:rsidR="002C2147">
              <w:t>0.19 million</w:t>
            </w:r>
          </w:p>
        </w:tc>
      </w:tr>
      <w:tr w:rsidR="00093711" w:rsidRPr="0077119C" w14:paraId="2537D35F" w14:textId="77777777" w:rsidTr="00C12D5C">
        <w:tc>
          <w:tcPr>
            <w:tcW w:w="0" w:type="auto"/>
          </w:tcPr>
          <w:p w14:paraId="5559DE62" w14:textId="77777777" w:rsidR="00EF65AE" w:rsidRPr="0077119C" w:rsidRDefault="00EF65AE" w:rsidP="00EF65AE">
            <w:r w:rsidRPr="0077119C">
              <w:t>Papua New Guinea</w:t>
            </w:r>
          </w:p>
        </w:tc>
        <w:tc>
          <w:tcPr>
            <w:tcW w:w="0" w:type="auto"/>
          </w:tcPr>
          <w:p w14:paraId="73B528D8" w14:textId="77777777" w:rsidR="00EF65AE" w:rsidRPr="0077119C" w:rsidRDefault="00EF65AE" w:rsidP="00EF65AE">
            <w:r w:rsidRPr="00E041FB">
              <w:rPr>
                <w:i/>
                <w:iCs/>
              </w:rPr>
              <w:t>Komuniti Lukautim Ol Meri</w:t>
            </w:r>
            <w:r w:rsidRPr="0077119C">
              <w:t xml:space="preserve"> (FHI 360)</w:t>
            </w:r>
          </w:p>
        </w:tc>
        <w:tc>
          <w:tcPr>
            <w:tcW w:w="0" w:type="auto"/>
          </w:tcPr>
          <w:p w14:paraId="07ECDF1B" w14:textId="77777777" w:rsidR="00EF65AE" w:rsidRPr="0077119C" w:rsidRDefault="00ED261F" w:rsidP="00EF65AE">
            <w:r>
              <w:t>$</w:t>
            </w:r>
            <w:r w:rsidR="00EF65AE" w:rsidRPr="0077119C">
              <w:t>2</w:t>
            </w:r>
            <w:r w:rsidR="002C2147">
              <w:t>.5 million</w:t>
            </w:r>
          </w:p>
        </w:tc>
      </w:tr>
      <w:tr w:rsidR="00093711" w:rsidRPr="0077119C" w14:paraId="1EE51B6E" w14:textId="77777777" w:rsidTr="00C12D5C">
        <w:tc>
          <w:tcPr>
            <w:tcW w:w="0" w:type="auto"/>
          </w:tcPr>
          <w:p w14:paraId="69B49EB4" w14:textId="77777777" w:rsidR="00EF65AE" w:rsidRPr="0077119C" w:rsidRDefault="00EF65AE" w:rsidP="00EF65AE">
            <w:r w:rsidRPr="0077119C">
              <w:t>Papua New Guinea</w:t>
            </w:r>
          </w:p>
        </w:tc>
        <w:tc>
          <w:tcPr>
            <w:tcW w:w="0" w:type="auto"/>
          </w:tcPr>
          <w:p w14:paraId="51394C43" w14:textId="77777777" w:rsidR="00EF65AE" w:rsidRPr="0077119C" w:rsidRDefault="00EF65AE" w:rsidP="00EF65AE">
            <w:r w:rsidRPr="0077119C">
              <w:t>Partnerships for Positive Parenting (UNICEF)</w:t>
            </w:r>
          </w:p>
        </w:tc>
        <w:tc>
          <w:tcPr>
            <w:tcW w:w="0" w:type="auto"/>
          </w:tcPr>
          <w:p w14:paraId="1E2F7D42" w14:textId="77777777" w:rsidR="00EF65AE" w:rsidRPr="0077119C" w:rsidRDefault="00ED261F" w:rsidP="00EF65AE">
            <w:r>
              <w:t>$</w:t>
            </w:r>
            <w:r w:rsidR="00EF65AE" w:rsidRPr="0077119C">
              <w:t>1</w:t>
            </w:r>
            <w:r w:rsidR="002C2147">
              <w:t>.8 million</w:t>
            </w:r>
          </w:p>
        </w:tc>
      </w:tr>
      <w:tr w:rsidR="00093711" w:rsidRPr="0077119C" w14:paraId="7727363D" w14:textId="77777777" w:rsidTr="00C12D5C">
        <w:tc>
          <w:tcPr>
            <w:tcW w:w="0" w:type="auto"/>
          </w:tcPr>
          <w:p w14:paraId="565A0541" w14:textId="77777777" w:rsidR="00EF65AE" w:rsidRPr="0077119C" w:rsidRDefault="00EF65AE" w:rsidP="00EF65AE">
            <w:r w:rsidRPr="0077119C">
              <w:t>Papua New Guinea</w:t>
            </w:r>
          </w:p>
        </w:tc>
        <w:tc>
          <w:tcPr>
            <w:tcW w:w="0" w:type="auto"/>
          </w:tcPr>
          <w:p w14:paraId="56887497" w14:textId="77777777" w:rsidR="00EF65AE" w:rsidRPr="0077119C" w:rsidRDefault="00EF65AE" w:rsidP="00EF65AE">
            <w:r w:rsidRPr="0077119C">
              <w:t>Port Moresby: A Safe City for Women and Girls Program (UN Women)</w:t>
            </w:r>
          </w:p>
        </w:tc>
        <w:tc>
          <w:tcPr>
            <w:tcW w:w="0" w:type="auto"/>
          </w:tcPr>
          <w:p w14:paraId="4BEDA6DC" w14:textId="77777777" w:rsidR="00EF65AE" w:rsidRPr="0077119C" w:rsidRDefault="00ED261F" w:rsidP="00EF65AE">
            <w:r>
              <w:t>$</w:t>
            </w:r>
            <w:r w:rsidR="00EF65AE" w:rsidRPr="0077119C">
              <w:t>4</w:t>
            </w:r>
            <w:r w:rsidR="002C2147">
              <w:t>.2 million</w:t>
            </w:r>
          </w:p>
        </w:tc>
      </w:tr>
      <w:tr w:rsidR="00093711" w:rsidRPr="0077119C" w14:paraId="67F5E861" w14:textId="77777777" w:rsidTr="00C12D5C">
        <w:tc>
          <w:tcPr>
            <w:tcW w:w="0" w:type="auto"/>
          </w:tcPr>
          <w:p w14:paraId="3658A6B7" w14:textId="77777777" w:rsidR="00EF65AE" w:rsidRPr="0077119C" w:rsidRDefault="00EF65AE" w:rsidP="00EF65AE">
            <w:r w:rsidRPr="0077119C">
              <w:t>Papua New Guinea</w:t>
            </w:r>
          </w:p>
        </w:tc>
        <w:tc>
          <w:tcPr>
            <w:tcW w:w="0" w:type="auto"/>
          </w:tcPr>
          <w:p w14:paraId="02008B55" w14:textId="77777777" w:rsidR="00EF65AE" w:rsidRPr="0077119C" w:rsidRDefault="00EF65AE" w:rsidP="00EF65AE">
            <w:r w:rsidRPr="0077119C">
              <w:t>Refurbishment of Lifeline (Lifeline)</w:t>
            </w:r>
          </w:p>
        </w:tc>
        <w:tc>
          <w:tcPr>
            <w:tcW w:w="0" w:type="auto"/>
          </w:tcPr>
          <w:p w14:paraId="69EDEEFA" w14:textId="77777777" w:rsidR="00EF65AE" w:rsidRPr="0077119C" w:rsidRDefault="00ED261F" w:rsidP="00EF65AE">
            <w:r>
              <w:t>$</w:t>
            </w:r>
            <w:r w:rsidR="002C2147">
              <w:t>0.09 million</w:t>
            </w:r>
          </w:p>
        </w:tc>
      </w:tr>
      <w:tr w:rsidR="00093711" w:rsidRPr="0077119C" w14:paraId="7FC83FF7" w14:textId="77777777" w:rsidTr="00C12D5C">
        <w:tc>
          <w:tcPr>
            <w:tcW w:w="0" w:type="auto"/>
          </w:tcPr>
          <w:p w14:paraId="5FE0AFDF" w14:textId="77777777" w:rsidR="00EF65AE" w:rsidRPr="0077119C" w:rsidRDefault="00EF65AE" w:rsidP="00EF65AE">
            <w:r w:rsidRPr="0077119C">
              <w:t>Papua New Guinea</w:t>
            </w:r>
          </w:p>
        </w:tc>
        <w:tc>
          <w:tcPr>
            <w:tcW w:w="0" w:type="auto"/>
          </w:tcPr>
          <w:p w14:paraId="49C7E7A9" w14:textId="77777777" w:rsidR="00EF65AE" w:rsidRPr="0077119C" w:rsidRDefault="00EF65AE" w:rsidP="00EF65AE">
            <w:r w:rsidRPr="0077119C">
              <w:t>Responding to Gender Based and Sorcery Related Violence in the Highlands</w:t>
            </w:r>
            <w:r w:rsidR="00093711">
              <w:t xml:space="preserve"> initiative</w:t>
            </w:r>
            <w:r w:rsidRPr="0077119C">
              <w:t xml:space="preserve"> (Oxfam in P</w:t>
            </w:r>
            <w:r w:rsidR="004D6E65">
              <w:t>NG</w:t>
            </w:r>
            <w:r w:rsidR="00093711">
              <w:t xml:space="preserve"> </w:t>
            </w:r>
            <w:r w:rsidRPr="0077119C">
              <w:t xml:space="preserve">with Highlands Women’s Human Rights Defenders’ Network) </w:t>
            </w:r>
          </w:p>
        </w:tc>
        <w:tc>
          <w:tcPr>
            <w:tcW w:w="0" w:type="auto"/>
          </w:tcPr>
          <w:p w14:paraId="150F1C95" w14:textId="77777777" w:rsidR="00EF65AE" w:rsidRPr="0077119C" w:rsidRDefault="00ED261F" w:rsidP="002C2147">
            <w:r>
              <w:t>$</w:t>
            </w:r>
            <w:r w:rsidR="00EF65AE" w:rsidRPr="0077119C">
              <w:t>3</w:t>
            </w:r>
            <w:r w:rsidR="002C2147">
              <w:t>.3 million</w:t>
            </w:r>
          </w:p>
        </w:tc>
      </w:tr>
      <w:tr w:rsidR="00093711" w:rsidRPr="0077119C" w14:paraId="7C5B0703" w14:textId="77777777" w:rsidTr="00C12D5C">
        <w:tc>
          <w:tcPr>
            <w:tcW w:w="0" w:type="auto"/>
          </w:tcPr>
          <w:p w14:paraId="404ADDA4" w14:textId="77777777" w:rsidR="00EF65AE" w:rsidRPr="0077119C" w:rsidRDefault="00EF65AE" w:rsidP="00EF65AE">
            <w:r w:rsidRPr="0077119C">
              <w:t>Papua New Guinea</w:t>
            </w:r>
          </w:p>
        </w:tc>
        <w:tc>
          <w:tcPr>
            <w:tcW w:w="0" w:type="auto"/>
          </w:tcPr>
          <w:p w14:paraId="1325C09C" w14:textId="185DB442" w:rsidR="00EF65AE" w:rsidRPr="0077119C" w:rsidRDefault="00EF65AE" w:rsidP="00EF65AE">
            <w:r w:rsidRPr="0077119C">
              <w:t xml:space="preserve">Safe Public Transport for Women, Girls and Children </w:t>
            </w:r>
            <w:r w:rsidR="008B44CA">
              <w:br/>
            </w:r>
            <w:r w:rsidRPr="0077119C">
              <w:t>(UN Women)</w:t>
            </w:r>
          </w:p>
        </w:tc>
        <w:tc>
          <w:tcPr>
            <w:tcW w:w="0" w:type="auto"/>
          </w:tcPr>
          <w:p w14:paraId="2A5AE6F5" w14:textId="77777777" w:rsidR="00EF65AE" w:rsidRPr="0077119C" w:rsidRDefault="00ED261F" w:rsidP="00EF65AE">
            <w:r>
              <w:t>$</w:t>
            </w:r>
            <w:r w:rsidR="00EF65AE" w:rsidRPr="0077119C">
              <w:t>3</w:t>
            </w:r>
            <w:r w:rsidR="002C2147">
              <w:t>.0 million</w:t>
            </w:r>
          </w:p>
        </w:tc>
      </w:tr>
      <w:tr w:rsidR="00093711" w:rsidRPr="0077119C" w14:paraId="1B55DDDA" w14:textId="77777777" w:rsidTr="00C12D5C">
        <w:tc>
          <w:tcPr>
            <w:tcW w:w="0" w:type="auto"/>
          </w:tcPr>
          <w:p w14:paraId="4B28FF44" w14:textId="77777777" w:rsidR="00EF65AE" w:rsidRPr="0077119C" w:rsidRDefault="00EF65AE" w:rsidP="00EF65AE">
            <w:r w:rsidRPr="0077119C">
              <w:t>Papua New Guinea</w:t>
            </w:r>
          </w:p>
        </w:tc>
        <w:tc>
          <w:tcPr>
            <w:tcW w:w="0" w:type="auto"/>
          </w:tcPr>
          <w:p w14:paraId="7ED5B33C" w14:textId="77777777" w:rsidR="00EF65AE" w:rsidRPr="0077119C" w:rsidRDefault="00C6776F" w:rsidP="00EF65AE">
            <w:r>
              <w:t>S</w:t>
            </w:r>
            <w:r w:rsidR="00EF65AE" w:rsidRPr="0077119C">
              <w:t xml:space="preserve">trengthening national coordination, implementation and monitoring mechanisms to prevent and respond to </w:t>
            </w:r>
            <w:r w:rsidR="00093711">
              <w:t>f</w:t>
            </w:r>
            <w:r w:rsidR="00EF65AE" w:rsidRPr="0077119C">
              <w:t xml:space="preserve">amily and </w:t>
            </w:r>
            <w:r w:rsidR="00093711">
              <w:t>s</w:t>
            </w:r>
            <w:r w:rsidR="00EF65AE" w:rsidRPr="0077119C">
              <w:t xml:space="preserve">exual </w:t>
            </w:r>
            <w:r w:rsidR="00093711">
              <w:t>v</w:t>
            </w:r>
            <w:r w:rsidR="00EF65AE" w:rsidRPr="0077119C">
              <w:t>iolence (United Nations Development Programme)</w:t>
            </w:r>
          </w:p>
        </w:tc>
        <w:tc>
          <w:tcPr>
            <w:tcW w:w="0" w:type="auto"/>
          </w:tcPr>
          <w:p w14:paraId="6749F556" w14:textId="77777777" w:rsidR="00EF65AE" w:rsidRPr="0077119C" w:rsidRDefault="00ED261F" w:rsidP="00EF65AE">
            <w:r>
              <w:t>$</w:t>
            </w:r>
            <w:r w:rsidR="00EF65AE" w:rsidRPr="0077119C">
              <w:t>3</w:t>
            </w:r>
            <w:r w:rsidR="002C2147">
              <w:t>.5 million</w:t>
            </w:r>
          </w:p>
        </w:tc>
      </w:tr>
      <w:tr w:rsidR="00093711" w:rsidRPr="0077119C" w14:paraId="3053A54C" w14:textId="77777777" w:rsidTr="00C12D5C">
        <w:tc>
          <w:tcPr>
            <w:tcW w:w="0" w:type="auto"/>
          </w:tcPr>
          <w:p w14:paraId="482CC677" w14:textId="77777777" w:rsidR="00EF65AE" w:rsidRPr="0077119C" w:rsidRDefault="00EF65AE" w:rsidP="00EF65AE">
            <w:r w:rsidRPr="0077119C">
              <w:t>Papua New Guinea</w:t>
            </w:r>
          </w:p>
        </w:tc>
        <w:tc>
          <w:tcPr>
            <w:tcW w:w="0" w:type="auto"/>
          </w:tcPr>
          <w:p w14:paraId="78C6AE00" w14:textId="77777777" w:rsidR="00EF65AE" w:rsidRPr="0077119C" w:rsidRDefault="00EF65AE" w:rsidP="00EF65AE">
            <w:r w:rsidRPr="0077119C">
              <w:t xml:space="preserve">Family </w:t>
            </w:r>
            <w:r w:rsidR="00993A31">
              <w:t>S</w:t>
            </w:r>
            <w:r w:rsidRPr="0077119C">
              <w:t xml:space="preserve">upport </w:t>
            </w:r>
            <w:r w:rsidR="00993A31">
              <w:t>C</w:t>
            </w:r>
            <w:r w:rsidRPr="0077119C">
              <w:t xml:space="preserve">entres and </w:t>
            </w:r>
            <w:r w:rsidR="00093711">
              <w:t>h</w:t>
            </w:r>
            <w:r w:rsidRPr="0077119C">
              <w:t>ealth clinics in Southern Highlands (International Committee of the Red Cross)</w:t>
            </w:r>
          </w:p>
        </w:tc>
        <w:tc>
          <w:tcPr>
            <w:tcW w:w="0" w:type="auto"/>
          </w:tcPr>
          <w:p w14:paraId="790E2FFB" w14:textId="77777777" w:rsidR="00EF65AE" w:rsidRPr="0077119C" w:rsidRDefault="00ED261F" w:rsidP="00EF65AE">
            <w:r>
              <w:t>$</w:t>
            </w:r>
            <w:r w:rsidR="002C2147">
              <w:t>0.04 million</w:t>
            </w:r>
          </w:p>
        </w:tc>
      </w:tr>
      <w:tr w:rsidR="00093711" w:rsidRPr="0077119C" w14:paraId="628C776B" w14:textId="77777777" w:rsidTr="00C12D5C">
        <w:tc>
          <w:tcPr>
            <w:tcW w:w="0" w:type="auto"/>
          </w:tcPr>
          <w:p w14:paraId="422B1DDF" w14:textId="77777777" w:rsidR="00EF65AE" w:rsidRPr="0077119C" w:rsidRDefault="00EF65AE" w:rsidP="00EF65AE">
            <w:r w:rsidRPr="0077119C">
              <w:t xml:space="preserve">Regional </w:t>
            </w:r>
          </w:p>
        </w:tc>
        <w:tc>
          <w:tcPr>
            <w:tcW w:w="0" w:type="auto"/>
          </w:tcPr>
          <w:p w14:paraId="0B25DE0A" w14:textId="77777777" w:rsidR="00EF65AE" w:rsidRPr="0077119C" w:rsidRDefault="00EF65AE" w:rsidP="00EF65AE">
            <w:r w:rsidRPr="0077119C">
              <w:t>Pacific Fund to End Violence against Women (UN Women)</w:t>
            </w:r>
          </w:p>
        </w:tc>
        <w:tc>
          <w:tcPr>
            <w:tcW w:w="0" w:type="auto"/>
          </w:tcPr>
          <w:p w14:paraId="46C3D9EF" w14:textId="77777777" w:rsidR="00EF65AE" w:rsidRPr="0077119C" w:rsidRDefault="00ED261F" w:rsidP="00EF65AE">
            <w:r>
              <w:t>$</w:t>
            </w:r>
            <w:r w:rsidR="00EF65AE" w:rsidRPr="0077119C">
              <w:t>1</w:t>
            </w:r>
            <w:r w:rsidR="00D83ED7">
              <w:t>.5 million</w:t>
            </w:r>
          </w:p>
        </w:tc>
      </w:tr>
      <w:tr w:rsidR="00093711" w:rsidRPr="0077119C" w14:paraId="7D8963E5" w14:textId="77777777" w:rsidTr="00C12D5C">
        <w:tc>
          <w:tcPr>
            <w:tcW w:w="0" w:type="auto"/>
          </w:tcPr>
          <w:p w14:paraId="41CE3CA8" w14:textId="77777777" w:rsidR="00EF65AE" w:rsidRPr="0077119C" w:rsidRDefault="00EF65AE" w:rsidP="00EF65AE">
            <w:r w:rsidRPr="0077119C">
              <w:t xml:space="preserve">Regional </w:t>
            </w:r>
          </w:p>
        </w:tc>
        <w:tc>
          <w:tcPr>
            <w:tcW w:w="0" w:type="auto"/>
          </w:tcPr>
          <w:p w14:paraId="1FF9CB61" w14:textId="77777777" w:rsidR="00EF65AE" w:rsidRPr="0077119C" w:rsidRDefault="00EF65AE" w:rsidP="00EF65AE">
            <w:r w:rsidRPr="0077119C">
              <w:t xml:space="preserve">Partnering Women for Change (Uniting World) </w:t>
            </w:r>
          </w:p>
        </w:tc>
        <w:tc>
          <w:tcPr>
            <w:tcW w:w="0" w:type="auto"/>
          </w:tcPr>
          <w:p w14:paraId="4CFC139E" w14:textId="77777777" w:rsidR="00EF65AE" w:rsidRPr="0077119C" w:rsidRDefault="00ED261F" w:rsidP="00EF65AE">
            <w:r>
              <w:t>$</w:t>
            </w:r>
            <w:r w:rsidR="00D83ED7">
              <w:t>0.37 million</w:t>
            </w:r>
          </w:p>
        </w:tc>
      </w:tr>
      <w:tr w:rsidR="00093711" w:rsidRPr="0077119C" w14:paraId="744DC093" w14:textId="77777777" w:rsidTr="00C12D5C">
        <w:tc>
          <w:tcPr>
            <w:tcW w:w="0" w:type="auto"/>
          </w:tcPr>
          <w:p w14:paraId="1ACA3DAE" w14:textId="77777777" w:rsidR="00EF65AE" w:rsidRPr="0077119C" w:rsidRDefault="00EF65AE" w:rsidP="00EF65AE">
            <w:r w:rsidRPr="0077119C">
              <w:t xml:space="preserve">Regional </w:t>
            </w:r>
          </w:p>
        </w:tc>
        <w:tc>
          <w:tcPr>
            <w:tcW w:w="0" w:type="auto"/>
          </w:tcPr>
          <w:p w14:paraId="5BAD0EDB" w14:textId="77777777" w:rsidR="00EF65AE" w:rsidRPr="0077119C" w:rsidRDefault="00C6776F" w:rsidP="00EF65AE">
            <w:r>
              <w:t>M</w:t>
            </w:r>
            <w:r w:rsidR="00EF65AE" w:rsidRPr="0077119C">
              <w:t>ale advocacy (Fiji Women’s Crisis Centre and Government of Palau)</w:t>
            </w:r>
          </w:p>
        </w:tc>
        <w:tc>
          <w:tcPr>
            <w:tcW w:w="0" w:type="auto"/>
          </w:tcPr>
          <w:p w14:paraId="191FCED0" w14:textId="77777777" w:rsidR="00EF65AE" w:rsidRPr="0077119C" w:rsidRDefault="00ED261F" w:rsidP="00EF65AE">
            <w:r>
              <w:t>$</w:t>
            </w:r>
            <w:r w:rsidR="00EF65AE" w:rsidRPr="0077119C">
              <w:t>1</w:t>
            </w:r>
            <w:r w:rsidR="00D83ED7">
              <w:t>0.02 million</w:t>
            </w:r>
          </w:p>
        </w:tc>
      </w:tr>
      <w:tr w:rsidR="00093711" w:rsidRPr="0077119C" w14:paraId="6A9DB0AF" w14:textId="77777777" w:rsidTr="00C12D5C">
        <w:tc>
          <w:tcPr>
            <w:tcW w:w="0" w:type="auto"/>
          </w:tcPr>
          <w:p w14:paraId="65E1BE63" w14:textId="77777777" w:rsidR="00EF65AE" w:rsidRPr="0077119C" w:rsidRDefault="00EF65AE" w:rsidP="00EF65AE">
            <w:r w:rsidRPr="0077119C">
              <w:t xml:space="preserve">Regional </w:t>
            </w:r>
          </w:p>
        </w:tc>
        <w:tc>
          <w:tcPr>
            <w:tcW w:w="0" w:type="auto"/>
          </w:tcPr>
          <w:p w14:paraId="2051C6E4" w14:textId="77777777" w:rsidR="00EF65AE" w:rsidRPr="0077119C" w:rsidRDefault="00EF65AE" w:rsidP="00EF65AE">
            <w:r w:rsidRPr="0077119C">
              <w:t>Pacific Community Regional Rights Resource Team</w:t>
            </w:r>
          </w:p>
        </w:tc>
        <w:tc>
          <w:tcPr>
            <w:tcW w:w="0" w:type="auto"/>
          </w:tcPr>
          <w:p w14:paraId="7C47D405" w14:textId="77777777" w:rsidR="00EF65AE" w:rsidRPr="0077119C" w:rsidRDefault="00ED261F" w:rsidP="00EF65AE">
            <w:r>
              <w:t>$</w:t>
            </w:r>
            <w:r w:rsidR="00EF65AE" w:rsidRPr="0077119C">
              <w:t>5</w:t>
            </w:r>
            <w:r w:rsidR="00D83ED7">
              <w:t>.8 million</w:t>
            </w:r>
          </w:p>
        </w:tc>
      </w:tr>
      <w:tr w:rsidR="00093711" w:rsidRPr="0077119C" w14:paraId="75529CC7" w14:textId="77777777" w:rsidTr="00C12D5C">
        <w:tc>
          <w:tcPr>
            <w:tcW w:w="0" w:type="auto"/>
          </w:tcPr>
          <w:p w14:paraId="3E9026EE" w14:textId="77777777" w:rsidR="00EF65AE" w:rsidRPr="0077119C" w:rsidRDefault="00EF65AE" w:rsidP="00EF65AE">
            <w:r w:rsidRPr="0077119C">
              <w:t xml:space="preserve">Regional </w:t>
            </w:r>
          </w:p>
        </w:tc>
        <w:tc>
          <w:tcPr>
            <w:tcW w:w="0" w:type="auto"/>
          </w:tcPr>
          <w:p w14:paraId="3B324DE1" w14:textId="77777777" w:rsidR="00EF65AE" w:rsidRPr="0077119C" w:rsidRDefault="00EF65AE" w:rsidP="00EF65AE">
            <w:r w:rsidRPr="0077119C">
              <w:t>UNICEF Pacific Child Protection Program (UNICEF)</w:t>
            </w:r>
          </w:p>
        </w:tc>
        <w:tc>
          <w:tcPr>
            <w:tcW w:w="0" w:type="auto"/>
          </w:tcPr>
          <w:p w14:paraId="13E28D47" w14:textId="77777777" w:rsidR="00EF65AE" w:rsidRPr="0077119C" w:rsidRDefault="00ED261F" w:rsidP="00EF65AE">
            <w:r>
              <w:t>$</w:t>
            </w:r>
            <w:r w:rsidR="00EF65AE" w:rsidRPr="0077119C">
              <w:t>7</w:t>
            </w:r>
            <w:r w:rsidR="00D83ED7">
              <w:t>.0 million</w:t>
            </w:r>
          </w:p>
        </w:tc>
      </w:tr>
      <w:tr w:rsidR="00093711" w:rsidRPr="0077119C" w14:paraId="051DA26B" w14:textId="77777777" w:rsidTr="00C12D5C">
        <w:tc>
          <w:tcPr>
            <w:tcW w:w="0" w:type="auto"/>
          </w:tcPr>
          <w:p w14:paraId="7D558323" w14:textId="77777777" w:rsidR="00EF65AE" w:rsidRPr="0077119C" w:rsidRDefault="00EF65AE" w:rsidP="00EF65AE">
            <w:r w:rsidRPr="0077119C">
              <w:t xml:space="preserve">Regional </w:t>
            </w:r>
          </w:p>
        </w:tc>
        <w:tc>
          <w:tcPr>
            <w:tcW w:w="0" w:type="auto"/>
          </w:tcPr>
          <w:p w14:paraId="5494D7DD" w14:textId="77777777" w:rsidR="00EF65AE" w:rsidRPr="0077119C" w:rsidRDefault="00EF65AE" w:rsidP="00EF65AE">
            <w:r w:rsidRPr="0077119C">
              <w:t>Women’s Crisis Centre Programs to Eliminate Violence against Women in Fiji and the Pacific (Fiji Women’s Crisis Centre)</w:t>
            </w:r>
          </w:p>
        </w:tc>
        <w:tc>
          <w:tcPr>
            <w:tcW w:w="0" w:type="auto"/>
          </w:tcPr>
          <w:p w14:paraId="6D2A26C1" w14:textId="77777777" w:rsidR="00EF65AE" w:rsidRPr="0077119C" w:rsidRDefault="00ED261F" w:rsidP="00EF65AE">
            <w:r>
              <w:t>$</w:t>
            </w:r>
            <w:r w:rsidR="00EF65AE" w:rsidRPr="0077119C">
              <w:t>2</w:t>
            </w:r>
            <w:r w:rsidR="00D83ED7">
              <w:t>.3 million</w:t>
            </w:r>
          </w:p>
        </w:tc>
      </w:tr>
      <w:tr w:rsidR="00093711" w:rsidRPr="0077119C" w14:paraId="7AFBA718" w14:textId="77777777" w:rsidTr="00C12D5C">
        <w:tc>
          <w:tcPr>
            <w:tcW w:w="0" w:type="auto"/>
          </w:tcPr>
          <w:p w14:paraId="6B586EB5" w14:textId="77777777" w:rsidR="00EF65AE" w:rsidRPr="0077119C" w:rsidRDefault="00EF65AE" w:rsidP="00EF65AE">
            <w:r w:rsidRPr="0077119C">
              <w:t>Solomon Islands</w:t>
            </w:r>
          </w:p>
        </w:tc>
        <w:tc>
          <w:tcPr>
            <w:tcW w:w="0" w:type="auto"/>
          </w:tcPr>
          <w:p w14:paraId="3A9C02C6" w14:textId="77777777" w:rsidR="00EF65AE" w:rsidRPr="0077119C" w:rsidRDefault="00EF65AE" w:rsidP="00EF65AE">
            <w:r w:rsidRPr="0077119C">
              <w:t>Channels of Hope for Gender (World Vision Solomon Islands)</w:t>
            </w:r>
          </w:p>
        </w:tc>
        <w:tc>
          <w:tcPr>
            <w:tcW w:w="0" w:type="auto"/>
          </w:tcPr>
          <w:p w14:paraId="0E234ADD" w14:textId="77777777" w:rsidR="00EF65AE" w:rsidRPr="0077119C" w:rsidRDefault="00ED261F" w:rsidP="00EF65AE">
            <w:r>
              <w:t>$</w:t>
            </w:r>
            <w:r w:rsidR="00EF65AE" w:rsidRPr="0077119C">
              <w:t>2</w:t>
            </w:r>
            <w:r w:rsidR="00D83ED7">
              <w:t>.4 million</w:t>
            </w:r>
          </w:p>
        </w:tc>
      </w:tr>
      <w:tr w:rsidR="00093711" w:rsidRPr="0077119C" w14:paraId="7D1DC26D" w14:textId="77777777" w:rsidTr="00C12D5C">
        <w:tc>
          <w:tcPr>
            <w:tcW w:w="0" w:type="auto"/>
          </w:tcPr>
          <w:p w14:paraId="2346475F" w14:textId="77777777" w:rsidR="00EF65AE" w:rsidRPr="0077119C" w:rsidRDefault="00EF65AE" w:rsidP="00EF65AE">
            <w:r w:rsidRPr="0077119C">
              <w:t>Solomon Islands</w:t>
            </w:r>
          </w:p>
        </w:tc>
        <w:tc>
          <w:tcPr>
            <w:tcW w:w="0" w:type="auto"/>
          </w:tcPr>
          <w:p w14:paraId="5A2CC088" w14:textId="77777777" w:rsidR="00EF65AE" w:rsidRPr="0077119C" w:rsidRDefault="00EF65AE" w:rsidP="00EF65AE">
            <w:r w:rsidRPr="0077119C">
              <w:t xml:space="preserve">Let’s Make </w:t>
            </w:r>
            <w:r w:rsidR="00093711">
              <w:t>O</w:t>
            </w:r>
            <w:r w:rsidRPr="0077119C">
              <w:t>ur Families Safe (Solomon Islands National Council of Women, Vois Blong Mere Solomon, International Women’s Development Agency, Pacific Leadership Program, Oxfam Australia and IOD PARC)</w:t>
            </w:r>
          </w:p>
        </w:tc>
        <w:tc>
          <w:tcPr>
            <w:tcW w:w="0" w:type="auto"/>
          </w:tcPr>
          <w:p w14:paraId="01E30404" w14:textId="77777777" w:rsidR="00EF65AE" w:rsidRPr="0077119C" w:rsidRDefault="00ED261F" w:rsidP="00EF65AE">
            <w:r>
              <w:t>$</w:t>
            </w:r>
            <w:r w:rsidR="00EF65AE" w:rsidRPr="0077119C">
              <w:t>5</w:t>
            </w:r>
            <w:r w:rsidR="00D83ED7">
              <w:t>.62 million</w:t>
            </w:r>
          </w:p>
        </w:tc>
      </w:tr>
      <w:tr w:rsidR="00093711" w:rsidRPr="0077119C" w14:paraId="5449AC94" w14:textId="77777777" w:rsidTr="00C12D5C">
        <w:tc>
          <w:tcPr>
            <w:tcW w:w="0" w:type="auto"/>
          </w:tcPr>
          <w:p w14:paraId="79B8B98C" w14:textId="77777777" w:rsidR="00EF65AE" w:rsidRPr="0077119C" w:rsidRDefault="00EF65AE" w:rsidP="00EF65AE">
            <w:r w:rsidRPr="0077119C">
              <w:t>Solomon Islands</w:t>
            </w:r>
          </w:p>
        </w:tc>
        <w:tc>
          <w:tcPr>
            <w:tcW w:w="0" w:type="auto"/>
          </w:tcPr>
          <w:p w14:paraId="3EB31AA2" w14:textId="77777777" w:rsidR="00EF65AE" w:rsidRPr="0077119C" w:rsidRDefault="00EF65AE" w:rsidP="00EF65AE">
            <w:r w:rsidRPr="0077119C">
              <w:t xml:space="preserve">Red Cardim Vaelens (Live </w:t>
            </w:r>
            <w:r w:rsidR="00093711">
              <w:t>and</w:t>
            </w:r>
            <w:r w:rsidRPr="0077119C">
              <w:t xml:space="preserve"> Learn Solomon Islands)</w:t>
            </w:r>
          </w:p>
        </w:tc>
        <w:tc>
          <w:tcPr>
            <w:tcW w:w="0" w:type="auto"/>
          </w:tcPr>
          <w:p w14:paraId="78118C8B" w14:textId="77777777" w:rsidR="00EF65AE" w:rsidRPr="0077119C" w:rsidRDefault="00ED261F" w:rsidP="00EF65AE">
            <w:r>
              <w:t>$</w:t>
            </w:r>
            <w:r w:rsidR="00D83ED7">
              <w:t>0.56 million</w:t>
            </w:r>
          </w:p>
        </w:tc>
      </w:tr>
      <w:tr w:rsidR="00093711" w:rsidRPr="0077119C" w14:paraId="61E7508A" w14:textId="77777777" w:rsidTr="00C12D5C">
        <w:tc>
          <w:tcPr>
            <w:tcW w:w="0" w:type="auto"/>
          </w:tcPr>
          <w:p w14:paraId="296E7BD0" w14:textId="77777777" w:rsidR="00EF65AE" w:rsidRPr="0077119C" w:rsidRDefault="00EF65AE" w:rsidP="00EF65AE">
            <w:r w:rsidRPr="0077119C">
              <w:t>Solomon Islands</w:t>
            </w:r>
          </w:p>
        </w:tc>
        <w:tc>
          <w:tcPr>
            <w:tcW w:w="0" w:type="auto"/>
          </w:tcPr>
          <w:p w14:paraId="0E90B06F" w14:textId="77777777" w:rsidR="00EF65AE" w:rsidRPr="0077119C" w:rsidRDefault="00EF65AE" w:rsidP="00EF65AE">
            <w:r w:rsidRPr="0077119C">
              <w:t>Responding to violence against women and girls in Solomon Islands (International Women’s Development Agency)</w:t>
            </w:r>
          </w:p>
        </w:tc>
        <w:tc>
          <w:tcPr>
            <w:tcW w:w="0" w:type="auto"/>
          </w:tcPr>
          <w:p w14:paraId="5FCD4BF1" w14:textId="77777777" w:rsidR="00EF65AE" w:rsidRPr="0077119C" w:rsidRDefault="00ED261F" w:rsidP="00EF65AE">
            <w:r>
              <w:t>$</w:t>
            </w:r>
            <w:r w:rsidR="00EF65AE" w:rsidRPr="0077119C">
              <w:t>2</w:t>
            </w:r>
            <w:r w:rsidR="00D83ED7">
              <w:t>.8 million</w:t>
            </w:r>
          </w:p>
        </w:tc>
      </w:tr>
      <w:tr w:rsidR="00093711" w:rsidRPr="0077119C" w14:paraId="7CBFA51E" w14:textId="77777777" w:rsidTr="00C12D5C">
        <w:tc>
          <w:tcPr>
            <w:tcW w:w="0" w:type="auto"/>
          </w:tcPr>
          <w:p w14:paraId="02099EDF" w14:textId="77777777" w:rsidR="00EF65AE" w:rsidRPr="0077119C" w:rsidRDefault="00EF65AE" w:rsidP="00EF65AE">
            <w:r w:rsidRPr="0077119C">
              <w:t>Solomon Islands</w:t>
            </w:r>
          </w:p>
        </w:tc>
        <w:tc>
          <w:tcPr>
            <w:tcW w:w="0" w:type="auto"/>
          </w:tcPr>
          <w:p w14:paraId="4620713B" w14:textId="77777777" w:rsidR="00EF65AE" w:rsidRPr="0077119C" w:rsidRDefault="00EF65AE" w:rsidP="00EF65AE">
            <w:r w:rsidRPr="0077119C">
              <w:t>Youth alcohol and violence reduction against women and children (Save the Children)</w:t>
            </w:r>
          </w:p>
        </w:tc>
        <w:tc>
          <w:tcPr>
            <w:tcW w:w="0" w:type="auto"/>
          </w:tcPr>
          <w:p w14:paraId="65A4C252" w14:textId="77777777" w:rsidR="00EF65AE" w:rsidRPr="0077119C" w:rsidRDefault="00ED261F" w:rsidP="00EF65AE">
            <w:r>
              <w:t>$</w:t>
            </w:r>
            <w:r w:rsidR="00D83ED7">
              <w:t>0.8 million</w:t>
            </w:r>
          </w:p>
        </w:tc>
      </w:tr>
      <w:tr w:rsidR="00093711" w:rsidRPr="0077119C" w14:paraId="55F902C5" w14:textId="77777777" w:rsidTr="00C12D5C">
        <w:tc>
          <w:tcPr>
            <w:tcW w:w="0" w:type="auto"/>
          </w:tcPr>
          <w:p w14:paraId="657BE21A" w14:textId="77777777" w:rsidR="00EF65AE" w:rsidRPr="0077119C" w:rsidRDefault="00EF65AE" w:rsidP="00EF65AE">
            <w:r w:rsidRPr="0077119C">
              <w:t>Vanuatu</w:t>
            </w:r>
          </w:p>
        </w:tc>
        <w:tc>
          <w:tcPr>
            <w:tcW w:w="0" w:type="auto"/>
          </w:tcPr>
          <w:p w14:paraId="5C9DFB27" w14:textId="77777777" w:rsidR="00EF65AE" w:rsidRPr="0077119C" w:rsidRDefault="00EF65AE" w:rsidP="00EF65AE">
            <w:r w:rsidRPr="0077119C">
              <w:t>Filming on domestic violence (</w:t>
            </w:r>
            <w:r w:rsidRPr="005B788C">
              <w:rPr>
                <w:i/>
                <w:iCs/>
              </w:rPr>
              <w:t>Wan Smolbag</w:t>
            </w:r>
            <w:r w:rsidRPr="0077119C">
              <w:t xml:space="preserve"> Theatre)</w:t>
            </w:r>
          </w:p>
        </w:tc>
        <w:tc>
          <w:tcPr>
            <w:tcW w:w="0" w:type="auto"/>
          </w:tcPr>
          <w:p w14:paraId="33B8DCBD" w14:textId="77777777" w:rsidR="00EF65AE" w:rsidRPr="0077119C" w:rsidRDefault="00ED261F" w:rsidP="00EF65AE">
            <w:r>
              <w:t>$</w:t>
            </w:r>
            <w:r w:rsidR="00C24E2A">
              <w:t>0.09</w:t>
            </w:r>
            <w:r w:rsidR="00D83ED7">
              <w:t xml:space="preserve"> million</w:t>
            </w:r>
          </w:p>
        </w:tc>
      </w:tr>
      <w:tr w:rsidR="00093711" w:rsidRPr="0077119C" w14:paraId="5758D630" w14:textId="77777777" w:rsidTr="00C12D5C">
        <w:tc>
          <w:tcPr>
            <w:tcW w:w="0" w:type="auto"/>
          </w:tcPr>
          <w:p w14:paraId="4CEC1DAD" w14:textId="77777777" w:rsidR="00EF65AE" w:rsidRPr="0077119C" w:rsidRDefault="00EF65AE" w:rsidP="00EF65AE">
            <w:r w:rsidRPr="0077119C">
              <w:t>Vanuatu</w:t>
            </w:r>
          </w:p>
        </w:tc>
        <w:tc>
          <w:tcPr>
            <w:tcW w:w="0" w:type="auto"/>
          </w:tcPr>
          <w:p w14:paraId="193B5516" w14:textId="77777777" w:rsidR="00EF65AE" w:rsidRPr="0077119C" w:rsidRDefault="00EF65AE" w:rsidP="00EF65AE">
            <w:r w:rsidRPr="0077119C">
              <w:t>Preventing violence against women (Vanuatu Women’s Centre)</w:t>
            </w:r>
          </w:p>
        </w:tc>
        <w:tc>
          <w:tcPr>
            <w:tcW w:w="0" w:type="auto"/>
          </w:tcPr>
          <w:p w14:paraId="143BDB4D" w14:textId="77777777" w:rsidR="00EF65AE" w:rsidRPr="0077119C" w:rsidRDefault="00ED261F" w:rsidP="00D83ED7">
            <w:r>
              <w:t>$</w:t>
            </w:r>
            <w:r w:rsidR="00EF65AE" w:rsidRPr="0077119C">
              <w:t>6</w:t>
            </w:r>
            <w:r w:rsidR="00D83ED7">
              <w:t>.8 million</w:t>
            </w:r>
          </w:p>
        </w:tc>
      </w:tr>
      <w:tr w:rsidR="00093711" w:rsidRPr="0077119C" w14:paraId="17A2DB8F" w14:textId="77777777" w:rsidTr="00C12D5C">
        <w:tc>
          <w:tcPr>
            <w:tcW w:w="0" w:type="auto"/>
          </w:tcPr>
          <w:p w14:paraId="061DD8A4" w14:textId="77777777" w:rsidR="00EF65AE" w:rsidRPr="0077119C" w:rsidRDefault="00EF65AE" w:rsidP="00EF65AE">
            <w:r w:rsidRPr="0077119C">
              <w:t>Vanuatu</w:t>
            </w:r>
          </w:p>
        </w:tc>
        <w:tc>
          <w:tcPr>
            <w:tcW w:w="0" w:type="auto"/>
          </w:tcPr>
          <w:p w14:paraId="420CBFF4" w14:textId="77777777" w:rsidR="00EF65AE" w:rsidRPr="0077119C" w:rsidRDefault="00EF65AE" w:rsidP="00EF65AE">
            <w:r w:rsidRPr="0077119C">
              <w:t>Research on improved access to justice for women and children (Policing and Justice Support Program)</w:t>
            </w:r>
          </w:p>
        </w:tc>
        <w:tc>
          <w:tcPr>
            <w:tcW w:w="0" w:type="auto"/>
          </w:tcPr>
          <w:p w14:paraId="7E2CCC34" w14:textId="77777777" w:rsidR="00EF65AE" w:rsidRPr="0077119C" w:rsidRDefault="00ED261F" w:rsidP="00EF65AE">
            <w:r>
              <w:t>$</w:t>
            </w:r>
            <w:r w:rsidR="00D83ED7">
              <w:t>0.2 million</w:t>
            </w:r>
          </w:p>
        </w:tc>
      </w:tr>
      <w:tr w:rsidR="00093711" w:rsidRPr="0077119C" w14:paraId="2CD862AC" w14:textId="77777777" w:rsidTr="00C12D5C">
        <w:tc>
          <w:tcPr>
            <w:tcW w:w="0" w:type="auto"/>
          </w:tcPr>
          <w:p w14:paraId="5DCDA961" w14:textId="77777777" w:rsidR="00EF65AE" w:rsidRPr="0077119C" w:rsidRDefault="00EF65AE" w:rsidP="00EF65AE">
            <w:r w:rsidRPr="0077119C">
              <w:t>Vanuatu</w:t>
            </w:r>
          </w:p>
        </w:tc>
        <w:tc>
          <w:tcPr>
            <w:tcW w:w="0" w:type="auto"/>
          </w:tcPr>
          <w:p w14:paraId="35E7E36D" w14:textId="77777777" w:rsidR="00EF65AE" w:rsidRPr="0077119C" w:rsidRDefault="00EF65AE" w:rsidP="00EF65AE">
            <w:r w:rsidRPr="0077119C">
              <w:t>Response to tropical cyclone Pam (Vanuatu Women’s Centre)</w:t>
            </w:r>
          </w:p>
        </w:tc>
        <w:tc>
          <w:tcPr>
            <w:tcW w:w="0" w:type="auto"/>
          </w:tcPr>
          <w:p w14:paraId="1C0CA9BC" w14:textId="77777777" w:rsidR="00EF65AE" w:rsidRPr="0077119C" w:rsidRDefault="00ED261F" w:rsidP="00EF65AE">
            <w:r>
              <w:t>$</w:t>
            </w:r>
            <w:r w:rsidR="00D83ED7">
              <w:t>0.5 million</w:t>
            </w:r>
          </w:p>
        </w:tc>
      </w:tr>
    </w:tbl>
    <w:p w14:paraId="7F232B0A" w14:textId="77777777" w:rsidR="00EF65AE" w:rsidRPr="00EF65AE" w:rsidRDefault="00D36612" w:rsidP="00D36612">
      <w:pPr>
        <w:pStyle w:val="Caption"/>
      </w:pPr>
      <w:r>
        <w:t xml:space="preserve">Table </w:t>
      </w:r>
      <w:r w:rsidR="005A236E">
        <w:t>5</w:t>
      </w:r>
      <w:r w:rsidR="00EF65AE" w:rsidRPr="00EF65AE">
        <w:t xml:space="preserve">: </w:t>
      </w:r>
      <w:r w:rsidR="00C6776F" w:rsidRPr="0077119C">
        <w:t>Australian</w:t>
      </w:r>
      <w:r w:rsidR="00C703F6">
        <w:t xml:space="preserve"> </w:t>
      </w:r>
      <w:r w:rsidR="00C6776F" w:rsidRPr="0077119C">
        <w:t xml:space="preserve">NGO Cooperation Program </w:t>
      </w:r>
      <w:r w:rsidR="00EF65AE" w:rsidRPr="00EF65AE">
        <w:t xml:space="preserve">investments selected for in-depth </w:t>
      </w:r>
      <w:r w:rsidR="005A25D5">
        <w:t>review in the field</w:t>
      </w:r>
      <w:r w:rsidR="00EF65AE" w:rsidRPr="00057B37">
        <w:rPr>
          <w:rStyle w:val="FootnoteReference"/>
        </w:rPr>
        <w:footnoteReference w:id="5"/>
      </w:r>
    </w:p>
    <w:tbl>
      <w:tblPr>
        <w:tblStyle w:val="TableGrid"/>
        <w:tblW w:w="0" w:type="auto"/>
        <w:tblLook w:val="0420" w:firstRow="1" w:lastRow="0" w:firstColumn="0" w:lastColumn="0" w:noHBand="0" w:noVBand="1"/>
      </w:tblPr>
      <w:tblGrid>
        <w:gridCol w:w="1361"/>
        <w:gridCol w:w="3598"/>
        <w:gridCol w:w="2937"/>
        <w:gridCol w:w="1732"/>
      </w:tblGrid>
      <w:tr w:rsidR="00C6776F" w:rsidRPr="0077119C" w14:paraId="310D4296" w14:textId="77777777" w:rsidTr="00473035">
        <w:trPr>
          <w:cnfStyle w:val="100000000000" w:firstRow="1" w:lastRow="0" w:firstColumn="0" w:lastColumn="0" w:oddVBand="0" w:evenVBand="0" w:oddHBand="0" w:evenHBand="0" w:firstRowFirstColumn="0" w:firstRowLastColumn="0" w:lastRowFirstColumn="0" w:lastRowLastColumn="0"/>
        </w:trPr>
        <w:tc>
          <w:tcPr>
            <w:tcW w:w="0" w:type="auto"/>
          </w:tcPr>
          <w:p w14:paraId="03372B94" w14:textId="77777777" w:rsidR="00EF65AE" w:rsidRPr="0077119C" w:rsidRDefault="00EF65AE" w:rsidP="00EF65AE">
            <w:r w:rsidRPr="0077119C">
              <w:t>Country</w:t>
            </w:r>
          </w:p>
        </w:tc>
        <w:tc>
          <w:tcPr>
            <w:tcW w:w="0" w:type="auto"/>
          </w:tcPr>
          <w:p w14:paraId="768F7380" w14:textId="77777777" w:rsidR="00EF65AE" w:rsidRPr="0077119C" w:rsidRDefault="00EF65AE" w:rsidP="00EF65AE">
            <w:r w:rsidRPr="0077119C">
              <w:t>Selected projects</w:t>
            </w:r>
            <w:r w:rsidR="002A6350">
              <w:t xml:space="preserve"> </w:t>
            </w:r>
          </w:p>
        </w:tc>
        <w:tc>
          <w:tcPr>
            <w:tcW w:w="0" w:type="auto"/>
          </w:tcPr>
          <w:p w14:paraId="784EF22E" w14:textId="77777777" w:rsidR="00EF65AE" w:rsidRPr="002A6350" w:rsidRDefault="00EF65AE" w:rsidP="00EF65AE">
            <w:r w:rsidRPr="002A6350">
              <w:t>Partner</w:t>
            </w:r>
          </w:p>
        </w:tc>
        <w:tc>
          <w:tcPr>
            <w:tcW w:w="0" w:type="auto"/>
          </w:tcPr>
          <w:p w14:paraId="07ADC939" w14:textId="77777777" w:rsidR="00EF65AE" w:rsidRPr="002A6350" w:rsidRDefault="00EF65AE" w:rsidP="00EF65AE">
            <w:r w:rsidRPr="002A6350">
              <w:t xml:space="preserve">Sum of </w:t>
            </w:r>
            <w:r w:rsidR="00093711" w:rsidRPr="002A6350">
              <w:t>p</w:t>
            </w:r>
            <w:r w:rsidRPr="002A6350">
              <w:t xml:space="preserve">roject </w:t>
            </w:r>
            <w:r w:rsidR="00093711" w:rsidRPr="002A6350">
              <w:t>f</w:t>
            </w:r>
            <w:r w:rsidRPr="002A6350">
              <w:t>unding</w:t>
            </w:r>
            <w:r w:rsidR="00093711" w:rsidRPr="002A6350">
              <w:t xml:space="preserve"> </w:t>
            </w:r>
            <w:r w:rsidR="00093711" w:rsidRPr="005B788C">
              <w:t>(AUD)</w:t>
            </w:r>
            <w:r w:rsidRPr="005B788C">
              <w:rPr>
                <w:rStyle w:val="FootnoteReference"/>
              </w:rPr>
              <w:footnoteReference w:id="6"/>
            </w:r>
          </w:p>
        </w:tc>
      </w:tr>
      <w:tr w:rsidR="00C6776F" w:rsidRPr="0077119C" w14:paraId="59B99443" w14:textId="77777777" w:rsidTr="00057B37">
        <w:tc>
          <w:tcPr>
            <w:tcW w:w="0" w:type="auto"/>
          </w:tcPr>
          <w:p w14:paraId="64C034C7" w14:textId="77777777" w:rsidR="00EF65AE" w:rsidRPr="0077119C" w:rsidRDefault="00EF65AE" w:rsidP="00EF65AE">
            <w:r w:rsidRPr="0077119C">
              <w:t>F</w:t>
            </w:r>
            <w:r w:rsidR="00C6776F">
              <w:t>iji</w:t>
            </w:r>
          </w:p>
        </w:tc>
        <w:tc>
          <w:tcPr>
            <w:tcW w:w="0" w:type="auto"/>
          </w:tcPr>
          <w:p w14:paraId="3CB5B0A7" w14:textId="77777777" w:rsidR="00EF65AE" w:rsidRPr="0077119C" w:rsidRDefault="00EF65AE" w:rsidP="00EF65AE">
            <w:r w:rsidRPr="0077119C">
              <w:t>Generation Next</w:t>
            </w:r>
            <w:r w:rsidR="001B0FCF">
              <w:t>—</w:t>
            </w:r>
            <w:r w:rsidRPr="0077119C">
              <w:t xml:space="preserve">Strengthening </w:t>
            </w:r>
            <w:r w:rsidR="00C6776F">
              <w:t>w</w:t>
            </w:r>
            <w:r w:rsidRPr="0077119C">
              <w:t xml:space="preserve">omen’s </w:t>
            </w:r>
            <w:r w:rsidR="00C6776F">
              <w:t>w</w:t>
            </w:r>
            <w:r w:rsidRPr="0077119C">
              <w:t xml:space="preserve">eekend </w:t>
            </w:r>
            <w:r w:rsidR="00C6776F">
              <w:t>c</w:t>
            </w:r>
            <w:r w:rsidRPr="0077119C">
              <w:t xml:space="preserve">ommunity </w:t>
            </w:r>
            <w:r w:rsidR="00C6776F">
              <w:t>r</w:t>
            </w:r>
            <w:r w:rsidRPr="0077119C">
              <w:t xml:space="preserve">adio </w:t>
            </w:r>
            <w:r w:rsidR="00C6776F">
              <w:t>b</w:t>
            </w:r>
            <w:r w:rsidRPr="0077119C">
              <w:t>roadcasts</w:t>
            </w:r>
          </w:p>
        </w:tc>
        <w:tc>
          <w:tcPr>
            <w:tcW w:w="0" w:type="auto"/>
          </w:tcPr>
          <w:p w14:paraId="2146C1E6" w14:textId="77777777" w:rsidR="00EF65AE" w:rsidRPr="0077119C" w:rsidRDefault="00EF65AE" w:rsidP="00EF65AE">
            <w:r w:rsidRPr="0077119C">
              <w:t>International Women's Development Agency</w:t>
            </w:r>
          </w:p>
        </w:tc>
        <w:tc>
          <w:tcPr>
            <w:tcW w:w="0" w:type="auto"/>
          </w:tcPr>
          <w:p w14:paraId="3289561E" w14:textId="69DCAD4A" w:rsidR="00EF65AE" w:rsidRPr="0077119C" w:rsidRDefault="00E041FB" w:rsidP="00EF65AE">
            <w:r>
              <w:t>$</w:t>
            </w:r>
            <w:r w:rsidR="00EF65AE" w:rsidRPr="0077119C">
              <w:t>42,017</w:t>
            </w:r>
          </w:p>
        </w:tc>
      </w:tr>
      <w:tr w:rsidR="00C6776F" w:rsidRPr="0077119C" w14:paraId="6176CBE5" w14:textId="77777777" w:rsidTr="00057B37">
        <w:tc>
          <w:tcPr>
            <w:tcW w:w="0" w:type="auto"/>
          </w:tcPr>
          <w:p w14:paraId="47F08B9B" w14:textId="77777777" w:rsidR="00EF65AE" w:rsidRPr="0077119C" w:rsidRDefault="00EF65AE" w:rsidP="00EF65AE">
            <w:r w:rsidRPr="0077119C">
              <w:t>I</w:t>
            </w:r>
            <w:r w:rsidR="00C6776F">
              <w:t>ndonesia</w:t>
            </w:r>
          </w:p>
        </w:tc>
        <w:tc>
          <w:tcPr>
            <w:tcW w:w="0" w:type="auto"/>
          </w:tcPr>
          <w:p w14:paraId="72289372" w14:textId="77777777" w:rsidR="00EF65AE" w:rsidRPr="0077119C" w:rsidRDefault="00EF65AE" w:rsidP="00EF65AE">
            <w:r w:rsidRPr="0077119C">
              <w:t>Gender Justice Program</w:t>
            </w:r>
          </w:p>
        </w:tc>
        <w:tc>
          <w:tcPr>
            <w:tcW w:w="0" w:type="auto"/>
          </w:tcPr>
          <w:p w14:paraId="19AD69F6" w14:textId="77777777" w:rsidR="00EF65AE" w:rsidRPr="0077119C" w:rsidRDefault="00EF65AE" w:rsidP="00EF65AE">
            <w:r w:rsidRPr="0077119C">
              <w:t>Oxfam Australia</w:t>
            </w:r>
          </w:p>
        </w:tc>
        <w:tc>
          <w:tcPr>
            <w:tcW w:w="0" w:type="auto"/>
          </w:tcPr>
          <w:p w14:paraId="2CC6CB6C" w14:textId="77777777" w:rsidR="00EF65AE" w:rsidRPr="0077119C" w:rsidRDefault="00F6352C" w:rsidP="00EF65AE">
            <w:r>
              <w:t>$</w:t>
            </w:r>
            <w:r w:rsidR="00EF65AE" w:rsidRPr="0077119C">
              <w:t>341,756</w:t>
            </w:r>
          </w:p>
        </w:tc>
      </w:tr>
      <w:tr w:rsidR="00C6776F" w:rsidRPr="0077119C" w14:paraId="5694A4C1" w14:textId="77777777" w:rsidTr="00057B37">
        <w:tc>
          <w:tcPr>
            <w:tcW w:w="0" w:type="auto"/>
          </w:tcPr>
          <w:p w14:paraId="4E0309B8" w14:textId="77777777" w:rsidR="00EF65AE" w:rsidRPr="0077119C" w:rsidRDefault="00EF65AE" w:rsidP="00EF65AE">
            <w:r w:rsidRPr="0077119C">
              <w:t>P</w:t>
            </w:r>
            <w:r w:rsidR="00C6776F">
              <w:t xml:space="preserve">acific </w:t>
            </w:r>
            <w:r w:rsidRPr="0077119C">
              <w:t>R</w:t>
            </w:r>
            <w:r w:rsidR="00C6776F">
              <w:t>egion</w:t>
            </w:r>
          </w:p>
        </w:tc>
        <w:tc>
          <w:tcPr>
            <w:tcW w:w="0" w:type="auto"/>
          </w:tcPr>
          <w:p w14:paraId="6598BAD2" w14:textId="77777777" w:rsidR="00EF65AE" w:rsidRPr="0077119C" w:rsidRDefault="00EF65AE" w:rsidP="00EF65AE">
            <w:r w:rsidRPr="0077119C">
              <w:t>Pacific and Timor-Leste Reducing Gender-Based Violence Project</w:t>
            </w:r>
          </w:p>
        </w:tc>
        <w:tc>
          <w:tcPr>
            <w:tcW w:w="0" w:type="auto"/>
          </w:tcPr>
          <w:p w14:paraId="2F440878" w14:textId="77777777" w:rsidR="00EF65AE" w:rsidRPr="0077119C" w:rsidRDefault="00EF65AE" w:rsidP="00EF65AE">
            <w:r w:rsidRPr="0077119C">
              <w:t xml:space="preserve">World Vision Australia </w:t>
            </w:r>
          </w:p>
        </w:tc>
        <w:tc>
          <w:tcPr>
            <w:tcW w:w="0" w:type="auto"/>
          </w:tcPr>
          <w:p w14:paraId="6005B8EF" w14:textId="77777777" w:rsidR="00EF65AE" w:rsidRPr="0077119C" w:rsidRDefault="00F6352C" w:rsidP="00EF65AE">
            <w:r>
              <w:t>$</w:t>
            </w:r>
            <w:r w:rsidR="00EF65AE" w:rsidRPr="0077119C">
              <w:t>1,673,188</w:t>
            </w:r>
          </w:p>
        </w:tc>
      </w:tr>
      <w:tr w:rsidR="00C6776F" w:rsidRPr="0077119C" w14:paraId="3C1AAED2" w14:textId="77777777" w:rsidTr="00057B37">
        <w:tc>
          <w:tcPr>
            <w:tcW w:w="0" w:type="auto"/>
          </w:tcPr>
          <w:p w14:paraId="1F816A97" w14:textId="77777777" w:rsidR="00EF65AE" w:rsidRPr="0077119C" w:rsidRDefault="00EF65AE" w:rsidP="00EF65AE">
            <w:r w:rsidRPr="0077119C">
              <w:t>P</w:t>
            </w:r>
            <w:r w:rsidR="00C6776F">
              <w:t>acific</w:t>
            </w:r>
            <w:r w:rsidRPr="0077119C">
              <w:t xml:space="preserve"> R</w:t>
            </w:r>
            <w:r w:rsidR="00C6776F">
              <w:t>egion</w:t>
            </w:r>
          </w:p>
        </w:tc>
        <w:tc>
          <w:tcPr>
            <w:tcW w:w="0" w:type="auto"/>
          </w:tcPr>
          <w:p w14:paraId="42E2DA9A" w14:textId="77777777" w:rsidR="00EF65AE" w:rsidRPr="0077119C" w:rsidRDefault="00EF65AE" w:rsidP="00EF65AE">
            <w:r w:rsidRPr="0077119C">
              <w:t>Pacific and Timor-Leste Reducing Gender-Based Violence Project</w:t>
            </w:r>
          </w:p>
        </w:tc>
        <w:tc>
          <w:tcPr>
            <w:tcW w:w="0" w:type="auto"/>
          </w:tcPr>
          <w:p w14:paraId="13E9252F" w14:textId="77777777" w:rsidR="00EF65AE" w:rsidRPr="0077119C" w:rsidRDefault="00EF65AE" w:rsidP="00EF65AE">
            <w:r w:rsidRPr="0077119C">
              <w:t xml:space="preserve">World Vision Australia </w:t>
            </w:r>
          </w:p>
        </w:tc>
        <w:tc>
          <w:tcPr>
            <w:tcW w:w="0" w:type="auto"/>
          </w:tcPr>
          <w:p w14:paraId="72442A61" w14:textId="77777777" w:rsidR="00EF65AE" w:rsidRPr="0077119C" w:rsidRDefault="00F6352C" w:rsidP="00EF65AE">
            <w:r>
              <w:t>$</w:t>
            </w:r>
            <w:r w:rsidR="00EF65AE" w:rsidRPr="0077119C">
              <w:t>904,509</w:t>
            </w:r>
          </w:p>
        </w:tc>
      </w:tr>
      <w:tr w:rsidR="0039025C" w:rsidRPr="0077119C" w14:paraId="3ADE8121" w14:textId="77777777" w:rsidTr="00057B37">
        <w:tc>
          <w:tcPr>
            <w:tcW w:w="0" w:type="auto"/>
          </w:tcPr>
          <w:p w14:paraId="2CE6FDED"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34A847FD" w14:textId="77777777" w:rsidR="0039025C" w:rsidRPr="0077119C" w:rsidRDefault="0039025C" w:rsidP="0039025C">
            <w:r w:rsidRPr="0077119C">
              <w:t>EVAW in P</w:t>
            </w:r>
            <w:r w:rsidR="004D6E65">
              <w:t>NG</w:t>
            </w:r>
          </w:p>
        </w:tc>
        <w:tc>
          <w:tcPr>
            <w:tcW w:w="0" w:type="auto"/>
          </w:tcPr>
          <w:p w14:paraId="36DE750D" w14:textId="77777777" w:rsidR="0039025C" w:rsidRPr="0077119C" w:rsidRDefault="0039025C" w:rsidP="0039025C">
            <w:r w:rsidRPr="0077119C">
              <w:t>Oxfam Australia</w:t>
            </w:r>
          </w:p>
        </w:tc>
        <w:tc>
          <w:tcPr>
            <w:tcW w:w="0" w:type="auto"/>
          </w:tcPr>
          <w:p w14:paraId="0F3D39C9" w14:textId="77777777" w:rsidR="0039025C" w:rsidRPr="0077119C" w:rsidRDefault="00F6352C" w:rsidP="0039025C">
            <w:r>
              <w:t>$</w:t>
            </w:r>
            <w:r w:rsidR="0039025C" w:rsidRPr="0077119C">
              <w:t>821,700</w:t>
            </w:r>
          </w:p>
        </w:tc>
      </w:tr>
      <w:tr w:rsidR="0039025C" w:rsidRPr="0077119C" w14:paraId="163E7289" w14:textId="77777777" w:rsidTr="00057B37">
        <w:tc>
          <w:tcPr>
            <w:tcW w:w="0" w:type="auto"/>
          </w:tcPr>
          <w:p w14:paraId="050C8FCE"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4DF589E2" w14:textId="77777777" w:rsidR="0039025C" w:rsidRPr="0077119C" w:rsidRDefault="0039025C" w:rsidP="0039025C">
            <w:r w:rsidRPr="0077119C">
              <w:t>Addressing Family and Sexual Violence Through Community Engagement</w:t>
            </w:r>
            <w:r>
              <w:t>—</w:t>
            </w:r>
            <w:r w:rsidRPr="0077119C">
              <w:t>Goroka, Eastern Highlands Province</w:t>
            </w:r>
          </w:p>
        </w:tc>
        <w:tc>
          <w:tcPr>
            <w:tcW w:w="0" w:type="auto"/>
          </w:tcPr>
          <w:p w14:paraId="5FB777D8" w14:textId="77777777" w:rsidR="0039025C" w:rsidRPr="0077119C" w:rsidRDefault="0039025C" w:rsidP="0039025C">
            <w:r w:rsidRPr="0077119C">
              <w:t>International Women's Development Agency</w:t>
            </w:r>
          </w:p>
        </w:tc>
        <w:tc>
          <w:tcPr>
            <w:tcW w:w="0" w:type="auto"/>
          </w:tcPr>
          <w:p w14:paraId="1C7D8405" w14:textId="77777777" w:rsidR="0039025C" w:rsidRPr="0077119C" w:rsidRDefault="00F6352C" w:rsidP="0039025C">
            <w:r>
              <w:t>$</w:t>
            </w:r>
            <w:r w:rsidR="0039025C" w:rsidRPr="0077119C">
              <w:t>14,754</w:t>
            </w:r>
          </w:p>
        </w:tc>
      </w:tr>
      <w:tr w:rsidR="0039025C" w:rsidRPr="0077119C" w14:paraId="6328474B" w14:textId="77777777" w:rsidTr="00057B37">
        <w:tc>
          <w:tcPr>
            <w:tcW w:w="0" w:type="auto"/>
          </w:tcPr>
          <w:p w14:paraId="74BCA684"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044D115D" w14:textId="77777777" w:rsidR="0039025C" w:rsidRPr="0077119C" w:rsidRDefault="0039025C" w:rsidP="0039025C">
            <w:r w:rsidRPr="0077119C">
              <w:t>EVAW in P</w:t>
            </w:r>
            <w:r w:rsidR="004D6E65">
              <w:t>NG</w:t>
            </w:r>
          </w:p>
        </w:tc>
        <w:tc>
          <w:tcPr>
            <w:tcW w:w="0" w:type="auto"/>
          </w:tcPr>
          <w:p w14:paraId="1B9FD68F" w14:textId="77777777" w:rsidR="0039025C" w:rsidRPr="0077119C" w:rsidRDefault="0039025C" w:rsidP="0039025C">
            <w:r w:rsidRPr="0077119C">
              <w:t>Oxfam Australia</w:t>
            </w:r>
          </w:p>
        </w:tc>
        <w:tc>
          <w:tcPr>
            <w:tcW w:w="0" w:type="auto"/>
          </w:tcPr>
          <w:p w14:paraId="5DF6E126" w14:textId="77777777" w:rsidR="0039025C" w:rsidRPr="0077119C" w:rsidRDefault="00F6352C" w:rsidP="0039025C">
            <w:r>
              <w:t>$</w:t>
            </w:r>
            <w:r w:rsidR="0039025C" w:rsidRPr="0077119C">
              <w:t>778,761</w:t>
            </w:r>
          </w:p>
        </w:tc>
      </w:tr>
      <w:tr w:rsidR="0039025C" w:rsidRPr="0077119C" w14:paraId="6CF5AD71" w14:textId="77777777" w:rsidTr="00057B37">
        <w:tc>
          <w:tcPr>
            <w:tcW w:w="0" w:type="auto"/>
          </w:tcPr>
          <w:p w14:paraId="1B43F5F2"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193EF565" w14:textId="77777777" w:rsidR="0039025C" w:rsidRPr="0077119C" w:rsidRDefault="0039025C" w:rsidP="0039025C">
            <w:r w:rsidRPr="0077119C">
              <w:t>Freedom from Family and Sexual Violence</w:t>
            </w:r>
          </w:p>
        </w:tc>
        <w:tc>
          <w:tcPr>
            <w:tcW w:w="0" w:type="auto"/>
          </w:tcPr>
          <w:p w14:paraId="1F58EB2D" w14:textId="77777777" w:rsidR="0039025C" w:rsidRPr="0077119C" w:rsidRDefault="0039025C" w:rsidP="0039025C">
            <w:r w:rsidRPr="0077119C">
              <w:t>International Women's Development Agency</w:t>
            </w:r>
          </w:p>
        </w:tc>
        <w:tc>
          <w:tcPr>
            <w:tcW w:w="0" w:type="auto"/>
          </w:tcPr>
          <w:p w14:paraId="3142DBC4" w14:textId="77777777" w:rsidR="0039025C" w:rsidRPr="0077119C" w:rsidRDefault="00F6352C" w:rsidP="0039025C">
            <w:r>
              <w:t>$</w:t>
            </w:r>
            <w:r w:rsidR="0039025C" w:rsidRPr="0077119C">
              <w:t>22,050</w:t>
            </w:r>
          </w:p>
        </w:tc>
      </w:tr>
      <w:tr w:rsidR="0039025C" w:rsidRPr="0077119C" w14:paraId="1BC5C39B" w14:textId="77777777" w:rsidTr="00057B37">
        <w:tc>
          <w:tcPr>
            <w:tcW w:w="0" w:type="auto"/>
          </w:tcPr>
          <w:p w14:paraId="280BAD95"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630EE566" w14:textId="77777777" w:rsidR="0039025C" w:rsidRPr="0077119C" w:rsidRDefault="0039025C" w:rsidP="0039025C">
            <w:r w:rsidRPr="0077119C">
              <w:t>Freedom from Family and Sexual</w:t>
            </w:r>
            <w:r w:rsidRPr="0077119C">
              <w:br/>
              <w:t>Violence</w:t>
            </w:r>
          </w:p>
        </w:tc>
        <w:tc>
          <w:tcPr>
            <w:tcW w:w="0" w:type="auto"/>
          </w:tcPr>
          <w:p w14:paraId="4D8363B4" w14:textId="77777777" w:rsidR="0039025C" w:rsidRPr="0077119C" w:rsidRDefault="0039025C" w:rsidP="0039025C">
            <w:r w:rsidRPr="0077119C">
              <w:t>International Women's Development Agency</w:t>
            </w:r>
          </w:p>
        </w:tc>
        <w:tc>
          <w:tcPr>
            <w:tcW w:w="0" w:type="auto"/>
          </w:tcPr>
          <w:p w14:paraId="4494CE93" w14:textId="77777777" w:rsidR="0039025C" w:rsidRPr="0077119C" w:rsidRDefault="00F6352C" w:rsidP="0039025C">
            <w:r>
              <w:t>$</w:t>
            </w:r>
            <w:r w:rsidR="0039025C" w:rsidRPr="0077119C">
              <w:t>16,979</w:t>
            </w:r>
          </w:p>
        </w:tc>
      </w:tr>
      <w:tr w:rsidR="0039025C" w:rsidRPr="0077119C" w14:paraId="3A0540F7" w14:textId="77777777" w:rsidTr="00057B37">
        <w:tc>
          <w:tcPr>
            <w:tcW w:w="0" w:type="auto"/>
          </w:tcPr>
          <w:p w14:paraId="0CEDE1DC"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1CFE7284" w14:textId="77777777" w:rsidR="0039025C" w:rsidRPr="0077119C" w:rsidRDefault="0039025C" w:rsidP="0039025C">
            <w:r w:rsidRPr="0077119C">
              <w:t>Oxfam PNG</w:t>
            </w:r>
            <w:r>
              <w:t>—</w:t>
            </w:r>
            <w:r w:rsidRPr="0077119C">
              <w:t>Gender Justice Project</w:t>
            </w:r>
          </w:p>
        </w:tc>
        <w:tc>
          <w:tcPr>
            <w:tcW w:w="0" w:type="auto"/>
          </w:tcPr>
          <w:p w14:paraId="687BF144" w14:textId="77777777" w:rsidR="0039025C" w:rsidRPr="0077119C" w:rsidRDefault="0039025C" w:rsidP="0039025C">
            <w:r w:rsidRPr="0077119C">
              <w:t>Oxfam Australia</w:t>
            </w:r>
          </w:p>
        </w:tc>
        <w:tc>
          <w:tcPr>
            <w:tcW w:w="0" w:type="auto"/>
          </w:tcPr>
          <w:p w14:paraId="75E3AA32" w14:textId="77777777" w:rsidR="0039025C" w:rsidRPr="0077119C" w:rsidRDefault="00F6352C" w:rsidP="0039025C">
            <w:r>
              <w:t>$</w:t>
            </w:r>
            <w:r w:rsidR="0039025C" w:rsidRPr="0077119C">
              <w:t>808,798</w:t>
            </w:r>
          </w:p>
        </w:tc>
      </w:tr>
      <w:tr w:rsidR="0039025C" w:rsidRPr="0077119C" w14:paraId="33C1566E" w14:textId="77777777" w:rsidTr="00057B37">
        <w:tc>
          <w:tcPr>
            <w:tcW w:w="0" w:type="auto"/>
          </w:tcPr>
          <w:p w14:paraId="769A26DC"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12D1ABAD" w14:textId="77777777" w:rsidR="0039025C" w:rsidRPr="0077119C" w:rsidRDefault="0039025C" w:rsidP="005A25D5">
            <w:r w:rsidRPr="0077119C">
              <w:t>Promoting Women’s Empowerment, Development, Protection and Healing in P</w:t>
            </w:r>
            <w:r w:rsidR="005A25D5">
              <w:t>NG</w:t>
            </w:r>
          </w:p>
        </w:tc>
        <w:tc>
          <w:tcPr>
            <w:tcW w:w="0" w:type="auto"/>
          </w:tcPr>
          <w:p w14:paraId="10B3D91A" w14:textId="77777777" w:rsidR="0039025C" w:rsidRPr="0077119C" w:rsidRDefault="0039025C" w:rsidP="0039025C">
            <w:r w:rsidRPr="0077119C">
              <w:t>International Women's Development Agency</w:t>
            </w:r>
          </w:p>
        </w:tc>
        <w:tc>
          <w:tcPr>
            <w:tcW w:w="0" w:type="auto"/>
          </w:tcPr>
          <w:p w14:paraId="5E9C7856" w14:textId="77777777" w:rsidR="0039025C" w:rsidRPr="0077119C" w:rsidRDefault="00F6352C" w:rsidP="0039025C">
            <w:r>
              <w:t>$</w:t>
            </w:r>
            <w:r w:rsidR="0039025C" w:rsidRPr="0077119C">
              <w:t>139,649</w:t>
            </w:r>
          </w:p>
        </w:tc>
      </w:tr>
      <w:tr w:rsidR="0039025C" w:rsidRPr="0077119C" w14:paraId="0249D9C4" w14:textId="77777777" w:rsidTr="00057B37">
        <w:tc>
          <w:tcPr>
            <w:tcW w:w="0" w:type="auto"/>
          </w:tcPr>
          <w:p w14:paraId="1B1D95FA" w14:textId="77777777" w:rsidR="0039025C" w:rsidRPr="0077119C" w:rsidRDefault="0039025C" w:rsidP="0039025C">
            <w:r w:rsidRPr="0077119C">
              <w:t>P</w:t>
            </w:r>
            <w:r>
              <w:t>apua</w:t>
            </w:r>
            <w:r w:rsidRPr="0077119C">
              <w:t xml:space="preserve"> N</w:t>
            </w:r>
            <w:r>
              <w:t xml:space="preserve">ew </w:t>
            </w:r>
            <w:r w:rsidRPr="0077119C">
              <w:t>G</w:t>
            </w:r>
            <w:r>
              <w:t>uinea</w:t>
            </w:r>
          </w:p>
        </w:tc>
        <w:tc>
          <w:tcPr>
            <w:tcW w:w="0" w:type="auto"/>
          </w:tcPr>
          <w:p w14:paraId="590F4D65" w14:textId="4AB5C937" w:rsidR="0039025C" w:rsidRPr="0077119C" w:rsidRDefault="0039025C" w:rsidP="005A25D5">
            <w:r w:rsidRPr="0077119C">
              <w:t>Promoting Women’s Protection and Healing in P</w:t>
            </w:r>
            <w:r w:rsidR="005A25D5">
              <w:t>NG</w:t>
            </w:r>
            <w:r w:rsidR="00617249">
              <w:t xml:space="preserve"> </w:t>
            </w:r>
            <w:r w:rsidRPr="0077119C">
              <w:t>(including evaluation)</w:t>
            </w:r>
          </w:p>
        </w:tc>
        <w:tc>
          <w:tcPr>
            <w:tcW w:w="0" w:type="auto"/>
          </w:tcPr>
          <w:p w14:paraId="3B18F0A9" w14:textId="77777777" w:rsidR="0039025C" w:rsidRPr="0077119C" w:rsidRDefault="0039025C" w:rsidP="0039025C">
            <w:r w:rsidRPr="0077119C">
              <w:t>International Women's Development Agency</w:t>
            </w:r>
          </w:p>
        </w:tc>
        <w:tc>
          <w:tcPr>
            <w:tcW w:w="0" w:type="auto"/>
          </w:tcPr>
          <w:p w14:paraId="46D55C7C" w14:textId="77777777" w:rsidR="0039025C" w:rsidRPr="0077119C" w:rsidRDefault="00F6352C" w:rsidP="0039025C">
            <w:r>
              <w:t>$</w:t>
            </w:r>
            <w:r w:rsidR="0039025C" w:rsidRPr="0077119C">
              <w:t>126,354</w:t>
            </w:r>
          </w:p>
        </w:tc>
      </w:tr>
      <w:tr w:rsidR="0039025C" w:rsidRPr="0077119C" w14:paraId="22375E12" w14:textId="77777777" w:rsidTr="00057B37">
        <w:tc>
          <w:tcPr>
            <w:tcW w:w="0" w:type="auto"/>
          </w:tcPr>
          <w:p w14:paraId="6633EA13" w14:textId="77777777" w:rsidR="0039025C" w:rsidRPr="0077119C" w:rsidRDefault="0039025C" w:rsidP="0039025C">
            <w:r w:rsidRPr="0077119C">
              <w:t>P</w:t>
            </w:r>
            <w:r>
              <w:t>apua</w:t>
            </w:r>
            <w:r w:rsidRPr="0077119C">
              <w:t xml:space="preserve"> N</w:t>
            </w:r>
            <w:r>
              <w:t>ew</w:t>
            </w:r>
            <w:r w:rsidRPr="0077119C">
              <w:t xml:space="preserve"> G</w:t>
            </w:r>
            <w:r>
              <w:t>uinea</w:t>
            </w:r>
          </w:p>
        </w:tc>
        <w:tc>
          <w:tcPr>
            <w:tcW w:w="0" w:type="auto"/>
          </w:tcPr>
          <w:p w14:paraId="70A7CBBE" w14:textId="77777777" w:rsidR="0039025C" w:rsidRPr="0077119C" w:rsidRDefault="0039025C" w:rsidP="0039025C">
            <w:r w:rsidRPr="0077119C">
              <w:t>Stronger Justice for Stronger Communities (PG03-004)</w:t>
            </w:r>
          </w:p>
        </w:tc>
        <w:tc>
          <w:tcPr>
            <w:tcW w:w="0" w:type="auto"/>
          </w:tcPr>
          <w:p w14:paraId="70403DFE" w14:textId="77777777" w:rsidR="0039025C" w:rsidRPr="0077119C" w:rsidRDefault="0039025C" w:rsidP="0039025C">
            <w:r w:rsidRPr="0077119C">
              <w:t>ChildFund Australia</w:t>
            </w:r>
          </w:p>
        </w:tc>
        <w:tc>
          <w:tcPr>
            <w:tcW w:w="0" w:type="auto"/>
          </w:tcPr>
          <w:p w14:paraId="6B9730C8" w14:textId="77777777" w:rsidR="0039025C" w:rsidRPr="0077119C" w:rsidRDefault="00F6352C" w:rsidP="0039025C">
            <w:r>
              <w:t>$</w:t>
            </w:r>
            <w:r w:rsidR="0039025C" w:rsidRPr="0077119C">
              <w:t>121,918</w:t>
            </w:r>
          </w:p>
        </w:tc>
      </w:tr>
      <w:tr w:rsidR="0039025C" w:rsidRPr="0077119C" w14:paraId="1B7FDCAA" w14:textId="77777777" w:rsidTr="00057B37">
        <w:tc>
          <w:tcPr>
            <w:tcW w:w="0" w:type="auto"/>
          </w:tcPr>
          <w:p w14:paraId="5F753265" w14:textId="77777777" w:rsidR="0039025C" w:rsidRPr="0077119C" w:rsidRDefault="0039025C" w:rsidP="0039025C">
            <w:r w:rsidRPr="0077119C">
              <w:t>S</w:t>
            </w:r>
            <w:r>
              <w:t xml:space="preserve">olomon </w:t>
            </w:r>
            <w:r w:rsidRPr="0077119C">
              <w:t>I</w:t>
            </w:r>
            <w:r>
              <w:t>slands</w:t>
            </w:r>
          </w:p>
        </w:tc>
        <w:tc>
          <w:tcPr>
            <w:tcW w:w="0" w:type="auto"/>
          </w:tcPr>
          <w:p w14:paraId="2E1B26AF" w14:textId="77777777" w:rsidR="0039025C" w:rsidRPr="0077119C" w:rsidRDefault="0039025C" w:rsidP="0039025C">
            <w:r w:rsidRPr="0077119C">
              <w:t>Community Vision 4 Change: Channel of Hope</w:t>
            </w:r>
            <w:r>
              <w:t>—</w:t>
            </w:r>
            <w:r w:rsidRPr="0077119C">
              <w:t>Gender Based Violence</w:t>
            </w:r>
          </w:p>
        </w:tc>
        <w:tc>
          <w:tcPr>
            <w:tcW w:w="0" w:type="auto"/>
          </w:tcPr>
          <w:p w14:paraId="62A7C0D1" w14:textId="77777777" w:rsidR="0039025C" w:rsidRPr="0077119C" w:rsidRDefault="0039025C" w:rsidP="0039025C">
            <w:r w:rsidRPr="0077119C">
              <w:t>World Vision Australia</w:t>
            </w:r>
          </w:p>
        </w:tc>
        <w:tc>
          <w:tcPr>
            <w:tcW w:w="0" w:type="auto"/>
          </w:tcPr>
          <w:p w14:paraId="589D096F" w14:textId="77777777" w:rsidR="0039025C" w:rsidRPr="0077119C" w:rsidRDefault="00F6352C" w:rsidP="0039025C">
            <w:r>
              <w:t>$</w:t>
            </w:r>
            <w:r w:rsidR="0039025C" w:rsidRPr="0077119C">
              <w:t>389,691</w:t>
            </w:r>
          </w:p>
        </w:tc>
      </w:tr>
      <w:tr w:rsidR="0039025C" w:rsidRPr="0077119C" w14:paraId="63A28B8D" w14:textId="77777777" w:rsidTr="00057B37">
        <w:tc>
          <w:tcPr>
            <w:tcW w:w="0" w:type="auto"/>
          </w:tcPr>
          <w:p w14:paraId="13412A78" w14:textId="77777777" w:rsidR="0039025C" w:rsidRPr="0077119C" w:rsidRDefault="0039025C" w:rsidP="0039025C">
            <w:r w:rsidRPr="0077119C">
              <w:t>S</w:t>
            </w:r>
            <w:r>
              <w:t xml:space="preserve">olomon </w:t>
            </w:r>
            <w:r w:rsidRPr="0077119C">
              <w:t>I</w:t>
            </w:r>
            <w:r>
              <w:t>slands</w:t>
            </w:r>
          </w:p>
        </w:tc>
        <w:tc>
          <w:tcPr>
            <w:tcW w:w="0" w:type="auto"/>
          </w:tcPr>
          <w:p w14:paraId="460706B9" w14:textId="77777777" w:rsidR="0039025C" w:rsidRPr="0077119C" w:rsidRDefault="0039025C" w:rsidP="0039025C">
            <w:r w:rsidRPr="0077119C">
              <w:t>Piloting Services for Rural Solomon Islands Women Affected by Violence</w:t>
            </w:r>
          </w:p>
        </w:tc>
        <w:tc>
          <w:tcPr>
            <w:tcW w:w="0" w:type="auto"/>
          </w:tcPr>
          <w:p w14:paraId="1699CBD7" w14:textId="77777777" w:rsidR="0039025C" w:rsidRPr="0077119C" w:rsidRDefault="0039025C" w:rsidP="0039025C">
            <w:r w:rsidRPr="0077119C">
              <w:t>International Women's Development Agency</w:t>
            </w:r>
          </w:p>
        </w:tc>
        <w:tc>
          <w:tcPr>
            <w:tcW w:w="0" w:type="auto"/>
          </w:tcPr>
          <w:p w14:paraId="252DA869" w14:textId="77777777" w:rsidR="0039025C" w:rsidRPr="0077119C" w:rsidRDefault="00F6352C" w:rsidP="0039025C">
            <w:r>
              <w:t>$</w:t>
            </w:r>
            <w:r w:rsidR="0039025C" w:rsidRPr="0077119C">
              <w:t>46,912</w:t>
            </w:r>
          </w:p>
        </w:tc>
      </w:tr>
      <w:tr w:rsidR="0039025C" w:rsidRPr="0077119C" w14:paraId="403A4614" w14:textId="77777777" w:rsidTr="00057B37">
        <w:tc>
          <w:tcPr>
            <w:tcW w:w="0" w:type="auto"/>
          </w:tcPr>
          <w:p w14:paraId="6DD07E08" w14:textId="77777777" w:rsidR="0039025C" w:rsidRPr="0077119C" w:rsidRDefault="0039025C" w:rsidP="0039025C">
            <w:r w:rsidRPr="0077119C">
              <w:t>S</w:t>
            </w:r>
            <w:r>
              <w:t>olomon</w:t>
            </w:r>
            <w:r w:rsidRPr="0077119C">
              <w:t xml:space="preserve"> I</w:t>
            </w:r>
            <w:r>
              <w:t>slands</w:t>
            </w:r>
          </w:p>
        </w:tc>
        <w:tc>
          <w:tcPr>
            <w:tcW w:w="0" w:type="auto"/>
          </w:tcPr>
          <w:p w14:paraId="727FE2A1" w14:textId="77777777" w:rsidR="0039025C" w:rsidRPr="0077119C" w:rsidRDefault="0039025C" w:rsidP="0039025C">
            <w:r w:rsidRPr="0077119C">
              <w:t>Violence Against Women in Rural Solomon Islands: Prevention and Response</w:t>
            </w:r>
          </w:p>
        </w:tc>
        <w:tc>
          <w:tcPr>
            <w:tcW w:w="0" w:type="auto"/>
          </w:tcPr>
          <w:p w14:paraId="2F261FB8" w14:textId="77777777" w:rsidR="0039025C" w:rsidRPr="0077119C" w:rsidRDefault="0039025C" w:rsidP="0039025C">
            <w:r w:rsidRPr="0077119C">
              <w:t>International Women's Development Agency</w:t>
            </w:r>
          </w:p>
        </w:tc>
        <w:tc>
          <w:tcPr>
            <w:tcW w:w="0" w:type="auto"/>
          </w:tcPr>
          <w:p w14:paraId="649B989A" w14:textId="7DD061A6" w:rsidR="0039025C" w:rsidRPr="0077119C" w:rsidRDefault="0039025C" w:rsidP="0039025C">
            <w:r w:rsidRPr="0077119C">
              <w:t>130,562</w:t>
            </w:r>
          </w:p>
        </w:tc>
      </w:tr>
      <w:tr w:rsidR="0039025C" w:rsidRPr="0077119C" w14:paraId="22BC10A3" w14:textId="77777777" w:rsidTr="00057B37">
        <w:tc>
          <w:tcPr>
            <w:tcW w:w="0" w:type="auto"/>
          </w:tcPr>
          <w:p w14:paraId="169F49F4" w14:textId="77777777" w:rsidR="0039025C" w:rsidRPr="00B8572E" w:rsidRDefault="0039025C" w:rsidP="0039025C">
            <w:pPr>
              <w:rPr>
                <w:b/>
                <w:bCs/>
              </w:rPr>
            </w:pPr>
            <w:r w:rsidRPr="00B8572E">
              <w:rPr>
                <w:b/>
                <w:bCs/>
              </w:rPr>
              <w:t>TOTAL</w:t>
            </w:r>
          </w:p>
        </w:tc>
        <w:tc>
          <w:tcPr>
            <w:tcW w:w="0" w:type="auto"/>
          </w:tcPr>
          <w:p w14:paraId="77E4E390" w14:textId="77777777" w:rsidR="0039025C" w:rsidRPr="00B8572E" w:rsidRDefault="0039025C" w:rsidP="0039025C">
            <w:pPr>
              <w:rPr>
                <w:b/>
                <w:bCs/>
              </w:rPr>
            </w:pPr>
          </w:p>
        </w:tc>
        <w:tc>
          <w:tcPr>
            <w:tcW w:w="0" w:type="auto"/>
          </w:tcPr>
          <w:p w14:paraId="22FB07EC" w14:textId="77777777" w:rsidR="0039025C" w:rsidRPr="00B8572E" w:rsidRDefault="0039025C" w:rsidP="0039025C">
            <w:pPr>
              <w:rPr>
                <w:b/>
                <w:bCs/>
              </w:rPr>
            </w:pPr>
          </w:p>
        </w:tc>
        <w:tc>
          <w:tcPr>
            <w:tcW w:w="0" w:type="auto"/>
          </w:tcPr>
          <w:p w14:paraId="136B9EE9" w14:textId="28A95278" w:rsidR="0039025C" w:rsidRPr="00B8572E" w:rsidRDefault="00E041FB" w:rsidP="0039025C">
            <w:pPr>
              <w:rPr>
                <w:b/>
                <w:bCs/>
              </w:rPr>
            </w:pPr>
            <w:r>
              <w:rPr>
                <w:b/>
                <w:bCs/>
              </w:rPr>
              <w:t>$</w:t>
            </w:r>
            <w:r w:rsidR="0039025C" w:rsidRPr="00B8572E">
              <w:rPr>
                <w:b/>
                <w:bCs/>
              </w:rPr>
              <w:t>567,165</w:t>
            </w:r>
          </w:p>
        </w:tc>
      </w:tr>
      <w:tr w:rsidR="0039025C" w:rsidRPr="0077119C" w14:paraId="7F3A2F13" w14:textId="77777777" w:rsidTr="00057B37">
        <w:tc>
          <w:tcPr>
            <w:tcW w:w="0" w:type="auto"/>
          </w:tcPr>
          <w:p w14:paraId="23D6F557" w14:textId="77777777" w:rsidR="0039025C" w:rsidRPr="0077119C" w:rsidRDefault="0039025C" w:rsidP="0039025C">
            <w:r w:rsidRPr="0077119C">
              <w:t>T</w:t>
            </w:r>
            <w:r>
              <w:t>imor</w:t>
            </w:r>
            <w:r w:rsidRPr="0077119C">
              <w:t>-L</w:t>
            </w:r>
            <w:r>
              <w:t>este</w:t>
            </w:r>
          </w:p>
        </w:tc>
        <w:tc>
          <w:tcPr>
            <w:tcW w:w="0" w:type="auto"/>
          </w:tcPr>
          <w:p w14:paraId="088EBFF5" w14:textId="77777777" w:rsidR="0039025C" w:rsidRPr="0077119C" w:rsidRDefault="0039025C" w:rsidP="005A25D5">
            <w:r w:rsidRPr="0077119C">
              <w:t>Engaging Men to Improve Sexual and Reproductive Health</w:t>
            </w:r>
            <w:r>
              <w:t>—</w:t>
            </w:r>
            <w:r w:rsidRPr="0077119C">
              <w:t xml:space="preserve">Ermera </w:t>
            </w:r>
            <w:r w:rsidR="005A25D5">
              <w:t>Municipality</w:t>
            </w:r>
            <w:r w:rsidRPr="0077119C">
              <w:t xml:space="preserve"> (July 2009</w:t>
            </w:r>
            <w:r>
              <w:t xml:space="preserve"> to</w:t>
            </w:r>
            <w:r w:rsidRPr="0077119C">
              <w:t xml:space="preserve"> June 2012)</w:t>
            </w:r>
          </w:p>
        </w:tc>
        <w:tc>
          <w:tcPr>
            <w:tcW w:w="0" w:type="auto"/>
          </w:tcPr>
          <w:p w14:paraId="6766DA11" w14:textId="77777777" w:rsidR="0039025C" w:rsidRPr="0077119C" w:rsidRDefault="0039025C" w:rsidP="0039025C">
            <w:r w:rsidRPr="0077119C">
              <w:t xml:space="preserve">Family Planning NSW (formerly Sexual Health </w:t>
            </w:r>
            <w:r>
              <w:t>and</w:t>
            </w:r>
            <w:r w:rsidRPr="0077119C">
              <w:t xml:space="preserve"> Family Planning N</w:t>
            </w:r>
            <w:r>
              <w:t xml:space="preserve">ew </w:t>
            </w:r>
            <w:r w:rsidRPr="0077119C">
              <w:t>S</w:t>
            </w:r>
            <w:r>
              <w:t xml:space="preserve">outh </w:t>
            </w:r>
            <w:r w:rsidRPr="0077119C">
              <w:t>W</w:t>
            </w:r>
            <w:r>
              <w:t>ales</w:t>
            </w:r>
            <w:r w:rsidRPr="0077119C">
              <w:t>)</w:t>
            </w:r>
          </w:p>
        </w:tc>
        <w:tc>
          <w:tcPr>
            <w:tcW w:w="0" w:type="auto"/>
          </w:tcPr>
          <w:p w14:paraId="6FC8A3A0" w14:textId="08E0ACC6" w:rsidR="0039025C" w:rsidRPr="0077119C" w:rsidRDefault="0039025C" w:rsidP="0039025C">
            <w:r w:rsidRPr="0077119C">
              <w:t>56,298</w:t>
            </w:r>
          </w:p>
        </w:tc>
      </w:tr>
      <w:tr w:rsidR="0039025C" w:rsidRPr="0077119C" w14:paraId="39C50A0A" w14:textId="77777777" w:rsidTr="00057B37">
        <w:tc>
          <w:tcPr>
            <w:tcW w:w="0" w:type="auto"/>
          </w:tcPr>
          <w:p w14:paraId="762CF924" w14:textId="77777777" w:rsidR="0039025C" w:rsidRPr="0077119C" w:rsidRDefault="0039025C" w:rsidP="0039025C">
            <w:r w:rsidRPr="0077119C">
              <w:t>T</w:t>
            </w:r>
            <w:r>
              <w:t>imor</w:t>
            </w:r>
            <w:r w:rsidRPr="0077119C">
              <w:t>-L</w:t>
            </w:r>
            <w:r>
              <w:t>este</w:t>
            </w:r>
          </w:p>
        </w:tc>
        <w:tc>
          <w:tcPr>
            <w:tcW w:w="0" w:type="auto"/>
          </w:tcPr>
          <w:p w14:paraId="365EC30E" w14:textId="77777777" w:rsidR="0039025C" w:rsidRPr="0077119C" w:rsidRDefault="0039025C" w:rsidP="0039025C">
            <w:r w:rsidRPr="0077119C">
              <w:t>Legal aid for women and children</w:t>
            </w:r>
          </w:p>
        </w:tc>
        <w:tc>
          <w:tcPr>
            <w:tcW w:w="0" w:type="auto"/>
          </w:tcPr>
          <w:p w14:paraId="6C6DB5FE" w14:textId="77777777" w:rsidR="0039025C" w:rsidRPr="0077119C" w:rsidRDefault="0039025C" w:rsidP="0039025C">
            <w:r w:rsidRPr="0077119C">
              <w:t>International Women's Development Agency</w:t>
            </w:r>
          </w:p>
        </w:tc>
        <w:tc>
          <w:tcPr>
            <w:tcW w:w="0" w:type="auto"/>
          </w:tcPr>
          <w:p w14:paraId="47EBBD2C" w14:textId="77777777" w:rsidR="0039025C" w:rsidRPr="0077119C" w:rsidRDefault="00F6352C" w:rsidP="0039025C">
            <w:r>
              <w:t>$</w:t>
            </w:r>
            <w:r w:rsidR="0039025C" w:rsidRPr="0077119C">
              <w:t>35,255</w:t>
            </w:r>
          </w:p>
        </w:tc>
      </w:tr>
    </w:tbl>
    <w:p w14:paraId="19014EAC" w14:textId="77777777" w:rsidR="00EF65AE" w:rsidRPr="00EF65AE" w:rsidRDefault="00EF65AE" w:rsidP="00EF65AE">
      <w:pPr>
        <w:rPr>
          <w:rFonts w:cs="Arial"/>
        </w:rPr>
      </w:pPr>
    </w:p>
    <w:p w14:paraId="6233E04B" w14:textId="77777777" w:rsidR="00EF65AE" w:rsidRPr="00EF65AE" w:rsidRDefault="00EF65AE" w:rsidP="00E96928">
      <w:pPr>
        <w:pStyle w:val="AnnexHeading"/>
        <w:rPr>
          <w:noProof/>
        </w:rPr>
      </w:pPr>
      <w:bookmarkStart w:id="469" w:name="_Toc4156980"/>
      <w:bookmarkStart w:id="470" w:name="_Toc7209414"/>
      <w:bookmarkStart w:id="471" w:name="_Toc14959632"/>
      <w:bookmarkStart w:id="472" w:name="_Toc15378146"/>
      <w:bookmarkStart w:id="473" w:name="_Toc15378495"/>
      <w:bookmarkStart w:id="474" w:name="_Toc15563037"/>
      <w:bookmarkStart w:id="475" w:name="_Toc23434573"/>
      <w:r w:rsidRPr="00EF65AE">
        <w:rPr>
          <w:noProof/>
        </w:rPr>
        <w:t>S</w:t>
      </w:r>
      <w:r w:rsidR="004F0C71">
        <w:rPr>
          <w:noProof/>
        </w:rPr>
        <w:t>takeholders consulted</w:t>
      </w:r>
      <w:bookmarkEnd w:id="469"/>
      <w:bookmarkEnd w:id="470"/>
      <w:bookmarkEnd w:id="471"/>
      <w:bookmarkEnd w:id="472"/>
      <w:bookmarkEnd w:id="473"/>
      <w:bookmarkEnd w:id="474"/>
      <w:bookmarkEnd w:id="475"/>
    </w:p>
    <w:p w14:paraId="7B3085D8" w14:textId="480F0323" w:rsidR="00B26C9D" w:rsidRDefault="00B26C9D" w:rsidP="00EF65AE">
      <w:pPr>
        <w:rPr>
          <w:rFonts w:cs="Arial"/>
        </w:rPr>
      </w:pPr>
      <w:r>
        <w:rPr>
          <w:rFonts w:cs="Arial"/>
        </w:rPr>
        <w:t xml:space="preserve">This annex provides details on </w:t>
      </w:r>
      <w:r w:rsidR="00B83C43">
        <w:rPr>
          <w:rFonts w:cs="Arial"/>
        </w:rPr>
        <w:t>organisations and individuals</w:t>
      </w:r>
      <w:r>
        <w:rPr>
          <w:rFonts w:cs="Arial"/>
        </w:rPr>
        <w:t xml:space="preserve"> consulted </w:t>
      </w:r>
      <w:bookmarkStart w:id="476" w:name="_Hlk18589980"/>
      <w:r w:rsidR="00B83C43">
        <w:rPr>
          <w:rFonts w:cs="Arial"/>
        </w:rPr>
        <w:t>during this evaluation</w:t>
      </w:r>
      <w:r w:rsidR="001F1BB7">
        <w:rPr>
          <w:rFonts w:cs="Arial"/>
        </w:rPr>
        <w:t>.</w:t>
      </w:r>
    </w:p>
    <w:bookmarkEnd w:id="476"/>
    <w:p w14:paraId="0F8B9F31" w14:textId="77777777" w:rsidR="00EF65AE" w:rsidRPr="00EF65AE" w:rsidRDefault="00D36612" w:rsidP="00D36612">
      <w:pPr>
        <w:pStyle w:val="Caption"/>
        <w:rPr>
          <w:rFonts w:cs="Arial"/>
        </w:rPr>
      </w:pPr>
      <w:r>
        <w:t xml:space="preserve">Table </w:t>
      </w:r>
      <w:r w:rsidR="005A236E">
        <w:t>6</w:t>
      </w:r>
      <w:r w:rsidR="00EF65AE" w:rsidRPr="00EF65AE">
        <w:rPr>
          <w:rFonts w:cs="Arial"/>
        </w:rPr>
        <w:t xml:space="preserve">: </w:t>
      </w:r>
      <w:r w:rsidR="00B83C43">
        <w:rPr>
          <w:rFonts w:cs="Arial"/>
        </w:rPr>
        <w:t>Organisations</w:t>
      </w:r>
      <w:r w:rsidR="00EF65AE" w:rsidRPr="00EF65AE">
        <w:rPr>
          <w:rFonts w:cs="Arial"/>
        </w:rPr>
        <w:t xml:space="preserve"> interviewed and consulted in each country</w:t>
      </w:r>
    </w:p>
    <w:tbl>
      <w:tblPr>
        <w:tblStyle w:val="TableGrid"/>
        <w:tblW w:w="0" w:type="auto"/>
        <w:tblLook w:val="0420" w:firstRow="1" w:lastRow="0" w:firstColumn="0" w:lastColumn="0" w:noHBand="0" w:noVBand="1"/>
      </w:tblPr>
      <w:tblGrid>
        <w:gridCol w:w="1171"/>
        <w:gridCol w:w="2402"/>
        <w:gridCol w:w="6055"/>
      </w:tblGrid>
      <w:tr w:rsidR="00EF65AE" w:rsidRPr="0077119C" w14:paraId="41A5E8E3" w14:textId="77777777" w:rsidTr="00057B37">
        <w:trPr>
          <w:cnfStyle w:val="100000000000" w:firstRow="1" w:lastRow="0" w:firstColumn="0" w:lastColumn="0" w:oddVBand="0" w:evenVBand="0" w:oddHBand="0" w:evenHBand="0" w:firstRowFirstColumn="0" w:firstRowLastColumn="0" w:lastRowFirstColumn="0" w:lastRowLastColumn="0"/>
        </w:trPr>
        <w:tc>
          <w:tcPr>
            <w:tcW w:w="1134" w:type="dxa"/>
          </w:tcPr>
          <w:p w14:paraId="7A66C7AE" w14:textId="77777777" w:rsidR="00EF65AE" w:rsidRPr="0077119C" w:rsidRDefault="00EF65AE" w:rsidP="00EF65AE">
            <w:r w:rsidRPr="0077119C">
              <w:t>Country</w:t>
            </w:r>
          </w:p>
        </w:tc>
        <w:tc>
          <w:tcPr>
            <w:tcW w:w="2410" w:type="dxa"/>
          </w:tcPr>
          <w:p w14:paraId="540756D8" w14:textId="77777777" w:rsidR="00EF65AE" w:rsidRPr="0077119C" w:rsidRDefault="00EF65AE" w:rsidP="00EF65AE">
            <w:r w:rsidRPr="0077119C">
              <w:t>Stakeholder category</w:t>
            </w:r>
          </w:p>
        </w:tc>
        <w:tc>
          <w:tcPr>
            <w:tcW w:w="6094" w:type="dxa"/>
          </w:tcPr>
          <w:p w14:paraId="389B8764" w14:textId="77777777" w:rsidR="00EF65AE" w:rsidRPr="0077119C" w:rsidRDefault="00EF65AE" w:rsidP="00EF65AE">
            <w:r w:rsidRPr="0077119C">
              <w:t>Organisations</w:t>
            </w:r>
          </w:p>
        </w:tc>
      </w:tr>
      <w:tr w:rsidR="00EF65AE" w:rsidRPr="0077119C" w14:paraId="0CA7E92E" w14:textId="77777777" w:rsidTr="00057B37">
        <w:tc>
          <w:tcPr>
            <w:tcW w:w="1134" w:type="dxa"/>
          </w:tcPr>
          <w:p w14:paraId="14E412FA" w14:textId="77777777" w:rsidR="00EF65AE" w:rsidRPr="0077119C" w:rsidRDefault="00EF65AE" w:rsidP="00EF65AE">
            <w:r w:rsidRPr="0077119C">
              <w:t>Fiji</w:t>
            </w:r>
          </w:p>
        </w:tc>
        <w:tc>
          <w:tcPr>
            <w:tcW w:w="2410" w:type="dxa"/>
          </w:tcPr>
          <w:p w14:paraId="0CB8B161" w14:textId="77777777" w:rsidR="00EF65AE" w:rsidRPr="0077119C" w:rsidRDefault="00EF65AE" w:rsidP="00EF65AE">
            <w:r w:rsidRPr="0077119C">
              <w:t>Australian aid investments</w:t>
            </w:r>
          </w:p>
        </w:tc>
        <w:tc>
          <w:tcPr>
            <w:tcW w:w="6094" w:type="dxa"/>
          </w:tcPr>
          <w:p w14:paraId="24797E54" w14:textId="77777777" w:rsidR="00EF65AE" w:rsidRPr="0077119C" w:rsidRDefault="00EF65AE" w:rsidP="00EF65AE">
            <w:r w:rsidRPr="0077119C">
              <w:t>Pacific Women Shaping Pacific Development (Pacific Women) Support Unit</w:t>
            </w:r>
          </w:p>
          <w:p w14:paraId="63F016CF" w14:textId="77777777" w:rsidR="00EF65AE" w:rsidRPr="0077119C" w:rsidRDefault="00EF65AE" w:rsidP="00EF65AE">
            <w:r w:rsidRPr="0077119C">
              <w:t xml:space="preserve">Regional Rights Resource Team </w:t>
            </w:r>
          </w:p>
        </w:tc>
      </w:tr>
      <w:tr w:rsidR="00EF65AE" w:rsidRPr="0077119C" w14:paraId="7299462E" w14:textId="77777777" w:rsidTr="00057B37">
        <w:tc>
          <w:tcPr>
            <w:tcW w:w="1134" w:type="dxa"/>
          </w:tcPr>
          <w:p w14:paraId="20A9455B" w14:textId="77777777" w:rsidR="00EF65AE" w:rsidRPr="0077119C" w:rsidRDefault="00EF65AE" w:rsidP="00EF65AE">
            <w:r w:rsidRPr="0077119C">
              <w:t>Fiji</w:t>
            </w:r>
          </w:p>
        </w:tc>
        <w:tc>
          <w:tcPr>
            <w:tcW w:w="2410" w:type="dxa"/>
          </w:tcPr>
          <w:p w14:paraId="18D67E04" w14:textId="77777777" w:rsidR="00EF65AE" w:rsidRPr="0077119C" w:rsidRDefault="00EF65AE" w:rsidP="00EF65AE">
            <w:r w:rsidRPr="0077119C">
              <w:t>Australian Government</w:t>
            </w:r>
          </w:p>
        </w:tc>
        <w:tc>
          <w:tcPr>
            <w:tcW w:w="6094" w:type="dxa"/>
          </w:tcPr>
          <w:p w14:paraId="77AD1DA4" w14:textId="77777777" w:rsidR="00EF65AE" w:rsidRPr="0077119C" w:rsidRDefault="00EF65AE" w:rsidP="00EF65AE">
            <w:r w:rsidRPr="0077119C">
              <w:t xml:space="preserve">Australian Federal Police </w:t>
            </w:r>
          </w:p>
          <w:p w14:paraId="475713A4" w14:textId="77777777" w:rsidR="00EF65AE" w:rsidRPr="0077119C" w:rsidRDefault="00EF65AE" w:rsidP="00EF65AE">
            <w:r w:rsidRPr="0077119C">
              <w:t>Australian High Commission, Suva</w:t>
            </w:r>
          </w:p>
        </w:tc>
      </w:tr>
      <w:tr w:rsidR="00EF65AE" w:rsidRPr="0077119C" w14:paraId="3FFC4ED1" w14:textId="77777777" w:rsidTr="00057B37">
        <w:tc>
          <w:tcPr>
            <w:tcW w:w="1134" w:type="dxa"/>
          </w:tcPr>
          <w:p w14:paraId="7D26371D" w14:textId="77777777" w:rsidR="00EF65AE" w:rsidRPr="0077119C" w:rsidRDefault="00EF65AE" w:rsidP="00EF65AE">
            <w:r w:rsidRPr="0077119C">
              <w:t>Fiji</w:t>
            </w:r>
          </w:p>
        </w:tc>
        <w:tc>
          <w:tcPr>
            <w:tcW w:w="2410" w:type="dxa"/>
          </w:tcPr>
          <w:p w14:paraId="3E1D3CA9" w14:textId="77777777" w:rsidR="00EF65AE" w:rsidRPr="0077119C" w:rsidRDefault="00EF65AE" w:rsidP="00EF65AE">
            <w:r w:rsidRPr="0077119C">
              <w:t>Justice system</w:t>
            </w:r>
          </w:p>
        </w:tc>
        <w:tc>
          <w:tcPr>
            <w:tcW w:w="6094" w:type="dxa"/>
          </w:tcPr>
          <w:p w14:paraId="02ACF33E" w14:textId="77777777" w:rsidR="00EF65AE" w:rsidRPr="0077119C" w:rsidRDefault="00EF65AE" w:rsidP="00EF65AE">
            <w:r w:rsidRPr="0077119C">
              <w:t>Family Court</w:t>
            </w:r>
            <w:r w:rsidR="001B0FCF">
              <w:t>—</w:t>
            </w:r>
            <w:r w:rsidRPr="0077119C">
              <w:t>Justice Wati and Court Registrar</w:t>
            </w:r>
          </w:p>
        </w:tc>
      </w:tr>
      <w:tr w:rsidR="00EF65AE" w:rsidRPr="0077119C" w14:paraId="1FCAD579" w14:textId="77777777" w:rsidTr="00057B37">
        <w:tc>
          <w:tcPr>
            <w:tcW w:w="1134" w:type="dxa"/>
          </w:tcPr>
          <w:p w14:paraId="4D6871BB" w14:textId="77777777" w:rsidR="00EF65AE" w:rsidRPr="0077119C" w:rsidRDefault="00EF65AE" w:rsidP="00EF65AE">
            <w:r w:rsidRPr="0077119C">
              <w:t>Fiji</w:t>
            </w:r>
          </w:p>
        </w:tc>
        <w:tc>
          <w:tcPr>
            <w:tcW w:w="2410" w:type="dxa"/>
          </w:tcPr>
          <w:p w14:paraId="3AE0008E" w14:textId="77777777" w:rsidR="00EF65AE" w:rsidRPr="0077119C" w:rsidRDefault="00EF65AE" w:rsidP="00EF65AE">
            <w:r w:rsidRPr="0077119C">
              <w:t>Medical and health professionals</w:t>
            </w:r>
          </w:p>
        </w:tc>
        <w:tc>
          <w:tcPr>
            <w:tcW w:w="6094" w:type="dxa"/>
          </w:tcPr>
          <w:p w14:paraId="3E821776" w14:textId="77777777" w:rsidR="00EF65AE" w:rsidRPr="0077119C" w:rsidRDefault="00EF65AE" w:rsidP="00EF65AE">
            <w:r w:rsidRPr="0077119C">
              <w:t xml:space="preserve">Psychosocial Mental Health South Pacific </w:t>
            </w:r>
          </w:p>
        </w:tc>
      </w:tr>
      <w:tr w:rsidR="00EF65AE" w:rsidRPr="0077119C" w14:paraId="1456305C" w14:textId="77777777" w:rsidTr="00057B37">
        <w:tc>
          <w:tcPr>
            <w:tcW w:w="1134" w:type="dxa"/>
          </w:tcPr>
          <w:p w14:paraId="436C40FF" w14:textId="77777777" w:rsidR="00EF65AE" w:rsidRPr="0077119C" w:rsidRDefault="00EF65AE" w:rsidP="00EF65AE">
            <w:r w:rsidRPr="0077119C">
              <w:t>Fiji</w:t>
            </w:r>
          </w:p>
        </w:tc>
        <w:tc>
          <w:tcPr>
            <w:tcW w:w="2410" w:type="dxa"/>
          </w:tcPr>
          <w:p w14:paraId="2B065FC3" w14:textId="77777777" w:rsidR="00EF65AE" w:rsidRPr="0077119C" w:rsidRDefault="00EF65AE" w:rsidP="00EF65AE">
            <w:r w:rsidRPr="0077119C">
              <w:t>National and local government authorities</w:t>
            </w:r>
          </w:p>
        </w:tc>
        <w:tc>
          <w:tcPr>
            <w:tcW w:w="6094" w:type="dxa"/>
          </w:tcPr>
          <w:p w14:paraId="2E948F9C" w14:textId="77777777" w:rsidR="00EF65AE" w:rsidRPr="0077119C" w:rsidRDefault="00EF65AE" w:rsidP="00EF65AE">
            <w:r w:rsidRPr="0077119C">
              <w:t>Ministry of Women, Children, and Poverty Alleviation</w:t>
            </w:r>
          </w:p>
        </w:tc>
      </w:tr>
      <w:tr w:rsidR="00EF65AE" w:rsidRPr="0077119C" w14:paraId="418A8313" w14:textId="77777777" w:rsidTr="00057B37">
        <w:tc>
          <w:tcPr>
            <w:tcW w:w="1134" w:type="dxa"/>
          </w:tcPr>
          <w:p w14:paraId="498A0759" w14:textId="77777777" w:rsidR="00EF65AE" w:rsidRPr="0077119C" w:rsidRDefault="00EF65AE" w:rsidP="00EF65AE">
            <w:r w:rsidRPr="0077119C">
              <w:t>Fiji</w:t>
            </w:r>
          </w:p>
        </w:tc>
        <w:tc>
          <w:tcPr>
            <w:tcW w:w="2410" w:type="dxa"/>
          </w:tcPr>
          <w:p w14:paraId="4F48B793" w14:textId="77777777" w:rsidR="00EF65AE" w:rsidRPr="0077119C" w:rsidRDefault="00EF65AE" w:rsidP="00EF65AE">
            <w:r w:rsidRPr="0077119C">
              <w:t>Non-government organisations</w:t>
            </w:r>
          </w:p>
        </w:tc>
        <w:tc>
          <w:tcPr>
            <w:tcW w:w="6094" w:type="dxa"/>
          </w:tcPr>
          <w:p w14:paraId="33B75EDD" w14:textId="77777777" w:rsidR="00EF65AE" w:rsidRPr="0077119C" w:rsidRDefault="00EF65AE" w:rsidP="00EF65AE">
            <w:r w:rsidRPr="0077119C">
              <w:t>Adventist Development and Relief Agency</w:t>
            </w:r>
          </w:p>
          <w:p w14:paraId="1CBF23AC" w14:textId="63A46FFB" w:rsidR="00EF65AE" w:rsidRPr="0077119C" w:rsidRDefault="00EF65AE" w:rsidP="00EF65AE">
            <w:r w:rsidRPr="0077119C">
              <w:t>Empower Pacific (</w:t>
            </w:r>
            <w:r w:rsidR="001D11A0">
              <w:t>s</w:t>
            </w:r>
            <w:r w:rsidRPr="0077119C">
              <w:t xml:space="preserve">taff and </w:t>
            </w:r>
            <w:r w:rsidR="001D11A0">
              <w:t>c</w:t>
            </w:r>
            <w:r w:rsidRPr="0077119C">
              <w:t>lients)</w:t>
            </w:r>
          </w:p>
          <w:p w14:paraId="6BC839B9" w14:textId="77777777" w:rsidR="00EF65AE" w:rsidRPr="0077119C" w:rsidRDefault="00EF65AE" w:rsidP="00EF65AE">
            <w:r w:rsidRPr="0077119C">
              <w:t>Fiji Girl Guide Association</w:t>
            </w:r>
          </w:p>
          <w:p w14:paraId="7B5B6FE8" w14:textId="77777777" w:rsidR="00EF65AE" w:rsidRPr="0077119C" w:rsidRDefault="00EF65AE" w:rsidP="00EF65AE">
            <w:r w:rsidRPr="0077119C">
              <w:t xml:space="preserve">Fiji National Council for Disabled Persons </w:t>
            </w:r>
          </w:p>
          <w:p w14:paraId="7DE1014D" w14:textId="31FE9F72" w:rsidR="00EF65AE" w:rsidRPr="0077119C" w:rsidRDefault="00EF65AE" w:rsidP="00EF65AE">
            <w:r w:rsidRPr="0077119C">
              <w:t>Fiji Volleyball Federation (Sports for Development)</w:t>
            </w:r>
            <w:r w:rsidR="00B26C9D">
              <w:t>—</w:t>
            </w:r>
            <w:r w:rsidR="00617249">
              <w:br/>
            </w:r>
            <w:r w:rsidRPr="0077119C">
              <w:t>Sports Actors</w:t>
            </w:r>
          </w:p>
          <w:p w14:paraId="3BFBE813" w14:textId="77777777" w:rsidR="00EF65AE" w:rsidRPr="0077119C" w:rsidRDefault="00EF65AE" w:rsidP="00EF65AE">
            <w:r w:rsidRPr="0077119C">
              <w:t xml:space="preserve">Fiji Spinal Injuries Federation </w:t>
            </w:r>
          </w:p>
          <w:p w14:paraId="4A02F98B" w14:textId="77777777" w:rsidR="00EF65AE" w:rsidRPr="0077119C" w:rsidRDefault="00EF65AE" w:rsidP="00EF65AE">
            <w:r w:rsidRPr="0077119C">
              <w:t xml:space="preserve">Fiji Red Cross Society </w:t>
            </w:r>
          </w:p>
          <w:p w14:paraId="6F2C1EC3" w14:textId="77777777" w:rsidR="00EF65AE" w:rsidRPr="0077119C" w:rsidRDefault="00EF65AE" w:rsidP="00EF65AE">
            <w:r w:rsidRPr="0077119C">
              <w:t>Global Compassion</w:t>
            </w:r>
            <w:r w:rsidR="00B26C9D">
              <w:t>—</w:t>
            </w:r>
            <w:r w:rsidRPr="0077119C">
              <w:t xml:space="preserve">Christian Mission Fellowship </w:t>
            </w:r>
          </w:p>
          <w:p w14:paraId="0AA513CE" w14:textId="77777777" w:rsidR="00EF65AE" w:rsidRPr="0077119C" w:rsidRDefault="00EF65AE" w:rsidP="00EF65AE">
            <w:r w:rsidRPr="0077119C">
              <w:t>Homes of Hope</w:t>
            </w:r>
          </w:p>
          <w:p w14:paraId="79F58E23" w14:textId="77777777" w:rsidR="00EF65AE" w:rsidRPr="0077119C" w:rsidRDefault="00EF65AE" w:rsidP="00EF65AE">
            <w:r w:rsidRPr="0077119C">
              <w:t>House of Sarah</w:t>
            </w:r>
          </w:p>
          <w:p w14:paraId="5C5ADFC8" w14:textId="77777777" w:rsidR="00EF65AE" w:rsidRPr="0077119C" w:rsidRDefault="00EF65AE" w:rsidP="00EF65AE">
            <w:r w:rsidRPr="0077119C">
              <w:t>International Planned Parenthood Federation</w:t>
            </w:r>
          </w:p>
          <w:p w14:paraId="2547DA4B" w14:textId="77777777" w:rsidR="00EF65AE" w:rsidRPr="0077119C" w:rsidRDefault="00EF65AE" w:rsidP="00EF65AE">
            <w:r w:rsidRPr="0077119C">
              <w:t>Methodist Church Women's Department</w:t>
            </w:r>
          </w:p>
          <w:p w14:paraId="508E3288" w14:textId="77777777" w:rsidR="00EF65AE" w:rsidRPr="0077119C" w:rsidRDefault="00EF65AE" w:rsidP="00EF65AE">
            <w:r w:rsidRPr="0077119C">
              <w:t>Muslim Women’s League</w:t>
            </w:r>
          </w:p>
          <w:p w14:paraId="7A356996" w14:textId="77777777" w:rsidR="00EF65AE" w:rsidRPr="0077119C" w:rsidRDefault="00EF65AE" w:rsidP="00EF65AE">
            <w:r w:rsidRPr="0077119C">
              <w:t xml:space="preserve">Oxfam </w:t>
            </w:r>
          </w:p>
          <w:p w14:paraId="6E20AC0E" w14:textId="77777777" w:rsidR="00EF65AE" w:rsidRPr="0077119C" w:rsidRDefault="00EF65AE" w:rsidP="00EF65AE">
            <w:r w:rsidRPr="0077119C">
              <w:t>Salvation Army</w:t>
            </w:r>
          </w:p>
          <w:p w14:paraId="76758BFF" w14:textId="77777777" w:rsidR="00EF65AE" w:rsidRPr="0077119C" w:rsidRDefault="00EF65AE" w:rsidP="00EF65AE">
            <w:r w:rsidRPr="0077119C">
              <w:t>Save the Children</w:t>
            </w:r>
          </w:p>
          <w:p w14:paraId="168899AB" w14:textId="77777777" w:rsidR="00EF65AE" w:rsidRPr="0077119C" w:rsidRDefault="00EF65AE" w:rsidP="00EF65AE">
            <w:r w:rsidRPr="0077119C">
              <w:t xml:space="preserve">United Blind Persons of Fiji </w:t>
            </w:r>
          </w:p>
          <w:p w14:paraId="117BFB7B" w14:textId="1788C237" w:rsidR="00EF65AE" w:rsidRPr="0077119C" w:rsidRDefault="00EF65AE" w:rsidP="00EF65AE">
            <w:r w:rsidRPr="0077119C">
              <w:t>Medical Services Pacific (</w:t>
            </w:r>
            <w:r w:rsidR="001D11A0">
              <w:t>s</w:t>
            </w:r>
            <w:r w:rsidRPr="0077119C">
              <w:t xml:space="preserve">taff and </w:t>
            </w:r>
            <w:r w:rsidR="001D11A0">
              <w:t>c</w:t>
            </w:r>
            <w:r w:rsidRPr="0077119C">
              <w:t xml:space="preserve">lients) </w:t>
            </w:r>
          </w:p>
          <w:p w14:paraId="5C6B66AA" w14:textId="77777777" w:rsidR="00EF65AE" w:rsidRPr="0077119C" w:rsidRDefault="00EF65AE" w:rsidP="00EF65AE">
            <w:r w:rsidRPr="0077119C">
              <w:t>WeRISE</w:t>
            </w:r>
          </w:p>
          <w:p w14:paraId="1F4E5E74" w14:textId="77777777" w:rsidR="00EF65AE" w:rsidRPr="0077119C" w:rsidRDefault="00EF65AE" w:rsidP="00EF65AE">
            <w:r w:rsidRPr="0077119C">
              <w:t xml:space="preserve">Uniting World </w:t>
            </w:r>
          </w:p>
          <w:p w14:paraId="1C8A41B0" w14:textId="3EAA1648" w:rsidR="00EF65AE" w:rsidRPr="0077119C" w:rsidRDefault="00EF65AE" w:rsidP="00EF65AE">
            <w:r w:rsidRPr="0077119C">
              <w:t xml:space="preserve">South Pacific Association for Theological School, </w:t>
            </w:r>
            <w:r w:rsidR="00617249">
              <w:br/>
            </w:r>
            <w:r w:rsidRPr="0077119C">
              <w:t>Weavers Program</w:t>
            </w:r>
          </w:p>
          <w:p w14:paraId="7F06C397" w14:textId="77777777" w:rsidR="00EF65AE" w:rsidRPr="0077119C" w:rsidRDefault="00EF65AE" w:rsidP="005A25D5">
            <w:r w:rsidRPr="0077119C">
              <w:t>Women and Children Crisis Centre Tonga</w:t>
            </w:r>
          </w:p>
        </w:tc>
      </w:tr>
      <w:tr w:rsidR="00EF65AE" w:rsidRPr="0077119C" w14:paraId="2F0291CB" w14:textId="77777777" w:rsidTr="00057B37">
        <w:tc>
          <w:tcPr>
            <w:tcW w:w="1134" w:type="dxa"/>
          </w:tcPr>
          <w:p w14:paraId="79D33642" w14:textId="77777777" w:rsidR="00EF65AE" w:rsidRPr="0077119C" w:rsidRDefault="00EF65AE" w:rsidP="00EF65AE">
            <w:r w:rsidRPr="0077119C">
              <w:t>Fiji</w:t>
            </w:r>
          </w:p>
        </w:tc>
        <w:tc>
          <w:tcPr>
            <w:tcW w:w="2410" w:type="dxa"/>
          </w:tcPr>
          <w:p w14:paraId="36D57152" w14:textId="77777777" w:rsidR="00EF65AE" w:rsidRPr="0077119C" w:rsidRDefault="00EF65AE" w:rsidP="00EF65AE">
            <w:r w:rsidRPr="0077119C">
              <w:t>Regional and international organisations</w:t>
            </w:r>
          </w:p>
        </w:tc>
        <w:tc>
          <w:tcPr>
            <w:tcW w:w="6094" w:type="dxa"/>
          </w:tcPr>
          <w:p w14:paraId="35692DA2" w14:textId="77777777" w:rsidR="00EF65AE" w:rsidRPr="0077119C" w:rsidRDefault="00EF65AE" w:rsidP="00EF65AE">
            <w:r w:rsidRPr="0077119C">
              <w:t>Pacific Islands Forum Secretariat</w:t>
            </w:r>
          </w:p>
          <w:p w14:paraId="1F086756" w14:textId="77777777" w:rsidR="00EF65AE" w:rsidRPr="0077119C" w:rsidRDefault="00EF65AE" w:rsidP="00EF65AE">
            <w:r w:rsidRPr="0077119C">
              <w:t>Secretariat of the Pacific Community</w:t>
            </w:r>
          </w:p>
          <w:p w14:paraId="20710CA9" w14:textId="77777777" w:rsidR="00EF65AE" w:rsidRPr="0077119C" w:rsidRDefault="00EF65AE" w:rsidP="00EF65AE">
            <w:r w:rsidRPr="0077119C">
              <w:t>United Nations Population Fund</w:t>
            </w:r>
          </w:p>
          <w:p w14:paraId="2BFF6EA3" w14:textId="77777777" w:rsidR="00EF65AE" w:rsidRPr="0077119C" w:rsidRDefault="00EF65AE" w:rsidP="00EF65AE">
            <w:r w:rsidRPr="0077119C">
              <w:t xml:space="preserve">United Nations International Children's Emergency Fund </w:t>
            </w:r>
          </w:p>
          <w:p w14:paraId="01442262" w14:textId="77777777" w:rsidR="00EF65AE" w:rsidRPr="0077119C" w:rsidRDefault="00EF65AE" w:rsidP="00EF65AE">
            <w:r w:rsidRPr="0077119C">
              <w:t>UN Women</w:t>
            </w:r>
          </w:p>
          <w:p w14:paraId="2DE7C1CD" w14:textId="77777777" w:rsidR="00EF65AE" w:rsidRPr="0077119C" w:rsidRDefault="00EF65AE" w:rsidP="00EF65AE">
            <w:r w:rsidRPr="0077119C">
              <w:t>Pacific Disability Forum</w:t>
            </w:r>
          </w:p>
        </w:tc>
      </w:tr>
      <w:tr w:rsidR="00EF65AE" w:rsidRPr="0077119C" w14:paraId="0A555366" w14:textId="77777777" w:rsidTr="00057B37">
        <w:tc>
          <w:tcPr>
            <w:tcW w:w="1134" w:type="dxa"/>
          </w:tcPr>
          <w:p w14:paraId="109FE032" w14:textId="77777777" w:rsidR="00EF65AE" w:rsidRPr="0077119C" w:rsidRDefault="00EF65AE" w:rsidP="00EF65AE">
            <w:r w:rsidRPr="0077119C">
              <w:t>Fiji</w:t>
            </w:r>
          </w:p>
        </w:tc>
        <w:tc>
          <w:tcPr>
            <w:tcW w:w="2410" w:type="dxa"/>
          </w:tcPr>
          <w:p w14:paraId="606885E9" w14:textId="77777777" w:rsidR="00EF65AE" w:rsidRPr="0077119C" w:rsidRDefault="00EF65AE" w:rsidP="00EF65AE">
            <w:r w:rsidRPr="0077119C">
              <w:t>Women’s organisations</w:t>
            </w:r>
          </w:p>
        </w:tc>
        <w:tc>
          <w:tcPr>
            <w:tcW w:w="6094" w:type="dxa"/>
          </w:tcPr>
          <w:p w14:paraId="24E6367E" w14:textId="77777777" w:rsidR="00EF65AE" w:rsidRPr="0077119C" w:rsidRDefault="00EF65AE" w:rsidP="00EF65AE">
            <w:r w:rsidRPr="0077119C">
              <w:t>Fiji Women's Rights Movement</w:t>
            </w:r>
          </w:p>
          <w:p w14:paraId="2EC53EB7" w14:textId="77777777" w:rsidR="00EF65AE" w:rsidRPr="0077119C" w:rsidRDefault="00EF65AE" w:rsidP="00EF65AE">
            <w:r w:rsidRPr="0077119C">
              <w:t>Fiji's Women Fund</w:t>
            </w:r>
          </w:p>
          <w:p w14:paraId="6003BC22" w14:textId="77777777" w:rsidR="00EF65AE" w:rsidRPr="0077119C" w:rsidRDefault="00EF65AE" w:rsidP="00EF65AE">
            <w:r w:rsidRPr="0077119C">
              <w:t>Fiji Women’s Crisis Centre Director and Staff</w:t>
            </w:r>
          </w:p>
        </w:tc>
      </w:tr>
      <w:tr w:rsidR="00EF65AE" w:rsidRPr="0077119C" w14:paraId="56DB4206" w14:textId="77777777" w:rsidTr="00057B37">
        <w:tc>
          <w:tcPr>
            <w:tcW w:w="1134" w:type="dxa"/>
          </w:tcPr>
          <w:p w14:paraId="066D2AE1" w14:textId="77777777" w:rsidR="00EF65AE" w:rsidRPr="0077119C" w:rsidRDefault="00EF65AE" w:rsidP="00EF65AE">
            <w:r w:rsidRPr="0077119C">
              <w:br w:type="page"/>
              <w:t>Indonesia</w:t>
            </w:r>
          </w:p>
        </w:tc>
        <w:tc>
          <w:tcPr>
            <w:tcW w:w="2410" w:type="dxa"/>
          </w:tcPr>
          <w:p w14:paraId="25129D68" w14:textId="77777777" w:rsidR="00EF65AE" w:rsidRPr="0077119C" w:rsidRDefault="00EF65AE" w:rsidP="00EF65AE">
            <w:r w:rsidRPr="0077119C">
              <w:t>Australian aid investments</w:t>
            </w:r>
          </w:p>
        </w:tc>
        <w:tc>
          <w:tcPr>
            <w:tcW w:w="6094" w:type="dxa"/>
          </w:tcPr>
          <w:p w14:paraId="562D63F0" w14:textId="77777777" w:rsidR="00EF65AE" w:rsidRPr="0077119C" w:rsidRDefault="00EF65AE" w:rsidP="00EF65AE">
            <w:r w:rsidRPr="0077119C">
              <w:t>Australia Indonesia Partnership for Justice</w:t>
            </w:r>
          </w:p>
          <w:p w14:paraId="265FE121" w14:textId="77777777" w:rsidR="00EF65AE" w:rsidRPr="0077119C" w:rsidRDefault="00EF65AE" w:rsidP="00EF65AE">
            <w:r w:rsidRPr="0077119C">
              <w:t xml:space="preserve">Australia Indonesia Partnership for Justice II </w:t>
            </w:r>
          </w:p>
          <w:p w14:paraId="474C7AE4" w14:textId="77777777" w:rsidR="00EF65AE" w:rsidRPr="00B8572E" w:rsidRDefault="007B2A43" w:rsidP="00EF65AE">
            <w:pPr>
              <w:rPr>
                <w:color w:val="000000" w:themeColor="text1"/>
              </w:rPr>
            </w:pPr>
            <w:r w:rsidRPr="00B8572E">
              <w:rPr>
                <w:color w:val="000000" w:themeColor="text1"/>
              </w:rPr>
              <w:t>Australia-Indonesia Partnership for Gender E</w:t>
            </w:r>
            <w:r w:rsidR="00B8572E">
              <w:rPr>
                <w:color w:val="000000" w:themeColor="text1"/>
              </w:rPr>
              <w:t>quality and Women’s Empowerment</w:t>
            </w:r>
            <w:r w:rsidRPr="00B8572E" w:rsidDel="007B2A43">
              <w:rPr>
                <w:color w:val="000000" w:themeColor="text1"/>
              </w:rPr>
              <w:t xml:space="preserve"> </w:t>
            </w:r>
          </w:p>
          <w:p w14:paraId="5C1356BE" w14:textId="77777777" w:rsidR="00EF65AE" w:rsidRPr="0077119C" w:rsidRDefault="00EF65AE" w:rsidP="00EF65AE">
            <w:r w:rsidRPr="0077119C">
              <w:t xml:space="preserve">Female-Headed Household Empowerment Program </w:t>
            </w:r>
          </w:p>
          <w:p w14:paraId="6CF38FA9" w14:textId="77777777" w:rsidR="00EF65AE" w:rsidRPr="0077119C" w:rsidRDefault="00B8572E" w:rsidP="00EF65AE">
            <w:r w:rsidRPr="0077119C">
              <w:t>Support to Marginalised Groups</w:t>
            </w:r>
          </w:p>
        </w:tc>
      </w:tr>
      <w:tr w:rsidR="00EF65AE" w:rsidRPr="0077119C" w14:paraId="26F0F994" w14:textId="77777777" w:rsidTr="00057B37">
        <w:tc>
          <w:tcPr>
            <w:tcW w:w="1134" w:type="dxa"/>
          </w:tcPr>
          <w:p w14:paraId="3480D54B" w14:textId="77777777" w:rsidR="00EF65AE" w:rsidRPr="0077119C" w:rsidRDefault="00EF65AE" w:rsidP="00EF65AE">
            <w:r w:rsidRPr="0077119C">
              <w:t>Indonesia</w:t>
            </w:r>
          </w:p>
        </w:tc>
        <w:tc>
          <w:tcPr>
            <w:tcW w:w="2410" w:type="dxa"/>
          </w:tcPr>
          <w:p w14:paraId="4D83746A" w14:textId="77777777" w:rsidR="00EF65AE" w:rsidRPr="0077119C" w:rsidRDefault="00EF65AE" w:rsidP="00EF65AE">
            <w:r w:rsidRPr="0077119C">
              <w:t>Australian Government</w:t>
            </w:r>
          </w:p>
        </w:tc>
        <w:tc>
          <w:tcPr>
            <w:tcW w:w="6094" w:type="dxa"/>
          </w:tcPr>
          <w:p w14:paraId="4715DC00" w14:textId="77777777" w:rsidR="00EF65AE" w:rsidRPr="0077119C" w:rsidRDefault="00EF65AE" w:rsidP="00EF65AE">
            <w:r w:rsidRPr="0077119C">
              <w:t>Australian Federal Police</w:t>
            </w:r>
          </w:p>
          <w:p w14:paraId="2CA5CF82" w14:textId="5B00D000" w:rsidR="00EF65AE" w:rsidRPr="0077119C" w:rsidRDefault="00EF65AE" w:rsidP="00EF65AE">
            <w:r w:rsidRPr="0077119C">
              <w:t xml:space="preserve">Australian Embassy </w:t>
            </w:r>
            <w:r w:rsidR="00F6352C">
              <w:t>Jakarta</w:t>
            </w:r>
          </w:p>
          <w:p w14:paraId="70166A17" w14:textId="77777777" w:rsidR="00EF65AE" w:rsidRPr="0077119C" w:rsidRDefault="00EF65AE" w:rsidP="00EF65AE">
            <w:r w:rsidRPr="0077119C">
              <w:t>Department of Foreign Affairs and Trade</w:t>
            </w:r>
          </w:p>
        </w:tc>
      </w:tr>
      <w:tr w:rsidR="00EF65AE" w:rsidRPr="0077119C" w14:paraId="61827EA5" w14:textId="77777777" w:rsidTr="00057B37">
        <w:tc>
          <w:tcPr>
            <w:tcW w:w="1134" w:type="dxa"/>
          </w:tcPr>
          <w:p w14:paraId="05A37B1C" w14:textId="77777777" w:rsidR="00EF65AE" w:rsidRPr="0077119C" w:rsidRDefault="00EF65AE" w:rsidP="00EF65AE">
            <w:r w:rsidRPr="0077119C">
              <w:t>Indonesia</w:t>
            </w:r>
          </w:p>
        </w:tc>
        <w:tc>
          <w:tcPr>
            <w:tcW w:w="2410" w:type="dxa"/>
          </w:tcPr>
          <w:p w14:paraId="6BB69A91" w14:textId="77777777" w:rsidR="00EF65AE" w:rsidRPr="0077119C" w:rsidRDefault="00EF65AE" w:rsidP="00EF65AE">
            <w:r w:rsidRPr="0077119C">
              <w:t>Medical and health professionals</w:t>
            </w:r>
          </w:p>
        </w:tc>
        <w:tc>
          <w:tcPr>
            <w:tcW w:w="6094" w:type="dxa"/>
          </w:tcPr>
          <w:p w14:paraId="57548BC2" w14:textId="77777777" w:rsidR="00EF65AE" w:rsidRPr="0077119C" w:rsidRDefault="00EF65AE" w:rsidP="00EF65AE">
            <w:r w:rsidRPr="0077119C">
              <w:t>Regional Public Hospital Tugurejo</w:t>
            </w:r>
          </w:p>
        </w:tc>
      </w:tr>
      <w:tr w:rsidR="00EF65AE" w:rsidRPr="0077119C" w14:paraId="66A5E09D" w14:textId="77777777" w:rsidTr="00057B37">
        <w:tc>
          <w:tcPr>
            <w:tcW w:w="1134" w:type="dxa"/>
          </w:tcPr>
          <w:p w14:paraId="664172BB" w14:textId="77777777" w:rsidR="00EF65AE" w:rsidRPr="0077119C" w:rsidRDefault="00EF65AE" w:rsidP="00EF65AE">
            <w:r w:rsidRPr="0077119C">
              <w:t>Indonesia</w:t>
            </w:r>
          </w:p>
        </w:tc>
        <w:tc>
          <w:tcPr>
            <w:tcW w:w="2410" w:type="dxa"/>
          </w:tcPr>
          <w:p w14:paraId="77DB5442" w14:textId="77777777" w:rsidR="00EF65AE" w:rsidRPr="0077119C" w:rsidRDefault="00EF65AE" w:rsidP="00EF65AE">
            <w:r w:rsidRPr="0077119C">
              <w:t>National and local government authorities, independent government agencies</w:t>
            </w:r>
          </w:p>
        </w:tc>
        <w:tc>
          <w:tcPr>
            <w:tcW w:w="6094" w:type="dxa"/>
          </w:tcPr>
          <w:p w14:paraId="343C707F" w14:textId="77777777" w:rsidR="00EF65AE" w:rsidRPr="0077119C" w:rsidRDefault="00EF65AE" w:rsidP="00EF65AE">
            <w:r w:rsidRPr="0077119C">
              <w:t>Board for Women’s Empowerment, Child Protection, Population Control and Family</w:t>
            </w:r>
            <w:r>
              <w:t xml:space="preserve"> Planning</w:t>
            </w:r>
          </w:p>
          <w:p w14:paraId="0DB4902E" w14:textId="77777777" w:rsidR="00EF65AE" w:rsidRPr="0077119C" w:rsidRDefault="00EF65AE" w:rsidP="00EF65AE">
            <w:r w:rsidRPr="0077119C">
              <w:t>Indonesian National Commission on Violence against Women (</w:t>
            </w:r>
            <w:r w:rsidRPr="005A25D5">
              <w:rPr>
                <w:i/>
                <w:iCs/>
              </w:rPr>
              <w:t>Komnas Perempuan</w:t>
            </w:r>
            <w:r w:rsidRPr="0077119C">
              <w:t>)</w:t>
            </w:r>
          </w:p>
          <w:p w14:paraId="630BF898" w14:textId="77777777" w:rsidR="00EF65AE" w:rsidRPr="0077119C" w:rsidRDefault="00EF65AE" w:rsidP="00EF65AE">
            <w:r w:rsidRPr="0077119C">
              <w:t>Ministry of National Development Planning</w:t>
            </w:r>
          </w:p>
          <w:p w14:paraId="5D4CCEC9" w14:textId="77777777" w:rsidR="00EF65AE" w:rsidRPr="0077119C" w:rsidRDefault="00EF65AE" w:rsidP="00EF65AE">
            <w:r w:rsidRPr="0077119C">
              <w:t>Service Provider Forum</w:t>
            </w:r>
          </w:p>
        </w:tc>
      </w:tr>
      <w:tr w:rsidR="00EF65AE" w:rsidRPr="0077119C" w14:paraId="09FB946B" w14:textId="77777777" w:rsidTr="00057B37">
        <w:tc>
          <w:tcPr>
            <w:tcW w:w="1134" w:type="dxa"/>
          </w:tcPr>
          <w:p w14:paraId="04A6E0F3" w14:textId="77777777" w:rsidR="00EF65AE" w:rsidRPr="0077119C" w:rsidRDefault="00EF65AE" w:rsidP="00EF65AE">
            <w:r w:rsidRPr="0077119C">
              <w:t>Indonesia</w:t>
            </w:r>
          </w:p>
        </w:tc>
        <w:tc>
          <w:tcPr>
            <w:tcW w:w="2410" w:type="dxa"/>
          </w:tcPr>
          <w:p w14:paraId="11106BB3" w14:textId="77777777" w:rsidR="00EF65AE" w:rsidRPr="0077119C" w:rsidRDefault="00EF65AE" w:rsidP="00EF65AE">
            <w:r w:rsidRPr="0077119C">
              <w:t xml:space="preserve">Non-government organisations </w:t>
            </w:r>
          </w:p>
        </w:tc>
        <w:tc>
          <w:tcPr>
            <w:tcW w:w="6094" w:type="dxa"/>
          </w:tcPr>
          <w:p w14:paraId="3E0065F4" w14:textId="77777777" w:rsidR="00EF65AE" w:rsidRPr="0077119C" w:rsidRDefault="00EF65AE" w:rsidP="00B26C9D">
            <w:r w:rsidRPr="0077119C">
              <w:t xml:space="preserve">Advocacy Centre for the Disabled, Women, and Children Centre for Election Access of Citizens with Disabilities </w:t>
            </w:r>
          </w:p>
          <w:p w14:paraId="305416C3" w14:textId="77777777" w:rsidR="00EF65AE" w:rsidRPr="0077119C" w:rsidRDefault="00EF65AE" w:rsidP="00EF65AE">
            <w:r w:rsidRPr="0077119C">
              <w:t xml:space="preserve">Centre for Integrated Services for Women and Children’s Empowerment </w:t>
            </w:r>
          </w:p>
          <w:p w14:paraId="24F9F781" w14:textId="77777777" w:rsidR="00EF65AE" w:rsidRPr="0077119C" w:rsidRDefault="00EF65AE" w:rsidP="00EF65AE">
            <w:r w:rsidRPr="0077119C">
              <w:t>Disability Working Group</w:t>
            </w:r>
          </w:p>
          <w:p w14:paraId="2498E057" w14:textId="77777777" w:rsidR="00EF65AE" w:rsidRPr="0077119C" w:rsidRDefault="00EF65AE" w:rsidP="00EF65AE">
            <w:r w:rsidRPr="0077119C">
              <w:t>Eastern Indonesia Knowledge Exchange (BaKTI)</w:t>
            </w:r>
          </w:p>
          <w:p w14:paraId="17E3203B" w14:textId="77777777" w:rsidR="00EF65AE" w:rsidRPr="0077119C" w:rsidRDefault="00EF65AE" w:rsidP="00EF65AE">
            <w:r w:rsidRPr="0077119C">
              <w:t>Foundation for Community Studies and Development (YKPM)</w:t>
            </w:r>
          </w:p>
          <w:p w14:paraId="7F583ADE" w14:textId="77777777" w:rsidR="00EF65AE" w:rsidRPr="0077119C" w:rsidRDefault="00EF65AE" w:rsidP="00EF65AE">
            <w:r w:rsidRPr="0077119C">
              <w:t>Indonesia for Humanity (IKa)</w:t>
            </w:r>
          </w:p>
          <w:p w14:paraId="76D742C4" w14:textId="77777777" w:rsidR="00EF65AE" w:rsidRPr="0077119C" w:rsidRDefault="00EF65AE" w:rsidP="00EF65AE">
            <w:r w:rsidRPr="0077119C">
              <w:t>Indonesian Planned Parenthood (PKBI Pusat)</w:t>
            </w:r>
          </w:p>
          <w:p w14:paraId="3B295D9A" w14:textId="77777777" w:rsidR="00EF65AE" w:rsidRPr="0077119C" w:rsidRDefault="00EF65AE" w:rsidP="00EF65AE">
            <w:r w:rsidRPr="0077119C">
              <w:t>Indonesian Conference on Religion and Peace</w:t>
            </w:r>
          </w:p>
          <w:p w14:paraId="3CF8B549" w14:textId="77777777" w:rsidR="00EF65AE" w:rsidRPr="0077119C" w:rsidRDefault="00EF65AE" w:rsidP="00EF65AE">
            <w:r w:rsidRPr="0077119C">
              <w:t>Integrated Criminal Justice System for Handling Cases of Violence initiative (SPPT</w:t>
            </w:r>
            <w:r w:rsidR="001B0FCF">
              <w:t>–</w:t>
            </w:r>
            <w:r w:rsidRPr="0077119C">
              <w:t>PKKTP)</w:t>
            </w:r>
          </w:p>
          <w:p w14:paraId="2C4F9148" w14:textId="77777777" w:rsidR="00EF65AE" w:rsidRPr="0077119C" w:rsidRDefault="00EF65AE" w:rsidP="00EF65AE">
            <w:r w:rsidRPr="0077119C">
              <w:t>Legal Resource Centre for Gender Justice and Human Rights (LRC</w:t>
            </w:r>
            <w:r w:rsidR="001B0FCF">
              <w:t>–</w:t>
            </w:r>
            <w:r w:rsidRPr="0077119C">
              <w:t>KJHAM)</w:t>
            </w:r>
          </w:p>
          <w:p w14:paraId="03852FE2" w14:textId="77777777" w:rsidR="00EF65AE" w:rsidRPr="0077119C" w:rsidRDefault="00EF65AE" w:rsidP="00EF65AE">
            <w:r w:rsidRPr="0077119C">
              <w:t>Oxfam</w:t>
            </w:r>
          </w:p>
          <w:p w14:paraId="278A9179" w14:textId="77777777" w:rsidR="00EF65AE" w:rsidRPr="0077119C" w:rsidRDefault="00EF65AE" w:rsidP="00EF65AE">
            <w:r w:rsidRPr="0077119C">
              <w:t>YAKKUM Rehabilitation Centre</w:t>
            </w:r>
          </w:p>
        </w:tc>
      </w:tr>
      <w:tr w:rsidR="00EF65AE" w:rsidRPr="0077119C" w14:paraId="1A7C1A28" w14:textId="77777777" w:rsidTr="00057B37">
        <w:tc>
          <w:tcPr>
            <w:tcW w:w="1134" w:type="dxa"/>
          </w:tcPr>
          <w:p w14:paraId="13798EF6" w14:textId="77777777" w:rsidR="00EF65AE" w:rsidRPr="0077119C" w:rsidRDefault="00EF65AE" w:rsidP="00EF65AE">
            <w:r w:rsidRPr="0077119C">
              <w:t>Indonesia</w:t>
            </w:r>
          </w:p>
        </w:tc>
        <w:tc>
          <w:tcPr>
            <w:tcW w:w="2410" w:type="dxa"/>
          </w:tcPr>
          <w:p w14:paraId="396E2EC9" w14:textId="77777777" w:rsidR="00EF65AE" w:rsidRPr="0077119C" w:rsidRDefault="00EF65AE" w:rsidP="00EF65AE">
            <w:r w:rsidRPr="0077119C">
              <w:t>Women’s organisations</w:t>
            </w:r>
          </w:p>
        </w:tc>
        <w:tc>
          <w:tcPr>
            <w:tcW w:w="6094" w:type="dxa"/>
          </w:tcPr>
          <w:p w14:paraId="5305B06E" w14:textId="77777777" w:rsidR="00EF65AE" w:rsidRPr="0077119C" w:rsidRDefault="00EF65AE" w:rsidP="00EF65AE">
            <w:r w:rsidRPr="0077119C">
              <w:t>Indonesia Association of Women with Disabilities</w:t>
            </w:r>
          </w:p>
          <w:p w14:paraId="1C4E5CE1" w14:textId="77777777" w:rsidR="00EF65AE" w:rsidRPr="0077119C" w:rsidRDefault="00EF65AE" w:rsidP="00EF65AE">
            <w:r w:rsidRPr="0077119C">
              <w:t xml:space="preserve">Women’s Solidarity for Humanity and Human Rights </w:t>
            </w:r>
          </w:p>
          <w:p w14:paraId="054DF351" w14:textId="3DE49DB9" w:rsidR="00EF65AE" w:rsidRPr="0077119C" w:rsidRDefault="00EF65AE" w:rsidP="00EF65AE">
            <w:r w:rsidRPr="0077119C">
              <w:t xml:space="preserve">Legal Aid Institute, Association of Indonesian Women </w:t>
            </w:r>
            <w:r w:rsidR="00747258">
              <w:br/>
            </w:r>
            <w:r w:rsidRPr="0077119C">
              <w:t xml:space="preserve">for Justice </w:t>
            </w:r>
          </w:p>
        </w:tc>
      </w:tr>
      <w:tr w:rsidR="00EF65AE" w:rsidRPr="0077119C" w14:paraId="2D331C15" w14:textId="77777777" w:rsidTr="00057B37">
        <w:tc>
          <w:tcPr>
            <w:tcW w:w="1134" w:type="dxa"/>
          </w:tcPr>
          <w:p w14:paraId="26043F0F" w14:textId="77777777" w:rsidR="00EF65AE" w:rsidRPr="0077119C" w:rsidRDefault="00EF65AE" w:rsidP="00EF65AE">
            <w:r w:rsidRPr="0077119C">
              <w:t>Indonesia</w:t>
            </w:r>
          </w:p>
        </w:tc>
        <w:tc>
          <w:tcPr>
            <w:tcW w:w="2410" w:type="dxa"/>
          </w:tcPr>
          <w:p w14:paraId="0BF3E3B7" w14:textId="77777777" w:rsidR="00EF65AE" w:rsidRPr="0077119C" w:rsidRDefault="00EF65AE" w:rsidP="00EF65AE">
            <w:r w:rsidRPr="0077119C">
              <w:t>Regional and international organisations</w:t>
            </w:r>
          </w:p>
        </w:tc>
        <w:tc>
          <w:tcPr>
            <w:tcW w:w="6094" w:type="dxa"/>
          </w:tcPr>
          <w:p w14:paraId="26739EFA" w14:textId="77777777" w:rsidR="00EF65AE" w:rsidRPr="0077119C" w:rsidRDefault="00EF65AE" w:rsidP="00EF65AE">
            <w:r w:rsidRPr="0077119C">
              <w:t xml:space="preserve">United Nations Entity for Gender Equality and the Empowerment of Women </w:t>
            </w:r>
          </w:p>
          <w:p w14:paraId="3CA698D7" w14:textId="77777777" w:rsidR="00EF65AE" w:rsidRPr="0077119C" w:rsidRDefault="00EF65AE" w:rsidP="00EF65AE">
            <w:r w:rsidRPr="0077119C">
              <w:t xml:space="preserve">United Nations International Children's Emergency Fund </w:t>
            </w:r>
          </w:p>
          <w:p w14:paraId="5E423689" w14:textId="77777777" w:rsidR="00EF65AE" w:rsidRPr="0077119C" w:rsidRDefault="00EF65AE" w:rsidP="00EF65AE">
            <w:r w:rsidRPr="0077119C">
              <w:t xml:space="preserve">United Nations Population Fund </w:t>
            </w:r>
          </w:p>
        </w:tc>
      </w:tr>
      <w:tr w:rsidR="00EF65AE" w:rsidRPr="0077119C" w14:paraId="5458D90B" w14:textId="77777777" w:rsidTr="00057B37">
        <w:tc>
          <w:tcPr>
            <w:tcW w:w="1134" w:type="dxa"/>
          </w:tcPr>
          <w:p w14:paraId="1CC92434" w14:textId="77777777" w:rsidR="00EF65AE" w:rsidRPr="0077119C" w:rsidRDefault="00EF65AE" w:rsidP="00EF65AE">
            <w:r w:rsidRPr="0077119C">
              <w:t>Indonesia</w:t>
            </w:r>
          </w:p>
        </w:tc>
        <w:tc>
          <w:tcPr>
            <w:tcW w:w="2410" w:type="dxa"/>
          </w:tcPr>
          <w:p w14:paraId="6B7E98CF" w14:textId="77777777" w:rsidR="00EF65AE" w:rsidRPr="0077119C" w:rsidRDefault="00EF65AE" w:rsidP="00EF65AE">
            <w:r w:rsidRPr="0077119C">
              <w:t>Think-tanks and research institutes</w:t>
            </w:r>
          </w:p>
        </w:tc>
        <w:tc>
          <w:tcPr>
            <w:tcW w:w="6094" w:type="dxa"/>
          </w:tcPr>
          <w:p w14:paraId="72B926B2" w14:textId="77777777" w:rsidR="00EF65AE" w:rsidRPr="0077119C" w:rsidRDefault="00EF65AE" w:rsidP="00EF65AE">
            <w:r w:rsidRPr="0077119C">
              <w:t>Indonesian Centre of Law and Policy Studies (PSHK)</w:t>
            </w:r>
          </w:p>
          <w:p w14:paraId="440E7147" w14:textId="77777777" w:rsidR="00EF65AE" w:rsidRPr="0077119C" w:rsidRDefault="00EF65AE" w:rsidP="00EF65AE">
            <w:r w:rsidRPr="0077119C">
              <w:t xml:space="preserve">Institute for Criminal Justice Reform </w:t>
            </w:r>
          </w:p>
          <w:p w14:paraId="791C78F2" w14:textId="77777777" w:rsidR="00EF65AE" w:rsidRPr="00617249" w:rsidRDefault="00EF65AE" w:rsidP="00EF65AE">
            <w:pPr>
              <w:rPr>
                <w:i/>
                <w:iCs/>
              </w:rPr>
            </w:pPr>
            <w:r w:rsidRPr="00617249">
              <w:rPr>
                <w:i/>
                <w:iCs/>
              </w:rPr>
              <w:t>Rumah KitaB</w:t>
            </w:r>
          </w:p>
        </w:tc>
      </w:tr>
      <w:tr w:rsidR="00EF65AE" w:rsidRPr="0077119C" w14:paraId="170BF736" w14:textId="77777777" w:rsidTr="00057B37">
        <w:tc>
          <w:tcPr>
            <w:tcW w:w="1134" w:type="dxa"/>
          </w:tcPr>
          <w:p w14:paraId="6F8B6205" w14:textId="77777777" w:rsidR="00EF65AE" w:rsidRPr="0077119C" w:rsidRDefault="00EF65AE" w:rsidP="00EF65AE">
            <w:r w:rsidRPr="0077119C">
              <w:t>Pakistan</w:t>
            </w:r>
          </w:p>
        </w:tc>
        <w:tc>
          <w:tcPr>
            <w:tcW w:w="2410" w:type="dxa"/>
          </w:tcPr>
          <w:p w14:paraId="513C50A7" w14:textId="77777777" w:rsidR="00EF65AE" w:rsidRPr="0077119C" w:rsidRDefault="00EF65AE" w:rsidP="00EF65AE">
            <w:r w:rsidRPr="0077119C">
              <w:t>Australian Government</w:t>
            </w:r>
          </w:p>
        </w:tc>
        <w:tc>
          <w:tcPr>
            <w:tcW w:w="6094" w:type="dxa"/>
          </w:tcPr>
          <w:p w14:paraId="11EEF3CF" w14:textId="54DE6217" w:rsidR="00EF65AE" w:rsidRPr="0077119C" w:rsidRDefault="00EF65AE" w:rsidP="00F6352C">
            <w:r w:rsidRPr="0077119C">
              <w:t>Australian High Commission</w:t>
            </w:r>
            <w:r w:rsidR="00941D2D">
              <w:t>,</w:t>
            </w:r>
            <w:r w:rsidRPr="0077119C">
              <w:t xml:space="preserve"> </w:t>
            </w:r>
            <w:r w:rsidR="00F6352C">
              <w:t>Islamabad</w:t>
            </w:r>
          </w:p>
        </w:tc>
      </w:tr>
      <w:tr w:rsidR="00EF65AE" w:rsidRPr="0077119C" w14:paraId="42AD2BBD" w14:textId="77777777" w:rsidTr="00057B37">
        <w:tc>
          <w:tcPr>
            <w:tcW w:w="1134" w:type="dxa"/>
          </w:tcPr>
          <w:p w14:paraId="41179022" w14:textId="77777777" w:rsidR="00EF65AE" w:rsidRPr="0077119C" w:rsidRDefault="00EF65AE" w:rsidP="00EF65AE">
            <w:r w:rsidRPr="0077119C">
              <w:t>Pakistan</w:t>
            </w:r>
          </w:p>
        </w:tc>
        <w:tc>
          <w:tcPr>
            <w:tcW w:w="2410" w:type="dxa"/>
          </w:tcPr>
          <w:p w14:paraId="40014710" w14:textId="77777777" w:rsidR="00EF65AE" w:rsidRPr="0077119C" w:rsidRDefault="00EF65AE" w:rsidP="00EF65AE">
            <w:r w:rsidRPr="0077119C">
              <w:t>Non-government organisations</w:t>
            </w:r>
          </w:p>
        </w:tc>
        <w:tc>
          <w:tcPr>
            <w:tcW w:w="6094" w:type="dxa"/>
          </w:tcPr>
          <w:p w14:paraId="5C1F953D" w14:textId="331652BD" w:rsidR="00EF65AE" w:rsidRPr="0077119C" w:rsidRDefault="00604DEF" w:rsidP="00F973BE">
            <w:r>
              <w:t>Four</w:t>
            </w:r>
            <w:r w:rsidR="00033C7C">
              <w:t xml:space="preserve"> organisations</w:t>
            </w:r>
          </w:p>
        </w:tc>
      </w:tr>
      <w:tr w:rsidR="00EF65AE" w:rsidRPr="0077119C" w14:paraId="171D8D56" w14:textId="77777777" w:rsidTr="00057B37">
        <w:tc>
          <w:tcPr>
            <w:tcW w:w="1134" w:type="dxa"/>
          </w:tcPr>
          <w:p w14:paraId="0873BEB1" w14:textId="77777777" w:rsidR="00EF65AE" w:rsidRPr="0077119C" w:rsidRDefault="00EF65AE" w:rsidP="00EF65AE">
            <w:r w:rsidRPr="0077119C">
              <w:t>Papua New Guinea</w:t>
            </w:r>
          </w:p>
        </w:tc>
        <w:tc>
          <w:tcPr>
            <w:tcW w:w="2410" w:type="dxa"/>
          </w:tcPr>
          <w:p w14:paraId="5B673549" w14:textId="77777777" w:rsidR="00EF65AE" w:rsidRPr="0077119C" w:rsidRDefault="00EF65AE" w:rsidP="00EF65AE">
            <w:r w:rsidRPr="0077119C">
              <w:t>Australian aid investments</w:t>
            </w:r>
          </w:p>
        </w:tc>
        <w:tc>
          <w:tcPr>
            <w:tcW w:w="6094" w:type="dxa"/>
          </w:tcPr>
          <w:p w14:paraId="21741913" w14:textId="77777777" w:rsidR="00EF65AE" w:rsidRPr="0077119C" w:rsidRDefault="00EF65AE" w:rsidP="00EF65AE">
            <w:r w:rsidRPr="0077119C">
              <w:t>Inclusive Development in Post Conflict Bougainville</w:t>
            </w:r>
          </w:p>
          <w:p w14:paraId="7DF2A26C" w14:textId="77777777" w:rsidR="00EF65AE" w:rsidRPr="0077119C" w:rsidRDefault="00EF65AE" w:rsidP="00EF65AE">
            <w:r w:rsidRPr="0077119C">
              <w:t>Justice Services and Stability for Development Program</w:t>
            </w:r>
          </w:p>
          <w:p w14:paraId="604E1619" w14:textId="77777777" w:rsidR="00EF65AE" w:rsidRPr="0077119C" w:rsidRDefault="00EF65AE" w:rsidP="00EF65AE">
            <w:r w:rsidRPr="0077119C">
              <w:t>Justice Services and Stability for Development Program Bougainville</w:t>
            </w:r>
          </w:p>
          <w:p w14:paraId="2EB2A981" w14:textId="77777777" w:rsidR="00EF65AE" w:rsidRPr="0077119C" w:rsidRDefault="00EF65AE" w:rsidP="00EF65AE">
            <w:r w:rsidRPr="0077119C">
              <w:t xml:space="preserve">Pacific Women Shaping Pacific Development (Pacific Women) Support Unit </w:t>
            </w:r>
          </w:p>
        </w:tc>
      </w:tr>
      <w:tr w:rsidR="00EF65AE" w:rsidRPr="0077119C" w14:paraId="0A9C8B8C" w14:textId="77777777" w:rsidTr="00057B37">
        <w:tc>
          <w:tcPr>
            <w:tcW w:w="1134" w:type="dxa"/>
          </w:tcPr>
          <w:p w14:paraId="63C3DD0E" w14:textId="77777777" w:rsidR="00EF65AE" w:rsidRPr="0077119C" w:rsidRDefault="00EF65AE" w:rsidP="00EF65AE">
            <w:r w:rsidRPr="0077119C">
              <w:t>Papua New Guinea</w:t>
            </w:r>
          </w:p>
        </w:tc>
        <w:tc>
          <w:tcPr>
            <w:tcW w:w="2410" w:type="dxa"/>
          </w:tcPr>
          <w:p w14:paraId="6C04407E" w14:textId="77777777" w:rsidR="00EF65AE" w:rsidRPr="0077119C" w:rsidRDefault="00EF65AE" w:rsidP="00EF65AE">
            <w:r w:rsidRPr="0077119C">
              <w:t>Australian Government</w:t>
            </w:r>
          </w:p>
        </w:tc>
        <w:tc>
          <w:tcPr>
            <w:tcW w:w="6094" w:type="dxa"/>
          </w:tcPr>
          <w:p w14:paraId="7A2B1CE1" w14:textId="77777777" w:rsidR="00EF65AE" w:rsidRPr="0077119C" w:rsidRDefault="00EF65AE" w:rsidP="00EF65AE">
            <w:r w:rsidRPr="0077119C">
              <w:t>Australian Federal Police</w:t>
            </w:r>
          </w:p>
          <w:p w14:paraId="62FFCE5C" w14:textId="77777777" w:rsidR="00EF65AE" w:rsidRPr="0077119C" w:rsidRDefault="00EF65AE" w:rsidP="00EF65AE">
            <w:r w:rsidRPr="0077119C">
              <w:t>Australian High Commission, Port Moresby</w:t>
            </w:r>
          </w:p>
        </w:tc>
      </w:tr>
      <w:tr w:rsidR="00EF65AE" w:rsidRPr="0077119C" w14:paraId="220A896F" w14:textId="77777777" w:rsidTr="00057B37">
        <w:tc>
          <w:tcPr>
            <w:tcW w:w="1134" w:type="dxa"/>
          </w:tcPr>
          <w:p w14:paraId="32A23175" w14:textId="77777777" w:rsidR="00EF65AE" w:rsidRPr="0077119C" w:rsidRDefault="00EF65AE" w:rsidP="00EF65AE">
            <w:r w:rsidRPr="0077119C">
              <w:t>Papua New Guinea</w:t>
            </w:r>
          </w:p>
        </w:tc>
        <w:tc>
          <w:tcPr>
            <w:tcW w:w="2410" w:type="dxa"/>
          </w:tcPr>
          <w:p w14:paraId="135026CE" w14:textId="77777777" w:rsidR="00EF65AE" w:rsidRPr="0077119C" w:rsidRDefault="00EF65AE" w:rsidP="00EF65AE">
            <w:r w:rsidRPr="0077119C">
              <w:t>Justice system</w:t>
            </w:r>
          </w:p>
        </w:tc>
        <w:tc>
          <w:tcPr>
            <w:tcW w:w="6094" w:type="dxa"/>
          </w:tcPr>
          <w:p w14:paraId="04ED6363" w14:textId="77777777" w:rsidR="00EF65AE" w:rsidRPr="0077119C" w:rsidRDefault="00EF65AE" w:rsidP="00EF65AE">
            <w:r w:rsidRPr="0077119C">
              <w:t>Goroka Village Court Magistrates</w:t>
            </w:r>
          </w:p>
        </w:tc>
      </w:tr>
      <w:tr w:rsidR="00EF65AE" w:rsidRPr="0077119C" w14:paraId="05253665" w14:textId="77777777" w:rsidTr="00057B37">
        <w:tc>
          <w:tcPr>
            <w:tcW w:w="1134" w:type="dxa"/>
          </w:tcPr>
          <w:p w14:paraId="09473135" w14:textId="77777777" w:rsidR="00EF65AE" w:rsidRPr="0077119C" w:rsidRDefault="00EF65AE" w:rsidP="00EF65AE">
            <w:r w:rsidRPr="0077119C">
              <w:t>Papua New Guinea</w:t>
            </w:r>
          </w:p>
        </w:tc>
        <w:tc>
          <w:tcPr>
            <w:tcW w:w="2410" w:type="dxa"/>
          </w:tcPr>
          <w:p w14:paraId="0B37757B" w14:textId="77777777" w:rsidR="00EF65AE" w:rsidRPr="0077119C" w:rsidRDefault="00EF65AE" w:rsidP="00EF65AE">
            <w:r w:rsidRPr="0077119C">
              <w:t>Medical and health professionals</w:t>
            </w:r>
          </w:p>
        </w:tc>
        <w:tc>
          <w:tcPr>
            <w:tcW w:w="6094" w:type="dxa"/>
          </w:tcPr>
          <w:p w14:paraId="69A29E23" w14:textId="77777777" w:rsidR="00EF65AE" w:rsidRPr="0077119C" w:rsidRDefault="00EF65AE" w:rsidP="00EF65AE">
            <w:r w:rsidRPr="0077119C">
              <w:t xml:space="preserve">Port Moresby General Hospital </w:t>
            </w:r>
          </w:p>
          <w:p w14:paraId="1E99963C" w14:textId="77777777" w:rsidR="00EF65AE" w:rsidRPr="0077119C" w:rsidRDefault="00EF65AE" w:rsidP="00EF65AE">
            <w:r w:rsidRPr="0077119C">
              <w:t>Shalom Care Centre</w:t>
            </w:r>
          </w:p>
        </w:tc>
      </w:tr>
      <w:tr w:rsidR="00EF65AE" w:rsidRPr="0077119C" w14:paraId="04B876A7" w14:textId="77777777" w:rsidTr="00057B37">
        <w:tc>
          <w:tcPr>
            <w:tcW w:w="1134" w:type="dxa"/>
          </w:tcPr>
          <w:p w14:paraId="7FA475D0" w14:textId="77777777" w:rsidR="00EF65AE" w:rsidRPr="0077119C" w:rsidRDefault="00EF65AE" w:rsidP="00EF65AE">
            <w:r w:rsidRPr="0077119C">
              <w:t>Papua New Guinea</w:t>
            </w:r>
          </w:p>
        </w:tc>
        <w:tc>
          <w:tcPr>
            <w:tcW w:w="2410" w:type="dxa"/>
          </w:tcPr>
          <w:p w14:paraId="6348A472" w14:textId="77777777" w:rsidR="00EF65AE" w:rsidRPr="0077119C" w:rsidRDefault="00EF65AE" w:rsidP="00EF65AE">
            <w:r w:rsidRPr="0077119C">
              <w:t>National and local government authorities, independent government agencies</w:t>
            </w:r>
          </w:p>
        </w:tc>
        <w:tc>
          <w:tcPr>
            <w:tcW w:w="6094" w:type="dxa"/>
          </w:tcPr>
          <w:p w14:paraId="74D99B3A" w14:textId="77777777" w:rsidR="00EF65AE" w:rsidRPr="0077119C" w:rsidRDefault="00EF65AE" w:rsidP="00EF65AE">
            <w:r w:rsidRPr="0077119C">
              <w:t>Department of Community Development in Bougainville</w:t>
            </w:r>
          </w:p>
          <w:p w14:paraId="5B24FCE6" w14:textId="77777777" w:rsidR="00EF65AE" w:rsidRPr="0077119C" w:rsidRDefault="00EF65AE" w:rsidP="00EF65AE">
            <w:r w:rsidRPr="0077119C">
              <w:t>Department of Community Development in Goroka</w:t>
            </w:r>
          </w:p>
          <w:p w14:paraId="3506F512" w14:textId="77777777" w:rsidR="00EF65AE" w:rsidRPr="0077119C" w:rsidRDefault="00EF65AE" w:rsidP="00EF65AE">
            <w:r w:rsidRPr="0077119C">
              <w:t>Family and Sexual Violence Unit Goroka</w:t>
            </w:r>
          </w:p>
          <w:p w14:paraId="66F4947F" w14:textId="77777777" w:rsidR="00EF65AE" w:rsidRPr="0077119C" w:rsidRDefault="00EF65AE" w:rsidP="00EF65AE">
            <w:r w:rsidRPr="0077119C">
              <w:t xml:space="preserve">Royal Papua New Guinea Constabulary Bougainville </w:t>
            </w:r>
          </w:p>
          <w:p w14:paraId="4FF1A7A0" w14:textId="77777777" w:rsidR="00EF65AE" w:rsidRPr="0077119C" w:rsidRDefault="00EF65AE" w:rsidP="00EF65AE">
            <w:r w:rsidRPr="0077119C">
              <w:t>Royal Papua New Guinea Constabulary Goroka</w:t>
            </w:r>
          </w:p>
        </w:tc>
      </w:tr>
      <w:tr w:rsidR="00EF65AE" w:rsidRPr="0077119C" w14:paraId="37E9085A" w14:textId="77777777" w:rsidTr="00057B37">
        <w:tc>
          <w:tcPr>
            <w:tcW w:w="1134" w:type="dxa"/>
          </w:tcPr>
          <w:p w14:paraId="33AC89C2" w14:textId="77777777" w:rsidR="00EF65AE" w:rsidRPr="0077119C" w:rsidRDefault="00EF65AE" w:rsidP="00EF65AE">
            <w:r w:rsidRPr="0077119C">
              <w:t>Papua New Guinea</w:t>
            </w:r>
          </w:p>
        </w:tc>
        <w:tc>
          <w:tcPr>
            <w:tcW w:w="2410" w:type="dxa"/>
          </w:tcPr>
          <w:p w14:paraId="7D2DADF1" w14:textId="77777777" w:rsidR="00EF65AE" w:rsidRPr="0077119C" w:rsidRDefault="00EF65AE" w:rsidP="00EF65AE">
            <w:r w:rsidRPr="0077119C">
              <w:t>Non-government organisations</w:t>
            </w:r>
          </w:p>
        </w:tc>
        <w:tc>
          <w:tcPr>
            <w:tcW w:w="6094" w:type="dxa"/>
          </w:tcPr>
          <w:p w14:paraId="5C76E7EA" w14:textId="77777777" w:rsidR="00EF65AE" w:rsidRPr="0077119C" w:rsidRDefault="00EF65AE" w:rsidP="00EF65AE">
            <w:r w:rsidRPr="0077119C">
              <w:t>CARE International</w:t>
            </w:r>
          </w:p>
          <w:p w14:paraId="58ABF577" w14:textId="77777777" w:rsidR="00EF65AE" w:rsidRPr="0077119C" w:rsidRDefault="00EF65AE" w:rsidP="00EF65AE">
            <w:r w:rsidRPr="0077119C">
              <w:t xml:space="preserve">ChildFund Australia </w:t>
            </w:r>
          </w:p>
          <w:p w14:paraId="57F4C0ED" w14:textId="77777777" w:rsidR="00EF65AE" w:rsidRPr="0077119C" w:rsidRDefault="00EF65AE" w:rsidP="00EF65AE">
            <w:r w:rsidRPr="0077119C">
              <w:t>Eastern Highlands Family Voice</w:t>
            </w:r>
          </w:p>
          <w:p w14:paraId="639A371C" w14:textId="77777777" w:rsidR="00EF65AE" w:rsidRPr="0077119C" w:rsidRDefault="00EF65AE" w:rsidP="00EF65AE">
            <w:r w:rsidRPr="0077119C">
              <w:t>Equal Playing Field</w:t>
            </w:r>
          </w:p>
          <w:p w14:paraId="2E412668" w14:textId="7E000239" w:rsidR="00EF65AE" w:rsidRPr="0077119C" w:rsidRDefault="00EF65AE" w:rsidP="00EF65AE">
            <w:r w:rsidRPr="0077119C">
              <w:t>Family and Sexual Violence Action Committee</w:t>
            </w:r>
            <w:r w:rsidR="00617249">
              <w:t xml:space="preserve"> </w:t>
            </w:r>
            <w:r w:rsidRPr="0077119C">
              <w:t>(FSVAC) Secretariat</w:t>
            </w:r>
          </w:p>
          <w:p w14:paraId="146B3994" w14:textId="77777777" w:rsidR="00EF65AE" w:rsidRPr="0077119C" w:rsidRDefault="00EF65AE" w:rsidP="00EF65AE">
            <w:r w:rsidRPr="0077119C">
              <w:t>Family Support Centre Buka</w:t>
            </w:r>
          </w:p>
          <w:p w14:paraId="708C956A" w14:textId="77777777" w:rsidR="00EF65AE" w:rsidRPr="0077119C" w:rsidRDefault="00EF65AE" w:rsidP="00EF65AE">
            <w:r w:rsidRPr="0077119C">
              <w:t>Family Support Centre Goroka</w:t>
            </w:r>
          </w:p>
          <w:p w14:paraId="5C4CFB9E" w14:textId="77777777" w:rsidR="00EF65AE" w:rsidRPr="0077119C" w:rsidRDefault="00EF65AE" w:rsidP="00B26C9D">
            <w:r w:rsidRPr="0077119C">
              <w:t>Family Support Centre Port Moresby Femili PNG</w:t>
            </w:r>
          </w:p>
          <w:p w14:paraId="105DBCD6" w14:textId="77777777" w:rsidR="00EF65AE" w:rsidRPr="0077119C" w:rsidRDefault="00EF65AE" w:rsidP="00EF65AE">
            <w:r w:rsidRPr="0077119C">
              <w:t>FHI 360</w:t>
            </w:r>
          </w:p>
          <w:p w14:paraId="77220873" w14:textId="77777777" w:rsidR="00EF65AE" w:rsidRDefault="00EF65AE" w:rsidP="00EF65AE">
            <w:r w:rsidRPr="0077119C">
              <w:t>Hahela Family Centre Safe House</w:t>
            </w:r>
          </w:p>
          <w:p w14:paraId="6FAB1225" w14:textId="77777777" w:rsidR="00181BE6" w:rsidRPr="0077119C" w:rsidRDefault="00181BE6" w:rsidP="00181BE6">
            <w:r w:rsidRPr="0077119C">
              <w:t>Kafe Urban Settlers Women’s Association</w:t>
            </w:r>
          </w:p>
          <w:p w14:paraId="10E404B7" w14:textId="77777777" w:rsidR="00E536B8" w:rsidRDefault="00EF65AE" w:rsidP="00EF65AE">
            <w:r w:rsidRPr="0077119C">
              <w:t>Nazareth Centre for Rehabilitation</w:t>
            </w:r>
          </w:p>
          <w:p w14:paraId="169589EB" w14:textId="77777777" w:rsidR="00EF65AE" w:rsidRPr="00410A8E" w:rsidRDefault="00E536B8" w:rsidP="00EF65AE">
            <w:pPr>
              <w:rPr>
                <w:i/>
                <w:iCs/>
              </w:rPr>
            </w:pPr>
            <w:r w:rsidRPr="00410A8E">
              <w:rPr>
                <w:i/>
                <w:iCs/>
              </w:rPr>
              <w:t xml:space="preserve">Meri Seif Haus </w:t>
            </w:r>
          </w:p>
          <w:p w14:paraId="01D8C102" w14:textId="77777777" w:rsidR="00EF65AE" w:rsidRPr="0077119C" w:rsidRDefault="00EF65AE" w:rsidP="00EF65AE">
            <w:r w:rsidRPr="0077119C">
              <w:t>Oxfam</w:t>
            </w:r>
          </w:p>
          <w:p w14:paraId="73712BE3" w14:textId="77777777" w:rsidR="00EF65AE" w:rsidRPr="0077119C" w:rsidRDefault="00B8572E" w:rsidP="00EF65AE">
            <w:r>
              <w:t>Bel isi</w:t>
            </w:r>
            <w:r w:rsidR="00EF65AE" w:rsidRPr="0077119C">
              <w:t xml:space="preserve"> Foundation </w:t>
            </w:r>
          </w:p>
          <w:p w14:paraId="57AD8C37" w14:textId="77777777" w:rsidR="00EF65AE" w:rsidRPr="0077119C" w:rsidRDefault="00EF65AE" w:rsidP="00EF65AE">
            <w:r w:rsidRPr="0077119C">
              <w:t>Population Services International</w:t>
            </w:r>
          </w:p>
        </w:tc>
      </w:tr>
      <w:tr w:rsidR="00EF65AE" w:rsidRPr="0077119C" w14:paraId="3EB5FB15" w14:textId="77777777" w:rsidTr="00057B37">
        <w:tc>
          <w:tcPr>
            <w:tcW w:w="1134" w:type="dxa"/>
          </w:tcPr>
          <w:p w14:paraId="01F22D88" w14:textId="77777777" w:rsidR="00EF65AE" w:rsidRPr="0077119C" w:rsidRDefault="00EF65AE" w:rsidP="00EF65AE">
            <w:r w:rsidRPr="0077119C">
              <w:t>Papua New Guinea</w:t>
            </w:r>
          </w:p>
        </w:tc>
        <w:tc>
          <w:tcPr>
            <w:tcW w:w="2410" w:type="dxa"/>
          </w:tcPr>
          <w:p w14:paraId="42C95CCC" w14:textId="77777777" w:rsidR="00EF65AE" w:rsidRPr="0077119C" w:rsidRDefault="00EF65AE" w:rsidP="00EF65AE">
            <w:r w:rsidRPr="0077119C">
              <w:t>Women’s organisations</w:t>
            </w:r>
          </w:p>
        </w:tc>
        <w:tc>
          <w:tcPr>
            <w:tcW w:w="6094" w:type="dxa"/>
          </w:tcPr>
          <w:p w14:paraId="2B037541" w14:textId="5D370DFD" w:rsidR="00EF65AE" w:rsidRPr="0077119C" w:rsidRDefault="00EF65AE" w:rsidP="00F973BE">
            <w:r w:rsidRPr="0077119C">
              <w:t>Bougainville Women's Federation</w:t>
            </w:r>
          </w:p>
        </w:tc>
      </w:tr>
      <w:tr w:rsidR="00EF65AE" w:rsidRPr="0077119C" w14:paraId="190B28C2" w14:textId="77777777" w:rsidTr="00057B37">
        <w:tc>
          <w:tcPr>
            <w:tcW w:w="1134" w:type="dxa"/>
          </w:tcPr>
          <w:p w14:paraId="666E1E82" w14:textId="77777777" w:rsidR="00EF65AE" w:rsidRPr="0077119C" w:rsidRDefault="00EF65AE" w:rsidP="00EF65AE">
            <w:r w:rsidRPr="0077119C">
              <w:t>Solomon Islands</w:t>
            </w:r>
          </w:p>
        </w:tc>
        <w:tc>
          <w:tcPr>
            <w:tcW w:w="2410" w:type="dxa"/>
          </w:tcPr>
          <w:p w14:paraId="29953ED0" w14:textId="77777777" w:rsidR="00EF65AE" w:rsidRPr="0077119C" w:rsidRDefault="00EF65AE" w:rsidP="00EF65AE">
            <w:r w:rsidRPr="0077119C">
              <w:t>Australian Government</w:t>
            </w:r>
          </w:p>
        </w:tc>
        <w:tc>
          <w:tcPr>
            <w:tcW w:w="6094" w:type="dxa"/>
          </w:tcPr>
          <w:p w14:paraId="5D978661" w14:textId="77777777" w:rsidR="00EF65AE" w:rsidRPr="0077119C" w:rsidRDefault="00EF65AE" w:rsidP="00EF65AE">
            <w:r w:rsidRPr="0077119C">
              <w:t>Australian High Commission, Honiara</w:t>
            </w:r>
          </w:p>
        </w:tc>
      </w:tr>
      <w:tr w:rsidR="00EF65AE" w:rsidRPr="0077119C" w14:paraId="414624A1" w14:textId="77777777" w:rsidTr="00057B37">
        <w:tc>
          <w:tcPr>
            <w:tcW w:w="1134" w:type="dxa"/>
          </w:tcPr>
          <w:p w14:paraId="5C275512" w14:textId="77777777" w:rsidR="00EF65AE" w:rsidRPr="0077119C" w:rsidRDefault="00EF65AE" w:rsidP="00EF65AE">
            <w:r w:rsidRPr="0077119C">
              <w:t>Solomon Islands</w:t>
            </w:r>
          </w:p>
        </w:tc>
        <w:tc>
          <w:tcPr>
            <w:tcW w:w="2410" w:type="dxa"/>
          </w:tcPr>
          <w:p w14:paraId="6BF76F06" w14:textId="77777777" w:rsidR="00EF65AE" w:rsidRPr="0077119C" w:rsidRDefault="00EF65AE" w:rsidP="00EF65AE">
            <w:r w:rsidRPr="0077119C">
              <w:t>Justice system</w:t>
            </w:r>
          </w:p>
        </w:tc>
        <w:tc>
          <w:tcPr>
            <w:tcW w:w="6094" w:type="dxa"/>
          </w:tcPr>
          <w:p w14:paraId="0E6B3111" w14:textId="77777777" w:rsidR="00EF65AE" w:rsidRPr="0077119C" w:rsidRDefault="00EF65AE" w:rsidP="00EF65AE">
            <w:r w:rsidRPr="0077119C">
              <w:t>Temotu Magistrate</w:t>
            </w:r>
          </w:p>
        </w:tc>
      </w:tr>
      <w:tr w:rsidR="00EF65AE" w:rsidRPr="0077119C" w14:paraId="73090A1D" w14:textId="77777777" w:rsidTr="00057B37">
        <w:tc>
          <w:tcPr>
            <w:tcW w:w="1134" w:type="dxa"/>
          </w:tcPr>
          <w:p w14:paraId="3AF80AF5" w14:textId="77777777" w:rsidR="00EF65AE" w:rsidRPr="0077119C" w:rsidRDefault="00EF65AE" w:rsidP="00EF65AE">
            <w:r w:rsidRPr="0077119C">
              <w:t>Solomon Islands</w:t>
            </w:r>
          </w:p>
        </w:tc>
        <w:tc>
          <w:tcPr>
            <w:tcW w:w="2410" w:type="dxa"/>
          </w:tcPr>
          <w:p w14:paraId="58C92402" w14:textId="77777777" w:rsidR="00EF65AE" w:rsidRPr="0077119C" w:rsidRDefault="00EF65AE" w:rsidP="00EF65AE">
            <w:r w:rsidRPr="0077119C">
              <w:t>Medical and health professionals</w:t>
            </w:r>
          </w:p>
        </w:tc>
        <w:tc>
          <w:tcPr>
            <w:tcW w:w="6094" w:type="dxa"/>
          </w:tcPr>
          <w:p w14:paraId="377733BF" w14:textId="77777777" w:rsidR="00EF65AE" w:rsidRPr="0077119C" w:rsidRDefault="00EF65AE" w:rsidP="00EF65AE">
            <w:r w:rsidRPr="0077119C">
              <w:t>Lata Hospital</w:t>
            </w:r>
          </w:p>
        </w:tc>
      </w:tr>
      <w:tr w:rsidR="00EF65AE" w:rsidRPr="0077119C" w14:paraId="4339683B" w14:textId="77777777" w:rsidTr="00057B37">
        <w:tc>
          <w:tcPr>
            <w:tcW w:w="1134" w:type="dxa"/>
          </w:tcPr>
          <w:p w14:paraId="3CD5F1AC" w14:textId="77777777" w:rsidR="00EF65AE" w:rsidRPr="0077119C" w:rsidRDefault="00EF65AE" w:rsidP="00EF65AE">
            <w:r w:rsidRPr="0077119C">
              <w:t>Solomon Islands</w:t>
            </w:r>
          </w:p>
        </w:tc>
        <w:tc>
          <w:tcPr>
            <w:tcW w:w="2410" w:type="dxa"/>
          </w:tcPr>
          <w:p w14:paraId="76A52621" w14:textId="77777777" w:rsidR="00EF65AE" w:rsidRPr="0077119C" w:rsidRDefault="00EF65AE" w:rsidP="00EF65AE">
            <w:r w:rsidRPr="0077119C">
              <w:t>National and local government authorities, independent government agencies</w:t>
            </w:r>
          </w:p>
        </w:tc>
        <w:tc>
          <w:tcPr>
            <w:tcW w:w="6094" w:type="dxa"/>
          </w:tcPr>
          <w:p w14:paraId="38B4A73E" w14:textId="77777777" w:rsidR="00EF65AE" w:rsidRPr="0077119C" w:rsidRDefault="00EF65AE" w:rsidP="00EF65AE">
            <w:r w:rsidRPr="0077119C">
              <w:t>Ministry of Health and Medical Services</w:t>
            </w:r>
          </w:p>
          <w:p w14:paraId="0580B4B1" w14:textId="77777777" w:rsidR="00EF65AE" w:rsidRPr="0077119C" w:rsidRDefault="008C626D" w:rsidP="00EF65AE">
            <w:r>
              <w:t xml:space="preserve">Ministry of Women, Youth, Children and Family Affairs </w:t>
            </w:r>
            <w:r w:rsidR="00EF65AE" w:rsidRPr="0077119C">
              <w:t>Provincial Alliance Malaita</w:t>
            </w:r>
          </w:p>
          <w:p w14:paraId="35A0A27F" w14:textId="77777777" w:rsidR="00EF65AE" w:rsidRPr="0077119C" w:rsidRDefault="00EF65AE" w:rsidP="00EF65AE">
            <w:r w:rsidRPr="0077119C">
              <w:t>Provincial Government Temotu</w:t>
            </w:r>
          </w:p>
          <w:p w14:paraId="6E86C4D1" w14:textId="77777777" w:rsidR="00EF65AE" w:rsidRPr="0077119C" w:rsidRDefault="00EF65AE" w:rsidP="00EF65AE">
            <w:r w:rsidRPr="0077119C">
              <w:t>Senior Police Justice Meeting</w:t>
            </w:r>
          </w:p>
        </w:tc>
      </w:tr>
      <w:tr w:rsidR="00EF65AE" w:rsidRPr="0077119C" w14:paraId="139D2D68" w14:textId="77777777" w:rsidTr="00057B37">
        <w:tc>
          <w:tcPr>
            <w:tcW w:w="1134" w:type="dxa"/>
          </w:tcPr>
          <w:p w14:paraId="0C608544" w14:textId="77777777" w:rsidR="00EF65AE" w:rsidRPr="0077119C" w:rsidRDefault="00EF65AE" w:rsidP="00EF65AE">
            <w:r w:rsidRPr="0077119C">
              <w:t>Solomon Islands</w:t>
            </w:r>
          </w:p>
        </w:tc>
        <w:tc>
          <w:tcPr>
            <w:tcW w:w="2410" w:type="dxa"/>
          </w:tcPr>
          <w:p w14:paraId="6DE52F68" w14:textId="77777777" w:rsidR="00EF65AE" w:rsidRPr="0077119C" w:rsidRDefault="00EF65AE" w:rsidP="00EF65AE">
            <w:r w:rsidRPr="0077119C">
              <w:t>Non-government organisations</w:t>
            </w:r>
          </w:p>
        </w:tc>
        <w:tc>
          <w:tcPr>
            <w:tcW w:w="6094" w:type="dxa"/>
          </w:tcPr>
          <w:p w14:paraId="0C58A158" w14:textId="77777777" w:rsidR="00EF65AE" w:rsidRPr="0077119C" w:rsidRDefault="00EF65AE" w:rsidP="00EF65AE">
            <w:r w:rsidRPr="0077119C">
              <w:t>Family Support Centre Honiara</w:t>
            </w:r>
            <w:r w:rsidR="00861D5A">
              <w:t xml:space="preserve"> and Lata</w:t>
            </w:r>
          </w:p>
          <w:p w14:paraId="3F326A7C" w14:textId="77777777" w:rsidR="00410A8E" w:rsidRPr="00410A8E" w:rsidRDefault="00410A8E" w:rsidP="00EF65AE">
            <w:r w:rsidRPr="00410A8E">
              <w:t>International Finance Corporation</w:t>
            </w:r>
          </w:p>
          <w:p w14:paraId="0C2BF5C2" w14:textId="77777777" w:rsidR="00EF65AE" w:rsidRPr="0077119C" w:rsidRDefault="00410A8E" w:rsidP="00EF65AE">
            <w:r w:rsidRPr="00410A8E">
              <w:t>Chamber of Commerce and Industry</w:t>
            </w:r>
          </w:p>
          <w:p w14:paraId="0D7FDDBC" w14:textId="77777777" w:rsidR="00EF65AE" w:rsidRPr="0077119C" w:rsidRDefault="00EF65AE" w:rsidP="00EF65AE">
            <w:r w:rsidRPr="0077119C">
              <w:t>Junior Justice</w:t>
            </w:r>
          </w:p>
          <w:p w14:paraId="7D6A28FE" w14:textId="77777777" w:rsidR="00EF65AE" w:rsidRPr="0077119C" w:rsidRDefault="00EF65AE" w:rsidP="00EF65AE">
            <w:r w:rsidRPr="0077119C">
              <w:t>Live and Learn</w:t>
            </w:r>
          </w:p>
          <w:p w14:paraId="6CB3A536" w14:textId="77777777" w:rsidR="00EF65AE" w:rsidRPr="0077119C" w:rsidRDefault="00EF65AE" w:rsidP="00EF65AE">
            <w:r w:rsidRPr="0077119C">
              <w:t>Mineve OXFAM Village</w:t>
            </w:r>
          </w:p>
          <w:p w14:paraId="42D5FC15" w14:textId="77777777" w:rsidR="00EF65AE" w:rsidRPr="0077119C" w:rsidRDefault="00EF65AE" w:rsidP="00EF65AE">
            <w:r w:rsidRPr="0077119C">
              <w:t>Motu Village</w:t>
            </w:r>
            <w:r w:rsidR="00941D2D">
              <w:t>—</w:t>
            </w:r>
            <w:r w:rsidRPr="0077119C">
              <w:t>Channels of Hope</w:t>
            </w:r>
          </w:p>
          <w:p w14:paraId="26348806" w14:textId="77777777" w:rsidR="00EF65AE" w:rsidRPr="0077119C" w:rsidRDefault="00EF65AE" w:rsidP="00EF65AE">
            <w:r w:rsidRPr="0077119C">
              <w:t>Oxfam</w:t>
            </w:r>
            <w:r w:rsidR="00861D5A">
              <w:t xml:space="preserve"> multiple locations</w:t>
            </w:r>
          </w:p>
          <w:p w14:paraId="48531237" w14:textId="77777777" w:rsidR="00EF65AE" w:rsidRPr="0077119C" w:rsidRDefault="00EF65AE" w:rsidP="00EF65AE">
            <w:r w:rsidRPr="0077119C">
              <w:t>Plan</w:t>
            </w:r>
          </w:p>
          <w:p w14:paraId="35EE9F1F" w14:textId="77777777" w:rsidR="00EF65AE" w:rsidRPr="0077119C" w:rsidRDefault="00EF65AE" w:rsidP="00EF65AE">
            <w:r w:rsidRPr="0077119C">
              <w:t>Save the Children</w:t>
            </w:r>
          </w:p>
          <w:p w14:paraId="1E5B4B9E" w14:textId="413129F1" w:rsidR="00EF65AE" w:rsidRPr="0077119C" w:rsidRDefault="00353460" w:rsidP="00EF65AE">
            <w:r>
              <w:rPr>
                <w:i/>
                <w:iCs/>
              </w:rPr>
              <w:t>Seif Ples</w:t>
            </w:r>
          </w:p>
          <w:p w14:paraId="2F70C0B2" w14:textId="77777777" w:rsidR="00EF65AE" w:rsidRPr="0077119C" w:rsidRDefault="00EF65AE" w:rsidP="00EF65AE">
            <w:r w:rsidRPr="0077119C">
              <w:t>World Vision</w:t>
            </w:r>
            <w:r w:rsidR="00861D5A">
              <w:t>, multiple locations</w:t>
            </w:r>
          </w:p>
        </w:tc>
      </w:tr>
      <w:tr w:rsidR="00EF65AE" w:rsidRPr="0077119C" w14:paraId="749968C5" w14:textId="77777777" w:rsidTr="00057B37">
        <w:tc>
          <w:tcPr>
            <w:tcW w:w="1134" w:type="dxa"/>
          </w:tcPr>
          <w:p w14:paraId="0FE39FDD" w14:textId="77777777" w:rsidR="00EF65AE" w:rsidRPr="0077119C" w:rsidRDefault="00EF65AE" w:rsidP="00EF65AE">
            <w:r w:rsidRPr="0077119C">
              <w:t>Solomon Islands</w:t>
            </w:r>
          </w:p>
        </w:tc>
        <w:tc>
          <w:tcPr>
            <w:tcW w:w="2410" w:type="dxa"/>
          </w:tcPr>
          <w:p w14:paraId="2A7893CA" w14:textId="77777777" w:rsidR="00EF65AE" w:rsidRPr="0077119C" w:rsidRDefault="00EF65AE" w:rsidP="00EF65AE">
            <w:r w:rsidRPr="0077119C">
              <w:t>Regional and international organisations</w:t>
            </w:r>
          </w:p>
        </w:tc>
        <w:tc>
          <w:tcPr>
            <w:tcW w:w="6094" w:type="dxa"/>
          </w:tcPr>
          <w:p w14:paraId="6ECA7031" w14:textId="77777777" w:rsidR="00EF65AE" w:rsidRPr="0077119C" w:rsidRDefault="00EF65AE" w:rsidP="00EF65AE">
            <w:r w:rsidRPr="0077119C">
              <w:t>UN Agencies</w:t>
            </w:r>
          </w:p>
          <w:p w14:paraId="673EF066" w14:textId="77777777" w:rsidR="00EF65AE" w:rsidRPr="0077119C" w:rsidRDefault="00EF65AE" w:rsidP="00EF65AE">
            <w:r w:rsidRPr="0077119C">
              <w:t>UN Women</w:t>
            </w:r>
          </w:p>
        </w:tc>
      </w:tr>
      <w:tr w:rsidR="00EF65AE" w:rsidRPr="0077119C" w14:paraId="0010D019" w14:textId="77777777" w:rsidTr="00057B37">
        <w:tc>
          <w:tcPr>
            <w:tcW w:w="1134" w:type="dxa"/>
          </w:tcPr>
          <w:p w14:paraId="3C55471A" w14:textId="77777777" w:rsidR="00EF65AE" w:rsidRPr="0077119C" w:rsidRDefault="00EF65AE" w:rsidP="00EF65AE">
            <w:r w:rsidRPr="0077119C">
              <w:t>Solomon Islands</w:t>
            </w:r>
          </w:p>
        </w:tc>
        <w:tc>
          <w:tcPr>
            <w:tcW w:w="2410" w:type="dxa"/>
          </w:tcPr>
          <w:p w14:paraId="2E957BE6" w14:textId="77777777" w:rsidR="00EF65AE" w:rsidRPr="0077119C" w:rsidRDefault="00EF65AE" w:rsidP="00EF65AE">
            <w:r w:rsidRPr="0077119C">
              <w:t>Women’s organisations</w:t>
            </w:r>
          </w:p>
        </w:tc>
        <w:tc>
          <w:tcPr>
            <w:tcW w:w="6094" w:type="dxa"/>
          </w:tcPr>
          <w:p w14:paraId="37BEFD06" w14:textId="77777777" w:rsidR="00EF65AE" w:rsidRPr="0077119C" w:rsidRDefault="00EF65AE" w:rsidP="00EF65AE">
            <w:r w:rsidRPr="0077119C">
              <w:t>Mothers Union Lata</w:t>
            </w:r>
          </w:p>
          <w:p w14:paraId="34FD9A2F" w14:textId="77777777" w:rsidR="00EF65AE" w:rsidRPr="0077119C" w:rsidRDefault="00EF65AE" w:rsidP="00EF65AE">
            <w:r w:rsidRPr="0077119C">
              <w:t>Temotu Province Council for Women</w:t>
            </w:r>
          </w:p>
        </w:tc>
      </w:tr>
      <w:tr w:rsidR="00EF65AE" w:rsidRPr="0077119C" w14:paraId="71884366" w14:textId="77777777" w:rsidTr="00057B37">
        <w:tc>
          <w:tcPr>
            <w:tcW w:w="1134" w:type="dxa"/>
          </w:tcPr>
          <w:p w14:paraId="200C0C73" w14:textId="77777777" w:rsidR="00EF65AE" w:rsidRPr="0077119C" w:rsidRDefault="00EF65AE" w:rsidP="00EF65AE">
            <w:r w:rsidRPr="0077119C">
              <w:t>Timor-Leste</w:t>
            </w:r>
          </w:p>
        </w:tc>
        <w:tc>
          <w:tcPr>
            <w:tcW w:w="2410" w:type="dxa"/>
          </w:tcPr>
          <w:p w14:paraId="0946688E" w14:textId="77777777" w:rsidR="00EF65AE" w:rsidRPr="0077119C" w:rsidRDefault="00EF65AE" w:rsidP="00EF65AE">
            <w:r w:rsidRPr="0077119C">
              <w:t>Australian aid investments</w:t>
            </w:r>
          </w:p>
        </w:tc>
        <w:tc>
          <w:tcPr>
            <w:tcW w:w="6094" w:type="dxa"/>
          </w:tcPr>
          <w:p w14:paraId="6D25C95A" w14:textId="77777777" w:rsidR="00EF65AE" w:rsidRPr="0077119C" w:rsidRDefault="00EF65AE" w:rsidP="00EF65AE">
            <w:r w:rsidRPr="0077119C">
              <w:t>Governance for Development</w:t>
            </w:r>
          </w:p>
          <w:p w14:paraId="5DAA839F" w14:textId="77777777" w:rsidR="00EF65AE" w:rsidRPr="0077119C" w:rsidRDefault="00EF65AE" w:rsidP="00EF65AE">
            <w:r w:rsidRPr="0077119C">
              <w:t>M&amp;E House</w:t>
            </w:r>
          </w:p>
        </w:tc>
      </w:tr>
      <w:tr w:rsidR="00EF65AE" w:rsidRPr="0077119C" w14:paraId="31D6878D" w14:textId="77777777" w:rsidTr="00057B37">
        <w:tc>
          <w:tcPr>
            <w:tcW w:w="1134" w:type="dxa"/>
          </w:tcPr>
          <w:p w14:paraId="138E9BB0" w14:textId="77777777" w:rsidR="00EF65AE" w:rsidRPr="0077119C" w:rsidRDefault="00EF65AE" w:rsidP="00EF65AE">
            <w:r w:rsidRPr="0077119C">
              <w:t>Timor-Leste</w:t>
            </w:r>
          </w:p>
        </w:tc>
        <w:tc>
          <w:tcPr>
            <w:tcW w:w="2410" w:type="dxa"/>
          </w:tcPr>
          <w:p w14:paraId="60F77DAF" w14:textId="77777777" w:rsidR="00EF65AE" w:rsidRPr="0077119C" w:rsidRDefault="00EF65AE" w:rsidP="00EF65AE">
            <w:r w:rsidRPr="0077119C">
              <w:t>Australian Government</w:t>
            </w:r>
          </w:p>
        </w:tc>
        <w:tc>
          <w:tcPr>
            <w:tcW w:w="6094" w:type="dxa"/>
          </w:tcPr>
          <w:p w14:paraId="119D9F1C" w14:textId="77777777" w:rsidR="00EF65AE" w:rsidRPr="0077119C" w:rsidRDefault="00EF65AE" w:rsidP="00EF65AE">
            <w:r w:rsidRPr="0077119C">
              <w:t>Australian Federal Police</w:t>
            </w:r>
          </w:p>
          <w:p w14:paraId="45C5017A" w14:textId="785D30B3" w:rsidR="00EF65AE" w:rsidRPr="0077119C" w:rsidRDefault="00EF65AE" w:rsidP="00F973BE">
            <w:r w:rsidRPr="0077119C">
              <w:t xml:space="preserve">Australian Embassy </w:t>
            </w:r>
            <w:r w:rsidR="00F6352C">
              <w:t>Dili</w:t>
            </w:r>
          </w:p>
        </w:tc>
      </w:tr>
      <w:tr w:rsidR="00EF65AE" w:rsidRPr="0077119C" w14:paraId="5599D77F" w14:textId="77777777" w:rsidTr="00057B37">
        <w:tc>
          <w:tcPr>
            <w:tcW w:w="1134" w:type="dxa"/>
          </w:tcPr>
          <w:p w14:paraId="0E1B0B16" w14:textId="77777777" w:rsidR="00EF65AE" w:rsidRPr="0077119C" w:rsidRDefault="00EF65AE" w:rsidP="00EF65AE">
            <w:r w:rsidRPr="0077119C">
              <w:t>Timor-Leste</w:t>
            </w:r>
          </w:p>
        </w:tc>
        <w:tc>
          <w:tcPr>
            <w:tcW w:w="2410" w:type="dxa"/>
          </w:tcPr>
          <w:p w14:paraId="3E84FCD2" w14:textId="77777777" w:rsidR="00EF65AE" w:rsidRPr="0077119C" w:rsidRDefault="00EF65AE" w:rsidP="00EF65AE">
            <w:r w:rsidRPr="0077119C">
              <w:t>National and local government authorities, independent government agencies</w:t>
            </w:r>
          </w:p>
        </w:tc>
        <w:tc>
          <w:tcPr>
            <w:tcW w:w="6094" w:type="dxa"/>
          </w:tcPr>
          <w:p w14:paraId="0EE3D61D" w14:textId="77777777" w:rsidR="00EF65AE" w:rsidRPr="0077119C" w:rsidRDefault="00EF65AE" w:rsidP="00EF65AE">
            <w:r w:rsidRPr="0077119C">
              <w:t>Secretary of State for Equality and Inclusion</w:t>
            </w:r>
          </w:p>
        </w:tc>
      </w:tr>
      <w:tr w:rsidR="00EF65AE" w:rsidRPr="0077119C" w14:paraId="1DD0E8C5" w14:textId="77777777" w:rsidTr="00057B37">
        <w:tc>
          <w:tcPr>
            <w:tcW w:w="1134" w:type="dxa"/>
          </w:tcPr>
          <w:p w14:paraId="09ED0F7D" w14:textId="77777777" w:rsidR="00EF65AE" w:rsidRPr="0077119C" w:rsidRDefault="00EF65AE" w:rsidP="00EF65AE">
            <w:r w:rsidRPr="0077119C">
              <w:t>Timor-Leste</w:t>
            </w:r>
          </w:p>
        </w:tc>
        <w:tc>
          <w:tcPr>
            <w:tcW w:w="2410" w:type="dxa"/>
          </w:tcPr>
          <w:p w14:paraId="6677D48C" w14:textId="77777777" w:rsidR="00EF65AE" w:rsidRPr="0077119C" w:rsidRDefault="00EF65AE" w:rsidP="00EF65AE">
            <w:r w:rsidRPr="0077119C">
              <w:t>Non-government organisations</w:t>
            </w:r>
          </w:p>
        </w:tc>
        <w:tc>
          <w:tcPr>
            <w:tcW w:w="6094" w:type="dxa"/>
          </w:tcPr>
          <w:p w14:paraId="1E21EA29" w14:textId="77777777" w:rsidR="00EF65AE" w:rsidRPr="00410A8E" w:rsidRDefault="00EF65AE" w:rsidP="00EF65AE">
            <w:pPr>
              <w:rPr>
                <w:i/>
                <w:iCs/>
                <w:lang w:val="es-ES"/>
              </w:rPr>
            </w:pPr>
            <w:r w:rsidRPr="00410A8E">
              <w:rPr>
                <w:i/>
                <w:iCs/>
                <w:lang w:val="es-ES"/>
              </w:rPr>
              <w:t>Asosiasaun Chega! Ba Ita</w:t>
            </w:r>
          </w:p>
          <w:p w14:paraId="1620DE92" w14:textId="77777777" w:rsidR="00EF65AE" w:rsidRPr="00410A8E" w:rsidRDefault="00EF65AE" w:rsidP="00EF65AE">
            <w:pPr>
              <w:rPr>
                <w:i/>
                <w:iCs/>
              </w:rPr>
            </w:pPr>
            <w:r w:rsidRPr="00410A8E">
              <w:rPr>
                <w:i/>
                <w:iCs/>
              </w:rPr>
              <w:t>Ba Futuru</w:t>
            </w:r>
          </w:p>
          <w:p w14:paraId="060738F2" w14:textId="77777777" w:rsidR="00EF65AE" w:rsidRPr="0077119C" w:rsidRDefault="00EF65AE" w:rsidP="00EF65AE">
            <w:r w:rsidRPr="0077119C">
              <w:t>Caritas Australia</w:t>
            </w:r>
          </w:p>
          <w:p w14:paraId="5E204E57" w14:textId="77777777" w:rsidR="00EF65AE" w:rsidRPr="00410A8E" w:rsidRDefault="00EF65AE" w:rsidP="00EF65AE">
            <w:pPr>
              <w:rPr>
                <w:i/>
                <w:iCs/>
                <w:lang w:val="es-ES"/>
              </w:rPr>
            </w:pPr>
            <w:r w:rsidRPr="00410A8E">
              <w:rPr>
                <w:i/>
                <w:iCs/>
                <w:lang w:val="es-ES"/>
              </w:rPr>
              <w:t>Foin Sae Unidade Dezenvolve Futuru</w:t>
            </w:r>
          </w:p>
          <w:p w14:paraId="186A42D0" w14:textId="77777777" w:rsidR="00EF65AE" w:rsidRPr="0077119C" w:rsidRDefault="00EF65AE" w:rsidP="00EF65AE">
            <w:r w:rsidRPr="00410A8E">
              <w:rPr>
                <w:i/>
                <w:iCs/>
              </w:rPr>
              <w:t>Fundasaun</w:t>
            </w:r>
            <w:r w:rsidRPr="0077119C">
              <w:t xml:space="preserve"> Media Development Centre</w:t>
            </w:r>
          </w:p>
          <w:p w14:paraId="3F91EBEC" w14:textId="77777777" w:rsidR="00EF65AE" w:rsidRPr="0077119C" w:rsidRDefault="00EF65AE" w:rsidP="00EF65AE">
            <w:r w:rsidRPr="0077119C">
              <w:t>Marie Stopes</w:t>
            </w:r>
          </w:p>
          <w:p w14:paraId="5C1485B7" w14:textId="77777777" w:rsidR="00EF65AE" w:rsidRPr="0077119C" w:rsidRDefault="00EF65AE" w:rsidP="00EF65AE">
            <w:r w:rsidRPr="0077119C">
              <w:t>The Asia Foundation</w:t>
            </w:r>
          </w:p>
          <w:p w14:paraId="1A5A942D" w14:textId="77777777" w:rsidR="00EF65AE" w:rsidRPr="0077119C" w:rsidRDefault="00EF65AE" w:rsidP="00EF65AE">
            <w:r w:rsidRPr="0077119C">
              <w:t>World Vision</w:t>
            </w:r>
          </w:p>
          <w:p w14:paraId="1FF33BE5" w14:textId="77777777" w:rsidR="00EF65AE" w:rsidRPr="0077119C" w:rsidRDefault="00EF65AE" w:rsidP="00EF65AE">
            <w:r w:rsidRPr="0077119C">
              <w:t>Men with New Vision</w:t>
            </w:r>
          </w:p>
          <w:p w14:paraId="514D86D9" w14:textId="77777777" w:rsidR="00EF65AE" w:rsidRPr="0077119C" w:rsidRDefault="00EF65AE" w:rsidP="00EF65AE">
            <w:r w:rsidRPr="0077119C">
              <w:t>Judicial System Monitoring Program</w:t>
            </w:r>
          </w:p>
          <w:p w14:paraId="263B17B0" w14:textId="77777777" w:rsidR="00EF65AE" w:rsidRPr="0077119C" w:rsidRDefault="00EF65AE" w:rsidP="00EF65AE">
            <w:r w:rsidRPr="0077119C">
              <w:t xml:space="preserve">Psychosocial Recovery and Development in </w:t>
            </w:r>
            <w:r w:rsidRPr="00B26C9D">
              <w:t>East Tim</w:t>
            </w:r>
            <w:r w:rsidRPr="0077119C">
              <w:t xml:space="preserve">or </w:t>
            </w:r>
          </w:p>
          <w:p w14:paraId="44088125" w14:textId="77777777" w:rsidR="00EF65AE" w:rsidRPr="00410A8E" w:rsidRDefault="00EF65AE" w:rsidP="00EF65AE">
            <w:pPr>
              <w:rPr>
                <w:i/>
                <w:iCs/>
              </w:rPr>
            </w:pPr>
            <w:r w:rsidRPr="00410A8E">
              <w:rPr>
                <w:i/>
                <w:iCs/>
              </w:rPr>
              <w:t>Ra’es Hadomi Timor Oan</w:t>
            </w:r>
          </w:p>
          <w:p w14:paraId="154F49DA" w14:textId="77777777" w:rsidR="00EF65AE" w:rsidRPr="0077119C" w:rsidRDefault="00EF65AE" w:rsidP="00410A8E">
            <w:r w:rsidRPr="0077119C">
              <w:t>Union Aid Abroad (APHEDA)</w:t>
            </w:r>
            <w:r w:rsidR="00410A8E" w:rsidRPr="0077119C">
              <w:t xml:space="preserve"> </w:t>
            </w:r>
          </w:p>
        </w:tc>
      </w:tr>
      <w:tr w:rsidR="00EF65AE" w:rsidRPr="0077119C" w14:paraId="734C1AA3" w14:textId="77777777" w:rsidTr="00057B37">
        <w:tc>
          <w:tcPr>
            <w:tcW w:w="1134" w:type="dxa"/>
          </w:tcPr>
          <w:p w14:paraId="727E865C" w14:textId="77777777" w:rsidR="00EF65AE" w:rsidRPr="0077119C" w:rsidRDefault="00EF65AE" w:rsidP="00EF65AE">
            <w:r w:rsidRPr="0077119C">
              <w:t>Timor-Leste</w:t>
            </w:r>
          </w:p>
        </w:tc>
        <w:tc>
          <w:tcPr>
            <w:tcW w:w="2410" w:type="dxa"/>
          </w:tcPr>
          <w:p w14:paraId="7AF56B7C" w14:textId="77777777" w:rsidR="00EF65AE" w:rsidRPr="0077119C" w:rsidRDefault="00EF65AE" w:rsidP="00EF65AE">
            <w:r w:rsidRPr="0077119C">
              <w:t>Regional and international organisations</w:t>
            </w:r>
          </w:p>
        </w:tc>
        <w:tc>
          <w:tcPr>
            <w:tcW w:w="6094" w:type="dxa"/>
          </w:tcPr>
          <w:p w14:paraId="34295BD3" w14:textId="77777777" w:rsidR="00EF65AE" w:rsidRPr="0077119C" w:rsidRDefault="00EF65AE" w:rsidP="00EF65AE">
            <w:r w:rsidRPr="0077119C">
              <w:t xml:space="preserve">United Nations Entity for Gender Equality and the Empowerment of Women </w:t>
            </w:r>
          </w:p>
          <w:p w14:paraId="31B47728" w14:textId="77777777" w:rsidR="00EF65AE" w:rsidRPr="0077119C" w:rsidRDefault="00EF65AE" w:rsidP="00EF65AE">
            <w:r w:rsidRPr="0077119C">
              <w:t>United Nations Population Fund</w:t>
            </w:r>
          </w:p>
        </w:tc>
      </w:tr>
      <w:tr w:rsidR="00EF65AE" w:rsidRPr="0077119C" w14:paraId="2BD6C2E0" w14:textId="77777777" w:rsidTr="00057B37">
        <w:tc>
          <w:tcPr>
            <w:tcW w:w="1134" w:type="dxa"/>
          </w:tcPr>
          <w:p w14:paraId="49A6C8A4" w14:textId="77777777" w:rsidR="00EF65AE" w:rsidRPr="0077119C" w:rsidRDefault="00EF65AE" w:rsidP="00EF65AE">
            <w:r w:rsidRPr="0077119C">
              <w:t>Timor-Leste</w:t>
            </w:r>
          </w:p>
        </w:tc>
        <w:tc>
          <w:tcPr>
            <w:tcW w:w="2410" w:type="dxa"/>
          </w:tcPr>
          <w:p w14:paraId="1E6C04EF" w14:textId="77777777" w:rsidR="00EF65AE" w:rsidRPr="0077119C" w:rsidRDefault="00EF65AE" w:rsidP="00EF65AE">
            <w:r w:rsidRPr="0077119C">
              <w:t>Women’s organisations</w:t>
            </w:r>
          </w:p>
        </w:tc>
        <w:tc>
          <w:tcPr>
            <w:tcW w:w="6094" w:type="dxa"/>
          </w:tcPr>
          <w:p w14:paraId="310617FF" w14:textId="77777777" w:rsidR="00EF65AE" w:rsidRPr="0077119C" w:rsidRDefault="00EF65AE" w:rsidP="00EF65AE">
            <w:r w:rsidRPr="0077119C">
              <w:t>Legal Assistance for Women and Children (ALFeLa)</w:t>
            </w:r>
          </w:p>
          <w:p w14:paraId="51D35CF0" w14:textId="77777777" w:rsidR="00EF65AE" w:rsidRPr="0077119C" w:rsidRDefault="00EF65AE" w:rsidP="00EF65AE">
            <w:r w:rsidRPr="0077119C">
              <w:t>Women’s Parliamentary Group (GMPTL)</w:t>
            </w:r>
          </w:p>
          <w:p w14:paraId="34A15215" w14:textId="77777777" w:rsidR="00EF65AE" w:rsidRPr="0077119C" w:rsidRDefault="00EF65AE" w:rsidP="00EF65AE">
            <w:r w:rsidRPr="0077119C">
              <w:t>Communication Forum for Timorese Women (FOKUPERS)</w:t>
            </w:r>
          </w:p>
        </w:tc>
      </w:tr>
      <w:tr w:rsidR="00EF65AE" w:rsidRPr="0077119C" w14:paraId="39740932" w14:textId="77777777" w:rsidTr="00057B37">
        <w:tc>
          <w:tcPr>
            <w:tcW w:w="1134" w:type="dxa"/>
          </w:tcPr>
          <w:p w14:paraId="68FEDDA5" w14:textId="77777777" w:rsidR="00EF65AE" w:rsidRPr="0077119C" w:rsidRDefault="00EF65AE" w:rsidP="00EF65AE">
            <w:r w:rsidRPr="0077119C">
              <w:t>Vanuatu</w:t>
            </w:r>
          </w:p>
        </w:tc>
        <w:tc>
          <w:tcPr>
            <w:tcW w:w="2410" w:type="dxa"/>
          </w:tcPr>
          <w:p w14:paraId="1489EDB8" w14:textId="77777777" w:rsidR="00EF65AE" w:rsidRPr="0077119C" w:rsidRDefault="00EF65AE" w:rsidP="00EF65AE">
            <w:r w:rsidRPr="0077119C">
              <w:t>Australian Government</w:t>
            </w:r>
          </w:p>
        </w:tc>
        <w:tc>
          <w:tcPr>
            <w:tcW w:w="6094" w:type="dxa"/>
          </w:tcPr>
          <w:p w14:paraId="0A71591B" w14:textId="77777777" w:rsidR="00EF65AE" w:rsidRPr="0077119C" w:rsidRDefault="00410A8E" w:rsidP="00410A8E">
            <w:r>
              <w:t>Australian High Commission</w:t>
            </w:r>
            <w:r w:rsidR="00F6352C">
              <w:t>, Port Vila</w:t>
            </w:r>
          </w:p>
        </w:tc>
      </w:tr>
      <w:tr w:rsidR="00EF65AE" w:rsidRPr="0077119C" w14:paraId="6CE5BAAF" w14:textId="77777777" w:rsidTr="00057B37">
        <w:tc>
          <w:tcPr>
            <w:tcW w:w="1134" w:type="dxa"/>
          </w:tcPr>
          <w:p w14:paraId="33919955" w14:textId="77777777" w:rsidR="00EF65AE" w:rsidRPr="0077119C" w:rsidRDefault="00EF65AE" w:rsidP="00EF65AE">
            <w:r w:rsidRPr="0077119C">
              <w:t>Vanuatu</w:t>
            </w:r>
          </w:p>
        </w:tc>
        <w:tc>
          <w:tcPr>
            <w:tcW w:w="2410" w:type="dxa"/>
          </w:tcPr>
          <w:p w14:paraId="73B4275F" w14:textId="77777777" w:rsidR="00EF65AE" w:rsidRPr="0077119C" w:rsidRDefault="00EF65AE" w:rsidP="00EF65AE">
            <w:r w:rsidRPr="0077119C">
              <w:t>Australian aid investments</w:t>
            </w:r>
          </w:p>
        </w:tc>
        <w:tc>
          <w:tcPr>
            <w:tcW w:w="6094" w:type="dxa"/>
          </w:tcPr>
          <w:p w14:paraId="61574B04" w14:textId="2018A640" w:rsidR="00EF65AE" w:rsidRPr="0077119C" w:rsidRDefault="00EF65AE" w:rsidP="00EF65AE">
            <w:r w:rsidRPr="0077119C">
              <w:t>Police and Justice Program</w:t>
            </w:r>
            <w:r w:rsidR="00E041FB">
              <w:t>—</w:t>
            </w:r>
            <w:r w:rsidRPr="00410A8E">
              <w:rPr>
                <w:i/>
                <w:iCs/>
              </w:rPr>
              <w:t>Str</w:t>
            </w:r>
            <w:r w:rsidR="00C24E2A" w:rsidRPr="00410A8E">
              <w:rPr>
                <w:i/>
                <w:iCs/>
              </w:rPr>
              <w:t>e</w:t>
            </w:r>
            <w:r w:rsidRPr="00410A8E">
              <w:rPr>
                <w:i/>
                <w:iCs/>
              </w:rPr>
              <w:t xml:space="preserve">tem Rod Blong Jastis </w:t>
            </w:r>
            <w:r w:rsidR="00617249">
              <w:rPr>
                <w:i/>
                <w:iCs/>
              </w:rPr>
              <w:br/>
            </w:r>
            <w:r w:rsidRPr="00410A8E">
              <w:rPr>
                <w:i/>
                <w:iCs/>
              </w:rPr>
              <w:t>mo Sefti</w:t>
            </w:r>
          </w:p>
        </w:tc>
      </w:tr>
      <w:tr w:rsidR="00EF65AE" w:rsidRPr="0077119C" w14:paraId="4A40FE5D" w14:textId="77777777" w:rsidTr="00057B37">
        <w:tc>
          <w:tcPr>
            <w:tcW w:w="1134" w:type="dxa"/>
          </w:tcPr>
          <w:p w14:paraId="4437AA6F" w14:textId="77777777" w:rsidR="00EF65AE" w:rsidRPr="0077119C" w:rsidRDefault="00EF65AE" w:rsidP="00EF65AE">
            <w:r w:rsidRPr="0077119C">
              <w:t>Vanuatu</w:t>
            </w:r>
          </w:p>
        </w:tc>
        <w:tc>
          <w:tcPr>
            <w:tcW w:w="2410" w:type="dxa"/>
          </w:tcPr>
          <w:p w14:paraId="26923CAB" w14:textId="77777777" w:rsidR="00EF65AE" w:rsidRPr="0077119C" w:rsidRDefault="00EF65AE" w:rsidP="00EF65AE">
            <w:r w:rsidRPr="0077119C">
              <w:t xml:space="preserve">Non-government organisations </w:t>
            </w:r>
          </w:p>
        </w:tc>
        <w:tc>
          <w:tcPr>
            <w:tcW w:w="6094" w:type="dxa"/>
          </w:tcPr>
          <w:p w14:paraId="532E2584" w14:textId="77777777" w:rsidR="00EF65AE" w:rsidRPr="0077119C" w:rsidRDefault="00EF65AE" w:rsidP="00EF65AE">
            <w:r w:rsidRPr="0077119C">
              <w:t xml:space="preserve">World Vision </w:t>
            </w:r>
          </w:p>
          <w:p w14:paraId="2C62180A" w14:textId="77777777" w:rsidR="00EF65AE" w:rsidRPr="0077119C" w:rsidRDefault="00EF65AE" w:rsidP="00EF65AE">
            <w:r w:rsidRPr="00410A8E">
              <w:rPr>
                <w:i/>
                <w:iCs/>
              </w:rPr>
              <w:t>Wan Smolbag</w:t>
            </w:r>
            <w:r w:rsidRPr="0077119C">
              <w:t xml:space="preserve"> Theatre</w:t>
            </w:r>
          </w:p>
        </w:tc>
      </w:tr>
      <w:tr w:rsidR="00EF65AE" w:rsidRPr="0077119C" w14:paraId="5FCF58E1" w14:textId="77777777" w:rsidTr="00057B37">
        <w:tc>
          <w:tcPr>
            <w:tcW w:w="1134" w:type="dxa"/>
          </w:tcPr>
          <w:p w14:paraId="3A6B219C" w14:textId="77777777" w:rsidR="00EF65AE" w:rsidRPr="0077119C" w:rsidRDefault="00EF65AE" w:rsidP="00EF65AE">
            <w:r w:rsidRPr="0077119C">
              <w:t>Vanuatu</w:t>
            </w:r>
          </w:p>
        </w:tc>
        <w:tc>
          <w:tcPr>
            <w:tcW w:w="2410" w:type="dxa"/>
          </w:tcPr>
          <w:p w14:paraId="3AF51FC2" w14:textId="77777777" w:rsidR="00EF65AE" w:rsidRPr="0077119C" w:rsidRDefault="00EF65AE" w:rsidP="00EF65AE">
            <w:r w:rsidRPr="0077119C">
              <w:t>Women’s organisations</w:t>
            </w:r>
          </w:p>
        </w:tc>
        <w:tc>
          <w:tcPr>
            <w:tcW w:w="6094" w:type="dxa"/>
          </w:tcPr>
          <w:p w14:paraId="16E4BA64" w14:textId="2CF5F613" w:rsidR="00EF65AE" w:rsidRPr="0077119C" w:rsidRDefault="00EF65AE" w:rsidP="00F973BE">
            <w:r w:rsidRPr="0077119C">
              <w:t>Vanuatu Women's Centre</w:t>
            </w:r>
          </w:p>
        </w:tc>
      </w:tr>
    </w:tbl>
    <w:p w14:paraId="3091A5AD" w14:textId="77777777" w:rsidR="00EF65AE" w:rsidRPr="00EF65AE" w:rsidRDefault="00EF65AE" w:rsidP="00EF65AE">
      <w:pPr>
        <w:rPr>
          <w:rFonts w:cs="Arial"/>
        </w:rPr>
      </w:pPr>
    </w:p>
    <w:p w14:paraId="5E8DB3F0" w14:textId="77777777" w:rsidR="00EF65AE" w:rsidRPr="00EF65AE" w:rsidRDefault="00D36612" w:rsidP="00D36612">
      <w:pPr>
        <w:pStyle w:val="Caption"/>
        <w:rPr>
          <w:rFonts w:cs="Arial"/>
        </w:rPr>
      </w:pPr>
      <w:r>
        <w:t xml:space="preserve">Table </w:t>
      </w:r>
      <w:r w:rsidR="005A236E">
        <w:t>7</w:t>
      </w:r>
      <w:r w:rsidR="00B83C43">
        <w:rPr>
          <w:rFonts w:cs="Arial"/>
        </w:rPr>
        <w:t>: I</w:t>
      </w:r>
      <w:r w:rsidR="00EF65AE" w:rsidRPr="00EF65AE">
        <w:rPr>
          <w:rFonts w:cs="Arial"/>
        </w:rPr>
        <w:t xml:space="preserve">ndividuals interviewed </w:t>
      </w:r>
      <w:r w:rsidR="00410A8E">
        <w:rPr>
          <w:rFonts w:cs="Arial"/>
        </w:rPr>
        <w:t>in this evaluation</w:t>
      </w:r>
      <w:r w:rsidR="00EF65AE" w:rsidRPr="00EF65AE">
        <w:rPr>
          <w:rFonts w:cs="Arial"/>
        </w:rPr>
        <w:t xml:space="preserve"> (by country)</w:t>
      </w:r>
    </w:p>
    <w:tbl>
      <w:tblPr>
        <w:tblStyle w:val="TableGrid"/>
        <w:tblW w:w="9634" w:type="dxa"/>
        <w:tblLook w:val="0420" w:firstRow="1" w:lastRow="0" w:firstColumn="0" w:lastColumn="0" w:noHBand="0" w:noVBand="1"/>
      </w:tblPr>
      <w:tblGrid>
        <w:gridCol w:w="2124"/>
        <w:gridCol w:w="7510"/>
      </w:tblGrid>
      <w:tr w:rsidR="00EF65AE" w:rsidRPr="00745439" w14:paraId="679BA7F9" w14:textId="77777777" w:rsidTr="00B8572E">
        <w:trPr>
          <w:cnfStyle w:val="100000000000" w:firstRow="1" w:lastRow="0" w:firstColumn="0" w:lastColumn="0" w:oddVBand="0" w:evenVBand="0" w:oddHBand="0" w:evenHBand="0" w:firstRowFirstColumn="0" w:firstRowLastColumn="0" w:lastRowFirstColumn="0" w:lastRowLastColumn="0"/>
        </w:trPr>
        <w:tc>
          <w:tcPr>
            <w:tcW w:w="0" w:type="auto"/>
          </w:tcPr>
          <w:p w14:paraId="7D3CF312" w14:textId="77777777" w:rsidR="00EF65AE" w:rsidRPr="00745439" w:rsidRDefault="00EF65AE" w:rsidP="00EF65AE">
            <w:r w:rsidRPr="00745439">
              <w:t>Country</w:t>
            </w:r>
          </w:p>
        </w:tc>
        <w:tc>
          <w:tcPr>
            <w:tcW w:w="7510" w:type="dxa"/>
          </w:tcPr>
          <w:p w14:paraId="26460788" w14:textId="77777777" w:rsidR="00EF65AE" w:rsidRPr="00745439" w:rsidRDefault="00EF65AE" w:rsidP="00EF65AE">
            <w:r w:rsidRPr="00745439">
              <w:t>People interviewed</w:t>
            </w:r>
          </w:p>
        </w:tc>
      </w:tr>
      <w:tr w:rsidR="00EF65AE" w:rsidRPr="00745439" w14:paraId="3CD0A00F" w14:textId="77777777" w:rsidTr="00B8572E">
        <w:tc>
          <w:tcPr>
            <w:tcW w:w="0" w:type="auto"/>
          </w:tcPr>
          <w:p w14:paraId="5987E4CE" w14:textId="77777777" w:rsidR="00EF65AE" w:rsidRPr="00745439" w:rsidRDefault="00EF65AE" w:rsidP="00EF65AE">
            <w:r w:rsidRPr="00745439">
              <w:t>Fiji</w:t>
            </w:r>
          </w:p>
        </w:tc>
        <w:tc>
          <w:tcPr>
            <w:tcW w:w="7510" w:type="dxa"/>
          </w:tcPr>
          <w:p w14:paraId="4D619B83" w14:textId="77777777" w:rsidR="00EF65AE" w:rsidRPr="00745439" w:rsidRDefault="00EF65AE" w:rsidP="00EF65AE">
            <w:r w:rsidRPr="00745439">
              <w:t>Development practitioners</w:t>
            </w:r>
          </w:p>
          <w:p w14:paraId="3497C0EA" w14:textId="77777777" w:rsidR="00EF65AE" w:rsidRPr="00745439" w:rsidRDefault="00EF65AE" w:rsidP="00EF65AE">
            <w:r w:rsidRPr="00745439">
              <w:t>Male advocates</w:t>
            </w:r>
            <w:r w:rsidRPr="00745439">
              <w:rPr>
                <w:b/>
              </w:rPr>
              <w:t xml:space="preserve"> </w:t>
            </w:r>
          </w:p>
        </w:tc>
      </w:tr>
      <w:tr w:rsidR="00EF65AE" w:rsidRPr="00745439" w14:paraId="66F9D95F" w14:textId="77777777" w:rsidTr="00B8572E">
        <w:tc>
          <w:tcPr>
            <w:tcW w:w="0" w:type="auto"/>
          </w:tcPr>
          <w:p w14:paraId="2A992B21" w14:textId="77777777" w:rsidR="00EF65AE" w:rsidRPr="00745439" w:rsidRDefault="00EF65AE" w:rsidP="00EF65AE">
            <w:r w:rsidRPr="00745439">
              <w:t>Indonesia</w:t>
            </w:r>
          </w:p>
        </w:tc>
        <w:tc>
          <w:tcPr>
            <w:tcW w:w="7510" w:type="dxa"/>
          </w:tcPr>
          <w:p w14:paraId="511855FF" w14:textId="77777777" w:rsidR="00EF65AE" w:rsidRPr="00745439" w:rsidRDefault="00EF65AE" w:rsidP="00EF65AE">
            <w:r w:rsidRPr="00B83C43">
              <w:rPr>
                <w:i/>
                <w:iCs/>
              </w:rPr>
              <w:t>Dewi Shinta</w:t>
            </w:r>
            <w:r w:rsidRPr="00745439">
              <w:t>, Bandarharjo Community</w:t>
            </w:r>
            <w:r w:rsidR="00410A8E">
              <w:t xml:space="preserve"> members</w:t>
            </w:r>
          </w:p>
          <w:p w14:paraId="2DA7FCA4" w14:textId="77777777" w:rsidR="00EF65AE" w:rsidRPr="00745439" w:rsidRDefault="00EF65AE" w:rsidP="00EF65AE">
            <w:r w:rsidRPr="00745439">
              <w:t>Kendal Community</w:t>
            </w:r>
            <w:r w:rsidR="00410A8E">
              <w:t xml:space="preserve"> members</w:t>
            </w:r>
          </w:p>
          <w:p w14:paraId="2093F3BA" w14:textId="77777777" w:rsidR="00EF65AE" w:rsidRPr="00B83C43" w:rsidRDefault="00EF65AE" w:rsidP="00B83C43">
            <w:pPr>
              <w:rPr>
                <w:i/>
                <w:iCs/>
              </w:rPr>
            </w:pPr>
            <w:r w:rsidRPr="00B83C43">
              <w:rPr>
                <w:i/>
              </w:rPr>
              <w:t xml:space="preserve">Sekolah </w:t>
            </w:r>
            <w:r w:rsidR="00B83C43" w:rsidRPr="00B83C43">
              <w:rPr>
                <w:i/>
              </w:rPr>
              <w:t>P</w:t>
            </w:r>
            <w:r w:rsidRPr="00B83C43">
              <w:rPr>
                <w:i/>
              </w:rPr>
              <w:t>erempuan</w:t>
            </w:r>
            <w:r w:rsidR="00B83C43" w:rsidRPr="00B83C43">
              <w:t>,</w:t>
            </w:r>
            <w:r w:rsidR="00B83C43">
              <w:t xml:space="preserve"> </w:t>
            </w:r>
            <w:r w:rsidR="00410A8E" w:rsidRPr="00B83C43">
              <w:t>Women’s School</w:t>
            </w:r>
            <w:r w:rsidR="00B83C43" w:rsidRPr="00B83C43">
              <w:t>, participants</w:t>
            </w:r>
          </w:p>
        </w:tc>
      </w:tr>
      <w:tr w:rsidR="00EF65AE" w:rsidRPr="00745439" w14:paraId="635B47F4" w14:textId="77777777" w:rsidTr="00B8572E">
        <w:tc>
          <w:tcPr>
            <w:tcW w:w="0" w:type="auto"/>
          </w:tcPr>
          <w:p w14:paraId="1A14F133" w14:textId="77777777" w:rsidR="00EF65AE" w:rsidRPr="00745439" w:rsidRDefault="00EF65AE" w:rsidP="00EF65AE">
            <w:r w:rsidRPr="00745439">
              <w:t>Papua New Guinea</w:t>
            </w:r>
          </w:p>
        </w:tc>
        <w:tc>
          <w:tcPr>
            <w:tcW w:w="7510" w:type="dxa"/>
          </w:tcPr>
          <w:p w14:paraId="3075E348" w14:textId="77777777" w:rsidR="00EF65AE" w:rsidRPr="00745439" w:rsidRDefault="00EF65AE" w:rsidP="00EF65AE">
            <w:r w:rsidRPr="00745439">
              <w:t xml:space="preserve">Survivors of sorcery accusation related violence, Goroka </w:t>
            </w:r>
          </w:p>
          <w:p w14:paraId="359D0C03" w14:textId="77777777" w:rsidR="00EF65AE" w:rsidRPr="00745439" w:rsidRDefault="00EF65AE" w:rsidP="00EF65AE">
            <w:r w:rsidRPr="00745439">
              <w:t xml:space="preserve">Women’s </w:t>
            </w:r>
            <w:r w:rsidR="00B26C9D">
              <w:t>l</w:t>
            </w:r>
            <w:r w:rsidRPr="00745439">
              <w:t>eader</w:t>
            </w:r>
            <w:r w:rsidR="00B26C9D">
              <w:t xml:space="preserve"> and a</w:t>
            </w:r>
            <w:r w:rsidRPr="00745439">
              <w:t>ctivist</w:t>
            </w:r>
            <w:r w:rsidR="00B26C9D">
              <w:t>—</w:t>
            </w:r>
            <w:r w:rsidRPr="00745439">
              <w:t xml:space="preserve">Bougainville </w:t>
            </w:r>
          </w:p>
          <w:p w14:paraId="64E2942C" w14:textId="77777777" w:rsidR="00EF65AE" w:rsidRPr="00745439" w:rsidRDefault="00EF65AE" w:rsidP="00EF65AE">
            <w:r w:rsidRPr="00745439">
              <w:t>Family and Sexual Violence Action Committee</w:t>
            </w:r>
            <w:r w:rsidR="00B26C9D">
              <w:t xml:space="preserve"> t</w:t>
            </w:r>
            <w:r w:rsidRPr="00745439">
              <w:t xml:space="preserve">raining </w:t>
            </w:r>
            <w:r w:rsidR="00B26C9D">
              <w:t>p</w:t>
            </w:r>
            <w:r w:rsidRPr="00745439">
              <w:t>articipants</w:t>
            </w:r>
          </w:p>
        </w:tc>
      </w:tr>
      <w:tr w:rsidR="00EF65AE" w:rsidRPr="00745439" w14:paraId="6D68FCB3" w14:textId="77777777" w:rsidTr="00B8572E">
        <w:tc>
          <w:tcPr>
            <w:tcW w:w="0" w:type="auto"/>
          </w:tcPr>
          <w:p w14:paraId="3FE45207" w14:textId="77777777" w:rsidR="00EF65AE" w:rsidRPr="00745439" w:rsidRDefault="00EF65AE" w:rsidP="00EF65AE">
            <w:r w:rsidRPr="00745439">
              <w:t>Timor-Leste</w:t>
            </w:r>
          </w:p>
        </w:tc>
        <w:tc>
          <w:tcPr>
            <w:tcW w:w="7510" w:type="dxa"/>
          </w:tcPr>
          <w:p w14:paraId="352BB015" w14:textId="77777777" w:rsidR="00EF65AE" w:rsidRPr="00745439" w:rsidRDefault="00EF65AE" w:rsidP="00EF65AE">
            <w:r w:rsidRPr="00745439">
              <w:t xml:space="preserve">Nabilan Certificate III in Social Services </w:t>
            </w:r>
            <w:r w:rsidR="004F0C71">
              <w:t>p</w:t>
            </w:r>
            <w:r w:rsidRPr="00745439">
              <w:t>articipants (Cert</w:t>
            </w:r>
            <w:r w:rsidR="00B26C9D">
              <w:t>i</w:t>
            </w:r>
            <w:r w:rsidR="00161835">
              <w:t>ficate</w:t>
            </w:r>
            <w:r w:rsidRPr="00745439">
              <w:t xml:space="preserve"> III)</w:t>
            </w:r>
          </w:p>
          <w:p w14:paraId="680EF1CA" w14:textId="77777777" w:rsidR="00EF65AE" w:rsidRPr="00745439" w:rsidRDefault="00EF65AE" w:rsidP="00EF65AE">
            <w:r w:rsidRPr="00745439">
              <w:t xml:space="preserve">Nabilan </w:t>
            </w:r>
            <w:r w:rsidR="004F0C71">
              <w:t>c</w:t>
            </w:r>
            <w:r w:rsidRPr="00745439">
              <w:t xml:space="preserve">hange </w:t>
            </w:r>
            <w:r w:rsidR="004F0C71">
              <w:t>a</w:t>
            </w:r>
            <w:r w:rsidRPr="00745439">
              <w:t>mbassadors</w:t>
            </w:r>
          </w:p>
          <w:p w14:paraId="205EBC42" w14:textId="77777777" w:rsidR="00EF65AE" w:rsidRPr="00745439" w:rsidRDefault="00EF65AE" w:rsidP="00EF65AE">
            <w:r w:rsidRPr="00B95A11">
              <w:rPr>
                <w:i/>
                <w:iCs/>
              </w:rPr>
              <w:t>SASA!</w:t>
            </w:r>
            <w:r w:rsidRPr="00745439">
              <w:t xml:space="preserve"> </w:t>
            </w:r>
            <w:r w:rsidR="00B26C9D">
              <w:t>m</w:t>
            </w:r>
            <w:r w:rsidRPr="00745439">
              <w:t>obilizers</w:t>
            </w:r>
          </w:p>
        </w:tc>
      </w:tr>
    </w:tbl>
    <w:p w14:paraId="6FB35F3A" w14:textId="149B698A" w:rsidR="00EF65AE" w:rsidRPr="00EF65AE" w:rsidRDefault="00EF65AE" w:rsidP="00E96928">
      <w:pPr>
        <w:pStyle w:val="AnnexHeading"/>
      </w:pPr>
      <w:bookmarkStart w:id="477" w:name="_Toc2869578"/>
      <w:bookmarkStart w:id="478" w:name="_Toc4156987"/>
      <w:bookmarkStart w:id="479" w:name="_Toc7209421"/>
      <w:bookmarkStart w:id="480" w:name="_Toc14959633"/>
      <w:bookmarkStart w:id="481" w:name="_Toc15378147"/>
      <w:bookmarkStart w:id="482" w:name="_Toc15378496"/>
      <w:bookmarkStart w:id="483" w:name="_Toc15563038"/>
      <w:bookmarkStart w:id="484" w:name="_Toc23434574"/>
      <w:bookmarkStart w:id="485" w:name="_Toc2869575"/>
      <w:bookmarkStart w:id="486" w:name="_Toc4156981"/>
      <w:bookmarkStart w:id="487" w:name="_Toc7209415"/>
      <w:r w:rsidRPr="00EF65AE">
        <w:t>E</w:t>
      </w:r>
      <w:r w:rsidR="002B24C3">
        <w:t xml:space="preserve">VAWG </w:t>
      </w:r>
      <w:r w:rsidR="004F0C71">
        <w:t>legislation and policies in the</w:t>
      </w:r>
      <w:r w:rsidRPr="00EF65AE">
        <w:t xml:space="preserve"> </w:t>
      </w:r>
      <w:bookmarkEnd w:id="477"/>
      <w:bookmarkEnd w:id="478"/>
      <w:bookmarkEnd w:id="479"/>
      <w:bookmarkEnd w:id="480"/>
      <w:bookmarkEnd w:id="481"/>
      <w:bookmarkEnd w:id="482"/>
      <w:bookmarkEnd w:id="483"/>
      <w:r w:rsidR="009006C8">
        <w:t>Indo-Pacific</w:t>
      </w:r>
      <w:bookmarkEnd w:id="484"/>
    </w:p>
    <w:p w14:paraId="6D454C38" w14:textId="612BA88B" w:rsidR="00353460" w:rsidRDefault="00353460" w:rsidP="00353460">
      <w:bookmarkStart w:id="488" w:name="_Hlk20739232"/>
      <w:r>
        <w:t xml:space="preserve">Legislation and policies relevant to </w:t>
      </w:r>
      <w:r w:rsidR="001D11A0">
        <w:t xml:space="preserve">ending violence against women and girls </w:t>
      </w:r>
      <w:r w:rsidRPr="00353460">
        <w:rPr>
          <w:color w:val="000000" w:themeColor="text1"/>
        </w:rPr>
        <w:t xml:space="preserve">in countries in the Indo-Pacific are </w:t>
      </w:r>
      <w:r>
        <w:t>listed in the tables in this annex.</w:t>
      </w:r>
    </w:p>
    <w:bookmarkEnd w:id="488"/>
    <w:p w14:paraId="2B00C125" w14:textId="69B65F9A" w:rsidR="00EF65AE" w:rsidRPr="00EF65AE" w:rsidRDefault="00D36612" w:rsidP="00D36612">
      <w:pPr>
        <w:pStyle w:val="Caption"/>
        <w:rPr>
          <w:rFonts w:cs="Arial"/>
        </w:rPr>
      </w:pPr>
      <w:r>
        <w:t>Table</w:t>
      </w:r>
      <w:r w:rsidR="00B83C43">
        <w:t xml:space="preserve"> </w:t>
      </w:r>
      <w:r w:rsidR="005A236E">
        <w:t>8</w:t>
      </w:r>
      <w:r w:rsidR="00EF65AE" w:rsidRPr="00EF65AE">
        <w:rPr>
          <w:rFonts w:cs="Arial"/>
        </w:rPr>
        <w:t xml:space="preserve">: National legislation and policies related to violence against women and girls in the </w:t>
      </w:r>
      <w:r w:rsidR="009006C8">
        <w:rPr>
          <w:rFonts w:cs="Arial"/>
        </w:rPr>
        <w:t>Indo-Pacific</w:t>
      </w:r>
      <w:r w:rsidR="00EF65AE" w:rsidRPr="00EF65AE">
        <w:rPr>
          <w:rFonts w:cs="Arial"/>
          <w:vertAlign w:val="superscript"/>
        </w:rPr>
        <w:fldChar w:fldCharType="begin"/>
      </w:r>
      <w:r w:rsidR="00EF65AE" w:rsidRPr="00EF65AE">
        <w:rPr>
          <w:rFonts w:cs="Arial"/>
          <w:vertAlign w:val="superscript"/>
        </w:rPr>
        <w:instrText xml:space="preserve"> ADDIN ZOTERO_ITEM CSL_CITATION {"citationID":"jH2vZMQV","properties":{"formattedCitation":"\\super 57,136,137\\nosupersub{}","plainCitation":"57,136,137","noteIndex":0},"citationItems":[{"id":"LnUt4Vs6/J96gLFYw","uris":["http://zotero.org/users/local/dqL838ot/items/PQ9SVKZV"],"uri":["http://zotero.org/users/local/dqL838ot/items/PQ9SVKZV"],"itemData":{"id":"EA5h1AEv/XXmfSaPV","type":"report","title":"Legislative Barriers to Gender Equality in Pacific Island Countries","publisher":"Pacific Women Shaping Pacific Development","publisher-place":"Suva","event-place":"Suva","author":[{"family":"Pacific Women Shaping Pacific Development Support Unit","given":""}],"issued":{"date-parts":[["2018"]]}}},{"id":2556,"uris":["http://zotero.org/users/4194704/items/4NVJCCQY"],"uri":["http://zotero.org/users/4194704/items/4NVJCCQY"],"itemData":{"id":2556,"type":"report","title":"Supplement to LAW FOR PACIFIC WOMEN: A Legal Rights Handbook. Suva: Secretariat of the Pacific Community.","publisher":"Pacific Regional RIghts Resouce Team","publisher-place":"Suva, Fiji","event-place":"Suva, Fiji","author":[{"literal":"Pacific Regional RIghts Resource Team"}],"issued":{"date-parts":[["2013"]]}}},{"id":2555,"uris":["http://zotero.org/users/4194704/items/WVW7UDAR"],"uri":["http://zotero.org/users/4194704/items/WVW7UDAR"],"itemData":{"id":2555,"type":"report","title":"Women, Business and the Law 2018","publisher":"World Bank","publisher-place":"Washington, D.C","event-place":"Washington, D.C","author":[{"literal":"World Bank"}],"issued":{"date-parts":[["2018"]]}}}],"schema":"https://github.com/citation-style-language/schema/raw/master/csl-citation.json"} </w:instrText>
      </w:r>
      <w:r w:rsidR="00EF65AE" w:rsidRPr="00EF65AE">
        <w:rPr>
          <w:rFonts w:cs="Arial"/>
          <w:vertAlign w:val="superscript"/>
        </w:rPr>
        <w:fldChar w:fldCharType="separate"/>
      </w:r>
      <w:r w:rsidR="00EF65AE" w:rsidRPr="00EF65AE">
        <w:rPr>
          <w:rFonts w:cs="Arial"/>
          <w:vertAlign w:val="superscript"/>
          <w:lang w:val="en-US"/>
        </w:rPr>
        <w:t>57,136,137</w:t>
      </w:r>
      <w:r w:rsidR="00EF65AE" w:rsidRPr="00EF65AE">
        <w:rPr>
          <w:rFonts w:cs="Arial"/>
          <w:vertAlign w:val="superscript"/>
        </w:rPr>
        <w:fldChar w:fldCharType="end"/>
      </w:r>
    </w:p>
    <w:tbl>
      <w:tblPr>
        <w:tblStyle w:val="TableGrid"/>
        <w:tblW w:w="5000" w:type="pct"/>
        <w:tblLayout w:type="fixed"/>
        <w:tblLook w:val="0420" w:firstRow="1" w:lastRow="0" w:firstColumn="0" w:lastColumn="0" w:noHBand="0" w:noVBand="1"/>
      </w:tblPr>
      <w:tblGrid>
        <w:gridCol w:w="3800"/>
        <w:gridCol w:w="1440"/>
        <w:gridCol w:w="2553"/>
        <w:gridCol w:w="1835"/>
      </w:tblGrid>
      <w:tr w:rsidR="00560924" w:rsidRPr="00EC1DA8" w14:paraId="3205354F" w14:textId="77777777" w:rsidTr="00560924">
        <w:trPr>
          <w:cnfStyle w:val="100000000000" w:firstRow="1" w:lastRow="0" w:firstColumn="0" w:lastColumn="0" w:oddVBand="0" w:evenVBand="0" w:oddHBand="0" w:evenHBand="0" w:firstRowFirstColumn="0" w:firstRowLastColumn="0" w:lastRowFirstColumn="0" w:lastRowLastColumn="0"/>
          <w:trHeight w:val="679"/>
        </w:trPr>
        <w:tc>
          <w:tcPr>
            <w:tcW w:w="1973" w:type="pct"/>
            <w:hideMark/>
          </w:tcPr>
          <w:p w14:paraId="56FE7983" w14:textId="77777777" w:rsidR="00EF65AE" w:rsidRPr="00EC1DA8" w:rsidRDefault="00EF65AE" w:rsidP="00EF65AE">
            <w:pPr>
              <w:rPr>
                <w:lang w:eastAsia="en-AU"/>
              </w:rPr>
            </w:pPr>
            <w:r w:rsidRPr="00EC1DA8">
              <w:rPr>
                <w:lang w:eastAsia="en-AU"/>
              </w:rPr>
              <w:t>Country</w:t>
            </w:r>
          </w:p>
        </w:tc>
        <w:tc>
          <w:tcPr>
            <w:tcW w:w="748" w:type="pct"/>
            <w:hideMark/>
          </w:tcPr>
          <w:p w14:paraId="7B8884F5" w14:textId="77777777" w:rsidR="00EF65AE" w:rsidRPr="00EC1DA8" w:rsidRDefault="00EF65AE" w:rsidP="00EF65AE">
            <w:pPr>
              <w:rPr>
                <w:lang w:eastAsia="en-AU"/>
              </w:rPr>
            </w:pPr>
            <w:r w:rsidRPr="00EC1DA8">
              <w:rPr>
                <w:lang w:eastAsia="en-AU"/>
              </w:rPr>
              <w:t>Legislation on domestic violence</w:t>
            </w:r>
          </w:p>
        </w:tc>
        <w:tc>
          <w:tcPr>
            <w:tcW w:w="1326" w:type="pct"/>
            <w:hideMark/>
          </w:tcPr>
          <w:p w14:paraId="3F619A33" w14:textId="77777777" w:rsidR="00EF65AE" w:rsidRPr="00EC1DA8" w:rsidRDefault="00EF65AE" w:rsidP="00EF65AE">
            <w:pPr>
              <w:rPr>
                <w:lang w:eastAsia="en-AU"/>
              </w:rPr>
            </w:pPr>
            <w:r w:rsidRPr="00EC1DA8">
              <w:rPr>
                <w:lang w:eastAsia="en-AU"/>
              </w:rPr>
              <w:t>Marital rape criminalised</w:t>
            </w:r>
          </w:p>
        </w:tc>
        <w:tc>
          <w:tcPr>
            <w:tcW w:w="953" w:type="pct"/>
            <w:hideMark/>
          </w:tcPr>
          <w:p w14:paraId="1E655F49" w14:textId="77777777" w:rsidR="00EF65AE" w:rsidRPr="00EC1DA8" w:rsidRDefault="00EF65AE" w:rsidP="00EF65AE">
            <w:pPr>
              <w:rPr>
                <w:lang w:eastAsia="en-AU"/>
              </w:rPr>
            </w:pPr>
            <w:r w:rsidRPr="00EC1DA8">
              <w:rPr>
                <w:lang w:eastAsia="en-AU"/>
              </w:rPr>
              <w:t>Legislation on sexual harassment</w:t>
            </w:r>
          </w:p>
        </w:tc>
      </w:tr>
      <w:tr w:rsidR="00EF65AE" w:rsidRPr="00EC1DA8" w14:paraId="43746F35" w14:textId="77777777" w:rsidTr="00B83C43">
        <w:trPr>
          <w:trHeight w:val="303"/>
        </w:trPr>
        <w:tc>
          <w:tcPr>
            <w:tcW w:w="0" w:type="pct"/>
            <w:gridSpan w:val="4"/>
            <w:noWrap/>
            <w:hideMark/>
          </w:tcPr>
          <w:p w14:paraId="0CDADD9C" w14:textId="77777777" w:rsidR="00EF65AE" w:rsidRPr="004F0C71" w:rsidRDefault="00EF65AE" w:rsidP="00EF65AE">
            <w:pPr>
              <w:rPr>
                <w:b/>
                <w:bCs/>
                <w:lang w:eastAsia="en-AU"/>
              </w:rPr>
            </w:pPr>
            <w:r w:rsidRPr="00B83C43">
              <w:rPr>
                <w:b/>
                <w:bCs/>
                <w:lang w:eastAsia="en-AU"/>
              </w:rPr>
              <w:t>Pacific</w:t>
            </w:r>
          </w:p>
        </w:tc>
      </w:tr>
      <w:tr w:rsidR="00560924" w:rsidRPr="00EC1DA8" w14:paraId="629715A2" w14:textId="77777777" w:rsidTr="00560924">
        <w:trPr>
          <w:trHeight w:val="283"/>
        </w:trPr>
        <w:tc>
          <w:tcPr>
            <w:tcW w:w="1973" w:type="pct"/>
            <w:noWrap/>
            <w:hideMark/>
          </w:tcPr>
          <w:p w14:paraId="64DB0D4F" w14:textId="77777777" w:rsidR="00EF65AE" w:rsidRPr="00EC1DA8" w:rsidRDefault="00EF65AE" w:rsidP="00EF65AE">
            <w:pPr>
              <w:rPr>
                <w:b/>
                <w:lang w:eastAsia="en-AU"/>
              </w:rPr>
            </w:pPr>
            <w:r w:rsidRPr="00EC1DA8">
              <w:rPr>
                <w:lang w:eastAsia="en-AU"/>
              </w:rPr>
              <w:t>Fiji</w:t>
            </w:r>
            <w:r w:rsidRPr="009E5BF6">
              <w:rPr>
                <w:rStyle w:val="FootnoteReference"/>
              </w:rPr>
              <w:footnoteReference w:id="7"/>
            </w:r>
            <w:r w:rsidRPr="00EC1DA8">
              <w:rPr>
                <w:lang w:eastAsia="en-AU"/>
              </w:rPr>
              <w:t xml:space="preserve"> </w:t>
            </w:r>
          </w:p>
        </w:tc>
        <w:tc>
          <w:tcPr>
            <w:tcW w:w="748" w:type="pct"/>
            <w:noWrap/>
            <w:hideMark/>
          </w:tcPr>
          <w:p w14:paraId="429A6D5C" w14:textId="77777777" w:rsidR="00EF65AE" w:rsidRPr="00EC1DA8" w:rsidRDefault="00EF65AE" w:rsidP="00EF65AE">
            <w:pPr>
              <w:rPr>
                <w:lang w:eastAsia="en-AU"/>
              </w:rPr>
            </w:pPr>
            <w:r w:rsidRPr="00EC1DA8">
              <w:rPr>
                <w:lang w:eastAsia="en-AU"/>
              </w:rPr>
              <w:t>Yes</w:t>
            </w:r>
          </w:p>
        </w:tc>
        <w:tc>
          <w:tcPr>
            <w:tcW w:w="1326" w:type="pct"/>
            <w:noWrap/>
          </w:tcPr>
          <w:p w14:paraId="39623E36" w14:textId="135DE30E" w:rsidR="00EF65AE" w:rsidRPr="00EC1DA8" w:rsidRDefault="00EF65AE" w:rsidP="00EF65AE">
            <w:pPr>
              <w:rPr>
                <w:lang w:eastAsia="en-AU"/>
              </w:rPr>
            </w:pPr>
            <w:r w:rsidRPr="00EC1DA8">
              <w:rPr>
                <w:lang w:eastAsia="en-AU"/>
              </w:rPr>
              <w:t>Yes, but not explicitly</w:t>
            </w:r>
            <w:r w:rsidR="005A145C">
              <w:rPr>
                <w:rStyle w:val="FootnoteReference"/>
                <w:lang w:eastAsia="en-AU"/>
              </w:rPr>
              <w:footnoteReference w:id="8"/>
            </w:r>
          </w:p>
        </w:tc>
        <w:tc>
          <w:tcPr>
            <w:tcW w:w="953" w:type="pct"/>
            <w:noWrap/>
          </w:tcPr>
          <w:p w14:paraId="08F964A7" w14:textId="77777777" w:rsidR="00EF65AE" w:rsidRPr="00EC1DA8" w:rsidRDefault="00EF65AE" w:rsidP="00EF65AE">
            <w:pPr>
              <w:rPr>
                <w:lang w:eastAsia="en-AU"/>
              </w:rPr>
            </w:pPr>
          </w:p>
        </w:tc>
      </w:tr>
      <w:tr w:rsidR="00560924" w:rsidRPr="00EC1DA8" w14:paraId="7168692C" w14:textId="77777777" w:rsidTr="00560924">
        <w:trPr>
          <w:trHeight w:val="283"/>
        </w:trPr>
        <w:tc>
          <w:tcPr>
            <w:tcW w:w="1973" w:type="pct"/>
            <w:noWrap/>
            <w:hideMark/>
          </w:tcPr>
          <w:p w14:paraId="5925E62E" w14:textId="586D6C8C" w:rsidR="00EF65AE" w:rsidRPr="00EC1DA8" w:rsidRDefault="00EF65AE" w:rsidP="00EF65AE">
            <w:pPr>
              <w:rPr>
                <w:b/>
                <w:lang w:eastAsia="en-AU"/>
              </w:rPr>
            </w:pPr>
            <w:r w:rsidRPr="00EC1DA8">
              <w:rPr>
                <w:lang w:eastAsia="en-AU"/>
              </w:rPr>
              <w:t>F</w:t>
            </w:r>
            <w:r w:rsidR="004F0C71">
              <w:rPr>
                <w:lang w:eastAsia="en-AU"/>
              </w:rPr>
              <w:t>ederated States of Micronesia</w:t>
            </w:r>
            <w:r w:rsidRPr="00EC1DA8">
              <w:rPr>
                <w:lang w:eastAsia="en-AU"/>
              </w:rPr>
              <w:t xml:space="preserve"> </w:t>
            </w:r>
            <w:r w:rsidRPr="00EC1DA8">
              <w:rPr>
                <w:b/>
                <w:lang w:eastAsia="en-AU"/>
              </w:rPr>
              <w:fldChar w:fldCharType="begin"/>
            </w:r>
            <w:r w:rsidRPr="00EC1DA8">
              <w:rPr>
                <w:lang w:eastAsia="en-AU"/>
              </w:rPr>
              <w:instrText xml:space="preserve"> ADDIN ZOTERO_ITEM CSL_CITATION {"citationID":"xpw0L8QS","properties":{"formattedCitation":"\\super 57\\nosupersub{}","plainCitation":"57","noteIndex":0},"citationItems":[{"id":"LnUt4Vs6/J96gLFYw","uris":["http://zotero.org/users/local/dqL838ot/items/PQ9SVKZV"],"uri":["http://zotero.org/users/local/dqL838ot/items/PQ9SVKZV"],"itemData":{"id":"EA5h1AEv/XXmfSaPV","type":"report","title":"Legislative Barriers to Gender Equality in Pacific Island Countries","publisher":"Pacific Women Shaping Pacific Development","publisher-place":"Suva","event-place":"Suva","author":[{"family":"Pacific Women Shaping Pacific Development Support Unit","given":""}],"issued":{"date-parts":[["2018"]]}}}],"schema":"https://github.com/citation-style-language/schema/raw/master/csl-citation.json"} </w:instrText>
            </w:r>
            <w:r w:rsidRPr="00EC1DA8">
              <w:rPr>
                <w:b/>
                <w:lang w:eastAsia="en-AU"/>
              </w:rPr>
              <w:fldChar w:fldCharType="separate"/>
            </w:r>
            <w:r w:rsidRPr="00EC1DA8">
              <w:rPr>
                <w:vertAlign w:val="superscript"/>
                <w:lang w:val="en-US"/>
              </w:rPr>
              <w:t>57</w:t>
            </w:r>
            <w:r w:rsidRPr="00EC1DA8">
              <w:rPr>
                <w:b/>
                <w:lang w:eastAsia="en-AU"/>
              </w:rPr>
              <w:fldChar w:fldCharType="end"/>
            </w:r>
          </w:p>
        </w:tc>
        <w:tc>
          <w:tcPr>
            <w:tcW w:w="748" w:type="pct"/>
            <w:noWrap/>
            <w:hideMark/>
          </w:tcPr>
          <w:p w14:paraId="1DFC55FE" w14:textId="77777777" w:rsidR="00EF65AE" w:rsidRDefault="0051101B" w:rsidP="00EF65AE">
            <w:pPr>
              <w:rPr>
                <w:lang w:eastAsia="en-AU"/>
              </w:rPr>
            </w:pPr>
            <w:r>
              <w:rPr>
                <w:lang w:eastAsia="en-AU"/>
              </w:rPr>
              <w:t>Yes</w:t>
            </w:r>
          </w:p>
          <w:p w14:paraId="747BBE99" w14:textId="77777777" w:rsidR="0051101B" w:rsidRPr="00EC1DA8" w:rsidRDefault="0051101B" w:rsidP="00EF65AE">
            <w:pPr>
              <w:rPr>
                <w:lang w:eastAsia="en-AU"/>
              </w:rPr>
            </w:pPr>
            <w:r w:rsidRPr="00A93BA3">
              <w:t>Kosrae and Pohnpei</w:t>
            </w:r>
          </w:p>
        </w:tc>
        <w:tc>
          <w:tcPr>
            <w:tcW w:w="1326" w:type="pct"/>
            <w:noWrap/>
          </w:tcPr>
          <w:p w14:paraId="4A4BDECE" w14:textId="77777777" w:rsidR="00EF65AE" w:rsidRPr="00EC1DA8" w:rsidRDefault="00EF65AE" w:rsidP="00EF65AE">
            <w:pPr>
              <w:rPr>
                <w:lang w:eastAsia="en-AU"/>
              </w:rPr>
            </w:pPr>
          </w:p>
        </w:tc>
        <w:tc>
          <w:tcPr>
            <w:tcW w:w="953" w:type="pct"/>
            <w:noWrap/>
          </w:tcPr>
          <w:p w14:paraId="5BAF5BFA" w14:textId="77777777" w:rsidR="00EF65AE" w:rsidRPr="00EC1DA8" w:rsidRDefault="00EF65AE" w:rsidP="00EF65AE">
            <w:pPr>
              <w:rPr>
                <w:lang w:eastAsia="en-AU"/>
              </w:rPr>
            </w:pPr>
          </w:p>
        </w:tc>
      </w:tr>
      <w:tr w:rsidR="00560924" w:rsidRPr="00EC1DA8" w14:paraId="5D2221DB" w14:textId="77777777" w:rsidTr="00560924">
        <w:trPr>
          <w:trHeight w:val="283"/>
        </w:trPr>
        <w:tc>
          <w:tcPr>
            <w:tcW w:w="1973" w:type="pct"/>
            <w:noWrap/>
            <w:hideMark/>
          </w:tcPr>
          <w:p w14:paraId="4D97B7A4" w14:textId="77777777" w:rsidR="00EF65AE" w:rsidRPr="00EC1DA8" w:rsidRDefault="00EF65AE" w:rsidP="00EF65AE">
            <w:pPr>
              <w:rPr>
                <w:b/>
                <w:lang w:eastAsia="en-AU"/>
              </w:rPr>
            </w:pPr>
            <w:r w:rsidRPr="00EC1DA8">
              <w:rPr>
                <w:lang w:eastAsia="en-AU"/>
              </w:rPr>
              <w:t xml:space="preserve">Kiribati </w:t>
            </w:r>
          </w:p>
        </w:tc>
        <w:tc>
          <w:tcPr>
            <w:tcW w:w="748" w:type="pct"/>
            <w:noWrap/>
          </w:tcPr>
          <w:p w14:paraId="506CF5C1" w14:textId="77777777" w:rsidR="00EF65AE" w:rsidRPr="00EC1DA8" w:rsidRDefault="00EF65AE" w:rsidP="00EF65AE">
            <w:pPr>
              <w:rPr>
                <w:lang w:eastAsia="en-AU"/>
              </w:rPr>
            </w:pPr>
          </w:p>
        </w:tc>
        <w:tc>
          <w:tcPr>
            <w:tcW w:w="1326" w:type="pct"/>
            <w:noWrap/>
          </w:tcPr>
          <w:p w14:paraId="7F1CCB85" w14:textId="77777777" w:rsidR="00EF65AE" w:rsidRPr="00EC1DA8" w:rsidRDefault="00EF65AE" w:rsidP="00EF65AE">
            <w:pPr>
              <w:rPr>
                <w:lang w:eastAsia="en-AU"/>
              </w:rPr>
            </w:pPr>
            <w:r w:rsidRPr="00EC1DA8">
              <w:rPr>
                <w:lang w:eastAsia="en-AU"/>
              </w:rPr>
              <w:t>Yes, but not explicitly</w:t>
            </w:r>
          </w:p>
        </w:tc>
        <w:tc>
          <w:tcPr>
            <w:tcW w:w="953" w:type="pct"/>
            <w:noWrap/>
          </w:tcPr>
          <w:p w14:paraId="0EB8A86D" w14:textId="77777777" w:rsidR="00EF65AE" w:rsidRPr="00EC1DA8" w:rsidRDefault="00EF65AE" w:rsidP="00EF65AE">
            <w:pPr>
              <w:rPr>
                <w:lang w:eastAsia="en-AU"/>
              </w:rPr>
            </w:pPr>
          </w:p>
        </w:tc>
      </w:tr>
      <w:tr w:rsidR="00560924" w:rsidRPr="00EC1DA8" w14:paraId="638C0ED9" w14:textId="77777777" w:rsidTr="00560924">
        <w:trPr>
          <w:trHeight w:val="283"/>
        </w:trPr>
        <w:tc>
          <w:tcPr>
            <w:tcW w:w="1973" w:type="pct"/>
            <w:noWrap/>
            <w:hideMark/>
          </w:tcPr>
          <w:p w14:paraId="0179BA9C" w14:textId="77777777" w:rsidR="00EF65AE" w:rsidRPr="00EC1DA8" w:rsidRDefault="00EF65AE" w:rsidP="00EF65AE">
            <w:pPr>
              <w:rPr>
                <w:b/>
                <w:lang w:eastAsia="en-AU"/>
              </w:rPr>
            </w:pPr>
            <w:r w:rsidRPr="00EC1DA8">
              <w:rPr>
                <w:lang w:eastAsia="en-AU"/>
              </w:rPr>
              <w:t xml:space="preserve">Marshall Islands </w:t>
            </w:r>
          </w:p>
        </w:tc>
        <w:tc>
          <w:tcPr>
            <w:tcW w:w="748" w:type="pct"/>
            <w:noWrap/>
          </w:tcPr>
          <w:p w14:paraId="35F8A34D" w14:textId="77777777" w:rsidR="00EF65AE" w:rsidRPr="00EC1DA8" w:rsidRDefault="00EF65AE" w:rsidP="00EF65AE">
            <w:pPr>
              <w:rPr>
                <w:lang w:eastAsia="en-AU"/>
              </w:rPr>
            </w:pPr>
          </w:p>
        </w:tc>
        <w:tc>
          <w:tcPr>
            <w:tcW w:w="1326" w:type="pct"/>
            <w:noWrap/>
          </w:tcPr>
          <w:p w14:paraId="1E9D9665" w14:textId="77777777" w:rsidR="00EF65AE" w:rsidRPr="00EC1DA8" w:rsidRDefault="00EF65AE" w:rsidP="00EF65AE">
            <w:pPr>
              <w:rPr>
                <w:lang w:eastAsia="en-AU"/>
              </w:rPr>
            </w:pPr>
            <w:r w:rsidRPr="00EC1DA8">
              <w:rPr>
                <w:lang w:eastAsia="en-AU"/>
              </w:rPr>
              <w:t>Yes, but not explicitly</w:t>
            </w:r>
          </w:p>
        </w:tc>
        <w:tc>
          <w:tcPr>
            <w:tcW w:w="953" w:type="pct"/>
            <w:noWrap/>
          </w:tcPr>
          <w:p w14:paraId="1E9F6255" w14:textId="77777777" w:rsidR="00EF65AE" w:rsidRPr="00EC1DA8" w:rsidRDefault="00EF65AE" w:rsidP="00EF65AE">
            <w:pPr>
              <w:rPr>
                <w:lang w:eastAsia="en-AU"/>
              </w:rPr>
            </w:pPr>
          </w:p>
        </w:tc>
      </w:tr>
      <w:tr w:rsidR="00560924" w:rsidRPr="00EC1DA8" w14:paraId="7A6E0DA2" w14:textId="77777777" w:rsidTr="00560924">
        <w:trPr>
          <w:trHeight w:val="283"/>
        </w:trPr>
        <w:tc>
          <w:tcPr>
            <w:tcW w:w="1973" w:type="pct"/>
            <w:noWrap/>
          </w:tcPr>
          <w:p w14:paraId="0F228EF9" w14:textId="77777777" w:rsidR="00EF65AE" w:rsidRPr="00EC1DA8" w:rsidRDefault="00EF65AE" w:rsidP="00EF65AE">
            <w:pPr>
              <w:rPr>
                <w:b/>
                <w:lang w:eastAsia="en-AU"/>
              </w:rPr>
            </w:pPr>
            <w:r w:rsidRPr="00EC1DA8">
              <w:rPr>
                <w:lang w:eastAsia="en-AU"/>
              </w:rPr>
              <w:t>Nauru</w:t>
            </w:r>
          </w:p>
        </w:tc>
        <w:tc>
          <w:tcPr>
            <w:tcW w:w="748" w:type="pct"/>
            <w:noWrap/>
          </w:tcPr>
          <w:p w14:paraId="3BD3AEC3" w14:textId="77777777" w:rsidR="00EF65AE" w:rsidRPr="00EC1DA8" w:rsidRDefault="00EF65AE" w:rsidP="00EF65AE">
            <w:pPr>
              <w:rPr>
                <w:lang w:eastAsia="en-AU"/>
              </w:rPr>
            </w:pPr>
          </w:p>
        </w:tc>
        <w:tc>
          <w:tcPr>
            <w:tcW w:w="1326" w:type="pct"/>
            <w:noWrap/>
          </w:tcPr>
          <w:p w14:paraId="42E4538B" w14:textId="77777777" w:rsidR="00EF65AE" w:rsidRPr="00EC1DA8" w:rsidRDefault="00EF65AE" w:rsidP="00EF65AE">
            <w:pPr>
              <w:rPr>
                <w:lang w:eastAsia="en-AU"/>
              </w:rPr>
            </w:pPr>
          </w:p>
        </w:tc>
        <w:tc>
          <w:tcPr>
            <w:tcW w:w="953" w:type="pct"/>
            <w:noWrap/>
          </w:tcPr>
          <w:p w14:paraId="4C65DA21" w14:textId="77777777" w:rsidR="00EF65AE" w:rsidRPr="00EC1DA8" w:rsidRDefault="00EF65AE" w:rsidP="00EF65AE">
            <w:pPr>
              <w:rPr>
                <w:lang w:eastAsia="en-AU"/>
              </w:rPr>
            </w:pPr>
          </w:p>
        </w:tc>
      </w:tr>
      <w:tr w:rsidR="00560924" w:rsidRPr="00EC1DA8" w14:paraId="738B819F" w14:textId="77777777" w:rsidTr="00560924">
        <w:trPr>
          <w:trHeight w:val="283"/>
        </w:trPr>
        <w:tc>
          <w:tcPr>
            <w:tcW w:w="1973" w:type="pct"/>
            <w:noWrap/>
            <w:hideMark/>
          </w:tcPr>
          <w:p w14:paraId="6B0E0466" w14:textId="77777777" w:rsidR="00EF65AE" w:rsidRPr="00EC1DA8" w:rsidRDefault="00EF65AE" w:rsidP="00EF65AE">
            <w:pPr>
              <w:rPr>
                <w:b/>
                <w:lang w:eastAsia="en-AU"/>
              </w:rPr>
            </w:pPr>
            <w:r w:rsidRPr="00EC1DA8">
              <w:rPr>
                <w:lang w:eastAsia="en-AU"/>
              </w:rPr>
              <w:t>Palau</w:t>
            </w:r>
          </w:p>
        </w:tc>
        <w:tc>
          <w:tcPr>
            <w:tcW w:w="748" w:type="pct"/>
            <w:noWrap/>
          </w:tcPr>
          <w:p w14:paraId="13CBA356" w14:textId="77777777" w:rsidR="00EF65AE" w:rsidRPr="00EC1DA8" w:rsidRDefault="00EF65AE" w:rsidP="00EF65AE">
            <w:pPr>
              <w:rPr>
                <w:lang w:eastAsia="en-AU"/>
              </w:rPr>
            </w:pPr>
          </w:p>
        </w:tc>
        <w:tc>
          <w:tcPr>
            <w:tcW w:w="1326" w:type="pct"/>
            <w:noWrap/>
          </w:tcPr>
          <w:p w14:paraId="0645CB79" w14:textId="77777777" w:rsidR="00EF65AE" w:rsidRPr="00EC1DA8" w:rsidRDefault="00EF65AE" w:rsidP="00EF65AE">
            <w:pPr>
              <w:rPr>
                <w:lang w:eastAsia="en-AU"/>
              </w:rPr>
            </w:pPr>
          </w:p>
        </w:tc>
        <w:tc>
          <w:tcPr>
            <w:tcW w:w="953" w:type="pct"/>
            <w:noWrap/>
          </w:tcPr>
          <w:p w14:paraId="3E9BA165" w14:textId="77777777" w:rsidR="00EF65AE" w:rsidRPr="00EC1DA8" w:rsidRDefault="00EF65AE" w:rsidP="00EF65AE">
            <w:pPr>
              <w:rPr>
                <w:lang w:eastAsia="en-AU"/>
              </w:rPr>
            </w:pPr>
          </w:p>
        </w:tc>
      </w:tr>
      <w:tr w:rsidR="00560924" w:rsidRPr="00EC1DA8" w14:paraId="76E83249" w14:textId="77777777" w:rsidTr="00560924">
        <w:trPr>
          <w:trHeight w:val="283"/>
        </w:trPr>
        <w:tc>
          <w:tcPr>
            <w:tcW w:w="1973" w:type="pct"/>
            <w:noWrap/>
            <w:hideMark/>
          </w:tcPr>
          <w:p w14:paraId="49F89A1C" w14:textId="77777777" w:rsidR="00EF65AE" w:rsidRPr="00EC1DA8" w:rsidRDefault="00EF65AE" w:rsidP="00EF65AE">
            <w:pPr>
              <w:rPr>
                <w:b/>
                <w:lang w:eastAsia="en-AU"/>
              </w:rPr>
            </w:pPr>
            <w:r w:rsidRPr="00EC1DA8">
              <w:rPr>
                <w:lang w:eastAsia="en-AU"/>
              </w:rPr>
              <w:t>P</w:t>
            </w:r>
            <w:r w:rsidR="004F0C71">
              <w:rPr>
                <w:lang w:eastAsia="en-AU"/>
              </w:rPr>
              <w:t xml:space="preserve">apua </w:t>
            </w:r>
            <w:r w:rsidRPr="00EC1DA8">
              <w:rPr>
                <w:lang w:eastAsia="en-AU"/>
              </w:rPr>
              <w:t>N</w:t>
            </w:r>
            <w:r w:rsidR="004F0C71">
              <w:rPr>
                <w:lang w:eastAsia="en-AU"/>
              </w:rPr>
              <w:t xml:space="preserve">ew </w:t>
            </w:r>
            <w:r w:rsidRPr="00EC1DA8">
              <w:rPr>
                <w:lang w:eastAsia="en-AU"/>
              </w:rPr>
              <w:t>G</w:t>
            </w:r>
            <w:r w:rsidR="004F0C71">
              <w:rPr>
                <w:lang w:eastAsia="en-AU"/>
              </w:rPr>
              <w:t>uinea</w:t>
            </w:r>
            <w:r w:rsidRPr="009E5BF6">
              <w:rPr>
                <w:rStyle w:val="FootnoteReference"/>
              </w:rPr>
              <w:footnoteReference w:id="9"/>
            </w:r>
            <w:r w:rsidRPr="00EC1DA8">
              <w:rPr>
                <w:lang w:eastAsia="en-AU"/>
              </w:rPr>
              <w:t xml:space="preserve"> </w:t>
            </w:r>
          </w:p>
        </w:tc>
        <w:tc>
          <w:tcPr>
            <w:tcW w:w="748" w:type="pct"/>
            <w:noWrap/>
          </w:tcPr>
          <w:p w14:paraId="613D0CFF" w14:textId="77777777" w:rsidR="00EF65AE" w:rsidRPr="00EC1DA8" w:rsidRDefault="00EF65AE" w:rsidP="00EF65AE">
            <w:pPr>
              <w:rPr>
                <w:lang w:eastAsia="en-AU"/>
              </w:rPr>
            </w:pPr>
          </w:p>
        </w:tc>
        <w:tc>
          <w:tcPr>
            <w:tcW w:w="1326" w:type="pct"/>
            <w:noWrap/>
          </w:tcPr>
          <w:p w14:paraId="7E2870E5" w14:textId="77777777" w:rsidR="00EF65AE" w:rsidRPr="00EC1DA8" w:rsidRDefault="00EF65AE" w:rsidP="00EF65AE">
            <w:pPr>
              <w:rPr>
                <w:lang w:eastAsia="en-AU"/>
              </w:rPr>
            </w:pPr>
            <w:r w:rsidRPr="00EC1DA8">
              <w:rPr>
                <w:lang w:eastAsia="en-AU"/>
              </w:rPr>
              <w:t>Yes, but not explicitly</w:t>
            </w:r>
          </w:p>
        </w:tc>
        <w:tc>
          <w:tcPr>
            <w:tcW w:w="953" w:type="pct"/>
            <w:noWrap/>
          </w:tcPr>
          <w:p w14:paraId="707FEE5C" w14:textId="77777777" w:rsidR="00EF65AE" w:rsidRPr="00EC1DA8" w:rsidRDefault="00EF65AE" w:rsidP="00EF65AE">
            <w:pPr>
              <w:rPr>
                <w:lang w:eastAsia="en-AU"/>
              </w:rPr>
            </w:pPr>
            <w:r w:rsidRPr="00EC1DA8">
              <w:rPr>
                <w:lang w:eastAsia="en-AU"/>
              </w:rPr>
              <w:t>Yes, but not explicitly</w:t>
            </w:r>
          </w:p>
        </w:tc>
      </w:tr>
      <w:tr w:rsidR="00560924" w:rsidRPr="00EC1DA8" w14:paraId="12AAFE5C" w14:textId="77777777" w:rsidTr="00560924">
        <w:trPr>
          <w:trHeight w:val="283"/>
        </w:trPr>
        <w:tc>
          <w:tcPr>
            <w:tcW w:w="1973" w:type="pct"/>
            <w:noWrap/>
            <w:hideMark/>
          </w:tcPr>
          <w:p w14:paraId="44DE05E4" w14:textId="77777777" w:rsidR="00EF65AE" w:rsidRPr="00EC1DA8" w:rsidRDefault="00EF65AE" w:rsidP="00EF65AE">
            <w:pPr>
              <w:rPr>
                <w:b/>
                <w:lang w:eastAsia="en-AU"/>
              </w:rPr>
            </w:pPr>
            <w:r w:rsidRPr="00EC1DA8">
              <w:rPr>
                <w:lang w:eastAsia="en-AU"/>
              </w:rPr>
              <w:t xml:space="preserve">Samoa </w:t>
            </w:r>
          </w:p>
        </w:tc>
        <w:tc>
          <w:tcPr>
            <w:tcW w:w="748" w:type="pct"/>
            <w:noWrap/>
          </w:tcPr>
          <w:p w14:paraId="1494E0E9" w14:textId="77777777" w:rsidR="00EF65AE" w:rsidRPr="00EC1DA8" w:rsidRDefault="00EF65AE" w:rsidP="00EF65AE">
            <w:pPr>
              <w:rPr>
                <w:lang w:eastAsia="en-AU"/>
              </w:rPr>
            </w:pPr>
          </w:p>
        </w:tc>
        <w:tc>
          <w:tcPr>
            <w:tcW w:w="1326" w:type="pct"/>
            <w:noWrap/>
          </w:tcPr>
          <w:p w14:paraId="2E84FF65" w14:textId="77777777" w:rsidR="00EF65AE" w:rsidRPr="00EC1DA8" w:rsidRDefault="00EF65AE" w:rsidP="00EF65AE">
            <w:pPr>
              <w:rPr>
                <w:lang w:eastAsia="en-AU"/>
              </w:rPr>
            </w:pPr>
          </w:p>
        </w:tc>
        <w:tc>
          <w:tcPr>
            <w:tcW w:w="953" w:type="pct"/>
            <w:noWrap/>
          </w:tcPr>
          <w:p w14:paraId="3F469ABC" w14:textId="77777777" w:rsidR="00EF65AE" w:rsidRPr="00EC1DA8" w:rsidRDefault="00EF65AE" w:rsidP="00EF65AE">
            <w:pPr>
              <w:rPr>
                <w:lang w:eastAsia="en-AU"/>
              </w:rPr>
            </w:pPr>
          </w:p>
        </w:tc>
      </w:tr>
      <w:tr w:rsidR="00560924" w:rsidRPr="00EC1DA8" w14:paraId="37CF12CB" w14:textId="77777777" w:rsidTr="00560924">
        <w:trPr>
          <w:trHeight w:val="283"/>
        </w:trPr>
        <w:tc>
          <w:tcPr>
            <w:tcW w:w="1973" w:type="pct"/>
            <w:noWrap/>
            <w:hideMark/>
          </w:tcPr>
          <w:p w14:paraId="44ECBDA7" w14:textId="77777777" w:rsidR="00EF65AE" w:rsidRPr="00EC1DA8" w:rsidRDefault="00EF65AE" w:rsidP="00EF65AE">
            <w:pPr>
              <w:rPr>
                <w:b/>
                <w:lang w:eastAsia="en-AU"/>
              </w:rPr>
            </w:pPr>
            <w:r w:rsidRPr="00EC1DA8">
              <w:rPr>
                <w:lang w:eastAsia="en-AU"/>
              </w:rPr>
              <w:t>Solomon Islands</w:t>
            </w:r>
          </w:p>
        </w:tc>
        <w:tc>
          <w:tcPr>
            <w:tcW w:w="748" w:type="pct"/>
            <w:noWrap/>
          </w:tcPr>
          <w:p w14:paraId="49348C47" w14:textId="77777777" w:rsidR="00EF65AE" w:rsidRPr="00EC1DA8" w:rsidRDefault="00EF65AE" w:rsidP="00EF65AE">
            <w:pPr>
              <w:rPr>
                <w:lang w:eastAsia="en-AU"/>
              </w:rPr>
            </w:pPr>
          </w:p>
        </w:tc>
        <w:tc>
          <w:tcPr>
            <w:tcW w:w="1326" w:type="pct"/>
            <w:noWrap/>
          </w:tcPr>
          <w:p w14:paraId="7FF66D1C" w14:textId="77777777" w:rsidR="00EF65AE" w:rsidRPr="00EC1DA8" w:rsidRDefault="00EF65AE" w:rsidP="00EF65AE">
            <w:pPr>
              <w:rPr>
                <w:lang w:eastAsia="en-AU"/>
              </w:rPr>
            </w:pPr>
            <w:r w:rsidRPr="00EC1DA8">
              <w:rPr>
                <w:lang w:eastAsia="en-AU"/>
              </w:rPr>
              <w:t>Yes, but not explicitly</w:t>
            </w:r>
          </w:p>
        </w:tc>
        <w:tc>
          <w:tcPr>
            <w:tcW w:w="953" w:type="pct"/>
            <w:noWrap/>
          </w:tcPr>
          <w:p w14:paraId="2BC4CBE6" w14:textId="77777777" w:rsidR="00EF65AE" w:rsidRPr="00EC1DA8" w:rsidRDefault="00EF65AE" w:rsidP="00EF65AE">
            <w:pPr>
              <w:rPr>
                <w:lang w:eastAsia="en-AU"/>
              </w:rPr>
            </w:pPr>
          </w:p>
        </w:tc>
      </w:tr>
      <w:tr w:rsidR="00560924" w:rsidRPr="00EC1DA8" w14:paraId="6E86AB83" w14:textId="77777777" w:rsidTr="00560924">
        <w:trPr>
          <w:trHeight w:val="283"/>
        </w:trPr>
        <w:tc>
          <w:tcPr>
            <w:tcW w:w="1973" w:type="pct"/>
            <w:noWrap/>
            <w:hideMark/>
          </w:tcPr>
          <w:p w14:paraId="1E10C03A" w14:textId="77777777" w:rsidR="00EF65AE" w:rsidRPr="00EC1DA8" w:rsidRDefault="00EF65AE" w:rsidP="00EF65AE">
            <w:pPr>
              <w:rPr>
                <w:b/>
                <w:lang w:eastAsia="en-AU"/>
              </w:rPr>
            </w:pPr>
            <w:r w:rsidRPr="00EC1DA8">
              <w:rPr>
                <w:lang w:eastAsia="en-AU"/>
              </w:rPr>
              <w:t xml:space="preserve">Tonga </w:t>
            </w:r>
          </w:p>
        </w:tc>
        <w:tc>
          <w:tcPr>
            <w:tcW w:w="748" w:type="pct"/>
            <w:noWrap/>
          </w:tcPr>
          <w:p w14:paraId="03AB39AE" w14:textId="77777777" w:rsidR="00EF65AE" w:rsidRPr="00EC1DA8" w:rsidRDefault="00EF65AE" w:rsidP="00EF65AE">
            <w:pPr>
              <w:rPr>
                <w:lang w:eastAsia="en-AU"/>
              </w:rPr>
            </w:pPr>
          </w:p>
        </w:tc>
        <w:tc>
          <w:tcPr>
            <w:tcW w:w="1326" w:type="pct"/>
            <w:noWrap/>
          </w:tcPr>
          <w:p w14:paraId="5AD07C0F" w14:textId="77777777" w:rsidR="00EF65AE" w:rsidRPr="00EC1DA8" w:rsidRDefault="00EF65AE" w:rsidP="00EF65AE">
            <w:pPr>
              <w:rPr>
                <w:lang w:eastAsia="en-AU"/>
              </w:rPr>
            </w:pPr>
            <w:r w:rsidRPr="00EC1DA8">
              <w:rPr>
                <w:lang w:eastAsia="en-AU"/>
              </w:rPr>
              <w:t>Yes, but not explicitly</w:t>
            </w:r>
          </w:p>
        </w:tc>
        <w:tc>
          <w:tcPr>
            <w:tcW w:w="953" w:type="pct"/>
            <w:noWrap/>
          </w:tcPr>
          <w:p w14:paraId="0B343FF7" w14:textId="77777777" w:rsidR="00EF65AE" w:rsidRPr="00EC1DA8" w:rsidRDefault="00EF65AE" w:rsidP="00EF65AE">
            <w:pPr>
              <w:rPr>
                <w:lang w:eastAsia="en-AU"/>
              </w:rPr>
            </w:pPr>
          </w:p>
        </w:tc>
      </w:tr>
      <w:tr w:rsidR="00560924" w:rsidRPr="00EC1DA8" w14:paraId="25D053AA" w14:textId="77777777" w:rsidTr="00560924">
        <w:trPr>
          <w:trHeight w:val="283"/>
        </w:trPr>
        <w:tc>
          <w:tcPr>
            <w:tcW w:w="1973" w:type="pct"/>
            <w:noWrap/>
            <w:hideMark/>
          </w:tcPr>
          <w:p w14:paraId="3F6EB70D" w14:textId="77777777" w:rsidR="00EF65AE" w:rsidRPr="00EC1DA8" w:rsidRDefault="00EF65AE" w:rsidP="00EF65AE">
            <w:pPr>
              <w:rPr>
                <w:b/>
                <w:lang w:eastAsia="en-AU"/>
              </w:rPr>
            </w:pPr>
            <w:r w:rsidRPr="00EC1DA8">
              <w:rPr>
                <w:lang w:eastAsia="en-AU"/>
              </w:rPr>
              <w:t xml:space="preserve">Vanuatu </w:t>
            </w:r>
          </w:p>
        </w:tc>
        <w:tc>
          <w:tcPr>
            <w:tcW w:w="748" w:type="pct"/>
            <w:noWrap/>
          </w:tcPr>
          <w:p w14:paraId="15714E4F" w14:textId="77777777" w:rsidR="00EF65AE" w:rsidRPr="00EC1DA8" w:rsidRDefault="00EF65AE" w:rsidP="00EF65AE">
            <w:pPr>
              <w:rPr>
                <w:lang w:eastAsia="en-AU"/>
              </w:rPr>
            </w:pPr>
          </w:p>
        </w:tc>
        <w:tc>
          <w:tcPr>
            <w:tcW w:w="1326" w:type="pct"/>
            <w:noWrap/>
          </w:tcPr>
          <w:p w14:paraId="36D5E559" w14:textId="77777777" w:rsidR="00EF65AE" w:rsidRPr="00EC1DA8" w:rsidRDefault="00EF65AE" w:rsidP="00EF65AE">
            <w:pPr>
              <w:rPr>
                <w:lang w:eastAsia="en-AU"/>
              </w:rPr>
            </w:pPr>
            <w:r w:rsidRPr="00EC1DA8">
              <w:rPr>
                <w:lang w:eastAsia="en-AU"/>
              </w:rPr>
              <w:t>Yes, but not explicitly</w:t>
            </w:r>
          </w:p>
        </w:tc>
        <w:tc>
          <w:tcPr>
            <w:tcW w:w="953" w:type="pct"/>
            <w:noWrap/>
          </w:tcPr>
          <w:p w14:paraId="46CC4719" w14:textId="77777777" w:rsidR="00EF65AE" w:rsidRPr="00EC1DA8" w:rsidRDefault="00EF65AE" w:rsidP="00EF65AE">
            <w:pPr>
              <w:rPr>
                <w:lang w:eastAsia="en-AU"/>
              </w:rPr>
            </w:pPr>
          </w:p>
        </w:tc>
      </w:tr>
      <w:tr w:rsidR="00EF65AE" w:rsidRPr="00EC1DA8" w14:paraId="0F9C7AE6" w14:textId="77777777" w:rsidTr="00B83C43">
        <w:trPr>
          <w:trHeight w:val="283"/>
        </w:trPr>
        <w:tc>
          <w:tcPr>
            <w:tcW w:w="0" w:type="pct"/>
            <w:gridSpan w:val="4"/>
            <w:noWrap/>
            <w:hideMark/>
          </w:tcPr>
          <w:p w14:paraId="44266278" w14:textId="77777777" w:rsidR="00EF65AE" w:rsidRPr="004F0C71" w:rsidRDefault="00EF65AE" w:rsidP="00EF65AE">
            <w:pPr>
              <w:rPr>
                <w:b/>
                <w:bCs/>
                <w:lang w:eastAsia="en-AU"/>
              </w:rPr>
            </w:pPr>
            <w:r w:rsidRPr="00B83C43">
              <w:rPr>
                <w:b/>
                <w:bCs/>
                <w:lang w:eastAsia="en-AU"/>
              </w:rPr>
              <w:t>Asia </w:t>
            </w:r>
          </w:p>
        </w:tc>
      </w:tr>
      <w:tr w:rsidR="00560924" w:rsidRPr="00EC1DA8" w14:paraId="664C6BAA" w14:textId="77777777" w:rsidTr="00560924">
        <w:trPr>
          <w:trHeight w:val="283"/>
        </w:trPr>
        <w:tc>
          <w:tcPr>
            <w:tcW w:w="1973" w:type="pct"/>
            <w:noWrap/>
            <w:hideMark/>
          </w:tcPr>
          <w:p w14:paraId="01239337" w14:textId="77777777" w:rsidR="00EF65AE" w:rsidRPr="00EC1DA8" w:rsidRDefault="00EF65AE" w:rsidP="00EF65AE">
            <w:pPr>
              <w:rPr>
                <w:b/>
                <w:lang w:eastAsia="en-AU"/>
              </w:rPr>
            </w:pPr>
            <w:r w:rsidRPr="00EC1DA8">
              <w:rPr>
                <w:lang w:eastAsia="en-AU"/>
              </w:rPr>
              <w:t>Afghanistan</w:t>
            </w:r>
          </w:p>
        </w:tc>
        <w:tc>
          <w:tcPr>
            <w:tcW w:w="748" w:type="pct"/>
            <w:noWrap/>
          </w:tcPr>
          <w:p w14:paraId="4CD3474C" w14:textId="77777777" w:rsidR="00EF65AE" w:rsidRPr="00EC1DA8" w:rsidRDefault="00EF65AE" w:rsidP="00EF65AE">
            <w:pPr>
              <w:rPr>
                <w:lang w:eastAsia="en-AU"/>
              </w:rPr>
            </w:pPr>
          </w:p>
        </w:tc>
        <w:tc>
          <w:tcPr>
            <w:tcW w:w="1326" w:type="pct"/>
            <w:noWrap/>
          </w:tcPr>
          <w:p w14:paraId="60630FCA" w14:textId="77777777" w:rsidR="00EF65AE" w:rsidRPr="00EC1DA8" w:rsidRDefault="00EF65AE" w:rsidP="00EF65AE">
            <w:pPr>
              <w:rPr>
                <w:lang w:eastAsia="en-AU"/>
              </w:rPr>
            </w:pPr>
          </w:p>
        </w:tc>
        <w:tc>
          <w:tcPr>
            <w:tcW w:w="953" w:type="pct"/>
            <w:noWrap/>
          </w:tcPr>
          <w:p w14:paraId="5361B43D" w14:textId="77777777" w:rsidR="00EF65AE" w:rsidRPr="00EC1DA8" w:rsidRDefault="00EF65AE" w:rsidP="00EF65AE">
            <w:pPr>
              <w:rPr>
                <w:lang w:eastAsia="en-AU"/>
              </w:rPr>
            </w:pPr>
          </w:p>
        </w:tc>
      </w:tr>
      <w:tr w:rsidR="00560924" w:rsidRPr="00EC1DA8" w14:paraId="419265F0" w14:textId="77777777" w:rsidTr="00560924">
        <w:trPr>
          <w:trHeight w:val="283"/>
        </w:trPr>
        <w:tc>
          <w:tcPr>
            <w:tcW w:w="1973" w:type="pct"/>
            <w:noWrap/>
            <w:hideMark/>
          </w:tcPr>
          <w:p w14:paraId="1CCB3AFE" w14:textId="77777777" w:rsidR="00EF65AE" w:rsidRPr="00EC1DA8" w:rsidRDefault="00EF65AE" w:rsidP="00EF65AE">
            <w:pPr>
              <w:rPr>
                <w:b/>
                <w:lang w:eastAsia="en-AU"/>
              </w:rPr>
            </w:pPr>
            <w:r w:rsidRPr="00EC1DA8">
              <w:rPr>
                <w:lang w:eastAsia="en-AU"/>
              </w:rPr>
              <w:t>Bangladesh</w:t>
            </w:r>
          </w:p>
        </w:tc>
        <w:tc>
          <w:tcPr>
            <w:tcW w:w="748" w:type="pct"/>
            <w:noWrap/>
          </w:tcPr>
          <w:p w14:paraId="3BA2DAC5" w14:textId="77777777" w:rsidR="00EF65AE" w:rsidRPr="00EC1DA8" w:rsidRDefault="00EF65AE" w:rsidP="00EF65AE">
            <w:pPr>
              <w:rPr>
                <w:lang w:eastAsia="en-AU"/>
              </w:rPr>
            </w:pPr>
          </w:p>
        </w:tc>
        <w:tc>
          <w:tcPr>
            <w:tcW w:w="1326" w:type="pct"/>
            <w:noWrap/>
          </w:tcPr>
          <w:p w14:paraId="71AF8FC1" w14:textId="77777777" w:rsidR="00EF65AE" w:rsidRPr="00EC1DA8" w:rsidRDefault="00EF65AE" w:rsidP="00EF65AE">
            <w:pPr>
              <w:rPr>
                <w:lang w:eastAsia="en-AU"/>
              </w:rPr>
            </w:pPr>
          </w:p>
        </w:tc>
        <w:tc>
          <w:tcPr>
            <w:tcW w:w="953" w:type="pct"/>
            <w:noWrap/>
          </w:tcPr>
          <w:p w14:paraId="772AD74C" w14:textId="77777777" w:rsidR="00EF65AE" w:rsidRPr="00EC1DA8" w:rsidRDefault="00EF65AE" w:rsidP="00EF65AE">
            <w:pPr>
              <w:rPr>
                <w:lang w:eastAsia="en-AU"/>
              </w:rPr>
            </w:pPr>
          </w:p>
        </w:tc>
      </w:tr>
      <w:tr w:rsidR="00560924" w:rsidRPr="00EC1DA8" w14:paraId="4A7E2DFF" w14:textId="77777777" w:rsidTr="00560924">
        <w:trPr>
          <w:trHeight w:val="283"/>
        </w:trPr>
        <w:tc>
          <w:tcPr>
            <w:tcW w:w="1973" w:type="pct"/>
            <w:noWrap/>
            <w:hideMark/>
          </w:tcPr>
          <w:p w14:paraId="285D6E3F" w14:textId="77777777" w:rsidR="00EF65AE" w:rsidRPr="00EC1DA8" w:rsidRDefault="00EF65AE" w:rsidP="00EF65AE">
            <w:pPr>
              <w:rPr>
                <w:b/>
                <w:lang w:eastAsia="en-AU"/>
              </w:rPr>
            </w:pPr>
            <w:r w:rsidRPr="00EC1DA8">
              <w:rPr>
                <w:lang w:eastAsia="en-AU"/>
              </w:rPr>
              <w:t>Bhutan</w:t>
            </w:r>
          </w:p>
        </w:tc>
        <w:tc>
          <w:tcPr>
            <w:tcW w:w="748" w:type="pct"/>
            <w:noWrap/>
          </w:tcPr>
          <w:p w14:paraId="235B3A5C" w14:textId="77777777" w:rsidR="00EF65AE" w:rsidRPr="00EC1DA8" w:rsidRDefault="00EF65AE" w:rsidP="00EF65AE">
            <w:pPr>
              <w:rPr>
                <w:lang w:eastAsia="en-AU"/>
              </w:rPr>
            </w:pPr>
          </w:p>
        </w:tc>
        <w:tc>
          <w:tcPr>
            <w:tcW w:w="1326" w:type="pct"/>
            <w:noWrap/>
          </w:tcPr>
          <w:p w14:paraId="7DDA9C3B" w14:textId="77777777" w:rsidR="00EF65AE" w:rsidRPr="00EC1DA8" w:rsidRDefault="00EF65AE" w:rsidP="00EF65AE">
            <w:pPr>
              <w:rPr>
                <w:lang w:eastAsia="en-AU"/>
              </w:rPr>
            </w:pPr>
          </w:p>
        </w:tc>
        <w:tc>
          <w:tcPr>
            <w:tcW w:w="953" w:type="pct"/>
            <w:noWrap/>
          </w:tcPr>
          <w:p w14:paraId="46A88835" w14:textId="77777777" w:rsidR="00EF65AE" w:rsidRPr="00EC1DA8" w:rsidRDefault="00EF65AE" w:rsidP="00EF65AE">
            <w:pPr>
              <w:rPr>
                <w:lang w:eastAsia="en-AU"/>
              </w:rPr>
            </w:pPr>
          </w:p>
        </w:tc>
      </w:tr>
      <w:tr w:rsidR="00560924" w:rsidRPr="00EC1DA8" w14:paraId="18DD1C97" w14:textId="77777777" w:rsidTr="00560924">
        <w:trPr>
          <w:trHeight w:val="283"/>
        </w:trPr>
        <w:tc>
          <w:tcPr>
            <w:tcW w:w="1973" w:type="pct"/>
            <w:noWrap/>
            <w:hideMark/>
          </w:tcPr>
          <w:p w14:paraId="65B77A2F" w14:textId="77777777" w:rsidR="00EF65AE" w:rsidRPr="00EC1DA8" w:rsidRDefault="00EF65AE" w:rsidP="00EF65AE">
            <w:pPr>
              <w:rPr>
                <w:b/>
                <w:lang w:eastAsia="en-AU"/>
              </w:rPr>
            </w:pPr>
            <w:r w:rsidRPr="00EC1DA8">
              <w:rPr>
                <w:lang w:eastAsia="en-AU"/>
              </w:rPr>
              <w:t>Cambodia</w:t>
            </w:r>
          </w:p>
        </w:tc>
        <w:tc>
          <w:tcPr>
            <w:tcW w:w="748" w:type="pct"/>
            <w:noWrap/>
          </w:tcPr>
          <w:p w14:paraId="4AD74227" w14:textId="77777777" w:rsidR="00EF65AE" w:rsidRPr="00EC1DA8" w:rsidRDefault="00EF65AE" w:rsidP="00EF65AE">
            <w:pPr>
              <w:rPr>
                <w:lang w:eastAsia="en-AU"/>
              </w:rPr>
            </w:pPr>
          </w:p>
        </w:tc>
        <w:tc>
          <w:tcPr>
            <w:tcW w:w="1326" w:type="pct"/>
            <w:noWrap/>
          </w:tcPr>
          <w:p w14:paraId="3F11AD48" w14:textId="77777777" w:rsidR="00EF65AE" w:rsidRPr="00EC1DA8" w:rsidRDefault="00EF65AE" w:rsidP="00EF65AE">
            <w:pPr>
              <w:rPr>
                <w:lang w:eastAsia="en-AU"/>
              </w:rPr>
            </w:pPr>
            <w:r w:rsidRPr="00EC1DA8">
              <w:rPr>
                <w:lang w:eastAsia="en-AU"/>
              </w:rPr>
              <w:t>Yes, but not explicitly</w:t>
            </w:r>
          </w:p>
        </w:tc>
        <w:tc>
          <w:tcPr>
            <w:tcW w:w="953" w:type="pct"/>
            <w:noWrap/>
          </w:tcPr>
          <w:p w14:paraId="24317834" w14:textId="77777777" w:rsidR="00EF65AE" w:rsidRPr="00EC1DA8" w:rsidRDefault="00EF65AE" w:rsidP="00EF65AE">
            <w:pPr>
              <w:rPr>
                <w:lang w:eastAsia="en-AU"/>
              </w:rPr>
            </w:pPr>
          </w:p>
        </w:tc>
      </w:tr>
      <w:tr w:rsidR="00560924" w:rsidRPr="00EC1DA8" w14:paraId="4982636A" w14:textId="77777777" w:rsidTr="00560924">
        <w:trPr>
          <w:trHeight w:val="283"/>
        </w:trPr>
        <w:tc>
          <w:tcPr>
            <w:tcW w:w="1973" w:type="pct"/>
            <w:noWrap/>
            <w:hideMark/>
          </w:tcPr>
          <w:p w14:paraId="759E7B15" w14:textId="77777777" w:rsidR="00EF65AE" w:rsidRPr="00EC1DA8" w:rsidRDefault="00EF65AE" w:rsidP="00EF65AE">
            <w:pPr>
              <w:rPr>
                <w:b/>
                <w:lang w:eastAsia="en-AU"/>
              </w:rPr>
            </w:pPr>
            <w:r w:rsidRPr="00EC1DA8">
              <w:rPr>
                <w:lang w:eastAsia="en-AU"/>
              </w:rPr>
              <w:t>India</w:t>
            </w:r>
          </w:p>
        </w:tc>
        <w:tc>
          <w:tcPr>
            <w:tcW w:w="748" w:type="pct"/>
            <w:noWrap/>
          </w:tcPr>
          <w:p w14:paraId="5BE4D79A" w14:textId="77777777" w:rsidR="00EF65AE" w:rsidRPr="00EC1DA8" w:rsidRDefault="00EF65AE" w:rsidP="00EF65AE">
            <w:pPr>
              <w:rPr>
                <w:lang w:eastAsia="en-AU"/>
              </w:rPr>
            </w:pPr>
          </w:p>
        </w:tc>
        <w:tc>
          <w:tcPr>
            <w:tcW w:w="1326" w:type="pct"/>
            <w:noWrap/>
          </w:tcPr>
          <w:p w14:paraId="75301C43" w14:textId="77777777" w:rsidR="00EF65AE" w:rsidRPr="00EC1DA8" w:rsidRDefault="00EF65AE" w:rsidP="00EF65AE">
            <w:pPr>
              <w:rPr>
                <w:lang w:eastAsia="en-AU"/>
              </w:rPr>
            </w:pPr>
          </w:p>
        </w:tc>
        <w:tc>
          <w:tcPr>
            <w:tcW w:w="953" w:type="pct"/>
            <w:noWrap/>
          </w:tcPr>
          <w:p w14:paraId="51B93711" w14:textId="77777777" w:rsidR="00EF65AE" w:rsidRPr="00EC1DA8" w:rsidRDefault="00EF65AE" w:rsidP="00EF65AE">
            <w:pPr>
              <w:rPr>
                <w:lang w:eastAsia="en-AU"/>
              </w:rPr>
            </w:pPr>
          </w:p>
        </w:tc>
      </w:tr>
      <w:tr w:rsidR="00560924" w:rsidRPr="00EC1DA8" w14:paraId="2BCF12B7" w14:textId="77777777" w:rsidTr="00560924">
        <w:trPr>
          <w:trHeight w:val="283"/>
        </w:trPr>
        <w:tc>
          <w:tcPr>
            <w:tcW w:w="1973" w:type="pct"/>
            <w:noWrap/>
            <w:hideMark/>
          </w:tcPr>
          <w:p w14:paraId="2A2CA3FD" w14:textId="77777777" w:rsidR="00EF65AE" w:rsidRPr="00EC1DA8" w:rsidRDefault="00EF65AE" w:rsidP="00EF65AE">
            <w:pPr>
              <w:rPr>
                <w:b/>
                <w:lang w:eastAsia="en-AU"/>
              </w:rPr>
            </w:pPr>
            <w:r w:rsidRPr="00EC1DA8">
              <w:rPr>
                <w:lang w:eastAsia="en-AU"/>
              </w:rPr>
              <w:t>Indonesia</w:t>
            </w:r>
          </w:p>
        </w:tc>
        <w:tc>
          <w:tcPr>
            <w:tcW w:w="748" w:type="pct"/>
            <w:noWrap/>
          </w:tcPr>
          <w:p w14:paraId="0D9BE985" w14:textId="77777777" w:rsidR="00EF65AE" w:rsidRPr="00EC1DA8" w:rsidRDefault="00EF65AE" w:rsidP="00EF65AE">
            <w:pPr>
              <w:rPr>
                <w:lang w:eastAsia="en-AU"/>
              </w:rPr>
            </w:pPr>
          </w:p>
        </w:tc>
        <w:tc>
          <w:tcPr>
            <w:tcW w:w="1326" w:type="pct"/>
            <w:noWrap/>
          </w:tcPr>
          <w:p w14:paraId="315A472B" w14:textId="77777777" w:rsidR="00EF65AE" w:rsidRPr="00EC1DA8" w:rsidRDefault="00EF65AE" w:rsidP="00EF65AE">
            <w:pPr>
              <w:rPr>
                <w:lang w:eastAsia="en-AU"/>
              </w:rPr>
            </w:pPr>
          </w:p>
        </w:tc>
        <w:tc>
          <w:tcPr>
            <w:tcW w:w="953" w:type="pct"/>
            <w:noWrap/>
          </w:tcPr>
          <w:p w14:paraId="6F690AC5" w14:textId="77777777" w:rsidR="00EF65AE" w:rsidRPr="00EC1DA8" w:rsidRDefault="00EF65AE" w:rsidP="00EF65AE">
            <w:pPr>
              <w:rPr>
                <w:lang w:eastAsia="en-AU"/>
              </w:rPr>
            </w:pPr>
          </w:p>
        </w:tc>
      </w:tr>
      <w:tr w:rsidR="00560924" w:rsidRPr="00EC1DA8" w14:paraId="2F40B06A" w14:textId="77777777" w:rsidTr="00560924">
        <w:trPr>
          <w:trHeight w:val="283"/>
        </w:trPr>
        <w:tc>
          <w:tcPr>
            <w:tcW w:w="1973" w:type="pct"/>
            <w:noWrap/>
            <w:hideMark/>
          </w:tcPr>
          <w:p w14:paraId="420DC6BB" w14:textId="77777777" w:rsidR="00EF65AE" w:rsidRPr="00EC1DA8" w:rsidRDefault="00EF65AE" w:rsidP="00EF65AE">
            <w:pPr>
              <w:rPr>
                <w:b/>
                <w:lang w:eastAsia="en-AU"/>
              </w:rPr>
            </w:pPr>
            <w:r w:rsidRPr="00EC1DA8">
              <w:rPr>
                <w:lang w:eastAsia="en-AU"/>
              </w:rPr>
              <w:t>Laos</w:t>
            </w:r>
          </w:p>
        </w:tc>
        <w:tc>
          <w:tcPr>
            <w:tcW w:w="748" w:type="pct"/>
            <w:noWrap/>
          </w:tcPr>
          <w:p w14:paraId="258DBC04" w14:textId="77777777" w:rsidR="00EF65AE" w:rsidRPr="00EC1DA8" w:rsidRDefault="00EF65AE" w:rsidP="00EF65AE">
            <w:pPr>
              <w:rPr>
                <w:lang w:eastAsia="en-AU"/>
              </w:rPr>
            </w:pPr>
          </w:p>
        </w:tc>
        <w:tc>
          <w:tcPr>
            <w:tcW w:w="1326" w:type="pct"/>
            <w:noWrap/>
          </w:tcPr>
          <w:p w14:paraId="4972B540" w14:textId="77777777" w:rsidR="00EF65AE" w:rsidRPr="00EC1DA8" w:rsidRDefault="00EF65AE" w:rsidP="00EF65AE">
            <w:pPr>
              <w:rPr>
                <w:lang w:eastAsia="en-AU"/>
              </w:rPr>
            </w:pPr>
          </w:p>
        </w:tc>
        <w:tc>
          <w:tcPr>
            <w:tcW w:w="953" w:type="pct"/>
            <w:noWrap/>
          </w:tcPr>
          <w:p w14:paraId="50A0433F" w14:textId="77777777" w:rsidR="00EF65AE" w:rsidRPr="00EC1DA8" w:rsidRDefault="00EF65AE" w:rsidP="00EF65AE">
            <w:pPr>
              <w:rPr>
                <w:lang w:eastAsia="en-AU"/>
              </w:rPr>
            </w:pPr>
          </w:p>
        </w:tc>
      </w:tr>
      <w:tr w:rsidR="00560924" w:rsidRPr="00EC1DA8" w14:paraId="27AD7FDD" w14:textId="77777777" w:rsidTr="00560924">
        <w:trPr>
          <w:trHeight w:val="283"/>
        </w:trPr>
        <w:tc>
          <w:tcPr>
            <w:tcW w:w="1973" w:type="pct"/>
            <w:noWrap/>
            <w:hideMark/>
          </w:tcPr>
          <w:p w14:paraId="5FBC94E5" w14:textId="77777777" w:rsidR="00EF65AE" w:rsidRPr="00EC1DA8" w:rsidRDefault="00EF65AE" w:rsidP="00EF65AE">
            <w:pPr>
              <w:rPr>
                <w:b/>
                <w:lang w:eastAsia="en-AU"/>
              </w:rPr>
            </w:pPr>
            <w:r w:rsidRPr="00EC1DA8">
              <w:rPr>
                <w:lang w:eastAsia="en-AU"/>
              </w:rPr>
              <w:t>Mongolia</w:t>
            </w:r>
          </w:p>
        </w:tc>
        <w:tc>
          <w:tcPr>
            <w:tcW w:w="748" w:type="pct"/>
            <w:noWrap/>
          </w:tcPr>
          <w:p w14:paraId="60A8EC7B" w14:textId="77777777" w:rsidR="00EF65AE" w:rsidRPr="00EC1DA8" w:rsidRDefault="00EF65AE" w:rsidP="00EF65AE">
            <w:pPr>
              <w:rPr>
                <w:lang w:eastAsia="en-AU"/>
              </w:rPr>
            </w:pPr>
          </w:p>
        </w:tc>
        <w:tc>
          <w:tcPr>
            <w:tcW w:w="1326" w:type="pct"/>
            <w:noWrap/>
          </w:tcPr>
          <w:p w14:paraId="4B851BFA" w14:textId="77777777" w:rsidR="00EF65AE" w:rsidRPr="00EC1DA8" w:rsidRDefault="00EF65AE" w:rsidP="00EF65AE">
            <w:pPr>
              <w:rPr>
                <w:lang w:eastAsia="en-AU"/>
              </w:rPr>
            </w:pPr>
          </w:p>
        </w:tc>
        <w:tc>
          <w:tcPr>
            <w:tcW w:w="953" w:type="pct"/>
            <w:noWrap/>
          </w:tcPr>
          <w:p w14:paraId="4C8F11DF" w14:textId="77777777" w:rsidR="00EF65AE" w:rsidRPr="00EC1DA8" w:rsidRDefault="00EF65AE" w:rsidP="00EF65AE">
            <w:pPr>
              <w:rPr>
                <w:lang w:eastAsia="en-AU"/>
              </w:rPr>
            </w:pPr>
          </w:p>
        </w:tc>
      </w:tr>
      <w:tr w:rsidR="00560924" w:rsidRPr="00EC1DA8" w14:paraId="17695355" w14:textId="77777777" w:rsidTr="00560924">
        <w:trPr>
          <w:trHeight w:val="283"/>
        </w:trPr>
        <w:tc>
          <w:tcPr>
            <w:tcW w:w="1973" w:type="pct"/>
            <w:noWrap/>
            <w:hideMark/>
          </w:tcPr>
          <w:p w14:paraId="460F11AF" w14:textId="77777777" w:rsidR="00EF65AE" w:rsidRPr="00EC1DA8" w:rsidRDefault="00EF65AE" w:rsidP="00EF65AE">
            <w:pPr>
              <w:rPr>
                <w:b/>
                <w:lang w:eastAsia="en-AU"/>
              </w:rPr>
            </w:pPr>
            <w:r w:rsidRPr="00EC1DA8">
              <w:rPr>
                <w:lang w:eastAsia="en-AU"/>
              </w:rPr>
              <w:t>Myanmar</w:t>
            </w:r>
          </w:p>
        </w:tc>
        <w:tc>
          <w:tcPr>
            <w:tcW w:w="748" w:type="pct"/>
            <w:noWrap/>
          </w:tcPr>
          <w:p w14:paraId="4B263C97" w14:textId="77777777" w:rsidR="00EF65AE" w:rsidRPr="00EC1DA8" w:rsidRDefault="00EF65AE" w:rsidP="00EF65AE">
            <w:pPr>
              <w:rPr>
                <w:lang w:eastAsia="en-AU"/>
              </w:rPr>
            </w:pPr>
          </w:p>
        </w:tc>
        <w:tc>
          <w:tcPr>
            <w:tcW w:w="1326" w:type="pct"/>
            <w:noWrap/>
          </w:tcPr>
          <w:p w14:paraId="14EF5AC7" w14:textId="77777777" w:rsidR="00EF65AE" w:rsidRPr="00EC1DA8" w:rsidRDefault="00EF65AE" w:rsidP="00EF65AE">
            <w:pPr>
              <w:rPr>
                <w:lang w:eastAsia="en-AU"/>
              </w:rPr>
            </w:pPr>
          </w:p>
        </w:tc>
        <w:tc>
          <w:tcPr>
            <w:tcW w:w="953" w:type="pct"/>
            <w:noWrap/>
          </w:tcPr>
          <w:p w14:paraId="3D7A49AD" w14:textId="77777777" w:rsidR="00EF65AE" w:rsidRPr="00EC1DA8" w:rsidRDefault="00EF65AE" w:rsidP="00EF65AE">
            <w:pPr>
              <w:rPr>
                <w:lang w:eastAsia="en-AU"/>
              </w:rPr>
            </w:pPr>
          </w:p>
        </w:tc>
      </w:tr>
      <w:tr w:rsidR="00560924" w:rsidRPr="00EC1DA8" w14:paraId="57CAEF66" w14:textId="77777777" w:rsidTr="00560924">
        <w:trPr>
          <w:trHeight w:val="283"/>
        </w:trPr>
        <w:tc>
          <w:tcPr>
            <w:tcW w:w="1973" w:type="pct"/>
            <w:noWrap/>
          </w:tcPr>
          <w:p w14:paraId="3EAEA36B" w14:textId="77777777" w:rsidR="00EF65AE" w:rsidRPr="00EC1DA8" w:rsidRDefault="00EF65AE" w:rsidP="00EF65AE">
            <w:pPr>
              <w:rPr>
                <w:b/>
                <w:lang w:eastAsia="en-AU"/>
              </w:rPr>
            </w:pPr>
            <w:r w:rsidRPr="00EC1DA8">
              <w:rPr>
                <w:lang w:eastAsia="en-AU"/>
              </w:rPr>
              <w:t>Nepal</w:t>
            </w:r>
          </w:p>
        </w:tc>
        <w:tc>
          <w:tcPr>
            <w:tcW w:w="748" w:type="pct"/>
            <w:noWrap/>
          </w:tcPr>
          <w:p w14:paraId="4CC01AE9" w14:textId="77777777" w:rsidR="00EF65AE" w:rsidRPr="00EC1DA8" w:rsidRDefault="00EF65AE" w:rsidP="00EF65AE">
            <w:pPr>
              <w:rPr>
                <w:lang w:eastAsia="en-AU"/>
              </w:rPr>
            </w:pPr>
          </w:p>
        </w:tc>
        <w:tc>
          <w:tcPr>
            <w:tcW w:w="1326" w:type="pct"/>
            <w:noWrap/>
          </w:tcPr>
          <w:p w14:paraId="00D52AB9" w14:textId="77777777" w:rsidR="00EF65AE" w:rsidRPr="00EC1DA8" w:rsidRDefault="00EF65AE" w:rsidP="00EF65AE">
            <w:pPr>
              <w:rPr>
                <w:lang w:eastAsia="en-AU"/>
              </w:rPr>
            </w:pPr>
          </w:p>
        </w:tc>
        <w:tc>
          <w:tcPr>
            <w:tcW w:w="953" w:type="pct"/>
            <w:noWrap/>
          </w:tcPr>
          <w:p w14:paraId="0CD4B907" w14:textId="77777777" w:rsidR="00EF65AE" w:rsidRPr="00EC1DA8" w:rsidRDefault="00EF65AE" w:rsidP="00EF65AE">
            <w:pPr>
              <w:rPr>
                <w:lang w:eastAsia="en-AU"/>
              </w:rPr>
            </w:pPr>
          </w:p>
        </w:tc>
      </w:tr>
      <w:tr w:rsidR="00560924" w:rsidRPr="00EC1DA8" w14:paraId="03B827E6" w14:textId="77777777" w:rsidTr="00560924">
        <w:trPr>
          <w:trHeight w:val="283"/>
        </w:trPr>
        <w:tc>
          <w:tcPr>
            <w:tcW w:w="1973" w:type="pct"/>
            <w:noWrap/>
          </w:tcPr>
          <w:p w14:paraId="1F4F07B1" w14:textId="77777777" w:rsidR="00EF65AE" w:rsidRPr="00EC1DA8" w:rsidRDefault="00EF65AE" w:rsidP="00EF65AE">
            <w:pPr>
              <w:rPr>
                <w:b/>
                <w:lang w:eastAsia="en-AU"/>
              </w:rPr>
            </w:pPr>
            <w:r w:rsidRPr="00EC1DA8">
              <w:rPr>
                <w:lang w:eastAsia="en-AU"/>
              </w:rPr>
              <w:t>Pakistan</w:t>
            </w:r>
          </w:p>
        </w:tc>
        <w:tc>
          <w:tcPr>
            <w:tcW w:w="748" w:type="pct"/>
            <w:noWrap/>
          </w:tcPr>
          <w:p w14:paraId="35E6D530" w14:textId="77777777" w:rsidR="00EF65AE" w:rsidRPr="00EC1DA8" w:rsidRDefault="00EF65AE" w:rsidP="00EF65AE">
            <w:pPr>
              <w:rPr>
                <w:lang w:eastAsia="en-AU"/>
              </w:rPr>
            </w:pPr>
          </w:p>
        </w:tc>
        <w:tc>
          <w:tcPr>
            <w:tcW w:w="1326" w:type="pct"/>
            <w:noWrap/>
          </w:tcPr>
          <w:p w14:paraId="738D5BA4" w14:textId="77777777" w:rsidR="00EF65AE" w:rsidRPr="00EC1DA8" w:rsidRDefault="00EF65AE" w:rsidP="00EF65AE">
            <w:pPr>
              <w:rPr>
                <w:lang w:eastAsia="en-AU"/>
              </w:rPr>
            </w:pPr>
            <w:r w:rsidRPr="00EC1DA8">
              <w:rPr>
                <w:lang w:eastAsia="en-AU"/>
              </w:rPr>
              <w:t>Yes, but not explicitly</w:t>
            </w:r>
          </w:p>
        </w:tc>
        <w:tc>
          <w:tcPr>
            <w:tcW w:w="953" w:type="pct"/>
            <w:noWrap/>
          </w:tcPr>
          <w:p w14:paraId="11018E2E" w14:textId="77777777" w:rsidR="00EF65AE" w:rsidRPr="00EC1DA8" w:rsidRDefault="00EF65AE" w:rsidP="00EF65AE">
            <w:pPr>
              <w:rPr>
                <w:lang w:eastAsia="en-AU"/>
              </w:rPr>
            </w:pPr>
          </w:p>
        </w:tc>
      </w:tr>
      <w:tr w:rsidR="00560924" w:rsidRPr="00EC1DA8" w14:paraId="63DC034D" w14:textId="77777777" w:rsidTr="00560924">
        <w:trPr>
          <w:trHeight w:val="283"/>
        </w:trPr>
        <w:tc>
          <w:tcPr>
            <w:tcW w:w="1973" w:type="pct"/>
            <w:noWrap/>
            <w:hideMark/>
          </w:tcPr>
          <w:p w14:paraId="4ADF43F9" w14:textId="77777777" w:rsidR="00EF65AE" w:rsidRPr="00EC1DA8" w:rsidRDefault="00EF65AE" w:rsidP="00EF65AE">
            <w:pPr>
              <w:rPr>
                <w:b/>
                <w:lang w:eastAsia="en-AU"/>
              </w:rPr>
            </w:pPr>
            <w:r w:rsidRPr="00EC1DA8">
              <w:rPr>
                <w:lang w:eastAsia="en-AU"/>
              </w:rPr>
              <w:t>Philippines</w:t>
            </w:r>
          </w:p>
        </w:tc>
        <w:tc>
          <w:tcPr>
            <w:tcW w:w="748" w:type="pct"/>
            <w:noWrap/>
          </w:tcPr>
          <w:p w14:paraId="723F81BE" w14:textId="77777777" w:rsidR="00EF65AE" w:rsidRPr="00EC1DA8" w:rsidRDefault="00EF65AE" w:rsidP="00EF65AE">
            <w:pPr>
              <w:rPr>
                <w:lang w:eastAsia="en-AU"/>
              </w:rPr>
            </w:pPr>
          </w:p>
        </w:tc>
        <w:tc>
          <w:tcPr>
            <w:tcW w:w="1326" w:type="pct"/>
            <w:noWrap/>
          </w:tcPr>
          <w:p w14:paraId="09615182" w14:textId="77777777" w:rsidR="00EF65AE" w:rsidRPr="00EC1DA8" w:rsidRDefault="00EF65AE" w:rsidP="00EF65AE">
            <w:pPr>
              <w:rPr>
                <w:lang w:eastAsia="en-AU"/>
              </w:rPr>
            </w:pPr>
          </w:p>
        </w:tc>
        <w:tc>
          <w:tcPr>
            <w:tcW w:w="953" w:type="pct"/>
            <w:noWrap/>
          </w:tcPr>
          <w:p w14:paraId="7580A8E3" w14:textId="77777777" w:rsidR="00EF65AE" w:rsidRPr="00EC1DA8" w:rsidRDefault="00EF65AE" w:rsidP="00EF65AE">
            <w:pPr>
              <w:rPr>
                <w:lang w:eastAsia="en-AU"/>
              </w:rPr>
            </w:pPr>
          </w:p>
        </w:tc>
      </w:tr>
      <w:tr w:rsidR="00560924" w:rsidRPr="00EC1DA8" w14:paraId="23EE46C0" w14:textId="77777777" w:rsidTr="00560924">
        <w:trPr>
          <w:trHeight w:val="80"/>
        </w:trPr>
        <w:tc>
          <w:tcPr>
            <w:tcW w:w="1973" w:type="pct"/>
            <w:noWrap/>
            <w:hideMark/>
          </w:tcPr>
          <w:p w14:paraId="0A777E1D" w14:textId="77777777" w:rsidR="00EF65AE" w:rsidRPr="00EC1DA8" w:rsidRDefault="00EF65AE" w:rsidP="00EF65AE">
            <w:pPr>
              <w:rPr>
                <w:b/>
                <w:lang w:eastAsia="en-AU"/>
              </w:rPr>
            </w:pPr>
            <w:r w:rsidRPr="00EC1DA8">
              <w:rPr>
                <w:lang w:eastAsia="en-AU"/>
              </w:rPr>
              <w:t>Timor-Leste</w:t>
            </w:r>
          </w:p>
        </w:tc>
        <w:tc>
          <w:tcPr>
            <w:tcW w:w="748" w:type="pct"/>
            <w:noWrap/>
          </w:tcPr>
          <w:p w14:paraId="252DC98C" w14:textId="77777777" w:rsidR="00EF65AE" w:rsidRPr="00EC1DA8" w:rsidRDefault="00EF65AE" w:rsidP="00EF65AE">
            <w:pPr>
              <w:rPr>
                <w:lang w:eastAsia="en-AU"/>
              </w:rPr>
            </w:pPr>
          </w:p>
        </w:tc>
        <w:tc>
          <w:tcPr>
            <w:tcW w:w="1326" w:type="pct"/>
            <w:noWrap/>
          </w:tcPr>
          <w:p w14:paraId="6899BD60" w14:textId="77777777" w:rsidR="00EF65AE" w:rsidRPr="00EC1DA8" w:rsidRDefault="00EF65AE" w:rsidP="00EF65AE">
            <w:pPr>
              <w:rPr>
                <w:lang w:eastAsia="en-AU"/>
              </w:rPr>
            </w:pPr>
          </w:p>
        </w:tc>
        <w:tc>
          <w:tcPr>
            <w:tcW w:w="953" w:type="pct"/>
            <w:noWrap/>
          </w:tcPr>
          <w:p w14:paraId="6D02EA95" w14:textId="77777777" w:rsidR="00EF65AE" w:rsidRPr="00EC1DA8" w:rsidRDefault="00EF65AE" w:rsidP="00EF65AE">
            <w:pPr>
              <w:rPr>
                <w:lang w:eastAsia="en-AU"/>
              </w:rPr>
            </w:pPr>
          </w:p>
        </w:tc>
      </w:tr>
      <w:tr w:rsidR="00560924" w:rsidRPr="00EC1DA8" w14:paraId="1EBBA866" w14:textId="77777777" w:rsidTr="00560924">
        <w:trPr>
          <w:trHeight w:val="283"/>
        </w:trPr>
        <w:tc>
          <w:tcPr>
            <w:tcW w:w="1973" w:type="pct"/>
            <w:noWrap/>
            <w:hideMark/>
          </w:tcPr>
          <w:p w14:paraId="071CE787" w14:textId="77777777" w:rsidR="00EF65AE" w:rsidRPr="00EC1DA8" w:rsidRDefault="00EF65AE" w:rsidP="00EF65AE">
            <w:pPr>
              <w:rPr>
                <w:b/>
                <w:lang w:eastAsia="en-AU"/>
              </w:rPr>
            </w:pPr>
            <w:r w:rsidRPr="00EC1DA8">
              <w:rPr>
                <w:lang w:eastAsia="en-AU"/>
              </w:rPr>
              <w:t>Vietnam</w:t>
            </w:r>
          </w:p>
        </w:tc>
        <w:tc>
          <w:tcPr>
            <w:tcW w:w="748" w:type="pct"/>
            <w:noWrap/>
          </w:tcPr>
          <w:p w14:paraId="7AEAED39" w14:textId="77777777" w:rsidR="00EF65AE" w:rsidRPr="00EC1DA8" w:rsidRDefault="00EF65AE" w:rsidP="00EF65AE">
            <w:pPr>
              <w:rPr>
                <w:lang w:eastAsia="en-AU"/>
              </w:rPr>
            </w:pPr>
          </w:p>
        </w:tc>
        <w:tc>
          <w:tcPr>
            <w:tcW w:w="1326" w:type="pct"/>
            <w:noWrap/>
          </w:tcPr>
          <w:p w14:paraId="219B92FA" w14:textId="77777777" w:rsidR="00EF65AE" w:rsidRPr="00EC1DA8" w:rsidRDefault="00EF65AE" w:rsidP="00EF65AE">
            <w:pPr>
              <w:rPr>
                <w:lang w:eastAsia="en-AU"/>
              </w:rPr>
            </w:pPr>
          </w:p>
        </w:tc>
        <w:tc>
          <w:tcPr>
            <w:tcW w:w="953" w:type="pct"/>
            <w:noWrap/>
          </w:tcPr>
          <w:p w14:paraId="6862509E" w14:textId="77777777" w:rsidR="00EF65AE" w:rsidRPr="00EC1DA8" w:rsidRDefault="00EF65AE" w:rsidP="00EF65AE">
            <w:pPr>
              <w:rPr>
                <w:lang w:eastAsia="en-AU"/>
              </w:rPr>
            </w:pPr>
          </w:p>
        </w:tc>
      </w:tr>
    </w:tbl>
    <w:p w14:paraId="20381338" w14:textId="77777777" w:rsidR="00EF65AE" w:rsidRPr="00EF65AE" w:rsidRDefault="00EF65AE" w:rsidP="00EF65AE">
      <w:pPr>
        <w:rPr>
          <w:rFonts w:cs="Arial"/>
        </w:rPr>
      </w:pPr>
      <w:r w:rsidRPr="00EF65AE">
        <w:rPr>
          <w:rFonts w:cs="Arial"/>
        </w:rPr>
        <w:t xml:space="preserve">Note: Countries </w:t>
      </w:r>
      <w:r w:rsidR="00E34538">
        <w:rPr>
          <w:rFonts w:cs="Arial"/>
        </w:rPr>
        <w:t>with</w:t>
      </w:r>
      <w:r w:rsidR="00E34538" w:rsidRPr="00EF65AE">
        <w:rPr>
          <w:rFonts w:cs="Arial"/>
        </w:rPr>
        <w:t xml:space="preserve"> </w:t>
      </w:r>
      <w:r w:rsidRPr="00EF65AE">
        <w:rPr>
          <w:rFonts w:cs="Arial"/>
        </w:rPr>
        <w:t>data not available from the source have not been included in th</w:t>
      </w:r>
      <w:r w:rsidR="00E34538">
        <w:rPr>
          <w:rFonts w:cs="Arial"/>
        </w:rPr>
        <w:t>is</w:t>
      </w:r>
      <w:r w:rsidRPr="00EF65AE">
        <w:rPr>
          <w:rFonts w:cs="Arial"/>
        </w:rPr>
        <w:t xml:space="preserve"> table.</w:t>
      </w:r>
    </w:p>
    <w:p w14:paraId="22460DBB" w14:textId="77777777" w:rsidR="00EF65AE" w:rsidRPr="00EF65AE" w:rsidRDefault="00D36612" w:rsidP="00D36612">
      <w:pPr>
        <w:pStyle w:val="Caption"/>
        <w:rPr>
          <w:rFonts w:cs="Arial"/>
        </w:rPr>
      </w:pPr>
      <w:r>
        <w:t xml:space="preserve">Table </w:t>
      </w:r>
      <w:r w:rsidR="005A236E">
        <w:t>9</w:t>
      </w:r>
      <w:r w:rsidR="00EF65AE" w:rsidRPr="00EF65AE">
        <w:rPr>
          <w:rFonts w:cs="Arial"/>
        </w:rPr>
        <w:t xml:space="preserve">: Overview of </w:t>
      </w:r>
      <w:r w:rsidR="00371628">
        <w:rPr>
          <w:rFonts w:cs="Arial"/>
        </w:rPr>
        <w:t>EVAWG</w:t>
      </w:r>
      <w:r w:rsidR="00560924">
        <w:rPr>
          <w:rFonts w:cs="Arial"/>
        </w:rPr>
        <w:t>-</w:t>
      </w:r>
      <w:r w:rsidR="00EF65AE" w:rsidRPr="00EF65AE">
        <w:rPr>
          <w:rFonts w:cs="Arial"/>
        </w:rPr>
        <w:t>related legislation in evaluation focus countries</w:t>
      </w:r>
      <w:r w:rsidR="00EF65AE" w:rsidRPr="00EF65AE">
        <w:rPr>
          <w:rFonts w:cs="Arial"/>
        </w:rPr>
        <w:fldChar w:fldCharType="begin"/>
      </w:r>
      <w:r w:rsidR="00EF65AE" w:rsidRPr="00EF65AE">
        <w:rPr>
          <w:rFonts w:cs="Arial"/>
        </w:rPr>
        <w:instrText xml:space="preserve"> ADDIN ZOTERO_ITEM CSL_CITATION {"citationID":"52Km9qqE","properties":{"formattedCitation":"\\super 54,57\\nosupersub{}","plainCitation":"54,57","noteIndex":0},"citationItems":[{"id":422,"uris":["http://zotero.org/users/4194704/items/HJBZE7HN"],"uri":["http://zotero.org/users/4194704/items/HJBZE7HN"],"itemData":{"id":422,"type":"webpage","title":"Women, Business, and the Law: Protecting women from violence","author":[{"literal":"World Bank"}],"issued":{"date-parts":[["2017"]]}}},{"id":"LnUt4Vs6/J96gLFYw","uris":["http://zotero.org/users/local/dqL838ot/items/PQ9SVKZV"],"uri":["http://zotero.org/users/local/dqL838ot/items/PQ9SVKZV"],"itemData":{"id":"iRMXrjCL/vWerp97X","type":"report","title":"Legislative Barriers to Gender Equality in Pacific Island Countries","publisher":"Pacific Women Shaping Pacific Development","publisher-place":"Suva","event-place":"Suva","author":[{"family":"Pacific Women Shaping Pacific Development Support Unit","given":""}],"issued":{"date-parts":[["2018"]]}}}],"schema":"https://github.com/citation-style-language/schema/raw/master/csl-citation.json"}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54,57</w:t>
      </w:r>
      <w:r w:rsidR="00EF65AE" w:rsidRPr="00EF65AE">
        <w:rPr>
          <w:rFonts w:cs="Arial"/>
        </w:rPr>
        <w:fldChar w:fldCharType="end"/>
      </w:r>
    </w:p>
    <w:tbl>
      <w:tblPr>
        <w:tblStyle w:val="TableGrid"/>
        <w:tblW w:w="5000" w:type="pct"/>
        <w:tblLook w:val="0420" w:firstRow="1" w:lastRow="0" w:firstColumn="0" w:lastColumn="0" w:noHBand="0" w:noVBand="1"/>
      </w:tblPr>
      <w:tblGrid>
        <w:gridCol w:w="1171"/>
        <w:gridCol w:w="1950"/>
        <w:gridCol w:w="2097"/>
        <w:gridCol w:w="1845"/>
        <w:gridCol w:w="1221"/>
        <w:gridCol w:w="1344"/>
      </w:tblGrid>
      <w:tr w:rsidR="00EF65AE" w:rsidRPr="00EC1DA8" w14:paraId="27804E55" w14:textId="77777777" w:rsidTr="00847FBF">
        <w:trPr>
          <w:cnfStyle w:val="100000000000" w:firstRow="1" w:lastRow="0" w:firstColumn="0" w:lastColumn="0" w:oddVBand="0" w:evenVBand="0" w:oddHBand="0" w:evenHBand="0" w:firstRowFirstColumn="0" w:firstRowLastColumn="0" w:lastRowFirstColumn="0" w:lastRowLastColumn="0"/>
          <w:trHeight w:val="1010"/>
        </w:trPr>
        <w:tc>
          <w:tcPr>
            <w:tcW w:w="0" w:type="pct"/>
          </w:tcPr>
          <w:p w14:paraId="74899639" w14:textId="77777777" w:rsidR="00EF65AE" w:rsidRPr="00EC1DA8" w:rsidRDefault="00EF65AE" w:rsidP="00EF65AE">
            <w:r w:rsidRPr="00EC1DA8">
              <w:t>Country</w:t>
            </w:r>
          </w:p>
        </w:tc>
        <w:tc>
          <w:tcPr>
            <w:tcW w:w="0" w:type="pct"/>
          </w:tcPr>
          <w:p w14:paraId="5D54F9FF" w14:textId="77777777" w:rsidR="00EF65AE" w:rsidRPr="00EC1DA8" w:rsidRDefault="00EF65AE" w:rsidP="00EF65AE">
            <w:r w:rsidRPr="00EC1DA8">
              <w:t xml:space="preserve">Constitutional provisions for equality </w:t>
            </w:r>
          </w:p>
        </w:tc>
        <w:tc>
          <w:tcPr>
            <w:tcW w:w="0" w:type="pct"/>
          </w:tcPr>
          <w:p w14:paraId="20079E0E" w14:textId="77777777" w:rsidR="00EF65AE" w:rsidRPr="00EC1DA8" w:rsidRDefault="00EF65AE" w:rsidP="00EF65AE">
            <w:r w:rsidRPr="00EC1DA8">
              <w:t>Prohibition of discrimination and sexual harassment in employment</w:t>
            </w:r>
          </w:p>
        </w:tc>
        <w:tc>
          <w:tcPr>
            <w:tcW w:w="0" w:type="pct"/>
          </w:tcPr>
          <w:p w14:paraId="5F474092" w14:textId="77777777" w:rsidR="00EF65AE" w:rsidRPr="00EC1DA8" w:rsidRDefault="00EF65AE" w:rsidP="00EF65AE">
            <w:r w:rsidRPr="00EC1DA8">
              <w:t xml:space="preserve">Domestic violence legislation </w:t>
            </w:r>
          </w:p>
        </w:tc>
        <w:tc>
          <w:tcPr>
            <w:tcW w:w="0" w:type="pct"/>
          </w:tcPr>
          <w:p w14:paraId="4B8517CD" w14:textId="77777777" w:rsidR="00EF65AE" w:rsidRPr="00EC1DA8" w:rsidRDefault="00EF65AE" w:rsidP="00EF65AE">
            <w:r w:rsidRPr="00EC1DA8">
              <w:t>Divorce</w:t>
            </w:r>
          </w:p>
        </w:tc>
        <w:tc>
          <w:tcPr>
            <w:tcW w:w="0" w:type="pct"/>
          </w:tcPr>
          <w:p w14:paraId="4BEEE97D" w14:textId="77777777" w:rsidR="00EF65AE" w:rsidRPr="00EC1DA8" w:rsidRDefault="00EF65AE" w:rsidP="00EF65AE">
            <w:r w:rsidRPr="00EC1DA8">
              <w:t>Sexual offences</w:t>
            </w:r>
          </w:p>
        </w:tc>
      </w:tr>
      <w:tr w:rsidR="00EF65AE" w:rsidRPr="00EC1DA8" w14:paraId="76D73A89" w14:textId="77777777" w:rsidTr="00847FBF">
        <w:trPr>
          <w:trHeight w:val="1814"/>
        </w:trPr>
        <w:tc>
          <w:tcPr>
            <w:tcW w:w="527" w:type="pct"/>
          </w:tcPr>
          <w:p w14:paraId="0049D844" w14:textId="77777777" w:rsidR="00EF65AE" w:rsidRPr="00EC1DA8" w:rsidRDefault="00EF65AE" w:rsidP="00EF65AE">
            <w:r w:rsidRPr="00EC1DA8">
              <w:t>Fiji</w:t>
            </w:r>
          </w:p>
        </w:tc>
        <w:tc>
          <w:tcPr>
            <w:tcW w:w="1029" w:type="pct"/>
          </w:tcPr>
          <w:p w14:paraId="2BFA63D3" w14:textId="77777777" w:rsidR="00EF65AE" w:rsidRPr="00EC1DA8" w:rsidRDefault="00EF65AE" w:rsidP="00EF65AE">
            <w:r w:rsidRPr="00EC1DA8">
              <w:t>Prohibition on discrimination on wide range of grounds</w:t>
            </w:r>
          </w:p>
          <w:p w14:paraId="3FD45531" w14:textId="77777777" w:rsidR="00EF65AE" w:rsidRPr="00EC1DA8" w:rsidRDefault="00EF65AE" w:rsidP="00EF65AE">
            <w:r w:rsidRPr="00EC1DA8">
              <w:t>Exception for laws relating to adoption, marriage and devolution of property on death</w:t>
            </w:r>
          </w:p>
        </w:tc>
        <w:tc>
          <w:tcPr>
            <w:tcW w:w="1105" w:type="pct"/>
          </w:tcPr>
          <w:p w14:paraId="4FD52239" w14:textId="1D83EE00" w:rsidR="00EF65AE" w:rsidRPr="00EC1DA8" w:rsidRDefault="00EF65AE" w:rsidP="00EF65AE">
            <w:r w:rsidRPr="00EC1DA8">
              <w:t>Employment Relations Promulgatio</w:t>
            </w:r>
            <w:r w:rsidR="001F1BB7">
              <w:t>n 2</w:t>
            </w:r>
            <w:r w:rsidRPr="00EC1DA8">
              <w:t>007</w:t>
            </w:r>
          </w:p>
        </w:tc>
        <w:tc>
          <w:tcPr>
            <w:tcW w:w="974" w:type="pct"/>
          </w:tcPr>
          <w:p w14:paraId="3E8ED45A" w14:textId="77777777" w:rsidR="00EF65AE" w:rsidRPr="00EC1DA8" w:rsidRDefault="00EF65AE" w:rsidP="00EF65AE">
            <w:r w:rsidRPr="00EC1DA8">
              <w:t xml:space="preserve">Domestic Violence Decree 2009 </w:t>
            </w:r>
          </w:p>
          <w:p w14:paraId="08754CE7" w14:textId="77777777" w:rsidR="00EF65AE" w:rsidRPr="00EC1DA8" w:rsidRDefault="00EF65AE" w:rsidP="00EF65AE"/>
        </w:tc>
        <w:tc>
          <w:tcPr>
            <w:tcW w:w="650" w:type="pct"/>
          </w:tcPr>
          <w:p w14:paraId="1713E2FB" w14:textId="77777777" w:rsidR="00EF65AE" w:rsidRPr="00EC1DA8" w:rsidRDefault="00EF65AE" w:rsidP="00EF65AE">
            <w:r w:rsidRPr="00EC1DA8">
              <w:t>No-fault divorce</w:t>
            </w:r>
          </w:p>
          <w:p w14:paraId="70F77F56" w14:textId="77777777" w:rsidR="00EF65AE" w:rsidRPr="00EC1DA8" w:rsidRDefault="00EF65AE" w:rsidP="00EF65AE">
            <w:r w:rsidRPr="00EC1DA8">
              <w:t>Family Law Act (2003)</w:t>
            </w:r>
          </w:p>
        </w:tc>
        <w:tc>
          <w:tcPr>
            <w:tcW w:w="714" w:type="pct"/>
          </w:tcPr>
          <w:p w14:paraId="61DD035F" w14:textId="77777777" w:rsidR="00EF65AE" w:rsidRPr="00EC1DA8" w:rsidRDefault="00EF65AE" w:rsidP="00EF65AE">
            <w:r w:rsidRPr="00EC1DA8">
              <w:t>Updated 2009</w:t>
            </w:r>
          </w:p>
        </w:tc>
      </w:tr>
      <w:tr w:rsidR="00EF65AE" w:rsidRPr="00EC1DA8" w14:paraId="43291411" w14:textId="77777777" w:rsidTr="00847FBF">
        <w:trPr>
          <w:trHeight w:val="1325"/>
        </w:trPr>
        <w:tc>
          <w:tcPr>
            <w:tcW w:w="527" w:type="pct"/>
          </w:tcPr>
          <w:p w14:paraId="39ED909B" w14:textId="77777777" w:rsidR="00EF65AE" w:rsidRPr="00EC1DA8" w:rsidRDefault="00EF65AE" w:rsidP="00EF65AE">
            <w:r w:rsidRPr="00EC1DA8">
              <w:t xml:space="preserve">Indonesia </w:t>
            </w:r>
          </w:p>
        </w:tc>
        <w:tc>
          <w:tcPr>
            <w:tcW w:w="1029" w:type="pct"/>
          </w:tcPr>
          <w:p w14:paraId="69D16771" w14:textId="77777777" w:rsidR="00EF65AE" w:rsidRPr="00EC1DA8" w:rsidRDefault="00EF65AE" w:rsidP="00EF65AE">
            <w:r w:rsidRPr="00EC1DA8">
              <w:t>No explicit guarantee of equal rights for men and women</w:t>
            </w:r>
          </w:p>
        </w:tc>
        <w:tc>
          <w:tcPr>
            <w:tcW w:w="1105" w:type="pct"/>
          </w:tcPr>
          <w:p w14:paraId="217A51CA" w14:textId="77777777" w:rsidR="00EF65AE" w:rsidRPr="00EC1DA8" w:rsidRDefault="00EF65AE" w:rsidP="00EF65AE">
            <w:pPr>
              <w:rPr>
                <w:i/>
              </w:rPr>
            </w:pPr>
            <w:r w:rsidRPr="00EC1DA8">
              <w:t>Discrimination is covered in the Constitution and in the 2004 Law on Manpower</w:t>
            </w:r>
          </w:p>
        </w:tc>
        <w:tc>
          <w:tcPr>
            <w:tcW w:w="974" w:type="pct"/>
          </w:tcPr>
          <w:p w14:paraId="6CA06FE6" w14:textId="77777777" w:rsidR="00EF65AE" w:rsidRPr="00EC1DA8" w:rsidRDefault="00EF65AE" w:rsidP="00EF65AE">
            <w:pPr>
              <w:rPr>
                <w:i/>
              </w:rPr>
            </w:pPr>
            <w:r w:rsidRPr="00EC1DA8">
              <w:t>Passed in 2004</w:t>
            </w:r>
          </w:p>
        </w:tc>
        <w:tc>
          <w:tcPr>
            <w:tcW w:w="650" w:type="pct"/>
          </w:tcPr>
          <w:p w14:paraId="61F1A943" w14:textId="77777777" w:rsidR="00EF65AE" w:rsidRPr="00EC1DA8" w:rsidRDefault="00EF65AE" w:rsidP="00EF65AE">
            <w:r w:rsidRPr="00EC1DA8">
              <w:t>Fault-based divorce</w:t>
            </w:r>
          </w:p>
        </w:tc>
        <w:tc>
          <w:tcPr>
            <w:tcW w:w="714" w:type="pct"/>
          </w:tcPr>
          <w:p w14:paraId="0EF75FF6" w14:textId="77777777" w:rsidR="00EF65AE" w:rsidRPr="00EC1DA8" w:rsidRDefault="00EF65AE" w:rsidP="00EF65AE">
            <w:r w:rsidRPr="00EC1DA8">
              <w:t>Draft bill not passed yet</w:t>
            </w:r>
          </w:p>
        </w:tc>
      </w:tr>
      <w:tr w:rsidR="00EF65AE" w:rsidRPr="00EC1DA8" w14:paraId="7A75CB35" w14:textId="77777777" w:rsidTr="00847FBF">
        <w:trPr>
          <w:trHeight w:val="1751"/>
        </w:trPr>
        <w:tc>
          <w:tcPr>
            <w:tcW w:w="527" w:type="pct"/>
          </w:tcPr>
          <w:p w14:paraId="19F3B6C1" w14:textId="77777777" w:rsidR="00EF65AE" w:rsidRPr="00EC1DA8" w:rsidRDefault="00EF65AE" w:rsidP="00EF65AE">
            <w:r w:rsidRPr="00EC1DA8">
              <w:t>Pakistan</w:t>
            </w:r>
          </w:p>
        </w:tc>
        <w:tc>
          <w:tcPr>
            <w:tcW w:w="1029" w:type="pct"/>
          </w:tcPr>
          <w:p w14:paraId="35B6D724" w14:textId="77777777" w:rsidR="00EF65AE" w:rsidRPr="00EC1DA8" w:rsidRDefault="00EF65AE" w:rsidP="00EF65AE">
            <w:r w:rsidRPr="00EC1DA8">
              <w:t>Guarantee of equality of all citizens and of no discrimination on the basis of sex</w:t>
            </w:r>
          </w:p>
        </w:tc>
        <w:tc>
          <w:tcPr>
            <w:tcW w:w="1105" w:type="pct"/>
          </w:tcPr>
          <w:p w14:paraId="42684F6D" w14:textId="77777777" w:rsidR="00EF65AE" w:rsidRPr="00EC1DA8" w:rsidRDefault="00EF65AE" w:rsidP="00EF65AE">
            <w:r w:rsidRPr="00EC1DA8">
              <w:t>2010 Protection Against Harassment of Women at the Workplace Act</w:t>
            </w:r>
          </w:p>
          <w:p w14:paraId="36BBF026" w14:textId="77777777" w:rsidR="00EF65AE" w:rsidRPr="00EC1DA8" w:rsidRDefault="00EF65AE" w:rsidP="00EF65AE">
            <w:r w:rsidRPr="00EC1DA8">
              <w:t xml:space="preserve">Prevention of Anti-Women Practices amendments to the Criminal Law (2011) </w:t>
            </w:r>
          </w:p>
        </w:tc>
        <w:tc>
          <w:tcPr>
            <w:tcW w:w="974" w:type="pct"/>
          </w:tcPr>
          <w:p w14:paraId="62F8BCB1" w14:textId="77777777" w:rsidR="00EF65AE" w:rsidRPr="00EC1DA8" w:rsidRDefault="00EF65AE" w:rsidP="00EF65AE">
            <w:r w:rsidRPr="00EC1DA8">
              <w:t xml:space="preserve">National-level Domestic Violence Act passed in 2012 Provincial laws passed in </w:t>
            </w:r>
            <w:r w:rsidR="00560924">
              <w:t>three</w:t>
            </w:r>
            <w:r w:rsidRPr="00EC1DA8">
              <w:t xml:space="preserve"> provinces</w:t>
            </w:r>
          </w:p>
          <w:p w14:paraId="7B6BB8CD" w14:textId="77777777" w:rsidR="00EF65AE" w:rsidRPr="00EC1DA8" w:rsidRDefault="00EF65AE" w:rsidP="00EF65AE">
            <w:r w:rsidRPr="00EC1DA8">
              <w:t>Anti-Honour Killing Bill 2016</w:t>
            </w:r>
          </w:p>
        </w:tc>
        <w:tc>
          <w:tcPr>
            <w:tcW w:w="650" w:type="pct"/>
          </w:tcPr>
          <w:p w14:paraId="2ACD30BD" w14:textId="20BF1791" w:rsidR="00EF65AE" w:rsidRPr="00EC1DA8" w:rsidRDefault="00EF65AE" w:rsidP="00F973BE">
            <w:r w:rsidRPr="00EC1DA8">
              <w:t>Muslim Family Law</w:t>
            </w:r>
          </w:p>
        </w:tc>
        <w:tc>
          <w:tcPr>
            <w:tcW w:w="714" w:type="pct"/>
          </w:tcPr>
          <w:p w14:paraId="1CD38A85" w14:textId="77777777" w:rsidR="00EF65AE" w:rsidRPr="00EC1DA8" w:rsidRDefault="00EF65AE" w:rsidP="00EF65AE">
            <w:r w:rsidRPr="00EC1DA8">
              <w:t>Updated by 2006 Protection for Women Act</w:t>
            </w:r>
          </w:p>
        </w:tc>
      </w:tr>
      <w:tr w:rsidR="00EF65AE" w:rsidRPr="00EC1DA8" w14:paraId="7E8D7B5F" w14:textId="77777777" w:rsidTr="00847FBF">
        <w:trPr>
          <w:trHeight w:val="1571"/>
        </w:trPr>
        <w:tc>
          <w:tcPr>
            <w:tcW w:w="527" w:type="pct"/>
          </w:tcPr>
          <w:p w14:paraId="1401A79E" w14:textId="77777777" w:rsidR="00EF65AE" w:rsidRPr="00EC1DA8" w:rsidRDefault="00EF65AE" w:rsidP="00EF65AE">
            <w:r w:rsidRPr="00EC1DA8">
              <w:t>Papua New Guinea</w:t>
            </w:r>
          </w:p>
        </w:tc>
        <w:tc>
          <w:tcPr>
            <w:tcW w:w="1029" w:type="pct"/>
          </w:tcPr>
          <w:p w14:paraId="1E881983" w14:textId="77777777" w:rsidR="00EF65AE" w:rsidRPr="00EC1DA8" w:rsidRDefault="00EF65AE" w:rsidP="00EF65AE">
            <w:r w:rsidRPr="00EC1DA8">
              <w:t>Guarantee of equal rights, regardless of gender</w:t>
            </w:r>
          </w:p>
          <w:p w14:paraId="66478A82" w14:textId="77777777" w:rsidR="00EF65AE" w:rsidRPr="00EC1DA8" w:rsidRDefault="00EF65AE" w:rsidP="00EF65AE">
            <w:r w:rsidRPr="00EC1DA8">
              <w:t>No specific prohibition on discrimination</w:t>
            </w:r>
          </w:p>
        </w:tc>
        <w:tc>
          <w:tcPr>
            <w:tcW w:w="1105" w:type="pct"/>
          </w:tcPr>
          <w:p w14:paraId="619987D9" w14:textId="77777777" w:rsidR="00EF65AE" w:rsidRPr="00EC1DA8" w:rsidRDefault="00E536B8" w:rsidP="00EF65AE">
            <w:r>
              <w:t>I</w:t>
            </w:r>
            <w:r w:rsidR="00EF65AE" w:rsidRPr="00EC1DA8">
              <w:t xml:space="preserve">n the public </w:t>
            </w:r>
            <w:r>
              <w:t xml:space="preserve">and private </w:t>
            </w:r>
            <w:r w:rsidR="00EF65AE" w:rsidRPr="00EC1DA8">
              <w:t>sector</w:t>
            </w:r>
            <w:r>
              <w:t>s</w:t>
            </w:r>
          </w:p>
        </w:tc>
        <w:tc>
          <w:tcPr>
            <w:tcW w:w="974" w:type="pct"/>
          </w:tcPr>
          <w:p w14:paraId="59FD7BE1" w14:textId="77777777" w:rsidR="00EF65AE" w:rsidRPr="00EC1DA8" w:rsidRDefault="00EF65AE" w:rsidP="00EF65AE">
            <w:r w:rsidRPr="00EC1DA8">
              <w:t xml:space="preserve">Family Protection Act 2013 </w:t>
            </w:r>
          </w:p>
          <w:p w14:paraId="6C863DBA" w14:textId="77777777" w:rsidR="00EF65AE" w:rsidRPr="00EC1DA8" w:rsidRDefault="00EF65AE" w:rsidP="00EF65AE">
            <w:pPr>
              <w:rPr>
                <w:rFonts w:eastAsiaTheme="minorEastAsia"/>
              </w:rPr>
            </w:pPr>
            <w:r w:rsidRPr="00EC1DA8">
              <w:t>(regulat</w:t>
            </w:r>
            <w:r w:rsidR="00744433">
              <w:t>ions</w:t>
            </w:r>
            <w:r w:rsidRPr="00EC1DA8">
              <w:t xml:space="preserve"> in 2017)</w:t>
            </w:r>
          </w:p>
          <w:p w14:paraId="74FB0459" w14:textId="77777777" w:rsidR="00EF65AE" w:rsidRPr="00EC1DA8" w:rsidRDefault="00EF65AE" w:rsidP="00EF65AE">
            <w:r w:rsidRPr="00B83C43">
              <w:rPr>
                <w:i/>
                <w:iCs/>
              </w:rPr>
              <w:t>Lukautim Pikinini</w:t>
            </w:r>
            <w:r w:rsidRPr="00EC1DA8">
              <w:t xml:space="preserve"> Act 2015 (regulat</w:t>
            </w:r>
            <w:r w:rsidR="00744433">
              <w:t xml:space="preserve">ions in </w:t>
            </w:r>
            <w:r w:rsidRPr="00EC1DA8">
              <w:t>2017)</w:t>
            </w:r>
          </w:p>
        </w:tc>
        <w:tc>
          <w:tcPr>
            <w:tcW w:w="650" w:type="pct"/>
          </w:tcPr>
          <w:p w14:paraId="5CE2CD3B" w14:textId="77777777" w:rsidR="00EF65AE" w:rsidRPr="00EC1DA8" w:rsidRDefault="00EF65AE" w:rsidP="00EF65AE">
            <w:r w:rsidRPr="00EC1DA8">
              <w:t>Fault-based divorce</w:t>
            </w:r>
          </w:p>
        </w:tc>
        <w:tc>
          <w:tcPr>
            <w:tcW w:w="714" w:type="pct"/>
          </w:tcPr>
          <w:p w14:paraId="03E836DD" w14:textId="77777777" w:rsidR="00EF65AE" w:rsidRPr="00EC1DA8" w:rsidRDefault="00EF65AE" w:rsidP="00EF65AE">
            <w:r w:rsidRPr="00EC1DA8">
              <w:t>Updated by Criminal Code (Sexual Offences and Crimes against Children) Act 2002</w:t>
            </w:r>
          </w:p>
        </w:tc>
      </w:tr>
      <w:tr w:rsidR="00EF65AE" w:rsidRPr="00EC1DA8" w14:paraId="38713B22" w14:textId="77777777" w:rsidTr="00847FBF">
        <w:trPr>
          <w:trHeight w:val="1688"/>
        </w:trPr>
        <w:tc>
          <w:tcPr>
            <w:tcW w:w="527" w:type="pct"/>
          </w:tcPr>
          <w:p w14:paraId="14C2E978" w14:textId="77777777" w:rsidR="00EF65AE" w:rsidRPr="00EC1DA8" w:rsidRDefault="00EF65AE" w:rsidP="00EF65AE">
            <w:r w:rsidRPr="00EC1DA8">
              <w:t>Solomon Islands</w:t>
            </w:r>
          </w:p>
        </w:tc>
        <w:tc>
          <w:tcPr>
            <w:tcW w:w="1029" w:type="pct"/>
          </w:tcPr>
          <w:p w14:paraId="1483611C" w14:textId="77777777" w:rsidR="00EF65AE" w:rsidRPr="00EC1DA8" w:rsidRDefault="00EF65AE" w:rsidP="00EF65AE">
            <w:r w:rsidRPr="00EC1DA8">
              <w:t>Guarantee of equal protection and prohibition of laws and actions that discriminate on the basis of sex. Exceptions with respect to taxation, customary law and land</w:t>
            </w:r>
          </w:p>
        </w:tc>
        <w:tc>
          <w:tcPr>
            <w:tcW w:w="1105" w:type="pct"/>
          </w:tcPr>
          <w:p w14:paraId="0F3131B6" w14:textId="77777777" w:rsidR="00EF65AE" w:rsidRPr="00EC1DA8" w:rsidRDefault="00EF65AE" w:rsidP="00EF65AE">
            <w:r w:rsidRPr="00EC1DA8">
              <w:t>Public sector only: Public Service Act 2014</w:t>
            </w:r>
          </w:p>
        </w:tc>
        <w:tc>
          <w:tcPr>
            <w:tcW w:w="974" w:type="pct"/>
          </w:tcPr>
          <w:p w14:paraId="6D4CD1FB" w14:textId="77777777" w:rsidR="00EF65AE" w:rsidRPr="00EC1DA8" w:rsidRDefault="00EF65AE" w:rsidP="00EF65AE">
            <w:r w:rsidRPr="00EC1DA8">
              <w:t>Family Protection Act 2014 (entered into force 2016)</w:t>
            </w:r>
          </w:p>
        </w:tc>
        <w:tc>
          <w:tcPr>
            <w:tcW w:w="650" w:type="pct"/>
          </w:tcPr>
          <w:p w14:paraId="3720733C" w14:textId="77777777" w:rsidR="00EF65AE" w:rsidRPr="00EC1DA8" w:rsidRDefault="00EF65AE" w:rsidP="00EF65AE">
            <w:r w:rsidRPr="00EC1DA8">
              <w:t>Fault-based divorce</w:t>
            </w:r>
          </w:p>
        </w:tc>
        <w:tc>
          <w:tcPr>
            <w:tcW w:w="714" w:type="pct"/>
          </w:tcPr>
          <w:p w14:paraId="72F191BF" w14:textId="77777777" w:rsidR="00EF65AE" w:rsidRPr="00EC1DA8" w:rsidRDefault="00EF65AE" w:rsidP="00EF65AE">
            <w:r w:rsidRPr="00EC1DA8">
              <w:t>Updated in 2016</w:t>
            </w:r>
          </w:p>
        </w:tc>
      </w:tr>
      <w:tr w:rsidR="00EF65AE" w:rsidRPr="00EC1DA8" w14:paraId="1E84DAC2" w14:textId="77777777" w:rsidTr="00847FBF">
        <w:trPr>
          <w:trHeight w:val="1481"/>
        </w:trPr>
        <w:tc>
          <w:tcPr>
            <w:tcW w:w="527" w:type="pct"/>
          </w:tcPr>
          <w:p w14:paraId="6AF64CCF" w14:textId="77777777" w:rsidR="00EF65AE" w:rsidRPr="00EC1DA8" w:rsidRDefault="00EF65AE" w:rsidP="00EF65AE">
            <w:r w:rsidRPr="00EC1DA8">
              <w:t>Timor-Leste</w:t>
            </w:r>
          </w:p>
        </w:tc>
        <w:tc>
          <w:tcPr>
            <w:tcW w:w="1029" w:type="pct"/>
          </w:tcPr>
          <w:p w14:paraId="05ED89A7" w14:textId="77777777" w:rsidR="00EF65AE" w:rsidRPr="00EC1DA8" w:rsidRDefault="00EF65AE" w:rsidP="00EF65AE">
            <w:r w:rsidRPr="00EC1DA8">
              <w:t>Guarantee of equal rights and duties for men and women</w:t>
            </w:r>
          </w:p>
        </w:tc>
        <w:tc>
          <w:tcPr>
            <w:tcW w:w="1105" w:type="pct"/>
          </w:tcPr>
          <w:p w14:paraId="04C6873D" w14:textId="77777777" w:rsidR="00EF65AE" w:rsidRPr="00EC1DA8" w:rsidRDefault="00EF65AE" w:rsidP="00EF65AE">
            <w:r w:rsidRPr="00EC1DA8">
              <w:t>Workplace sexual, verbal, and non-verbal harassment prohibited through Labour Code 2012</w:t>
            </w:r>
          </w:p>
        </w:tc>
        <w:tc>
          <w:tcPr>
            <w:tcW w:w="974" w:type="pct"/>
          </w:tcPr>
          <w:p w14:paraId="4F3EF225" w14:textId="77777777" w:rsidR="00EF65AE" w:rsidRPr="00EC1DA8" w:rsidRDefault="00EF65AE" w:rsidP="00EF65AE">
            <w:pPr>
              <w:rPr>
                <w:i/>
              </w:rPr>
            </w:pPr>
            <w:r w:rsidRPr="00EC1DA8">
              <w:t>Law Against Domestic Violence passed in 2010</w:t>
            </w:r>
          </w:p>
        </w:tc>
        <w:tc>
          <w:tcPr>
            <w:tcW w:w="650" w:type="pct"/>
          </w:tcPr>
          <w:p w14:paraId="3CDC5E1E" w14:textId="77777777" w:rsidR="00EF65AE" w:rsidRPr="00EC1DA8" w:rsidRDefault="00EF65AE" w:rsidP="00EF65AE">
            <w:r w:rsidRPr="00EC1DA8">
              <w:t>Fault-based divorce</w:t>
            </w:r>
          </w:p>
        </w:tc>
        <w:tc>
          <w:tcPr>
            <w:tcW w:w="714" w:type="pct"/>
          </w:tcPr>
          <w:p w14:paraId="6D137538" w14:textId="77777777" w:rsidR="00EF65AE" w:rsidRPr="00EC1DA8" w:rsidRDefault="00EF65AE" w:rsidP="00EF65AE">
            <w:r w:rsidRPr="00EC1DA8">
              <w:t>Included in 2009 Penal Code</w:t>
            </w:r>
          </w:p>
        </w:tc>
      </w:tr>
      <w:tr w:rsidR="00EF65AE" w:rsidRPr="00EC1DA8" w14:paraId="1C0E4B3F" w14:textId="77777777" w:rsidTr="00847FBF">
        <w:trPr>
          <w:trHeight w:val="1151"/>
        </w:trPr>
        <w:tc>
          <w:tcPr>
            <w:tcW w:w="527" w:type="pct"/>
          </w:tcPr>
          <w:p w14:paraId="69C9103A" w14:textId="77777777" w:rsidR="00EF65AE" w:rsidRPr="00EC1DA8" w:rsidRDefault="00EF65AE" w:rsidP="00EF65AE">
            <w:r w:rsidRPr="00EC1DA8">
              <w:t>Vanuatu</w:t>
            </w:r>
          </w:p>
        </w:tc>
        <w:tc>
          <w:tcPr>
            <w:tcW w:w="1029" w:type="pct"/>
          </w:tcPr>
          <w:p w14:paraId="17D86408" w14:textId="3CB14B4E" w:rsidR="00EF65AE" w:rsidRPr="00EC1DA8" w:rsidRDefault="00EF65AE" w:rsidP="00F973BE">
            <w:r w:rsidRPr="00EC1DA8">
              <w:t>Guarantee of equal protection of the law and prohibition of discriminatory action on the basis of sex</w:t>
            </w:r>
          </w:p>
        </w:tc>
        <w:tc>
          <w:tcPr>
            <w:tcW w:w="1105" w:type="pct"/>
          </w:tcPr>
          <w:p w14:paraId="6382350F" w14:textId="77777777" w:rsidR="00EF65AE" w:rsidRPr="00EC1DA8" w:rsidRDefault="00EF65AE" w:rsidP="00EF65AE">
            <w:r w:rsidRPr="00EC1DA8">
              <w:t>None, although the Employment Act provides for equal pay and terms and conditions</w:t>
            </w:r>
          </w:p>
        </w:tc>
        <w:tc>
          <w:tcPr>
            <w:tcW w:w="974" w:type="pct"/>
          </w:tcPr>
          <w:p w14:paraId="153A7C75" w14:textId="77777777" w:rsidR="00EF65AE" w:rsidRPr="00EC1DA8" w:rsidRDefault="00EF65AE" w:rsidP="00EF65AE">
            <w:r w:rsidRPr="00EC1DA8">
              <w:t>Family Protection Act 2008 (entered into force 2016)</w:t>
            </w:r>
          </w:p>
          <w:p w14:paraId="7FC55F94" w14:textId="77777777" w:rsidR="00EF65AE" w:rsidRPr="00EC1DA8" w:rsidRDefault="00EF65AE" w:rsidP="00EF65AE"/>
        </w:tc>
        <w:tc>
          <w:tcPr>
            <w:tcW w:w="650" w:type="pct"/>
          </w:tcPr>
          <w:p w14:paraId="51F0B11E" w14:textId="77777777" w:rsidR="00EF65AE" w:rsidRPr="00EC1DA8" w:rsidRDefault="00EF65AE" w:rsidP="00EF65AE">
            <w:r w:rsidRPr="00EC1DA8">
              <w:t>Fault-based divorce</w:t>
            </w:r>
          </w:p>
        </w:tc>
        <w:tc>
          <w:tcPr>
            <w:tcW w:w="714" w:type="pct"/>
          </w:tcPr>
          <w:p w14:paraId="19C7AB96" w14:textId="77777777" w:rsidR="00EF65AE" w:rsidRPr="00EC1DA8" w:rsidRDefault="00EF65AE" w:rsidP="00EF65AE">
            <w:r w:rsidRPr="00EC1DA8">
              <w:t>Updated 2006</w:t>
            </w:r>
          </w:p>
        </w:tc>
      </w:tr>
    </w:tbl>
    <w:p w14:paraId="6B697ABD" w14:textId="77777777" w:rsidR="00EF65AE" w:rsidRPr="00EF65AE" w:rsidRDefault="00EF65AE" w:rsidP="00D57AB0">
      <w:pPr>
        <w:numPr>
          <w:ilvl w:val="0"/>
          <w:numId w:val="0"/>
        </w:numPr>
        <w:rPr>
          <w:rFonts w:cs="Arial"/>
          <w:noProof/>
        </w:rPr>
      </w:pPr>
      <w:bookmarkStart w:id="492" w:name="_Toc10114164"/>
      <w:bookmarkStart w:id="493" w:name="_Toc10114166"/>
      <w:bookmarkEnd w:id="492"/>
      <w:bookmarkEnd w:id="493"/>
    </w:p>
    <w:p w14:paraId="4896901B" w14:textId="77777777" w:rsidR="00EF65AE" w:rsidRDefault="00EF65AE" w:rsidP="00E96928">
      <w:pPr>
        <w:pStyle w:val="AnnexHeading"/>
        <w:rPr>
          <w:noProof/>
        </w:rPr>
      </w:pPr>
      <w:bookmarkStart w:id="494" w:name="_Toc14959634"/>
      <w:bookmarkStart w:id="495" w:name="_Toc15378148"/>
      <w:bookmarkStart w:id="496" w:name="_Toc15378497"/>
      <w:bookmarkStart w:id="497" w:name="_Toc15563039"/>
      <w:bookmarkStart w:id="498" w:name="_Toc23434575"/>
      <w:r w:rsidRPr="00EF65AE">
        <w:rPr>
          <w:noProof/>
        </w:rPr>
        <w:t>E</w:t>
      </w:r>
      <w:r w:rsidR="002B24C3">
        <w:rPr>
          <w:noProof/>
        </w:rPr>
        <w:t xml:space="preserve">VAWG </w:t>
      </w:r>
      <w:r w:rsidRPr="00EF65AE">
        <w:rPr>
          <w:noProof/>
        </w:rPr>
        <w:t>in Australia</w:t>
      </w:r>
      <w:bookmarkEnd w:id="494"/>
      <w:bookmarkEnd w:id="495"/>
      <w:bookmarkEnd w:id="496"/>
      <w:bookmarkEnd w:id="497"/>
      <w:bookmarkEnd w:id="498"/>
    </w:p>
    <w:p w14:paraId="532347EE" w14:textId="77777777" w:rsidR="00371628" w:rsidRPr="00371628" w:rsidRDefault="00371628" w:rsidP="00371628">
      <w:r>
        <w:t>This annex briefly reviews violence against women and girls in Australia.</w:t>
      </w:r>
    </w:p>
    <w:p w14:paraId="0B8B536D" w14:textId="77777777" w:rsidR="00EF65AE" w:rsidRPr="0090765B" w:rsidRDefault="00EF65AE" w:rsidP="00847FBF">
      <w:pPr>
        <w:pStyle w:val="AnnexSubHeading"/>
      </w:pPr>
      <w:bookmarkStart w:id="499" w:name="_Toc15378149"/>
      <w:bookmarkStart w:id="500" w:name="_Toc15378498"/>
      <w:bookmarkStart w:id="501" w:name="_Toc15563040"/>
      <w:bookmarkStart w:id="502" w:name="_Toc20307953"/>
      <w:bookmarkStart w:id="503" w:name="_Toc21365314"/>
      <w:bookmarkStart w:id="504" w:name="_Toc23434576"/>
      <w:r w:rsidRPr="0090765B">
        <w:t>Prevalence</w:t>
      </w:r>
      <w:bookmarkEnd w:id="499"/>
      <w:bookmarkEnd w:id="500"/>
      <w:bookmarkEnd w:id="501"/>
      <w:bookmarkEnd w:id="502"/>
      <w:bookmarkEnd w:id="503"/>
      <w:bookmarkEnd w:id="504"/>
    </w:p>
    <w:p w14:paraId="7B0C2787" w14:textId="77777777" w:rsidR="00560924" w:rsidRPr="0090765B" w:rsidRDefault="00EF65AE" w:rsidP="00EF65AE">
      <w:pPr>
        <w:rPr>
          <w:rFonts w:cs="Arial"/>
        </w:rPr>
      </w:pPr>
      <w:r w:rsidRPr="00761092">
        <w:rPr>
          <w:rFonts w:cs="Arial"/>
        </w:rPr>
        <w:t>Violence against women and girls in Australia is similar to the</w:t>
      </w:r>
      <w:r w:rsidRPr="00AC2DEE">
        <w:rPr>
          <w:rFonts w:cs="Arial"/>
        </w:rPr>
        <w:t xml:space="preserve"> global picture. Of Australian women over the age of 15</w:t>
      </w:r>
      <w:r w:rsidR="00560924" w:rsidRPr="0090765B">
        <w:rPr>
          <w:rFonts w:cs="Arial"/>
        </w:rPr>
        <w:t>:</w:t>
      </w:r>
    </w:p>
    <w:p w14:paraId="1C556952" w14:textId="77777777" w:rsidR="00560924" w:rsidRPr="0090765B" w:rsidRDefault="00EF65AE" w:rsidP="00560924">
      <w:pPr>
        <w:pStyle w:val="ListBullet"/>
      </w:pPr>
      <w:r w:rsidRPr="0090765B">
        <w:t>1 in 3 have experienced physical violence</w:t>
      </w:r>
    </w:p>
    <w:p w14:paraId="13B62B42" w14:textId="77777777" w:rsidR="00560924" w:rsidRPr="0090765B" w:rsidRDefault="00EF65AE" w:rsidP="00560924">
      <w:pPr>
        <w:pStyle w:val="ListBullet"/>
      </w:pPr>
      <w:r w:rsidRPr="0090765B">
        <w:t>1 in 4 have experienced physical or sexual violence from a partner</w:t>
      </w:r>
    </w:p>
    <w:p w14:paraId="4EA64CDB" w14:textId="77777777" w:rsidR="00560924" w:rsidRDefault="00EF65AE" w:rsidP="00560924">
      <w:pPr>
        <w:pStyle w:val="ListBullet"/>
      </w:pPr>
      <w:r w:rsidRPr="0090765B">
        <w:t>1 in 5 have experienced sexual violen</w:t>
      </w:r>
      <w:r w:rsidRPr="00EF65AE">
        <w:t xml:space="preserve">ce. </w:t>
      </w:r>
    </w:p>
    <w:p w14:paraId="5CDF4B25" w14:textId="338B856B" w:rsidR="00EF65AE" w:rsidRPr="00EF65AE" w:rsidRDefault="00EF65AE" w:rsidP="00560924">
      <w:r w:rsidRPr="00EF65AE">
        <w:t xml:space="preserve">The 2016 </w:t>
      </w:r>
      <w:r w:rsidRPr="00EF65AE">
        <w:rPr>
          <w:lang w:eastAsia="en-AU"/>
        </w:rPr>
        <w:t>Our Watch, Australia’s National Research Organisation for Women’s Safety</w:t>
      </w:r>
      <w:r w:rsidRPr="00EF65AE">
        <w:t xml:space="preserve"> study found that intimate partner violence accounted for 10.9 per cent of the disease burden among </w:t>
      </w:r>
      <w:r w:rsidR="0090765B">
        <w:t>Aboriginal and Torres Strait Islander</w:t>
      </w:r>
      <w:r w:rsidR="0090765B" w:rsidRPr="00EF65AE">
        <w:t xml:space="preserve"> </w:t>
      </w:r>
      <w:r w:rsidRPr="00EF65AE">
        <w:t>women aged 18 to 44 years—more than six times higher than found among non-Indigenous women.</w:t>
      </w:r>
      <w:r w:rsidRPr="00EF65AE">
        <w:fldChar w:fldCharType="begin"/>
      </w:r>
      <w:r w:rsidRPr="00EF65AE">
        <w:instrText xml:space="preserve"> ADDIN EN.CITE &lt;EndNote&gt;&lt;Cite&gt;&lt;Author&gt;Webster&lt;/Author&gt;&lt;Year&gt;2016&lt;/Year&gt;&lt;RecNum&gt;197&lt;/RecNum&gt;&lt;DisplayText&gt;(Webster, 2016)&lt;/DisplayText&gt;&lt;record&gt;&lt;rec-number&gt;197&lt;/rec-number&gt;&lt;foreign-keys&gt;&lt;key app="EN" db-id="rwrpxexri20xr1ezz9452exrtsse5rsfs220" timestamp="1524535901"&gt;197&lt;/key&gt;&lt;/foreign-keys&gt;&lt;ref-type name="Book"&gt;6&lt;/ref-type&gt;&lt;contributors&gt;&lt;authors&gt;&lt;author&gt;Webster, Kim&lt;/author&gt;&lt;/authors&gt;&lt;/contributors&gt;&lt;titles&gt;&lt;title&gt;A Preventable Burden: Measuring and Addressing the Prevalence and Health Impacts of Intimate Partner Violence in Australian Women: Key Findings and Future Directions&lt;/title&gt;&lt;/titles&gt;&lt;dates&gt;&lt;year&gt;2016&lt;/year&gt;&lt;/dates&gt;&lt;publisher&gt;ANROWS&lt;/publisher&gt;&lt;urls&gt;&lt;/urls&gt;&lt;/record&gt;&lt;/Cite&gt;&lt;/EndNote&gt;</w:instrText>
      </w:r>
      <w:r w:rsidRPr="00EF65AE">
        <w:fldChar w:fldCharType="separate"/>
      </w:r>
      <w:r w:rsidRPr="00EF65AE">
        <w:rPr>
          <w:vertAlign w:val="superscript"/>
        </w:rPr>
        <w:t>1</w:t>
      </w:r>
      <w:r w:rsidRPr="00EF65AE">
        <w:fldChar w:fldCharType="end"/>
      </w:r>
      <w:r w:rsidRPr="00EF65AE">
        <w:t xml:space="preserve"> Aboriginal and Torres Strait Islander women are also 32 times more likely to be hospitalised as a result of family violence-related assault than non-Indigenous women in Australia.</w:t>
      </w:r>
      <w:r w:rsidRPr="00EF65AE">
        <w:fldChar w:fldCharType="begin"/>
      </w:r>
      <w:r w:rsidRPr="00EF65AE">
        <w:instrText xml:space="preserve"> ADDIN ZOTERO_ITEM CSL_CITATION {"citationID":"x2tSdOuS","properties":{"formattedCitation":"\\super 126\\nosupersub{}","plainCitation":"126","noteIndex":0},"citationItems":[{"id":308,"uris":["http://zotero.org/users/4194704/items/2YIJ2EN9"],"uri":["http://zotero.org/users/4194704/items/2YIJ2EN9"],"itemData":{"id":308,"type":"report","title":"Overcoming Indigenous Disadvantage: Key Indicators 2016","publisher":"Productivity Commission","publisher-place":"Canberra","event-place":"Canberra","author":[{"literal":"Steering Committee for the Review of Government Service Provision (SCRGSP)"}],"issued":{"date-parts":[["2016"]]}}}],"schema":"https://github.com/citation-style-language/schema/raw/master/csl-citation.json"} </w:instrText>
      </w:r>
      <w:r w:rsidRPr="00EF65AE">
        <w:fldChar w:fldCharType="separate"/>
      </w:r>
      <w:r w:rsidRPr="00EF65AE">
        <w:rPr>
          <w:vertAlign w:val="superscript"/>
          <w:lang w:val="en-US"/>
        </w:rPr>
        <w:t>126</w:t>
      </w:r>
      <w:r w:rsidRPr="00EF65AE">
        <w:fldChar w:fldCharType="end"/>
      </w:r>
    </w:p>
    <w:p w14:paraId="7D529F42" w14:textId="77777777" w:rsidR="00560924" w:rsidRDefault="00EF65AE" w:rsidP="00CA6806">
      <w:r w:rsidRPr="00EF65AE">
        <w:t>A recent report by Women with Disabilities Australia, found that</w:t>
      </w:r>
      <w:r w:rsidR="00560924">
        <w:t>:</w:t>
      </w:r>
    </w:p>
    <w:p w14:paraId="65B4987E" w14:textId="77777777" w:rsidR="00EF65AE" w:rsidRPr="00EF65AE" w:rsidRDefault="00560924" w:rsidP="008F61F7">
      <w:pPr>
        <w:pStyle w:val="ListParagraph"/>
      </w:pPr>
      <w:r>
        <w:t xml:space="preserve">… </w:t>
      </w:r>
      <w:r w:rsidR="00EF65AE" w:rsidRPr="00EF65AE">
        <w:t>compared to their peers, women with disability experience significantly higher levels of all forms of violence more intensely and frequently and are subjected to such violence by a greater number of perpetrators. Their experiences of violence last over a longer period, and more severe injuries result.</w:t>
      </w:r>
      <w:r w:rsidR="00EF65AE" w:rsidRPr="00EF65AE">
        <w:fldChar w:fldCharType="begin"/>
      </w:r>
      <w:r w:rsidR="00EF65AE" w:rsidRPr="00EF65AE">
        <w:instrText xml:space="preserve"> ADDIN ZOTERO_ITEM CSL_CITATION {"citationID":"ybsPNN0D","properties":{"formattedCitation":"\\super 127\\nosupersub{}","plainCitation":"127","noteIndex":0},"citationItems":[{"id":115,"uris":["http://zotero.org/users/4194704/items/ZK4CNVQ9"],"uri":["http://zotero.org/users/4194704/items/ZK4CNVQ9"],"itemData":{"id":115,"type":"report","title":"Improving Service Responses for Women with Disability Experiencing Violence: 1800RESPECT","publisher":"Women with Disabilities Australia (WWDA)","publisher-place":"Lenah Valley","event-place":"Lenah Valley","author":[{"family":"Frohmader","given":"Carolyn"},{"family":"Ricci","given":"Cristina"}],"issued":{"date-parts":[["2016"]]}}}],"schema":"https://github.com/citation-style-language/schema/raw/master/csl-citation.json"} </w:instrText>
      </w:r>
      <w:r w:rsidR="00EF65AE" w:rsidRPr="00EF65AE">
        <w:fldChar w:fldCharType="separate"/>
      </w:r>
      <w:r w:rsidR="00EF65AE" w:rsidRPr="00EF65AE">
        <w:rPr>
          <w:vertAlign w:val="superscript"/>
          <w:lang w:val="en-US"/>
        </w:rPr>
        <w:t>127</w:t>
      </w:r>
      <w:r w:rsidR="00EF65AE" w:rsidRPr="00EF65AE">
        <w:fldChar w:fldCharType="end"/>
      </w:r>
    </w:p>
    <w:p w14:paraId="5C4AFACE" w14:textId="77777777" w:rsidR="00EF65AE" w:rsidRPr="00B9603B" w:rsidRDefault="00EF65AE" w:rsidP="00847FBF">
      <w:pPr>
        <w:pStyle w:val="AnnexSubHeading"/>
      </w:pPr>
      <w:bookmarkStart w:id="505" w:name="_Toc15378150"/>
      <w:bookmarkStart w:id="506" w:name="_Toc15378499"/>
      <w:bookmarkStart w:id="507" w:name="_Toc15563041"/>
      <w:bookmarkStart w:id="508" w:name="_Toc20307954"/>
      <w:bookmarkStart w:id="509" w:name="_Toc21365315"/>
      <w:bookmarkStart w:id="510" w:name="_Toc23434577"/>
      <w:r w:rsidRPr="00B9603B">
        <w:t xml:space="preserve">Australian </w:t>
      </w:r>
      <w:r w:rsidR="00C17947">
        <w:t>p</w:t>
      </w:r>
      <w:r w:rsidRPr="00B9603B">
        <w:t xml:space="preserve">olicy </w:t>
      </w:r>
      <w:r w:rsidR="00C17947">
        <w:t>c</w:t>
      </w:r>
      <w:r w:rsidRPr="00B9603B">
        <w:t>ontext</w:t>
      </w:r>
      <w:bookmarkEnd w:id="505"/>
      <w:bookmarkEnd w:id="506"/>
      <w:bookmarkEnd w:id="507"/>
      <w:bookmarkEnd w:id="508"/>
      <w:bookmarkEnd w:id="509"/>
      <w:bookmarkEnd w:id="510"/>
    </w:p>
    <w:p w14:paraId="4384934B" w14:textId="77777777" w:rsidR="00EF65AE" w:rsidRPr="00EF65AE" w:rsidRDefault="00EF65AE" w:rsidP="00CA6806">
      <w:r w:rsidRPr="00EF65AE">
        <w:t xml:space="preserve">Consistent with increasing concern internationally, violence against women has received growing attention in Australia, with the </w:t>
      </w:r>
      <w:r w:rsidR="00C17947">
        <w:t>Australian</w:t>
      </w:r>
      <w:r w:rsidR="00C17947" w:rsidRPr="00EF65AE">
        <w:t xml:space="preserve"> </w:t>
      </w:r>
      <w:r w:rsidRPr="00EF65AE">
        <w:t xml:space="preserve">Government, state and territory governments, non-government organisations and other stakeholders developing policies, action plans and evidence-based strategies in response. </w:t>
      </w:r>
    </w:p>
    <w:p w14:paraId="501371A5" w14:textId="77777777" w:rsidR="00EF65AE" w:rsidRPr="0090765B" w:rsidRDefault="00EF65AE" w:rsidP="00CA6806">
      <w:r w:rsidRPr="00EF65AE">
        <w:t xml:space="preserve">The 12-year </w:t>
      </w:r>
      <w:bookmarkStart w:id="511" w:name="_Hlk18597102"/>
      <w:r w:rsidR="003E0642">
        <w:rPr>
          <w:iCs/>
        </w:rPr>
        <w:t xml:space="preserve">Australian Government’s </w:t>
      </w:r>
      <w:r w:rsidR="003E0642">
        <w:rPr>
          <w:i/>
        </w:rPr>
        <w:t>The</w:t>
      </w:r>
      <w:r w:rsidR="003E0642" w:rsidRPr="006B6BC4">
        <w:rPr>
          <w:i/>
        </w:rPr>
        <w:t xml:space="preserve"> </w:t>
      </w:r>
      <w:r w:rsidRPr="006B6BC4">
        <w:rPr>
          <w:i/>
        </w:rPr>
        <w:t>Nati</w:t>
      </w:r>
      <w:r w:rsidRPr="00EF65AE">
        <w:rPr>
          <w:i/>
        </w:rPr>
        <w:t xml:space="preserve">onal Plan to Reduce Violence against </w:t>
      </w:r>
      <w:r w:rsidR="003E0642">
        <w:rPr>
          <w:i/>
        </w:rPr>
        <w:t>W</w:t>
      </w:r>
      <w:r w:rsidRPr="00EF65AE">
        <w:rPr>
          <w:i/>
        </w:rPr>
        <w:t>omen and their Children 2010–2022</w:t>
      </w:r>
      <w:r w:rsidRPr="00EF65AE">
        <w:t xml:space="preserve"> </w:t>
      </w:r>
      <w:bookmarkEnd w:id="511"/>
      <w:r w:rsidRPr="00EF65AE">
        <w:t xml:space="preserve">is focused on stopping men from committing violence before it happens, supporting </w:t>
      </w:r>
      <w:r w:rsidRPr="0090765B">
        <w:t>women, and building the evidence</w:t>
      </w:r>
      <w:r w:rsidR="004B4E9A">
        <w:t xml:space="preserve"> </w:t>
      </w:r>
      <w:r w:rsidRPr="0090765B">
        <w:t xml:space="preserve">base (Council of Australian Governments, 2010). A third </w:t>
      </w:r>
      <w:r w:rsidR="0090765B" w:rsidRPr="0090765B">
        <w:t>a</w:t>
      </w:r>
      <w:r w:rsidRPr="00371628">
        <w:t xml:space="preserve">ction </w:t>
      </w:r>
      <w:r w:rsidR="0090765B" w:rsidRPr="00371628">
        <w:t>p</w:t>
      </w:r>
      <w:r w:rsidRPr="00371628">
        <w:t xml:space="preserve">lan to implement the </w:t>
      </w:r>
      <w:r w:rsidR="0090765B" w:rsidRPr="00371628">
        <w:t>n</w:t>
      </w:r>
      <w:r w:rsidRPr="00371628">
        <w:t xml:space="preserve">ational </w:t>
      </w:r>
      <w:r w:rsidR="0090765B" w:rsidRPr="00371628">
        <w:t>p</w:t>
      </w:r>
      <w:r w:rsidRPr="00371628">
        <w:t>lan</w:t>
      </w:r>
      <w:r w:rsidRPr="0090765B">
        <w:t xml:space="preserve"> was launched in October 2016, with 36 practical actions in six priority areas for 2016–19 (Department of Social Services, 2016). A fourth </w:t>
      </w:r>
      <w:r w:rsidR="0090765B" w:rsidRPr="0090765B">
        <w:t>a</w:t>
      </w:r>
      <w:r w:rsidRPr="00371628">
        <w:t xml:space="preserve">ction </w:t>
      </w:r>
      <w:r w:rsidR="0090765B" w:rsidRPr="00371628">
        <w:t>p</w:t>
      </w:r>
      <w:r w:rsidRPr="00371628">
        <w:t>lan</w:t>
      </w:r>
      <w:r w:rsidRPr="0090765B">
        <w:t xml:space="preserve"> is being developed for the next three years.</w:t>
      </w:r>
    </w:p>
    <w:p w14:paraId="14FBB923" w14:textId="41D0E16F" w:rsidR="00EF65AE" w:rsidRPr="0097278F" w:rsidRDefault="00EF65AE" w:rsidP="00CA6806">
      <w:pPr>
        <w:rPr>
          <w:iCs/>
        </w:rPr>
      </w:pPr>
      <w:r w:rsidRPr="00EF65AE">
        <w:t xml:space="preserve">To reinforce the directions in the </w:t>
      </w:r>
      <w:r w:rsidR="003E0642">
        <w:rPr>
          <w:iCs/>
        </w:rPr>
        <w:t>Australian Government’s n</w:t>
      </w:r>
      <w:r w:rsidRPr="00371628">
        <w:rPr>
          <w:iCs/>
        </w:rPr>
        <w:t xml:space="preserve">ational </w:t>
      </w:r>
      <w:r w:rsidR="003E0642">
        <w:rPr>
          <w:iCs/>
        </w:rPr>
        <w:t>p</w:t>
      </w:r>
      <w:r w:rsidRPr="00371628">
        <w:rPr>
          <w:iCs/>
        </w:rPr>
        <w:t>lan 2010–2022</w:t>
      </w:r>
      <w:r w:rsidRPr="00EF65AE">
        <w:t>, Our Watch and VicHealth jointly developed</w:t>
      </w:r>
      <w:r w:rsidR="0090765B">
        <w:t xml:space="preserve"> in 2015</w:t>
      </w:r>
      <w:r w:rsidRPr="00EF65AE">
        <w:t xml:space="preserve"> a new national framework of evidence on drivers and strategies for preventing violence against women and girls in Australia</w:t>
      </w:r>
      <w:r w:rsidR="0090765B">
        <w:t>. It is</w:t>
      </w:r>
      <w:r w:rsidRPr="00EF65AE">
        <w:t xml:space="preserve"> called </w:t>
      </w:r>
      <w:bookmarkStart w:id="512" w:name="_Hlk18597274"/>
      <w:r w:rsidRPr="00371628">
        <w:rPr>
          <w:iCs/>
        </w:rPr>
        <w:t xml:space="preserve">Change </w:t>
      </w:r>
      <w:r w:rsidR="008B44CA">
        <w:rPr>
          <w:iCs/>
        </w:rPr>
        <w:br/>
      </w:r>
      <w:r w:rsidRPr="00371628">
        <w:rPr>
          <w:iCs/>
        </w:rPr>
        <w:t>the Story</w:t>
      </w:r>
      <w:r w:rsidRPr="0097278F">
        <w:rPr>
          <w:iCs/>
        </w:rPr>
        <w:t xml:space="preserve">. </w:t>
      </w:r>
      <w:bookmarkEnd w:id="512"/>
    </w:p>
    <w:p w14:paraId="17FA204D" w14:textId="77777777" w:rsidR="00EF65AE" w:rsidRPr="00EF65AE" w:rsidRDefault="00EF65AE" w:rsidP="00CA6806">
      <w:r w:rsidRPr="00EF65AE">
        <w:t>A Victorian Government Royal Commission into Family Violence delivered a comprehensive report in 2016 with 227 recommendations. The Victorian Government accepted all recommendations and integrated them into a state government strategy</w:t>
      </w:r>
      <w:r w:rsidR="0090765B">
        <w:t>—</w:t>
      </w:r>
      <w:bookmarkStart w:id="513" w:name="_Hlk18597295"/>
      <w:r w:rsidRPr="00371628">
        <w:rPr>
          <w:i/>
        </w:rPr>
        <w:t>Free from violence: Victoria’s strategy to prevent family violence and all forms of violence against</w:t>
      </w:r>
      <w:r w:rsidRPr="0090765B">
        <w:rPr>
          <w:i/>
        </w:rPr>
        <w:t xml:space="preserve"> women</w:t>
      </w:r>
      <w:bookmarkEnd w:id="513"/>
      <w:r w:rsidRPr="00EF65AE">
        <w:t>.</w:t>
      </w:r>
    </w:p>
    <w:p w14:paraId="71B5E05E" w14:textId="77777777" w:rsidR="00EF65AE" w:rsidRPr="00EF65AE" w:rsidRDefault="00EF65AE" w:rsidP="00CA6806">
      <w:r w:rsidRPr="00EF65AE">
        <w:t xml:space="preserve">All Australian </w:t>
      </w:r>
      <w:r w:rsidR="0090765B">
        <w:t>states and territories,</w:t>
      </w:r>
      <w:r w:rsidR="0090765B" w:rsidRPr="00EF65AE">
        <w:t xml:space="preserve"> </w:t>
      </w:r>
      <w:r w:rsidRPr="00EF65AE">
        <w:t>except Western Australia</w:t>
      </w:r>
      <w:r w:rsidR="0090765B">
        <w:t xml:space="preserve">, </w:t>
      </w:r>
      <w:r w:rsidRPr="00EF65AE">
        <w:t>have introduced domestic violence protections for their public servants, some of which include paid leave. Many Australian businesses also provide family and domestic violence leave within company policies (Australian Human Rights Commission, 2017).</w:t>
      </w:r>
    </w:p>
    <w:p w14:paraId="696D7167" w14:textId="77777777" w:rsidR="00EF65AE" w:rsidRPr="00B9603B" w:rsidRDefault="00EF65AE" w:rsidP="00847FBF">
      <w:pPr>
        <w:pStyle w:val="AnnexSubHeading"/>
      </w:pPr>
      <w:bookmarkStart w:id="514" w:name="_Toc2339978"/>
      <w:bookmarkStart w:id="515" w:name="_Toc4156985"/>
      <w:bookmarkStart w:id="516" w:name="_Toc7209419"/>
      <w:bookmarkStart w:id="517" w:name="_Toc10114161"/>
      <w:bookmarkStart w:id="518" w:name="_Toc10400344"/>
      <w:bookmarkStart w:id="519" w:name="_Toc15378151"/>
      <w:bookmarkStart w:id="520" w:name="_Toc15378500"/>
      <w:bookmarkStart w:id="521" w:name="_Toc15563042"/>
      <w:bookmarkStart w:id="522" w:name="_Toc20307955"/>
      <w:bookmarkStart w:id="523" w:name="_Toc21365316"/>
      <w:bookmarkStart w:id="524" w:name="_Toc23434578"/>
      <w:r w:rsidRPr="00B9603B">
        <w:t>Australia’s workplace response</w:t>
      </w:r>
      <w:bookmarkEnd w:id="514"/>
      <w:bookmarkEnd w:id="515"/>
      <w:bookmarkEnd w:id="516"/>
      <w:bookmarkEnd w:id="517"/>
      <w:bookmarkEnd w:id="518"/>
      <w:bookmarkEnd w:id="519"/>
      <w:bookmarkEnd w:id="520"/>
      <w:bookmarkEnd w:id="521"/>
      <w:bookmarkEnd w:id="522"/>
      <w:bookmarkEnd w:id="523"/>
      <w:bookmarkEnd w:id="524"/>
      <w:r w:rsidRPr="00B9603B">
        <w:t xml:space="preserve"> </w:t>
      </w:r>
    </w:p>
    <w:p w14:paraId="26A474FB" w14:textId="77777777" w:rsidR="00EF65AE" w:rsidRPr="00EF65AE" w:rsidRDefault="00EF65AE" w:rsidP="00EF65AE">
      <w:pPr>
        <w:rPr>
          <w:rFonts w:cs="Arial"/>
        </w:rPr>
      </w:pPr>
      <w:r w:rsidRPr="00EF65AE">
        <w:rPr>
          <w:rFonts w:cs="Arial"/>
        </w:rPr>
        <w:t>Australia is a global leader in workplace responses to domestic violence. In 2013</w:t>
      </w:r>
      <w:r w:rsidR="00560924">
        <w:rPr>
          <w:rFonts w:cs="Arial"/>
        </w:rPr>
        <w:t>,</w:t>
      </w:r>
      <w:r w:rsidRPr="00EF65AE">
        <w:rPr>
          <w:rFonts w:cs="Arial"/>
        </w:rPr>
        <w:t xml:space="preserve"> the U</w:t>
      </w:r>
      <w:r w:rsidR="0090765B">
        <w:rPr>
          <w:rFonts w:cs="Arial"/>
        </w:rPr>
        <w:t xml:space="preserve">nited </w:t>
      </w:r>
      <w:r w:rsidRPr="00EF65AE">
        <w:rPr>
          <w:rFonts w:cs="Arial"/>
        </w:rPr>
        <w:t>N</w:t>
      </w:r>
      <w:r w:rsidR="0090765B">
        <w:rPr>
          <w:rFonts w:cs="Arial"/>
        </w:rPr>
        <w:t>ations</w:t>
      </w:r>
      <w:r w:rsidRPr="00EF65AE">
        <w:rPr>
          <w:rFonts w:cs="Arial"/>
        </w:rPr>
        <w:t xml:space="preserve"> Secretary for the Commission on the Status of Women recognised Australia’s introduction of workplace entitlements for survivors of violence as best practice.</w:t>
      </w:r>
      <w:r w:rsidRPr="00C6593D">
        <w:rPr>
          <w:rStyle w:val="FootnoteReference"/>
        </w:rPr>
        <w:footnoteReference w:id="10"/>
      </w:r>
      <w:r w:rsidRPr="00EF65AE">
        <w:rPr>
          <w:rFonts w:cs="Arial"/>
        </w:rPr>
        <w:t xml:space="preserve"> Amendments to the Australian </w:t>
      </w:r>
      <w:r w:rsidR="00371628">
        <w:rPr>
          <w:rFonts w:cs="Arial"/>
          <w:i/>
        </w:rPr>
        <w:t>Fair Work Act 2009</w:t>
      </w:r>
      <w:r w:rsidR="00560924">
        <w:rPr>
          <w:rFonts w:cs="Arial"/>
          <w:i/>
        </w:rPr>
        <w:t xml:space="preserve"> </w:t>
      </w:r>
      <w:r w:rsidRPr="00EF65AE">
        <w:rPr>
          <w:rFonts w:cs="Arial"/>
        </w:rPr>
        <w:t>in 2018 provided all Australian employees</w:t>
      </w:r>
      <w:r w:rsidR="00560924">
        <w:rPr>
          <w:rFonts w:cs="Arial"/>
        </w:rPr>
        <w:t xml:space="preserve"> with</w:t>
      </w:r>
      <w:r w:rsidRPr="00EF65AE">
        <w:rPr>
          <w:rFonts w:cs="Arial"/>
        </w:rPr>
        <w:t xml:space="preserve"> access</w:t>
      </w:r>
      <w:r w:rsidR="00560924">
        <w:rPr>
          <w:rFonts w:cs="Arial"/>
        </w:rPr>
        <w:t xml:space="preserve"> of</w:t>
      </w:r>
      <w:r w:rsidRPr="00EF65AE">
        <w:rPr>
          <w:rFonts w:cs="Arial"/>
        </w:rPr>
        <w:t xml:space="preserve"> up to five days unpaid domestic and family violence leave.</w:t>
      </w:r>
      <w:r w:rsidRPr="00C6593D">
        <w:rPr>
          <w:rStyle w:val="FootnoteReference"/>
        </w:rPr>
        <w:footnoteReference w:id="11"/>
      </w:r>
      <w:r w:rsidRPr="00EF65AE">
        <w:rPr>
          <w:rFonts w:cs="Arial"/>
        </w:rPr>
        <w:t xml:space="preserve"> Many employers, </w:t>
      </w:r>
      <w:r w:rsidR="00560924">
        <w:rPr>
          <w:rFonts w:cs="Arial"/>
        </w:rPr>
        <w:t>in</w:t>
      </w:r>
      <w:r w:rsidR="0090765B">
        <w:rPr>
          <w:rFonts w:cs="Arial"/>
        </w:rPr>
        <w:t xml:space="preserve"> the Australian Government and</w:t>
      </w:r>
      <w:r w:rsidRPr="00EF65AE">
        <w:rPr>
          <w:rFonts w:cs="Arial"/>
        </w:rPr>
        <w:t xml:space="preserve"> state</w:t>
      </w:r>
      <w:r w:rsidR="00560924">
        <w:rPr>
          <w:rFonts w:cs="Arial"/>
        </w:rPr>
        <w:t xml:space="preserve"> and territory</w:t>
      </w:r>
      <w:r w:rsidRPr="00EF65AE">
        <w:rPr>
          <w:rFonts w:cs="Arial"/>
        </w:rPr>
        <w:t xml:space="preserve"> governments, have domestic violence policies </w:t>
      </w:r>
      <w:r w:rsidR="0090765B">
        <w:rPr>
          <w:rFonts w:cs="Arial"/>
        </w:rPr>
        <w:t>providing</w:t>
      </w:r>
      <w:r w:rsidRPr="00EF65AE">
        <w:rPr>
          <w:rFonts w:cs="Arial"/>
        </w:rPr>
        <w:t xml:space="preserve"> measures to support employees impacted by domestic and family violence.</w:t>
      </w:r>
      <w:r w:rsidRPr="00C6593D">
        <w:rPr>
          <w:rStyle w:val="FootnoteReference"/>
        </w:rPr>
        <w:footnoteReference w:id="12"/>
      </w:r>
      <w:r w:rsidRPr="00EF65AE">
        <w:rPr>
          <w:rFonts w:cs="Arial"/>
        </w:rPr>
        <w:t xml:space="preserve"> </w:t>
      </w:r>
    </w:p>
    <w:p w14:paraId="0E287EA1" w14:textId="77777777" w:rsidR="0090765B" w:rsidRDefault="00EF65AE" w:rsidP="00EF65AE">
      <w:pPr>
        <w:rPr>
          <w:rFonts w:cs="Arial"/>
        </w:rPr>
      </w:pPr>
      <w:r w:rsidRPr="00EF65AE">
        <w:rPr>
          <w:rFonts w:cs="Arial"/>
        </w:rPr>
        <w:t>The Australian Government was one of the first employers in Australia to develop a workplace response to domestic violence.</w:t>
      </w:r>
      <w:r w:rsidRPr="00C6593D">
        <w:rPr>
          <w:rStyle w:val="FootnoteReference"/>
        </w:rPr>
        <w:footnoteReference w:id="13"/>
      </w:r>
      <w:r w:rsidRPr="00EF65AE">
        <w:rPr>
          <w:rFonts w:cs="Arial"/>
        </w:rPr>
        <w:t xml:space="preserve"> The Australian Public Service </w:t>
      </w:r>
      <w:bookmarkStart w:id="525" w:name="_Hlk18597449"/>
      <w:r w:rsidRPr="00371628">
        <w:rPr>
          <w:rFonts w:cs="Arial"/>
          <w:i/>
        </w:rPr>
        <w:t>Balancing</w:t>
      </w:r>
      <w:r w:rsidRPr="0090765B">
        <w:rPr>
          <w:rFonts w:cs="Arial"/>
          <w:i/>
        </w:rPr>
        <w:t xml:space="preserve"> the Future: Gender Equality Strategy 2016</w:t>
      </w:r>
      <w:r w:rsidR="0097086E" w:rsidRPr="0090765B">
        <w:rPr>
          <w:rFonts w:cs="Arial"/>
          <w:i/>
        </w:rPr>
        <w:t>–</w:t>
      </w:r>
      <w:r w:rsidRPr="0090765B">
        <w:rPr>
          <w:rFonts w:cs="Arial"/>
          <w:i/>
        </w:rPr>
        <w:t>19</w:t>
      </w:r>
      <w:r w:rsidRPr="00EF65AE">
        <w:rPr>
          <w:rFonts w:cs="Arial"/>
        </w:rPr>
        <w:t xml:space="preserve"> </w:t>
      </w:r>
      <w:bookmarkEnd w:id="525"/>
      <w:r w:rsidRPr="00EF65AE">
        <w:rPr>
          <w:rFonts w:cs="Arial"/>
        </w:rPr>
        <w:t>recognises domestic and family violence as a workplace issue and commits agencies to develop consistent, supportive and respectful approaches to address the safety of employees, including appropriate policies and training for managers.</w:t>
      </w:r>
      <w:r w:rsidRPr="00C6593D">
        <w:rPr>
          <w:rStyle w:val="FootnoteReference"/>
        </w:rPr>
        <w:footnoteReference w:id="14"/>
      </w:r>
      <w:r w:rsidRPr="00EF65AE">
        <w:rPr>
          <w:rFonts w:cs="Arial"/>
        </w:rPr>
        <w:t xml:space="preserve"> Agencies have access to a model template for internal domestic and family violence policies.</w:t>
      </w:r>
      <w:r w:rsidRPr="00C6593D">
        <w:rPr>
          <w:rStyle w:val="FootnoteReference"/>
        </w:rPr>
        <w:footnoteReference w:id="15"/>
      </w:r>
      <w:r w:rsidRPr="00EF65AE">
        <w:rPr>
          <w:rFonts w:cs="Arial"/>
        </w:rPr>
        <w:t xml:space="preserve"> </w:t>
      </w:r>
    </w:p>
    <w:p w14:paraId="428E97DE" w14:textId="77777777" w:rsidR="00053B9A" w:rsidRDefault="00EF65AE" w:rsidP="00EF65AE">
      <w:pPr>
        <w:rPr>
          <w:rFonts w:cs="Arial"/>
        </w:rPr>
      </w:pPr>
      <w:r w:rsidRPr="00EF65AE">
        <w:rPr>
          <w:rFonts w:cs="Arial"/>
        </w:rPr>
        <w:t>Support available to survivors of violence in the A</w:t>
      </w:r>
      <w:r w:rsidR="00053B9A">
        <w:rPr>
          <w:rFonts w:cs="Arial"/>
        </w:rPr>
        <w:t xml:space="preserve">ustralian </w:t>
      </w:r>
      <w:r w:rsidRPr="00EF65AE">
        <w:rPr>
          <w:rFonts w:cs="Arial"/>
        </w:rPr>
        <w:t>P</w:t>
      </w:r>
      <w:r w:rsidR="00053B9A">
        <w:rPr>
          <w:rFonts w:cs="Arial"/>
        </w:rPr>
        <w:t xml:space="preserve">ublic </w:t>
      </w:r>
      <w:r w:rsidRPr="00EF65AE">
        <w:rPr>
          <w:rFonts w:cs="Arial"/>
        </w:rPr>
        <w:t>S</w:t>
      </w:r>
      <w:r w:rsidR="00053B9A">
        <w:rPr>
          <w:rFonts w:cs="Arial"/>
        </w:rPr>
        <w:t>ector</w:t>
      </w:r>
      <w:r w:rsidRPr="00EF65AE">
        <w:rPr>
          <w:rFonts w:cs="Arial"/>
        </w:rPr>
        <w:t xml:space="preserve"> workforce can include</w:t>
      </w:r>
      <w:r w:rsidR="00053B9A">
        <w:rPr>
          <w:rFonts w:cs="Arial"/>
        </w:rPr>
        <w:t>:</w:t>
      </w:r>
    </w:p>
    <w:p w14:paraId="7364EE05" w14:textId="77777777" w:rsidR="00053B9A" w:rsidRDefault="00EF65AE" w:rsidP="00053B9A">
      <w:pPr>
        <w:pStyle w:val="ListBullet"/>
      </w:pPr>
      <w:r w:rsidRPr="00EF65AE">
        <w:t>access to paid leave, counselling and support services</w:t>
      </w:r>
    </w:p>
    <w:p w14:paraId="020C35DF" w14:textId="77777777" w:rsidR="00053B9A" w:rsidRDefault="00EF65AE" w:rsidP="00053B9A">
      <w:pPr>
        <w:pStyle w:val="ListBullet"/>
      </w:pPr>
      <w:r w:rsidRPr="00EF65AE">
        <w:t>personal safety assistance at work</w:t>
      </w:r>
    </w:p>
    <w:p w14:paraId="297B6FD3" w14:textId="77777777" w:rsidR="00053B9A" w:rsidRDefault="00EF65AE" w:rsidP="00053B9A">
      <w:pPr>
        <w:pStyle w:val="ListBullet"/>
      </w:pPr>
      <w:r w:rsidRPr="00EF65AE">
        <w:t>flexible working arrangements</w:t>
      </w:r>
    </w:p>
    <w:p w14:paraId="7F7DB3E3" w14:textId="77777777" w:rsidR="00EF65AE" w:rsidRPr="00EF65AE" w:rsidRDefault="00EF65AE" w:rsidP="008F61F7">
      <w:pPr>
        <w:pStyle w:val="ListBullet"/>
      </w:pPr>
      <w:r w:rsidRPr="00EF65AE">
        <w:t xml:space="preserve">one-on-one advice through trained contact officers. </w:t>
      </w:r>
    </w:p>
    <w:p w14:paraId="146B1230" w14:textId="00DA7EF3" w:rsidR="00EF65AE" w:rsidRPr="00EF65AE" w:rsidRDefault="00EF65AE" w:rsidP="00EF65AE">
      <w:pPr>
        <w:rPr>
          <w:rFonts w:cs="Arial"/>
        </w:rPr>
      </w:pPr>
      <w:r w:rsidRPr="00EF65AE">
        <w:rPr>
          <w:rFonts w:cs="Arial"/>
        </w:rPr>
        <w:t>With responsibility for locally</w:t>
      </w:r>
      <w:r w:rsidR="0097086E">
        <w:rPr>
          <w:rFonts w:cs="Arial"/>
        </w:rPr>
        <w:t xml:space="preserve"> </w:t>
      </w:r>
      <w:r w:rsidRPr="00EF65AE">
        <w:rPr>
          <w:rFonts w:cs="Arial"/>
        </w:rPr>
        <w:t xml:space="preserve">employed staff across Australia’s global network of </w:t>
      </w:r>
      <w:r w:rsidR="0090765B">
        <w:rPr>
          <w:rFonts w:cs="Arial"/>
        </w:rPr>
        <w:t xml:space="preserve">overseas </w:t>
      </w:r>
      <w:r w:rsidR="00075611">
        <w:rPr>
          <w:rFonts w:cs="Arial"/>
        </w:rPr>
        <w:t>p</w:t>
      </w:r>
      <w:r w:rsidR="0090765B">
        <w:rPr>
          <w:rFonts w:cs="Arial"/>
        </w:rPr>
        <w:t>osts</w:t>
      </w:r>
      <w:r w:rsidRPr="00EF65AE">
        <w:rPr>
          <w:rFonts w:cs="Arial"/>
        </w:rPr>
        <w:t xml:space="preserve">, including in countries with particularly high prevalence of </w:t>
      </w:r>
      <w:r w:rsidR="00053B9A">
        <w:rPr>
          <w:rFonts w:cs="Arial"/>
        </w:rPr>
        <w:t>violence against women and girls</w:t>
      </w:r>
      <w:r w:rsidRPr="00EF65AE">
        <w:rPr>
          <w:rFonts w:cs="Arial"/>
        </w:rPr>
        <w:t>, the Australian Department of Foreign Affairs and Trade (DFAT) has also recognised a need for locally</w:t>
      </w:r>
      <w:r w:rsidR="00053B9A">
        <w:rPr>
          <w:rFonts w:cs="Arial"/>
        </w:rPr>
        <w:t xml:space="preserve"> </w:t>
      </w:r>
      <w:r w:rsidRPr="00EF65AE">
        <w:rPr>
          <w:rFonts w:cs="Arial"/>
        </w:rPr>
        <w:t xml:space="preserve">adapted policies in some </w:t>
      </w:r>
      <w:r w:rsidR="00075611">
        <w:rPr>
          <w:rFonts w:cs="Arial"/>
        </w:rPr>
        <w:t>p</w:t>
      </w:r>
      <w:r w:rsidR="006B6BC4">
        <w:rPr>
          <w:rFonts w:cs="Arial"/>
        </w:rPr>
        <w:t>osts</w:t>
      </w:r>
      <w:r w:rsidRPr="00EF65AE">
        <w:rPr>
          <w:rFonts w:cs="Arial"/>
        </w:rPr>
        <w:t>. Locally</w:t>
      </w:r>
      <w:r w:rsidR="00053B9A">
        <w:rPr>
          <w:rFonts w:cs="Arial"/>
        </w:rPr>
        <w:t xml:space="preserve"> </w:t>
      </w:r>
      <w:r w:rsidRPr="00EF65AE">
        <w:rPr>
          <w:rFonts w:cs="Arial"/>
        </w:rPr>
        <w:t xml:space="preserve">adapted policies </w:t>
      </w:r>
      <w:r w:rsidR="006B6BC4">
        <w:rPr>
          <w:rFonts w:cs="Arial"/>
        </w:rPr>
        <w:t>can</w:t>
      </w:r>
      <w:r w:rsidRPr="00EF65AE">
        <w:rPr>
          <w:rFonts w:cs="Arial"/>
        </w:rPr>
        <w:t xml:space="preserve"> support DFAT’s </w:t>
      </w:r>
      <w:bookmarkStart w:id="526" w:name="_Hlk18597520"/>
      <w:r w:rsidRPr="00371628">
        <w:rPr>
          <w:rFonts w:cs="Arial"/>
          <w:iCs/>
        </w:rPr>
        <w:t>Guidance on Managing Workplace Responses to Domestic and Family Violence</w:t>
      </w:r>
      <w:bookmarkEnd w:id="526"/>
      <w:r w:rsidRPr="00F12BBB">
        <w:rPr>
          <w:rFonts w:cs="Arial"/>
          <w:iCs/>
        </w:rPr>
        <w:t>,</w:t>
      </w:r>
      <w:r w:rsidRPr="00EF65AE">
        <w:rPr>
          <w:rFonts w:cs="Arial"/>
        </w:rPr>
        <w:t xml:space="preserve"> launched</w:t>
      </w:r>
      <w:r w:rsidRPr="00EF65AE">
        <w:rPr>
          <w:rFonts w:cs="Arial"/>
          <w:i/>
        </w:rPr>
        <w:t xml:space="preserve"> </w:t>
      </w:r>
      <w:r w:rsidRPr="00EF65AE">
        <w:rPr>
          <w:rFonts w:cs="Arial"/>
        </w:rPr>
        <w:t>in 2015. Th</w:t>
      </w:r>
      <w:r w:rsidR="006B6BC4">
        <w:rPr>
          <w:rFonts w:cs="Arial"/>
        </w:rPr>
        <w:t>is</w:t>
      </w:r>
      <w:r w:rsidRPr="00EF65AE">
        <w:rPr>
          <w:rFonts w:cs="Arial"/>
        </w:rPr>
        <w:t xml:space="preserve"> department-wide guidance complements other internal policies for DFAT and its contractors, including the </w:t>
      </w:r>
      <w:bookmarkStart w:id="527" w:name="_Hlk18597565"/>
      <w:r w:rsidRPr="00EF65AE">
        <w:rPr>
          <w:rFonts w:cs="Arial"/>
          <w:i/>
        </w:rPr>
        <w:t>Anti-</w:t>
      </w:r>
      <w:r w:rsidRPr="00371628">
        <w:rPr>
          <w:rFonts w:cs="Arial"/>
          <w:i/>
        </w:rPr>
        <w:t>bullying</w:t>
      </w:r>
      <w:r w:rsidRPr="006B6BC4">
        <w:rPr>
          <w:rFonts w:cs="Arial"/>
          <w:i/>
        </w:rPr>
        <w:t>, Harassment and Discrimination Policy</w:t>
      </w:r>
      <w:bookmarkEnd w:id="527"/>
      <w:r w:rsidRPr="006B6BC4">
        <w:rPr>
          <w:rFonts w:cs="Arial"/>
          <w:i/>
        </w:rPr>
        <w:t xml:space="preserve"> </w:t>
      </w:r>
      <w:r w:rsidRPr="006B6BC4">
        <w:rPr>
          <w:rFonts w:cs="Arial"/>
        </w:rPr>
        <w:t xml:space="preserve">and the </w:t>
      </w:r>
      <w:bookmarkStart w:id="528" w:name="_Hlk18597573"/>
      <w:r w:rsidRPr="00371628">
        <w:rPr>
          <w:rFonts w:cs="Arial"/>
          <w:i/>
        </w:rPr>
        <w:t>Child</w:t>
      </w:r>
      <w:r w:rsidRPr="00EF65AE">
        <w:rPr>
          <w:rFonts w:cs="Arial"/>
          <w:i/>
        </w:rPr>
        <w:t xml:space="preserve"> Protection Policy</w:t>
      </w:r>
      <w:r w:rsidRPr="00EF65AE">
        <w:rPr>
          <w:rFonts w:cs="Arial"/>
        </w:rPr>
        <w:t xml:space="preserve">. </w:t>
      </w:r>
    </w:p>
    <w:bookmarkEnd w:id="528"/>
    <w:p w14:paraId="6AA585B0" w14:textId="12EC7BB3" w:rsidR="00847FBF" w:rsidRPr="00847FBF" w:rsidRDefault="00EF65AE" w:rsidP="00E17E19">
      <w:r w:rsidRPr="00847FBF">
        <w:rPr>
          <w:rFonts w:cs="Arial"/>
        </w:rPr>
        <w:t>In 2015</w:t>
      </w:r>
      <w:r w:rsidR="00053B9A">
        <w:rPr>
          <w:rFonts w:cs="Arial"/>
        </w:rPr>
        <w:t>,</w:t>
      </w:r>
      <w:r w:rsidRPr="00847FBF">
        <w:rPr>
          <w:rFonts w:cs="Arial"/>
        </w:rPr>
        <w:t xml:space="preserve"> Port Moresby became the first Australian </w:t>
      </w:r>
      <w:r w:rsidR="00075611">
        <w:rPr>
          <w:rFonts w:cs="Arial"/>
        </w:rPr>
        <w:t>p</w:t>
      </w:r>
      <w:r w:rsidR="006B6BC4">
        <w:rPr>
          <w:rFonts w:cs="Arial"/>
        </w:rPr>
        <w:t>ost</w:t>
      </w:r>
      <w:r w:rsidR="006B6BC4" w:rsidRPr="00847FBF">
        <w:rPr>
          <w:rFonts w:cs="Arial"/>
        </w:rPr>
        <w:t xml:space="preserve"> </w:t>
      </w:r>
      <w:r w:rsidRPr="00847FBF">
        <w:rPr>
          <w:rFonts w:cs="Arial"/>
        </w:rPr>
        <w:t xml:space="preserve">to develop a local </w:t>
      </w:r>
      <w:r w:rsidR="00053B9A">
        <w:rPr>
          <w:rFonts w:cs="Arial"/>
        </w:rPr>
        <w:t>f</w:t>
      </w:r>
      <w:r w:rsidRPr="00847FBF">
        <w:rPr>
          <w:rFonts w:cs="Arial"/>
        </w:rPr>
        <w:t xml:space="preserve">amily and </w:t>
      </w:r>
      <w:r w:rsidR="00053B9A">
        <w:rPr>
          <w:rFonts w:cs="Arial"/>
        </w:rPr>
        <w:t>s</w:t>
      </w:r>
      <w:r w:rsidRPr="00847FBF">
        <w:rPr>
          <w:rFonts w:cs="Arial"/>
        </w:rPr>
        <w:t xml:space="preserve">exual </w:t>
      </w:r>
      <w:r w:rsidR="00053B9A">
        <w:rPr>
          <w:rFonts w:cs="Arial"/>
        </w:rPr>
        <w:t>v</w:t>
      </w:r>
      <w:r w:rsidRPr="00847FBF">
        <w:rPr>
          <w:rFonts w:cs="Arial"/>
        </w:rPr>
        <w:t xml:space="preserve">iolence </w:t>
      </w:r>
      <w:r w:rsidR="00053B9A">
        <w:rPr>
          <w:rFonts w:cs="Arial"/>
        </w:rPr>
        <w:t>p</w:t>
      </w:r>
      <w:r w:rsidRPr="00847FBF">
        <w:rPr>
          <w:rFonts w:cs="Arial"/>
        </w:rPr>
        <w:t>olicy. Since then</w:t>
      </w:r>
      <w:r w:rsidR="001D11A0">
        <w:rPr>
          <w:rFonts w:cs="Arial"/>
        </w:rPr>
        <w:t>,</w:t>
      </w:r>
      <w:r w:rsidRPr="00847FBF">
        <w:rPr>
          <w:rFonts w:cs="Arial"/>
        </w:rPr>
        <w:t xml:space="preserve"> other </w:t>
      </w:r>
      <w:r w:rsidR="00075611">
        <w:rPr>
          <w:rFonts w:cs="Arial"/>
        </w:rPr>
        <w:t>p</w:t>
      </w:r>
      <w:r w:rsidR="006B6BC4">
        <w:rPr>
          <w:rFonts w:cs="Arial"/>
        </w:rPr>
        <w:t>osts</w:t>
      </w:r>
      <w:r w:rsidRPr="00847FBF">
        <w:rPr>
          <w:rFonts w:cs="Arial"/>
        </w:rPr>
        <w:t xml:space="preserve"> have implemented local domestic violence policies</w:t>
      </w:r>
      <w:r w:rsidR="00053B9A">
        <w:rPr>
          <w:rFonts w:cs="Arial"/>
        </w:rPr>
        <w:t>,</w:t>
      </w:r>
      <w:r w:rsidRPr="00847FBF">
        <w:rPr>
          <w:rFonts w:cs="Arial"/>
        </w:rPr>
        <w:t xml:space="preserve"> including </w:t>
      </w:r>
      <w:r w:rsidR="00053B9A">
        <w:rPr>
          <w:rFonts w:cs="Arial"/>
        </w:rPr>
        <w:t xml:space="preserve">Dili, </w:t>
      </w:r>
      <w:r w:rsidRPr="00847FBF">
        <w:rPr>
          <w:rFonts w:cs="Arial"/>
        </w:rPr>
        <w:t>Honiara and Nauru.</w:t>
      </w:r>
      <w:bookmarkStart w:id="529" w:name="_Toc2869579"/>
      <w:bookmarkStart w:id="530" w:name="_Toc4156986"/>
      <w:bookmarkStart w:id="531" w:name="_Toc7209420"/>
      <w:bookmarkStart w:id="532" w:name="_Toc14959635"/>
      <w:bookmarkStart w:id="533" w:name="_Toc15378152"/>
      <w:bookmarkStart w:id="534" w:name="_Toc15378501"/>
    </w:p>
    <w:p w14:paraId="6B06B15D" w14:textId="77777777" w:rsidR="00EF65AE" w:rsidRPr="00EF65AE" w:rsidRDefault="00EF65AE" w:rsidP="00847FBF">
      <w:pPr>
        <w:pStyle w:val="AnnexHeading"/>
      </w:pPr>
      <w:bookmarkStart w:id="535" w:name="_Toc15563043"/>
      <w:bookmarkStart w:id="536" w:name="_Toc23434579"/>
      <w:r w:rsidRPr="00EF65AE">
        <w:rPr>
          <w:noProof/>
        </w:rPr>
        <w:t>S</w:t>
      </w:r>
      <w:r w:rsidR="004F0C71">
        <w:rPr>
          <w:noProof/>
        </w:rPr>
        <w:t>orcery accusation-related violence</w:t>
      </w:r>
      <w:bookmarkEnd w:id="529"/>
      <w:bookmarkEnd w:id="530"/>
      <w:bookmarkEnd w:id="531"/>
      <w:bookmarkEnd w:id="532"/>
      <w:bookmarkEnd w:id="533"/>
      <w:bookmarkEnd w:id="534"/>
      <w:bookmarkEnd w:id="535"/>
      <w:bookmarkEnd w:id="536"/>
    </w:p>
    <w:p w14:paraId="7ACF235C" w14:textId="77777777" w:rsidR="006B6BC4" w:rsidRDefault="00371628" w:rsidP="00371628">
      <w:bookmarkStart w:id="537" w:name="_Toc15378153"/>
      <w:bookmarkStart w:id="538" w:name="_Toc15378502"/>
      <w:r>
        <w:rPr>
          <w:b/>
        </w:rPr>
        <w:t>T</w:t>
      </w:r>
      <w:r w:rsidRPr="00371628">
        <w:t>his annex reviews violence that results from s</w:t>
      </w:r>
      <w:r w:rsidR="00EF65AE" w:rsidRPr="00371628">
        <w:t>orcery accusation</w:t>
      </w:r>
      <w:r w:rsidRPr="00371628">
        <w:t>s</w:t>
      </w:r>
      <w:bookmarkEnd w:id="537"/>
      <w:bookmarkEnd w:id="538"/>
      <w:r>
        <w:t>.</w:t>
      </w:r>
      <w:r w:rsidR="00A060A3">
        <w:t xml:space="preserve"> </w:t>
      </w:r>
      <w:r w:rsidR="00A060A3" w:rsidRPr="00EF65AE">
        <w:t>Sorcery-related violence is generally a communal act, where a group of perpetrators accuse entire families.</w:t>
      </w:r>
      <w:r w:rsidR="00A060A3" w:rsidRPr="00EF65AE">
        <w:fldChar w:fldCharType="begin"/>
      </w:r>
      <w:r w:rsidR="00A060A3" w:rsidRPr="00EF65AE">
        <w:instrText xml:space="preserve"> ADDIN ZOTERO_ITEM CSL_CITATION {"citationID":"9sK6ERwC","properties":{"formattedCitation":"\\super 35\\nosupersub{}","plainCitation":"35","noteIndex":0},"citationItems":[{"id":"LnUt4Vs6/mwXDtLNS","uris":["http://zotero.org/users/local/dqL838ot/items/8VL5KRZH"],"uri":["http://zotero.org/users/local/dqL838ot/items/8VL5KRZH"],"itemData":{"id":461,"type":"report","title":"The Long Way Home: Relocation of survivors of gender-based violence in PNG","publisher":"Oxfam","publisher-place":"Port Moresby","event-place":"Port Moresby","author":[{"family":"Oxfam","given":""}]}}],"schema":"https://github.com/citation-style-language/schema/raw/master/csl-citation.json"} </w:instrText>
      </w:r>
      <w:r w:rsidR="00A060A3" w:rsidRPr="00EF65AE">
        <w:fldChar w:fldCharType="separate"/>
      </w:r>
      <w:r w:rsidR="00A060A3" w:rsidRPr="00A060A3">
        <w:rPr>
          <w:vertAlign w:val="superscript"/>
          <w:lang w:val="en-US"/>
        </w:rPr>
        <w:t>35</w:t>
      </w:r>
      <w:r w:rsidR="00A060A3" w:rsidRPr="00EF65AE">
        <w:fldChar w:fldCharType="end"/>
      </w:r>
      <w:r w:rsidR="00A060A3" w:rsidRPr="00EF65AE">
        <w:t xml:space="preserve"> Consequently</w:t>
      </w:r>
      <w:r w:rsidR="00A060A3">
        <w:t>, wo</w:t>
      </w:r>
      <w:r w:rsidR="00A060A3" w:rsidRPr="00EF65AE">
        <w:t xml:space="preserve">men and men are equally likely to </w:t>
      </w:r>
      <w:r w:rsidR="00A060A3">
        <w:t>be accused of sorcery.</w:t>
      </w:r>
    </w:p>
    <w:p w14:paraId="778C73E2" w14:textId="2A49885F" w:rsidR="00EF65AE" w:rsidRPr="00EF65AE" w:rsidRDefault="00EF65AE" w:rsidP="00CA6806">
      <w:bookmarkStart w:id="539" w:name="_Hlk18598101"/>
      <w:r w:rsidRPr="00EF65AE">
        <w:t>Individuals accused of sorcery or witchcraft are subject to interrogation, torture or murder in ‘payback’ for harm they are thought to have perpetrated. Violen</w:t>
      </w:r>
      <w:r w:rsidR="00A060A3">
        <w:t xml:space="preserve">ce </w:t>
      </w:r>
      <w:r w:rsidRPr="00EF65AE">
        <w:t xml:space="preserve">can include beating, breaking bones, burning with red hot metal, rape, hanging over fire, cutting body parts slowly, and amputation. If death does not result, the victim may be killed by being thrown over a cliff or into a river or cave, burned alive in a house fire, buried alive, beheaded, hanged, choked to death, starved, axed or electrocuted, suffocated with smoke, forced to drink petrol or hot liquid, stoned </w:t>
      </w:r>
      <w:r w:rsidR="00747258">
        <w:br/>
      </w:r>
      <w:r w:rsidRPr="00EF65AE">
        <w:t>or shot.</w:t>
      </w:r>
      <w:r w:rsidRPr="00EF65AE">
        <w:fldChar w:fldCharType="begin"/>
      </w:r>
      <w:r w:rsidRPr="00EF65AE">
        <w:instrText xml:space="preserve"> ADDIN ZOTERO_ITEM CSL_CITATION {"citationID":"ZfGCIPlH","properties":{"formattedCitation":"\\super 35,36\\nosupersub{}","plainCitation":"35,36","noteIndex":0},"citationItems":[{"id":"LnUt4Vs6/mwXDtLNS","uris":["http://zotero.org/users/local/dqL838ot/items/8VL5KRZH"],"uri":["http://zotero.org/users/local/dqL838ot/items/8VL5KRZH"],"itemData":{"id":461,"type":"report","title":"The Long Way Home: Relocation of survivors of gender-based violence in PNG","publisher":"Oxfam","publisher-place":"Port Moresby","event-place":"Port Moresby","author":[{"family":"Oxfam","given":""}]}},{"id":"LnUt4Vs6/2XTcSGeD","uris":["http://zotero.org/users/local/dqL838ot/items/8M3RJRWY"],"uri":["http://zotero.org/users/local/dqL838ot/items/8M3RJRWY"],"itemData":{"id":460,"type":"report","title":"Ending Violence against Women and Girls: Evidence, data and knowledge in the Pacific Island Countries - Literature review and annotated bibliography","publisher":"UNIFEM Pacific Sub-Regional Office","publisher-place":"Suva","event-place":"Suva","author":[{"family":"UNIFEM","given":""}],"issued":{"date-parts":[["2010"]]}}}],"schema":"https://github.com/citation-style-language/schema/raw/master/csl-citation.json"} </w:instrText>
      </w:r>
      <w:r w:rsidRPr="00EF65AE">
        <w:fldChar w:fldCharType="separate"/>
      </w:r>
      <w:r w:rsidRPr="00EF65AE">
        <w:rPr>
          <w:vertAlign w:val="superscript"/>
          <w:lang w:val="en-US"/>
        </w:rPr>
        <w:t>35,36</w:t>
      </w:r>
      <w:r w:rsidRPr="00EF65AE">
        <w:fldChar w:fldCharType="end"/>
      </w:r>
      <w:r w:rsidRPr="00EF65AE">
        <w:t xml:space="preserve"> </w:t>
      </w:r>
    </w:p>
    <w:bookmarkEnd w:id="539"/>
    <w:p w14:paraId="6246A1DB" w14:textId="77777777" w:rsidR="00EF65AE" w:rsidRPr="00EF65AE" w:rsidRDefault="00EF65AE" w:rsidP="00EF65AE">
      <w:pPr>
        <w:rPr>
          <w:rFonts w:cs="Arial"/>
        </w:rPr>
      </w:pPr>
      <w:r w:rsidRPr="00EF65AE">
        <w:rPr>
          <w:rFonts w:cs="Arial"/>
        </w:rPr>
        <w:t>A woman accused by her husband of practicing sorcery</w:t>
      </w:r>
      <w:r w:rsidR="00A11B13">
        <w:rPr>
          <w:rFonts w:cs="Arial"/>
        </w:rPr>
        <w:t>, who</w:t>
      </w:r>
      <w:r w:rsidRPr="00EF65AE">
        <w:rPr>
          <w:rFonts w:cs="Arial"/>
        </w:rPr>
        <w:t xml:space="preserve"> escaped to a safe</w:t>
      </w:r>
      <w:r w:rsidR="00404FD6">
        <w:rPr>
          <w:rFonts w:cs="Arial"/>
        </w:rPr>
        <w:t xml:space="preserve"> </w:t>
      </w:r>
      <w:r w:rsidRPr="00EF65AE">
        <w:rPr>
          <w:rFonts w:cs="Arial"/>
        </w:rPr>
        <w:t>house in Goroka, P</w:t>
      </w:r>
      <w:r w:rsidR="00404FD6">
        <w:rPr>
          <w:rFonts w:cs="Arial"/>
        </w:rPr>
        <w:t>NG</w:t>
      </w:r>
      <w:r w:rsidRPr="00EF65AE">
        <w:rPr>
          <w:rFonts w:cs="Arial"/>
        </w:rPr>
        <w:t>, explained</w:t>
      </w:r>
      <w:r w:rsidR="00404FD6">
        <w:rPr>
          <w:rFonts w:cs="Arial"/>
        </w:rPr>
        <w:t>:</w:t>
      </w:r>
      <w:r w:rsidRPr="00EF65AE">
        <w:rPr>
          <w:rFonts w:cs="Arial"/>
        </w:rPr>
        <w:t xml:space="preserve"> </w:t>
      </w:r>
    </w:p>
    <w:p w14:paraId="4ABC3908" w14:textId="77777777" w:rsidR="00EF65AE" w:rsidRPr="00EF65AE" w:rsidRDefault="00EF65AE" w:rsidP="00847FBF">
      <w:pPr>
        <w:pStyle w:val="IndentQuote"/>
      </w:pPr>
      <w:r w:rsidRPr="00EF65AE">
        <w:t>The general practice, when someone is accused of sorcery, the community mobilises, and they kill women with bush knives and guns</w:t>
      </w:r>
      <w:r w:rsidR="00A11B13">
        <w:t xml:space="preserve"> </w:t>
      </w:r>
      <w:r w:rsidRPr="00EF65AE">
        <w:t>…</w:t>
      </w:r>
      <w:r w:rsidR="00A11B13">
        <w:t xml:space="preserve"> </w:t>
      </w:r>
      <w:r w:rsidRPr="00EF65AE">
        <w:t>they kill you and throw you in a pit or a river.</w:t>
      </w:r>
    </w:p>
    <w:p w14:paraId="31E4C604" w14:textId="77777777" w:rsidR="00A11B13" w:rsidRDefault="00EF65AE" w:rsidP="00EF65AE">
      <w:pPr>
        <w:rPr>
          <w:rFonts w:cs="Arial"/>
        </w:rPr>
      </w:pPr>
      <w:r w:rsidRPr="00EF65AE">
        <w:rPr>
          <w:rFonts w:cs="Arial"/>
        </w:rPr>
        <w:t xml:space="preserve">In 2009, the special rapporteur on extrajudicial killings concluded at global level </w:t>
      </w:r>
      <w:r w:rsidR="00A11B13">
        <w:rPr>
          <w:rFonts w:cs="Arial"/>
        </w:rPr>
        <w:t>that:</w:t>
      </w:r>
    </w:p>
    <w:p w14:paraId="308D66B0" w14:textId="77777777" w:rsidR="00EF65AE" w:rsidRPr="00EF65AE" w:rsidRDefault="00A11B13" w:rsidP="00F973BE">
      <w:pPr>
        <w:pStyle w:val="IndentQuote"/>
      </w:pPr>
      <w:r w:rsidRPr="00617249">
        <w:t xml:space="preserve">… </w:t>
      </w:r>
      <w:r w:rsidR="00EF65AE" w:rsidRPr="00617249">
        <w:t>there is little systematic information available on the numbers of persons so accused, persecuted or killed, nor is there any detailed analysis of the dynamics and patterns of such killings, or of how the killings can be prevented.</w:t>
      </w:r>
      <w:r w:rsidR="00EF65AE" w:rsidRPr="00EF65AE">
        <w:fldChar w:fldCharType="begin"/>
      </w:r>
      <w:r w:rsidR="00EF65AE" w:rsidRPr="00EF65AE">
        <w:instrText xml:space="preserve"> ADDIN ZOTERO_ITEM CSL_CITATION {"citationID":"rzHtfXWC","properties":{"formattedCitation":"\\super 133\\nosupersub{}","plainCitation":"133","noteIndex":0},"citationItems":[{"id":2550,"uris":["http://zotero.org/users/4194704/items/L7QU96EG"],"uri":["http://zotero.org/users/4194704/items/L7QU96EG"],"itemData":{"id":2550,"type":"report","title":"Promotion and Protection of all Human Rights, Civil, Political, Economic, Social and Cultural Rights, Including the Right to Development: Report of the Special Rapporteur on Extrajudicial, Summary or Arbitrary Executions. United Nations General Assembly.","publisher":"UN Human Rights Council","number":"27/5/2009","author":[{"literal":"HRC (Human Rights Council)"}]}}],"schema":"https://github.com/citation-style-language/schema/raw/master/csl-citation.json"} </w:instrText>
      </w:r>
      <w:r w:rsidR="00EF65AE" w:rsidRPr="00EF65AE">
        <w:fldChar w:fldCharType="separate"/>
      </w:r>
      <w:r w:rsidR="00EF65AE" w:rsidRPr="00EF65AE">
        <w:rPr>
          <w:vertAlign w:val="superscript"/>
          <w:lang w:val="en-US"/>
        </w:rPr>
        <w:t>133</w:t>
      </w:r>
      <w:r w:rsidR="00EF65AE" w:rsidRPr="00EF65AE">
        <w:fldChar w:fldCharType="end"/>
      </w:r>
    </w:p>
    <w:p w14:paraId="3BA9429B" w14:textId="74B59280" w:rsidR="00EF65AE" w:rsidRPr="00EF65AE" w:rsidRDefault="00A060A3" w:rsidP="00950932">
      <w:r>
        <w:rPr>
          <w:rFonts w:cs="Arial"/>
        </w:rPr>
        <w:t>Howev</w:t>
      </w:r>
      <w:r w:rsidR="00B95A11">
        <w:rPr>
          <w:rFonts w:cs="Arial"/>
        </w:rPr>
        <w:t>er,</w:t>
      </w:r>
      <w:r>
        <w:t xml:space="preserve"> there is strong evidence that s</w:t>
      </w:r>
      <w:r w:rsidRPr="00EF65AE">
        <w:t>orcery accusation-related violence is common in P</w:t>
      </w:r>
      <w:r>
        <w:t>apua New Guinea (PNG)</w:t>
      </w:r>
      <w:r w:rsidR="00950932">
        <w:t xml:space="preserve">. </w:t>
      </w:r>
      <w:r w:rsidR="00EF65AE" w:rsidRPr="00EF65AE">
        <w:t xml:space="preserve">From 2000 to 2006, 75 cases of </w:t>
      </w:r>
      <w:r w:rsidR="00404FD6">
        <w:t>such</w:t>
      </w:r>
      <w:r w:rsidR="00404FD6" w:rsidRPr="00EF65AE">
        <w:t xml:space="preserve"> </w:t>
      </w:r>
      <w:r w:rsidR="00EF65AE" w:rsidRPr="00EF65AE">
        <w:t>violence were reported in local newspapers in PNG, with 147 victims. These figures</w:t>
      </w:r>
      <w:r w:rsidR="00A11B13">
        <w:t xml:space="preserve">, </w:t>
      </w:r>
      <w:r w:rsidR="00EF65AE" w:rsidRPr="00EF65AE">
        <w:t>however</w:t>
      </w:r>
      <w:r w:rsidR="00A11B13">
        <w:t>,</w:t>
      </w:r>
      <w:r w:rsidR="00EF65AE" w:rsidRPr="00EF65AE">
        <w:t xml:space="preserve"> likely under-represent the true number of cases because sorcery accusation-related violence is rarely reported to appropriate authorities or to the media</w:t>
      </w:r>
      <w:r w:rsidR="00A11B13">
        <w:t>.</w:t>
      </w:r>
      <w:r w:rsidR="00EF65AE" w:rsidRPr="00EF65AE">
        <w:fldChar w:fldCharType="begin"/>
      </w:r>
      <w:r w:rsidR="00EF65AE" w:rsidRPr="00EF65AE">
        <w:instrText xml:space="preserve"> ADDIN ZOTERO_ITEM CSL_CITATION {"citationID":"etqZ1Pd5","properties":{"formattedCitation":"\\super 37\\nosupersub{}","plainCitation":"37","noteIndex":0},"citationItems":[{"id":"LnUt4Vs6/CMsxilnf","uris":["http://zotero.org/users/local/dqL838ot/items/ICLLU4K2"],"uri":["http://zotero.org/users/local/dqL838ot/items/ICLLU4K2"],"itemData":{"id":462,"type":"chapter","title":"The spread of sorcery killing and its social implications","container-title":"Talking it Through: Responses to sorcery and witchcraft beliefs and practices in Melanesia","publisher":"ANU Press","publisher-place":"Canberra","event-place":"Canberra","author":[{"family":"Urame","given":"Jack"}],"editor":[{"family":"Forsyth","given":"Miranda"},{"family":"Eves","given":"Richard"}],"issued":{"date-parts":[["2015"]]}}}],"schema":"https://github.com/citation-style-language/schema/raw/master/csl-citation.json"} </w:instrText>
      </w:r>
      <w:r w:rsidR="00EF65AE" w:rsidRPr="00EF65AE">
        <w:fldChar w:fldCharType="separate"/>
      </w:r>
      <w:r w:rsidR="00EF65AE" w:rsidRPr="00950932">
        <w:rPr>
          <w:vertAlign w:val="superscript"/>
          <w:lang w:val="en-US"/>
        </w:rPr>
        <w:t>37</w:t>
      </w:r>
      <w:r w:rsidR="00EF65AE" w:rsidRPr="00EF65AE">
        <w:fldChar w:fldCharType="end"/>
      </w:r>
      <w:r w:rsidR="00EF65AE" w:rsidRPr="00EF65AE">
        <w:t xml:space="preserve"> </w:t>
      </w:r>
      <w:bookmarkStart w:id="540" w:name="_Hlk522212134"/>
      <w:r w:rsidR="00EF65AE" w:rsidRPr="00EF65AE">
        <w:t>In an ongoing study by the Australian National University, the Divine Word University in PNG, and the P</w:t>
      </w:r>
      <w:r w:rsidR="00D008EA">
        <w:t>NG</w:t>
      </w:r>
      <w:r w:rsidR="00EF65AE" w:rsidRPr="00EF65AE">
        <w:t xml:space="preserve"> National Research Institute, analysis of 20 years of incidents reported in local newspapers and case law revealed that</w:t>
      </w:r>
      <w:r w:rsidR="00A11B13">
        <w:t>,</w:t>
      </w:r>
      <w:r w:rsidR="00EF65AE" w:rsidRPr="00EF65AE">
        <w:t xml:space="preserve"> on average each year, a minimum of 72 people experienced sorcery accusation-related violence, and 30 people were killed. </w:t>
      </w:r>
      <w:bookmarkEnd w:id="540"/>
      <w:r w:rsidR="00EF65AE" w:rsidRPr="00EF65AE">
        <w:t>Administrative data from the Highlands Human Rights Defenders Network show that 24 out of 25 relocation cases were due to sorcery-related allegations and violence. In a recent study by Oxfam, 232 cases of sorcery-related violence were recorded, and victims experienced threats, damage of propert</w:t>
      </w:r>
      <w:r w:rsidR="00A11B13">
        <w:t>y</w:t>
      </w:r>
      <w:r w:rsidR="00EF65AE" w:rsidRPr="00EF65AE">
        <w:t xml:space="preserve"> and physical violence </w:t>
      </w:r>
      <w:r w:rsidR="00A11B13">
        <w:t xml:space="preserve">relating </w:t>
      </w:r>
      <w:r w:rsidR="00EF65AE" w:rsidRPr="00EF65AE">
        <w:t xml:space="preserve">to the accusation. Moreover, in two-thirds of reported cases, the perpetrator of </w:t>
      </w:r>
      <w:r w:rsidR="00404FD6">
        <w:t>such</w:t>
      </w:r>
      <w:r w:rsidR="00EF65AE" w:rsidRPr="00EF65AE">
        <w:t xml:space="preserve"> violence was an immediate family member or known community member</w:t>
      </w:r>
      <w:r w:rsidR="00A11B13">
        <w:t>.</w:t>
      </w:r>
      <w:r w:rsidR="00EF65AE" w:rsidRPr="00EF65AE">
        <w:fldChar w:fldCharType="begin"/>
      </w:r>
      <w:r w:rsidR="00EF65AE" w:rsidRPr="00EF65AE">
        <w:instrText xml:space="preserve"> ADDIN ZOTERO_ITEM CSL_CITATION {"citationID":"KzMsQssb","properties":{"formattedCitation":"\\super 129\\nosupersub{}","plainCitation":"129","noteIndex":0},"citationItems":[{"id":"LnUt4Vs6/76ErGPY5","uris":["http://zotero.org/users/local/dqL838ot/items/9LTDEYNC"],"uri":["http://zotero.org/users/local/dqL838ot/items/9LTDEYNC"],"itemData":{"id":459,"type":"report","title":"Understanding Gender-based and Sorcery Related Violence in Papua New Guinea: An analysis of data collected from Oxfam partners 2013-2016","publisher":"Oxfam and Queensland University of Technology","publisher-place":"Port Moresby","event-place":"Port Moresby","author":[{"family":"Thomas","given":"Verena"},{"family":"Kauli","given":"Jackie"},{"family":"Rawstorne","given":"Patrick"}],"issued":{"date-parts":[["2017"]]}}}],"schema":"https://github.com/citation-style-language/schema/raw/master/csl-citation.json"} </w:instrText>
      </w:r>
      <w:r w:rsidR="00EF65AE" w:rsidRPr="00EF65AE">
        <w:fldChar w:fldCharType="separate"/>
      </w:r>
      <w:r w:rsidR="00EF65AE" w:rsidRPr="00950932">
        <w:rPr>
          <w:vertAlign w:val="superscript"/>
          <w:lang w:val="en-US"/>
        </w:rPr>
        <w:t>129</w:t>
      </w:r>
      <w:r w:rsidR="00EF65AE" w:rsidRPr="00EF65AE">
        <w:fldChar w:fldCharType="end"/>
      </w:r>
    </w:p>
    <w:p w14:paraId="676D17E3" w14:textId="77777777" w:rsidR="00404FD6" w:rsidRDefault="00EF65AE" w:rsidP="00EF65AE">
      <w:pPr>
        <w:rPr>
          <w:rFonts w:cs="Arial"/>
        </w:rPr>
      </w:pPr>
      <w:r w:rsidRPr="00950932">
        <w:rPr>
          <w:rFonts w:cs="Arial"/>
        </w:rPr>
        <w:t>Th</w:t>
      </w:r>
      <w:r w:rsidR="00A11B13" w:rsidRPr="00950932">
        <w:rPr>
          <w:rFonts w:cs="Arial"/>
        </w:rPr>
        <w:t>is</w:t>
      </w:r>
      <w:r w:rsidRPr="00950932">
        <w:rPr>
          <w:rFonts w:cs="Arial"/>
        </w:rPr>
        <w:t xml:space="preserve"> evaluation found</w:t>
      </w:r>
      <w:r w:rsidRPr="00404FD6">
        <w:rPr>
          <w:rFonts w:cs="Arial"/>
        </w:rPr>
        <w:t xml:space="preserve"> that the reasons for this violence were complex and used for different justifications</w:t>
      </w:r>
      <w:r w:rsidR="00404FD6">
        <w:rPr>
          <w:rFonts w:cs="Arial"/>
        </w:rPr>
        <w:t>, including:</w:t>
      </w:r>
    </w:p>
    <w:p w14:paraId="5F3A48AA" w14:textId="77777777" w:rsidR="00404FD6" w:rsidRDefault="00EF65AE" w:rsidP="00404FD6">
      <w:pPr>
        <w:pStyle w:val="ListBullet"/>
      </w:pPr>
      <w:r w:rsidRPr="00404FD6">
        <w:t>targeting the weak</w:t>
      </w:r>
    </w:p>
    <w:p w14:paraId="5A027C7F" w14:textId="77777777" w:rsidR="00404FD6" w:rsidRDefault="00404FD6" w:rsidP="00404FD6">
      <w:pPr>
        <w:pStyle w:val="ListBullet"/>
      </w:pPr>
      <w:r>
        <w:t xml:space="preserve">being </w:t>
      </w:r>
      <w:r w:rsidR="00EF65AE" w:rsidRPr="00404FD6">
        <w:t>jealous over land or resources</w:t>
      </w:r>
    </w:p>
    <w:p w14:paraId="2C6EECB4" w14:textId="56039C3A" w:rsidR="00404FD6" w:rsidRDefault="00404FD6" w:rsidP="00404FD6">
      <w:pPr>
        <w:pStyle w:val="ListBullet"/>
      </w:pPr>
      <w:r>
        <w:t>re</w:t>
      </w:r>
      <w:r w:rsidR="00EF65AE" w:rsidRPr="00404FD6">
        <w:t>lat</w:t>
      </w:r>
      <w:r w:rsidR="00A11B13" w:rsidRPr="00404FD6">
        <w:t>ing</w:t>
      </w:r>
      <w:r w:rsidR="00EF65AE" w:rsidRPr="00404FD6">
        <w:t xml:space="preserve"> to </w:t>
      </w:r>
      <w:r w:rsidR="00EF65AE" w:rsidRPr="00950932">
        <w:t>HIV</w:t>
      </w:r>
      <w:r w:rsidR="00EF65AE" w:rsidRPr="00404FD6">
        <w:t xml:space="preserve"> or disability.</w:t>
      </w:r>
    </w:p>
    <w:p w14:paraId="367B83B1" w14:textId="742AE910" w:rsidR="00EF65AE" w:rsidRPr="00EF65AE" w:rsidRDefault="00EF65AE" w:rsidP="00404FD6">
      <w:r w:rsidRPr="00404FD6">
        <w:t xml:space="preserve">Oxfam has reported that </w:t>
      </w:r>
      <w:r w:rsidR="00404FD6">
        <w:t xml:space="preserve">in </w:t>
      </w:r>
      <w:r w:rsidRPr="00404FD6">
        <w:t>more than one-third of reported cases of sorcery-related violence in P</w:t>
      </w:r>
      <w:r w:rsidR="00A11B13" w:rsidRPr="00404FD6">
        <w:t>NG</w:t>
      </w:r>
      <w:r w:rsidRPr="00404FD6">
        <w:t xml:space="preserve"> between 2013</w:t>
      </w:r>
      <w:r w:rsidR="00A11B13" w:rsidRPr="00404FD6">
        <w:t xml:space="preserve"> and </w:t>
      </w:r>
      <w:r w:rsidRPr="00404FD6">
        <w:t>2016</w:t>
      </w:r>
      <w:r w:rsidR="001D11A0">
        <w:t>,</w:t>
      </w:r>
      <w:r w:rsidRPr="00404FD6">
        <w:t xml:space="preserve"> the victim was living with a </w:t>
      </w:r>
      <w:r w:rsidRPr="00950932">
        <w:t>disability</w:t>
      </w:r>
      <w:r w:rsidR="00A11B13" w:rsidRPr="00404FD6">
        <w:t>.</w:t>
      </w:r>
      <w:r w:rsidRPr="00404FD6">
        <w:fldChar w:fldCharType="begin"/>
      </w:r>
      <w:r w:rsidRPr="000350C0">
        <w:instrText xml:space="preserve"> ADDIN ZOTERO_ITEM CSL_CITATION {"citationID":"tZ2dH1pE","properties":{"formattedCitation":"\\super 129\\nosupersub{}","plainCitation":"129","noteIndex":0},"citationItems":[{"id":"LnUt4Vs6/76ErGPY5","uris":["http://zotero.org/users/local/dqL838ot/items/9LTDEYNC"],"uri":["http://zotero.org/users/local/dqL838ot/items/9LTDEYNC"],"itemData":{"id":459,"type":"report","title":"Understanding Gender-based and Sorcery Related Violence in Papua New Guinea: An analysis of data collected from Oxfam partners 2013-2016","publisher":"Oxfam and Queensland University of Technology","publisher-place":"Port Moresby","event-place":"Port Moresby","author":[{"family":"Thomas","given":"Verena"},{"family":"Kauli","given":"Jackie"},{"family":"Rawstorne","given":"Patrick"}],"issued":{"date-parts":[["2017"]]}}}],"schema":"https://github.com/citation-style-language/schema/raw/master/csl-citation.json"} </w:instrText>
      </w:r>
      <w:r w:rsidRPr="00404FD6">
        <w:fldChar w:fldCharType="separate"/>
      </w:r>
      <w:r w:rsidRPr="00404FD6">
        <w:rPr>
          <w:vertAlign w:val="superscript"/>
          <w:lang w:val="en-US"/>
        </w:rPr>
        <w:t>129</w:t>
      </w:r>
      <w:r w:rsidRPr="00404FD6">
        <w:fldChar w:fldCharType="end"/>
      </w:r>
      <w:r w:rsidR="00E2253F" w:rsidRPr="00404FD6">
        <w:t xml:space="preserve"> </w:t>
      </w:r>
      <w:r w:rsidRPr="00404FD6">
        <w:t>In contrast, anal</w:t>
      </w:r>
      <w:r w:rsidRPr="00EF65AE">
        <w:t xml:space="preserve">ysis of </w:t>
      </w:r>
      <w:r w:rsidR="00404FD6">
        <w:t xml:space="preserve">more than </w:t>
      </w:r>
      <w:r w:rsidRPr="00EF65AE">
        <w:t>20</w:t>
      </w:r>
      <w:r w:rsidR="00A11B13">
        <w:t xml:space="preserve"> </w:t>
      </w:r>
      <w:r w:rsidRPr="00EF65AE">
        <w:t>years of media and court records</w:t>
      </w:r>
      <w:r w:rsidR="00404FD6">
        <w:t>, and</w:t>
      </w:r>
      <w:r w:rsidRPr="00EF65AE">
        <w:t xml:space="preserve"> detailed recording of 357 cases in </w:t>
      </w:r>
      <w:r w:rsidRPr="00EF65AE">
        <w:rPr>
          <w:rFonts w:eastAsia="Times New Roman"/>
        </w:rPr>
        <w:t>Enga, Bougainville (since 1 Jan</w:t>
      </w:r>
      <w:r w:rsidR="00A11B13">
        <w:rPr>
          <w:rFonts w:eastAsia="Times New Roman"/>
        </w:rPr>
        <w:t>uary</w:t>
      </w:r>
      <w:r w:rsidRPr="00EF65AE">
        <w:rPr>
          <w:rFonts w:eastAsia="Times New Roman"/>
        </w:rPr>
        <w:t xml:space="preserve"> 2016)</w:t>
      </w:r>
      <w:r w:rsidR="00617249">
        <w:rPr>
          <w:rFonts w:eastAsia="Times New Roman"/>
        </w:rPr>
        <w:t>,</w:t>
      </w:r>
      <w:r w:rsidR="003B192C">
        <w:rPr>
          <w:rFonts w:eastAsia="Times New Roman"/>
        </w:rPr>
        <w:t xml:space="preserve"> </w:t>
      </w:r>
      <w:r w:rsidRPr="00EF65AE">
        <w:rPr>
          <w:rFonts w:eastAsia="Times New Roman"/>
        </w:rPr>
        <w:t>and Port Moresby (since 1 Jan</w:t>
      </w:r>
      <w:r w:rsidR="00A11B13">
        <w:rPr>
          <w:rFonts w:eastAsia="Times New Roman"/>
        </w:rPr>
        <w:t>uary 20</w:t>
      </w:r>
      <w:r w:rsidRPr="00EF65AE">
        <w:rPr>
          <w:rFonts w:eastAsia="Times New Roman"/>
        </w:rPr>
        <w:t>17</w:t>
      </w:r>
      <w:r w:rsidR="00404FD6">
        <w:rPr>
          <w:rFonts w:eastAsia="Times New Roman"/>
        </w:rPr>
        <w:t>),</w:t>
      </w:r>
      <w:r w:rsidRPr="00EF65AE">
        <w:rPr>
          <w:rFonts w:eastAsia="Times New Roman"/>
        </w:rPr>
        <w:t xml:space="preserve"> has not identified disability as a key characteristic of those accused.</w:t>
      </w:r>
      <w:r w:rsidRPr="00EF65AE">
        <w:rPr>
          <w:rFonts w:eastAsia="Times New Roman"/>
          <w:vertAlign w:val="superscript"/>
        </w:rPr>
        <w:t>138</w:t>
      </w:r>
    </w:p>
    <w:p w14:paraId="3B77F006" w14:textId="77777777" w:rsidR="00EF65AE" w:rsidRPr="00EF65AE" w:rsidRDefault="00EF65AE" w:rsidP="00EF65AE">
      <w:pPr>
        <w:rPr>
          <w:rFonts w:cs="Arial"/>
        </w:rPr>
      </w:pPr>
      <w:r w:rsidRPr="00EF65AE">
        <w:rPr>
          <w:rFonts w:cs="Arial"/>
        </w:rPr>
        <w:t>From th</w:t>
      </w:r>
      <w:r w:rsidR="00404FD6">
        <w:rPr>
          <w:rFonts w:cs="Arial"/>
        </w:rPr>
        <w:t>is</w:t>
      </w:r>
      <w:r w:rsidRPr="00EF65AE">
        <w:rPr>
          <w:rFonts w:cs="Arial"/>
        </w:rPr>
        <w:t xml:space="preserve"> evaluation’s field visit to P</w:t>
      </w:r>
      <w:r w:rsidR="00A11B13">
        <w:rPr>
          <w:rFonts w:cs="Arial"/>
        </w:rPr>
        <w:t>NG</w:t>
      </w:r>
      <w:r w:rsidRPr="00EF65AE">
        <w:rPr>
          <w:rFonts w:cs="Arial"/>
        </w:rPr>
        <w:t>, stakeholders</w:t>
      </w:r>
      <w:r w:rsidR="00404FD6">
        <w:rPr>
          <w:rFonts w:cs="Arial"/>
        </w:rPr>
        <w:t xml:space="preserve"> sensed</w:t>
      </w:r>
      <w:r w:rsidRPr="00EF65AE">
        <w:rPr>
          <w:rFonts w:cs="Arial"/>
        </w:rPr>
        <w:t xml:space="preserve"> that sorcery accusation-related violence is increasing, spreading from </w:t>
      </w:r>
      <w:r w:rsidR="00A11B13">
        <w:rPr>
          <w:rFonts w:cs="Arial"/>
        </w:rPr>
        <w:t xml:space="preserve">the </w:t>
      </w:r>
      <w:r w:rsidRPr="00EF65AE">
        <w:rPr>
          <w:rFonts w:cs="Arial"/>
        </w:rPr>
        <w:t xml:space="preserve">Highlands to the rest of the country. A </w:t>
      </w:r>
      <w:r w:rsidR="00A11B13">
        <w:rPr>
          <w:rFonts w:cs="Arial"/>
        </w:rPr>
        <w:t xml:space="preserve">community-based </w:t>
      </w:r>
      <w:r w:rsidRPr="00EF65AE">
        <w:rPr>
          <w:rFonts w:cs="Arial"/>
        </w:rPr>
        <w:t>organisation</w:t>
      </w:r>
      <w:r w:rsidR="00A11B13">
        <w:rPr>
          <w:rFonts w:cs="Arial"/>
        </w:rPr>
        <w:t xml:space="preserve"> in Goroka</w:t>
      </w:r>
      <w:r w:rsidR="00404FD6">
        <w:rPr>
          <w:rFonts w:cs="Arial"/>
        </w:rPr>
        <w:t xml:space="preserve"> </w:t>
      </w:r>
      <w:r w:rsidRPr="00EF65AE">
        <w:rPr>
          <w:rFonts w:cs="Arial"/>
        </w:rPr>
        <w:t>reported that</w:t>
      </w:r>
      <w:r w:rsidR="00A11B13">
        <w:rPr>
          <w:rFonts w:cs="Arial"/>
        </w:rPr>
        <w:t>:</w:t>
      </w:r>
      <w:r w:rsidRPr="00EF65AE">
        <w:rPr>
          <w:rFonts w:cs="Arial"/>
        </w:rPr>
        <w:t xml:space="preserve"> </w:t>
      </w:r>
    </w:p>
    <w:p w14:paraId="033FDE0A" w14:textId="77777777" w:rsidR="00EF65AE" w:rsidRPr="00F973BE" w:rsidRDefault="00EF65AE" w:rsidP="00F973BE">
      <w:pPr>
        <w:pStyle w:val="IndentQuote"/>
      </w:pPr>
      <w:r w:rsidRPr="00C92E2E">
        <w:t>It is more common now than it was before. It was in a certain area before, but now, because of the movement of people, it is now in the Highlands</w:t>
      </w:r>
      <w:r w:rsidRPr="00F973BE">
        <w:rPr>
          <w:rStyle w:val="QuoteChar"/>
          <w:i/>
          <w:iCs w:val="0"/>
        </w:rPr>
        <w:t>.</w:t>
      </w:r>
    </w:p>
    <w:p w14:paraId="4435E087" w14:textId="785B0C40" w:rsidR="00EF65AE" w:rsidRPr="00F973BE" w:rsidRDefault="00EF65AE" w:rsidP="00F973BE">
      <w:pPr>
        <w:pStyle w:val="IndentQuote"/>
      </w:pPr>
      <w:r w:rsidRPr="00F973BE">
        <w:t xml:space="preserve">People are looking for who is the weakest in the community (widows, men who don’t have sons) </w:t>
      </w:r>
      <w:r w:rsidR="00A11B13" w:rsidRPr="00F973BE">
        <w:t>…</w:t>
      </w:r>
      <w:r w:rsidRPr="00F973BE">
        <w:t xml:space="preserve"> they target those people</w:t>
      </w:r>
      <w:r w:rsidR="00A11B13" w:rsidRPr="00F973BE">
        <w:t xml:space="preserve"> </w:t>
      </w:r>
      <w:r w:rsidRPr="00F973BE">
        <w:t>…</w:t>
      </w:r>
      <w:r w:rsidR="00A11B13" w:rsidRPr="00F973BE">
        <w:t xml:space="preserve"> </w:t>
      </w:r>
      <w:r w:rsidRPr="00F973BE">
        <w:t xml:space="preserve">Sorcery-related violence is also used for compensation: ‘Unless you pay, we will use torture against you. Your safety can </w:t>
      </w:r>
      <w:r w:rsidR="008B44CA" w:rsidRPr="00F973BE">
        <w:br/>
      </w:r>
      <w:r w:rsidRPr="00F973BE">
        <w:t xml:space="preserve">be bought.’ </w:t>
      </w:r>
    </w:p>
    <w:p w14:paraId="61F36C0B" w14:textId="77777777" w:rsidR="00EF65AE" w:rsidRPr="00EF65AE" w:rsidRDefault="00EF65AE" w:rsidP="00EF65AE">
      <w:pPr>
        <w:rPr>
          <w:rFonts w:cs="Arial"/>
        </w:rPr>
      </w:pPr>
      <w:r w:rsidRPr="00EF65AE">
        <w:rPr>
          <w:rFonts w:cs="Arial"/>
        </w:rPr>
        <w:t>The</w:t>
      </w:r>
      <w:r w:rsidR="00A11B13">
        <w:rPr>
          <w:rFonts w:cs="Arial"/>
        </w:rPr>
        <w:t xml:space="preserve"> organisation</w:t>
      </w:r>
      <w:r w:rsidRPr="00EF65AE">
        <w:rPr>
          <w:rFonts w:cs="Arial"/>
        </w:rPr>
        <w:t xml:space="preserve"> further explained</w:t>
      </w:r>
      <w:r w:rsidR="00B13444">
        <w:rPr>
          <w:rFonts w:cs="Arial"/>
        </w:rPr>
        <w:t>:</w:t>
      </w:r>
      <w:r w:rsidRPr="00EF65AE">
        <w:rPr>
          <w:rFonts w:cs="Arial"/>
        </w:rPr>
        <w:t xml:space="preserve"> </w:t>
      </w:r>
    </w:p>
    <w:p w14:paraId="5284BA09" w14:textId="77777777" w:rsidR="00EF65AE" w:rsidRPr="0091226A" w:rsidRDefault="00EF65AE" w:rsidP="0091226A">
      <w:pPr>
        <w:pStyle w:val="IndentQuote"/>
      </w:pPr>
      <w:r w:rsidRPr="0091226A">
        <w:t xml:space="preserve">This is when it becomes difficult when HIV is connected with sorcery accusations. For the immediate family members, they would know why this person died, but the community wouldn’t know, </w:t>
      </w:r>
      <w:r w:rsidRPr="001D11A0">
        <w:rPr>
          <w:iCs/>
        </w:rPr>
        <w:t>and</w:t>
      </w:r>
      <w:r w:rsidRPr="0091226A">
        <w:t xml:space="preserve"> the family would try to hide it, even though he actually died of HIV. </w:t>
      </w:r>
    </w:p>
    <w:p w14:paraId="48E1D585" w14:textId="3108B70A" w:rsidR="00EF65AE" w:rsidRPr="00EF65AE" w:rsidRDefault="00950932" w:rsidP="00EF65AE">
      <w:pPr>
        <w:rPr>
          <w:rFonts w:cs="Arial"/>
        </w:rPr>
      </w:pPr>
      <w:r>
        <w:rPr>
          <w:rFonts w:cs="Arial"/>
        </w:rPr>
        <w:t>In Solomon Islands and Vanuatu</w:t>
      </w:r>
      <w:r w:rsidR="00617249">
        <w:rPr>
          <w:rFonts w:cs="Arial"/>
        </w:rPr>
        <w:t>,</w:t>
      </w:r>
      <w:r w:rsidR="00EF65AE" w:rsidRPr="00EF65AE">
        <w:rPr>
          <w:rFonts w:cs="Arial"/>
        </w:rPr>
        <w:t xml:space="preserve"> it is </w:t>
      </w:r>
      <w:r>
        <w:rPr>
          <w:rFonts w:cs="Arial"/>
        </w:rPr>
        <w:t xml:space="preserve">also </w:t>
      </w:r>
      <w:r w:rsidR="00EF65AE" w:rsidRPr="00EF65AE">
        <w:rPr>
          <w:rFonts w:cs="Arial"/>
        </w:rPr>
        <w:t>common for people to be a</w:t>
      </w:r>
      <w:r>
        <w:rPr>
          <w:rFonts w:cs="Arial"/>
        </w:rPr>
        <w:t>ccused of witchcraft or sorcery</w:t>
      </w:r>
      <w:r w:rsidR="00617249">
        <w:rPr>
          <w:rFonts w:cs="Arial"/>
        </w:rPr>
        <w:t>,</w:t>
      </w:r>
      <w:r>
        <w:rPr>
          <w:rFonts w:cs="Arial"/>
        </w:rPr>
        <w:t xml:space="preserve"> but</w:t>
      </w:r>
      <w:r w:rsidR="00EF65AE" w:rsidRPr="00EF65AE">
        <w:rPr>
          <w:rFonts w:cs="Arial"/>
        </w:rPr>
        <w:t xml:space="preserve"> the response is usually less violent </w:t>
      </w:r>
      <w:r w:rsidR="00B13444">
        <w:rPr>
          <w:rFonts w:cs="Arial"/>
        </w:rPr>
        <w:t>than it is in</w:t>
      </w:r>
      <w:r w:rsidR="00EF65AE" w:rsidRPr="00EF65AE">
        <w:rPr>
          <w:rFonts w:cs="Arial"/>
        </w:rPr>
        <w:t xml:space="preserve"> P</w:t>
      </w:r>
      <w:r w:rsidR="0067108C">
        <w:rPr>
          <w:rFonts w:cs="Arial"/>
        </w:rPr>
        <w:t>NG</w:t>
      </w:r>
      <w:r w:rsidR="00EF65AE" w:rsidRPr="00EF65AE">
        <w:rPr>
          <w:rFonts w:cs="Arial"/>
        </w:rPr>
        <w:t>. For example, instead of</w:t>
      </w:r>
      <w:r w:rsidR="00B13444">
        <w:rPr>
          <w:rFonts w:cs="Arial"/>
        </w:rPr>
        <w:t xml:space="preserve"> the accused being</w:t>
      </w:r>
      <w:r w:rsidR="00EF65AE" w:rsidRPr="00EF65AE">
        <w:rPr>
          <w:rFonts w:cs="Arial"/>
        </w:rPr>
        <w:t xml:space="preserve"> physical</w:t>
      </w:r>
      <w:r w:rsidR="00B13444">
        <w:rPr>
          <w:rFonts w:cs="Arial"/>
        </w:rPr>
        <w:t>ly</w:t>
      </w:r>
      <w:r w:rsidR="00EF65AE" w:rsidRPr="00EF65AE">
        <w:rPr>
          <w:rFonts w:cs="Arial"/>
        </w:rPr>
        <w:t xml:space="preserve"> harm</w:t>
      </w:r>
      <w:r w:rsidR="00B13444">
        <w:rPr>
          <w:rFonts w:cs="Arial"/>
        </w:rPr>
        <w:t>ed, they may have their</w:t>
      </w:r>
      <w:r w:rsidR="00EF65AE" w:rsidRPr="00EF65AE">
        <w:rPr>
          <w:rFonts w:cs="Arial"/>
        </w:rPr>
        <w:t xml:space="preserve"> personal property</w:t>
      </w:r>
      <w:r w:rsidR="00B13444">
        <w:rPr>
          <w:rFonts w:cs="Arial"/>
        </w:rPr>
        <w:t xml:space="preserve"> destroyed</w:t>
      </w:r>
      <w:r w:rsidR="00EF65AE" w:rsidRPr="00EF65AE">
        <w:rPr>
          <w:rFonts w:cs="Arial"/>
        </w:rPr>
        <w:t xml:space="preserve"> or be driven out of </w:t>
      </w:r>
      <w:r w:rsidR="00B13444">
        <w:rPr>
          <w:rFonts w:cs="Arial"/>
        </w:rPr>
        <w:t>their</w:t>
      </w:r>
      <w:r w:rsidR="00EF65AE" w:rsidRPr="00EF65AE">
        <w:rPr>
          <w:rFonts w:cs="Arial"/>
        </w:rPr>
        <w:t xml:space="preserve"> community.</w:t>
      </w:r>
      <w:r w:rsidR="00EF65AE" w:rsidRPr="00EF65AE">
        <w:rPr>
          <w:rFonts w:cs="Arial"/>
        </w:rPr>
        <w:fldChar w:fldCharType="begin"/>
      </w:r>
      <w:r w:rsidR="00EF65AE" w:rsidRPr="00EF65AE">
        <w:rPr>
          <w:rFonts w:cs="Arial"/>
        </w:rPr>
        <w:instrText xml:space="preserve"> ADDIN ZOTERO_ITEM CSL_CITATION {"citationID":"Ar6JKFwG","properties":{"formattedCitation":"\\super 79\\nosupersub{}","plainCitation":"79","noteIndex":0},"citationItems":[{"id":"LnUt4Vs6/RRYDIG1d","uris":["http://zotero.org/users/local/dqL838ot/items/HR4674R5"],"uri":["http://zotero.org/users/local/dqL838ot/items/HR4674R5"],"itemData":{"id":463,"type":"chapter","title":"Sorcery and witchcraft as a negative force on economic and social development in Solomon Islands","container-title":"Talking it Through: Responses to sorcery and witchcraft beliefs and practices in Melanesia","publisher":"ANU Press","publisher-place":"Canberra","event-place":"Canberra","author":[{"family":"Foana'ota","given":"Lawrence"}],"editor":[{"family":"Forsyth","given":"Miranda"},{"family":"Eves","given":"Richard"}],"issued":{"date-parts":[["2015"]]}}}],"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79</w:t>
      </w:r>
      <w:r w:rsidR="00EF65AE" w:rsidRPr="00EF65AE">
        <w:rPr>
          <w:rFonts w:cs="Arial"/>
        </w:rPr>
        <w:fldChar w:fldCharType="end"/>
      </w:r>
      <w:r w:rsidR="00EF65AE" w:rsidRPr="00EF65AE">
        <w:rPr>
          <w:rFonts w:cs="Arial"/>
        </w:rPr>
        <w:t xml:space="preserve"> In Vanuatu, while both </w:t>
      </w:r>
      <w:r w:rsidR="0067108C">
        <w:rPr>
          <w:rFonts w:cs="Arial"/>
        </w:rPr>
        <w:t>wo</w:t>
      </w:r>
      <w:r w:rsidR="00EF65AE" w:rsidRPr="00EF65AE">
        <w:rPr>
          <w:rFonts w:cs="Arial"/>
        </w:rPr>
        <w:t>men and men can experience sorcery accusation-related violence, studies suggest that women are more likely to experience sorcery accusation-related sexual violence. Young men reportedly use black magic to engage in sexual assault against young women as a form of disciplinary social justice.</w:t>
      </w:r>
      <w:r w:rsidR="00EF65AE" w:rsidRPr="00EF65AE">
        <w:rPr>
          <w:rFonts w:cs="Arial"/>
        </w:rPr>
        <w:fldChar w:fldCharType="begin"/>
      </w:r>
      <w:r w:rsidR="00EF65AE" w:rsidRPr="00EF65AE">
        <w:rPr>
          <w:rFonts w:cs="Arial"/>
        </w:rPr>
        <w:instrText xml:space="preserve"> ADDIN ZOTERO_ITEM CSL_CITATION {"citationID":"oel0JWS2","properties":{"formattedCitation":"\\super 130\\nosupersub{}","plainCitation":"130","noteIndex":0},"citationItems":[{"id":"LnUt4Vs6/Zwtow09h","uris":["http://zotero.org/users/local/dqL838ot/items/QSGZVZTK"],"uri":["http://zotero.org/users/local/dqL838ot/items/QSGZVZTK"],"itemData":{"id":464,"type":"chapter","title":"Sorcery talk, gender violence and the law in Vanuatu","container-title":"Gender, violence and human rights: seeking justice in Fiji, Papua New Guinea and Vanuatu","publisher":"ANU Press","publisher-place":"Canberra","event-place":"Canberra","author":[{"family":"Taylor","given":"John"},{"family":"Araujo","given":"Natalie"}],"editor":[{"family":"Biersack","given":"Aletta"},{"family":"Jolly","given":"Margaret"},{"family":"Macintyre","given":"Martha"}],"issued":{"date-parts":[["2016"]]}}}],"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130</w:t>
      </w:r>
      <w:r w:rsidR="00EF65AE" w:rsidRPr="00EF65AE">
        <w:rPr>
          <w:rFonts w:cs="Arial"/>
        </w:rPr>
        <w:fldChar w:fldCharType="end"/>
      </w:r>
      <w:r w:rsidR="00EF65AE" w:rsidRPr="00EF65AE">
        <w:rPr>
          <w:rFonts w:cs="Arial"/>
        </w:rPr>
        <w:t xml:space="preserve"> The </w:t>
      </w:r>
      <w:bookmarkStart w:id="541" w:name="_Hlk18598873"/>
      <w:r w:rsidR="00EF65AE" w:rsidRPr="00EF65AE">
        <w:rPr>
          <w:rFonts w:cs="Arial"/>
        </w:rPr>
        <w:t xml:space="preserve">2007 National Survey on Women’s Lives and Family Relationships </w:t>
      </w:r>
      <w:bookmarkEnd w:id="541"/>
      <w:r w:rsidR="00EF65AE" w:rsidRPr="00EF65AE">
        <w:rPr>
          <w:rFonts w:cs="Arial"/>
        </w:rPr>
        <w:t>found that of all forms of violence, almost half of respondents (49 per cent) were concerned about ‘violence due to sorcery’.</w:t>
      </w:r>
      <w:r w:rsidR="00EF65AE" w:rsidRPr="00EF65AE">
        <w:rPr>
          <w:rFonts w:cs="Arial"/>
        </w:rPr>
        <w:fldChar w:fldCharType="begin"/>
      </w:r>
      <w:r w:rsidR="00EF65AE" w:rsidRPr="00EF65AE">
        <w:rPr>
          <w:rFonts w:cs="Arial"/>
        </w:rPr>
        <w:instrText xml:space="preserve"> ADDIN ZOTERO_ITEM CSL_CITATION {"citationID":"7P4ZBcIF","properties":{"formattedCitation":"\\super 131\\nosupersub{}","plainCitation":"131","noteIndex":0},"citationItems":[{"id":"LnUt4Vs6/f69nRNCB","uris":["http://zotero.org/users/local/dqL838ot/items/Y37ANXMA"],"uri":["http://zotero.org/users/local/dqL838ot/items/Y37ANXMA"],"itemData":{"id":379,"type":"report","title":"Vanuatu National Survey on Women’s Lives and Family Relationships","publisher":"Vanuatu Women’s Centre","publisher-place":"Port Vila","event-place":"Port Vila","author":[{"family":"Vanuatu Women’s Centre (VWC)","given":""}],"issued":{"date-parts":[["2011"]]}}}],"schema":"https://github.com/citation-style-language/schema/raw/master/csl-citation.json"} </w:instrText>
      </w:r>
      <w:r w:rsidR="00EF65AE" w:rsidRPr="00EF65AE">
        <w:rPr>
          <w:rFonts w:cs="Arial"/>
        </w:rPr>
        <w:fldChar w:fldCharType="separate"/>
      </w:r>
      <w:r w:rsidR="00EF65AE" w:rsidRPr="00EF65AE">
        <w:rPr>
          <w:rFonts w:cs="Arial"/>
          <w:vertAlign w:val="superscript"/>
          <w:lang w:val="en-US"/>
        </w:rPr>
        <w:t>131</w:t>
      </w:r>
      <w:r w:rsidR="00EF65AE" w:rsidRPr="00EF65AE">
        <w:rPr>
          <w:rFonts w:cs="Arial"/>
        </w:rPr>
        <w:fldChar w:fldCharType="end"/>
      </w:r>
      <w:r w:rsidR="00EF65AE" w:rsidRPr="00EF65AE">
        <w:rPr>
          <w:rFonts w:cs="Arial"/>
        </w:rPr>
        <w:t xml:space="preserve"> </w:t>
      </w:r>
    </w:p>
    <w:p w14:paraId="1AC91886" w14:textId="77777777" w:rsidR="0078517B" w:rsidRDefault="00EF65AE" w:rsidP="0091226A">
      <w:r w:rsidRPr="00EF65AE">
        <w:t>Support for victims of sorcery accusation-related violence is limited</w:t>
      </w:r>
      <w:r w:rsidR="00B13444">
        <w:t>. I</w:t>
      </w:r>
      <w:r w:rsidRPr="00EF65AE">
        <w:t>n parts of PNG, Solomon Islands and Vanuatu, where this violence is common, victims are not perceived by the broader community to be primary victims. Instead, it is common for the violence perpetrated against accused women and men to be considered a legitimate form of self-defence. This is a barrier to</w:t>
      </w:r>
      <w:r w:rsidR="00761092">
        <w:t xml:space="preserve"> service</w:t>
      </w:r>
      <w:r w:rsidRPr="00EF65AE">
        <w:t xml:space="preserve"> access for women and men experienc</w:t>
      </w:r>
      <w:r w:rsidR="00761092">
        <w:t>ing</w:t>
      </w:r>
      <w:r w:rsidRPr="00EF65AE">
        <w:t xml:space="preserve"> sorcery accusation-related violence</w:t>
      </w:r>
      <w:r w:rsidR="0078517B">
        <w:t>.</w:t>
      </w:r>
      <w:r w:rsidRPr="00EF65AE">
        <w:fldChar w:fldCharType="begin"/>
      </w:r>
      <w:r w:rsidRPr="00EF65AE">
        <w:instrText xml:space="preserve"> ADDIN ZOTERO_ITEM CSL_CITATION {"citationID":"YAMy61do","properties":{"formattedCitation":"\\super 132\\nosupersub{}","plainCitation":"132","noteIndex":0},"citationItems":[{"id":"LnUt4Vs6/EZNROjEY","uris":["http://zotero.org/users/local/dqL838ot/items/GLZ74L8R"],"uri":["http://zotero.org/users/local/dqL838ot/items/GLZ74L8R"],"itemData":{"id":479,"type":"article-journal","title":"New Draft National Aciton Plan to Address Sorcery Accusation-Related Violence in Papua New Guinea","container-title":"ANU In Brief: State, Society &amp; Governance in Melanesia","volume":"2014","issue":"18","URL":"http://bellschool.anu.edu.au/sites/default/files/publications/attachments/2015-12/IB-2014-18-Forsyth-ONLINE_0.pdf","author":[{"family":"Forsyth","given":"Miranda"}],"issued":{"date-parts":[["2014"]]},"accessed":{"date-parts":[["2018",8,17]]}}}],"schema":"https://github.com/citation-style-language/schema/raw/master/csl-citation.json"} </w:instrText>
      </w:r>
      <w:r w:rsidRPr="00EF65AE">
        <w:fldChar w:fldCharType="separate"/>
      </w:r>
      <w:r w:rsidRPr="00EF65AE">
        <w:rPr>
          <w:vertAlign w:val="superscript"/>
          <w:lang w:val="en-US"/>
        </w:rPr>
        <w:t>132</w:t>
      </w:r>
      <w:r w:rsidRPr="00EF65AE">
        <w:fldChar w:fldCharType="end"/>
      </w:r>
      <w:r w:rsidRPr="00EF65AE">
        <w:t xml:space="preserve"> </w:t>
      </w:r>
    </w:p>
    <w:p w14:paraId="2FBE91EA" w14:textId="20C428E1" w:rsidR="00761092" w:rsidRDefault="00EF65AE" w:rsidP="00CD7F96">
      <w:r w:rsidRPr="00EF65AE">
        <w:t xml:space="preserve">Solomon Islands </w:t>
      </w:r>
      <w:r w:rsidR="001D11A0">
        <w:t xml:space="preserve">and Vanuatu </w:t>
      </w:r>
      <w:r w:rsidRPr="00EF65AE">
        <w:t>have legislation that criminalises aspects of sorcery practices</w:t>
      </w:r>
      <w:r w:rsidR="00761092">
        <w:t xml:space="preserve">. </w:t>
      </w:r>
      <w:r w:rsidRPr="00EF65AE">
        <w:t>In Solomon Islands, the law does not consider sorcery accusation-related deaths as murder and</w:t>
      </w:r>
      <w:r w:rsidR="00761092">
        <w:t xml:space="preserve"> so</w:t>
      </w:r>
      <w:r w:rsidRPr="00EF65AE">
        <w:t xml:space="preserve"> government and church authorities do not pay serious attention to incidents</w:t>
      </w:r>
      <w:r w:rsidR="00761092">
        <w:t xml:space="preserve"> of such </w:t>
      </w:r>
      <w:r w:rsidRPr="00EF65AE">
        <w:t>violence</w:t>
      </w:r>
      <w:r w:rsidR="0078517B">
        <w:t>.</w:t>
      </w:r>
      <w:r w:rsidRPr="00EF65AE">
        <w:fldChar w:fldCharType="begin"/>
      </w:r>
      <w:r w:rsidRPr="00EF65AE">
        <w:instrText xml:space="preserve"> ADDIN ZOTERO_ITEM CSL_CITATION {"citationID":"QJbDJaoz","properties":{"formattedCitation":"\\super 79\\nosupersub{}","plainCitation":"79","noteIndex":0},"citationItems":[{"id":"LnUt4Vs6/RRYDIG1d","uris":["http://zotero.org/users/local/dqL838ot/items/HR4674R5"],"uri":["http://zotero.org/users/local/dqL838ot/items/HR4674R5"],"itemData":{"id":463,"type":"chapter","title":"Sorcery and witchcraft as a negative force on economic and social development in Solomon Islands","container-title":"Talking it Through: Responses to sorcery and witchcraft beliefs and practices in Melanesia","publisher":"ANU Press","publisher-place":"Canberra","event-place":"Canberra","author":[{"family":"Foana'ota","given":"Lawrence"}],"editor":[{"family":"Forsyth","given":"Miranda"},{"family":"Eves","given":"Richard"}],"issued":{"date-parts":[["2015"]]}}}],"schema":"https://github.com/citation-style-language/schema/raw/master/csl-citation.json"} </w:instrText>
      </w:r>
      <w:r w:rsidRPr="00EF65AE">
        <w:fldChar w:fldCharType="separate"/>
      </w:r>
      <w:r w:rsidRPr="00761092">
        <w:rPr>
          <w:vertAlign w:val="superscript"/>
          <w:lang w:val="en-US"/>
        </w:rPr>
        <w:t>79</w:t>
      </w:r>
      <w:r w:rsidRPr="00EF65AE">
        <w:fldChar w:fldCharType="end"/>
      </w:r>
      <w:r w:rsidR="00E2253F">
        <w:t xml:space="preserve"> </w:t>
      </w:r>
    </w:p>
    <w:p w14:paraId="3CF0918E" w14:textId="3A5B3BD0" w:rsidR="00761092" w:rsidRDefault="00761092" w:rsidP="00761092">
      <w:r>
        <w:t>T</w:t>
      </w:r>
      <w:r w:rsidRPr="00EF65AE">
        <w:t xml:space="preserve">he PNG </w:t>
      </w:r>
      <w:r>
        <w:t>G</w:t>
      </w:r>
      <w:r w:rsidRPr="00EF65AE">
        <w:t xml:space="preserve">overnment repealed </w:t>
      </w:r>
      <w:r>
        <w:t>its 1971</w:t>
      </w:r>
      <w:r w:rsidRPr="00EF65AE">
        <w:t xml:space="preserve"> Sorcery Act</w:t>
      </w:r>
      <w:r>
        <w:t xml:space="preserve"> in 2013</w:t>
      </w:r>
      <w:r w:rsidRPr="00EF65AE">
        <w:t xml:space="preserve">. </w:t>
      </w:r>
      <w:r w:rsidR="002A6350">
        <w:t>T</w:t>
      </w:r>
      <w:r w:rsidR="00EF65AE" w:rsidRPr="00EF65AE">
        <w:t>o address rising levels of sorcery accusation</w:t>
      </w:r>
      <w:r w:rsidR="001D11A0">
        <w:t>-</w:t>
      </w:r>
      <w:r w:rsidR="00EF65AE" w:rsidRPr="00EF65AE">
        <w:t>related violence</w:t>
      </w:r>
      <w:r w:rsidR="0078517B">
        <w:t>,</w:t>
      </w:r>
      <w:r w:rsidR="00EF65AE" w:rsidRPr="00EF65AE">
        <w:t xml:space="preserve"> the </w:t>
      </w:r>
      <w:r>
        <w:t>g</w:t>
      </w:r>
      <w:r w:rsidR="00EF65AE" w:rsidRPr="00EF65AE">
        <w:t>overnment has drafted a national implementation plan to overcome sorcery and witchcraft accusation-related violence. The plan covers five key areas</w:t>
      </w:r>
      <w:r w:rsidR="001D11A0">
        <w:t>—</w:t>
      </w:r>
      <w:r w:rsidR="00EF65AE" w:rsidRPr="00EF65AE">
        <w:t xml:space="preserve">legal and protection, health, advocacy and communication, care and counselling, and research. </w:t>
      </w:r>
      <w:r w:rsidRPr="00EF65AE">
        <w:t>In parts of PNG, available services for victims can include counselling, mediation and paralegal services, refuge accommodation and repatriation.</w:t>
      </w:r>
      <w:r w:rsidRPr="00EF65AE">
        <w:fldChar w:fldCharType="begin"/>
      </w:r>
      <w:r w:rsidRPr="00EF65AE">
        <w:instrText xml:space="preserve"> ADDIN ZOTERO_ITEM CSL_CITATION {"citationID":"PVBBL9c8","properties":{"formattedCitation":"\\super 35\\nosupersub{}","plainCitation":"35","noteIndex":0},"citationItems":[{"id":"LnUt4Vs6/mwXDtLNS","uris":["http://zotero.org/users/local/dqL838ot/items/8VL5KRZH"],"uri":["http://zotero.org/users/local/dqL838ot/items/8VL5KRZH"],"itemData":{"id":461,"type":"report","title":"The Long Way Home: Relocation of survivors of gender-based violence in PNG","publisher":"Oxfam","publisher-place":"Port Moresby","event-place":"Port Moresby","author":[{"family":"Oxfam","given":""}]}}],"schema":"https://github.com/citation-style-language/schema/raw/master/csl-citation.json"} </w:instrText>
      </w:r>
      <w:r w:rsidRPr="00EF65AE">
        <w:fldChar w:fldCharType="separate"/>
      </w:r>
      <w:r w:rsidRPr="00761092">
        <w:rPr>
          <w:vertAlign w:val="superscript"/>
          <w:lang w:val="en-US"/>
        </w:rPr>
        <w:t>35</w:t>
      </w:r>
      <w:r w:rsidRPr="00EF65AE">
        <w:fldChar w:fldCharType="end"/>
      </w:r>
      <w:r w:rsidRPr="00EF65AE">
        <w:t xml:space="preserve"> </w:t>
      </w:r>
    </w:p>
    <w:p w14:paraId="740CBC5D" w14:textId="77777777" w:rsidR="00EF65AE" w:rsidRPr="00EF65AE" w:rsidRDefault="00EF65AE" w:rsidP="00CD7F96"/>
    <w:p w14:paraId="27A33C70" w14:textId="77777777" w:rsidR="00EF65AE" w:rsidRPr="00EF65AE" w:rsidRDefault="00EF65AE" w:rsidP="00BE3968">
      <w:pPr>
        <w:pStyle w:val="AnnexHeading"/>
        <w:rPr>
          <w:noProof/>
        </w:rPr>
      </w:pPr>
      <w:bookmarkStart w:id="542" w:name="_Toc14959636"/>
      <w:bookmarkStart w:id="543" w:name="_Toc15378154"/>
      <w:bookmarkStart w:id="544" w:name="_Toc15378503"/>
      <w:bookmarkStart w:id="545" w:name="_Toc15563044"/>
      <w:bookmarkStart w:id="546" w:name="_Toc23434580"/>
      <w:r w:rsidRPr="00BE3968">
        <w:t>A</w:t>
      </w:r>
      <w:r w:rsidR="004F0C71">
        <w:t xml:space="preserve">ssessment of external evaluations of </w:t>
      </w:r>
      <w:r w:rsidR="00950932">
        <w:rPr>
          <w:noProof/>
        </w:rPr>
        <w:t>EVAWG</w:t>
      </w:r>
      <w:r w:rsidR="004F0C71">
        <w:rPr>
          <w:noProof/>
        </w:rPr>
        <w:t xml:space="preserve"> investments</w:t>
      </w:r>
      <w:bookmarkEnd w:id="542"/>
      <w:bookmarkEnd w:id="543"/>
      <w:bookmarkEnd w:id="544"/>
      <w:bookmarkEnd w:id="545"/>
      <w:bookmarkEnd w:id="546"/>
    </w:p>
    <w:p w14:paraId="3C5269E2" w14:textId="77777777" w:rsidR="00761092" w:rsidRDefault="00EF65AE" w:rsidP="00EF65AE">
      <w:pPr>
        <w:rPr>
          <w:rFonts w:cs="Arial"/>
        </w:rPr>
      </w:pPr>
      <w:r w:rsidRPr="00EF65AE">
        <w:rPr>
          <w:rFonts w:cs="Arial"/>
        </w:rPr>
        <w:t>At the time of the 2008 O</w:t>
      </w:r>
      <w:r w:rsidR="0078517B">
        <w:rPr>
          <w:rFonts w:cs="Arial"/>
        </w:rPr>
        <w:t>ffice of Development Effectiveness</w:t>
      </w:r>
      <w:r w:rsidRPr="00EF65AE">
        <w:rPr>
          <w:rFonts w:cs="Arial"/>
        </w:rPr>
        <w:t xml:space="preserve"> report, few evaluations of Australia’s</w:t>
      </w:r>
      <w:r w:rsidR="00AE4FE4">
        <w:rPr>
          <w:rFonts w:cs="Arial"/>
        </w:rPr>
        <w:t xml:space="preserve"> investments for</w:t>
      </w:r>
      <w:r w:rsidRPr="00EF65AE">
        <w:rPr>
          <w:rFonts w:cs="Arial"/>
        </w:rPr>
        <w:t xml:space="preserve"> </w:t>
      </w:r>
      <w:r w:rsidR="00AE4FE4">
        <w:rPr>
          <w:rFonts w:cs="Arial"/>
        </w:rPr>
        <w:t>ending violence against women and girls</w:t>
      </w:r>
      <w:r w:rsidRPr="00EF65AE">
        <w:rPr>
          <w:rFonts w:cs="Arial"/>
        </w:rPr>
        <w:t xml:space="preserve"> </w:t>
      </w:r>
      <w:r w:rsidR="00761092">
        <w:rPr>
          <w:rFonts w:cs="Arial"/>
        </w:rPr>
        <w:t>were available or activities documented, because</w:t>
      </w:r>
      <w:r w:rsidRPr="00EF65AE">
        <w:rPr>
          <w:rFonts w:cs="Arial"/>
        </w:rPr>
        <w:t xml:space="preserve"> many activities were included in larger bilateral or regional programs. </w:t>
      </w:r>
    </w:p>
    <w:p w14:paraId="40B4CABC" w14:textId="10E869A6" w:rsidR="00AC2DEE" w:rsidRDefault="009B0986" w:rsidP="00EF65AE">
      <w:pPr>
        <w:rPr>
          <w:rFonts w:cs="Arial"/>
        </w:rPr>
      </w:pPr>
      <w:r>
        <w:rPr>
          <w:rFonts w:cs="Arial"/>
        </w:rPr>
        <w:t>T</w:t>
      </w:r>
      <w:r w:rsidR="00EF65AE" w:rsidRPr="00EF65AE">
        <w:rPr>
          <w:rFonts w:cs="Arial"/>
        </w:rPr>
        <w:t xml:space="preserve">o assess the overall quality of external evaluations conducted on recent </w:t>
      </w:r>
      <w:r w:rsidR="0078517B">
        <w:rPr>
          <w:rFonts w:cs="Arial"/>
        </w:rPr>
        <w:t>programs for ending violence against women and girls</w:t>
      </w:r>
      <w:r w:rsidR="00EF65AE" w:rsidRPr="00EF65AE">
        <w:rPr>
          <w:rFonts w:cs="Arial"/>
        </w:rPr>
        <w:t xml:space="preserve">, the evaluation team conducted an in-depth review of </w:t>
      </w:r>
      <w:r w:rsidR="00617249">
        <w:rPr>
          <w:rFonts w:cs="Arial"/>
        </w:rPr>
        <w:br/>
      </w:r>
      <w:r w:rsidR="00EF65AE" w:rsidRPr="00EF65AE">
        <w:rPr>
          <w:rFonts w:cs="Arial"/>
        </w:rPr>
        <w:t>59 program evaluations for the seven focus countries</w:t>
      </w:r>
      <w:r w:rsidR="00AC2DEE">
        <w:rPr>
          <w:rFonts w:cs="Arial"/>
        </w:rPr>
        <w:t xml:space="preserve"> involved</w:t>
      </w:r>
      <w:r w:rsidR="00EF65AE" w:rsidRPr="00EF65AE">
        <w:rPr>
          <w:rFonts w:cs="Arial"/>
        </w:rPr>
        <w:t xml:space="preserve">. </w:t>
      </w:r>
    </w:p>
    <w:p w14:paraId="72D25AA5" w14:textId="77777777" w:rsidR="0078517B" w:rsidRDefault="00EF65AE" w:rsidP="00EF65AE">
      <w:pPr>
        <w:rPr>
          <w:rFonts w:cs="Arial"/>
        </w:rPr>
      </w:pPr>
      <w:r w:rsidRPr="00EF65AE">
        <w:rPr>
          <w:rFonts w:cs="Arial"/>
        </w:rPr>
        <w:t>The quality of evaluation documents was measured systematically using a quality assessment tool developed by the</w:t>
      </w:r>
      <w:r w:rsidR="006841AB">
        <w:rPr>
          <w:rFonts w:cs="Arial"/>
        </w:rPr>
        <w:t xml:space="preserve"> evaluation</w:t>
      </w:r>
      <w:r w:rsidRPr="00EF65AE">
        <w:rPr>
          <w:rFonts w:cs="Arial"/>
        </w:rPr>
        <w:t xml:space="preserve"> team based on the elements identified </w:t>
      </w:r>
      <w:r w:rsidR="000A5FA0">
        <w:rPr>
          <w:rFonts w:cs="Arial"/>
        </w:rPr>
        <w:t xml:space="preserve">in </w:t>
      </w:r>
      <w:r w:rsidRPr="00950932">
        <w:rPr>
          <w:rFonts w:cs="Arial"/>
          <w:iCs/>
        </w:rPr>
        <w:t>DFAT</w:t>
      </w:r>
      <w:r w:rsidR="00AC2DEE" w:rsidRPr="00950932">
        <w:rPr>
          <w:rFonts w:cs="Arial"/>
          <w:iCs/>
        </w:rPr>
        <w:t>’s</w:t>
      </w:r>
      <w:r w:rsidR="002A6350">
        <w:rPr>
          <w:rFonts w:cs="Arial"/>
          <w:iCs/>
        </w:rPr>
        <w:t xml:space="preserve"> </w:t>
      </w:r>
      <w:r w:rsidRPr="00950932">
        <w:rPr>
          <w:rFonts w:cs="Arial"/>
          <w:iCs/>
        </w:rPr>
        <w:t xml:space="preserve">Monitoring </w:t>
      </w:r>
      <w:r w:rsidR="00AC2DEE" w:rsidRPr="00950932">
        <w:rPr>
          <w:rFonts w:cs="Arial"/>
          <w:iCs/>
        </w:rPr>
        <w:t xml:space="preserve">and </w:t>
      </w:r>
      <w:r w:rsidRPr="00950932">
        <w:rPr>
          <w:rFonts w:cs="Arial"/>
          <w:iCs/>
        </w:rPr>
        <w:t>Evaluation Standards</w:t>
      </w:r>
      <w:r w:rsidRPr="00EF65AE">
        <w:rPr>
          <w:rFonts w:cs="Arial"/>
        </w:rPr>
        <w:t xml:space="preserve"> (2017)</w:t>
      </w:r>
      <w:r w:rsidR="00E2253F">
        <w:rPr>
          <w:rFonts w:cs="Arial"/>
        </w:rPr>
        <w:t xml:space="preserve">. </w:t>
      </w:r>
      <w:r w:rsidRPr="00EF65AE">
        <w:rPr>
          <w:rFonts w:cs="Arial"/>
        </w:rPr>
        <w:t>Each criteri</w:t>
      </w:r>
      <w:r w:rsidR="00AC2DEE">
        <w:rPr>
          <w:rFonts w:cs="Arial"/>
        </w:rPr>
        <w:t>on</w:t>
      </w:r>
      <w:r w:rsidRPr="00EF65AE">
        <w:rPr>
          <w:rFonts w:cs="Arial"/>
        </w:rPr>
        <w:t xml:space="preserve"> was assigned a point value between 0.5 and 1, with a maximum total score of 9</w:t>
      </w:r>
      <w:r w:rsidR="00F03156">
        <w:rPr>
          <w:rFonts w:cs="Arial"/>
        </w:rPr>
        <w:t xml:space="preserve"> (Table 10</w:t>
      </w:r>
      <w:r w:rsidR="00950932">
        <w:rPr>
          <w:rFonts w:cs="Arial"/>
        </w:rPr>
        <w:t>)</w:t>
      </w:r>
      <w:r w:rsidRPr="00EF65AE">
        <w:rPr>
          <w:rFonts w:cs="Arial"/>
        </w:rPr>
        <w:t xml:space="preserve">. </w:t>
      </w:r>
    </w:p>
    <w:p w14:paraId="0AEC6FAB" w14:textId="77777777" w:rsidR="00EF65AE" w:rsidRPr="00EF65AE" w:rsidRDefault="00D36612" w:rsidP="00D36612">
      <w:pPr>
        <w:pStyle w:val="Caption"/>
      </w:pPr>
      <w:r>
        <w:t xml:space="preserve">Table </w:t>
      </w:r>
      <w:r w:rsidR="00D067A4">
        <w:t>1</w:t>
      </w:r>
      <w:r w:rsidR="00F03156">
        <w:t>0</w:t>
      </w:r>
      <w:r>
        <w:t xml:space="preserve">: </w:t>
      </w:r>
      <w:r w:rsidR="00EF65AE" w:rsidRPr="00EF65AE">
        <w:t>Quality Assessment Tool used to assess program evaluations</w:t>
      </w:r>
    </w:p>
    <w:tbl>
      <w:tblPr>
        <w:tblStyle w:val="TableGrid"/>
        <w:tblW w:w="5000" w:type="pct"/>
        <w:tblLook w:val="0420" w:firstRow="1" w:lastRow="0" w:firstColumn="0" w:lastColumn="0" w:noHBand="0" w:noVBand="1"/>
      </w:tblPr>
      <w:tblGrid>
        <w:gridCol w:w="2835"/>
        <w:gridCol w:w="5532"/>
        <w:gridCol w:w="1261"/>
      </w:tblGrid>
      <w:tr w:rsidR="00EF65AE" w:rsidRPr="00745439" w14:paraId="781BA6A6" w14:textId="77777777" w:rsidTr="00F973BE">
        <w:trPr>
          <w:cnfStyle w:val="100000000000" w:firstRow="1" w:lastRow="0" w:firstColumn="0" w:lastColumn="0" w:oddVBand="0" w:evenVBand="0" w:oddHBand="0" w:evenHBand="0" w:firstRowFirstColumn="0" w:firstRowLastColumn="0" w:lastRowFirstColumn="0" w:lastRowLastColumn="0"/>
        </w:trPr>
        <w:tc>
          <w:tcPr>
            <w:tcW w:w="1472" w:type="pct"/>
          </w:tcPr>
          <w:p w14:paraId="2B84B330" w14:textId="77777777" w:rsidR="00EF65AE" w:rsidRPr="00745439" w:rsidRDefault="00EF65AE" w:rsidP="00EF65AE">
            <w:r w:rsidRPr="00745439">
              <w:t xml:space="preserve">Evaluation </w:t>
            </w:r>
            <w:r w:rsidR="0078517B">
              <w:t>s</w:t>
            </w:r>
            <w:r w:rsidRPr="00745439">
              <w:t>ection</w:t>
            </w:r>
          </w:p>
        </w:tc>
        <w:tc>
          <w:tcPr>
            <w:tcW w:w="2873" w:type="pct"/>
          </w:tcPr>
          <w:p w14:paraId="1CDAF788" w14:textId="77777777" w:rsidR="00EF65AE" w:rsidRPr="00745439" w:rsidRDefault="00EF65AE" w:rsidP="00EF65AE">
            <w:r w:rsidRPr="00745439">
              <w:t xml:space="preserve">Section </w:t>
            </w:r>
            <w:r w:rsidR="0078517B">
              <w:t>c</w:t>
            </w:r>
            <w:r w:rsidRPr="00745439">
              <w:t>riteria</w:t>
            </w:r>
          </w:p>
        </w:tc>
        <w:tc>
          <w:tcPr>
            <w:tcW w:w="655" w:type="pct"/>
          </w:tcPr>
          <w:p w14:paraId="1756CDA3" w14:textId="77777777" w:rsidR="00EF65AE" w:rsidRPr="00745439" w:rsidRDefault="00EF65AE" w:rsidP="00EF65AE">
            <w:r w:rsidRPr="00745439">
              <w:t xml:space="preserve">Score </w:t>
            </w:r>
          </w:p>
        </w:tc>
      </w:tr>
      <w:tr w:rsidR="00EF65AE" w:rsidRPr="00745439" w14:paraId="594AF3ED" w14:textId="77777777" w:rsidTr="00F973BE">
        <w:tc>
          <w:tcPr>
            <w:tcW w:w="1472" w:type="pct"/>
          </w:tcPr>
          <w:p w14:paraId="57D53699" w14:textId="77777777" w:rsidR="00EF65AE" w:rsidRPr="00745439" w:rsidRDefault="00EF65AE" w:rsidP="00EF65AE">
            <w:r w:rsidRPr="00745439">
              <w:t xml:space="preserve">1. Executive </w:t>
            </w:r>
            <w:r w:rsidR="0078517B">
              <w:t>s</w:t>
            </w:r>
            <w:r w:rsidRPr="00745439">
              <w:t>ummary</w:t>
            </w:r>
          </w:p>
        </w:tc>
        <w:tc>
          <w:tcPr>
            <w:tcW w:w="2873" w:type="pct"/>
          </w:tcPr>
          <w:p w14:paraId="299C7502" w14:textId="77777777" w:rsidR="00EF65AE" w:rsidRPr="00745439" w:rsidRDefault="00EF65AE" w:rsidP="00EF65AE">
            <w:r w:rsidRPr="00745439">
              <w:t xml:space="preserve">Summarises key findings, provides sufficient analyses and arguments, and presents final conclusions and recommendations? </w:t>
            </w:r>
            <w:r w:rsidRPr="00745439">
              <w:rPr>
                <w:i/>
              </w:rPr>
              <w:t>(1 point)</w:t>
            </w:r>
          </w:p>
        </w:tc>
        <w:tc>
          <w:tcPr>
            <w:tcW w:w="655" w:type="pct"/>
          </w:tcPr>
          <w:p w14:paraId="72419701" w14:textId="77777777" w:rsidR="00EF65AE" w:rsidRPr="00745439" w:rsidRDefault="00EF65AE" w:rsidP="00EF65AE"/>
        </w:tc>
      </w:tr>
      <w:tr w:rsidR="00EF65AE" w:rsidRPr="00745439" w14:paraId="13C52033" w14:textId="77777777" w:rsidTr="00F973BE">
        <w:tc>
          <w:tcPr>
            <w:tcW w:w="1472" w:type="pct"/>
          </w:tcPr>
          <w:p w14:paraId="2B7CC0F6" w14:textId="77777777" w:rsidR="00EF65AE" w:rsidRPr="00745439" w:rsidRDefault="00EF65AE" w:rsidP="00EF65AE">
            <w:r w:rsidRPr="00745439">
              <w:t xml:space="preserve">2. Purpose of </w:t>
            </w:r>
            <w:r w:rsidR="0078517B">
              <w:t>e</w:t>
            </w:r>
            <w:r w:rsidRPr="00745439">
              <w:t>valuation</w:t>
            </w:r>
          </w:p>
        </w:tc>
        <w:tc>
          <w:tcPr>
            <w:tcW w:w="2873" w:type="pct"/>
          </w:tcPr>
          <w:p w14:paraId="6C036C7D" w14:textId="77777777" w:rsidR="00EF65AE" w:rsidRPr="00745439" w:rsidRDefault="00EF65AE" w:rsidP="00EF65AE">
            <w:r w:rsidRPr="00745439">
              <w:t xml:space="preserve">Purpose and objectives of evaluation clearly articulated? </w:t>
            </w:r>
            <w:r w:rsidRPr="00745439">
              <w:rPr>
                <w:i/>
              </w:rPr>
              <w:t>(1 point)</w:t>
            </w:r>
          </w:p>
        </w:tc>
        <w:tc>
          <w:tcPr>
            <w:tcW w:w="655" w:type="pct"/>
          </w:tcPr>
          <w:p w14:paraId="5A65F06B" w14:textId="77777777" w:rsidR="00EF65AE" w:rsidRPr="00745439" w:rsidRDefault="00EF65AE" w:rsidP="00EF65AE"/>
        </w:tc>
      </w:tr>
      <w:tr w:rsidR="00EF65AE" w:rsidRPr="00745439" w14:paraId="79973DB3" w14:textId="77777777" w:rsidTr="00F973BE">
        <w:tc>
          <w:tcPr>
            <w:tcW w:w="1472" w:type="pct"/>
          </w:tcPr>
          <w:p w14:paraId="0C710A84" w14:textId="77777777" w:rsidR="00EF65AE" w:rsidRPr="00745439" w:rsidRDefault="00EF65AE" w:rsidP="00EF65AE">
            <w:r w:rsidRPr="00745439">
              <w:t>3. Scope of evaluation</w:t>
            </w:r>
          </w:p>
        </w:tc>
        <w:tc>
          <w:tcPr>
            <w:tcW w:w="2873" w:type="pct"/>
          </w:tcPr>
          <w:p w14:paraId="67AD1017" w14:textId="77777777" w:rsidR="00EF65AE" w:rsidRPr="00745439" w:rsidRDefault="00EF65AE" w:rsidP="00EF65AE">
            <w:r w:rsidRPr="00745439">
              <w:t xml:space="preserve">Methods and roles of team defined? </w:t>
            </w:r>
            <w:r w:rsidRPr="00745439">
              <w:br/>
            </w:r>
            <w:r w:rsidRPr="00745439">
              <w:rPr>
                <w:i/>
              </w:rPr>
              <w:t>(half point)</w:t>
            </w:r>
          </w:p>
        </w:tc>
        <w:tc>
          <w:tcPr>
            <w:tcW w:w="655" w:type="pct"/>
          </w:tcPr>
          <w:p w14:paraId="754F2DA6" w14:textId="77777777" w:rsidR="00EF65AE" w:rsidRPr="00745439" w:rsidRDefault="00EF65AE" w:rsidP="00EF65AE"/>
        </w:tc>
      </w:tr>
      <w:tr w:rsidR="00EF65AE" w:rsidRPr="00745439" w14:paraId="42EF6697" w14:textId="77777777" w:rsidTr="00F973BE">
        <w:tc>
          <w:tcPr>
            <w:tcW w:w="1472" w:type="pct"/>
          </w:tcPr>
          <w:p w14:paraId="3A26FABB" w14:textId="77777777" w:rsidR="00EF65AE" w:rsidRPr="00745439" w:rsidRDefault="00EF65AE" w:rsidP="00EF65AE"/>
        </w:tc>
        <w:tc>
          <w:tcPr>
            <w:tcW w:w="2873" w:type="pct"/>
          </w:tcPr>
          <w:p w14:paraId="046DB7C5" w14:textId="77777777" w:rsidR="00EF65AE" w:rsidRPr="00745439" w:rsidRDefault="00EF65AE" w:rsidP="00EF65AE">
            <w:r w:rsidRPr="00745439">
              <w:t>Major evaluation activities/tools annexed (</w:t>
            </w:r>
            <w:r w:rsidR="00173F90">
              <w:t>for example,</w:t>
            </w:r>
            <w:r w:rsidRPr="00745439">
              <w:t xml:space="preserve"> interview guides, questionnaires) as appropriate?</w:t>
            </w:r>
            <w:r w:rsidRPr="00745439">
              <w:br/>
            </w:r>
            <w:r w:rsidRPr="00745439">
              <w:rPr>
                <w:i/>
              </w:rPr>
              <w:t>(half point)</w:t>
            </w:r>
          </w:p>
        </w:tc>
        <w:tc>
          <w:tcPr>
            <w:tcW w:w="655" w:type="pct"/>
          </w:tcPr>
          <w:p w14:paraId="002FC042" w14:textId="77777777" w:rsidR="00EF65AE" w:rsidRPr="00745439" w:rsidRDefault="00EF65AE" w:rsidP="00EF65AE"/>
        </w:tc>
      </w:tr>
      <w:tr w:rsidR="00EF65AE" w:rsidRPr="00745439" w14:paraId="0A269BD2" w14:textId="77777777" w:rsidTr="00F973BE">
        <w:tc>
          <w:tcPr>
            <w:tcW w:w="1472" w:type="pct"/>
          </w:tcPr>
          <w:p w14:paraId="753F74B0" w14:textId="77777777" w:rsidR="00EF65AE" w:rsidRPr="00745439" w:rsidRDefault="00EF65AE" w:rsidP="00EF65AE">
            <w:r w:rsidRPr="00745439">
              <w:t>4. Appropriateness of methodology and use of sources</w:t>
            </w:r>
          </w:p>
        </w:tc>
        <w:tc>
          <w:tcPr>
            <w:tcW w:w="2873" w:type="pct"/>
          </w:tcPr>
          <w:p w14:paraId="1E6C7741" w14:textId="77777777" w:rsidR="00EF65AE" w:rsidRPr="00745439" w:rsidRDefault="00EF65AE" w:rsidP="00EF65AE">
            <w:r w:rsidRPr="00745439">
              <w:t>Methods appropriate and justified?</w:t>
            </w:r>
            <w:r w:rsidRPr="00745439">
              <w:br/>
            </w:r>
            <w:r w:rsidRPr="00745439">
              <w:rPr>
                <w:i/>
              </w:rPr>
              <w:t>(half point)</w:t>
            </w:r>
          </w:p>
        </w:tc>
        <w:tc>
          <w:tcPr>
            <w:tcW w:w="655" w:type="pct"/>
          </w:tcPr>
          <w:p w14:paraId="4227C112" w14:textId="77777777" w:rsidR="00EF65AE" w:rsidRPr="00745439" w:rsidRDefault="00EF65AE" w:rsidP="00EF65AE"/>
        </w:tc>
      </w:tr>
      <w:tr w:rsidR="00EF65AE" w:rsidRPr="00745439" w14:paraId="3CF2581A" w14:textId="77777777" w:rsidTr="00F973BE">
        <w:tc>
          <w:tcPr>
            <w:tcW w:w="1472" w:type="pct"/>
          </w:tcPr>
          <w:p w14:paraId="06347752" w14:textId="77777777" w:rsidR="00EF65AE" w:rsidRPr="00745439" w:rsidRDefault="00EF65AE" w:rsidP="00EF65AE"/>
        </w:tc>
        <w:tc>
          <w:tcPr>
            <w:tcW w:w="2873" w:type="pct"/>
          </w:tcPr>
          <w:p w14:paraId="25D248D3" w14:textId="77777777" w:rsidR="00EF65AE" w:rsidRPr="00745439" w:rsidRDefault="00EF65AE" w:rsidP="00EF65AE">
            <w:r w:rsidRPr="00745439">
              <w:t>Were limitations and/or ethical issues explicitly addressed?</w:t>
            </w:r>
            <w:r w:rsidRPr="00745439">
              <w:br/>
            </w:r>
            <w:r w:rsidRPr="00745439">
              <w:rPr>
                <w:i/>
              </w:rPr>
              <w:t>(half point)</w:t>
            </w:r>
          </w:p>
        </w:tc>
        <w:tc>
          <w:tcPr>
            <w:tcW w:w="655" w:type="pct"/>
          </w:tcPr>
          <w:p w14:paraId="0F409DCC" w14:textId="77777777" w:rsidR="00EF65AE" w:rsidRPr="00745439" w:rsidRDefault="00EF65AE" w:rsidP="00EF65AE"/>
        </w:tc>
      </w:tr>
      <w:tr w:rsidR="00EF65AE" w:rsidRPr="00745439" w14:paraId="574FA905" w14:textId="77777777" w:rsidTr="00F973BE">
        <w:tc>
          <w:tcPr>
            <w:tcW w:w="1472" w:type="pct"/>
          </w:tcPr>
          <w:p w14:paraId="382AB1BE" w14:textId="77777777" w:rsidR="00EF65AE" w:rsidRPr="00745439" w:rsidRDefault="00EF65AE" w:rsidP="00EF65AE">
            <w:r w:rsidRPr="00745439">
              <w:t>5. Adequacy and use of M&amp;E</w:t>
            </w:r>
          </w:p>
        </w:tc>
        <w:tc>
          <w:tcPr>
            <w:tcW w:w="2873" w:type="pct"/>
          </w:tcPr>
          <w:p w14:paraId="58F186C3" w14:textId="77777777" w:rsidR="00EF65AE" w:rsidRPr="00745439" w:rsidRDefault="0078517B" w:rsidP="00EF65AE">
            <w:r>
              <w:t>D</w:t>
            </w:r>
            <w:r w:rsidR="00EF65AE" w:rsidRPr="00745439">
              <w:t xml:space="preserve">escribes what data is available from the program’s M&amp;E system? </w:t>
            </w:r>
            <w:r w:rsidR="00EF65AE" w:rsidRPr="00745439">
              <w:rPr>
                <w:i/>
              </w:rPr>
              <w:t>(1 point)</w:t>
            </w:r>
          </w:p>
        </w:tc>
        <w:tc>
          <w:tcPr>
            <w:tcW w:w="655" w:type="pct"/>
          </w:tcPr>
          <w:p w14:paraId="44CBBE48" w14:textId="77777777" w:rsidR="00EF65AE" w:rsidRPr="00745439" w:rsidRDefault="00EF65AE" w:rsidP="00EF65AE"/>
        </w:tc>
      </w:tr>
      <w:tr w:rsidR="00EF65AE" w:rsidRPr="00745439" w14:paraId="46F8C116" w14:textId="77777777" w:rsidTr="00F973BE">
        <w:tc>
          <w:tcPr>
            <w:tcW w:w="1472" w:type="pct"/>
          </w:tcPr>
          <w:p w14:paraId="26140EFE" w14:textId="77777777" w:rsidR="00EF65AE" w:rsidRPr="00745439" w:rsidRDefault="00EF65AE" w:rsidP="00EF65AE">
            <w:r w:rsidRPr="00745439">
              <w:t xml:space="preserve">6. </w:t>
            </w:r>
            <w:r w:rsidR="0078517B">
              <w:t>C</w:t>
            </w:r>
            <w:r w:rsidRPr="00745439">
              <w:t xml:space="preserve">ontext of the initiative </w:t>
            </w:r>
          </w:p>
        </w:tc>
        <w:tc>
          <w:tcPr>
            <w:tcW w:w="2873" w:type="pct"/>
          </w:tcPr>
          <w:p w14:paraId="6A8FE882" w14:textId="77777777" w:rsidR="00EF65AE" w:rsidRPr="00745439" w:rsidRDefault="00EF65AE" w:rsidP="00EF65AE">
            <w:r w:rsidRPr="00745439">
              <w:t xml:space="preserve">Is the context of the initiative described (policy, development, institutional context)? </w:t>
            </w:r>
            <w:r w:rsidRPr="00745439">
              <w:rPr>
                <w:i/>
              </w:rPr>
              <w:t>(1 point)</w:t>
            </w:r>
          </w:p>
        </w:tc>
        <w:tc>
          <w:tcPr>
            <w:tcW w:w="655" w:type="pct"/>
          </w:tcPr>
          <w:p w14:paraId="2DD7B2F2" w14:textId="77777777" w:rsidR="00EF65AE" w:rsidRPr="00745439" w:rsidRDefault="00EF65AE" w:rsidP="00EF65AE"/>
        </w:tc>
      </w:tr>
      <w:tr w:rsidR="00EF65AE" w:rsidRPr="00745439" w14:paraId="4C832A6C" w14:textId="77777777" w:rsidTr="00F973BE">
        <w:tc>
          <w:tcPr>
            <w:tcW w:w="1472" w:type="pct"/>
          </w:tcPr>
          <w:p w14:paraId="5014344B" w14:textId="77777777" w:rsidR="00EF65AE" w:rsidRPr="00745439" w:rsidRDefault="00EF65AE" w:rsidP="00EF65AE">
            <w:r w:rsidRPr="00745439">
              <w:t>7. Evaluation questions</w:t>
            </w:r>
          </w:p>
        </w:tc>
        <w:tc>
          <w:tcPr>
            <w:tcW w:w="2873" w:type="pct"/>
          </w:tcPr>
          <w:p w14:paraId="32271024" w14:textId="77777777" w:rsidR="00EF65AE" w:rsidRPr="00745439" w:rsidRDefault="00EF65AE" w:rsidP="00EF65AE">
            <w:r w:rsidRPr="00745439">
              <w:t xml:space="preserve">Clearly identifies and answers evaluation questions? </w:t>
            </w:r>
            <w:r w:rsidRPr="00745439">
              <w:rPr>
                <w:i/>
              </w:rPr>
              <w:t>(1 point)</w:t>
            </w:r>
          </w:p>
        </w:tc>
        <w:tc>
          <w:tcPr>
            <w:tcW w:w="655" w:type="pct"/>
          </w:tcPr>
          <w:p w14:paraId="1FA30853" w14:textId="77777777" w:rsidR="00EF65AE" w:rsidRPr="00745439" w:rsidRDefault="00EF65AE" w:rsidP="00EF65AE"/>
        </w:tc>
      </w:tr>
      <w:tr w:rsidR="00EF65AE" w:rsidRPr="00745439" w14:paraId="51D858CC" w14:textId="77777777" w:rsidTr="00F973BE">
        <w:tc>
          <w:tcPr>
            <w:tcW w:w="1472" w:type="pct"/>
          </w:tcPr>
          <w:p w14:paraId="5EFF5C01" w14:textId="77777777" w:rsidR="00EF65AE" w:rsidRPr="00745439" w:rsidRDefault="00EF65AE" w:rsidP="00EF65AE">
            <w:r w:rsidRPr="00745439">
              <w:t>8. Credibility of evidence and analysis</w:t>
            </w:r>
          </w:p>
        </w:tc>
        <w:tc>
          <w:tcPr>
            <w:tcW w:w="2873" w:type="pct"/>
          </w:tcPr>
          <w:p w14:paraId="05798C5A" w14:textId="77777777" w:rsidR="00EF65AE" w:rsidRPr="00745439" w:rsidRDefault="00EF65AE" w:rsidP="00EF65AE">
            <w:r w:rsidRPr="00745439">
              <w:t xml:space="preserve">Conclusions drawn from evidence flow logically, and gaps explained? </w:t>
            </w:r>
            <w:r w:rsidRPr="00745439">
              <w:rPr>
                <w:i/>
              </w:rPr>
              <w:t>(1 point)</w:t>
            </w:r>
          </w:p>
        </w:tc>
        <w:tc>
          <w:tcPr>
            <w:tcW w:w="655" w:type="pct"/>
          </w:tcPr>
          <w:p w14:paraId="230A0115" w14:textId="77777777" w:rsidR="00EF65AE" w:rsidRPr="00745439" w:rsidRDefault="00EF65AE" w:rsidP="00EF65AE"/>
        </w:tc>
      </w:tr>
      <w:tr w:rsidR="00EF65AE" w:rsidRPr="00745439" w14:paraId="4562DB96" w14:textId="77777777" w:rsidTr="00F973BE">
        <w:tc>
          <w:tcPr>
            <w:tcW w:w="1472" w:type="pct"/>
          </w:tcPr>
          <w:p w14:paraId="73D35F9A" w14:textId="77777777" w:rsidR="00EF65AE" w:rsidRPr="00745439" w:rsidRDefault="00EF65AE" w:rsidP="00EF65AE">
            <w:r w:rsidRPr="00745439">
              <w:t xml:space="preserve">9. Recommendations </w:t>
            </w:r>
          </w:p>
        </w:tc>
        <w:tc>
          <w:tcPr>
            <w:tcW w:w="2873" w:type="pct"/>
          </w:tcPr>
          <w:p w14:paraId="0F077A74" w14:textId="77777777" w:rsidR="00EF65AE" w:rsidRPr="00745439" w:rsidRDefault="00EF65AE" w:rsidP="00EF65AE">
            <w:r w:rsidRPr="00745439">
              <w:t>Clearly articulated?</w:t>
            </w:r>
            <w:r w:rsidRPr="00745439">
              <w:rPr>
                <w:i/>
              </w:rPr>
              <w:t xml:space="preserve"> (half point)</w:t>
            </w:r>
          </w:p>
        </w:tc>
        <w:tc>
          <w:tcPr>
            <w:tcW w:w="655" w:type="pct"/>
          </w:tcPr>
          <w:p w14:paraId="2CF17003" w14:textId="77777777" w:rsidR="00EF65AE" w:rsidRPr="00745439" w:rsidRDefault="00EF65AE" w:rsidP="00EF65AE"/>
        </w:tc>
      </w:tr>
      <w:tr w:rsidR="00EF65AE" w:rsidRPr="00745439" w14:paraId="79122FCC" w14:textId="77777777" w:rsidTr="00F973BE">
        <w:trPr>
          <w:trHeight w:val="397"/>
        </w:trPr>
        <w:tc>
          <w:tcPr>
            <w:tcW w:w="1472" w:type="pct"/>
          </w:tcPr>
          <w:p w14:paraId="7C8EE1AE" w14:textId="77777777" w:rsidR="00EF65AE" w:rsidRPr="00745439" w:rsidRDefault="00EF65AE" w:rsidP="00EF65AE"/>
        </w:tc>
        <w:tc>
          <w:tcPr>
            <w:tcW w:w="2873" w:type="pct"/>
          </w:tcPr>
          <w:p w14:paraId="1074C866" w14:textId="77777777" w:rsidR="00EF65AE" w:rsidRPr="00745439" w:rsidRDefault="00EF65AE" w:rsidP="00EF65AE">
            <w:r w:rsidRPr="00745439">
              <w:t xml:space="preserve">Relevant, targeted, actionable? </w:t>
            </w:r>
            <w:r w:rsidRPr="00745439">
              <w:rPr>
                <w:i/>
              </w:rPr>
              <w:t>(half point)</w:t>
            </w:r>
          </w:p>
        </w:tc>
        <w:tc>
          <w:tcPr>
            <w:tcW w:w="655" w:type="pct"/>
          </w:tcPr>
          <w:p w14:paraId="6B38B204" w14:textId="77777777" w:rsidR="00EF65AE" w:rsidRPr="00745439" w:rsidRDefault="00EF65AE" w:rsidP="00EF65AE"/>
        </w:tc>
      </w:tr>
    </w:tbl>
    <w:p w14:paraId="49C09820" w14:textId="77777777" w:rsidR="00047990" w:rsidRDefault="00047990" w:rsidP="00865903">
      <w:pPr>
        <w:rPr>
          <w:rFonts w:cs="Arial"/>
        </w:rPr>
      </w:pPr>
    </w:p>
    <w:p w14:paraId="7C98D691" w14:textId="677B7208" w:rsidR="00865903" w:rsidRDefault="00C43F11" w:rsidP="00865903">
      <w:pPr>
        <w:rPr>
          <w:rFonts w:cs="Arial"/>
        </w:rPr>
      </w:pPr>
      <w:r>
        <w:rPr>
          <w:rFonts w:cs="Arial"/>
        </w:rPr>
        <w:t>Overall</w:t>
      </w:r>
      <w:r w:rsidR="001D11A0">
        <w:rPr>
          <w:rFonts w:cs="Arial"/>
        </w:rPr>
        <w:t>,</w:t>
      </w:r>
      <w:r>
        <w:rPr>
          <w:rFonts w:cs="Arial"/>
        </w:rPr>
        <w:t xml:space="preserve"> the systematic analysis of evaluation quality found that m</w:t>
      </w:r>
      <w:r w:rsidR="00865903" w:rsidRPr="00EF65AE">
        <w:rPr>
          <w:rFonts w:cs="Arial"/>
        </w:rPr>
        <w:t>ost evaluations clearly described their objective and purpose, and many</w:t>
      </w:r>
      <w:r w:rsidR="00865903">
        <w:rPr>
          <w:rFonts w:cs="Arial"/>
        </w:rPr>
        <w:t xml:space="preserve"> had:</w:t>
      </w:r>
    </w:p>
    <w:p w14:paraId="0E6C7BCE" w14:textId="77777777" w:rsidR="00865903" w:rsidRDefault="00865903" w:rsidP="00865903">
      <w:pPr>
        <w:pStyle w:val="ListBullet"/>
      </w:pPr>
      <w:r>
        <w:t>a</w:t>
      </w:r>
      <w:r w:rsidRPr="00EF65AE">
        <w:t xml:space="preserve"> succinct</w:t>
      </w:r>
      <w:r>
        <w:t>,</w:t>
      </w:r>
      <w:r w:rsidRPr="00EF65AE">
        <w:t xml:space="preserve"> but sufficient executive summary</w:t>
      </w:r>
    </w:p>
    <w:p w14:paraId="72D63C83" w14:textId="77777777" w:rsidR="00865903" w:rsidRDefault="00047990" w:rsidP="00865903">
      <w:pPr>
        <w:pStyle w:val="ListBullet"/>
      </w:pPr>
      <w:r>
        <w:t xml:space="preserve">a </w:t>
      </w:r>
      <w:r w:rsidR="00865903" w:rsidRPr="00EF65AE">
        <w:t>good description of context</w:t>
      </w:r>
    </w:p>
    <w:p w14:paraId="1FDC7403" w14:textId="77777777" w:rsidR="00865903" w:rsidRDefault="00865903" w:rsidP="00865903">
      <w:pPr>
        <w:pStyle w:val="ListBullet"/>
      </w:pPr>
      <w:r w:rsidRPr="00EF65AE">
        <w:t>answered evaluation questions posed</w:t>
      </w:r>
    </w:p>
    <w:p w14:paraId="675B6BD5" w14:textId="77777777" w:rsidR="00865903" w:rsidRDefault="00865903" w:rsidP="00865903">
      <w:pPr>
        <w:pStyle w:val="ListBullet"/>
      </w:pPr>
      <w:r w:rsidRPr="00EF65AE">
        <w:t>conclusions</w:t>
      </w:r>
      <w:r w:rsidR="00047990">
        <w:t xml:space="preserve"> logically based on evidence</w:t>
      </w:r>
      <w:r w:rsidRPr="00EF65AE">
        <w:t xml:space="preserve">. </w:t>
      </w:r>
    </w:p>
    <w:p w14:paraId="3944B4ED" w14:textId="77777777" w:rsidR="00865903" w:rsidRDefault="00865903" w:rsidP="00865903">
      <w:r w:rsidRPr="00EF65AE">
        <w:t xml:space="preserve">The areas most in need of improvement were: </w:t>
      </w:r>
    </w:p>
    <w:p w14:paraId="1BDDCD2E" w14:textId="77777777" w:rsidR="00865903" w:rsidRDefault="00865903" w:rsidP="00865903">
      <w:pPr>
        <w:pStyle w:val="ListBullet"/>
      </w:pPr>
      <w:r w:rsidRPr="00EF65AE">
        <w:t xml:space="preserve">ensuring </w:t>
      </w:r>
      <w:r>
        <w:t>the evaluation</w:t>
      </w:r>
      <w:r w:rsidRPr="00EF65AE">
        <w:t xml:space="preserve"> scope was clearly </w:t>
      </w:r>
      <w:r w:rsidR="00047990">
        <w:t>defined</w:t>
      </w:r>
    </w:p>
    <w:p w14:paraId="27151276" w14:textId="77777777" w:rsidR="00865903" w:rsidRDefault="00865903" w:rsidP="00865903">
      <w:pPr>
        <w:pStyle w:val="ListBullet"/>
      </w:pPr>
      <w:r w:rsidRPr="00EF65AE">
        <w:t>appropriateness of methodology and use of sources, including ensuring methods were justified, and explicitly addressed limitations and/or ethical issues.</w:t>
      </w:r>
    </w:p>
    <w:p w14:paraId="6E720DE9" w14:textId="12A2138D" w:rsidR="00047990" w:rsidRDefault="00617249" w:rsidP="001D11A0">
      <w:pPr>
        <w:pStyle w:val="AnnexSubHeading"/>
      </w:pPr>
      <w:bookmarkStart w:id="547" w:name="_Toc23434581"/>
      <w:r>
        <w:t>R</w:t>
      </w:r>
      <w:r w:rsidR="00047990">
        <w:t>ecommendations</w:t>
      </w:r>
      <w:bookmarkEnd w:id="547"/>
    </w:p>
    <w:p w14:paraId="288C83B4" w14:textId="59ECDE1F" w:rsidR="00047990" w:rsidRPr="00EF65AE" w:rsidRDefault="00F03156" w:rsidP="00047990">
      <w:pPr>
        <w:pStyle w:val="ListBullet"/>
        <w:numPr>
          <w:ilvl w:val="0"/>
          <w:numId w:val="0"/>
        </w:numPr>
      </w:pPr>
      <w:r>
        <w:rPr>
          <w:rFonts w:cs="Arial"/>
        </w:rPr>
        <w:t>Figure 14</w:t>
      </w:r>
      <w:r w:rsidR="00047990">
        <w:rPr>
          <w:rFonts w:cs="Arial"/>
        </w:rPr>
        <w:t xml:space="preserve"> </w:t>
      </w:r>
      <w:r w:rsidR="00047990" w:rsidRPr="00EF65AE">
        <w:rPr>
          <w:rFonts w:cs="Arial"/>
        </w:rPr>
        <w:t xml:space="preserve">shows the average </w:t>
      </w:r>
      <w:r w:rsidR="00047990">
        <w:rPr>
          <w:rFonts w:cs="Arial"/>
        </w:rPr>
        <w:t>ratings</w:t>
      </w:r>
      <w:r w:rsidR="00047990" w:rsidRPr="00EF65AE">
        <w:rPr>
          <w:rFonts w:cs="Arial"/>
        </w:rPr>
        <w:t xml:space="preserve"> for each criterion across the evaluations reviewed</w:t>
      </w:r>
      <w:r w:rsidR="00617249">
        <w:rPr>
          <w:rFonts w:cs="Arial"/>
        </w:rPr>
        <w:t>.</w:t>
      </w:r>
    </w:p>
    <w:p w14:paraId="31A56523" w14:textId="6652CCB0" w:rsidR="00EF65AE" w:rsidRPr="00EF65AE" w:rsidRDefault="00862EAB" w:rsidP="00862EAB">
      <w:pPr>
        <w:pStyle w:val="Caption"/>
        <w:rPr>
          <w:rFonts w:cs="Arial"/>
        </w:rPr>
      </w:pPr>
      <w:bookmarkStart w:id="548" w:name="_Toc23434596"/>
      <w:r>
        <w:t xml:space="preserve">Figure </w:t>
      </w:r>
      <w:fldSimple w:instr=" SEQ Figure \* ARABIC ">
        <w:r w:rsidR="00760839">
          <w:rPr>
            <w:noProof/>
          </w:rPr>
          <w:t>14</w:t>
        </w:r>
      </w:fldSimple>
      <w:r>
        <w:t>:</w:t>
      </w:r>
      <w:r w:rsidR="00EF65AE" w:rsidRPr="00EF65AE">
        <w:rPr>
          <w:rFonts w:cs="Arial"/>
        </w:rPr>
        <w:t xml:space="preserve"> Evaluation quality assessment</w:t>
      </w:r>
      <w:bookmarkEnd w:id="548"/>
      <w:r w:rsidR="00EF65AE" w:rsidRPr="00EF65AE">
        <w:rPr>
          <w:rFonts w:cs="Arial"/>
        </w:rPr>
        <w:t xml:space="preserve"> </w:t>
      </w:r>
    </w:p>
    <w:p w14:paraId="3125B3E7" w14:textId="75930C2F" w:rsidR="00EF65AE" w:rsidRDefault="00880251" w:rsidP="00EF65AE">
      <w:pPr>
        <w:rPr>
          <w:rFonts w:cs="Arial"/>
        </w:rPr>
      </w:pPr>
      <w:r>
        <w:rPr>
          <w:rFonts w:cs="Arial"/>
          <w:noProof/>
          <w:lang w:eastAsia="en-AU"/>
        </w:rPr>
        <w:drawing>
          <wp:inline distT="0" distB="0" distL="0" distR="0" wp14:anchorId="25475F56" wp14:editId="3662CE07">
            <wp:extent cx="6120130" cy="3146425"/>
            <wp:effectExtent l="0" t="0" r="1270" b="3175"/>
            <wp:docPr id="18" name="Picture 18" descr="Figure 14 is a spider chart showing the average ratings for each criteria used to assess the quality of the evaluations reviewed. &#10;&#10;Performance is weak for methodology, use of monitoring and evaluation data, scope and recommendations. &#10;&#10;Ratings are highest for purpose and conclusions draw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6819 Figure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3146425"/>
                    </a:xfrm>
                    <a:prstGeom prst="rect">
                      <a:avLst/>
                    </a:prstGeom>
                  </pic:spPr>
                </pic:pic>
              </a:graphicData>
            </a:graphic>
          </wp:inline>
        </w:drawing>
      </w:r>
    </w:p>
    <w:p w14:paraId="0E7363A3" w14:textId="3E5FC882" w:rsidR="00047990" w:rsidRPr="00EF65AE" w:rsidRDefault="00047990" w:rsidP="00EF65AE">
      <w:pPr>
        <w:rPr>
          <w:rFonts w:cs="Arial"/>
        </w:rPr>
      </w:pPr>
      <w:r>
        <w:rPr>
          <w:rFonts w:cs="Arial"/>
        </w:rPr>
        <w:t>Stronger ratings are those further from the centre</w:t>
      </w:r>
      <w:r w:rsidR="00617249">
        <w:rPr>
          <w:rFonts w:cs="Arial"/>
        </w:rPr>
        <w:t>.</w:t>
      </w:r>
    </w:p>
    <w:p w14:paraId="7BC218F6" w14:textId="327C52CD" w:rsidR="00AC2DEE" w:rsidRDefault="00EF65AE" w:rsidP="00EF65AE">
      <w:pPr>
        <w:rPr>
          <w:rFonts w:cs="Arial"/>
        </w:rPr>
      </w:pPr>
      <w:r w:rsidRPr="00EF65AE">
        <w:rPr>
          <w:rFonts w:cs="Arial"/>
        </w:rPr>
        <w:t xml:space="preserve">To date, </w:t>
      </w:r>
      <w:r w:rsidR="00AC2DEE">
        <w:rPr>
          <w:rFonts w:cs="Arial"/>
        </w:rPr>
        <w:t>monitoring and evaluation</w:t>
      </w:r>
      <w:r w:rsidR="001D11A0">
        <w:rPr>
          <w:rFonts w:cs="Arial"/>
        </w:rPr>
        <w:t xml:space="preserve"> (M&amp;E)</w:t>
      </w:r>
      <w:r w:rsidRPr="00EF65AE">
        <w:rPr>
          <w:rFonts w:cs="Arial"/>
        </w:rPr>
        <w:t xml:space="preserve"> efforts ha</w:t>
      </w:r>
      <w:r w:rsidR="001D11A0">
        <w:rPr>
          <w:rFonts w:cs="Arial"/>
        </w:rPr>
        <w:t>ve</w:t>
      </w:r>
      <w:r w:rsidRPr="00EF65AE">
        <w:rPr>
          <w:rFonts w:cs="Arial"/>
        </w:rPr>
        <w:t xml:space="preserve"> </w:t>
      </w:r>
      <w:r w:rsidR="00E12418">
        <w:rPr>
          <w:rFonts w:cs="Arial"/>
        </w:rPr>
        <w:t>focused</w:t>
      </w:r>
      <w:r w:rsidRPr="00EF65AE">
        <w:rPr>
          <w:rFonts w:cs="Arial"/>
        </w:rPr>
        <w:t xml:space="preserve"> on process evaluations. While these studies provided useful and relevant assessments of program advances, as well as recommendations for future directions, they did not address program effectiveness or impact. </w:t>
      </w:r>
    </w:p>
    <w:p w14:paraId="604490C6" w14:textId="181B1560" w:rsidR="00EF65AE" w:rsidRPr="00EF65AE" w:rsidRDefault="00EF65AE" w:rsidP="00EF65AE">
      <w:pPr>
        <w:rPr>
          <w:rFonts w:cs="Arial"/>
        </w:rPr>
      </w:pPr>
      <w:r w:rsidRPr="00EF65AE">
        <w:rPr>
          <w:rFonts w:cs="Arial"/>
        </w:rPr>
        <w:t xml:space="preserve">Almost all evaluations reviewed used qualitative methods and were commissioned at the end of the program cycle, without baseline data against which to compare results. In most cases it was not possible to infer actual changes resulting from the program </w:t>
      </w:r>
      <w:r w:rsidR="00E12418">
        <w:rPr>
          <w:rFonts w:cs="Arial"/>
        </w:rPr>
        <w:t>against</w:t>
      </w:r>
      <w:r w:rsidRPr="00EF65AE">
        <w:rPr>
          <w:rFonts w:cs="Arial"/>
        </w:rPr>
        <w:t xml:space="preserve"> stated outcome indicators, such as changes in attitudes or behaviours, or impact indicators</w:t>
      </w:r>
      <w:r w:rsidR="006B1164">
        <w:rPr>
          <w:rFonts w:cs="Arial"/>
        </w:rPr>
        <w:t xml:space="preserve"> (that is,</w:t>
      </w:r>
      <w:r w:rsidRPr="00EF65AE">
        <w:rPr>
          <w:rFonts w:cs="Arial"/>
        </w:rPr>
        <w:t xml:space="preserve"> reductions in violence</w:t>
      </w:r>
      <w:r w:rsidR="006B1164">
        <w:rPr>
          <w:rFonts w:cs="Arial"/>
        </w:rPr>
        <w:t>)</w:t>
      </w:r>
      <w:r w:rsidRPr="00EF65AE">
        <w:rPr>
          <w:rFonts w:cs="Arial"/>
        </w:rPr>
        <w:t xml:space="preserve">. The </w:t>
      </w:r>
      <w:r w:rsidR="00AC2DEE">
        <w:rPr>
          <w:rFonts w:cs="Arial"/>
        </w:rPr>
        <w:t xml:space="preserve">process </w:t>
      </w:r>
      <w:r w:rsidRPr="00EF65AE">
        <w:rPr>
          <w:rFonts w:cs="Arial"/>
        </w:rPr>
        <w:t>evaluations focus</w:t>
      </w:r>
      <w:r w:rsidR="00AC2DEE">
        <w:rPr>
          <w:rFonts w:cs="Arial"/>
        </w:rPr>
        <w:t>ed</w:t>
      </w:r>
      <w:r w:rsidRPr="00EF65AE">
        <w:rPr>
          <w:rFonts w:cs="Arial"/>
        </w:rPr>
        <w:t xml:space="preserve"> largely on process indicators</w:t>
      </w:r>
      <w:r w:rsidR="006B1164">
        <w:rPr>
          <w:rFonts w:cs="Arial"/>
        </w:rPr>
        <w:t xml:space="preserve"> (that is,</w:t>
      </w:r>
      <w:r w:rsidRPr="00EF65AE">
        <w:rPr>
          <w:rFonts w:cs="Arial"/>
        </w:rPr>
        <w:t xml:space="preserve"> </w:t>
      </w:r>
      <w:r w:rsidR="008B0402">
        <w:rPr>
          <w:rFonts w:cs="Arial"/>
        </w:rPr>
        <w:t>if</w:t>
      </w:r>
      <w:r w:rsidR="008B0402" w:rsidRPr="00EF65AE">
        <w:rPr>
          <w:rFonts w:cs="Arial"/>
        </w:rPr>
        <w:t xml:space="preserve"> </w:t>
      </w:r>
      <w:r w:rsidRPr="00EF65AE">
        <w:rPr>
          <w:rFonts w:cs="Arial"/>
        </w:rPr>
        <w:t xml:space="preserve">activities were carried out as planned, rather than </w:t>
      </w:r>
      <w:r w:rsidR="008B0402">
        <w:rPr>
          <w:rFonts w:cs="Arial"/>
        </w:rPr>
        <w:t>if</w:t>
      </w:r>
      <w:r w:rsidR="008B0402" w:rsidRPr="00EF65AE">
        <w:rPr>
          <w:rFonts w:cs="Arial"/>
        </w:rPr>
        <w:t xml:space="preserve"> </w:t>
      </w:r>
      <w:r w:rsidRPr="00EF65AE">
        <w:rPr>
          <w:rFonts w:cs="Arial"/>
        </w:rPr>
        <w:t>the expected impact was achieved</w:t>
      </w:r>
      <w:r w:rsidR="006B1164">
        <w:rPr>
          <w:rFonts w:cs="Arial"/>
        </w:rPr>
        <w:t>—</w:t>
      </w:r>
      <w:r w:rsidRPr="00EF65AE">
        <w:rPr>
          <w:rFonts w:cs="Arial"/>
        </w:rPr>
        <w:t>outputs not outcomes).</w:t>
      </w:r>
      <w:r w:rsidRPr="00EF65AE">
        <w:rPr>
          <w:rFonts w:cs="Arial"/>
          <w:b/>
        </w:rPr>
        <w:t xml:space="preserve"> </w:t>
      </w:r>
    </w:p>
    <w:p w14:paraId="4172DC10" w14:textId="77777777" w:rsidR="00EF65AE" w:rsidRPr="00EF65AE" w:rsidRDefault="00EF65AE" w:rsidP="00EF65AE">
      <w:pPr>
        <w:rPr>
          <w:rFonts w:cs="Arial"/>
        </w:rPr>
      </w:pPr>
      <w:r w:rsidRPr="00EF65AE">
        <w:rPr>
          <w:rFonts w:cs="Arial"/>
        </w:rPr>
        <w:t xml:space="preserve">While considerable progress has been made since 2008, both in producing relevant evidence for policy and programs, and </w:t>
      </w:r>
      <w:r w:rsidR="00E12418">
        <w:rPr>
          <w:rFonts w:cs="Arial"/>
        </w:rPr>
        <w:t>M&amp;E of</w:t>
      </w:r>
      <w:r w:rsidRPr="00EF65AE">
        <w:rPr>
          <w:rFonts w:cs="Arial"/>
        </w:rPr>
        <w:t xml:space="preserve"> EVAWG programming, more work is needed to understand the effectiveness of programs. </w:t>
      </w:r>
    </w:p>
    <w:p w14:paraId="6E712D5F" w14:textId="77777777" w:rsidR="00EF65AE" w:rsidRPr="00EF65AE" w:rsidRDefault="00EF65AE" w:rsidP="00BE3968">
      <w:pPr>
        <w:pStyle w:val="AnnexHeading"/>
        <w:rPr>
          <w:noProof/>
        </w:rPr>
      </w:pPr>
      <w:bookmarkStart w:id="549" w:name="_Toc14959637"/>
      <w:bookmarkStart w:id="550" w:name="_Toc15378155"/>
      <w:bookmarkStart w:id="551" w:name="_Toc15378504"/>
      <w:bookmarkStart w:id="552" w:name="_Toc15563045"/>
      <w:bookmarkStart w:id="553" w:name="_Toc23434582"/>
      <w:r w:rsidRPr="00EF65AE">
        <w:rPr>
          <w:noProof/>
        </w:rPr>
        <w:t>H</w:t>
      </w:r>
      <w:r w:rsidR="004F0C71">
        <w:rPr>
          <w:noProof/>
        </w:rPr>
        <w:t>umanitarian assistance</w:t>
      </w:r>
      <w:bookmarkEnd w:id="485"/>
      <w:bookmarkEnd w:id="486"/>
      <w:bookmarkEnd w:id="487"/>
      <w:bookmarkEnd w:id="549"/>
      <w:bookmarkEnd w:id="550"/>
      <w:bookmarkEnd w:id="551"/>
      <w:bookmarkEnd w:id="552"/>
      <w:bookmarkEnd w:id="553"/>
    </w:p>
    <w:p w14:paraId="06E6945E" w14:textId="77777777" w:rsidR="00CA5150" w:rsidRDefault="00D067A4" w:rsidP="00EF65AE">
      <w:pPr>
        <w:rPr>
          <w:rFonts w:cs="Arial"/>
          <w:lang w:val="en-GB"/>
        </w:rPr>
      </w:pPr>
      <w:r w:rsidRPr="00EF65AE">
        <w:rPr>
          <w:rFonts w:cs="Arial"/>
          <w:lang w:val="en-GB"/>
        </w:rPr>
        <w:t xml:space="preserve">Violence against women and girls can be exacerbated in times of conflict or disaster, making dedicated financial, technical and political resources crucial to ensuring it is recognised and addressed effectively. </w:t>
      </w:r>
    </w:p>
    <w:p w14:paraId="56D6A18E" w14:textId="22F7CC81" w:rsidR="002C4169" w:rsidRDefault="009026FF" w:rsidP="00EF65AE">
      <w:pPr>
        <w:rPr>
          <w:rFonts w:cs="Arial"/>
          <w:lang w:val="en-GB"/>
        </w:rPr>
      </w:pPr>
      <w:r>
        <w:rPr>
          <w:rFonts w:cs="Arial"/>
          <w:lang w:val="en-GB"/>
        </w:rPr>
        <w:t xml:space="preserve">A thorough analysis </w:t>
      </w:r>
      <w:r w:rsidR="002C4169">
        <w:rPr>
          <w:rFonts w:cs="Arial"/>
          <w:lang w:val="en-GB"/>
        </w:rPr>
        <w:t xml:space="preserve">of Australian support for </w:t>
      </w:r>
      <w:r w:rsidR="00E12418">
        <w:rPr>
          <w:rFonts w:cs="Arial"/>
          <w:lang w:val="en-GB"/>
        </w:rPr>
        <w:t>ending violence against women and girls (</w:t>
      </w:r>
      <w:r w:rsidR="00EF65AE" w:rsidRPr="00EF65AE">
        <w:rPr>
          <w:rFonts w:cs="Arial"/>
          <w:lang w:val="en-GB"/>
        </w:rPr>
        <w:t>EVAWG</w:t>
      </w:r>
      <w:r w:rsidR="00E12418">
        <w:rPr>
          <w:rFonts w:cs="Arial"/>
          <w:lang w:val="en-GB"/>
        </w:rPr>
        <w:t>)</w:t>
      </w:r>
      <w:r w:rsidR="00EF65AE" w:rsidRPr="00EF65AE">
        <w:rPr>
          <w:rFonts w:cs="Arial"/>
          <w:lang w:val="en-GB"/>
        </w:rPr>
        <w:t xml:space="preserve"> </w:t>
      </w:r>
      <w:r w:rsidR="00747258">
        <w:rPr>
          <w:rFonts w:cs="Arial"/>
          <w:lang w:val="en-GB"/>
        </w:rPr>
        <w:br/>
      </w:r>
      <w:r w:rsidR="00EF65AE" w:rsidRPr="00EF65AE">
        <w:rPr>
          <w:rFonts w:cs="Arial"/>
          <w:lang w:val="en-GB"/>
        </w:rPr>
        <w:t>in humanitarian contexts</w:t>
      </w:r>
      <w:r w:rsidR="002C4169">
        <w:rPr>
          <w:rFonts w:cs="Arial"/>
          <w:lang w:val="en-GB"/>
        </w:rPr>
        <w:t xml:space="preserve"> </w:t>
      </w:r>
      <w:r w:rsidR="00D067A4">
        <w:rPr>
          <w:rFonts w:cs="Arial"/>
          <w:lang w:val="en-GB"/>
        </w:rPr>
        <w:t>was not within the sco</w:t>
      </w:r>
      <w:r>
        <w:rPr>
          <w:rFonts w:cs="Arial"/>
          <w:lang w:val="en-GB"/>
        </w:rPr>
        <w:t xml:space="preserve">pe of this evaluation. The evaluation </w:t>
      </w:r>
      <w:r w:rsidR="002C4169">
        <w:rPr>
          <w:rFonts w:cs="Arial"/>
          <w:lang w:val="en-GB"/>
        </w:rPr>
        <w:t xml:space="preserve">did, </w:t>
      </w:r>
      <w:r w:rsidR="00747258">
        <w:rPr>
          <w:rFonts w:cs="Arial"/>
          <w:lang w:val="en-GB"/>
        </w:rPr>
        <w:br/>
      </w:r>
      <w:r w:rsidR="002C4169">
        <w:rPr>
          <w:rFonts w:cs="Arial"/>
          <w:lang w:val="en-GB"/>
        </w:rPr>
        <w:t>however</w:t>
      </w:r>
      <w:r w:rsidR="00747258">
        <w:rPr>
          <w:rFonts w:cs="Arial"/>
          <w:lang w:val="en-GB"/>
        </w:rPr>
        <w:t>,</w:t>
      </w:r>
      <w:r w:rsidR="002C4169">
        <w:rPr>
          <w:rFonts w:cs="Arial"/>
          <w:lang w:val="en-GB"/>
        </w:rPr>
        <w:t xml:space="preserve"> include:</w:t>
      </w:r>
    </w:p>
    <w:p w14:paraId="0300A266" w14:textId="77777777" w:rsidR="009026FF" w:rsidRPr="002C4169" w:rsidRDefault="00CD7F96" w:rsidP="008F61F7">
      <w:pPr>
        <w:pStyle w:val="ListBullet"/>
        <w:rPr>
          <w:lang w:val="en-GB"/>
        </w:rPr>
      </w:pPr>
      <w:r>
        <w:rPr>
          <w:lang w:val="en-GB"/>
        </w:rPr>
        <w:t>a</w:t>
      </w:r>
      <w:r w:rsidR="002C4169">
        <w:rPr>
          <w:lang w:val="en-GB"/>
        </w:rPr>
        <w:t xml:space="preserve"> </w:t>
      </w:r>
      <w:r w:rsidR="009026FF" w:rsidRPr="002C4169">
        <w:rPr>
          <w:lang w:val="en-GB"/>
        </w:rPr>
        <w:t xml:space="preserve">limited review of </w:t>
      </w:r>
      <w:r w:rsidR="00D067A4" w:rsidRPr="002C4169">
        <w:rPr>
          <w:lang w:val="en-GB"/>
        </w:rPr>
        <w:t>policy commitments</w:t>
      </w:r>
    </w:p>
    <w:p w14:paraId="4A62E66A" w14:textId="77777777" w:rsidR="009026FF" w:rsidRDefault="009026FF" w:rsidP="009026FF">
      <w:pPr>
        <w:pStyle w:val="ListBullet"/>
        <w:rPr>
          <w:lang w:val="en-GB"/>
        </w:rPr>
      </w:pPr>
      <w:r w:rsidRPr="00EF65AE">
        <w:rPr>
          <w:lang w:val="en-GB"/>
        </w:rPr>
        <w:t xml:space="preserve">secondary analysis of </w:t>
      </w:r>
      <w:r>
        <w:rPr>
          <w:lang w:val="en-GB"/>
        </w:rPr>
        <w:t xml:space="preserve">some of </w:t>
      </w:r>
      <w:r w:rsidR="00CD7F96">
        <w:rPr>
          <w:lang w:val="en-GB"/>
        </w:rPr>
        <w:t>the Department of Foreign Affairs and Trade</w:t>
      </w:r>
      <w:r w:rsidRPr="00EF65AE">
        <w:rPr>
          <w:lang w:val="en-GB"/>
        </w:rPr>
        <w:t xml:space="preserve">’s </w:t>
      </w:r>
      <w:r w:rsidR="00CD7F96">
        <w:rPr>
          <w:lang w:val="en-GB"/>
        </w:rPr>
        <w:t xml:space="preserve">(DFAT) </w:t>
      </w:r>
      <w:r w:rsidRPr="00EF65AE">
        <w:rPr>
          <w:lang w:val="en-GB"/>
        </w:rPr>
        <w:t>humanitarian investments with a targeted EVAWG component (45 investments)</w:t>
      </w:r>
    </w:p>
    <w:p w14:paraId="4F2E55AA" w14:textId="77777777" w:rsidR="009026FF" w:rsidRDefault="002C4169" w:rsidP="009026FF">
      <w:pPr>
        <w:pStyle w:val="ListBullet"/>
        <w:rPr>
          <w:lang w:val="en-GB"/>
        </w:rPr>
      </w:pPr>
      <w:r>
        <w:rPr>
          <w:lang w:val="en-GB"/>
        </w:rPr>
        <w:t>document</w:t>
      </w:r>
      <w:r w:rsidR="009026FF" w:rsidRPr="00EF65AE">
        <w:rPr>
          <w:lang w:val="en-GB"/>
        </w:rPr>
        <w:t xml:space="preserve"> review (22 documents including seven evaluations)</w:t>
      </w:r>
    </w:p>
    <w:p w14:paraId="3F992D7B" w14:textId="77777777" w:rsidR="009026FF" w:rsidRPr="00EF65AE" w:rsidRDefault="009026FF" w:rsidP="009026FF">
      <w:pPr>
        <w:pStyle w:val="ListBullet"/>
        <w:rPr>
          <w:lang w:val="en-GB"/>
        </w:rPr>
      </w:pPr>
      <w:r w:rsidRPr="00EF65AE">
        <w:rPr>
          <w:lang w:val="en-GB"/>
        </w:rPr>
        <w:t xml:space="preserve">qualitative analysis </w:t>
      </w:r>
      <w:r w:rsidR="002C4169">
        <w:rPr>
          <w:lang w:val="en-GB"/>
        </w:rPr>
        <w:t xml:space="preserve">of data from stakeholder interviews </w:t>
      </w:r>
      <w:r w:rsidRPr="00EF65AE">
        <w:rPr>
          <w:lang w:val="en-GB"/>
        </w:rPr>
        <w:t xml:space="preserve">(26 interviews across </w:t>
      </w:r>
      <w:r w:rsidR="009B09F4">
        <w:rPr>
          <w:lang w:val="en-GB"/>
        </w:rPr>
        <w:t>seven</w:t>
      </w:r>
      <w:r w:rsidRPr="00EF65AE">
        <w:rPr>
          <w:lang w:val="en-GB"/>
        </w:rPr>
        <w:t xml:space="preserve"> countries). </w:t>
      </w:r>
    </w:p>
    <w:p w14:paraId="72728F89" w14:textId="77777777" w:rsidR="00EF65AE" w:rsidRPr="00EF65AE" w:rsidRDefault="00EF65AE" w:rsidP="00EF65AE">
      <w:pPr>
        <w:rPr>
          <w:rFonts w:cs="Arial"/>
          <w:lang w:val="en-GB"/>
        </w:rPr>
      </w:pPr>
      <w:r w:rsidRPr="00EF65AE">
        <w:rPr>
          <w:rFonts w:cs="Arial"/>
          <w:lang w:val="en-GB"/>
        </w:rPr>
        <w:t xml:space="preserve">This </w:t>
      </w:r>
      <w:r w:rsidR="00E12418">
        <w:rPr>
          <w:rFonts w:cs="Arial"/>
          <w:lang w:val="en-GB"/>
        </w:rPr>
        <w:t>a</w:t>
      </w:r>
      <w:r w:rsidR="00F41BE4">
        <w:rPr>
          <w:rFonts w:cs="Arial"/>
          <w:lang w:val="en-GB"/>
        </w:rPr>
        <w:t xml:space="preserve">nnex </w:t>
      </w:r>
      <w:r w:rsidRPr="00EF65AE">
        <w:rPr>
          <w:rFonts w:cs="Arial"/>
          <w:lang w:val="en-GB"/>
        </w:rPr>
        <w:t>summarise</w:t>
      </w:r>
      <w:r w:rsidR="009026FF">
        <w:rPr>
          <w:rFonts w:cs="Arial"/>
          <w:lang w:val="en-GB"/>
        </w:rPr>
        <w:t>s</w:t>
      </w:r>
      <w:r w:rsidRPr="00EF65AE">
        <w:rPr>
          <w:rFonts w:cs="Arial"/>
          <w:lang w:val="en-GB"/>
        </w:rPr>
        <w:t xml:space="preserve"> </w:t>
      </w:r>
      <w:r w:rsidR="009026FF">
        <w:rPr>
          <w:rFonts w:cs="Arial"/>
          <w:lang w:val="en-GB"/>
        </w:rPr>
        <w:t>findings</w:t>
      </w:r>
      <w:r w:rsidRPr="00EF65AE">
        <w:rPr>
          <w:rFonts w:cs="Arial"/>
          <w:lang w:val="en-GB"/>
        </w:rPr>
        <w:t xml:space="preserve"> that may be helpful in framing future evaluations specific to humanitarian EVAWG programming.</w:t>
      </w:r>
    </w:p>
    <w:p w14:paraId="2FF98264" w14:textId="77777777" w:rsidR="00E12418" w:rsidRDefault="00EF65AE" w:rsidP="00EF65AE">
      <w:pPr>
        <w:rPr>
          <w:rFonts w:cs="Arial"/>
          <w:lang w:val="en-GB"/>
        </w:rPr>
      </w:pPr>
      <w:r w:rsidRPr="00EF65AE">
        <w:rPr>
          <w:rFonts w:cs="Arial"/>
          <w:lang w:val="en-GB"/>
        </w:rPr>
        <w:t xml:space="preserve">DFAT’s </w:t>
      </w:r>
      <w:r w:rsidRPr="009B09F4">
        <w:rPr>
          <w:rFonts w:cs="Arial"/>
          <w:i/>
          <w:lang w:val="en-GB"/>
        </w:rPr>
        <w:t>Humanitarian</w:t>
      </w:r>
      <w:r w:rsidRPr="00CD7F96">
        <w:rPr>
          <w:rFonts w:cs="Arial"/>
          <w:i/>
          <w:lang w:val="en-GB"/>
        </w:rPr>
        <w:t xml:space="preserve"> Strategy</w:t>
      </w:r>
      <w:r w:rsidRPr="00EF65AE">
        <w:rPr>
          <w:rFonts w:cs="Arial"/>
          <w:lang w:val="en-GB"/>
        </w:rPr>
        <w:t xml:space="preserve"> </w:t>
      </w:r>
      <w:r w:rsidR="00BD504C">
        <w:rPr>
          <w:rFonts w:cs="Arial"/>
          <w:lang w:val="en-GB"/>
        </w:rPr>
        <w:t>supports</w:t>
      </w:r>
      <w:r w:rsidRPr="00EF65AE">
        <w:rPr>
          <w:rFonts w:cs="Arial"/>
          <w:lang w:val="en-GB"/>
        </w:rPr>
        <w:t xml:space="preserve"> Australia’s aid policy commitments to EVAWG. It states tha</w:t>
      </w:r>
      <w:r w:rsidR="00E12418">
        <w:rPr>
          <w:rFonts w:cs="Arial"/>
          <w:lang w:val="en-GB"/>
        </w:rPr>
        <w:t>t:</w:t>
      </w:r>
    </w:p>
    <w:p w14:paraId="120C077B" w14:textId="77777777" w:rsidR="00E12418" w:rsidRPr="008F61F7" w:rsidRDefault="00EF65AE" w:rsidP="008F61F7">
      <w:pPr>
        <w:pStyle w:val="ListParagraph"/>
        <w:rPr>
          <w:lang w:val="en-GB"/>
        </w:rPr>
      </w:pPr>
      <w:r w:rsidRPr="00EF65AE">
        <w:rPr>
          <w:lang w:val="en-GB"/>
        </w:rPr>
        <w:t>The empowerment of women and girls is a priority in the Government’s aid policy, which also requires more than 80 per cent of investments effectively address gender issues.</w:t>
      </w:r>
      <w:r w:rsidRPr="0091226A">
        <w:rPr>
          <w:rStyle w:val="FootnoteReference"/>
        </w:rPr>
        <w:footnoteReference w:id="16"/>
      </w:r>
      <w:r w:rsidRPr="00EF65AE">
        <w:rPr>
          <w:vertAlign w:val="superscript"/>
          <w:lang w:val="en-GB"/>
        </w:rPr>
        <w:t xml:space="preserve"> </w:t>
      </w:r>
    </w:p>
    <w:p w14:paraId="7287A24B" w14:textId="77777777" w:rsidR="00EF65AE" w:rsidRPr="00EF65AE" w:rsidRDefault="00EF65AE" w:rsidP="00EF65AE">
      <w:pPr>
        <w:rPr>
          <w:rFonts w:cs="Arial"/>
          <w:lang w:val="en-GB"/>
        </w:rPr>
      </w:pPr>
      <w:r w:rsidRPr="00EF65AE">
        <w:rPr>
          <w:rFonts w:cs="Arial"/>
          <w:lang w:val="en-GB"/>
        </w:rPr>
        <w:t xml:space="preserve">At the World Humanitarian Summit (May 2016), the Australian Government reaffirmed its commitment to the </w:t>
      </w:r>
      <w:r w:rsidRPr="00CD7F96">
        <w:rPr>
          <w:rFonts w:cs="Arial"/>
          <w:lang w:val="en-GB"/>
        </w:rPr>
        <w:t xml:space="preserve">Call to Action on Protection from </w:t>
      </w:r>
      <w:r w:rsidR="00E12418" w:rsidRPr="00CD7F96">
        <w:rPr>
          <w:rFonts w:cs="Arial"/>
          <w:lang w:val="en-GB"/>
        </w:rPr>
        <w:t>Gender-</w:t>
      </w:r>
      <w:r w:rsidR="00506017">
        <w:rPr>
          <w:rFonts w:cs="Arial"/>
          <w:lang w:val="en-GB"/>
        </w:rPr>
        <w:t>B</w:t>
      </w:r>
      <w:r w:rsidR="00E12418" w:rsidRPr="00CD7F96">
        <w:rPr>
          <w:rFonts w:cs="Arial"/>
          <w:lang w:val="en-GB"/>
        </w:rPr>
        <w:t xml:space="preserve">ased </w:t>
      </w:r>
      <w:r w:rsidR="00506017">
        <w:rPr>
          <w:rFonts w:cs="Arial"/>
          <w:lang w:val="en-GB"/>
        </w:rPr>
        <w:t>V</w:t>
      </w:r>
      <w:r w:rsidR="00E12418" w:rsidRPr="00CD7F96">
        <w:rPr>
          <w:rFonts w:cs="Arial"/>
          <w:lang w:val="en-GB"/>
        </w:rPr>
        <w:t>iolence</w:t>
      </w:r>
      <w:r w:rsidRPr="00CD7F96">
        <w:rPr>
          <w:rFonts w:cs="Arial"/>
          <w:lang w:val="en-GB"/>
        </w:rPr>
        <w:t xml:space="preserve"> in Emergencies</w:t>
      </w:r>
      <w:r w:rsidRPr="00EF65AE">
        <w:rPr>
          <w:rFonts w:cs="Arial"/>
          <w:lang w:val="en-GB"/>
        </w:rPr>
        <w:t xml:space="preserve"> and encouraged other states to join. Australian policies have underpinned an increasingly intersectional approach to humanitarian work, notably through the Charter on Inclusion of Persons with Disabilities in Humanitarian Action. </w:t>
      </w:r>
    </w:p>
    <w:p w14:paraId="586A0251" w14:textId="6A7C760D" w:rsidR="00EF65AE" w:rsidRPr="00EF65AE" w:rsidRDefault="00EF65AE" w:rsidP="00EF65AE">
      <w:pPr>
        <w:rPr>
          <w:rFonts w:cs="Arial"/>
          <w:lang w:val="en-GB"/>
        </w:rPr>
      </w:pPr>
      <w:r w:rsidRPr="00EF65AE">
        <w:rPr>
          <w:rFonts w:cs="Arial"/>
          <w:lang w:val="en-GB"/>
        </w:rPr>
        <w:t xml:space="preserve">Australia’s global importance as a donor for international humanitarian assistance increases the impact of such commitments. In 2017, Australia </w:t>
      </w:r>
      <w:r w:rsidR="00F41BE4">
        <w:rPr>
          <w:rFonts w:cs="Arial"/>
          <w:lang w:val="en-GB"/>
        </w:rPr>
        <w:t>provided</w:t>
      </w:r>
      <w:r w:rsidRPr="00EF65AE">
        <w:rPr>
          <w:rFonts w:cs="Arial"/>
          <w:lang w:val="en-GB"/>
        </w:rPr>
        <w:t xml:space="preserve"> approximately $420 million</w:t>
      </w:r>
      <w:r w:rsidRPr="0091226A">
        <w:rPr>
          <w:rStyle w:val="FootnoteReference"/>
        </w:rPr>
        <w:footnoteReference w:id="17"/>
      </w:r>
      <w:r w:rsidR="00F41BE4">
        <w:rPr>
          <w:rFonts w:cs="Arial"/>
          <w:lang w:val="en-GB"/>
        </w:rPr>
        <w:t xml:space="preserve"> in humanitarian assistance</w:t>
      </w:r>
      <w:r w:rsidR="001D11A0">
        <w:rPr>
          <w:rFonts w:cs="Arial"/>
          <w:lang w:val="en-GB"/>
        </w:rPr>
        <w:t>,</w:t>
      </w:r>
      <w:r w:rsidRPr="00EF65AE">
        <w:rPr>
          <w:rFonts w:cs="Arial"/>
          <w:lang w:val="en-GB"/>
        </w:rPr>
        <w:t xml:space="preserve"> placing it among the top 20 government and E</w:t>
      </w:r>
      <w:r w:rsidR="00E12418">
        <w:rPr>
          <w:rFonts w:cs="Arial"/>
          <w:lang w:val="en-GB"/>
        </w:rPr>
        <w:t xml:space="preserve">uropean </w:t>
      </w:r>
      <w:r w:rsidRPr="00EF65AE">
        <w:rPr>
          <w:rFonts w:cs="Arial"/>
          <w:lang w:val="en-GB"/>
        </w:rPr>
        <w:t>U</w:t>
      </w:r>
      <w:r w:rsidR="00E12418">
        <w:rPr>
          <w:rFonts w:cs="Arial"/>
          <w:lang w:val="en-GB"/>
        </w:rPr>
        <w:t>nion</w:t>
      </w:r>
      <w:r w:rsidRPr="00EF65AE">
        <w:rPr>
          <w:rFonts w:cs="Arial"/>
          <w:lang w:val="en-GB"/>
        </w:rPr>
        <w:t xml:space="preserve"> donors.</w:t>
      </w:r>
      <w:r w:rsidRPr="0091226A">
        <w:rPr>
          <w:rStyle w:val="FootnoteReference"/>
        </w:rPr>
        <w:footnoteReference w:id="18"/>
      </w:r>
      <w:r w:rsidRPr="00EF65AE">
        <w:rPr>
          <w:rFonts w:cs="Arial"/>
          <w:lang w:val="en-GB"/>
        </w:rPr>
        <w:t xml:space="preserve"> Gender equality and women’s empowerment is one of five thematic priorities identified as being central to the efficacy of the humanitarian aid Australia provides.</w:t>
      </w:r>
    </w:p>
    <w:p w14:paraId="75E7CCFE" w14:textId="033B4319" w:rsidR="00FC2BD3" w:rsidRDefault="00EF65AE" w:rsidP="00EF65AE">
      <w:pPr>
        <w:rPr>
          <w:rFonts w:cs="Arial"/>
          <w:lang w:val="en-GB"/>
        </w:rPr>
      </w:pPr>
      <w:r w:rsidRPr="00EF65AE">
        <w:rPr>
          <w:rFonts w:cs="Arial"/>
          <w:lang w:val="en-GB"/>
        </w:rPr>
        <w:t xml:space="preserve">Over the last 10 years, the 45 Australian investments reviewed have largely been channelled through the Humanitarian (13 investments) and Global (10 investments) program funds, </w:t>
      </w:r>
      <w:r w:rsidR="008B44CA">
        <w:rPr>
          <w:rFonts w:cs="Arial"/>
          <w:lang w:val="en-GB"/>
        </w:rPr>
        <w:br/>
      </w:r>
      <w:r w:rsidRPr="00EF65AE">
        <w:rPr>
          <w:rFonts w:cs="Arial"/>
          <w:lang w:val="en-GB"/>
        </w:rPr>
        <w:t>focus</w:t>
      </w:r>
      <w:r w:rsidR="00D86382">
        <w:rPr>
          <w:rFonts w:cs="Arial"/>
          <w:lang w:val="en-GB"/>
        </w:rPr>
        <w:t>ing</w:t>
      </w:r>
      <w:r w:rsidRPr="00EF65AE">
        <w:rPr>
          <w:rFonts w:cs="Arial"/>
          <w:lang w:val="en-GB"/>
        </w:rPr>
        <w:t xml:space="preserve"> on</w:t>
      </w:r>
      <w:r w:rsidR="00FC2BD3">
        <w:rPr>
          <w:rFonts w:cs="Arial"/>
          <w:lang w:val="en-GB"/>
        </w:rPr>
        <w:t>:</w:t>
      </w:r>
    </w:p>
    <w:p w14:paraId="58B017DF" w14:textId="7D95B9BA" w:rsidR="00FC2BD3" w:rsidRDefault="001D11A0" w:rsidP="00FC2BD3">
      <w:pPr>
        <w:pStyle w:val="ListBullet"/>
        <w:rPr>
          <w:lang w:val="en-GB"/>
        </w:rPr>
      </w:pPr>
      <w:r>
        <w:rPr>
          <w:lang w:val="en-GB"/>
        </w:rPr>
        <w:t>l</w:t>
      </w:r>
      <w:r w:rsidR="00EF65AE" w:rsidRPr="00EF65AE">
        <w:rPr>
          <w:lang w:val="en-GB"/>
        </w:rPr>
        <w:t>eading humanitarian actors (U</w:t>
      </w:r>
      <w:r w:rsidR="00E12418">
        <w:rPr>
          <w:lang w:val="en-GB"/>
        </w:rPr>
        <w:t xml:space="preserve">nited </w:t>
      </w:r>
      <w:r w:rsidR="00EF65AE" w:rsidRPr="00EF65AE">
        <w:rPr>
          <w:lang w:val="en-GB"/>
        </w:rPr>
        <w:t>N</w:t>
      </w:r>
      <w:r w:rsidR="00E12418">
        <w:rPr>
          <w:lang w:val="en-GB"/>
        </w:rPr>
        <w:t>ations</w:t>
      </w:r>
      <w:r w:rsidR="00CA5150">
        <w:rPr>
          <w:lang w:val="en-GB"/>
        </w:rPr>
        <w:t xml:space="preserve"> (UN)</w:t>
      </w:r>
      <w:r w:rsidR="00EF65AE" w:rsidRPr="00EF65AE">
        <w:rPr>
          <w:lang w:val="en-GB"/>
        </w:rPr>
        <w:t xml:space="preserve">, </w:t>
      </w:r>
      <w:r w:rsidR="00E12418" w:rsidRPr="008F61F7">
        <w:t>International Committee of the Red Cross</w:t>
      </w:r>
      <w:r w:rsidR="00EF65AE" w:rsidRPr="00EF65AE">
        <w:rPr>
          <w:lang w:val="en-GB"/>
        </w:rPr>
        <w:t xml:space="preserve">, major </w:t>
      </w:r>
      <w:r w:rsidR="00E12418">
        <w:rPr>
          <w:lang w:val="en-GB"/>
        </w:rPr>
        <w:t xml:space="preserve">non-government </w:t>
      </w:r>
      <w:r w:rsidR="00CD7F96">
        <w:rPr>
          <w:lang w:val="en-GB"/>
        </w:rPr>
        <w:t>organisations</w:t>
      </w:r>
      <w:r w:rsidR="00EF65AE" w:rsidRPr="00EF65AE">
        <w:rPr>
          <w:lang w:val="en-GB"/>
        </w:rPr>
        <w:t>) and appeals</w:t>
      </w:r>
    </w:p>
    <w:p w14:paraId="7690998E" w14:textId="77777777" w:rsidR="00FC2BD3" w:rsidRDefault="00EF65AE" w:rsidP="00FC2BD3">
      <w:pPr>
        <w:pStyle w:val="ListBullet"/>
        <w:rPr>
          <w:lang w:val="en-GB"/>
        </w:rPr>
      </w:pPr>
      <w:r w:rsidRPr="00EF65AE">
        <w:rPr>
          <w:lang w:val="en-GB"/>
        </w:rPr>
        <w:t>building the capacity for humanitarian personnel around EVAWG</w:t>
      </w:r>
    </w:p>
    <w:p w14:paraId="245FCABC" w14:textId="096BD8CC" w:rsidR="00FC2BD3" w:rsidRDefault="001D11A0" w:rsidP="008F61F7">
      <w:pPr>
        <w:pStyle w:val="ListBullet"/>
        <w:rPr>
          <w:lang w:val="en-GB"/>
        </w:rPr>
      </w:pPr>
      <w:r>
        <w:rPr>
          <w:lang w:val="en-GB"/>
        </w:rPr>
        <w:t xml:space="preserve">ensuring </w:t>
      </w:r>
      <w:r w:rsidR="00F41BE4">
        <w:rPr>
          <w:lang w:val="en-GB"/>
        </w:rPr>
        <w:t>s</w:t>
      </w:r>
      <w:r w:rsidR="00EF65AE" w:rsidRPr="00EF65AE">
        <w:rPr>
          <w:lang w:val="en-GB"/>
        </w:rPr>
        <w:t xml:space="preserve">exual and reproductive health in emergencies (SPRINT program, 5 investments). </w:t>
      </w:r>
    </w:p>
    <w:p w14:paraId="09F14260" w14:textId="135544A2" w:rsidR="00EF65AE" w:rsidRPr="00EF65AE" w:rsidRDefault="00EF65AE">
      <w:pPr>
        <w:rPr>
          <w:rFonts w:cs="Arial"/>
        </w:rPr>
      </w:pPr>
      <w:r w:rsidRPr="00EF65AE">
        <w:rPr>
          <w:lang w:val="en-GB"/>
        </w:rPr>
        <w:t>Some larger investments, such as core contributions to UNICEF ($301.8</w:t>
      </w:r>
      <w:r w:rsidR="00FC2BD3">
        <w:rPr>
          <w:lang w:val="en-GB"/>
        </w:rPr>
        <w:t xml:space="preserve"> </w:t>
      </w:r>
      <w:r w:rsidRPr="00EF65AE">
        <w:rPr>
          <w:lang w:val="en-GB"/>
        </w:rPr>
        <w:t>m</w:t>
      </w:r>
      <w:r w:rsidR="00FC2BD3">
        <w:rPr>
          <w:lang w:val="en-GB"/>
        </w:rPr>
        <w:t>illion</w:t>
      </w:r>
      <w:r w:rsidRPr="00EF65AE">
        <w:rPr>
          <w:lang w:val="en-GB"/>
        </w:rPr>
        <w:t xml:space="preserve">), are not </w:t>
      </w:r>
      <w:r w:rsidR="008B44CA">
        <w:rPr>
          <w:lang w:val="en-GB"/>
        </w:rPr>
        <w:br/>
      </w:r>
      <w:r w:rsidRPr="00EF65AE">
        <w:rPr>
          <w:lang w:val="en-GB"/>
        </w:rPr>
        <w:t>traceable in terms of what is spent on humanitarian versus development and other areas, challenging further analysis</w:t>
      </w:r>
      <w:r w:rsidR="00CD7F96">
        <w:rPr>
          <w:lang w:val="en-GB"/>
        </w:rPr>
        <w:t>.</w:t>
      </w:r>
    </w:p>
    <w:p w14:paraId="078C1992" w14:textId="255F7702" w:rsidR="00EF65AE" w:rsidRPr="002A6350" w:rsidRDefault="00EF65AE" w:rsidP="00EF65AE">
      <w:pPr>
        <w:rPr>
          <w:rFonts w:cs="Arial"/>
          <w:lang w:val="en-GB"/>
        </w:rPr>
      </w:pPr>
      <w:r w:rsidRPr="00EF65AE">
        <w:rPr>
          <w:rFonts w:cs="Arial"/>
          <w:lang w:val="en-GB"/>
        </w:rPr>
        <w:t xml:space="preserve">Aside from the policy advancements outlined above, the effectiveness of Australian support to EVAWG programming in emergencies is challenging to assess, given the overall absence of independent evaluations, and limited measures of effectiveness within the </w:t>
      </w:r>
      <w:r w:rsidR="00FC2BD3">
        <w:rPr>
          <w:rFonts w:cs="Arial"/>
          <w:lang w:val="en-GB"/>
        </w:rPr>
        <w:t xml:space="preserve">available </w:t>
      </w:r>
      <w:r w:rsidRPr="00EF65AE">
        <w:rPr>
          <w:rFonts w:cs="Arial"/>
          <w:lang w:val="en-GB"/>
        </w:rPr>
        <w:t>evaluations. Among the 45 investments reviewed, independent evaluation</w:t>
      </w:r>
      <w:r w:rsidR="00FC2BD3">
        <w:rPr>
          <w:rFonts w:cs="Arial"/>
          <w:lang w:val="en-GB"/>
        </w:rPr>
        <w:t xml:space="preserve"> reports,</w:t>
      </w:r>
      <w:r w:rsidRPr="00EF65AE">
        <w:rPr>
          <w:rFonts w:cs="Arial"/>
          <w:lang w:val="en-GB"/>
        </w:rPr>
        <w:t xml:space="preserve"> completion reports</w:t>
      </w:r>
      <w:r w:rsidR="004E5565">
        <w:rPr>
          <w:rFonts w:cs="Arial"/>
          <w:lang w:val="en-GB"/>
        </w:rPr>
        <w:t>,</w:t>
      </w:r>
      <w:r w:rsidRPr="00EF65AE">
        <w:rPr>
          <w:rFonts w:cs="Arial"/>
          <w:lang w:val="en-GB"/>
        </w:rPr>
        <w:t xml:space="preserve"> or mid</w:t>
      </w:r>
      <w:r w:rsidR="00F973BE">
        <w:rPr>
          <w:rFonts w:cs="Arial"/>
          <w:lang w:val="en-GB"/>
        </w:rPr>
        <w:noBreakHyphen/>
      </w:r>
      <w:r w:rsidRPr="00EF65AE">
        <w:rPr>
          <w:rFonts w:cs="Arial"/>
          <w:lang w:val="en-GB"/>
        </w:rPr>
        <w:t xml:space="preserve">term reviews were available for seven investments (15 per cent) supporting four </w:t>
      </w:r>
      <w:r w:rsidRPr="002A6350">
        <w:rPr>
          <w:rFonts w:cs="Arial"/>
          <w:lang w:val="en-GB"/>
        </w:rPr>
        <w:t>programs (Table</w:t>
      </w:r>
      <w:r w:rsidR="00F973BE">
        <w:rPr>
          <w:rFonts w:cs="Arial"/>
          <w:lang w:val="en-GB"/>
        </w:rPr>
        <w:t> </w:t>
      </w:r>
      <w:r w:rsidR="00CA5150" w:rsidRPr="009B09F4">
        <w:rPr>
          <w:rFonts w:cs="Arial"/>
          <w:lang w:val="en-GB"/>
        </w:rPr>
        <w:t>1</w:t>
      </w:r>
      <w:r w:rsidR="00F03156">
        <w:rPr>
          <w:rFonts w:cs="Arial"/>
          <w:lang w:val="en-GB"/>
        </w:rPr>
        <w:t>2</w:t>
      </w:r>
      <w:r w:rsidRPr="002A6350">
        <w:rPr>
          <w:rFonts w:cs="Arial"/>
          <w:lang w:val="en-GB"/>
        </w:rPr>
        <w:t>).</w:t>
      </w:r>
    </w:p>
    <w:p w14:paraId="24BDAE76" w14:textId="77777777" w:rsidR="00EF65AE" w:rsidRPr="00EF65AE" w:rsidRDefault="00D36612" w:rsidP="00D36612">
      <w:pPr>
        <w:pStyle w:val="Caption"/>
        <w:rPr>
          <w:rFonts w:eastAsia="Calibri Light" w:cs="Arial"/>
          <w:lang w:val="en-GB"/>
        </w:rPr>
      </w:pPr>
      <w:r>
        <w:t xml:space="preserve">Table </w:t>
      </w:r>
      <w:r w:rsidR="00CA5150">
        <w:t>1</w:t>
      </w:r>
      <w:r w:rsidR="00F03156">
        <w:t>2</w:t>
      </w:r>
      <w:r w:rsidR="00EF65AE" w:rsidRPr="00EF65AE">
        <w:rPr>
          <w:rFonts w:cs="Arial"/>
        </w:rPr>
        <w:t>: EVAWG-related humanitarian reviews and evaluations</w:t>
      </w:r>
      <w:r w:rsidR="00F41BE4">
        <w:rPr>
          <w:rFonts w:cs="Arial"/>
        </w:rPr>
        <w:t xml:space="preserve"> included in the analysis</w:t>
      </w:r>
    </w:p>
    <w:tbl>
      <w:tblPr>
        <w:tblStyle w:val="TableGrid"/>
        <w:tblW w:w="5000" w:type="pct"/>
        <w:tblLook w:val="0420" w:firstRow="1" w:lastRow="0" w:firstColumn="0" w:lastColumn="0" w:noHBand="0" w:noVBand="1"/>
      </w:tblPr>
      <w:tblGrid>
        <w:gridCol w:w="4308"/>
        <w:gridCol w:w="5320"/>
      </w:tblGrid>
      <w:tr w:rsidR="00EF65AE" w:rsidRPr="00745439" w14:paraId="7BC9588F" w14:textId="77777777" w:rsidTr="00F973BE">
        <w:trPr>
          <w:cnfStyle w:val="100000000000" w:firstRow="1" w:lastRow="0" w:firstColumn="0" w:lastColumn="0" w:oddVBand="0" w:evenVBand="0" w:oddHBand="0" w:evenHBand="0" w:firstRowFirstColumn="0" w:firstRowLastColumn="0" w:lastRowFirstColumn="0" w:lastRowLastColumn="0"/>
        </w:trPr>
        <w:tc>
          <w:tcPr>
            <w:tcW w:w="2237" w:type="pct"/>
          </w:tcPr>
          <w:p w14:paraId="1BDAB618" w14:textId="77777777" w:rsidR="00EF65AE" w:rsidRPr="00745439" w:rsidRDefault="00EF65AE" w:rsidP="00EF65AE">
            <w:pPr>
              <w:rPr>
                <w:lang w:val="en-GB"/>
              </w:rPr>
            </w:pPr>
            <w:r w:rsidRPr="00745439">
              <w:t> Investment name</w:t>
            </w:r>
          </w:p>
        </w:tc>
        <w:tc>
          <w:tcPr>
            <w:tcW w:w="2763" w:type="pct"/>
          </w:tcPr>
          <w:p w14:paraId="3088664D" w14:textId="77777777" w:rsidR="00EF65AE" w:rsidRPr="00745439" w:rsidRDefault="00EF65AE" w:rsidP="00EF65AE">
            <w:r w:rsidRPr="00745439">
              <w:t>Review or evaluation</w:t>
            </w:r>
          </w:p>
        </w:tc>
      </w:tr>
      <w:tr w:rsidR="00EF65AE" w:rsidRPr="00745439" w14:paraId="1322AFEC" w14:textId="77777777" w:rsidTr="00F973BE">
        <w:tc>
          <w:tcPr>
            <w:tcW w:w="2237" w:type="pct"/>
          </w:tcPr>
          <w:p w14:paraId="765755D0" w14:textId="77777777" w:rsidR="00EF65AE" w:rsidRPr="00745439" w:rsidRDefault="00EF65AE" w:rsidP="00EF65AE">
            <w:pPr>
              <w:rPr>
                <w:lang w:val="en-GB"/>
              </w:rPr>
            </w:pPr>
            <w:r w:rsidRPr="00745439">
              <w:t xml:space="preserve">Prevention </w:t>
            </w:r>
            <w:r w:rsidR="00FC2BD3">
              <w:t>and</w:t>
            </w:r>
            <w:r w:rsidRPr="00745439">
              <w:t xml:space="preserve"> Response to Gender-based Violence (INK925)</w:t>
            </w:r>
          </w:p>
          <w:p w14:paraId="0F84141C" w14:textId="77777777" w:rsidR="00EF65AE" w:rsidRPr="00745439" w:rsidRDefault="00EF65AE" w:rsidP="00EF65AE">
            <w:pPr>
              <w:rPr>
                <w:lang w:val="en-GB"/>
              </w:rPr>
            </w:pPr>
            <w:r w:rsidRPr="00745439">
              <w:t>Protection in Humanitarian Action (INL641)</w:t>
            </w:r>
          </w:p>
        </w:tc>
        <w:tc>
          <w:tcPr>
            <w:tcW w:w="2763" w:type="pct"/>
          </w:tcPr>
          <w:p w14:paraId="59044046" w14:textId="37AFC8CC" w:rsidR="00EF65AE" w:rsidRPr="00745439" w:rsidRDefault="00DA261D" w:rsidP="00EF65AE">
            <w:r>
              <w:t xml:space="preserve">United Nations Population Fund </w:t>
            </w:r>
            <w:r w:rsidR="00EF65AE" w:rsidRPr="00745439">
              <w:t>and UNICEF Gender</w:t>
            </w:r>
            <w:r w:rsidR="006B7082">
              <w:t>-b</w:t>
            </w:r>
            <w:r w:rsidR="00EF65AE" w:rsidRPr="00745439">
              <w:t>ased Violence Area of Responsibility (GBV</w:t>
            </w:r>
            <w:r w:rsidR="00F973BE">
              <w:t> </w:t>
            </w:r>
            <w:r w:rsidR="00EF65AE" w:rsidRPr="00745439">
              <w:t>AoR) Leadership Review Report, March</w:t>
            </w:r>
            <w:r w:rsidR="00FC2BD3">
              <w:t xml:space="preserve"> 20</w:t>
            </w:r>
            <w:r w:rsidR="00EF65AE" w:rsidRPr="00745439">
              <w:t>16</w:t>
            </w:r>
          </w:p>
        </w:tc>
      </w:tr>
      <w:tr w:rsidR="00EF65AE" w:rsidRPr="00745439" w14:paraId="62FA2AA8" w14:textId="77777777" w:rsidTr="00F973BE">
        <w:tc>
          <w:tcPr>
            <w:tcW w:w="2237" w:type="pct"/>
          </w:tcPr>
          <w:p w14:paraId="34C3B931" w14:textId="77777777" w:rsidR="00EF65AE" w:rsidRPr="00745439" w:rsidRDefault="00EF65AE" w:rsidP="00EF65AE">
            <w:pPr>
              <w:rPr>
                <w:lang w:val="en-GB"/>
              </w:rPr>
            </w:pPr>
            <w:r w:rsidRPr="00745439">
              <w:t>Syria humanitarian assistance FY2013</w:t>
            </w:r>
            <w:r w:rsidR="00FC2BD3">
              <w:t>–</w:t>
            </w:r>
            <w:r w:rsidRPr="00745439">
              <w:t>14 (INL291)</w:t>
            </w:r>
          </w:p>
        </w:tc>
        <w:tc>
          <w:tcPr>
            <w:tcW w:w="2763" w:type="pct"/>
          </w:tcPr>
          <w:p w14:paraId="53A45914" w14:textId="77777777" w:rsidR="00EF65AE" w:rsidRPr="00745439" w:rsidRDefault="00EF65AE" w:rsidP="00EF65AE">
            <w:r w:rsidRPr="00745439">
              <w:t>Australia’s Humanitarian Response to the Syria Crisis Evaluation Report, 2015</w:t>
            </w:r>
          </w:p>
        </w:tc>
      </w:tr>
      <w:tr w:rsidR="00EF65AE" w:rsidRPr="00745439" w14:paraId="105F3829" w14:textId="77777777" w:rsidTr="00F973BE">
        <w:tc>
          <w:tcPr>
            <w:tcW w:w="2237" w:type="pct"/>
          </w:tcPr>
          <w:p w14:paraId="3243596E" w14:textId="77777777" w:rsidR="00EF65AE" w:rsidRPr="00745439" w:rsidRDefault="00EF65AE" w:rsidP="00EF65AE">
            <w:pPr>
              <w:rPr>
                <w:lang w:val="en-GB"/>
              </w:rPr>
            </w:pPr>
            <w:r w:rsidRPr="00745439">
              <w:t>Safety, Humanitarian and Women's Empowerment (INM027)</w:t>
            </w:r>
          </w:p>
          <w:p w14:paraId="5CCAA81A" w14:textId="77777777" w:rsidR="00EF65AE" w:rsidRPr="00745439" w:rsidRDefault="00EF65AE" w:rsidP="00EF65AE">
            <w:pPr>
              <w:rPr>
                <w:lang w:val="en-GB"/>
              </w:rPr>
            </w:pPr>
            <w:r w:rsidRPr="00745439">
              <w:t>Safety, Humanitarian and Women's Empowerment (INL008)</w:t>
            </w:r>
          </w:p>
          <w:p w14:paraId="659FD0CC" w14:textId="77777777" w:rsidR="00EF65AE" w:rsidRPr="00745439" w:rsidRDefault="00EF65AE" w:rsidP="00EF65AE">
            <w:pPr>
              <w:rPr>
                <w:lang w:val="en-GB"/>
              </w:rPr>
            </w:pPr>
          </w:p>
        </w:tc>
        <w:tc>
          <w:tcPr>
            <w:tcW w:w="2763" w:type="pct"/>
          </w:tcPr>
          <w:p w14:paraId="3F1A1CC4" w14:textId="77777777" w:rsidR="00EF65AE" w:rsidRPr="00745439" w:rsidRDefault="00EF65AE" w:rsidP="00EF65AE">
            <w:r w:rsidRPr="00745439">
              <w:t>Assistance to Conflict Affected Displaced Persons Thai-Burma Border, Final Evaluation Report, December 2014</w:t>
            </w:r>
          </w:p>
          <w:p w14:paraId="67CE724D" w14:textId="77777777" w:rsidR="00EF65AE" w:rsidRPr="00745439" w:rsidRDefault="00EF65AE" w:rsidP="00EF65AE">
            <w:r w:rsidRPr="00745439">
              <w:t>Evaluation of Australia’s Humanitarian Assistance to Myanmar, Evaluation Report, 2017</w:t>
            </w:r>
          </w:p>
          <w:p w14:paraId="7603F1C6" w14:textId="77777777" w:rsidR="00EF65AE" w:rsidRPr="00745439" w:rsidRDefault="00EF65AE" w:rsidP="00EF65AE">
            <w:r w:rsidRPr="00745439">
              <w:t>Unpublished internal review of assistance on Myanmar</w:t>
            </w:r>
            <w:r w:rsidR="00CA5150">
              <w:t>–</w:t>
            </w:r>
            <w:r w:rsidRPr="00745439">
              <w:t>Thai border, DFAT, March 2018</w:t>
            </w:r>
          </w:p>
        </w:tc>
      </w:tr>
      <w:tr w:rsidR="00EF65AE" w:rsidRPr="00745439" w14:paraId="4AA51A6F" w14:textId="77777777" w:rsidTr="00F973BE">
        <w:tc>
          <w:tcPr>
            <w:tcW w:w="2237" w:type="pct"/>
          </w:tcPr>
          <w:p w14:paraId="2FFA40DB" w14:textId="77777777" w:rsidR="00EF65AE" w:rsidRPr="00745439" w:rsidRDefault="00EF65AE" w:rsidP="00EF65AE">
            <w:pPr>
              <w:rPr>
                <w:lang w:val="en-GB"/>
              </w:rPr>
            </w:pPr>
            <w:r w:rsidRPr="00745439">
              <w:t>SPRINT Stage 2 (INK321)</w:t>
            </w:r>
          </w:p>
          <w:p w14:paraId="2E96E1BC" w14:textId="77777777" w:rsidR="00EF65AE" w:rsidRPr="00745439" w:rsidRDefault="00EF65AE" w:rsidP="00EF65AE">
            <w:pPr>
              <w:rPr>
                <w:lang w:val="en-GB"/>
              </w:rPr>
            </w:pPr>
            <w:r w:rsidRPr="00745439">
              <w:t>SPRINT Reproductive Health in Emergencies (INH376)</w:t>
            </w:r>
          </w:p>
        </w:tc>
        <w:tc>
          <w:tcPr>
            <w:tcW w:w="2763" w:type="pct"/>
          </w:tcPr>
          <w:p w14:paraId="6D5EAA68" w14:textId="14EF4EFF" w:rsidR="00EF65AE" w:rsidRPr="00745439" w:rsidRDefault="00EF65AE" w:rsidP="00EF65AE">
            <w:r w:rsidRPr="00745439">
              <w:t>IPPF Sexual and Reproductive Health in Asia and Africa (SPRINT II) Mid-term Review Report, 14</w:t>
            </w:r>
            <w:r w:rsidR="00F973BE">
              <w:t> </w:t>
            </w:r>
            <w:r w:rsidRPr="00745439">
              <w:t>May</w:t>
            </w:r>
            <w:r w:rsidR="00F973BE">
              <w:t> </w:t>
            </w:r>
            <w:r w:rsidRPr="00745439">
              <w:t>2015</w:t>
            </w:r>
          </w:p>
          <w:p w14:paraId="63BC5210" w14:textId="77777777" w:rsidR="00EF65AE" w:rsidRPr="00745439" w:rsidRDefault="00EF65AE" w:rsidP="00EF65AE">
            <w:r w:rsidRPr="00745439">
              <w:t>SPRINT Program Evaluation, November 2009</w:t>
            </w:r>
          </w:p>
        </w:tc>
      </w:tr>
    </w:tbl>
    <w:p w14:paraId="3AF4005F" w14:textId="77777777" w:rsidR="00EF65AE" w:rsidRPr="00EF65AE" w:rsidRDefault="00EF65AE" w:rsidP="00EF65AE">
      <w:pPr>
        <w:rPr>
          <w:rFonts w:cs="Arial"/>
          <w:lang w:val="en-GB"/>
        </w:rPr>
      </w:pPr>
    </w:p>
    <w:p w14:paraId="3DBF1381" w14:textId="77777777" w:rsidR="00DA261D" w:rsidRDefault="00EF65AE" w:rsidP="00EF65AE">
      <w:pPr>
        <w:rPr>
          <w:rFonts w:cs="Arial"/>
          <w:lang w:val="en-GB"/>
        </w:rPr>
      </w:pPr>
      <w:r w:rsidRPr="00EF65AE">
        <w:rPr>
          <w:rFonts w:cs="Arial"/>
          <w:lang w:val="en-GB"/>
        </w:rPr>
        <w:t>Evaluations of Australian support to the Syria Crisis and Myanmar recognise policy advancements and highlight where shortcomings exist in applying them to practice.</w:t>
      </w:r>
      <w:r w:rsidRPr="00EF65AE">
        <w:rPr>
          <w:rFonts w:cs="Arial"/>
          <w:lang w:val="en-GB"/>
        </w:rPr>
        <w:fldChar w:fldCharType="begin"/>
      </w:r>
      <w:r w:rsidRPr="00EF65AE">
        <w:rPr>
          <w:rFonts w:cs="Arial"/>
          <w:lang w:val="en-GB"/>
        </w:rPr>
        <w:instrText xml:space="preserve"> ADDIN ZOTERO_ITEM CSL_CITATION {"citationID":"mr4h0n35","properties":{"formattedCitation":"\\super 122,123\\nosupersub{}","plainCitation":"122,123","noteIndex":0},"citationItems":[{"id":2563,"uris":["http://zotero.org/users/4194704/items/6U76HN8K"],"uri":["http://zotero.org/users/4194704/items/6U76HN8K"],"itemData":{"id":2563,"type":"report","title":"Australias Humanitarian Response to the Syria Crisis.","publisher":"Department of Foreign Affairs and Trade","publisher-place":"Canberra, Australia","event-place":"Canberra, Australia","author":[{"literal":"DFAT"}],"issued":{"date-parts":[["2015"]]}}},{"id":2564,"uris":["http://zotero.org/users/4194704/items/79E4YXCL"],"uri":["http://zotero.org/users/4194704/items/79E4YXCL"],"itemData":{"id":2564,"type":"report","title":"Evaluation of Australia's Humanitarian Assistance to Mynanmar","publisher":"Department of Foreign Affairs and Trade","publisher-place":"Canberra, Australia","event-place":"Canberra, Australia","author":[{"literal":"DFAT"}],"issued":{"date-parts":[["2017"]]}}}],"schema":"https://github.com/citation-style-language/schema/raw/master/csl-citation.json"} </w:instrText>
      </w:r>
      <w:r w:rsidRPr="00EF65AE">
        <w:rPr>
          <w:rFonts w:cs="Arial"/>
          <w:lang w:val="en-GB"/>
        </w:rPr>
        <w:fldChar w:fldCharType="separate"/>
      </w:r>
      <w:r w:rsidRPr="00EF65AE">
        <w:rPr>
          <w:rFonts w:cs="Arial"/>
          <w:vertAlign w:val="superscript"/>
          <w:lang w:val="en-US"/>
        </w:rPr>
        <w:t>122,123</w:t>
      </w:r>
      <w:r w:rsidRPr="00EF65AE">
        <w:rPr>
          <w:rFonts w:cs="Arial"/>
          <w:lang w:val="en-GB"/>
        </w:rPr>
        <w:fldChar w:fldCharType="end"/>
      </w:r>
      <w:r w:rsidRPr="00EF65AE">
        <w:rPr>
          <w:rFonts w:cs="Arial"/>
          <w:lang w:val="en-GB"/>
        </w:rPr>
        <w:t xml:space="preserve"> Specifically, DFAT’s development of key aid policies on gender, protection, humanitarian action, and disability have more effectively guided decisions on how Australian aid is targeted and implemented, including directing funds to </w:t>
      </w:r>
      <w:r w:rsidR="00DA261D">
        <w:rPr>
          <w:rFonts w:cs="Arial"/>
          <w:lang w:val="en-GB"/>
        </w:rPr>
        <w:t>‘</w:t>
      </w:r>
      <w:r w:rsidRPr="00EF65AE">
        <w:rPr>
          <w:rFonts w:cs="Arial"/>
          <w:lang w:val="en-GB"/>
        </w:rPr>
        <w:t>key protection partners</w:t>
      </w:r>
      <w:r w:rsidR="00DA261D">
        <w:rPr>
          <w:rFonts w:cs="Arial"/>
          <w:lang w:val="en-GB"/>
        </w:rPr>
        <w:t>’</w:t>
      </w:r>
      <w:r w:rsidRPr="00EF65AE">
        <w:rPr>
          <w:rFonts w:cs="Arial"/>
          <w:lang w:val="en-GB"/>
        </w:rPr>
        <w:t xml:space="preserve"> (Myanmar). However, findings note</w:t>
      </w:r>
      <w:r w:rsidR="00CA5150">
        <w:rPr>
          <w:rFonts w:cs="Arial"/>
          <w:lang w:val="en-GB"/>
        </w:rPr>
        <w:t xml:space="preserve"> that</w:t>
      </w:r>
      <w:r w:rsidR="00DA261D">
        <w:rPr>
          <w:rFonts w:cs="Arial"/>
          <w:lang w:val="en-GB"/>
        </w:rPr>
        <w:t>:</w:t>
      </w:r>
    </w:p>
    <w:p w14:paraId="665C1148" w14:textId="77777777" w:rsidR="00EF65AE" w:rsidRPr="00EF65AE" w:rsidRDefault="00EF65AE" w:rsidP="008F61F7">
      <w:pPr>
        <w:pStyle w:val="ListParagraph"/>
        <w:rPr>
          <w:lang w:val="en-GB"/>
        </w:rPr>
      </w:pPr>
      <w:r w:rsidRPr="00EF65AE">
        <w:rPr>
          <w:lang w:val="en-GB"/>
        </w:rPr>
        <w:t>Australia’s deliberate low-maintenance approach to engaging with multilateral agencies provides limited opportunity for ensuring that gender and disability are adequately considered throughout program delivery (Syria) and lack of consistent mainstreaming outside of protection partners (Myanmar).</w:t>
      </w:r>
      <w:r w:rsidRPr="00EF65AE">
        <w:rPr>
          <w:lang w:val="en-GB"/>
        </w:rPr>
        <w:fldChar w:fldCharType="begin"/>
      </w:r>
      <w:r w:rsidRPr="00EF65AE">
        <w:rPr>
          <w:lang w:val="en-GB"/>
        </w:rPr>
        <w:instrText xml:space="preserve"> ADDIN ZOTERO_ITEM CSL_CITATION {"citationID":"iC0BXoqr","properties":{"formattedCitation":"\\super 122,123\\nosupersub{}","plainCitation":"122,123","noteIndex":0},"citationItems":[{"id":2563,"uris":["http://zotero.org/users/4194704/items/6U76HN8K"],"uri":["http://zotero.org/users/4194704/items/6U76HN8K"],"itemData":{"id":2563,"type":"report","title":"Australias Humanitarian Response to the Syria Crisis.","publisher":"Department of Foreign Affairs and Trade","publisher-place":"Canberra, Australia","event-place":"Canberra, Australia","author":[{"literal":"DFAT"}],"issued":{"date-parts":[["2015"]]}}},{"id":2564,"uris":["http://zotero.org/users/4194704/items/79E4YXCL"],"uri":["http://zotero.org/users/4194704/items/79E4YXCL"],"itemData":{"id":2564,"type":"report","title":"Evaluation of Australia's Humanitarian Assistance to Mynanmar","publisher":"Department of Foreign Affairs and Trade","publisher-place":"Canberra, Australia","event-place":"Canberra, Australia","author":[{"literal":"DFAT"}],"issued":{"date-parts":[["2017"]]}}}],"schema":"https://github.com/citation-style-language/schema/raw/master/csl-citation.json"} </w:instrText>
      </w:r>
      <w:r w:rsidRPr="00EF65AE">
        <w:rPr>
          <w:lang w:val="en-GB"/>
        </w:rPr>
        <w:fldChar w:fldCharType="separate"/>
      </w:r>
      <w:r w:rsidRPr="00EF65AE">
        <w:rPr>
          <w:vertAlign w:val="superscript"/>
          <w:lang w:val="en-US"/>
        </w:rPr>
        <w:t>122,123</w:t>
      </w:r>
      <w:r w:rsidRPr="00EF65AE">
        <w:rPr>
          <w:lang w:val="en-GB"/>
        </w:rPr>
        <w:fldChar w:fldCharType="end"/>
      </w:r>
      <w:r w:rsidRPr="00EF65AE">
        <w:rPr>
          <w:lang w:val="en-GB"/>
        </w:rPr>
        <w:t xml:space="preserve"> </w:t>
      </w:r>
    </w:p>
    <w:p w14:paraId="750FD3B1" w14:textId="4E97BAA7" w:rsidR="00EF65AE" w:rsidRPr="00EF65AE" w:rsidRDefault="00EF65AE" w:rsidP="00EF65AE">
      <w:pPr>
        <w:rPr>
          <w:rFonts w:cs="Arial"/>
          <w:lang w:val="en-GB"/>
        </w:rPr>
      </w:pPr>
      <w:r w:rsidRPr="00EF65AE">
        <w:rPr>
          <w:rFonts w:cs="Arial"/>
          <w:lang w:val="en-GB"/>
        </w:rPr>
        <w:t>An external review</w:t>
      </w:r>
      <w:r w:rsidRPr="00C6593D">
        <w:rPr>
          <w:rStyle w:val="FootnoteReference"/>
        </w:rPr>
        <w:footnoteReference w:id="19"/>
      </w:r>
      <w:r w:rsidRPr="00EF65AE">
        <w:rPr>
          <w:rFonts w:cs="Arial"/>
          <w:lang w:val="en-GB"/>
        </w:rPr>
        <w:t xml:space="preserve"> (not specific to Australian support) of the GBV A</w:t>
      </w:r>
      <w:r w:rsidR="00D86382">
        <w:rPr>
          <w:rFonts w:cs="Arial"/>
          <w:lang w:val="en-GB"/>
        </w:rPr>
        <w:t>oR</w:t>
      </w:r>
      <w:r w:rsidRPr="00EF65AE">
        <w:rPr>
          <w:rFonts w:cs="Arial"/>
          <w:lang w:val="en-GB"/>
        </w:rPr>
        <w:t xml:space="preserve"> focuses on reviewing UNFPA and UNICEF’s co-leadership of the A</w:t>
      </w:r>
      <w:r w:rsidR="00DA261D">
        <w:rPr>
          <w:rFonts w:cs="Arial"/>
          <w:lang w:val="en-GB"/>
        </w:rPr>
        <w:t>rea of Responsibility</w:t>
      </w:r>
      <w:r w:rsidRPr="00EF65AE">
        <w:rPr>
          <w:rFonts w:cs="Arial"/>
          <w:lang w:val="en-GB"/>
        </w:rPr>
        <w:t xml:space="preserve">, which promotes coordination and prioritisation of </w:t>
      </w:r>
      <w:r w:rsidR="00D86382">
        <w:rPr>
          <w:rFonts w:cs="Arial"/>
          <w:lang w:val="en-GB"/>
        </w:rPr>
        <w:t>gender-based violence</w:t>
      </w:r>
      <w:r w:rsidRPr="00EF65AE">
        <w:rPr>
          <w:rFonts w:cs="Arial"/>
          <w:lang w:val="en-GB"/>
        </w:rPr>
        <w:t xml:space="preserve"> prevention and response within the Humanitarian Cluster system. UNICEF has now stepped back from this role, making findings less relevant</w:t>
      </w:r>
      <w:r w:rsidR="00DA261D">
        <w:rPr>
          <w:rFonts w:cs="Arial"/>
          <w:lang w:val="en-GB"/>
        </w:rPr>
        <w:t>. H</w:t>
      </w:r>
      <w:r w:rsidRPr="00EF65AE">
        <w:rPr>
          <w:rFonts w:cs="Arial"/>
          <w:lang w:val="en-GB"/>
        </w:rPr>
        <w:t>owever</w:t>
      </w:r>
      <w:r w:rsidR="00CA5150">
        <w:rPr>
          <w:rFonts w:cs="Arial"/>
          <w:lang w:val="en-GB"/>
        </w:rPr>
        <w:t>,</w:t>
      </w:r>
      <w:r w:rsidRPr="00EF65AE">
        <w:rPr>
          <w:rFonts w:cs="Arial"/>
          <w:lang w:val="en-GB"/>
        </w:rPr>
        <w:t xml:space="preserve"> it is important to note the high</w:t>
      </w:r>
      <w:r w:rsidR="00E041FB">
        <w:rPr>
          <w:rFonts w:cs="Arial"/>
          <w:lang w:val="en-GB"/>
        </w:rPr>
        <w:t>-</w:t>
      </w:r>
      <w:r w:rsidRPr="00EF65AE">
        <w:rPr>
          <w:rFonts w:cs="Arial"/>
          <w:lang w:val="en-GB"/>
        </w:rPr>
        <w:t xml:space="preserve">level attention to </w:t>
      </w:r>
      <w:r w:rsidR="00D86382">
        <w:rPr>
          <w:rFonts w:cs="Arial"/>
          <w:lang w:val="en-GB"/>
        </w:rPr>
        <w:t>gender-based violence</w:t>
      </w:r>
      <w:r w:rsidRPr="00EF65AE">
        <w:rPr>
          <w:rFonts w:cs="Arial"/>
          <w:lang w:val="en-GB"/>
        </w:rPr>
        <w:t xml:space="preserve"> and relative expertise brought to bear by both agencies and to consider how this can still be supported through Australia’s substantial core support to UNICEF, alongside contributions to the </w:t>
      </w:r>
      <w:r w:rsidR="00D86382">
        <w:rPr>
          <w:rFonts w:cs="Arial"/>
          <w:lang w:val="en-GB"/>
        </w:rPr>
        <w:t>GBV AoR</w:t>
      </w:r>
      <w:r w:rsidRPr="00EF65AE">
        <w:rPr>
          <w:rFonts w:cs="Arial"/>
          <w:lang w:val="en-GB"/>
        </w:rPr>
        <w:t>.</w:t>
      </w:r>
    </w:p>
    <w:p w14:paraId="7B3913A6" w14:textId="77777777" w:rsidR="00EF65AE" w:rsidRPr="00EF65AE" w:rsidRDefault="00EF65AE" w:rsidP="00EF65AE">
      <w:pPr>
        <w:rPr>
          <w:rFonts w:cs="Arial"/>
        </w:rPr>
      </w:pPr>
      <w:r w:rsidRPr="00EF65AE">
        <w:rPr>
          <w:rFonts w:cs="Arial"/>
          <w:lang w:val="en-GB"/>
        </w:rPr>
        <w:t>Key informants interviewed during fieldwork noted Australia’s flexibility as a donor an asset, in that existing funds could be rapidly repurposed to meet urgent humanitarian needs. For example, in the response to Tropical Cyclone Winston (February 2016), Pacific Women amended its funding to Tonga to provide psychosocial support post-cyclone, alleviating the burden to respond at national level.</w:t>
      </w:r>
      <w:r w:rsidRPr="00C6593D">
        <w:rPr>
          <w:rStyle w:val="FootnoteReference"/>
        </w:rPr>
        <w:footnoteReference w:id="20"/>
      </w:r>
      <w:r w:rsidRPr="00EF65AE">
        <w:rPr>
          <w:rFonts w:cs="Arial"/>
          <w:lang w:val="en-GB"/>
        </w:rPr>
        <w:t xml:space="preserve"> Following the earthquake in the P</w:t>
      </w:r>
      <w:r w:rsidR="00DA261D">
        <w:rPr>
          <w:rFonts w:cs="Arial"/>
          <w:lang w:val="en-GB"/>
        </w:rPr>
        <w:t>apua New Guinea</w:t>
      </w:r>
      <w:r w:rsidRPr="00EF65AE">
        <w:rPr>
          <w:rFonts w:cs="Arial"/>
          <w:lang w:val="en-GB"/>
        </w:rPr>
        <w:t xml:space="preserve"> Highlands (February 2018) and also through Pacific Women, Australia funded UN Women, UNICEF and UNFPA to address the protection needs of women and children (DFAT P</w:t>
      </w:r>
      <w:r w:rsidR="00DA261D">
        <w:rPr>
          <w:rFonts w:cs="Arial"/>
          <w:lang w:val="en-GB"/>
        </w:rPr>
        <w:t>apua New Guinea</w:t>
      </w:r>
      <w:r w:rsidRPr="00EF65AE">
        <w:rPr>
          <w:rFonts w:cs="Arial"/>
          <w:lang w:val="en-GB"/>
        </w:rPr>
        <w:t>). These examples indicate the importance of Pacific Women as a funding mechanism, as well as Australia’s ability to quickly redirect funds and demonstrate flexibility following sudden onset natural disasters, to support positive outcomes for women and children. This is especially important in the Pacific region, which is dominated by sudden onset disasters</w:t>
      </w:r>
      <w:r w:rsidR="00CA5150">
        <w:rPr>
          <w:rFonts w:cs="Arial"/>
          <w:lang w:val="en-GB"/>
        </w:rPr>
        <w:t xml:space="preserve"> </w:t>
      </w:r>
      <w:r w:rsidRPr="00EF65AE">
        <w:rPr>
          <w:rFonts w:cs="Arial"/>
          <w:lang w:val="en-GB"/>
        </w:rPr>
        <w:t>where there is little to no warning of impending harm, as opposed to protracted crises, where a sustained international presence may be in place.</w:t>
      </w:r>
      <w:r w:rsidRPr="008F61F7">
        <w:rPr>
          <w:rStyle w:val="FootnoteReference"/>
        </w:rPr>
        <w:footnoteReference w:id="21"/>
      </w:r>
      <w:r w:rsidRPr="008F61F7">
        <w:rPr>
          <w:rStyle w:val="FootnoteReference"/>
        </w:rPr>
        <w:t xml:space="preserve"> </w:t>
      </w:r>
    </w:p>
    <w:p w14:paraId="57B3CC4D" w14:textId="2CB1AC74" w:rsidR="00EF65AE" w:rsidRPr="00EF65AE" w:rsidRDefault="00473C64" w:rsidP="00EF65AE">
      <w:pPr>
        <w:rPr>
          <w:rFonts w:cs="Arial"/>
          <w:sz w:val="20"/>
          <w:lang w:val="en-GB"/>
        </w:rPr>
      </w:pPr>
      <w:r>
        <w:rPr>
          <w:rFonts w:cs="Arial"/>
          <w:lang w:val="en-GB"/>
        </w:rPr>
        <w:t xml:space="preserve">The Indo-Pacific is </w:t>
      </w:r>
      <w:r w:rsidR="00EF65AE" w:rsidRPr="00EF65AE">
        <w:rPr>
          <w:rFonts w:cs="Arial"/>
          <w:lang w:val="en-GB"/>
        </w:rPr>
        <w:t>increasingly affected by the interplay between climate change, natural disasters and conflict, with documented impacts on women, peace and security.</w:t>
      </w:r>
      <w:r w:rsidR="00EF65AE" w:rsidRPr="008F61F7">
        <w:rPr>
          <w:rStyle w:val="FootnoteReference"/>
        </w:rPr>
        <w:fldChar w:fldCharType="begin"/>
      </w:r>
      <w:r w:rsidR="00EF65AE" w:rsidRPr="008F61F7">
        <w:rPr>
          <w:rStyle w:val="FootnoteReference"/>
        </w:rPr>
        <w:instrText xml:space="preserve"> ADDIN ZOTERO_ITEM CSL_CITATION {"citationID":"sJNkXRxz","properties":{"formattedCitation":"\\super 124\\nosupersub{}","plainCitation":"124","noteIndex":0},"citationItems":[{"id":2530,"uris":["http://zotero.org/users/4194704/items/TM66KN5N"],"uri":["http://zotero.org/users/4194704/items/TM66KN5N"],"itemData":{"id":2530,"type":"report","title":"Climate Change and Natural Disasters Affecting Women Peace and Security","publisher":"Asia Pacific Forum on Women, Law, and Development","author":[{"family":"Asia Pacific Forum on Women, Law, and Development","given":""}],"issued":{"date-parts":[["2015"]]}}}],"schema":"https://github.com/citation-style-language/schema/raw/master/csl-citation.json"} </w:instrText>
      </w:r>
      <w:r w:rsidR="00EF65AE" w:rsidRPr="008F61F7">
        <w:rPr>
          <w:rStyle w:val="FootnoteReference"/>
        </w:rPr>
        <w:fldChar w:fldCharType="separate"/>
      </w:r>
      <w:r w:rsidR="00EF65AE" w:rsidRPr="008F61F7">
        <w:rPr>
          <w:rStyle w:val="FootnoteReference"/>
        </w:rPr>
        <w:t>124</w:t>
      </w:r>
      <w:r w:rsidR="00EF65AE" w:rsidRPr="008F61F7">
        <w:rPr>
          <w:rStyle w:val="FootnoteReference"/>
        </w:rPr>
        <w:fldChar w:fldCharType="end"/>
      </w:r>
      <w:r w:rsidR="00EF65AE" w:rsidRPr="00EF65AE">
        <w:rPr>
          <w:rFonts w:cs="Arial"/>
          <w:lang w:val="en-GB"/>
        </w:rPr>
        <w:t xml:space="preserve"> UN, </w:t>
      </w:r>
      <w:r w:rsidR="00DA261D">
        <w:rPr>
          <w:rFonts w:cs="Arial"/>
          <w:lang w:val="en-GB"/>
        </w:rPr>
        <w:t>non-government organ</w:t>
      </w:r>
      <w:r w:rsidR="00CA5150">
        <w:rPr>
          <w:rFonts w:cs="Arial"/>
          <w:lang w:val="en-GB"/>
        </w:rPr>
        <w:t>i</w:t>
      </w:r>
      <w:r w:rsidR="00DA261D">
        <w:rPr>
          <w:rFonts w:cs="Arial"/>
          <w:lang w:val="en-GB"/>
        </w:rPr>
        <w:t>sation</w:t>
      </w:r>
      <w:r w:rsidR="00EF65AE" w:rsidRPr="00EF65AE">
        <w:rPr>
          <w:rFonts w:cs="Arial"/>
          <w:lang w:val="en-GB"/>
        </w:rPr>
        <w:t xml:space="preserve"> and government partners in a number of the countries visited by the evaluation team noted how Australian funding contributes to programming that involves women in disaster preparedness, crisis response and recovery efforts</w:t>
      </w:r>
      <w:r w:rsidR="00E2253F">
        <w:rPr>
          <w:rFonts w:cs="Arial"/>
          <w:lang w:val="en-GB"/>
        </w:rPr>
        <w:t xml:space="preserve">. </w:t>
      </w:r>
      <w:r w:rsidR="00EF65AE" w:rsidRPr="00EF65AE">
        <w:rPr>
          <w:rFonts w:cs="Arial"/>
          <w:lang w:val="en-GB"/>
        </w:rPr>
        <w:t xml:space="preserve">While the global evidence base around EVAWG and disasters is limited, Australia stands to contribute extensively to addressing this gap over the next </w:t>
      </w:r>
      <w:r w:rsidR="00DA261D">
        <w:rPr>
          <w:rFonts w:cs="Arial"/>
          <w:lang w:val="en-GB"/>
        </w:rPr>
        <w:t>10</w:t>
      </w:r>
      <w:r w:rsidR="00DA261D" w:rsidRPr="00EF65AE">
        <w:rPr>
          <w:rFonts w:cs="Arial"/>
          <w:lang w:val="en-GB"/>
        </w:rPr>
        <w:t xml:space="preserve"> </w:t>
      </w:r>
      <w:r w:rsidR="00EF65AE" w:rsidRPr="00EF65AE">
        <w:rPr>
          <w:rFonts w:cs="Arial"/>
          <w:lang w:val="en-GB"/>
        </w:rPr>
        <w:t>years</w:t>
      </w:r>
      <w:bookmarkStart w:id="554" w:name="_Toc2869576"/>
      <w:bookmarkStart w:id="555" w:name="_Toc4156982"/>
      <w:bookmarkStart w:id="556" w:name="_Toc7209416"/>
      <w:bookmarkStart w:id="557" w:name="_Toc10114157"/>
      <w:bookmarkStart w:id="558" w:name="_Toc10400341"/>
      <w:r w:rsidR="004E5565">
        <w:rPr>
          <w:rFonts w:cs="Arial"/>
          <w:lang w:val="en-GB"/>
        </w:rPr>
        <w:t>.</w:t>
      </w:r>
    </w:p>
    <w:p w14:paraId="27B18FB3" w14:textId="77777777" w:rsidR="00EF65AE" w:rsidRPr="00BE3968" w:rsidRDefault="00EF65AE" w:rsidP="00EF65AE">
      <w:pPr>
        <w:rPr>
          <w:rFonts w:cs="Arial"/>
          <w:b/>
          <w:lang w:val="en-GB"/>
        </w:rPr>
      </w:pPr>
      <w:r w:rsidRPr="00BE3968">
        <w:rPr>
          <w:rFonts w:cs="Arial"/>
          <w:b/>
          <w:lang w:val="en-GB"/>
        </w:rPr>
        <w:t>Considerations for Australia’s support to EVAWG in humanitarian settings</w:t>
      </w:r>
      <w:bookmarkEnd w:id="554"/>
      <w:bookmarkEnd w:id="555"/>
      <w:bookmarkEnd w:id="556"/>
      <w:bookmarkEnd w:id="557"/>
      <w:bookmarkEnd w:id="558"/>
    </w:p>
    <w:p w14:paraId="61E284D1" w14:textId="3905E9C0" w:rsidR="00EF65AE" w:rsidRPr="00EF65AE" w:rsidRDefault="00EF65AE" w:rsidP="00EF65AE">
      <w:pPr>
        <w:rPr>
          <w:rFonts w:cs="Arial"/>
          <w:lang w:val="en-GB"/>
        </w:rPr>
      </w:pPr>
      <w:r w:rsidRPr="00EF65AE">
        <w:rPr>
          <w:rFonts w:cs="Arial"/>
          <w:lang w:val="en-GB"/>
        </w:rPr>
        <w:t>While recommendations are not included</w:t>
      </w:r>
      <w:r w:rsidR="009B09F4">
        <w:rPr>
          <w:rFonts w:cs="Arial"/>
          <w:lang w:val="en-GB"/>
        </w:rPr>
        <w:t xml:space="preserve"> in this annex</w:t>
      </w:r>
      <w:r w:rsidRPr="00EF65AE">
        <w:rPr>
          <w:rFonts w:cs="Arial"/>
          <w:lang w:val="en-GB"/>
        </w:rPr>
        <w:t xml:space="preserve"> due to the evaluation’s limited scope vis-à-vis review of EVAWG programming and policy in humanitarian contexts, the </w:t>
      </w:r>
      <w:r w:rsidR="00DA261D">
        <w:rPr>
          <w:rFonts w:cs="Arial"/>
          <w:lang w:val="en-GB"/>
        </w:rPr>
        <w:t>highlights</w:t>
      </w:r>
      <w:r w:rsidR="002A22B1">
        <w:rPr>
          <w:rFonts w:cs="Arial"/>
          <w:lang w:val="en-GB"/>
        </w:rPr>
        <w:t xml:space="preserve"> in this section</w:t>
      </w:r>
      <w:r w:rsidR="00DA261D">
        <w:rPr>
          <w:rFonts w:cs="Arial"/>
          <w:lang w:val="en-GB"/>
        </w:rPr>
        <w:t xml:space="preserve"> </w:t>
      </w:r>
      <w:r w:rsidRPr="00EF65AE">
        <w:rPr>
          <w:rFonts w:cs="Arial"/>
          <w:lang w:val="en-GB"/>
        </w:rPr>
        <w:t>represent Australian engagement in this area that could be continued or built upon</w:t>
      </w:r>
      <w:r w:rsidR="001D11A0">
        <w:rPr>
          <w:rFonts w:cs="Arial"/>
          <w:lang w:val="en-GB"/>
        </w:rPr>
        <w:t>,</w:t>
      </w:r>
      <w:r w:rsidRPr="00EF65AE">
        <w:rPr>
          <w:rFonts w:cs="Arial"/>
          <w:lang w:val="en-GB"/>
        </w:rPr>
        <w:t xml:space="preserve"> and additional areas to consider. </w:t>
      </w:r>
    </w:p>
    <w:p w14:paraId="4A0E2802" w14:textId="77777777" w:rsidR="00EF65AE" w:rsidRPr="00EF65AE" w:rsidRDefault="00EF65AE" w:rsidP="00EF65AE">
      <w:pPr>
        <w:rPr>
          <w:rFonts w:cs="Arial"/>
          <w:lang w:val="en-GB"/>
        </w:rPr>
      </w:pPr>
      <w:r w:rsidRPr="00EF65AE">
        <w:rPr>
          <w:rFonts w:cs="Arial"/>
          <w:lang w:val="en-GB"/>
        </w:rPr>
        <w:t>Highlights of Australian engagement</w:t>
      </w:r>
      <w:r w:rsidR="00E33D9C">
        <w:rPr>
          <w:rFonts w:cs="Arial"/>
          <w:lang w:val="en-GB"/>
        </w:rPr>
        <w:t xml:space="preserve"> and commitment</w:t>
      </w:r>
      <w:r w:rsidR="00DA261D">
        <w:rPr>
          <w:rFonts w:cs="Arial"/>
          <w:lang w:val="en-GB"/>
        </w:rPr>
        <w:t>:</w:t>
      </w:r>
    </w:p>
    <w:p w14:paraId="1C21A5A7" w14:textId="77777777" w:rsidR="00EF65AE" w:rsidRPr="00EF65AE" w:rsidRDefault="00E33D9C" w:rsidP="00C6593D">
      <w:pPr>
        <w:pStyle w:val="ListBullet"/>
        <w:rPr>
          <w:lang w:val="en-GB"/>
        </w:rPr>
      </w:pPr>
      <w:r>
        <w:rPr>
          <w:lang w:val="en-GB"/>
        </w:rPr>
        <w:t>K</w:t>
      </w:r>
      <w:r w:rsidR="00EF65AE" w:rsidRPr="00EF65AE">
        <w:rPr>
          <w:lang w:val="en-GB"/>
        </w:rPr>
        <w:t xml:space="preserve">eeping </w:t>
      </w:r>
      <w:r w:rsidR="00D86382">
        <w:rPr>
          <w:lang w:val="en-GB"/>
        </w:rPr>
        <w:t>gender-based violence</w:t>
      </w:r>
      <w:r w:rsidR="00EF65AE" w:rsidRPr="00EF65AE">
        <w:rPr>
          <w:lang w:val="en-GB"/>
        </w:rPr>
        <w:t xml:space="preserve"> at the forefront of emergency response through continued engagement in the</w:t>
      </w:r>
      <w:r w:rsidR="00CA5150">
        <w:rPr>
          <w:lang w:val="en-GB"/>
        </w:rPr>
        <w:t>:</w:t>
      </w:r>
      <w:r w:rsidR="00EF65AE" w:rsidRPr="00EF65AE">
        <w:rPr>
          <w:lang w:val="en-GB"/>
        </w:rPr>
        <w:t xml:space="preserve"> Call to Action</w:t>
      </w:r>
      <w:r w:rsidR="00CA5150">
        <w:rPr>
          <w:lang w:val="en-GB"/>
        </w:rPr>
        <w:t>;</w:t>
      </w:r>
      <w:r w:rsidR="00EF65AE" w:rsidRPr="00EF65AE">
        <w:rPr>
          <w:lang w:val="en-GB"/>
        </w:rPr>
        <w:t xml:space="preserve"> Global Compact on Migration</w:t>
      </w:r>
      <w:r w:rsidR="00CA5150">
        <w:rPr>
          <w:lang w:val="en-GB"/>
        </w:rPr>
        <w:t>;</w:t>
      </w:r>
      <w:r w:rsidR="00EF65AE" w:rsidRPr="00EF65AE">
        <w:rPr>
          <w:lang w:val="en-GB"/>
        </w:rPr>
        <w:t xml:space="preserve"> Women, Peace, and Security Agenda</w:t>
      </w:r>
      <w:r w:rsidR="00CA5150">
        <w:rPr>
          <w:lang w:val="en-GB"/>
        </w:rPr>
        <w:t>;</w:t>
      </w:r>
      <w:r w:rsidR="00EF65AE" w:rsidRPr="00EF65AE">
        <w:rPr>
          <w:lang w:val="en-GB"/>
        </w:rPr>
        <w:t xml:space="preserve"> and relevant </w:t>
      </w:r>
      <w:r w:rsidR="00DA261D" w:rsidRPr="008F61F7">
        <w:t xml:space="preserve">United Nations Security Council </w:t>
      </w:r>
      <w:r w:rsidR="00EF65AE" w:rsidRPr="00EF65AE">
        <w:rPr>
          <w:lang w:val="en-GB"/>
        </w:rPr>
        <w:t xml:space="preserve">commitments. </w:t>
      </w:r>
    </w:p>
    <w:p w14:paraId="51DCB1BD" w14:textId="77777777" w:rsidR="00EF65AE" w:rsidRPr="00EF65AE" w:rsidRDefault="00EF65AE" w:rsidP="00C6593D">
      <w:pPr>
        <w:pStyle w:val="ListBullet"/>
        <w:rPr>
          <w:lang w:val="en-GB"/>
        </w:rPr>
      </w:pPr>
      <w:r w:rsidRPr="00EF65AE">
        <w:rPr>
          <w:lang w:val="en-GB"/>
        </w:rPr>
        <w:t xml:space="preserve">Centring women and girls in Australia’s statements and commitments; supporting humanitarian actors to take an intersectional approach (notably around disability inclusion); and resourcing critical support to sexual and reproductive health and rights in humanitarian settings. </w:t>
      </w:r>
    </w:p>
    <w:p w14:paraId="1A9B70BC" w14:textId="67E8624C" w:rsidR="00EF65AE" w:rsidRPr="00EF65AE" w:rsidRDefault="00EF65AE" w:rsidP="00C92E2E">
      <w:pPr>
        <w:pStyle w:val="ListBullet"/>
        <w:keepLines/>
        <w:ind w:left="357" w:hanging="357"/>
        <w:rPr>
          <w:lang w:val="en-GB"/>
        </w:rPr>
      </w:pPr>
      <w:r w:rsidRPr="00EF65AE">
        <w:rPr>
          <w:lang w:val="en-GB"/>
        </w:rPr>
        <w:t>Implementing policies on prioritising gender, protection, and disability within humanitarian action, which have been recognised by multiple stakeholders as guiding better decision</w:t>
      </w:r>
      <w:r w:rsidR="00E33D9C">
        <w:rPr>
          <w:lang w:val="en-GB"/>
        </w:rPr>
        <w:t xml:space="preserve"> </w:t>
      </w:r>
      <w:r w:rsidRPr="00EF65AE">
        <w:rPr>
          <w:lang w:val="en-GB"/>
        </w:rPr>
        <w:t>making in allocating funds (with some calling for more intensive engagement with multilateral agencies and bilateral partners to ensure these policies are adequately put into practice throughout program design, delivery and evaluation).</w:t>
      </w:r>
    </w:p>
    <w:p w14:paraId="5840A44D" w14:textId="77777777" w:rsidR="00EF65AE" w:rsidRPr="00EF65AE" w:rsidRDefault="00EF65AE" w:rsidP="00EF65AE">
      <w:pPr>
        <w:rPr>
          <w:rFonts w:cs="Arial"/>
          <w:lang w:val="en-GB"/>
        </w:rPr>
      </w:pPr>
      <w:r w:rsidRPr="00EF65AE">
        <w:rPr>
          <w:rFonts w:cs="Arial"/>
          <w:lang w:val="en-GB"/>
        </w:rPr>
        <w:t>Areas to consider</w:t>
      </w:r>
      <w:r w:rsidR="00DA261D">
        <w:rPr>
          <w:rFonts w:cs="Arial"/>
          <w:lang w:val="en-GB"/>
        </w:rPr>
        <w:t>:</w:t>
      </w:r>
    </w:p>
    <w:p w14:paraId="42EC0D2B" w14:textId="77777777" w:rsidR="00F41BE4" w:rsidRPr="00EF65AE" w:rsidRDefault="00F41BE4" w:rsidP="00F41BE4">
      <w:pPr>
        <w:pStyle w:val="ListBullet"/>
      </w:pPr>
      <w:r>
        <w:rPr>
          <w:lang w:val="en-GB"/>
        </w:rPr>
        <w:t xml:space="preserve">Research and </w:t>
      </w:r>
      <w:r w:rsidR="00EF65AE" w:rsidRPr="00EF65AE">
        <w:rPr>
          <w:lang w:val="en-GB"/>
        </w:rPr>
        <w:t xml:space="preserve"> evaluation</w:t>
      </w:r>
      <w:r>
        <w:rPr>
          <w:lang w:val="en-GB"/>
        </w:rPr>
        <w:t xml:space="preserve"> of EVAWG programming</w:t>
      </w:r>
      <w:r w:rsidR="00EF65AE" w:rsidRPr="00EF65AE">
        <w:rPr>
          <w:lang w:val="en-GB"/>
        </w:rPr>
        <w:t xml:space="preserve"> within humanitarian </w:t>
      </w:r>
      <w:r>
        <w:rPr>
          <w:lang w:val="en-GB"/>
        </w:rPr>
        <w:t>assistance</w:t>
      </w:r>
      <w:r w:rsidR="00CA5150">
        <w:rPr>
          <w:lang w:val="en-GB"/>
        </w:rPr>
        <w:t>,</w:t>
      </w:r>
      <w:r>
        <w:rPr>
          <w:lang w:val="en-GB"/>
        </w:rPr>
        <w:t xml:space="preserve"> including that delivered by</w:t>
      </w:r>
      <w:r w:rsidR="00EF65AE" w:rsidRPr="00EF65AE">
        <w:rPr>
          <w:lang w:val="en-GB"/>
        </w:rPr>
        <w:t xml:space="preserve"> multilateral</w:t>
      </w:r>
      <w:r>
        <w:rPr>
          <w:lang w:val="en-GB"/>
        </w:rPr>
        <w:t xml:space="preserve"> organisations and </w:t>
      </w:r>
      <w:r w:rsidRPr="00EF65AE">
        <w:rPr>
          <w:lang w:val="en-GB"/>
        </w:rPr>
        <w:t>sudden-onset natural disasters.</w:t>
      </w:r>
      <w:r w:rsidRPr="00EF65AE">
        <w:rPr>
          <w:vertAlign w:val="superscript"/>
          <w:lang w:val="en-GB"/>
        </w:rPr>
        <w:fldChar w:fldCharType="begin"/>
      </w:r>
      <w:r w:rsidRPr="00EF65AE">
        <w:rPr>
          <w:vertAlign w:val="superscript"/>
          <w:lang w:val="en-GB"/>
        </w:rPr>
        <w:instrText xml:space="preserve"> ADDIN ZOTERO_ITEM CSL_CITATION {"citationID":"a2h3vlgdr0n","properties":{"formattedCitation":"\\super 125\\nosupersub{}","plainCitation":"125","noteIndex":0},"citationItems":[{"id":2580,"uris":["http://zotero.org/users/4194704/items/R78ZYPPI"],"uri":["http://zotero.org/users/4194704/items/R78ZYPPI"],"itemData":{"id":2580,"type":"report","title":"Feminist approaches to building knowledge and evidence on GBV","collection-title":"Feminist Pocketbook Tip Sheet","publisher":"COFEM","number":"5","author":[{"literal":"Coalition of Feminists for Social Change (COFEM)"}],"issued":{"date-parts":[["2018"]]}}}],"schema":"https://github.com/citation-style-language/schema/raw/master/csl-citation.json"} </w:instrText>
      </w:r>
      <w:r w:rsidRPr="00EF65AE">
        <w:rPr>
          <w:vertAlign w:val="superscript"/>
          <w:lang w:val="en-GB"/>
        </w:rPr>
        <w:fldChar w:fldCharType="separate"/>
      </w:r>
      <w:r w:rsidRPr="00EF65AE">
        <w:rPr>
          <w:vertAlign w:val="superscript"/>
          <w:lang w:val="en-GB"/>
        </w:rPr>
        <w:t>125</w:t>
      </w:r>
      <w:r w:rsidRPr="00EF65AE">
        <w:rPr>
          <w:vertAlign w:val="superscript"/>
          <w:lang w:val="en-GB"/>
        </w:rPr>
        <w:fldChar w:fldCharType="end"/>
      </w:r>
    </w:p>
    <w:p w14:paraId="4FA29206" w14:textId="04CEF92A" w:rsidR="00EF65AE" w:rsidRPr="00EF65AE" w:rsidRDefault="00EF65AE" w:rsidP="00FA1CE5">
      <w:pPr>
        <w:pStyle w:val="ListBullet"/>
        <w:numPr>
          <w:ilvl w:val="0"/>
          <w:numId w:val="0"/>
        </w:numPr>
        <w:ind w:left="360"/>
      </w:pPr>
      <w:r w:rsidRPr="00307BDA">
        <w:rPr>
          <w:lang w:val="en-GB"/>
        </w:rPr>
        <w:t>Resourcing a study to better understand the risks faced by women activists, aid workers and others at the frontline of responding to gender-based violence in emergencies—such as bodily harm, vicarious trauma, and sexual harassment, exploitation and abuse—and how these risks are being addressed among its humanitarian partners.</w:t>
      </w:r>
      <w:bookmarkEnd w:id="31"/>
      <w:bookmarkEnd w:id="32"/>
      <w:bookmarkEnd w:id="33"/>
      <w:bookmarkEnd w:id="34"/>
      <w:bookmarkEnd w:id="35"/>
      <w:bookmarkEnd w:id="36"/>
    </w:p>
    <w:sectPr w:rsidR="00EF65AE" w:rsidRPr="00EF65AE" w:rsidSect="003E13AA">
      <w:headerReference w:type="even" r:id="rId28"/>
      <w:headerReference w:type="default" r:id="rId29"/>
      <w:footerReference w:type="even" r:id="rId30"/>
      <w:footerReference w:type="default" r:id="rId31"/>
      <w:headerReference w:type="first" r:id="rId32"/>
      <w:footerReference w:type="first" r:id="rId33"/>
      <w:footnotePr>
        <w:numFmt w:val="lowerRoman"/>
      </w:footnotePr>
      <w:pgSz w:w="11906" w:h="16838" w:code="9"/>
      <w:pgMar w:top="1418" w:right="1134" w:bottom="1418"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98E13" w14:textId="77777777" w:rsidR="004B4B0E" w:rsidRPr="000D4EDE" w:rsidRDefault="004B4B0E" w:rsidP="000D4EDE">
      <w:r>
        <w:separator/>
      </w:r>
    </w:p>
    <w:p w14:paraId="2BDC1917" w14:textId="77777777" w:rsidR="004B4B0E" w:rsidRDefault="004B4B0E"/>
    <w:p w14:paraId="35BB44F3" w14:textId="77777777" w:rsidR="004B4B0E" w:rsidRDefault="004B4B0E"/>
  </w:endnote>
  <w:endnote w:type="continuationSeparator" w:id="0">
    <w:p w14:paraId="7551D659" w14:textId="77777777" w:rsidR="004B4B0E" w:rsidRPr="000D4EDE" w:rsidRDefault="004B4B0E" w:rsidP="000D4EDE">
      <w:r>
        <w:continuationSeparator/>
      </w:r>
    </w:p>
    <w:p w14:paraId="5F991522" w14:textId="77777777" w:rsidR="004B4B0E" w:rsidRDefault="004B4B0E"/>
    <w:p w14:paraId="0ECC9C7C" w14:textId="77777777" w:rsidR="004B4B0E" w:rsidRDefault="004B4B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Ubuntu Light">
    <w:altName w:val="Arial"/>
    <w:panose1 w:val="020B0304030602030204"/>
    <w:charset w:val="00"/>
    <w:family w:val="swiss"/>
    <w:pitch w:val="variable"/>
    <w:sig w:usb0="E00002F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AF701" w14:textId="77777777" w:rsidR="00A46FF6" w:rsidRDefault="00A46F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28ECD" w14:textId="4F6BB9B3" w:rsidR="00FA1CE5" w:rsidRDefault="00FA1CE5" w:rsidP="000A09C4">
    <w:pPr>
      <w:pStyle w:val="Footer"/>
    </w:pPr>
    <w:r w:rsidRPr="001C6759">
      <w:rPr>
        <w:b/>
        <w:noProof/>
      </w:rPr>
      <w:fldChar w:fldCharType="begin"/>
    </w:r>
    <w:r w:rsidRPr="001C6759">
      <w:rPr>
        <w:b/>
        <w:noProof/>
      </w:rPr>
      <w:instrText xml:space="preserve"> STYLEREF  Title  \* MERGEFORMAT </w:instrText>
    </w:r>
    <w:r w:rsidRPr="001C6759">
      <w:rPr>
        <w:b/>
        <w:noProof/>
      </w:rPr>
      <w:fldChar w:fldCharType="separate"/>
    </w:r>
    <w:r w:rsidR="00A46FF6" w:rsidRPr="00A46FF6">
      <w:rPr>
        <w:b/>
        <w:bCs/>
        <w:noProof/>
        <w:lang w:val="en-US"/>
      </w:rPr>
      <w:t>Ending violence against women</w:t>
    </w:r>
    <w:r w:rsidR="00A46FF6">
      <w:rPr>
        <w:b/>
        <w:noProof/>
      </w:rPr>
      <w:t xml:space="preserve"> and girls: Evaluating a decade of Australia’s development assistance</w:t>
    </w:r>
    <w:r w:rsidRPr="001C6759">
      <w:rPr>
        <w:b/>
        <w:noProof/>
      </w:rPr>
      <w:fldChar w:fldCharType="end"/>
    </w:r>
    <w:bookmarkStart w:id="559" w:name="_Toc501467383"/>
    <w:bookmarkStart w:id="560" w:name="_Toc501467444"/>
    <w:bookmarkStart w:id="561" w:name="_Toc505263396"/>
    <w:r>
      <w:rPr>
        <w:noProof/>
      </w:rPr>
      <w:t>.</w:t>
    </w:r>
    <w:r>
      <w:ptab w:relativeTo="margin" w:alignment="right" w:leader="none"/>
    </w:r>
    <w:sdt>
      <w:sdtPr>
        <w:id w:val="139839841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46FF6">
          <w:rPr>
            <w:noProof/>
          </w:rPr>
          <w:t>2</w:t>
        </w:r>
        <w:r>
          <w:rPr>
            <w:noProof/>
          </w:rPr>
          <w:fldChar w:fldCharType="end"/>
        </w:r>
      </w:sdtContent>
    </w:sdt>
    <w:bookmarkEnd w:id="559"/>
    <w:bookmarkEnd w:id="560"/>
    <w:bookmarkEnd w:id="56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66814" w14:textId="77777777" w:rsidR="00A46FF6" w:rsidRDefault="00A46F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2FCF5D" w14:textId="77777777" w:rsidR="004B4B0E" w:rsidRDefault="004B4B0E" w:rsidP="004D25FE">
      <w:r>
        <w:separator/>
      </w:r>
    </w:p>
  </w:footnote>
  <w:footnote w:type="continuationSeparator" w:id="0">
    <w:p w14:paraId="45BA155B" w14:textId="77777777" w:rsidR="004B4B0E" w:rsidRPr="000D4EDE" w:rsidRDefault="004B4B0E" w:rsidP="000D4EDE">
      <w:r>
        <w:continuationSeparator/>
      </w:r>
    </w:p>
    <w:p w14:paraId="0ED222B2" w14:textId="77777777" w:rsidR="004B4B0E" w:rsidRDefault="004B4B0E"/>
    <w:p w14:paraId="2E89C9F3" w14:textId="77777777" w:rsidR="004B4B0E" w:rsidRDefault="004B4B0E"/>
  </w:footnote>
  <w:footnote w:id="1">
    <w:p w14:paraId="55C5FCC7" w14:textId="0E16F1F9" w:rsidR="00FA1CE5" w:rsidRPr="00A93BA3" w:rsidRDefault="00FA1CE5" w:rsidP="00A93BA3">
      <w:pPr>
        <w:pStyle w:val="FootnoteText"/>
      </w:pPr>
      <w:r w:rsidRPr="00A93BA3">
        <w:footnoteRef/>
      </w:r>
      <w:r w:rsidRPr="00A93BA3">
        <w:t xml:space="preserve"> </w:t>
      </w:r>
      <w:r>
        <w:tab/>
      </w:r>
      <w:hyperlink r:id="rId1" w:history="1">
        <w:r w:rsidRPr="00504212">
          <w:rPr>
            <w:rStyle w:val="Hyperlink"/>
          </w:rPr>
          <w:t>https://www.care.org.au/stop-sexual-harassment-project/</w:t>
        </w:r>
      </w:hyperlink>
      <w:r w:rsidRPr="00A93BA3">
        <w:t>, funded through multiple Australian sources inclu</w:t>
      </w:r>
      <w:r w:rsidRPr="003104B3">
        <w:t>ded A</w:t>
      </w:r>
      <w:r w:rsidRPr="002C59B1">
        <w:t>ustralian NGO Cooperation Program</w:t>
      </w:r>
      <w:r w:rsidRPr="00A93BA3">
        <w:t xml:space="preserve"> and the Gender Action Platform. </w:t>
      </w:r>
    </w:p>
  </w:footnote>
  <w:footnote w:id="2">
    <w:p w14:paraId="277F36DC" w14:textId="77777777" w:rsidR="00FA1CE5" w:rsidRPr="00A93BA3" w:rsidRDefault="00FA1CE5" w:rsidP="00A93BA3">
      <w:pPr>
        <w:pStyle w:val="FootnoteText"/>
      </w:pPr>
      <w:r w:rsidRPr="00A93BA3">
        <w:footnoteRef/>
      </w:r>
      <w:r w:rsidRPr="00A93BA3">
        <w:t xml:space="preserve"> </w:t>
      </w:r>
      <w:r>
        <w:tab/>
      </w:r>
      <w:r w:rsidRPr="00A93BA3">
        <w:t>From 2016, DFAT’s Aid Quality Checks contain questions on the extent to which investments explore ‘innovative ways to promote private sector growth’ or ‘engaging the private sector in achieving development outcomes’. Analysis conducted as part of this evaluation shows that in 2017 A</w:t>
      </w:r>
      <w:r>
        <w:t>id Quality Check</w:t>
      </w:r>
      <w:r w:rsidRPr="00A93BA3">
        <w:t xml:space="preserve"> reporting, 55 per cent of EVAWG investments (n=11) reported engagement with private sector actors, compared to 73 per cent of all investments (n=375). Investments are considered to have engaged with private sector actors where this criterion was rated as satisfactory or above.</w:t>
      </w:r>
    </w:p>
  </w:footnote>
  <w:footnote w:id="3">
    <w:p w14:paraId="56686439" w14:textId="77777777" w:rsidR="00FA1CE5" w:rsidRPr="00A93BA3" w:rsidRDefault="00FA1CE5" w:rsidP="00843483">
      <w:pPr>
        <w:pStyle w:val="FootnoteText"/>
      </w:pPr>
      <w:r w:rsidRPr="00A93BA3">
        <w:footnoteRef/>
      </w:r>
      <w:r w:rsidRPr="00A93BA3">
        <w:t xml:space="preserve"> </w:t>
      </w:r>
      <w:r>
        <w:tab/>
      </w:r>
      <w:r w:rsidRPr="00A93BA3">
        <w:t>Aid Quality Checks are an annual internal DFAT process for monitoring the performance of Australian aid. Under the Australian aid program’s performance framework, they are mandatory for all aid investments and agreements valued</w:t>
      </w:r>
      <w:r>
        <w:t xml:space="preserve"> at</w:t>
      </w:r>
      <w:r w:rsidRPr="00A93BA3">
        <w:t xml:space="preserve"> $3 million or more.</w:t>
      </w:r>
    </w:p>
  </w:footnote>
  <w:footnote w:id="4">
    <w:p w14:paraId="7DD9B16D" w14:textId="2E4F657E" w:rsidR="00FA1CE5" w:rsidRPr="00A93BA3" w:rsidRDefault="00FA1CE5" w:rsidP="00A93BA3">
      <w:pPr>
        <w:pStyle w:val="FootnoteText"/>
      </w:pPr>
      <w:r w:rsidRPr="00A93BA3">
        <w:footnoteRef/>
      </w:r>
      <w:r w:rsidRPr="00A93BA3">
        <w:t xml:space="preserve"> </w:t>
      </w:r>
      <w:r>
        <w:tab/>
      </w:r>
      <w:r w:rsidRPr="00A93BA3">
        <w:t xml:space="preserve">For more information on these methods and how they have been used in other </w:t>
      </w:r>
      <w:r>
        <w:t xml:space="preserve">EVAWG </w:t>
      </w:r>
      <w:r w:rsidRPr="00A93BA3">
        <w:t xml:space="preserve">research, see Ellsberg &amp; Heise, 2005. </w:t>
      </w:r>
      <w:r w:rsidRPr="00E958B5">
        <w:rPr>
          <w:i/>
          <w:iCs/>
        </w:rPr>
        <w:t>Researching Violence against Women: A Practical Guide for Researchers and Activists</w:t>
      </w:r>
      <w:r w:rsidRPr="00A93BA3">
        <w:t>. World Health Organi</w:t>
      </w:r>
      <w:r>
        <w:t>z</w:t>
      </w:r>
      <w:r w:rsidRPr="00A93BA3">
        <w:t>ation, PATH</w:t>
      </w:r>
      <w:r>
        <w:t xml:space="preserve">. </w:t>
      </w:r>
      <w:r w:rsidRPr="00A93BA3">
        <w:t>Washington,</w:t>
      </w:r>
      <w:r>
        <w:t> </w:t>
      </w:r>
      <w:r w:rsidRPr="00A93BA3">
        <w:t xml:space="preserve">DC. </w:t>
      </w:r>
    </w:p>
  </w:footnote>
  <w:footnote w:id="5">
    <w:p w14:paraId="237890D2" w14:textId="77777777" w:rsidR="00FA1CE5" w:rsidRPr="00A93BA3" w:rsidRDefault="00FA1CE5" w:rsidP="004716F2">
      <w:pPr>
        <w:pStyle w:val="FootnoteText"/>
        <w:tabs>
          <w:tab w:val="left" w:pos="170"/>
        </w:tabs>
      </w:pPr>
      <w:r w:rsidRPr="00A93BA3">
        <w:footnoteRef/>
      </w:r>
      <w:r w:rsidRPr="00A93BA3">
        <w:t xml:space="preserve"> </w:t>
      </w:r>
      <w:r>
        <w:tab/>
      </w:r>
      <w:r w:rsidRPr="00A93BA3">
        <w:t>These investments were selected as most relevant from an initial list of 290 projects valued at $42.3 million (2007</w:t>
      </w:r>
      <w:r>
        <w:t>–</w:t>
      </w:r>
      <w:r w:rsidRPr="00A93BA3">
        <w:t>08 to 2017</w:t>
      </w:r>
      <w:r>
        <w:t>–</w:t>
      </w:r>
      <w:r w:rsidRPr="00A93BA3">
        <w:t>18).</w:t>
      </w:r>
    </w:p>
  </w:footnote>
  <w:footnote w:id="6">
    <w:p w14:paraId="63588341" w14:textId="154372DF" w:rsidR="00FA1CE5" w:rsidRPr="00A93BA3" w:rsidRDefault="00FA1CE5" w:rsidP="00A93BA3">
      <w:pPr>
        <w:pStyle w:val="FootnoteText"/>
      </w:pPr>
      <w:r w:rsidRPr="00A93BA3">
        <w:footnoteRef/>
      </w:r>
      <w:r w:rsidRPr="00A93BA3">
        <w:t xml:space="preserve"> </w:t>
      </w:r>
      <w:r>
        <w:t xml:space="preserve"> </w:t>
      </w:r>
      <w:r w:rsidRPr="00A93BA3">
        <w:t>Expenses from internal DFAT records.</w:t>
      </w:r>
    </w:p>
  </w:footnote>
  <w:footnote w:id="7">
    <w:p w14:paraId="55B052F1" w14:textId="77777777" w:rsidR="00FA1CE5" w:rsidRPr="00A93BA3" w:rsidRDefault="00FA1CE5" w:rsidP="00A93BA3">
      <w:pPr>
        <w:pStyle w:val="FootnoteText"/>
      </w:pPr>
      <w:r w:rsidRPr="00307BDA">
        <w:footnoteRef/>
      </w:r>
      <w:r w:rsidRPr="00A93BA3">
        <w:t xml:space="preserve"> </w:t>
      </w:r>
      <w:r>
        <w:tab/>
      </w:r>
      <w:bookmarkStart w:id="489" w:name="_Hlk21364815"/>
      <w:r w:rsidRPr="00A93BA3">
        <w:t>While marital rape is not explicitly acknowledged in Fiji’s 2009 Crimes Decree, it has been acknowledged in case law.</w:t>
      </w:r>
      <w:bookmarkEnd w:id="489"/>
    </w:p>
  </w:footnote>
  <w:footnote w:id="8">
    <w:p w14:paraId="13DC583F" w14:textId="29452084" w:rsidR="00FA1CE5" w:rsidRPr="00307BDA" w:rsidRDefault="00FA1CE5" w:rsidP="00307BDA">
      <w:pPr>
        <w:pStyle w:val="FootnoteText"/>
      </w:pPr>
      <w:r w:rsidRPr="00307BDA">
        <w:rPr>
          <w:rStyle w:val="FootnoteReference"/>
          <w:sz w:val="15"/>
          <w:vertAlign w:val="baseline"/>
        </w:rPr>
        <w:footnoteRef/>
      </w:r>
      <w:r w:rsidRPr="00307BDA">
        <w:t xml:space="preserve"> </w:t>
      </w:r>
      <w:bookmarkStart w:id="490" w:name="_Hlk21364825"/>
      <w:r w:rsidRPr="00307BDA">
        <w:tab/>
        <w:t>In several countries, while the law does not explicitly or implicitly criminalise marital rape, exclusionary provisions in the penal code prohibiting or limiting a husband from being prosecuted for rape have been removed or never existed. This makes it technically possible to charge a husband with the rape of his wife.</w:t>
      </w:r>
      <w:bookmarkEnd w:id="490"/>
    </w:p>
  </w:footnote>
  <w:footnote w:id="9">
    <w:p w14:paraId="26B1569D" w14:textId="44F0672A" w:rsidR="00FA1CE5" w:rsidRPr="00747258" w:rsidRDefault="00FA1CE5" w:rsidP="00307BDA">
      <w:pPr>
        <w:pStyle w:val="FootnoteText"/>
      </w:pPr>
      <w:r w:rsidRPr="00307BDA">
        <w:footnoteRef/>
      </w:r>
      <w:r w:rsidRPr="00307BDA">
        <w:t xml:space="preserve">  </w:t>
      </w:r>
      <w:r w:rsidRPr="00307BDA">
        <w:tab/>
      </w:r>
      <w:bookmarkStart w:id="491" w:name="_Hlk21364837"/>
      <w:r w:rsidRPr="00307BDA">
        <w:t>Although there is no specific law criminalising sexual harassment in Papua New Guinea, there are offences under the Criminal Code Act that can be used to charge for inappropriate behaviours deemed to be sexual or indecent. Papua New Guinea also has in place a Gender Equality and Social Inclusion Policy which has provisions around government departments ensuring that they establish sexual harassment policy. In the sexual harassment policy, the definition of sexual harassment includes behaviours that are offences under the Criminal Law. Source</w:t>
      </w:r>
      <w:r w:rsidRPr="00747258">
        <w:t>: communication with Department of Foreign Affairs and Trade’s Port Moresby post.</w:t>
      </w:r>
      <w:bookmarkEnd w:id="491"/>
    </w:p>
  </w:footnote>
  <w:footnote w:id="10">
    <w:p w14:paraId="7C549C19" w14:textId="264BC839" w:rsidR="00FA1CE5" w:rsidRPr="00A93BA3" w:rsidRDefault="00FA1CE5" w:rsidP="00A93BA3">
      <w:pPr>
        <w:pStyle w:val="FootnoteText"/>
      </w:pPr>
      <w:r w:rsidRPr="00307BDA">
        <w:footnoteRef/>
      </w:r>
      <w:r w:rsidRPr="00307BDA">
        <w:t xml:space="preserve"> </w:t>
      </w:r>
      <w:r>
        <w:tab/>
      </w:r>
      <w:r w:rsidRPr="00A93BA3">
        <w:t>Multisectoral services and responses for women and girls subjected to violence, Report of the Secretary-General, UN CSW 57th Session March 2012</w:t>
      </w:r>
      <w:r>
        <w:t>,</w:t>
      </w:r>
      <w:r w:rsidRPr="00A93BA3">
        <w:t xml:space="preserve"> </w:t>
      </w:r>
      <w:hyperlink r:id="rId2" w:history="1">
        <w:r w:rsidRPr="006F6CFB">
          <w:rPr>
            <w:rStyle w:val="Hyperlink"/>
          </w:rPr>
          <w:t>http://undocs.org/E/CN.6/2013/3</w:t>
        </w:r>
      </w:hyperlink>
      <w:r>
        <w:t xml:space="preserve">, </w:t>
      </w:r>
      <w:r w:rsidRPr="00A93BA3">
        <w:t>p</w:t>
      </w:r>
      <w:r>
        <w:t>.</w:t>
      </w:r>
      <w:r w:rsidRPr="00A93BA3">
        <w:t>11</w:t>
      </w:r>
      <w:r>
        <w:t>,</w:t>
      </w:r>
      <w:r w:rsidRPr="00A93BA3">
        <w:t xml:space="preserve"> p</w:t>
      </w:r>
      <w:r>
        <w:t>.</w:t>
      </w:r>
      <w:r w:rsidRPr="00A93BA3">
        <w:t xml:space="preserve"> 32</w:t>
      </w:r>
      <w:r>
        <w:t>.</w:t>
      </w:r>
    </w:p>
  </w:footnote>
  <w:footnote w:id="11">
    <w:p w14:paraId="54F56DD5" w14:textId="444D001C" w:rsidR="00FA1CE5" w:rsidRPr="00A93BA3" w:rsidRDefault="00FA1CE5" w:rsidP="00A93BA3">
      <w:pPr>
        <w:pStyle w:val="FootnoteText"/>
      </w:pPr>
      <w:r w:rsidRPr="00A93BA3">
        <w:footnoteRef/>
      </w:r>
      <w:r w:rsidRPr="00A93BA3">
        <w:t xml:space="preserve"> </w:t>
      </w:r>
      <w:r>
        <w:tab/>
      </w:r>
      <w:hyperlink r:id="rId3" w:history="1">
        <w:r w:rsidRPr="006F6CFB">
          <w:rPr>
            <w:rStyle w:val="Hyperlink"/>
          </w:rPr>
          <w:t>https://www.fairwork.gov.au/leave/family-and-domestic-violence-leave</w:t>
        </w:r>
      </w:hyperlink>
      <w:r w:rsidRPr="00A93BA3">
        <w:t xml:space="preserve"> </w:t>
      </w:r>
    </w:p>
  </w:footnote>
  <w:footnote w:id="12">
    <w:p w14:paraId="66835CDE" w14:textId="6F6218F1" w:rsidR="00FA1CE5" w:rsidRPr="00A93BA3" w:rsidRDefault="00FA1CE5" w:rsidP="00A93BA3">
      <w:pPr>
        <w:pStyle w:val="FootnoteText"/>
      </w:pPr>
      <w:r w:rsidRPr="00A93BA3">
        <w:footnoteRef/>
      </w:r>
      <w:r w:rsidRPr="00A93BA3">
        <w:t xml:space="preserve"> </w:t>
      </w:r>
      <w:r>
        <w:tab/>
      </w:r>
      <w:r w:rsidRPr="00A93BA3">
        <w:t xml:space="preserve">McFerran, Ludo, </w:t>
      </w:r>
      <w:r>
        <w:t>.</w:t>
      </w:r>
      <w:hyperlink r:id="rId4" w:history="1">
        <w:r w:rsidRPr="00C71D68">
          <w:rPr>
            <w:rStyle w:val="Hyperlink"/>
          </w:rPr>
          <w:t>Domestic violence is a workplace issue; Australian developments 2009–2016</w:t>
        </w:r>
      </w:hyperlink>
      <w:r w:rsidRPr="00A93BA3">
        <w:t xml:space="preserve">, </w:t>
      </w:r>
      <w:hyperlink r:id="rId5" w:history="1">
        <w:r w:rsidRPr="006F6CFB">
          <w:rPr>
            <w:rStyle w:val="Hyperlink"/>
          </w:rPr>
          <w:t>https://www.wgea.gov.au/sites/default/files/mcferran-domestic-violence-workplace-issue-australian-developments.pdf</w:t>
        </w:r>
      </w:hyperlink>
      <w:r w:rsidRPr="00A93BA3">
        <w:t xml:space="preserve"> </w:t>
      </w:r>
    </w:p>
  </w:footnote>
  <w:footnote w:id="13">
    <w:p w14:paraId="588E9E58" w14:textId="2163D8AD" w:rsidR="00FA1CE5" w:rsidRPr="00A93BA3" w:rsidRDefault="00FA1CE5" w:rsidP="00A93BA3">
      <w:pPr>
        <w:pStyle w:val="FootnoteText"/>
      </w:pPr>
      <w:r w:rsidRPr="00A93BA3">
        <w:footnoteRef/>
      </w:r>
      <w:r w:rsidRPr="00A93BA3">
        <w:t xml:space="preserve"> </w:t>
      </w:r>
      <w:r>
        <w:tab/>
      </w:r>
      <w:r w:rsidRPr="00371628">
        <w:rPr>
          <w:i/>
          <w:iCs/>
        </w:rPr>
        <w:t>Taking the first step: Workplace responses to domestic and family violence</w:t>
      </w:r>
      <w:r w:rsidRPr="00A93BA3">
        <w:t xml:space="preserve">. UN Women National Committee Australia, December 2017. </w:t>
      </w:r>
      <w:hyperlink r:id="rId6" w:history="1">
        <w:r w:rsidRPr="006F6CFB">
          <w:rPr>
            <w:rStyle w:val="Hyperlink"/>
          </w:rPr>
          <w:t>https://unwomen.org.au/wp-content/uploads/2017/12/Taking_the_First_Step_UNWNCA_Report.pdf</w:t>
        </w:r>
      </w:hyperlink>
    </w:p>
  </w:footnote>
  <w:footnote w:id="14">
    <w:p w14:paraId="725D6CCF" w14:textId="0E7C39E5" w:rsidR="00FA1CE5" w:rsidRPr="00A93BA3" w:rsidRDefault="00FA1CE5" w:rsidP="00A93BA3">
      <w:pPr>
        <w:pStyle w:val="FootnoteText"/>
      </w:pPr>
      <w:r w:rsidRPr="00A93BA3">
        <w:footnoteRef/>
      </w:r>
      <w:r w:rsidRPr="00A93BA3">
        <w:t xml:space="preserve"> </w:t>
      </w:r>
      <w:r>
        <w:tab/>
      </w:r>
      <w:hyperlink r:id="rId7" w:history="1">
        <w:r w:rsidRPr="006F6CFB">
          <w:rPr>
            <w:rStyle w:val="Hyperlink"/>
          </w:rPr>
          <w:t>https://www.apsc.gov.au/sites/default/files/FINAL-Balancing-the-future-the-Australian-Public-Service-gender-equality-strategy-2016-19.pdf</w:t>
        </w:r>
      </w:hyperlink>
      <w:r>
        <w:t>, p. 7.</w:t>
      </w:r>
    </w:p>
  </w:footnote>
  <w:footnote w:id="15">
    <w:p w14:paraId="05242F0C" w14:textId="4EC5BFE3" w:rsidR="00FA1CE5" w:rsidRPr="00A93BA3" w:rsidRDefault="00FA1CE5" w:rsidP="00A93BA3">
      <w:pPr>
        <w:pStyle w:val="FootnoteText"/>
      </w:pPr>
      <w:r w:rsidRPr="00A93BA3">
        <w:footnoteRef/>
      </w:r>
      <w:r w:rsidRPr="00A93BA3">
        <w:t xml:space="preserve"> </w:t>
      </w:r>
      <w:r>
        <w:tab/>
      </w:r>
      <w:hyperlink r:id="rId8" w:history="1">
        <w:r w:rsidRPr="006F6CFB">
          <w:rPr>
            <w:rStyle w:val="Hyperlink"/>
          </w:rPr>
          <w:t>https://www.apsc.gov.au/aps-domestic-and-family-violence-policy-framework</w:t>
        </w:r>
      </w:hyperlink>
      <w:r w:rsidRPr="00A93BA3">
        <w:t xml:space="preserve"> </w:t>
      </w:r>
    </w:p>
  </w:footnote>
  <w:footnote w:id="16">
    <w:p w14:paraId="582D9DEC" w14:textId="135F3C10" w:rsidR="00FA1CE5" w:rsidRPr="00A93BA3" w:rsidRDefault="00FA1CE5" w:rsidP="00A93BA3">
      <w:pPr>
        <w:pStyle w:val="FootnoteText"/>
      </w:pPr>
      <w:r w:rsidRPr="00A93BA3">
        <w:footnoteRef/>
      </w:r>
      <w:r w:rsidRPr="00A93BA3">
        <w:t xml:space="preserve"> </w:t>
      </w:r>
      <w:r>
        <w:tab/>
      </w:r>
      <w:r w:rsidRPr="00A93BA3">
        <w:t xml:space="preserve">DFAT. </w:t>
      </w:r>
      <w:r w:rsidRPr="00B95A11">
        <w:rPr>
          <w:i/>
          <w:iCs/>
        </w:rPr>
        <w:t>Humanitarian Strategy.</w:t>
      </w:r>
      <w:r w:rsidRPr="00A93BA3">
        <w:t xml:space="preserve"> 2016; DFAT Humanitarian Division: Canberra. </w:t>
      </w:r>
      <w:r w:rsidRPr="0066198D">
        <w:rPr>
          <w:rStyle w:val="Hyperlink"/>
        </w:rPr>
        <w:t xml:space="preserve"> </w:t>
      </w:r>
      <w:hyperlink r:id="rId9" w:history="1">
        <w:r w:rsidRPr="0066198D">
          <w:rPr>
            <w:rStyle w:val="Hyperlink"/>
          </w:rPr>
          <w:t>http://dfat.gov.au/about-us/publications/Documents/dfat-humanitarian-strategy.pdf</w:t>
        </w:r>
      </w:hyperlink>
      <w:r>
        <w:t>,</w:t>
      </w:r>
      <w:r w:rsidRPr="00A93BA3">
        <w:t xml:space="preserve"> accessed 18 Jan</w:t>
      </w:r>
      <w:r>
        <w:t>uary</w:t>
      </w:r>
      <w:r w:rsidRPr="00A93BA3">
        <w:t xml:space="preserve"> 2019.</w:t>
      </w:r>
    </w:p>
  </w:footnote>
  <w:footnote w:id="17">
    <w:p w14:paraId="69105A46" w14:textId="77777777" w:rsidR="00FA1CE5" w:rsidRPr="00A93BA3" w:rsidRDefault="00FA1CE5" w:rsidP="00A93BA3">
      <w:pPr>
        <w:pStyle w:val="FootnoteText"/>
      </w:pPr>
      <w:r w:rsidRPr="00A93BA3">
        <w:footnoteRef/>
      </w:r>
      <w:r w:rsidRPr="00A93BA3">
        <w:t xml:space="preserve"> </w:t>
      </w:r>
      <w:r>
        <w:tab/>
      </w:r>
      <w:r w:rsidRPr="00A93BA3">
        <w:t>O</w:t>
      </w:r>
      <w:r>
        <w:t>rganisation for Economic Co-operation and Development</w:t>
      </w:r>
      <w:r w:rsidRPr="00A93BA3">
        <w:t xml:space="preserve"> and U</w:t>
      </w:r>
      <w:r>
        <w:t xml:space="preserve">nited </w:t>
      </w:r>
      <w:r w:rsidRPr="00A93BA3">
        <w:t>N</w:t>
      </w:r>
      <w:r>
        <w:t>ations</w:t>
      </w:r>
      <w:r w:rsidRPr="00A93BA3">
        <w:t xml:space="preserve"> data notes US$308</w:t>
      </w:r>
      <w:r>
        <w:t xml:space="preserve"> </w:t>
      </w:r>
      <w:r w:rsidRPr="00A93BA3">
        <w:t>m</w:t>
      </w:r>
      <w:r>
        <w:t>illion</w:t>
      </w:r>
      <w:r w:rsidRPr="00A93BA3">
        <w:t xml:space="preserve">, author’s calculation to AUD. </w:t>
      </w:r>
    </w:p>
  </w:footnote>
  <w:footnote w:id="18">
    <w:p w14:paraId="33640CB7" w14:textId="478FE80F" w:rsidR="00FA1CE5" w:rsidRPr="00A93BA3" w:rsidRDefault="00FA1CE5" w:rsidP="00A93BA3">
      <w:pPr>
        <w:pStyle w:val="FootnoteText"/>
      </w:pPr>
      <w:r w:rsidRPr="00A93BA3">
        <w:footnoteRef/>
      </w:r>
      <w:r w:rsidRPr="00A93BA3">
        <w:t xml:space="preserve"> </w:t>
      </w:r>
      <w:r>
        <w:tab/>
      </w:r>
      <w:r w:rsidRPr="008F61F7">
        <w:rPr>
          <w:i/>
          <w:iCs/>
        </w:rPr>
        <w:t>Development Initiatives. Global Humanitarian Assistance Report 2018</w:t>
      </w:r>
      <w:r w:rsidRPr="00A93BA3">
        <w:t xml:space="preserve">. </w:t>
      </w:r>
      <w:hyperlink r:id="rId10" w:history="1">
        <w:r w:rsidRPr="0066198D">
          <w:rPr>
            <w:rStyle w:val="Hyperlink"/>
          </w:rPr>
          <w:t>http://devinit.org/wp-content/uploads/2018/06/GHA-Report-2018.pdf</w:t>
        </w:r>
      </w:hyperlink>
      <w:r>
        <w:t xml:space="preserve">, </w:t>
      </w:r>
      <w:r w:rsidRPr="00A93BA3">
        <w:t>accessed 18 Jan</w:t>
      </w:r>
      <w:r>
        <w:t>uary</w:t>
      </w:r>
      <w:r w:rsidRPr="00A93BA3">
        <w:t xml:space="preserve"> 2019. According to </w:t>
      </w:r>
      <w:r w:rsidRPr="008F61F7">
        <w:rPr>
          <w:i/>
          <w:iCs/>
        </w:rPr>
        <w:t>Development Initiatives’ Global Humanitarian Assistance Report 2018</w:t>
      </w:r>
      <w:r w:rsidRPr="00A93BA3">
        <w:t xml:space="preserve">, Australia is part of </w:t>
      </w:r>
      <w:r>
        <w:t>‘</w:t>
      </w:r>
      <w:r w:rsidRPr="00A93BA3">
        <w:t>a relatively small group of governments, along with E</w:t>
      </w:r>
      <w:r>
        <w:t xml:space="preserve">uropean </w:t>
      </w:r>
      <w:r w:rsidRPr="00A93BA3">
        <w:t>U</w:t>
      </w:r>
      <w:r>
        <w:t>nion</w:t>
      </w:r>
      <w:r w:rsidRPr="00A93BA3">
        <w:t xml:space="preserve"> institutions, [who] continue to provide </w:t>
      </w:r>
      <w:r>
        <w:t>most</w:t>
      </w:r>
      <w:r w:rsidRPr="00A93BA3">
        <w:t xml:space="preserve"> international humanitarian assistance.</w:t>
      </w:r>
      <w:r>
        <w:t>’</w:t>
      </w:r>
      <w:r w:rsidRPr="00A93BA3">
        <w:t xml:space="preserve"> The pace of growth among this group of 20 donors slowed to 1.6</w:t>
      </w:r>
      <w:r>
        <w:t xml:space="preserve"> per cent</w:t>
      </w:r>
      <w:r w:rsidRPr="00A93BA3">
        <w:t xml:space="preserve"> between 2016 and 2017, as compared to rises of 8</w:t>
      </w:r>
      <w:r>
        <w:t xml:space="preserve"> per cent to </w:t>
      </w:r>
      <w:r w:rsidRPr="00A93BA3">
        <w:t>24</w:t>
      </w:r>
      <w:r>
        <w:t xml:space="preserve"> per cent</w:t>
      </w:r>
      <w:r w:rsidRPr="00A93BA3">
        <w:t xml:space="preserve"> over the three previous years.</w:t>
      </w:r>
    </w:p>
  </w:footnote>
  <w:footnote w:id="19">
    <w:p w14:paraId="2048A7CB" w14:textId="77777777" w:rsidR="00FA1CE5" w:rsidRPr="00A93BA3" w:rsidRDefault="00FA1CE5" w:rsidP="00A93BA3">
      <w:pPr>
        <w:pStyle w:val="FootnoteText"/>
      </w:pPr>
      <w:r w:rsidRPr="00A93BA3">
        <w:footnoteRef/>
      </w:r>
      <w:r w:rsidRPr="00A93BA3">
        <w:t xml:space="preserve"> </w:t>
      </w:r>
      <w:r>
        <w:tab/>
      </w:r>
      <w:r w:rsidRPr="00A93BA3">
        <w:t>UNFPA and UNICEF Gender</w:t>
      </w:r>
      <w:r>
        <w:t>-b</w:t>
      </w:r>
      <w:r w:rsidRPr="00A93BA3">
        <w:t>ased Violence Area of Responsibility (GBV AoR) Leadership Review Report_March16_[as submitted].docx</w:t>
      </w:r>
    </w:p>
  </w:footnote>
  <w:footnote w:id="20">
    <w:p w14:paraId="1E59CC06" w14:textId="77777777" w:rsidR="00FA1CE5" w:rsidRPr="00A93BA3" w:rsidRDefault="00FA1CE5" w:rsidP="00A93BA3">
      <w:pPr>
        <w:pStyle w:val="FootnoteText"/>
      </w:pPr>
      <w:r w:rsidRPr="00A93BA3">
        <w:footnoteRef/>
      </w:r>
      <w:r w:rsidRPr="00A93BA3">
        <w:t xml:space="preserve"> </w:t>
      </w:r>
      <w:r>
        <w:tab/>
      </w:r>
      <w:r w:rsidRPr="00A93BA3">
        <w:t>Interview with women’s rights activist, Tonga</w:t>
      </w:r>
      <w:r>
        <w:t>.</w:t>
      </w:r>
    </w:p>
  </w:footnote>
  <w:footnote w:id="21">
    <w:p w14:paraId="75F4BB46" w14:textId="77777777" w:rsidR="00FA1CE5" w:rsidRPr="00A93BA3" w:rsidRDefault="00FA1CE5" w:rsidP="00A93BA3">
      <w:pPr>
        <w:pStyle w:val="FootnoteText"/>
      </w:pPr>
      <w:r w:rsidRPr="00A93BA3">
        <w:footnoteRef/>
      </w:r>
      <w:r w:rsidRPr="00A93BA3">
        <w:t xml:space="preserve"> </w:t>
      </w:r>
      <w:r>
        <w:tab/>
      </w:r>
      <w:r w:rsidRPr="00A93BA3">
        <w:t>World Health Organization, Definitions: emergencies</w:t>
      </w:r>
      <w:r>
        <w:t xml:space="preserve"> </w:t>
      </w:r>
      <w:r w:rsidRPr="00A93BA3">
        <w:t xml:space="preserve">webpage. </w:t>
      </w:r>
      <w:r w:rsidRPr="00C02761">
        <w:rPr>
          <w:rStyle w:val="Hyperlink"/>
        </w:rPr>
        <w:t>https://www.who.int/hac/about/definitions/en/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2A155" w14:textId="77777777" w:rsidR="00A46FF6" w:rsidRDefault="00A46F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D6459" w14:textId="77777777" w:rsidR="00A46FF6" w:rsidRDefault="00A46F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3C8B8" w14:textId="77777777" w:rsidR="00A46FF6" w:rsidRDefault="00A46F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7F"/>
    <w:multiLevelType w:val="singleLevel"/>
    <w:tmpl w:val="C67E52E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65CDAA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BCC430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6983867"/>
    <w:multiLevelType w:val="multilevel"/>
    <w:tmpl w:val="C3D0757A"/>
    <w:styleLink w:val="AppendixList"/>
    <w:lvl w:ilvl="0">
      <w:start w:val="1"/>
      <w:numFmt w:val="decimal"/>
      <w:pStyle w:val="AnnexHeading"/>
      <w:suff w:val="space"/>
      <w:lvlText w:val="Annex %1:"/>
      <w:lvlJc w:val="left"/>
      <w:pPr>
        <w:ind w:left="0" w:firstLine="0"/>
      </w:pPr>
      <w:rPr>
        <w:rFonts w:hint="default"/>
      </w:rPr>
    </w:lvl>
    <w:lvl w:ilvl="1">
      <w:start w:val="1"/>
      <w:numFmt w:val="decimal"/>
      <w:pStyle w:val="Anne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121313FC"/>
    <w:multiLevelType w:val="hybridMultilevel"/>
    <w:tmpl w:val="B2CCB526"/>
    <w:lvl w:ilvl="0" w:tplc="283C055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0427D3"/>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B051BDF"/>
    <w:multiLevelType w:val="multilevel"/>
    <w:tmpl w:val="EBBC2278"/>
    <w:lvl w:ilvl="0">
      <w:start w:val="1"/>
      <w:numFmt w:val="lowerLetter"/>
      <w:lvlText w:val="%1)"/>
      <w:lvlJc w:val="left"/>
      <w:pPr>
        <w:ind w:left="360" w:hanging="360"/>
      </w:pPr>
      <w:rPr>
        <w:rFonts w:hint="default"/>
        <w:color w:val="000000" w:themeColor="text1"/>
      </w:rPr>
    </w:lvl>
    <w:lvl w:ilvl="1">
      <w:start w:val="1"/>
      <w:numFmt w:val="bullet"/>
      <w:lvlText w:val="-"/>
      <w:lvlJc w:val="left"/>
      <w:pPr>
        <w:ind w:left="720" w:hanging="363"/>
      </w:pPr>
      <w:rPr>
        <w:rFonts w:ascii="Arial" w:hAnsi="Arial" w:hint="default"/>
        <w:color w:val="000000" w:themeColor="text1"/>
      </w:rPr>
    </w:lvl>
    <w:lvl w:ilvl="2">
      <w:start w:val="1"/>
      <w:numFmt w:val="bullet"/>
      <w:lvlText w:val="▪"/>
      <w:lvlJc w:val="left"/>
      <w:pPr>
        <w:ind w:left="1077" w:hanging="357"/>
      </w:pPr>
      <w:rPr>
        <w:rFonts w:ascii="Arial" w:hAnsi="Aria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2DCD50BE"/>
    <w:multiLevelType w:val="hybridMultilevel"/>
    <w:tmpl w:val="A62C9312"/>
    <w:lvl w:ilvl="0" w:tplc="85A6C174">
      <w:start w:val="1"/>
      <w:numFmt w:val="bullet"/>
      <w:pStyle w:val="TableList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Aria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Arial"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Arial" w:hint="default"/>
      </w:rPr>
    </w:lvl>
    <w:lvl w:ilvl="8" w:tplc="0409001B" w:tentative="1">
      <w:start w:val="1"/>
      <w:numFmt w:val="bullet"/>
      <w:lvlText w:val=""/>
      <w:lvlJc w:val="left"/>
      <w:pPr>
        <w:ind w:left="6120" w:hanging="360"/>
      </w:pPr>
      <w:rPr>
        <w:rFonts w:ascii="Wingdings" w:hAnsi="Wingdings" w:hint="default"/>
      </w:rPr>
    </w:lvl>
  </w:abstractNum>
  <w:abstractNum w:abstractNumId="13" w15:restartNumberingAfterBreak="0">
    <w:nsid w:val="2E116FEC"/>
    <w:multiLevelType w:val="multilevel"/>
    <w:tmpl w:val="E2A0B2EA"/>
    <w:styleLink w:val="111111"/>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2F267826"/>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85F51A1"/>
    <w:multiLevelType w:val="multilevel"/>
    <w:tmpl w:val="42121E28"/>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Arial" w:hAnsi="Arial" w:hint="default"/>
        <w:color w:val="000000" w:themeColor="text1"/>
      </w:rPr>
    </w:lvl>
    <w:lvl w:ilvl="2">
      <w:start w:val="1"/>
      <w:numFmt w:val="bullet"/>
      <w:pStyle w:val="ListBullet3"/>
      <w:lvlText w:val="▪"/>
      <w:lvlJc w:val="left"/>
      <w:pPr>
        <w:ind w:left="1077" w:hanging="357"/>
      </w:pPr>
      <w:rPr>
        <w:rFonts w:ascii="Arial" w:hAnsi="Aria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86422A5"/>
    <w:multiLevelType w:val="hybridMultilevel"/>
    <w:tmpl w:val="E5EE833E"/>
    <w:lvl w:ilvl="0" w:tplc="B5C28B9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D7E4EB0"/>
    <w:multiLevelType w:val="hybridMultilevel"/>
    <w:tmpl w:val="C368E9C8"/>
    <w:lvl w:ilvl="0" w:tplc="CEA2B434">
      <w:numFmt w:val="bullet"/>
      <w:lvlText w:val=""/>
      <w:lvlJc w:val="left"/>
      <w:pPr>
        <w:ind w:left="720" w:hanging="360"/>
      </w:pPr>
      <w:rPr>
        <w:rFonts w:ascii="Symbol" w:eastAsia="DengXi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E7A0426"/>
    <w:multiLevelType w:val="hybridMultilevel"/>
    <w:tmpl w:val="D256C3EA"/>
    <w:lvl w:ilvl="0" w:tplc="7FAC6D72">
      <w:start w:val="1"/>
      <w:numFmt w:val="decimal"/>
      <w:lvlRestart w:val="0"/>
      <w:lvlText w:val="%1."/>
      <w:lvlJc w:val="left"/>
      <w:pPr>
        <w:ind w:left="360" w:hanging="360"/>
      </w:pPr>
      <w:rPr>
        <w:b/>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A0445F4"/>
    <w:multiLevelType w:val="multilevel"/>
    <w:tmpl w:val="7CB0DDF6"/>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4C470EA5"/>
    <w:multiLevelType w:val="hybridMultilevel"/>
    <w:tmpl w:val="F2BCCE30"/>
    <w:lvl w:ilvl="0" w:tplc="566020C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4D9D32D8"/>
    <w:multiLevelType w:val="hybridMultilevel"/>
    <w:tmpl w:val="941A320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2F00F50"/>
    <w:multiLevelType w:val="multilevel"/>
    <w:tmpl w:val="60E0C9C6"/>
    <w:styleLink w:val="TableList"/>
    <w:lvl w:ilvl="0">
      <w:start w:val="1"/>
      <w:numFmt w:val="decimal"/>
      <w:lvlText w:val="%1)"/>
      <w:lvlJc w:val="left"/>
      <w:pPr>
        <w:ind w:left="360" w:hanging="360"/>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43D17FD"/>
    <w:multiLevelType w:val="multilevel"/>
    <w:tmpl w:val="FDF0872E"/>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EF70D3B"/>
    <w:multiLevelType w:val="hybridMultilevel"/>
    <w:tmpl w:val="9F2E55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0"/>
  </w:num>
  <w:num w:numId="4">
    <w:abstractNumId w:val="7"/>
  </w:num>
  <w:num w:numId="5">
    <w:abstractNumId w:val="13"/>
  </w:num>
  <w:num w:numId="6">
    <w:abstractNumId w:val="15"/>
  </w:num>
  <w:num w:numId="7">
    <w:abstractNumId w:val="22"/>
  </w:num>
  <w:num w:numId="8">
    <w:abstractNumId w:val="23"/>
  </w:num>
  <w:num w:numId="9">
    <w:abstractNumId w:val="19"/>
    <w:lvlOverride w:ilvl="0">
      <w:lvl w:ilvl="0">
        <w:start w:val="1"/>
        <w:numFmt w:val="none"/>
        <w:pStyle w:val="Normal"/>
        <w:suff w:val="nothing"/>
        <w:lvlText w:val="%1"/>
        <w:lvlJc w:val="left"/>
        <w:pPr>
          <w:ind w:left="0" w:firstLine="0"/>
        </w:pPr>
      </w:lvl>
    </w:lvlOverride>
    <w:lvlOverride w:ilvl="1">
      <w:lvl w:ilvl="1">
        <w:start w:val="1"/>
        <w:numFmt w:val="decimal"/>
        <w:pStyle w:val="ListNumber"/>
        <w:lvlText w:val="%2."/>
        <w:lvlJc w:val="left"/>
        <w:pPr>
          <w:tabs>
            <w:tab w:val="num" w:pos="357"/>
          </w:tabs>
          <w:ind w:left="357" w:hanging="357"/>
        </w:pPr>
      </w:lvl>
    </w:lvlOverride>
    <w:lvlOverride w:ilvl="2">
      <w:lvl w:ilvl="2">
        <w:start w:val="1"/>
        <w:numFmt w:val="lowerLetter"/>
        <w:pStyle w:val="ListNumber2"/>
        <w:lvlText w:val="%3."/>
        <w:lvlJc w:val="left"/>
        <w:pPr>
          <w:tabs>
            <w:tab w:val="num" w:pos="720"/>
          </w:tabs>
          <w:ind w:left="720" w:hanging="363"/>
        </w:pPr>
        <w:rPr>
          <w:b w:val="0"/>
        </w:rPr>
      </w:lvl>
    </w:lvlOverride>
    <w:lvlOverride w:ilvl="3">
      <w:lvl w:ilvl="3">
        <w:start w:val="1"/>
        <w:numFmt w:val="lowerRoman"/>
        <w:pStyle w:val="ListNumber3"/>
        <w:lvlText w:val="(%4)"/>
        <w:lvlJc w:val="left"/>
        <w:pPr>
          <w:tabs>
            <w:tab w:val="num" w:pos="1077"/>
          </w:tabs>
          <w:ind w:left="1077" w:hanging="357"/>
        </w:pPr>
        <w:rPr>
          <w:rFonts w:ascii="Arial" w:eastAsiaTheme="minorHAnsi" w:hAnsi="Arial" w:cstheme="minorBidi"/>
        </w:rPr>
      </w:lvl>
    </w:lvlOverride>
    <w:lvlOverride w:ilvl="4">
      <w:lvl w:ilvl="4">
        <w:start w:val="1"/>
        <w:numFmt w:val="upperLetter"/>
        <w:pStyle w:val="ListNumber4"/>
        <w:lvlText w:val="%5."/>
        <w:lvlJc w:val="left"/>
        <w:pPr>
          <w:tabs>
            <w:tab w:val="num" w:pos="1435"/>
          </w:tabs>
          <w:ind w:left="1435" w:hanging="358"/>
        </w:pPr>
      </w:lvl>
    </w:lvlOverride>
    <w:lvlOverride w:ilvl="5">
      <w:lvl w:ilvl="5">
        <w:start w:val="1"/>
        <w:numFmt w:val="none"/>
        <w:suff w:val="nothing"/>
        <w:lvlText w:val="%6"/>
        <w:lvlJc w:val="left"/>
        <w:pPr>
          <w:ind w:left="0" w:firstLine="0"/>
        </w:pPr>
      </w:lvl>
    </w:lvlOverride>
    <w:lvlOverride w:ilvl="6">
      <w:lvl w:ilvl="6">
        <w:start w:val="1"/>
        <w:numFmt w:val="none"/>
        <w:suff w:val="nothing"/>
        <w:lvlText w:val=""/>
        <w:lvlJc w:val="left"/>
        <w:pPr>
          <w:ind w:left="0" w:firstLine="0"/>
        </w:pPr>
      </w:lvl>
    </w:lvlOverride>
    <w:lvlOverride w:ilvl="7">
      <w:lvl w:ilvl="7">
        <w:start w:val="1"/>
        <w:numFmt w:val="none"/>
        <w:suff w:val="nothing"/>
        <w:lvlText w:val=""/>
        <w:lvlJc w:val="left"/>
        <w:pPr>
          <w:ind w:left="0" w:firstLine="0"/>
        </w:pPr>
      </w:lvl>
    </w:lvlOverride>
    <w:lvlOverride w:ilvl="8">
      <w:lvl w:ilvl="8">
        <w:start w:val="1"/>
        <w:numFmt w:val="none"/>
        <w:suff w:val="nothing"/>
        <w:lvlText w:val="%9"/>
        <w:lvlJc w:val="left"/>
        <w:pPr>
          <w:ind w:left="0" w:firstLine="0"/>
        </w:pPr>
      </w:lvl>
    </w:lvlOverride>
  </w:num>
  <w:num w:numId="10">
    <w:abstractNumId w:val="14"/>
  </w:num>
  <w:num w:numId="11">
    <w:abstractNumId w:val="9"/>
  </w:num>
  <w:num w:numId="12">
    <w:abstractNumId w:val="3"/>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5"/>
  </w:num>
  <w:num w:numId="19">
    <w:abstractNumId w:val="12"/>
  </w:num>
  <w:num w:numId="20">
    <w:abstractNumId w:val="17"/>
  </w:num>
  <w:num w:numId="21">
    <w:abstractNumId w:val="24"/>
  </w:num>
  <w:num w:numId="22">
    <w:abstractNumId w:val="11"/>
  </w:num>
  <w:num w:numId="23">
    <w:abstractNumId w:val="21"/>
  </w:num>
  <w:num w:numId="24">
    <w:abstractNumId w:val="5"/>
  </w:num>
  <w:num w:numId="25">
    <w:abstractNumId w:val="1"/>
  </w:num>
  <w:num w:numId="26">
    <w:abstractNumId w:val="8"/>
  </w:num>
  <w:num w:numId="27">
    <w:abstractNumId w:val="16"/>
  </w:num>
  <w:num w:numId="28">
    <w:abstractNumId w:val="20"/>
  </w:num>
  <w:num w:numId="29">
    <w:abstractNumId w:val="15"/>
  </w:num>
  <w:num w:numId="30">
    <w:abstractNumId w:val="13"/>
  </w:num>
  <w:num w:numId="31">
    <w:abstractNumId w:val="13"/>
  </w:num>
  <w:num w:numId="32">
    <w:abstractNumId w:val="19"/>
  </w:num>
  <w:num w:numId="33">
    <w:abstractNumId w:val="19"/>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0"/>
  </w:num>
  <w:num w:numId="40">
    <w:abstractNumId w:val="4"/>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IN"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en-IN" w:vendorID="64" w:dllVersion="0" w:nlCheck="1" w:checkStyle="0"/>
  <w:activeWritingStyle w:appName="MSWord" w:lang="es-ES" w:vendorID="64" w:dllVersion="0"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s-ES" w:vendorID="64" w:dllVersion="4096" w:nlCheck="1" w:checkStyle="0"/>
  <w:documentProtection w:formatting="1" w:enforcement="0"/>
  <w:defaultTabStop w:val="720"/>
  <w:characterSpacingControl w:val="doNotCompress"/>
  <w:hdrShapeDefaults>
    <o:shapedefaults v:ext="edit" spidmax="4097"/>
  </w:hdrShapeDefaults>
  <w:footnotePr>
    <w:numFmt w:val="lowerRoman"/>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507"/>
    <w:rsid w:val="00004CFB"/>
    <w:rsid w:val="00005231"/>
    <w:rsid w:val="00005D98"/>
    <w:rsid w:val="00011C96"/>
    <w:rsid w:val="00013879"/>
    <w:rsid w:val="000141B9"/>
    <w:rsid w:val="0001494A"/>
    <w:rsid w:val="00016E7C"/>
    <w:rsid w:val="00021516"/>
    <w:rsid w:val="00022142"/>
    <w:rsid w:val="00022E1A"/>
    <w:rsid w:val="000231B9"/>
    <w:rsid w:val="00024FD2"/>
    <w:rsid w:val="000251EA"/>
    <w:rsid w:val="00026246"/>
    <w:rsid w:val="00027336"/>
    <w:rsid w:val="00031265"/>
    <w:rsid w:val="000321DE"/>
    <w:rsid w:val="0003305A"/>
    <w:rsid w:val="0003385D"/>
    <w:rsid w:val="00033C7C"/>
    <w:rsid w:val="00034A19"/>
    <w:rsid w:val="00034F03"/>
    <w:rsid w:val="000350C0"/>
    <w:rsid w:val="0003545A"/>
    <w:rsid w:val="00036F9E"/>
    <w:rsid w:val="000413B3"/>
    <w:rsid w:val="0004266B"/>
    <w:rsid w:val="00046D1C"/>
    <w:rsid w:val="00047990"/>
    <w:rsid w:val="00050BB8"/>
    <w:rsid w:val="00053B9A"/>
    <w:rsid w:val="00057B37"/>
    <w:rsid w:val="00057B71"/>
    <w:rsid w:val="0006132D"/>
    <w:rsid w:val="0006576E"/>
    <w:rsid w:val="000657FF"/>
    <w:rsid w:val="00066688"/>
    <w:rsid w:val="00067A9F"/>
    <w:rsid w:val="0007202C"/>
    <w:rsid w:val="00072B30"/>
    <w:rsid w:val="0007319C"/>
    <w:rsid w:val="000732AA"/>
    <w:rsid w:val="00075611"/>
    <w:rsid w:val="000767DD"/>
    <w:rsid w:val="00077803"/>
    <w:rsid w:val="00077F74"/>
    <w:rsid w:val="00080C1C"/>
    <w:rsid w:val="000846CB"/>
    <w:rsid w:val="00084F8B"/>
    <w:rsid w:val="000862AB"/>
    <w:rsid w:val="00086D07"/>
    <w:rsid w:val="00086F71"/>
    <w:rsid w:val="00087F75"/>
    <w:rsid w:val="00093711"/>
    <w:rsid w:val="00093915"/>
    <w:rsid w:val="00094126"/>
    <w:rsid w:val="0009447E"/>
    <w:rsid w:val="000949AD"/>
    <w:rsid w:val="00095109"/>
    <w:rsid w:val="00096B0F"/>
    <w:rsid w:val="000A09C4"/>
    <w:rsid w:val="000A490E"/>
    <w:rsid w:val="000A4DD0"/>
    <w:rsid w:val="000A5FA0"/>
    <w:rsid w:val="000A64F6"/>
    <w:rsid w:val="000B04C5"/>
    <w:rsid w:val="000B2D21"/>
    <w:rsid w:val="000B63CA"/>
    <w:rsid w:val="000B752A"/>
    <w:rsid w:val="000C066A"/>
    <w:rsid w:val="000C14D9"/>
    <w:rsid w:val="000C15C7"/>
    <w:rsid w:val="000C2BB4"/>
    <w:rsid w:val="000C3681"/>
    <w:rsid w:val="000C56FC"/>
    <w:rsid w:val="000D0326"/>
    <w:rsid w:val="000D1829"/>
    <w:rsid w:val="000D4A16"/>
    <w:rsid w:val="000D4EDE"/>
    <w:rsid w:val="000E1900"/>
    <w:rsid w:val="000E2460"/>
    <w:rsid w:val="000E34E6"/>
    <w:rsid w:val="000E43AC"/>
    <w:rsid w:val="000E794B"/>
    <w:rsid w:val="000F229A"/>
    <w:rsid w:val="000F4DD4"/>
    <w:rsid w:val="000F5A5E"/>
    <w:rsid w:val="00100167"/>
    <w:rsid w:val="0010095B"/>
    <w:rsid w:val="001015C1"/>
    <w:rsid w:val="001026A4"/>
    <w:rsid w:val="00105670"/>
    <w:rsid w:val="001074FB"/>
    <w:rsid w:val="00107697"/>
    <w:rsid w:val="00110E72"/>
    <w:rsid w:val="00111BE5"/>
    <w:rsid w:val="0011437E"/>
    <w:rsid w:val="001145D8"/>
    <w:rsid w:val="001158AC"/>
    <w:rsid w:val="0012349A"/>
    <w:rsid w:val="00123576"/>
    <w:rsid w:val="001238D9"/>
    <w:rsid w:val="00123CB7"/>
    <w:rsid w:val="001247AB"/>
    <w:rsid w:val="00124B21"/>
    <w:rsid w:val="001269DE"/>
    <w:rsid w:val="001307D2"/>
    <w:rsid w:val="00130BA6"/>
    <w:rsid w:val="001327B8"/>
    <w:rsid w:val="0013471B"/>
    <w:rsid w:val="001352D4"/>
    <w:rsid w:val="00141002"/>
    <w:rsid w:val="00141476"/>
    <w:rsid w:val="00141FD8"/>
    <w:rsid w:val="00142A7D"/>
    <w:rsid w:val="0015031B"/>
    <w:rsid w:val="00152237"/>
    <w:rsid w:val="001527B8"/>
    <w:rsid w:val="00152B2E"/>
    <w:rsid w:val="001532F4"/>
    <w:rsid w:val="00157C98"/>
    <w:rsid w:val="0016073E"/>
    <w:rsid w:val="001608B7"/>
    <w:rsid w:val="00161835"/>
    <w:rsid w:val="00164B5E"/>
    <w:rsid w:val="001653B6"/>
    <w:rsid w:val="00170523"/>
    <w:rsid w:val="00173170"/>
    <w:rsid w:val="00173C03"/>
    <w:rsid w:val="00173F90"/>
    <w:rsid w:val="00174B0F"/>
    <w:rsid w:val="00174B49"/>
    <w:rsid w:val="001778C4"/>
    <w:rsid w:val="001815B3"/>
    <w:rsid w:val="00181BE6"/>
    <w:rsid w:val="0018235E"/>
    <w:rsid w:val="00184E3A"/>
    <w:rsid w:val="001870DD"/>
    <w:rsid w:val="0019178A"/>
    <w:rsid w:val="00196A09"/>
    <w:rsid w:val="001A004E"/>
    <w:rsid w:val="001A01ED"/>
    <w:rsid w:val="001A27FF"/>
    <w:rsid w:val="001A29CC"/>
    <w:rsid w:val="001A47F6"/>
    <w:rsid w:val="001A664F"/>
    <w:rsid w:val="001B00F1"/>
    <w:rsid w:val="001B0FCF"/>
    <w:rsid w:val="001B118A"/>
    <w:rsid w:val="001B2DB7"/>
    <w:rsid w:val="001B2F96"/>
    <w:rsid w:val="001B3748"/>
    <w:rsid w:val="001B6AB7"/>
    <w:rsid w:val="001B70B6"/>
    <w:rsid w:val="001C1E92"/>
    <w:rsid w:val="001C22AD"/>
    <w:rsid w:val="001C35F7"/>
    <w:rsid w:val="001C4BB2"/>
    <w:rsid w:val="001C5D1A"/>
    <w:rsid w:val="001C66C0"/>
    <w:rsid w:val="001C6759"/>
    <w:rsid w:val="001C6E94"/>
    <w:rsid w:val="001D06A3"/>
    <w:rsid w:val="001D0C02"/>
    <w:rsid w:val="001D0E57"/>
    <w:rsid w:val="001D11A0"/>
    <w:rsid w:val="001E0F51"/>
    <w:rsid w:val="001E3836"/>
    <w:rsid w:val="001E3B40"/>
    <w:rsid w:val="001E3C99"/>
    <w:rsid w:val="001E42AD"/>
    <w:rsid w:val="001E4D16"/>
    <w:rsid w:val="001E55BF"/>
    <w:rsid w:val="001E624E"/>
    <w:rsid w:val="001E639C"/>
    <w:rsid w:val="001F0E12"/>
    <w:rsid w:val="001F1BB7"/>
    <w:rsid w:val="001F4E50"/>
    <w:rsid w:val="001F6E1A"/>
    <w:rsid w:val="001F780A"/>
    <w:rsid w:val="001F7917"/>
    <w:rsid w:val="001F7DA2"/>
    <w:rsid w:val="001F7E87"/>
    <w:rsid w:val="0020018D"/>
    <w:rsid w:val="00200331"/>
    <w:rsid w:val="00200613"/>
    <w:rsid w:val="00205F44"/>
    <w:rsid w:val="00210394"/>
    <w:rsid w:val="00210BC9"/>
    <w:rsid w:val="0021284C"/>
    <w:rsid w:val="00214CF2"/>
    <w:rsid w:val="00220550"/>
    <w:rsid w:val="00221D03"/>
    <w:rsid w:val="00222A81"/>
    <w:rsid w:val="00226EA1"/>
    <w:rsid w:val="00227201"/>
    <w:rsid w:val="002301A2"/>
    <w:rsid w:val="0023050A"/>
    <w:rsid w:val="00232E40"/>
    <w:rsid w:val="00236C2D"/>
    <w:rsid w:val="00237194"/>
    <w:rsid w:val="002374B7"/>
    <w:rsid w:val="0023793D"/>
    <w:rsid w:val="00240126"/>
    <w:rsid w:val="00241230"/>
    <w:rsid w:val="0024304D"/>
    <w:rsid w:val="0024336B"/>
    <w:rsid w:val="00244826"/>
    <w:rsid w:val="00244847"/>
    <w:rsid w:val="002474E0"/>
    <w:rsid w:val="00247ACA"/>
    <w:rsid w:val="00252E6A"/>
    <w:rsid w:val="0025325B"/>
    <w:rsid w:val="00254BA5"/>
    <w:rsid w:val="00254F6A"/>
    <w:rsid w:val="0025782A"/>
    <w:rsid w:val="002640BC"/>
    <w:rsid w:val="002661A6"/>
    <w:rsid w:val="00266C23"/>
    <w:rsid w:val="00267B62"/>
    <w:rsid w:val="00273235"/>
    <w:rsid w:val="00274B83"/>
    <w:rsid w:val="00275E86"/>
    <w:rsid w:val="00281F46"/>
    <w:rsid w:val="002820E1"/>
    <w:rsid w:val="00284A39"/>
    <w:rsid w:val="00286EAD"/>
    <w:rsid w:val="00292D44"/>
    <w:rsid w:val="00292E8A"/>
    <w:rsid w:val="0029389B"/>
    <w:rsid w:val="00294A0A"/>
    <w:rsid w:val="00296DE1"/>
    <w:rsid w:val="00297880"/>
    <w:rsid w:val="002A04D5"/>
    <w:rsid w:val="002A1894"/>
    <w:rsid w:val="002A2188"/>
    <w:rsid w:val="002A22B1"/>
    <w:rsid w:val="002A2D8F"/>
    <w:rsid w:val="002A36E0"/>
    <w:rsid w:val="002A36F2"/>
    <w:rsid w:val="002A554E"/>
    <w:rsid w:val="002A6350"/>
    <w:rsid w:val="002A7D14"/>
    <w:rsid w:val="002B0913"/>
    <w:rsid w:val="002B0BBC"/>
    <w:rsid w:val="002B24C3"/>
    <w:rsid w:val="002B28E4"/>
    <w:rsid w:val="002B57D7"/>
    <w:rsid w:val="002B6D8A"/>
    <w:rsid w:val="002B7504"/>
    <w:rsid w:val="002C0BCB"/>
    <w:rsid w:val="002C0D97"/>
    <w:rsid w:val="002C130F"/>
    <w:rsid w:val="002C2147"/>
    <w:rsid w:val="002C2FFE"/>
    <w:rsid w:val="002C4169"/>
    <w:rsid w:val="002C5553"/>
    <w:rsid w:val="002C59B1"/>
    <w:rsid w:val="002C66D1"/>
    <w:rsid w:val="002C7065"/>
    <w:rsid w:val="002C72B2"/>
    <w:rsid w:val="002C7776"/>
    <w:rsid w:val="002C7F4A"/>
    <w:rsid w:val="002D09AE"/>
    <w:rsid w:val="002D2804"/>
    <w:rsid w:val="002D30A0"/>
    <w:rsid w:val="002D495E"/>
    <w:rsid w:val="002D4A2E"/>
    <w:rsid w:val="002D4A72"/>
    <w:rsid w:val="002D4B6C"/>
    <w:rsid w:val="002D5274"/>
    <w:rsid w:val="002E0534"/>
    <w:rsid w:val="002E1E25"/>
    <w:rsid w:val="002E462B"/>
    <w:rsid w:val="002E6841"/>
    <w:rsid w:val="002E6E8D"/>
    <w:rsid w:val="002F0C2C"/>
    <w:rsid w:val="002F2026"/>
    <w:rsid w:val="002F4C96"/>
    <w:rsid w:val="00300655"/>
    <w:rsid w:val="00301789"/>
    <w:rsid w:val="00303D18"/>
    <w:rsid w:val="00304B74"/>
    <w:rsid w:val="00307ADD"/>
    <w:rsid w:val="00307BDA"/>
    <w:rsid w:val="003104B3"/>
    <w:rsid w:val="00310FFD"/>
    <w:rsid w:val="00312A66"/>
    <w:rsid w:val="003130CA"/>
    <w:rsid w:val="00314915"/>
    <w:rsid w:val="00316F0C"/>
    <w:rsid w:val="0031765E"/>
    <w:rsid w:val="003200F5"/>
    <w:rsid w:val="0032055F"/>
    <w:rsid w:val="00324DB9"/>
    <w:rsid w:val="00327B23"/>
    <w:rsid w:val="00333DD1"/>
    <w:rsid w:val="00335EE7"/>
    <w:rsid w:val="00336056"/>
    <w:rsid w:val="00336239"/>
    <w:rsid w:val="00341A73"/>
    <w:rsid w:val="00350329"/>
    <w:rsid w:val="003517AE"/>
    <w:rsid w:val="00351B52"/>
    <w:rsid w:val="00353460"/>
    <w:rsid w:val="0035411E"/>
    <w:rsid w:val="00360927"/>
    <w:rsid w:val="00360F03"/>
    <w:rsid w:val="00361D72"/>
    <w:rsid w:val="00361EAF"/>
    <w:rsid w:val="00367016"/>
    <w:rsid w:val="00371628"/>
    <w:rsid w:val="00371F54"/>
    <w:rsid w:val="00373EF8"/>
    <w:rsid w:val="0037770C"/>
    <w:rsid w:val="00377C8B"/>
    <w:rsid w:val="00382115"/>
    <w:rsid w:val="003823D0"/>
    <w:rsid w:val="00383A95"/>
    <w:rsid w:val="0038431C"/>
    <w:rsid w:val="003846E1"/>
    <w:rsid w:val="003846E7"/>
    <w:rsid w:val="00385CA0"/>
    <w:rsid w:val="0039025C"/>
    <w:rsid w:val="00392D48"/>
    <w:rsid w:val="00394345"/>
    <w:rsid w:val="003944AE"/>
    <w:rsid w:val="00394E8B"/>
    <w:rsid w:val="003A2733"/>
    <w:rsid w:val="003A3021"/>
    <w:rsid w:val="003A627E"/>
    <w:rsid w:val="003A75BA"/>
    <w:rsid w:val="003A79EE"/>
    <w:rsid w:val="003B0FDD"/>
    <w:rsid w:val="003B192C"/>
    <w:rsid w:val="003B2B9B"/>
    <w:rsid w:val="003B4389"/>
    <w:rsid w:val="003B5466"/>
    <w:rsid w:val="003B6E16"/>
    <w:rsid w:val="003B7D21"/>
    <w:rsid w:val="003C0F97"/>
    <w:rsid w:val="003C180A"/>
    <w:rsid w:val="003C1E25"/>
    <w:rsid w:val="003C5D5E"/>
    <w:rsid w:val="003D02BA"/>
    <w:rsid w:val="003D0C66"/>
    <w:rsid w:val="003D27CB"/>
    <w:rsid w:val="003D2F68"/>
    <w:rsid w:val="003D329D"/>
    <w:rsid w:val="003D5F9E"/>
    <w:rsid w:val="003E01F4"/>
    <w:rsid w:val="003E0642"/>
    <w:rsid w:val="003E06B0"/>
    <w:rsid w:val="003E13AA"/>
    <w:rsid w:val="003E4ACE"/>
    <w:rsid w:val="003E6BF6"/>
    <w:rsid w:val="003E6C2F"/>
    <w:rsid w:val="003E7C4C"/>
    <w:rsid w:val="003F0F0D"/>
    <w:rsid w:val="003F28A9"/>
    <w:rsid w:val="003F2EBF"/>
    <w:rsid w:val="003F4B6D"/>
    <w:rsid w:val="003F76AF"/>
    <w:rsid w:val="0040173E"/>
    <w:rsid w:val="00404B54"/>
    <w:rsid w:val="00404FD6"/>
    <w:rsid w:val="00406CB7"/>
    <w:rsid w:val="00406E97"/>
    <w:rsid w:val="00410A8E"/>
    <w:rsid w:val="00411E5A"/>
    <w:rsid w:val="00412D5C"/>
    <w:rsid w:val="00413683"/>
    <w:rsid w:val="00416ED8"/>
    <w:rsid w:val="004172CB"/>
    <w:rsid w:val="004272AB"/>
    <w:rsid w:val="0042774B"/>
    <w:rsid w:val="004305A6"/>
    <w:rsid w:val="0043213A"/>
    <w:rsid w:val="004331DC"/>
    <w:rsid w:val="00433F18"/>
    <w:rsid w:val="0043495D"/>
    <w:rsid w:val="00435339"/>
    <w:rsid w:val="00436526"/>
    <w:rsid w:val="00436DAA"/>
    <w:rsid w:val="00437CC3"/>
    <w:rsid w:val="0044447D"/>
    <w:rsid w:val="0044557D"/>
    <w:rsid w:val="0045079A"/>
    <w:rsid w:val="00450F2C"/>
    <w:rsid w:val="00455ADE"/>
    <w:rsid w:val="0045695E"/>
    <w:rsid w:val="00456C01"/>
    <w:rsid w:val="00462F4B"/>
    <w:rsid w:val="00463FA8"/>
    <w:rsid w:val="0046440F"/>
    <w:rsid w:val="00467779"/>
    <w:rsid w:val="004704A6"/>
    <w:rsid w:val="004716F2"/>
    <w:rsid w:val="004718D1"/>
    <w:rsid w:val="00472B89"/>
    <w:rsid w:val="00472CBC"/>
    <w:rsid w:val="00473035"/>
    <w:rsid w:val="0047310F"/>
    <w:rsid w:val="0047335A"/>
    <w:rsid w:val="004733B5"/>
    <w:rsid w:val="00473C64"/>
    <w:rsid w:val="00476A5B"/>
    <w:rsid w:val="00480F63"/>
    <w:rsid w:val="0048140F"/>
    <w:rsid w:val="00482935"/>
    <w:rsid w:val="00486008"/>
    <w:rsid w:val="00486247"/>
    <w:rsid w:val="00492A73"/>
    <w:rsid w:val="00493DAA"/>
    <w:rsid w:val="004941E9"/>
    <w:rsid w:val="00494335"/>
    <w:rsid w:val="004953E3"/>
    <w:rsid w:val="00495A4C"/>
    <w:rsid w:val="004967A1"/>
    <w:rsid w:val="00496DF4"/>
    <w:rsid w:val="004A0966"/>
    <w:rsid w:val="004A0FA5"/>
    <w:rsid w:val="004A1828"/>
    <w:rsid w:val="004A1E4F"/>
    <w:rsid w:val="004A3677"/>
    <w:rsid w:val="004A5EEB"/>
    <w:rsid w:val="004A793A"/>
    <w:rsid w:val="004B1F17"/>
    <w:rsid w:val="004B4B0E"/>
    <w:rsid w:val="004B4E80"/>
    <w:rsid w:val="004B4E9A"/>
    <w:rsid w:val="004B584E"/>
    <w:rsid w:val="004C1106"/>
    <w:rsid w:val="004C52D2"/>
    <w:rsid w:val="004C5A65"/>
    <w:rsid w:val="004C68A2"/>
    <w:rsid w:val="004C6D4B"/>
    <w:rsid w:val="004D1CA7"/>
    <w:rsid w:val="004D1DB3"/>
    <w:rsid w:val="004D25FE"/>
    <w:rsid w:val="004D2CDF"/>
    <w:rsid w:val="004D3256"/>
    <w:rsid w:val="004D3A6B"/>
    <w:rsid w:val="004D4C8F"/>
    <w:rsid w:val="004D6E65"/>
    <w:rsid w:val="004D79DC"/>
    <w:rsid w:val="004E2269"/>
    <w:rsid w:val="004E46D2"/>
    <w:rsid w:val="004E5565"/>
    <w:rsid w:val="004E732F"/>
    <w:rsid w:val="004F0C71"/>
    <w:rsid w:val="004F127B"/>
    <w:rsid w:val="004F283A"/>
    <w:rsid w:val="004F3339"/>
    <w:rsid w:val="004F42E4"/>
    <w:rsid w:val="004F72A2"/>
    <w:rsid w:val="004F7BE1"/>
    <w:rsid w:val="0050037A"/>
    <w:rsid w:val="00500FC7"/>
    <w:rsid w:val="005026D4"/>
    <w:rsid w:val="00503A51"/>
    <w:rsid w:val="00504212"/>
    <w:rsid w:val="00506017"/>
    <w:rsid w:val="00506759"/>
    <w:rsid w:val="00506B25"/>
    <w:rsid w:val="005075CC"/>
    <w:rsid w:val="0051101B"/>
    <w:rsid w:val="00511CE7"/>
    <w:rsid w:val="00512309"/>
    <w:rsid w:val="00512776"/>
    <w:rsid w:val="0051684B"/>
    <w:rsid w:val="005179EC"/>
    <w:rsid w:val="00523018"/>
    <w:rsid w:val="005248B2"/>
    <w:rsid w:val="005279F4"/>
    <w:rsid w:val="00531465"/>
    <w:rsid w:val="00535205"/>
    <w:rsid w:val="00535C1D"/>
    <w:rsid w:val="00535F89"/>
    <w:rsid w:val="0054152F"/>
    <w:rsid w:val="00541D86"/>
    <w:rsid w:val="00542522"/>
    <w:rsid w:val="00543598"/>
    <w:rsid w:val="005451FC"/>
    <w:rsid w:val="0054526E"/>
    <w:rsid w:val="00545490"/>
    <w:rsid w:val="005468A7"/>
    <w:rsid w:val="005476B5"/>
    <w:rsid w:val="005509CB"/>
    <w:rsid w:val="00552167"/>
    <w:rsid w:val="0055361F"/>
    <w:rsid w:val="0055582E"/>
    <w:rsid w:val="005572DA"/>
    <w:rsid w:val="00557B4A"/>
    <w:rsid w:val="005602DA"/>
    <w:rsid w:val="00560924"/>
    <w:rsid w:val="00562614"/>
    <w:rsid w:val="00562749"/>
    <w:rsid w:val="00564A8B"/>
    <w:rsid w:val="00565C29"/>
    <w:rsid w:val="00567664"/>
    <w:rsid w:val="00572A8A"/>
    <w:rsid w:val="00573327"/>
    <w:rsid w:val="0057488E"/>
    <w:rsid w:val="00575DD7"/>
    <w:rsid w:val="00577382"/>
    <w:rsid w:val="0058069B"/>
    <w:rsid w:val="00582A70"/>
    <w:rsid w:val="00585965"/>
    <w:rsid w:val="00585FD5"/>
    <w:rsid w:val="00590857"/>
    <w:rsid w:val="005910EC"/>
    <w:rsid w:val="00591C88"/>
    <w:rsid w:val="005936DC"/>
    <w:rsid w:val="00596686"/>
    <w:rsid w:val="00597A8C"/>
    <w:rsid w:val="00597FC9"/>
    <w:rsid w:val="005A0A1E"/>
    <w:rsid w:val="005A145C"/>
    <w:rsid w:val="005A1F16"/>
    <w:rsid w:val="005A20AD"/>
    <w:rsid w:val="005A236E"/>
    <w:rsid w:val="005A25D5"/>
    <w:rsid w:val="005A30FF"/>
    <w:rsid w:val="005A3F63"/>
    <w:rsid w:val="005A527D"/>
    <w:rsid w:val="005A59D0"/>
    <w:rsid w:val="005B073E"/>
    <w:rsid w:val="005B227F"/>
    <w:rsid w:val="005B24A0"/>
    <w:rsid w:val="005B2AE2"/>
    <w:rsid w:val="005B3F7B"/>
    <w:rsid w:val="005B677B"/>
    <w:rsid w:val="005B6F29"/>
    <w:rsid w:val="005B7801"/>
    <w:rsid w:val="005B788C"/>
    <w:rsid w:val="005C2B5B"/>
    <w:rsid w:val="005C38D3"/>
    <w:rsid w:val="005C476D"/>
    <w:rsid w:val="005C4C04"/>
    <w:rsid w:val="005C5891"/>
    <w:rsid w:val="005C5B95"/>
    <w:rsid w:val="005D5FAE"/>
    <w:rsid w:val="005D6BF9"/>
    <w:rsid w:val="005E1407"/>
    <w:rsid w:val="005E2756"/>
    <w:rsid w:val="005E588E"/>
    <w:rsid w:val="005E639F"/>
    <w:rsid w:val="005E7C39"/>
    <w:rsid w:val="005F11EB"/>
    <w:rsid w:val="005F29B7"/>
    <w:rsid w:val="005F3E62"/>
    <w:rsid w:val="005F553E"/>
    <w:rsid w:val="005F655A"/>
    <w:rsid w:val="005F72A8"/>
    <w:rsid w:val="00601FF7"/>
    <w:rsid w:val="00604DEF"/>
    <w:rsid w:val="00606C49"/>
    <w:rsid w:val="00606EB5"/>
    <w:rsid w:val="00607A58"/>
    <w:rsid w:val="00607CFB"/>
    <w:rsid w:val="00612AB9"/>
    <w:rsid w:val="00615431"/>
    <w:rsid w:val="00617249"/>
    <w:rsid w:val="00617FDA"/>
    <w:rsid w:val="00620638"/>
    <w:rsid w:val="006207A0"/>
    <w:rsid w:val="0062116F"/>
    <w:rsid w:val="00621192"/>
    <w:rsid w:val="00621260"/>
    <w:rsid w:val="00623DCB"/>
    <w:rsid w:val="006258A1"/>
    <w:rsid w:val="00626087"/>
    <w:rsid w:val="00627FA1"/>
    <w:rsid w:val="006309FA"/>
    <w:rsid w:val="00630A46"/>
    <w:rsid w:val="006321DD"/>
    <w:rsid w:val="00634E4C"/>
    <w:rsid w:val="006350A7"/>
    <w:rsid w:val="00636B8B"/>
    <w:rsid w:val="006425F3"/>
    <w:rsid w:val="006427FE"/>
    <w:rsid w:val="00642E3D"/>
    <w:rsid w:val="00644F67"/>
    <w:rsid w:val="006458FD"/>
    <w:rsid w:val="00645AFE"/>
    <w:rsid w:val="006506C1"/>
    <w:rsid w:val="00651583"/>
    <w:rsid w:val="00654E3A"/>
    <w:rsid w:val="00657382"/>
    <w:rsid w:val="0065747A"/>
    <w:rsid w:val="00657C39"/>
    <w:rsid w:val="00657F9D"/>
    <w:rsid w:val="0066198D"/>
    <w:rsid w:val="00661A7D"/>
    <w:rsid w:val="006630FC"/>
    <w:rsid w:val="00663578"/>
    <w:rsid w:val="00665040"/>
    <w:rsid w:val="00665A6A"/>
    <w:rsid w:val="0066674D"/>
    <w:rsid w:val="00666A78"/>
    <w:rsid w:val="00666C5A"/>
    <w:rsid w:val="006702DD"/>
    <w:rsid w:val="00670869"/>
    <w:rsid w:val="0067108C"/>
    <w:rsid w:val="0067195A"/>
    <w:rsid w:val="00676C12"/>
    <w:rsid w:val="00681A60"/>
    <w:rsid w:val="00681DC3"/>
    <w:rsid w:val="0068292D"/>
    <w:rsid w:val="00682B77"/>
    <w:rsid w:val="006841AB"/>
    <w:rsid w:val="0068766C"/>
    <w:rsid w:val="006901D2"/>
    <w:rsid w:val="006927AA"/>
    <w:rsid w:val="0069375D"/>
    <w:rsid w:val="0069407C"/>
    <w:rsid w:val="00694B4E"/>
    <w:rsid w:val="00694EA7"/>
    <w:rsid w:val="00695507"/>
    <w:rsid w:val="0069574E"/>
    <w:rsid w:val="006957D3"/>
    <w:rsid w:val="006A04E7"/>
    <w:rsid w:val="006A14F1"/>
    <w:rsid w:val="006A1921"/>
    <w:rsid w:val="006A2303"/>
    <w:rsid w:val="006A6EAC"/>
    <w:rsid w:val="006B1164"/>
    <w:rsid w:val="006B129C"/>
    <w:rsid w:val="006B63B6"/>
    <w:rsid w:val="006B6BC4"/>
    <w:rsid w:val="006B7082"/>
    <w:rsid w:val="006B7134"/>
    <w:rsid w:val="006D106F"/>
    <w:rsid w:val="006D296F"/>
    <w:rsid w:val="006E1DA4"/>
    <w:rsid w:val="006E32DE"/>
    <w:rsid w:val="006E4181"/>
    <w:rsid w:val="006E454B"/>
    <w:rsid w:val="006E48CC"/>
    <w:rsid w:val="006E54D6"/>
    <w:rsid w:val="006E7A5A"/>
    <w:rsid w:val="006F1404"/>
    <w:rsid w:val="006F145A"/>
    <w:rsid w:val="006F2217"/>
    <w:rsid w:val="006F27CB"/>
    <w:rsid w:val="006F359B"/>
    <w:rsid w:val="006F3BAB"/>
    <w:rsid w:val="006F506D"/>
    <w:rsid w:val="006F5865"/>
    <w:rsid w:val="006F6CFB"/>
    <w:rsid w:val="006F7738"/>
    <w:rsid w:val="006F77CC"/>
    <w:rsid w:val="006F7E21"/>
    <w:rsid w:val="00701EC6"/>
    <w:rsid w:val="007041A0"/>
    <w:rsid w:val="007051F9"/>
    <w:rsid w:val="00706179"/>
    <w:rsid w:val="007122A0"/>
    <w:rsid w:val="00712DBE"/>
    <w:rsid w:val="00714C67"/>
    <w:rsid w:val="00714F78"/>
    <w:rsid w:val="007157F2"/>
    <w:rsid w:val="007170F7"/>
    <w:rsid w:val="00720659"/>
    <w:rsid w:val="0072365A"/>
    <w:rsid w:val="007253B8"/>
    <w:rsid w:val="00726D55"/>
    <w:rsid w:val="00726E72"/>
    <w:rsid w:val="00731267"/>
    <w:rsid w:val="007314CB"/>
    <w:rsid w:val="00732479"/>
    <w:rsid w:val="007342B7"/>
    <w:rsid w:val="00735594"/>
    <w:rsid w:val="00736E7D"/>
    <w:rsid w:val="0073791E"/>
    <w:rsid w:val="00740319"/>
    <w:rsid w:val="00741064"/>
    <w:rsid w:val="00744433"/>
    <w:rsid w:val="00745681"/>
    <w:rsid w:val="00745CD6"/>
    <w:rsid w:val="00747078"/>
    <w:rsid w:val="00747258"/>
    <w:rsid w:val="007509A6"/>
    <w:rsid w:val="00751349"/>
    <w:rsid w:val="00752342"/>
    <w:rsid w:val="00752C92"/>
    <w:rsid w:val="00752EF6"/>
    <w:rsid w:val="00753149"/>
    <w:rsid w:val="00753F83"/>
    <w:rsid w:val="007541B0"/>
    <w:rsid w:val="0075469B"/>
    <w:rsid w:val="00755163"/>
    <w:rsid w:val="00756AAB"/>
    <w:rsid w:val="00757F63"/>
    <w:rsid w:val="00760839"/>
    <w:rsid w:val="00760B06"/>
    <w:rsid w:val="00761092"/>
    <w:rsid w:val="007645AE"/>
    <w:rsid w:val="00764992"/>
    <w:rsid w:val="00775AA0"/>
    <w:rsid w:val="00776A12"/>
    <w:rsid w:val="007770FA"/>
    <w:rsid w:val="00782757"/>
    <w:rsid w:val="0078517B"/>
    <w:rsid w:val="00786051"/>
    <w:rsid w:val="00791738"/>
    <w:rsid w:val="00791780"/>
    <w:rsid w:val="00792FA8"/>
    <w:rsid w:val="007959B9"/>
    <w:rsid w:val="00795A13"/>
    <w:rsid w:val="007961C8"/>
    <w:rsid w:val="007A0EB7"/>
    <w:rsid w:val="007A2F8A"/>
    <w:rsid w:val="007A3404"/>
    <w:rsid w:val="007A389F"/>
    <w:rsid w:val="007B28AF"/>
    <w:rsid w:val="007B2A43"/>
    <w:rsid w:val="007B5AB8"/>
    <w:rsid w:val="007C08B1"/>
    <w:rsid w:val="007C2CC2"/>
    <w:rsid w:val="007C2DC4"/>
    <w:rsid w:val="007C31B3"/>
    <w:rsid w:val="007C38BD"/>
    <w:rsid w:val="007C3A4C"/>
    <w:rsid w:val="007C3F8A"/>
    <w:rsid w:val="007C581A"/>
    <w:rsid w:val="007C6F12"/>
    <w:rsid w:val="007C79AA"/>
    <w:rsid w:val="007C7D59"/>
    <w:rsid w:val="007D06DB"/>
    <w:rsid w:val="007D31DA"/>
    <w:rsid w:val="007D72C5"/>
    <w:rsid w:val="007E525D"/>
    <w:rsid w:val="007F0323"/>
    <w:rsid w:val="007F0DF3"/>
    <w:rsid w:val="007F28A3"/>
    <w:rsid w:val="007F379E"/>
    <w:rsid w:val="007F471C"/>
    <w:rsid w:val="007F4B30"/>
    <w:rsid w:val="00800C90"/>
    <w:rsid w:val="008035D2"/>
    <w:rsid w:val="00804B55"/>
    <w:rsid w:val="00807702"/>
    <w:rsid w:val="008101F9"/>
    <w:rsid w:val="008125F8"/>
    <w:rsid w:val="00815766"/>
    <w:rsid w:val="008167F8"/>
    <w:rsid w:val="00823C7C"/>
    <w:rsid w:val="00825E7C"/>
    <w:rsid w:val="0083695F"/>
    <w:rsid w:val="00840DD5"/>
    <w:rsid w:val="00843483"/>
    <w:rsid w:val="00844B1D"/>
    <w:rsid w:val="00844F5C"/>
    <w:rsid w:val="00845373"/>
    <w:rsid w:val="00845843"/>
    <w:rsid w:val="00846D34"/>
    <w:rsid w:val="00847FBF"/>
    <w:rsid w:val="00850749"/>
    <w:rsid w:val="008543AC"/>
    <w:rsid w:val="008544A0"/>
    <w:rsid w:val="008575DB"/>
    <w:rsid w:val="00861D5A"/>
    <w:rsid w:val="0086285E"/>
    <w:rsid w:val="00862EAB"/>
    <w:rsid w:val="008637EC"/>
    <w:rsid w:val="00864706"/>
    <w:rsid w:val="00864F12"/>
    <w:rsid w:val="00865903"/>
    <w:rsid w:val="008676A3"/>
    <w:rsid w:val="00870BC6"/>
    <w:rsid w:val="00880251"/>
    <w:rsid w:val="0088036D"/>
    <w:rsid w:val="00881155"/>
    <w:rsid w:val="008811A7"/>
    <w:rsid w:val="00882892"/>
    <w:rsid w:val="00882A7F"/>
    <w:rsid w:val="00883DD7"/>
    <w:rsid w:val="00885A14"/>
    <w:rsid w:val="00885C8E"/>
    <w:rsid w:val="0088689B"/>
    <w:rsid w:val="0088786C"/>
    <w:rsid w:val="00890FA0"/>
    <w:rsid w:val="0089421C"/>
    <w:rsid w:val="00894507"/>
    <w:rsid w:val="008947BF"/>
    <w:rsid w:val="00895C87"/>
    <w:rsid w:val="00895CED"/>
    <w:rsid w:val="00897593"/>
    <w:rsid w:val="00897712"/>
    <w:rsid w:val="008A0DE3"/>
    <w:rsid w:val="008A214D"/>
    <w:rsid w:val="008A277B"/>
    <w:rsid w:val="008A72D2"/>
    <w:rsid w:val="008A74A3"/>
    <w:rsid w:val="008B0402"/>
    <w:rsid w:val="008B1321"/>
    <w:rsid w:val="008B44CA"/>
    <w:rsid w:val="008B503A"/>
    <w:rsid w:val="008B6868"/>
    <w:rsid w:val="008B6C78"/>
    <w:rsid w:val="008B6D24"/>
    <w:rsid w:val="008C0AF0"/>
    <w:rsid w:val="008C1451"/>
    <w:rsid w:val="008C1AEE"/>
    <w:rsid w:val="008C22FD"/>
    <w:rsid w:val="008C626D"/>
    <w:rsid w:val="008C6A43"/>
    <w:rsid w:val="008C72F7"/>
    <w:rsid w:val="008D080C"/>
    <w:rsid w:val="008D5C3C"/>
    <w:rsid w:val="008D6437"/>
    <w:rsid w:val="008D6EDF"/>
    <w:rsid w:val="008D767A"/>
    <w:rsid w:val="008E22E4"/>
    <w:rsid w:val="008E3EF5"/>
    <w:rsid w:val="008F3244"/>
    <w:rsid w:val="008F33B5"/>
    <w:rsid w:val="008F4201"/>
    <w:rsid w:val="008F43CF"/>
    <w:rsid w:val="008F4BBF"/>
    <w:rsid w:val="008F5071"/>
    <w:rsid w:val="008F61F7"/>
    <w:rsid w:val="008F6C45"/>
    <w:rsid w:val="008F6C9E"/>
    <w:rsid w:val="009005FA"/>
    <w:rsid w:val="009006C8"/>
    <w:rsid w:val="009026FF"/>
    <w:rsid w:val="00902861"/>
    <w:rsid w:val="00903E1F"/>
    <w:rsid w:val="009042F3"/>
    <w:rsid w:val="009047DB"/>
    <w:rsid w:val="009061E8"/>
    <w:rsid w:val="00906799"/>
    <w:rsid w:val="0090713A"/>
    <w:rsid w:val="0090765B"/>
    <w:rsid w:val="0091226A"/>
    <w:rsid w:val="0091436C"/>
    <w:rsid w:val="00914F62"/>
    <w:rsid w:val="00915492"/>
    <w:rsid w:val="00921214"/>
    <w:rsid w:val="00921D5D"/>
    <w:rsid w:val="00922193"/>
    <w:rsid w:val="00922239"/>
    <w:rsid w:val="00924152"/>
    <w:rsid w:val="00930C5E"/>
    <w:rsid w:val="0093194D"/>
    <w:rsid w:val="00934C3F"/>
    <w:rsid w:val="00935661"/>
    <w:rsid w:val="00937123"/>
    <w:rsid w:val="00937DA6"/>
    <w:rsid w:val="009402F6"/>
    <w:rsid w:val="009417AE"/>
    <w:rsid w:val="00941D2D"/>
    <w:rsid w:val="00945B3F"/>
    <w:rsid w:val="00946966"/>
    <w:rsid w:val="009469BC"/>
    <w:rsid w:val="00950932"/>
    <w:rsid w:val="00950DCB"/>
    <w:rsid w:val="00952D4C"/>
    <w:rsid w:val="00954528"/>
    <w:rsid w:val="00956ABB"/>
    <w:rsid w:val="00960246"/>
    <w:rsid w:val="00963398"/>
    <w:rsid w:val="009662E1"/>
    <w:rsid w:val="0097086E"/>
    <w:rsid w:val="009720E1"/>
    <w:rsid w:val="0097278F"/>
    <w:rsid w:val="0097451D"/>
    <w:rsid w:val="00974F0E"/>
    <w:rsid w:val="00975CD7"/>
    <w:rsid w:val="009766F6"/>
    <w:rsid w:val="00976CA2"/>
    <w:rsid w:val="009807D6"/>
    <w:rsid w:val="00982717"/>
    <w:rsid w:val="009828D0"/>
    <w:rsid w:val="00982F01"/>
    <w:rsid w:val="00983F85"/>
    <w:rsid w:val="00985E70"/>
    <w:rsid w:val="00987301"/>
    <w:rsid w:val="00987861"/>
    <w:rsid w:val="00990DCF"/>
    <w:rsid w:val="00991B67"/>
    <w:rsid w:val="00993A31"/>
    <w:rsid w:val="009941B8"/>
    <w:rsid w:val="009979F4"/>
    <w:rsid w:val="009A314A"/>
    <w:rsid w:val="009A45B2"/>
    <w:rsid w:val="009A5287"/>
    <w:rsid w:val="009A5585"/>
    <w:rsid w:val="009A59D5"/>
    <w:rsid w:val="009B0986"/>
    <w:rsid w:val="009B09F4"/>
    <w:rsid w:val="009B2DA9"/>
    <w:rsid w:val="009B3C12"/>
    <w:rsid w:val="009B7197"/>
    <w:rsid w:val="009C0D2C"/>
    <w:rsid w:val="009C448F"/>
    <w:rsid w:val="009C59B5"/>
    <w:rsid w:val="009C702C"/>
    <w:rsid w:val="009C7CF1"/>
    <w:rsid w:val="009D2DDD"/>
    <w:rsid w:val="009D433A"/>
    <w:rsid w:val="009D530A"/>
    <w:rsid w:val="009E00A3"/>
    <w:rsid w:val="009E1FBE"/>
    <w:rsid w:val="009E57CA"/>
    <w:rsid w:val="009E5BF6"/>
    <w:rsid w:val="009F03F9"/>
    <w:rsid w:val="009F3D6E"/>
    <w:rsid w:val="009F57C1"/>
    <w:rsid w:val="00A02B37"/>
    <w:rsid w:val="00A03953"/>
    <w:rsid w:val="00A046E1"/>
    <w:rsid w:val="00A060A3"/>
    <w:rsid w:val="00A072C4"/>
    <w:rsid w:val="00A07A23"/>
    <w:rsid w:val="00A10DA6"/>
    <w:rsid w:val="00A11167"/>
    <w:rsid w:val="00A11466"/>
    <w:rsid w:val="00A11B13"/>
    <w:rsid w:val="00A151E9"/>
    <w:rsid w:val="00A15DBB"/>
    <w:rsid w:val="00A25199"/>
    <w:rsid w:val="00A255BC"/>
    <w:rsid w:val="00A259F2"/>
    <w:rsid w:val="00A26539"/>
    <w:rsid w:val="00A2691C"/>
    <w:rsid w:val="00A27B75"/>
    <w:rsid w:val="00A30C30"/>
    <w:rsid w:val="00A3243E"/>
    <w:rsid w:val="00A33802"/>
    <w:rsid w:val="00A3393C"/>
    <w:rsid w:val="00A34A53"/>
    <w:rsid w:val="00A363ED"/>
    <w:rsid w:val="00A36E43"/>
    <w:rsid w:val="00A37162"/>
    <w:rsid w:val="00A37DCD"/>
    <w:rsid w:val="00A37E51"/>
    <w:rsid w:val="00A46FF6"/>
    <w:rsid w:val="00A47D39"/>
    <w:rsid w:val="00A50E23"/>
    <w:rsid w:val="00A53690"/>
    <w:rsid w:val="00A54030"/>
    <w:rsid w:val="00A5412E"/>
    <w:rsid w:val="00A57C25"/>
    <w:rsid w:val="00A62523"/>
    <w:rsid w:val="00A62D31"/>
    <w:rsid w:val="00A63380"/>
    <w:rsid w:val="00A6601E"/>
    <w:rsid w:val="00A7225B"/>
    <w:rsid w:val="00A7253F"/>
    <w:rsid w:val="00A727A0"/>
    <w:rsid w:val="00A74BBB"/>
    <w:rsid w:val="00A75607"/>
    <w:rsid w:val="00A75D03"/>
    <w:rsid w:val="00A76693"/>
    <w:rsid w:val="00A76D64"/>
    <w:rsid w:val="00A77DFA"/>
    <w:rsid w:val="00A80191"/>
    <w:rsid w:val="00A82EBE"/>
    <w:rsid w:val="00A8582F"/>
    <w:rsid w:val="00A865C7"/>
    <w:rsid w:val="00A87139"/>
    <w:rsid w:val="00A872DB"/>
    <w:rsid w:val="00A91DC1"/>
    <w:rsid w:val="00A93BA3"/>
    <w:rsid w:val="00A97E3B"/>
    <w:rsid w:val="00AA20A1"/>
    <w:rsid w:val="00AA41F2"/>
    <w:rsid w:val="00AA69EA"/>
    <w:rsid w:val="00AA6BEF"/>
    <w:rsid w:val="00AB039E"/>
    <w:rsid w:val="00AB0D5D"/>
    <w:rsid w:val="00AB4206"/>
    <w:rsid w:val="00AC1183"/>
    <w:rsid w:val="00AC23EA"/>
    <w:rsid w:val="00AC2DEE"/>
    <w:rsid w:val="00AC4D82"/>
    <w:rsid w:val="00AC7E54"/>
    <w:rsid w:val="00AD0639"/>
    <w:rsid w:val="00AD38E8"/>
    <w:rsid w:val="00AD577C"/>
    <w:rsid w:val="00AD65A2"/>
    <w:rsid w:val="00AD69ED"/>
    <w:rsid w:val="00AE0BBF"/>
    <w:rsid w:val="00AE4FE4"/>
    <w:rsid w:val="00AE55ED"/>
    <w:rsid w:val="00AE6A11"/>
    <w:rsid w:val="00AE6A4E"/>
    <w:rsid w:val="00AE7B98"/>
    <w:rsid w:val="00AF129F"/>
    <w:rsid w:val="00AF12B1"/>
    <w:rsid w:val="00AF48BA"/>
    <w:rsid w:val="00AF5F1F"/>
    <w:rsid w:val="00B003E7"/>
    <w:rsid w:val="00B00742"/>
    <w:rsid w:val="00B03967"/>
    <w:rsid w:val="00B04188"/>
    <w:rsid w:val="00B0436E"/>
    <w:rsid w:val="00B04B49"/>
    <w:rsid w:val="00B10802"/>
    <w:rsid w:val="00B10F0B"/>
    <w:rsid w:val="00B12DC9"/>
    <w:rsid w:val="00B13444"/>
    <w:rsid w:val="00B13F84"/>
    <w:rsid w:val="00B141E0"/>
    <w:rsid w:val="00B14604"/>
    <w:rsid w:val="00B14CE2"/>
    <w:rsid w:val="00B15626"/>
    <w:rsid w:val="00B15ABA"/>
    <w:rsid w:val="00B164EF"/>
    <w:rsid w:val="00B17166"/>
    <w:rsid w:val="00B17BAF"/>
    <w:rsid w:val="00B204DF"/>
    <w:rsid w:val="00B20685"/>
    <w:rsid w:val="00B2125B"/>
    <w:rsid w:val="00B223A2"/>
    <w:rsid w:val="00B26C9D"/>
    <w:rsid w:val="00B27119"/>
    <w:rsid w:val="00B307B5"/>
    <w:rsid w:val="00B3373B"/>
    <w:rsid w:val="00B34339"/>
    <w:rsid w:val="00B343EB"/>
    <w:rsid w:val="00B34DF7"/>
    <w:rsid w:val="00B35AC6"/>
    <w:rsid w:val="00B42091"/>
    <w:rsid w:val="00B42B2F"/>
    <w:rsid w:val="00B42C70"/>
    <w:rsid w:val="00B43E90"/>
    <w:rsid w:val="00B44900"/>
    <w:rsid w:val="00B46F5A"/>
    <w:rsid w:val="00B472C5"/>
    <w:rsid w:val="00B472E1"/>
    <w:rsid w:val="00B4779C"/>
    <w:rsid w:val="00B512F7"/>
    <w:rsid w:val="00B51D06"/>
    <w:rsid w:val="00B52821"/>
    <w:rsid w:val="00B5290D"/>
    <w:rsid w:val="00B53324"/>
    <w:rsid w:val="00B555A0"/>
    <w:rsid w:val="00B555CA"/>
    <w:rsid w:val="00B60137"/>
    <w:rsid w:val="00B61D9C"/>
    <w:rsid w:val="00B702A0"/>
    <w:rsid w:val="00B7043C"/>
    <w:rsid w:val="00B70FF2"/>
    <w:rsid w:val="00B71170"/>
    <w:rsid w:val="00B75F8F"/>
    <w:rsid w:val="00B77187"/>
    <w:rsid w:val="00B80BCE"/>
    <w:rsid w:val="00B81524"/>
    <w:rsid w:val="00B81740"/>
    <w:rsid w:val="00B81ACA"/>
    <w:rsid w:val="00B83707"/>
    <w:rsid w:val="00B83C43"/>
    <w:rsid w:val="00B8572E"/>
    <w:rsid w:val="00B85D7B"/>
    <w:rsid w:val="00B8686D"/>
    <w:rsid w:val="00B86AC7"/>
    <w:rsid w:val="00B900EA"/>
    <w:rsid w:val="00B90815"/>
    <w:rsid w:val="00B91069"/>
    <w:rsid w:val="00B91C93"/>
    <w:rsid w:val="00B92842"/>
    <w:rsid w:val="00B928B4"/>
    <w:rsid w:val="00B95A11"/>
    <w:rsid w:val="00B9603B"/>
    <w:rsid w:val="00B96358"/>
    <w:rsid w:val="00BA0984"/>
    <w:rsid w:val="00BA2713"/>
    <w:rsid w:val="00BA2941"/>
    <w:rsid w:val="00BA4C61"/>
    <w:rsid w:val="00BA5DD2"/>
    <w:rsid w:val="00BA627A"/>
    <w:rsid w:val="00BB22FA"/>
    <w:rsid w:val="00BB2795"/>
    <w:rsid w:val="00BB2FFB"/>
    <w:rsid w:val="00BB7BC3"/>
    <w:rsid w:val="00BC4709"/>
    <w:rsid w:val="00BC571E"/>
    <w:rsid w:val="00BC7F33"/>
    <w:rsid w:val="00BD12A1"/>
    <w:rsid w:val="00BD20F0"/>
    <w:rsid w:val="00BD3375"/>
    <w:rsid w:val="00BD504C"/>
    <w:rsid w:val="00BD56A6"/>
    <w:rsid w:val="00BD6CFD"/>
    <w:rsid w:val="00BD7752"/>
    <w:rsid w:val="00BD7B83"/>
    <w:rsid w:val="00BE05B7"/>
    <w:rsid w:val="00BE25E0"/>
    <w:rsid w:val="00BE3968"/>
    <w:rsid w:val="00BE4ADA"/>
    <w:rsid w:val="00BF07A9"/>
    <w:rsid w:val="00BF07EA"/>
    <w:rsid w:val="00BF17C6"/>
    <w:rsid w:val="00BF4AAD"/>
    <w:rsid w:val="00C00AC6"/>
    <w:rsid w:val="00C00FDA"/>
    <w:rsid w:val="00C012A0"/>
    <w:rsid w:val="00C02761"/>
    <w:rsid w:val="00C02EB9"/>
    <w:rsid w:val="00C04E4B"/>
    <w:rsid w:val="00C06A06"/>
    <w:rsid w:val="00C07D10"/>
    <w:rsid w:val="00C10891"/>
    <w:rsid w:val="00C1109A"/>
    <w:rsid w:val="00C11B56"/>
    <w:rsid w:val="00C12D5C"/>
    <w:rsid w:val="00C14760"/>
    <w:rsid w:val="00C16045"/>
    <w:rsid w:val="00C16956"/>
    <w:rsid w:val="00C16B3C"/>
    <w:rsid w:val="00C17947"/>
    <w:rsid w:val="00C17A41"/>
    <w:rsid w:val="00C20D86"/>
    <w:rsid w:val="00C21BDD"/>
    <w:rsid w:val="00C21E27"/>
    <w:rsid w:val="00C24E2A"/>
    <w:rsid w:val="00C26136"/>
    <w:rsid w:val="00C33806"/>
    <w:rsid w:val="00C34740"/>
    <w:rsid w:val="00C3521C"/>
    <w:rsid w:val="00C373DA"/>
    <w:rsid w:val="00C41F18"/>
    <w:rsid w:val="00C420B8"/>
    <w:rsid w:val="00C43281"/>
    <w:rsid w:val="00C43F11"/>
    <w:rsid w:val="00C4544F"/>
    <w:rsid w:val="00C47C7B"/>
    <w:rsid w:val="00C527F3"/>
    <w:rsid w:val="00C553EB"/>
    <w:rsid w:val="00C56AFB"/>
    <w:rsid w:val="00C607BA"/>
    <w:rsid w:val="00C608AA"/>
    <w:rsid w:val="00C61635"/>
    <w:rsid w:val="00C62BF5"/>
    <w:rsid w:val="00C636DA"/>
    <w:rsid w:val="00C638CA"/>
    <w:rsid w:val="00C658A2"/>
    <w:rsid w:val="00C6593D"/>
    <w:rsid w:val="00C6776F"/>
    <w:rsid w:val="00C67E22"/>
    <w:rsid w:val="00C703F6"/>
    <w:rsid w:val="00C72271"/>
    <w:rsid w:val="00C72C6D"/>
    <w:rsid w:val="00C73608"/>
    <w:rsid w:val="00C73AA2"/>
    <w:rsid w:val="00C740E1"/>
    <w:rsid w:val="00C812AB"/>
    <w:rsid w:val="00C81356"/>
    <w:rsid w:val="00C82CE4"/>
    <w:rsid w:val="00C873BA"/>
    <w:rsid w:val="00C87DA0"/>
    <w:rsid w:val="00C92CCB"/>
    <w:rsid w:val="00C92E2E"/>
    <w:rsid w:val="00C97FBA"/>
    <w:rsid w:val="00CA2C79"/>
    <w:rsid w:val="00CA40BE"/>
    <w:rsid w:val="00CA426A"/>
    <w:rsid w:val="00CA5150"/>
    <w:rsid w:val="00CA624B"/>
    <w:rsid w:val="00CA6806"/>
    <w:rsid w:val="00CA6FF9"/>
    <w:rsid w:val="00CA71E6"/>
    <w:rsid w:val="00CA7411"/>
    <w:rsid w:val="00CA75A8"/>
    <w:rsid w:val="00CB0D6C"/>
    <w:rsid w:val="00CB0DD4"/>
    <w:rsid w:val="00CB40D3"/>
    <w:rsid w:val="00CB4238"/>
    <w:rsid w:val="00CB5938"/>
    <w:rsid w:val="00CC0386"/>
    <w:rsid w:val="00CC08E7"/>
    <w:rsid w:val="00CC1A64"/>
    <w:rsid w:val="00CC2D81"/>
    <w:rsid w:val="00CC333D"/>
    <w:rsid w:val="00CC34EB"/>
    <w:rsid w:val="00CC3DCC"/>
    <w:rsid w:val="00CC4C5C"/>
    <w:rsid w:val="00CC585B"/>
    <w:rsid w:val="00CC66EA"/>
    <w:rsid w:val="00CD02FB"/>
    <w:rsid w:val="00CD3C17"/>
    <w:rsid w:val="00CD43A2"/>
    <w:rsid w:val="00CD5607"/>
    <w:rsid w:val="00CD5FD9"/>
    <w:rsid w:val="00CD70AE"/>
    <w:rsid w:val="00CD7F96"/>
    <w:rsid w:val="00CE1DE9"/>
    <w:rsid w:val="00CE1F9C"/>
    <w:rsid w:val="00CE22E0"/>
    <w:rsid w:val="00CE2E48"/>
    <w:rsid w:val="00CF39EB"/>
    <w:rsid w:val="00CF4B34"/>
    <w:rsid w:val="00CF6672"/>
    <w:rsid w:val="00D008EA"/>
    <w:rsid w:val="00D021F7"/>
    <w:rsid w:val="00D03F54"/>
    <w:rsid w:val="00D05051"/>
    <w:rsid w:val="00D067A4"/>
    <w:rsid w:val="00D069C7"/>
    <w:rsid w:val="00D078A2"/>
    <w:rsid w:val="00D079E2"/>
    <w:rsid w:val="00D108E7"/>
    <w:rsid w:val="00D11014"/>
    <w:rsid w:val="00D130A5"/>
    <w:rsid w:val="00D15366"/>
    <w:rsid w:val="00D21123"/>
    <w:rsid w:val="00D218B0"/>
    <w:rsid w:val="00D218F6"/>
    <w:rsid w:val="00D22083"/>
    <w:rsid w:val="00D22399"/>
    <w:rsid w:val="00D239A1"/>
    <w:rsid w:val="00D26BB7"/>
    <w:rsid w:val="00D272BA"/>
    <w:rsid w:val="00D30FA0"/>
    <w:rsid w:val="00D325E6"/>
    <w:rsid w:val="00D34CD0"/>
    <w:rsid w:val="00D360AE"/>
    <w:rsid w:val="00D36612"/>
    <w:rsid w:val="00D367EB"/>
    <w:rsid w:val="00D36A45"/>
    <w:rsid w:val="00D41142"/>
    <w:rsid w:val="00D41679"/>
    <w:rsid w:val="00D41FFB"/>
    <w:rsid w:val="00D45954"/>
    <w:rsid w:val="00D45CE6"/>
    <w:rsid w:val="00D461C2"/>
    <w:rsid w:val="00D5016C"/>
    <w:rsid w:val="00D50EEF"/>
    <w:rsid w:val="00D54206"/>
    <w:rsid w:val="00D54F55"/>
    <w:rsid w:val="00D57015"/>
    <w:rsid w:val="00D570D1"/>
    <w:rsid w:val="00D5734D"/>
    <w:rsid w:val="00D57AB0"/>
    <w:rsid w:val="00D60027"/>
    <w:rsid w:val="00D609E8"/>
    <w:rsid w:val="00D60FC7"/>
    <w:rsid w:val="00D61AAE"/>
    <w:rsid w:val="00D64CB8"/>
    <w:rsid w:val="00D700C9"/>
    <w:rsid w:val="00D70167"/>
    <w:rsid w:val="00D72FD8"/>
    <w:rsid w:val="00D736D9"/>
    <w:rsid w:val="00D7454B"/>
    <w:rsid w:val="00D74A07"/>
    <w:rsid w:val="00D74EC9"/>
    <w:rsid w:val="00D764EC"/>
    <w:rsid w:val="00D7702E"/>
    <w:rsid w:val="00D811B1"/>
    <w:rsid w:val="00D81EC4"/>
    <w:rsid w:val="00D83ED7"/>
    <w:rsid w:val="00D86382"/>
    <w:rsid w:val="00D9475B"/>
    <w:rsid w:val="00D948F2"/>
    <w:rsid w:val="00D9697A"/>
    <w:rsid w:val="00DA0F40"/>
    <w:rsid w:val="00DA259B"/>
    <w:rsid w:val="00DA261D"/>
    <w:rsid w:val="00DA4C48"/>
    <w:rsid w:val="00DA562F"/>
    <w:rsid w:val="00DA6BD8"/>
    <w:rsid w:val="00DA727D"/>
    <w:rsid w:val="00DB1746"/>
    <w:rsid w:val="00DB1A92"/>
    <w:rsid w:val="00DB2471"/>
    <w:rsid w:val="00DB53A7"/>
    <w:rsid w:val="00DC01A0"/>
    <w:rsid w:val="00DC3E57"/>
    <w:rsid w:val="00DC4D74"/>
    <w:rsid w:val="00DC6215"/>
    <w:rsid w:val="00DC7C3C"/>
    <w:rsid w:val="00DD170F"/>
    <w:rsid w:val="00DD37E2"/>
    <w:rsid w:val="00DD595E"/>
    <w:rsid w:val="00DE0A8A"/>
    <w:rsid w:val="00DE1216"/>
    <w:rsid w:val="00DE3FE9"/>
    <w:rsid w:val="00DE6231"/>
    <w:rsid w:val="00DE75D2"/>
    <w:rsid w:val="00DF0F1B"/>
    <w:rsid w:val="00DF1658"/>
    <w:rsid w:val="00DF1BEB"/>
    <w:rsid w:val="00DF3406"/>
    <w:rsid w:val="00DF68CE"/>
    <w:rsid w:val="00DF6E54"/>
    <w:rsid w:val="00DF7360"/>
    <w:rsid w:val="00E0025B"/>
    <w:rsid w:val="00E0052E"/>
    <w:rsid w:val="00E0277E"/>
    <w:rsid w:val="00E02AA4"/>
    <w:rsid w:val="00E034B9"/>
    <w:rsid w:val="00E0356D"/>
    <w:rsid w:val="00E04064"/>
    <w:rsid w:val="00E041FB"/>
    <w:rsid w:val="00E04228"/>
    <w:rsid w:val="00E04457"/>
    <w:rsid w:val="00E04BBC"/>
    <w:rsid w:val="00E06225"/>
    <w:rsid w:val="00E10450"/>
    <w:rsid w:val="00E12418"/>
    <w:rsid w:val="00E1248B"/>
    <w:rsid w:val="00E12629"/>
    <w:rsid w:val="00E13AE6"/>
    <w:rsid w:val="00E1478E"/>
    <w:rsid w:val="00E15732"/>
    <w:rsid w:val="00E159D7"/>
    <w:rsid w:val="00E16420"/>
    <w:rsid w:val="00E17E19"/>
    <w:rsid w:val="00E17F7B"/>
    <w:rsid w:val="00E20CBF"/>
    <w:rsid w:val="00E21653"/>
    <w:rsid w:val="00E2253F"/>
    <w:rsid w:val="00E2414E"/>
    <w:rsid w:val="00E24E61"/>
    <w:rsid w:val="00E2519D"/>
    <w:rsid w:val="00E26830"/>
    <w:rsid w:val="00E275D1"/>
    <w:rsid w:val="00E33D9C"/>
    <w:rsid w:val="00E34538"/>
    <w:rsid w:val="00E35E07"/>
    <w:rsid w:val="00E36712"/>
    <w:rsid w:val="00E36D72"/>
    <w:rsid w:val="00E40B36"/>
    <w:rsid w:val="00E42077"/>
    <w:rsid w:val="00E509F9"/>
    <w:rsid w:val="00E51672"/>
    <w:rsid w:val="00E536B8"/>
    <w:rsid w:val="00E55BEC"/>
    <w:rsid w:val="00E55EE5"/>
    <w:rsid w:val="00E60CD1"/>
    <w:rsid w:val="00E60D2D"/>
    <w:rsid w:val="00E625B3"/>
    <w:rsid w:val="00E631C9"/>
    <w:rsid w:val="00E64743"/>
    <w:rsid w:val="00E710B4"/>
    <w:rsid w:val="00E7257D"/>
    <w:rsid w:val="00E728CB"/>
    <w:rsid w:val="00E7336F"/>
    <w:rsid w:val="00E76262"/>
    <w:rsid w:val="00E84A6B"/>
    <w:rsid w:val="00E87108"/>
    <w:rsid w:val="00E9027A"/>
    <w:rsid w:val="00E92385"/>
    <w:rsid w:val="00E92742"/>
    <w:rsid w:val="00E92842"/>
    <w:rsid w:val="00E958B5"/>
    <w:rsid w:val="00E96928"/>
    <w:rsid w:val="00E96DEA"/>
    <w:rsid w:val="00E96E31"/>
    <w:rsid w:val="00E96FFE"/>
    <w:rsid w:val="00E977D0"/>
    <w:rsid w:val="00EA1585"/>
    <w:rsid w:val="00EA1B77"/>
    <w:rsid w:val="00EA48AE"/>
    <w:rsid w:val="00EA4AD7"/>
    <w:rsid w:val="00EA55E1"/>
    <w:rsid w:val="00EB09E2"/>
    <w:rsid w:val="00EB169E"/>
    <w:rsid w:val="00EB244C"/>
    <w:rsid w:val="00EB2758"/>
    <w:rsid w:val="00EB3413"/>
    <w:rsid w:val="00EB74A5"/>
    <w:rsid w:val="00ED261F"/>
    <w:rsid w:val="00ED30B7"/>
    <w:rsid w:val="00ED37CB"/>
    <w:rsid w:val="00ED6B87"/>
    <w:rsid w:val="00EE0126"/>
    <w:rsid w:val="00EE2378"/>
    <w:rsid w:val="00EF2A15"/>
    <w:rsid w:val="00EF2B82"/>
    <w:rsid w:val="00EF2C21"/>
    <w:rsid w:val="00EF5BFD"/>
    <w:rsid w:val="00EF65AE"/>
    <w:rsid w:val="00F01B25"/>
    <w:rsid w:val="00F01C6F"/>
    <w:rsid w:val="00F03156"/>
    <w:rsid w:val="00F04B4D"/>
    <w:rsid w:val="00F061F3"/>
    <w:rsid w:val="00F06AE7"/>
    <w:rsid w:val="00F06EE2"/>
    <w:rsid w:val="00F074DC"/>
    <w:rsid w:val="00F12BBB"/>
    <w:rsid w:val="00F158B0"/>
    <w:rsid w:val="00F15BBA"/>
    <w:rsid w:val="00F20E2C"/>
    <w:rsid w:val="00F215E3"/>
    <w:rsid w:val="00F2275E"/>
    <w:rsid w:val="00F23110"/>
    <w:rsid w:val="00F2405E"/>
    <w:rsid w:val="00F24341"/>
    <w:rsid w:val="00F24B92"/>
    <w:rsid w:val="00F24F8F"/>
    <w:rsid w:val="00F2595E"/>
    <w:rsid w:val="00F260CC"/>
    <w:rsid w:val="00F26DED"/>
    <w:rsid w:val="00F307E0"/>
    <w:rsid w:val="00F311DC"/>
    <w:rsid w:val="00F34D63"/>
    <w:rsid w:val="00F35215"/>
    <w:rsid w:val="00F36F07"/>
    <w:rsid w:val="00F373A8"/>
    <w:rsid w:val="00F41BE4"/>
    <w:rsid w:val="00F5153F"/>
    <w:rsid w:val="00F55507"/>
    <w:rsid w:val="00F573CD"/>
    <w:rsid w:val="00F57F7A"/>
    <w:rsid w:val="00F62D33"/>
    <w:rsid w:val="00F6352C"/>
    <w:rsid w:val="00F639E9"/>
    <w:rsid w:val="00F654FC"/>
    <w:rsid w:val="00F6570B"/>
    <w:rsid w:val="00F67615"/>
    <w:rsid w:val="00F7275F"/>
    <w:rsid w:val="00F72952"/>
    <w:rsid w:val="00F76C98"/>
    <w:rsid w:val="00F76F4C"/>
    <w:rsid w:val="00F804CD"/>
    <w:rsid w:val="00F80750"/>
    <w:rsid w:val="00F84AB8"/>
    <w:rsid w:val="00F85F59"/>
    <w:rsid w:val="00F86717"/>
    <w:rsid w:val="00F86DD4"/>
    <w:rsid w:val="00F92A37"/>
    <w:rsid w:val="00F973BE"/>
    <w:rsid w:val="00FA0D80"/>
    <w:rsid w:val="00FA19C8"/>
    <w:rsid w:val="00FA1B92"/>
    <w:rsid w:val="00FA1CE5"/>
    <w:rsid w:val="00FA3CEC"/>
    <w:rsid w:val="00FA3CF6"/>
    <w:rsid w:val="00FA6DB0"/>
    <w:rsid w:val="00FA726F"/>
    <w:rsid w:val="00FB4CF2"/>
    <w:rsid w:val="00FB7335"/>
    <w:rsid w:val="00FC2BD3"/>
    <w:rsid w:val="00FC3D45"/>
    <w:rsid w:val="00FC4845"/>
    <w:rsid w:val="00FC6B03"/>
    <w:rsid w:val="00FD06D5"/>
    <w:rsid w:val="00FD505C"/>
    <w:rsid w:val="00FE11F9"/>
    <w:rsid w:val="00FE25E2"/>
    <w:rsid w:val="00FE419E"/>
    <w:rsid w:val="00FE4999"/>
    <w:rsid w:val="00FE5EEF"/>
    <w:rsid w:val="00FF2484"/>
    <w:rsid w:val="00FF7AF1"/>
    <w:rsid w:val="00FF7E73"/>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2B5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000000"/>
        <w:sz w:val="22"/>
        <w:szCs w:val="22"/>
        <w:lang w:val="en-AU" w:eastAsia="en-US" w:bidi="ar-SA"/>
      </w:rPr>
    </w:rPrDefault>
    <w:pPrDefault>
      <w:pPr>
        <w:spacing w:after="120" w:line="264"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38"/>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iPriority="17" w:unhideWhenUsed="1"/>
    <w:lsdException w:name="List Continue 2" w:semiHidden="1" w:uiPriority="17" w:unhideWhenUsed="1"/>
    <w:lsdException w:name="List Continue 3" w:semiHidden="1" w:uiPriority="17" w:unhideWhenUsed="1"/>
    <w:lsdException w:name="List Continue 4" w:semiHidden="1" w:uiPriority="17" w:unhideWhenUsed="1"/>
    <w:lsdException w:name="List Continue 5" w:semiHidden="1" w:uiPriority="17"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6"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869"/>
    <w:pPr>
      <w:numPr>
        <w:numId w:val="1"/>
      </w:numPr>
    </w:pPr>
  </w:style>
  <w:style w:type="paragraph" w:styleId="Heading1">
    <w:name w:val="heading 1"/>
    <w:basedOn w:val="Normal"/>
    <w:next w:val="Normal"/>
    <w:link w:val="Heading1Char"/>
    <w:uiPriority w:val="9"/>
    <w:unhideWhenUsed/>
    <w:qFormat/>
    <w:rsid w:val="001A29CC"/>
    <w:pPr>
      <w:keepNext/>
      <w:keepLines/>
      <w:pageBreakBefore/>
      <w:numPr>
        <w:numId w:val="5"/>
      </w:numPr>
      <w:spacing w:before="360" w:after="240"/>
      <w:outlineLvl w:val="0"/>
    </w:pPr>
    <w:rPr>
      <w:rFonts w:asciiTheme="majorHAnsi" w:eastAsiaTheme="majorEastAsia" w:hAnsiTheme="majorHAnsi" w:cstheme="majorBidi"/>
      <w:b/>
      <w:bCs/>
      <w:color w:val="000000" w:themeColor="text1"/>
      <w:sz w:val="44"/>
      <w:szCs w:val="28"/>
    </w:rPr>
  </w:style>
  <w:style w:type="paragraph" w:styleId="Heading2">
    <w:name w:val="heading 2"/>
    <w:basedOn w:val="Normal"/>
    <w:next w:val="Normal"/>
    <w:link w:val="Heading2Char"/>
    <w:uiPriority w:val="9"/>
    <w:unhideWhenUsed/>
    <w:qFormat/>
    <w:rsid w:val="00670869"/>
    <w:pPr>
      <w:keepNext/>
      <w:keepLines/>
      <w:numPr>
        <w:ilvl w:val="1"/>
        <w:numId w:val="5"/>
      </w:numPr>
      <w:spacing w:before="40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qFormat/>
    <w:rsid w:val="00670869"/>
    <w:pPr>
      <w:keepNext/>
      <w:keepLines/>
      <w:numPr>
        <w:ilvl w:val="2"/>
        <w:numId w:val="5"/>
      </w:numPr>
      <w:spacing w:before="240"/>
      <w:outlineLvl w:val="2"/>
    </w:pPr>
    <w:rPr>
      <w:rFonts w:asciiTheme="majorHAnsi" w:eastAsiaTheme="majorEastAsia" w:hAnsiTheme="majorHAnsi" w:cstheme="majorBidi"/>
      <w:b/>
      <w:bCs/>
      <w:color w:val="000000" w:themeColor="text1"/>
      <w:sz w:val="20"/>
    </w:rPr>
  </w:style>
  <w:style w:type="paragraph" w:styleId="Heading4">
    <w:name w:val="heading 4"/>
    <w:basedOn w:val="Normal"/>
    <w:next w:val="Normal"/>
    <w:link w:val="Heading4Char"/>
    <w:uiPriority w:val="9"/>
    <w:semiHidden/>
    <w:qFormat/>
    <w:rsid w:val="00670869"/>
    <w:pPr>
      <w:keepNext/>
      <w:keepLines/>
      <w:numPr>
        <w:ilvl w:val="3"/>
        <w:numId w:val="5"/>
      </w:numPr>
      <w:spacing w:before="120" w:after="60" w:line="216" w:lineRule="atLeast"/>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qFormat/>
    <w:rsid w:val="00670869"/>
    <w:pPr>
      <w:keepNext/>
      <w:keepLines/>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qFormat/>
    <w:rsid w:val="00670869"/>
    <w:pPr>
      <w:keepNext/>
      <w:keepLines/>
      <w:spacing w:before="200" w:after="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670869"/>
    <w:pPr>
      <w:keepNext/>
      <w:keepLines/>
      <w:spacing w:before="20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670869"/>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670869"/>
    <w:pPr>
      <w:keepNext/>
      <w:keepLines/>
      <w:spacing w:before="200" w:after="0"/>
      <w:outlineLvl w:val="8"/>
    </w:pPr>
    <w:rPr>
      <w:rFonts w:asciiTheme="majorHAnsi" w:eastAsiaTheme="majorEastAsia" w:hAnsiTheme="majorHAnsi"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29CC"/>
    <w:rPr>
      <w:rFonts w:asciiTheme="majorHAnsi" w:eastAsiaTheme="majorEastAsia" w:hAnsiTheme="majorHAnsi" w:cstheme="majorBidi"/>
      <w:b/>
      <w:bCs/>
      <w:color w:val="000000" w:themeColor="text1"/>
      <w:sz w:val="44"/>
      <w:szCs w:val="28"/>
    </w:rPr>
  </w:style>
  <w:style w:type="character" w:customStyle="1" w:styleId="Heading2Char">
    <w:name w:val="Heading 2 Char"/>
    <w:basedOn w:val="DefaultParagraphFont"/>
    <w:link w:val="Heading2"/>
    <w:uiPriority w:val="9"/>
    <w:rsid w:val="00670869"/>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670869"/>
    <w:rPr>
      <w:rFonts w:asciiTheme="majorHAnsi" w:eastAsiaTheme="majorEastAsia" w:hAnsiTheme="majorHAnsi" w:cstheme="majorBidi"/>
      <w:b/>
      <w:bCs/>
      <w:color w:val="000000" w:themeColor="text1"/>
      <w:sz w:val="20"/>
    </w:rPr>
  </w:style>
  <w:style w:type="paragraph" w:customStyle="1" w:styleId="CoverSubtitle">
    <w:name w:val="Cover Subtitle"/>
    <w:basedOn w:val="Normal"/>
    <w:next w:val="Normal"/>
    <w:uiPriority w:val="38"/>
    <w:rsid w:val="00670869"/>
    <w:pPr>
      <w:spacing w:before="360" w:after="0"/>
    </w:pPr>
    <w:rPr>
      <w:rFonts w:asciiTheme="majorHAnsi" w:hAnsiTheme="majorHAnsi"/>
      <w:color w:val="000000" w:themeColor="text1"/>
    </w:rPr>
  </w:style>
  <w:style w:type="paragraph" w:customStyle="1" w:styleId="SubHeading">
    <w:name w:val="Sub Heading"/>
    <w:basedOn w:val="Normal"/>
    <w:next w:val="Normal"/>
    <w:uiPriority w:val="9"/>
    <w:qFormat/>
    <w:rsid w:val="00670869"/>
    <w:pPr>
      <w:keepNext/>
      <w:keepLines/>
      <w:numPr>
        <w:numId w:val="0"/>
      </w:numPr>
      <w:spacing w:before="360"/>
    </w:pPr>
    <w:rPr>
      <w:b/>
      <w:caps/>
      <w:color w:val="000000" w:themeColor="text1"/>
      <w:sz w:val="24"/>
    </w:rPr>
  </w:style>
  <w:style w:type="character" w:customStyle="1" w:styleId="Heading4Char">
    <w:name w:val="Heading 4 Char"/>
    <w:basedOn w:val="DefaultParagraphFont"/>
    <w:link w:val="Heading4"/>
    <w:uiPriority w:val="9"/>
    <w:semiHidden/>
    <w:rsid w:val="00670869"/>
    <w:rPr>
      <w:rFonts w:asciiTheme="majorHAnsi" w:eastAsiaTheme="majorEastAsia" w:hAnsiTheme="majorHAnsi" w:cstheme="majorBidi"/>
      <w:b/>
      <w:bCs/>
      <w:iCs/>
      <w:color w:val="000000" w:themeColor="text1"/>
    </w:rPr>
  </w:style>
  <w:style w:type="paragraph" w:styleId="ListBullet">
    <w:name w:val="List Bullet"/>
    <w:basedOn w:val="Normal"/>
    <w:uiPriority w:val="16"/>
    <w:qFormat/>
    <w:rsid w:val="00670869"/>
    <w:pPr>
      <w:numPr>
        <w:numId w:val="41"/>
      </w:numPr>
    </w:pPr>
    <w:rPr>
      <w:color w:val="000000" w:themeColor="text1"/>
    </w:rPr>
  </w:style>
  <w:style w:type="paragraph" w:styleId="ListBullet2">
    <w:name w:val="List Bullet 2"/>
    <w:basedOn w:val="Normal"/>
    <w:uiPriority w:val="16"/>
    <w:qFormat/>
    <w:rsid w:val="00670869"/>
    <w:pPr>
      <w:numPr>
        <w:ilvl w:val="1"/>
        <w:numId w:val="41"/>
      </w:numPr>
    </w:pPr>
    <w:rPr>
      <w:color w:val="000000" w:themeColor="text1"/>
    </w:rPr>
  </w:style>
  <w:style w:type="paragraph" w:styleId="ListNumber">
    <w:name w:val="List Number"/>
    <w:basedOn w:val="Normal"/>
    <w:uiPriority w:val="16"/>
    <w:qFormat/>
    <w:rsid w:val="00670869"/>
    <w:pPr>
      <w:numPr>
        <w:ilvl w:val="1"/>
      </w:numPr>
    </w:pPr>
  </w:style>
  <w:style w:type="paragraph" w:styleId="ListNumber2">
    <w:name w:val="List Number 2"/>
    <w:basedOn w:val="Normal"/>
    <w:uiPriority w:val="16"/>
    <w:qFormat/>
    <w:rsid w:val="00670869"/>
    <w:pPr>
      <w:numPr>
        <w:ilvl w:val="2"/>
      </w:numPr>
    </w:pPr>
  </w:style>
  <w:style w:type="numbering" w:customStyle="1" w:styleId="Lists">
    <w:name w:val="Lists"/>
    <w:uiPriority w:val="99"/>
    <w:rsid w:val="00670869"/>
    <w:pPr>
      <w:numPr>
        <w:numId w:val="1"/>
      </w:numPr>
    </w:pPr>
  </w:style>
  <w:style w:type="paragraph" w:styleId="ListNumber3">
    <w:name w:val="List Number 3"/>
    <w:basedOn w:val="Normal"/>
    <w:link w:val="ListNumber3Char"/>
    <w:uiPriority w:val="16"/>
    <w:qFormat/>
    <w:rsid w:val="00670869"/>
    <w:pPr>
      <w:numPr>
        <w:ilvl w:val="3"/>
      </w:numPr>
    </w:pPr>
  </w:style>
  <w:style w:type="paragraph" w:styleId="Title">
    <w:name w:val="Title"/>
    <w:basedOn w:val="Normal"/>
    <w:next w:val="CoverSubtitle"/>
    <w:link w:val="TitleChar"/>
    <w:uiPriority w:val="38"/>
    <w:rsid w:val="00670869"/>
    <w:pPr>
      <w:spacing w:before="1134"/>
    </w:pPr>
    <w:rPr>
      <w:rFonts w:asciiTheme="majorHAnsi" w:eastAsiaTheme="majorEastAsia" w:hAnsiTheme="majorHAnsi" w:cstheme="majorBidi"/>
      <w:b/>
      <w:color w:val="000000" w:themeColor="text1"/>
      <w:sz w:val="48"/>
      <w:szCs w:val="52"/>
    </w:rPr>
  </w:style>
  <w:style w:type="character" w:customStyle="1" w:styleId="TitleChar">
    <w:name w:val="Title Char"/>
    <w:basedOn w:val="DefaultParagraphFont"/>
    <w:link w:val="Title"/>
    <w:uiPriority w:val="38"/>
    <w:rsid w:val="00670869"/>
    <w:rPr>
      <w:rFonts w:asciiTheme="majorHAnsi" w:eastAsiaTheme="majorEastAsia" w:hAnsiTheme="majorHAnsi" w:cstheme="majorBidi"/>
      <w:b/>
      <w:color w:val="000000" w:themeColor="text1"/>
      <w:sz w:val="48"/>
      <w:szCs w:val="52"/>
    </w:rPr>
  </w:style>
  <w:style w:type="paragraph" w:styleId="TOC1">
    <w:name w:val="toc 1"/>
    <w:basedOn w:val="Normal"/>
    <w:next w:val="Normal"/>
    <w:autoRedefine/>
    <w:uiPriority w:val="39"/>
    <w:rsid w:val="00670869"/>
    <w:pPr>
      <w:tabs>
        <w:tab w:val="right" w:leader="dot" w:pos="9639"/>
      </w:tabs>
      <w:spacing w:before="120" w:after="0"/>
    </w:pPr>
    <w:rPr>
      <w:b/>
      <w:sz w:val="24"/>
    </w:rPr>
  </w:style>
  <w:style w:type="paragraph" w:styleId="TOCHeading">
    <w:name w:val="TOC Heading"/>
    <w:basedOn w:val="Heading1"/>
    <w:next w:val="Normal"/>
    <w:uiPriority w:val="39"/>
    <w:rsid w:val="00670869"/>
    <w:pPr>
      <w:numPr>
        <w:numId w:val="0"/>
      </w:numPr>
      <w:spacing w:before="480" w:after="360"/>
      <w:outlineLvl w:val="9"/>
    </w:pPr>
  </w:style>
  <w:style w:type="paragraph" w:styleId="Footer">
    <w:name w:val="footer"/>
    <w:basedOn w:val="Normal"/>
    <w:link w:val="FooterChar"/>
    <w:uiPriority w:val="99"/>
    <w:rsid w:val="00670869"/>
    <w:pPr>
      <w:tabs>
        <w:tab w:val="right" w:pos="9639"/>
      </w:tabs>
      <w:spacing w:after="0" w:line="240" w:lineRule="auto"/>
      <w:contextualSpacing/>
    </w:pPr>
    <w:rPr>
      <w:rFonts w:asciiTheme="majorHAnsi" w:hAnsiTheme="majorHAnsi"/>
      <w:sz w:val="16"/>
    </w:rPr>
  </w:style>
  <w:style w:type="character" w:customStyle="1" w:styleId="FooterChar">
    <w:name w:val="Footer Char"/>
    <w:basedOn w:val="DefaultParagraphFont"/>
    <w:link w:val="Footer"/>
    <w:uiPriority w:val="99"/>
    <w:rsid w:val="00670869"/>
    <w:rPr>
      <w:rFonts w:asciiTheme="majorHAnsi" w:hAnsiTheme="majorHAnsi"/>
      <w:sz w:val="16"/>
    </w:rPr>
  </w:style>
  <w:style w:type="paragraph" w:styleId="ListBullet3">
    <w:name w:val="List Bullet 3"/>
    <w:basedOn w:val="Normal"/>
    <w:uiPriority w:val="16"/>
    <w:qFormat/>
    <w:rsid w:val="00670869"/>
    <w:pPr>
      <w:numPr>
        <w:ilvl w:val="2"/>
        <w:numId w:val="41"/>
      </w:numPr>
    </w:pPr>
    <w:rPr>
      <w:color w:val="000000" w:themeColor="text1"/>
    </w:rPr>
  </w:style>
  <w:style w:type="character" w:customStyle="1" w:styleId="UnresolvedMention1">
    <w:name w:val="Unresolved Mention1"/>
    <w:basedOn w:val="DefaultParagraphFont"/>
    <w:uiPriority w:val="99"/>
    <w:semiHidden/>
    <w:unhideWhenUsed/>
    <w:rsid w:val="00EF65AE"/>
    <w:rPr>
      <w:color w:val="605E5C"/>
      <w:shd w:val="clear" w:color="auto" w:fill="E1DFDD"/>
    </w:rPr>
  </w:style>
  <w:style w:type="paragraph" w:styleId="Caption">
    <w:name w:val="caption"/>
    <w:next w:val="Normal"/>
    <w:uiPriority w:val="35"/>
    <w:qFormat/>
    <w:rsid w:val="00670869"/>
    <w:pPr>
      <w:keepNext/>
      <w:tabs>
        <w:tab w:val="left" w:pos="992"/>
      </w:tabs>
      <w:spacing w:before="360"/>
    </w:pPr>
    <w:rPr>
      <w:b/>
      <w:bCs/>
      <w:szCs w:val="18"/>
    </w:rPr>
  </w:style>
  <w:style w:type="paragraph" w:styleId="Header">
    <w:name w:val="header"/>
    <w:basedOn w:val="Normal"/>
    <w:link w:val="HeaderChar"/>
    <w:uiPriority w:val="44"/>
    <w:rsid w:val="00670869"/>
    <w:pPr>
      <w:tabs>
        <w:tab w:val="center" w:pos="4513"/>
        <w:tab w:val="right" w:pos="9026"/>
      </w:tabs>
      <w:spacing w:before="360" w:after="360"/>
      <w:jc w:val="right"/>
    </w:pPr>
    <w:rPr>
      <w:sz w:val="26"/>
    </w:rPr>
  </w:style>
  <w:style w:type="character" w:customStyle="1" w:styleId="HeaderChar">
    <w:name w:val="Header Char"/>
    <w:basedOn w:val="DefaultParagraphFont"/>
    <w:link w:val="Header"/>
    <w:uiPriority w:val="44"/>
    <w:rsid w:val="00670869"/>
    <w:rPr>
      <w:sz w:val="26"/>
    </w:rPr>
  </w:style>
  <w:style w:type="paragraph" w:styleId="BalloonText">
    <w:name w:val="Balloon Text"/>
    <w:basedOn w:val="Normal"/>
    <w:link w:val="BalloonTextChar"/>
    <w:uiPriority w:val="99"/>
    <w:semiHidden/>
    <w:unhideWhenUsed/>
    <w:locked/>
    <w:rsid w:val="0067086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869"/>
    <w:rPr>
      <w:rFonts w:ascii="Tahoma" w:hAnsi="Tahoma" w:cs="Tahoma"/>
      <w:sz w:val="16"/>
      <w:szCs w:val="16"/>
    </w:rPr>
  </w:style>
  <w:style w:type="character" w:styleId="PlaceholderText">
    <w:name w:val="Placeholder Text"/>
    <w:basedOn w:val="DefaultParagraphFont"/>
    <w:uiPriority w:val="99"/>
    <w:unhideWhenUsed/>
    <w:rsid w:val="00670869"/>
    <w:rPr>
      <w:noProof w:val="0"/>
      <w:color w:val="FF0000"/>
      <w:sz w:val="20"/>
      <w:lang w:val="en-AU"/>
    </w:rPr>
  </w:style>
  <w:style w:type="paragraph" w:styleId="ListNumber4">
    <w:name w:val="List Number 4"/>
    <w:basedOn w:val="Normal"/>
    <w:uiPriority w:val="16"/>
    <w:semiHidden/>
    <w:qFormat/>
    <w:rsid w:val="00670869"/>
    <w:pPr>
      <w:numPr>
        <w:ilvl w:val="4"/>
      </w:numPr>
    </w:pPr>
  </w:style>
  <w:style w:type="character" w:styleId="Hyperlink">
    <w:name w:val="Hyperlink"/>
    <w:basedOn w:val="DefaultParagraphFont"/>
    <w:uiPriority w:val="99"/>
    <w:rsid w:val="00670869"/>
    <w:rPr>
      <w:noProof w:val="0"/>
      <w:color w:val="0000FF"/>
      <w:u w:val="single"/>
      <w:lang w:val="en-AU"/>
    </w:rPr>
  </w:style>
  <w:style w:type="paragraph" w:styleId="Bibliography">
    <w:name w:val="Bibliography"/>
    <w:basedOn w:val="Normal"/>
    <w:next w:val="Normal"/>
    <w:uiPriority w:val="37"/>
    <w:semiHidden/>
    <w:unhideWhenUsed/>
    <w:locked/>
    <w:rsid w:val="00670869"/>
  </w:style>
  <w:style w:type="paragraph" w:styleId="BlockText">
    <w:name w:val="Block Text"/>
    <w:basedOn w:val="Normal"/>
    <w:uiPriority w:val="99"/>
    <w:semiHidden/>
    <w:unhideWhenUsed/>
    <w:locked/>
    <w:rsid w:val="00670869"/>
    <w:pPr>
      <w:pBdr>
        <w:top w:val="single" w:sz="2" w:space="10" w:color="007C89" w:themeColor="accent1"/>
        <w:left w:val="single" w:sz="2" w:space="10" w:color="007C89" w:themeColor="accent1"/>
        <w:bottom w:val="single" w:sz="2" w:space="10" w:color="007C89" w:themeColor="accent1"/>
        <w:right w:val="single" w:sz="2" w:space="10" w:color="007C89" w:themeColor="accent1"/>
      </w:pBdr>
      <w:ind w:left="1152" w:right="1152"/>
    </w:pPr>
    <w:rPr>
      <w:rFonts w:asciiTheme="minorHAnsi" w:eastAsiaTheme="minorEastAsia" w:hAnsiTheme="minorHAnsi"/>
      <w:i/>
      <w:iCs/>
      <w:color w:val="007C89" w:themeColor="accent1"/>
    </w:rPr>
  </w:style>
  <w:style w:type="paragraph" w:styleId="BodyText2">
    <w:name w:val="Body Text 2"/>
    <w:basedOn w:val="Normal"/>
    <w:link w:val="BodyText2Char"/>
    <w:uiPriority w:val="99"/>
    <w:semiHidden/>
    <w:unhideWhenUsed/>
    <w:locked/>
    <w:rsid w:val="00670869"/>
    <w:pPr>
      <w:spacing w:line="480" w:lineRule="auto"/>
    </w:pPr>
  </w:style>
  <w:style w:type="character" w:customStyle="1" w:styleId="BodyText2Char">
    <w:name w:val="Body Text 2 Char"/>
    <w:basedOn w:val="DefaultParagraphFont"/>
    <w:link w:val="BodyText2"/>
    <w:uiPriority w:val="99"/>
    <w:semiHidden/>
    <w:rsid w:val="00670869"/>
  </w:style>
  <w:style w:type="paragraph" w:styleId="BodyText3">
    <w:name w:val="Body Text 3"/>
    <w:basedOn w:val="Normal"/>
    <w:link w:val="BodyText3Char"/>
    <w:uiPriority w:val="99"/>
    <w:semiHidden/>
    <w:unhideWhenUsed/>
    <w:locked/>
    <w:rsid w:val="00670869"/>
    <w:rPr>
      <w:sz w:val="16"/>
      <w:szCs w:val="16"/>
    </w:rPr>
  </w:style>
  <w:style w:type="character" w:customStyle="1" w:styleId="BodyText3Char">
    <w:name w:val="Body Text 3 Char"/>
    <w:basedOn w:val="DefaultParagraphFont"/>
    <w:link w:val="BodyText3"/>
    <w:uiPriority w:val="99"/>
    <w:semiHidden/>
    <w:rsid w:val="00670869"/>
    <w:rPr>
      <w:sz w:val="16"/>
      <w:szCs w:val="16"/>
    </w:rPr>
  </w:style>
  <w:style w:type="paragraph" w:styleId="BodyTextFirstIndent">
    <w:name w:val="Body Text First Indent"/>
    <w:basedOn w:val="Normal"/>
    <w:link w:val="BodyTextFirstIndentChar"/>
    <w:uiPriority w:val="99"/>
    <w:semiHidden/>
    <w:unhideWhenUsed/>
    <w:locked/>
    <w:rsid w:val="00670869"/>
    <w:pPr>
      <w:spacing w:after="170"/>
      <w:ind w:firstLine="360"/>
    </w:pPr>
  </w:style>
  <w:style w:type="character" w:customStyle="1" w:styleId="BodyTextFirstIndentChar">
    <w:name w:val="Body Text First Indent Char"/>
    <w:basedOn w:val="DefaultParagraphFont"/>
    <w:link w:val="BodyTextFirstIndent"/>
    <w:uiPriority w:val="99"/>
    <w:semiHidden/>
    <w:rsid w:val="00670869"/>
  </w:style>
  <w:style w:type="paragraph" w:styleId="BodyTextIndent">
    <w:name w:val="Body Text Indent"/>
    <w:basedOn w:val="Normal"/>
    <w:link w:val="BodyTextIndentChar"/>
    <w:uiPriority w:val="99"/>
    <w:semiHidden/>
    <w:unhideWhenUsed/>
    <w:locked/>
    <w:rsid w:val="00670869"/>
    <w:pPr>
      <w:ind w:left="283"/>
    </w:pPr>
  </w:style>
  <w:style w:type="character" w:customStyle="1" w:styleId="BodyTextIndentChar">
    <w:name w:val="Body Text Indent Char"/>
    <w:basedOn w:val="DefaultParagraphFont"/>
    <w:link w:val="BodyTextIndent"/>
    <w:uiPriority w:val="99"/>
    <w:semiHidden/>
    <w:rsid w:val="00670869"/>
  </w:style>
  <w:style w:type="paragraph" w:styleId="BodyTextFirstIndent2">
    <w:name w:val="Body Text First Indent 2"/>
    <w:basedOn w:val="BodyTextIndent"/>
    <w:link w:val="BodyTextFirstIndent2Char"/>
    <w:uiPriority w:val="99"/>
    <w:semiHidden/>
    <w:unhideWhenUsed/>
    <w:locked/>
    <w:rsid w:val="00670869"/>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670869"/>
  </w:style>
  <w:style w:type="paragraph" w:styleId="BodyTextIndent2">
    <w:name w:val="Body Text Indent 2"/>
    <w:basedOn w:val="Normal"/>
    <w:link w:val="BodyTextIndent2Char"/>
    <w:uiPriority w:val="99"/>
    <w:semiHidden/>
    <w:unhideWhenUsed/>
    <w:locked/>
    <w:rsid w:val="00670869"/>
    <w:pPr>
      <w:spacing w:line="480" w:lineRule="auto"/>
      <w:ind w:left="283"/>
    </w:pPr>
  </w:style>
  <w:style w:type="character" w:customStyle="1" w:styleId="BodyTextIndent2Char">
    <w:name w:val="Body Text Indent 2 Char"/>
    <w:basedOn w:val="DefaultParagraphFont"/>
    <w:link w:val="BodyTextIndent2"/>
    <w:uiPriority w:val="99"/>
    <w:semiHidden/>
    <w:rsid w:val="00670869"/>
  </w:style>
  <w:style w:type="paragraph" w:styleId="BodyTextIndent3">
    <w:name w:val="Body Text Indent 3"/>
    <w:basedOn w:val="Normal"/>
    <w:link w:val="BodyTextIndent3Char"/>
    <w:uiPriority w:val="99"/>
    <w:semiHidden/>
    <w:unhideWhenUsed/>
    <w:locked/>
    <w:rsid w:val="00670869"/>
    <w:pPr>
      <w:ind w:left="283"/>
    </w:pPr>
    <w:rPr>
      <w:sz w:val="16"/>
      <w:szCs w:val="16"/>
    </w:rPr>
  </w:style>
  <w:style w:type="character" w:customStyle="1" w:styleId="BodyTextIndent3Char">
    <w:name w:val="Body Text Indent 3 Char"/>
    <w:basedOn w:val="DefaultParagraphFont"/>
    <w:link w:val="BodyTextIndent3"/>
    <w:uiPriority w:val="99"/>
    <w:semiHidden/>
    <w:rsid w:val="00670869"/>
    <w:rPr>
      <w:sz w:val="16"/>
      <w:szCs w:val="16"/>
    </w:rPr>
  </w:style>
  <w:style w:type="character" w:styleId="BookTitle">
    <w:name w:val="Book Title"/>
    <w:basedOn w:val="DefaultParagraphFont"/>
    <w:uiPriority w:val="33"/>
    <w:semiHidden/>
    <w:qFormat/>
    <w:locked/>
    <w:rsid w:val="00670869"/>
    <w:rPr>
      <w:b/>
      <w:bCs/>
      <w:smallCaps/>
      <w:noProof w:val="0"/>
      <w:spacing w:val="5"/>
      <w:lang w:val="en-AU"/>
    </w:rPr>
  </w:style>
  <w:style w:type="paragraph" w:styleId="Closing">
    <w:name w:val="Closing"/>
    <w:basedOn w:val="Normal"/>
    <w:link w:val="ClosingChar"/>
    <w:uiPriority w:val="99"/>
    <w:semiHidden/>
    <w:unhideWhenUsed/>
    <w:locked/>
    <w:rsid w:val="00670869"/>
    <w:pPr>
      <w:spacing w:after="0"/>
      <w:ind w:left="4252"/>
    </w:pPr>
  </w:style>
  <w:style w:type="character" w:customStyle="1" w:styleId="ClosingChar">
    <w:name w:val="Closing Char"/>
    <w:basedOn w:val="DefaultParagraphFont"/>
    <w:link w:val="Closing"/>
    <w:uiPriority w:val="99"/>
    <w:semiHidden/>
    <w:rsid w:val="00670869"/>
  </w:style>
  <w:style w:type="table" w:styleId="ColorfulGrid">
    <w:name w:val="Colorful Grid"/>
    <w:basedOn w:val="TableNormal"/>
    <w:uiPriority w:val="73"/>
    <w:locked/>
    <w:rsid w:val="00670869"/>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670869"/>
    <w:pPr>
      <w:spacing w:after="0"/>
    </w:pPr>
    <w:tblPr>
      <w:tblStyleRowBandSize w:val="1"/>
      <w:tblStyleColBandSize w:val="1"/>
      <w:tblBorders>
        <w:insideH w:val="single" w:sz="4" w:space="0" w:color="FFFFFF" w:themeColor="background1"/>
      </w:tblBorders>
    </w:tblPr>
    <w:tcPr>
      <w:shd w:val="clear" w:color="auto" w:fill="B4F7FF" w:themeFill="accent1" w:themeFillTint="33"/>
    </w:tcPr>
    <w:tblStylePr w:type="firstRow">
      <w:rPr>
        <w:b/>
        <w:bCs/>
      </w:rPr>
      <w:tblPr/>
      <w:tcPr>
        <w:shd w:val="clear" w:color="auto" w:fill="69F0FF" w:themeFill="accent1" w:themeFillTint="66"/>
      </w:tcPr>
    </w:tblStylePr>
    <w:tblStylePr w:type="lastRow">
      <w:rPr>
        <w:b/>
        <w:bCs/>
        <w:color w:val="000000" w:themeColor="text1"/>
      </w:rPr>
      <w:tblPr/>
      <w:tcPr>
        <w:shd w:val="clear" w:color="auto" w:fill="69F0FF" w:themeFill="accent1" w:themeFillTint="66"/>
      </w:tcPr>
    </w:tblStylePr>
    <w:tblStylePr w:type="firstCol">
      <w:rPr>
        <w:color w:val="FFFFFF" w:themeColor="background1"/>
      </w:rPr>
      <w:tblPr/>
      <w:tcPr>
        <w:shd w:val="clear" w:color="auto" w:fill="005C66" w:themeFill="accent1" w:themeFillShade="BF"/>
      </w:tcPr>
    </w:tblStylePr>
    <w:tblStylePr w:type="lastCol">
      <w:rPr>
        <w:color w:val="FFFFFF" w:themeColor="background1"/>
      </w:rPr>
      <w:tblPr/>
      <w:tcPr>
        <w:shd w:val="clear" w:color="auto" w:fill="005C66" w:themeFill="accent1" w:themeFillShade="BF"/>
      </w:tcPr>
    </w:tblStylePr>
    <w:tblStylePr w:type="band1Vert">
      <w:tblPr/>
      <w:tcPr>
        <w:shd w:val="clear" w:color="auto" w:fill="45ECFF" w:themeFill="accent1" w:themeFillTint="7F"/>
      </w:tcPr>
    </w:tblStylePr>
    <w:tblStylePr w:type="band1Horz">
      <w:tblPr/>
      <w:tcPr>
        <w:shd w:val="clear" w:color="auto" w:fill="45ECFF" w:themeFill="accent1" w:themeFillTint="7F"/>
      </w:tcPr>
    </w:tblStylePr>
  </w:style>
  <w:style w:type="table" w:styleId="ColorfulGrid-Accent2">
    <w:name w:val="Colorful Grid Accent 2"/>
    <w:basedOn w:val="TableNormal"/>
    <w:uiPriority w:val="73"/>
    <w:locked/>
    <w:rsid w:val="00670869"/>
    <w:pPr>
      <w:spacing w:after="0"/>
    </w:pPr>
    <w:tblPr>
      <w:tblStyleRowBandSize w:val="1"/>
      <w:tblStyleColBandSize w:val="1"/>
      <w:tblBorders>
        <w:insideH w:val="single" w:sz="4" w:space="0" w:color="FFFFFF" w:themeColor="background1"/>
      </w:tblBorders>
    </w:tblPr>
    <w:tcPr>
      <w:shd w:val="clear" w:color="auto" w:fill="F3DCD1" w:themeFill="accent2" w:themeFillTint="33"/>
    </w:tcPr>
    <w:tblStylePr w:type="firstRow">
      <w:rPr>
        <w:b/>
        <w:bCs/>
      </w:rPr>
      <w:tblPr/>
      <w:tcPr>
        <w:shd w:val="clear" w:color="auto" w:fill="E8B9A3" w:themeFill="accent2" w:themeFillTint="66"/>
      </w:tcPr>
    </w:tblStylePr>
    <w:tblStylePr w:type="lastRow">
      <w:rPr>
        <w:b/>
        <w:bCs/>
        <w:color w:val="000000" w:themeColor="text1"/>
      </w:rPr>
      <w:tblPr/>
      <w:tcPr>
        <w:shd w:val="clear" w:color="auto" w:fill="E8B9A3" w:themeFill="accent2" w:themeFillTint="66"/>
      </w:tcPr>
    </w:tblStylePr>
    <w:tblStylePr w:type="firstCol">
      <w:rPr>
        <w:color w:val="FFFFFF" w:themeColor="background1"/>
      </w:rPr>
      <w:tblPr/>
      <w:tcPr>
        <w:shd w:val="clear" w:color="auto" w:fill="874121" w:themeFill="accent2" w:themeFillShade="BF"/>
      </w:tcPr>
    </w:tblStylePr>
    <w:tblStylePr w:type="lastCol">
      <w:rPr>
        <w:color w:val="FFFFFF" w:themeColor="background1"/>
      </w:rPr>
      <w:tblPr/>
      <w:tcPr>
        <w:shd w:val="clear" w:color="auto" w:fill="874121" w:themeFill="accent2" w:themeFillShade="BF"/>
      </w:tcPr>
    </w:tblStylePr>
    <w:tblStylePr w:type="band1Vert">
      <w:tblPr/>
      <w:tcPr>
        <w:shd w:val="clear" w:color="auto" w:fill="E2A88D" w:themeFill="accent2" w:themeFillTint="7F"/>
      </w:tcPr>
    </w:tblStylePr>
    <w:tblStylePr w:type="band1Horz">
      <w:tblPr/>
      <w:tcPr>
        <w:shd w:val="clear" w:color="auto" w:fill="E2A88D" w:themeFill="accent2" w:themeFillTint="7F"/>
      </w:tcPr>
    </w:tblStylePr>
  </w:style>
  <w:style w:type="table" w:styleId="ColorfulGrid-Accent3">
    <w:name w:val="Colorful Grid Accent 3"/>
    <w:basedOn w:val="TableNormal"/>
    <w:uiPriority w:val="73"/>
    <w:locked/>
    <w:rsid w:val="00670869"/>
    <w:pPr>
      <w:spacing w:after="0"/>
    </w:pPr>
    <w:tblPr>
      <w:tblStyleRowBandSize w:val="1"/>
      <w:tblStyleColBandSize w:val="1"/>
      <w:tblBorders>
        <w:insideH w:val="single" w:sz="4" w:space="0" w:color="FFFFFF" w:themeColor="background1"/>
      </w:tblBorders>
    </w:tblPr>
    <w:tcPr>
      <w:shd w:val="clear" w:color="auto" w:fill="B4F7FF" w:themeFill="accent3" w:themeFillTint="33"/>
    </w:tcPr>
    <w:tblStylePr w:type="firstRow">
      <w:rPr>
        <w:b/>
        <w:bCs/>
      </w:rPr>
      <w:tblPr/>
      <w:tcPr>
        <w:shd w:val="clear" w:color="auto" w:fill="69F0FF" w:themeFill="accent3" w:themeFillTint="66"/>
      </w:tcPr>
    </w:tblStylePr>
    <w:tblStylePr w:type="lastRow">
      <w:rPr>
        <w:b/>
        <w:bCs/>
        <w:color w:val="000000" w:themeColor="text1"/>
      </w:rPr>
      <w:tblPr/>
      <w:tcPr>
        <w:shd w:val="clear" w:color="auto" w:fill="69F0FF" w:themeFill="accent3" w:themeFillTint="66"/>
      </w:tcPr>
    </w:tblStylePr>
    <w:tblStylePr w:type="firstCol">
      <w:rPr>
        <w:color w:val="FFFFFF" w:themeColor="background1"/>
      </w:rPr>
      <w:tblPr/>
      <w:tcPr>
        <w:shd w:val="clear" w:color="auto" w:fill="005C66" w:themeFill="accent3" w:themeFillShade="BF"/>
      </w:tcPr>
    </w:tblStylePr>
    <w:tblStylePr w:type="lastCol">
      <w:rPr>
        <w:color w:val="FFFFFF" w:themeColor="background1"/>
      </w:rPr>
      <w:tblPr/>
      <w:tcPr>
        <w:shd w:val="clear" w:color="auto" w:fill="005C66" w:themeFill="accent3" w:themeFillShade="BF"/>
      </w:tcPr>
    </w:tblStylePr>
    <w:tblStylePr w:type="band1Vert">
      <w:tblPr/>
      <w:tcPr>
        <w:shd w:val="clear" w:color="auto" w:fill="45ECFF" w:themeFill="accent3" w:themeFillTint="7F"/>
      </w:tcPr>
    </w:tblStylePr>
    <w:tblStylePr w:type="band1Horz">
      <w:tblPr/>
      <w:tcPr>
        <w:shd w:val="clear" w:color="auto" w:fill="45ECFF" w:themeFill="accent3" w:themeFillTint="7F"/>
      </w:tcPr>
    </w:tblStylePr>
  </w:style>
  <w:style w:type="table" w:styleId="ColorfulGrid-Accent4">
    <w:name w:val="Colorful Grid Accent 4"/>
    <w:basedOn w:val="TableNormal"/>
    <w:uiPriority w:val="73"/>
    <w:locked/>
    <w:rsid w:val="00670869"/>
    <w:pPr>
      <w:spacing w:after="0"/>
    </w:pPr>
    <w:tblPr>
      <w:tblStyleRowBandSize w:val="1"/>
      <w:tblStyleColBandSize w:val="1"/>
      <w:tblBorders>
        <w:insideH w:val="single" w:sz="4" w:space="0" w:color="FFFFFF" w:themeColor="background1"/>
      </w:tblBorders>
    </w:tblPr>
    <w:tcPr>
      <w:shd w:val="clear" w:color="auto" w:fill="E7F3EF" w:themeFill="accent4" w:themeFillTint="33"/>
    </w:tcPr>
    <w:tblStylePr w:type="firstRow">
      <w:rPr>
        <w:b/>
        <w:bCs/>
      </w:rPr>
      <w:tblPr/>
      <w:tcPr>
        <w:shd w:val="clear" w:color="auto" w:fill="CFE7E0" w:themeFill="accent4" w:themeFillTint="66"/>
      </w:tcPr>
    </w:tblStylePr>
    <w:tblStylePr w:type="lastRow">
      <w:rPr>
        <w:b/>
        <w:bCs/>
        <w:color w:val="000000" w:themeColor="text1"/>
      </w:rPr>
      <w:tblPr/>
      <w:tcPr>
        <w:shd w:val="clear" w:color="auto" w:fill="CFE7E0" w:themeFill="accent4" w:themeFillTint="66"/>
      </w:tcPr>
    </w:tblStylePr>
    <w:tblStylePr w:type="firstCol">
      <w:rPr>
        <w:color w:val="FFFFFF" w:themeColor="background1"/>
      </w:rPr>
      <w:tblPr/>
      <w:tcPr>
        <w:shd w:val="clear" w:color="auto" w:fill="54A48C" w:themeFill="accent4" w:themeFillShade="BF"/>
      </w:tcPr>
    </w:tblStylePr>
    <w:tblStylePr w:type="lastCol">
      <w:rPr>
        <w:color w:val="FFFFFF" w:themeColor="background1"/>
      </w:rPr>
      <w:tblPr/>
      <w:tcPr>
        <w:shd w:val="clear" w:color="auto" w:fill="54A48C" w:themeFill="accent4" w:themeFillShade="BF"/>
      </w:tcPr>
    </w:tblStylePr>
    <w:tblStylePr w:type="band1Vert">
      <w:tblPr/>
      <w:tcPr>
        <w:shd w:val="clear" w:color="auto" w:fill="C4E1D8" w:themeFill="accent4" w:themeFillTint="7F"/>
      </w:tcPr>
    </w:tblStylePr>
    <w:tblStylePr w:type="band1Horz">
      <w:tblPr/>
      <w:tcPr>
        <w:shd w:val="clear" w:color="auto" w:fill="C4E1D8" w:themeFill="accent4" w:themeFillTint="7F"/>
      </w:tcPr>
    </w:tblStylePr>
  </w:style>
  <w:style w:type="table" w:styleId="ColorfulGrid-Accent5">
    <w:name w:val="Colorful Grid Accent 5"/>
    <w:basedOn w:val="TableNormal"/>
    <w:uiPriority w:val="73"/>
    <w:locked/>
    <w:rsid w:val="00670869"/>
    <w:pPr>
      <w:spacing w:after="0"/>
    </w:pPr>
    <w:tblPr>
      <w:tblStyleRowBandSize w:val="1"/>
      <w:tblStyleColBandSize w:val="1"/>
      <w:tblBorders>
        <w:insideH w:val="single" w:sz="4" w:space="0" w:color="FFFFFF" w:themeColor="background1"/>
      </w:tblBorders>
    </w:tblPr>
    <w:tcPr>
      <w:shd w:val="clear" w:color="auto" w:fill="F7F7F7" w:themeFill="accent5" w:themeFillTint="33"/>
    </w:tcPr>
    <w:tblStylePr w:type="firstRow">
      <w:rPr>
        <w:b/>
        <w:bCs/>
      </w:rPr>
      <w:tblPr/>
      <w:tcPr>
        <w:shd w:val="clear" w:color="auto" w:fill="EFF0F0" w:themeFill="accent5" w:themeFillTint="66"/>
      </w:tcPr>
    </w:tblStylePr>
    <w:tblStylePr w:type="lastRow">
      <w:rPr>
        <w:b/>
        <w:bCs/>
        <w:color w:val="000000" w:themeColor="text1"/>
      </w:rPr>
      <w:tblPr/>
      <w:tcPr>
        <w:shd w:val="clear" w:color="auto" w:fill="EFF0F0" w:themeFill="accent5" w:themeFillTint="66"/>
      </w:tcPr>
    </w:tblStylePr>
    <w:tblStylePr w:type="firstCol">
      <w:rPr>
        <w:color w:val="FFFFFF" w:themeColor="background1"/>
      </w:rPr>
      <w:tblPr/>
      <w:tcPr>
        <w:shd w:val="clear" w:color="auto" w:fill="9FA6A4" w:themeFill="accent5" w:themeFillShade="BF"/>
      </w:tcPr>
    </w:tblStylePr>
    <w:tblStylePr w:type="lastCol">
      <w:rPr>
        <w:color w:val="FFFFFF" w:themeColor="background1"/>
      </w:rPr>
      <w:tblPr/>
      <w:tcPr>
        <w:shd w:val="clear" w:color="auto" w:fill="9FA6A4" w:themeFill="accent5" w:themeFillShade="BF"/>
      </w:tcPr>
    </w:tblStylePr>
    <w:tblStylePr w:type="band1Vert">
      <w:tblPr/>
      <w:tcPr>
        <w:shd w:val="clear" w:color="auto" w:fill="EBEDEC" w:themeFill="accent5" w:themeFillTint="7F"/>
      </w:tcPr>
    </w:tblStylePr>
    <w:tblStylePr w:type="band1Horz">
      <w:tblPr/>
      <w:tcPr>
        <w:shd w:val="clear" w:color="auto" w:fill="EBEDEC" w:themeFill="accent5" w:themeFillTint="7F"/>
      </w:tcPr>
    </w:tblStylePr>
  </w:style>
  <w:style w:type="table" w:styleId="ColorfulGrid-Accent6">
    <w:name w:val="Colorful Grid Accent 6"/>
    <w:basedOn w:val="TableNormal"/>
    <w:uiPriority w:val="73"/>
    <w:locked/>
    <w:rsid w:val="00670869"/>
    <w:pPr>
      <w:spacing w:after="0"/>
    </w:p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locked/>
    <w:rsid w:val="00670869"/>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670869"/>
    <w:pPr>
      <w:spacing w:after="0"/>
    </w:pPr>
    <w:tblPr>
      <w:tblStyleRowBandSize w:val="1"/>
      <w:tblStyleColBandSize w:val="1"/>
    </w:tblPr>
    <w:tcPr>
      <w:shd w:val="clear" w:color="auto" w:fill="DAFBFF" w:themeFill="accent1"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5FF" w:themeFill="accent1" w:themeFillTint="3F"/>
      </w:tcPr>
    </w:tblStylePr>
    <w:tblStylePr w:type="band1Horz">
      <w:tblPr/>
      <w:tcPr>
        <w:shd w:val="clear" w:color="auto" w:fill="B4F7FF" w:themeFill="accent1" w:themeFillTint="33"/>
      </w:tcPr>
    </w:tblStylePr>
  </w:style>
  <w:style w:type="table" w:styleId="ColorfulList-Accent2">
    <w:name w:val="Colorful List Accent 2"/>
    <w:basedOn w:val="TableNormal"/>
    <w:uiPriority w:val="72"/>
    <w:locked/>
    <w:rsid w:val="00670869"/>
    <w:pPr>
      <w:spacing w:after="0"/>
    </w:pPr>
    <w:tblPr>
      <w:tblStyleRowBandSize w:val="1"/>
      <w:tblStyleColBandSize w:val="1"/>
    </w:tblPr>
    <w:tcPr>
      <w:shd w:val="clear" w:color="auto" w:fill="F9EDE8" w:themeFill="accent2"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3C6" w:themeFill="accent2" w:themeFillTint="3F"/>
      </w:tcPr>
    </w:tblStylePr>
    <w:tblStylePr w:type="band1Horz">
      <w:tblPr/>
      <w:tcPr>
        <w:shd w:val="clear" w:color="auto" w:fill="F3DCD1" w:themeFill="accent2" w:themeFillTint="33"/>
      </w:tcPr>
    </w:tblStylePr>
  </w:style>
  <w:style w:type="table" w:styleId="ColorfulList-Accent3">
    <w:name w:val="Colorful List Accent 3"/>
    <w:basedOn w:val="TableNormal"/>
    <w:uiPriority w:val="72"/>
    <w:locked/>
    <w:rsid w:val="00670869"/>
    <w:pPr>
      <w:spacing w:after="0"/>
    </w:pPr>
    <w:tblPr>
      <w:tblStyleRowBandSize w:val="1"/>
      <w:tblStyleColBandSize w:val="1"/>
    </w:tblPr>
    <w:tcPr>
      <w:shd w:val="clear" w:color="auto" w:fill="DAFBFF" w:themeFill="accent3" w:themeFillTint="19"/>
    </w:tcPr>
    <w:tblStylePr w:type="firstRow">
      <w:rPr>
        <w:b/>
        <w:bCs/>
        <w:color w:val="FFFFFF" w:themeColor="background1"/>
      </w:rPr>
      <w:tblPr/>
      <w:tcPr>
        <w:tcBorders>
          <w:bottom w:val="single" w:sz="12" w:space="0" w:color="FFFFFF" w:themeColor="background1"/>
        </w:tcBorders>
        <w:shd w:val="clear" w:color="auto" w:fill="5CAC95" w:themeFill="accent4" w:themeFillShade="CC"/>
      </w:tcPr>
    </w:tblStylePr>
    <w:tblStylePr w:type="lastRow">
      <w:rPr>
        <w:b/>
        <w:bCs/>
        <w:color w:val="5CAC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5FF" w:themeFill="accent3" w:themeFillTint="3F"/>
      </w:tcPr>
    </w:tblStylePr>
    <w:tblStylePr w:type="band1Horz">
      <w:tblPr/>
      <w:tcPr>
        <w:shd w:val="clear" w:color="auto" w:fill="B4F7FF" w:themeFill="accent3" w:themeFillTint="33"/>
      </w:tcPr>
    </w:tblStylePr>
  </w:style>
  <w:style w:type="table" w:styleId="ColorfulList-Accent4">
    <w:name w:val="Colorful List Accent 4"/>
    <w:basedOn w:val="TableNormal"/>
    <w:uiPriority w:val="72"/>
    <w:locked/>
    <w:rsid w:val="00670869"/>
    <w:pPr>
      <w:spacing w:after="0"/>
    </w:pPr>
    <w:tblPr>
      <w:tblStyleRowBandSize w:val="1"/>
      <w:tblStyleColBandSize w:val="1"/>
    </w:tblPr>
    <w:tcPr>
      <w:shd w:val="clear" w:color="auto" w:fill="F3F9F7" w:themeFill="accent4" w:themeFillTint="19"/>
    </w:tcPr>
    <w:tblStylePr w:type="firstRow">
      <w:rPr>
        <w:b/>
        <w:bCs/>
        <w:color w:val="FFFFFF" w:themeColor="background1"/>
      </w:rPr>
      <w:tblPr/>
      <w:tcPr>
        <w:tcBorders>
          <w:bottom w:val="single" w:sz="12" w:space="0" w:color="FFFFFF" w:themeColor="background1"/>
        </w:tcBorders>
        <w:shd w:val="clear" w:color="auto" w:fill="00626D" w:themeFill="accent3" w:themeFillShade="CC"/>
      </w:tcPr>
    </w:tblStylePr>
    <w:tblStylePr w:type="lastRow">
      <w:rPr>
        <w:b/>
        <w:bCs/>
        <w:color w:val="00626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0EB" w:themeFill="accent4" w:themeFillTint="3F"/>
      </w:tcPr>
    </w:tblStylePr>
    <w:tblStylePr w:type="band1Horz">
      <w:tblPr/>
      <w:tcPr>
        <w:shd w:val="clear" w:color="auto" w:fill="E7F3EF" w:themeFill="accent4" w:themeFillTint="33"/>
      </w:tcPr>
    </w:tblStylePr>
  </w:style>
  <w:style w:type="table" w:styleId="ColorfulList-Accent5">
    <w:name w:val="Colorful List Accent 5"/>
    <w:basedOn w:val="TableNormal"/>
    <w:uiPriority w:val="72"/>
    <w:locked/>
    <w:rsid w:val="00670869"/>
    <w:pPr>
      <w:spacing w:after="0"/>
    </w:pPr>
    <w:tblPr>
      <w:tblStyleRowBandSize w:val="1"/>
      <w:tblStyleColBandSize w:val="1"/>
    </w:tblPr>
    <w:tcPr>
      <w:shd w:val="clear" w:color="auto" w:fill="FBFBFB"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6F5" w:themeFill="accent5" w:themeFillTint="3F"/>
      </w:tcPr>
    </w:tblStylePr>
    <w:tblStylePr w:type="band1Horz">
      <w:tblPr/>
      <w:tcPr>
        <w:shd w:val="clear" w:color="auto" w:fill="F7F7F7" w:themeFill="accent5" w:themeFillTint="33"/>
      </w:tcPr>
    </w:tblStylePr>
  </w:style>
  <w:style w:type="table" w:styleId="ColorfulList-Accent6">
    <w:name w:val="Colorful List Accent 6"/>
    <w:basedOn w:val="TableNormal"/>
    <w:uiPriority w:val="72"/>
    <w:locked/>
    <w:rsid w:val="00670869"/>
    <w:pPr>
      <w:spacing w:after="0"/>
    </w:p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AAB1AF" w:themeFill="accent5" w:themeFillShade="CC"/>
      </w:tcPr>
    </w:tblStylePr>
    <w:tblStylePr w:type="lastRow">
      <w:rPr>
        <w:b/>
        <w:bCs/>
        <w:color w:val="AAB1A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locked/>
    <w:rsid w:val="00670869"/>
    <w:pPr>
      <w:spacing w:after="0"/>
    </w:pPr>
    <w:tblPr>
      <w:tblStyleRowBandSize w:val="1"/>
      <w:tblStyleColBandSize w:val="1"/>
      <w:tblBorders>
        <w:top w:val="single" w:sz="24" w:space="0" w:color="B5582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670869"/>
    <w:pPr>
      <w:spacing w:after="0"/>
    </w:pPr>
    <w:tblPr>
      <w:tblStyleRowBandSize w:val="1"/>
      <w:tblStyleColBandSize w:val="1"/>
      <w:tblBorders>
        <w:top w:val="single" w:sz="24" w:space="0" w:color="B5582D" w:themeColor="accent2"/>
        <w:left w:val="single" w:sz="4" w:space="0" w:color="007C89" w:themeColor="accent1"/>
        <w:bottom w:val="single" w:sz="4" w:space="0" w:color="007C89" w:themeColor="accent1"/>
        <w:right w:val="single" w:sz="4" w:space="0" w:color="007C89" w:themeColor="accent1"/>
        <w:insideH w:val="single" w:sz="4" w:space="0" w:color="FFFFFF" w:themeColor="background1"/>
        <w:insideV w:val="single" w:sz="4" w:space="0" w:color="FFFFFF" w:themeColor="background1"/>
      </w:tblBorders>
    </w:tblPr>
    <w:tcPr>
      <w:shd w:val="clear" w:color="auto" w:fill="DAFBFF" w:themeFill="accent1"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52" w:themeFill="accent1" w:themeFillShade="99"/>
      </w:tcPr>
    </w:tblStylePr>
    <w:tblStylePr w:type="firstCol">
      <w:rPr>
        <w:color w:val="FFFFFF" w:themeColor="background1"/>
      </w:rPr>
      <w:tblPr/>
      <w:tcPr>
        <w:tcBorders>
          <w:top w:val="nil"/>
          <w:left w:val="nil"/>
          <w:bottom w:val="nil"/>
          <w:right w:val="nil"/>
          <w:insideH w:val="single" w:sz="4" w:space="0" w:color="004952" w:themeColor="accent1" w:themeShade="99"/>
          <w:insideV w:val="nil"/>
        </w:tcBorders>
        <w:shd w:val="clear" w:color="auto" w:fill="00495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952" w:themeFill="accent1" w:themeFillShade="99"/>
      </w:tcPr>
    </w:tblStylePr>
    <w:tblStylePr w:type="band1Vert">
      <w:tblPr/>
      <w:tcPr>
        <w:shd w:val="clear" w:color="auto" w:fill="69F0FF" w:themeFill="accent1" w:themeFillTint="66"/>
      </w:tcPr>
    </w:tblStylePr>
    <w:tblStylePr w:type="band1Horz">
      <w:tblPr/>
      <w:tcPr>
        <w:shd w:val="clear" w:color="auto" w:fill="45E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670869"/>
    <w:pPr>
      <w:spacing w:after="0"/>
    </w:pPr>
    <w:tblPr>
      <w:tblStyleRowBandSize w:val="1"/>
      <w:tblStyleColBandSize w:val="1"/>
      <w:tblBorders>
        <w:top w:val="single" w:sz="24" w:space="0" w:color="B5582D" w:themeColor="accent2"/>
        <w:left w:val="single" w:sz="4" w:space="0" w:color="B5582D" w:themeColor="accent2"/>
        <w:bottom w:val="single" w:sz="4" w:space="0" w:color="B5582D" w:themeColor="accent2"/>
        <w:right w:val="single" w:sz="4" w:space="0" w:color="B5582D" w:themeColor="accent2"/>
        <w:insideH w:val="single" w:sz="4" w:space="0" w:color="FFFFFF" w:themeColor="background1"/>
        <w:insideV w:val="single" w:sz="4" w:space="0" w:color="FFFFFF" w:themeColor="background1"/>
      </w:tblBorders>
    </w:tblPr>
    <w:tcPr>
      <w:shd w:val="clear" w:color="auto" w:fill="F9EDE8" w:themeFill="accent2"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C341B" w:themeFill="accent2" w:themeFillShade="99"/>
      </w:tcPr>
    </w:tblStylePr>
    <w:tblStylePr w:type="firstCol">
      <w:rPr>
        <w:color w:val="FFFFFF" w:themeColor="background1"/>
      </w:rPr>
      <w:tblPr/>
      <w:tcPr>
        <w:tcBorders>
          <w:top w:val="nil"/>
          <w:left w:val="nil"/>
          <w:bottom w:val="nil"/>
          <w:right w:val="nil"/>
          <w:insideH w:val="single" w:sz="4" w:space="0" w:color="6C341B" w:themeColor="accent2" w:themeShade="99"/>
          <w:insideV w:val="nil"/>
        </w:tcBorders>
        <w:shd w:val="clear" w:color="auto" w:fill="6C34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C341B" w:themeFill="accent2" w:themeFillShade="99"/>
      </w:tcPr>
    </w:tblStylePr>
    <w:tblStylePr w:type="band1Vert">
      <w:tblPr/>
      <w:tcPr>
        <w:shd w:val="clear" w:color="auto" w:fill="E8B9A3" w:themeFill="accent2" w:themeFillTint="66"/>
      </w:tcPr>
    </w:tblStylePr>
    <w:tblStylePr w:type="band1Horz">
      <w:tblPr/>
      <w:tcPr>
        <w:shd w:val="clear" w:color="auto" w:fill="E2A88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670869"/>
    <w:pPr>
      <w:spacing w:after="0"/>
    </w:pPr>
    <w:tblPr>
      <w:tblStyleRowBandSize w:val="1"/>
      <w:tblStyleColBandSize w:val="1"/>
      <w:tblBorders>
        <w:top w:val="single" w:sz="24" w:space="0" w:color="89C3B2" w:themeColor="accent4"/>
        <w:left w:val="single" w:sz="4" w:space="0" w:color="007C89" w:themeColor="accent3"/>
        <w:bottom w:val="single" w:sz="4" w:space="0" w:color="007C89" w:themeColor="accent3"/>
        <w:right w:val="single" w:sz="4" w:space="0" w:color="007C89" w:themeColor="accent3"/>
        <w:insideH w:val="single" w:sz="4" w:space="0" w:color="FFFFFF" w:themeColor="background1"/>
        <w:insideV w:val="single" w:sz="4" w:space="0" w:color="FFFFFF" w:themeColor="background1"/>
      </w:tblBorders>
    </w:tblPr>
    <w:tcPr>
      <w:shd w:val="clear" w:color="auto" w:fill="DAFBFF" w:themeFill="accent3" w:themeFillTint="19"/>
    </w:tcPr>
    <w:tblStylePr w:type="firstRow">
      <w:rPr>
        <w:b/>
        <w:bCs/>
      </w:rPr>
      <w:tblPr/>
      <w:tcPr>
        <w:tcBorders>
          <w:top w:val="nil"/>
          <w:left w:val="nil"/>
          <w:bottom w:val="single" w:sz="24" w:space="0" w:color="89C3B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52" w:themeFill="accent3" w:themeFillShade="99"/>
      </w:tcPr>
    </w:tblStylePr>
    <w:tblStylePr w:type="firstCol">
      <w:rPr>
        <w:color w:val="FFFFFF" w:themeColor="background1"/>
      </w:rPr>
      <w:tblPr/>
      <w:tcPr>
        <w:tcBorders>
          <w:top w:val="nil"/>
          <w:left w:val="nil"/>
          <w:bottom w:val="nil"/>
          <w:right w:val="nil"/>
          <w:insideH w:val="single" w:sz="4" w:space="0" w:color="004952" w:themeColor="accent3" w:themeShade="99"/>
          <w:insideV w:val="nil"/>
        </w:tcBorders>
        <w:shd w:val="clear" w:color="auto" w:fill="00495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952" w:themeFill="accent3" w:themeFillShade="99"/>
      </w:tcPr>
    </w:tblStylePr>
    <w:tblStylePr w:type="band1Vert">
      <w:tblPr/>
      <w:tcPr>
        <w:shd w:val="clear" w:color="auto" w:fill="69F0FF" w:themeFill="accent3" w:themeFillTint="66"/>
      </w:tcPr>
    </w:tblStylePr>
    <w:tblStylePr w:type="band1Horz">
      <w:tblPr/>
      <w:tcPr>
        <w:shd w:val="clear" w:color="auto" w:fill="45ECFF" w:themeFill="accent3" w:themeFillTint="7F"/>
      </w:tcPr>
    </w:tblStylePr>
  </w:style>
  <w:style w:type="table" w:styleId="ColorfulShading-Accent4">
    <w:name w:val="Colorful Shading Accent 4"/>
    <w:basedOn w:val="TableNormal"/>
    <w:uiPriority w:val="71"/>
    <w:locked/>
    <w:rsid w:val="00670869"/>
    <w:pPr>
      <w:spacing w:after="0"/>
    </w:pPr>
    <w:tblPr>
      <w:tblStyleRowBandSize w:val="1"/>
      <w:tblStyleColBandSize w:val="1"/>
      <w:tblBorders>
        <w:top w:val="single" w:sz="24" w:space="0" w:color="007C89" w:themeColor="accent3"/>
        <w:left w:val="single" w:sz="4" w:space="0" w:color="89C3B2" w:themeColor="accent4"/>
        <w:bottom w:val="single" w:sz="4" w:space="0" w:color="89C3B2" w:themeColor="accent4"/>
        <w:right w:val="single" w:sz="4" w:space="0" w:color="89C3B2" w:themeColor="accent4"/>
        <w:insideH w:val="single" w:sz="4" w:space="0" w:color="FFFFFF" w:themeColor="background1"/>
        <w:insideV w:val="single" w:sz="4" w:space="0" w:color="FFFFFF" w:themeColor="background1"/>
      </w:tblBorders>
    </w:tblPr>
    <w:tcPr>
      <w:shd w:val="clear" w:color="auto" w:fill="F3F9F7" w:themeFill="accent4" w:themeFillTint="19"/>
    </w:tcPr>
    <w:tblStylePr w:type="firstRow">
      <w:rPr>
        <w:b/>
        <w:bCs/>
      </w:rPr>
      <w:tblPr/>
      <w:tcPr>
        <w:tcBorders>
          <w:top w:val="nil"/>
          <w:left w:val="nil"/>
          <w:bottom w:val="single" w:sz="24" w:space="0" w:color="007C8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370" w:themeFill="accent4" w:themeFillShade="99"/>
      </w:tcPr>
    </w:tblStylePr>
    <w:tblStylePr w:type="firstCol">
      <w:rPr>
        <w:color w:val="FFFFFF" w:themeColor="background1"/>
      </w:rPr>
      <w:tblPr/>
      <w:tcPr>
        <w:tcBorders>
          <w:top w:val="nil"/>
          <w:left w:val="nil"/>
          <w:bottom w:val="nil"/>
          <w:right w:val="nil"/>
          <w:insideH w:val="single" w:sz="4" w:space="0" w:color="438370" w:themeColor="accent4" w:themeShade="99"/>
          <w:insideV w:val="nil"/>
        </w:tcBorders>
        <w:shd w:val="clear" w:color="auto" w:fill="4383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38370" w:themeFill="accent4" w:themeFillShade="99"/>
      </w:tcPr>
    </w:tblStylePr>
    <w:tblStylePr w:type="band1Vert">
      <w:tblPr/>
      <w:tcPr>
        <w:shd w:val="clear" w:color="auto" w:fill="CFE7E0" w:themeFill="accent4" w:themeFillTint="66"/>
      </w:tcPr>
    </w:tblStylePr>
    <w:tblStylePr w:type="band1Horz">
      <w:tblPr/>
      <w:tcPr>
        <w:shd w:val="clear" w:color="auto" w:fill="C4E1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670869"/>
    <w:pPr>
      <w:spacing w:after="0"/>
    </w:pPr>
    <w:tblPr>
      <w:tblStyleRowBandSize w:val="1"/>
      <w:tblStyleColBandSize w:val="1"/>
      <w:tblBorders>
        <w:top w:val="single" w:sz="24" w:space="0" w:color="FFFFFF" w:themeColor="accent6"/>
        <w:left w:val="single" w:sz="4" w:space="0" w:color="D8DBDA" w:themeColor="accent5"/>
        <w:bottom w:val="single" w:sz="4" w:space="0" w:color="D8DBDA" w:themeColor="accent5"/>
        <w:right w:val="single" w:sz="4" w:space="0" w:color="D8DBDA" w:themeColor="accent5"/>
        <w:insideH w:val="single" w:sz="4" w:space="0" w:color="FFFFFF" w:themeColor="background1"/>
        <w:insideV w:val="single" w:sz="4" w:space="0" w:color="FFFFFF" w:themeColor="background1"/>
      </w:tblBorders>
    </w:tblPr>
    <w:tcPr>
      <w:shd w:val="clear" w:color="auto" w:fill="FBFBFB"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8784" w:themeFill="accent5" w:themeFillShade="99"/>
      </w:tcPr>
    </w:tblStylePr>
    <w:tblStylePr w:type="firstCol">
      <w:rPr>
        <w:color w:val="FFFFFF" w:themeColor="background1"/>
      </w:rPr>
      <w:tblPr/>
      <w:tcPr>
        <w:tcBorders>
          <w:top w:val="nil"/>
          <w:left w:val="nil"/>
          <w:bottom w:val="nil"/>
          <w:right w:val="nil"/>
          <w:insideH w:val="single" w:sz="4" w:space="0" w:color="7D8784" w:themeColor="accent5" w:themeShade="99"/>
          <w:insideV w:val="nil"/>
        </w:tcBorders>
        <w:shd w:val="clear" w:color="auto" w:fill="7D878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D8784" w:themeFill="accent5" w:themeFillShade="99"/>
      </w:tcPr>
    </w:tblStylePr>
    <w:tblStylePr w:type="band1Vert">
      <w:tblPr/>
      <w:tcPr>
        <w:shd w:val="clear" w:color="auto" w:fill="EFF0F0" w:themeFill="accent5" w:themeFillTint="66"/>
      </w:tcPr>
    </w:tblStylePr>
    <w:tblStylePr w:type="band1Horz">
      <w:tblPr/>
      <w:tcPr>
        <w:shd w:val="clear" w:color="auto" w:fill="EBEDE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670869"/>
    <w:pPr>
      <w:spacing w:after="0"/>
    </w:pPr>
    <w:tblPr>
      <w:tblStyleRowBandSize w:val="1"/>
      <w:tblStyleColBandSize w:val="1"/>
      <w:tblBorders>
        <w:top w:val="single" w:sz="24" w:space="0" w:color="D8DBDA"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D8DB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670869"/>
    <w:rPr>
      <w:noProof w:val="0"/>
      <w:sz w:val="16"/>
      <w:szCs w:val="16"/>
      <w:lang w:val="en-AU"/>
    </w:rPr>
  </w:style>
  <w:style w:type="paragraph" w:styleId="CommentText">
    <w:name w:val="annotation text"/>
    <w:basedOn w:val="Normal"/>
    <w:link w:val="CommentTextChar"/>
    <w:uiPriority w:val="99"/>
    <w:semiHidden/>
    <w:unhideWhenUsed/>
    <w:locked/>
    <w:rsid w:val="00670869"/>
  </w:style>
  <w:style w:type="character" w:customStyle="1" w:styleId="CommentTextChar">
    <w:name w:val="Comment Text Char"/>
    <w:basedOn w:val="DefaultParagraphFont"/>
    <w:link w:val="CommentText"/>
    <w:uiPriority w:val="99"/>
    <w:semiHidden/>
    <w:rsid w:val="00670869"/>
  </w:style>
  <w:style w:type="paragraph" w:styleId="CommentSubject">
    <w:name w:val="annotation subject"/>
    <w:basedOn w:val="CommentText"/>
    <w:next w:val="CommentText"/>
    <w:link w:val="CommentSubjectChar"/>
    <w:uiPriority w:val="99"/>
    <w:semiHidden/>
    <w:unhideWhenUsed/>
    <w:locked/>
    <w:rsid w:val="00670869"/>
    <w:rPr>
      <w:b/>
      <w:bCs/>
    </w:rPr>
  </w:style>
  <w:style w:type="character" w:customStyle="1" w:styleId="CommentSubjectChar">
    <w:name w:val="Comment Subject Char"/>
    <w:basedOn w:val="CommentTextChar"/>
    <w:link w:val="CommentSubject"/>
    <w:uiPriority w:val="99"/>
    <w:semiHidden/>
    <w:rsid w:val="00670869"/>
    <w:rPr>
      <w:b/>
      <w:bCs/>
    </w:rPr>
  </w:style>
  <w:style w:type="table" w:styleId="DarkList">
    <w:name w:val="Dark List"/>
    <w:basedOn w:val="TableNormal"/>
    <w:uiPriority w:val="70"/>
    <w:locked/>
    <w:rsid w:val="00670869"/>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70869"/>
    <w:pPr>
      <w:spacing w:after="0"/>
    </w:pPr>
    <w:rPr>
      <w:color w:val="FFFFFF" w:themeColor="background1"/>
    </w:rPr>
    <w:tblPr>
      <w:tblStyleRowBandSize w:val="1"/>
      <w:tblStyleColBandSize w:val="1"/>
    </w:tblPr>
    <w:tcPr>
      <w:shd w:val="clear" w:color="auto" w:fill="007C8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C6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C66" w:themeFill="accent1" w:themeFillShade="BF"/>
      </w:tcPr>
    </w:tblStylePr>
    <w:tblStylePr w:type="band1Vert">
      <w:tblPr/>
      <w:tcPr>
        <w:tcBorders>
          <w:top w:val="nil"/>
          <w:left w:val="nil"/>
          <w:bottom w:val="nil"/>
          <w:right w:val="nil"/>
          <w:insideH w:val="nil"/>
          <w:insideV w:val="nil"/>
        </w:tcBorders>
        <w:shd w:val="clear" w:color="auto" w:fill="005C66" w:themeFill="accent1" w:themeFillShade="BF"/>
      </w:tcPr>
    </w:tblStylePr>
    <w:tblStylePr w:type="band1Horz">
      <w:tblPr/>
      <w:tcPr>
        <w:tcBorders>
          <w:top w:val="nil"/>
          <w:left w:val="nil"/>
          <w:bottom w:val="nil"/>
          <w:right w:val="nil"/>
          <w:insideH w:val="nil"/>
          <w:insideV w:val="nil"/>
        </w:tcBorders>
        <w:shd w:val="clear" w:color="auto" w:fill="005C66" w:themeFill="accent1" w:themeFillShade="BF"/>
      </w:tcPr>
    </w:tblStylePr>
  </w:style>
  <w:style w:type="table" w:styleId="DarkList-Accent2">
    <w:name w:val="Dark List Accent 2"/>
    <w:basedOn w:val="TableNormal"/>
    <w:uiPriority w:val="70"/>
    <w:locked/>
    <w:rsid w:val="00670869"/>
    <w:pPr>
      <w:spacing w:after="0"/>
    </w:pPr>
    <w:rPr>
      <w:color w:val="FFFFFF" w:themeColor="background1"/>
    </w:rPr>
    <w:tblPr>
      <w:tblStyleRowBandSize w:val="1"/>
      <w:tblStyleColBandSize w:val="1"/>
    </w:tblPr>
    <w:tcPr>
      <w:shd w:val="clear" w:color="auto" w:fill="B5582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2B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741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74121" w:themeFill="accent2" w:themeFillShade="BF"/>
      </w:tcPr>
    </w:tblStylePr>
    <w:tblStylePr w:type="band1Vert">
      <w:tblPr/>
      <w:tcPr>
        <w:tcBorders>
          <w:top w:val="nil"/>
          <w:left w:val="nil"/>
          <w:bottom w:val="nil"/>
          <w:right w:val="nil"/>
          <w:insideH w:val="nil"/>
          <w:insideV w:val="nil"/>
        </w:tcBorders>
        <w:shd w:val="clear" w:color="auto" w:fill="874121" w:themeFill="accent2" w:themeFillShade="BF"/>
      </w:tcPr>
    </w:tblStylePr>
    <w:tblStylePr w:type="band1Horz">
      <w:tblPr/>
      <w:tcPr>
        <w:tcBorders>
          <w:top w:val="nil"/>
          <w:left w:val="nil"/>
          <w:bottom w:val="nil"/>
          <w:right w:val="nil"/>
          <w:insideH w:val="nil"/>
          <w:insideV w:val="nil"/>
        </w:tcBorders>
        <w:shd w:val="clear" w:color="auto" w:fill="874121" w:themeFill="accent2" w:themeFillShade="BF"/>
      </w:tcPr>
    </w:tblStylePr>
  </w:style>
  <w:style w:type="table" w:styleId="DarkList-Accent3">
    <w:name w:val="Dark List Accent 3"/>
    <w:basedOn w:val="TableNormal"/>
    <w:uiPriority w:val="70"/>
    <w:locked/>
    <w:rsid w:val="00670869"/>
    <w:pPr>
      <w:spacing w:after="0"/>
    </w:pPr>
    <w:rPr>
      <w:color w:val="FFFFFF" w:themeColor="background1"/>
    </w:rPr>
    <w:tblPr>
      <w:tblStyleRowBandSize w:val="1"/>
      <w:tblStyleColBandSize w:val="1"/>
    </w:tblPr>
    <w:tcPr>
      <w:shd w:val="clear" w:color="auto" w:fill="007C8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4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C6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C66" w:themeFill="accent3" w:themeFillShade="BF"/>
      </w:tcPr>
    </w:tblStylePr>
    <w:tblStylePr w:type="band1Vert">
      <w:tblPr/>
      <w:tcPr>
        <w:tcBorders>
          <w:top w:val="nil"/>
          <w:left w:val="nil"/>
          <w:bottom w:val="nil"/>
          <w:right w:val="nil"/>
          <w:insideH w:val="nil"/>
          <w:insideV w:val="nil"/>
        </w:tcBorders>
        <w:shd w:val="clear" w:color="auto" w:fill="005C66" w:themeFill="accent3" w:themeFillShade="BF"/>
      </w:tcPr>
    </w:tblStylePr>
    <w:tblStylePr w:type="band1Horz">
      <w:tblPr/>
      <w:tcPr>
        <w:tcBorders>
          <w:top w:val="nil"/>
          <w:left w:val="nil"/>
          <w:bottom w:val="nil"/>
          <w:right w:val="nil"/>
          <w:insideH w:val="nil"/>
          <w:insideV w:val="nil"/>
        </w:tcBorders>
        <w:shd w:val="clear" w:color="auto" w:fill="005C66" w:themeFill="accent3" w:themeFillShade="BF"/>
      </w:tcPr>
    </w:tblStylePr>
  </w:style>
  <w:style w:type="table" w:styleId="DarkList-Accent4">
    <w:name w:val="Dark List Accent 4"/>
    <w:basedOn w:val="TableNormal"/>
    <w:uiPriority w:val="70"/>
    <w:locked/>
    <w:rsid w:val="00670869"/>
    <w:pPr>
      <w:spacing w:after="0"/>
    </w:pPr>
    <w:rPr>
      <w:color w:val="FFFFFF" w:themeColor="background1"/>
    </w:rPr>
    <w:tblPr>
      <w:tblStyleRowBandSize w:val="1"/>
      <w:tblStyleColBandSize w:val="1"/>
    </w:tblPr>
    <w:tcPr>
      <w:shd w:val="clear" w:color="auto" w:fill="89C3B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6D5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4A48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4A48C" w:themeFill="accent4" w:themeFillShade="BF"/>
      </w:tcPr>
    </w:tblStylePr>
    <w:tblStylePr w:type="band1Vert">
      <w:tblPr/>
      <w:tcPr>
        <w:tcBorders>
          <w:top w:val="nil"/>
          <w:left w:val="nil"/>
          <w:bottom w:val="nil"/>
          <w:right w:val="nil"/>
          <w:insideH w:val="nil"/>
          <w:insideV w:val="nil"/>
        </w:tcBorders>
        <w:shd w:val="clear" w:color="auto" w:fill="54A48C" w:themeFill="accent4" w:themeFillShade="BF"/>
      </w:tcPr>
    </w:tblStylePr>
    <w:tblStylePr w:type="band1Horz">
      <w:tblPr/>
      <w:tcPr>
        <w:tcBorders>
          <w:top w:val="nil"/>
          <w:left w:val="nil"/>
          <w:bottom w:val="nil"/>
          <w:right w:val="nil"/>
          <w:insideH w:val="nil"/>
          <w:insideV w:val="nil"/>
        </w:tcBorders>
        <w:shd w:val="clear" w:color="auto" w:fill="54A48C" w:themeFill="accent4" w:themeFillShade="BF"/>
      </w:tcPr>
    </w:tblStylePr>
  </w:style>
  <w:style w:type="table" w:styleId="DarkList-Accent5">
    <w:name w:val="Dark List Accent 5"/>
    <w:basedOn w:val="TableNormal"/>
    <w:uiPriority w:val="70"/>
    <w:locked/>
    <w:rsid w:val="00670869"/>
    <w:pPr>
      <w:spacing w:after="0"/>
    </w:pPr>
    <w:rPr>
      <w:color w:val="FFFFFF" w:themeColor="background1"/>
    </w:rPr>
    <w:tblPr>
      <w:tblStyleRowBandSize w:val="1"/>
      <w:tblStyleColBandSize w:val="1"/>
    </w:tblPr>
    <w:tcPr>
      <w:shd w:val="clear" w:color="auto" w:fill="D8DB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706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FA6A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FA6A4" w:themeFill="accent5" w:themeFillShade="BF"/>
      </w:tcPr>
    </w:tblStylePr>
    <w:tblStylePr w:type="band1Vert">
      <w:tblPr/>
      <w:tcPr>
        <w:tcBorders>
          <w:top w:val="nil"/>
          <w:left w:val="nil"/>
          <w:bottom w:val="nil"/>
          <w:right w:val="nil"/>
          <w:insideH w:val="nil"/>
          <w:insideV w:val="nil"/>
        </w:tcBorders>
        <w:shd w:val="clear" w:color="auto" w:fill="9FA6A4" w:themeFill="accent5" w:themeFillShade="BF"/>
      </w:tcPr>
    </w:tblStylePr>
    <w:tblStylePr w:type="band1Horz">
      <w:tblPr/>
      <w:tcPr>
        <w:tcBorders>
          <w:top w:val="nil"/>
          <w:left w:val="nil"/>
          <w:bottom w:val="nil"/>
          <w:right w:val="nil"/>
          <w:insideH w:val="nil"/>
          <w:insideV w:val="nil"/>
        </w:tcBorders>
        <w:shd w:val="clear" w:color="auto" w:fill="9FA6A4" w:themeFill="accent5" w:themeFillShade="BF"/>
      </w:tcPr>
    </w:tblStylePr>
  </w:style>
  <w:style w:type="table" w:styleId="DarkList-Accent6">
    <w:name w:val="Dark List Accent 6"/>
    <w:basedOn w:val="TableNormal"/>
    <w:uiPriority w:val="70"/>
    <w:locked/>
    <w:rsid w:val="00670869"/>
    <w:pPr>
      <w:spacing w:after="0"/>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ate">
    <w:name w:val="Date"/>
    <w:basedOn w:val="Normal"/>
    <w:next w:val="Normal"/>
    <w:link w:val="DateChar"/>
    <w:uiPriority w:val="99"/>
    <w:semiHidden/>
    <w:unhideWhenUsed/>
    <w:locked/>
    <w:rsid w:val="00670869"/>
  </w:style>
  <w:style w:type="character" w:customStyle="1" w:styleId="DateChar">
    <w:name w:val="Date Char"/>
    <w:basedOn w:val="DefaultParagraphFont"/>
    <w:link w:val="Date"/>
    <w:uiPriority w:val="99"/>
    <w:semiHidden/>
    <w:rsid w:val="00670869"/>
  </w:style>
  <w:style w:type="paragraph" w:styleId="DocumentMap">
    <w:name w:val="Document Map"/>
    <w:basedOn w:val="Normal"/>
    <w:link w:val="DocumentMapChar"/>
    <w:uiPriority w:val="99"/>
    <w:semiHidden/>
    <w:unhideWhenUsed/>
    <w:locked/>
    <w:rsid w:val="00670869"/>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70869"/>
    <w:rPr>
      <w:rFonts w:ascii="Tahoma" w:hAnsi="Tahoma" w:cs="Tahoma"/>
      <w:sz w:val="16"/>
      <w:szCs w:val="16"/>
    </w:rPr>
  </w:style>
  <w:style w:type="paragraph" w:styleId="E-mailSignature">
    <w:name w:val="E-mail Signature"/>
    <w:basedOn w:val="Normal"/>
    <w:link w:val="E-mailSignatureChar"/>
    <w:uiPriority w:val="99"/>
    <w:semiHidden/>
    <w:unhideWhenUsed/>
    <w:locked/>
    <w:rsid w:val="00670869"/>
    <w:pPr>
      <w:spacing w:after="0"/>
    </w:pPr>
  </w:style>
  <w:style w:type="character" w:customStyle="1" w:styleId="E-mailSignatureChar">
    <w:name w:val="E-mail Signature Char"/>
    <w:basedOn w:val="DefaultParagraphFont"/>
    <w:link w:val="E-mailSignature"/>
    <w:uiPriority w:val="99"/>
    <w:semiHidden/>
    <w:rsid w:val="00670869"/>
  </w:style>
  <w:style w:type="character" w:styleId="Emphasis">
    <w:name w:val="Emphasis"/>
    <w:basedOn w:val="DefaultParagraphFont"/>
    <w:uiPriority w:val="20"/>
    <w:qFormat/>
    <w:locked/>
    <w:rsid w:val="00670869"/>
    <w:rPr>
      <w:i/>
      <w:iCs/>
      <w:noProof w:val="0"/>
      <w:lang w:val="en-AU"/>
    </w:rPr>
  </w:style>
  <w:style w:type="character" w:styleId="EndnoteReference">
    <w:name w:val="endnote reference"/>
    <w:basedOn w:val="DefaultParagraphFont"/>
    <w:uiPriority w:val="99"/>
    <w:rsid w:val="00670869"/>
    <w:rPr>
      <w:noProof w:val="0"/>
      <w:sz w:val="16"/>
      <w:vertAlign w:val="superscript"/>
      <w:lang w:val="en-AU"/>
    </w:rPr>
  </w:style>
  <w:style w:type="paragraph" w:styleId="EndnoteText">
    <w:name w:val="endnote text"/>
    <w:basedOn w:val="Normal"/>
    <w:link w:val="EndnoteTextChar"/>
    <w:uiPriority w:val="99"/>
    <w:rsid w:val="00670869"/>
    <w:pPr>
      <w:spacing w:after="0"/>
    </w:pPr>
    <w:rPr>
      <w:sz w:val="16"/>
    </w:rPr>
  </w:style>
  <w:style w:type="character" w:customStyle="1" w:styleId="EndnoteTextChar">
    <w:name w:val="Endnote Text Char"/>
    <w:basedOn w:val="DefaultParagraphFont"/>
    <w:link w:val="EndnoteText"/>
    <w:uiPriority w:val="99"/>
    <w:rsid w:val="00670869"/>
    <w:rPr>
      <w:sz w:val="16"/>
    </w:rPr>
  </w:style>
  <w:style w:type="paragraph" w:styleId="EnvelopeAddress">
    <w:name w:val="envelope address"/>
    <w:basedOn w:val="Normal"/>
    <w:uiPriority w:val="99"/>
    <w:semiHidden/>
    <w:unhideWhenUsed/>
    <w:locked/>
    <w:rsid w:val="00670869"/>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670869"/>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670869"/>
    <w:rPr>
      <w:noProof w:val="0"/>
      <w:color w:val="7030A0"/>
      <w:u w:val="single"/>
      <w:lang w:val="en-AU"/>
    </w:rPr>
  </w:style>
  <w:style w:type="character" w:styleId="FootnoteReference">
    <w:name w:val="footnote reference"/>
    <w:aliases w:val="Footnote"/>
    <w:basedOn w:val="DefaultParagraphFont"/>
    <w:uiPriority w:val="99"/>
    <w:rsid w:val="00670869"/>
    <w:rPr>
      <w:noProof w:val="0"/>
      <w:sz w:val="16"/>
      <w:vertAlign w:val="superscript"/>
      <w:lang w:val="en-AU"/>
    </w:rPr>
  </w:style>
  <w:style w:type="paragraph" w:styleId="FootnoteText">
    <w:name w:val="footnote text"/>
    <w:basedOn w:val="Normal"/>
    <w:link w:val="FootnoteTextChar"/>
    <w:uiPriority w:val="99"/>
    <w:rsid w:val="00670869"/>
    <w:pPr>
      <w:tabs>
        <w:tab w:val="left" w:pos="425"/>
      </w:tabs>
      <w:spacing w:after="0"/>
      <w:ind w:left="425" w:hanging="425"/>
    </w:pPr>
    <w:rPr>
      <w:sz w:val="15"/>
    </w:rPr>
  </w:style>
  <w:style w:type="character" w:customStyle="1" w:styleId="FootnoteTextChar">
    <w:name w:val="Footnote Text Char"/>
    <w:basedOn w:val="DefaultParagraphFont"/>
    <w:link w:val="FootnoteText"/>
    <w:uiPriority w:val="99"/>
    <w:rsid w:val="00670869"/>
    <w:rPr>
      <w:sz w:val="15"/>
    </w:rPr>
  </w:style>
  <w:style w:type="character" w:customStyle="1" w:styleId="Heading5Char">
    <w:name w:val="Heading 5 Char"/>
    <w:basedOn w:val="DefaultParagraphFont"/>
    <w:link w:val="Heading5"/>
    <w:uiPriority w:val="9"/>
    <w:semiHidden/>
    <w:rsid w:val="00670869"/>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670869"/>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670869"/>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670869"/>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70869"/>
    <w:rPr>
      <w:rFonts w:asciiTheme="majorHAnsi" w:eastAsiaTheme="majorEastAsia" w:hAnsiTheme="majorHAnsi" w:cstheme="majorBidi"/>
      <w:iCs/>
      <w:color w:val="404040" w:themeColor="text1" w:themeTint="BF"/>
    </w:rPr>
  </w:style>
  <w:style w:type="character" w:styleId="HTMLAcronym">
    <w:name w:val="HTML Acronym"/>
    <w:basedOn w:val="DefaultParagraphFont"/>
    <w:uiPriority w:val="99"/>
    <w:semiHidden/>
    <w:unhideWhenUsed/>
    <w:locked/>
    <w:rsid w:val="00670869"/>
    <w:rPr>
      <w:noProof w:val="0"/>
      <w:lang w:val="en-AU"/>
    </w:rPr>
  </w:style>
  <w:style w:type="paragraph" w:styleId="HTMLAddress">
    <w:name w:val="HTML Address"/>
    <w:basedOn w:val="Normal"/>
    <w:link w:val="HTMLAddressChar"/>
    <w:uiPriority w:val="99"/>
    <w:semiHidden/>
    <w:unhideWhenUsed/>
    <w:locked/>
    <w:rsid w:val="00670869"/>
    <w:pPr>
      <w:spacing w:after="0"/>
    </w:pPr>
    <w:rPr>
      <w:i/>
      <w:iCs/>
    </w:rPr>
  </w:style>
  <w:style w:type="character" w:customStyle="1" w:styleId="HTMLAddressChar">
    <w:name w:val="HTML Address Char"/>
    <w:basedOn w:val="DefaultParagraphFont"/>
    <w:link w:val="HTMLAddress"/>
    <w:uiPriority w:val="99"/>
    <w:semiHidden/>
    <w:rsid w:val="00670869"/>
    <w:rPr>
      <w:i/>
      <w:iCs/>
    </w:rPr>
  </w:style>
  <w:style w:type="character" w:styleId="HTMLCite">
    <w:name w:val="HTML Cite"/>
    <w:basedOn w:val="DefaultParagraphFont"/>
    <w:uiPriority w:val="99"/>
    <w:semiHidden/>
    <w:unhideWhenUsed/>
    <w:locked/>
    <w:rsid w:val="00670869"/>
    <w:rPr>
      <w:i/>
      <w:iCs/>
      <w:noProof w:val="0"/>
      <w:lang w:val="en-AU"/>
    </w:rPr>
  </w:style>
  <w:style w:type="character" w:styleId="HTMLCode">
    <w:name w:val="HTML Code"/>
    <w:basedOn w:val="DefaultParagraphFont"/>
    <w:uiPriority w:val="99"/>
    <w:semiHidden/>
    <w:unhideWhenUsed/>
    <w:locked/>
    <w:rsid w:val="00670869"/>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670869"/>
    <w:rPr>
      <w:i/>
      <w:iCs/>
      <w:noProof w:val="0"/>
      <w:lang w:val="en-AU"/>
    </w:rPr>
  </w:style>
  <w:style w:type="character" w:styleId="HTMLKeyboard">
    <w:name w:val="HTML Keyboard"/>
    <w:basedOn w:val="DefaultParagraphFont"/>
    <w:uiPriority w:val="99"/>
    <w:semiHidden/>
    <w:unhideWhenUsed/>
    <w:locked/>
    <w:rsid w:val="00670869"/>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670869"/>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670869"/>
    <w:rPr>
      <w:rFonts w:ascii="Consolas" w:hAnsi="Consolas"/>
    </w:rPr>
  </w:style>
  <w:style w:type="character" w:styleId="HTMLSample">
    <w:name w:val="HTML Sample"/>
    <w:basedOn w:val="DefaultParagraphFont"/>
    <w:uiPriority w:val="99"/>
    <w:semiHidden/>
    <w:unhideWhenUsed/>
    <w:locked/>
    <w:rsid w:val="00670869"/>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670869"/>
    <w:rPr>
      <w:rFonts w:ascii="Consolas" w:hAnsi="Consolas"/>
      <w:noProof w:val="0"/>
      <w:sz w:val="20"/>
      <w:szCs w:val="20"/>
      <w:lang w:val="en-AU"/>
    </w:rPr>
  </w:style>
  <w:style w:type="character" w:styleId="HTMLVariable">
    <w:name w:val="HTML Variable"/>
    <w:basedOn w:val="DefaultParagraphFont"/>
    <w:uiPriority w:val="99"/>
    <w:semiHidden/>
    <w:unhideWhenUsed/>
    <w:locked/>
    <w:rsid w:val="00670869"/>
    <w:rPr>
      <w:i/>
      <w:iCs/>
      <w:noProof w:val="0"/>
      <w:lang w:val="en-AU"/>
    </w:rPr>
  </w:style>
  <w:style w:type="paragraph" w:styleId="Index1">
    <w:name w:val="index 1"/>
    <w:basedOn w:val="Normal"/>
    <w:next w:val="Normal"/>
    <w:autoRedefine/>
    <w:uiPriority w:val="99"/>
    <w:semiHidden/>
    <w:unhideWhenUsed/>
    <w:locked/>
    <w:rsid w:val="00670869"/>
    <w:pPr>
      <w:spacing w:after="0"/>
      <w:ind w:left="190" w:hanging="190"/>
    </w:pPr>
  </w:style>
  <w:style w:type="paragraph" w:styleId="Index2">
    <w:name w:val="index 2"/>
    <w:basedOn w:val="Normal"/>
    <w:next w:val="Normal"/>
    <w:autoRedefine/>
    <w:uiPriority w:val="99"/>
    <w:semiHidden/>
    <w:unhideWhenUsed/>
    <w:locked/>
    <w:rsid w:val="00670869"/>
    <w:pPr>
      <w:spacing w:after="0"/>
      <w:ind w:left="380" w:hanging="190"/>
    </w:pPr>
  </w:style>
  <w:style w:type="paragraph" w:styleId="Index3">
    <w:name w:val="index 3"/>
    <w:basedOn w:val="Normal"/>
    <w:next w:val="Normal"/>
    <w:autoRedefine/>
    <w:uiPriority w:val="99"/>
    <w:semiHidden/>
    <w:unhideWhenUsed/>
    <w:locked/>
    <w:rsid w:val="00670869"/>
    <w:pPr>
      <w:spacing w:after="0"/>
      <w:ind w:left="570" w:hanging="190"/>
    </w:pPr>
  </w:style>
  <w:style w:type="paragraph" w:styleId="Index4">
    <w:name w:val="index 4"/>
    <w:basedOn w:val="Normal"/>
    <w:next w:val="Normal"/>
    <w:autoRedefine/>
    <w:uiPriority w:val="99"/>
    <w:semiHidden/>
    <w:unhideWhenUsed/>
    <w:locked/>
    <w:rsid w:val="00670869"/>
    <w:pPr>
      <w:spacing w:after="0"/>
      <w:ind w:left="760" w:hanging="190"/>
    </w:pPr>
  </w:style>
  <w:style w:type="paragraph" w:styleId="Index5">
    <w:name w:val="index 5"/>
    <w:basedOn w:val="Normal"/>
    <w:next w:val="Normal"/>
    <w:autoRedefine/>
    <w:uiPriority w:val="99"/>
    <w:semiHidden/>
    <w:unhideWhenUsed/>
    <w:locked/>
    <w:rsid w:val="00670869"/>
    <w:pPr>
      <w:spacing w:after="0"/>
      <w:ind w:left="950" w:hanging="190"/>
    </w:pPr>
  </w:style>
  <w:style w:type="paragraph" w:styleId="Index6">
    <w:name w:val="index 6"/>
    <w:basedOn w:val="Normal"/>
    <w:next w:val="Normal"/>
    <w:autoRedefine/>
    <w:uiPriority w:val="99"/>
    <w:semiHidden/>
    <w:unhideWhenUsed/>
    <w:locked/>
    <w:rsid w:val="00670869"/>
    <w:pPr>
      <w:spacing w:after="0"/>
      <w:ind w:left="1140" w:hanging="190"/>
    </w:pPr>
  </w:style>
  <w:style w:type="paragraph" w:styleId="Index7">
    <w:name w:val="index 7"/>
    <w:basedOn w:val="Normal"/>
    <w:next w:val="Normal"/>
    <w:autoRedefine/>
    <w:uiPriority w:val="99"/>
    <w:semiHidden/>
    <w:unhideWhenUsed/>
    <w:locked/>
    <w:rsid w:val="00670869"/>
    <w:pPr>
      <w:spacing w:after="0"/>
      <w:ind w:left="1330" w:hanging="190"/>
    </w:pPr>
  </w:style>
  <w:style w:type="paragraph" w:styleId="Index8">
    <w:name w:val="index 8"/>
    <w:basedOn w:val="Normal"/>
    <w:next w:val="Normal"/>
    <w:autoRedefine/>
    <w:uiPriority w:val="99"/>
    <w:semiHidden/>
    <w:unhideWhenUsed/>
    <w:locked/>
    <w:rsid w:val="00670869"/>
    <w:pPr>
      <w:spacing w:after="0"/>
      <w:ind w:left="1520" w:hanging="190"/>
    </w:pPr>
  </w:style>
  <w:style w:type="paragraph" w:styleId="Index9">
    <w:name w:val="index 9"/>
    <w:basedOn w:val="Normal"/>
    <w:next w:val="Normal"/>
    <w:autoRedefine/>
    <w:uiPriority w:val="99"/>
    <w:semiHidden/>
    <w:unhideWhenUsed/>
    <w:locked/>
    <w:rsid w:val="00670869"/>
    <w:pPr>
      <w:spacing w:after="0"/>
      <w:ind w:left="1710" w:hanging="190"/>
    </w:pPr>
  </w:style>
  <w:style w:type="paragraph" w:styleId="IndexHeading">
    <w:name w:val="index heading"/>
    <w:basedOn w:val="Normal"/>
    <w:next w:val="Index1"/>
    <w:uiPriority w:val="99"/>
    <w:semiHidden/>
    <w:unhideWhenUsed/>
    <w:locked/>
    <w:rsid w:val="00670869"/>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670869"/>
    <w:rPr>
      <w:b/>
      <w:bCs/>
      <w:i/>
      <w:iCs/>
      <w:noProof w:val="0"/>
      <w:color w:val="007C89" w:themeColor="accent1"/>
      <w:lang w:val="en-AU"/>
    </w:rPr>
  </w:style>
  <w:style w:type="paragraph" w:styleId="IntenseQuote">
    <w:name w:val="Intense Quote"/>
    <w:basedOn w:val="Normal"/>
    <w:next w:val="Normal"/>
    <w:link w:val="IntenseQuoteChar"/>
    <w:uiPriority w:val="30"/>
    <w:semiHidden/>
    <w:qFormat/>
    <w:locked/>
    <w:rsid w:val="00670869"/>
    <w:pPr>
      <w:pBdr>
        <w:bottom w:val="single" w:sz="4" w:space="4" w:color="007C89" w:themeColor="accent1"/>
      </w:pBdr>
      <w:spacing w:before="200" w:after="280"/>
      <w:ind w:left="936" w:right="936"/>
    </w:pPr>
    <w:rPr>
      <w:b/>
      <w:bCs/>
      <w:i/>
      <w:iCs/>
      <w:color w:val="007C89" w:themeColor="accent1"/>
    </w:rPr>
  </w:style>
  <w:style w:type="character" w:customStyle="1" w:styleId="IntenseQuoteChar">
    <w:name w:val="Intense Quote Char"/>
    <w:basedOn w:val="DefaultParagraphFont"/>
    <w:link w:val="IntenseQuote"/>
    <w:uiPriority w:val="30"/>
    <w:semiHidden/>
    <w:rsid w:val="00670869"/>
    <w:rPr>
      <w:b/>
      <w:bCs/>
      <w:i/>
      <w:iCs/>
      <w:color w:val="007C89" w:themeColor="accent1"/>
    </w:rPr>
  </w:style>
  <w:style w:type="character" w:styleId="IntenseReference">
    <w:name w:val="Intense Reference"/>
    <w:basedOn w:val="DefaultParagraphFont"/>
    <w:uiPriority w:val="32"/>
    <w:semiHidden/>
    <w:qFormat/>
    <w:locked/>
    <w:rsid w:val="00670869"/>
    <w:rPr>
      <w:b/>
      <w:bCs/>
      <w:smallCaps/>
      <w:noProof w:val="0"/>
      <w:color w:val="B5582D" w:themeColor="accent2"/>
      <w:spacing w:val="5"/>
      <w:u w:val="single"/>
      <w:lang w:val="en-AU"/>
    </w:rPr>
  </w:style>
  <w:style w:type="table" w:styleId="LightGrid">
    <w:name w:val="Light Grid"/>
    <w:basedOn w:val="TableNormal"/>
    <w:uiPriority w:val="62"/>
    <w:locked/>
    <w:rsid w:val="0067086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670869"/>
    <w:pPr>
      <w:spacing w:after="0"/>
    </w:p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insideH w:val="single" w:sz="8" w:space="0" w:color="007C89" w:themeColor="accent1"/>
        <w:insideV w:val="single" w:sz="8" w:space="0" w:color="007C8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C89" w:themeColor="accent1"/>
          <w:left w:val="single" w:sz="8" w:space="0" w:color="007C89" w:themeColor="accent1"/>
          <w:bottom w:val="single" w:sz="18" w:space="0" w:color="007C89" w:themeColor="accent1"/>
          <w:right w:val="single" w:sz="8" w:space="0" w:color="007C89" w:themeColor="accent1"/>
          <w:insideH w:val="nil"/>
          <w:insideV w:val="single" w:sz="8" w:space="0" w:color="007C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C89" w:themeColor="accent1"/>
          <w:left w:val="single" w:sz="8" w:space="0" w:color="007C89" w:themeColor="accent1"/>
          <w:bottom w:val="single" w:sz="8" w:space="0" w:color="007C89" w:themeColor="accent1"/>
          <w:right w:val="single" w:sz="8" w:space="0" w:color="007C89" w:themeColor="accent1"/>
          <w:insideH w:val="nil"/>
          <w:insideV w:val="single" w:sz="8" w:space="0" w:color="007C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tblStylePr w:type="band1Vert">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shd w:val="clear" w:color="auto" w:fill="A2F5FF" w:themeFill="accent1" w:themeFillTint="3F"/>
      </w:tcPr>
    </w:tblStylePr>
    <w:tblStylePr w:type="band1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insideV w:val="single" w:sz="8" w:space="0" w:color="007C89" w:themeColor="accent1"/>
        </w:tcBorders>
        <w:shd w:val="clear" w:color="auto" w:fill="A2F5FF" w:themeFill="accent1" w:themeFillTint="3F"/>
      </w:tcPr>
    </w:tblStylePr>
    <w:tblStylePr w:type="band2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insideV w:val="single" w:sz="8" w:space="0" w:color="007C89" w:themeColor="accent1"/>
        </w:tcBorders>
      </w:tcPr>
    </w:tblStylePr>
  </w:style>
  <w:style w:type="table" w:styleId="LightGrid-Accent2">
    <w:name w:val="Light Grid Accent 2"/>
    <w:basedOn w:val="TableNormal"/>
    <w:uiPriority w:val="62"/>
    <w:locked/>
    <w:rsid w:val="00670869"/>
    <w:pPr>
      <w:spacing w:after="0"/>
    </w:p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insideH w:val="single" w:sz="8" w:space="0" w:color="B5582D" w:themeColor="accent2"/>
        <w:insideV w:val="single" w:sz="8" w:space="0" w:color="B5582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582D" w:themeColor="accent2"/>
          <w:left w:val="single" w:sz="8" w:space="0" w:color="B5582D" w:themeColor="accent2"/>
          <w:bottom w:val="single" w:sz="18" w:space="0" w:color="B5582D" w:themeColor="accent2"/>
          <w:right w:val="single" w:sz="8" w:space="0" w:color="B5582D" w:themeColor="accent2"/>
          <w:insideH w:val="nil"/>
          <w:insideV w:val="single" w:sz="8" w:space="0" w:color="B5582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582D" w:themeColor="accent2"/>
          <w:left w:val="single" w:sz="8" w:space="0" w:color="B5582D" w:themeColor="accent2"/>
          <w:bottom w:val="single" w:sz="8" w:space="0" w:color="B5582D" w:themeColor="accent2"/>
          <w:right w:val="single" w:sz="8" w:space="0" w:color="B5582D" w:themeColor="accent2"/>
          <w:insideH w:val="nil"/>
          <w:insideV w:val="single" w:sz="8" w:space="0" w:color="B5582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tblStylePr w:type="band1Vert">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shd w:val="clear" w:color="auto" w:fill="F1D3C6" w:themeFill="accent2" w:themeFillTint="3F"/>
      </w:tcPr>
    </w:tblStylePr>
    <w:tblStylePr w:type="band1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insideV w:val="single" w:sz="8" w:space="0" w:color="B5582D" w:themeColor="accent2"/>
        </w:tcBorders>
        <w:shd w:val="clear" w:color="auto" w:fill="F1D3C6" w:themeFill="accent2" w:themeFillTint="3F"/>
      </w:tcPr>
    </w:tblStylePr>
    <w:tblStylePr w:type="band2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insideV w:val="single" w:sz="8" w:space="0" w:color="B5582D" w:themeColor="accent2"/>
        </w:tcBorders>
      </w:tcPr>
    </w:tblStylePr>
  </w:style>
  <w:style w:type="table" w:styleId="LightGrid-Accent3">
    <w:name w:val="Light Grid Accent 3"/>
    <w:basedOn w:val="TableNormal"/>
    <w:uiPriority w:val="62"/>
    <w:locked/>
    <w:rsid w:val="00670869"/>
    <w:pPr>
      <w:spacing w:after="0"/>
    </w:p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insideH w:val="single" w:sz="8" w:space="0" w:color="007C89" w:themeColor="accent3"/>
        <w:insideV w:val="single" w:sz="8" w:space="0" w:color="007C8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C89" w:themeColor="accent3"/>
          <w:left w:val="single" w:sz="8" w:space="0" w:color="007C89" w:themeColor="accent3"/>
          <w:bottom w:val="single" w:sz="18" w:space="0" w:color="007C89" w:themeColor="accent3"/>
          <w:right w:val="single" w:sz="8" w:space="0" w:color="007C89" w:themeColor="accent3"/>
          <w:insideH w:val="nil"/>
          <w:insideV w:val="single" w:sz="8" w:space="0" w:color="007C8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C89" w:themeColor="accent3"/>
          <w:left w:val="single" w:sz="8" w:space="0" w:color="007C89" w:themeColor="accent3"/>
          <w:bottom w:val="single" w:sz="8" w:space="0" w:color="007C89" w:themeColor="accent3"/>
          <w:right w:val="single" w:sz="8" w:space="0" w:color="007C89" w:themeColor="accent3"/>
          <w:insideH w:val="nil"/>
          <w:insideV w:val="single" w:sz="8" w:space="0" w:color="007C8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tblStylePr w:type="band1Vert">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shd w:val="clear" w:color="auto" w:fill="A2F5FF" w:themeFill="accent3" w:themeFillTint="3F"/>
      </w:tcPr>
    </w:tblStylePr>
    <w:tblStylePr w:type="band1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insideV w:val="single" w:sz="8" w:space="0" w:color="007C89" w:themeColor="accent3"/>
        </w:tcBorders>
        <w:shd w:val="clear" w:color="auto" w:fill="A2F5FF" w:themeFill="accent3" w:themeFillTint="3F"/>
      </w:tcPr>
    </w:tblStylePr>
    <w:tblStylePr w:type="band2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insideV w:val="single" w:sz="8" w:space="0" w:color="007C89" w:themeColor="accent3"/>
        </w:tcBorders>
      </w:tcPr>
    </w:tblStylePr>
  </w:style>
  <w:style w:type="table" w:styleId="LightGrid-Accent4">
    <w:name w:val="Light Grid Accent 4"/>
    <w:basedOn w:val="TableNormal"/>
    <w:uiPriority w:val="62"/>
    <w:locked/>
    <w:rsid w:val="00670869"/>
    <w:pPr>
      <w:spacing w:after="0"/>
    </w:p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insideH w:val="single" w:sz="8" w:space="0" w:color="89C3B2" w:themeColor="accent4"/>
        <w:insideV w:val="single" w:sz="8" w:space="0" w:color="89C3B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C3B2" w:themeColor="accent4"/>
          <w:left w:val="single" w:sz="8" w:space="0" w:color="89C3B2" w:themeColor="accent4"/>
          <w:bottom w:val="single" w:sz="18" w:space="0" w:color="89C3B2" w:themeColor="accent4"/>
          <w:right w:val="single" w:sz="8" w:space="0" w:color="89C3B2" w:themeColor="accent4"/>
          <w:insideH w:val="nil"/>
          <w:insideV w:val="single" w:sz="8" w:space="0" w:color="89C3B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C3B2" w:themeColor="accent4"/>
          <w:left w:val="single" w:sz="8" w:space="0" w:color="89C3B2" w:themeColor="accent4"/>
          <w:bottom w:val="single" w:sz="8" w:space="0" w:color="89C3B2" w:themeColor="accent4"/>
          <w:right w:val="single" w:sz="8" w:space="0" w:color="89C3B2" w:themeColor="accent4"/>
          <w:insideH w:val="nil"/>
          <w:insideV w:val="single" w:sz="8" w:space="0" w:color="89C3B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tblStylePr w:type="band1Vert">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shd w:val="clear" w:color="auto" w:fill="E1F0EB" w:themeFill="accent4" w:themeFillTint="3F"/>
      </w:tcPr>
    </w:tblStylePr>
    <w:tblStylePr w:type="band1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insideV w:val="single" w:sz="8" w:space="0" w:color="89C3B2" w:themeColor="accent4"/>
        </w:tcBorders>
        <w:shd w:val="clear" w:color="auto" w:fill="E1F0EB" w:themeFill="accent4" w:themeFillTint="3F"/>
      </w:tcPr>
    </w:tblStylePr>
    <w:tblStylePr w:type="band2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insideV w:val="single" w:sz="8" w:space="0" w:color="89C3B2" w:themeColor="accent4"/>
        </w:tcBorders>
      </w:tcPr>
    </w:tblStylePr>
  </w:style>
  <w:style w:type="table" w:styleId="LightGrid-Accent5">
    <w:name w:val="Light Grid Accent 5"/>
    <w:basedOn w:val="TableNormal"/>
    <w:uiPriority w:val="62"/>
    <w:locked/>
    <w:rsid w:val="00670869"/>
    <w:pPr>
      <w:spacing w:after="0"/>
    </w:p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insideH w:val="single" w:sz="8" w:space="0" w:color="D8DBDA" w:themeColor="accent5"/>
        <w:insideV w:val="single" w:sz="8" w:space="0" w:color="D8DB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BDA" w:themeColor="accent5"/>
          <w:left w:val="single" w:sz="8" w:space="0" w:color="D8DBDA" w:themeColor="accent5"/>
          <w:bottom w:val="single" w:sz="18" w:space="0" w:color="D8DBDA" w:themeColor="accent5"/>
          <w:right w:val="single" w:sz="8" w:space="0" w:color="D8DBDA" w:themeColor="accent5"/>
          <w:insideH w:val="nil"/>
          <w:insideV w:val="single" w:sz="8" w:space="0" w:color="D8DB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BDA" w:themeColor="accent5"/>
          <w:left w:val="single" w:sz="8" w:space="0" w:color="D8DBDA" w:themeColor="accent5"/>
          <w:bottom w:val="single" w:sz="8" w:space="0" w:color="D8DBDA" w:themeColor="accent5"/>
          <w:right w:val="single" w:sz="8" w:space="0" w:color="D8DBDA" w:themeColor="accent5"/>
          <w:insideH w:val="nil"/>
          <w:insideV w:val="single" w:sz="8" w:space="0" w:color="D8DB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tblStylePr w:type="band1Vert">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shd w:val="clear" w:color="auto" w:fill="F5F6F5" w:themeFill="accent5" w:themeFillTint="3F"/>
      </w:tcPr>
    </w:tblStylePr>
    <w:tblStylePr w:type="band1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insideV w:val="single" w:sz="8" w:space="0" w:color="D8DBDA" w:themeColor="accent5"/>
        </w:tcBorders>
        <w:shd w:val="clear" w:color="auto" w:fill="F5F6F5" w:themeFill="accent5" w:themeFillTint="3F"/>
      </w:tcPr>
    </w:tblStylePr>
    <w:tblStylePr w:type="band2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insideV w:val="single" w:sz="8" w:space="0" w:color="D8DBDA" w:themeColor="accent5"/>
        </w:tcBorders>
      </w:tcPr>
    </w:tblStylePr>
  </w:style>
  <w:style w:type="table" w:styleId="LightGrid-Accent6">
    <w:name w:val="Light Grid Accent 6"/>
    <w:basedOn w:val="TableNormal"/>
    <w:uiPriority w:val="62"/>
    <w:locked/>
    <w:rsid w:val="00670869"/>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locked/>
    <w:rsid w:val="00670869"/>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670869"/>
    <w:pPr>
      <w:spacing w:after="0"/>
    </w:p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tblBorders>
    </w:tblPr>
    <w:tblStylePr w:type="firstRow">
      <w:pPr>
        <w:spacing w:before="0" w:after="0" w:line="240" w:lineRule="auto"/>
      </w:pPr>
      <w:rPr>
        <w:b/>
        <w:bCs/>
        <w:color w:val="FFFFFF" w:themeColor="background1"/>
      </w:rPr>
      <w:tblPr/>
      <w:tcPr>
        <w:shd w:val="clear" w:color="auto" w:fill="007C89" w:themeFill="accent1"/>
      </w:tcPr>
    </w:tblStylePr>
    <w:tblStylePr w:type="lastRow">
      <w:pPr>
        <w:spacing w:before="0" w:after="0" w:line="240" w:lineRule="auto"/>
      </w:pPr>
      <w:rPr>
        <w:b/>
        <w:bCs/>
      </w:rPr>
      <w:tblPr/>
      <w:tcPr>
        <w:tcBorders>
          <w:top w:val="double" w:sz="6" w:space="0" w:color="007C89" w:themeColor="accent1"/>
          <w:left w:val="single" w:sz="8" w:space="0" w:color="007C89" w:themeColor="accent1"/>
          <w:bottom w:val="single" w:sz="8" w:space="0" w:color="007C89" w:themeColor="accent1"/>
          <w:right w:val="single" w:sz="8" w:space="0" w:color="007C89" w:themeColor="accent1"/>
        </w:tcBorders>
      </w:tcPr>
    </w:tblStylePr>
    <w:tblStylePr w:type="firstCol">
      <w:rPr>
        <w:b/>
        <w:bCs/>
      </w:rPr>
    </w:tblStylePr>
    <w:tblStylePr w:type="lastCol">
      <w:rPr>
        <w:b/>
        <w:bCs/>
      </w:rPr>
    </w:tblStylePr>
    <w:tblStylePr w:type="band1Vert">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tblStylePr w:type="band1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style>
  <w:style w:type="table" w:styleId="LightList-Accent2">
    <w:name w:val="Light List Accent 2"/>
    <w:basedOn w:val="TableNormal"/>
    <w:uiPriority w:val="61"/>
    <w:locked/>
    <w:rsid w:val="00670869"/>
    <w:pPr>
      <w:spacing w:after="0"/>
    </w:p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tblBorders>
    </w:tblPr>
    <w:tblStylePr w:type="firstRow">
      <w:pPr>
        <w:spacing w:before="0" w:after="0" w:line="240" w:lineRule="auto"/>
      </w:pPr>
      <w:rPr>
        <w:b/>
        <w:bCs/>
        <w:color w:val="FFFFFF" w:themeColor="background1"/>
      </w:rPr>
      <w:tblPr/>
      <w:tcPr>
        <w:shd w:val="clear" w:color="auto" w:fill="B5582D" w:themeFill="accent2"/>
      </w:tcPr>
    </w:tblStylePr>
    <w:tblStylePr w:type="lastRow">
      <w:pPr>
        <w:spacing w:before="0" w:after="0" w:line="240" w:lineRule="auto"/>
      </w:pPr>
      <w:rPr>
        <w:b/>
        <w:bCs/>
      </w:rPr>
      <w:tblPr/>
      <w:tcPr>
        <w:tcBorders>
          <w:top w:val="double" w:sz="6" w:space="0" w:color="B5582D" w:themeColor="accent2"/>
          <w:left w:val="single" w:sz="8" w:space="0" w:color="B5582D" w:themeColor="accent2"/>
          <w:bottom w:val="single" w:sz="8" w:space="0" w:color="B5582D" w:themeColor="accent2"/>
          <w:right w:val="single" w:sz="8" w:space="0" w:color="B5582D" w:themeColor="accent2"/>
        </w:tcBorders>
      </w:tcPr>
    </w:tblStylePr>
    <w:tblStylePr w:type="firstCol">
      <w:rPr>
        <w:b/>
        <w:bCs/>
      </w:rPr>
    </w:tblStylePr>
    <w:tblStylePr w:type="lastCol">
      <w:rPr>
        <w:b/>
        <w:bCs/>
      </w:rPr>
    </w:tblStylePr>
    <w:tblStylePr w:type="band1Vert">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tblStylePr w:type="band1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style>
  <w:style w:type="table" w:styleId="LightList-Accent3">
    <w:name w:val="Light List Accent 3"/>
    <w:basedOn w:val="TableNormal"/>
    <w:uiPriority w:val="61"/>
    <w:locked/>
    <w:rsid w:val="00670869"/>
    <w:pPr>
      <w:spacing w:after="0"/>
    </w:p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tblBorders>
    </w:tblPr>
    <w:tblStylePr w:type="firstRow">
      <w:pPr>
        <w:spacing w:before="0" w:after="0" w:line="240" w:lineRule="auto"/>
      </w:pPr>
      <w:rPr>
        <w:b/>
        <w:bCs/>
        <w:color w:val="FFFFFF" w:themeColor="background1"/>
      </w:rPr>
      <w:tblPr/>
      <w:tcPr>
        <w:shd w:val="clear" w:color="auto" w:fill="007C89" w:themeFill="accent3"/>
      </w:tcPr>
    </w:tblStylePr>
    <w:tblStylePr w:type="lastRow">
      <w:pPr>
        <w:spacing w:before="0" w:after="0" w:line="240" w:lineRule="auto"/>
      </w:pPr>
      <w:rPr>
        <w:b/>
        <w:bCs/>
      </w:rPr>
      <w:tblPr/>
      <w:tcPr>
        <w:tcBorders>
          <w:top w:val="double" w:sz="6" w:space="0" w:color="007C89" w:themeColor="accent3"/>
          <w:left w:val="single" w:sz="8" w:space="0" w:color="007C89" w:themeColor="accent3"/>
          <w:bottom w:val="single" w:sz="8" w:space="0" w:color="007C89" w:themeColor="accent3"/>
          <w:right w:val="single" w:sz="8" w:space="0" w:color="007C89" w:themeColor="accent3"/>
        </w:tcBorders>
      </w:tcPr>
    </w:tblStylePr>
    <w:tblStylePr w:type="firstCol">
      <w:rPr>
        <w:b/>
        <w:bCs/>
      </w:rPr>
    </w:tblStylePr>
    <w:tblStylePr w:type="lastCol">
      <w:rPr>
        <w:b/>
        <w:bCs/>
      </w:rPr>
    </w:tblStylePr>
    <w:tblStylePr w:type="band1Vert">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tblStylePr w:type="band1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style>
  <w:style w:type="table" w:styleId="LightList-Accent4">
    <w:name w:val="Light List Accent 4"/>
    <w:basedOn w:val="TableNormal"/>
    <w:uiPriority w:val="61"/>
    <w:locked/>
    <w:rsid w:val="00670869"/>
    <w:pPr>
      <w:spacing w:after="0"/>
    </w:p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tblBorders>
    </w:tblPr>
    <w:tblStylePr w:type="firstRow">
      <w:pPr>
        <w:spacing w:before="0" w:after="0" w:line="240" w:lineRule="auto"/>
      </w:pPr>
      <w:rPr>
        <w:b/>
        <w:bCs/>
        <w:color w:val="FFFFFF" w:themeColor="background1"/>
      </w:rPr>
      <w:tblPr/>
      <w:tcPr>
        <w:shd w:val="clear" w:color="auto" w:fill="89C3B2" w:themeFill="accent4"/>
      </w:tcPr>
    </w:tblStylePr>
    <w:tblStylePr w:type="lastRow">
      <w:pPr>
        <w:spacing w:before="0" w:after="0" w:line="240" w:lineRule="auto"/>
      </w:pPr>
      <w:rPr>
        <w:b/>
        <w:bCs/>
      </w:rPr>
      <w:tblPr/>
      <w:tcPr>
        <w:tcBorders>
          <w:top w:val="double" w:sz="6" w:space="0" w:color="89C3B2" w:themeColor="accent4"/>
          <w:left w:val="single" w:sz="8" w:space="0" w:color="89C3B2" w:themeColor="accent4"/>
          <w:bottom w:val="single" w:sz="8" w:space="0" w:color="89C3B2" w:themeColor="accent4"/>
          <w:right w:val="single" w:sz="8" w:space="0" w:color="89C3B2" w:themeColor="accent4"/>
        </w:tcBorders>
      </w:tcPr>
    </w:tblStylePr>
    <w:tblStylePr w:type="firstCol">
      <w:rPr>
        <w:b/>
        <w:bCs/>
      </w:rPr>
    </w:tblStylePr>
    <w:tblStylePr w:type="lastCol">
      <w:rPr>
        <w:b/>
        <w:bCs/>
      </w:rPr>
    </w:tblStylePr>
    <w:tblStylePr w:type="band1Vert">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tblStylePr w:type="band1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style>
  <w:style w:type="table" w:styleId="LightList-Accent5">
    <w:name w:val="Light List Accent 5"/>
    <w:basedOn w:val="TableNormal"/>
    <w:uiPriority w:val="61"/>
    <w:locked/>
    <w:rsid w:val="00670869"/>
    <w:pPr>
      <w:spacing w:after="0"/>
    </w:p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tblBorders>
    </w:tblPr>
    <w:tblStylePr w:type="firstRow">
      <w:pPr>
        <w:spacing w:before="0" w:after="0" w:line="240" w:lineRule="auto"/>
      </w:pPr>
      <w:rPr>
        <w:b/>
        <w:bCs/>
        <w:color w:val="FFFFFF" w:themeColor="background1"/>
      </w:rPr>
      <w:tblPr/>
      <w:tcPr>
        <w:shd w:val="clear" w:color="auto" w:fill="D8DBDA" w:themeFill="accent5"/>
      </w:tcPr>
    </w:tblStylePr>
    <w:tblStylePr w:type="lastRow">
      <w:pPr>
        <w:spacing w:before="0" w:after="0" w:line="240" w:lineRule="auto"/>
      </w:pPr>
      <w:rPr>
        <w:b/>
        <w:bCs/>
      </w:rPr>
      <w:tblPr/>
      <w:tcPr>
        <w:tcBorders>
          <w:top w:val="double" w:sz="6" w:space="0" w:color="D8DBDA" w:themeColor="accent5"/>
          <w:left w:val="single" w:sz="8" w:space="0" w:color="D8DBDA" w:themeColor="accent5"/>
          <w:bottom w:val="single" w:sz="8" w:space="0" w:color="D8DBDA" w:themeColor="accent5"/>
          <w:right w:val="single" w:sz="8" w:space="0" w:color="D8DBDA" w:themeColor="accent5"/>
        </w:tcBorders>
      </w:tcPr>
    </w:tblStylePr>
    <w:tblStylePr w:type="firstCol">
      <w:rPr>
        <w:b/>
        <w:bCs/>
      </w:rPr>
    </w:tblStylePr>
    <w:tblStylePr w:type="lastCol">
      <w:rPr>
        <w:b/>
        <w:bCs/>
      </w:rPr>
    </w:tblStylePr>
    <w:tblStylePr w:type="band1Vert">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tblStylePr w:type="band1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style>
  <w:style w:type="table" w:styleId="LightList-Accent6">
    <w:name w:val="Light List Accent 6"/>
    <w:basedOn w:val="TableNormal"/>
    <w:uiPriority w:val="61"/>
    <w:locked/>
    <w:rsid w:val="00670869"/>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locked/>
    <w:rsid w:val="00670869"/>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670869"/>
    <w:pPr>
      <w:spacing w:after="0"/>
    </w:pPr>
    <w:rPr>
      <w:color w:val="005C66" w:themeColor="accent1" w:themeShade="BF"/>
    </w:rPr>
    <w:tblPr>
      <w:tblStyleRowBandSize w:val="1"/>
      <w:tblStyleColBandSize w:val="1"/>
      <w:tblBorders>
        <w:top w:val="single" w:sz="8" w:space="0" w:color="007C89" w:themeColor="accent1"/>
        <w:bottom w:val="single" w:sz="8" w:space="0" w:color="007C89" w:themeColor="accent1"/>
      </w:tblBorders>
    </w:tblPr>
    <w:tblStylePr w:type="firstRow">
      <w:pPr>
        <w:spacing w:before="0" w:after="0" w:line="240" w:lineRule="auto"/>
      </w:pPr>
      <w:rPr>
        <w:b/>
        <w:bCs/>
      </w:rPr>
      <w:tblPr/>
      <w:tcPr>
        <w:tcBorders>
          <w:top w:val="single" w:sz="8" w:space="0" w:color="007C89" w:themeColor="accent1"/>
          <w:left w:val="nil"/>
          <w:bottom w:val="single" w:sz="8" w:space="0" w:color="007C89" w:themeColor="accent1"/>
          <w:right w:val="nil"/>
          <w:insideH w:val="nil"/>
          <w:insideV w:val="nil"/>
        </w:tcBorders>
      </w:tcPr>
    </w:tblStylePr>
    <w:tblStylePr w:type="lastRow">
      <w:pPr>
        <w:spacing w:before="0" w:after="0" w:line="240" w:lineRule="auto"/>
      </w:pPr>
      <w:rPr>
        <w:b/>
        <w:bCs/>
      </w:rPr>
      <w:tblPr/>
      <w:tcPr>
        <w:tcBorders>
          <w:top w:val="single" w:sz="8" w:space="0" w:color="007C89" w:themeColor="accent1"/>
          <w:left w:val="nil"/>
          <w:bottom w:val="single" w:sz="8" w:space="0" w:color="007C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5FF" w:themeFill="accent1" w:themeFillTint="3F"/>
      </w:tcPr>
    </w:tblStylePr>
    <w:tblStylePr w:type="band1Horz">
      <w:tblPr/>
      <w:tcPr>
        <w:tcBorders>
          <w:left w:val="nil"/>
          <w:right w:val="nil"/>
          <w:insideH w:val="nil"/>
          <w:insideV w:val="nil"/>
        </w:tcBorders>
        <w:shd w:val="clear" w:color="auto" w:fill="A2F5FF" w:themeFill="accent1" w:themeFillTint="3F"/>
      </w:tcPr>
    </w:tblStylePr>
  </w:style>
  <w:style w:type="table" w:styleId="LightShading-Accent2">
    <w:name w:val="Light Shading Accent 2"/>
    <w:basedOn w:val="TableNormal"/>
    <w:uiPriority w:val="60"/>
    <w:locked/>
    <w:rsid w:val="00670869"/>
    <w:pPr>
      <w:spacing w:after="0"/>
    </w:pPr>
    <w:rPr>
      <w:color w:val="874121" w:themeColor="accent2" w:themeShade="BF"/>
    </w:rPr>
    <w:tblPr>
      <w:tblStyleRowBandSize w:val="1"/>
      <w:tblStyleColBandSize w:val="1"/>
      <w:tblBorders>
        <w:top w:val="single" w:sz="8" w:space="0" w:color="B5582D" w:themeColor="accent2"/>
        <w:bottom w:val="single" w:sz="8" w:space="0" w:color="B5582D" w:themeColor="accent2"/>
      </w:tblBorders>
    </w:tblPr>
    <w:tblStylePr w:type="firstRow">
      <w:pPr>
        <w:spacing w:before="0" w:after="0" w:line="240" w:lineRule="auto"/>
      </w:pPr>
      <w:rPr>
        <w:b/>
        <w:bCs/>
      </w:rPr>
      <w:tblPr/>
      <w:tcPr>
        <w:tcBorders>
          <w:top w:val="single" w:sz="8" w:space="0" w:color="B5582D" w:themeColor="accent2"/>
          <w:left w:val="nil"/>
          <w:bottom w:val="single" w:sz="8" w:space="0" w:color="B5582D" w:themeColor="accent2"/>
          <w:right w:val="nil"/>
          <w:insideH w:val="nil"/>
          <w:insideV w:val="nil"/>
        </w:tcBorders>
      </w:tcPr>
    </w:tblStylePr>
    <w:tblStylePr w:type="lastRow">
      <w:pPr>
        <w:spacing w:before="0" w:after="0" w:line="240" w:lineRule="auto"/>
      </w:pPr>
      <w:rPr>
        <w:b/>
        <w:bCs/>
      </w:rPr>
      <w:tblPr/>
      <w:tcPr>
        <w:tcBorders>
          <w:top w:val="single" w:sz="8" w:space="0" w:color="B5582D" w:themeColor="accent2"/>
          <w:left w:val="nil"/>
          <w:bottom w:val="single" w:sz="8" w:space="0" w:color="B5582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3C6" w:themeFill="accent2" w:themeFillTint="3F"/>
      </w:tcPr>
    </w:tblStylePr>
    <w:tblStylePr w:type="band1Horz">
      <w:tblPr/>
      <w:tcPr>
        <w:tcBorders>
          <w:left w:val="nil"/>
          <w:right w:val="nil"/>
          <w:insideH w:val="nil"/>
          <w:insideV w:val="nil"/>
        </w:tcBorders>
        <w:shd w:val="clear" w:color="auto" w:fill="F1D3C6" w:themeFill="accent2" w:themeFillTint="3F"/>
      </w:tcPr>
    </w:tblStylePr>
  </w:style>
  <w:style w:type="table" w:styleId="LightShading-Accent3">
    <w:name w:val="Light Shading Accent 3"/>
    <w:basedOn w:val="TableNormal"/>
    <w:uiPriority w:val="60"/>
    <w:locked/>
    <w:rsid w:val="00670869"/>
    <w:pPr>
      <w:spacing w:after="0"/>
    </w:pPr>
    <w:rPr>
      <w:color w:val="005C66" w:themeColor="accent3" w:themeShade="BF"/>
    </w:rPr>
    <w:tblPr>
      <w:tblStyleRowBandSize w:val="1"/>
      <w:tblStyleColBandSize w:val="1"/>
      <w:tblBorders>
        <w:top w:val="single" w:sz="8" w:space="0" w:color="007C89" w:themeColor="accent3"/>
        <w:bottom w:val="single" w:sz="8" w:space="0" w:color="007C89" w:themeColor="accent3"/>
      </w:tblBorders>
    </w:tblPr>
    <w:tblStylePr w:type="firstRow">
      <w:pPr>
        <w:spacing w:before="0" w:after="0" w:line="240" w:lineRule="auto"/>
      </w:pPr>
      <w:rPr>
        <w:b/>
        <w:bCs/>
      </w:rPr>
      <w:tblPr/>
      <w:tcPr>
        <w:tcBorders>
          <w:top w:val="single" w:sz="8" w:space="0" w:color="007C89" w:themeColor="accent3"/>
          <w:left w:val="nil"/>
          <w:bottom w:val="single" w:sz="8" w:space="0" w:color="007C89" w:themeColor="accent3"/>
          <w:right w:val="nil"/>
          <w:insideH w:val="nil"/>
          <w:insideV w:val="nil"/>
        </w:tcBorders>
      </w:tcPr>
    </w:tblStylePr>
    <w:tblStylePr w:type="lastRow">
      <w:pPr>
        <w:spacing w:before="0" w:after="0" w:line="240" w:lineRule="auto"/>
      </w:pPr>
      <w:rPr>
        <w:b/>
        <w:bCs/>
      </w:rPr>
      <w:tblPr/>
      <w:tcPr>
        <w:tcBorders>
          <w:top w:val="single" w:sz="8" w:space="0" w:color="007C89" w:themeColor="accent3"/>
          <w:left w:val="nil"/>
          <w:bottom w:val="single" w:sz="8" w:space="0" w:color="007C8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5FF" w:themeFill="accent3" w:themeFillTint="3F"/>
      </w:tcPr>
    </w:tblStylePr>
    <w:tblStylePr w:type="band1Horz">
      <w:tblPr/>
      <w:tcPr>
        <w:tcBorders>
          <w:left w:val="nil"/>
          <w:right w:val="nil"/>
          <w:insideH w:val="nil"/>
          <w:insideV w:val="nil"/>
        </w:tcBorders>
        <w:shd w:val="clear" w:color="auto" w:fill="A2F5FF" w:themeFill="accent3" w:themeFillTint="3F"/>
      </w:tcPr>
    </w:tblStylePr>
  </w:style>
  <w:style w:type="table" w:styleId="LightShading-Accent4">
    <w:name w:val="Light Shading Accent 4"/>
    <w:basedOn w:val="TableNormal"/>
    <w:uiPriority w:val="60"/>
    <w:locked/>
    <w:rsid w:val="00670869"/>
    <w:pPr>
      <w:spacing w:after="0"/>
    </w:pPr>
    <w:rPr>
      <w:color w:val="54A48C" w:themeColor="accent4" w:themeShade="BF"/>
    </w:rPr>
    <w:tblPr>
      <w:tblStyleRowBandSize w:val="1"/>
      <w:tblStyleColBandSize w:val="1"/>
      <w:tblBorders>
        <w:top w:val="single" w:sz="8" w:space="0" w:color="89C3B2" w:themeColor="accent4"/>
        <w:bottom w:val="single" w:sz="8" w:space="0" w:color="89C3B2" w:themeColor="accent4"/>
      </w:tblBorders>
    </w:tblPr>
    <w:tblStylePr w:type="firstRow">
      <w:pPr>
        <w:spacing w:before="0" w:after="0" w:line="240" w:lineRule="auto"/>
      </w:pPr>
      <w:rPr>
        <w:b/>
        <w:bCs/>
      </w:rPr>
      <w:tblPr/>
      <w:tcPr>
        <w:tcBorders>
          <w:top w:val="single" w:sz="8" w:space="0" w:color="89C3B2" w:themeColor="accent4"/>
          <w:left w:val="nil"/>
          <w:bottom w:val="single" w:sz="8" w:space="0" w:color="89C3B2" w:themeColor="accent4"/>
          <w:right w:val="nil"/>
          <w:insideH w:val="nil"/>
          <w:insideV w:val="nil"/>
        </w:tcBorders>
      </w:tcPr>
    </w:tblStylePr>
    <w:tblStylePr w:type="lastRow">
      <w:pPr>
        <w:spacing w:before="0" w:after="0" w:line="240" w:lineRule="auto"/>
      </w:pPr>
      <w:rPr>
        <w:b/>
        <w:bCs/>
      </w:rPr>
      <w:tblPr/>
      <w:tcPr>
        <w:tcBorders>
          <w:top w:val="single" w:sz="8" w:space="0" w:color="89C3B2" w:themeColor="accent4"/>
          <w:left w:val="nil"/>
          <w:bottom w:val="single" w:sz="8" w:space="0" w:color="89C3B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0EB" w:themeFill="accent4" w:themeFillTint="3F"/>
      </w:tcPr>
    </w:tblStylePr>
    <w:tblStylePr w:type="band1Horz">
      <w:tblPr/>
      <w:tcPr>
        <w:tcBorders>
          <w:left w:val="nil"/>
          <w:right w:val="nil"/>
          <w:insideH w:val="nil"/>
          <w:insideV w:val="nil"/>
        </w:tcBorders>
        <w:shd w:val="clear" w:color="auto" w:fill="E1F0EB" w:themeFill="accent4" w:themeFillTint="3F"/>
      </w:tcPr>
    </w:tblStylePr>
  </w:style>
  <w:style w:type="table" w:styleId="LightShading-Accent5">
    <w:name w:val="Light Shading Accent 5"/>
    <w:basedOn w:val="TableNormal"/>
    <w:uiPriority w:val="60"/>
    <w:locked/>
    <w:rsid w:val="00670869"/>
    <w:pPr>
      <w:spacing w:after="0"/>
    </w:pPr>
    <w:rPr>
      <w:color w:val="9FA6A4" w:themeColor="accent5" w:themeShade="BF"/>
    </w:rPr>
    <w:tblPr>
      <w:tblStyleRowBandSize w:val="1"/>
      <w:tblStyleColBandSize w:val="1"/>
      <w:tblBorders>
        <w:top w:val="single" w:sz="8" w:space="0" w:color="D8DBDA" w:themeColor="accent5"/>
        <w:bottom w:val="single" w:sz="8" w:space="0" w:color="D8DBDA" w:themeColor="accent5"/>
      </w:tblBorders>
    </w:tblPr>
    <w:tblStylePr w:type="firstRow">
      <w:pPr>
        <w:spacing w:before="0" w:after="0" w:line="240" w:lineRule="auto"/>
      </w:pPr>
      <w:rPr>
        <w:b/>
        <w:bCs/>
      </w:rPr>
      <w:tblPr/>
      <w:tcPr>
        <w:tcBorders>
          <w:top w:val="single" w:sz="8" w:space="0" w:color="D8DBDA" w:themeColor="accent5"/>
          <w:left w:val="nil"/>
          <w:bottom w:val="single" w:sz="8" w:space="0" w:color="D8DBDA" w:themeColor="accent5"/>
          <w:right w:val="nil"/>
          <w:insideH w:val="nil"/>
          <w:insideV w:val="nil"/>
        </w:tcBorders>
      </w:tcPr>
    </w:tblStylePr>
    <w:tblStylePr w:type="lastRow">
      <w:pPr>
        <w:spacing w:before="0" w:after="0" w:line="240" w:lineRule="auto"/>
      </w:pPr>
      <w:rPr>
        <w:b/>
        <w:bCs/>
      </w:rPr>
      <w:tblPr/>
      <w:tcPr>
        <w:tcBorders>
          <w:top w:val="single" w:sz="8" w:space="0" w:color="D8DBDA" w:themeColor="accent5"/>
          <w:left w:val="nil"/>
          <w:bottom w:val="single" w:sz="8" w:space="0" w:color="D8DB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6F5" w:themeFill="accent5" w:themeFillTint="3F"/>
      </w:tcPr>
    </w:tblStylePr>
    <w:tblStylePr w:type="band1Horz">
      <w:tblPr/>
      <w:tcPr>
        <w:tcBorders>
          <w:left w:val="nil"/>
          <w:right w:val="nil"/>
          <w:insideH w:val="nil"/>
          <w:insideV w:val="nil"/>
        </w:tcBorders>
        <w:shd w:val="clear" w:color="auto" w:fill="F5F6F5" w:themeFill="accent5" w:themeFillTint="3F"/>
      </w:tcPr>
    </w:tblStylePr>
  </w:style>
  <w:style w:type="table" w:styleId="LightShading-Accent6">
    <w:name w:val="Light Shading Accent 6"/>
    <w:basedOn w:val="TableNormal"/>
    <w:uiPriority w:val="60"/>
    <w:locked/>
    <w:rsid w:val="00670869"/>
    <w:pPr>
      <w:spacing w:after="0"/>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locked/>
    <w:rsid w:val="00670869"/>
    <w:rPr>
      <w:noProof w:val="0"/>
      <w:lang w:val="en-AU"/>
    </w:rPr>
  </w:style>
  <w:style w:type="paragraph" w:styleId="List">
    <w:name w:val="List"/>
    <w:basedOn w:val="Normal"/>
    <w:uiPriority w:val="99"/>
    <w:semiHidden/>
    <w:unhideWhenUsed/>
    <w:locked/>
    <w:rsid w:val="00670869"/>
    <w:pPr>
      <w:ind w:left="283" w:hanging="283"/>
      <w:contextualSpacing/>
    </w:pPr>
  </w:style>
  <w:style w:type="paragraph" w:styleId="List2">
    <w:name w:val="List 2"/>
    <w:basedOn w:val="Normal"/>
    <w:uiPriority w:val="99"/>
    <w:semiHidden/>
    <w:unhideWhenUsed/>
    <w:locked/>
    <w:rsid w:val="00670869"/>
    <w:pPr>
      <w:ind w:left="566" w:hanging="283"/>
      <w:contextualSpacing/>
    </w:pPr>
  </w:style>
  <w:style w:type="paragraph" w:styleId="List3">
    <w:name w:val="List 3"/>
    <w:basedOn w:val="Normal"/>
    <w:uiPriority w:val="99"/>
    <w:semiHidden/>
    <w:unhideWhenUsed/>
    <w:locked/>
    <w:rsid w:val="00670869"/>
    <w:pPr>
      <w:ind w:left="849" w:hanging="283"/>
      <w:contextualSpacing/>
    </w:pPr>
  </w:style>
  <w:style w:type="paragraph" w:styleId="List4">
    <w:name w:val="List 4"/>
    <w:basedOn w:val="Normal"/>
    <w:uiPriority w:val="99"/>
    <w:semiHidden/>
    <w:unhideWhenUsed/>
    <w:locked/>
    <w:rsid w:val="00670869"/>
    <w:pPr>
      <w:ind w:left="1132" w:hanging="283"/>
      <w:contextualSpacing/>
    </w:pPr>
  </w:style>
  <w:style w:type="paragraph" w:styleId="List5">
    <w:name w:val="List 5"/>
    <w:basedOn w:val="Normal"/>
    <w:uiPriority w:val="99"/>
    <w:semiHidden/>
    <w:unhideWhenUsed/>
    <w:locked/>
    <w:rsid w:val="00670869"/>
    <w:pPr>
      <w:ind w:left="1415" w:hanging="283"/>
      <w:contextualSpacing/>
    </w:pPr>
  </w:style>
  <w:style w:type="paragraph" w:styleId="ListBullet5">
    <w:name w:val="List Bullet 5"/>
    <w:basedOn w:val="Normal"/>
    <w:uiPriority w:val="99"/>
    <w:semiHidden/>
    <w:locked/>
    <w:rsid w:val="00670869"/>
    <w:pPr>
      <w:numPr>
        <w:numId w:val="2"/>
      </w:numPr>
      <w:contextualSpacing/>
    </w:pPr>
  </w:style>
  <w:style w:type="paragraph" w:styleId="ListContinue">
    <w:name w:val="List Continue"/>
    <w:aliases w:val="Table List 1)"/>
    <w:basedOn w:val="Normal"/>
    <w:uiPriority w:val="17"/>
    <w:locked/>
    <w:rsid w:val="00670869"/>
    <w:pPr>
      <w:numPr>
        <w:numId w:val="34"/>
      </w:numPr>
      <w:contextualSpacing/>
    </w:pPr>
  </w:style>
  <w:style w:type="paragraph" w:styleId="ListContinue2">
    <w:name w:val="List Continue 2"/>
    <w:aliases w:val="Table List a)"/>
    <w:basedOn w:val="Normal"/>
    <w:uiPriority w:val="17"/>
    <w:locked/>
    <w:rsid w:val="00670869"/>
    <w:pPr>
      <w:numPr>
        <w:ilvl w:val="1"/>
        <w:numId w:val="34"/>
      </w:numPr>
      <w:contextualSpacing/>
    </w:pPr>
  </w:style>
  <w:style w:type="paragraph" w:styleId="ListContinue3">
    <w:name w:val="List Continue 3"/>
    <w:basedOn w:val="Normal"/>
    <w:uiPriority w:val="17"/>
    <w:semiHidden/>
    <w:locked/>
    <w:rsid w:val="00670869"/>
    <w:pPr>
      <w:ind w:left="849"/>
      <w:contextualSpacing/>
    </w:pPr>
  </w:style>
  <w:style w:type="paragraph" w:styleId="ListContinue4">
    <w:name w:val="List Continue 4"/>
    <w:basedOn w:val="Normal"/>
    <w:uiPriority w:val="17"/>
    <w:semiHidden/>
    <w:unhideWhenUsed/>
    <w:locked/>
    <w:rsid w:val="00670869"/>
    <w:pPr>
      <w:ind w:left="1132"/>
      <w:contextualSpacing/>
    </w:pPr>
  </w:style>
  <w:style w:type="paragraph" w:styleId="ListContinue5">
    <w:name w:val="List Continue 5"/>
    <w:basedOn w:val="Normal"/>
    <w:uiPriority w:val="17"/>
    <w:semiHidden/>
    <w:unhideWhenUsed/>
    <w:locked/>
    <w:rsid w:val="00670869"/>
    <w:pPr>
      <w:ind w:left="1415"/>
      <w:contextualSpacing/>
    </w:pPr>
  </w:style>
  <w:style w:type="paragraph" w:styleId="ListNumber5">
    <w:name w:val="List Number 5"/>
    <w:basedOn w:val="Normal"/>
    <w:uiPriority w:val="99"/>
    <w:semiHidden/>
    <w:locked/>
    <w:rsid w:val="00670869"/>
    <w:pPr>
      <w:numPr>
        <w:numId w:val="3"/>
      </w:numPr>
      <w:contextualSpacing/>
    </w:pPr>
  </w:style>
  <w:style w:type="paragraph" w:styleId="ListParagraph">
    <w:name w:val="List Paragraph"/>
    <w:uiPriority w:val="16"/>
    <w:qFormat/>
    <w:locked/>
    <w:rsid w:val="00F973BE"/>
    <w:pPr>
      <w:tabs>
        <w:tab w:val="left" w:pos="357"/>
      </w:tabs>
      <w:ind w:left="357"/>
    </w:pPr>
  </w:style>
  <w:style w:type="paragraph" w:styleId="MacroText">
    <w:name w:val="macro"/>
    <w:link w:val="MacroTextChar"/>
    <w:uiPriority w:val="99"/>
    <w:semiHidden/>
    <w:unhideWhenUsed/>
    <w:locked/>
    <w:rsid w:val="0067086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70869"/>
    <w:rPr>
      <w:rFonts w:ascii="Consolas" w:hAnsi="Consolas"/>
    </w:rPr>
  </w:style>
  <w:style w:type="table" w:styleId="MediumGrid1">
    <w:name w:val="Medium Grid 1"/>
    <w:basedOn w:val="TableNormal"/>
    <w:uiPriority w:val="67"/>
    <w:locked/>
    <w:rsid w:val="00670869"/>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670869"/>
    <w:pPr>
      <w:spacing w:after="0"/>
    </w:pPr>
    <w:tblPr>
      <w:tblStyleRowBandSize w:val="1"/>
      <w:tblStyleColBandSize w:val="1"/>
      <w:tbl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single" w:sz="8" w:space="0" w:color="00CFE6" w:themeColor="accent1" w:themeTint="BF"/>
        <w:insideV w:val="single" w:sz="8" w:space="0" w:color="00CFE6" w:themeColor="accent1" w:themeTint="BF"/>
      </w:tblBorders>
    </w:tblPr>
    <w:tcPr>
      <w:shd w:val="clear" w:color="auto" w:fill="A2F5FF" w:themeFill="accent1" w:themeFillTint="3F"/>
    </w:tcPr>
    <w:tblStylePr w:type="firstRow">
      <w:rPr>
        <w:b/>
        <w:bCs/>
      </w:rPr>
    </w:tblStylePr>
    <w:tblStylePr w:type="lastRow">
      <w:rPr>
        <w:b/>
        <w:bCs/>
      </w:rPr>
      <w:tblPr/>
      <w:tcPr>
        <w:tcBorders>
          <w:top w:val="single" w:sz="18" w:space="0" w:color="00CFE6" w:themeColor="accent1" w:themeTint="BF"/>
        </w:tcBorders>
      </w:tcPr>
    </w:tblStylePr>
    <w:tblStylePr w:type="firstCol">
      <w:rPr>
        <w:b/>
        <w:bCs/>
      </w:rPr>
    </w:tblStylePr>
    <w:tblStylePr w:type="lastCol">
      <w:rPr>
        <w:b/>
        <w:bCs/>
      </w:rPr>
    </w:tblStylePr>
    <w:tblStylePr w:type="band1Vert">
      <w:tblPr/>
      <w:tcPr>
        <w:shd w:val="clear" w:color="auto" w:fill="45ECFF" w:themeFill="accent1" w:themeFillTint="7F"/>
      </w:tcPr>
    </w:tblStylePr>
    <w:tblStylePr w:type="band1Horz">
      <w:tblPr/>
      <w:tcPr>
        <w:shd w:val="clear" w:color="auto" w:fill="45ECFF" w:themeFill="accent1" w:themeFillTint="7F"/>
      </w:tcPr>
    </w:tblStylePr>
  </w:style>
  <w:style w:type="table" w:styleId="MediumGrid1-Accent2">
    <w:name w:val="Medium Grid 1 Accent 2"/>
    <w:basedOn w:val="TableNormal"/>
    <w:uiPriority w:val="67"/>
    <w:locked/>
    <w:rsid w:val="00670869"/>
    <w:pPr>
      <w:spacing w:after="0"/>
    </w:pPr>
    <w:tblPr>
      <w:tblStyleRowBandSize w:val="1"/>
      <w:tblStyleColBandSize w:val="1"/>
      <w:tbl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single" w:sz="8" w:space="0" w:color="D47C54" w:themeColor="accent2" w:themeTint="BF"/>
        <w:insideV w:val="single" w:sz="8" w:space="0" w:color="D47C54" w:themeColor="accent2" w:themeTint="BF"/>
      </w:tblBorders>
    </w:tblPr>
    <w:tcPr>
      <w:shd w:val="clear" w:color="auto" w:fill="F1D3C6" w:themeFill="accent2" w:themeFillTint="3F"/>
    </w:tcPr>
    <w:tblStylePr w:type="firstRow">
      <w:rPr>
        <w:b/>
        <w:bCs/>
      </w:rPr>
    </w:tblStylePr>
    <w:tblStylePr w:type="lastRow">
      <w:rPr>
        <w:b/>
        <w:bCs/>
      </w:rPr>
      <w:tblPr/>
      <w:tcPr>
        <w:tcBorders>
          <w:top w:val="single" w:sz="18" w:space="0" w:color="D47C54" w:themeColor="accent2" w:themeTint="BF"/>
        </w:tcBorders>
      </w:tcPr>
    </w:tblStylePr>
    <w:tblStylePr w:type="firstCol">
      <w:rPr>
        <w:b/>
        <w:bCs/>
      </w:rPr>
    </w:tblStylePr>
    <w:tblStylePr w:type="lastCol">
      <w:rPr>
        <w:b/>
        <w:bCs/>
      </w:rPr>
    </w:tblStylePr>
    <w:tblStylePr w:type="band1Vert">
      <w:tblPr/>
      <w:tcPr>
        <w:shd w:val="clear" w:color="auto" w:fill="E2A88D" w:themeFill="accent2" w:themeFillTint="7F"/>
      </w:tcPr>
    </w:tblStylePr>
    <w:tblStylePr w:type="band1Horz">
      <w:tblPr/>
      <w:tcPr>
        <w:shd w:val="clear" w:color="auto" w:fill="E2A88D" w:themeFill="accent2" w:themeFillTint="7F"/>
      </w:tcPr>
    </w:tblStylePr>
  </w:style>
  <w:style w:type="table" w:styleId="MediumGrid1-Accent3">
    <w:name w:val="Medium Grid 1 Accent 3"/>
    <w:basedOn w:val="TableNormal"/>
    <w:uiPriority w:val="67"/>
    <w:locked/>
    <w:rsid w:val="00670869"/>
    <w:pPr>
      <w:spacing w:after="0"/>
    </w:pPr>
    <w:tblPr>
      <w:tblStyleRowBandSize w:val="1"/>
      <w:tblStyleColBandSize w:val="1"/>
      <w:tbl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single" w:sz="8" w:space="0" w:color="00CFE6" w:themeColor="accent3" w:themeTint="BF"/>
        <w:insideV w:val="single" w:sz="8" w:space="0" w:color="00CFE6" w:themeColor="accent3" w:themeTint="BF"/>
      </w:tblBorders>
    </w:tblPr>
    <w:tcPr>
      <w:shd w:val="clear" w:color="auto" w:fill="A2F5FF" w:themeFill="accent3" w:themeFillTint="3F"/>
    </w:tcPr>
    <w:tblStylePr w:type="firstRow">
      <w:rPr>
        <w:b/>
        <w:bCs/>
      </w:rPr>
    </w:tblStylePr>
    <w:tblStylePr w:type="lastRow">
      <w:rPr>
        <w:b/>
        <w:bCs/>
      </w:rPr>
      <w:tblPr/>
      <w:tcPr>
        <w:tcBorders>
          <w:top w:val="single" w:sz="18" w:space="0" w:color="00CFE6" w:themeColor="accent3" w:themeTint="BF"/>
        </w:tcBorders>
      </w:tcPr>
    </w:tblStylePr>
    <w:tblStylePr w:type="firstCol">
      <w:rPr>
        <w:b/>
        <w:bCs/>
      </w:rPr>
    </w:tblStylePr>
    <w:tblStylePr w:type="lastCol">
      <w:rPr>
        <w:b/>
        <w:bCs/>
      </w:rPr>
    </w:tblStylePr>
    <w:tblStylePr w:type="band1Vert">
      <w:tblPr/>
      <w:tcPr>
        <w:shd w:val="clear" w:color="auto" w:fill="45ECFF" w:themeFill="accent3" w:themeFillTint="7F"/>
      </w:tcPr>
    </w:tblStylePr>
    <w:tblStylePr w:type="band1Horz">
      <w:tblPr/>
      <w:tcPr>
        <w:shd w:val="clear" w:color="auto" w:fill="45ECFF" w:themeFill="accent3" w:themeFillTint="7F"/>
      </w:tcPr>
    </w:tblStylePr>
  </w:style>
  <w:style w:type="table" w:styleId="MediumGrid1-Accent4">
    <w:name w:val="Medium Grid 1 Accent 4"/>
    <w:basedOn w:val="TableNormal"/>
    <w:uiPriority w:val="67"/>
    <w:locked/>
    <w:rsid w:val="00670869"/>
    <w:pPr>
      <w:spacing w:after="0"/>
    </w:pPr>
    <w:tblPr>
      <w:tblStyleRowBandSize w:val="1"/>
      <w:tblStyleColBandSize w:val="1"/>
      <w:tbl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single" w:sz="8" w:space="0" w:color="A6D2C5" w:themeColor="accent4" w:themeTint="BF"/>
        <w:insideV w:val="single" w:sz="8" w:space="0" w:color="A6D2C5" w:themeColor="accent4" w:themeTint="BF"/>
      </w:tblBorders>
    </w:tblPr>
    <w:tcPr>
      <w:shd w:val="clear" w:color="auto" w:fill="E1F0EB" w:themeFill="accent4" w:themeFillTint="3F"/>
    </w:tcPr>
    <w:tblStylePr w:type="firstRow">
      <w:rPr>
        <w:b/>
        <w:bCs/>
      </w:rPr>
    </w:tblStylePr>
    <w:tblStylePr w:type="lastRow">
      <w:rPr>
        <w:b/>
        <w:bCs/>
      </w:rPr>
      <w:tblPr/>
      <w:tcPr>
        <w:tcBorders>
          <w:top w:val="single" w:sz="18" w:space="0" w:color="A6D2C5" w:themeColor="accent4" w:themeTint="BF"/>
        </w:tcBorders>
      </w:tcPr>
    </w:tblStylePr>
    <w:tblStylePr w:type="firstCol">
      <w:rPr>
        <w:b/>
        <w:bCs/>
      </w:rPr>
    </w:tblStylePr>
    <w:tblStylePr w:type="lastCol">
      <w:rPr>
        <w:b/>
        <w:bCs/>
      </w:rPr>
    </w:tblStylePr>
    <w:tblStylePr w:type="band1Vert">
      <w:tblPr/>
      <w:tcPr>
        <w:shd w:val="clear" w:color="auto" w:fill="C4E1D8" w:themeFill="accent4" w:themeFillTint="7F"/>
      </w:tcPr>
    </w:tblStylePr>
    <w:tblStylePr w:type="band1Horz">
      <w:tblPr/>
      <w:tcPr>
        <w:shd w:val="clear" w:color="auto" w:fill="C4E1D8" w:themeFill="accent4" w:themeFillTint="7F"/>
      </w:tcPr>
    </w:tblStylePr>
  </w:style>
  <w:style w:type="table" w:styleId="MediumGrid1-Accent5">
    <w:name w:val="Medium Grid 1 Accent 5"/>
    <w:basedOn w:val="TableNormal"/>
    <w:uiPriority w:val="67"/>
    <w:locked/>
    <w:rsid w:val="00670869"/>
    <w:pPr>
      <w:spacing w:after="0"/>
    </w:pPr>
    <w:tblPr>
      <w:tblStyleRowBandSize w:val="1"/>
      <w:tblStyleColBandSize w:val="1"/>
      <w:tbl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single" w:sz="8" w:space="0" w:color="E1E4E3" w:themeColor="accent5" w:themeTint="BF"/>
        <w:insideV w:val="single" w:sz="8" w:space="0" w:color="E1E4E3" w:themeColor="accent5" w:themeTint="BF"/>
      </w:tblBorders>
    </w:tblPr>
    <w:tcPr>
      <w:shd w:val="clear" w:color="auto" w:fill="F5F6F5" w:themeFill="accent5" w:themeFillTint="3F"/>
    </w:tcPr>
    <w:tblStylePr w:type="firstRow">
      <w:rPr>
        <w:b/>
        <w:bCs/>
      </w:rPr>
    </w:tblStylePr>
    <w:tblStylePr w:type="lastRow">
      <w:rPr>
        <w:b/>
        <w:bCs/>
      </w:rPr>
      <w:tblPr/>
      <w:tcPr>
        <w:tcBorders>
          <w:top w:val="single" w:sz="18" w:space="0" w:color="E1E4E3" w:themeColor="accent5" w:themeTint="BF"/>
        </w:tcBorders>
      </w:tcPr>
    </w:tblStylePr>
    <w:tblStylePr w:type="firstCol">
      <w:rPr>
        <w:b/>
        <w:bCs/>
      </w:rPr>
    </w:tblStylePr>
    <w:tblStylePr w:type="lastCol">
      <w:rPr>
        <w:b/>
        <w:bCs/>
      </w:rPr>
    </w:tblStylePr>
    <w:tblStylePr w:type="band1Vert">
      <w:tblPr/>
      <w:tcPr>
        <w:shd w:val="clear" w:color="auto" w:fill="EBEDEC" w:themeFill="accent5" w:themeFillTint="7F"/>
      </w:tcPr>
    </w:tblStylePr>
    <w:tblStylePr w:type="band1Horz">
      <w:tblPr/>
      <w:tcPr>
        <w:shd w:val="clear" w:color="auto" w:fill="EBEDEC" w:themeFill="accent5" w:themeFillTint="7F"/>
      </w:tcPr>
    </w:tblStylePr>
  </w:style>
  <w:style w:type="table" w:styleId="MediumGrid1-Accent6">
    <w:name w:val="Medium Grid 1 Accent 6"/>
    <w:basedOn w:val="TableNormal"/>
    <w:uiPriority w:val="67"/>
    <w:locked/>
    <w:rsid w:val="00670869"/>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locked/>
    <w:rsid w:val="00670869"/>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670869"/>
    <w:pPr>
      <w:spacing w:after="0"/>
    </w:pPr>
    <w:rPr>
      <w:rFonts w:asciiTheme="majorHAnsi" w:eastAsiaTheme="majorEastAsia" w:hAnsiTheme="majorHAnsi" w:cstheme="majorBidi"/>
    </w:r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insideH w:val="single" w:sz="8" w:space="0" w:color="007C89" w:themeColor="accent1"/>
        <w:insideV w:val="single" w:sz="8" w:space="0" w:color="007C89" w:themeColor="accent1"/>
      </w:tblBorders>
    </w:tblPr>
    <w:tcPr>
      <w:shd w:val="clear" w:color="auto" w:fill="A2F5FF" w:themeFill="accent1" w:themeFillTint="3F"/>
    </w:tcPr>
    <w:tblStylePr w:type="firstRow">
      <w:rPr>
        <w:b/>
        <w:bCs/>
        <w:color w:val="000000" w:themeColor="text1"/>
      </w:rPr>
      <w:tblPr/>
      <w:tcPr>
        <w:shd w:val="clear" w:color="auto" w:fill="DAF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7FF" w:themeFill="accent1" w:themeFillTint="33"/>
      </w:tcPr>
    </w:tblStylePr>
    <w:tblStylePr w:type="band1Vert">
      <w:tblPr/>
      <w:tcPr>
        <w:shd w:val="clear" w:color="auto" w:fill="45ECFF" w:themeFill="accent1" w:themeFillTint="7F"/>
      </w:tcPr>
    </w:tblStylePr>
    <w:tblStylePr w:type="band1Horz">
      <w:tblPr/>
      <w:tcPr>
        <w:tcBorders>
          <w:insideH w:val="single" w:sz="6" w:space="0" w:color="007C89" w:themeColor="accent1"/>
          <w:insideV w:val="single" w:sz="6" w:space="0" w:color="007C89" w:themeColor="accent1"/>
        </w:tcBorders>
        <w:shd w:val="clear" w:color="auto" w:fill="45E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670869"/>
    <w:pPr>
      <w:spacing w:after="0"/>
    </w:pPr>
    <w:rPr>
      <w:rFonts w:asciiTheme="majorHAnsi" w:eastAsiaTheme="majorEastAsia" w:hAnsiTheme="majorHAnsi" w:cstheme="majorBidi"/>
    </w:r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insideH w:val="single" w:sz="8" w:space="0" w:color="B5582D" w:themeColor="accent2"/>
        <w:insideV w:val="single" w:sz="8" w:space="0" w:color="B5582D" w:themeColor="accent2"/>
      </w:tblBorders>
    </w:tblPr>
    <w:tcPr>
      <w:shd w:val="clear" w:color="auto" w:fill="F1D3C6" w:themeFill="accent2" w:themeFillTint="3F"/>
    </w:tcPr>
    <w:tblStylePr w:type="firstRow">
      <w:rPr>
        <w:b/>
        <w:bCs/>
        <w:color w:val="000000" w:themeColor="text1"/>
      </w:rPr>
      <w:tblPr/>
      <w:tcPr>
        <w:shd w:val="clear" w:color="auto" w:fill="F9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CD1" w:themeFill="accent2" w:themeFillTint="33"/>
      </w:tcPr>
    </w:tblStylePr>
    <w:tblStylePr w:type="band1Vert">
      <w:tblPr/>
      <w:tcPr>
        <w:shd w:val="clear" w:color="auto" w:fill="E2A88D" w:themeFill="accent2" w:themeFillTint="7F"/>
      </w:tcPr>
    </w:tblStylePr>
    <w:tblStylePr w:type="band1Horz">
      <w:tblPr/>
      <w:tcPr>
        <w:tcBorders>
          <w:insideH w:val="single" w:sz="6" w:space="0" w:color="B5582D" w:themeColor="accent2"/>
          <w:insideV w:val="single" w:sz="6" w:space="0" w:color="B5582D" w:themeColor="accent2"/>
        </w:tcBorders>
        <w:shd w:val="clear" w:color="auto" w:fill="E2A8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670869"/>
    <w:pPr>
      <w:spacing w:after="0"/>
    </w:pPr>
    <w:rPr>
      <w:rFonts w:asciiTheme="majorHAnsi" w:eastAsiaTheme="majorEastAsia" w:hAnsiTheme="majorHAnsi" w:cstheme="majorBidi"/>
    </w:r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insideH w:val="single" w:sz="8" w:space="0" w:color="007C89" w:themeColor="accent3"/>
        <w:insideV w:val="single" w:sz="8" w:space="0" w:color="007C89" w:themeColor="accent3"/>
      </w:tblBorders>
    </w:tblPr>
    <w:tcPr>
      <w:shd w:val="clear" w:color="auto" w:fill="A2F5FF" w:themeFill="accent3" w:themeFillTint="3F"/>
    </w:tcPr>
    <w:tblStylePr w:type="firstRow">
      <w:rPr>
        <w:b/>
        <w:bCs/>
        <w:color w:val="000000" w:themeColor="text1"/>
      </w:rPr>
      <w:tblPr/>
      <w:tcPr>
        <w:shd w:val="clear" w:color="auto" w:fill="DAFB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7FF" w:themeFill="accent3" w:themeFillTint="33"/>
      </w:tcPr>
    </w:tblStylePr>
    <w:tblStylePr w:type="band1Vert">
      <w:tblPr/>
      <w:tcPr>
        <w:shd w:val="clear" w:color="auto" w:fill="45ECFF" w:themeFill="accent3" w:themeFillTint="7F"/>
      </w:tcPr>
    </w:tblStylePr>
    <w:tblStylePr w:type="band1Horz">
      <w:tblPr/>
      <w:tcPr>
        <w:tcBorders>
          <w:insideH w:val="single" w:sz="6" w:space="0" w:color="007C89" w:themeColor="accent3"/>
          <w:insideV w:val="single" w:sz="6" w:space="0" w:color="007C89" w:themeColor="accent3"/>
        </w:tcBorders>
        <w:shd w:val="clear" w:color="auto" w:fill="45E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670869"/>
    <w:pPr>
      <w:spacing w:after="0"/>
    </w:pPr>
    <w:rPr>
      <w:rFonts w:asciiTheme="majorHAnsi" w:eastAsiaTheme="majorEastAsia" w:hAnsiTheme="majorHAnsi" w:cstheme="majorBidi"/>
    </w:r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insideH w:val="single" w:sz="8" w:space="0" w:color="89C3B2" w:themeColor="accent4"/>
        <w:insideV w:val="single" w:sz="8" w:space="0" w:color="89C3B2" w:themeColor="accent4"/>
      </w:tblBorders>
    </w:tblPr>
    <w:tcPr>
      <w:shd w:val="clear" w:color="auto" w:fill="E1F0EB" w:themeFill="accent4" w:themeFillTint="3F"/>
    </w:tcPr>
    <w:tblStylePr w:type="firstRow">
      <w:rPr>
        <w:b/>
        <w:bCs/>
        <w:color w:val="000000" w:themeColor="text1"/>
      </w:rPr>
      <w:tblPr/>
      <w:tcPr>
        <w:shd w:val="clear" w:color="auto" w:fill="F3F9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3EF" w:themeFill="accent4" w:themeFillTint="33"/>
      </w:tcPr>
    </w:tblStylePr>
    <w:tblStylePr w:type="band1Vert">
      <w:tblPr/>
      <w:tcPr>
        <w:shd w:val="clear" w:color="auto" w:fill="C4E1D8" w:themeFill="accent4" w:themeFillTint="7F"/>
      </w:tcPr>
    </w:tblStylePr>
    <w:tblStylePr w:type="band1Horz">
      <w:tblPr/>
      <w:tcPr>
        <w:tcBorders>
          <w:insideH w:val="single" w:sz="6" w:space="0" w:color="89C3B2" w:themeColor="accent4"/>
          <w:insideV w:val="single" w:sz="6" w:space="0" w:color="89C3B2" w:themeColor="accent4"/>
        </w:tcBorders>
        <w:shd w:val="clear" w:color="auto" w:fill="C4E1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670869"/>
    <w:pPr>
      <w:spacing w:after="0"/>
    </w:pPr>
    <w:rPr>
      <w:rFonts w:asciiTheme="majorHAnsi" w:eastAsiaTheme="majorEastAsia" w:hAnsiTheme="majorHAnsi" w:cstheme="majorBidi"/>
    </w:r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insideH w:val="single" w:sz="8" w:space="0" w:color="D8DBDA" w:themeColor="accent5"/>
        <w:insideV w:val="single" w:sz="8" w:space="0" w:color="D8DBDA" w:themeColor="accent5"/>
      </w:tblBorders>
    </w:tblPr>
    <w:tcPr>
      <w:shd w:val="clear" w:color="auto" w:fill="F5F6F5" w:themeFill="accent5" w:themeFillTint="3F"/>
    </w:tcPr>
    <w:tblStylePr w:type="firstRow">
      <w:rPr>
        <w:b/>
        <w:bCs/>
        <w:color w:val="000000" w:themeColor="text1"/>
      </w:rPr>
      <w:tblPr/>
      <w:tcPr>
        <w:shd w:val="clear" w:color="auto" w:fill="FB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5" w:themeFillTint="33"/>
      </w:tcPr>
    </w:tblStylePr>
    <w:tblStylePr w:type="band1Vert">
      <w:tblPr/>
      <w:tcPr>
        <w:shd w:val="clear" w:color="auto" w:fill="EBEDEC" w:themeFill="accent5" w:themeFillTint="7F"/>
      </w:tcPr>
    </w:tblStylePr>
    <w:tblStylePr w:type="band1Horz">
      <w:tblPr/>
      <w:tcPr>
        <w:tcBorders>
          <w:insideH w:val="single" w:sz="6" w:space="0" w:color="D8DBDA" w:themeColor="accent5"/>
          <w:insideV w:val="single" w:sz="6" w:space="0" w:color="D8DBDA" w:themeColor="accent5"/>
        </w:tcBorders>
        <w:shd w:val="clear" w:color="auto" w:fill="EBEDE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670869"/>
    <w:pPr>
      <w:spacing w:after="0"/>
    </w:pPr>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6708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6708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8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8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8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8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E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ECFF" w:themeFill="accent1" w:themeFillTint="7F"/>
      </w:tcPr>
    </w:tblStylePr>
  </w:style>
  <w:style w:type="table" w:styleId="MediumGrid3-Accent2">
    <w:name w:val="Medium Grid 3 Accent 2"/>
    <w:basedOn w:val="TableNormal"/>
    <w:uiPriority w:val="69"/>
    <w:locked/>
    <w:rsid w:val="006708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582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582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582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582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8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88D" w:themeFill="accent2" w:themeFillTint="7F"/>
      </w:tcPr>
    </w:tblStylePr>
  </w:style>
  <w:style w:type="table" w:styleId="MediumGrid3-Accent3">
    <w:name w:val="Medium Grid 3 Accent 3"/>
    <w:basedOn w:val="TableNormal"/>
    <w:uiPriority w:val="69"/>
    <w:locked/>
    <w:rsid w:val="006708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8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8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8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8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E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ECFF" w:themeFill="accent3" w:themeFillTint="7F"/>
      </w:tcPr>
    </w:tblStylePr>
  </w:style>
  <w:style w:type="table" w:styleId="MediumGrid3-Accent4">
    <w:name w:val="Medium Grid 3 Accent 4"/>
    <w:basedOn w:val="TableNormal"/>
    <w:uiPriority w:val="69"/>
    <w:locked/>
    <w:rsid w:val="006708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0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C3B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C3B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C3B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C3B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1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1D8" w:themeFill="accent4" w:themeFillTint="7F"/>
      </w:tcPr>
    </w:tblStylePr>
  </w:style>
  <w:style w:type="table" w:styleId="MediumGrid3-Accent5">
    <w:name w:val="Medium Grid 3 Accent 5"/>
    <w:basedOn w:val="TableNormal"/>
    <w:uiPriority w:val="69"/>
    <w:locked/>
    <w:rsid w:val="006708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6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B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B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B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B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D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DEC" w:themeFill="accent5" w:themeFillTint="7F"/>
      </w:tcPr>
    </w:tblStylePr>
  </w:style>
  <w:style w:type="table" w:styleId="MediumGrid3-Accent6">
    <w:name w:val="Medium Grid 3 Accent 6"/>
    <w:basedOn w:val="TableNormal"/>
    <w:uiPriority w:val="69"/>
    <w:locked/>
    <w:rsid w:val="00670869"/>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locked/>
    <w:rsid w:val="00670869"/>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8586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670869"/>
    <w:pPr>
      <w:spacing w:after="0"/>
    </w:pPr>
    <w:tblPr>
      <w:tblStyleRowBandSize w:val="1"/>
      <w:tblStyleColBandSize w:val="1"/>
      <w:tblBorders>
        <w:top w:val="single" w:sz="8" w:space="0" w:color="007C89" w:themeColor="accent1"/>
        <w:bottom w:val="single" w:sz="8" w:space="0" w:color="007C89" w:themeColor="accent1"/>
      </w:tblBorders>
    </w:tblPr>
    <w:tblStylePr w:type="firstRow">
      <w:rPr>
        <w:rFonts w:asciiTheme="majorHAnsi" w:eastAsiaTheme="majorEastAsia" w:hAnsiTheme="majorHAnsi" w:cstheme="majorBidi"/>
      </w:rPr>
      <w:tblPr/>
      <w:tcPr>
        <w:tcBorders>
          <w:top w:val="nil"/>
          <w:bottom w:val="single" w:sz="8" w:space="0" w:color="007C89" w:themeColor="accent1"/>
        </w:tcBorders>
      </w:tcPr>
    </w:tblStylePr>
    <w:tblStylePr w:type="lastRow">
      <w:rPr>
        <w:b/>
        <w:bCs/>
        <w:color w:val="485865" w:themeColor="text2"/>
      </w:rPr>
      <w:tblPr/>
      <w:tcPr>
        <w:tcBorders>
          <w:top w:val="single" w:sz="8" w:space="0" w:color="007C89" w:themeColor="accent1"/>
          <w:bottom w:val="single" w:sz="8" w:space="0" w:color="007C89" w:themeColor="accent1"/>
        </w:tcBorders>
      </w:tcPr>
    </w:tblStylePr>
    <w:tblStylePr w:type="firstCol">
      <w:rPr>
        <w:b/>
        <w:bCs/>
      </w:rPr>
    </w:tblStylePr>
    <w:tblStylePr w:type="lastCol">
      <w:rPr>
        <w:b/>
        <w:bCs/>
      </w:rPr>
      <w:tblPr/>
      <w:tcPr>
        <w:tcBorders>
          <w:top w:val="single" w:sz="8" w:space="0" w:color="007C89" w:themeColor="accent1"/>
          <w:bottom w:val="single" w:sz="8" w:space="0" w:color="007C89" w:themeColor="accent1"/>
        </w:tcBorders>
      </w:tcPr>
    </w:tblStylePr>
    <w:tblStylePr w:type="band1Vert">
      <w:tblPr/>
      <w:tcPr>
        <w:shd w:val="clear" w:color="auto" w:fill="A2F5FF" w:themeFill="accent1" w:themeFillTint="3F"/>
      </w:tcPr>
    </w:tblStylePr>
    <w:tblStylePr w:type="band1Horz">
      <w:tblPr/>
      <w:tcPr>
        <w:shd w:val="clear" w:color="auto" w:fill="A2F5FF" w:themeFill="accent1" w:themeFillTint="3F"/>
      </w:tcPr>
    </w:tblStylePr>
  </w:style>
  <w:style w:type="table" w:styleId="MediumList1-Accent2">
    <w:name w:val="Medium List 1 Accent 2"/>
    <w:basedOn w:val="TableNormal"/>
    <w:uiPriority w:val="65"/>
    <w:locked/>
    <w:rsid w:val="00670869"/>
    <w:pPr>
      <w:spacing w:after="0"/>
    </w:pPr>
    <w:tblPr>
      <w:tblStyleRowBandSize w:val="1"/>
      <w:tblStyleColBandSize w:val="1"/>
      <w:tblBorders>
        <w:top w:val="single" w:sz="8" w:space="0" w:color="B5582D" w:themeColor="accent2"/>
        <w:bottom w:val="single" w:sz="8" w:space="0" w:color="B5582D" w:themeColor="accent2"/>
      </w:tblBorders>
    </w:tblPr>
    <w:tblStylePr w:type="firstRow">
      <w:rPr>
        <w:rFonts w:asciiTheme="majorHAnsi" w:eastAsiaTheme="majorEastAsia" w:hAnsiTheme="majorHAnsi" w:cstheme="majorBidi"/>
      </w:rPr>
      <w:tblPr/>
      <w:tcPr>
        <w:tcBorders>
          <w:top w:val="nil"/>
          <w:bottom w:val="single" w:sz="8" w:space="0" w:color="B5582D" w:themeColor="accent2"/>
        </w:tcBorders>
      </w:tcPr>
    </w:tblStylePr>
    <w:tblStylePr w:type="lastRow">
      <w:rPr>
        <w:b/>
        <w:bCs/>
        <w:color w:val="485865" w:themeColor="text2"/>
      </w:rPr>
      <w:tblPr/>
      <w:tcPr>
        <w:tcBorders>
          <w:top w:val="single" w:sz="8" w:space="0" w:color="B5582D" w:themeColor="accent2"/>
          <w:bottom w:val="single" w:sz="8" w:space="0" w:color="B5582D" w:themeColor="accent2"/>
        </w:tcBorders>
      </w:tcPr>
    </w:tblStylePr>
    <w:tblStylePr w:type="firstCol">
      <w:rPr>
        <w:b/>
        <w:bCs/>
      </w:rPr>
    </w:tblStylePr>
    <w:tblStylePr w:type="lastCol">
      <w:rPr>
        <w:b/>
        <w:bCs/>
      </w:rPr>
      <w:tblPr/>
      <w:tcPr>
        <w:tcBorders>
          <w:top w:val="single" w:sz="8" w:space="0" w:color="B5582D" w:themeColor="accent2"/>
          <w:bottom w:val="single" w:sz="8" w:space="0" w:color="B5582D" w:themeColor="accent2"/>
        </w:tcBorders>
      </w:tcPr>
    </w:tblStylePr>
    <w:tblStylePr w:type="band1Vert">
      <w:tblPr/>
      <w:tcPr>
        <w:shd w:val="clear" w:color="auto" w:fill="F1D3C6" w:themeFill="accent2" w:themeFillTint="3F"/>
      </w:tcPr>
    </w:tblStylePr>
    <w:tblStylePr w:type="band1Horz">
      <w:tblPr/>
      <w:tcPr>
        <w:shd w:val="clear" w:color="auto" w:fill="F1D3C6" w:themeFill="accent2" w:themeFillTint="3F"/>
      </w:tcPr>
    </w:tblStylePr>
  </w:style>
  <w:style w:type="table" w:styleId="MediumList1-Accent3">
    <w:name w:val="Medium List 1 Accent 3"/>
    <w:basedOn w:val="TableNormal"/>
    <w:uiPriority w:val="65"/>
    <w:locked/>
    <w:rsid w:val="00670869"/>
    <w:pPr>
      <w:spacing w:after="0"/>
    </w:pPr>
    <w:tblPr>
      <w:tblStyleRowBandSize w:val="1"/>
      <w:tblStyleColBandSize w:val="1"/>
      <w:tblBorders>
        <w:top w:val="single" w:sz="8" w:space="0" w:color="007C89" w:themeColor="accent3"/>
        <w:bottom w:val="single" w:sz="8" w:space="0" w:color="007C89" w:themeColor="accent3"/>
      </w:tblBorders>
    </w:tblPr>
    <w:tblStylePr w:type="firstRow">
      <w:rPr>
        <w:rFonts w:asciiTheme="majorHAnsi" w:eastAsiaTheme="majorEastAsia" w:hAnsiTheme="majorHAnsi" w:cstheme="majorBidi"/>
      </w:rPr>
      <w:tblPr/>
      <w:tcPr>
        <w:tcBorders>
          <w:top w:val="nil"/>
          <w:bottom w:val="single" w:sz="8" w:space="0" w:color="007C89" w:themeColor="accent3"/>
        </w:tcBorders>
      </w:tcPr>
    </w:tblStylePr>
    <w:tblStylePr w:type="lastRow">
      <w:rPr>
        <w:b/>
        <w:bCs/>
        <w:color w:val="485865" w:themeColor="text2"/>
      </w:rPr>
      <w:tblPr/>
      <w:tcPr>
        <w:tcBorders>
          <w:top w:val="single" w:sz="8" w:space="0" w:color="007C89" w:themeColor="accent3"/>
          <w:bottom w:val="single" w:sz="8" w:space="0" w:color="007C89" w:themeColor="accent3"/>
        </w:tcBorders>
      </w:tcPr>
    </w:tblStylePr>
    <w:tblStylePr w:type="firstCol">
      <w:rPr>
        <w:b/>
        <w:bCs/>
      </w:rPr>
    </w:tblStylePr>
    <w:tblStylePr w:type="lastCol">
      <w:rPr>
        <w:b/>
        <w:bCs/>
      </w:rPr>
      <w:tblPr/>
      <w:tcPr>
        <w:tcBorders>
          <w:top w:val="single" w:sz="8" w:space="0" w:color="007C89" w:themeColor="accent3"/>
          <w:bottom w:val="single" w:sz="8" w:space="0" w:color="007C89" w:themeColor="accent3"/>
        </w:tcBorders>
      </w:tcPr>
    </w:tblStylePr>
    <w:tblStylePr w:type="band1Vert">
      <w:tblPr/>
      <w:tcPr>
        <w:shd w:val="clear" w:color="auto" w:fill="A2F5FF" w:themeFill="accent3" w:themeFillTint="3F"/>
      </w:tcPr>
    </w:tblStylePr>
    <w:tblStylePr w:type="band1Horz">
      <w:tblPr/>
      <w:tcPr>
        <w:shd w:val="clear" w:color="auto" w:fill="A2F5FF" w:themeFill="accent3" w:themeFillTint="3F"/>
      </w:tcPr>
    </w:tblStylePr>
  </w:style>
  <w:style w:type="table" w:styleId="MediumList1-Accent4">
    <w:name w:val="Medium List 1 Accent 4"/>
    <w:basedOn w:val="TableNormal"/>
    <w:uiPriority w:val="65"/>
    <w:locked/>
    <w:rsid w:val="00670869"/>
    <w:pPr>
      <w:spacing w:after="0"/>
    </w:pPr>
    <w:tblPr>
      <w:tblStyleRowBandSize w:val="1"/>
      <w:tblStyleColBandSize w:val="1"/>
      <w:tblBorders>
        <w:top w:val="single" w:sz="8" w:space="0" w:color="89C3B2" w:themeColor="accent4"/>
        <w:bottom w:val="single" w:sz="8" w:space="0" w:color="89C3B2" w:themeColor="accent4"/>
      </w:tblBorders>
    </w:tblPr>
    <w:tblStylePr w:type="firstRow">
      <w:rPr>
        <w:rFonts w:asciiTheme="majorHAnsi" w:eastAsiaTheme="majorEastAsia" w:hAnsiTheme="majorHAnsi" w:cstheme="majorBidi"/>
      </w:rPr>
      <w:tblPr/>
      <w:tcPr>
        <w:tcBorders>
          <w:top w:val="nil"/>
          <w:bottom w:val="single" w:sz="8" w:space="0" w:color="89C3B2" w:themeColor="accent4"/>
        </w:tcBorders>
      </w:tcPr>
    </w:tblStylePr>
    <w:tblStylePr w:type="lastRow">
      <w:rPr>
        <w:b/>
        <w:bCs/>
        <w:color w:val="485865" w:themeColor="text2"/>
      </w:rPr>
      <w:tblPr/>
      <w:tcPr>
        <w:tcBorders>
          <w:top w:val="single" w:sz="8" w:space="0" w:color="89C3B2" w:themeColor="accent4"/>
          <w:bottom w:val="single" w:sz="8" w:space="0" w:color="89C3B2" w:themeColor="accent4"/>
        </w:tcBorders>
      </w:tcPr>
    </w:tblStylePr>
    <w:tblStylePr w:type="firstCol">
      <w:rPr>
        <w:b/>
        <w:bCs/>
      </w:rPr>
    </w:tblStylePr>
    <w:tblStylePr w:type="lastCol">
      <w:rPr>
        <w:b/>
        <w:bCs/>
      </w:rPr>
      <w:tblPr/>
      <w:tcPr>
        <w:tcBorders>
          <w:top w:val="single" w:sz="8" w:space="0" w:color="89C3B2" w:themeColor="accent4"/>
          <w:bottom w:val="single" w:sz="8" w:space="0" w:color="89C3B2" w:themeColor="accent4"/>
        </w:tcBorders>
      </w:tcPr>
    </w:tblStylePr>
    <w:tblStylePr w:type="band1Vert">
      <w:tblPr/>
      <w:tcPr>
        <w:shd w:val="clear" w:color="auto" w:fill="E1F0EB" w:themeFill="accent4" w:themeFillTint="3F"/>
      </w:tcPr>
    </w:tblStylePr>
    <w:tblStylePr w:type="band1Horz">
      <w:tblPr/>
      <w:tcPr>
        <w:shd w:val="clear" w:color="auto" w:fill="E1F0EB" w:themeFill="accent4" w:themeFillTint="3F"/>
      </w:tcPr>
    </w:tblStylePr>
  </w:style>
  <w:style w:type="table" w:styleId="MediumList1-Accent5">
    <w:name w:val="Medium List 1 Accent 5"/>
    <w:basedOn w:val="TableNormal"/>
    <w:uiPriority w:val="65"/>
    <w:locked/>
    <w:rsid w:val="00670869"/>
    <w:pPr>
      <w:spacing w:after="0"/>
    </w:pPr>
    <w:tblPr>
      <w:tblStyleRowBandSize w:val="1"/>
      <w:tblStyleColBandSize w:val="1"/>
      <w:tblBorders>
        <w:top w:val="single" w:sz="8" w:space="0" w:color="D8DBDA" w:themeColor="accent5"/>
        <w:bottom w:val="single" w:sz="8" w:space="0" w:color="D8DBDA" w:themeColor="accent5"/>
      </w:tblBorders>
    </w:tblPr>
    <w:tblStylePr w:type="firstRow">
      <w:rPr>
        <w:rFonts w:asciiTheme="majorHAnsi" w:eastAsiaTheme="majorEastAsia" w:hAnsiTheme="majorHAnsi" w:cstheme="majorBidi"/>
      </w:rPr>
      <w:tblPr/>
      <w:tcPr>
        <w:tcBorders>
          <w:top w:val="nil"/>
          <w:bottom w:val="single" w:sz="8" w:space="0" w:color="D8DBDA" w:themeColor="accent5"/>
        </w:tcBorders>
      </w:tcPr>
    </w:tblStylePr>
    <w:tblStylePr w:type="lastRow">
      <w:rPr>
        <w:b/>
        <w:bCs/>
        <w:color w:val="485865" w:themeColor="text2"/>
      </w:rPr>
      <w:tblPr/>
      <w:tcPr>
        <w:tcBorders>
          <w:top w:val="single" w:sz="8" w:space="0" w:color="D8DBDA" w:themeColor="accent5"/>
          <w:bottom w:val="single" w:sz="8" w:space="0" w:color="D8DBDA" w:themeColor="accent5"/>
        </w:tcBorders>
      </w:tcPr>
    </w:tblStylePr>
    <w:tblStylePr w:type="firstCol">
      <w:rPr>
        <w:b/>
        <w:bCs/>
      </w:rPr>
    </w:tblStylePr>
    <w:tblStylePr w:type="lastCol">
      <w:rPr>
        <w:b/>
        <w:bCs/>
      </w:rPr>
      <w:tblPr/>
      <w:tcPr>
        <w:tcBorders>
          <w:top w:val="single" w:sz="8" w:space="0" w:color="D8DBDA" w:themeColor="accent5"/>
          <w:bottom w:val="single" w:sz="8" w:space="0" w:color="D8DBDA" w:themeColor="accent5"/>
        </w:tcBorders>
      </w:tcPr>
    </w:tblStylePr>
    <w:tblStylePr w:type="band1Vert">
      <w:tblPr/>
      <w:tcPr>
        <w:shd w:val="clear" w:color="auto" w:fill="F5F6F5" w:themeFill="accent5" w:themeFillTint="3F"/>
      </w:tcPr>
    </w:tblStylePr>
    <w:tblStylePr w:type="band1Horz">
      <w:tblPr/>
      <w:tcPr>
        <w:shd w:val="clear" w:color="auto" w:fill="F5F6F5" w:themeFill="accent5" w:themeFillTint="3F"/>
      </w:tcPr>
    </w:tblStylePr>
  </w:style>
  <w:style w:type="table" w:styleId="MediumList1-Accent6">
    <w:name w:val="Medium List 1 Accent 6"/>
    <w:basedOn w:val="TableNormal"/>
    <w:uiPriority w:val="65"/>
    <w:locked/>
    <w:rsid w:val="00670869"/>
    <w:pPr>
      <w:spacing w:after="0"/>
    </w:p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85865"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locked/>
    <w:rsid w:val="00670869"/>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670869"/>
    <w:pPr>
      <w:spacing w:after="0"/>
    </w:pPr>
    <w:rPr>
      <w:rFonts w:asciiTheme="majorHAnsi" w:eastAsiaTheme="majorEastAsia" w:hAnsiTheme="majorHAnsi" w:cstheme="majorBidi"/>
    </w:r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tblBorders>
    </w:tblPr>
    <w:tblStylePr w:type="firstRow">
      <w:rPr>
        <w:sz w:val="24"/>
        <w:szCs w:val="24"/>
      </w:rPr>
      <w:tblPr/>
      <w:tcPr>
        <w:tcBorders>
          <w:top w:val="nil"/>
          <w:left w:val="nil"/>
          <w:bottom w:val="single" w:sz="24" w:space="0" w:color="007C89" w:themeColor="accent1"/>
          <w:right w:val="nil"/>
          <w:insideH w:val="nil"/>
          <w:insideV w:val="nil"/>
        </w:tcBorders>
        <w:shd w:val="clear" w:color="auto" w:fill="FFFFFF" w:themeFill="background1"/>
      </w:tcPr>
    </w:tblStylePr>
    <w:tblStylePr w:type="lastRow">
      <w:tblPr/>
      <w:tcPr>
        <w:tcBorders>
          <w:top w:val="single" w:sz="8" w:space="0" w:color="007C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C89" w:themeColor="accent1"/>
          <w:insideH w:val="nil"/>
          <w:insideV w:val="nil"/>
        </w:tcBorders>
        <w:shd w:val="clear" w:color="auto" w:fill="FFFFFF" w:themeFill="background1"/>
      </w:tcPr>
    </w:tblStylePr>
    <w:tblStylePr w:type="lastCol">
      <w:tblPr/>
      <w:tcPr>
        <w:tcBorders>
          <w:top w:val="nil"/>
          <w:left w:val="single" w:sz="8" w:space="0" w:color="007C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5FF" w:themeFill="accent1" w:themeFillTint="3F"/>
      </w:tcPr>
    </w:tblStylePr>
    <w:tblStylePr w:type="band1Horz">
      <w:tblPr/>
      <w:tcPr>
        <w:tcBorders>
          <w:top w:val="nil"/>
          <w:bottom w:val="nil"/>
          <w:insideH w:val="nil"/>
          <w:insideV w:val="nil"/>
        </w:tcBorders>
        <w:shd w:val="clear" w:color="auto" w:fill="A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670869"/>
    <w:pPr>
      <w:spacing w:after="0"/>
    </w:pPr>
    <w:rPr>
      <w:rFonts w:asciiTheme="majorHAnsi" w:eastAsiaTheme="majorEastAsia" w:hAnsiTheme="majorHAnsi" w:cstheme="majorBidi"/>
    </w:r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tblBorders>
    </w:tblPr>
    <w:tblStylePr w:type="firstRow">
      <w:rPr>
        <w:sz w:val="24"/>
        <w:szCs w:val="24"/>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tblPr/>
      <w:tcPr>
        <w:tcBorders>
          <w:top w:val="single" w:sz="8" w:space="0" w:color="B5582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582D" w:themeColor="accent2"/>
          <w:insideH w:val="nil"/>
          <w:insideV w:val="nil"/>
        </w:tcBorders>
        <w:shd w:val="clear" w:color="auto" w:fill="FFFFFF" w:themeFill="background1"/>
      </w:tcPr>
    </w:tblStylePr>
    <w:tblStylePr w:type="lastCol">
      <w:tblPr/>
      <w:tcPr>
        <w:tcBorders>
          <w:top w:val="nil"/>
          <w:left w:val="single" w:sz="8" w:space="0" w:color="B5582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3C6" w:themeFill="accent2" w:themeFillTint="3F"/>
      </w:tcPr>
    </w:tblStylePr>
    <w:tblStylePr w:type="band1Horz">
      <w:tblPr/>
      <w:tcPr>
        <w:tcBorders>
          <w:top w:val="nil"/>
          <w:bottom w:val="nil"/>
          <w:insideH w:val="nil"/>
          <w:insideV w:val="nil"/>
        </w:tcBorders>
        <w:shd w:val="clear" w:color="auto" w:fill="F1D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670869"/>
    <w:pPr>
      <w:spacing w:after="0"/>
    </w:pPr>
    <w:rPr>
      <w:rFonts w:asciiTheme="majorHAnsi" w:eastAsiaTheme="majorEastAsia" w:hAnsiTheme="majorHAnsi" w:cstheme="majorBidi"/>
    </w:r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tblBorders>
    </w:tblPr>
    <w:tblStylePr w:type="firstRow">
      <w:rPr>
        <w:sz w:val="24"/>
        <w:szCs w:val="24"/>
      </w:rPr>
      <w:tblPr/>
      <w:tcPr>
        <w:tcBorders>
          <w:top w:val="nil"/>
          <w:left w:val="nil"/>
          <w:bottom w:val="single" w:sz="24" w:space="0" w:color="007C89" w:themeColor="accent3"/>
          <w:right w:val="nil"/>
          <w:insideH w:val="nil"/>
          <w:insideV w:val="nil"/>
        </w:tcBorders>
        <w:shd w:val="clear" w:color="auto" w:fill="FFFFFF" w:themeFill="background1"/>
      </w:tcPr>
    </w:tblStylePr>
    <w:tblStylePr w:type="lastRow">
      <w:tblPr/>
      <w:tcPr>
        <w:tcBorders>
          <w:top w:val="single" w:sz="8" w:space="0" w:color="007C8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C89" w:themeColor="accent3"/>
          <w:insideH w:val="nil"/>
          <w:insideV w:val="nil"/>
        </w:tcBorders>
        <w:shd w:val="clear" w:color="auto" w:fill="FFFFFF" w:themeFill="background1"/>
      </w:tcPr>
    </w:tblStylePr>
    <w:tblStylePr w:type="lastCol">
      <w:tblPr/>
      <w:tcPr>
        <w:tcBorders>
          <w:top w:val="nil"/>
          <w:left w:val="single" w:sz="8" w:space="0" w:color="007C8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5FF" w:themeFill="accent3" w:themeFillTint="3F"/>
      </w:tcPr>
    </w:tblStylePr>
    <w:tblStylePr w:type="band1Horz">
      <w:tblPr/>
      <w:tcPr>
        <w:tcBorders>
          <w:top w:val="nil"/>
          <w:bottom w:val="nil"/>
          <w:insideH w:val="nil"/>
          <w:insideV w:val="nil"/>
        </w:tcBorders>
        <w:shd w:val="clear" w:color="auto" w:fill="A2F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670869"/>
    <w:pPr>
      <w:spacing w:after="0"/>
    </w:pPr>
    <w:rPr>
      <w:rFonts w:asciiTheme="majorHAnsi" w:eastAsiaTheme="majorEastAsia" w:hAnsiTheme="majorHAnsi" w:cstheme="majorBidi"/>
    </w:r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tblBorders>
    </w:tblPr>
    <w:tblStylePr w:type="firstRow">
      <w:rPr>
        <w:sz w:val="24"/>
        <w:szCs w:val="24"/>
      </w:rPr>
      <w:tblPr/>
      <w:tcPr>
        <w:tcBorders>
          <w:top w:val="nil"/>
          <w:left w:val="nil"/>
          <w:bottom w:val="single" w:sz="24" w:space="0" w:color="89C3B2" w:themeColor="accent4"/>
          <w:right w:val="nil"/>
          <w:insideH w:val="nil"/>
          <w:insideV w:val="nil"/>
        </w:tcBorders>
        <w:shd w:val="clear" w:color="auto" w:fill="FFFFFF" w:themeFill="background1"/>
      </w:tcPr>
    </w:tblStylePr>
    <w:tblStylePr w:type="lastRow">
      <w:tblPr/>
      <w:tcPr>
        <w:tcBorders>
          <w:top w:val="single" w:sz="8" w:space="0" w:color="89C3B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3B2" w:themeColor="accent4"/>
          <w:insideH w:val="nil"/>
          <w:insideV w:val="nil"/>
        </w:tcBorders>
        <w:shd w:val="clear" w:color="auto" w:fill="FFFFFF" w:themeFill="background1"/>
      </w:tcPr>
    </w:tblStylePr>
    <w:tblStylePr w:type="lastCol">
      <w:tblPr/>
      <w:tcPr>
        <w:tcBorders>
          <w:top w:val="nil"/>
          <w:left w:val="single" w:sz="8" w:space="0" w:color="89C3B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0EB" w:themeFill="accent4" w:themeFillTint="3F"/>
      </w:tcPr>
    </w:tblStylePr>
    <w:tblStylePr w:type="band1Horz">
      <w:tblPr/>
      <w:tcPr>
        <w:tcBorders>
          <w:top w:val="nil"/>
          <w:bottom w:val="nil"/>
          <w:insideH w:val="nil"/>
          <w:insideV w:val="nil"/>
        </w:tcBorders>
        <w:shd w:val="clear" w:color="auto" w:fill="E1F0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670869"/>
    <w:pPr>
      <w:spacing w:after="0"/>
    </w:pPr>
    <w:rPr>
      <w:rFonts w:asciiTheme="majorHAnsi" w:eastAsiaTheme="majorEastAsia" w:hAnsiTheme="majorHAnsi" w:cstheme="majorBidi"/>
    </w:r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tblBorders>
    </w:tblPr>
    <w:tblStylePr w:type="firstRow">
      <w:rPr>
        <w:sz w:val="24"/>
        <w:szCs w:val="24"/>
      </w:rPr>
      <w:tblPr/>
      <w:tcPr>
        <w:tcBorders>
          <w:top w:val="nil"/>
          <w:left w:val="nil"/>
          <w:bottom w:val="single" w:sz="24" w:space="0" w:color="D8DBDA" w:themeColor="accent5"/>
          <w:right w:val="nil"/>
          <w:insideH w:val="nil"/>
          <w:insideV w:val="nil"/>
        </w:tcBorders>
        <w:shd w:val="clear" w:color="auto" w:fill="FFFFFF" w:themeFill="background1"/>
      </w:tcPr>
    </w:tblStylePr>
    <w:tblStylePr w:type="lastRow">
      <w:tblPr/>
      <w:tcPr>
        <w:tcBorders>
          <w:top w:val="single" w:sz="8" w:space="0" w:color="D8DB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BDA" w:themeColor="accent5"/>
          <w:insideH w:val="nil"/>
          <w:insideV w:val="nil"/>
        </w:tcBorders>
        <w:shd w:val="clear" w:color="auto" w:fill="FFFFFF" w:themeFill="background1"/>
      </w:tcPr>
    </w:tblStylePr>
    <w:tblStylePr w:type="lastCol">
      <w:tblPr/>
      <w:tcPr>
        <w:tcBorders>
          <w:top w:val="nil"/>
          <w:left w:val="single" w:sz="8" w:space="0" w:color="D8DB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6F5" w:themeFill="accent5" w:themeFillTint="3F"/>
      </w:tcPr>
    </w:tblStylePr>
    <w:tblStylePr w:type="band1Horz">
      <w:tblPr/>
      <w:tcPr>
        <w:tcBorders>
          <w:top w:val="nil"/>
          <w:bottom w:val="nil"/>
          <w:insideH w:val="nil"/>
          <w:insideV w:val="nil"/>
        </w:tcBorders>
        <w:shd w:val="clear" w:color="auto" w:fill="F5F6F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670869"/>
    <w:pPr>
      <w:spacing w:after="0"/>
    </w:pPr>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670869"/>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670869"/>
    <w:pPr>
      <w:spacing w:after="0"/>
    </w:pPr>
    <w:tblPr>
      <w:tblStyleRowBandSize w:val="1"/>
      <w:tblStyleColBandSize w:val="1"/>
      <w:tbl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single" w:sz="8" w:space="0" w:color="00CFE6" w:themeColor="accent1" w:themeTint="BF"/>
      </w:tblBorders>
    </w:tblPr>
    <w:tblStylePr w:type="firstRow">
      <w:pPr>
        <w:spacing w:before="0" w:after="0" w:line="240" w:lineRule="auto"/>
      </w:pPr>
      <w:rPr>
        <w:b/>
        <w:bCs/>
        <w:color w:val="FFFFFF" w:themeColor="background1"/>
      </w:rPr>
      <w:tblPr/>
      <w:tcPr>
        <w:tc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nil"/>
          <w:insideV w:val="nil"/>
        </w:tcBorders>
        <w:shd w:val="clear" w:color="auto" w:fill="007C89" w:themeFill="accent1"/>
      </w:tcPr>
    </w:tblStylePr>
    <w:tblStylePr w:type="lastRow">
      <w:pPr>
        <w:spacing w:before="0" w:after="0" w:line="240" w:lineRule="auto"/>
      </w:pPr>
      <w:rPr>
        <w:b/>
        <w:bCs/>
      </w:rPr>
      <w:tblPr/>
      <w:tcPr>
        <w:tcBorders>
          <w:top w:val="double" w:sz="6"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5FF" w:themeFill="accent1" w:themeFillTint="3F"/>
      </w:tcPr>
    </w:tblStylePr>
    <w:tblStylePr w:type="band1Horz">
      <w:tblPr/>
      <w:tcPr>
        <w:tcBorders>
          <w:insideH w:val="nil"/>
          <w:insideV w:val="nil"/>
        </w:tcBorders>
        <w:shd w:val="clear" w:color="auto" w:fill="A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670869"/>
    <w:pPr>
      <w:spacing w:after="0"/>
    </w:pPr>
    <w:tblPr>
      <w:tblStyleRowBandSize w:val="1"/>
      <w:tblStyleColBandSize w:val="1"/>
      <w:tbl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single" w:sz="8" w:space="0" w:color="D47C54" w:themeColor="accent2" w:themeTint="BF"/>
      </w:tblBorders>
    </w:tblPr>
    <w:tblStylePr w:type="firstRow">
      <w:pPr>
        <w:spacing w:before="0" w:after="0" w:line="240" w:lineRule="auto"/>
      </w:pPr>
      <w:rPr>
        <w:b/>
        <w:bCs/>
        <w:color w:val="FFFFFF" w:themeColor="background1"/>
      </w:rPr>
      <w:tblPr/>
      <w:tcPr>
        <w:tc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nil"/>
          <w:insideV w:val="nil"/>
        </w:tcBorders>
        <w:shd w:val="clear" w:color="auto" w:fill="B5582D" w:themeFill="accent2"/>
      </w:tcPr>
    </w:tblStylePr>
    <w:tblStylePr w:type="lastRow">
      <w:pPr>
        <w:spacing w:before="0" w:after="0" w:line="240" w:lineRule="auto"/>
      </w:pPr>
      <w:rPr>
        <w:b/>
        <w:bCs/>
      </w:rPr>
      <w:tblPr/>
      <w:tcPr>
        <w:tcBorders>
          <w:top w:val="double" w:sz="6"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3C6" w:themeFill="accent2" w:themeFillTint="3F"/>
      </w:tcPr>
    </w:tblStylePr>
    <w:tblStylePr w:type="band1Horz">
      <w:tblPr/>
      <w:tcPr>
        <w:tcBorders>
          <w:insideH w:val="nil"/>
          <w:insideV w:val="nil"/>
        </w:tcBorders>
        <w:shd w:val="clear" w:color="auto" w:fill="F1D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670869"/>
    <w:pPr>
      <w:spacing w:after="0"/>
    </w:pPr>
    <w:tblPr>
      <w:tblStyleRowBandSize w:val="1"/>
      <w:tblStyleColBandSize w:val="1"/>
      <w:tbl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single" w:sz="8" w:space="0" w:color="00CFE6" w:themeColor="accent3" w:themeTint="BF"/>
      </w:tblBorders>
    </w:tblPr>
    <w:tblStylePr w:type="firstRow">
      <w:pPr>
        <w:spacing w:before="0" w:after="0" w:line="240" w:lineRule="auto"/>
      </w:pPr>
      <w:rPr>
        <w:b/>
        <w:bCs/>
        <w:color w:val="FFFFFF" w:themeColor="background1"/>
      </w:rPr>
      <w:tblPr/>
      <w:tcPr>
        <w:tc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nil"/>
          <w:insideV w:val="nil"/>
        </w:tcBorders>
        <w:shd w:val="clear" w:color="auto" w:fill="007C89" w:themeFill="accent3"/>
      </w:tcPr>
    </w:tblStylePr>
    <w:tblStylePr w:type="lastRow">
      <w:pPr>
        <w:spacing w:before="0" w:after="0" w:line="240" w:lineRule="auto"/>
      </w:pPr>
      <w:rPr>
        <w:b/>
        <w:bCs/>
      </w:rPr>
      <w:tblPr/>
      <w:tcPr>
        <w:tcBorders>
          <w:top w:val="double" w:sz="6"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nil"/>
          <w:insideV w:val="nil"/>
        </w:tcBorders>
      </w:tcPr>
    </w:tblStylePr>
    <w:tblStylePr w:type="firstCol">
      <w:rPr>
        <w:b/>
        <w:bCs/>
      </w:rPr>
    </w:tblStylePr>
    <w:tblStylePr w:type="lastCol">
      <w:rPr>
        <w:b/>
        <w:bCs/>
      </w:rPr>
    </w:tblStylePr>
    <w:tblStylePr w:type="band1Vert">
      <w:tblPr/>
      <w:tcPr>
        <w:shd w:val="clear" w:color="auto" w:fill="A2F5FF" w:themeFill="accent3" w:themeFillTint="3F"/>
      </w:tcPr>
    </w:tblStylePr>
    <w:tblStylePr w:type="band1Horz">
      <w:tblPr/>
      <w:tcPr>
        <w:tcBorders>
          <w:insideH w:val="nil"/>
          <w:insideV w:val="nil"/>
        </w:tcBorders>
        <w:shd w:val="clear" w:color="auto" w:fill="A2F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670869"/>
    <w:pPr>
      <w:spacing w:after="0"/>
    </w:pPr>
    <w:tblPr>
      <w:tblStyleRowBandSize w:val="1"/>
      <w:tblStyleColBandSize w:val="1"/>
      <w:tbl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single" w:sz="8" w:space="0" w:color="A6D2C5" w:themeColor="accent4" w:themeTint="BF"/>
      </w:tblBorders>
    </w:tblPr>
    <w:tblStylePr w:type="firstRow">
      <w:pPr>
        <w:spacing w:before="0" w:after="0" w:line="240" w:lineRule="auto"/>
      </w:pPr>
      <w:rPr>
        <w:b/>
        <w:bCs/>
        <w:color w:val="FFFFFF" w:themeColor="background1"/>
      </w:rPr>
      <w:tblPr/>
      <w:tcPr>
        <w:tc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nil"/>
          <w:insideV w:val="nil"/>
        </w:tcBorders>
        <w:shd w:val="clear" w:color="auto" w:fill="89C3B2" w:themeFill="accent4"/>
      </w:tcPr>
    </w:tblStylePr>
    <w:tblStylePr w:type="lastRow">
      <w:pPr>
        <w:spacing w:before="0" w:after="0" w:line="240" w:lineRule="auto"/>
      </w:pPr>
      <w:rPr>
        <w:b/>
        <w:bCs/>
      </w:rPr>
      <w:tblPr/>
      <w:tcPr>
        <w:tcBorders>
          <w:top w:val="double" w:sz="6"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1F0EB" w:themeFill="accent4" w:themeFillTint="3F"/>
      </w:tcPr>
    </w:tblStylePr>
    <w:tblStylePr w:type="band1Horz">
      <w:tblPr/>
      <w:tcPr>
        <w:tcBorders>
          <w:insideH w:val="nil"/>
          <w:insideV w:val="nil"/>
        </w:tcBorders>
        <w:shd w:val="clear" w:color="auto" w:fill="E1F0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670869"/>
    <w:pPr>
      <w:spacing w:after="0"/>
    </w:pPr>
    <w:tblPr>
      <w:tblStyleRowBandSize w:val="1"/>
      <w:tblStyleColBandSize w:val="1"/>
      <w:tbl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single" w:sz="8" w:space="0" w:color="E1E4E3" w:themeColor="accent5" w:themeTint="BF"/>
      </w:tblBorders>
    </w:tblPr>
    <w:tblStylePr w:type="firstRow">
      <w:pPr>
        <w:spacing w:before="0" w:after="0" w:line="240" w:lineRule="auto"/>
      </w:pPr>
      <w:rPr>
        <w:b/>
        <w:bCs/>
        <w:color w:val="FFFFFF" w:themeColor="background1"/>
      </w:rPr>
      <w:tblPr/>
      <w:tcPr>
        <w:tc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nil"/>
          <w:insideV w:val="nil"/>
        </w:tcBorders>
        <w:shd w:val="clear" w:color="auto" w:fill="D8DBDA" w:themeFill="accent5"/>
      </w:tcPr>
    </w:tblStylePr>
    <w:tblStylePr w:type="lastRow">
      <w:pPr>
        <w:spacing w:before="0" w:after="0" w:line="240" w:lineRule="auto"/>
      </w:pPr>
      <w:rPr>
        <w:b/>
        <w:bCs/>
      </w:rPr>
      <w:tblPr/>
      <w:tcPr>
        <w:tcBorders>
          <w:top w:val="double" w:sz="6"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6F5" w:themeFill="accent5" w:themeFillTint="3F"/>
      </w:tcPr>
    </w:tblStylePr>
    <w:tblStylePr w:type="band1Horz">
      <w:tblPr/>
      <w:tcPr>
        <w:tcBorders>
          <w:insideH w:val="nil"/>
          <w:insideV w:val="nil"/>
        </w:tcBorders>
        <w:shd w:val="clear" w:color="auto" w:fill="F5F6F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670869"/>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67086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67086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C8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C89" w:themeFill="accent1"/>
      </w:tcPr>
    </w:tblStylePr>
    <w:tblStylePr w:type="lastCol">
      <w:rPr>
        <w:b/>
        <w:bCs/>
        <w:color w:val="FFFFFF" w:themeColor="background1"/>
      </w:rPr>
      <w:tblPr/>
      <w:tcPr>
        <w:tcBorders>
          <w:left w:val="nil"/>
          <w:right w:val="nil"/>
          <w:insideH w:val="nil"/>
          <w:insideV w:val="nil"/>
        </w:tcBorders>
        <w:shd w:val="clear" w:color="auto" w:fill="007C8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67086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582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5582D" w:themeFill="accent2"/>
      </w:tcPr>
    </w:tblStylePr>
    <w:tblStylePr w:type="lastCol">
      <w:rPr>
        <w:b/>
        <w:bCs/>
        <w:color w:val="FFFFFF" w:themeColor="background1"/>
      </w:rPr>
      <w:tblPr/>
      <w:tcPr>
        <w:tcBorders>
          <w:left w:val="nil"/>
          <w:right w:val="nil"/>
          <w:insideH w:val="nil"/>
          <w:insideV w:val="nil"/>
        </w:tcBorders>
        <w:shd w:val="clear" w:color="auto" w:fill="B5582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67086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C8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C89" w:themeFill="accent3"/>
      </w:tcPr>
    </w:tblStylePr>
    <w:tblStylePr w:type="lastCol">
      <w:rPr>
        <w:b/>
        <w:bCs/>
        <w:color w:val="FFFFFF" w:themeColor="background1"/>
      </w:rPr>
      <w:tblPr/>
      <w:tcPr>
        <w:tcBorders>
          <w:left w:val="nil"/>
          <w:right w:val="nil"/>
          <w:insideH w:val="nil"/>
          <w:insideV w:val="nil"/>
        </w:tcBorders>
        <w:shd w:val="clear" w:color="auto" w:fill="007C8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67086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C3B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C3B2" w:themeFill="accent4"/>
      </w:tcPr>
    </w:tblStylePr>
    <w:tblStylePr w:type="lastCol">
      <w:rPr>
        <w:b/>
        <w:bCs/>
        <w:color w:val="FFFFFF" w:themeColor="background1"/>
      </w:rPr>
      <w:tblPr/>
      <w:tcPr>
        <w:tcBorders>
          <w:left w:val="nil"/>
          <w:right w:val="nil"/>
          <w:insideH w:val="nil"/>
          <w:insideV w:val="nil"/>
        </w:tcBorders>
        <w:shd w:val="clear" w:color="auto" w:fill="89C3B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67086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B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DBDA" w:themeFill="accent5"/>
      </w:tcPr>
    </w:tblStylePr>
    <w:tblStylePr w:type="lastCol">
      <w:rPr>
        <w:b/>
        <w:bCs/>
        <w:color w:val="FFFFFF" w:themeColor="background1"/>
      </w:rPr>
      <w:tblPr/>
      <w:tcPr>
        <w:tcBorders>
          <w:left w:val="nil"/>
          <w:right w:val="nil"/>
          <w:insideH w:val="nil"/>
          <w:insideV w:val="nil"/>
        </w:tcBorders>
        <w:shd w:val="clear" w:color="auto" w:fill="D8DB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670869"/>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6708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70869"/>
    <w:rPr>
      <w:rFonts w:asciiTheme="majorHAnsi" w:eastAsiaTheme="majorEastAsia" w:hAnsiTheme="majorHAnsi" w:cstheme="majorBidi"/>
      <w:shd w:val="pct20" w:color="auto" w:fill="auto"/>
    </w:rPr>
  </w:style>
  <w:style w:type="paragraph" w:styleId="NoSpacing">
    <w:name w:val="No Spacing"/>
    <w:link w:val="NoSpacingChar"/>
    <w:uiPriority w:val="1"/>
    <w:qFormat/>
    <w:rsid w:val="00670869"/>
    <w:pPr>
      <w:spacing w:after="0"/>
    </w:pPr>
  </w:style>
  <w:style w:type="paragraph" w:styleId="NormalWeb">
    <w:name w:val="Normal (Web)"/>
    <w:basedOn w:val="Normal"/>
    <w:uiPriority w:val="99"/>
    <w:semiHidden/>
    <w:unhideWhenUsed/>
    <w:rsid w:val="00670869"/>
    <w:rPr>
      <w:rFonts w:ascii="Times New Roman" w:hAnsi="Times New Roman" w:cs="Times New Roman"/>
    </w:rPr>
  </w:style>
  <w:style w:type="paragraph" w:styleId="NormalIndent">
    <w:name w:val="Normal Indent"/>
    <w:basedOn w:val="Normal"/>
    <w:uiPriority w:val="99"/>
    <w:semiHidden/>
    <w:unhideWhenUsed/>
    <w:locked/>
    <w:rsid w:val="00670869"/>
    <w:pPr>
      <w:ind w:left="720"/>
    </w:pPr>
  </w:style>
  <w:style w:type="paragraph" w:styleId="NoteHeading">
    <w:name w:val="Note Heading"/>
    <w:basedOn w:val="Normal"/>
    <w:next w:val="Normal"/>
    <w:link w:val="NoteHeadingChar"/>
    <w:uiPriority w:val="99"/>
    <w:semiHidden/>
    <w:unhideWhenUsed/>
    <w:locked/>
    <w:rsid w:val="00670869"/>
    <w:pPr>
      <w:spacing w:after="0"/>
    </w:pPr>
  </w:style>
  <w:style w:type="character" w:customStyle="1" w:styleId="NoteHeadingChar">
    <w:name w:val="Note Heading Char"/>
    <w:basedOn w:val="DefaultParagraphFont"/>
    <w:link w:val="NoteHeading"/>
    <w:uiPriority w:val="99"/>
    <w:semiHidden/>
    <w:rsid w:val="00670869"/>
  </w:style>
  <w:style w:type="character" w:styleId="PageNumber">
    <w:name w:val="page number"/>
    <w:basedOn w:val="DefaultParagraphFont"/>
    <w:uiPriority w:val="99"/>
    <w:semiHidden/>
    <w:unhideWhenUsed/>
    <w:locked/>
    <w:rsid w:val="00670869"/>
    <w:rPr>
      <w:noProof w:val="0"/>
      <w:lang w:val="en-AU"/>
    </w:rPr>
  </w:style>
  <w:style w:type="paragraph" w:styleId="PlainText">
    <w:name w:val="Plain Text"/>
    <w:basedOn w:val="Normal"/>
    <w:link w:val="PlainTextChar"/>
    <w:uiPriority w:val="99"/>
    <w:semiHidden/>
    <w:unhideWhenUsed/>
    <w:locked/>
    <w:rsid w:val="00670869"/>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670869"/>
    <w:rPr>
      <w:rFonts w:ascii="Consolas" w:hAnsi="Consolas"/>
      <w:sz w:val="21"/>
      <w:szCs w:val="21"/>
    </w:rPr>
  </w:style>
  <w:style w:type="paragraph" w:styleId="Quote">
    <w:name w:val="Quote"/>
    <w:basedOn w:val="Normal"/>
    <w:next w:val="Normal"/>
    <w:link w:val="QuoteChar"/>
    <w:uiPriority w:val="29"/>
    <w:qFormat/>
    <w:locked/>
    <w:rsid w:val="00670869"/>
    <w:rPr>
      <w:i/>
      <w:iCs/>
    </w:rPr>
  </w:style>
  <w:style w:type="character" w:customStyle="1" w:styleId="QuoteChar">
    <w:name w:val="Quote Char"/>
    <w:basedOn w:val="DefaultParagraphFont"/>
    <w:link w:val="Quote"/>
    <w:uiPriority w:val="29"/>
    <w:rsid w:val="00670869"/>
    <w:rPr>
      <w:i/>
      <w:iCs/>
    </w:rPr>
  </w:style>
  <w:style w:type="paragraph" w:styleId="Salutation">
    <w:name w:val="Salutation"/>
    <w:basedOn w:val="Normal"/>
    <w:next w:val="Normal"/>
    <w:link w:val="SalutationChar"/>
    <w:uiPriority w:val="99"/>
    <w:semiHidden/>
    <w:unhideWhenUsed/>
    <w:locked/>
    <w:rsid w:val="00670869"/>
  </w:style>
  <w:style w:type="character" w:customStyle="1" w:styleId="SalutationChar">
    <w:name w:val="Salutation Char"/>
    <w:basedOn w:val="DefaultParagraphFont"/>
    <w:link w:val="Salutation"/>
    <w:uiPriority w:val="99"/>
    <w:semiHidden/>
    <w:rsid w:val="00670869"/>
  </w:style>
  <w:style w:type="paragraph" w:styleId="Signature">
    <w:name w:val="Signature"/>
    <w:basedOn w:val="Normal"/>
    <w:link w:val="SignatureChar"/>
    <w:uiPriority w:val="99"/>
    <w:semiHidden/>
    <w:unhideWhenUsed/>
    <w:locked/>
    <w:rsid w:val="00670869"/>
    <w:pPr>
      <w:spacing w:after="0"/>
      <w:ind w:left="4252"/>
    </w:pPr>
  </w:style>
  <w:style w:type="character" w:customStyle="1" w:styleId="SignatureChar">
    <w:name w:val="Signature Char"/>
    <w:basedOn w:val="DefaultParagraphFont"/>
    <w:link w:val="Signature"/>
    <w:uiPriority w:val="99"/>
    <w:semiHidden/>
    <w:rsid w:val="00670869"/>
  </w:style>
  <w:style w:type="character" w:styleId="Strong">
    <w:name w:val="Strong"/>
    <w:basedOn w:val="DefaultParagraphFont"/>
    <w:uiPriority w:val="22"/>
    <w:qFormat/>
    <w:locked/>
    <w:rsid w:val="00670869"/>
    <w:rPr>
      <w:b/>
      <w:bCs/>
      <w:noProof w:val="0"/>
      <w:lang w:val="en-AU"/>
    </w:rPr>
  </w:style>
  <w:style w:type="paragraph" w:styleId="Subtitle">
    <w:name w:val="Subtitle"/>
    <w:basedOn w:val="Normal"/>
    <w:next w:val="Normal"/>
    <w:link w:val="SubtitleChar"/>
    <w:uiPriority w:val="11"/>
    <w:semiHidden/>
    <w:unhideWhenUsed/>
    <w:qFormat/>
    <w:locked/>
    <w:rsid w:val="00670869"/>
    <w:pPr>
      <w:tabs>
        <w:tab w:val="num" w:pos="357"/>
      </w:tabs>
      <w:ind w:left="357" w:hanging="357"/>
    </w:pPr>
    <w:rPr>
      <w:rFonts w:asciiTheme="majorHAnsi" w:eastAsiaTheme="majorEastAsia" w:hAnsiTheme="majorHAnsi" w:cstheme="majorBidi"/>
      <w:i/>
      <w:iCs/>
      <w:color w:val="007C89" w:themeColor="accent1"/>
      <w:spacing w:val="15"/>
    </w:rPr>
  </w:style>
  <w:style w:type="character" w:customStyle="1" w:styleId="SubtitleChar">
    <w:name w:val="Subtitle Char"/>
    <w:basedOn w:val="DefaultParagraphFont"/>
    <w:link w:val="Subtitle"/>
    <w:uiPriority w:val="11"/>
    <w:semiHidden/>
    <w:rsid w:val="00670869"/>
    <w:rPr>
      <w:rFonts w:asciiTheme="majorHAnsi" w:eastAsiaTheme="majorEastAsia" w:hAnsiTheme="majorHAnsi" w:cstheme="majorBidi"/>
      <w:i/>
      <w:iCs/>
      <w:color w:val="007C89" w:themeColor="accent1"/>
      <w:spacing w:val="15"/>
    </w:rPr>
  </w:style>
  <w:style w:type="character" w:styleId="SubtleEmphasis">
    <w:name w:val="Subtle Emphasis"/>
    <w:basedOn w:val="DefaultParagraphFont"/>
    <w:uiPriority w:val="19"/>
    <w:semiHidden/>
    <w:qFormat/>
    <w:locked/>
    <w:rsid w:val="00670869"/>
    <w:rPr>
      <w:i/>
      <w:iCs/>
      <w:noProof w:val="0"/>
      <w:color w:val="808080" w:themeColor="text1" w:themeTint="7F"/>
      <w:lang w:val="en-AU"/>
    </w:rPr>
  </w:style>
  <w:style w:type="character" w:styleId="SubtleReference">
    <w:name w:val="Subtle Reference"/>
    <w:basedOn w:val="DefaultParagraphFont"/>
    <w:uiPriority w:val="31"/>
    <w:semiHidden/>
    <w:qFormat/>
    <w:locked/>
    <w:rsid w:val="00670869"/>
    <w:rPr>
      <w:smallCaps/>
      <w:noProof w:val="0"/>
      <w:color w:val="B5582D" w:themeColor="accent2"/>
      <w:u w:val="single"/>
      <w:lang w:val="en-AU"/>
    </w:rPr>
  </w:style>
  <w:style w:type="table" w:styleId="Table3Deffects1">
    <w:name w:val="Table 3D effects 1"/>
    <w:basedOn w:val="TableNormal"/>
    <w:uiPriority w:val="99"/>
    <w:semiHidden/>
    <w:unhideWhenUsed/>
    <w:locked/>
    <w:rsid w:val="0067086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67086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67086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67086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67086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67086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67086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67086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67086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67086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67086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67086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67086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67086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67086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67086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67086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6708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67086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67086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67086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67086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67086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67086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67086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67086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67086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67086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67086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67086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67086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67086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67086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670869"/>
    <w:pPr>
      <w:spacing w:after="0"/>
      <w:ind w:left="190" w:hanging="190"/>
    </w:pPr>
  </w:style>
  <w:style w:type="paragraph" w:styleId="TableofFigures">
    <w:name w:val="table of figures"/>
    <w:basedOn w:val="Normal"/>
    <w:next w:val="Normal"/>
    <w:uiPriority w:val="99"/>
    <w:unhideWhenUsed/>
    <w:locked/>
    <w:rsid w:val="00670869"/>
    <w:pPr>
      <w:spacing w:after="0"/>
    </w:pPr>
    <w:rPr>
      <w:sz w:val="18"/>
    </w:rPr>
  </w:style>
  <w:style w:type="table" w:styleId="TableProfessional">
    <w:name w:val="Table Professional"/>
    <w:basedOn w:val="TableNormal"/>
    <w:uiPriority w:val="99"/>
    <w:semiHidden/>
    <w:unhideWhenUsed/>
    <w:locked/>
    <w:rsid w:val="0067086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67086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67086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67086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67086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67086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670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67086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67086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67086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670869"/>
    <w:rPr>
      <w:rFonts w:asciiTheme="majorHAnsi" w:eastAsiaTheme="majorEastAsia" w:hAnsiTheme="majorHAnsi" w:cstheme="majorBidi"/>
      <w:b/>
      <w:bCs/>
    </w:rPr>
  </w:style>
  <w:style w:type="paragraph" w:styleId="TOC2">
    <w:name w:val="toc 2"/>
    <w:basedOn w:val="Normal"/>
    <w:next w:val="Normal"/>
    <w:autoRedefine/>
    <w:uiPriority w:val="39"/>
    <w:rsid w:val="00670869"/>
    <w:pPr>
      <w:tabs>
        <w:tab w:val="right" w:leader="dot" w:pos="9639"/>
      </w:tabs>
      <w:contextualSpacing/>
    </w:pPr>
    <w:rPr>
      <w:sz w:val="18"/>
    </w:rPr>
  </w:style>
  <w:style w:type="paragraph" w:styleId="TOC3">
    <w:name w:val="toc 3"/>
    <w:basedOn w:val="Normal"/>
    <w:next w:val="Normal"/>
    <w:autoRedefine/>
    <w:uiPriority w:val="39"/>
    <w:semiHidden/>
    <w:rsid w:val="00670869"/>
    <w:pPr>
      <w:tabs>
        <w:tab w:val="right" w:leader="dot" w:pos="9639"/>
      </w:tabs>
      <w:contextualSpacing/>
    </w:pPr>
    <w:rPr>
      <w:sz w:val="18"/>
    </w:rPr>
  </w:style>
  <w:style w:type="paragraph" w:styleId="TOC4">
    <w:name w:val="toc 4"/>
    <w:basedOn w:val="Normal"/>
    <w:next w:val="Normal"/>
    <w:autoRedefine/>
    <w:uiPriority w:val="39"/>
    <w:semiHidden/>
    <w:unhideWhenUsed/>
    <w:locked/>
    <w:rsid w:val="00670869"/>
    <w:pPr>
      <w:spacing w:after="100"/>
      <w:ind w:left="570"/>
    </w:pPr>
  </w:style>
  <w:style w:type="paragraph" w:styleId="TOC5">
    <w:name w:val="toc 5"/>
    <w:basedOn w:val="Normal"/>
    <w:next w:val="Normal"/>
    <w:autoRedefine/>
    <w:uiPriority w:val="39"/>
    <w:semiHidden/>
    <w:unhideWhenUsed/>
    <w:locked/>
    <w:rsid w:val="00670869"/>
    <w:pPr>
      <w:spacing w:after="100"/>
      <w:ind w:left="760"/>
    </w:pPr>
  </w:style>
  <w:style w:type="paragraph" w:styleId="TOC6">
    <w:name w:val="toc 6"/>
    <w:basedOn w:val="Normal"/>
    <w:next w:val="Normal"/>
    <w:autoRedefine/>
    <w:uiPriority w:val="39"/>
    <w:semiHidden/>
    <w:unhideWhenUsed/>
    <w:locked/>
    <w:rsid w:val="00670869"/>
    <w:pPr>
      <w:spacing w:after="100"/>
      <w:ind w:left="950"/>
    </w:pPr>
  </w:style>
  <w:style w:type="paragraph" w:styleId="TOC7">
    <w:name w:val="toc 7"/>
    <w:basedOn w:val="Normal"/>
    <w:next w:val="Normal"/>
    <w:autoRedefine/>
    <w:uiPriority w:val="39"/>
    <w:semiHidden/>
    <w:unhideWhenUsed/>
    <w:locked/>
    <w:rsid w:val="00670869"/>
    <w:pPr>
      <w:spacing w:after="100"/>
      <w:ind w:left="1140"/>
    </w:pPr>
  </w:style>
  <w:style w:type="paragraph" w:styleId="TOC8">
    <w:name w:val="toc 8"/>
    <w:basedOn w:val="Normal"/>
    <w:next w:val="Normal"/>
    <w:autoRedefine/>
    <w:uiPriority w:val="39"/>
    <w:semiHidden/>
    <w:unhideWhenUsed/>
    <w:locked/>
    <w:rsid w:val="00670869"/>
    <w:pPr>
      <w:spacing w:after="100"/>
      <w:ind w:left="1330"/>
    </w:pPr>
  </w:style>
  <w:style w:type="paragraph" w:styleId="TOC9">
    <w:name w:val="toc 9"/>
    <w:basedOn w:val="Normal"/>
    <w:next w:val="Normal"/>
    <w:autoRedefine/>
    <w:uiPriority w:val="39"/>
    <w:semiHidden/>
    <w:unhideWhenUsed/>
    <w:locked/>
    <w:rsid w:val="00670869"/>
    <w:pPr>
      <w:spacing w:after="100"/>
      <w:ind w:left="1520"/>
    </w:pPr>
  </w:style>
  <w:style w:type="numbering" w:styleId="111111">
    <w:name w:val="Outline List 2"/>
    <w:basedOn w:val="NoList"/>
    <w:uiPriority w:val="99"/>
    <w:semiHidden/>
    <w:unhideWhenUsed/>
    <w:rsid w:val="00670869"/>
    <w:pPr>
      <w:numPr>
        <w:numId w:val="5"/>
      </w:numPr>
    </w:pPr>
  </w:style>
  <w:style w:type="paragraph" w:customStyle="1" w:styleId="Introduction">
    <w:name w:val="Introduction"/>
    <w:basedOn w:val="Normal"/>
    <w:uiPriority w:val="11"/>
    <w:qFormat/>
    <w:rsid w:val="00670869"/>
    <w:pPr>
      <w:spacing w:after="240"/>
    </w:pPr>
    <w:rPr>
      <w:b/>
      <w:color w:val="485865" w:themeColor="text2"/>
    </w:rPr>
  </w:style>
  <w:style w:type="table" w:styleId="TableGridLight">
    <w:name w:val="Grid Table Light"/>
    <w:basedOn w:val="TableNormal"/>
    <w:uiPriority w:val="40"/>
    <w:rsid w:val="00670869"/>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670869"/>
    <w:pPr>
      <w:numPr>
        <w:numId w:val="4"/>
      </w:numPr>
    </w:pPr>
  </w:style>
  <w:style w:type="paragraph" w:customStyle="1" w:styleId="AnnexHeading">
    <w:name w:val="Annex Heading"/>
    <w:basedOn w:val="Heading1"/>
    <w:next w:val="Normal"/>
    <w:uiPriority w:val="10"/>
    <w:qFormat/>
    <w:rsid w:val="00670869"/>
    <w:pPr>
      <w:numPr>
        <w:numId w:val="4"/>
      </w:numPr>
    </w:pPr>
  </w:style>
  <w:style w:type="paragraph" w:customStyle="1" w:styleId="AnnexSubHeading">
    <w:name w:val="Annex Sub Heading"/>
    <w:basedOn w:val="Heading2"/>
    <w:next w:val="Normal"/>
    <w:uiPriority w:val="10"/>
    <w:qFormat/>
    <w:rsid w:val="00670869"/>
    <w:pPr>
      <w:numPr>
        <w:numId w:val="4"/>
      </w:numPr>
    </w:pPr>
  </w:style>
  <w:style w:type="paragraph" w:customStyle="1" w:styleId="Heading1NoNumber">
    <w:name w:val="Heading 1 No Number"/>
    <w:basedOn w:val="Heading1"/>
    <w:next w:val="Normal"/>
    <w:uiPriority w:val="9"/>
    <w:qFormat/>
    <w:rsid w:val="00670869"/>
    <w:pPr>
      <w:numPr>
        <w:numId w:val="0"/>
      </w:numPr>
    </w:pPr>
  </w:style>
  <w:style w:type="paragraph" w:customStyle="1" w:styleId="Heading2NoTOC">
    <w:name w:val="Heading 2 No TOC"/>
    <w:basedOn w:val="Heading2"/>
    <w:next w:val="Normal"/>
    <w:uiPriority w:val="99"/>
    <w:qFormat/>
    <w:rsid w:val="00FA726F"/>
    <w:pPr>
      <w:numPr>
        <w:ilvl w:val="0"/>
        <w:numId w:val="0"/>
      </w:numPr>
    </w:pPr>
  </w:style>
  <w:style w:type="paragraph" w:customStyle="1" w:styleId="Heading3NoTOC">
    <w:name w:val="Heading 3 No TOC"/>
    <w:basedOn w:val="Heading3"/>
    <w:next w:val="Normal"/>
    <w:uiPriority w:val="99"/>
    <w:qFormat/>
    <w:rsid w:val="00BA627A"/>
    <w:pPr>
      <w:numPr>
        <w:ilvl w:val="0"/>
        <w:numId w:val="0"/>
      </w:numPr>
    </w:pPr>
  </w:style>
  <w:style w:type="paragraph" w:customStyle="1" w:styleId="Heading4NoNumber">
    <w:name w:val="Heading 4 No Number"/>
    <w:basedOn w:val="Heading4"/>
    <w:next w:val="Normal"/>
    <w:uiPriority w:val="9"/>
    <w:semiHidden/>
    <w:qFormat/>
    <w:rsid w:val="00670869"/>
    <w:pPr>
      <w:numPr>
        <w:ilvl w:val="0"/>
        <w:numId w:val="0"/>
      </w:numPr>
    </w:pPr>
  </w:style>
  <w:style w:type="numbering" w:customStyle="1" w:styleId="BulletList">
    <w:name w:val="Bullet List"/>
    <w:uiPriority w:val="99"/>
    <w:rsid w:val="00670869"/>
    <w:pPr>
      <w:numPr>
        <w:numId w:val="6"/>
      </w:numPr>
    </w:pPr>
  </w:style>
  <w:style w:type="paragraph" w:customStyle="1" w:styleId="Note">
    <w:name w:val="Note"/>
    <w:basedOn w:val="Normal"/>
    <w:next w:val="Normal"/>
    <w:uiPriority w:val="37"/>
    <w:qFormat/>
    <w:rsid w:val="00670869"/>
    <w:pPr>
      <w:pBdr>
        <w:top w:val="single" w:sz="4" w:space="4" w:color="auto"/>
        <w:bottom w:val="single" w:sz="4" w:space="4" w:color="auto"/>
      </w:pBdr>
      <w:spacing w:before="120" w:after="240"/>
    </w:pPr>
    <w:rPr>
      <w:b/>
      <w:i/>
    </w:rPr>
  </w:style>
  <w:style w:type="paragraph" w:customStyle="1" w:styleId="IndentQuote">
    <w:name w:val="Indent Quote"/>
    <w:basedOn w:val="Normal"/>
    <w:next w:val="Normal"/>
    <w:uiPriority w:val="37"/>
    <w:qFormat/>
    <w:rsid w:val="00670869"/>
    <w:pPr>
      <w:ind w:left="567" w:right="567"/>
    </w:pPr>
    <w:rPr>
      <w:i/>
      <w:shd w:val="clear" w:color="auto" w:fill="FFFFFF"/>
    </w:rPr>
  </w:style>
  <w:style w:type="paragraph" w:customStyle="1" w:styleId="AcronymsTab">
    <w:name w:val="Acronyms Tab"/>
    <w:basedOn w:val="Normal"/>
    <w:uiPriority w:val="37"/>
    <w:qFormat/>
    <w:rsid w:val="00670869"/>
    <w:pPr>
      <w:tabs>
        <w:tab w:val="left" w:pos="1134"/>
      </w:tabs>
    </w:pPr>
  </w:style>
  <w:style w:type="paragraph" w:customStyle="1" w:styleId="CallOutBody">
    <w:name w:val="Call Out Body"/>
    <w:basedOn w:val="Normal"/>
    <w:uiPriority w:val="37"/>
    <w:qFormat/>
    <w:rsid w:val="00670869"/>
    <w:pPr>
      <w:pBdr>
        <w:top w:val="single" w:sz="8" w:space="6" w:color="D8DBDA" w:themeColor="accent5"/>
        <w:left w:val="single" w:sz="8" w:space="4" w:color="D8DBDA" w:themeColor="accent5"/>
        <w:bottom w:val="single" w:sz="8" w:space="6" w:color="D8DBDA" w:themeColor="accent5"/>
        <w:right w:val="single" w:sz="8" w:space="4" w:color="D8DBDA" w:themeColor="accent5"/>
      </w:pBdr>
      <w:shd w:val="clear" w:color="auto" w:fill="D8DBDA" w:themeFill="accent5"/>
      <w:ind w:right="113"/>
    </w:pPr>
  </w:style>
  <w:style w:type="paragraph" w:customStyle="1" w:styleId="CallOutHeading">
    <w:name w:val="Call Out Heading"/>
    <w:basedOn w:val="CallOutBody"/>
    <w:next w:val="CallOutBody"/>
    <w:uiPriority w:val="37"/>
    <w:qFormat/>
    <w:rsid w:val="0012349A"/>
    <w:pPr>
      <w:keepNext/>
      <w:spacing w:before="120"/>
    </w:pPr>
    <w:rPr>
      <w:b/>
      <w:sz w:val="24"/>
    </w:rPr>
  </w:style>
  <w:style w:type="numbering" w:customStyle="1" w:styleId="TableList">
    <w:name w:val="Table List"/>
    <w:uiPriority w:val="99"/>
    <w:rsid w:val="00670869"/>
    <w:pPr>
      <w:numPr>
        <w:numId w:val="7"/>
      </w:numPr>
    </w:pPr>
  </w:style>
  <w:style w:type="character" w:customStyle="1" w:styleId="NoSpacingChar">
    <w:name w:val="No Spacing Char"/>
    <w:basedOn w:val="DefaultParagraphFont"/>
    <w:link w:val="NoSpacing"/>
    <w:uiPriority w:val="1"/>
    <w:rsid w:val="00670869"/>
  </w:style>
  <w:style w:type="table" w:customStyle="1" w:styleId="Box1">
    <w:name w:val="Box 1"/>
    <w:basedOn w:val="TableNormal"/>
    <w:uiPriority w:val="99"/>
    <w:rsid w:val="00670869"/>
    <w:pPr>
      <w:spacing w:after="0" w:line="240" w:lineRule="auto"/>
    </w:pPr>
    <w:rPr>
      <w:rFonts w:asciiTheme="minorHAnsi" w:hAnsiTheme="minorHAnsi"/>
      <w:color w:val="auto"/>
    </w:rPr>
    <w:tblPr>
      <w:tblCellMar>
        <w:top w:w="284" w:type="dxa"/>
        <w:left w:w="284" w:type="dxa"/>
        <w:bottom w:w="57" w:type="dxa"/>
        <w:right w:w="284" w:type="dxa"/>
      </w:tblCellMar>
    </w:tblPr>
    <w:tcPr>
      <w:shd w:val="clear" w:color="auto" w:fill="D0EBE5"/>
    </w:tcPr>
  </w:style>
  <w:style w:type="character" w:customStyle="1" w:styleId="UnresolvedMention10">
    <w:name w:val="Unresolved Mention1"/>
    <w:basedOn w:val="DefaultParagraphFont"/>
    <w:uiPriority w:val="99"/>
    <w:semiHidden/>
    <w:unhideWhenUsed/>
    <w:rsid w:val="00987301"/>
    <w:rPr>
      <w:color w:val="605E5C"/>
      <w:shd w:val="clear" w:color="auto" w:fill="E1DFDD"/>
    </w:rPr>
  </w:style>
  <w:style w:type="character" w:customStyle="1" w:styleId="ListNumber3Char">
    <w:name w:val="List Number 3 Char"/>
    <w:basedOn w:val="DefaultParagraphFont"/>
    <w:link w:val="ListNumber3"/>
    <w:uiPriority w:val="16"/>
    <w:rsid w:val="00895CED"/>
  </w:style>
  <w:style w:type="paragraph" w:styleId="BodyText">
    <w:name w:val="Body Text"/>
    <w:basedOn w:val="Normal"/>
    <w:link w:val="BodyTextChar"/>
    <w:semiHidden/>
    <w:unhideWhenUsed/>
    <w:qFormat/>
    <w:locked/>
    <w:rsid w:val="00EF65AE"/>
  </w:style>
  <w:style w:type="character" w:customStyle="1" w:styleId="BodyTextChar">
    <w:name w:val="Body Text Char"/>
    <w:basedOn w:val="DefaultParagraphFont"/>
    <w:link w:val="BodyText"/>
    <w:rsid w:val="00EF65AE"/>
  </w:style>
  <w:style w:type="character" w:customStyle="1" w:styleId="Hashtag1">
    <w:name w:val="Hashtag1"/>
    <w:basedOn w:val="DefaultParagraphFont"/>
    <w:uiPriority w:val="99"/>
    <w:semiHidden/>
    <w:unhideWhenUsed/>
    <w:rsid w:val="00EF65AE"/>
    <w:rPr>
      <w:color w:val="2B579A"/>
      <w:shd w:val="clear" w:color="auto" w:fill="E1DFDD"/>
    </w:rPr>
  </w:style>
  <w:style w:type="character" w:customStyle="1" w:styleId="Mention1">
    <w:name w:val="Mention1"/>
    <w:basedOn w:val="DefaultParagraphFont"/>
    <w:uiPriority w:val="99"/>
    <w:semiHidden/>
    <w:unhideWhenUsed/>
    <w:rsid w:val="00EF65AE"/>
    <w:rPr>
      <w:color w:val="2B579A"/>
      <w:shd w:val="clear" w:color="auto" w:fill="E1DFDD"/>
    </w:rPr>
  </w:style>
  <w:style w:type="character" w:customStyle="1" w:styleId="SmartHyperlink1">
    <w:name w:val="Smart Hyperlink1"/>
    <w:basedOn w:val="DefaultParagraphFont"/>
    <w:uiPriority w:val="99"/>
    <w:semiHidden/>
    <w:unhideWhenUsed/>
    <w:rsid w:val="00EF65AE"/>
    <w:rPr>
      <w:u w:val="dotted"/>
    </w:rPr>
  </w:style>
  <w:style w:type="character" w:customStyle="1" w:styleId="SmartLink1">
    <w:name w:val="SmartLink1"/>
    <w:basedOn w:val="DefaultParagraphFont"/>
    <w:uiPriority w:val="99"/>
    <w:semiHidden/>
    <w:unhideWhenUsed/>
    <w:rsid w:val="00EF65AE"/>
    <w:rPr>
      <w:color w:val="2B579A"/>
      <w:shd w:val="clear" w:color="auto" w:fill="E1DFDD"/>
    </w:rPr>
  </w:style>
  <w:style w:type="paragraph" w:styleId="Revision">
    <w:name w:val="Revision"/>
    <w:hidden/>
    <w:uiPriority w:val="99"/>
    <w:semiHidden/>
    <w:rsid w:val="00EF65AE"/>
    <w:pPr>
      <w:spacing w:after="0" w:line="240" w:lineRule="auto"/>
    </w:pPr>
    <w:rPr>
      <w:rFonts w:ascii="Calibri" w:hAnsi="Calibri" w:cs="Calibri"/>
      <w:color w:val="auto"/>
    </w:rPr>
  </w:style>
  <w:style w:type="numbering" w:styleId="1ai">
    <w:name w:val="Outline List 1"/>
    <w:basedOn w:val="NoList"/>
    <w:uiPriority w:val="99"/>
    <w:semiHidden/>
    <w:unhideWhenUsed/>
    <w:rsid w:val="00EF65AE"/>
    <w:pPr>
      <w:numPr>
        <w:numId w:val="10"/>
      </w:numPr>
    </w:pPr>
  </w:style>
  <w:style w:type="numbering" w:styleId="ArticleSection">
    <w:name w:val="Outline List 3"/>
    <w:basedOn w:val="NoList"/>
    <w:uiPriority w:val="99"/>
    <w:semiHidden/>
    <w:unhideWhenUsed/>
    <w:rsid w:val="00EF65AE"/>
    <w:pPr>
      <w:numPr>
        <w:numId w:val="11"/>
      </w:numPr>
    </w:pPr>
  </w:style>
  <w:style w:type="table" w:styleId="GridTable1Light">
    <w:name w:val="Grid Table 1 Light"/>
    <w:basedOn w:val="TableNormal"/>
    <w:uiPriority w:val="46"/>
    <w:locked/>
    <w:rsid w:val="00EF65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EF65AE"/>
    <w:pPr>
      <w:spacing w:after="0" w:line="240" w:lineRule="auto"/>
    </w:pPr>
    <w:tblPr>
      <w:tblStyleRowBandSize w:val="1"/>
      <w:tblStyleColBandSize w:val="1"/>
      <w:tblBorders>
        <w:top w:val="single" w:sz="4" w:space="0" w:color="69F0FF" w:themeColor="accent1" w:themeTint="66"/>
        <w:left w:val="single" w:sz="4" w:space="0" w:color="69F0FF" w:themeColor="accent1" w:themeTint="66"/>
        <w:bottom w:val="single" w:sz="4" w:space="0" w:color="69F0FF" w:themeColor="accent1" w:themeTint="66"/>
        <w:right w:val="single" w:sz="4" w:space="0" w:color="69F0FF" w:themeColor="accent1" w:themeTint="66"/>
        <w:insideH w:val="single" w:sz="4" w:space="0" w:color="69F0FF" w:themeColor="accent1" w:themeTint="66"/>
        <w:insideV w:val="single" w:sz="4" w:space="0" w:color="69F0FF" w:themeColor="accent1" w:themeTint="66"/>
      </w:tblBorders>
    </w:tblPr>
    <w:tblStylePr w:type="firstRow">
      <w:rPr>
        <w:b/>
        <w:bCs/>
      </w:rPr>
      <w:tblPr/>
      <w:tcPr>
        <w:tcBorders>
          <w:bottom w:val="single" w:sz="12" w:space="0" w:color="1FE9FF" w:themeColor="accent1" w:themeTint="99"/>
        </w:tcBorders>
      </w:tcPr>
    </w:tblStylePr>
    <w:tblStylePr w:type="lastRow">
      <w:rPr>
        <w:b/>
        <w:bCs/>
      </w:rPr>
      <w:tblPr/>
      <w:tcPr>
        <w:tcBorders>
          <w:top w:val="double" w:sz="2" w:space="0" w:color="1FE9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EF65AE"/>
    <w:pPr>
      <w:spacing w:after="0" w:line="240" w:lineRule="auto"/>
    </w:pPr>
    <w:tblPr>
      <w:tblStyleRowBandSize w:val="1"/>
      <w:tblStyleColBandSize w:val="1"/>
      <w:tblBorders>
        <w:top w:val="single" w:sz="4" w:space="0" w:color="E8B9A3" w:themeColor="accent2" w:themeTint="66"/>
        <w:left w:val="single" w:sz="4" w:space="0" w:color="E8B9A3" w:themeColor="accent2" w:themeTint="66"/>
        <w:bottom w:val="single" w:sz="4" w:space="0" w:color="E8B9A3" w:themeColor="accent2" w:themeTint="66"/>
        <w:right w:val="single" w:sz="4" w:space="0" w:color="E8B9A3" w:themeColor="accent2" w:themeTint="66"/>
        <w:insideH w:val="single" w:sz="4" w:space="0" w:color="E8B9A3" w:themeColor="accent2" w:themeTint="66"/>
        <w:insideV w:val="single" w:sz="4" w:space="0" w:color="E8B9A3" w:themeColor="accent2" w:themeTint="66"/>
      </w:tblBorders>
    </w:tblPr>
    <w:tblStylePr w:type="firstRow">
      <w:rPr>
        <w:b/>
        <w:bCs/>
      </w:rPr>
      <w:tblPr/>
      <w:tcPr>
        <w:tcBorders>
          <w:bottom w:val="single" w:sz="12" w:space="0" w:color="DD9676" w:themeColor="accent2" w:themeTint="99"/>
        </w:tcBorders>
      </w:tcPr>
    </w:tblStylePr>
    <w:tblStylePr w:type="lastRow">
      <w:rPr>
        <w:b/>
        <w:bCs/>
      </w:rPr>
      <w:tblPr/>
      <w:tcPr>
        <w:tcBorders>
          <w:top w:val="double" w:sz="2" w:space="0" w:color="DD967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EF65AE"/>
    <w:pPr>
      <w:spacing w:after="0" w:line="240" w:lineRule="auto"/>
    </w:pPr>
    <w:tblPr>
      <w:tblStyleRowBandSize w:val="1"/>
      <w:tblStyleColBandSize w:val="1"/>
      <w:tblBorders>
        <w:top w:val="single" w:sz="4" w:space="0" w:color="69F0FF" w:themeColor="accent3" w:themeTint="66"/>
        <w:left w:val="single" w:sz="4" w:space="0" w:color="69F0FF" w:themeColor="accent3" w:themeTint="66"/>
        <w:bottom w:val="single" w:sz="4" w:space="0" w:color="69F0FF" w:themeColor="accent3" w:themeTint="66"/>
        <w:right w:val="single" w:sz="4" w:space="0" w:color="69F0FF" w:themeColor="accent3" w:themeTint="66"/>
        <w:insideH w:val="single" w:sz="4" w:space="0" w:color="69F0FF" w:themeColor="accent3" w:themeTint="66"/>
        <w:insideV w:val="single" w:sz="4" w:space="0" w:color="69F0FF" w:themeColor="accent3" w:themeTint="66"/>
      </w:tblBorders>
    </w:tblPr>
    <w:tblStylePr w:type="firstRow">
      <w:rPr>
        <w:b/>
        <w:bCs/>
      </w:rPr>
      <w:tblPr/>
      <w:tcPr>
        <w:tcBorders>
          <w:bottom w:val="single" w:sz="12" w:space="0" w:color="1FE9FF" w:themeColor="accent3" w:themeTint="99"/>
        </w:tcBorders>
      </w:tcPr>
    </w:tblStylePr>
    <w:tblStylePr w:type="lastRow">
      <w:rPr>
        <w:b/>
        <w:bCs/>
      </w:rPr>
      <w:tblPr/>
      <w:tcPr>
        <w:tcBorders>
          <w:top w:val="double" w:sz="2" w:space="0" w:color="1FE9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EF65AE"/>
    <w:pPr>
      <w:spacing w:after="0" w:line="240" w:lineRule="auto"/>
    </w:pPr>
    <w:tblPr>
      <w:tblStyleRowBandSize w:val="1"/>
      <w:tblStyleColBandSize w:val="1"/>
      <w:tblBorders>
        <w:top w:val="single" w:sz="4" w:space="0" w:color="CFE7E0" w:themeColor="accent4" w:themeTint="66"/>
        <w:left w:val="single" w:sz="4" w:space="0" w:color="CFE7E0" w:themeColor="accent4" w:themeTint="66"/>
        <w:bottom w:val="single" w:sz="4" w:space="0" w:color="CFE7E0" w:themeColor="accent4" w:themeTint="66"/>
        <w:right w:val="single" w:sz="4" w:space="0" w:color="CFE7E0" w:themeColor="accent4" w:themeTint="66"/>
        <w:insideH w:val="single" w:sz="4" w:space="0" w:color="CFE7E0" w:themeColor="accent4" w:themeTint="66"/>
        <w:insideV w:val="single" w:sz="4" w:space="0" w:color="CFE7E0" w:themeColor="accent4" w:themeTint="66"/>
      </w:tblBorders>
    </w:tblPr>
    <w:tblStylePr w:type="firstRow">
      <w:rPr>
        <w:b/>
        <w:bCs/>
      </w:rPr>
      <w:tblPr/>
      <w:tcPr>
        <w:tcBorders>
          <w:bottom w:val="single" w:sz="12" w:space="0" w:color="B8DBD0" w:themeColor="accent4" w:themeTint="99"/>
        </w:tcBorders>
      </w:tcPr>
    </w:tblStylePr>
    <w:tblStylePr w:type="lastRow">
      <w:rPr>
        <w:b/>
        <w:bCs/>
      </w:rPr>
      <w:tblPr/>
      <w:tcPr>
        <w:tcBorders>
          <w:top w:val="double" w:sz="2" w:space="0" w:color="B8DBD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EF65AE"/>
    <w:pPr>
      <w:spacing w:after="0" w:line="240" w:lineRule="auto"/>
    </w:pPr>
    <w:tblPr>
      <w:tblStyleRowBandSize w:val="1"/>
      <w:tblStyleColBandSize w:val="1"/>
      <w:tblBorders>
        <w:top w:val="single" w:sz="4" w:space="0" w:color="EFF0F0" w:themeColor="accent5" w:themeTint="66"/>
        <w:left w:val="single" w:sz="4" w:space="0" w:color="EFF0F0" w:themeColor="accent5" w:themeTint="66"/>
        <w:bottom w:val="single" w:sz="4" w:space="0" w:color="EFF0F0" w:themeColor="accent5" w:themeTint="66"/>
        <w:right w:val="single" w:sz="4" w:space="0" w:color="EFF0F0" w:themeColor="accent5" w:themeTint="66"/>
        <w:insideH w:val="single" w:sz="4" w:space="0" w:color="EFF0F0" w:themeColor="accent5" w:themeTint="66"/>
        <w:insideV w:val="single" w:sz="4" w:space="0" w:color="EFF0F0" w:themeColor="accent5" w:themeTint="66"/>
      </w:tblBorders>
    </w:tblPr>
    <w:tblStylePr w:type="firstRow">
      <w:rPr>
        <w:b/>
        <w:bCs/>
      </w:rPr>
      <w:tblPr/>
      <w:tcPr>
        <w:tcBorders>
          <w:bottom w:val="single" w:sz="12" w:space="0" w:color="E7E9E8" w:themeColor="accent5" w:themeTint="99"/>
        </w:tcBorders>
      </w:tcPr>
    </w:tblStylePr>
    <w:tblStylePr w:type="lastRow">
      <w:rPr>
        <w:b/>
        <w:bCs/>
      </w:rPr>
      <w:tblPr/>
      <w:tcPr>
        <w:tcBorders>
          <w:top w:val="double" w:sz="2" w:space="0" w:color="E7E9E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EF65AE"/>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EF65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EF65AE"/>
    <w:pPr>
      <w:spacing w:after="0" w:line="240" w:lineRule="auto"/>
    </w:pPr>
    <w:tblPr>
      <w:tblStyleRowBandSize w:val="1"/>
      <w:tblStyleColBandSize w:val="1"/>
      <w:tblBorders>
        <w:top w:val="single" w:sz="2" w:space="0" w:color="1FE9FF" w:themeColor="accent1" w:themeTint="99"/>
        <w:bottom w:val="single" w:sz="2" w:space="0" w:color="1FE9FF" w:themeColor="accent1" w:themeTint="99"/>
        <w:insideH w:val="single" w:sz="2" w:space="0" w:color="1FE9FF" w:themeColor="accent1" w:themeTint="99"/>
        <w:insideV w:val="single" w:sz="2" w:space="0" w:color="1FE9FF" w:themeColor="accent1" w:themeTint="99"/>
      </w:tblBorders>
    </w:tblPr>
    <w:tblStylePr w:type="firstRow">
      <w:rPr>
        <w:b/>
        <w:bCs/>
      </w:rPr>
      <w:tblPr/>
      <w:tcPr>
        <w:tcBorders>
          <w:top w:val="nil"/>
          <w:bottom w:val="single" w:sz="12" w:space="0" w:color="1FE9FF" w:themeColor="accent1" w:themeTint="99"/>
          <w:insideH w:val="nil"/>
          <w:insideV w:val="nil"/>
        </w:tcBorders>
        <w:shd w:val="clear" w:color="auto" w:fill="FFFFFF" w:themeFill="background1"/>
      </w:tcPr>
    </w:tblStylePr>
    <w:tblStylePr w:type="lastRow">
      <w:rPr>
        <w:b/>
        <w:bCs/>
      </w:rPr>
      <w:tblPr/>
      <w:tcPr>
        <w:tcBorders>
          <w:top w:val="double" w:sz="2" w:space="0" w:color="1FE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2-Accent2">
    <w:name w:val="Grid Table 2 Accent 2"/>
    <w:basedOn w:val="TableNormal"/>
    <w:uiPriority w:val="47"/>
    <w:locked/>
    <w:rsid w:val="00EF65AE"/>
    <w:pPr>
      <w:spacing w:after="0" w:line="240" w:lineRule="auto"/>
    </w:pPr>
    <w:tblPr>
      <w:tblStyleRowBandSize w:val="1"/>
      <w:tblStyleColBandSize w:val="1"/>
      <w:tblBorders>
        <w:top w:val="single" w:sz="2" w:space="0" w:color="DD9676" w:themeColor="accent2" w:themeTint="99"/>
        <w:bottom w:val="single" w:sz="2" w:space="0" w:color="DD9676" w:themeColor="accent2" w:themeTint="99"/>
        <w:insideH w:val="single" w:sz="2" w:space="0" w:color="DD9676" w:themeColor="accent2" w:themeTint="99"/>
        <w:insideV w:val="single" w:sz="2" w:space="0" w:color="DD9676" w:themeColor="accent2" w:themeTint="99"/>
      </w:tblBorders>
    </w:tblPr>
    <w:tblStylePr w:type="firstRow">
      <w:rPr>
        <w:b/>
        <w:bCs/>
      </w:rPr>
      <w:tblPr/>
      <w:tcPr>
        <w:tcBorders>
          <w:top w:val="nil"/>
          <w:bottom w:val="single" w:sz="12" w:space="0" w:color="DD9676" w:themeColor="accent2" w:themeTint="99"/>
          <w:insideH w:val="nil"/>
          <w:insideV w:val="nil"/>
        </w:tcBorders>
        <w:shd w:val="clear" w:color="auto" w:fill="FFFFFF" w:themeFill="background1"/>
      </w:tcPr>
    </w:tblStylePr>
    <w:tblStylePr w:type="lastRow">
      <w:rPr>
        <w:b/>
        <w:bCs/>
      </w:rPr>
      <w:tblPr/>
      <w:tcPr>
        <w:tcBorders>
          <w:top w:val="double" w:sz="2" w:space="0" w:color="DD96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GridTable2-Accent3">
    <w:name w:val="Grid Table 2 Accent 3"/>
    <w:basedOn w:val="TableNormal"/>
    <w:uiPriority w:val="47"/>
    <w:locked/>
    <w:rsid w:val="00EF65AE"/>
    <w:pPr>
      <w:spacing w:after="0" w:line="240" w:lineRule="auto"/>
    </w:pPr>
    <w:tblPr>
      <w:tblStyleRowBandSize w:val="1"/>
      <w:tblStyleColBandSize w:val="1"/>
      <w:tblBorders>
        <w:top w:val="single" w:sz="2" w:space="0" w:color="1FE9FF" w:themeColor="accent3" w:themeTint="99"/>
        <w:bottom w:val="single" w:sz="2" w:space="0" w:color="1FE9FF" w:themeColor="accent3" w:themeTint="99"/>
        <w:insideH w:val="single" w:sz="2" w:space="0" w:color="1FE9FF" w:themeColor="accent3" w:themeTint="99"/>
        <w:insideV w:val="single" w:sz="2" w:space="0" w:color="1FE9FF" w:themeColor="accent3" w:themeTint="99"/>
      </w:tblBorders>
    </w:tblPr>
    <w:tblStylePr w:type="firstRow">
      <w:rPr>
        <w:b/>
        <w:bCs/>
      </w:rPr>
      <w:tblPr/>
      <w:tcPr>
        <w:tcBorders>
          <w:top w:val="nil"/>
          <w:bottom w:val="single" w:sz="12" w:space="0" w:color="1FE9FF" w:themeColor="accent3" w:themeTint="99"/>
          <w:insideH w:val="nil"/>
          <w:insideV w:val="nil"/>
        </w:tcBorders>
        <w:shd w:val="clear" w:color="auto" w:fill="FFFFFF" w:themeFill="background1"/>
      </w:tcPr>
    </w:tblStylePr>
    <w:tblStylePr w:type="lastRow">
      <w:rPr>
        <w:b/>
        <w:bCs/>
      </w:rPr>
      <w:tblPr/>
      <w:tcPr>
        <w:tcBorders>
          <w:top w:val="double" w:sz="2" w:space="0" w:color="1FE9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GridTable2-Accent4">
    <w:name w:val="Grid Table 2 Accent 4"/>
    <w:basedOn w:val="TableNormal"/>
    <w:uiPriority w:val="47"/>
    <w:locked/>
    <w:rsid w:val="00EF65AE"/>
    <w:pPr>
      <w:spacing w:after="0" w:line="240" w:lineRule="auto"/>
    </w:pPr>
    <w:tblPr>
      <w:tblStyleRowBandSize w:val="1"/>
      <w:tblStyleColBandSize w:val="1"/>
      <w:tblBorders>
        <w:top w:val="single" w:sz="2" w:space="0" w:color="B8DBD0" w:themeColor="accent4" w:themeTint="99"/>
        <w:bottom w:val="single" w:sz="2" w:space="0" w:color="B8DBD0" w:themeColor="accent4" w:themeTint="99"/>
        <w:insideH w:val="single" w:sz="2" w:space="0" w:color="B8DBD0" w:themeColor="accent4" w:themeTint="99"/>
        <w:insideV w:val="single" w:sz="2" w:space="0" w:color="B8DBD0" w:themeColor="accent4" w:themeTint="99"/>
      </w:tblBorders>
    </w:tblPr>
    <w:tblStylePr w:type="firstRow">
      <w:rPr>
        <w:b/>
        <w:bCs/>
      </w:rPr>
      <w:tblPr/>
      <w:tcPr>
        <w:tcBorders>
          <w:top w:val="nil"/>
          <w:bottom w:val="single" w:sz="12" w:space="0" w:color="B8DBD0" w:themeColor="accent4" w:themeTint="99"/>
          <w:insideH w:val="nil"/>
          <w:insideV w:val="nil"/>
        </w:tcBorders>
        <w:shd w:val="clear" w:color="auto" w:fill="FFFFFF" w:themeFill="background1"/>
      </w:tcPr>
    </w:tblStylePr>
    <w:tblStylePr w:type="lastRow">
      <w:rPr>
        <w:b/>
        <w:bCs/>
      </w:rPr>
      <w:tblPr/>
      <w:tcPr>
        <w:tcBorders>
          <w:top w:val="double" w:sz="2" w:space="0" w:color="B8DBD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GridTable2-Accent5">
    <w:name w:val="Grid Table 2 Accent 5"/>
    <w:basedOn w:val="TableNormal"/>
    <w:uiPriority w:val="47"/>
    <w:locked/>
    <w:rsid w:val="00EF65AE"/>
    <w:pPr>
      <w:spacing w:after="0" w:line="240" w:lineRule="auto"/>
    </w:pPr>
    <w:tblPr>
      <w:tblStyleRowBandSize w:val="1"/>
      <w:tblStyleColBandSize w:val="1"/>
      <w:tblBorders>
        <w:top w:val="single" w:sz="2" w:space="0" w:color="E7E9E8" w:themeColor="accent5" w:themeTint="99"/>
        <w:bottom w:val="single" w:sz="2" w:space="0" w:color="E7E9E8" w:themeColor="accent5" w:themeTint="99"/>
        <w:insideH w:val="single" w:sz="2" w:space="0" w:color="E7E9E8" w:themeColor="accent5" w:themeTint="99"/>
        <w:insideV w:val="single" w:sz="2" w:space="0" w:color="E7E9E8" w:themeColor="accent5" w:themeTint="99"/>
      </w:tblBorders>
    </w:tblPr>
    <w:tblStylePr w:type="firstRow">
      <w:rPr>
        <w:b/>
        <w:bCs/>
      </w:rPr>
      <w:tblPr/>
      <w:tcPr>
        <w:tcBorders>
          <w:top w:val="nil"/>
          <w:bottom w:val="single" w:sz="12" w:space="0" w:color="E7E9E8" w:themeColor="accent5" w:themeTint="99"/>
          <w:insideH w:val="nil"/>
          <w:insideV w:val="nil"/>
        </w:tcBorders>
        <w:shd w:val="clear" w:color="auto" w:fill="FFFFFF" w:themeFill="background1"/>
      </w:tcPr>
    </w:tblStylePr>
    <w:tblStylePr w:type="lastRow">
      <w:rPr>
        <w:b/>
        <w:bCs/>
      </w:rPr>
      <w:tblPr/>
      <w:tcPr>
        <w:tcBorders>
          <w:top w:val="double" w:sz="2" w:space="0" w:color="E7E9E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GridTable2-Accent6">
    <w:name w:val="Grid Table 2 Accent 6"/>
    <w:basedOn w:val="TableNormal"/>
    <w:uiPriority w:val="47"/>
    <w:locked/>
    <w:rsid w:val="00EF65AE"/>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locked/>
    <w:rsid w:val="00EF65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EF65AE"/>
    <w:pPr>
      <w:spacing w:after="0" w:line="240" w:lineRule="auto"/>
    </w:p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1" w:themeFillTint="33"/>
      </w:tcPr>
    </w:tblStylePr>
    <w:tblStylePr w:type="band1Horz">
      <w:tblPr/>
      <w:tcPr>
        <w:shd w:val="clear" w:color="auto" w:fill="B4F7FF" w:themeFill="accent1" w:themeFillTint="33"/>
      </w:tcPr>
    </w:tblStylePr>
    <w:tblStylePr w:type="neCell">
      <w:tblPr/>
      <w:tcPr>
        <w:tcBorders>
          <w:bottom w:val="single" w:sz="4" w:space="0" w:color="1FE9FF" w:themeColor="accent1" w:themeTint="99"/>
        </w:tcBorders>
      </w:tcPr>
    </w:tblStylePr>
    <w:tblStylePr w:type="nwCell">
      <w:tblPr/>
      <w:tcPr>
        <w:tcBorders>
          <w:bottom w:val="single" w:sz="4" w:space="0" w:color="1FE9FF" w:themeColor="accent1" w:themeTint="99"/>
        </w:tcBorders>
      </w:tcPr>
    </w:tblStylePr>
    <w:tblStylePr w:type="seCell">
      <w:tblPr/>
      <w:tcPr>
        <w:tcBorders>
          <w:top w:val="single" w:sz="4" w:space="0" w:color="1FE9FF" w:themeColor="accent1" w:themeTint="99"/>
        </w:tcBorders>
      </w:tcPr>
    </w:tblStylePr>
    <w:tblStylePr w:type="swCell">
      <w:tblPr/>
      <w:tcPr>
        <w:tcBorders>
          <w:top w:val="single" w:sz="4" w:space="0" w:color="1FE9FF" w:themeColor="accent1" w:themeTint="99"/>
        </w:tcBorders>
      </w:tcPr>
    </w:tblStylePr>
  </w:style>
  <w:style w:type="table" w:styleId="GridTable3-Accent2">
    <w:name w:val="Grid Table 3 Accent 2"/>
    <w:basedOn w:val="TableNormal"/>
    <w:uiPriority w:val="48"/>
    <w:locked/>
    <w:rsid w:val="00EF65AE"/>
    <w:pPr>
      <w:spacing w:after="0" w:line="240" w:lineRule="auto"/>
    </w:p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CD1" w:themeFill="accent2" w:themeFillTint="33"/>
      </w:tcPr>
    </w:tblStylePr>
    <w:tblStylePr w:type="band1Horz">
      <w:tblPr/>
      <w:tcPr>
        <w:shd w:val="clear" w:color="auto" w:fill="F3DCD1" w:themeFill="accent2" w:themeFillTint="33"/>
      </w:tcPr>
    </w:tblStylePr>
    <w:tblStylePr w:type="neCell">
      <w:tblPr/>
      <w:tcPr>
        <w:tcBorders>
          <w:bottom w:val="single" w:sz="4" w:space="0" w:color="DD9676" w:themeColor="accent2" w:themeTint="99"/>
        </w:tcBorders>
      </w:tcPr>
    </w:tblStylePr>
    <w:tblStylePr w:type="nwCell">
      <w:tblPr/>
      <w:tcPr>
        <w:tcBorders>
          <w:bottom w:val="single" w:sz="4" w:space="0" w:color="DD9676" w:themeColor="accent2" w:themeTint="99"/>
        </w:tcBorders>
      </w:tcPr>
    </w:tblStylePr>
    <w:tblStylePr w:type="seCell">
      <w:tblPr/>
      <w:tcPr>
        <w:tcBorders>
          <w:top w:val="single" w:sz="4" w:space="0" w:color="DD9676" w:themeColor="accent2" w:themeTint="99"/>
        </w:tcBorders>
      </w:tcPr>
    </w:tblStylePr>
    <w:tblStylePr w:type="swCell">
      <w:tblPr/>
      <w:tcPr>
        <w:tcBorders>
          <w:top w:val="single" w:sz="4" w:space="0" w:color="DD9676" w:themeColor="accent2" w:themeTint="99"/>
        </w:tcBorders>
      </w:tcPr>
    </w:tblStylePr>
  </w:style>
  <w:style w:type="table" w:styleId="GridTable3-Accent3">
    <w:name w:val="Grid Table 3 Accent 3"/>
    <w:basedOn w:val="TableNormal"/>
    <w:uiPriority w:val="48"/>
    <w:locked/>
    <w:rsid w:val="00EF65AE"/>
    <w:pPr>
      <w:spacing w:after="0" w:line="240" w:lineRule="auto"/>
    </w:p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3" w:themeFillTint="33"/>
      </w:tcPr>
    </w:tblStylePr>
    <w:tblStylePr w:type="band1Horz">
      <w:tblPr/>
      <w:tcPr>
        <w:shd w:val="clear" w:color="auto" w:fill="B4F7FF" w:themeFill="accent3" w:themeFillTint="33"/>
      </w:tcPr>
    </w:tblStylePr>
    <w:tblStylePr w:type="neCell">
      <w:tblPr/>
      <w:tcPr>
        <w:tcBorders>
          <w:bottom w:val="single" w:sz="4" w:space="0" w:color="1FE9FF" w:themeColor="accent3" w:themeTint="99"/>
        </w:tcBorders>
      </w:tcPr>
    </w:tblStylePr>
    <w:tblStylePr w:type="nwCell">
      <w:tblPr/>
      <w:tcPr>
        <w:tcBorders>
          <w:bottom w:val="single" w:sz="4" w:space="0" w:color="1FE9FF" w:themeColor="accent3" w:themeTint="99"/>
        </w:tcBorders>
      </w:tcPr>
    </w:tblStylePr>
    <w:tblStylePr w:type="seCell">
      <w:tblPr/>
      <w:tcPr>
        <w:tcBorders>
          <w:top w:val="single" w:sz="4" w:space="0" w:color="1FE9FF" w:themeColor="accent3" w:themeTint="99"/>
        </w:tcBorders>
      </w:tcPr>
    </w:tblStylePr>
    <w:tblStylePr w:type="swCell">
      <w:tblPr/>
      <w:tcPr>
        <w:tcBorders>
          <w:top w:val="single" w:sz="4" w:space="0" w:color="1FE9FF" w:themeColor="accent3" w:themeTint="99"/>
        </w:tcBorders>
      </w:tcPr>
    </w:tblStylePr>
  </w:style>
  <w:style w:type="table" w:styleId="GridTable3-Accent4">
    <w:name w:val="Grid Table 3 Accent 4"/>
    <w:basedOn w:val="TableNormal"/>
    <w:uiPriority w:val="48"/>
    <w:locked/>
    <w:rsid w:val="00EF65AE"/>
    <w:pPr>
      <w:spacing w:after="0" w:line="240" w:lineRule="auto"/>
    </w:p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EF" w:themeFill="accent4" w:themeFillTint="33"/>
      </w:tcPr>
    </w:tblStylePr>
    <w:tblStylePr w:type="band1Horz">
      <w:tblPr/>
      <w:tcPr>
        <w:shd w:val="clear" w:color="auto" w:fill="E7F3EF" w:themeFill="accent4" w:themeFillTint="33"/>
      </w:tcPr>
    </w:tblStylePr>
    <w:tblStylePr w:type="neCell">
      <w:tblPr/>
      <w:tcPr>
        <w:tcBorders>
          <w:bottom w:val="single" w:sz="4" w:space="0" w:color="B8DBD0" w:themeColor="accent4" w:themeTint="99"/>
        </w:tcBorders>
      </w:tcPr>
    </w:tblStylePr>
    <w:tblStylePr w:type="nwCell">
      <w:tblPr/>
      <w:tcPr>
        <w:tcBorders>
          <w:bottom w:val="single" w:sz="4" w:space="0" w:color="B8DBD0" w:themeColor="accent4" w:themeTint="99"/>
        </w:tcBorders>
      </w:tcPr>
    </w:tblStylePr>
    <w:tblStylePr w:type="seCell">
      <w:tblPr/>
      <w:tcPr>
        <w:tcBorders>
          <w:top w:val="single" w:sz="4" w:space="0" w:color="B8DBD0" w:themeColor="accent4" w:themeTint="99"/>
        </w:tcBorders>
      </w:tcPr>
    </w:tblStylePr>
    <w:tblStylePr w:type="swCell">
      <w:tblPr/>
      <w:tcPr>
        <w:tcBorders>
          <w:top w:val="single" w:sz="4" w:space="0" w:color="B8DBD0" w:themeColor="accent4" w:themeTint="99"/>
        </w:tcBorders>
      </w:tcPr>
    </w:tblStylePr>
  </w:style>
  <w:style w:type="table" w:styleId="GridTable3-Accent5">
    <w:name w:val="Grid Table 3 Accent 5"/>
    <w:basedOn w:val="TableNormal"/>
    <w:uiPriority w:val="48"/>
    <w:locked/>
    <w:rsid w:val="00EF65AE"/>
    <w:pPr>
      <w:spacing w:after="0" w:line="240" w:lineRule="auto"/>
    </w:p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5" w:themeFillTint="33"/>
      </w:tcPr>
    </w:tblStylePr>
    <w:tblStylePr w:type="band1Horz">
      <w:tblPr/>
      <w:tcPr>
        <w:shd w:val="clear" w:color="auto" w:fill="F7F7F7" w:themeFill="accent5" w:themeFillTint="33"/>
      </w:tcPr>
    </w:tblStylePr>
    <w:tblStylePr w:type="neCell">
      <w:tblPr/>
      <w:tcPr>
        <w:tcBorders>
          <w:bottom w:val="single" w:sz="4" w:space="0" w:color="E7E9E8" w:themeColor="accent5" w:themeTint="99"/>
        </w:tcBorders>
      </w:tcPr>
    </w:tblStylePr>
    <w:tblStylePr w:type="nwCell">
      <w:tblPr/>
      <w:tcPr>
        <w:tcBorders>
          <w:bottom w:val="single" w:sz="4" w:space="0" w:color="E7E9E8" w:themeColor="accent5" w:themeTint="99"/>
        </w:tcBorders>
      </w:tcPr>
    </w:tblStylePr>
    <w:tblStylePr w:type="seCell">
      <w:tblPr/>
      <w:tcPr>
        <w:tcBorders>
          <w:top w:val="single" w:sz="4" w:space="0" w:color="E7E9E8" w:themeColor="accent5" w:themeTint="99"/>
        </w:tcBorders>
      </w:tcPr>
    </w:tblStylePr>
    <w:tblStylePr w:type="swCell">
      <w:tblPr/>
      <w:tcPr>
        <w:tcBorders>
          <w:top w:val="single" w:sz="4" w:space="0" w:color="E7E9E8" w:themeColor="accent5" w:themeTint="99"/>
        </w:tcBorders>
      </w:tcPr>
    </w:tblStylePr>
  </w:style>
  <w:style w:type="table" w:styleId="GridTable3-Accent6">
    <w:name w:val="Grid Table 3 Accent 6"/>
    <w:basedOn w:val="TableNormal"/>
    <w:uiPriority w:val="48"/>
    <w:locked/>
    <w:rsid w:val="00EF65AE"/>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locked/>
    <w:rsid w:val="00EF65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EF65AE"/>
    <w:pPr>
      <w:spacing w:after="0" w:line="240" w:lineRule="auto"/>
    </w:p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cBorders>
        <w:shd w:val="clear" w:color="auto" w:fill="007C89" w:themeFill="accent1"/>
      </w:tcPr>
    </w:tblStylePr>
    <w:tblStylePr w:type="lastRow">
      <w:rPr>
        <w:b/>
        <w:bCs/>
      </w:rPr>
      <w:tblPr/>
      <w:tcPr>
        <w:tcBorders>
          <w:top w:val="double" w:sz="4" w:space="0" w:color="007C89" w:themeColor="accent1"/>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4-Accent2">
    <w:name w:val="Grid Table 4 Accent 2"/>
    <w:basedOn w:val="TableNormal"/>
    <w:uiPriority w:val="49"/>
    <w:locked/>
    <w:rsid w:val="00EF65AE"/>
    <w:pPr>
      <w:spacing w:after="0" w:line="240" w:lineRule="auto"/>
    </w:p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color w:val="FFFFFF" w:themeColor="background1"/>
      </w:rPr>
      <w:tblPr/>
      <w:tcPr>
        <w:tcBorders>
          <w:top w:val="single" w:sz="4" w:space="0" w:color="B5582D" w:themeColor="accent2"/>
          <w:left w:val="single" w:sz="4" w:space="0" w:color="B5582D" w:themeColor="accent2"/>
          <w:bottom w:val="single" w:sz="4" w:space="0" w:color="B5582D" w:themeColor="accent2"/>
          <w:right w:val="single" w:sz="4" w:space="0" w:color="B5582D" w:themeColor="accent2"/>
          <w:insideH w:val="nil"/>
          <w:insideV w:val="nil"/>
        </w:tcBorders>
        <w:shd w:val="clear" w:color="auto" w:fill="B5582D" w:themeFill="accent2"/>
      </w:tcPr>
    </w:tblStylePr>
    <w:tblStylePr w:type="lastRow">
      <w:rPr>
        <w:b/>
        <w:bCs/>
      </w:rPr>
      <w:tblPr/>
      <w:tcPr>
        <w:tcBorders>
          <w:top w:val="double" w:sz="4" w:space="0" w:color="B5582D" w:themeColor="accent2"/>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GridTable4-Accent3">
    <w:name w:val="Grid Table 4 Accent 3"/>
    <w:basedOn w:val="TableNormal"/>
    <w:uiPriority w:val="49"/>
    <w:locked/>
    <w:rsid w:val="00EF65AE"/>
    <w:pPr>
      <w:spacing w:after="0" w:line="240" w:lineRule="auto"/>
    </w:p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color w:val="FFFFFF" w:themeColor="background1"/>
      </w:rPr>
      <w:tblPr/>
      <w:tcPr>
        <w:tcBorders>
          <w:top w:val="single" w:sz="4" w:space="0" w:color="007C89" w:themeColor="accent3"/>
          <w:left w:val="single" w:sz="4" w:space="0" w:color="007C89" w:themeColor="accent3"/>
          <w:bottom w:val="single" w:sz="4" w:space="0" w:color="007C89" w:themeColor="accent3"/>
          <w:right w:val="single" w:sz="4" w:space="0" w:color="007C89" w:themeColor="accent3"/>
          <w:insideH w:val="nil"/>
          <w:insideV w:val="nil"/>
        </w:tcBorders>
        <w:shd w:val="clear" w:color="auto" w:fill="007C89" w:themeFill="accent3"/>
      </w:tcPr>
    </w:tblStylePr>
    <w:tblStylePr w:type="lastRow">
      <w:rPr>
        <w:b/>
        <w:bCs/>
      </w:rPr>
      <w:tblPr/>
      <w:tcPr>
        <w:tcBorders>
          <w:top w:val="double" w:sz="4" w:space="0" w:color="007C89" w:themeColor="accent3"/>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GridTable4-Accent4">
    <w:name w:val="Grid Table 4 Accent 4"/>
    <w:basedOn w:val="TableNormal"/>
    <w:uiPriority w:val="49"/>
    <w:locked/>
    <w:rsid w:val="00EF65AE"/>
    <w:pPr>
      <w:spacing w:after="0" w:line="240" w:lineRule="auto"/>
    </w:p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color w:val="FFFFFF" w:themeColor="background1"/>
      </w:rPr>
      <w:tblPr/>
      <w:tcPr>
        <w:tcBorders>
          <w:top w:val="single" w:sz="4" w:space="0" w:color="89C3B2" w:themeColor="accent4"/>
          <w:left w:val="single" w:sz="4" w:space="0" w:color="89C3B2" w:themeColor="accent4"/>
          <w:bottom w:val="single" w:sz="4" w:space="0" w:color="89C3B2" w:themeColor="accent4"/>
          <w:right w:val="single" w:sz="4" w:space="0" w:color="89C3B2" w:themeColor="accent4"/>
          <w:insideH w:val="nil"/>
          <w:insideV w:val="nil"/>
        </w:tcBorders>
        <w:shd w:val="clear" w:color="auto" w:fill="89C3B2" w:themeFill="accent4"/>
      </w:tcPr>
    </w:tblStylePr>
    <w:tblStylePr w:type="lastRow">
      <w:rPr>
        <w:b/>
        <w:bCs/>
      </w:rPr>
      <w:tblPr/>
      <w:tcPr>
        <w:tcBorders>
          <w:top w:val="double" w:sz="4" w:space="0" w:color="89C3B2" w:themeColor="accent4"/>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GridTable4-Accent5">
    <w:name w:val="Grid Table 4 Accent 5"/>
    <w:basedOn w:val="TableNormal"/>
    <w:uiPriority w:val="49"/>
    <w:locked/>
    <w:rsid w:val="00EF65AE"/>
    <w:pPr>
      <w:spacing w:after="0" w:line="240" w:lineRule="auto"/>
    </w:p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color w:val="FFFFFF" w:themeColor="background1"/>
      </w:rPr>
      <w:tblPr/>
      <w:tcPr>
        <w:tcBorders>
          <w:top w:val="single" w:sz="4" w:space="0" w:color="D8DBDA" w:themeColor="accent5"/>
          <w:left w:val="single" w:sz="4" w:space="0" w:color="D8DBDA" w:themeColor="accent5"/>
          <w:bottom w:val="single" w:sz="4" w:space="0" w:color="D8DBDA" w:themeColor="accent5"/>
          <w:right w:val="single" w:sz="4" w:space="0" w:color="D8DBDA" w:themeColor="accent5"/>
          <w:insideH w:val="nil"/>
          <w:insideV w:val="nil"/>
        </w:tcBorders>
        <w:shd w:val="clear" w:color="auto" w:fill="D8DBDA" w:themeFill="accent5"/>
      </w:tcPr>
    </w:tblStylePr>
    <w:tblStylePr w:type="lastRow">
      <w:rPr>
        <w:b/>
        <w:bCs/>
      </w:rPr>
      <w:tblPr/>
      <w:tcPr>
        <w:tcBorders>
          <w:top w:val="double" w:sz="4" w:space="0" w:color="D8DBDA" w:themeColor="accent5"/>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GridTable4-Accent6">
    <w:name w:val="Grid Table 4 Accent 6"/>
    <w:basedOn w:val="TableNormal"/>
    <w:uiPriority w:val="49"/>
    <w:locked/>
    <w:rsid w:val="00EF65AE"/>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locked/>
    <w:rsid w:val="00EF65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EF65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C8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C8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C8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C89" w:themeFill="accent1"/>
      </w:tcPr>
    </w:tblStylePr>
    <w:tblStylePr w:type="band1Vert">
      <w:tblPr/>
      <w:tcPr>
        <w:shd w:val="clear" w:color="auto" w:fill="69F0FF" w:themeFill="accent1" w:themeFillTint="66"/>
      </w:tcPr>
    </w:tblStylePr>
    <w:tblStylePr w:type="band1Horz">
      <w:tblPr/>
      <w:tcPr>
        <w:shd w:val="clear" w:color="auto" w:fill="69F0FF" w:themeFill="accent1" w:themeFillTint="66"/>
      </w:tcPr>
    </w:tblStylePr>
  </w:style>
  <w:style w:type="table" w:styleId="GridTable5Dark-Accent2">
    <w:name w:val="Grid Table 5 Dark Accent 2"/>
    <w:basedOn w:val="TableNormal"/>
    <w:uiPriority w:val="50"/>
    <w:locked/>
    <w:rsid w:val="00EF65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582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582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582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582D" w:themeFill="accent2"/>
      </w:tcPr>
    </w:tblStylePr>
    <w:tblStylePr w:type="band1Vert">
      <w:tblPr/>
      <w:tcPr>
        <w:shd w:val="clear" w:color="auto" w:fill="E8B9A3" w:themeFill="accent2" w:themeFillTint="66"/>
      </w:tcPr>
    </w:tblStylePr>
    <w:tblStylePr w:type="band1Horz">
      <w:tblPr/>
      <w:tcPr>
        <w:shd w:val="clear" w:color="auto" w:fill="E8B9A3" w:themeFill="accent2" w:themeFillTint="66"/>
      </w:tcPr>
    </w:tblStylePr>
  </w:style>
  <w:style w:type="table" w:styleId="GridTable5Dark-Accent3">
    <w:name w:val="Grid Table 5 Dark Accent 3"/>
    <w:basedOn w:val="TableNormal"/>
    <w:uiPriority w:val="50"/>
    <w:locked/>
    <w:rsid w:val="00EF65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C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C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C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C89" w:themeFill="accent3"/>
      </w:tcPr>
    </w:tblStylePr>
    <w:tblStylePr w:type="band1Vert">
      <w:tblPr/>
      <w:tcPr>
        <w:shd w:val="clear" w:color="auto" w:fill="69F0FF" w:themeFill="accent3" w:themeFillTint="66"/>
      </w:tcPr>
    </w:tblStylePr>
    <w:tblStylePr w:type="band1Horz">
      <w:tblPr/>
      <w:tcPr>
        <w:shd w:val="clear" w:color="auto" w:fill="69F0FF" w:themeFill="accent3" w:themeFillTint="66"/>
      </w:tcPr>
    </w:tblStylePr>
  </w:style>
  <w:style w:type="table" w:styleId="GridTable5Dark-Accent4">
    <w:name w:val="Grid Table 5 Dark Accent 4"/>
    <w:basedOn w:val="TableNormal"/>
    <w:uiPriority w:val="50"/>
    <w:locked/>
    <w:rsid w:val="00EF65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3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C3B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C3B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C3B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C3B2" w:themeFill="accent4"/>
      </w:tcPr>
    </w:tblStylePr>
    <w:tblStylePr w:type="band1Vert">
      <w:tblPr/>
      <w:tcPr>
        <w:shd w:val="clear" w:color="auto" w:fill="CFE7E0" w:themeFill="accent4" w:themeFillTint="66"/>
      </w:tcPr>
    </w:tblStylePr>
    <w:tblStylePr w:type="band1Horz">
      <w:tblPr/>
      <w:tcPr>
        <w:shd w:val="clear" w:color="auto" w:fill="CFE7E0" w:themeFill="accent4" w:themeFillTint="66"/>
      </w:tcPr>
    </w:tblStylePr>
  </w:style>
  <w:style w:type="table" w:styleId="GridTable5Dark-Accent5">
    <w:name w:val="Grid Table 5 Dark Accent 5"/>
    <w:basedOn w:val="TableNormal"/>
    <w:uiPriority w:val="50"/>
    <w:locked/>
    <w:rsid w:val="00EF65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B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B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B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BDA" w:themeFill="accent5"/>
      </w:tcPr>
    </w:tblStylePr>
    <w:tblStylePr w:type="band1Vert">
      <w:tblPr/>
      <w:tcPr>
        <w:shd w:val="clear" w:color="auto" w:fill="EFF0F0" w:themeFill="accent5" w:themeFillTint="66"/>
      </w:tcPr>
    </w:tblStylePr>
    <w:tblStylePr w:type="band1Horz">
      <w:tblPr/>
      <w:tcPr>
        <w:shd w:val="clear" w:color="auto" w:fill="EFF0F0" w:themeFill="accent5" w:themeFillTint="66"/>
      </w:tcPr>
    </w:tblStylePr>
  </w:style>
  <w:style w:type="table" w:styleId="GridTable5Dark-Accent6">
    <w:name w:val="Grid Table 5 Dark Accent 6"/>
    <w:basedOn w:val="TableNormal"/>
    <w:uiPriority w:val="50"/>
    <w:locked/>
    <w:rsid w:val="00EF65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locked/>
    <w:rsid w:val="00EF65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EF65AE"/>
    <w:pPr>
      <w:spacing w:after="0" w:line="240" w:lineRule="auto"/>
    </w:pPr>
    <w:rPr>
      <w:color w:val="005C66" w:themeColor="accent1" w:themeShade="BF"/>
    </w:r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rPr>
      <w:tblPr/>
      <w:tcPr>
        <w:tcBorders>
          <w:bottom w:val="single" w:sz="12" w:space="0" w:color="1FE9FF" w:themeColor="accent1" w:themeTint="99"/>
        </w:tcBorders>
      </w:tcPr>
    </w:tblStylePr>
    <w:tblStylePr w:type="lastRow">
      <w:rPr>
        <w:b/>
        <w:bCs/>
      </w:rPr>
      <w:tblPr/>
      <w:tcPr>
        <w:tcBorders>
          <w:top w:val="double" w:sz="4" w:space="0" w:color="1FE9FF" w:themeColor="accent1" w:themeTint="99"/>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6Colorful-Accent2">
    <w:name w:val="Grid Table 6 Colorful Accent 2"/>
    <w:basedOn w:val="TableNormal"/>
    <w:uiPriority w:val="51"/>
    <w:locked/>
    <w:rsid w:val="00EF65AE"/>
    <w:pPr>
      <w:spacing w:after="0" w:line="240" w:lineRule="auto"/>
    </w:pPr>
    <w:rPr>
      <w:color w:val="874121" w:themeColor="accent2" w:themeShade="BF"/>
    </w:r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rPr>
      <w:tblPr/>
      <w:tcPr>
        <w:tcBorders>
          <w:bottom w:val="single" w:sz="12" w:space="0" w:color="DD9676" w:themeColor="accent2" w:themeTint="99"/>
        </w:tcBorders>
      </w:tcPr>
    </w:tblStylePr>
    <w:tblStylePr w:type="lastRow">
      <w:rPr>
        <w:b/>
        <w:bCs/>
      </w:rPr>
      <w:tblPr/>
      <w:tcPr>
        <w:tcBorders>
          <w:top w:val="double" w:sz="4" w:space="0" w:color="DD9676" w:themeColor="accent2" w:themeTint="99"/>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GridTable6Colorful-Accent3">
    <w:name w:val="Grid Table 6 Colorful Accent 3"/>
    <w:basedOn w:val="TableNormal"/>
    <w:uiPriority w:val="51"/>
    <w:locked/>
    <w:rsid w:val="00EF65AE"/>
    <w:pPr>
      <w:spacing w:after="0" w:line="240" w:lineRule="auto"/>
    </w:pPr>
    <w:rPr>
      <w:color w:val="005C66" w:themeColor="accent3" w:themeShade="BF"/>
    </w:r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rPr>
      <w:tblPr/>
      <w:tcPr>
        <w:tcBorders>
          <w:bottom w:val="single" w:sz="12" w:space="0" w:color="1FE9FF" w:themeColor="accent3" w:themeTint="99"/>
        </w:tcBorders>
      </w:tcPr>
    </w:tblStylePr>
    <w:tblStylePr w:type="lastRow">
      <w:rPr>
        <w:b/>
        <w:bCs/>
      </w:rPr>
      <w:tblPr/>
      <w:tcPr>
        <w:tcBorders>
          <w:top w:val="double" w:sz="4" w:space="0" w:color="1FE9FF" w:themeColor="accent3" w:themeTint="99"/>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GridTable6Colorful-Accent4">
    <w:name w:val="Grid Table 6 Colorful Accent 4"/>
    <w:basedOn w:val="TableNormal"/>
    <w:uiPriority w:val="51"/>
    <w:locked/>
    <w:rsid w:val="00EF65AE"/>
    <w:pPr>
      <w:spacing w:after="0" w:line="240" w:lineRule="auto"/>
    </w:pPr>
    <w:rPr>
      <w:color w:val="54A48C" w:themeColor="accent4" w:themeShade="BF"/>
    </w:r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rPr>
      <w:tblPr/>
      <w:tcPr>
        <w:tcBorders>
          <w:bottom w:val="single" w:sz="12" w:space="0" w:color="B8DBD0" w:themeColor="accent4" w:themeTint="99"/>
        </w:tcBorders>
      </w:tcPr>
    </w:tblStylePr>
    <w:tblStylePr w:type="lastRow">
      <w:rPr>
        <w:b/>
        <w:bCs/>
      </w:rPr>
      <w:tblPr/>
      <w:tcPr>
        <w:tcBorders>
          <w:top w:val="double" w:sz="4" w:space="0" w:color="B8DBD0" w:themeColor="accent4" w:themeTint="99"/>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GridTable6Colorful-Accent5">
    <w:name w:val="Grid Table 6 Colorful Accent 5"/>
    <w:basedOn w:val="TableNormal"/>
    <w:uiPriority w:val="51"/>
    <w:locked/>
    <w:rsid w:val="00EF65AE"/>
    <w:pPr>
      <w:spacing w:after="0" w:line="240" w:lineRule="auto"/>
    </w:pPr>
    <w:rPr>
      <w:color w:val="9FA6A4" w:themeColor="accent5" w:themeShade="BF"/>
    </w:r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rPr>
      <w:tblPr/>
      <w:tcPr>
        <w:tcBorders>
          <w:bottom w:val="single" w:sz="12" w:space="0" w:color="E7E9E8" w:themeColor="accent5" w:themeTint="99"/>
        </w:tcBorders>
      </w:tcPr>
    </w:tblStylePr>
    <w:tblStylePr w:type="lastRow">
      <w:rPr>
        <w:b/>
        <w:bCs/>
      </w:rPr>
      <w:tblPr/>
      <w:tcPr>
        <w:tcBorders>
          <w:top w:val="double" w:sz="4" w:space="0" w:color="E7E9E8" w:themeColor="accent5" w:themeTint="99"/>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GridTable6Colorful-Accent6">
    <w:name w:val="Grid Table 6 Colorful Accent 6"/>
    <w:basedOn w:val="TableNormal"/>
    <w:uiPriority w:val="51"/>
    <w:locked/>
    <w:rsid w:val="00EF65AE"/>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locked/>
    <w:rsid w:val="00EF65A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EF65AE"/>
    <w:pPr>
      <w:spacing w:after="0" w:line="240" w:lineRule="auto"/>
    </w:pPr>
    <w:rPr>
      <w:color w:val="005C66" w:themeColor="accent1" w:themeShade="BF"/>
    </w:r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1" w:themeFillTint="33"/>
      </w:tcPr>
    </w:tblStylePr>
    <w:tblStylePr w:type="band1Horz">
      <w:tblPr/>
      <w:tcPr>
        <w:shd w:val="clear" w:color="auto" w:fill="B4F7FF" w:themeFill="accent1" w:themeFillTint="33"/>
      </w:tcPr>
    </w:tblStylePr>
    <w:tblStylePr w:type="neCell">
      <w:tblPr/>
      <w:tcPr>
        <w:tcBorders>
          <w:bottom w:val="single" w:sz="4" w:space="0" w:color="1FE9FF" w:themeColor="accent1" w:themeTint="99"/>
        </w:tcBorders>
      </w:tcPr>
    </w:tblStylePr>
    <w:tblStylePr w:type="nwCell">
      <w:tblPr/>
      <w:tcPr>
        <w:tcBorders>
          <w:bottom w:val="single" w:sz="4" w:space="0" w:color="1FE9FF" w:themeColor="accent1" w:themeTint="99"/>
        </w:tcBorders>
      </w:tcPr>
    </w:tblStylePr>
    <w:tblStylePr w:type="seCell">
      <w:tblPr/>
      <w:tcPr>
        <w:tcBorders>
          <w:top w:val="single" w:sz="4" w:space="0" w:color="1FE9FF" w:themeColor="accent1" w:themeTint="99"/>
        </w:tcBorders>
      </w:tcPr>
    </w:tblStylePr>
    <w:tblStylePr w:type="swCell">
      <w:tblPr/>
      <w:tcPr>
        <w:tcBorders>
          <w:top w:val="single" w:sz="4" w:space="0" w:color="1FE9FF" w:themeColor="accent1" w:themeTint="99"/>
        </w:tcBorders>
      </w:tcPr>
    </w:tblStylePr>
  </w:style>
  <w:style w:type="table" w:styleId="GridTable7Colorful-Accent2">
    <w:name w:val="Grid Table 7 Colorful Accent 2"/>
    <w:basedOn w:val="TableNormal"/>
    <w:uiPriority w:val="52"/>
    <w:locked/>
    <w:rsid w:val="00EF65AE"/>
    <w:pPr>
      <w:spacing w:after="0" w:line="240" w:lineRule="auto"/>
    </w:pPr>
    <w:rPr>
      <w:color w:val="874121" w:themeColor="accent2" w:themeShade="BF"/>
    </w:r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CD1" w:themeFill="accent2" w:themeFillTint="33"/>
      </w:tcPr>
    </w:tblStylePr>
    <w:tblStylePr w:type="band1Horz">
      <w:tblPr/>
      <w:tcPr>
        <w:shd w:val="clear" w:color="auto" w:fill="F3DCD1" w:themeFill="accent2" w:themeFillTint="33"/>
      </w:tcPr>
    </w:tblStylePr>
    <w:tblStylePr w:type="neCell">
      <w:tblPr/>
      <w:tcPr>
        <w:tcBorders>
          <w:bottom w:val="single" w:sz="4" w:space="0" w:color="DD9676" w:themeColor="accent2" w:themeTint="99"/>
        </w:tcBorders>
      </w:tcPr>
    </w:tblStylePr>
    <w:tblStylePr w:type="nwCell">
      <w:tblPr/>
      <w:tcPr>
        <w:tcBorders>
          <w:bottom w:val="single" w:sz="4" w:space="0" w:color="DD9676" w:themeColor="accent2" w:themeTint="99"/>
        </w:tcBorders>
      </w:tcPr>
    </w:tblStylePr>
    <w:tblStylePr w:type="seCell">
      <w:tblPr/>
      <w:tcPr>
        <w:tcBorders>
          <w:top w:val="single" w:sz="4" w:space="0" w:color="DD9676" w:themeColor="accent2" w:themeTint="99"/>
        </w:tcBorders>
      </w:tcPr>
    </w:tblStylePr>
    <w:tblStylePr w:type="swCell">
      <w:tblPr/>
      <w:tcPr>
        <w:tcBorders>
          <w:top w:val="single" w:sz="4" w:space="0" w:color="DD9676" w:themeColor="accent2" w:themeTint="99"/>
        </w:tcBorders>
      </w:tcPr>
    </w:tblStylePr>
  </w:style>
  <w:style w:type="table" w:styleId="GridTable7Colorful-Accent3">
    <w:name w:val="Grid Table 7 Colorful Accent 3"/>
    <w:basedOn w:val="TableNormal"/>
    <w:uiPriority w:val="52"/>
    <w:locked/>
    <w:rsid w:val="00EF65AE"/>
    <w:pPr>
      <w:spacing w:after="0" w:line="240" w:lineRule="auto"/>
    </w:pPr>
    <w:rPr>
      <w:color w:val="005C66" w:themeColor="accent3" w:themeShade="BF"/>
    </w:r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3" w:themeFillTint="33"/>
      </w:tcPr>
    </w:tblStylePr>
    <w:tblStylePr w:type="band1Horz">
      <w:tblPr/>
      <w:tcPr>
        <w:shd w:val="clear" w:color="auto" w:fill="B4F7FF" w:themeFill="accent3" w:themeFillTint="33"/>
      </w:tcPr>
    </w:tblStylePr>
    <w:tblStylePr w:type="neCell">
      <w:tblPr/>
      <w:tcPr>
        <w:tcBorders>
          <w:bottom w:val="single" w:sz="4" w:space="0" w:color="1FE9FF" w:themeColor="accent3" w:themeTint="99"/>
        </w:tcBorders>
      </w:tcPr>
    </w:tblStylePr>
    <w:tblStylePr w:type="nwCell">
      <w:tblPr/>
      <w:tcPr>
        <w:tcBorders>
          <w:bottom w:val="single" w:sz="4" w:space="0" w:color="1FE9FF" w:themeColor="accent3" w:themeTint="99"/>
        </w:tcBorders>
      </w:tcPr>
    </w:tblStylePr>
    <w:tblStylePr w:type="seCell">
      <w:tblPr/>
      <w:tcPr>
        <w:tcBorders>
          <w:top w:val="single" w:sz="4" w:space="0" w:color="1FE9FF" w:themeColor="accent3" w:themeTint="99"/>
        </w:tcBorders>
      </w:tcPr>
    </w:tblStylePr>
    <w:tblStylePr w:type="swCell">
      <w:tblPr/>
      <w:tcPr>
        <w:tcBorders>
          <w:top w:val="single" w:sz="4" w:space="0" w:color="1FE9FF" w:themeColor="accent3" w:themeTint="99"/>
        </w:tcBorders>
      </w:tcPr>
    </w:tblStylePr>
  </w:style>
  <w:style w:type="table" w:styleId="GridTable7Colorful-Accent4">
    <w:name w:val="Grid Table 7 Colorful Accent 4"/>
    <w:basedOn w:val="TableNormal"/>
    <w:uiPriority w:val="52"/>
    <w:locked/>
    <w:rsid w:val="00EF65AE"/>
    <w:pPr>
      <w:spacing w:after="0" w:line="240" w:lineRule="auto"/>
    </w:pPr>
    <w:rPr>
      <w:color w:val="54A48C" w:themeColor="accent4" w:themeShade="BF"/>
    </w:r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EF" w:themeFill="accent4" w:themeFillTint="33"/>
      </w:tcPr>
    </w:tblStylePr>
    <w:tblStylePr w:type="band1Horz">
      <w:tblPr/>
      <w:tcPr>
        <w:shd w:val="clear" w:color="auto" w:fill="E7F3EF" w:themeFill="accent4" w:themeFillTint="33"/>
      </w:tcPr>
    </w:tblStylePr>
    <w:tblStylePr w:type="neCell">
      <w:tblPr/>
      <w:tcPr>
        <w:tcBorders>
          <w:bottom w:val="single" w:sz="4" w:space="0" w:color="B8DBD0" w:themeColor="accent4" w:themeTint="99"/>
        </w:tcBorders>
      </w:tcPr>
    </w:tblStylePr>
    <w:tblStylePr w:type="nwCell">
      <w:tblPr/>
      <w:tcPr>
        <w:tcBorders>
          <w:bottom w:val="single" w:sz="4" w:space="0" w:color="B8DBD0" w:themeColor="accent4" w:themeTint="99"/>
        </w:tcBorders>
      </w:tcPr>
    </w:tblStylePr>
    <w:tblStylePr w:type="seCell">
      <w:tblPr/>
      <w:tcPr>
        <w:tcBorders>
          <w:top w:val="single" w:sz="4" w:space="0" w:color="B8DBD0" w:themeColor="accent4" w:themeTint="99"/>
        </w:tcBorders>
      </w:tcPr>
    </w:tblStylePr>
    <w:tblStylePr w:type="swCell">
      <w:tblPr/>
      <w:tcPr>
        <w:tcBorders>
          <w:top w:val="single" w:sz="4" w:space="0" w:color="B8DBD0" w:themeColor="accent4" w:themeTint="99"/>
        </w:tcBorders>
      </w:tcPr>
    </w:tblStylePr>
  </w:style>
  <w:style w:type="table" w:styleId="GridTable7Colorful-Accent5">
    <w:name w:val="Grid Table 7 Colorful Accent 5"/>
    <w:basedOn w:val="TableNormal"/>
    <w:uiPriority w:val="52"/>
    <w:locked/>
    <w:rsid w:val="00EF65AE"/>
    <w:pPr>
      <w:spacing w:after="0" w:line="240" w:lineRule="auto"/>
    </w:pPr>
    <w:rPr>
      <w:color w:val="9FA6A4" w:themeColor="accent5" w:themeShade="BF"/>
    </w:r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5" w:themeFillTint="33"/>
      </w:tcPr>
    </w:tblStylePr>
    <w:tblStylePr w:type="band1Horz">
      <w:tblPr/>
      <w:tcPr>
        <w:shd w:val="clear" w:color="auto" w:fill="F7F7F7" w:themeFill="accent5" w:themeFillTint="33"/>
      </w:tcPr>
    </w:tblStylePr>
    <w:tblStylePr w:type="neCell">
      <w:tblPr/>
      <w:tcPr>
        <w:tcBorders>
          <w:bottom w:val="single" w:sz="4" w:space="0" w:color="E7E9E8" w:themeColor="accent5" w:themeTint="99"/>
        </w:tcBorders>
      </w:tcPr>
    </w:tblStylePr>
    <w:tblStylePr w:type="nwCell">
      <w:tblPr/>
      <w:tcPr>
        <w:tcBorders>
          <w:bottom w:val="single" w:sz="4" w:space="0" w:color="E7E9E8" w:themeColor="accent5" w:themeTint="99"/>
        </w:tcBorders>
      </w:tcPr>
    </w:tblStylePr>
    <w:tblStylePr w:type="seCell">
      <w:tblPr/>
      <w:tcPr>
        <w:tcBorders>
          <w:top w:val="single" w:sz="4" w:space="0" w:color="E7E9E8" w:themeColor="accent5" w:themeTint="99"/>
        </w:tcBorders>
      </w:tcPr>
    </w:tblStylePr>
    <w:tblStylePr w:type="swCell">
      <w:tblPr/>
      <w:tcPr>
        <w:tcBorders>
          <w:top w:val="single" w:sz="4" w:space="0" w:color="E7E9E8" w:themeColor="accent5" w:themeTint="99"/>
        </w:tcBorders>
      </w:tcPr>
    </w:tblStylePr>
  </w:style>
  <w:style w:type="table" w:styleId="GridTable7Colorful-Accent6">
    <w:name w:val="Grid Table 7 Colorful Accent 6"/>
    <w:basedOn w:val="TableNormal"/>
    <w:uiPriority w:val="52"/>
    <w:locked/>
    <w:rsid w:val="00EF65AE"/>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paragraph" w:styleId="ListBullet4">
    <w:name w:val="List Bullet 4"/>
    <w:basedOn w:val="Normal"/>
    <w:uiPriority w:val="99"/>
    <w:semiHidden/>
    <w:qFormat/>
    <w:locked/>
    <w:rsid w:val="00EF65AE"/>
    <w:pPr>
      <w:numPr>
        <w:numId w:val="12"/>
      </w:numPr>
    </w:pPr>
    <w:rPr>
      <w:rFonts w:cs="Arial"/>
    </w:rPr>
  </w:style>
  <w:style w:type="table" w:styleId="ListTable1Light">
    <w:name w:val="List Table 1 Light"/>
    <w:basedOn w:val="TableNormal"/>
    <w:uiPriority w:val="46"/>
    <w:locked/>
    <w:rsid w:val="00EF65A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EF65AE"/>
    <w:pPr>
      <w:spacing w:after="0" w:line="240" w:lineRule="auto"/>
    </w:pPr>
    <w:tblPr>
      <w:tblStyleRowBandSize w:val="1"/>
      <w:tblStyleColBandSize w:val="1"/>
    </w:tblPr>
    <w:tblStylePr w:type="firstRow">
      <w:rPr>
        <w:b/>
        <w:bCs/>
      </w:rPr>
      <w:tblPr/>
      <w:tcPr>
        <w:tcBorders>
          <w:bottom w:val="single" w:sz="4" w:space="0" w:color="1FE9FF" w:themeColor="accent1" w:themeTint="99"/>
        </w:tcBorders>
      </w:tcPr>
    </w:tblStylePr>
    <w:tblStylePr w:type="lastRow">
      <w:rPr>
        <w:b/>
        <w:bCs/>
      </w:rPr>
      <w:tblPr/>
      <w:tcPr>
        <w:tcBorders>
          <w:top w:val="single" w:sz="4" w:space="0" w:color="1FE9FF" w:themeColor="accent1" w:themeTint="99"/>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1Light-Accent2">
    <w:name w:val="List Table 1 Light Accent 2"/>
    <w:basedOn w:val="TableNormal"/>
    <w:uiPriority w:val="46"/>
    <w:locked/>
    <w:rsid w:val="00EF65AE"/>
    <w:pPr>
      <w:spacing w:after="0" w:line="240" w:lineRule="auto"/>
    </w:pPr>
    <w:tblPr>
      <w:tblStyleRowBandSize w:val="1"/>
      <w:tblStyleColBandSize w:val="1"/>
    </w:tblPr>
    <w:tblStylePr w:type="firstRow">
      <w:rPr>
        <w:b/>
        <w:bCs/>
      </w:rPr>
      <w:tblPr/>
      <w:tcPr>
        <w:tcBorders>
          <w:bottom w:val="single" w:sz="4" w:space="0" w:color="DD9676" w:themeColor="accent2" w:themeTint="99"/>
        </w:tcBorders>
      </w:tcPr>
    </w:tblStylePr>
    <w:tblStylePr w:type="lastRow">
      <w:rPr>
        <w:b/>
        <w:bCs/>
      </w:rPr>
      <w:tblPr/>
      <w:tcPr>
        <w:tcBorders>
          <w:top w:val="single" w:sz="4" w:space="0" w:color="DD9676" w:themeColor="accent2" w:themeTint="99"/>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1Light-Accent3">
    <w:name w:val="List Table 1 Light Accent 3"/>
    <w:basedOn w:val="TableNormal"/>
    <w:uiPriority w:val="46"/>
    <w:locked/>
    <w:rsid w:val="00EF65AE"/>
    <w:pPr>
      <w:spacing w:after="0" w:line="240" w:lineRule="auto"/>
    </w:pPr>
    <w:tblPr>
      <w:tblStyleRowBandSize w:val="1"/>
      <w:tblStyleColBandSize w:val="1"/>
    </w:tblPr>
    <w:tblStylePr w:type="firstRow">
      <w:rPr>
        <w:b/>
        <w:bCs/>
      </w:rPr>
      <w:tblPr/>
      <w:tcPr>
        <w:tcBorders>
          <w:bottom w:val="single" w:sz="4" w:space="0" w:color="1FE9FF" w:themeColor="accent3" w:themeTint="99"/>
        </w:tcBorders>
      </w:tcPr>
    </w:tblStylePr>
    <w:tblStylePr w:type="lastRow">
      <w:rPr>
        <w:b/>
        <w:bCs/>
      </w:rPr>
      <w:tblPr/>
      <w:tcPr>
        <w:tcBorders>
          <w:top w:val="single" w:sz="4" w:space="0" w:color="1FE9FF" w:themeColor="accent3" w:themeTint="99"/>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1Light-Accent4">
    <w:name w:val="List Table 1 Light Accent 4"/>
    <w:basedOn w:val="TableNormal"/>
    <w:uiPriority w:val="46"/>
    <w:locked/>
    <w:rsid w:val="00EF65AE"/>
    <w:pPr>
      <w:spacing w:after="0" w:line="240" w:lineRule="auto"/>
    </w:pPr>
    <w:tblPr>
      <w:tblStyleRowBandSize w:val="1"/>
      <w:tblStyleColBandSize w:val="1"/>
    </w:tblPr>
    <w:tblStylePr w:type="firstRow">
      <w:rPr>
        <w:b/>
        <w:bCs/>
      </w:rPr>
      <w:tblPr/>
      <w:tcPr>
        <w:tcBorders>
          <w:bottom w:val="single" w:sz="4" w:space="0" w:color="B8DBD0" w:themeColor="accent4" w:themeTint="99"/>
        </w:tcBorders>
      </w:tcPr>
    </w:tblStylePr>
    <w:tblStylePr w:type="lastRow">
      <w:rPr>
        <w:b/>
        <w:bCs/>
      </w:rPr>
      <w:tblPr/>
      <w:tcPr>
        <w:tcBorders>
          <w:top w:val="single" w:sz="4" w:space="0" w:color="B8DBD0" w:themeColor="accent4" w:themeTint="99"/>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1Light-Accent5">
    <w:name w:val="List Table 1 Light Accent 5"/>
    <w:basedOn w:val="TableNormal"/>
    <w:uiPriority w:val="46"/>
    <w:locked/>
    <w:rsid w:val="00EF65AE"/>
    <w:pPr>
      <w:spacing w:after="0" w:line="240" w:lineRule="auto"/>
    </w:pPr>
    <w:tblPr>
      <w:tblStyleRowBandSize w:val="1"/>
      <w:tblStyleColBandSize w:val="1"/>
    </w:tblPr>
    <w:tblStylePr w:type="firstRow">
      <w:rPr>
        <w:b/>
        <w:bCs/>
      </w:rPr>
      <w:tblPr/>
      <w:tcPr>
        <w:tcBorders>
          <w:bottom w:val="single" w:sz="4" w:space="0" w:color="E7E9E8" w:themeColor="accent5" w:themeTint="99"/>
        </w:tcBorders>
      </w:tcPr>
    </w:tblStylePr>
    <w:tblStylePr w:type="lastRow">
      <w:rPr>
        <w:b/>
        <w:bCs/>
      </w:rPr>
      <w:tblPr/>
      <w:tcPr>
        <w:tcBorders>
          <w:top w:val="single" w:sz="4" w:space="0" w:color="E7E9E8" w:themeColor="accent5" w:themeTint="99"/>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1Light-Accent6">
    <w:name w:val="List Table 1 Light Accent 6"/>
    <w:basedOn w:val="TableNormal"/>
    <w:uiPriority w:val="46"/>
    <w:locked/>
    <w:rsid w:val="00EF65AE"/>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locked/>
    <w:rsid w:val="00EF65A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EF65AE"/>
    <w:pPr>
      <w:spacing w:after="0" w:line="240" w:lineRule="auto"/>
    </w:pPr>
    <w:tblPr>
      <w:tblStyleRowBandSize w:val="1"/>
      <w:tblStyleColBandSize w:val="1"/>
      <w:tblBorders>
        <w:top w:val="single" w:sz="4" w:space="0" w:color="1FE9FF" w:themeColor="accent1" w:themeTint="99"/>
        <w:bottom w:val="single" w:sz="4" w:space="0" w:color="1FE9FF" w:themeColor="accent1" w:themeTint="99"/>
        <w:insideH w:val="single" w:sz="4" w:space="0" w:color="1FE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2-Accent2">
    <w:name w:val="List Table 2 Accent 2"/>
    <w:basedOn w:val="TableNormal"/>
    <w:uiPriority w:val="47"/>
    <w:locked/>
    <w:rsid w:val="00EF65AE"/>
    <w:pPr>
      <w:spacing w:after="0" w:line="240" w:lineRule="auto"/>
    </w:pPr>
    <w:tblPr>
      <w:tblStyleRowBandSize w:val="1"/>
      <w:tblStyleColBandSize w:val="1"/>
      <w:tblBorders>
        <w:top w:val="single" w:sz="4" w:space="0" w:color="DD9676" w:themeColor="accent2" w:themeTint="99"/>
        <w:bottom w:val="single" w:sz="4" w:space="0" w:color="DD9676" w:themeColor="accent2" w:themeTint="99"/>
        <w:insideH w:val="single" w:sz="4" w:space="0" w:color="DD96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2-Accent3">
    <w:name w:val="List Table 2 Accent 3"/>
    <w:basedOn w:val="TableNormal"/>
    <w:uiPriority w:val="47"/>
    <w:locked/>
    <w:rsid w:val="00EF65AE"/>
    <w:pPr>
      <w:spacing w:after="0" w:line="240" w:lineRule="auto"/>
    </w:pPr>
    <w:tblPr>
      <w:tblStyleRowBandSize w:val="1"/>
      <w:tblStyleColBandSize w:val="1"/>
      <w:tblBorders>
        <w:top w:val="single" w:sz="4" w:space="0" w:color="1FE9FF" w:themeColor="accent3" w:themeTint="99"/>
        <w:bottom w:val="single" w:sz="4" w:space="0" w:color="1FE9FF" w:themeColor="accent3" w:themeTint="99"/>
        <w:insideH w:val="single" w:sz="4" w:space="0" w:color="1FE9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2-Accent4">
    <w:name w:val="List Table 2 Accent 4"/>
    <w:basedOn w:val="TableNormal"/>
    <w:uiPriority w:val="47"/>
    <w:locked/>
    <w:rsid w:val="00EF65AE"/>
    <w:pPr>
      <w:spacing w:after="0" w:line="240" w:lineRule="auto"/>
    </w:pPr>
    <w:tblPr>
      <w:tblStyleRowBandSize w:val="1"/>
      <w:tblStyleColBandSize w:val="1"/>
      <w:tblBorders>
        <w:top w:val="single" w:sz="4" w:space="0" w:color="B8DBD0" w:themeColor="accent4" w:themeTint="99"/>
        <w:bottom w:val="single" w:sz="4" w:space="0" w:color="B8DBD0" w:themeColor="accent4" w:themeTint="99"/>
        <w:insideH w:val="single" w:sz="4" w:space="0" w:color="B8DBD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2-Accent5">
    <w:name w:val="List Table 2 Accent 5"/>
    <w:basedOn w:val="TableNormal"/>
    <w:uiPriority w:val="47"/>
    <w:locked/>
    <w:rsid w:val="00EF65AE"/>
    <w:pPr>
      <w:spacing w:after="0" w:line="240" w:lineRule="auto"/>
    </w:pPr>
    <w:tblPr>
      <w:tblStyleRowBandSize w:val="1"/>
      <w:tblStyleColBandSize w:val="1"/>
      <w:tblBorders>
        <w:top w:val="single" w:sz="4" w:space="0" w:color="E7E9E8" w:themeColor="accent5" w:themeTint="99"/>
        <w:bottom w:val="single" w:sz="4" w:space="0" w:color="E7E9E8" w:themeColor="accent5" w:themeTint="99"/>
        <w:insideH w:val="single" w:sz="4" w:space="0" w:color="E7E9E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2-Accent6">
    <w:name w:val="List Table 2 Accent 6"/>
    <w:basedOn w:val="TableNormal"/>
    <w:uiPriority w:val="47"/>
    <w:locked/>
    <w:rsid w:val="00EF65AE"/>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locked/>
    <w:rsid w:val="00EF65A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EF65AE"/>
    <w:pPr>
      <w:spacing w:after="0" w:line="240" w:lineRule="auto"/>
    </w:pPr>
    <w:tblPr>
      <w:tblStyleRowBandSize w:val="1"/>
      <w:tblStyleColBandSize w:val="1"/>
      <w:tblBorders>
        <w:top w:val="single" w:sz="4" w:space="0" w:color="007C89" w:themeColor="accent1"/>
        <w:left w:val="single" w:sz="4" w:space="0" w:color="007C89" w:themeColor="accent1"/>
        <w:bottom w:val="single" w:sz="4" w:space="0" w:color="007C89" w:themeColor="accent1"/>
        <w:right w:val="single" w:sz="4" w:space="0" w:color="007C89" w:themeColor="accent1"/>
      </w:tblBorders>
    </w:tblPr>
    <w:tblStylePr w:type="firstRow">
      <w:rPr>
        <w:b/>
        <w:bCs/>
        <w:color w:val="FFFFFF" w:themeColor="background1"/>
      </w:rPr>
      <w:tblPr/>
      <w:tcPr>
        <w:shd w:val="clear" w:color="auto" w:fill="007C89" w:themeFill="accent1"/>
      </w:tcPr>
    </w:tblStylePr>
    <w:tblStylePr w:type="lastRow">
      <w:rPr>
        <w:b/>
        <w:bCs/>
      </w:rPr>
      <w:tblPr/>
      <w:tcPr>
        <w:tcBorders>
          <w:top w:val="double" w:sz="4" w:space="0" w:color="007C8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9" w:themeColor="accent1"/>
          <w:right w:val="single" w:sz="4" w:space="0" w:color="007C89" w:themeColor="accent1"/>
        </w:tcBorders>
      </w:tcPr>
    </w:tblStylePr>
    <w:tblStylePr w:type="band1Horz">
      <w:tblPr/>
      <w:tcPr>
        <w:tcBorders>
          <w:top w:val="single" w:sz="4" w:space="0" w:color="007C89" w:themeColor="accent1"/>
          <w:bottom w:val="single" w:sz="4" w:space="0" w:color="007C8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9" w:themeColor="accent1"/>
          <w:left w:val="nil"/>
        </w:tcBorders>
      </w:tcPr>
    </w:tblStylePr>
    <w:tblStylePr w:type="swCell">
      <w:tblPr/>
      <w:tcPr>
        <w:tcBorders>
          <w:top w:val="double" w:sz="4" w:space="0" w:color="007C89" w:themeColor="accent1"/>
          <w:right w:val="nil"/>
        </w:tcBorders>
      </w:tcPr>
    </w:tblStylePr>
  </w:style>
  <w:style w:type="table" w:styleId="ListTable3-Accent2">
    <w:name w:val="List Table 3 Accent 2"/>
    <w:basedOn w:val="TableNormal"/>
    <w:uiPriority w:val="48"/>
    <w:locked/>
    <w:rsid w:val="00EF65AE"/>
    <w:pPr>
      <w:spacing w:after="0" w:line="240" w:lineRule="auto"/>
    </w:pPr>
    <w:tblPr>
      <w:tblStyleRowBandSize w:val="1"/>
      <w:tblStyleColBandSize w:val="1"/>
      <w:tblBorders>
        <w:top w:val="single" w:sz="4" w:space="0" w:color="B5582D" w:themeColor="accent2"/>
        <w:left w:val="single" w:sz="4" w:space="0" w:color="B5582D" w:themeColor="accent2"/>
        <w:bottom w:val="single" w:sz="4" w:space="0" w:color="B5582D" w:themeColor="accent2"/>
        <w:right w:val="single" w:sz="4" w:space="0" w:color="B5582D" w:themeColor="accent2"/>
      </w:tblBorders>
    </w:tblPr>
    <w:tblStylePr w:type="firstRow">
      <w:rPr>
        <w:b/>
        <w:bCs/>
        <w:color w:val="FFFFFF" w:themeColor="background1"/>
      </w:rPr>
      <w:tblPr/>
      <w:tcPr>
        <w:shd w:val="clear" w:color="auto" w:fill="B5582D" w:themeFill="accent2"/>
      </w:tcPr>
    </w:tblStylePr>
    <w:tblStylePr w:type="lastRow">
      <w:rPr>
        <w:b/>
        <w:bCs/>
      </w:rPr>
      <w:tblPr/>
      <w:tcPr>
        <w:tcBorders>
          <w:top w:val="double" w:sz="4" w:space="0" w:color="B5582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582D" w:themeColor="accent2"/>
          <w:right w:val="single" w:sz="4" w:space="0" w:color="B5582D" w:themeColor="accent2"/>
        </w:tcBorders>
      </w:tcPr>
    </w:tblStylePr>
    <w:tblStylePr w:type="band1Horz">
      <w:tblPr/>
      <w:tcPr>
        <w:tcBorders>
          <w:top w:val="single" w:sz="4" w:space="0" w:color="B5582D" w:themeColor="accent2"/>
          <w:bottom w:val="single" w:sz="4" w:space="0" w:color="B5582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582D" w:themeColor="accent2"/>
          <w:left w:val="nil"/>
        </w:tcBorders>
      </w:tcPr>
    </w:tblStylePr>
    <w:tblStylePr w:type="swCell">
      <w:tblPr/>
      <w:tcPr>
        <w:tcBorders>
          <w:top w:val="double" w:sz="4" w:space="0" w:color="B5582D" w:themeColor="accent2"/>
          <w:right w:val="nil"/>
        </w:tcBorders>
      </w:tcPr>
    </w:tblStylePr>
  </w:style>
  <w:style w:type="table" w:styleId="ListTable3-Accent3">
    <w:name w:val="List Table 3 Accent 3"/>
    <w:basedOn w:val="TableNormal"/>
    <w:uiPriority w:val="48"/>
    <w:locked/>
    <w:rsid w:val="00EF65AE"/>
    <w:pPr>
      <w:spacing w:after="0" w:line="240" w:lineRule="auto"/>
    </w:pPr>
    <w:tblPr>
      <w:tblStyleRowBandSize w:val="1"/>
      <w:tblStyleColBandSize w:val="1"/>
      <w:tblBorders>
        <w:top w:val="single" w:sz="4" w:space="0" w:color="007C89" w:themeColor="accent3"/>
        <w:left w:val="single" w:sz="4" w:space="0" w:color="007C89" w:themeColor="accent3"/>
        <w:bottom w:val="single" w:sz="4" w:space="0" w:color="007C89" w:themeColor="accent3"/>
        <w:right w:val="single" w:sz="4" w:space="0" w:color="007C89" w:themeColor="accent3"/>
      </w:tblBorders>
    </w:tblPr>
    <w:tblStylePr w:type="firstRow">
      <w:rPr>
        <w:b/>
        <w:bCs/>
        <w:color w:val="FFFFFF" w:themeColor="background1"/>
      </w:rPr>
      <w:tblPr/>
      <w:tcPr>
        <w:shd w:val="clear" w:color="auto" w:fill="007C89" w:themeFill="accent3"/>
      </w:tcPr>
    </w:tblStylePr>
    <w:tblStylePr w:type="lastRow">
      <w:rPr>
        <w:b/>
        <w:bCs/>
      </w:rPr>
      <w:tblPr/>
      <w:tcPr>
        <w:tcBorders>
          <w:top w:val="double" w:sz="4" w:space="0" w:color="007C8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9" w:themeColor="accent3"/>
          <w:right w:val="single" w:sz="4" w:space="0" w:color="007C89" w:themeColor="accent3"/>
        </w:tcBorders>
      </w:tcPr>
    </w:tblStylePr>
    <w:tblStylePr w:type="band1Horz">
      <w:tblPr/>
      <w:tcPr>
        <w:tcBorders>
          <w:top w:val="single" w:sz="4" w:space="0" w:color="007C89" w:themeColor="accent3"/>
          <w:bottom w:val="single" w:sz="4" w:space="0" w:color="007C8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9" w:themeColor="accent3"/>
          <w:left w:val="nil"/>
        </w:tcBorders>
      </w:tcPr>
    </w:tblStylePr>
    <w:tblStylePr w:type="swCell">
      <w:tblPr/>
      <w:tcPr>
        <w:tcBorders>
          <w:top w:val="double" w:sz="4" w:space="0" w:color="007C89" w:themeColor="accent3"/>
          <w:right w:val="nil"/>
        </w:tcBorders>
      </w:tcPr>
    </w:tblStylePr>
  </w:style>
  <w:style w:type="table" w:styleId="ListTable3-Accent4">
    <w:name w:val="List Table 3 Accent 4"/>
    <w:basedOn w:val="TableNormal"/>
    <w:uiPriority w:val="48"/>
    <w:locked/>
    <w:rsid w:val="00EF65AE"/>
    <w:pPr>
      <w:spacing w:after="0" w:line="240" w:lineRule="auto"/>
    </w:pPr>
    <w:tblPr>
      <w:tblStyleRowBandSize w:val="1"/>
      <w:tblStyleColBandSize w:val="1"/>
      <w:tblBorders>
        <w:top w:val="single" w:sz="4" w:space="0" w:color="89C3B2" w:themeColor="accent4"/>
        <w:left w:val="single" w:sz="4" w:space="0" w:color="89C3B2" w:themeColor="accent4"/>
        <w:bottom w:val="single" w:sz="4" w:space="0" w:color="89C3B2" w:themeColor="accent4"/>
        <w:right w:val="single" w:sz="4" w:space="0" w:color="89C3B2" w:themeColor="accent4"/>
      </w:tblBorders>
    </w:tblPr>
    <w:tblStylePr w:type="firstRow">
      <w:rPr>
        <w:b/>
        <w:bCs/>
        <w:color w:val="FFFFFF" w:themeColor="background1"/>
      </w:rPr>
      <w:tblPr/>
      <w:tcPr>
        <w:shd w:val="clear" w:color="auto" w:fill="89C3B2" w:themeFill="accent4"/>
      </w:tcPr>
    </w:tblStylePr>
    <w:tblStylePr w:type="lastRow">
      <w:rPr>
        <w:b/>
        <w:bCs/>
      </w:rPr>
      <w:tblPr/>
      <w:tcPr>
        <w:tcBorders>
          <w:top w:val="double" w:sz="4" w:space="0" w:color="89C3B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C3B2" w:themeColor="accent4"/>
          <w:right w:val="single" w:sz="4" w:space="0" w:color="89C3B2" w:themeColor="accent4"/>
        </w:tcBorders>
      </w:tcPr>
    </w:tblStylePr>
    <w:tblStylePr w:type="band1Horz">
      <w:tblPr/>
      <w:tcPr>
        <w:tcBorders>
          <w:top w:val="single" w:sz="4" w:space="0" w:color="89C3B2" w:themeColor="accent4"/>
          <w:bottom w:val="single" w:sz="4" w:space="0" w:color="89C3B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C3B2" w:themeColor="accent4"/>
          <w:left w:val="nil"/>
        </w:tcBorders>
      </w:tcPr>
    </w:tblStylePr>
    <w:tblStylePr w:type="swCell">
      <w:tblPr/>
      <w:tcPr>
        <w:tcBorders>
          <w:top w:val="double" w:sz="4" w:space="0" w:color="89C3B2" w:themeColor="accent4"/>
          <w:right w:val="nil"/>
        </w:tcBorders>
      </w:tcPr>
    </w:tblStylePr>
  </w:style>
  <w:style w:type="table" w:styleId="ListTable3-Accent5">
    <w:name w:val="List Table 3 Accent 5"/>
    <w:basedOn w:val="TableNormal"/>
    <w:uiPriority w:val="48"/>
    <w:locked/>
    <w:rsid w:val="00EF65AE"/>
    <w:pPr>
      <w:spacing w:after="0" w:line="240" w:lineRule="auto"/>
    </w:pPr>
    <w:tblPr>
      <w:tblStyleRowBandSize w:val="1"/>
      <w:tblStyleColBandSize w:val="1"/>
      <w:tblBorders>
        <w:top w:val="single" w:sz="4" w:space="0" w:color="D8DBDA" w:themeColor="accent5"/>
        <w:left w:val="single" w:sz="4" w:space="0" w:color="D8DBDA" w:themeColor="accent5"/>
        <w:bottom w:val="single" w:sz="4" w:space="0" w:color="D8DBDA" w:themeColor="accent5"/>
        <w:right w:val="single" w:sz="4" w:space="0" w:color="D8DBDA" w:themeColor="accent5"/>
      </w:tblBorders>
    </w:tblPr>
    <w:tblStylePr w:type="firstRow">
      <w:rPr>
        <w:b/>
        <w:bCs/>
        <w:color w:val="FFFFFF" w:themeColor="background1"/>
      </w:rPr>
      <w:tblPr/>
      <w:tcPr>
        <w:shd w:val="clear" w:color="auto" w:fill="D8DBDA" w:themeFill="accent5"/>
      </w:tcPr>
    </w:tblStylePr>
    <w:tblStylePr w:type="lastRow">
      <w:rPr>
        <w:b/>
        <w:bCs/>
      </w:rPr>
      <w:tblPr/>
      <w:tcPr>
        <w:tcBorders>
          <w:top w:val="double" w:sz="4" w:space="0" w:color="D8DB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BDA" w:themeColor="accent5"/>
          <w:right w:val="single" w:sz="4" w:space="0" w:color="D8DBDA" w:themeColor="accent5"/>
        </w:tcBorders>
      </w:tcPr>
    </w:tblStylePr>
    <w:tblStylePr w:type="band1Horz">
      <w:tblPr/>
      <w:tcPr>
        <w:tcBorders>
          <w:top w:val="single" w:sz="4" w:space="0" w:color="D8DBDA" w:themeColor="accent5"/>
          <w:bottom w:val="single" w:sz="4" w:space="0" w:color="D8DB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BDA" w:themeColor="accent5"/>
          <w:left w:val="nil"/>
        </w:tcBorders>
      </w:tcPr>
    </w:tblStylePr>
    <w:tblStylePr w:type="swCell">
      <w:tblPr/>
      <w:tcPr>
        <w:tcBorders>
          <w:top w:val="double" w:sz="4" w:space="0" w:color="D8DBDA" w:themeColor="accent5"/>
          <w:right w:val="nil"/>
        </w:tcBorders>
      </w:tcPr>
    </w:tblStylePr>
  </w:style>
  <w:style w:type="table" w:styleId="ListTable3-Accent6">
    <w:name w:val="List Table 3 Accent 6"/>
    <w:basedOn w:val="TableNormal"/>
    <w:uiPriority w:val="48"/>
    <w:locked/>
    <w:rsid w:val="00EF65AE"/>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locked/>
    <w:rsid w:val="00EF65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EF65AE"/>
    <w:pPr>
      <w:spacing w:after="0" w:line="240" w:lineRule="auto"/>
    </w:p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tblBorders>
    </w:tblPr>
    <w:tblStylePr w:type="firstRow">
      <w:rPr>
        <w:b/>
        <w:bCs/>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tcBorders>
        <w:shd w:val="clear" w:color="auto" w:fill="007C89" w:themeFill="accent1"/>
      </w:tcPr>
    </w:tblStylePr>
    <w:tblStylePr w:type="lastRow">
      <w:rPr>
        <w:b/>
        <w:bCs/>
      </w:rPr>
      <w:tblPr/>
      <w:tcPr>
        <w:tcBorders>
          <w:top w:val="double" w:sz="4" w:space="0" w:color="1FE9FF" w:themeColor="accent1" w:themeTint="99"/>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4-Accent2">
    <w:name w:val="List Table 4 Accent 2"/>
    <w:basedOn w:val="TableNormal"/>
    <w:uiPriority w:val="49"/>
    <w:locked/>
    <w:rsid w:val="00EF65AE"/>
    <w:pPr>
      <w:spacing w:after="0" w:line="240" w:lineRule="auto"/>
    </w:p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tblBorders>
    </w:tblPr>
    <w:tblStylePr w:type="firstRow">
      <w:rPr>
        <w:b/>
        <w:bCs/>
        <w:color w:val="FFFFFF" w:themeColor="background1"/>
      </w:rPr>
      <w:tblPr/>
      <w:tcPr>
        <w:tcBorders>
          <w:top w:val="single" w:sz="4" w:space="0" w:color="B5582D" w:themeColor="accent2"/>
          <w:left w:val="single" w:sz="4" w:space="0" w:color="B5582D" w:themeColor="accent2"/>
          <w:bottom w:val="single" w:sz="4" w:space="0" w:color="B5582D" w:themeColor="accent2"/>
          <w:right w:val="single" w:sz="4" w:space="0" w:color="B5582D" w:themeColor="accent2"/>
          <w:insideH w:val="nil"/>
        </w:tcBorders>
        <w:shd w:val="clear" w:color="auto" w:fill="B5582D" w:themeFill="accent2"/>
      </w:tcPr>
    </w:tblStylePr>
    <w:tblStylePr w:type="lastRow">
      <w:rPr>
        <w:b/>
        <w:bCs/>
      </w:rPr>
      <w:tblPr/>
      <w:tcPr>
        <w:tcBorders>
          <w:top w:val="double" w:sz="4" w:space="0" w:color="DD9676" w:themeColor="accent2" w:themeTint="99"/>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4-Accent3">
    <w:name w:val="List Table 4 Accent 3"/>
    <w:basedOn w:val="TableNormal"/>
    <w:uiPriority w:val="49"/>
    <w:locked/>
    <w:rsid w:val="00EF65AE"/>
    <w:pPr>
      <w:spacing w:after="0" w:line="240" w:lineRule="auto"/>
    </w:p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tblBorders>
    </w:tblPr>
    <w:tblStylePr w:type="firstRow">
      <w:rPr>
        <w:b/>
        <w:bCs/>
        <w:color w:val="FFFFFF" w:themeColor="background1"/>
      </w:rPr>
      <w:tblPr/>
      <w:tcPr>
        <w:tcBorders>
          <w:top w:val="single" w:sz="4" w:space="0" w:color="007C89" w:themeColor="accent3"/>
          <w:left w:val="single" w:sz="4" w:space="0" w:color="007C89" w:themeColor="accent3"/>
          <w:bottom w:val="single" w:sz="4" w:space="0" w:color="007C89" w:themeColor="accent3"/>
          <w:right w:val="single" w:sz="4" w:space="0" w:color="007C89" w:themeColor="accent3"/>
          <w:insideH w:val="nil"/>
        </w:tcBorders>
        <w:shd w:val="clear" w:color="auto" w:fill="007C89" w:themeFill="accent3"/>
      </w:tcPr>
    </w:tblStylePr>
    <w:tblStylePr w:type="lastRow">
      <w:rPr>
        <w:b/>
        <w:bCs/>
      </w:rPr>
      <w:tblPr/>
      <w:tcPr>
        <w:tcBorders>
          <w:top w:val="double" w:sz="4" w:space="0" w:color="1FE9FF" w:themeColor="accent3" w:themeTint="99"/>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4-Accent4">
    <w:name w:val="List Table 4 Accent 4"/>
    <w:basedOn w:val="TableNormal"/>
    <w:uiPriority w:val="49"/>
    <w:locked/>
    <w:rsid w:val="00EF65AE"/>
    <w:pPr>
      <w:spacing w:after="0" w:line="240" w:lineRule="auto"/>
    </w:p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tblBorders>
    </w:tblPr>
    <w:tblStylePr w:type="firstRow">
      <w:rPr>
        <w:b/>
        <w:bCs/>
        <w:color w:val="FFFFFF" w:themeColor="background1"/>
      </w:rPr>
      <w:tblPr/>
      <w:tcPr>
        <w:tcBorders>
          <w:top w:val="single" w:sz="4" w:space="0" w:color="89C3B2" w:themeColor="accent4"/>
          <w:left w:val="single" w:sz="4" w:space="0" w:color="89C3B2" w:themeColor="accent4"/>
          <w:bottom w:val="single" w:sz="4" w:space="0" w:color="89C3B2" w:themeColor="accent4"/>
          <w:right w:val="single" w:sz="4" w:space="0" w:color="89C3B2" w:themeColor="accent4"/>
          <w:insideH w:val="nil"/>
        </w:tcBorders>
        <w:shd w:val="clear" w:color="auto" w:fill="89C3B2" w:themeFill="accent4"/>
      </w:tcPr>
    </w:tblStylePr>
    <w:tblStylePr w:type="lastRow">
      <w:rPr>
        <w:b/>
        <w:bCs/>
      </w:rPr>
      <w:tblPr/>
      <w:tcPr>
        <w:tcBorders>
          <w:top w:val="double" w:sz="4" w:space="0" w:color="B8DBD0" w:themeColor="accent4" w:themeTint="99"/>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4-Accent5">
    <w:name w:val="List Table 4 Accent 5"/>
    <w:basedOn w:val="TableNormal"/>
    <w:uiPriority w:val="49"/>
    <w:locked/>
    <w:rsid w:val="00EF65AE"/>
    <w:pPr>
      <w:spacing w:after="0" w:line="240" w:lineRule="auto"/>
    </w:p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tblBorders>
    </w:tblPr>
    <w:tblStylePr w:type="firstRow">
      <w:rPr>
        <w:b/>
        <w:bCs/>
        <w:color w:val="FFFFFF" w:themeColor="background1"/>
      </w:rPr>
      <w:tblPr/>
      <w:tcPr>
        <w:tcBorders>
          <w:top w:val="single" w:sz="4" w:space="0" w:color="D8DBDA" w:themeColor="accent5"/>
          <w:left w:val="single" w:sz="4" w:space="0" w:color="D8DBDA" w:themeColor="accent5"/>
          <w:bottom w:val="single" w:sz="4" w:space="0" w:color="D8DBDA" w:themeColor="accent5"/>
          <w:right w:val="single" w:sz="4" w:space="0" w:color="D8DBDA" w:themeColor="accent5"/>
          <w:insideH w:val="nil"/>
        </w:tcBorders>
        <w:shd w:val="clear" w:color="auto" w:fill="D8DBDA" w:themeFill="accent5"/>
      </w:tcPr>
    </w:tblStylePr>
    <w:tblStylePr w:type="lastRow">
      <w:rPr>
        <w:b/>
        <w:bCs/>
      </w:rPr>
      <w:tblPr/>
      <w:tcPr>
        <w:tcBorders>
          <w:top w:val="double" w:sz="4" w:space="0" w:color="E7E9E8" w:themeColor="accent5" w:themeTint="99"/>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4-Accent6">
    <w:name w:val="List Table 4 Accent 6"/>
    <w:basedOn w:val="TableNormal"/>
    <w:uiPriority w:val="49"/>
    <w:locked/>
    <w:rsid w:val="00EF65AE"/>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locked/>
    <w:rsid w:val="00EF65A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EF65AE"/>
    <w:pPr>
      <w:spacing w:after="0" w:line="240" w:lineRule="auto"/>
    </w:pPr>
    <w:rPr>
      <w:color w:val="FFFFFF" w:themeColor="background1"/>
    </w:rPr>
    <w:tblPr>
      <w:tblStyleRowBandSize w:val="1"/>
      <w:tblStyleColBandSize w:val="1"/>
      <w:tblBorders>
        <w:top w:val="single" w:sz="24" w:space="0" w:color="007C89" w:themeColor="accent1"/>
        <w:left w:val="single" w:sz="24" w:space="0" w:color="007C89" w:themeColor="accent1"/>
        <w:bottom w:val="single" w:sz="24" w:space="0" w:color="007C89" w:themeColor="accent1"/>
        <w:right w:val="single" w:sz="24" w:space="0" w:color="007C89" w:themeColor="accent1"/>
      </w:tblBorders>
    </w:tblPr>
    <w:tcPr>
      <w:shd w:val="clear" w:color="auto" w:fill="007C8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EF65AE"/>
    <w:pPr>
      <w:spacing w:after="0" w:line="240" w:lineRule="auto"/>
    </w:pPr>
    <w:rPr>
      <w:color w:val="FFFFFF" w:themeColor="background1"/>
    </w:rPr>
    <w:tblPr>
      <w:tblStyleRowBandSize w:val="1"/>
      <w:tblStyleColBandSize w:val="1"/>
      <w:tblBorders>
        <w:top w:val="single" w:sz="24" w:space="0" w:color="B5582D" w:themeColor="accent2"/>
        <w:left w:val="single" w:sz="24" w:space="0" w:color="B5582D" w:themeColor="accent2"/>
        <w:bottom w:val="single" w:sz="24" w:space="0" w:color="B5582D" w:themeColor="accent2"/>
        <w:right w:val="single" w:sz="24" w:space="0" w:color="B5582D" w:themeColor="accent2"/>
      </w:tblBorders>
    </w:tblPr>
    <w:tcPr>
      <w:shd w:val="clear" w:color="auto" w:fill="B5582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EF65AE"/>
    <w:pPr>
      <w:spacing w:after="0" w:line="240" w:lineRule="auto"/>
    </w:pPr>
    <w:rPr>
      <w:color w:val="FFFFFF" w:themeColor="background1"/>
    </w:rPr>
    <w:tblPr>
      <w:tblStyleRowBandSize w:val="1"/>
      <w:tblStyleColBandSize w:val="1"/>
      <w:tblBorders>
        <w:top w:val="single" w:sz="24" w:space="0" w:color="007C89" w:themeColor="accent3"/>
        <w:left w:val="single" w:sz="24" w:space="0" w:color="007C89" w:themeColor="accent3"/>
        <w:bottom w:val="single" w:sz="24" w:space="0" w:color="007C89" w:themeColor="accent3"/>
        <w:right w:val="single" w:sz="24" w:space="0" w:color="007C89" w:themeColor="accent3"/>
      </w:tblBorders>
    </w:tblPr>
    <w:tcPr>
      <w:shd w:val="clear" w:color="auto" w:fill="007C8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EF65AE"/>
    <w:pPr>
      <w:spacing w:after="0" w:line="240" w:lineRule="auto"/>
    </w:pPr>
    <w:rPr>
      <w:color w:val="FFFFFF" w:themeColor="background1"/>
    </w:rPr>
    <w:tblPr>
      <w:tblStyleRowBandSize w:val="1"/>
      <w:tblStyleColBandSize w:val="1"/>
      <w:tblBorders>
        <w:top w:val="single" w:sz="24" w:space="0" w:color="89C3B2" w:themeColor="accent4"/>
        <w:left w:val="single" w:sz="24" w:space="0" w:color="89C3B2" w:themeColor="accent4"/>
        <w:bottom w:val="single" w:sz="24" w:space="0" w:color="89C3B2" w:themeColor="accent4"/>
        <w:right w:val="single" w:sz="24" w:space="0" w:color="89C3B2" w:themeColor="accent4"/>
      </w:tblBorders>
    </w:tblPr>
    <w:tcPr>
      <w:shd w:val="clear" w:color="auto" w:fill="89C3B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EF65AE"/>
    <w:pPr>
      <w:spacing w:after="0" w:line="240" w:lineRule="auto"/>
    </w:pPr>
    <w:rPr>
      <w:color w:val="FFFFFF" w:themeColor="background1"/>
    </w:rPr>
    <w:tblPr>
      <w:tblStyleRowBandSize w:val="1"/>
      <w:tblStyleColBandSize w:val="1"/>
      <w:tblBorders>
        <w:top w:val="single" w:sz="24" w:space="0" w:color="D8DBDA" w:themeColor="accent5"/>
        <w:left w:val="single" w:sz="24" w:space="0" w:color="D8DBDA" w:themeColor="accent5"/>
        <w:bottom w:val="single" w:sz="24" w:space="0" w:color="D8DBDA" w:themeColor="accent5"/>
        <w:right w:val="single" w:sz="24" w:space="0" w:color="D8DBDA" w:themeColor="accent5"/>
      </w:tblBorders>
    </w:tblPr>
    <w:tcPr>
      <w:shd w:val="clear" w:color="auto" w:fill="D8DB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EF65AE"/>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EF65A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EF65AE"/>
    <w:pPr>
      <w:spacing w:after="0" w:line="240" w:lineRule="auto"/>
    </w:pPr>
    <w:rPr>
      <w:color w:val="005C66" w:themeColor="accent1" w:themeShade="BF"/>
    </w:rPr>
    <w:tblPr>
      <w:tblStyleRowBandSize w:val="1"/>
      <w:tblStyleColBandSize w:val="1"/>
      <w:tblBorders>
        <w:top w:val="single" w:sz="4" w:space="0" w:color="007C89" w:themeColor="accent1"/>
        <w:bottom w:val="single" w:sz="4" w:space="0" w:color="007C89" w:themeColor="accent1"/>
      </w:tblBorders>
    </w:tblPr>
    <w:tblStylePr w:type="firstRow">
      <w:rPr>
        <w:b/>
        <w:bCs/>
      </w:rPr>
      <w:tblPr/>
      <w:tcPr>
        <w:tcBorders>
          <w:bottom w:val="single" w:sz="4" w:space="0" w:color="007C89" w:themeColor="accent1"/>
        </w:tcBorders>
      </w:tcPr>
    </w:tblStylePr>
    <w:tblStylePr w:type="lastRow">
      <w:rPr>
        <w:b/>
        <w:bCs/>
      </w:rPr>
      <w:tblPr/>
      <w:tcPr>
        <w:tcBorders>
          <w:top w:val="double" w:sz="4" w:space="0" w:color="007C89" w:themeColor="accent1"/>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6Colorful-Accent2">
    <w:name w:val="List Table 6 Colorful Accent 2"/>
    <w:basedOn w:val="TableNormal"/>
    <w:uiPriority w:val="51"/>
    <w:locked/>
    <w:rsid w:val="00EF65AE"/>
    <w:pPr>
      <w:spacing w:after="0" w:line="240" w:lineRule="auto"/>
    </w:pPr>
    <w:rPr>
      <w:color w:val="874121" w:themeColor="accent2" w:themeShade="BF"/>
    </w:rPr>
    <w:tblPr>
      <w:tblStyleRowBandSize w:val="1"/>
      <w:tblStyleColBandSize w:val="1"/>
      <w:tblBorders>
        <w:top w:val="single" w:sz="4" w:space="0" w:color="B5582D" w:themeColor="accent2"/>
        <w:bottom w:val="single" w:sz="4" w:space="0" w:color="B5582D" w:themeColor="accent2"/>
      </w:tblBorders>
    </w:tblPr>
    <w:tblStylePr w:type="firstRow">
      <w:rPr>
        <w:b/>
        <w:bCs/>
      </w:rPr>
      <w:tblPr/>
      <w:tcPr>
        <w:tcBorders>
          <w:bottom w:val="single" w:sz="4" w:space="0" w:color="B5582D" w:themeColor="accent2"/>
        </w:tcBorders>
      </w:tcPr>
    </w:tblStylePr>
    <w:tblStylePr w:type="lastRow">
      <w:rPr>
        <w:b/>
        <w:bCs/>
      </w:rPr>
      <w:tblPr/>
      <w:tcPr>
        <w:tcBorders>
          <w:top w:val="double" w:sz="4" w:space="0" w:color="B5582D" w:themeColor="accent2"/>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6Colorful-Accent3">
    <w:name w:val="List Table 6 Colorful Accent 3"/>
    <w:basedOn w:val="TableNormal"/>
    <w:uiPriority w:val="51"/>
    <w:locked/>
    <w:rsid w:val="00EF65AE"/>
    <w:pPr>
      <w:spacing w:after="0" w:line="240" w:lineRule="auto"/>
    </w:pPr>
    <w:rPr>
      <w:color w:val="005C66" w:themeColor="accent3" w:themeShade="BF"/>
    </w:rPr>
    <w:tblPr>
      <w:tblStyleRowBandSize w:val="1"/>
      <w:tblStyleColBandSize w:val="1"/>
      <w:tblBorders>
        <w:top w:val="single" w:sz="4" w:space="0" w:color="007C89" w:themeColor="accent3"/>
        <w:bottom w:val="single" w:sz="4" w:space="0" w:color="007C89" w:themeColor="accent3"/>
      </w:tblBorders>
    </w:tblPr>
    <w:tblStylePr w:type="firstRow">
      <w:rPr>
        <w:b/>
        <w:bCs/>
      </w:rPr>
      <w:tblPr/>
      <w:tcPr>
        <w:tcBorders>
          <w:bottom w:val="single" w:sz="4" w:space="0" w:color="007C89" w:themeColor="accent3"/>
        </w:tcBorders>
      </w:tcPr>
    </w:tblStylePr>
    <w:tblStylePr w:type="lastRow">
      <w:rPr>
        <w:b/>
        <w:bCs/>
      </w:rPr>
      <w:tblPr/>
      <w:tcPr>
        <w:tcBorders>
          <w:top w:val="double" w:sz="4" w:space="0" w:color="007C89" w:themeColor="accent3"/>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6Colorful-Accent4">
    <w:name w:val="List Table 6 Colorful Accent 4"/>
    <w:basedOn w:val="TableNormal"/>
    <w:uiPriority w:val="51"/>
    <w:locked/>
    <w:rsid w:val="00EF65AE"/>
    <w:pPr>
      <w:spacing w:after="0" w:line="240" w:lineRule="auto"/>
    </w:pPr>
    <w:rPr>
      <w:color w:val="54A48C" w:themeColor="accent4" w:themeShade="BF"/>
    </w:rPr>
    <w:tblPr>
      <w:tblStyleRowBandSize w:val="1"/>
      <w:tblStyleColBandSize w:val="1"/>
      <w:tblBorders>
        <w:top w:val="single" w:sz="4" w:space="0" w:color="89C3B2" w:themeColor="accent4"/>
        <w:bottom w:val="single" w:sz="4" w:space="0" w:color="89C3B2" w:themeColor="accent4"/>
      </w:tblBorders>
    </w:tblPr>
    <w:tblStylePr w:type="firstRow">
      <w:rPr>
        <w:b/>
        <w:bCs/>
      </w:rPr>
      <w:tblPr/>
      <w:tcPr>
        <w:tcBorders>
          <w:bottom w:val="single" w:sz="4" w:space="0" w:color="89C3B2" w:themeColor="accent4"/>
        </w:tcBorders>
      </w:tcPr>
    </w:tblStylePr>
    <w:tblStylePr w:type="lastRow">
      <w:rPr>
        <w:b/>
        <w:bCs/>
      </w:rPr>
      <w:tblPr/>
      <w:tcPr>
        <w:tcBorders>
          <w:top w:val="double" w:sz="4" w:space="0" w:color="89C3B2" w:themeColor="accent4"/>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6Colorful-Accent5">
    <w:name w:val="List Table 6 Colorful Accent 5"/>
    <w:basedOn w:val="TableNormal"/>
    <w:uiPriority w:val="51"/>
    <w:locked/>
    <w:rsid w:val="00EF65AE"/>
    <w:pPr>
      <w:spacing w:after="0" w:line="240" w:lineRule="auto"/>
    </w:pPr>
    <w:rPr>
      <w:color w:val="9FA6A4" w:themeColor="accent5" w:themeShade="BF"/>
    </w:rPr>
    <w:tblPr>
      <w:tblStyleRowBandSize w:val="1"/>
      <w:tblStyleColBandSize w:val="1"/>
      <w:tblBorders>
        <w:top w:val="single" w:sz="4" w:space="0" w:color="D8DBDA" w:themeColor="accent5"/>
        <w:bottom w:val="single" w:sz="4" w:space="0" w:color="D8DBDA" w:themeColor="accent5"/>
      </w:tblBorders>
    </w:tblPr>
    <w:tblStylePr w:type="firstRow">
      <w:rPr>
        <w:b/>
        <w:bCs/>
      </w:rPr>
      <w:tblPr/>
      <w:tcPr>
        <w:tcBorders>
          <w:bottom w:val="single" w:sz="4" w:space="0" w:color="D8DBDA" w:themeColor="accent5"/>
        </w:tcBorders>
      </w:tcPr>
    </w:tblStylePr>
    <w:tblStylePr w:type="lastRow">
      <w:rPr>
        <w:b/>
        <w:bCs/>
      </w:rPr>
      <w:tblPr/>
      <w:tcPr>
        <w:tcBorders>
          <w:top w:val="double" w:sz="4" w:space="0" w:color="D8DBDA" w:themeColor="accent5"/>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6Colorful-Accent6">
    <w:name w:val="List Table 6 Colorful Accent 6"/>
    <w:basedOn w:val="TableNormal"/>
    <w:uiPriority w:val="51"/>
    <w:locked/>
    <w:rsid w:val="00EF65AE"/>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locked/>
    <w:rsid w:val="00EF65A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EF65AE"/>
    <w:pPr>
      <w:spacing w:after="0" w:line="240" w:lineRule="auto"/>
    </w:pPr>
    <w:rPr>
      <w:color w:val="005C6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C8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C8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C8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C89" w:themeColor="accent1"/>
        </w:tcBorders>
        <w:shd w:val="clear" w:color="auto" w:fill="FFFFFF" w:themeFill="background1"/>
      </w:tcPr>
    </w:tblStylePr>
    <w:tblStylePr w:type="band1Vert">
      <w:tblPr/>
      <w:tcPr>
        <w:shd w:val="clear" w:color="auto" w:fill="B4F7FF" w:themeFill="accent1" w:themeFillTint="33"/>
      </w:tcPr>
    </w:tblStylePr>
    <w:tblStylePr w:type="band1Horz">
      <w:tblPr/>
      <w:tcPr>
        <w:shd w:val="clear" w:color="auto" w:fill="B4F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EF65AE"/>
    <w:pPr>
      <w:spacing w:after="0" w:line="240" w:lineRule="auto"/>
    </w:pPr>
    <w:rPr>
      <w:color w:val="8741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582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582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582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582D" w:themeColor="accent2"/>
        </w:tcBorders>
        <w:shd w:val="clear" w:color="auto" w:fill="FFFFFF" w:themeFill="background1"/>
      </w:tcPr>
    </w:tblStylePr>
    <w:tblStylePr w:type="band1Vert">
      <w:tblPr/>
      <w:tcPr>
        <w:shd w:val="clear" w:color="auto" w:fill="F3DCD1" w:themeFill="accent2" w:themeFillTint="33"/>
      </w:tcPr>
    </w:tblStylePr>
    <w:tblStylePr w:type="band1Horz">
      <w:tblPr/>
      <w:tcPr>
        <w:shd w:val="clear" w:color="auto" w:fill="F3D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EF65AE"/>
    <w:pPr>
      <w:spacing w:after="0" w:line="240" w:lineRule="auto"/>
    </w:pPr>
    <w:rPr>
      <w:color w:val="005C6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C8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C8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C8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C89" w:themeColor="accent3"/>
        </w:tcBorders>
        <w:shd w:val="clear" w:color="auto" w:fill="FFFFFF" w:themeFill="background1"/>
      </w:tcPr>
    </w:tblStylePr>
    <w:tblStylePr w:type="band1Vert">
      <w:tblPr/>
      <w:tcPr>
        <w:shd w:val="clear" w:color="auto" w:fill="B4F7FF" w:themeFill="accent3" w:themeFillTint="33"/>
      </w:tcPr>
    </w:tblStylePr>
    <w:tblStylePr w:type="band1Horz">
      <w:tblPr/>
      <w:tcPr>
        <w:shd w:val="clear" w:color="auto" w:fill="B4F7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EF65AE"/>
    <w:pPr>
      <w:spacing w:after="0" w:line="240" w:lineRule="auto"/>
    </w:pPr>
    <w:rPr>
      <w:color w:val="54A48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C3B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C3B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C3B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C3B2" w:themeColor="accent4"/>
        </w:tcBorders>
        <w:shd w:val="clear" w:color="auto" w:fill="FFFFFF" w:themeFill="background1"/>
      </w:tcPr>
    </w:tblStylePr>
    <w:tblStylePr w:type="band1Vert">
      <w:tblPr/>
      <w:tcPr>
        <w:shd w:val="clear" w:color="auto" w:fill="E7F3EF" w:themeFill="accent4" w:themeFillTint="33"/>
      </w:tcPr>
    </w:tblStylePr>
    <w:tblStylePr w:type="band1Horz">
      <w:tblPr/>
      <w:tcPr>
        <w:shd w:val="clear" w:color="auto" w:fill="E7F3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EF65AE"/>
    <w:pPr>
      <w:spacing w:after="0" w:line="240" w:lineRule="auto"/>
    </w:pPr>
    <w:rPr>
      <w:color w:val="9FA6A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DB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DB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DB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DBDA" w:themeColor="accent5"/>
        </w:tcBorders>
        <w:shd w:val="clear" w:color="auto" w:fill="FFFFFF" w:themeFill="background1"/>
      </w:tcPr>
    </w:tblStylePr>
    <w:tblStylePr w:type="band1Vert">
      <w:tblPr/>
      <w:tcPr>
        <w:shd w:val="clear" w:color="auto" w:fill="F7F7F7" w:themeFill="accent5" w:themeFillTint="33"/>
      </w:tcPr>
    </w:tblStylePr>
    <w:tblStylePr w:type="band1Horz">
      <w:tblPr/>
      <w:tcPr>
        <w:shd w:val="clear" w:color="auto" w:fill="F7F7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EF65AE"/>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locked/>
    <w:rsid w:val="00EF65A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EF65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EF65A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F65A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EF65A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670869"/>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style>
  <w:style w:type="paragraph" w:customStyle="1" w:styleId="ReferenceTab">
    <w:name w:val="Reference Tab"/>
    <w:basedOn w:val="AcronymsTab"/>
    <w:uiPriority w:val="36"/>
    <w:qFormat/>
    <w:rsid w:val="003A75BA"/>
    <w:pPr>
      <w:tabs>
        <w:tab w:val="left" w:pos="505"/>
      </w:tabs>
      <w:ind w:left="505" w:hanging="505"/>
    </w:pPr>
    <w:rPr>
      <w:lang w:val="en-US"/>
    </w:rPr>
  </w:style>
  <w:style w:type="paragraph" w:customStyle="1" w:styleId="TableListBullet">
    <w:name w:val="Table List Bullet"/>
    <w:basedOn w:val="Normal"/>
    <w:rsid w:val="00CC4C5C"/>
    <w:pPr>
      <w:framePr w:hSpace="180" w:wrap="around" w:vAnchor="page" w:hAnchor="margin" w:y="5061"/>
      <w:numPr>
        <w:numId w:val="19"/>
      </w:numPr>
      <w:spacing w:before="60" w:line="240" w:lineRule="auto"/>
    </w:pPr>
    <w:rPr>
      <w:rFonts w:ascii="Calibri" w:eastAsia="Times New Roman" w:hAnsi="Calibri" w:cstheme="minorHAnsi"/>
      <w:color w:val="000000" w:themeColor="text1"/>
      <w:szCs w:val="21"/>
    </w:rPr>
  </w:style>
  <w:style w:type="character" w:customStyle="1" w:styleId="UnresolvedMention2">
    <w:name w:val="Unresolved Mention2"/>
    <w:basedOn w:val="DefaultParagraphFont"/>
    <w:uiPriority w:val="99"/>
    <w:semiHidden/>
    <w:unhideWhenUsed/>
    <w:rsid w:val="00F26DED"/>
    <w:rPr>
      <w:color w:val="605E5C"/>
      <w:shd w:val="clear" w:color="auto" w:fill="E1DFDD"/>
    </w:rPr>
  </w:style>
  <w:style w:type="paragraph" w:customStyle="1" w:styleId="Default">
    <w:name w:val="Default"/>
    <w:rsid w:val="00222A81"/>
    <w:pPr>
      <w:autoSpaceDE w:val="0"/>
      <w:autoSpaceDN w:val="0"/>
      <w:adjustRightInd w:val="0"/>
      <w:spacing w:after="0" w:line="240" w:lineRule="auto"/>
    </w:pPr>
    <w:rPr>
      <w:rFonts w:ascii="Calibri" w:hAnsi="Calibri" w:cs="Calibri"/>
      <w:sz w:val="24"/>
      <w:szCs w:val="24"/>
    </w:rPr>
  </w:style>
  <w:style w:type="character" w:customStyle="1" w:styleId="st1">
    <w:name w:val="st1"/>
    <w:basedOn w:val="DefaultParagraphFont"/>
    <w:rsid w:val="00410A8E"/>
  </w:style>
  <w:style w:type="paragraph" w:customStyle="1" w:styleId="Recommendation">
    <w:name w:val="Recommendation"/>
    <w:basedOn w:val="ListNumber"/>
    <w:qFormat/>
    <w:rsid w:val="00D609E8"/>
    <w:pPr>
      <w:keepNext/>
      <w:numPr>
        <w:ilvl w:val="0"/>
        <w:numId w:val="0"/>
      </w:numPr>
    </w:pPr>
    <w:rPr>
      <w:b/>
    </w:rPr>
  </w:style>
  <w:style w:type="paragraph" w:customStyle="1" w:styleId="Heading2NoNumber">
    <w:name w:val="Heading 2 No Number"/>
    <w:basedOn w:val="Heading2"/>
    <w:next w:val="Normal"/>
    <w:uiPriority w:val="9"/>
    <w:qFormat/>
    <w:rsid w:val="00670869"/>
    <w:pPr>
      <w:numPr>
        <w:ilvl w:val="0"/>
        <w:numId w:val="0"/>
      </w:numPr>
    </w:pPr>
  </w:style>
  <w:style w:type="paragraph" w:customStyle="1" w:styleId="Heading3NoNumber">
    <w:name w:val="Heading 3 No Number"/>
    <w:basedOn w:val="Heading3"/>
    <w:next w:val="Normal"/>
    <w:uiPriority w:val="9"/>
    <w:qFormat/>
    <w:rsid w:val="00670869"/>
    <w:pPr>
      <w:numPr>
        <w:ilvl w:val="0"/>
        <w:numId w:val="0"/>
      </w:numPr>
    </w:pPr>
  </w:style>
  <w:style w:type="character" w:customStyle="1" w:styleId="UnresolvedMention">
    <w:name w:val="Unresolved Mention"/>
    <w:basedOn w:val="DefaultParagraphFont"/>
    <w:uiPriority w:val="99"/>
    <w:semiHidden/>
    <w:unhideWhenUsed/>
    <w:rsid w:val="00670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7577143">
      <w:bodyDiv w:val="1"/>
      <w:marLeft w:val="0"/>
      <w:marRight w:val="0"/>
      <w:marTop w:val="0"/>
      <w:marBottom w:val="0"/>
      <w:divBdr>
        <w:top w:val="none" w:sz="0" w:space="0" w:color="auto"/>
        <w:left w:val="none" w:sz="0" w:space="0" w:color="auto"/>
        <w:bottom w:val="none" w:sz="0" w:space="0" w:color="auto"/>
        <w:right w:val="none" w:sz="0" w:space="0" w:color="auto"/>
      </w:divBdr>
    </w:div>
    <w:div w:id="234442174">
      <w:bodyDiv w:val="1"/>
      <w:marLeft w:val="0"/>
      <w:marRight w:val="0"/>
      <w:marTop w:val="0"/>
      <w:marBottom w:val="0"/>
      <w:divBdr>
        <w:top w:val="none" w:sz="0" w:space="0" w:color="auto"/>
        <w:left w:val="none" w:sz="0" w:space="0" w:color="auto"/>
        <w:bottom w:val="none" w:sz="0" w:space="0" w:color="auto"/>
        <w:right w:val="none" w:sz="0" w:space="0" w:color="auto"/>
      </w:divBdr>
    </w:div>
    <w:div w:id="491795941">
      <w:bodyDiv w:val="1"/>
      <w:marLeft w:val="0"/>
      <w:marRight w:val="0"/>
      <w:marTop w:val="0"/>
      <w:marBottom w:val="0"/>
      <w:divBdr>
        <w:top w:val="none" w:sz="0" w:space="0" w:color="auto"/>
        <w:left w:val="none" w:sz="0" w:space="0" w:color="auto"/>
        <w:bottom w:val="none" w:sz="0" w:space="0" w:color="auto"/>
        <w:right w:val="none" w:sz="0" w:space="0" w:color="auto"/>
      </w:divBdr>
    </w:div>
    <w:div w:id="509758110">
      <w:bodyDiv w:val="1"/>
      <w:marLeft w:val="0"/>
      <w:marRight w:val="0"/>
      <w:marTop w:val="0"/>
      <w:marBottom w:val="0"/>
      <w:divBdr>
        <w:top w:val="none" w:sz="0" w:space="0" w:color="auto"/>
        <w:left w:val="none" w:sz="0" w:space="0" w:color="auto"/>
        <w:bottom w:val="none" w:sz="0" w:space="0" w:color="auto"/>
        <w:right w:val="none" w:sz="0" w:space="0" w:color="auto"/>
      </w:divBdr>
    </w:div>
    <w:div w:id="515654252">
      <w:bodyDiv w:val="1"/>
      <w:marLeft w:val="0"/>
      <w:marRight w:val="0"/>
      <w:marTop w:val="0"/>
      <w:marBottom w:val="0"/>
      <w:divBdr>
        <w:top w:val="none" w:sz="0" w:space="0" w:color="auto"/>
        <w:left w:val="none" w:sz="0" w:space="0" w:color="auto"/>
        <w:bottom w:val="none" w:sz="0" w:space="0" w:color="auto"/>
        <w:right w:val="none" w:sz="0" w:space="0" w:color="auto"/>
      </w:divBdr>
    </w:div>
    <w:div w:id="518201945">
      <w:bodyDiv w:val="1"/>
      <w:marLeft w:val="0"/>
      <w:marRight w:val="0"/>
      <w:marTop w:val="0"/>
      <w:marBottom w:val="0"/>
      <w:divBdr>
        <w:top w:val="none" w:sz="0" w:space="0" w:color="auto"/>
        <w:left w:val="none" w:sz="0" w:space="0" w:color="auto"/>
        <w:bottom w:val="none" w:sz="0" w:space="0" w:color="auto"/>
        <w:right w:val="none" w:sz="0" w:space="0" w:color="auto"/>
      </w:divBdr>
    </w:div>
    <w:div w:id="518854335">
      <w:bodyDiv w:val="1"/>
      <w:marLeft w:val="0"/>
      <w:marRight w:val="0"/>
      <w:marTop w:val="0"/>
      <w:marBottom w:val="0"/>
      <w:divBdr>
        <w:top w:val="none" w:sz="0" w:space="0" w:color="auto"/>
        <w:left w:val="none" w:sz="0" w:space="0" w:color="auto"/>
        <w:bottom w:val="none" w:sz="0" w:space="0" w:color="auto"/>
        <w:right w:val="none" w:sz="0" w:space="0" w:color="auto"/>
      </w:divBdr>
    </w:div>
    <w:div w:id="521404441">
      <w:bodyDiv w:val="1"/>
      <w:marLeft w:val="0"/>
      <w:marRight w:val="0"/>
      <w:marTop w:val="0"/>
      <w:marBottom w:val="0"/>
      <w:divBdr>
        <w:top w:val="none" w:sz="0" w:space="0" w:color="auto"/>
        <w:left w:val="none" w:sz="0" w:space="0" w:color="auto"/>
        <w:bottom w:val="none" w:sz="0" w:space="0" w:color="auto"/>
        <w:right w:val="none" w:sz="0" w:space="0" w:color="auto"/>
      </w:divBdr>
    </w:div>
    <w:div w:id="618535371">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68265628">
      <w:bodyDiv w:val="1"/>
      <w:marLeft w:val="0"/>
      <w:marRight w:val="0"/>
      <w:marTop w:val="0"/>
      <w:marBottom w:val="0"/>
      <w:divBdr>
        <w:top w:val="none" w:sz="0" w:space="0" w:color="auto"/>
        <w:left w:val="none" w:sz="0" w:space="0" w:color="auto"/>
        <w:bottom w:val="none" w:sz="0" w:space="0" w:color="auto"/>
        <w:right w:val="none" w:sz="0" w:space="0" w:color="auto"/>
      </w:divBdr>
    </w:div>
    <w:div w:id="1271357075">
      <w:bodyDiv w:val="1"/>
      <w:marLeft w:val="0"/>
      <w:marRight w:val="0"/>
      <w:marTop w:val="0"/>
      <w:marBottom w:val="0"/>
      <w:divBdr>
        <w:top w:val="none" w:sz="0" w:space="0" w:color="auto"/>
        <w:left w:val="none" w:sz="0" w:space="0" w:color="auto"/>
        <w:bottom w:val="none" w:sz="0" w:space="0" w:color="auto"/>
        <w:right w:val="none" w:sz="0" w:space="0" w:color="auto"/>
      </w:divBdr>
    </w:div>
    <w:div w:id="1454904779">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customXml" Target="../customXml/item4.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footer" Target="footer3.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dx.doi.org/10.2139/ssrn.3360817%20" TargetMode="External"/><Relationship Id="rId32" Type="http://schemas.openxmlformats.org/officeDocument/2006/relationships/header" Target="header3.xml"/><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papers.ssrn.com/sol3/papers.cfm?abstract_id=3360817"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http://creativecommons.org/licenses/by/3.0/au/" TargetMode="Externa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apsc.gov.au/aps-domestic-and-family-violence-policy-framework" TargetMode="External"/><Relationship Id="rId3" Type="http://schemas.openxmlformats.org/officeDocument/2006/relationships/hyperlink" Target="https://www.fairwork.gov.au/leave/family-and-domestic-violence-leave" TargetMode="External"/><Relationship Id="rId7" Type="http://schemas.openxmlformats.org/officeDocument/2006/relationships/hyperlink" Target="https://www.apsc.gov.au/sites/default/files/FINAL-Balancing-the-future-the-Australian-Public-Service-gender-equality-strategy-2016-19.pdf" TargetMode="External"/><Relationship Id="rId2" Type="http://schemas.openxmlformats.org/officeDocument/2006/relationships/hyperlink" Target="http://undocs.org/E/CN.6/2013/3" TargetMode="External"/><Relationship Id="rId1" Type="http://schemas.openxmlformats.org/officeDocument/2006/relationships/hyperlink" Target="https://www.care.org.au/stop-sexual-harassment-project/" TargetMode="External"/><Relationship Id="rId6" Type="http://schemas.openxmlformats.org/officeDocument/2006/relationships/hyperlink" Target="https://unwomen.org.au/wp-content/uploads/2017/12/Taking_the_First_Step_UNWNCA_Report.pdf" TargetMode="External"/><Relationship Id="rId5" Type="http://schemas.openxmlformats.org/officeDocument/2006/relationships/hyperlink" Target="https://www.wgea.gov.au/sites/default/files/mcferran-domestic-violence-workplace-issue-australian-developments.pdf" TargetMode="External"/><Relationship Id="rId10" Type="http://schemas.openxmlformats.org/officeDocument/2006/relationships/hyperlink" Target="http://devinit.org/wp-content/uploads/2018/06/GHA-Report-2018.pdf" TargetMode="External"/><Relationship Id="rId4" Type="http://schemas.openxmlformats.org/officeDocument/2006/relationships/hyperlink" Target="file:///C:/Users/kovingto/AppData/Local/Microsoft/Windows/INetCache/Content.Outlook/Y69U7GQ1/Domestic%20violence%20is%20a%20workplace%20issue;%20Australian%20developments%202009&#8211;2016" TargetMode="External"/><Relationship Id="rId9" Type="http://schemas.openxmlformats.org/officeDocument/2006/relationships/hyperlink" Target="http://dfat.gov.au/about-us/publications/Documents/dfat-humanitarian-strateg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493F68BD254423A9C2D0FDCF1017DFB"/>
        <w:category>
          <w:name w:val="General"/>
          <w:gallery w:val="placeholder"/>
        </w:category>
        <w:types>
          <w:type w:val="bbPlcHdr"/>
        </w:types>
        <w:behaviors>
          <w:behavior w:val="content"/>
        </w:behaviors>
        <w:guid w:val="{DA65C850-DB6C-43E8-967E-E95BB1544B01}"/>
      </w:docPartPr>
      <w:docPartBody>
        <w:p w:rsidR="00526A19" w:rsidRDefault="005F392B">
          <w:pPr>
            <w:pStyle w:val="4493F68BD254423A9C2D0FDCF1017DFB"/>
          </w:pPr>
          <w:r>
            <w:t>Document title goes here</w:t>
          </w:r>
        </w:p>
      </w:docPartBody>
    </w:docPart>
    <w:docPart>
      <w:docPartPr>
        <w:name w:val="538FBC1D3B454E418BF04FB49964F6D3"/>
        <w:category>
          <w:name w:val="General"/>
          <w:gallery w:val="placeholder"/>
        </w:category>
        <w:types>
          <w:type w:val="bbPlcHdr"/>
        </w:types>
        <w:behaviors>
          <w:behavior w:val="content"/>
        </w:behaviors>
        <w:guid w:val="{F1EB4B7D-CBAA-4470-AD72-6911C86FF5C9}"/>
      </w:docPartPr>
      <w:docPartBody>
        <w:p w:rsidR="00526A19" w:rsidRDefault="005F392B">
          <w:pPr>
            <w:pStyle w:val="538FBC1D3B454E418BF04FB49964F6D3"/>
          </w:pPr>
          <w:r w:rsidRPr="00CB5938">
            <w:rPr>
              <w:rStyle w:val="PlaceholderText"/>
            </w:rPr>
            <w:t>Cover Subtitle</w:t>
          </w:r>
        </w:p>
      </w:docPartBody>
    </w:docPart>
    <w:docPart>
      <w:docPartPr>
        <w:name w:val="8637AD965E48405782E7C829427EF30B"/>
        <w:category>
          <w:name w:val="General"/>
          <w:gallery w:val="placeholder"/>
        </w:category>
        <w:types>
          <w:type w:val="bbPlcHdr"/>
        </w:types>
        <w:behaviors>
          <w:behavior w:val="content"/>
        </w:behaviors>
        <w:guid w:val="{CB2B563B-F5D1-48DA-9596-A14A5835DFB3}"/>
      </w:docPartPr>
      <w:docPartBody>
        <w:p w:rsidR="00526A19" w:rsidRDefault="005F392B">
          <w:pPr>
            <w:pStyle w:val="8637AD965E48405782E7C829427EF30B"/>
          </w:pPr>
          <w:r w:rsidRPr="00CB5938">
            <w:rPr>
              <w:rStyle w:val="PlaceholderText"/>
            </w:rPr>
            <w:t>Cover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Ubuntu Light">
    <w:altName w:val="Arial"/>
    <w:panose1 w:val="020B0304030602030204"/>
    <w:charset w:val="00"/>
    <w:family w:val="swiss"/>
    <w:pitch w:val="variable"/>
    <w:sig w:usb0="E00002F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92B"/>
    <w:rsid w:val="00006E8A"/>
    <w:rsid w:val="000F4F5E"/>
    <w:rsid w:val="00120FB8"/>
    <w:rsid w:val="00184F06"/>
    <w:rsid w:val="001933FB"/>
    <w:rsid w:val="001D7502"/>
    <w:rsid w:val="00213F44"/>
    <w:rsid w:val="0025535F"/>
    <w:rsid w:val="00270C23"/>
    <w:rsid w:val="00300FC6"/>
    <w:rsid w:val="003D2B82"/>
    <w:rsid w:val="004868DB"/>
    <w:rsid w:val="00526A19"/>
    <w:rsid w:val="00593688"/>
    <w:rsid w:val="005F392B"/>
    <w:rsid w:val="00630290"/>
    <w:rsid w:val="00670065"/>
    <w:rsid w:val="007316C2"/>
    <w:rsid w:val="00743D68"/>
    <w:rsid w:val="00754159"/>
    <w:rsid w:val="00754604"/>
    <w:rsid w:val="007C0271"/>
    <w:rsid w:val="007C682C"/>
    <w:rsid w:val="007F1882"/>
    <w:rsid w:val="00835118"/>
    <w:rsid w:val="0083635A"/>
    <w:rsid w:val="00853C8D"/>
    <w:rsid w:val="00870CAC"/>
    <w:rsid w:val="00882AA6"/>
    <w:rsid w:val="00923CA7"/>
    <w:rsid w:val="009C7FC4"/>
    <w:rsid w:val="009F5DB6"/>
    <w:rsid w:val="009F7198"/>
    <w:rsid w:val="00A161FC"/>
    <w:rsid w:val="00A607ED"/>
    <w:rsid w:val="00A76AB0"/>
    <w:rsid w:val="00AB6F96"/>
    <w:rsid w:val="00AF588C"/>
    <w:rsid w:val="00B36D87"/>
    <w:rsid w:val="00B879D4"/>
    <w:rsid w:val="00BA16D0"/>
    <w:rsid w:val="00BD393B"/>
    <w:rsid w:val="00C23C7A"/>
    <w:rsid w:val="00C7141D"/>
    <w:rsid w:val="00CC0DF6"/>
    <w:rsid w:val="00CE1971"/>
    <w:rsid w:val="00D33058"/>
    <w:rsid w:val="00DF26F7"/>
    <w:rsid w:val="00DF37BE"/>
    <w:rsid w:val="00E855B6"/>
    <w:rsid w:val="00E902A7"/>
    <w:rsid w:val="00FE3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493F68BD254423A9C2D0FDCF1017DFB">
    <w:name w:val="4493F68BD254423A9C2D0FDCF1017DFB"/>
  </w:style>
  <w:style w:type="character" w:styleId="PlaceholderText">
    <w:name w:val="Placeholder Text"/>
    <w:basedOn w:val="DefaultParagraphFont"/>
    <w:uiPriority w:val="99"/>
    <w:rPr>
      <w:color w:val="808080"/>
    </w:rPr>
  </w:style>
  <w:style w:type="paragraph" w:customStyle="1" w:styleId="1A2AA6AC0D4C4079BB0B19A05BCBFBF6">
    <w:name w:val="1A2AA6AC0D4C4079BB0B19A05BCBFBF6"/>
  </w:style>
  <w:style w:type="paragraph" w:customStyle="1" w:styleId="538FBC1D3B454E418BF04FB49964F6D3">
    <w:name w:val="538FBC1D3B454E418BF04FB49964F6D3"/>
  </w:style>
  <w:style w:type="paragraph" w:customStyle="1" w:styleId="8637AD965E48405782E7C829427EF30B">
    <w:name w:val="8637AD965E48405782E7C829427EF30B"/>
  </w:style>
  <w:style w:type="paragraph" w:customStyle="1" w:styleId="B9282A971B1C436E845B718D71999AFC">
    <w:name w:val="B9282A971B1C436E845B718D71999AFC"/>
  </w:style>
  <w:style w:type="paragraph" w:customStyle="1" w:styleId="A4CD155C609F4B628962A1D7C23CAD65">
    <w:name w:val="A4CD155C609F4B628962A1D7C23CAD65"/>
    <w:rsid w:val="00DF26F7"/>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lamity Comms">
      <a:dk1>
        <a:srgbClr val="000000"/>
      </a:dk1>
      <a:lt1>
        <a:sysClr val="window" lastClr="FFFFFF"/>
      </a:lt1>
      <a:dk2>
        <a:srgbClr val="485865"/>
      </a:dk2>
      <a:lt2>
        <a:srgbClr val="65C5B4"/>
      </a:lt2>
      <a:accent1>
        <a:srgbClr val="007C89"/>
      </a:accent1>
      <a:accent2>
        <a:srgbClr val="B5582D"/>
      </a:accent2>
      <a:accent3>
        <a:srgbClr val="007C89"/>
      </a:accent3>
      <a:accent4>
        <a:srgbClr val="89C3B2"/>
      </a:accent4>
      <a:accent5>
        <a:srgbClr val="D8DBDA"/>
      </a:accent5>
      <a:accent6>
        <a:srgbClr val="FFFFFF"/>
      </a:accent6>
      <a:hlink>
        <a:srgbClr val="434343"/>
      </a:hlink>
      <a:folHlink>
        <a:srgbClr val="43434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3E87126-D9D8-449A-9B00-12494E2664B5}"/>
</file>

<file path=customXml/itemProps2.xml><?xml version="1.0" encoding="utf-8"?>
<ds:datastoreItem xmlns:ds="http://schemas.openxmlformats.org/officeDocument/2006/customXml" ds:itemID="{9F275309-FB3E-4D86-B551-A4D27733CDF4}"/>
</file>

<file path=customXml/itemProps3.xml><?xml version="1.0" encoding="utf-8"?>
<ds:datastoreItem xmlns:ds="http://schemas.openxmlformats.org/officeDocument/2006/customXml" ds:itemID="{FBB19FFE-E364-46A2-831B-AA3454AA12DF}"/>
</file>

<file path=customXml/itemProps4.xml><?xml version="1.0" encoding="utf-8"?>
<ds:datastoreItem xmlns:ds="http://schemas.openxmlformats.org/officeDocument/2006/customXml" ds:itemID="{C18371BD-C859-436D-B061-BC7C255058E5}"/>
</file>

<file path=docProps/app.xml><?xml version="1.0" encoding="utf-8"?>
<Properties xmlns="http://schemas.openxmlformats.org/officeDocument/2006/extended-properties" xmlns:vt="http://schemas.openxmlformats.org/officeDocument/2006/docPropsVTypes">
  <Template>Normal.dotm</Template>
  <TotalTime>0</TotalTime>
  <Pages>155</Pages>
  <Words>81620</Words>
  <Characters>465240</Characters>
  <Application>Microsoft Office Word</Application>
  <DocSecurity>0</DocSecurity>
  <Lines>3877</Lines>
  <Paragraphs>1091</Paragraphs>
  <ScaleCrop>false</ScaleCrop>
  <Company/>
  <LinksUpToDate>false</LinksUpToDate>
  <CharactersWithSpaces>545769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2019-11-18T23:11:00Z</dcterms:created>
  <dcterms:modified xsi:type="dcterms:W3CDTF">2019-11-18T23:11:00Z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23bfb333-17c3-46c9-993c-ddb1eb08df57</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0x0101001FFC9E269FC55F4080F839D1719F85D6</vt:lpwstr>
  </property>
  <property fmtid="{D5CDD505-2E9C-101B-9397-08002B2CF9AE}" pid="6" name="Order">
    <vt:r8>6400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